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bidi w:val="0"/>
        <w:spacing w:line="360" w:lineRule="auto"/>
        <w:jc w:val="center"/>
        <w:textAlignment w:val="auto"/>
        <w:rPr>
          <w:rFonts w:hint="eastAsia" w:ascii="宋体" w:hAnsi="宋体" w:eastAsia="宋体" w:cs="宋体"/>
          <w:b/>
          <w:bCs/>
          <w:spacing w:val="20"/>
          <w:sz w:val="44"/>
          <w:szCs w:val="44"/>
        </w:rPr>
      </w:pPr>
      <w:r>
        <w:rPr>
          <w:rFonts w:hint="eastAsia" w:ascii="宋体" w:hAnsi="宋体" w:eastAsia="宋体" w:cs="宋体"/>
          <w:b/>
          <w:bCs/>
          <w:spacing w:val="20"/>
          <w:sz w:val="44"/>
          <w:szCs w:val="44"/>
          <w:lang w:eastAsia="zh-CN"/>
        </w:rPr>
        <w:t>长葛市</w:t>
      </w:r>
      <w:r>
        <w:rPr>
          <w:rFonts w:hint="eastAsia" w:ascii="宋体" w:hAnsi="宋体" w:eastAsia="宋体" w:cs="宋体"/>
          <w:b/>
          <w:bCs/>
          <w:spacing w:val="20"/>
          <w:sz w:val="44"/>
          <w:szCs w:val="44"/>
          <w:lang w:val="en-US" w:eastAsia="zh-CN"/>
        </w:rPr>
        <w:t>2020年第一批财政专项扶贫资金基础设施项目一标段（南席镇游罕村道路，古桥镇寺后李村道路，古桥镇菜王村道路）</w:t>
      </w:r>
    </w:p>
    <w:p>
      <w:pPr>
        <w:spacing w:line="360" w:lineRule="auto"/>
        <w:ind w:firstLine="1606" w:firstLineChars="500"/>
        <w:rPr>
          <w:rFonts w:hint="eastAsia" w:ascii="宋体" w:hAnsi="宋体" w:cs="Times New Roman"/>
          <w:b/>
          <w:bCs/>
          <w:kern w:val="0"/>
          <w:sz w:val="32"/>
          <w:szCs w:val="22"/>
        </w:rPr>
      </w:pPr>
    </w:p>
    <w:p>
      <w:pPr>
        <w:spacing w:line="360" w:lineRule="auto"/>
        <w:ind w:firstLine="1606" w:firstLineChars="500"/>
        <w:rPr>
          <w:rFonts w:hint="eastAsia" w:ascii="宋体" w:hAnsi="宋体" w:cs="Times New Roman"/>
          <w:b/>
          <w:bCs/>
          <w:kern w:val="0"/>
          <w:sz w:val="32"/>
          <w:szCs w:val="22"/>
        </w:rPr>
      </w:pPr>
    </w:p>
    <w:p>
      <w:pPr>
        <w:kinsoku/>
        <w:overflowPunct/>
        <w:bidi w:val="0"/>
        <w:spacing w:line="360" w:lineRule="auto"/>
        <w:jc w:val="center"/>
        <w:textAlignment w:val="auto"/>
        <w:rPr>
          <w:rFonts w:hint="eastAsia" w:ascii="宋体" w:hAnsi="宋体" w:eastAsia="宋体" w:cs="宋体"/>
          <w:b/>
          <w:bCs/>
          <w:sz w:val="84"/>
          <w:szCs w:val="84"/>
        </w:rPr>
      </w:pPr>
      <w:r>
        <w:rPr>
          <w:rFonts w:hint="eastAsia" w:ascii="宋体" w:hAnsi="宋体" w:eastAsia="宋体" w:cs="宋体"/>
          <w:b/>
          <w:bCs/>
          <w:spacing w:val="20"/>
          <w:sz w:val="72"/>
          <w:szCs w:val="72"/>
          <w:lang w:eastAsia="zh-CN"/>
        </w:rPr>
        <w:t>施工</w:t>
      </w:r>
      <w:r>
        <w:rPr>
          <w:rFonts w:hint="eastAsia" w:ascii="宋体" w:hAnsi="宋体" w:eastAsia="宋体" w:cs="宋体"/>
          <w:b/>
          <w:bCs/>
          <w:spacing w:val="20"/>
          <w:sz w:val="72"/>
          <w:szCs w:val="72"/>
        </w:rPr>
        <w:t>招标文件</w:t>
      </w:r>
    </w:p>
    <w:p>
      <w:pPr>
        <w:spacing w:line="360" w:lineRule="auto"/>
        <w:ind w:firstLine="1606" w:firstLineChars="500"/>
        <w:rPr>
          <w:rFonts w:hint="eastAsia" w:ascii="宋体" w:hAnsi="宋体" w:cs="Times New Roman"/>
          <w:b/>
          <w:bCs/>
          <w:kern w:val="0"/>
          <w:sz w:val="32"/>
          <w:szCs w:val="22"/>
        </w:rPr>
      </w:pPr>
    </w:p>
    <w:p>
      <w:pPr>
        <w:spacing w:line="360" w:lineRule="auto"/>
        <w:ind w:firstLine="1606" w:firstLineChars="500"/>
        <w:rPr>
          <w:rFonts w:ascii="宋体" w:hAnsi="宋体" w:cs="Times New Roman"/>
          <w:b/>
          <w:bCs/>
          <w:kern w:val="0"/>
          <w:sz w:val="32"/>
          <w:szCs w:val="22"/>
        </w:rPr>
      </w:pPr>
      <w:r>
        <w:rPr>
          <w:rFonts w:hint="eastAsia" w:ascii="宋体" w:hAnsi="宋体" w:cs="Times New Roman"/>
          <w:b/>
          <w:bCs/>
          <w:kern w:val="0"/>
          <w:sz w:val="32"/>
          <w:szCs w:val="22"/>
        </w:rPr>
        <w:t>项目编号：长交建【2020】GZ00</w:t>
      </w:r>
      <w:r>
        <w:rPr>
          <w:rFonts w:hint="eastAsia" w:ascii="宋体" w:hAnsi="宋体" w:cs="Times New Roman"/>
          <w:b/>
          <w:bCs/>
          <w:kern w:val="0"/>
          <w:sz w:val="32"/>
          <w:szCs w:val="22"/>
          <w:lang w:val="en-US" w:eastAsia="zh-CN"/>
        </w:rPr>
        <w:t>7</w:t>
      </w:r>
      <w:r>
        <w:rPr>
          <w:rFonts w:hint="eastAsia" w:ascii="宋体" w:hAnsi="宋体" w:cs="Times New Roman"/>
          <w:b/>
          <w:bCs/>
          <w:kern w:val="0"/>
          <w:sz w:val="32"/>
          <w:szCs w:val="22"/>
        </w:rPr>
        <w:t>号</w:t>
      </w:r>
    </w:p>
    <w:p>
      <w:pPr>
        <w:pStyle w:val="18"/>
        <w:spacing w:line="360" w:lineRule="auto"/>
        <w:ind w:firstLine="400"/>
        <w:rPr>
          <w:rFonts w:hint="eastAsia" w:ascii="宋体" w:hAnsi="宋体"/>
        </w:rPr>
      </w:pPr>
    </w:p>
    <w:p>
      <w:pPr>
        <w:pStyle w:val="18"/>
        <w:spacing w:line="360" w:lineRule="auto"/>
        <w:ind w:firstLine="400"/>
        <w:rPr>
          <w:rFonts w:ascii="宋体" w:hAnsi="宋体"/>
        </w:rPr>
      </w:pPr>
    </w:p>
    <w:p>
      <w:pPr>
        <w:pStyle w:val="19"/>
        <w:rPr>
          <w:rFonts w:ascii="宋体" w:hAnsi="宋体"/>
        </w:rPr>
      </w:pPr>
    </w:p>
    <w:p>
      <w:pPr>
        <w:pStyle w:val="19"/>
        <w:rPr>
          <w:rFonts w:ascii="宋体" w:hAnsi="宋体"/>
        </w:rPr>
      </w:pPr>
      <w:r>
        <w:rPr>
          <w:rFonts w:hint="eastAsia" w:ascii="宋体" w:hAnsi="宋体" w:eastAsia="宋体" w:cs="宋体"/>
          <w:color w:val="auto"/>
          <w:sz w:val="44"/>
          <w:highlight w:val="none"/>
          <w:lang w:eastAsia="zh-CN"/>
        </w:rPr>
        <w:drawing>
          <wp:anchor distT="0" distB="0" distL="114300" distR="114300" simplePos="0" relativeHeight="251707392" behindDoc="0" locked="0" layoutInCell="1" allowOverlap="1">
            <wp:simplePos x="0" y="0"/>
            <wp:positionH relativeFrom="column">
              <wp:posOffset>2078355</wp:posOffset>
            </wp:positionH>
            <wp:positionV relativeFrom="paragraph">
              <wp:posOffset>-157480</wp:posOffset>
            </wp:positionV>
            <wp:extent cx="1226820" cy="1301115"/>
            <wp:effectExtent l="0" t="0" r="7620" b="9525"/>
            <wp:wrapSquare wrapText="bothSides"/>
            <wp:docPr id="13" name="图片 2" descr="微信图片_2019070409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微信图片_20190704092505"/>
                    <pic:cNvPicPr>
                      <a:picLocks noChangeAspect="1"/>
                    </pic:cNvPicPr>
                  </pic:nvPicPr>
                  <pic:blipFill>
                    <a:blip r:embed="rId9"/>
                    <a:stretch>
                      <a:fillRect/>
                    </a:stretch>
                  </pic:blipFill>
                  <pic:spPr>
                    <a:xfrm>
                      <a:off x="0" y="0"/>
                      <a:ext cx="1226820" cy="1301115"/>
                    </a:xfrm>
                    <a:prstGeom prst="rect">
                      <a:avLst/>
                    </a:prstGeom>
                    <a:noFill/>
                    <a:ln>
                      <a:noFill/>
                    </a:ln>
                  </pic:spPr>
                </pic:pic>
              </a:graphicData>
            </a:graphic>
          </wp:anchor>
        </w:drawing>
      </w:r>
    </w:p>
    <w:p>
      <w:pPr>
        <w:pStyle w:val="19"/>
        <w:rPr>
          <w:rFonts w:ascii="宋体" w:hAnsi="宋体"/>
        </w:rPr>
      </w:pPr>
    </w:p>
    <w:p>
      <w:pPr>
        <w:spacing w:line="360" w:lineRule="auto"/>
        <w:ind w:firstLine="840" w:firstLineChars="400"/>
        <w:rPr>
          <w:rFonts w:hint="eastAsia" w:ascii="宋体" w:hAnsi="宋体"/>
          <w:b/>
          <w:spacing w:val="15"/>
          <w:sz w:val="32"/>
        </w:rPr>
      </w:pPr>
      <w:r>
        <w:rPr>
          <w:rFonts w:hint="eastAsia"/>
        </w:rPr>
        <w:t xml:space="preserve">       </w:t>
      </w:r>
    </w:p>
    <w:p>
      <w:pPr>
        <w:pStyle w:val="2"/>
        <w:ind w:firstLine="200"/>
        <w:rPr>
          <w:rFonts w:hint="eastAsia"/>
        </w:rPr>
      </w:pPr>
    </w:p>
    <w:p>
      <w:pPr>
        <w:pStyle w:val="2"/>
        <w:ind w:firstLine="0" w:firstLineChars="0"/>
        <w:rPr>
          <w:rFonts w:hint="eastAsia"/>
        </w:rPr>
      </w:pPr>
    </w:p>
    <w:p>
      <w:pPr>
        <w:pStyle w:val="4"/>
        <w:rPr>
          <w:rFonts w:hint="eastAsia"/>
        </w:rPr>
      </w:pPr>
    </w:p>
    <w:p>
      <w:pPr>
        <w:wordWrap w:val="0"/>
        <w:topLinePunct/>
        <w:spacing w:line="360" w:lineRule="auto"/>
        <w:ind w:firstLine="630" w:firstLineChars="196"/>
        <w:jc w:val="left"/>
        <w:rPr>
          <w:rFonts w:hint="eastAsia"/>
        </w:rPr>
      </w:pPr>
      <w:r>
        <w:rPr>
          <w:rFonts w:hint="eastAsia" w:ascii="宋体" w:hAnsi="宋体"/>
          <w:b/>
          <w:kern w:val="0"/>
          <w:sz w:val="32"/>
          <w:szCs w:val="32"/>
        </w:rPr>
        <w:t>招   标   人：长葛市交通运输局</w:t>
      </w:r>
    </w:p>
    <w:p>
      <w:pPr>
        <w:wordWrap w:val="0"/>
        <w:topLinePunct/>
        <w:spacing w:line="360" w:lineRule="auto"/>
        <w:jc w:val="left"/>
        <w:rPr>
          <w:rFonts w:hint="eastAsia" w:ascii="宋体" w:hAnsi="宋体"/>
          <w:b/>
          <w:kern w:val="0"/>
          <w:sz w:val="32"/>
          <w:szCs w:val="32"/>
        </w:rPr>
      </w:pPr>
      <w:r>
        <w:rPr>
          <w:rFonts w:hint="eastAsia" w:ascii="宋体" w:hAnsi="宋体"/>
          <w:b/>
          <w:kern w:val="0"/>
          <w:sz w:val="32"/>
          <w:szCs w:val="32"/>
        </w:rPr>
        <w:t xml:space="preserve">    </w:t>
      </w:r>
    </w:p>
    <w:p>
      <w:pPr>
        <w:wordWrap w:val="0"/>
        <w:topLinePunct/>
        <w:spacing w:line="360" w:lineRule="auto"/>
        <w:ind w:firstLine="643" w:firstLineChars="200"/>
        <w:jc w:val="left"/>
        <w:rPr>
          <w:rFonts w:hint="eastAsia" w:ascii="宋体" w:hAnsi="宋体" w:eastAsia="宋体"/>
          <w:b/>
          <w:kern w:val="0"/>
          <w:sz w:val="32"/>
          <w:szCs w:val="32"/>
          <w:lang w:eastAsia="zh-CN"/>
        </w:rPr>
      </w:pPr>
      <w:r>
        <w:rPr>
          <w:rFonts w:hint="eastAsia" w:ascii="宋体" w:hAnsi="宋体"/>
          <w:b/>
          <w:kern w:val="0"/>
          <w:sz w:val="32"/>
          <w:szCs w:val="32"/>
        </w:rPr>
        <w:t>招标代理机构：</w:t>
      </w:r>
      <w:r>
        <w:rPr>
          <w:rFonts w:hint="eastAsia" w:ascii="宋体" w:hAnsi="宋体"/>
          <w:b/>
          <w:kern w:val="0"/>
          <w:sz w:val="32"/>
          <w:szCs w:val="32"/>
          <w:lang w:eastAsia="zh-CN"/>
        </w:rPr>
        <w:t>中科经纬工程技术有限公司</w:t>
      </w:r>
    </w:p>
    <w:p>
      <w:pPr>
        <w:rPr>
          <w:rFonts w:hint="eastAsia" w:hAnsi="宋体"/>
          <w:b/>
          <w:bCs/>
          <w:sz w:val="32"/>
          <w:szCs w:val="32"/>
        </w:rPr>
      </w:pPr>
      <w:r>
        <w:rPr>
          <w:rFonts w:hint="eastAsia" w:ascii="仿宋" w:hAnsi="仿宋" w:eastAsia="仿宋" w:cs="仿宋"/>
          <w:sz w:val="28"/>
          <w:szCs w:val="28"/>
        </w:rPr>
        <w:t xml:space="preserve">              </w:t>
      </w:r>
      <w:r>
        <w:rPr>
          <w:rFonts w:hint="eastAsia" w:hAnsi="宋体"/>
          <w:b/>
          <w:bCs/>
          <w:sz w:val="32"/>
          <w:szCs w:val="32"/>
        </w:rPr>
        <w:t xml:space="preserve">      </w:t>
      </w:r>
    </w:p>
    <w:p>
      <w:pPr>
        <w:jc w:val="center"/>
        <w:rPr>
          <w:rFonts w:hint="eastAsia" w:ascii="新宋体" w:hAnsi="新宋体" w:eastAsia="新宋体" w:cs="新宋体"/>
          <w:b/>
          <w:sz w:val="44"/>
        </w:rPr>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pPr>
      <w:r>
        <w:rPr>
          <w:rFonts w:hint="eastAsia" w:hAnsi="宋体"/>
          <w:b/>
          <w:bCs/>
          <w:sz w:val="32"/>
          <w:szCs w:val="32"/>
        </w:rPr>
        <w:t>二〇二〇年二月</w:t>
      </w:r>
    </w:p>
    <w:p>
      <w:pPr>
        <w:spacing w:line="360" w:lineRule="auto"/>
        <w:jc w:val="center"/>
        <w:rPr>
          <w:rFonts w:hint="eastAsia" w:ascii="宋体" w:hAnsi="宋体" w:cs="仿宋"/>
          <w:b/>
          <w:bCs/>
          <w:spacing w:val="15"/>
          <w:sz w:val="44"/>
          <w:szCs w:val="36"/>
        </w:rPr>
      </w:pPr>
    </w:p>
    <w:p>
      <w:pPr>
        <w:spacing w:line="360" w:lineRule="auto"/>
        <w:jc w:val="center"/>
        <w:rPr>
          <w:rFonts w:ascii="宋体" w:hAnsi="宋体" w:cs="仿宋"/>
          <w:b/>
          <w:bCs/>
          <w:spacing w:val="15"/>
          <w:sz w:val="44"/>
          <w:szCs w:val="36"/>
        </w:rPr>
      </w:pPr>
      <w:r>
        <w:rPr>
          <w:rFonts w:hint="eastAsia" w:ascii="宋体" w:hAnsi="宋体" w:cs="仿宋"/>
          <w:b/>
          <w:bCs/>
          <w:spacing w:val="15"/>
          <w:sz w:val="44"/>
          <w:szCs w:val="36"/>
        </w:rPr>
        <w:t>目  录</w:t>
      </w:r>
    </w:p>
    <w:p>
      <w:pPr>
        <w:spacing w:line="360" w:lineRule="auto"/>
        <w:jc w:val="center"/>
        <w:rPr>
          <w:rFonts w:ascii="宋体" w:hAnsi="宋体"/>
          <w:spacing w:val="15"/>
          <w:sz w:val="44"/>
          <w:szCs w:val="36"/>
        </w:rPr>
      </w:pPr>
    </w:p>
    <w:p>
      <w:pPr>
        <w:pStyle w:val="18"/>
        <w:tabs>
          <w:tab w:val="right" w:leader="dot" w:pos="9061"/>
        </w:tabs>
        <w:spacing w:line="360" w:lineRule="auto"/>
        <w:ind w:firstLine="562"/>
        <w:rPr>
          <w:rFonts w:ascii="宋体" w:hAnsi="宋体" w:cs="华文仿宋"/>
          <w:b/>
          <w:bCs/>
          <w:sz w:val="32"/>
          <w:szCs w:val="28"/>
          <w:lang w:val="zh-CN"/>
        </w:rPr>
      </w:pPr>
      <w:r>
        <w:rPr>
          <w:rFonts w:ascii="宋体" w:hAnsi="宋体"/>
          <w:b/>
          <w:bCs/>
          <w:kern w:val="44"/>
          <w:sz w:val="28"/>
          <w:szCs w:val="28"/>
        </w:rPr>
        <w:fldChar w:fldCharType="begin"/>
      </w:r>
      <w:r>
        <w:rPr>
          <w:rFonts w:hint="eastAsia" w:ascii="宋体" w:hAnsi="宋体"/>
          <w:b/>
          <w:bCs/>
          <w:kern w:val="44"/>
          <w:sz w:val="28"/>
          <w:szCs w:val="28"/>
        </w:rPr>
        <w:instrText xml:space="preserve">TOC \o "1-2" \h \z \u</w:instrText>
      </w:r>
      <w:r>
        <w:rPr>
          <w:rFonts w:ascii="宋体" w:hAnsi="宋体"/>
          <w:b/>
          <w:bCs/>
          <w:kern w:val="44"/>
          <w:sz w:val="28"/>
          <w:szCs w:val="28"/>
        </w:rPr>
        <w:fldChar w:fldCharType="separate"/>
      </w:r>
      <w:r>
        <w:rPr>
          <w:rFonts w:hint="eastAsia" w:ascii="宋体" w:hAnsi="宋体"/>
          <w:sz w:val="28"/>
          <w:szCs w:val="36"/>
        </w:rPr>
        <w:fldChar w:fldCharType="begin"/>
      </w:r>
      <w:r>
        <w:rPr>
          <w:rFonts w:ascii="宋体" w:hAnsi="宋体"/>
          <w:sz w:val="28"/>
          <w:szCs w:val="36"/>
        </w:rPr>
        <w:instrText xml:space="preserve"> HYPERLINK \l "_Toc372538143" </w:instrText>
      </w:r>
      <w:r>
        <w:rPr>
          <w:rFonts w:hint="eastAsia" w:ascii="宋体" w:hAnsi="宋体"/>
          <w:sz w:val="28"/>
          <w:szCs w:val="36"/>
        </w:rPr>
        <w:fldChar w:fldCharType="separate"/>
      </w:r>
      <w:r>
        <w:rPr>
          <w:rStyle w:val="16"/>
          <w:rFonts w:hint="eastAsia" w:ascii="宋体" w:hAnsi="宋体" w:cs="华文仿宋"/>
          <w:sz w:val="28"/>
          <w:szCs w:val="28"/>
          <w:lang w:val="zh-CN"/>
        </w:rPr>
        <w:t>第一章招标公告</w:t>
      </w:r>
      <w:r>
        <w:rPr>
          <w:rFonts w:hint="eastAsia" w:ascii="宋体" w:hAnsi="宋体" w:cs="华文仿宋"/>
          <w:sz w:val="28"/>
          <w:szCs w:val="28"/>
          <w:lang w:val="zh-CN"/>
        </w:rPr>
        <w:fldChar w:fldCharType="end"/>
      </w:r>
    </w:p>
    <w:p>
      <w:pPr>
        <w:pStyle w:val="18"/>
        <w:tabs>
          <w:tab w:val="right" w:leader="dot" w:pos="9061"/>
        </w:tabs>
        <w:spacing w:line="360" w:lineRule="auto"/>
        <w:ind w:firstLine="560"/>
        <w:rPr>
          <w:rFonts w:ascii="宋体" w:hAnsi="宋体" w:cs="华文仿宋"/>
          <w:b/>
          <w:bCs/>
          <w:sz w:val="28"/>
          <w:szCs w:val="28"/>
          <w:lang w:val="zh-CN"/>
        </w:rPr>
      </w:pPr>
      <w:r>
        <w:rPr>
          <w:rFonts w:hint="eastAsia" w:ascii="宋体" w:hAnsi="宋体"/>
          <w:sz w:val="28"/>
          <w:szCs w:val="36"/>
        </w:rPr>
        <w:fldChar w:fldCharType="begin"/>
      </w:r>
      <w:r>
        <w:rPr>
          <w:rFonts w:ascii="宋体" w:hAnsi="宋体"/>
          <w:sz w:val="28"/>
          <w:szCs w:val="36"/>
        </w:rPr>
        <w:instrText xml:space="preserve"> HYPERLINK \l "_Toc372538144" </w:instrText>
      </w:r>
      <w:r>
        <w:rPr>
          <w:rFonts w:hint="eastAsia" w:ascii="宋体" w:hAnsi="宋体"/>
          <w:sz w:val="28"/>
          <w:szCs w:val="36"/>
        </w:rPr>
        <w:fldChar w:fldCharType="separate"/>
      </w:r>
      <w:r>
        <w:rPr>
          <w:rStyle w:val="16"/>
          <w:rFonts w:hint="eastAsia" w:ascii="宋体" w:hAnsi="宋体" w:cs="华文仿宋"/>
          <w:sz w:val="28"/>
          <w:szCs w:val="28"/>
          <w:lang w:val="zh-CN"/>
        </w:rPr>
        <w:t>第二章投标人须知</w:t>
      </w:r>
      <w:r>
        <w:rPr>
          <w:rFonts w:hint="eastAsia" w:ascii="宋体" w:hAnsi="宋体" w:cs="华文仿宋"/>
          <w:sz w:val="28"/>
          <w:szCs w:val="28"/>
          <w:lang w:val="zh-CN"/>
        </w:rPr>
        <w:fldChar w:fldCharType="end"/>
      </w:r>
    </w:p>
    <w:p>
      <w:pPr>
        <w:pStyle w:val="18"/>
        <w:tabs>
          <w:tab w:val="right" w:leader="dot" w:pos="9061"/>
        </w:tabs>
        <w:spacing w:line="360" w:lineRule="auto"/>
        <w:ind w:firstLine="560"/>
        <w:rPr>
          <w:rFonts w:ascii="宋体" w:hAnsi="宋体" w:cs="华文仿宋"/>
          <w:b/>
          <w:bCs/>
          <w:sz w:val="28"/>
          <w:szCs w:val="28"/>
          <w:lang w:val="zh-CN"/>
        </w:rPr>
      </w:pPr>
      <w:r>
        <w:rPr>
          <w:rFonts w:hint="eastAsia" w:ascii="宋体" w:hAnsi="宋体"/>
          <w:sz w:val="28"/>
          <w:szCs w:val="36"/>
        </w:rPr>
        <w:fldChar w:fldCharType="begin"/>
      </w:r>
      <w:r>
        <w:rPr>
          <w:rFonts w:ascii="宋体" w:hAnsi="宋体"/>
          <w:sz w:val="28"/>
          <w:szCs w:val="36"/>
        </w:rPr>
        <w:instrText xml:space="preserve"> HYPERLINK \l "_Toc372538148" </w:instrText>
      </w:r>
      <w:r>
        <w:rPr>
          <w:rFonts w:hint="eastAsia" w:ascii="宋体" w:hAnsi="宋体"/>
          <w:sz w:val="28"/>
          <w:szCs w:val="36"/>
        </w:rPr>
        <w:fldChar w:fldCharType="separate"/>
      </w:r>
      <w:r>
        <w:rPr>
          <w:rStyle w:val="16"/>
          <w:rFonts w:hint="eastAsia" w:ascii="宋体" w:hAnsi="宋体" w:cs="华文仿宋"/>
          <w:sz w:val="28"/>
          <w:szCs w:val="28"/>
          <w:lang w:val="zh-CN"/>
        </w:rPr>
        <w:t>第三章评标办法</w:t>
      </w:r>
      <w:r>
        <w:rPr>
          <w:rFonts w:hint="eastAsia" w:ascii="宋体" w:hAnsi="宋体" w:cs="华文仿宋"/>
          <w:sz w:val="28"/>
          <w:szCs w:val="28"/>
          <w:lang w:val="zh-CN"/>
        </w:rPr>
        <w:fldChar w:fldCharType="end"/>
      </w:r>
    </w:p>
    <w:p>
      <w:pPr>
        <w:pStyle w:val="18"/>
        <w:tabs>
          <w:tab w:val="right" w:leader="dot" w:pos="9061"/>
        </w:tabs>
        <w:spacing w:line="360" w:lineRule="auto"/>
        <w:ind w:firstLine="560"/>
        <w:rPr>
          <w:rFonts w:ascii="宋体" w:hAnsi="宋体" w:cs="华文仿宋"/>
          <w:b/>
          <w:bCs/>
          <w:sz w:val="28"/>
          <w:szCs w:val="28"/>
          <w:lang w:val="zh-CN"/>
        </w:rPr>
      </w:pPr>
      <w:r>
        <w:rPr>
          <w:rFonts w:hint="eastAsia" w:ascii="宋体" w:hAnsi="宋体"/>
          <w:sz w:val="28"/>
          <w:szCs w:val="36"/>
        </w:rPr>
        <w:fldChar w:fldCharType="begin"/>
      </w:r>
      <w:r>
        <w:rPr>
          <w:rFonts w:ascii="宋体" w:hAnsi="宋体"/>
          <w:sz w:val="28"/>
          <w:szCs w:val="36"/>
        </w:rPr>
        <w:instrText xml:space="preserve"> HYPERLINK \l "_Toc372538149" </w:instrText>
      </w:r>
      <w:r>
        <w:rPr>
          <w:rFonts w:hint="eastAsia" w:ascii="宋体" w:hAnsi="宋体"/>
          <w:sz w:val="28"/>
          <w:szCs w:val="36"/>
        </w:rPr>
        <w:fldChar w:fldCharType="separate"/>
      </w:r>
      <w:r>
        <w:rPr>
          <w:rStyle w:val="16"/>
          <w:rFonts w:hint="eastAsia" w:ascii="宋体" w:hAnsi="宋体" w:cs="华文仿宋"/>
          <w:sz w:val="28"/>
          <w:szCs w:val="28"/>
          <w:lang w:val="zh-CN"/>
        </w:rPr>
        <w:t>第四章合同条款及格式</w:t>
      </w:r>
      <w:r>
        <w:rPr>
          <w:rFonts w:hint="eastAsia" w:ascii="宋体" w:hAnsi="宋体" w:cs="华文仿宋"/>
          <w:sz w:val="28"/>
          <w:szCs w:val="28"/>
          <w:lang w:val="zh-CN"/>
        </w:rPr>
        <w:fldChar w:fldCharType="end"/>
      </w:r>
    </w:p>
    <w:p>
      <w:pPr>
        <w:pStyle w:val="18"/>
        <w:tabs>
          <w:tab w:val="right" w:leader="dot" w:pos="9061"/>
        </w:tabs>
        <w:spacing w:line="360" w:lineRule="auto"/>
        <w:ind w:firstLine="560"/>
        <w:rPr>
          <w:rFonts w:ascii="宋体" w:hAnsi="宋体" w:cs="华文仿宋"/>
          <w:b/>
          <w:bCs/>
          <w:sz w:val="28"/>
          <w:szCs w:val="28"/>
          <w:lang w:val="zh-CN"/>
        </w:rPr>
      </w:pPr>
      <w:r>
        <w:rPr>
          <w:rFonts w:hint="eastAsia" w:ascii="宋体" w:hAnsi="宋体"/>
          <w:sz w:val="28"/>
          <w:szCs w:val="36"/>
        </w:rPr>
        <w:fldChar w:fldCharType="begin"/>
      </w:r>
      <w:r>
        <w:rPr>
          <w:rFonts w:ascii="宋体" w:hAnsi="宋体"/>
          <w:sz w:val="28"/>
          <w:szCs w:val="36"/>
        </w:rPr>
        <w:instrText xml:space="preserve"> HYPERLINK \l "_Toc372538155" </w:instrText>
      </w:r>
      <w:r>
        <w:rPr>
          <w:rFonts w:hint="eastAsia" w:ascii="宋体" w:hAnsi="宋体"/>
          <w:sz w:val="28"/>
          <w:szCs w:val="36"/>
        </w:rPr>
        <w:fldChar w:fldCharType="separate"/>
      </w:r>
      <w:r>
        <w:rPr>
          <w:rStyle w:val="16"/>
          <w:rFonts w:hint="eastAsia" w:ascii="宋体" w:hAnsi="宋体" w:cs="华文仿宋"/>
          <w:sz w:val="28"/>
          <w:szCs w:val="28"/>
          <w:lang w:val="zh-CN"/>
        </w:rPr>
        <w:t>第五章工程清单编制要求</w:t>
      </w:r>
      <w:r>
        <w:rPr>
          <w:rFonts w:hint="eastAsia" w:ascii="宋体" w:hAnsi="宋体" w:cs="华文仿宋"/>
          <w:sz w:val="28"/>
          <w:szCs w:val="28"/>
          <w:lang w:val="zh-CN"/>
        </w:rPr>
        <w:fldChar w:fldCharType="end"/>
      </w:r>
    </w:p>
    <w:p>
      <w:pPr>
        <w:pStyle w:val="18"/>
        <w:tabs>
          <w:tab w:val="right" w:leader="dot" w:pos="9061"/>
        </w:tabs>
        <w:spacing w:line="360" w:lineRule="auto"/>
        <w:ind w:firstLine="560"/>
        <w:rPr>
          <w:rFonts w:ascii="宋体" w:hAnsi="宋体" w:cs="华文仿宋"/>
          <w:b/>
          <w:bCs/>
          <w:sz w:val="28"/>
          <w:szCs w:val="28"/>
          <w:lang w:val="zh-CN"/>
        </w:rPr>
      </w:pPr>
      <w:r>
        <w:rPr>
          <w:rFonts w:hint="eastAsia" w:ascii="宋体" w:hAnsi="宋体"/>
          <w:sz w:val="28"/>
          <w:szCs w:val="36"/>
        </w:rPr>
        <w:fldChar w:fldCharType="begin"/>
      </w:r>
      <w:r>
        <w:rPr>
          <w:rFonts w:ascii="宋体" w:hAnsi="宋体"/>
          <w:sz w:val="28"/>
          <w:szCs w:val="36"/>
        </w:rPr>
        <w:instrText xml:space="preserve"> HYPERLINK \l "_Toc372538156" </w:instrText>
      </w:r>
      <w:r>
        <w:rPr>
          <w:rFonts w:hint="eastAsia" w:ascii="宋体" w:hAnsi="宋体"/>
          <w:sz w:val="28"/>
          <w:szCs w:val="36"/>
        </w:rPr>
        <w:fldChar w:fldCharType="separate"/>
      </w:r>
      <w:r>
        <w:rPr>
          <w:rStyle w:val="16"/>
          <w:rFonts w:hint="eastAsia" w:ascii="宋体" w:hAnsi="宋体" w:cs="华文仿宋"/>
          <w:sz w:val="28"/>
          <w:szCs w:val="28"/>
          <w:lang w:val="zh-CN"/>
        </w:rPr>
        <w:t>第六章图纸</w:t>
      </w:r>
      <w:r>
        <w:rPr>
          <w:rFonts w:hint="eastAsia" w:ascii="宋体" w:hAnsi="宋体" w:cs="华文仿宋"/>
          <w:sz w:val="28"/>
          <w:szCs w:val="28"/>
          <w:lang w:val="zh-CN"/>
        </w:rPr>
        <w:fldChar w:fldCharType="end"/>
      </w:r>
    </w:p>
    <w:p>
      <w:pPr>
        <w:pStyle w:val="18"/>
        <w:tabs>
          <w:tab w:val="right" w:leader="dot" w:pos="9061"/>
        </w:tabs>
        <w:spacing w:line="360" w:lineRule="auto"/>
        <w:ind w:firstLine="560"/>
        <w:rPr>
          <w:rFonts w:ascii="宋体" w:hAnsi="宋体" w:cs="华文仿宋"/>
          <w:b/>
          <w:bCs/>
          <w:sz w:val="28"/>
          <w:szCs w:val="28"/>
          <w:lang w:val="zh-CN"/>
        </w:rPr>
      </w:pPr>
      <w:r>
        <w:rPr>
          <w:rFonts w:hint="eastAsia" w:ascii="宋体" w:hAnsi="宋体"/>
          <w:sz w:val="28"/>
          <w:szCs w:val="36"/>
        </w:rPr>
        <w:fldChar w:fldCharType="begin"/>
      </w:r>
      <w:r>
        <w:rPr>
          <w:rFonts w:ascii="宋体" w:hAnsi="宋体"/>
          <w:sz w:val="28"/>
          <w:szCs w:val="36"/>
        </w:rPr>
        <w:instrText xml:space="preserve"> HYPERLINK \l "_Toc372538157" </w:instrText>
      </w:r>
      <w:r>
        <w:rPr>
          <w:rFonts w:hint="eastAsia" w:ascii="宋体" w:hAnsi="宋体"/>
          <w:sz w:val="28"/>
          <w:szCs w:val="36"/>
        </w:rPr>
        <w:fldChar w:fldCharType="separate"/>
      </w:r>
      <w:r>
        <w:rPr>
          <w:rStyle w:val="16"/>
          <w:rFonts w:hint="eastAsia" w:ascii="宋体" w:hAnsi="宋体" w:cs="华文仿宋"/>
          <w:sz w:val="28"/>
          <w:szCs w:val="28"/>
          <w:lang w:val="zh-CN"/>
        </w:rPr>
        <w:t>第七章技术标准和要求</w:t>
      </w:r>
      <w:r>
        <w:rPr>
          <w:rFonts w:hint="eastAsia" w:ascii="宋体" w:hAnsi="宋体" w:cs="华文仿宋"/>
          <w:sz w:val="28"/>
          <w:szCs w:val="28"/>
          <w:lang w:val="zh-CN"/>
        </w:rPr>
        <w:fldChar w:fldCharType="end"/>
      </w:r>
    </w:p>
    <w:p>
      <w:pPr>
        <w:pStyle w:val="18"/>
        <w:tabs>
          <w:tab w:val="right" w:leader="dot" w:pos="9061"/>
        </w:tabs>
        <w:spacing w:line="360" w:lineRule="auto"/>
        <w:ind w:firstLine="560"/>
        <w:rPr>
          <w:rFonts w:ascii="宋体" w:hAnsi="宋体"/>
          <w:b/>
          <w:bCs/>
          <w:sz w:val="28"/>
          <w:szCs w:val="28"/>
          <w:lang w:val="zh-CN"/>
        </w:rPr>
      </w:pPr>
      <w:r>
        <w:rPr>
          <w:rFonts w:hint="eastAsia" w:ascii="宋体" w:hAnsi="宋体"/>
          <w:sz w:val="28"/>
          <w:szCs w:val="36"/>
        </w:rPr>
        <w:fldChar w:fldCharType="begin"/>
      </w:r>
      <w:r>
        <w:rPr>
          <w:rFonts w:ascii="宋体" w:hAnsi="宋体"/>
          <w:sz w:val="28"/>
          <w:szCs w:val="36"/>
        </w:rPr>
        <w:instrText xml:space="preserve"> HYPERLINK \l "_Toc372538158" </w:instrText>
      </w:r>
      <w:r>
        <w:rPr>
          <w:rFonts w:hint="eastAsia" w:ascii="宋体" w:hAnsi="宋体"/>
          <w:sz w:val="28"/>
          <w:szCs w:val="36"/>
        </w:rPr>
        <w:fldChar w:fldCharType="separate"/>
      </w:r>
      <w:r>
        <w:rPr>
          <w:rStyle w:val="16"/>
          <w:rFonts w:hint="eastAsia" w:ascii="宋体" w:hAnsi="宋体" w:cs="华文仿宋"/>
          <w:sz w:val="28"/>
          <w:szCs w:val="28"/>
          <w:lang w:val="zh-CN"/>
        </w:rPr>
        <w:t>第八章投标文件格式</w:t>
      </w:r>
      <w:r>
        <w:rPr>
          <w:rFonts w:hint="eastAsia" w:ascii="宋体" w:hAnsi="宋体" w:cs="华文仿宋"/>
          <w:sz w:val="28"/>
          <w:szCs w:val="28"/>
          <w:lang w:val="zh-CN"/>
        </w:rPr>
        <w:fldChar w:fldCharType="end"/>
      </w:r>
    </w:p>
    <w:p>
      <w:pPr>
        <w:spacing w:line="360" w:lineRule="auto"/>
        <w:rPr>
          <w:rFonts w:ascii="宋体" w:hAnsi="宋体"/>
          <w:kern w:val="44"/>
          <w:sz w:val="28"/>
          <w:szCs w:val="36"/>
        </w:rPr>
      </w:pPr>
      <w:r>
        <w:rPr>
          <w:rFonts w:ascii="宋体" w:hAnsi="宋体"/>
          <w:kern w:val="44"/>
          <w:sz w:val="28"/>
          <w:szCs w:val="36"/>
        </w:rPr>
        <w:fldChar w:fldCharType="end"/>
      </w:r>
      <w:bookmarkStart w:id="0" w:name="_Toc372538143"/>
    </w:p>
    <w:p>
      <w:pPr>
        <w:spacing w:line="360" w:lineRule="auto"/>
        <w:rPr>
          <w:rFonts w:ascii="宋体" w:hAnsi="宋体"/>
          <w:kern w:val="44"/>
          <w:sz w:val="28"/>
          <w:szCs w:val="36"/>
        </w:rPr>
      </w:pPr>
    </w:p>
    <w:p>
      <w:pPr>
        <w:spacing w:line="360" w:lineRule="auto"/>
        <w:rPr>
          <w:rFonts w:ascii="宋体" w:hAnsi="宋体"/>
          <w:kern w:val="44"/>
        </w:rPr>
      </w:pPr>
    </w:p>
    <w:p>
      <w:pPr>
        <w:spacing w:line="360" w:lineRule="auto"/>
        <w:rPr>
          <w:rFonts w:ascii="宋体" w:hAnsi="宋体"/>
          <w:kern w:val="44"/>
        </w:rPr>
      </w:pPr>
    </w:p>
    <w:p>
      <w:pPr>
        <w:spacing w:line="360" w:lineRule="auto"/>
        <w:rPr>
          <w:rFonts w:ascii="宋体" w:hAnsi="宋体"/>
          <w:kern w:val="44"/>
        </w:rPr>
      </w:pPr>
    </w:p>
    <w:p>
      <w:pPr>
        <w:spacing w:line="360" w:lineRule="auto"/>
        <w:rPr>
          <w:rFonts w:ascii="宋体" w:hAnsi="宋体"/>
          <w:kern w:val="44"/>
        </w:rPr>
      </w:pPr>
    </w:p>
    <w:p>
      <w:pPr>
        <w:spacing w:line="360" w:lineRule="auto"/>
        <w:rPr>
          <w:rFonts w:ascii="宋体" w:hAnsi="宋体"/>
          <w:kern w:val="44"/>
        </w:rPr>
      </w:pPr>
    </w:p>
    <w:p>
      <w:pPr>
        <w:spacing w:line="360" w:lineRule="auto"/>
        <w:rPr>
          <w:rFonts w:ascii="宋体" w:hAnsi="宋体"/>
          <w:kern w:val="44"/>
        </w:rPr>
      </w:pPr>
    </w:p>
    <w:p>
      <w:pPr>
        <w:spacing w:line="360" w:lineRule="auto"/>
        <w:rPr>
          <w:rFonts w:ascii="宋体" w:hAnsi="宋体"/>
          <w:kern w:val="44"/>
        </w:rPr>
      </w:pPr>
    </w:p>
    <w:p>
      <w:pPr>
        <w:spacing w:line="360" w:lineRule="auto"/>
        <w:rPr>
          <w:rFonts w:ascii="宋体" w:hAnsi="宋体"/>
          <w:kern w:val="44"/>
        </w:rPr>
      </w:pPr>
    </w:p>
    <w:p>
      <w:pPr>
        <w:spacing w:line="360" w:lineRule="auto"/>
        <w:rPr>
          <w:rFonts w:ascii="宋体" w:hAnsi="宋体"/>
          <w:kern w:val="44"/>
        </w:rPr>
      </w:pPr>
    </w:p>
    <w:p>
      <w:pPr>
        <w:spacing w:line="360" w:lineRule="auto"/>
        <w:rPr>
          <w:rFonts w:hint="eastAsia" w:ascii="宋体" w:hAnsi="宋体"/>
          <w:kern w:val="44"/>
        </w:rPr>
      </w:pPr>
    </w:p>
    <w:p>
      <w:pPr>
        <w:pStyle w:val="18"/>
        <w:spacing w:line="360" w:lineRule="auto"/>
        <w:ind w:firstLine="400"/>
        <w:rPr>
          <w:rFonts w:hint="eastAsia" w:ascii="宋体" w:hAnsi="宋体"/>
        </w:rPr>
      </w:pPr>
    </w:p>
    <w:bookmarkEnd w:id="0"/>
    <w:p>
      <w:pPr>
        <w:adjustRightInd w:val="0"/>
        <w:snapToGrid w:val="0"/>
        <w:spacing w:line="450" w:lineRule="exact"/>
        <w:rPr>
          <w:rFonts w:ascii="宋体" w:hAnsi="宋体" w:cs="仿宋"/>
          <w:sz w:val="24"/>
        </w:rPr>
      </w:pPr>
      <w:bookmarkStart w:id="1" w:name="_Toc372538144"/>
      <w:r>
        <w:rPr>
          <w:rFonts w:hint="eastAsia" w:ascii="宋体" w:hAnsi="宋体" w:cs="仿宋"/>
          <w:sz w:val="24"/>
        </w:rPr>
        <w:t xml:space="preserve"> </w:t>
      </w:r>
    </w:p>
    <w:p>
      <w:pPr>
        <w:spacing w:line="360" w:lineRule="auto"/>
        <w:jc w:val="center"/>
        <w:outlineLvl w:val="0"/>
        <w:rPr>
          <w:rFonts w:hint="eastAsia" w:ascii="宋体" w:hAnsi="宋体" w:cs="宋体"/>
          <w:b/>
          <w:bCs/>
          <w:sz w:val="30"/>
          <w:szCs w:val="30"/>
        </w:rPr>
      </w:pPr>
      <w:r>
        <w:rPr>
          <w:rFonts w:ascii="宋体" w:hAnsi="宋体"/>
          <w:sz w:val="24"/>
        </w:rPr>
        <w:br w:type="page"/>
      </w:r>
      <w:r>
        <w:rPr>
          <w:rFonts w:ascii="宋体" w:hAnsi="宋体" w:cs="宋体"/>
          <w:b/>
          <w:bCs/>
          <w:sz w:val="30"/>
          <w:szCs w:val="30"/>
        </w:rPr>
        <w:t>第一章</w:t>
      </w:r>
      <w:r>
        <w:rPr>
          <w:rFonts w:hint="eastAsia" w:ascii="宋体" w:hAnsi="宋体" w:cs="宋体"/>
          <w:b/>
          <w:bCs/>
          <w:sz w:val="30"/>
          <w:szCs w:val="30"/>
        </w:rPr>
        <w:t xml:space="preserve">  </w:t>
      </w:r>
      <w:r>
        <w:rPr>
          <w:rFonts w:ascii="宋体" w:hAnsi="宋体" w:cs="宋体"/>
          <w:b/>
          <w:bCs/>
          <w:sz w:val="30"/>
          <w:szCs w:val="30"/>
        </w:rPr>
        <w:t>招标公告</w:t>
      </w:r>
    </w:p>
    <w:p>
      <w:pPr>
        <w:spacing w:line="360" w:lineRule="auto"/>
        <w:jc w:val="center"/>
        <w:outlineLvl w:val="0"/>
        <w:rPr>
          <w:rFonts w:hint="eastAsia" w:ascii="宋体" w:hAnsi="宋体" w:cs="宋体"/>
          <w:b/>
          <w:bCs/>
          <w:sz w:val="30"/>
          <w:szCs w:val="30"/>
        </w:rPr>
      </w:pPr>
      <w:r>
        <w:rPr>
          <w:rFonts w:hint="eastAsia" w:ascii="宋体" w:hAnsi="宋体" w:cs="宋体"/>
          <w:b/>
          <w:bCs/>
          <w:sz w:val="30"/>
          <w:szCs w:val="30"/>
          <w:lang w:eastAsia="zh-CN"/>
        </w:rPr>
        <w:t>长葛市</w:t>
      </w:r>
      <w:r>
        <w:rPr>
          <w:rFonts w:hint="eastAsia" w:ascii="宋体" w:hAnsi="宋体" w:cs="宋体"/>
          <w:b/>
          <w:bCs/>
          <w:sz w:val="30"/>
          <w:szCs w:val="30"/>
          <w:lang w:val="en-US" w:eastAsia="zh-CN"/>
        </w:rPr>
        <w:t>2020年第一批财政专项扶贫资金基础设施项目一标段（南席镇游罕村道路，古桥镇寺后李村道路，古桥镇菜王村道路）</w:t>
      </w:r>
      <w:r>
        <w:rPr>
          <w:rFonts w:hint="eastAsia" w:ascii="宋体" w:hAnsi="宋体" w:cs="宋体"/>
          <w:b/>
          <w:bCs/>
          <w:sz w:val="30"/>
          <w:szCs w:val="30"/>
        </w:rPr>
        <w:t>招标公告</w:t>
      </w:r>
    </w:p>
    <w:p>
      <w:pPr>
        <w:spacing w:line="360" w:lineRule="auto"/>
        <w:jc w:val="left"/>
        <w:outlineLvl w:val="0"/>
        <w:rPr>
          <w:rFonts w:ascii="宋体" w:hAnsi="宋体" w:cs="宋体"/>
          <w:sz w:val="24"/>
          <w:szCs w:val="28"/>
        </w:rPr>
      </w:pPr>
      <w:r>
        <w:rPr>
          <w:rFonts w:hint="eastAsia" w:ascii="宋体" w:hAnsi="宋体" w:cs="宋体"/>
          <w:b/>
          <w:bCs/>
          <w:sz w:val="24"/>
          <w:szCs w:val="28"/>
        </w:rPr>
        <w:t>一、招标条件</w:t>
      </w:r>
    </w:p>
    <w:p>
      <w:pPr>
        <w:spacing w:line="360" w:lineRule="auto"/>
        <w:ind w:firstLine="480" w:firstLineChars="200"/>
        <w:rPr>
          <w:rFonts w:ascii="宋体" w:hAnsi="宋体" w:cs="宋体"/>
          <w:sz w:val="24"/>
          <w:szCs w:val="28"/>
        </w:rPr>
      </w:pPr>
      <w:r>
        <w:rPr>
          <w:rFonts w:hint="eastAsia" w:hAnsi="宋体"/>
          <w:sz w:val="24"/>
        </w:rPr>
        <w:t>本招标项目</w:t>
      </w:r>
      <w:r>
        <w:rPr>
          <w:rFonts w:hint="eastAsia" w:hAnsi="宋体"/>
          <w:sz w:val="24"/>
          <w:u w:val="single"/>
          <w:lang w:eastAsia="zh-CN"/>
        </w:rPr>
        <w:t>长葛市</w:t>
      </w:r>
      <w:r>
        <w:rPr>
          <w:rFonts w:hint="eastAsia" w:hAnsi="宋体"/>
          <w:sz w:val="24"/>
          <w:u w:val="single"/>
          <w:lang w:val="en-US" w:eastAsia="zh-CN"/>
        </w:rPr>
        <w:t>2020年第一批财政专项扶贫资金基础设施项目一标段（南席镇游罕村道路，古桥镇寺后李村道路，古桥镇菜王村道路）</w:t>
      </w:r>
      <w:r>
        <w:rPr>
          <w:rFonts w:hint="eastAsia" w:ascii="宋体" w:hAnsi="宋体" w:cs="宋体"/>
          <w:sz w:val="24"/>
          <w:szCs w:val="28"/>
        </w:rPr>
        <w:t>，已由</w:t>
      </w:r>
      <w:r>
        <w:rPr>
          <w:rFonts w:hint="eastAsia" w:hAnsi="宋体"/>
          <w:sz w:val="24"/>
          <w:u w:val="single"/>
        </w:rPr>
        <w:t>长葛市财政局</w:t>
      </w:r>
      <w:r>
        <w:rPr>
          <w:rFonts w:hint="eastAsia" w:ascii="宋体" w:hAnsi="宋体" w:cs="宋体"/>
          <w:sz w:val="24"/>
          <w:szCs w:val="28"/>
        </w:rPr>
        <w:t>批准建设，</w:t>
      </w:r>
      <w:bookmarkStart w:id="2" w:name="_Toc28000"/>
      <w:r>
        <w:rPr>
          <w:rFonts w:hint="eastAsia" w:ascii="宋体" w:hAnsi="宋体" w:cs="宋体"/>
          <w:sz w:val="24"/>
          <w:szCs w:val="28"/>
        </w:rPr>
        <w:t>建设资金来源为</w:t>
      </w:r>
      <w:r>
        <w:rPr>
          <w:rFonts w:hint="eastAsia" w:ascii="宋体" w:hAnsi="宋体" w:cs="宋体"/>
          <w:color w:val="000000"/>
          <w:sz w:val="24"/>
          <w:szCs w:val="28"/>
          <w:u w:val="single"/>
        </w:rPr>
        <w:t>财政资金</w:t>
      </w:r>
      <w:bookmarkEnd w:id="2"/>
      <w:r>
        <w:rPr>
          <w:rFonts w:hint="eastAsia" w:ascii="宋体" w:hAnsi="宋体" w:cs="宋体"/>
          <w:sz w:val="24"/>
          <w:szCs w:val="28"/>
        </w:rPr>
        <w:t>，</w:t>
      </w:r>
      <w:r>
        <w:rPr>
          <w:rFonts w:hint="eastAsia" w:hAnsi="宋体"/>
          <w:sz w:val="24"/>
        </w:rPr>
        <w:t>出资比例</w:t>
      </w:r>
      <w:r>
        <w:rPr>
          <w:rFonts w:hint="eastAsia" w:hAnsi="宋体"/>
          <w:color w:val="000000"/>
          <w:sz w:val="24"/>
        </w:rPr>
        <w:t>财政资金100%</w:t>
      </w:r>
      <w:r>
        <w:rPr>
          <w:rFonts w:hint="eastAsia" w:ascii="宋体" w:hAnsi="宋体" w:cs="宋体"/>
          <w:sz w:val="24"/>
          <w:szCs w:val="28"/>
        </w:rPr>
        <w:t>。招标人为</w:t>
      </w:r>
      <w:r>
        <w:rPr>
          <w:rFonts w:hint="eastAsia" w:ascii="宋体" w:hAnsi="宋体" w:cs="宋体"/>
          <w:sz w:val="24"/>
          <w:szCs w:val="28"/>
          <w:u w:val="single"/>
        </w:rPr>
        <w:t>长葛市交通运输局</w:t>
      </w:r>
      <w:r>
        <w:rPr>
          <w:rFonts w:hint="eastAsia" w:ascii="宋体" w:hAnsi="宋体" w:cs="宋体"/>
          <w:sz w:val="24"/>
          <w:szCs w:val="28"/>
        </w:rPr>
        <w:t>，招标代理机构为</w:t>
      </w:r>
      <w:r>
        <w:rPr>
          <w:rFonts w:hint="eastAsia" w:ascii="宋体" w:hAnsi="宋体" w:eastAsia="宋体" w:cs="宋体"/>
          <w:sz w:val="24"/>
          <w:szCs w:val="28"/>
          <w:u w:val="single"/>
          <w:lang w:val="en-US" w:eastAsia="zh-CN"/>
        </w:rPr>
        <w:t>中科经纬工程技术有限公司</w:t>
      </w:r>
      <w:r>
        <w:rPr>
          <w:rFonts w:hint="eastAsia" w:ascii="宋体" w:hAnsi="宋体" w:cs="宋体"/>
          <w:sz w:val="24"/>
          <w:szCs w:val="28"/>
        </w:rPr>
        <w:t>。项目已具备招标条件，现对该项目的施工进行国内公开招标。</w:t>
      </w:r>
    </w:p>
    <w:p>
      <w:pPr>
        <w:spacing w:line="360" w:lineRule="auto"/>
        <w:rPr>
          <w:rFonts w:ascii="宋体" w:hAnsi="宋体" w:cs="宋体"/>
          <w:sz w:val="24"/>
          <w:szCs w:val="28"/>
        </w:rPr>
      </w:pPr>
      <w:r>
        <w:rPr>
          <w:rFonts w:hint="eastAsia" w:ascii="宋体" w:hAnsi="宋体" w:cs="宋体"/>
          <w:b/>
          <w:bCs/>
          <w:sz w:val="24"/>
          <w:szCs w:val="28"/>
        </w:rPr>
        <w:t>二、项目概况及招标范围</w:t>
      </w:r>
    </w:p>
    <w:p>
      <w:pPr>
        <w:spacing w:line="360" w:lineRule="auto"/>
        <w:ind w:firstLine="480" w:firstLineChars="200"/>
        <w:rPr>
          <w:rFonts w:ascii="宋体" w:hAnsi="宋体" w:cs="宋体"/>
          <w:sz w:val="24"/>
          <w:szCs w:val="28"/>
        </w:rPr>
      </w:pPr>
      <w:bookmarkStart w:id="3" w:name="_Toc397507921"/>
      <w:bookmarkStart w:id="4" w:name="_Toc397507509"/>
      <w:bookmarkStart w:id="5" w:name="_Toc397605790"/>
      <w:r>
        <w:rPr>
          <w:rFonts w:hint="eastAsia" w:ascii="宋体" w:hAnsi="宋体" w:cs="宋体"/>
          <w:sz w:val="24"/>
          <w:szCs w:val="28"/>
        </w:rPr>
        <w:t>2.1招标编号：长交建[2020]GZ00</w:t>
      </w:r>
      <w:r>
        <w:rPr>
          <w:rFonts w:hint="eastAsia" w:ascii="宋体" w:hAnsi="宋体" w:cs="宋体"/>
          <w:sz w:val="24"/>
          <w:szCs w:val="28"/>
          <w:lang w:val="en-US" w:eastAsia="zh-CN"/>
        </w:rPr>
        <w:t>7</w:t>
      </w:r>
      <w:r>
        <w:rPr>
          <w:rFonts w:hint="eastAsia" w:ascii="宋体" w:hAnsi="宋体" w:cs="宋体"/>
          <w:sz w:val="24"/>
          <w:szCs w:val="28"/>
        </w:rPr>
        <w:t>号；</w:t>
      </w:r>
    </w:p>
    <w:p>
      <w:pPr>
        <w:spacing w:line="360" w:lineRule="auto"/>
        <w:ind w:firstLine="480" w:firstLineChars="200"/>
        <w:rPr>
          <w:rFonts w:ascii="宋体" w:hAnsi="宋体" w:cs="宋体"/>
          <w:bCs/>
          <w:sz w:val="24"/>
          <w:szCs w:val="28"/>
        </w:rPr>
      </w:pPr>
      <w:bookmarkStart w:id="6" w:name="_Toc397507913"/>
      <w:bookmarkStart w:id="7" w:name="_Toc397507501"/>
      <w:bookmarkStart w:id="8" w:name="_Toc397605782"/>
      <w:r>
        <w:rPr>
          <w:rFonts w:hint="eastAsia" w:ascii="宋体" w:hAnsi="宋体" w:cs="宋体"/>
          <w:sz w:val="24"/>
          <w:szCs w:val="28"/>
        </w:rPr>
        <w:t>2.2项目名称：</w:t>
      </w:r>
      <w:bookmarkEnd w:id="6"/>
      <w:bookmarkEnd w:id="7"/>
      <w:bookmarkEnd w:id="8"/>
      <w:bookmarkStart w:id="9" w:name="_Toc397507914"/>
      <w:bookmarkStart w:id="10" w:name="_Toc397507502"/>
      <w:bookmarkStart w:id="11" w:name="_Toc397605783"/>
      <w:r>
        <w:rPr>
          <w:rFonts w:hint="eastAsia" w:ascii="宋体" w:hAnsi="宋体" w:eastAsia="宋体" w:cs="宋体"/>
          <w:sz w:val="24"/>
          <w:szCs w:val="28"/>
        </w:rPr>
        <w:t>长葛市2020年第一批财政专项扶贫资金基础设施项目</w:t>
      </w:r>
      <w:r>
        <w:rPr>
          <w:rFonts w:hint="eastAsia" w:ascii="宋体" w:hAnsi="宋体" w:eastAsia="宋体" w:cs="宋体"/>
          <w:sz w:val="24"/>
          <w:szCs w:val="28"/>
          <w:lang w:val="en-US" w:eastAsia="zh-CN"/>
        </w:rPr>
        <w:t>一标段（南席镇游罕村道路，古桥镇寺后李村道路，古桥镇菜王村道路）</w:t>
      </w:r>
      <w:r>
        <w:rPr>
          <w:rFonts w:hint="eastAsia" w:ascii="宋体" w:hAnsi="宋体" w:cs="宋体"/>
          <w:bCs/>
          <w:sz w:val="24"/>
          <w:szCs w:val="28"/>
        </w:rPr>
        <w:t>；</w:t>
      </w:r>
    </w:p>
    <w:p>
      <w:pPr>
        <w:spacing w:line="360" w:lineRule="auto"/>
        <w:ind w:firstLine="480" w:firstLineChars="200"/>
        <w:outlineLvl w:val="0"/>
        <w:rPr>
          <w:rFonts w:ascii="宋体" w:hAnsi="宋体" w:cs="宋体"/>
          <w:sz w:val="24"/>
          <w:szCs w:val="28"/>
        </w:rPr>
      </w:pPr>
      <w:r>
        <w:rPr>
          <w:rFonts w:hint="eastAsia" w:ascii="宋体" w:hAnsi="宋体" w:cs="宋体"/>
          <w:sz w:val="24"/>
          <w:szCs w:val="28"/>
        </w:rPr>
        <w:t>2.3建设地点：</w:t>
      </w:r>
      <w:bookmarkEnd w:id="9"/>
      <w:bookmarkEnd w:id="10"/>
      <w:bookmarkEnd w:id="11"/>
      <w:r>
        <w:rPr>
          <w:rFonts w:hint="eastAsia" w:ascii="宋体" w:hAnsi="宋体" w:cs="宋体"/>
          <w:sz w:val="24"/>
          <w:szCs w:val="28"/>
        </w:rPr>
        <w:t>长葛市；</w:t>
      </w:r>
    </w:p>
    <w:p>
      <w:pPr>
        <w:spacing w:line="360" w:lineRule="auto"/>
        <w:ind w:firstLine="480" w:firstLineChars="200"/>
        <w:outlineLvl w:val="0"/>
        <w:rPr>
          <w:rFonts w:hint="eastAsia" w:ascii="宋体" w:hAnsi="宋体" w:cs="宋体"/>
          <w:sz w:val="24"/>
          <w:szCs w:val="28"/>
        </w:rPr>
      </w:pPr>
      <w:bookmarkStart w:id="12" w:name="_Toc397507915"/>
      <w:bookmarkStart w:id="13" w:name="_Toc397605784"/>
      <w:bookmarkStart w:id="14" w:name="_Toc397507503"/>
      <w:r>
        <w:rPr>
          <w:rFonts w:hint="eastAsia" w:ascii="宋体" w:hAnsi="宋体" w:cs="宋体"/>
          <w:sz w:val="24"/>
          <w:szCs w:val="28"/>
        </w:rPr>
        <w:t>2.4项目建设性质：新建；</w:t>
      </w:r>
      <w:bookmarkEnd w:id="12"/>
      <w:bookmarkEnd w:id="13"/>
      <w:bookmarkEnd w:id="14"/>
      <w:bookmarkStart w:id="15" w:name="_Toc397507916"/>
      <w:bookmarkStart w:id="16" w:name="_Toc397507504"/>
      <w:bookmarkStart w:id="17" w:name="_Toc397605785"/>
    </w:p>
    <w:p>
      <w:pPr>
        <w:spacing w:line="360" w:lineRule="auto"/>
        <w:ind w:firstLine="480" w:firstLineChars="200"/>
        <w:outlineLvl w:val="0"/>
        <w:rPr>
          <w:rFonts w:hint="eastAsia" w:ascii="宋体" w:hAnsi="宋体" w:cs="宋体"/>
          <w:sz w:val="24"/>
          <w:szCs w:val="28"/>
        </w:rPr>
      </w:pPr>
      <w:r>
        <w:rPr>
          <w:rFonts w:hint="eastAsia" w:ascii="宋体" w:hAnsi="宋体" w:cs="宋体"/>
          <w:sz w:val="24"/>
          <w:szCs w:val="28"/>
        </w:rPr>
        <w:t>2.5项目</w:t>
      </w:r>
      <w:bookmarkEnd w:id="15"/>
      <w:bookmarkEnd w:id="16"/>
      <w:bookmarkEnd w:id="17"/>
      <w:r>
        <w:rPr>
          <w:rFonts w:hint="eastAsia" w:ascii="宋体" w:hAnsi="宋体" w:cs="宋体"/>
          <w:sz w:val="24"/>
          <w:szCs w:val="28"/>
        </w:rPr>
        <w:t>概况：</w:t>
      </w:r>
      <w:bookmarkStart w:id="18" w:name="_Toc397507505"/>
      <w:bookmarkStart w:id="19" w:name="_Toc397605786"/>
      <w:bookmarkStart w:id="20" w:name="_Toc397507917"/>
      <w:r>
        <w:rPr>
          <w:rFonts w:hint="eastAsia" w:ascii="宋体" w:hAnsi="宋体" w:eastAsia="宋体" w:cs="宋体"/>
          <w:color w:val="auto"/>
          <w:sz w:val="24"/>
          <w:szCs w:val="24"/>
        </w:rPr>
        <w:t>长葛市南席镇游罕村组道路项目</w:t>
      </w:r>
      <w:r>
        <w:rPr>
          <w:rFonts w:hint="eastAsia" w:ascii="宋体" w:hAnsi="宋体" w:eastAsia="宋体" w:cs="宋体"/>
          <w:color w:val="auto"/>
          <w:sz w:val="24"/>
          <w:szCs w:val="24"/>
          <w:lang w:eastAsia="zh-CN"/>
        </w:rPr>
        <w:t>，建设内容新修4米宽15公分厚C25混凝土道路219米；新修3米宽15公分厚C25混凝土道路1863米；长葛市古桥镇寺后李村组道路项目，建设内容新修4米宽15公分厚C25混凝土道路1422米；长葛市古桥镇菜王村组道路项目，建设内容新修4米宽15公分厚C25混凝土道路1220米。</w:t>
      </w:r>
      <w:r>
        <w:rPr>
          <w:rFonts w:hint="eastAsia" w:ascii="宋体" w:hAnsi="宋体" w:eastAsia="宋体" w:cs="宋体"/>
          <w:color w:val="auto"/>
          <w:sz w:val="24"/>
          <w:szCs w:val="24"/>
        </w:rPr>
        <w:t xml:space="preserve"> </w:t>
      </w:r>
      <w:r>
        <w:rPr>
          <w:rFonts w:hint="eastAsia" w:ascii="宋体" w:hAnsi="宋体" w:eastAsia="宋体" w:cs="宋体"/>
          <w:sz w:val="24"/>
          <w:szCs w:val="28"/>
        </w:rPr>
        <w:t>具体工作内容详见工程量清单。</w:t>
      </w:r>
    </w:p>
    <w:p>
      <w:pPr>
        <w:spacing w:line="360" w:lineRule="auto"/>
        <w:ind w:firstLine="480" w:firstLineChars="200"/>
        <w:outlineLvl w:val="0"/>
        <w:rPr>
          <w:rFonts w:hint="eastAsia" w:ascii="宋体" w:hAnsi="宋体" w:cs="宋体"/>
          <w:sz w:val="24"/>
          <w:szCs w:val="28"/>
        </w:rPr>
      </w:pPr>
      <w:r>
        <w:rPr>
          <w:rFonts w:hint="eastAsia" w:ascii="宋体" w:hAnsi="宋体" w:cs="宋体"/>
          <w:sz w:val="24"/>
          <w:szCs w:val="28"/>
        </w:rPr>
        <w:t>2.6标段划分：本项目划分为一个标段；</w:t>
      </w:r>
    </w:p>
    <w:p>
      <w:pPr>
        <w:spacing w:line="360" w:lineRule="auto"/>
        <w:ind w:firstLine="480" w:firstLineChars="200"/>
        <w:outlineLvl w:val="0"/>
        <w:rPr>
          <w:rFonts w:hint="eastAsia" w:ascii="宋体" w:hAnsi="宋体" w:eastAsia="宋体" w:cs="宋体"/>
          <w:sz w:val="24"/>
          <w:szCs w:val="28"/>
          <w:lang w:val="en-US" w:eastAsia="zh-CN"/>
        </w:rPr>
      </w:pPr>
      <w:r>
        <w:rPr>
          <w:rFonts w:hint="eastAsia" w:ascii="宋体" w:hAnsi="宋体" w:cs="宋体"/>
          <w:sz w:val="24"/>
          <w:szCs w:val="28"/>
        </w:rPr>
        <w:t>2.7招标控制价：</w:t>
      </w:r>
      <w:r>
        <w:rPr>
          <w:rFonts w:hint="eastAsia" w:ascii="宋体" w:hAnsi="宋体" w:eastAsia="宋体" w:cs="宋体"/>
          <w:i w:val="0"/>
          <w:color w:val="auto"/>
          <w:kern w:val="0"/>
          <w:sz w:val="24"/>
          <w:szCs w:val="24"/>
          <w:u w:val="none"/>
          <w:lang w:val="en-US" w:eastAsia="zh-CN" w:bidi="ar"/>
        </w:rPr>
        <w:t>2546436.00元</w:t>
      </w:r>
      <w:r>
        <w:rPr>
          <w:rFonts w:hint="eastAsia" w:ascii="宋体" w:hAnsi="宋体" w:eastAsia="宋体" w:cs="宋体"/>
          <w:sz w:val="24"/>
          <w:szCs w:val="28"/>
        </w:rPr>
        <w:t>；</w:t>
      </w:r>
      <w:r>
        <w:rPr>
          <w:rFonts w:hint="eastAsia" w:ascii="宋体" w:hAnsi="宋体" w:eastAsia="宋体" w:cs="宋体"/>
          <w:sz w:val="24"/>
          <w:szCs w:val="28"/>
          <w:lang w:val="en-US" w:eastAsia="zh-CN"/>
        </w:rPr>
        <w:t>（其中：2020年</w:t>
      </w:r>
      <w:r>
        <w:rPr>
          <w:rFonts w:hint="eastAsia" w:ascii="宋体" w:hAnsi="宋体" w:eastAsia="宋体" w:cs="宋体"/>
          <w:sz w:val="24"/>
          <w:szCs w:val="28"/>
        </w:rPr>
        <w:t>长葛市南席镇游罕村组道路项</w:t>
      </w:r>
      <w:r>
        <w:rPr>
          <w:rFonts w:hint="eastAsia" w:ascii="宋体" w:hAnsi="宋体" w:eastAsia="宋体" w:cs="宋体"/>
          <w:sz w:val="24"/>
          <w:szCs w:val="28"/>
          <w:lang w:val="en-US" w:eastAsia="zh-CN"/>
        </w:rPr>
        <w:t>964807元；2020年</w:t>
      </w:r>
      <w:r>
        <w:rPr>
          <w:rFonts w:hint="eastAsia" w:ascii="宋体" w:hAnsi="宋体" w:eastAsia="宋体" w:cs="宋体"/>
          <w:sz w:val="24"/>
          <w:szCs w:val="28"/>
          <w:lang w:eastAsia="zh-CN"/>
        </w:rPr>
        <w:t>长葛市古桥镇寺后李村组道路项目</w:t>
      </w:r>
      <w:r>
        <w:rPr>
          <w:rFonts w:hint="eastAsia" w:ascii="宋体" w:hAnsi="宋体" w:eastAsia="宋体" w:cs="宋体"/>
          <w:sz w:val="24"/>
          <w:szCs w:val="28"/>
          <w:lang w:val="en-US" w:eastAsia="zh-CN"/>
        </w:rPr>
        <w:t>828137元；2020年</w:t>
      </w:r>
      <w:r>
        <w:rPr>
          <w:rFonts w:hint="eastAsia" w:ascii="宋体" w:hAnsi="宋体" w:eastAsia="宋体" w:cs="宋体"/>
          <w:sz w:val="24"/>
          <w:szCs w:val="28"/>
          <w:lang w:eastAsia="zh-CN"/>
        </w:rPr>
        <w:t>长葛市古桥镇菜王村组道路项目</w:t>
      </w:r>
      <w:r>
        <w:rPr>
          <w:rFonts w:hint="eastAsia" w:ascii="宋体" w:hAnsi="宋体" w:eastAsia="宋体" w:cs="宋体"/>
          <w:sz w:val="24"/>
          <w:szCs w:val="28"/>
          <w:lang w:val="en-US" w:eastAsia="zh-CN"/>
        </w:rPr>
        <w:t>753492元；）</w:t>
      </w:r>
    </w:p>
    <w:p>
      <w:pPr>
        <w:spacing w:line="360" w:lineRule="auto"/>
        <w:ind w:firstLine="480" w:firstLineChars="200"/>
        <w:outlineLvl w:val="0"/>
        <w:rPr>
          <w:rFonts w:ascii="宋体" w:hAnsi="宋体" w:cs="宋体"/>
          <w:sz w:val="24"/>
          <w:szCs w:val="28"/>
        </w:rPr>
      </w:pPr>
      <w:r>
        <w:rPr>
          <w:rFonts w:hint="eastAsia" w:ascii="宋体" w:hAnsi="宋体" w:cs="宋体"/>
          <w:sz w:val="24"/>
          <w:szCs w:val="28"/>
        </w:rPr>
        <w:t>2.8计划工期：</w:t>
      </w:r>
      <w:bookmarkEnd w:id="18"/>
      <w:bookmarkEnd w:id="19"/>
      <w:bookmarkEnd w:id="20"/>
      <w:r>
        <w:rPr>
          <w:rFonts w:hint="eastAsia" w:ascii="宋体" w:hAnsi="宋体" w:cs="宋体"/>
          <w:sz w:val="24"/>
          <w:szCs w:val="28"/>
        </w:rPr>
        <w:t>60日历天；</w:t>
      </w:r>
    </w:p>
    <w:p>
      <w:pPr>
        <w:spacing w:line="360" w:lineRule="auto"/>
        <w:ind w:firstLine="480" w:firstLineChars="200"/>
        <w:rPr>
          <w:rFonts w:ascii="宋体" w:hAnsi="宋体" w:cs="宋体"/>
          <w:sz w:val="24"/>
          <w:szCs w:val="28"/>
        </w:rPr>
      </w:pPr>
      <w:bookmarkStart w:id="21" w:name="_Toc397507918"/>
      <w:bookmarkStart w:id="22" w:name="_Toc397507506"/>
      <w:bookmarkStart w:id="23" w:name="_Toc397605787"/>
      <w:r>
        <w:rPr>
          <w:rFonts w:hint="eastAsia" w:ascii="宋体" w:hAnsi="宋体" w:cs="宋体"/>
          <w:sz w:val="24"/>
          <w:szCs w:val="28"/>
        </w:rPr>
        <w:t>2.9招标范围：</w:t>
      </w:r>
      <w:r>
        <w:rPr>
          <w:rFonts w:hint="eastAsia" w:ascii="宋体" w:hAnsi="宋体" w:cs="宋体"/>
          <w:sz w:val="24"/>
          <w:szCs w:val="28"/>
          <w:shd w:val="clear" w:color="auto" w:fill="FFFFFF"/>
        </w:rPr>
        <w:t>本工程招标文件、工程量清单、施工图纸、补充文件（如有）、答疑纪要等列明的所有建设内容</w:t>
      </w:r>
      <w:r>
        <w:rPr>
          <w:rFonts w:hint="eastAsia" w:ascii="宋体" w:hAnsi="宋体" w:cs="宋体"/>
          <w:sz w:val="24"/>
          <w:szCs w:val="28"/>
        </w:rPr>
        <w:t>；</w:t>
      </w:r>
      <w:bookmarkEnd w:id="21"/>
      <w:bookmarkEnd w:id="22"/>
      <w:bookmarkEnd w:id="23"/>
    </w:p>
    <w:p>
      <w:pPr>
        <w:spacing w:line="360" w:lineRule="auto"/>
        <w:ind w:firstLine="480" w:firstLineChars="200"/>
        <w:rPr>
          <w:rFonts w:ascii="宋体" w:hAnsi="宋体" w:cs="宋体"/>
          <w:sz w:val="24"/>
          <w:szCs w:val="28"/>
        </w:rPr>
      </w:pPr>
      <w:bookmarkStart w:id="24" w:name="_Toc397507507"/>
      <w:bookmarkStart w:id="25" w:name="_Toc397507919"/>
      <w:bookmarkStart w:id="26" w:name="_Toc397605788"/>
      <w:r>
        <w:rPr>
          <w:rFonts w:ascii="宋体" w:hAnsi="宋体" w:cs="宋体"/>
          <w:sz w:val="24"/>
          <w:szCs w:val="28"/>
        </w:rPr>
        <w:t>2</w:t>
      </w:r>
      <w:r>
        <w:rPr>
          <w:rFonts w:hint="eastAsia" w:ascii="宋体" w:hAnsi="宋体" w:cs="宋体"/>
          <w:sz w:val="24"/>
          <w:szCs w:val="28"/>
        </w:rPr>
        <w:t>.</w:t>
      </w:r>
      <w:r>
        <w:rPr>
          <w:rFonts w:ascii="宋体" w:hAnsi="宋体" w:cs="宋体"/>
          <w:sz w:val="24"/>
          <w:szCs w:val="28"/>
        </w:rPr>
        <w:t>1</w:t>
      </w:r>
      <w:r>
        <w:rPr>
          <w:rFonts w:hint="eastAsia" w:ascii="宋体" w:hAnsi="宋体" w:cs="宋体"/>
          <w:sz w:val="24"/>
          <w:szCs w:val="28"/>
        </w:rPr>
        <w:t>0质量要求：合格（符合国家现行的验收规范和标准）</w:t>
      </w:r>
      <w:bookmarkEnd w:id="24"/>
      <w:bookmarkEnd w:id="25"/>
      <w:bookmarkEnd w:id="26"/>
      <w:bookmarkStart w:id="27" w:name="_Toc397605789"/>
      <w:bookmarkStart w:id="28" w:name="_Toc397507508"/>
      <w:bookmarkStart w:id="29" w:name="_Toc397507920"/>
      <w:r>
        <w:rPr>
          <w:rFonts w:hint="eastAsia" w:ascii="宋体" w:hAnsi="宋体" w:cs="宋体"/>
          <w:sz w:val="24"/>
          <w:szCs w:val="28"/>
        </w:rPr>
        <w:t>。</w:t>
      </w:r>
    </w:p>
    <w:bookmarkEnd w:id="27"/>
    <w:bookmarkEnd w:id="28"/>
    <w:bookmarkEnd w:id="29"/>
    <w:p>
      <w:pPr>
        <w:spacing w:line="360" w:lineRule="auto"/>
        <w:outlineLvl w:val="0"/>
        <w:rPr>
          <w:rFonts w:ascii="宋体" w:hAnsi="宋体" w:cs="宋体"/>
          <w:sz w:val="24"/>
          <w:szCs w:val="28"/>
        </w:rPr>
      </w:pPr>
      <w:r>
        <w:rPr>
          <w:rFonts w:hint="eastAsia" w:ascii="宋体" w:hAnsi="宋体" w:cs="宋体"/>
          <w:b/>
          <w:bCs/>
          <w:sz w:val="24"/>
          <w:szCs w:val="28"/>
        </w:rPr>
        <w:t>三、投标人资格要求</w:t>
      </w:r>
      <w:bookmarkEnd w:id="3"/>
      <w:bookmarkEnd w:id="4"/>
      <w:bookmarkEnd w:id="5"/>
    </w:p>
    <w:p>
      <w:pPr>
        <w:spacing w:line="360" w:lineRule="auto"/>
        <w:ind w:firstLine="480" w:firstLineChars="200"/>
        <w:rPr>
          <w:rFonts w:hint="eastAsia" w:ascii="宋体" w:hAnsi="宋体" w:cs="宋体"/>
          <w:sz w:val="24"/>
          <w:szCs w:val="28"/>
        </w:rPr>
      </w:pPr>
      <w:r>
        <w:rPr>
          <w:rFonts w:hint="eastAsia" w:ascii="宋体" w:hAnsi="宋体" w:cs="宋体"/>
          <w:sz w:val="24"/>
          <w:szCs w:val="28"/>
        </w:rPr>
        <w:t>3.1投标人须具备建设行政主管部门颁发的公路工程</w:t>
      </w:r>
      <w:r>
        <w:rPr>
          <w:rFonts w:hint="eastAsia" w:ascii="宋体" w:hAnsi="宋体" w:cs="宋体"/>
          <w:color w:val="000000"/>
          <w:sz w:val="24"/>
          <w:szCs w:val="28"/>
        </w:rPr>
        <w:t>施工总承包叁级及以上资质</w:t>
      </w:r>
      <w:r>
        <w:rPr>
          <w:rFonts w:hint="eastAsia" w:ascii="宋体" w:hAnsi="宋体" w:cs="宋体"/>
          <w:sz w:val="24"/>
          <w:szCs w:val="28"/>
        </w:rPr>
        <w:t>，具备独立法人资格，并具备有效的企业安全生产许可证，在人员、设备、资金等方面具有相应的施工能力；拟派建造师须具备贰级及以上公路工程专业注册建造师执业资格，具备有效的安全生产考核合格证书，且未担任其他在施建设项目的项目经理。拟派项目总工须具备中级及以上相关专业技术职称。</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3.2 根据《河南省公路建设市场从业单位及人员信用管理办法》第二十一条“对信用考核定级为D级即黑名单的从业单位”不得参与本项目投标。</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3.3未被列入“信用中国”/“信用河南”网站信用信息栏黑名单，“国家企业信用信息公示系统”经营异常名录或严重失信黑名单,无行贿犯罪记录的投标人；</w:t>
      </w:r>
    </w:p>
    <w:p>
      <w:pPr>
        <w:spacing w:line="360" w:lineRule="auto"/>
        <w:ind w:firstLine="480" w:firstLineChars="200"/>
        <w:rPr>
          <w:rFonts w:ascii="宋体" w:hAnsi="宋体" w:cs="宋体"/>
          <w:sz w:val="24"/>
          <w:szCs w:val="28"/>
        </w:rPr>
      </w:pPr>
      <w:r>
        <w:rPr>
          <w:rFonts w:hint="eastAsia" w:ascii="宋体" w:hAnsi="宋体" w:cs="宋体"/>
          <w:sz w:val="24"/>
          <w:szCs w:val="28"/>
        </w:rPr>
        <w:t>3.4本项目不接受联合体投标，不得转包、挂靠及违法分包；</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3.5与招标人存在利害关系可能影响招标公正性的法人、其他组织或者个人，不得参加投标；单位负责人为同一人或者存在控股、管理关系的不同单位，不得参加同一标段投标或者未划分标段的同一招标项目投标；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360" w:lineRule="auto"/>
        <w:ind w:firstLine="480" w:firstLineChars="200"/>
      </w:pPr>
      <w:r>
        <w:rPr>
          <w:rFonts w:hint="eastAsia" w:ascii="宋体" w:hAnsi="宋体" w:cs="宋体"/>
          <w:sz w:val="24"/>
          <w:szCs w:val="28"/>
        </w:rPr>
        <w:t>3.6本次招标实行资格后审。</w:t>
      </w:r>
    </w:p>
    <w:p>
      <w:pPr>
        <w:spacing w:line="360" w:lineRule="auto"/>
        <w:ind w:firstLine="482" w:firstLineChars="200"/>
        <w:outlineLvl w:val="0"/>
        <w:rPr>
          <w:rFonts w:ascii="宋体" w:hAnsi="宋体" w:cs="宋体"/>
          <w:b/>
          <w:bCs/>
          <w:sz w:val="24"/>
          <w:szCs w:val="28"/>
        </w:rPr>
      </w:pPr>
      <w:bookmarkStart w:id="30" w:name="_Toc397605791"/>
      <w:bookmarkStart w:id="31" w:name="_Toc397507922"/>
      <w:bookmarkStart w:id="32" w:name="_Toc397507510"/>
      <w:r>
        <w:rPr>
          <w:rFonts w:hint="eastAsia" w:ascii="宋体" w:hAnsi="宋体" w:cs="宋体"/>
          <w:b/>
          <w:bCs/>
          <w:sz w:val="24"/>
          <w:szCs w:val="28"/>
        </w:rPr>
        <w:t>四、网上下载招标文件</w:t>
      </w:r>
    </w:p>
    <w:p>
      <w:pPr>
        <w:spacing w:line="360" w:lineRule="auto"/>
        <w:ind w:firstLine="480" w:firstLineChars="200"/>
        <w:outlineLvl w:val="0"/>
        <w:rPr>
          <w:rFonts w:hint="eastAsia" w:ascii="宋体" w:hAnsi="宋体" w:cs="宋体"/>
          <w:sz w:val="24"/>
          <w:szCs w:val="28"/>
        </w:rPr>
      </w:pPr>
      <w:r>
        <w:rPr>
          <w:rFonts w:ascii="宋体" w:hAnsi="宋体" w:cs="宋体"/>
          <w:sz w:val="24"/>
          <w:szCs w:val="28"/>
        </w:rPr>
        <w:t>4.</w:t>
      </w:r>
      <w:r>
        <w:rPr>
          <w:rFonts w:hint="eastAsia" w:ascii="宋体" w:hAnsi="宋体" w:cs="宋体"/>
          <w:sz w:val="24"/>
          <w:szCs w:val="28"/>
        </w:rPr>
        <w:t>1、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outlineLvl w:val="0"/>
        <w:rPr>
          <w:rFonts w:ascii="宋体" w:hAnsi="宋体" w:cs="宋体"/>
          <w:sz w:val="24"/>
          <w:szCs w:val="28"/>
        </w:rPr>
      </w:pPr>
      <w:r>
        <w:rPr>
          <w:rFonts w:ascii="宋体" w:hAnsi="宋体" w:cs="宋体"/>
          <w:sz w:val="24"/>
          <w:szCs w:val="28"/>
        </w:rPr>
        <w:t>4.</w:t>
      </w:r>
      <w:r>
        <w:rPr>
          <w:rFonts w:hint="eastAsia" w:ascii="宋体" w:hAnsi="宋体" w:cs="宋体"/>
          <w:sz w:val="24"/>
          <w:szCs w:val="28"/>
        </w:rPr>
        <w:t>2、在投标截止时间前均可登录【全国公共资源交易平台（河南省·许昌市）】“投标人/供应商登录”入口（http://221.14.6.70:8088/ggzy/）自行下载招标文件等（详见“常见问题解答-交易系统操作手册”）。</w:t>
      </w:r>
    </w:p>
    <w:p>
      <w:pPr>
        <w:spacing w:line="360" w:lineRule="auto"/>
        <w:ind w:firstLine="480"/>
        <w:outlineLvl w:val="0"/>
        <w:rPr>
          <w:rFonts w:ascii="宋体" w:hAnsi="宋体" w:cs="宋体"/>
          <w:b/>
          <w:bCs/>
          <w:sz w:val="24"/>
          <w:szCs w:val="28"/>
        </w:rPr>
      </w:pPr>
      <w:r>
        <w:rPr>
          <w:rFonts w:hint="eastAsia" w:ascii="宋体" w:hAnsi="宋体" w:cs="宋体"/>
          <w:b/>
          <w:bCs/>
          <w:sz w:val="24"/>
          <w:szCs w:val="28"/>
        </w:rPr>
        <w:t>五、</w:t>
      </w:r>
      <w:bookmarkEnd w:id="30"/>
      <w:bookmarkEnd w:id="31"/>
      <w:bookmarkEnd w:id="32"/>
      <w:r>
        <w:rPr>
          <w:rFonts w:hint="eastAsia" w:ascii="宋体" w:hAnsi="宋体" w:cs="宋体"/>
          <w:b/>
          <w:bCs/>
          <w:sz w:val="24"/>
          <w:szCs w:val="28"/>
        </w:rPr>
        <w:t>招标文件和施工图纸的获取</w:t>
      </w:r>
    </w:p>
    <w:p>
      <w:pPr>
        <w:widowControl/>
        <w:spacing w:line="360" w:lineRule="auto"/>
        <w:ind w:firstLine="480" w:firstLineChars="200"/>
        <w:jc w:val="left"/>
        <w:rPr>
          <w:rFonts w:ascii="宋体" w:hAnsi="宋体" w:cs="宋体"/>
          <w:sz w:val="24"/>
          <w:szCs w:val="28"/>
        </w:rPr>
      </w:pPr>
      <w:bookmarkStart w:id="33" w:name="_Toc397507923"/>
      <w:bookmarkStart w:id="34" w:name="_Toc397507511"/>
      <w:bookmarkStart w:id="35" w:name="_Toc397605792"/>
      <w:r>
        <w:rPr>
          <w:rFonts w:hint="eastAsia" w:ascii="宋体" w:hAnsi="宋体" w:cs="宋体"/>
          <w:bCs/>
          <w:sz w:val="24"/>
          <w:szCs w:val="28"/>
        </w:rPr>
        <w:t>5.1招标文件和工程量清单的下载：报名期限内</w:t>
      </w:r>
      <w:r>
        <w:rPr>
          <w:rFonts w:hint="eastAsia" w:ascii="宋体" w:hAnsi="宋体" w:cs="宋体"/>
          <w:sz w:val="24"/>
          <w:szCs w:val="28"/>
        </w:rPr>
        <w:t>，投标人登录《全国公共资源交易平台（河南省·许昌市）》自行下载本项目招标文件、工程量清单。</w:t>
      </w:r>
    </w:p>
    <w:p>
      <w:pPr>
        <w:widowControl/>
        <w:spacing w:line="360" w:lineRule="auto"/>
        <w:ind w:firstLine="480" w:firstLineChars="200"/>
        <w:jc w:val="left"/>
        <w:rPr>
          <w:rFonts w:ascii="宋体" w:hAnsi="宋体" w:cs="宋体"/>
          <w:sz w:val="24"/>
          <w:szCs w:val="28"/>
        </w:rPr>
      </w:pPr>
      <w:r>
        <w:rPr>
          <w:rFonts w:hint="eastAsia" w:ascii="宋体" w:hAnsi="宋体" w:cs="宋体"/>
          <w:bCs/>
          <w:sz w:val="24"/>
          <w:szCs w:val="28"/>
        </w:rPr>
        <w:t>5.2施工图纸下载：</w:t>
      </w:r>
      <w:r>
        <w:rPr>
          <w:rFonts w:hint="eastAsia" w:ascii="宋体" w:hAnsi="宋体" w:cs="宋体"/>
          <w:sz w:val="24"/>
          <w:szCs w:val="28"/>
        </w:rPr>
        <w:t>按照招标文件中第二章投标人须知前附表第</w:t>
      </w:r>
      <w:r>
        <w:rPr>
          <w:rFonts w:hint="eastAsia" w:ascii="宋体" w:hAnsi="宋体" w:cs="宋体"/>
          <w:bCs/>
          <w:sz w:val="24"/>
          <w:szCs w:val="28"/>
        </w:rPr>
        <w:t>1.13项要求</w:t>
      </w:r>
      <w:r>
        <w:rPr>
          <w:rFonts w:hint="eastAsia" w:ascii="宋体" w:hAnsi="宋体" w:cs="宋体"/>
          <w:sz w:val="24"/>
          <w:szCs w:val="28"/>
        </w:rPr>
        <w:t>自行下载。</w:t>
      </w:r>
    </w:p>
    <w:p>
      <w:pPr>
        <w:widowControl/>
        <w:spacing w:line="360" w:lineRule="auto"/>
        <w:ind w:firstLine="480" w:firstLineChars="200"/>
        <w:jc w:val="left"/>
        <w:rPr>
          <w:rFonts w:ascii="宋体" w:hAnsi="宋体" w:cs="宋体"/>
          <w:sz w:val="24"/>
          <w:szCs w:val="28"/>
        </w:rPr>
      </w:pPr>
      <w:r>
        <w:rPr>
          <w:rFonts w:hint="eastAsia" w:ascii="宋体" w:hAnsi="宋体" w:cs="宋体"/>
          <w:bCs/>
          <w:sz w:val="24"/>
          <w:szCs w:val="28"/>
        </w:rPr>
        <w:t>5.3招标文件费用：</w:t>
      </w:r>
      <w:r>
        <w:rPr>
          <w:rFonts w:hint="eastAsia" w:ascii="宋体" w:hAnsi="宋体" w:cs="宋体"/>
          <w:sz w:val="24"/>
          <w:szCs w:val="28"/>
        </w:rPr>
        <w:t>投标人在递交纸制投标文件时向代理公司缴纳招标文件费用，本项目招标文件费用为300元/套，售后不退。</w:t>
      </w:r>
    </w:p>
    <w:p>
      <w:pPr>
        <w:spacing w:line="360" w:lineRule="auto"/>
        <w:ind w:firstLine="480" w:firstLineChars="200"/>
        <w:outlineLvl w:val="0"/>
        <w:rPr>
          <w:rFonts w:ascii="宋体" w:hAnsi="宋体" w:cs="宋体"/>
          <w:bCs/>
          <w:sz w:val="24"/>
          <w:szCs w:val="28"/>
        </w:rPr>
      </w:pPr>
      <w:r>
        <w:rPr>
          <w:rFonts w:hint="eastAsia" w:ascii="宋体" w:hAnsi="宋体" w:cs="宋体"/>
          <w:bCs/>
          <w:sz w:val="24"/>
          <w:szCs w:val="28"/>
        </w:rPr>
        <w:t>5.4本项目实行资格后审，资格后审所需资料详见招标文件。</w:t>
      </w:r>
    </w:p>
    <w:p>
      <w:pPr>
        <w:spacing w:line="360" w:lineRule="auto"/>
        <w:outlineLvl w:val="0"/>
        <w:rPr>
          <w:rFonts w:ascii="宋体" w:hAnsi="宋体" w:cs="宋体"/>
          <w:b/>
          <w:bCs/>
          <w:sz w:val="24"/>
          <w:szCs w:val="28"/>
        </w:rPr>
      </w:pPr>
      <w:r>
        <w:rPr>
          <w:rFonts w:hint="eastAsia" w:ascii="宋体" w:hAnsi="宋体" w:cs="宋体"/>
          <w:b/>
          <w:bCs/>
          <w:sz w:val="24"/>
          <w:szCs w:val="28"/>
        </w:rPr>
        <w:t>六、投标文件的递交</w:t>
      </w:r>
      <w:bookmarkEnd w:id="33"/>
      <w:bookmarkEnd w:id="34"/>
      <w:bookmarkEnd w:id="35"/>
    </w:p>
    <w:p>
      <w:pPr>
        <w:widowControl/>
        <w:spacing w:line="360" w:lineRule="auto"/>
        <w:ind w:firstLine="600" w:firstLineChars="250"/>
        <w:jc w:val="left"/>
        <w:rPr>
          <w:rFonts w:hint="eastAsia" w:ascii="宋体" w:hAnsi="宋体"/>
          <w:sz w:val="24"/>
        </w:rPr>
      </w:pPr>
      <w:bookmarkStart w:id="36" w:name="_Toc397507512"/>
      <w:bookmarkStart w:id="37" w:name="_Toc397507924"/>
      <w:bookmarkStart w:id="38" w:name="_Toc397605793"/>
      <w:r>
        <w:rPr>
          <w:rFonts w:hint="eastAsia" w:ascii="宋体" w:hAnsi="宋体" w:cs="宋体"/>
          <w:color w:val="000000"/>
          <w:sz w:val="24"/>
          <w:szCs w:val="28"/>
        </w:rPr>
        <w:t>6.1</w:t>
      </w:r>
      <w:r>
        <w:rPr>
          <w:rFonts w:hint="eastAsia" w:ascii="宋体" w:hAnsi="宋体"/>
          <w:sz w:val="24"/>
        </w:rPr>
        <w:t>本项目为全流程电子化交易项目，须提交电子投标文件和纸质投标文件（正本1份、副本1份）。</w:t>
      </w:r>
    </w:p>
    <w:p>
      <w:pPr>
        <w:widowControl/>
        <w:spacing w:line="360" w:lineRule="auto"/>
        <w:ind w:left="239" w:leftChars="114" w:firstLine="360" w:firstLineChars="150"/>
        <w:jc w:val="left"/>
        <w:rPr>
          <w:rFonts w:hint="eastAsia" w:ascii="宋体" w:hAnsi="宋体" w:cs="宋体"/>
          <w:sz w:val="24"/>
          <w:szCs w:val="28"/>
        </w:rPr>
      </w:pPr>
      <w:r>
        <w:rPr>
          <w:rFonts w:hint="eastAsia" w:ascii="宋体" w:hAnsi="宋体"/>
          <w:sz w:val="24"/>
        </w:rPr>
        <w:t>6.2</w:t>
      </w:r>
      <w:r>
        <w:rPr>
          <w:rFonts w:hint="eastAsia" w:ascii="宋体" w:hAnsi="宋体" w:cs="宋体"/>
          <w:color w:val="000000"/>
          <w:sz w:val="24"/>
          <w:szCs w:val="28"/>
        </w:rPr>
        <w:t>投标文件递交的截止时间</w:t>
      </w:r>
      <w:r>
        <w:rPr>
          <w:rFonts w:hint="eastAsia" w:ascii="宋体" w:hAnsi="宋体"/>
          <w:sz w:val="24"/>
        </w:rPr>
        <w:t>及开标时间</w:t>
      </w:r>
      <w:r>
        <w:rPr>
          <w:rFonts w:hint="eastAsia" w:ascii="宋体" w:hAnsi="宋体" w:cs="宋体"/>
          <w:sz w:val="24"/>
          <w:szCs w:val="28"/>
        </w:rPr>
        <w:t>：</w:t>
      </w:r>
      <w:r>
        <w:rPr>
          <w:rFonts w:hint="eastAsia" w:ascii="宋体" w:hAnsi="宋体" w:cs="宋体"/>
          <w:sz w:val="24"/>
          <w:szCs w:val="28"/>
          <w:u w:val="single"/>
        </w:rPr>
        <w:t>2020</w:t>
      </w:r>
      <w:r>
        <w:rPr>
          <w:rFonts w:hint="eastAsia" w:ascii="宋体" w:hAnsi="宋体" w:cs="宋体"/>
          <w:sz w:val="24"/>
          <w:szCs w:val="28"/>
        </w:rPr>
        <w:t>年</w:t>
      </w:r>
      <w:r>
        <w:rPr>
          <w:rFonts w:hint="eastAsia" w:ascii="宋体" w:hAnsi="宋体" w:cs="宋体"/>
          <w:sz w:val="24"/>
          <w:szCs w:val="28"/>
          <w:u w:val="single"/>
        </w:rPr>
        <w:t>3</w:t>
      </w:r>
      <w:r>
        <w:rPr>
          <w:rFonts w:ascii="宋体" w:hAnsi="宋体" w:cs="宋体"/>
          <w:sz w:val="24"/>
          <w:szCs w:val="28"/>
          <w:u w:val="single"/>
        </w:rPr>
        <w:t xml:space="preserve"> </w:t>
      </w:r>
      <w:r>
        <w:rPr>
          <w:rFonts w:hint="eastAsia" w:ascii="宋体" w:hAnsi="宋体" w:cs="宋体"/>
          <w:sz w:val="24"/>
          <w:szCs w:val="28"/>
        </w:rPr>
        <w:t>月</w:t>
      </w:r>
      <w:r>
        <w:rPr>
          <w:rFonts w:hint="eastAsia" w:ascii="宋体" w:hAnsi="宋体" w:cs="宋体"/>
          <w:sz w:val="24"/>
          <w:szCs w:val="28"/>
          <w:u w:val="single"/>
        </w:rPr>
        <w:t>1</w:t>
      </w:r>
      <w:r>
        <w:rPr>
          <w:rFonts w:hint="eastAsia" w:ascii="宋体" w:hAnsi="宋体" w:cs="宋体"/>
          <w:sz w:val="24"/>
          <w:szCs w:val="28"/>
          <w:u w:val="single"/>
          <w:lang w:val="en-US" w:eastAsia="zh-CN"/>
        </w:rPr>
        <w:t>7</w:t>
      </w:r>
      <w:r>
        <w:rPr>
          <w:rFonts w:hint="eastAsia" w:ascii="宋体" w:hAnsi="宋体" w:cs="宋体"/>
          <w:sz w:val="24"/>
          <w:szCs w:val="28"/>
        </w:rPr>
        <w:t>日上午</w:t>
      </w:r>
      <w:r>
        <w:rPr>
          <w:rFonts w:hint="eastAsia" w:ascii="宋体" w:hAnsi="宋体" w:cs="宋体"/>
          <w:sz w:val="24"/>
          <w:szCs w:val="28"/>
          <w:u w:val="single"/>
        </w:rPr>
        <w:t xml:space="preserve"> 9 </w:t>
      </w:r>
      <w:r>
        <w:rPr>
          <w:rFonts w:hint="eastAsia" w:ascii="宋体" w:hAnsi="宋体" w:cs="宋体"/>
          <w:sz w:val="24"/>
          <w:szCs w:val="28"/>
        </w:rPr>
        <w:t>时</w:t>
      </w:r>
      <w:r>
        <w:rPr>
          <w:rFonts w:hint="eastAsia" w:ascii="宋体" w:hAnsi="宋体" w:cs="宋体"/>
          <w:sz w:val="24"/>
          <w:szCs w:val="28"/>
          <w:u w:val="single"/>
        </w:rPr>
        <w:t xml:space="preserve"> 30</w:t>
      </w:r>
      <w:r>
        <w:rPr>
          <w:rFonts w:hint="eastAsia" w:ascii="宋体" w:hAnsi="宋体" w:cs="宋体"/>
          <w:sz w:val="24"/>
          <w:szCs w:val="28"/>
        </w:rPr>
        <w:t xml:space="preserve">分（北京时间）。 </w:t>
      </w:r>
    </w:p>
    <w:p>
      <w:pPr>
        <w:widowControl/>
        <w:spacing w:line="360" w:lineRule="auto"/>
        <w:ind w:left="239" w:leftChars="114" w:firstLine="360" w:firstLineChars="150"/>
        <w:jc w:val="left"/>
        <w:rPr>
          <w:rFonts w:ascii="宋体" w:hAnsi="宋体"/>
          <w:sz w:val="24"/>
        </w:rPr>
      </w:pPr>
      <w:r>
        <w:rPr>
          <w:rFonts w:hint="eastAsia" w:ascii="宋体" w:hAnsi="宋体"/>
          <w:sz w:val="24"/>
        </w:rPr>
        <w:t>6.3电子投标文件的提交：电子投标文件应在投标文件提交截止时间（开标时间）之前成功提交至《全国公共资源交易平台(河南省</w:t>
      </w:r>
      <w:r>
        <w:rPr>
          <w:rFonts w:ascii="Segoe UI Emoji" w:hAnsi="Segoe UI Emoji" w:cs="Segoe UI Emoji"/>
          <w:sz w:val="24"/>
        </w:rPr>
        <w:t>▪</w:t>
      </w:r>
      <w:r>
        <w:rPr>
          <w:rFonts w:hint="eastAsia" w:ascii="宋体" w:hAnsi="宋体"/>
          <w:sz w:val="24"/>
        </w:rPr>
        <w:t>许昌市)》公共资源交易系统，并随纸质投标文件同时提交1份使用电子介质存储的备份文件。</w:t>
      </w:r>
    </w:p>
    <w:p>
      <w:pPr>
        <w:widowControl/>
        <w:spacing w:line="360" w:lineRule="auto"/>
        <w:ind w:firstLine="360" w:firstLineChars="150"/>
        <w:jc w:val="left"/>
        <w:rPr>
          <w:rFonts w:ascii="宋体" w:hAnsi="宋体" w:cs="宋体"/>
          <w:sz w:val="24"/>
          <w:szCs w:val="28"/>
        </w:rPr>
      </w:pPr>
      <w:r>
        <w:rPr>
          <w:rFonts w:hint="eastAsia" w:ascii="宋体" w:hAnsi="宋体" w:cs="宋体"/>
          <w:sz w:val="24"/>
          <w:szCs w:val="28"/>
        </w:rPr>
        <w:t> 6.4</w:t>
      </w:r>
      <w:r>
        <w:rPr>
          <w:rFonts w:hint="eastAsia" w:ascii="宋体" w:hAnsi="宋体"/>
          <w:sz w:val="24"/>
        </w:rPr>
        <w:t>纸质投标文件提交地点及</w:t>
      </w:r>
      <w:r>
        <w:rPr>
          <w:rFonts w:hint="eastAsia" w:ascii="宋体" w:hAnsi="宋体" w:cs="宋体"/>
          <w:sz w:val="24"/>
          <w:szCs w:val="28"/>
        </w:rPr>
        <w:t>开标地点：长葛市公共资源交易中心（长葛市葛天大道东段商务区6号楼5 楼开标506室）。</w:t>
      </w:r>
    </w:p>
    <w:p>
      <w:pPr>
        <w:widowControl/>
        <w:spacing w:line="360" w:lineRule="auto"/>
        <w:ind w:firstLine="600" w:firstLineChars="250"/>
        <w:jc w:val="left"/>
        <w:rPr>
          <w:rFonts w:ascii="宋体" w:hAnsi="宋体" w:cs="宋体"/>
          <w:color w:val="000000"/>
          <w:sz w:val="24"/>
          <w:szCs w:val="28"/>
        </w:rPr>
      </w:pPr>
      <w:r>
        <w:rPr>
          <w:rFonts w:hint="eastAsia" w:ascii="宋体" w:hAnsi="宋体" w:cs="宋体"/>
          <w:color w:val="000000"/>
          <w:sz w:val="24"/>
          <w:szCs w:val="28"/>
        </w:rPr>
        <w:t>6.5逾期送达的或者未按招标文件要求密封的投标文件，招标人不予受理。</w:t>
      </w:r>
    </w:p>
    <w:p>
      <w:pPr>
        <w:widowControl/>
        <w:spacing w:line="360" w:lineRule="auto"/>
        <w:ind w:firstLine="600" w:firstLineChars="250"/>
        <w:jc w:val="left"/>
        <w:rPr>
          <w:rFonts w:ascii="宋体" w:hAnsi="宋体" w:cs="宋体"/>
          <w:color w:val="000000"/>
          <w:sz w:val="24"/>
          <w:szCs w:val="28"/>
        </w:rPr>
      </w:pPr>
      <w:r>
        <w:rPr>
          <w:rFonts w:hint="eastAsia" w:ascii="宋体" w:hAnsi="宋体" w:cs="宋体"/>
          <w:color w:val="000000"/>
          <w:sz w:val="24"/>
          <w:szCs w:val="28"/>
        </w:rPr>
        <w:t>6.</w:t>
      </w:r>
      <w:r>
        <w:rPr>
          <w:rFonts w:ascii="宋体" w:hAnsi="宋体" w:cs="宋体"/>
          <w:color w:val="000000"/>
          <w:sz w:val="24"/>
          <w:szCs w:val="28"/>
        </w:rPr>
        <w:t>6</w:t>
      </w:r>
      <w:r>
        <w:rPr>
          <w:rFonts w:hint="eastAsia" w:ascii="宋体" w:hAnsi="宋体" w:cs="宋体"/>
          <w:color w:val="000000"/>
          <w:sz w:val="24"/>
          <w:szCs w:val="28"/>
        </w:rPr>
        <w:t>未通过全国公共资源交易平台（河南省</w:t>
      </w:r>
      <w:r>
        <w:rPr>
          <w:rFonts w:hint="eastAsia" w:ascii="MS Mincho" w:hAnsi="MS Mincho" w:eastAsia="MS Mincho" w:cs="MS Mincho"/>
          <w:color w:val="000000"/>
          <w:sz w:val="24"/>
          <w:szCs w:val="28"/>
        </w:rPr>
        <w:t>▪</w:t>
      </w:r>
      <w:r>
        <w:rPr>
          <w:rFonts w:hint="eastAsia" w:ascii="宋体" w:hAnsi="宋体" w:cs="宋体"/>
          <w:color w:val="000000"/>
          <w:sz w:val="24"/>
          <w:szCs w:val="28"/>
        </w:rPr>
        <w:t>许昌市）下载招标文件的投标人，其投标文件不予受理。</w:t>
      </w:r>
    </w:p>
    <w:p>
      <w:pPr>
        <w:spacing w:line="360" w:lineRule="auto"/>
        <w:jc w:val="left"/>
        <w:outlineLvl w:val="0"/>
        <w:rPr>
          <w:rFonts w:ascii="宋体" w:hAnsi="宋体" w:cs="宋体"/>
          <w:b/>
          <w:bCs/>
          <w:sz w:val="24"/>
          <w:szCs w:val="28"/>
        </w:rPr>
      </w:pPr>
      <w:r>
        <w:rPr>
          <w:rFonts w:hint="eastAsia" w:ascii="宋体" w:hAnsi="宋体" w:cs="宋体"/>
          <w:b/>
          <w:bCs/>
          <w:sz w:val="24"/>
          <w:szCs w:val="28"/>
        </w:rPr>
        <w:t>七、发布公告的媒介</w:t>
      </w:r>
      <w:bookmarkEnd w:id="36"/>
      <w:bookmarkEnd w:id="37"/>
      <w:bookmarkEnd w:id="38"/>
    </w:p>
    <w:p>
      <w:pPr>
        <w:spacing w:line="360" w:lineRule="auto"/>
        <w:ind w:firstLine="480"/>
        <w:outlineLvl w:val="0"/>
        <w:rPr>
          <w:rFonts w:hint="eastAsia" w:ascii="宋体" w:hAnsi="宋体" w:cs="宋体"/>
          <w:sz w:val="24"/>
          <w:szCs w:val="28"/>
        </w:rPr>
      </w:pPr>
      <w:r>
        <w:rPr>
          <w:rFonts w:hint="eastAsia" w:ascii="宋体" w:hAnsi="宋体" w:cs="宋体"/>
          <w:sz w:val="24"/>
          <w:szCs w:val="28"/>
        </w:rPr>
        <w:t>本公告同时在“全国公共资源交易平台</w:t>
      </w:r>
      <w:r>
        <w:rPr>
          <w:rFonts w:ascii="宋体" w:hAnsi="宋体" w:cs="宋体"/>
          <w:sz w:val="24"/>
          <w:szCs w:val="28"/>
        </w:rPr>
        <w:t>(</w:t>
      </w:r>
      <w:r>
        <w:rPr>
          <w:rFonts w:hint="eastAsia" w:ascii="宋体" w:hAnsi="宋体" w:cs="宋体"/>
          <w:sz w:val="24"/>
          <w:szCs w:val="28"/>
        </w:rPr>
        <w:t>河南省</w:t>
      </w:r>
      <w:r>
        <w:rPr>
          <w:rFonts w:hint="eastAsia" w:ascii="MS Mincho" w:hAnsi="MS Mincho" w:eastAsia="MS Mincho" w:cs="MS Mincho"/>
          <w:sz w:val="24"/>
          <w:szCs w:val="28"/>
        </w:rPr>
        <w:t>▪</w:t>
      </w:r>
      <w:r>
        <w:rPr>
          <w:rFonts w:hint="eastAsia" w:ascii="宋体" w:hAnsi="宋体" w:cs="宋体"/>
          <w:sz w:val="24"/>
          <w:szCs w:val="28"/>
        </w:rPr>
        <w:t>许昌市</w:t>
      </w:r>
      <w:r>
        <w:rPr>
          <w:rFonts w:ascii="宋体" w:hAnsi="宋体" w:cs="宋体"/>
          <w:sz w:val="24"/>
          <w:szCs w:val="28"/>
        </w:rPr>
        <w:t>)</w:t>
      </w:r>
      <w:r>
        <w:rPr>
          <w:rFonts w:hint="eastAsia" w:ascii="宋体" w:hAnsi="宋体" w:cs="宋体"/>
          <w:sz w:val="24"/>
          <w:szCs w:val="28"/>
        </w:rPr>
        <w:t>”、“河南省电子招标投标公共服务平台”、“长葛市人民政府门户网站”上发布。</w:t>
      </w:r>
    </w:p>
    <w:p>
      <w:pPr>
        <w:spacing w:line="360" w:lineRule="auto"/>
        <w:outlineLvl w:val="0"/>
        <w:rPr>
          <w:rFonts w:hint="eastAsia" w:ascii="宋体" w:hAnsi="宋体" w:cs="宋体"/>
          <w:b/>
          <w:bCs/>
          <w:sz w:val="24"/>
          <w:szCs w:val="28"/>
        </w:rPr>
      </w:pPr>
      <w:r>
        <w:rPr>
          <w:rFonts w:hint="eastAsia" w:ascii="宋体" w:hAnsi="宋体" w:cs="宋体"/>
          <w:b/>
          <w:bCs/>
          <w:sz w:val="24"/>
          <w:szCs w:val="28"/>
        </w:rPr>
        <w:t>八、招标人及代理机构</w:t>
      </w:r>
    </w:p>
    <w:p>
      <w:pPr>
        <w:autoSpaceDE w:val="0"/>
        <w:autoSpaceDN w:val="0"/>
        <w:adjustRightInd w:val="0"/>
        <w:snapToGrid w:val="0"/>
        <w:spacing w:line="360" w:lineRule="auto"/>
        <w:ind w:firstLine="480" w:firstLineChars="200"/>
        <w:jc w:val="left"/>
        <w:rPr>
          <w:rFonts w:hint="eastAsia" w:hAnsi="宋体"/>
          <w:sz w:val="24"/>
        </w:rPr>
      </w:pPr>
      <w:r>
        <w:rPr>
          <w:rFonts w:hint="eastAsia" w:hAnsi="宋体"/>
          <w:sz w:val="24"/>
        </w:rPr>
        <w:t>招 标 人：长葛市交通运输局</w:t>
      </w:r>
    </w:p>
    <w:p>
      <w:pPr>
        <w:autoSpaceDE w:val="0"/>
        <w:autoSpaceDN w:val="0"/>
        <w:adjustRightInd w:val="0"/>
        <w:snapToGrid w:val="0"/>
        <w:spacing w:line="360" w:lineRule="auto"/>
        <w:ind w:firstLine="480" w:firstLineChars="200"/>
        <w:jc w:val="left"/>
        <w:rPr>
          <w:rFonts w:hint="eastAsia" w:hAnsi="宋体"/>
          <w:sz w:val="24"/>
        </w:rPr>
      </w:pPr>
      <w:r>
        <w:rPr>
          <w:rFonts w:hint="eastAsia" w:hAnsi="宋体"/>
          <w:sz w:val="24"/>
        </w:rPr>
        <w:t>地    址：长葛市张辽路中段5号楼</w:t>
      </w:r>
    </w:p>
    <w:p>
      <w:pPr>
        <w:autoSpaceDE w:val="0"/>
        <w:autoSpaceDN w:val="0"/>
        <w:adjustRightInd w:val="0"/>
        <w:snapToGrid w:val="0"/>
        <w:spacing w:line="360" w:lineRule="auto"/>
        <w:ind w:firstLine="480" w:firstLineChars="200"/>
        <w:jc w:val="left"/>
        <w:rPr>
          <w:rFonts w:hint="eastAsia" w:hAnsi="宋体"/>
          <w:sz w:val="24"/>
        </w:rPr>
      </w:pPr>
      <w:r>
        <w:rPr>
          <w:rFonts w:hint="eastAsia" w:hAnsi="宋体"/>
          <w:sz w:val="24"/>
        </w:rPr>
        <w:t xml:space="preserve">联 系 人： 王先生 </w:t>
      </w:r>
    </w:p>
    <w:p>
      <w:pPr>
        <w:autoSpaceDE w:val="0"/>
        <w:autoSpaceDN w:val="0"/>
        <w:adjustRightInd w:val="0"/>
        <w:snapToGrid w:val="0"/>
        <w:spacing w:line="360" w:lineRule="auto"/>
        <w:ind w:firstLine="480" w:firstLineChars="200"/>
        <w:jc w:val="left"/>
        <w:rPr>
          <w:rFonts w:hint="eastAsia" w:hAnsi="宋体"/>
          <w:sz w:val="24"/>
        </w:rPr>
      </w:pPr>
      <w:r>
        <w:rPr>
          <w:rFonts w:hint="eastAsia" w:hAnsi="宋体"/>
          <w:sz w:val="24"/>
        </w:rPr>
        <w:t xml:space="preserve">联系电话：13782228756 </w:t>
      </w:r>
    </w:p>
    <w:p>
      <w:pPr>
        <w:autoSpaceDE w:val="0"/>
        <w:autoSpaceDN w:val="0"/>
        <w:adjustRightInd w:val="0"/>
        <w:snapToGrid w:val="0"/>
        <w:spacing w:line="360" w:lineRule="auto"/>
        <w:ind w:firstLine="480" w:firstLineChars="200"/>
        <w:jc w:val="left"/>
        <w:rPr>
          <w:rFonts w:hint="eastAsia"/>
          <w:sz w:val="24"/>
          <w:szCs w:val="22"/>
        </w:rPr>
      </w:pPr>
      <w:r>
        <w:rPr>
          <w:rFonts w:hint="eastAsia"/>
          <w:sz w:val="24"/>
          <w:szCs w:val="22"/>
        </w:rPr>
        <w:t>代理机构：中科经纬工程技术有限公司</w:t>
      </w:r>
    </w:p>
    <w:p>
      <w:pPr>
        <w:autoSpaceDE w:val="0"/>
        <w:autoSpaceDN w:val="0"/>
        <w:adjustRightInd w:val="0"/>
        <w:snapToGrid w:val="0"/>
        <w:spacing w:line="360" w:lineRule="auto"/>
        <w:ind w:firstLine="480" w:firstLineChars="200"/>
        <w:jc w:val="left"/>
        <w:rPr>
          <w:rFonts w:hint="eastAsia"/>
          <w:sz w:val="24"/>
          <w:szCs w:val="22"/>
        </w:rPr>
      </w:pPr>
      <w:r>
        <w:rPr>
          <w:rFonts w:hint="eastAsia"/>
          <w:sz w:val="24"/>
          <w:szCs w:val="22"/>
        </w:rPr>
        <w:t>地    址：成都高新区九兴大道9号2栋7楼1号</w:t>
      </w:r>
    </w:p>
    <w:p>
      <w:pPr>
        <w:autoSpaceDE w:val="0"/>
        <w:autoSpaceDN w:val="0"/>
        <w:adjustRightInd w:val="0"/>
        <w:snapToGrid w:val="0"/>
        <w:spacing w:line="360" w:lineRule="auto"/>
        <w:ind w:firstLine="480" w:firstLineChars="200"/>
        <w:jc w:val="left"/>
        <w:rPr>
          <w:rFonts w:hint="eastAsia"/>
          <w:sz w:val="24"/>
          <w:szCs w:val="22"/>
        </w:rPr>
      </w:pPr>
      <w:r>
        <w:rPr>
          <w:rFonts w:hint="eastAsia"/>
          <w:sz w:val="24"/>
          <w:szCs w:val="22"/>
        </w:rPr>
        <w:t>项目联 系 人：</w:t>
      </w:r>
      <w:r>
        <w:rPr>
          <w:rFonts w:hint="eastAsia"/>
          <w:sz w:val="24"/>
          <w:szCs w:val="22"/>
          <w:lang w:eastAsia="zh-CN"/>
        </w:rPr>
        <w:t>盛</w:t>
      </w:r>
      <w:r>
        <w:rPr>
          <w:rFonts w:hint="eastAsia"/>
          <w:sz w:val="24"/>
          <w:szCs w:val="22"/>
        </w:rPr>
        <w:t xml:space="preserve">女士   </w:t>
      </w:r>
    </w:p>
    <w:p>
      <w:pPr>
        <w:autoSpaceDE w:val="0"/>
        <w:autoSpaceDN w:val="0"/>
        <w:adjustRightInd w:val="0"/>
        <w:snapToGrid w:val="0"/>
        <w:spacing w:line="360" w:lineRule="auto"/>
        <w:ind w:firstLine="480" w:firstLineChars="200"/>
        <w:jc w:val="left"/>
        <w:rPr>
          <w:rFonts w:hAnsi="宋体"/>
          <w:sz w:val="24"/>
        </w:rPr>
      </w:pPr>
      <w:r>
        <w:rPr>
          <w:rFonts w:hint="eastAsia"/>
          <w:sz w:val="24"/>
          <w:szCs w:val="22"/>
        </w:rPr>
        <w:t xml:space="preserve">项目联系电话：16638625885   </w:t>
      </w:r>
    </w:p>
    <w:p>
      <w:pPr>
        <w:adjustRightInd w:val="0"/>
        <w:snapToGrid w:val="0"/>
        <w:spacing w:line="360" w:lineRule="auto"/>
        <w:jc w:val="left"/>
        <w:rPr>
          <w:rFonts w:ascii="宋体" w:hAnsi="宋体" w:cs="宋体"/>
          <w:b/>
          <w:bCs/>
          <w:sz w:val="24"/>
          <w:szCs w:val="28"/>
        </w:rPr>
      </w:pPr>
      <w:r>
        <w:rPr>
          <w:rFonts w:hint="eastAsia" w:ascii="宋体" w:hAnsi="宋体" w:cs="宋体"/>
          <w:b/>
          <w:bCs/>
          <w:sz w:val="24"/>
          <w:szCs w:val="28"/>
        </w:rPr>
        <w:t>九、特别提示：</w:t>
      </w:r>
    </w:p>
    <w:p>
      <w:pPr>
        <w:spacing w:line="360" w:lineRule="auto"/>
        <w:ind w:firstLine="482" w:firstLineChars="200"/>
        <w:rPr>
          <w:rFonts w:ascii="宋体" w:hAnsi="宋体" w:cs="宋体"/>
          <w:b/>
          <w:color w:val="000000"/>
          <w:sz w:val="24"/>
          <w:szCs w:val="28"/>
        </w:rPr>
      </w:pPr>
      <w:r>
        <w:rPr>
          <w:rFonts w:hint="eastAsia" w:ascii="宋体" w:hAnsi="宋体" w:cs="宋体"/>
          <w:b/>
          <w:color w:val="000000"/>
          <w:sz w:val="24"/>
          <w:szCs w:val="28"/>
        </w:rPr>
        <w:t>1、所有投标单位请时刻关注“全国公共资源交易平台（河南省 许昌市）”，澄清、答疑、变更均在“全国公共资源交易平台（河南省</w:t>
      </w:r>
      <w:r>
        <w:rPr>
          <w:rFonts w:hint="eastAsia" w:hAnsi="宋体" w:cs="Times New Roman"/>
          <w:color w:val="000000"/>
          <w:sz w:val="24"/>
        </w:rPr>
        <w:t>▪</w:t>
      </w:r>
      <w:r>
        <w:rPr>
          <w:rFonts w:hint="eastAsia" w:ascii="宋体" w:hAnsi="宋体" w:cs="宋体"/>
          <w:b/>
          <w:color w:val="000000"/>
          <w:sz w:val="24"/>
          <w:szCs w:val="28"/>
        </w:rPr>
        <w:t>许昌市）”发布，不再另行通知。如未及时查看影响其投标，后果自负。</w:t>
      </w:r>
    </w:p>
    <w:p>
      <w:pPr>
        <w:spacing w:line="360" w:lineRule="auto"/>
        <w:ind w:firstLine="482" w:firstLineChars="200"/>
        <w:rPr>
          <w:rFonts w:ascii="宋体" w:hAnsi="宋体" w:cs="宋体"/>
          <w:b/>
          <w:color w:val="000000"/>
          <w:sz w:val="24"/>
          <w:szCs w:val="28"/>
        </w:rPr>
      </w:pPr>
      <w:r>
        <w:rPr>
          <w:rFonts w:hint="eastAsia" w:ascii="宋体" w:hAnsi="宋体" w:cs="宋体"/>
          <w:b/>
          <w:color w:val="000000"/>
          <w:sz w:val="24"/>
          <w:szCs w:val="28"/>
        </w:rPr>
        <w:t xml:space="preserve">2、各投标人对代理公司提供的服务不满意，或认为代理公司在服务过程中有不当行为的，可致电长葛市公共资源交易管理委员会办公室监管股（0374-6189576），经查实后将视情况作出处理。 </w:t>
      </w:r>
    </w:p>
    <w:p>
      <w:pPr>
        <w:autoSpaceDE w:val="0"/>
        <w:autoSpaceDN w:val="0"/>
        <w:spacing w:line="440" w:lineRule="exact"/>
        <w:ind w:firstLine="602" w:firstLineChars="200"/>
        <w:outlineLvl w:val="0"/>
        <w:rPr>
          <w:rFonts w:hint="eastAsia" w:ascii="宋体" w:hAnsi="宋体"/>
          <w:b/>
          <w:bCs/>
          <w:sz w:val="30"/>
          <w:szCs w:val="30"/>
        </w:rPr>
      </w:pPr>
      <w:r>
        <w:rPr>
          <w:rFonts w:hint="eastAsia" w:ascii="宋体" w:hAnsi="宋体"/>
          <w:b/>
          <w:bCs/>
          <w:sz w:val="30"/>
          <w:szCs w:val="30"/>
        </w:rPr>
        <w:t>温馨提示：</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本项目为全流程电子化交易项目，请认真阅读招标文件，并注意以下事项。</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1.投标人应按招标文件规定下载、编制、提交电子投标文件和纸质投标文件。开、评标现场不接受投标人递交的电子投标文件和纸质投标文件以外的其他资料。</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2.电子文件下载、制作、提交期间和开标（电子投标文件的解密）环节，承包人须使用CA数字证书（证书须在有效期内）。</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3.电子投标文件的制作</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3.1 投标人登录【全国公共资源交易平台(河南省</w:t>
      </w:r>
      <w:r>
        <w:rPr>
          <w:rFonts w:ascii="Segoe UI Emoji" w:hAnsi="Segoe UI Emoji" w:cs="Segoe UI Emoji"/>
          <w:b/>
          <w:bCs/>
          <w:sz w:val="24"/>
        </w:rPr>
        <w:t>▪</w:t>
      </w:r>
      <w:r>
        <w:rPr>
          <w:rFonts w:hint="eastAsia" w:ascii="宋体" w:hAnsi="宋体"/>
          <w:b/>
          <w:bCs/>
          <w:sz w:val="24"/>
        </w:rPr>
        <w:t>许昌市)】公共资源交易系统（</w:t>
      </w:r>
      <w:r>
        <w:rPr>
          <w:rFonts w:ascii="宋体" w:hAnsi="宋体"/>
          <w:b/>
          <w:bCs/>
          <w:sz w:val="24"/>
        </w:rPr>
        <w:t>http://ggzy.xuchang.gov.cn</w:t>
      </w:r>
      <w:r>
        <w:rPr>
          <w:rFonts w:hint="eastAsia" w:ascii="宋体" w:hAnsi="宋体"/>
          <w:b/>
          <w:bCs/>
          <w:sz w:val="24"/>
        </w:rPr>
        <w:t>/）下载“许昌投标文件制作系统SEARUN V1.0”，按招标文件要求制作电子投标文件。</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电子投标文件的制作，参考【全国公共资源交易平台(河南省</w:t>
      </w:r>
      <w:r>
        <w:rPr>
          <w:rFonts w:ascii="Segoe UI Emoji" w:hAnsi="Segoe UI Emoji" w:cs="Segoe UI Emoji"/>
          <w:b/>
          <w:bCs/>
          <w:sz w:val="24"/>
        </w:rPr>
        <w:t>▪</w:t>
      </w:r>
      <w:r>
        <w:rPr>
          <w:rFonts w:hint="eastAsia" w:ascii="宋体" w:hAnsi="宋体"/>
          <w:b/>
          <w:bCs/>
          <w:sz w:val="24"/>
        </w:rPr>
        <w:t>许昌市)】公共资源交易系统——组件下载——交易系统操作手册（投标人、供应商）。</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3.2 投标人须将招标文件要求的资质、业绩、荣誉及相关人员证明材料等资料原件扫描件（或图片）制作到所提交的电子投标文件中。</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4.电子投标文件的提交</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4.1电子投标文件应在招标文件规定的投标文件提交截止时间（开标时间）之前成功提交至【全国公共资源交易平台(河南省</w:t>
      </w:r>
      <w:r>
        <w:rPr>
          <w:rFonts w:ascii="Segoe UI Emoji" w:hAnsi="Segoe UI Emoji" w:cs="Segoe UI Emoji"/>
          <w:b/>
          <w:bCs/>
          <w:sz w:val="24"/>
        </w:rPr>
        <w:t>▪</w:t>
      </w:r>
      <w:r>
        <w:rPr>
          <w:rFonts w:hint="eastAsia" w:ascii="宋体" w:hAnsi="宋体"/>
          <w:b/>
          <w:bCs/>
          <w:sz w:val="24"/>
        </w:rPr>
        <w:t>许昌市)】公共资源交易系统（</w:t>
      </w:r>
      <w:r>
        <w:rPr>
          <w:rFonts w:ascii="宋体" w:hAnsi="宋体"/>
          <w:b/>
          <w:bCs/>
          <w:sz w:val="24"/>
        </w:rPr>
        <w:t>http://ggzy.xuchang.gov.cn</w:t>
      </w:r>
      <w:r>
        <w:rPr>
          <w:rFonts w:hint="eastAsia" w:ascii="宋体" w:hAnsi="宋体"/>
          <w:b/>
          <w:bCs/>
          <w:sz w:val="24"/>
        </w:rPr>
        <w:t>/）。</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投标人应充分考虑并预留技术处理和上传数据所需时间。</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4.2 投标人对同一项目多个标段进行投标的，电子投标文件应按标段分别提交。</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4.3 电子投标文件成功提交后，投标人应打印“投标文件提交回执单”，供开标现场备查。</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5.评标依据</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5.1采用全流程电子化交易评标时，评标委员会以电子投标文件为依据评标。</w:t>
      </w:r>
    </w:p>
    <w:p>
      <w:pPr>
        <w:spacing w:line="360" w:lineRule="auto"/>
        <w:jc w:val="center"/>
        <w:rPr>
          <w:rFonts w:ascii="宋体" w:hAnsi="宋体" w:cs="华文仿宋"/>
          <w:b/>
          <w:sz w:val="36"/>
          <w:szCs w:val="36"/>
        </w:rPr>
      </w:pPr>
      <w:r>
        <w:rPr>
          <w:rFonts w:ascii="宋体" w:hAnsi="宋体"/>
          <w:b/>
          <w:sz w:val="36"/>
          <w:szCs w:val="36"/>
        </w:rPr>
        <w:br w:type="page"/>
      </w:r>
      <w:r>
        <w:rPr>
          <w:rFonts w:hint="eastAsia" w:ascii="宋体" w:hAnsi="宋体" w:cs="华文仿宋"/>
          <w:b/>
          <w:sz w:val="36"/>
          <w:szCs w:val="36"/>
        </w:rPr>
        <w:t>第二章  投标人须知</w:t>
      </w:r>
      <w:bookmarkEnd w:id="1"/>
    </w:p>
    <w:p>
      <w:pPr>
        <w:pStyle w:val="13"/>
        <w:spacing w:line="360" w:lineRule="auto"/>
        <w:jc w:val="left"/>
        <w:rPr>
          <w:rFonts w:ascii="宋体" w:hAnsi="宋体" w:cs="华文仿宋"/>
          <w:sz w:val="24"/>
          <w:szCs w:val="24"/>
        </w:rPr>
      </w:pPr>
      <w:bookmarkStart w:id="39" w:name="_Toc372538145"/>
      <w:r>
        <w:rPr>
          <w:rFonts w:hint="eastAsia" w:ascii="宋体" w:hAnsi="宋体" w:cs="华文仿宋"/>
          <w:sz w:val="24"/>
          <w:szCs w:val="24"/>
        </w:rPr>
        <w:t>投标人须知前附表</w:t>
      </w:r>
      <w:bookmarkEnd w:id="39"/>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072"/>
        <w:gridCol w:w="1196"/>
        <w:gridCol w:w="6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noWrap w:val="0"/>
            <w:vAlign w:val="bottom"/>
          </w:tcPr>
          <w:p>
            <w:pPr>
              <w:spacing w:line="360" w:lineRule="auto"/>
              <w:jc w:val="center"/>
              <w:rPr>
                <w:rFonts w:hint="eastAsia" w:ascii="宋体" w:hAnsi="宋体" w:cs="宋体"/>
                <w:sz w:val="24"/>
              </w:rPr>
            </w:pPr>
            <w:r>
              <w:rPr>
                <w:rFonts w:hint="eastAsia" w:ascii="宋体" w:hAnsi="宋体" w:cs="宋体"/>
                <w:sz w:val="24"/>
              </w:rPr>
              <w:t>条款号</w:t>
            </w:r>
          </w:p>
        </w:tc>
        <w:tc>
          <w:tcPr>
            <w:tcW w:w="2268" w:type="dxa"/>
            <w:gridSpan w:val="2"/>
            <w:noWrap w:val="0"/>
            <w:vAlign w:val="bottom"/>
          </w:tcPr>
          <w:p>
            <w:pPr>
              <w:spacing w:line="360" w:lineRule="auto"/>
              <w:jc w:val="left"/>
              <w:rPr>
                <w:rFonts w:hint="eastAsia" w:ascii="宋体" w:hAnsi="宋体" w:cs="宋体"/>
                <w:sz w:val="24"/>
              </w:rPr>
            </w:pPr>
            <w:r>
              <w:rPr>
                <w:rFonts w:hint="eastAsia" w:ascii="宋体" w:hAnsi="宋体" w:cs="宋体"/>
                <w:sz w:val="24"/>
              </w:rPr>
              <w:t>条款名称</w:t>
            </w:r>
          </w:p>
        </w:tc>
        <w:tc>
          <w:tcPr>
            <w:tcW w:w="6489" w:type="dxa"/>
            <w:noWrap w:val="0"/>
            <w:vAlign w:val="bottom"/>
          </w:tcPr>
          <w:p>
            <w:pPr>
              <w:spacing w:line="360" w:lineRule="auto"/>
              <w:jc w:val="left"/>
              <w:rPr>
                <w:rFonts w:hint="eastAsia" w:ascii="宋体" w:hAnsi="宋体" w:cs="宋体"/>
                <w:sz w:val="24"/>
              </w:rPr>
            </w:pPr>
            <w:r>
              <w:rPr>
                <w:rFonts w:hint="eastAsia" w:ascii="宋体" w:hAnsi="宋体" w:cs="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1.1.2</w:t>
            </w:r>
          </w:p>
        </w:tc>
        <w:tc>
          <w:tcPr>
            <w:tcW w:w="2268" w:type="dxa"/>
            <w:gridSpan w:val="2"/>
            <w:noWrap w:val="0"/>
            <w:vAlign w:val="center"/>
          </w:tcPr>
          <w:p>
            <w:pPr>
              <w:rPr>
                <w:rFonts w:hint="eastAsia" w:ascii="宋体" w:hAnsi="宋体" w:cs="宋体"/>
                <w:kern w:val="0"/>
                <w:sz w:val="24"/>
              </w:rPr>
            </w:pPr>
            <w:r>
              <w:rPr>
                <w:rFonts w:hint="eastAsia" w:ascii="宋体" w:hAnsi="宋体" w:cs="宋体"/>
                <w:kern w:val="0"/>
                <w:sz w:val="24"/>
              </w:rPr>
              <w:t>招标人</w:t>
            </w:r>
          </w:p>
        </w:tc>
        <w:tc>
          <w:tcPr>
            <w:tcW w:w="6489" w:type="dxa"/>
            <w:noWrap w:val="0"/>
            <w:vAlign w:val="center"/>
          </w:tcPr>
          <w:p>
            <w:pPr>
              <w:pStyle w:val="2"/>
              <w:ind w:firstLine="0" w:firstLineChars="0"/>
              <w:rPr>
                <w:rFonts w:hint="eastAsia" w:ascii="宋体" w:hAnsi="宋体" w:cs="宋体"/>
                <w:kern w:val="2"/>
                <w:sz w:val="24"/>
                <w:lang w:val="en-US" w:eastAsia="zh-CN"/>
              </w:rPr>
            </w:pPr>
            <w:r>
              <w:rPr>
                <w:rFonts w:hint="eastAsia" w:ascii="宋体" w:hAnsi="宋体" w:cs="宋体"/>
                <w:kern w:val="2"/>
                <w:sz w:val="24"/>
                <w:lang w:val="en-US" w:eastAsia="zh-CN"/>
              </w:rPr>
              <w:t>名  称：长葛市交通运输局</w:t>
            </w:r>
          </w:p>
          <w:p>
            <w:pPr>
              <w:pStyle w:val="2"/>
              <w:ind w:firstLine="0" w:firstLineChars="0"/>
              <w:rPr>
                <w:rFonts w:hint="eastAsia" w:ascii="宋体" w:hAnsi="宋体" w:cs="宋体"/>
                <w:kern w:val="2"/>
                <w:sz w:val="24"/>
                <w:lang w:val="en-US" w:eastAsia="zh-CN"/>
              </w:rPr>
            </w:pPr>
            <w:r>
              <w:rPr>
                <w:rFonts w:hint="eastAsia" w:ascii="宋体" w:hAnsi="宋体" w:cs="宋体"/>
                <w:kern w:val="2"/>
                <w:sz w:val="24"/>
                <w:lang w:val="en-US" w:eastAsia="zh-CN"/>
              </w:rPr>
              <w:t>地    址：长葛市张辽路中段5号楼</w:t>
            </w:r>
          </w:p>
          <w:p>
            <w:pPr>
              <w:pStyle w:val="2"/>
              <w:ind w:firstLine="0" w:firstLineChars="0"/>
              <w:rPr>
                <w:rFonts w:hint="eastAsia" w:ascii="宋体" w:hAnsi="宋体" w:cs="宋体"/>
                <w:kern w:val="2"/>
                <w:sz w:val="24"/>
                <w:lang w:val="en-US" w:eastAsia="zh-CN"/>
              </w:rPr>
            </w:pPr>
            <w:r>
              <w:rPr>
                <w:rFonts w:hint="eastAsia" w:ascii="宋体" w:hAnsi="宋体" w:cs="宋体"/>
                <w:kern w:val="2"/>
                <w:sz w:val="24"/>
                <w:lang w:val="en-US" w:eastAsia="zh-CN"/>
              </w:rPr>
              <w:t>联 系 人：王先生</w:t>
            </w:r>
          </w:p>
          <w:p>
            <w:pPr>
              <w:pStyle w:val="2"/>
              <w:ind w:firstLine="0" w:firstLineChars="0"/>
              <w:rPr>
                <w:rFonts w:hint="eastAsia" w:ascii="宋体" w:hAnsi="宋体" w:cs="宋体"/>
                <w:kern w:val="2"/>
                <w:sz w:val="24"/>
                <w:lang w:val="en-US" w:eastAsia="zh-CN"/>
              </w:rPr>
            </w:pPr>
            <w:r>
              <w:rPr>
                <w:rFonts w:hint="eastAsia" w:ascii="宋体" w:hAnsi="宋体" w:cs="宋体"/>
                <w:kern w:val="2"/>
                <w:sz w:val="24"/>
                <w:lang w:val="en-US" w:eastAsia="zh-CN"/>
              </w:rPr>
              <w:t>联系电话：13782228756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1.1.3</w:t>
            </w:r>
          </w:p>
        </w:tc>
        <w:tc>
          <w:tcPr>
            <w:tcW w:w="2268" w:type="dxa"/>
            <w:gridSpan w:val="2"/>
            <w:noWrap w:val="0"/>
            <w:vAlign w:val="center"/>
          </w:tcPr>
          <w:p>
            <w:pPr>
              <w:rPr>
                <w:rFonts w:hint="eastAsia" w:ascii="宋体" w:hAnsi="宋体" w:cs="宋体"/>
                <w:kern w:val="0"/>
                <w:sz w:val="24"/>
              </w:rPr>
            </w:pPr>
            <w:r>
              <w:rPr>
                <w:rFonts w:hint="eastAsia" w:ascii="宋体" w:hAnsi="宋体" w:cs="宋体"/>
                <w:kern w:val="0"/>
                <w:sz w:val="24"/>
              </w:rPr>
              <w:t>招标代理机构</w:t>
            </w:r>
          </w:p>
        </w:tc>
        <w:tc>
          <w:tcPr>
            <w:tcW w:w="6489" w:type="dxa"/>
            <w:noWrap w:val="0"/>
            <w:vAlign w:val="center"/>
          </w:tcPr>
          <w:p>
            <w:pPr>
              <w:autoSpaceDE w:val="0"/>
              <w:autoSpaceDN w:val="0"/>
              <w:adjustRightInd w:val="0"/>
              <w:snapToGrid w:val="0"/>
              <w:spacing w:line="360" w:lineRule="auto"/>
              <w:jc w:val="left"/>
              <w:rPr>
                <w:rFonts w:hint="eastAsia" w:ascii="宋体" w:hAnsi="宋体" w:eastAsia="宋体" w:cs="宋体"/>
                <w:sz w:val="24"/>
                <w:szCs w:val="22"/>
              </w:rPr>
            </w:pPr>
            <w:r>
              <w:rPr>
                <w:rFonts w:hint="eastAsia" w:ascii="宋体" w:hAnsi="宋体" w:eastAsia="宋体" w:cs="宋体"/>
                <w:sz w:val="24"/>
                <w:szCs w:val="22"/>
              </w:rPr>
              <w:t>代理机构：中科经纬工程技术有限公司</w:t>
            </w:r>
          </w:p>
          <w:p>
            <w:pPr>
              <w:autoSpaceDE w:val="0"/>
              <w:autoSpaceDN w:val="0"/>
              <w:adjustRightInd w:val="0"/>
              <w:snapToGrid w:val="0"/>
              <w:spacing w:line="360" w:lineRule="auto"/>
              <w:jc w:val="left"/>
              <w:rPr>
                <w:rFonts w:hint="eastAsia" w:ascii="宋体" w:hAnsi="宋体" w:eastAsia="宋体" w:cs="宋体"/>
                <w:sz w:val="24"/>
                <w:szCs w:val="22"/>
              </w:rPr>
            </w:pPr>
            <w:r>
              <w:rPr>
                <w:rFonts w:hint="eastAsia" w:ascii="宋体" w:hAnsi="宋体" w:eastAsia="宋体" w:cs="宋体"/>
                <w:sz w:val="24"/>
                <w:szCs w:val="22"/>
              </w:rPr>
              <w:t>地    址：成都高新区九兴大道9号2栋7楼1号</w:t>
            </w:r>
          </w:p>
          <w:p>
            <w:pPr>
              <w:autoSpaceDE w:val="0"/>
              <w:autoSpaceDN w:val="0"/>
              <w:adjustRightInd w:val="0"/>
              <w:snapToGrid w:val="0"/>
              <w:spacing w:line="360" w:lineRule="auto"/>
              <w:jc w:val="left"/>
              <w:rPr>
                <w:rFonts w:hint="eastAsia" w:ascii="宋体" w:hAnsi="宋体" w:eastAsia="宋体" w:cs="宋体"/>
                <w:sz w:val="24"/>
                <w:szCs w:val="22"/>
              </w:rPr>
            </w:pPr>
            <w:r>
              <w:rPr>
                <w:rFonts w:hint="eastAsia" w:ascii="宋体" w:hAnsi="宋体" w:eastAsia="宋体" w:cs="宋体"/>
                <w:sz w:val="24"/>
                <w:szCs w:val="22"/>
              </w:rPr>
              <w:t>项目联 系 人：</w:t>
            </w:r>
            <w:r>
              <w:rPr>
                <w:rFonts w:hint="eastAsia" w:ascii="宋体" w:hAnsi="宋体" w:eastAsia="宋体" w:cs="宋体"/>
                <w:sz w:val="24"/>
                <w:szCs w:val="22"/>
                <w:lang w:eastAsia="zh-CN"/>
              </w:rPr>
              <w:t>盛</w:t>
            </w:r>
            <w:r>
              <w:rPr>
                <w:rFonts w:hint="eastAsia" w:ascii="宋体" w:hAnsi="宋体" w:eastAsia="宋体" w:cs="宋体"/>
                <w:sz w:val="24"/>
                <w:szCs w:val="22"/>
              </w:rPr>
              <w:t xml:space="preserve">女士   </w:t>
            </w:r>
          </w:p>
          <w:p>
            <w:pPr>
              <w:pStyle w:val="2"/>
              <w:ind w:firstLine="0" w:firstLineChars="0"/>
              <w:rPr>
                <w:rFonts w:hint="eastAsia" w:ascii="宋体" w:hAnsi="宋体" w:cs="宋体"/>
                <w:kern w:val="2"/>
                <w:sz w:val="24"/>
                <w:lang w:val="en-US" w:eastAsia="zh-CN"/>
              </w:rPr>
            </w:pPr>
            <w:r>
              <w:rPr>
                <w:rFonts w:hint="eastAsia" w:ascii="宋体" w:hAnsi="宋体" w:eastAsia="宋体" w:cs="宋体"/>
                <w:sz w:val="24"/>
                <w:szCs w:val="22"/>
              </w:rPr>
              <w:t xml:space="preserve">项目联系电话：16638625885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1.1.4</w:t>
            </w:r>
          </w:p>
        </w:tc>
        <w:tc>
          <w:tcPr>
            <w:tcW w:w="2268" w:type="dxa"/>
            <w:gridSpan w:val="2"/>
            <w:noWrap w:val="0"/>
            <w:vAlign w:val="center"/>
          </w:tcPr>
          <w:p>
            <w:pPr>
              <w:rPr>
                <w:rFonts w:hint="eastAsia" w:ascii="宋体" w:hAnsi="宋体" w:cs="宋体"/>
                <w:kern w:val="0"/>
                <w:sz w:val="24"/>
              </w:rPr>
            </w:pPr>
            <w:r>
              <w:rPr>
                <w:rFonts w:hint="eastAsia" w:ascii="宋体" w:hAnsi="宋体" w:cs="宋体"/>
                <w:kern w:val="0"/>
                <w:sz w:val="24"/>
              </w:rPr>
              <w:t>项目名称</w:t>
            </w:r>
          </w:p>
        </w:tc>
        <w:tc>
          <w:tcPr>
            <w:tcW w:w="6489" w:type="dxa"/>
            <w:noWrap w:val="0"/>
            <w:vAlign w:val="center"/>
          </w:tcPr>
          <w:p>
            <w:pPr>
              <w:spacing w:line="360" w:lineRule="auto"/>
              <w:rPr>
                <w:rFonts w:hint="eastAsia" w:ascii="宋体" w:hAnsi="宋体" w:cs="宋体"/>
                <w:sz w:val="24"/>
              </w:rPr>
            </w:pPr>
            <w:r>
              <w:rPr>
                <w:rFonts w:hint="eastAsia" w:ascii="宋体" w:hAnsi="宋体" w:eastAsia="宋体" w:cs="宋体"/>
                <w:sz w:val="24"/>
                <w:lang w:eastAsia="zh-CN"/>
              </w:rPr>
              <w:t>长葛市</w:t>
            </w:r>
            <w:r>
              <w:rPr>
                <w:rFonts w:hint="eastAsia" w:ascii="宋体" w:hAnsi="宋体" w:eastAsia="宋体" w:cs="宋体"/>
                <w:sz w:val="24"/>
                <w:lang w:val="en-US" w:eastAsia="zh-CN"/>
              </w:rPr>
              <w:t>2020年第一批财政专项扶贫资金基础设施项目一标段（南席镇游罕村道路，古桥镇寺后李村道路，古桥镇菜王村道路）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1.1.5</w:t>
            </w:r>
          </w:p>
        </w:tc>
        <w:tc>
          <w:tcPr>
            <w:tcW w:w="2268" w:type="dxa"/>
            <w:gridSpan w:val="2"/>
            <w:noWrap w:val="0"/>
            <w:vAlign w:val="center"/>
          </w:tcPr>
          <w:p>
            <w:pPr>
              <w:rPr>
                <w:rFonts w:hint="eastAsia" w:ascii="宋体" w:hAnsi="宋体" w:cs="宋体"/>
                <w:kern w:val="0"/>
                <w:sz w:val="24"/>
              </w:rPr>
            </w:pPr>
            <w:r>
              <w:rPr>
                <w:rFonts w:hint="eastAsia" w:ascii="宋体" w:hAnsi="宋体" w:cs="宋体"/>
                <w:kern w:val="0"/>
                <w:sz w:val="24"/>
              </w:rPr>
              <w:t>建设地点</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1.1.6</w:t>
            </w:r>
          </w:p>
        </w:tc>
        <w:tc>
          <w:tcPr>
            <w:tcW w:w="2268" w:type="dxa"/>
            <w:gridSpan w:val="2"/>
            <w:noWrap w:val="0"/>
            <w:vAlign w:val="center"/>
          </w:tcPr>
          <w:p>
            <w:pPr>
              <w:rPr>
                <w:rFonts w:hint="eastAsia" w:ascii="宋体" w:hAnsi="宋体" w:cs="宋体"/>
                <w:kern w:val="0"/>
                <w:sz w:val="24"/>
              </w:rPr>
            </w:pPr>
            <w:r>
              <w:rPr>
                <w:rFonts w:hint="eastAsia" w:ascii="宋体" w:hAnsi="宋体" w:cs="宋体"/>
                <w:kern w:val="0"/>
                <w:sz w:val="24"/>
              </w:rPr>
              <w:t>建设规模</w:t>
            </w:r>
          </w:p>
        </w:tc>
        <w:tc>
          <w:tcPr>
            <w:tcW w:w="6489" w:type="dxa"/>
            <w:noWrap w:val="0"/>
            <w:vAlign w:val="center"/>
          </w:tcPr>
          <w:p>
            <w:pPr>
              <w:spacing w:line="360" w:lineRule="auto"/>
              <w:rPr>
                <w:rFonts w:hint="eastAsia" w:ascii="宋体" w:hAnsi="宋体" w:cs="宋体"/>
                <w:sz w:val="24"/>
              </w:rPr>
            </w:pPr>
            <w:r>
              <w:rPr>
                <w:rFonts w:hint="eastAsia" w:ascii="宋体" w:hAnsi="宋体" w:eastAsia="宋体" w:cs="宋体"/>
                <w:sz w:val="24"/>
              </w:rPr>
              <w:t>本工程包括长葛市南席镇游罕村组道路项目</w:t>
            </w:r>
            <w:r>
              <w:rPr>
                <w:rFonts w:hint="eastAsia" w:ascii="宋体" w:hAnsi="宋体" w:eastAsia="宋体" w:cs="宋体"/>
                <w:sz w:val="24"/>
                <w:lang w:eastAsia="zh-CN"/>
              </w:rPr>
              <w:t>，建设内容新修4米宽15公分厚C25混凝土道路219米；新修3米宽15公分厚C25混凝土道路1863米；长葛市古桥镇寺后李村组道路项目，建设内容新修4米宽15公分厚C25混凝土道路1422米；长葛市古桥镇菜王村组道路项目，建设内容新修4米宽15公分厚C25混凝土道路1220米。</w:t>
            </w:r>
            <w:r>
              <w:rPr>
                <w:rFonts w:hint="eastAsia" w:ascii="宋体" w:hAnsi="宋体" w:eastAsia="宋体" w:cs="宋体"/>
                <w:sz w:val="24"/>
              </w:rPr>
              <w:t xml:space="preserve"> 具体工作内容详见工程量清单。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1.1.7</w:t>
            </w:r>
          </w:p>
        </w:tc>
        <w:tc>
          <w:tcPr>
            <w:tcW w:w="2268" w:type="dxa"/>
            <w:gridSpan w:val="2"/>
            <w:noWrap w:val="0"/>
            <w:vAlign w:val="center"/>
          </w:tcPr>
          <w:p>
            <w:pPr>
              <w:rPr>
                <w:rFonts w:hint="eastAsia" w:ascii="宋体" w:hAnsi="宋体" w:cs="宋体"/>
                <w:sz w:val="24"/>
              </w:rPr>
            </w:pPr>
            <w:r>
              <w:rPr>
                <w:rFonts w:hint="eastAsia" w:ascii="宋体" w:hAnsi="宋体" w:cs="宋体"/>
                <w:sz w:val="24"/>
              </w:rPr>
              <w:t>标段划分</w:t>
            </w:r>
          </w:p>
        </w:tc>
        <w:tc>
          <w:tcPr>
            <w:tcW w:w="6489" w:type="dxa"/>
            <w:noWrap w:val="0"/>
            <w:vAlign w:val="center"/>
          </w:tcPr>
          <w:p>
            <w:pPr>
              <w:rPr>
                <w:rFonts w:hint="eastAsia" w:ascii="宋体" w:hAnsi="宋体" w:cs="宋体"/>
                <w:kern w:val="0"/>
                <w:sz w:val="24"/>
              </w:rPr>
            </w:pPr>
            <w:r>
              <w:rPr>
                <w:rFonts w:hint="eastAsia" w:ascii="宋体" w:hAnsi="宋体" w:cs="宋体"/>
                <w:kern w:val="0"/>
                <w:sz w:val="24"/>
              </w:rPr>
              <w:t>本项目划分为一个标段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1.2.1</w:t>
            </w:r>
          </w:p>
        </w:tc>
        <w:tc>
          <w:tcPr>
            <w:tcW w:w="2268" w:type="dxa"/>
            <w:gridSpan w:val="2"/>
            <w:noWrap w:val="0"/>
            <w:vAlign w:val="center"/>
          </w:tcPr>
          <w:p>
            <w:pPr>
              <w:rPr>
                <w:rFonts w:hint="eastAsia" w:ascii="宋体" w:hAnsi="宋体" w:cs="宋体"/>
                <w:kern w:val="0"/>
                <w:sz w:val="24"/>
              </w:rPr>
            </w:pPr>
            <w:r>
              <w:rPr>
                <w:rFonts w:hint="eastAsia" w:ascii="宋体" w:hAnsi="宋体" w:cs="宋体"/>
                <w:kern w:val="0"/>
                <w:sz w:val="24"/>
              </w:rPr>
              <w:t>资金来源</w:t>
            </w:r>
          </w:p>
        </w:tc>
        <w:tc>
          <w:tcPr>
            <w:tcW w:w="6489" w:type="dxa"/>
            <w:noWrap w:val="0"/>
            <w:vAlign w:val="center"/>
          </w:tcPr>
          <w:p>
            <w:pPr>
              <w:rPr>
                <w:rFonts w:hint="eastAsia" w:ascii="宋体" w:hAnsi="宋体" w:cs="宋体"/>
                <w:color w:val="000000"/>
                <w:kern w:val="0"/>
                <w:sz w:val="24"/>
              </w:rPr>
            </w:pPr>
            <w:r>
              <w:rPr>
                <w:rFonts w:hint="eastAsia" w:ascii="宋体" w:hAnsi="宋体" w:cs="宋体"/>
                <w:color w:val="000000"/>
                <w:kern w:val="0"/>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1.2.2</w:t>
            </w:r>
          </w:p>
        </w:tc>
        <w:tc>
          <w:tcPr>
            <w:tcW w:w="2268" w:type="dxa"/>
            <w:gridSpan w:val="2"/>
            <w:noWrap w:val="0"/>
            <w:vAlign w:val="center"/>
          </w:tcPr>
          <w:p>
            <w:pPr>
              <w:rPr>
                <w:rFonts w:hint="eastAsia" w:ascii="宋体" w:hAnsi="宋体" w:cs="宋体"/>
                <w:kern w:val="0"/>
                <w:sz w:val="24"/>
              </w:rPr>
            </w:pPr>
            <w:r>
              <w:rPr>
                <w:rFonts w:hint="eastAsia" w:ascii="宋体" w:hAnsi="宋体" w:cs="宋体"/>
                <w:kern w:val="0"/>
                <w:sz w:val="24"/>
              </w:rPr>
              <w:t>出资比例</w:t>
            </w:r>
          </w:p>
        </w:tc>
        <w:tc>
          <w:tcPr>
            <w:tcW w:w="6489" w:type="dxa"/>
            <w:noWrap w:val="0"/>
            <w:vAlign w:val="center"/>
          </w:tcPr>
          <w:p>
            <w:pPr>
              <w:rPr>
                <w:rFonts w:hint="eastAsia" w:ascii="宋体" w:hAnsi="宋体" w:cs="宋体"/>
                <w:color w:val="000000"/>
                <w:kern w:val="0"/>
                <w:sz w:val="24"/>
              </w:rPr>
            </w:pPr>
            <w:r>
              <w:rPr>
                <w:rFonts w:hint="eastAsia" w:ascii="宋体" w:hAnsi="宋体" w:cs="宋体"/>
                <w:color w:val="000000"/>
                <w:kern w:val="0"/>
                <w:sz w:val="24"/>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1.2.3</w:t>
            </w:r>
          </w:p>
        </w:tc>
        <w:tc>
          <w:tcPr>
            <w:tcW w:w="2268" w:type="dxa"/>
            <w:gridSpan w:val="2"/>
            <w:noWrap w:val="0"/>
            <w:vAlign w:val="center"/>
          </w:tcPr>
          <w:p>
            <w:pPr>
              <w:rPr>
                <w:rFonts w:hint="eastAsia" w:ascii="宋体" w:hAnsi="宋体" w:cs="宋体"/>
                <w:kern w:val="0"/>
                <w:sz w:val="24"/>
              </w:rPr>
            </w:pPr>
            <w:r>
              <w:rPr>
                <w:rFonts w:hint="eastAsia" w:ascii="宋体" w:hAnsi="宋体" w:cs="宋体"/>
                <w:kern w:val="0"/>
                <w:sz w:val="24"/>
              </w:rPr>
              <w:t>资金落实情况</w:t>
            </w:r>
          </w:p>
        </w:tc>
        <w:tc>
          <w:tcPr>
            <w:tcW w:w="6489" w:type="dxa"/>
            <w:noWrap w:val="0"/>
            <w:vAlign w:val="center"/>
          </w:tcPr>
          <w:p>
            <w:pPr>
              <w:rPr>
                <w:rFonts w:hint="eastAsia" w:ascii="宋体" w:hAnsi="宋体" w:cs="宋体"/>
                <w:kern w:val="0"/>
                <w:sz w:val="24"/>
              </w:rPr>
            </w:pPr>
            <w:r>
              <w:rPr>
                <w:rFonts w:hint="eastAsia" w:ascii="宋体" w:hAnsi="宋体" w:cs="宋体"/>
                <w:kern w:val="0"/>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1.3.1</w:t>
            </w:r>
          </w:p>
        </w:tc>
        <w:tc>
          <w:tcPr>
            <w:tcW w:w="2268" w:type="dxa"/>
            <w:gridSpan w:val="2"/>
            <w:noWrap w:val="0"/>
            <w:vAlign w:val="center"/>
          </w:tcPr>
          <w:p>
            <w:pPr>
              <w:rPr>
                <w:rFonts w:hint="eastAsia" w:ascii="宋体" w:hAnsi="宋体" w:cs="宋体"/>
                <w:kern w:val="0"/>
                <w:sz w:val="24"/>
              </w:rPr>
            </w:pPr>
            <w:r>
              <w:rPr>
                <w:rFonts w:hint="eastAsia" w:ascii="宋体" w:hAnsi="宋体" w:cs="宋体"/>
                <w:kern w:val="0"/>
                <w:sz w:val="24"/>
              </w:rPr>
              <w:t>招标范围</w:t>
            </w:r>
          </w:p>
        </w:tc>
        <w:tc>
          <w:tcPr>
            <w:tcW w:w="6489" w:type="dxa"/>
            <w:noWrap w:val="0"/>
            <w:vAlign w:val="center"/>
          </w:tcPr>
          <w:p>
            <w:pPr>
              <w:rPr>
                <w:rFonts w:hint="eastAsia" w:ascii="宋体" w:hAnsi="宋体" w:cs="宋体"/>
                <w:kern w:val="0"/>
                <w:sz w:val="24"/>
              </w:rPr>
            </w:pPr>
            <w:r>
              <w:rPr>
                <w:rFonts w:hint="eastAsia" w:ascii="宋体" w:hAnsi="宋体" w:cs="宋体"/>
                <w:kern w:val="0"/>
                <w:sz w:val="24"/>
              </w:rPr>
              <w:t>本工程招标文件、补充文件、施工图纸、工程量清单及答疑纪要等列明的所有建设内容。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1.3.2</w:t>
            </w:r>
          </w:p>
        </w:tc>
        <w:tc>
          <w:tcPr>
            <w:tcW w:w="2268" w:type="dxa"/>
            <w:gridSpan w:val="2"/>
            <w:noWrap w:val="0"/>
            <w:vAlign w:val="center"/>
          </w:tcPr>
          <w:p>
            <w:pPr>
              <w:rPr>
                <w:rFonts w:hint="eastAsia" w:ascii="宋体" w:hAnsi="宋体" w:cs="宋体"/>
                <w:kern w:val="0"/>
                <w:sz w:val="24"/>
              </w:rPr>
            </w:pPr>
            <w:r>
              <w:rPr>
                <w:rFonts w:hint="eastAsia" w:ascii="宋体" w:hAnsi="宋体" w:cs="宋体"/>
                <w:kern w:val="0"/>
                <w:sz w:val="24"/>
              </w:rPr>
              <w:t>计划工期</w:t>
            </w:r>
          </w:p>
        </w:tc>
        <w:tc>
          <w:tcPr>
            <w:tcW w:w="6489" w:type="dxa"/>
            <w:noWrap w:val="0"/>
            <w:vAlign w:val="center"/>
          </w:tcPr>
          <w:p>
            <w:pPr>
              <w:rPr>
                <w:rFonts w:hint="eastAsia" w:ascii="宋体" w:hAnsi="宋体" w:cs="宋体"/>
                <w:color w:val="000000"/>
                <w:kern w:val="0"/>
                <w:sz w:val="24"/>
              </w:rPr>
            </w:pPr>
            <w:r>
              <w:rPr>
                <w:rFonts w:hint="eastAsia" w:ascii="宋体" w:hAnsi="宋体" w:cs="宋体"/>
                <w:color w:val="000000"/>
                <w:kern w:val="0"/>
                <w:sz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1.3.3</w:t>
            </w:r>
          </w:p>
        </w:tc>
        <w:tc>
          <w:tcPr>
            <w:tcW w:w="2268" w:type="dxa"/>
            <w:gridSpan w:val="2"/>
            <w:noWrap w:val="0"/>
            <w:vAlign w:val="center"/>
          </w:tcPr>
          <w:p>
            <w:pPr>
              <w:rPr>
                <w:rFonts w:hint="eastAsia" w:ascii="宋体" w:hAnsi="宋体" w:cs="宋体"/>
                <w:kern w:val="0"/>
                <w:sz w:val="24"/>
              </w:rPr>
            </w:pPr>
            <w:r>
              <w:rPr>
                <w:rFonts w:hint="eastAsia" w:ascii="宋体" w:hAnsi="宋体" w:cs="宋体"/>
                <w:kern w:val="0"/>
                <w:sz w:val="24"/>
              </w:rPr>
              <w:t>质量要求</w:t>
            </w:r>
          </w:p>
        </w:tc>
        <w:tc>
          <w:tcPr>
            <w:tcW w:w="6489" w:type="dxa"/>
            <w:noWrap w:val="0"/>
            <w:vAlign w:val="center"/>
          </w:tcPr>
          <w:p>
            <w:pPr>
              <w:rPr>
                <w:rFonts w:hint="eastAsia" w:ascii="宋体" w:hAnsi="宋体" w:cs="宋体"/>
                <w:kern w:val="0"/>
                <w:sz w:val="24"/>
              </w:rPr>
            </w:pPr>
            <w:r>
              <w:rPr>
                <w:rFonts w:hint="eastAsia" w:ascii="宋体" w:hAnsi="宋体" w:cs="宋体"/>
                <w:kern w:val="0"/>
                <w:sz w:val="24"/>
              </w:rPr>
              <w:t>合格(达到国家建设工程质量验收的规范和标准)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1.3.4</w:t>
            </w:r>
          </w:p>
        </w:tc>
        <w:tc>
          <w:tcPr>
            <w:tcW w:w="2268" w:type="dxa"/>
            <w:gridSpan w:val="2"/>
            <w:noWrap w:val="0"/>
            <w:vAlign w:val="center"/>
          </w:tcPr>
          <w:p>
            <w:pPr>
              <w:rPr>
                <w:rFonts w:hint="eastAsia" w:ascii="宋体" w:hAnsi="宋体" w:cs="宋体"/>
                <w:kern w:val="0"/>
                <w:sz w:val="24"/>
              </w:rPr>
            </w:pPr>
            <w:r>
              <w:rPr>
                <w:rFonts w:hint="eastAsia" w:ascii="宋体" w:hAnsi="宋体" w:cs="宋体"/>
                <w:kern w:val="0"/>
                <w:sz w:val="24"/>
              </w:rPr>
              <w:t>安全目标</w:t>
            </w:r>
          </w:p>
        </w:tc>
        <w:tc>
          <w:tcPr>
            <w:tcW w:w="6489" w:type="dxa"/>
            <w:noWrap w:val="0"/>
            <w:vAlign w:val="center"/>
          </w:tcPr>
          <w:p>
            <w:pPr>
              <w:rPr>
                <w:rFonts w:hint="eastAsia" w:ascii="宋体" w:hAnsi="宋体" w:cs="宋体"/>
                <w:kern w:val="0"/>
                <w:sz w:val="24"/>
              </w:rPr>
            </w:pPr>
            <w:r>
              <w:rPr>
                <w:rFonts w:hint="eastAsia" w:ascii="宋体" w:hAnsi="宋体" w:cs="宋体"/>
                <w:kern w:val="0"/>
                <w:sz w:val="24"/>
              </w:rPr>
              <w:t>达到零事故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1.4.1</w:t>
            </w:r>
          </w:p>
        </w:tc>
        <w:tc>
          <w:tcPr>
            <w:tcW w:w="2268" w:type="dxa"/>
            <w:gridSpan w:val="2"/>
            <w:noWrap w:val="0"/>
            <w:vAlign w:val="center"/>
          </w:tcPr>
          <w:p>
            <w:pPr>
              <w:rPr>
                <w:rFonts w:hint="eastAsia" w:ascii="宋体" w:hAnsi="宋体" w:cs="宋体"/>
                <w:sz w:val="24"/>
              </w:rPr>
            </w:pPr>
            <w:r>
              <w:rPr>
                <w:rFonts w:hint="eastAsia" w:ascii="宋体" w:hAnsi="宋体" w:cs="宋体"/>
                <w:sz w:val="24"/>
              </w:rPr>
              <w:t>投标人资质条件、</w:t>
            </w:r>
          </w:p>
          <w:p>
            <w:pPr>
              <w:spacing w:line="360" w:lineRule="auto"/>
              <w:rPr>
                <w:rFonts w:hint="eastAsia" w:ascii="宋体" w:hAnsi="宋体" w:cs="宋体"/>
                <w:sz w:val="24"/>
              </w:rPr>
            </w:pPr>
            <w:r>
              <w:rPr>
                <w:rFonts w:hint="eastAsia" w:ascii="宋体" w:hAnsi="宋体" w:cs="宋体"/>
                <w:sz w:val="24"/>
              </w:rPr>
              <w:t>能力和信誉</w:t>
            </w:r>
          </w:p>
        </w:tc>
        <w:tc>
          <w:tcPr>
            <w:tcW w:w="6489" w:type="dxa"/>
            <w:noWrap w:val="0"/>
            <w:vAlign w:val="center"/>
          </w:tcPr>
          <w:p>
            <w:pPr>
              <w:spacing w:line="360" w:lineRule="auto"/>
              <w:rPr>
                <w:rFonts w:hint="eastAsia" w:ascii="宋体" w:hAnsi="宋体" w:cs="宋体"/>
                <w:kern w:val="0"/>
                <w:sz w:val="24"/>
              </w:rPr>
            </w:pPr>
            <w:r>
              <w:rPr>
                <w:rFonts w:hint="eastAsia" w:ascii="宋体" w:hAnsi="宋体" w:cs="宋体"/>
                <w:kern w:val="0"/>
                <w:sz w:val="24"/>
              </w:rPr>
              <w:t>1.投标人须具备建设行政主管部门颁发的公路工程施工总承包叁级及以上资质，并具备有效的企业安全生产许可证，在人员、设备、资金等方面具有相应的施工能力；拟派建造师须具备贰级及以上公路工程专业注册建造师执业资格，具备有效的安全生产考核合格证书，且未担任其他在施建设项目的项目经理。拟派项目总工须具备中级及以上相关专业职称。</w:t>
            </w:r>
          </w:p>
          <w:p>
            <w:pPr>
              <w:spacing w:line="360" w:lineRule="auto"/>
              <w:rPr>
                <w:rFonts w:hint="eastAsia" w:ascii="宋体" w:hAnsi="宋体" w:cs="宋体"/>
                <w:kern w:val="0"/>
                <w:sz w:val="24"/>
              </w:rPr>
            </w:pPr>
            <w:r>
              <w:rPr>
                <w:rFonts w:hint="eastAsia" w:ascii="宋体" w:hAnsi="宋体" w:cs="宋体"/>
                <w:kern w:val="0"/>
                <w:sz w:val="24"/>
              </w:rPr>
              <w:t>2. 根据《河南省公路建设市场从业单位及人员信用管理办法》第二十一条“对信用考核定级为D级即黑名单的从业单位，”不得参与本项目投标。</w:t>
            </w:r>
          </w:p>
          <w:p>
            <w:pPr>
              <w:spacing w:line="360" w:lineRule="auto"/>
              <w:rPr>
                <w:rFonts w:hint="eastAsia" w:ascii="宋体" w:hAnsi="宋体" w:cs="宋体"/>
                <w:kern w:val="0"/>
                <w:sz w:val="24"/>
              </w:rPr>
            </w:pPr>
            <w:r>
              <w:rPr>
                <w:rFonts w:hint="eastAsia" w:ascii="宋体" w:hAnsi="宋体" w:cs="宋体"/>
                <w:kern w:val="0"/>
                <w:sz w:val="24"/>
              </w:rPr>
              <w:t>3. 未被列入“信用中国”/“信用河南”网站信用信息栏黑名单，“国家企业信用信息公示系统”经营异常名录或严重失信黑名单,无行贿犯罪记录的投标人；</w:t>
            </w:r>
          </w:p>
          <w:p>
            <w:pPr>
              <w:spacing w:line="360" w:lineRule="auto"/>
              <w:rPr>
                <w:rFonts w:hint="eastAsia" w:ascii="宋体" w:hAnsi="宋体" w:cs="宋体"/>
                <w:kern w:val="0"/>
                <w:sz w:val="24"/>
              </w:rPr>
            </w:pPr>
            <w:r>
              <w:rPr>
                <w:rFonts w:hint="eastAsia" w:ascii="宋体" w:hAnsi="宋体" w:cs="宋体"/>
                <w:kern w:val="0"/>
                <w:sz w:val="24"/>
              </w:rPr>
              <w:t>4.本项目不接受联合体投标，不得转包、挂靠及违法分包；</w:t>
            </w:r>
          </w:p>
          <w:p>
            <w:pPr>
              <w:spacing w:line="360" w:lineRule="auto"/>
              <w:rPr>
                <w:rFonts w:hint="eastAsia" w:ascii="宋体" w:hAnsi="宋体" w:cs="宋体"/>
                <w:kern w:val="0"/>
                <w:sz w:val="24"/>
              </w:rPr>
            </w:pPr>
            <w:r>
              <w:rPr>
                <w:rFonts w:hint="eastAsia" w:ascii="宋体" w:hAnsi="宋体" w:cs="宋体"/>
                <w:kern w:val="0"/>
                <w:sz w:val="24"/>
              </w:rPr>
              <w:t>5.与招标人存在利害关系可能影响招标公正性的法人、其他组织或者个人，不得参加投标；单位负责人为同一人或者存在控股、管理关系的不同单位，不得参加同一标段投标或者未划分标段的同一招标项目投标；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360" w:lineRule="auto"/>
              <w:rPr>
                <w:rFonts w:hint="eastAsia" w:ascii="宋体" w:hAnsi="宋体" w:cs="宋体"/>
                <w:kern w:val="0"/>
                <w:sz w:val="24"/>
              </w:rPr>
            </w:pPr>
            <w:r>
              <w:rPr>
                <w:rFonts w:hint="eastAsia" w:ascii="宋体" w:hAnsi="宋体" w:cs="宋体"/>
                <w:kern w:val="0"/>
                <w:sz w:val="24"/>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1.4.2</w:t>
            </w:r>
          </w:p>
        </w:tc>
        <w:tc>
          <w:tcPr>
            <w:tcW w:w="2268" w:type="dxa"/>
            <w:gridSpan w:val="2"/>
            <w:noWrap w:val="0"/>
            <w:vAlign w:val="center"/>
          </w:tcPr>
          <w:p>
            <w:pPr>
              <w:rPr>
                <w:rFonts w:hint="eastAsia" w:ascii="宋体" w:hAnsi="宋体" w:cs="宋体"/>
                <w:sz w:val="24"/>
              </w:rPr>
            </w:pPr>
            <w:r>
              <w:rPr>
                <w:rFonts w:hint="eastAsia" w:ascii="宋体" w:hAnsi="宋体" w:cs="宋体"/>
                <w:sz w:val="24"/>
              </w:rPr>
              <w:t>是否接受联合体投标</w:t>
            </w:r>
          </w:p>
        </w:tc>
        <w:tc>
          <w:tcPr>
            <w:tcW w:w="6489" w:type="dxa"/>
            <w:noWrap w:val="0"/>
            <w:vAlign w:val="center"/>
          </w:tcPr>
          <w:p>
            <w:pPr>
              <w:rPr>
                <w:rFonts w:hint="eastAsia" w:ascii="宋体" w:hAnsi="宋体" w:cs="宋体"/>
                <w:kern w:val="0"/>
                <w:sz w:val="24"/>
              </w:rPr>
            </w:pPr>
            <w:r>
              <w:rPr>
                <w:rFonts w:hint="eastAsia" w:ascii="宋体" w:hAnsi="宋体" w:cs="宋体"/>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1.9.1</w:t>
            </w:r>
          </w:p>
        </w:tc>
        <w:tc>
          <w:tcPr>
            <w:tcW w:w="2268" w:type="dxa"/>
            <w:gridSpan w:val="2"/>
            <w:noWrap w:val="0"/>
            <w:vAlign w:val="center"/>
          </w:tcPr>
          <w:p>
            <w:pPr>
              <w:rPr>
                <w:rFonts w:hint="eastAsia" w:ascii="宋体" w:hAnsi="宋体" w:cs="宋体"/>
                <w:sz w:val="24"/>
              </w:rPr>
            </w:pPr>
            <w:r>
              <w:rPr>
                <w:rFonts w:hint="eastAsia" w:ascii="宋体" w:hAnsi="宋体" w:cs="宋体"/>
                <w:sz w:val="24"/>
              </w:rPr>
              <w:t>踏勘现场</w:t>
            </w:r>
          </w:p>
        </w:tc>
        <w:tc>
          <w:tcPr>
            <w:tcW w:w="6489" w:type="dxa"/>
            <w:noWrap w:val="0"/>
            <w:vAlign w:val="center"/>
          </w:tcPr>
          <w:p>
            <w:pPr>
              <w:rPr>
                <w:rFonts w:hint="eastAsia" w:ascii="宋体" w:hAnsi="宋体" w:cs="宋体"/>
                <w:kern w:val="0"/>
                <w:sz w:val="24"/>
              </w:rPr>
            </w:pPr>
            <w:r>
              <w:rPr>
                <w:rFonts w:hint="eastAsia" w:ascii="宋体" w:hAnsi="宋体" w:cs="宋体"/>
                <w:kern w:val="0"/>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1.10</w:t>
            </w:r>
          </w:p>
        </w:tc>
        <w:tc>
          <w:tcPr>
            <w:tcW w:w="2268" w:type="dxa"/>
            <w:gridSpan w:val="2"/>
            <w:noWrap w:val="0"/>
            <w:vAlign w:val="center"/>
          </w:tcPr>
          <w:p>
            <w:pPr>
              <w:rPr>
                <w:rFonts w:hint="eastAsia" w:ascii="宋体" w:hAnsi="宋体" w:cs="宋体"/>
                <w:sz w:val="24"/>
              </w:rPr>
            </w:pPr>
            <w:r>
              <w:rPr>
                <w:rFonts w:hint="eastAsia" w:ascii="宋体" w:hAnsi="宋体" w:cs="宋体"/>
                <w:sz w:val="24"/>
              </w:rPr>
              <w:t>投标预备会</w:t>
            </w:r>
          </w:p>
        </w:tc>
        <w:tc>
          <w:tcPr>
            <w:tcW w:w="6489" w:type="dxa"/>
            <w:noWrap w:val="0"/>
            <w:vAlign w:val="center"/>
          </w:tcPr>
          <w:p>
            <w:pPr>
              <w:rPr>
                <w:rFonts w:hint="eastAsia" w:ascii="宋体" w:hAnsi="宋体" w:cs="宋体"/>
                <w:kern w:val="0"/>
                <w:sz w:val="24"/>
              </w:rPr>
            </w:pPr>
            <w:r>
              <w:rPr>
                <w:rFonts w:hint="eastAsia" w:ascii="宋体" w:hAnsi="宋体" w:cs="宋体"/>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1.11</w:t>
            </w:r>
          </w:p>
        </w:tc>
        <w:tc>
          <w:tcPr>
            <w:tcW w:w="2268" w:type="dxa"/>
            <w:gridSpan w:val="2"/>
            <w:noWrap w:val="0"/>
            <w:vAlign w:val="center"/>
          </w:tcPr>
          <w:p>
            <w:pPr>
              <w:rPr>
                <w:rFonts w:hint="eastAsia" w:ascii="宋体" w:hAnsi="宋体" w:cs="宋体"/>
                <w:sz w:val="24"/>
              </w:rPr>
            </w:pPr>
            <w:r>
              <w:rPr>
                <w:rFonts w:hint="eastAsia" w:ascii="宋体" w:hAnsi="宋体" w:cs="宋体"/>
                <w:sz w:val="24"/>
              </w:rPr>
              <w:t>分  包</w:t>
            </w:r>
          </w:p>
        </w:tc>
        <w:tc>
          <w:tcPr>
            <w:tcW w:w="6489" w:type="dxa"/>
            <w:noWrap w:val="0"/>
            <w:vAlign w:val="center"/>
          </w:tcPr>
          <w:p>
            <w:pPr>
              <w:rPr>
                <w:rFonts w:hint="eastAsia" w:ascii="宋体" w:hAnsi="宋体" w:cs="宋体"/>
                <w:kern w:val="0"/>
                <w:sz w:val="24"/>
              </w:rPr>
            </w:pPr>
            <w:r>
              <w:rPr>
                <w:rFonts w:hint="eastAsia" w:ascii="宋体" w:hAnsi="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1.12</w:t>
            </w:r>
          </w:p>
        </w:tc>
        <w:tc>
          <w:tcPr>
            <w:tcW w:w="2268" w:type="dxa"/>
            <w:gridSpan w:val="2"/>
            <w:noWrap w:val="0"/>
            <w:vAlign w:val="center"/>
          </w:tcPr>
          <w:p>
            <w:pPr>
              <w:rPr>
                <w:rFonts w:hint="eastAsia" w:ascii="宋体" w:hAnsi="宋体" w:cs="宋体"/>
                <w:sz w:val="24"/>
              </w:rPr>
            </w:pPr>
            <w:r>
              <w:rPr>
                <w:rFonts w:hint="eastAsia" w:ascii="宋体" w:hAnsi="宋体" w:cs="宋体"/>
                <w:sz w:val="24"/>
              </w:rPr>
              <w:t>偏  离</w:t>
            </w:r>
          </w:p>
        </w:tc>
        <w:tc>
          <w:tcPr>
            <w:tcW w:w="6489" w:type="dxa"/>
            <w:noWrap w:val="0"/>
            <w:vAlign w:val="center"/>
          </w:tcPr>
          <w:p>
            <w:pPr>
              <w:rPr>
                <w:rFonts w:hint="eastAsia" w:ascii="宋体" w:hAnsi="宋体" w:cs="宋体"/>
                <w:kern w:val="0"/>
                <w:sz w:val="24"/>
              </w:rPr>
            </w:pPr>
            <w:r>
              <w:rPr>
                <w:rFonts w:hint="eastAsia" w:ascii="宋体" w:hAnsi="宋体" w:cs="宋体"/>
                <w:kern w:val="0"/>
                <w:sz w:val="24"/>
              </w:rPr>
              <w:t>重大偏离不允许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1.13</w:t>
            </w:r>
          </w:p>
        </w:tc>
        <w:tc>
          <w:tcPr>
            <w:tcW w:w="2268" w:type="dxa"/>
            <w:gridSpan w:val="2"/>
            <w:noWrap w:val="0"/>
            <w:vAlign w:val="center"/>
          </w:tcPr>
          <w:p>
            <w:pPr>
              <w:rPr>
                <w:rFonts w:hint="eastAsia" w:ascii="宋体" w:hAnsi="宋体" w:cs="宋体"/>
                <w:sz w:val="24"/>
              </w:rPr>
            </w:pPr>
            <w:r>
              <w:rPr>
                <w:rFonts w:hint="eastAsia" w:ascii="宋体" w:hAnsi="宋体" w:cs="宋体"/>
                <w:sz w:val="24"/>
              </w:rPr>
              <w:t>招标文件及图纸的获取</w:t>
            </w:r>
          </w:p>
        </w:tc>
        <w:tc>
          <w:tcPr>
            <w:tcW w:w="6489" w:type="dxa"/>
            <w:noWrap w:val="0"/>
            <w:vAlign w:val="center"/>
          </w:tcPr>
          <w:p>
            <w:pPr>
              <w:rPr>
                <w:rFonts w:hint="eastAsia" w:ascii="宋体" w:hAnsi="宋体" w:cs="宋体"/>
                <w:kern w:val="0"/>
                <w:sz w:val="24"/>
              </w:rPr>
            </w:pPr>
            <w:r>
              <w:rPr>
                <w:rFonts w:hint="eastAsia" w:ascii="宋体" w:hAnsi="宋体" w:cs="宋体"/>
                <w:kern w:val="0"/>
                <w:sz w:val="24"/>
              </w:rPr>
              <w:t>在全国公共资源交易平台（河南省.许昌市）网上下载招标文件、工程量清单、图纸（如有）。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2.1</w:t>
            </w:r>
          </w:p>
        </w:tc>
        <w:tc>
          <w:tcPr>
            <w:tcW w:w="2268" w:type="dxa"/>
            <w:gridSpan w:val="2"/>
            <w:noWrap w:val="0"/>
            <w:vAlign w:val="center"/>
          </w:tcPr>
          <w:p>
            <w:pPr>
              <w:rPr>
                <w:rFonts w:hint="eastAsia" w:ascii="宋体" w:hAnsi="宋体" w:cs="宋体"/>
                <w:sz w:val="24"/>
              </w:rPr>
            </w:pPr>
            <w:r>
              <w:rPr>
                <w:rFonts w:hint="eastAsia" w:ascii="宋体" w:hAnsi="宋体" w:cs="宋体"/>
                <w:sz w:val="24"/>
              </w:rPr>
              <w:t>构成招标文件的</w:t>
            </w:r>
          </w:p>
          <w:p>
            <w:pPr>
              <w:rPr>
                <w:rFonts w:hint="eastAsia" w:ascii="宋体" w:hAnsi="宋体" w:cs="宋体"/>
                <w:sz w:val="24"/>
              </w:rPr>
            </w:pPr>
            <w:r>
              <w:rPr>
                <w:rFonts w:hint="eastAsia" w:ascii="宋体" w:hAnsi="宋体" w:cs="宋体"/>
                <w:sz w:val="24"/>
              </w:rPr>
              <w:t>其他材料</w:t>
            </w:r>
          </w:p>
        </w:tc>
        <w:tc>
          <w:tcPr>
            <w:tcW w:w="6489" w:type="dxa"/>
            <w:noWrap w:val="0"/>
            <w:vAlign w:val="center"/>
          </w:tcPr>
          <w:p>
            <w:pPr>
              <w:rPr>
                <w:rFonts w:hint="eastAsia" w:ascii="宋体" w:hAnsi="宋体" w:cs="宋体"/>
                <w:kern w:val="0"/>
                <w:sz w:val="24"/>
              </w:rPr>
            </w:pPr>
            <w:r>
              <w:rPr>
                <w:rFonts w:hint="eastAsia" w:ascii="宋体" w:hAnsi="宋体" w:cs="宋体"/>
                <w:kern w:val="0"/>
                <w:sz w:val="24"/>
              </w:rPr>
              <w:t>经备案的招标文件、答疑、招标文件的补充和修改文件（如有）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2.2.1</w:t>
            </w:r>
          </w:p>
        </w:tc>
        <w:tc>
          <w:tcPr>
            <w:tcW w:w="2268" w:type="dxa"/>
            <w:gridSpan w:val="2"/>
            <w:noWrap w:val="0"/>
            <w:vAlign w:val="center"/>
          </w:tcPr>
          <w:p>
            <w:pPr>
              <w:rPr>
                <w:rFonts w:hint="eastAsia" w:ascii="宋体" w:hAnsi="宋体" w:cs="宋体"/>
                <w:sz w:val="24"/>
              </w:rPr>
            </w:pPr>
            <w:r>
              <w:rPr>
                <w:rFonts w:hint="eastAsia" w:ascii="宋体" w:hAnsi="宋体" w:cs="宋体"/>
                <w:sz w:val="24"/>
              </w:rPr>
              <w:t>投标人要求澄清招标文件的截止时间</w:t>
            </w:r>
          </w:p>
        </w:tc>
        <w:tc>
          <w:tcPr>
            <w:tcW w:w="6489" w:type="dxa"/>
            <w:noWrap w:val="0"/>
            <w:vAlign w:val="center"/>
          </w:tcPr>
          <w:p>
            <w:pPr>
              <w:rPr>
                <w:rFonts w:hint="eastAsia" w:ascii="宋体" w:hAnsi="宋体" w:cs="宋体"/>
                <w:kern w:val="0"/>
                <w:sz w:val="24"/>
              </w:rPr>
            </w:pPr>
            <w:r>
              <w:rPr>
                <w:rFonts w:hint="eastAsia" w:ascii="宋体" w:hAnsi="宋体" w:cs="宋体"/>
                <w:kern w:val="0"/>
                <w:sz w:val="24"/>
              </w:rPr>
              <w:t>递交投标文件截止之日15日之前通过公共资源交易系统电子平台发出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2.2.3</w:t>
            </w:r>
          </w:p>
        </w:tc>
        <w:tc>
          <w:tcPr>
            <w:tcW w:w="2268" w:type="dxa"/>
            <w:gridSpan w:val="2"/>
            <w:noWrap w:val="0"/>
            <w:vAlign w:val="center"/>
          </w:tcPr>
          <w:p>
            <w:pPr>
              <w:rPr>
                <w:rFonts w:hint="eastAsia" w:ascii="宋体" w:hAnsi="宋体" w:cs="宋体"/>
                <w:sz w:val="24"/>
              </w:rPr>
            </w:pPr>
            <w:r>
              <w:rPr>
                <w:rFonts w:hint="eastAsia" w:ascii="宋体" w:hAnsi="宋体" w:cs="宋体"/>
                <w:sz w:val="24"/>
              </w:rPr>
              <w:t>投标人确认收到招标文件澄清的时间</w:t>
            </w:r>
          </w:p>
        </w:tc>
        <w:tc>
          <w:tcPr>
            <w:tcW w:w="6489" w:type="dxa"/>
            <w:noWrap w:val="0"/>
            <w:vAlign w:val="center"/>
          </w:tcPr>
          <w:p>
            <w:pPr>
              <w:rPr>
                <w:rFonts w:hint="eastAsia" w:ascii="宋体" w:hAnsi="宋体" w:cs="宋体"/>
                <w:kern w:val="0"/>
                <w:sz w:val="24"/>
              </w:rPr>
            </w:pPr>
            <w:r>
              <w:rPr>
                <w:rFonts w:hint="eastAsia" w:ascii="宋体" w:hAnsi="宋体" w:cs="宋体"/>
                <w:kern w:val="0"/>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2.3.2</w:t>
            </w:r>
          </w:p>
        </w:tc>
        <w:tc>
          <w:tcPr>
            <w:tcW w:w="2268" w:type="dxa"/>
            <w:gridSpan w:val="2"/>
            <w:noWrap w:val="0"/>
            <w:vAlign w:val="center"/>
          </w:tcPr>
          <w:p>
            <w:pPr>
              <w:rPr>
                <w:rFonts w:hint="eastAsia" w:ascii="宋体" w:hAnsi="宋体" w:cs="宋体"/>
                <w:sz w:val="24"/>
              </w:rPr>
            </w:pPr>
            <w:r>
              <w:rPr>
                <w:rFonts w:hint="eastAsia" w:ascii="宋体" w:hAnsi="宋体" w:cs="宋体"/>
                <w:sz w:val="24"/>
              </w:rPr>
              <w:t>投标人确认收到招标文件修改的时间</w:t>
            </w:r>
          </w:p>
        </w:tc>
        <w:tc>
          <w:tcPr>
            <w:tcW w:w="6489" w:type="dxa"/>
            <w:noWrap w:val="0"/>
            <w:vAlign w:val="center"/>
          </w:tcPr>
          <w:p>
            <w:pPr>
              <w:rPr>
                <w:rFonts w:hint="eastAsia" w:ascii="宋体" w:hAnsi="宋体" w:cs="宋体"/>
                <w:sz w:val="24"/>
                <w:u w:val="single"/>
              </w:rPr>
            </w:pPr>
            <w:r>
              <w:rPr>
                <w:rFonts w:hint="eastAsia" w:ascii="宋体" w:hAnsi="宋体" w:cs="宋体"/>
                <w:sz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4" w:type="dxa"/>
            <w:noWrap w:val="0"/>
            <w:vAlign w:val="center"/>
          </w:tcPr>
          <w:p>
            <w:pPr>
              <w:spacing w:line="360" w:lineRule="auto"/>
              <w:rPr>
                <w:rFonts w:hint="eastAsia" w:ascii="宋体" w:hAnsi="宋体" w:cs="宋体"/>
                <w:kern w:val="0"/>
                <w:sz w:val="24"/>
              </w:rPr>
            </w:pPr>
            <w:r>
              <w:rPr>
                <w:rFonts w:hint="eastAsia" w:ascii="宋体" w:hAnsi="宋体" w:cs="宋体"/>
                <w:kern w:val="0"/>
                <w:sz w:val="24"/>
              </w:rPr>
              <w:t>2.3.3</w:t>
            </w:r>
          </w:p>
        </w:tc>
        <w:tc>
          <w:tcPr>
            <w:tcW w:w="2268" w:type="dxa"/>
            <w:gridSpan w:val="2"/>
            <w:noWrap w:val="0"/>
            <w:vAlign w:val="center"/>
          </w:tcPr>
          <w:p>
            <w:pPr>
              <w:rPr>
                <w:rFonts w:hint="eastAsia" w:ascii="宋体" w:hAnsi="宋体" w:cs="宋体"/>
                <w:kern w:val="0"/>
                <w:sz w:val="24"/>
              </w:rPr>
            </w:pPr>
            <w:r>
              <w:rPr>
                <w:rFonts w:hint="eastAsia" w:ascii="宋体" w:hAnsi="宋体" w:cs="宋体"/>
                <w:kern w:val="0"/>
                <w:sz w:val="24"/>
              </w:rPr>
              <w:t>投标人对招标文件有异议的提出与受理</w:t>
            </w:r>
          </w:p>
        </w:tc>
        <w:tc>
          <w:tcPr>
            <w:tcW w:w="6489" w:type="dxa"/>
            <w:noWrap w:val="0"/>
            <w:vAlign w:val="center"/>
          </w:tcPr>
          <w:p>
            <w:pPr>
              <w:rPr>
                <w:rFonts w:hint="eastAsia" w:ascii="宋体" w:hAnsi="宋体" w:cs="宋体"/>
                <w:sz w:val="24"/>
              </w:rPr>
            </w:pPr>
            <w:r>
              <w:rPr>
                <w:rFonts w:hint="eastAsia" w:ascii="宋体" w:hAnsi="宋体" w:cs="宋体"/>
                <w:sz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3.1.1</w:t>
            </w:r>
          </w:p>
        </w:tc>
        <w:tc>
          <w:tcPr>
            <w:tcW w:w="2268" w:type="dxa"/>
            <w:gridSpan w:val="2"/>
            <w:noWrap w:val="0"/>
            <w:vAlign w:val="center"/>
          </w:tcPr>
          <w:p>
            <w:pPr>
              <w:rPr>
                <w:rFonts w:hint="eastAsia" w:ascii="宋体" w:hAnsi="宋体" w:cs="宋体"/>
                <w:sz w:val="24"/>
              </w:rPr>
            </w:pPr>
            <w:r>
              <w:rPr>
                <w:rFonts w:hint="eastAsia" w:ascii="宋体" w:hAnsi="宋体" w:cs="宋体"/>
                <w:sz w:val="24"/>
              </w:rPr>
              <w:t>构成投标文件的其他材料</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3.3.1</w:t>
            </w:r>
          </w:p>
        </w:tc>
        <w:tc>
          <w:tcPr>
            <w:tcW w:w="2268" w:type="dxa"/>
            <w:gridSpan w:val="2"/>
            <w:noWrap w:val="0"/>
            <w:vAlign w:val="center"/>
          </w:tcPr>
          <w:p>
            <w:pPr>
              <w:rPr>
                <w:rFonts w:hint="eastAsia" w:ascii="宋体" w:hAnsi="宋体" w:cs="宋体"/>
                <w:sz w:val="24"/>
              </w:rPr>
            </w:pPr>
            <w:r>
              <w:rPr>
                <w:rFonts w:hint="eastAsia" w:ascii="宋体" w:hAnsi="宋体" w:cs="宋体"/>
                <w:sz w:val="24"/>
              </w:rPr>
              <w:t>投标有效期</w:t>
            </w:r>
          </w:p>
        </w:tc>
        <w:tc>
          <w:tcPr>
            <w:tcW w:w="6489" w:type="dxa"/>
            <w:noWrap w:val="0"/>
            <w:vAlign w:val="center"/>
          </w:tcPr>
          <w:p>
            <w:pPr>
              <w:rPr>
                <w:rFonts w:hint="eastAsia" w:ascii="宋体" w:hAnsi="宋体" w:cs="宋体"/>
                <w:sz w:val="24"/>
              </w:rPr>
            </w:pPr>
            <w:r>
              <w:rPr>
                <w:rFonts w:hint="eastAsia" w:ascii="宋体" w:hAnsi="宋体" w:cs="宋体"/>
                <w:sz w:val="24"/>
              </w:rPr>
              <w:t>自投标截止时间起</w:t>
            </w:r>
            <w:r>
              <w:rPr>
                <w:rFonts w:hint="eastAsia" w:ascii="宋体" w:hAnsi="宋体" w:cs="宋体"/>
                <w:sz w:val="24"/>
                <w:u w:val="single"/>
              </w:rPr>
              <w:t>60</w:t>
            </w:r>
            <w:r>
              <w:rPr>
                <w:rFonts w:hint="eastAsia" w:ascii="宋体" w:hAnsi="宋体" w:cs="宋体"/>
                <w:sz w:val="24"/>
              </w:rPr>
              <w:t>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3.4</w:t>
            </w:r>
          </w:p>
        </w:tc>
        <w:tc>
          <w:tcPr>
            <w:tcW w:w="2268" w:type="dxa"/>
            <w:gridSpan w:val="2"/>
            <w:noWrap w:val="0"/>
            <w:vAlign w:val="center"/>
          </w:tcPr>
          <w:p>
            <w:pPr>
              <w:rPr>
                <w:rFonts w:hint="eastAsia" w:ascii="宋体" w:hAnsi="宋体" w:cs="宋体"/>
                <w:sz w:val="24"/>
              </w:rPr>
            </w:pPr>
            <w:r>
              <w:rPr>
                <w:rFonts w:hint="eastAsia" w:ascii="宋体" w:hAnsi="宋体" w:cs="宋体"/>
                <w:sz w:val="24"/>
              </w:rPr>
              <w:t>投标担保</w:t>
            </w:r>
          </w:p>
        </w:tc>
        <w:tc>
          <w:tcPr>
            <w:tcW w:w="6489" w:type="dxa"/>
            <w:noWrap w:val="0"/>
            <w:vAlign w:val="center"/>
          </w:tcPr>
          <w:p>
            <w:pPr>
              <w:pStyle w:val="2"/>
              <w:spacing w:line="360" w:lineRule="auto"/>
              <w:ind w:firstLine="0" w:firstLineChars="0"/>
              <w:rPr>
                <w:rFonts w:hint="eastAsia" w:ascii="宋体" w:hAnsi="宋体" w:eastAsia="宋体" w:cs="宋体"/>
                <w:b/>
                <w:bCs/>
                <w:kern w:val="2"/>
                <w:sz w:val="24"/>
                <w:lang w:val="en-US" w:eastAsia="zh-CN"/>
              </w:rPr>
            </w:pPr>
            <w:r>
              <w:rPr>
                <w:rFonts w:hint="eastAsia" w:ascii="宋体" w:hAnsi="宋体" w:eastAsia="宋体" w:cs="宋体"/>
                <w:b/>
                <w:bCs/>
                <w:kern w:val="2"/>
                <w:sz w:val="24"/>
                <w:lang w:val="en-US" w:eastAsia="zh-CN"/>
              </w:rPr>
              <w:t>1.投标保证金递交截止时间： 同投标截止时间。</w:t>
            </w:r>
          </w:p>
          <w:p>
            <w:pPr>
              <w:pStyle w:val="2"/>
              <w:spacing w:line="360" w:lineRule="auto"/>
              <w:ind w:firstLine="0" w:firstLineChars="0"/>
              <w:rPr>
                <w:rFonts w:hint="eastAsia" w:ascii="宋体" w:hAnsi="宋体" w:eastAsia="宋体" w:cs="宋体"/>
                <w:b/>
                <w:bCs/>
                <w:kern w:val="2"/>
                <w:sz w:val="24"/>
                <w:lang w:val="en-US" w:eastAsia="zh-CN"/>
              </w:rPr>
            </w:pPr>
            <w:r>
              <w:rPr>
                <w:rFonts w:hint="eastAsia" w:ascii="宋体" w:hAnsi="宋体" w:eastAsia="宋体" w:cs="宋体"/>
                <w:b/>
                <w:bCs/>
                <w:kern w:val="2"/>
                <w:sz w:val="24"/>
                <w:lang w:val="en-US" w:eastAsia="zh-CN"/>
              </w:rPr>
              <w:t>2.金额：伍万元整（￥50000.00 元）；</w:t>
            </w:r>
          </w:p>
          <w:p>
            <w:pPr>
              <w:pStyle w:val="2"/>
              <w:spacing w:line="360" w:lineRule="auto"/>
              <w:ind w:firstLine="0" w:firstLineChars="0"/>
              <w:rPr>
                <w:rFonts w:hint="eastAsia" w:ascii="宋体" w:hAnsi="宋体" w:cs="宋体"/>
                <w:kern w:val="2"/>
                <w:sz w:val="24"/>
                <w:lang w:val="en-US" w:eastAsia="zh-CN"/>
              </w:rPr>
            </w:pPr>
            <w:r>
              <w:rPr>
                <w:rFonts w:hint="eastAsia" w:ascii="宋体" w:hAnsi="宋体" w:cs="宋体"/>
                <w:b/>
                <w:bCs/>
                <w:kern w:val="2"/>
                <w:sz w:val="24"/>
                <w:lang w:val="en-US" w:eastAsia="zh-CN"/>
              </w:rPr>
              <w:t>3.递交方式</w:t>
            </w:r>
            <w:r>
              <w:rPr>
                <w:rFonts w:hint="eastAsia" w:ascii="宋体" w:hAnsi="宋体" w:cs="宋体"/>
                <w:kern w:val="2"/>
                <w:sz w:val="24"/>
                <w:lang w:val="en-US" w:eastAsia="zh-CN"/>
              </w:rPr>
              <w:t>：银行转账、银行电汇（均需从投标人的基本账户汇出），不接受以现金方式缴纳的投标保证金。凡以现金方式缴纳投标保证金而影响其投标结果的，由投标人自行负责。</w:t>
            </w:r>
          </w:p>
          <w:p>
            <w:pPr>
              <w:spacing w:line="360" w:lineRule="auto"/>
              <w:ind w:firstLine="480" w:firstLineChars="200"/>
              <w:rPr>
                <w:rFonts w:hint="eastAsia" w:ascii="宋体" w:hAnsi="宋体" w:cs="宋体"/>
                <w:sz w:val="24"/>
              </w:rPr>
            </w:pPr>
            <w:r>
              <w:rPr>
                <w:rFonts w:hint="eastAsia" w:ascii="宋体" w:hAnsi="宋体" w:cs="宋体"/>
                <w:sz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360" w:lineRule="auto"/>
              <w:rPr>
                <w:rFonts w:hint="eastAsia" w:ascii="宋体" w:hAnsi="宋体" w:cs="宋体"/>
                <w:sz w:val="24"/>
              </w:rPr>
            </w:pPr>
            <w:r>
              <w:rPr>
                <w:rFonts w:hint="eastAsia" w:ascii="宋体" w:hAnsi="宋体" w:cs="宋体"/>
                <w:b/>
                <w:bCs/>
                <w:sz w:val="24"/>
              </w:rPr>
              <w:t>4.基本户备案</w:t>
            </w:r>
            <w:r>
              <w:rPr>
                <w:rFonts w:hint="eastAsia" w:ascii="宋体" w:hAnsi="宋体" w:cs="宋体"/>
                <w:sz w:val="24"/>
              </w:rPr>
              <w:t>：自文件发布之日起，投标人需进行基本户备案；已备案的基本户，其开户银行及账户发生变化的，须在投标保证金缴纳前办理变更手续。</w:t>
            </w:r>
          </w:p>
          <w:p>
            <w:pPr>
              <w:spacing w:line="360" w:lineRule="auto"/>
              <w:rPr>
                <w:rFonts w:hint="eastAsia" w:ascii="宋体" w:hAnsi="宋体" w:cs="宋体"/>
                <w:sz w:val="24"/>
              </w:rPr>
            </w:pPr>
            <w:r>
              <w:rPr>
                <w:rFonts w:hint="eastAsia" w:ascii="宋体" w:hAnsi="宋体" w:cs="宋体"/>
                <w:sz w:val="24"/>
              </w:rPr>
              <w:t>5.其他事项详见本招标文件投标人须知。</w:t>
            </w:r>
          </w:p>
          <w:p>
            <w:pPr>
              <w:spacing w:line="360" w:lineRule="auto"/>
              <w:ind w:firstLine="352" w:firstLineChars="147"/>
              <w:rPr>
                <w:rFonts w:hint="eastAsia" w:ascii="宋体" w:hAnsi="宋体" w:cs="宋体"/>
                <w:bCs/>
                <w:kern w:val="0"/>
                <w:sz w:val="24"/>
              </w:rPr>
            </w:pPr>
            <w:r>
              <w:rPr>
                <w:rFonts w:hint="eastAsia" w:ascii="宋体" w:hAnsi="宋体" w:cs="宋体"/>
                <w:sz w:val="24"/>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3.5.2</w:t>
            </w:r>
          </w:p>
        </w:tc>
        <w:tc>
          <w:tcPr>
            <w:tcW w:w="2268" w:type="dxa"/>
            <w:gridSpan w:val="2"/>
            <w:noWrap w:val="0"/>
            <w:vAlign w:val="center"/>
          </w:tcPr>
          <w:p>
            <w:pPr>
              <w:rPr>
                <w:rFonts w:hint="eastAsia" w:ascii="宋体" w:hAnsi="宋体" w:cs="宋体"/>
                <w:sz w:val="24"/>
              </w:rPr>
            </w:pPr>
            <w:r>
              <w:rPr>
                <w:rFonts w:hint="eastAsia" w:ascii="宋体" w:hAnsi="宋体" w:cs="宋体"/>
                <w:sz w:val="24"/>
              </w:rPr>
              <w:t>近年财务状况的年份要求</w:t>
            </w:r>
          </w:p>
        </w:tc>
        <w:tc>
          <w:tcPr>
            <w:tcW w:w="6489" w:type="dxa"/>
            <w:noWrap w:val="0"/>
            <w:vAlign w:val="center"/>
          </w:tcPr>
          <w:p>
            <w:pPr>
              <w:rPr>
                <w:rFonts w:hint="eastAsia" w:ascii="宋体" w:hAnsi="宋体" w:cs="宋体"/>
                <w:sz w:val="24"/>
              </w:rPr>
            </w:pPr>
            <w:r>
              <w:rPr>
                <w:rFonts w:hint="eastAsia" w:ascii="宋体" w:hAnsi="宋体" w:cs="宋体"/>
                <w:sz w:val="24"/>
              </w:rPr>
              <w:t>2016年、2017年、2018年。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3.5.3</w:t>
            </w:r>
          </w:p>
        </w:tc>
        <w:tc>
          <w:tcPr>
            <w:tcW w:w="2268" w:type="dxa"/>
            <w:gridSpan w:val="2"/>
            <w:noWrap w:val="0"/>
            <w:vAlign w:val="center"/>
          </w:tcPr>
          <w:p>
            <w:pPr>
              <w:rPr>
                <w:rFonts w:hint="eastAsia" w:ascii="宋体" w:hAnsi="宋体" w:cs="宋体"/>
                <w:sz w:val="24"/>
              </w:rPr>
            </w:pPr>
            <w:r>
              <w:rPr>
                <w:rFonts w:hint="eastAsia" w:ascii="宋体" w:hAnsi="宋体" w:cs="宋体"/>
                <w:sz w:val="24"/>
              </w:rPr>
              <w:t>近年完成的类似项目的年份要求</w:t>
            </w:r>
          </w:p>
        </w:tc>
        <w:tc>
          <w:tcPr>
            <w:tcW w:w="6489" w:type="dxa"/>
            <w:noWrap w:val="0"/>
            <w:vAlign w:val="center"/>
          </w:tcPr>
          <w:p>
            <w:pPr>
              <w:rPr>
                <w:rFonts w:hint="eastAsia" w:ascii="宋体" w:hAnsi="宋体" w:cs="宋体"/>
                <w:sz w:val="24"/>
              </w:rPr>
            </w:pPr>
            <w:r>
              <w:rPr>
                <w:rFonts w:hint="eastAsia" w:ascii="宋体" w:hAnsi="宋体" w:cs="宋体"/>
                <w:sz w:val="24"/>
              </w:rPr>
              <w:t>指2017年1月1日起至今。（以签订合同时间为准）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3.5.5</w:t>
            </w:r>
          </w:p>
        </w:tc>
        <w:tc>
          <w:tcPr>
            <w:tcW w:w="2268" w:type="dxa"/>
            <w:gridSpan w:val="2"/>
            <w:noWrap w:val="0"/>
            <w:vAlign w:val="center"/>
          </w:tcPr>
          <w:p>
            <w:pPr>
              <w:rPr>
                <w:rFonts w:hint="eastAsia" w:ascii="宋体" w:hAnsi="宋体" w:cs="宋体"/>
                <w:sz w:val="24"/>
              </w:rPr>
            </w:pPr>
            <w:r>
              <w:rPr>
                <w:rFonts w:hint="eastAsia" w:ascii="宋体" w:hAnsi="宋体" w:cs="宋体"/>
                <w:sz w:val="24"/>
              </w:rPr>
              <w:t>近年发生的诉讼及仲裁情况的年份要求</w:t>
            </w:r>
          </w:p>
        </w:tc>
        <w:tc>
          <w:tcPr>
            <w:tcW w:w="6489" w:type="dxa"/>
            <w:noWrap w:val="0"/>
            <w:vAlign w:val="center"/>
          </w:tcPr>
          <w:p>
            <w:pPr>
              <w:rPr>
                <w:rFonts w:hint="eastAsia" w:ascii="宋体" w:hAnsi="宋体" w:cs="宋体"/>
                <w:sz w:val="24"/>
              </w:rPr>
            </w:pPr>
            <w:r>
              <w:rPr>
                <w:rFonts w:hint="eastAsia" w:ascii="宋体" w:hAnsi="宋体" w:cs="宋体"/>
                <w:sz w:val="24"/>
              </w:rPr>
              <w:t>指2017年1月1日起至今。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3.5.6</w:t>
            </w:r>
          </w:p>
        </w:tc>
        <w:tc>
          <w:tcPr>
            <w:tcW w:w="2268" w:type="dxa"/>
            <w:gridSpan w:val="2"/>
            <w:noWrap w:val="0"/>
            <w:vAlign w:val="center"/>
          </w:tcPr>
          <w:p>
            <w:pPr>
              <w:rPr>
                <w:rFonts w:hint="eastAsia" w:ascii="宋体" w:hAnsi="宋体" w:cs="宋体"/>
                <w:sz w:val="24"/>
              </w:rPr>
            </w:pPr>
            <w:r>
              <w:rPr>
                <w:rFonts w:hint="eastAsia" w:ascii="宋体" w:hAnsi="宋体" w:cs="宋体"/>
                <w:sz w:val="24"/>
              </w:rPr>
              <w:t>调价函</w:t>
            </w:r>
          </w:p>
        </w:tc>
        <w:tc>
          <w:tcPr>
            <w:tcW w:w="6489" w:type="dxa"/>
            <w:noWrap w:val="0"/>
            <w:vAlign w:val="center"/>
          </w:tcPr>
          <w:p>
            <w:pPr>
              <w:rPr>
                <w:rFonts w:hint="eastAsia" w:ascii="宋体" w:hAnsi="宋体" w:cs="宋体"/>
                <w:sz w:val="24"/>
              </w:rPr>
            </w:pPr>
            <w:r>
              <w:rPr>
                <w:rFonts w:hint="eastAsia" w:ascii="宋体" w:hAnsi="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3.6</w:t>
            </w:r>
          </w:p>
        </w:tc>
        <w:tc>
          <w:tcPr>
            <w:tcW w:w="2268" w:type="dxa"/>
            <w:gridSpan w:val="2"/>
            <w:noWrap w:val="0"/>
            <w:vAlign w:val="center"/>
          </w:tcPr>
          <w:p>
            <w:pPr>
              <w:rPr>
                <w:rFonts w:hint="eastAsia" w:ascii="宋体" w:hAnsi="宋体" w:cs="宋体"/>
                <w:sz w:val="24"/>
              </w:rPr>
            </w:pPr>
            <w:r>
              <w:rPr>
                <w:rFonts w:hint="eastAsia" w:ascii="宋体" w:hAnsi="宋体" w:cs="宋体"/>
                <w:sz w:val="24"/>
              </w:rPr>
              <w:t>是否允许递交</w:t>
            </w:r>
          </w:p>
          <w:p>
            <w:pPr>
              <w:rPr>
                <w:rFonts w:hint="eastAsia" w:ascii="宋体" w:hAnsi="宋体" w:cs="宋体"/>
                <w:sz w:val="24"/>
              </w:rPr>
            </w:pPr>
            <w:r>
              <w:rPr>
                <w:rFonts w:hint="eastAsia" w:ascii="宋体" w:hAnsi="宋体" w:cs="宋体"/>
                <w:sz w:val="24"/>
              </w:rPr>
              <w:t>备选投标方案</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3.7.3</w:t>
            </w:r>
          </w:p>
        </w:tc>
        <w:tc>
          <w:tcPr>
            <w:tcW w:w="2268" w:type="dxa"/>
            <w:gridSpan w:val="2"/>
            <w:noWrap w:val="0"/>
            <w:vAlign w:val="center"/>
          </w:tcPr>
          <w:p>
            <w:pPr>
              <w:spacing w:line="360" w:lineRule="auto"/>
              <w:rPr>
                <w:rFonts w:hint="eastAsia" w:ascii="宋体" w:hAnsi="宋体" w:cs="宋体"/>
                <w:sz w:val="24"/>
              </w:rPr>
            </w:pPr>
            <w:r>
              <w:rPr>
                <w:rFonts w:hint="eastAsia" w:ascii="宋体" w:hAnsi="宋体" w:cs="宋体"/>
                <w:sz w:val="24"/>
              </w:rPr>
              <w:t>签字和（或）</w:t>
            </w:r>
          </w:p>
          <w:p>
            <w:pPr>
              <w:spacing w:line="360" w:lineRule="auto"/>
              <w:rPr>
                <w:rFonts w:hint="eastAsia" w:ascii="宋体" w:hAnsi="宋体" w:cs="宋体"/>
                <w:sz w:val="24"/>
              </w:rPr>
            </w:pPr>
            <w:r>
              <w:rPr>
                <w:rFonts w:hint="eastAsia" w:ascii="宋体" w:hAnsi="宋体" w:cs="宋体"/>
                <w:sz w:val="24"/>
              </w:rPr>
              <w:t>盖章要求</w:t>
            </w:r>
          </w:p>
        </w:tc>
        <w:tc>
          <w:tcPr>
            <w:tcW w:w="6489" w:type="dxa"/>
            <w:noWrap w:val="0"/>
            <w:vAlign w:val="center"/>
          </w:tcPr>
          <w:p>
            <w:pPr>
              <w:autoSpaceDE w:val="0"/>
              <w:autoSpaceDN w:val="0"/>
              <w:spacing w:line="460" w:lineRule="exact"/>
              <w:contextualSpacing/>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p>
            <w:pPr>
              <w:spacing w:line="360" w:lineRule="auto"/>
              <w:rPr>
                <w:rFonts w:hint="eastAsia" w:ascii="宋体" w:hAnsi="宋体" w:cs="宋体"/>
                <w:sz w:val="24"/>
              </w:rPr>
            </w:pPr>
            <w:r>
              <w:rPr>
                <w:rFonts w:hint="eastAsia" w:ascii="新宋体" w:hAnsi="新宋体" w:eastAsia="新宋体"/>
                <w:sz w:val="24"/>
              </w:rPr>
              <w:t>电子投标文件：按招标文件要求加盖</w:t>
            </w:r>
            <w:r>
              <w:rPr>
                <w:rFonts w:hint="eastAsia" w:hAnsi="宋体"/>
                <w:sz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3.7.4</w:t>
            </w:r>
          </w:p>
        </w:tc>
        <w:tc>
          <w:tcPr>
            <w:tcW w:w="2268" w:type="dxa"/>
            <w:gridSpan w:val="2"/>
            <w:noWrap w:val="0"/>
            <w:vAlign w:val="center"/>
          </w:tcPr>
          <w:p>
            <w:pPr>
              <w:rPr>
                <w:rFonts w:hint="eastAsia" w:ascii="宋体" w:hAnsi="宋体" w:cs="宋体"/>
                <w:sz w:val="24"/>
              </w:rPr>
            </w:pPr>
            <w:r>
              <w:rPr>
                <w:rFonts w:hint="eastAsia" w:ascii="宋体" w:hAnsi="宋体" w:cs="宋体"/>
                <w:sz w:val="24"/>
              </w:rPr>
              <w:t>投标文件副本及电子版本的份数</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1、电子投标文件</w:t>
            </w:r>
          </w:p>
          <w:p>
            <w:pPr>
              <w:spacing w:line="360" w:lineRule="auto"/>
              <w:rPr>
                <w:rFonts w:hint="eastAsia" w:ascii="宋体" w:hAnsi="宋体" w:cs="宋体"/>
                <w:sz w:val="24"/>
              </w:rPr>
            </w:pPr>
            <w:r>
              <w:rPr>
                <w:rFonts w:hint="eastAsia" w:ascii="宋体" w:hAnsi="宋体" w:cs="宋体"/>
                <w:sz w:val="24"/>
              </w:rPr>
              <w:t>（1）成功上传至【全国公共资源交易平台（河南省·许昌市）】公共资源交易系统电子投标文件1份（文件格式为：XX公司XXX项目编号.file）。</w:t>
            </w:r>
          </w:p>
          <w:p>
            <w:pPr>
              <w:spacing w:line="360" w:lineRule="auto"/>
              <w:rPr>
                <w:rFonts w:hint="eastAsia" w:ascii="宋体" w:hAnsi="宋体" w:cs="宋体"/>
                <w:sz w:val="24"/>
              </w:rPr>
            </w:pPr>
            <w:r>
              <w:rPr>
                <w:rFonts w:hint="eastAsia" w:ascii="宋体" w:hAnsi="宋体" w:cs="宋体"/>
                <w:sz w:val="24"/>
              </w:rPr>
              <w:t>（2）使用电子介质存储的投标文件1份文件格式为：xxx公司XXX（项目编号）.bin）。</w:t>
            </w:r>
          </w:p>
          <w:p>
            <w:pPr>
              <w:spacing w:line="360" w:lineRule="auto"/>
              <w:rPr>
                <w:rFonts w:hint="eastAsia" w:ascii="宋体" w:hAnsi="宋体" w:cs="宋体"/>
                <w:b/>
                <w:bCs/>
                <w:sz w:val="24"/>
              </w:rPr>
            </w:pPr>
            <w:r>
              <w:rPr>
                <w:rFonts w:hint="eastAsia" w:ascii="宋体" w:hAnsi="宋体" w:cs="宋体"/>
                <w:sz w:val="24"/>
              </w:rPr>
              <w:t>（3）</w:t>
            </w:r>
            <w:r>
              <w:rPr>
                <w:rFonts w:hint="eastAsia" w:ascii="宋体" w:hAnsi="宋体" w:cs="宋体"/>
                <w:b/>
                <w:bCs/>
                <w:sz w:val="24"/>
              </w:rPr>
              <w:t>本项目已标价工程量清单的完整内容以Excle形式储存的电子版（U盘）一份，U盘保证能正常使用。</w:t>
            </w:r>
          </w:p>
          <w:p>
            <w:pPr>
              <w:spacing w:line="360" w:lineRule="auto"/>
              <w:rPr>
                <w:rFonts w:hint="eastAsia" w:ascii="宋体" w:hAnsi="宋体" w:cs="宋体"/>
                <w:sz w:val="24"/>
              </w:rPr>
            </w:pPr>
            <w:r>
              <w:rPr>
                <w:rFonts w:hint="eastAsia" w:ascii="宋体" w:hAnsi="宋体" w:cs="宋体"/>
                <w:sz w:val="24"/>
              </w:rPr>
              <w:t>2、纸质投标文件</w:t>
            </w:r>
          </w:p>
          <w:p>
            <w:pPr>
              <w:spacing w:line="360" w:lineRule="auto"/>
              <w:rPr>
                <w:rFonts w:hint="eastAsia" w:ascii="宋体" w:hAnsi="宋体" w:cs="宋体"/>
                <w:sz w:val="24"/>
              </w:rPr>
            </w:pPr>
            <w:r>
              <w:rPr>
                <w:rFonts w:hint="eastAsia" w:ascii="宋体" w:hAnsi="宋体" w:cs="宋体"/>
                <w:sz w:val="24"/>
              </w:rPr>
              <w:t>第一个信封（商务及技术文件）：正本1份，副本1份；</w:t>
            </w:r>
          </w:p>
          <w:p>
            <w:pPr>
              <w:spacing w:line="360" w:lineRule="auto"/>
              <w:rPr>
                <w:rFonts w:hint="eastAsia" w:ascii="宋体" w:hAnsi="宋体" w:cs="宋体"/>
                <w:sz w:val="24"/>
              </w:rPr>
            </w:pPr>
            <w:r>
              <w:rPr>
                <w:rFonts w:hint="eastAsia" w:ascii="宋体" w:hAnsi="宋体" w:cs="宋体"/>
                <w:sz w:val="24"/>
              </w:rPr>
              <w:t>第二个信封（投标报价和工程量清单）：正本1份，副本1份</w:t>
            </w:r>
          </w:p>
          <w:p>
            <w:pPr>
              <w:spacing w:line="360" w:lineRule="auto"/>
              <w:rPr>
                <w:rFonts w:hint="eastAsia" w:ascii="宋体" w:hAnsi="宋体" w:cs="宋体"/>
                <w:sz w:val="24"/>
              </w:rPr>
            </w:pPr>
            <w:r>
              <w:rPr>
                <w:rFonts w:hint="eastAsia" w:ascii="宋体" w:hAnsi="宋体" w:cs="宋体"/>
                <w:sz w:val="24"/>
              </w:rPr>
              <w:t>3、电子投标文件和纸质投标文件的内容、格式、水印码、电子签章应一致。</w:t>
            </w:r>
          </w:p>
          <w:p>
            <w:pPr>
              <w:spacing w:line="360" w:lineRule="auto"/>
              <w:rPr>
                <w:rFonts w:hint="eastAsia" w:ascii="宋体" w:hAnsi="宋体" w:cs="宋体"/>
                <w:sz w:val="24"/>
              </w:rPr>
            </w:pPr>
            <w:r>
              <w:rPr>
                <w:rFonts w:hint="eastAsia" w:ascii="宋体" w:hAnsi="宋体" w:cs="宋体"/>
                <w:b/>
                <w:bCs/>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3.7.5</w:t>
            </w:r>
          </w:p>
        </w:tc>
        <w:tc>
          <w:tcPr>
            <w:tcW w:w="2268" w:type="dxa"/>
            <w:gridSpan w:val="2"/>
            <w:noWrap w:val="0"/>
            <w:vAlign w:val="center"/>
          </w:tcPr>
          <w:p>
            <w:pPr>
              <w:rPr>
                <w:rFonts w:hint="eastAsia" w:ascii="宋体" w:hAnsi="宋体" w:cs="宋体"/>
                <w:sz w:val="24"/>
              </w:rPr>
            </w:pPr>
            <w:r>
              <w:rPr>
                <w:rFonts w:hint="eastAsia" w:ascii="宋体" w:hAnsi="宋体" w:cs="宋体"/>
                <w:sz w:val="24"/>
              </w:rPr>
              <w:t>电子文本</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使用电子介质存储的投标文件单独密封、盖章，并随纸质投标文件一并提交，且保证能够有效读取。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3.7.6</w:t>
            </w:r>
          </w:p>
        </w:tc>
        <w:tc>
          <w:tcPr>
            <w:tcW w:w="2268" w:type="dxa"/>
            <w:gridSpan w:val="2"/>
            <w:noWrap w:val="0"/>
            <w:vAlign w:val="center"/>
          </w:tcPr>
          <w:p>
            <w:pPr>
              <w:rPr>
                <w:rFonts w:hint="eastAsia" w:ascii="宋体" w:hAnsi="宋体" w:cs="宋体"/>
                <w:sz w:val="24"/>
              </w:rPr>
            </w:pPr>
            <w:r>
              <w:rPr>
                <w:rFonts w:hint="eastAsia" w:ascii="宋体" w:hAnsi="宋体" w:cs="宋体"/>
                <w:sz w:val="24"/>
              </w:rPr>
              <w:t>装订要求</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4.1</w:t>
            </w:r>
          </w:p>
        </w:tc>
        <w:tc>
          <w:tcPr>
            <w:tcW w:w="2268" w:type="dxa"/>
            <w:gridSpan w:val="2"/>
            <w:noWrap w:val="0"/>
            <w:vAlign w:val="center"/>
          </w:tcPr>
          <w:p>
            <w:pPr>
              <w:rPr>
                <w:rFonts w:hint="eastAsia" w:ascii="宋体" w:hAnsi="宋体" w:cs="宋体"/>
                <w:sz w:val="24"/>
              </w:rPr>
            </w:pPr>
            <w:r>
              <w:rPr>
                <w:rFonts w:hint="eastAsia" w:ascii="宋体" w:hAnsi="宋体" w:cs="宋体"/>
                <w:sz w:val="24"/>
              </w:rPr>
              <w:t>投标文件的包封和标记</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本次招标采用双信封形式，第一个信封（商务及技术文件）、第二个信封（投标报价和工程量清单）应单独密封包装。第一个信封（商务及技术文件）的正本与副本统一密封在一个外层封套中；第二个信封（投标报价和工程量清单）的正本与副本统一密封在一个外层封套中；U盘电子版单独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4.1.2</w:t>
            </w:r>
          </w:p>
        </w:tc>
        <w:tc>
          <w:tcPr>
            <w:tcW w:w="2268" w:type="dxa"/>
            <w:gridSpan w:val="2"/>
            <w:noWrap w:val="0"/>
            <w:vAlign w:val="center"/>
          </w:tcPr>
          <w:p>
            <w:pPr>
              <w:rPr>
                <w:rFonts w:hint="eastAsia" w:ascii="宋体" w:hAnsi="宋体" w:cs="宋体"/>
                <w:sz w:val="24"/>
              </w:rPr>
            </w:pPr>
            <w:r>
              <w:rPr>
                <w:rFonts w:hint="eastAsia" w:ascii="宋体" w:hAnsi="宋体" w:cs="宋体"/>
                <w:sz w:val="24"/>
              </w:rPr>
              <w:t>内、外封套上写明</w:t>
            </w:r>
          </w:p>
        </w:tc>
        <w:tc>
          <w:tcPr>
            <w:tcW w:w="6489" w:type="dxa"/>
            <w:noWrap w:val="0"/>
            <w:vAlign w:val="center"/>
          </w:tcPr>
          <w:p>
            <w:pPr>
              <w:widowControl/>
              <w:spacing w:line="360" w:lineRule="auto"/>
              <w:jc w:val="left"/>
              <w:rPr>
                <w:rFonts w:hint="eastAsia" w:ascii="宋体" w:hAnsi="宋体" w:cs="宋体"/>
                <w:b/>
                <w:sz w:val="24"/>
              </w:rPr>
            </w:pPr>
            <w:r>
              <w:rPr>
                <w:rFonts w:hint="eastAsia" w:ascii="宋体" w:hAnsi="宋体" w:cs="宋体"/>
                <w:b/>
                <w:sz w:val="24"/>
              </w:rPr>
              <w:t>投标文件第一个信封外层封套上须写明以下内容：</w:t>
            </w:r>
          </w:p>
          <w:p>
            <w:pPr>
              <w:widowControl/>
              <w:spacing w:line="360" w:lineRule="auto"/>
              <w:jc w:val="left"/>
              <w:rPr>
                <w:rFonts w:hint="eastAsia" w:ascii="宋体" w:hAnsi="宋体" w:cs="宋体"/>
                <w:sz w:val="24"/>
              </w:rPr>
            </w:pPr>
            <w:r>
              <w:rPr>
                <w:rFonts w:hint="eastAsia" w:ascii="宋体" w:hAnsi="宋体" w:cs="宋体"/>
                <w:sz w:val="24"/>
              </w:rPr>
              <w:t>投标文件第一个信封（商务及技术文件）</w:t>
            </w:r>
          </w:p>
          <w:p>
            <w:pPr>
              <w:widowControl/>
              <w:spacing w:line="360" w:lineRule="auto"/>
              <w:jc w:val="left"/>
              <w:rPr>
                <w:rFonts w:hint="eastAsia" w:ascii="宋体" w:hAnsi="宋体" w:cs="宋体"/>
                <w:sz w:val="24"/>
              </w:rPr>
            </w:pPr>
            <w:r>
              <w:rPr>
                <w:rFonts w:hint="eastAsia" w:ascii="宋体" w:hAnsi="宋体" w:cs="宋体"/>
                <w:sz w:val="24"/>
              </w:rPr>
              <w:t xml:space="preserve">工程名称：                             </w:t>
            </w:r>
          </w:p>
          <w:p>
            <w:pPr>
              <w:widowControl/>
              <w:spacing w:line="360" w:lineRule="auto"/>
              <w:jc w:val="left"/>
              <w:rPr>
                <w:rFonts w:hint="eastAsia" w:ascii="宋体" w:hAnsi="宋体" w:cs="宋体"/>
                <w:sz w:val="24"/>
              </w:rPr>
            </w:pPr>
            <w:r>
              <w:rPr>
                <w:rFonts w:hint="eastAsia" w:ascii="宋体" w:hAnsi="宋体" w:cs="宋体"/>
                <w:sz w:val="24"/>
              </w:rPr>
              <w:t>招标人名称：</w:t>
            </w:r>
          </w:p>
          <w:p>
            <w:pPr>
              <w:widowControl/>
              <w:spacing w:line="360" w:lineRule="auto"/>
              <w:jc w:val="left"/>
              <w:rPr>
                <w:rFonts w:hint="eastAsia" w:ascii="宋体" w:hAnsi="宋体" w:cs="宋体"/>
                <w:sz w:val="24"/>
              </w:rPr>
            </w:pPr>
            <w:r>
              <w:rPr>
                <w:rFonts w:hint="eastAsia" w:ascii="宋体" w:hAnsi="宋体" w:cs="宋体"/>
                <w:sz w:val="24"/>
              </w:rPr>
              <w:t>投标人名称：</w:t>
            </w:r>
          </w:p>
          <w:p>
            <w:pPr>
              <w:widowControl/>
              <w:spacing w:line="360" w:lineRule="auto"/>
              <w:ind w:firstLine="360" w:firstLineChars="150"/>
              <w:jc w:val="left"/>
              <w:rPr>
                <w:rFonts w:hint="eastAsia" w:ascii="宋体" w:hAnsi="宋体" w:cs="宋体"/>
                <w:sz w:val="24"/>
              </w:rPr>
            </w:pPr>
            <w:r>
              <w:rPr>
                <w:rFonts w:hint="eastAsia" w:ascii="宋体" w:hAnsi="宋体" w:cs="宋体"/>
                <w:sz w:val="24"/>
              </w:rPr>
              <w:t>年   月  日上午  时   分（开标时间）前不能启封。</w:t>
            </w:r>
          </w:p>
          <w:p>
            <w:pPr>
              <w:spacing w:line="360" w:lineRule="auto"/>
              <w:rPr>
                <w:rFonts w:hint="eastAsia" w:ascii="宋体" w:hAnsi="宋体" w:cs="宋体"/>
                <w:sz w:val="24"/>
              </w:rPr>
            </w:pPr>
            <w:r>
              <w:rPr>
                <w:rFonts w:hint="eastAsia" w:ascii="宋体" w:hAnsi="宋体" w:cs="宋体"/>
                <w:sz w:val="24"/>
              </w:rPr>
              <w:t>投标文件包封开口处应以密封条密封。</w:t>
            </w:r>
          </w:p>
          <w:p>
            <w:pPr>
              <w:widowControl/>
              <w:spacing w:line="360" w:lineRule="auto"/>
              <w:jc w:val="left"/>
              <w:rPr>
                <w:rFonts w:hint="eastAsia" w:ascii="宋体" w:hAnsi="宋体" w:cs="宋体"/>
                <w:b/>
                <w:sz w:val="24"/>
              </w:rPr>
            </w:pPr>
            <w:r>
              <w:rPr>
                <w:rFonts w:hint="eastAsia" w:ascii="宋体" w:hAnsi="宋体" w:cs="宋体"/>
                <w:b/>
                <w:sz w:val="24"/>
              </w:rPr>
              <w:t>投标文件第二个信封外层封套上须写明以下内容：</w:t>
            </w:r>
          </w:p>
          <w:p>
            <w:pPr>
              <w:widowControl/>
              <w:spacing w:line="360" w:lineRule="auto"/>
              <w:jc w:val="left"/>
              <w:rPr>
                <w:rFonts w:hint="eastAsia" w:ascii="宋体" w:hAnsi="宋体" w:cs="宋体"/>
                <w:sz w:val="24"/>
              </w:rPr>
            </w:pPr>
            <w:r>
              <w:rPr>
                <w:rFonts w:hint="eastAsia" w:ascii="宋体" w:hAnsi="宋体" w:cs="宋体"/>
                <w:sz w:val="24"/>
              </w:rPr>
              <w:t>投标文件第二个信封（投标报价和工程量清单）</w:t>
            </w:r>
          </w:p>
          <w:p>
            <w:pPr>
              <w:widowControl/>
              <w:spacing w:line="360" w:lineRule="auto"/>
              <w:jc w:val="left"/>
              <w:rPr>
                <w:rFonts w:hint="eastAsia" w:ascii="宋体" w:hAnsi="宋体" w:cs="宋体"/>
                <w:sz w:val="24"/>
              </w:rPr>
            </w:pPr>
            <w:r>
              <w:rPr>
                <w:rFonts w:hint="eastAsia" w:ascii="宋体" w:hAnsi="宋体" w:cs="宋体"/>
                <w:sz w:val="24"/>
              </w:rPr>
              <w:t xml:space="preserve">工程名称：                                </w:t>
            </w:r>
          </w:p>
          <w:p>
            <w:pPr>
              <w:widowControl/>
              <w:spacing w:line="360" w:lineRule="auto"/>
              <w:jc w:val="left"/>
              <w:rPr>
                <w:rFonts w:hint="eastAsia" w:ascii="宋体" w:hAnsi="宋体" w:cs="宋体"/>
                <w:sz w:val="24"/>
              </w:rPr>
            </w:pPr>
            <w:r>
              <w:rPr>
                <w:rFonts w:hint="eastAsia" w:ascii="宋体" w:hAnsi="宋体" w:cs="宋体"/>
                <w:sz w:val="24"/>
              </w:rPr>
              <w:t>招标人名称：</w:t>
            </w:r>
          </w:p>
          <w:p>
            <w:pPr>
              <w:widowControl/>
              <w:spacing w:line="360" w:lineRule="auto"/>
              <w:jc w:val="left"/>
              <w:rPr>
                <w:rFonts w:hint="eastAsia" w:ascii="宋体" w:hAnsi="宋体" w:cs="宋体"/>
                <w:sz w:val="24"/>
              </w:rPr>
            </w:pPr>
            <w:r>
              <w:rPr>
                <w:rFonts w:hint="eastAsia" w:ascii="宋体" w:hAnsi="宋体" w:cs="宋体"/>
                <w:sz w:val="24"/>
              </w:rPr>
              <w:t>投标人名称：</w:t>
            </w:r>
          </w:p>
          <w:p>
            <w:pPr>
              <w:widowControl/>
              <w:spacing w:line="360" w:lineRule="auto"/>
              <w:jc w:val="left"/>
              <w:rPr>
                <w:rFonts w:hint="eastAsia" w:ascii="宋体" w:hAnsi="宋体" w:cs="宋体"/>
                <w:b/>
                <w:sz w:val="24"/>
              </w:rPr>
            </w:pPr>
            <w:r>
              <w:rPr>
                <w:rFonts w:hint="eastAsia" w:ascii="宋体" w:hAnsi="宋体" w:cs="宋体"/>
                <w:b/>
                <w:sz w:val="24"/>
              </w:rPr>
              <w:t>标注：本招标项目第一信封（商务及技术文件）评审结果公布前不能启封。投标文件包封开口处应以密封条密封。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4.2.2</w:t>
            </w:r>
          </w:p>
        </w:tc>
        <w:tc>
          <w:tcPr>
            <w:tcW w:w="2268" w:type="dxa"/>
            <w:gridSpan w:val="2"/>
            <w:noWrap w:val="0"/>
            <w:vAlign w:val="center"/>
          </w:tcPr>
          <w:p>
            <w:pPr>
              <w:widowControl/>
              <w:spacing w:line="360" w:lineRule="auto"/>
              <w:jc w:val="center"/>
              <w:rPr>
                <w:rFonts w:hint="eastAsia" w:ascii="宋体" w:hAnsi="宋体" w:cs="宋体"/>
                <w:sz w:val="24"/>
              </w:rPr>
            </w:pPr>
            <w:r>
              <w:rPr>
                <w:rFonts w:hint="eastAsia" w:ascii="宋体" w:hAnsi="宋体" w:cs="宋体"/>
                <w:sz w:val="24"/>
              </w:rPr>
              <w:t>递交投标文件截止时间和地点</w:t>
            </w:r>
          </w:p>
        </w:tc>
        <w:tc>
          <w:tcPr>
            <w:tcW w:w="6489" w:type="dxa"/>
            <w:noWrap w:val="0"/>
            <w:vAlign w:val="top"/>
          </w:tcPr>
          <w:p>
            <w:pPr>
              <w:widowControl/>
              <w:spacing w:line="360" w:lineRule="auto"/>
              <w:jc w:val="left"/>
              <w:rPr>
                <w:rFonts w:hint="eastAsia" w:ascii="宋体" w:hAnsi="宋体" w:cs="宋体"/>
                <w:b/>
                <w:bCs/>
                <w:sz w:val="24"/>
              </w:rPr>
            </w:pPr>
            <w:r>
              <w:rPr>
                <w:rFonts w:hint="eastAsia" w:ascii="宋体" w:hAnsi="宋体" w:cs="宋体"/>
                <w:sz w:val="24"/>
              </w:rPr>
              <w:t>递交投标文件截止时间：</w:t>
            </w:r>
            <w:r>
              <w:rPr>
                <w:rFonts w:hint="eastAsia" w:ascii="宋体" w:hAnsi="宋体" w:cs="宋体"/>
                <w:b/>
                <w:bCs/>
                <w:sz w:val="24"/>
              </w:rPr>
              <w:t>2020 年3月 1</w:t>
            </w:r>
            <w:r>
              <w:rPr>
                <w:rFonts w:hint="eastAsia" w:ascii="宋体" w:hAnsi="宋体" w:cs="宋体"/>
                <w:b/>
                <w:bCs/>
                <w:sz w:val="24"/>
                <w:lang w:val="en-US" w:eastAsia="zh-CN"/>
              </w:rPr>
              <w:t>7</w:t>
            </w:r>
            <w:r>
              <w:rPr>
                <w:rFonts w:hint="eastAsia" w:ascii="宋体" w:hAnsi="宋体" w:cs="宋体"/>
                <w:b/>
                <w:bCs/>
                <w:sz w:val="24"/>
              </w:rPr>
              <w:t>日上午9时 30分（北京时间）</w:t>
            </w:r>
          </w:p>
          <w:p>
            <w:pPr>
              <w:widowControl/>
              <w:spacing w:line="360" w:lineRule="auto"/>
              <w:jc w:val="left"/>
              <w:rPr>
                <w:rFonts w:hint="eastAsia" w:ascii="宋体" w:hAnsi="宋体" w:cs="宋体"/>
                <w:sz w:val="24"/>
              </w:rPr>
            </w:pPr>
            <w:r>
              <w:rPr>
                <w:rFonts w:hint="eastAsia" w:ascii="宋体" w:hAnsi="宋体" w:cs="宋体"/>
                <w:sz w:val="24"/>
              </w:rPr>
              <w:t>递交投标文件地点：长葛市公共资源交易中心（长葛市葛天大道东段商务区6号楼 5楼开标506室）。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4.2.3</w:t>
            </w:r>
          </w:p>
        </w:tc>
        <w:tc>
          <w:tcPr>
            <w:tcW w:w="2268" w:type="dxa"/>
            <w:gridSpan w:val="2"/>
            <w:noWrap w:val="0"/>
            <w:vAlign w:val="center"/>
          </w:tcPr>
          <w:p>
            <w:pPr>
              <w:rPr>
                <w:rFonts w:hint="eastAsia" w:ascii="宋体" w:hAnsi="宋体" w:cs="宋体"/>
                <w:sz w:val="24"/>
              </w:rPr>
            </w:pPr>
            <w:r>
              <w:rPr>
                <w:rFonts w:hint="eastAsia" w:ascii="宋体" w:hAnsi="宋体" w:cs="宋体"/>
                <w:sz w:val="24"/>
              </w:rPr>
              <w:t>是否退还投标文件</w:t>
            </w:r>
          </w:p>
        </w:tc>
        <w:tc>
          <w:tcPr>
            <w:tcW w:w="6489" w:type="dxa"/>
            <w:noWrap w:val="0"/>
            <w:vAlign w:val="center"/>
          </w:tcPr>
          <w:p>
            <w:pP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5.1</w:t>
            </w:r>
          </w:p>
        </w:tc>
        <w:tc>
          <w:tcPr>
            <w:tcW w:w="2268" w:type="dxa"/>
            <w:gridSpan w:val="2"/>
            <w:noWrap w:val="0"/>
            <w:vAlign w:val="center"/>
          </w:tcPr>
          <w:p>
            <w:pPr>
              <w:rPr>
                <w:rFonts w:hint="eastAsia" w:ascii="宋体" w:hAnsi="宋体" w:cs="宋体"/>
                <w:sz w:val="24"/>
              </w:rPr>
            </w:pPr>
            <w:r>
              <w:rPr>
                <w:rFonts w:hint="eastAsia" w:ascii="宋体" w:hAnsi="宋体" w:cs="宋体"/>
                <w:sz w:val="24"/>
              </w:rPr>
              <w:t>开标时间和地点</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第一个信封开标时间：同投标截止时间</w:t>
            </w:r>
          </w:p>
          <w:p>
            <w:pPr>
              <w:spacing w:line="360" w:lineRule="auto"/>
              <w:rPr>
                <w:rFonts w:hint="eastAsia" w:ascii="宋体" w:hAnsi="宋体" w:cs="宋体"/>
                <w:sz w:val="24"/>
              </w:rPr>
            </w:pPr>
            <w:r>
              <w:rPr>
                <w:rFonts w:hint="eastAsia" w:ascii="宋体" w:hAnsi="宋体" w:cs="宋体"/>
                <w:sz w:val="24"/>
              </w:rPr>
              <w:t>第一个信封开标地点：同投标文件递交地点</w:t>
            </w:r>
          </w:p>
          <w:p>
            <w:pPr>
              <w:spacing w:line="360" w:lineRule="auto"/>
              <w:rPr>
                <w:rFonts w:hint="eastAsia" w:ascii="宋体" w:hAnsi="宋体" w:cs="宋体"/>
                <w:sz w:val="24"/>
              </w:rPr>
            </w:pPr>
            <w:r>
              <w:rPr>
                <w:rFonts w:hint="eastAsia" w:ascii="宋体" w:hAnsi="宋体" w:cs="宋体"/>
                <w:sz w:val="24"/>
              </w:rPr>
              <w:t>第二个信封开标时间：第一个信封（商务及技术文件）评审结束后</w:t>
            </w:r>
          </w:p>
          <w:p>
            <w:pPr>
              <w:spacing w:line="360" w:lineRule="auto"/>
              <w:rPr>
                <w:rFonts w:hint="eastAsia" w:ascii="宋体" w:hAnsi="宋体" w:cs="宋体"/>
                <w:sz w:val="24"/>
              </w:rPr>
            </w:pPr>
            <w:r>
              <w:rPr>
                <w:rFonts w:hint="eastAsia" w:ascii="宋体" w:hAnsi="宋体" w:cs="宋体"/>
                <w:sz w:val="24"/>
              </w:rPr>
              <w:t>第二个信封开标地点：同投标文件递交地点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5.2</w:t>
            </w:r>
          </w:p>
        </w:tc>
        <w:tc>
          <w:tcPr>
            <w:tcW w:w="2268" w:type="dxa"/>
            <w:gridSpan w:val="2"/>
            <w:noWrap w:val="0"/>
            <w:vAlign w:val="center"/>
          </w:tcPr>
          <w:p>
            <w:pPr>
              <w:rPr>
                <w:rFonts w:hint="eastAsia" w:ascii="宋体" w:hAnsi="宋体" w:cs="宋体"/>
                <w:sz w:val="24"/>
              </w:rPr>
            </w:pPr>
            <w:r>
              <w:rPr>
                <w:rFonts w:hint="eastAsia" w:ascii="宋体" w:hAnsi="宋体" w:cs="宋体"/>
                <w:sz w:val="24"/>
              </w:rPr>
              <w:t>开标程序</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密封情况检查：由投标人代表检查其投标文件是否密封完好。</w:t>
            </w:r>
          </w:p>
          <w:p>
            <w:pPr>
              <w:spacing w:line="360" w:lineRule="auto"/>
              <w:rPr>
                <w:rFonts w:hint="eastAsia" w:ascii="宋体" w:hAnsi="宋体" w:cs="宋体"/>
                <w:sz w:val="24"/>
              </w:rPr>
            </w:pPr>
            <w:r>
              <w:rPr>
                <w:rFonts w:hint="eastAsia" w:ascii="宋体"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6.1.</w:t>
            </w:r>
          </w:p>
        </w:tc>
        <w:tc>
          <w:tcPr>
            <w:tcW w:w="2268" w:type="dxa"/>
            <w:gridSpan w:val="2"/>
            <w:noWrap w:val="0"/>
            <w:vAlign w:val="center"/>
          </w:tcPr>
          <w:p>
            <w:pPr>
              <w:spacing w:line="360" w:lineRule="auto"/>
              <w:rPr>
                <w:rFonts w:hint="eastAsia" w:ascii="宋体" w:hAnsi="宋体" w:cs="宋体"/>
                <w:sz w:val="24"/>
              </w:rPr>
            </w:pPr>
            <w:r>
              <w:rPr>
                <w:rFonts w:hint="eastAsia" w:ascii="宋体" w:hAnsi="宋体" w:cs="宋体"/>
                <w:sz w:val="24"/>
              </w:rPr>
              <w:t>授权函</w:t>
            </w:r>
          </w:p>
        </w:tc>
        <w:tc>
          <w:tcPr>
            <w:tcW w:w="6489" w:type="dxa"/>
            <w:noWrap w:val="0"/>
            <w:vAlign w:val="center"/>
          </w:tcPr>
          <w:p>
            <w:pPr>
              <w:autoSpaceDE w:val="0"/>
              <w:autoSpaceDN w:val="0"/>
              <w:adjustRightInd w:val="0"/>
              <w:spacing w:line="360" w:lineRule="auto"/>
              <w:jc w:val="left"/>
              <w:rPr>
                <w:rFonts w:hint="eastAsia" w:ascii="宋体" w:hAnsi="宋体" w:cs="宋体"/>
                <w:b/>
                <w:bCs/>
                <w:sz w:val="24"/>
              </w:rPr>
            </w:pPr>
            <w:r>
              <w:rPr>
                <w:rFonts w:hint="eastAsia" w:ascii="宋体" w:hAnsi="宋体" w:cs="宋体"/>
                <w:b/>
                <w:bCs/>
                <w:sz w:val="24"/>
              </w:rPr>
              <w:t>招标人单位委派代表参加开标会议，或者作为招标人代表进入评标委员会的，须向招标代理机构出具由招标人法定代表人签字并加盖单位公章的有明确授权事项的授权函。</w:t>
            </w:r>
          </w:p>
          <w:p>
            <w:pPr>
              <w:spacing w:line="360" w:lineRule="auto"/>
              <w:rPr>
                <w:rFonts w:hint="eastAsia" w:ascii="宋体" w:hAnsi="宋体" w:cs="宋体"/>
                <w:sz w:val="24"/>
              </w:rPr>
            </w:pPr>
            <w:r>
              <w:rPr>
                <w:rFonts w:hint="eastAsia" w:ascii="宋体" w:hAnsi="宋体" w:cs="宋体"/>
                <w:b/>
                <w:bCs/>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6.1.1</w:t>
            </w:r>
          </w:p>
        </w:tc>
        <w:tc>
          <w:tcPr>
            <w:tcW w:w="2268" w:type="dxa"/>
            <w:gridSpan w:val="2"/>
            <w:noWrap w:val="0"/>
            <w:vAlign w:val="center"/>
          </w:tcPr>
          <w:p>
            <w:pPr>
              <w:spacing w:line="360" w:lineRule="auto"/>
              <w:rPr>
                <w:rFonts w:hint="eastAsia" w:ascii="宋体" w:hAnsi="宋体" w:cs="宋体"/>
                <w:sz w:val="24"/>
              </w:rPr>
            </w:pPr>
            <w:r>
              <w:rPr>
                <w:rFonts w:hint="eastAsia" w:ascii="宋体" w:hAnsi="宋体" w:cs="宋体"/>
                <w:sz w:val="24"/>
              </w:rPr>
              <w:t>评标委员会的组建</w:t>
            </w:r>
          </w:p>
        </w:tc>
        <w:tc>
          <w:tcPr>
            <w:tcW w:w="6489" w:type="dxa"/>
            <w:noWrap w:val="0"/>
            <w:vAlign w:val="center"/>
          </w:tcPr>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评标委员会构成：共5人，由招标人代表和经济、技术类专家组成，其中招标人代表1人，经济、技术类专家4人（含注册造价师2人）。</w:t>
            </w:r>
          </w:p>
          <w:p>
            <w:pPr>
              <w:spacing w:line="360" w:lineRule="auto"/>
              <w:rPr>
                <w:rFonts w:hint="eastAsia" w:ascii="宋体" w:hAnsi="宋体" w:cs="宋体"/>
                <w:sz w:val="24"/>
              </w:rPr>
            </w:pPr>
            <w:r>
              <w:rPr>
                <w:rFonts w:hint="eastAsia" w:ascii="宋体" w:hAnsi="宋体" w:cs="宋体"/>
                <w:sz w:val="24"/>
              </w:rPr>
              <w:t>评标专家确定方式：在开标前从河南省综合评标专家库中随机抽取，评标委员会主任通过现场随机抽取方式确定。与投标人有利害关系的人不得进入评标委员会。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7.1</w:t>
            </w:r>
          </w:p>
        </w:tc>
        <w:tc>
          <w:tcPr>
            <w:tcW w:w="2268" w:type="dxa"/>
            <w:gridSpan w:val="2"/>
            <w:noWrap w:val="0"/>
            <w:vAlign w:val="center"/>
          </w:tcPr>
          <w:p>
            <w:pPr>
              <w:adjustRightInd w:val="0"/>
              <w:snapToGrid w:val="0"/>
              <w:spacing w:line="440" w:lineRule="exact"/>
              <w:rPr>
                <w:rFonts w:hint="eastAsia" w:ascii="宋体" w:hAnsi="宋体" w:cs="宋体"/>
                <w:sz w:val="24"/>
              </w:rPr>
            </w:pPr>
            <w:r>
              <w:rPr>
                <w:rFonts w:hint="eastAsia" w:ascii="宋体" w:hAnsi="宋体" w:cs="宋体"/>
                <w:sz w:val="24"/>
              </w:rPr>
              <w:t>是否授权评标委员会确定中标人</w:t>
            </w:r>
          </w:p>
        </w:tc>
        <w:tc>
          <w:tcPr>
            <w:tcW w:w="6489" w:type="dxa"/>
            <w:noWrap w:val="0"/>
            <w:vAlign w:val="center"/>
          </w:tcPr>
          <w:p>
            <w:pPr>
              <w:adjustRightInd w:val="0"/>
              <w:snapToGrid w:val="0"/>
              <w:spacing w:line="440" w:lineRule="exact"/>
              <w:rPr>
                <w:rFonts w:hint="eastAsia" w:ascii="宋体" w:hAnsi="宋体" w:cs="宋体"/>
                <w:sz w:val="24"/>
              </w:rPr>
            </w:pPr>
            <w:r>
              <w:rPr>
                <w:rFonts w:hint="eastAsia" w:ascii="宋体" w:hAnsi="宋体" w:cs="宋体"/>
                <w:sz w:val="24"/>
              </w:rPr>
              <w:t>否 ，评标委员会推荐1-3名中标候选人，由招标人确定中标人。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7.3.1</w:t>
            </w:r>
          </w:p>
        </w:tc>
        <w:tc>
          <w:tcPr>
            <w:tcW w:w="2268" w:type="dxa"/>
            <w:gridSpan w:val="2"/>
            <w:noWrap w:val="0"/>
            <w:vAlign w:val="center"/>
          </w:tcPr>
          <w:p>
            <w:pPr>
              <w:spacing w:line="360" w:lineRule="auto"/>
              <w:rPr>
                <w:rFonts w:hint="eastAsia" w:ascii="宋体" w:hAnsi="宋体" w:cs="宋体"/>
                <w:sz w:val="24"/>
              </w:rPr>
            </w:pPr>
            <w:r>
              <w:rPr>
                <w:rFonts w:hint="eastAsia" w:ascii="宋体" w:hAnsi="宋体" w:cs="宋体"/>
                <w:sz w:val="24"/>
              </w:rPr>
              <w:t>履约担保</w:t>
            </w:r>
          </w:p>
        </w:tc>
        <w:tc>
          <w:tcPr>
            <w:tcW w:w="6489" w:type="dxa"/>
            <w:noWrap w:val="0"/>
            <w:vAlign w:val="center"/>
          </w:tcPr>
          <w:p>
            <w:pPr>
              <w:spacing w:line="360" w:lineRule="auto"/>
              <w:rPr>
                <w:rFonts w:hint="eastAsia" w:ascii="宋体" w:hAnsi="宋体" w:eastAsia="宋体" w:cs="宋体"/>
                <w:b/>
                <w:bCs/>
                <w:sz w:val="24"/>
              </w:rPr>
            </w:pPr>
            <w:r>
              <w:rPr>
                <w:rFonts w:hint="eastAsia" w:ascii="宋体" w:hAnsi="宋体" w:eastAsia="宋体" w:cs="宋体"/>
                <w:b/>
                <w:bCs/>
                <w:sz w:val="24"/>
              </w:rPr>
              <w:t>开户行：河南长葛农村商业银行股份有限公司营业部</w:t>
            </w:r>
          </w:p>
          <w:p>
            <w:pPr>
              <w:spacing w:line="360" w:lineRule="auto"/>
              <w:rPr>
                <w:rFonts w:hint="eastAsia" w:ascii="宋体" w:hAnsi="宋体" w:eastAsia="宋体" w:cs="宋体"/>
                <w:b/>
                <w:bCs/>
                <w:sz w:val="24"/>
              </w:rPr>
            </w:pPr>
            <w:r>
              <w:rPr>
                <w:rFonts w:hint="eastAsia" w:ascii="宋体" w:hAnsi="宋体" w:eastAsia="宋体" w:cs="宋体"/>
                <w:b/>
                <w:bCs/>
                <w:sz w:val="24"/>
              </w:rPr>
              <w:t>户  名：长葛市公共资源交易中心</w:t>
            </w:r>
          </w:p>
          <w:p>
            <w:pPr>
              <w:spacing w:line="360" w:lineRule="auto"/>
              <w:rPr>
                <w:rFonts w:hint="eastAsia" w:ascii="宋体" w:hAnsi="宋体" w:eastAsia="宋体" w:cs="宋体"/>
                <w:b/>
                <w:bCs/>
                <w:sz w:val="24"/>
              </w:rPr>
            </w:pPr>
            <w:r>
              <w:rPr>
                <w:rFonts w:hint="eastAsia" w:ascii="宋体" w:hAnsi="宋体" w:eastAsia="宋体" w:cs="宋体"/>
                <w:b/>
                <w:bCs/>
                <w:sz w:val="24"/>
              </w:rPr>
              <w:t>账  号：13201001800000552</w:t>
            </w:r>
          </w:p>
          <w:p>
            <w:pPr>
              <w:spacing w:line="360" w:lineRule="auto"/>
              <w:rPr>
                <w:rFonts w:hint="eastAsia" w:ascii="宋体" w:hAnsi="宋体" w:eastAsia="宋体" w:cs="宋体"/>
                <w:b/>
                <w:bCs/>
                <w:sz w:val="24"/>
              </w:rPr>
            </w:pPr>
            <w:r>
              <w:rPr>
                <w:rFonts w:hint="eastAsia" w:ascii="宋体" w:hAnsi="宋体" w:eastAsia="宋体" w:cs="宋体"/>
                <w:b/>
                <w:bCs/>
                <w:sz w:val="24"/>
              </w:rPr>
              <w:t>履约担保的金额：中标金额的10%</w:t>
            </w:r>
          </w:p>
          <w:p>
            <w:pPr>
              <w:spacing w:line="360" w:lineRule="auto"/>
              <w:rPr>
                <w:rFonts w:hint="eastAsia" w:ascii="宋体" w:hAnsi="宋体" w:eastAsia="宋体" w:cs="宋体"/>
                <w:b/>
                <w:bCs/>
                <w:sz w:val="24"/>
              </w:rPr>
            </w:pPr>
            <w:r>
              <w:rPr>
                <w:rFonts w:hint="eastAsia" w:ascii="宋体" w:hAnsi="宋体" w:eastAsia="宋体" w:cs="宋体"/>
                <w:b/>
                <w:bCs/>
                <w:sz w:val="24"/>
              </w:rPr>
              <w:t>中标人无正当理由不与招标人订立合同，在签订合同时向招标人提出附加条件，或者不按照招标文件要求提交履约担保的，取消其中标资格，投标保证金不予退还。</w:t>
            </w:r>
          </w:p>
          <w:p>
            <w:pPr>
              <w:spacing w:line="360" w:lineRule="auto"/>
              <w:rPr>
                <w:rFonts w:hint="eastAsia" w:ascii="宋体" w:hAnsi="宋体" w:cs="宋体"/>
                <w:b/>
                <w:bCs/>
                <w:sz w:val="24"/>
              </w:rPr>
            </w:pPr>
            <w:r>
              <w:rPr>
                <w:rFonts w:hint="eastAsia" w:ascii="宋体" w:hAnsi="宋体" w:eastAsia="宋体" w:cs="宋体"/>
                <w:b/>
                <w:bCs/>
                <w:sz w:val="24"/>
                <w:lang w:val="en-US" w:eastAsia="zh-CN"/>
              </w:rPr>
              <w:t>注</w:t>
            </w:r>
            <w:r>
              <w:rPr>
                <w:rFonts w:hint="eastAsia" w:ascii="宋体" w:hAnsi="宋体" w:eastAsia="宋体" w:cs="宋体"/>
                <w:b/>
                <w:bCs/>
                <w:sz w:val="24"/>
              </w:rPr>
              <w:t>：履约担保缴纳时需备注项目编号：长交建【2020】GZ</w:t>
            </w:r>
            <w:r>
              <w:rPr>
                <w:rFonts w:hint="eastAsia" w:ascii="宋体" w:hAnsi="宋体" w:eastAsia="宋体" w:cs="宋体"/>
                <w:b/>
                <w:bCs/>
                <w:sz w:val="24"/>
                <w:u w:val="single"/>
              </w:rPr>
              <w:t xml:space="preserve">   </w:t>
            </w:r>
            <w:r>
              <w:rPr>
                <w:rFonts w:hint="eastAsia" w:ascii="宋体" w:hAnsi="宋体" w:eastAsia="宋体" w:cs="宋体"/>
                <w:b/>
                <w:bCs/>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761" w:type="dxa"/>
            <w:gridSpan w:val="4"/>
            <w:noWrap w:val="0"/>
            <w:vAlign w:val="center"/>
          </w:tcPr>
          <w:p>
            <w:pPr>
              <w:spacing w:line="360" w:lineRule="auto"/>
              <w:rPr>
                <w:rFonts w:hint="eastAsia" w:ascii="宋体" w:hAnsi="宋体" w:cs="宋体"/>
                <w:b/>
                <w:sz w:val="24"/>
              </w:rPr>
            </w:pPr>
            <w:r>
              <w:rPr>
                <w:rFonts w:hint="eastAsia" w:ascii="宋体" w:hAnsi="宋体" w:cs="宋体"/>
                <w:b/>
                <w:sz w:val="24"/>
              </w:rPr>
              <w:t>评标办法：技术评分最低标价法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61" w:type="dxa"/>
            <w:gridSpan w:val="4"/>
            <w:noWrap w:val="0"/>
            <w:vAlign w:val="center"/>
          </w:tcPr>
          <w:p>
            <w:pPr>
              <w:spacing w:line="360" w:lineRule="auto"/>
              <w:rPr>
                <w:rFonts w:hint="eastAsia" w:ascii="宋体" w:hAnsi="宋体" w:cs="宋体"/>
                <w:sz w:val="24"/>
              </w:rPr>
            </w:pPr>
            <w:r>
              <w:rPr>
                <w:rFonts w:hint="eastAsia" w:ascii="宋体" w:hAnsi="宋体" w:cs="宋体"/>
                <w:sz w:val="24"/>
              </w:rPr>
              <w:t>10.1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10.1.1</w:t>
            </w:r>
          </w:p>
        </w:tc>
        <w:tc>
          <w:tcPr>
            <w:tcW w:w="2268" w:type="dxa"/>
            <w:gridSpan w:val="2"/>
            <w:noWrap w:val="0"/>
            <w:vAlign w:val="center"/>
          </w:tcPr>
          <w:p>
            <w:pPr>
              <w:rPr>
                <w:rFonts w:hint="eastAsia" w:ascii="宋体" w:hAnsi="宋体" w:cs="宋体"/>
                <w:sz w:val="24"/>
              </w:rPr>
            </w:pPr>
            <w:r>
              <w:rPr>
                <w:rFonts w:hint="eastAsia" w:ascii="宋体" w:hAnsi="宋体" w:cs="宋体"/>
                <w:sz w:val="24"/>
              </w:rPr>
              <w:t>类似项目</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指2017年1月1日以来承接的公路新建或改造等施工项目（以合同签订时间为准）；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10.1.2</w:t>
            </w:r>
          </w:p>
        </w:tc>
        <w:tc>
          <w:tcPr>
            <w:tcW w:w="2268" w:type="dxa"/>
            <w:gridSpan w:val="2"/>
            <w:noWrap w:val="0"/>
            <w:vAlign w:val="center"/>
          </w:tcPr>
          <w:p>
            <w:pPr>
              <w:rPr>
                <w:rFonts w:hint="eastAsia" w:ascii="宋体" w:hAnsi="宋体" w:cs="宋体"/>
                <w:sz w:val="24"/>
              </w:rPr>
            </w:pPr>
            <w:r>
              <w:rPr>
                <w:rFonts w:hint="eastAsia" w:ascii="宋体" w:hAnsi="宋体" w:cs="宋体"/>
                <w:sz w:val="24"/>
              </w:rPr>
              <w:t>招标控制价</w:t>
            </w:r>
          </w:p>
        </w:tc>
        <w:tc>
          <w:tcPr>
            <w:tcW w:w="6489" w:type="dxa"/>
            <w:noWrap w:val="0"/>
            <w:vAlign w:val="center"/>
          </w:tcPr>
          <w:p>
            <w:pPr>
              <w:spacing w:line="360" w:lineRule="auto"/>
              <w:rPr>
                <w:rFonts w:hint="eastAsia" w:ascii="宋体" w:hAnsi="宋体" w:eastAsia="宋体" w:cs="宋体"/>
                <w:b/>
                <w:bCs/>
                <w:sz w:val="24"/>
              </w:rPr>
            </w:pPr>
            <w:r>
              <w:rPr>
                <w:rFonts w:hint="eastAsia" w:ascii="宋体" w:hAnsi="宋体" w:eastAsia="宋体" w:cs="宋体"/>
                <w:b/>
                <w:bCs/>
                <w:sz w:val="24"/>
              </w:rPr>
              <w:t>本工程设招标控制价：</w:t>
            </w:r>
          </w:p>
          <w:p>
            <w:pPr>
              <w:pStyle w:val="2"/>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宋体" w:hAnsi="宋体" w:eastAsia="宋体" w:cs="宋体"/>
                <w:b/>
                <w:bCs/>
                <w:sz w:val="24"/>
                <w:lang w:val="en-US" w:eastAsia="zh-CN"/>
              </w:rPr>
            </w:pPr>
            <w:r>
              <w:rPr>
                <w:rFonts w:hint="eastAsia" w:ascii="宋体" w:hAnsi="宋体" w:eastAsia="宋体" w:cs="宋体"/>
                <w:b/>
                <w:bCs/>
                <w:color w:val="auto"/>
                <w:sz w:val="24"/>
                <w:lang w:eastAsia="zh-CN"/>
              </w:rPr>
              <w:t>贰佰伍拾肆万陆仟肆佰叁拾陆元整</w:t>
            </w:r>
            <w:r>
              <w:rPr>
                <w:rFonts w:hint="eastAsia" w:ascii="宋体" w:hAnsi="宋体" w:eastAsia="宋体" w:cs="宋体"/>
                <w:b/>
                <w:bCs/>
                <w:sz w:val="24"/>
              </w:rPr>
              <w:t>（¥：</w:t>
            </w:r>
            <w:r>
              <w:rPr>
                <w:rFonts w:hint="eastAsia" w:ascii="宋体" w:hAnsi="宋体" w:eastAsia="宋体" w:cs="宋体"/>
                <w:i w:val="0"/>
                <w:color w:val="auto"/>
                <w:kern w:val="0"/>
                <w:sz w:val="24"/>
                <w:szCs w:val="24"/>
                <w:u w:val="none"/>
                <w:lang w:val="en-US" w:eastAsia="zh-CN" w:bidi="ar"/>
              </w:rPr>
              <w:t>2546436.00</w:t>
            </w:r>
            <w:r>
              <w:rPr>
                <w:rFonts w:hint="eastAsia" w:ascii="宋体" w:hAnsi="宋体" w:eastAsia="宋体" w:cs="宋体"/>
                <w:b/>
                <w:bCs/>
                <w:sz w:val="24"/>
              </w:rPr>
              <w:t>）</w:t>
            </w:r>
            <w:r>
              <w:rPr>
                <w:rFonts w:hint="eastAsia" w:ascii="宋体" w:hAnsi="宋体" w:eastAsia="宋体" w:cs="宋体"/>
                <w:b/>
                <w:bCs/>
                <w:sz w:val="24"/>
                <w:lang w:val="en-US" w:eastAsia="zh-CN"/>
              </w:rPr>
              <w:t>（其中：2020年</w:t>
            </w:r>
            <w:r>
              <w:rPr>
                <w:rFonts w:hint="eastAsia" w:ascii="宋体" w:hAnsi="宋体" w:eastAsia="宋体" w:cs="宋体"/>
                <w:b/>
                <w:bCs/>
                <w:sz w:val="24"/>
              </w:rPr>
              <w:t>长葛市南席镇游罕村组道路项目</w:t>
            </w:r>
            <w:bookmarkStart w:id="372" w:name="_GoBack"/>
            <w:bookmarkEnd w:id="372"/>
            <w:r>
              <w:rPr>
                <w:rFonts w:hint="eastAsia" w:ascii="宋体" w:hAnsi="宋体" w:eastAsia="宋体" w:cs="宋体"/>
                <w:b/>
                <w:bCs/>
                <w:sz w:val="24"/>
                <w:lang w:val="en-US" w:eastAsia="zh-CN"/>
              </w:rPr>
              <w:t>964807元；2020年</w:t>
            </w:r>
            <w:r>
              <w:rPr>
                <w:rFonts w:hint="eastAsia" w:ascii="宋体" w:hAnsi="宋体" w:eastAsia="宋体" w:cs="宋体"/>
                <w:b/>
                <w:bCs/>
                <w:sz w:val="24"/>
                <w:lang w:eastAsia="zh-CN"/>
              </w:rPr>
              <w:t>长葛市古桥镇寺后李村组道路项目</w:t>
            </w:r>
            <w:r>
              <w:rPr>
                <w:rFonts w:hint="eastAsia" w:ascii="宋体" w:hAnsi="宋体" w:eastAsia="宋体" w:cs="宋体"/>
                <w:b/>
                <w:bCs/>
                <w:sz w:val="24"/>
                <w:lang w:val="en-US" w:eastAsia="zh-CN"/>
              </w:rPr>
              <w:t>828137元；2020年</w:t>
            </w:r>
            <w:r>
              <w:rPr>
                <w:rFonts w:hint="eastAsia" w:ascii="宋体" w:hAnsi="宋体" w:eastAsia="宋体" w:cs="宋体"/>
                <w:b/>
                <w:bCs/>
                <w:sz w:val="24"/>
                <w:lang w:eastAsia="zh-CN"/>
              </w:rPr>
              <w:t>长葛市古桥镇菜王村组道路项目</w:t>
            </w:r>
            <w:r>
              <w:rPr>
                <w:rFonts w:hint="eastAsia" w:ascii="宋体" w:hAnsi="宋体" w:eastAsia="宋体" w:cs="宋体"/>
                <w:b/>
                <w:bCs/>
                <w:sz w:val="24"/>
                <w:lang w:val="en-US" w:eastAsia="zh-CN"/>
              </w:rPr>
              <w:t>753492元；）</w:t>
            </w:r>
          </w:p>
          <w:p>
            <w:pPr>
              <w:spacing w:line="360" w:lineRule="auto"/>
              <w:rPr>
                <w:rFonts w:hint="eastAsia" w:ascii="宋体" w:hAnsi="宋体" w:cs="宋体"/>
                <w:b/>
                <w:bCs/>
                <w:sz w:val="24"/>
              </w:rPr>
            </w:pPr>
            <w:r>
              <w:rPr>
                <w:rFonts w:hint="eastAsia" w:ascii="宋体" w:hAnsi="宋体" w:cs="宋体"/>
                <w:b/>
                <w:bCs/>
                <w:sz w:val="24"/>
              </w:rPr>
              <w:t>投标人的投标报价不可超过招标控制价，否则其投标无效（且不得高于每个单项工程招标控制价）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10.1.3</w:t>
            </w:r>
          </w:p>
        </w:tc>
        <w:tc>
          <w:tcPr>
            <w:tcW w:w="2268" w:type="dxa"/>
            <w:gridSpan w:val="2"/>
            <w:tcBorders>
              <w:top w:val="single" w:color="auto" w:sz="6" w:space="0"/>
              <w:right w:val="single" w:color="auto" w:sz="6" w:space="0"/>
            </w:tcBorders>
            <w:noWrap w:val="0"/>
            <w:vAlign w:val="center"/>
          </w:tcPr>
          <w:p>
            <w:pPr>
              <w:rPr>
                <w:rFonts w:hint="eastAsia" w:ascii="宋体" w:hAnsi="宋体" w:cs="宋体"/>
                <w:sz w:val="24"/>
              </w:rPr>
            </w:pPr>
            <w:r>
              <w:rPr>
                <w:rFonts w:hint="eastAsia" w:ascii="宋体" w:hAnsi="宋体" w:cs="宋体"/>
                <w:sz w:val="24"/>
              </w:rPr>
              <w:t>投标人代表出席开标会</w:t>
            </w:r>
          </w:p>
        </w:tc>
        <w:tc>
          <w:tcPr>
            <w:tcW w:w="6489" w:type="dxa"/>
            <w:tcBorders>
              <w:top w:val="single" w:color="auto" w:sz="6" w:space="0"/>
              <w:left w:val="single" w:color="auto" w:sz="6" w:space="0"/>
            </w:tcBorders>
            <w:noWrap w:val="0"/>
            <w:vAlign w:val="center"/>
          </w:tcPr>
          <w:p>
            <w:pPr>
              <w:spacing w:line="360" w:lineRule="auto"/>
              <w:rPr>
                <w:rFonts w:hint="eastAsia" w:ascii="宋体" w:hAnsi="宋体" w:cs="宋体"/>
                <w:sz w:val="24"/>
              </w:rPr>
            </w:pPr>
            <w:r>
              <w:rPr>
                <w:rFonts w:hint="eastAsia" w:ascii="宋体" w:hAnsi="宋体" w:cs="宋体"/>
                <w:sz w:val="24"/>
              </w:rPr>
              <w:t>开标时各投标人的法定代表人持身份证（或授权委托人持身份证及授权委托书，投标人代表须为投标人内部职工，需提供社保等有效证明。）到开标现场签到，缺席或逾期不到者视为放弃。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10.1.4</w:t>
            </w:r>
          </w:p>
        </w:tc>
        <w:tc>
          <w:tcPr>
            <w:tcW w:w="2268" w:type="dxa"/>
            <w:gridSpan w:val="2"/>
            <w:noWrap w:val="0"/>
            <w:vAlign w:val="center"/>
          </w:tcPr>
          <w:p>
            <w:pPr>
              <w:rPr>
                <w:rFonts w:hint="eastAsia" w:ascii="宋体" w:hAnsi="宋体" w:cs="宋体"/>
                <w:sz w:val="24"/>
              </w:rPr>
            </w:pPr>
            <w:r>
              <w:rPr>
                <w:rFonts w:hint="eastAsia" w:ascii="宋体" w:hAnsi="宋体" w:cs="宋体"/>
                <w:sz w:val="24"/>
              </w:rPr>
              <w:t>中标公示</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在中标通知书发出前，招标人将中标候选人的情况在本招标项目招标公告发布的同一媒介予以公示，公示期不少于3日。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004" w:type="dxa"/>
            <w:noWrap w:val="0"/>
            <w:vAlign w:val="center"/>
          </w:tcPr>
          <w:p>
            <w:pPr>
              <w:rPr>
                <w:rFonts w:hint="eastAsia" w:ascii="宋体" w:hAnsi="宋体" w:cs="宋体"/>
                <w:sz w:val="24"/>
              </w:rPr>
            </w:pPr>
            <w:r>
              <w:rPr>
                <w:rFonts w:hint="eastAsia" w:ascii="宋体" w:hAnsi="宋体" w:cs="宋体"/>
                <w:sz w:val="24"/>
              </w:rPr>
              <w:t>10.1.5</w:t>
            </w:r>
          </w:p>
        </w:tc>
        <w:tc>
          <w:tcPr>
            <w:tcW w:w="2268" w:type="dxa"/>
            <w:gridSpan w:val="2"/>
            <w:noWrap w:val="0"/>
            <w:vAlign w:val="center"/>
          </w:tcPr>
          <w:p>
            <w:pPr>
              <w:rPr>
                <w:rFonts w:hint="eastAsia" w:ascii="宋体" w:hAnsi="宋体" w:cs="宋体"/>
                <w:sz w:val="24"/>
              </w:rPr>
            </w:pPr>
            <w:r>
              <w:rPr>
                <w:rFonts w:hint="eastAsia" w:ascii="宋体" w:hAnsi="宋体" w:cs="宋体"/>
                <w:sz w:val="24"/>
              </w:rPr>
              <w:t>知识产权</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 xml:space="preserve"> 10.1.6 </w:t>
            </w:r>
          </w:p>
        </w:tc>
        <w:tc>
          <w:tcPr>
            <w:tcW w:w="2268" w:type="dxa"/>
            <w:gridSpan w:val="2"/>
            <w:noWrap w:val="0"/>
            <w:vAlign w:val="center"/>
          </w:tcPr>
          <w:p>
            <w:pPr>
              <w:spacing w:line="360" w:lineRule="auto"/>
              <w:rPr>
                <w:rFonts w:hint="eastAsia" w:ascii="宋体" w:hAnsi="宋体" w:cs="宋体"/>
                <w:sz w:val="24"/>
              </w:rPr>
            </w:pPr>
            <w:r>
              <w:rPr>
                <w:rFonts w:hint="eastAsia" w:ascii="宋体" w:hAnsi="宋体" w:cs="宋体"/>
                <w:sz w:val="24"/>
              </w:rPr>
              <w:t>重新招标的其他情形</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10.1.7</w:t>
            </w:r>
          </w:p>
        </w:tc>
        <w:tc>
          <w:tcPr>
            <w:tcW w:w="2268" w:type="dxa"/>
            <w:gridSpan w:val="2"/>
            <w:noWrap w:val="0"/>
            <w:vAlign w:val="center"/>
          </w:tcPr>
          <w:p>
            <w:pPr>
              <w:rPr>
                <w:rFonts w:hint="eastAsia" w:ascii="宋体" w:hAnsi="宋体" w:cs="宋体"/>
                <w:sz w:val="24"/>
              </w:rPr>
            </w:pPr>
            <w:r>
              <w:rPr>
                <w:rFonts w:hint="eastAsia" w:ascii="宋体" w:hAnsi="宋体" w:cs="宋体"/>
                <w:sz w:val="24"/>
              </w:rPr>
              <w:t>同义词语</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构成招标文件组成部分的“通用合同条款”、“专用合同条款”等章节中出现的措辞“发包人”和“承包人”，在招标投标阶段应当分别按“招标人”和“投标人”进行理解。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10.1.8</w:t>
            </w:r>
          </w:p>
        </w:tc>
        <w:tc>
          <w:tcPr>
            <w:tcW w:w="2268" w:type="dxa"/>
            <w:gridSpan w:val="2"/>
            <w:noWrap w:val="0"/>
            <w:vAlign w:val="center"/>
          </w:tcPr>
          <w:p>
            <w:pPr>
              <w:spacing w:line="360" w:lineRule="auto"/>
              <w:rPr>
                <w:rFonts w:hint="eastAsia" w:ascii="宋体" w:hAnsi="宋体" w:cs="宋体"/>
                <w:sz w:val="24"/>
              </w:rPr>
            </w:pPr>
            <w:r>
              <w:rPr>
                <w:rFonts w:hint="eastAsia" w:ascii="宋体" w:hAnsi="宋体" w:cs="宋体"/>
                <w:sz w:val="24"/>
              </w:rPr>
              <w:t>监  督</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10.1.9</w:t>
            </w:r>
          </w:p>
        </w:tc>
        <w:tc>
          <w:tcPr>
            <w:tcW w:w="2268" w:type="dxa"/>
            <w:gridSpan w:val="2"/>
            <w:noWrap w:val="0"/>
            <w:vAlign w:val="center"/>
          </w:tcPr>
          <w:p>
            <w:pPr>
              <w:spacing w:line="360" w:lineRule="auto"/>
              <w:rPr>
                <w:rFonts w:hint="eastAsia" w:ascii="宋体" w:hAnsi="宋体" w:cs="宋体"/>
                <w:sz w:val="24"/>
              </w:rPr>
            </w:pPr>
            <w:r>
              <w:rPr>
                <w:rFonts w:hint="eastAsia" w:ascii="宋体" w:hAnsi="宋体" w:cs="宋体"/>
                <w:sz w:val="24"/>
              </w:rPr>
              <w:t>解释权</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4" w:type="dxa"/>
            <w:noWrap w:val="0"/>
            <w:vAlign w:val="center"/>
          </w:tcPr>
          <w:p>
            <w:pPr>
              <w:spacing w:line="360" w:lineRule="auto"/>
              <w:rPr>
                <w:rFonts w:hint="eastAsia" w:ascii="宋体" w:hAnsi="宋体" w:cs="宋体"/>
                <w:sz w:val="24"/>
              </w:rPr>
            </w:pPr>
            <w:r>
              <w:rPr>
                <w:rFonts w:hint="eastAsia" w:ascii="宋体" w:hAnsi="宋体" w:cs="宋体"/>
                <w:sz w:val="24"/>
              </w:rPr>
              <w:t>10.1.10</w:t>
            </w:r>
          </w:p>
        </w:tc>
        <w:tc>
          <w:tcPr>
            <w:tcW w:w="2268" w:type="dxa"/>
            <w:gridSpan w:val="2"/>
            <w:noWrap w:val="0"/>
            <w:vAlign w:val="center"/>
          </w:tcPr>
          <w:p>
            <w:pPr>
              <w:spacing w:line="360" w:lineRule="auto"/>
              <w:rPr>
                <w:rFonts w:hint="eastAsia" w:ascii="宋体" w:hAnsi="宋体" w:cs="宋体"/>
                <w:sz w:val="24"/>
              </w:rPr>
            </w:pPr>
            <w:r>
              <w:rPr>
                <w:rFonts w:hint="eastAsia" w:ascii="宋体" w:hAnsi="宋体" w:cs="宋体"/>
                <w:sz w:val="24"/>
              </w:rPr>
              <w:t>投标文件的拒收</w:t>
            </w:r>
          </w:p>
        </w:tc>
        <w:tc>
          <w:tcPr>
            <w:tcW w:w="6489" w:type="dxa"/>
            <w:noWrap w:val="0"/>
            <w:vAlign w:val="center"/>
          </w:tcPr>
          <w:p>
            <w:pPr>
              <w:spacing w:line="360" w:lineRule="auto"/>
              <w:rPr>
                <w:rFonts w:hint="eastAsia" w:ascii="宋体" w:hAnsi="宋体" w:cs="宋体"/>
                <w:sz w:val="24"/>
              </w:rPr>
            </w:pPr>
            <w:r>
              <w:rPr>
                <w:rFonts w:hint="eastAsia" w:ascii="宋体" w:hAnsi="宋体" w:cs="宋体"/>
                <w:sz w:val="24"/>
              </w:rPr>
              <w:t>1、逾期送达的或者未送达指定地点的纸质投标文件；</w:t>
            </w:r>
          </w:p>
          <w:p>
            <w:pPr>
              <w:spacing w:line="360" w:lineRule="auto"/>
              <w:rPr>
                <w:rFonts w:hint="eastAsia" w:ascii="宋体" w:hAnsi="宋体" w:cs="宋体"/>
                <w:sz w:val="24"/>
              </w:rPr>
            </w:pPr>
            <w:r>
              <w:rPr>
                <w:rFonts w:hint="eastAsia" w:ascii="宋体" w:hAnsi="宋体" w:cs="宋体"/>
                <w:sz w:val="24"/>
              </w:rPr>
              <w:t>2、纸质投标文件、电子介质存储的投标文件未按招标文件要求密封的；</w:t>
            </w:r>
          </w:p>
          <w:p>
            <w:pPr>
              <w:spacing w:line="360" w:lineRule="auto"/>
              <w:rPr>
                <w:rFonts w:hint="eastAsia" w:ascii="宋体" w:hAnsi="宋体" w:cs="宋体"/>
                <w:sz w:val="24"/>
              </w:rPr>
            </w:pPr>
            <w:r>
              <w:rPr>
                <w:rFonts w:hint="eastAsia" w:ascii="宋体" w:hAnsi="宋体" w:cs="宋体"/>
                <w:sz w:val="24"/>
              </w:rPr>
              <w:t>3、未按招标文件要求缴纳投标保证金的；</w:t>
            </w:r>
          </w:p>
          <w:p>
            <w:pPr>
              <w:spacing w:line="360" w:lineRule="auto"/>
              <w:rPr>
                <w:rFonts w:hint="eastAsia" w:ascii="宋体" w:hAnsi="宋体" w:cs="宋体"/>
                <w:sz w:val="24"/>
              </w:rPr>
            </w:pPr>
            <w:r>
              <w:rPr>
                <w:rFonts w:hint="eastAsia" w:ascii="宋体" w:hAnsi="宋体" w:cs="宋体"/>
                <w:sz w:val="24"/>
              </w:rPr>
              <w:t>4、开标时，法定代表人或其授权委托人（持有效的授权委托书）未携带本人身份证到开标现场并签到的。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61" w:type="dxa"/>
            <w:gridSpan w:val="4"/>
            <w:noWrap w:val="0"/>
            <w:vAlign w:val="center"/>
          </w:tcPr>
          <w:p>
            <w:pPr>
              <w:spacing w:line="360" w:lineRule="auto"/>
              <w:rPr>
                <w:rFonts w:hint="eastAsia" w:ascii="宋体" w:hAnsi="宋体" w:cs="宋体"/>
                <w:sz w:val="24"/>
              </w:rPr>
            </w:pPr>
            <w:r>
              <w:rPr>
                <w:rFonts w:hint="eastAsia" w:ascii="宋体" w:hAnsi="宋体" w:cs="宋体"/>
                <w:b/>
                <w:bCs/>
                <w:sz w:val="24"/>
              </w:rPr>
              <w:t>10.2特别提醒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272" w:type="dxa"/>
            <w:gridSpan w:val="3"/>
            <w:noWrap w:val="0"/>
            <w:vAlign w:val="center"/>
          </w:tcPr>
          <w:p>
            <w:pPr>
              <w:spacing w:line="360" w:lineRule="auto"/>
              <w:jc w:val="center"/>
              <w:rPr>
                <w:rFonts w:hint="eastAsia" w:ascii="宋体" w:hAnsi="宋体" w:cs="宋体"/>
                <w:b/>
                <w:bCs/>
                <w:sz w:val="24"/>
              </w:rPr>
            </w:pPr>
            <w:r>
              <w:rPr>
                <w:rFonts w:hint="eastAsia" w:ascii="宋体" w:hAnsi="宋体" w:cs="宋体"/>
                <w:b/>
                <w:bCs/>
                <w:sz w:val="24"/>
              </w:rPr>
              <w:t>中标人项目经理核验、有关材料递交</w:t>
            </w:r>
          </w:p>
        </w:tc>
        <w:tc>
          <w:tcPr>
            <w:tcW w:w="6489" w:type="dxa"/>
            <w:noWrap w:val="0"/>
            <w:vAlign w:val="center"/>
          </w:tcPr>
          <w:p>
            <w:pPr>
              <w:spacing w:line="360" w:lineRule="auto"/>
              <w:rPr>
                <w:rFonts w:hint="eastAsia" w:ascii="宋体" w:hAnsi="宋体" w:cs="宋体"/>
                <w:b/>
                <w:bCs/>
                <w:sz w:val="24"/>
              </w:rPr>
            </w:pPr>
            <w:r>
              <w:rPr>
                <w:rFonts w:hint="eastAsia" w:ascii="宋体" w:hAnsi="宋体" w:cs="宋体"/>
                <w:b/>
                <w:bCs/>
                <w:sz w:val="24"/>
              </w:rPr>
              <w:t>排名第一的中标候选人，应当在评标结果公示期满且无异议后的5个工作日内，其在投标文件中约定的拟任项目经理，持以下证明材料，到项目招标单位接受资格核验：1、建造师证、职称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r>
              <w:rPr>
                <w:rFonts w:hint="eastAsia" w:ascii="宋体" w:hAnsi="宋体" w:cs="宋体"/>
                <w:b/>
                <w:bCs/>
                <w:sz w:val="24"/>
              </w:rPr>
              <w:br w:type="textWrapping"/>
            </w:r>
            <w:r>
              <w:rPr>
                <w:rFonts w:hint="eastAsia" w:ascii="宋体" w:hAnsi="宋体" w:cs="宋体"/>
                <w:b/>
                <w:bCs/>
                <w:sz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r>
              <w:rPr>
                <w:rFonts w:hint="eastAsia" w:ascii="宋体" w:hAnsi="宋体" w:cs="宋体"/>
                <w:b/>
                <w:bCs/>
                <w:sz w:val="24"/>
              </w:rPr>
              <w:br w:type="textWrapping"/>
            </w:r>
            <w:r>
              <w:rPr>
                <w:rFonts w:hint="eastAsia" w:ascii="宋体" w:hAnsi="宋体" w:cs="宋体"/>
                <w:b/>
                <w:bCs/>
                <w:sz w:val="24"/>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076" w:type="dxa"/>
            <w:gridSpan w:val="2"/>
            <w:noWrap w:val="0"/>
            <w:vAlign w:val="center"/>
          </w:tcPr>
          <w:p>
            <w:pPr>
              <w:spacing w:line="360" w:lineRule="auto"/>
              <w:rPr>
                <w:rFonts w:hint="eastAsia" w:ascii="宋体" w:hAnsi="宋体" w:cs="宋体"/>
                <w:sz w:val="24"/>
              </w:rPr>
            </w:pPr>
            <w:r>
              <w:rPr>
                <w:rFonts w:hint="eastAsia" w:ascii="宋体" w:hAnsi="宋体" w:cs="宋体"/>
                <w:sz w:val="24"/>
              </w:rPr>
              <w:t>其他需要提醒的内容</w:t>
            </w:r>
          </w:p>
        </w:tc>
        <w:tc>
          <w:tcPr>
            <w:tcW w:w="7685" w:type="dxa"/>
            <w:gridSpan w:val="2"/>
            <w:noWrap w:val="0"/>
            <w:vAlign w:val="center"/>
          </w:tcPr>
          <w:p>
            <w:pPr>
              <w:numPr>
                <w:ilvl w:val="0"/>
                <w:numId w:val="1"/>
              </w:numPr>
              <w:adjustRightInd w:val="0"/>
              <w:snapToGrid w:val="0"/>
              <w:spacing w:line="440" w:lineRule="exact"/>
              <w:rPr>
                <w:rFonts w:hint="eastAsia" w:ascii="宋体" w:hAnsi="宋体" w:cs="宋体"/>
                <w:sz w:val="24"/>
              </w:rPr>
            </w:pPr>
            <w:r>
              <w:rPr>
                <w:rFonts w:hint="eastAsia" w:ascii="宋体" w:hAnsi="宋体" w:cs="宋体"/>
                <w:sz w:val="24"/>
              </w:rPr>
              <w:t>中标人应当按合同约定履行义务，完成中标项目。中标人不得向他人转让中标项目，也不得将中标项目肢解后分别向他人转让，投标人应作出“不挂靠、不转包、不违法分包”的专项承诺。</w:t>
            </w:r>
          </w:p>
          <w:p>
            <w:pPr>
              <w:autoSpaceDE w:val="0"/>
              <w:autoSpaceDN w:val="0"/>
              <w:adjustRightInd w:val="0"/>
              <w:snapToGrid w:val="0"/>
              <w:spacing w:line="440" w:lineRule="exact"/>
              <w:jc w:val="left"/>
              <w:outlineLvl w:val="0"/>
              <w:rPr>
                <w:rFonts w:hint="eastAsia" w:ascii="宋体" w:hAnsi="宋体" w:cs="宋体"/>
                <w:b/>
                <w:bCs/>
                <w:kern w:val="0"/>
                <w:sz w:val="24"/>
              </w:rPr>
            </w:pPr>
            <w:r>
              <w:rPr>
                <w:rFonts w:hint="eastAsia" w:ascii="宋体" w:hAnsi="宋体" w:cs="宋体"/>
                <w:b/>
                <w:kern w:val="0"/>
                <w:sz w:val="24"/>
              </w:rPr>
              <w:t>2.</w:t>
            </w:r>
            <w:bookmarkStart w:id="40" w:name="_Toc7849"/>
            <w:r>
              <w:rPr>
                <w:rFonts w:hint="eastAsia" w:ascii="宋体" w:hAnsi="宋体" w:cs="宋体"/>
                <w:b/>
                <w:bCs/>
                <w:sz w:val="24"/>
                <w:shd w:val="clear" w:color="auto" w:fill="FFFFFF"/>
              </w:rPr>
              <w:t xml:space="preserve"> </w:t>
            </w:r>
            <w:r>
              <w:rPr>
                <w:rFonts w:hint="eastAsia" w:ascii="宋体" w:hAnsi="宋体" w:cs="宋体"/>
                <w:b/>
                <w:bCs/>
                <w:kern w:val="0"/>
                <w:sz w:val="24"/>
              </w:rPr>
              <w:t>潜在投标人应仔细阅读招标文件、工程量清单和图纸，并自行踏勘现场，若出现图纸与工程量清单不符或现场与图纸不符（如漏、错项等）及潜在工程量，请在规定时间内在许昌市公共资源交易系统平台上提出，</w:t>
            </w:r>
            <w:bookmarkEnd w:id="40"/>
            <w:bookmarkStart w:id="41" w:name="_Toc464824565"/>
            <w:r>
              <w:rPr>
                <w:rFonts w:hint="eastAsia" w:ascii="宋体" w:hAnsi="宋体" w:cs="宋体"/>
                <w:b/>
                <w:bCs/>
                <w:kern w:val="0"/>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napToGrid w:val="0"/>
              <w:spacing w:line="440" w:lineRule="exact"/>
              <w:jc w:val="left"/>
              <w:outlineLvl w:val="0"/>
              <w:rPr>
                <w:rFonts w:hint="eastAsia" w:ascii="宋体" w:hAnsi="宋体" w:cs="宋体"/>
                <w:b/>
                <w:bCs/>
                <w:kern w:val="0"/>
                <w:sz w:val="24"/>
              </w:rPr>
            </w:pPr>
            <w:r>
              <w:rPr>
                <w:rFonts w:hint="eastAsia" w:ascii="宋体" w:hAnsi="宋体" w:cs="宋体"/>
                <w:b/>
                <w:bCs/>
                <w:kern w:val="0"/>
                <w:sz w:val="24"/>
              </w:rPr>
              <w:t>3、潜在投标人如对招标文件有异议，请在规定时间内在许昌市公共资源交易系统平台上提出，以其他方式递交的异议不予接受。</w:t>
            </w:r>
          </w:p>
          <w:p>
            <w:pPr>
              <w:autoSpaceDE w:val="0"/>
              <w:autoSpaceDN w:val="0"/>
              <w:adjustRightInd w:val="0"/>
              <w:snapToGrid w:val="0"/>
              <w:spacing w:line="440" w:lineRule="exact"/>
              <w:jc w:val="left"/>
              <w:outlineLvl w:val="0"/>
              <w:rPr>
                <w:rFonts w:hint="eastAsia" w:ascii="宋体" w:hAnsi="宋体" w:cs="宋体"/>
                <w:b/>
                <w:bCs/>
                <w:kern w:val="0"/>
                <w:sz w:val="24"/>
              </w:rPr>
            </w:pPr>
            <w:r>
              <w:rPr>
                <w:rFonts w:hint="eastAsia" w:ascii="宋体" w:hAnsi="宋体" w:cs="宋体"/>
                <w:b/>
                <w:bCs/>
                <w:kern w:val="0"/>
                <w:sz w:val="24"/>
              </w:rPr>
              <w:t>4、投标人在投标截止时间前应随时关注全国公共资源交易平台(河南省▪许昌市)交易系统平台发出的有关本工程的答疑、修改等相关内容。</w:t>
            </w:r>
          </w:p>
          <w:p>
            <w:pPr>
              <w:autoSpaceDE w:val="0"/>
              <w:autoSpaceDN w:val="0"/>
              <w:adjustRightInd w:val="0"/>
              <w:snapToGrid w:val="0"/>
              <w:spacing w:line="440" w:lineRule="exact"/>
              <w:jc w:val="left"/>
              <w:outlineLvl w:val="0"/>
              <w:rPr>
                <w:rFonts w:hint="eastAsia" w:ascii="宋体" w:hAnsi="宋体" w:cs="宋体"/>
                <w:b/>
                <w:bCs/>
                <w:kern w:val="0"/>
                <w:sz w:val="24"/>
              </w:rPr>
            </w:pPr>
            <w:r>
              <w:rPr>
                <w:rFonts w:hint="eastAsia" w:ascii="宋体" w:hAnsi="宋体" w:cs="宋体"/>
                <w:b/>
                <w:bCs/>
                <w:kern w:val="0"/>
                <w:sz w:val="24"/>
              </w:rPr>
              <w:t>5、本项目试行全流程电子化交易。</w:t>
            </w:r>
          </w:p>
          <w:p>
            <w:pPr>
              <w:autoSpaceDE w:val="0"/>
              <w:autoSpaceDN w:val="0"/>
              <w:adjustRightInd w:val="0"/>
              <w:snapToGrid w:val="0"/>
              <w:spacing w:line="440" w:lineRule="exact"/>
              <w:jc w:val="left"/>
              <w:outlineLvl w:val="0"/>
              <w:rPr>
                <w:rFonts w:hint="eastAsia" w:ascii="宋体" w:hAnsi="宋体" w:cs="宋体"/>
                <w:b/>
                <w:bCs/>
                <w:kern w:val="0"/>
                <w:sz w:val="24"/>
              </w:rPr>
            </w:pPr>
            <w:r>
              <w:rPr>
                <w:rFonts w:hint="eastAsia" w:ascii="宋体" w:hAnsi="宋体" w:cs="宋体"/>
                <w:b/>
                <w:bCs/>
                <w:kern w:val="0"/>
                <w:sz w:val="24"/>
              </w:rPr>
              <w:t>6、投标文件依据最终的招标文件进行编制。如果招标文件发生变更，投标人应以招标人最终发出的电子招标文件为准，编制投标文件，务请投标人随时关注项目变更信息。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napToGrid w:val="0"/>
              <w:spacing w:line="440" w:lineRule="exact"/>
              <w:jc w:val="left"/>
              <w:outlineLvl w:val="0"/>
              <w:rPr>
                <w:rFonts w:hint="eastAsia" w:ascii="宋体" w:hAnsi="宋体" w:cs="宋体"/>
                <w:b/>
                <w:bCs/>
                <w:kern w:val="0"/>
                <w:sz w:val="24"/>
              </w:rPr>
            </w:pPr>
            <w:r>
              <w:rPr>
                <w:rFonts w:hint="eastAsia" w:ascii="宋体" w:hAnsi="宋体" w:cs="宋体"/>
                <w:b/>
                <w:bCs/>
                <w:kern w:val="0"/>
                <w:sz w:val="24"/>
              </w:rPr>
              <w:t>7、投标人电子投标文件成功提交后，应打印“投标文件提交回执单”，供开标现场备查。</w:t>
            </w:r>
          </w:p>
          <w:p>
            <w:pPr>
              <w:autoSpaceDE w:val="0"/>
              <w:autoSpaceDN w:val="0"/>
              <w:adjustRightInd w:val="0"/>
              <w:snapToGrid w:val="0"/>
              <w:spacing w:line="440" w:lineRule="exact"/>
              <w:jc w:val="left"/>
              <w:outlineLvl w:val="0"/>
              <w:rPr>
                <w:rFonts w:hint="eastAsia" w:ascii="宋体" w:hAnsi="宋体" w:cs="宋体"/>
                <w:b/>
                <w:bCs/>
                <w:kern w:val="0"/>
                <w:sz w:val="24"/>
              </w:rPr>
            </w:pPr>
            <w:r>
              <w:rPr>
                <w:rFonts w:hint="eastAsia" w:ascii="宋体" w:hAnsi="宋体" w:cs="宋体"/>
                <w:b/>
                <w:bCs/>
                <w:kern w:val="0"/>
                <w:sz w:val="24"/>
              </w:rPr>
              <w:t>8、电子投标文件制作注意事项：</w:t>
            </w:r>
          </w:p>
          <w:p>
            <w:pPr>
              <w:autoSpaceDE w:val="0"/>
              <w:autoSpaceDN w:val="0"/>
              <w:adjustRightInd w:val="0"/>
              <w:snapToGrid w:val="0"/>
              <w:spacing w:line="440" w:lineRule="exact"/>
              <w:jc w:val="left"/>
              <w:outlineLvl w:val="0"/>
              <w:rPr>
                <w:rFonts w:hint="eastAsia" w:ascii="宋体" w:hAnsi="宋体" w:cs="宋体"/>
                <w:b/>
                <w:bCs/>
                <w:kern w:val="0"/>
                <w:sz w:val="24"/>
              </w:rPr>
            </w:pPr>
            <w:r>
              <w:rPr>
                <w:rFonts w:hint="eastAsia" w:ascii="宋体" w:hAnsi="宋体" w:cs="宋体"/>
                <w:b/>
                <w:bCs/>
                <w:kern w:val="0"/>
                <w:sz w:val="24"/>
              </w:rPr>
              <w:t>8.1 投标人登录《全国公共资源交易平台（河南省•许昌市）》公共资源交易系统下载“许昌投标文件制作系统SEARUN V1.1” 和操作手册（工程项目），按招标文件要求制作电子投标文件。</w:t>
            </w:r>
          </w:p>
          <w:p>
            <w:pPr>
              <w:autoSpaceDE w:val="0"/>
              <w:autoSpaceDN w:val="0"/>
              <w:adjustRightInd w:val="0"/>
              <w:snapToGrid w:val="0"/>
              <w:spacing w:line="440" w:lineRule="exact"/>
              <w:jc w:val="left"/>
              <w:outlineLvl w:val="0"/>
              <w:rPr>
                <w:rFonts w:hint="eastAsia" w:ascii="宋体" w:hAnsi="宋体" w:cs="宋体"/>
                <w:b/>
                <w:bCs/>
                <w:kern w:val="0"/>
                <w:sz w:val="24"/>
              </w:rPr>
            </w:pPr>
            <w:r>
              <w:rPr>
                <w:rFonts w:hint="eastAsia" w:ascii="宋体" w:hAnsi="宋体" w:cs="宋体"/>
                <w:b/>
                <w:bCs/>
                <w:kern w:val="0"/>
                <w:sz w:val="24"/>
              </w:rPr>
              <w:t>8.2 电子投标文件制作技术咨询：0374-2961598。</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761" w:type="dxa"/>
            <w:gridSpan w:val="4"/>
            <w:noWrap w:val="0"/>
            <w:vAlign w:val="center"/>
          </w:tcPr>
          <w:p>
            <w:pPr>
              <w:spacing w:line="360" w:lineRule="auto"/>
              <w:rPr>
                <w:rFonts w:hint="eastAsia" w:ascii="宋体" w:hAnsi="宋体" w:cs="宋体"/>
                <w:b/>
                <w:sz w:val="24"/>
              </w:rPr>
            </w:pPr>
            <w:r>
              <w:rPr>
                <w:rFonts w:hint="eastAsia" w:ascii="宋体" w:hAnsi="宋体" w:cs="宋体"/>
                <w:b/>
                <w:sz w:val="24"/>
              </w:rPr>
              <w:t>10.3特别指出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76" w:type="dxa"/>
            <w:gridSpan w:val="2"/>
            <w:noWrap w:val="0"/>
            <w:vAlign w:val="center"/>
          </w:tcPr>
          <w:p>
            <w:pPr>
              <w:spacing w:line="360" w:lineRule="auto"/>
              <w:rPr>
                <w:rFonts w:hint="eastAsia" w:ascii="宋体" w:hAnsi="宋体" w:cs="宋体"/>
                <w:sz w:val="24"/>
              </w:rPr>
            </w:pPr>
          </w:p>
        </w:tc>
        <w:tc>
          <w:tcPr>
            <w:tcW w:w="7685" w:type="dxa"/>
            <w:gridSpan w:val="2"/>
            <w:noWrap w:val="0"/>
            <w:vAlign w:val="center"/>
          </w:tcPr>
          <w:p>
            <w:pPr>
              <w:spacing w:line="360" w:lineRule="auto"/>
              <w:rPr>
                <w:rFonts w:hint="eastAsia" w:ascii="宋体" w:hAnsi="宋体" w:cs="宋体"/>
                <w:sz w:val="24"/>
              </w:rPr>
            </w:pPr>
            <w:r>
              <w:rPr>
                <w:rFonts w:hint="eastAsia" w:ascii="宋体" w:hAnsi="宋体" w:cs="宋体"/>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投标人不得以低于成本的报价竞标，也不得以他人名义投标或者以其他方式弄虚作假，骗取中标。</w:t>
            </w:r>
          </w:p>
          <w:p>
            <w:pPr>
              <w:spacing w:line="360" w:lineRule="auto"/>
              <w:rPr>
                <w:rFonts w:hint="eastAsia" w:ascii="宋体" w:hAnsi="宋体" w:cs="宋体"/>
                <w:b/>
                <w:sz w:val="24"/>
              </w:rPr>
            </w:pPr>
            <w:r>
              <w:rPr>
                <w:rFonts w:hint="eastAsia" w:ascii="宋体" w:hAnsi="宋体" w:cs="宋体"/>
                <w:b/>
                <w:sz w:val="24"/>
              </w:rPr>
              <w:t>有下列情形之一的，属于招标人与投标人串通投标：</w:t>
            </w:r>
          </w:p>
          <w:p>
            <w:pPr>
              <w:spacing w:line="360" w:lineRule="auto"/>
              <w:rPr>
                <w:rFonts w:hint="eastAsia" w:ascii="宋体" w:hAnsi="宋体" w:cs="宋体"/>
                <w:sz w:val="24"/>
              </w:rPr>
            </w:pPr>
            <w:r>
              <w:rPr>
                <w:rFonts w:hint="eastAsia" w:ascii="宋体" w:hAnsi="宋体" w:cs="宋体"/>
                <w:sz w:val="24"/>
              </w:rPr>
              <w:t>招标人在开标前开启投标文件并将有关信息泄露给其他投标人；</w:t>
            </w:r>
          </w:p>
          <w:p>
            <w:pPr>
              <w:spacing w:line="360" w:lineRule="auto"/>
              <w:rPr>
                <w:rFonts w:hint="eastAsia" w:ascii="宋体" w:hAnsi="宋体" w:cs="宋体"/>
                <w:sz w:val="24"/>
              </w:rPr>
            </w:pPr>
            <w:r>
              <w:rPr>
                <w:rFonts w:hint="eastAsia" w:ascii="宋体" w:hAnsi="宋体" w:cs="宋体"/>
                <w:sz w:val="24"/>
              </w:rPr>
              <w:t>招标人直接或间接向投标人泄露标底、评标委员会成员等信息；</w:t>
            </w:r>
          </w:p>
          <w:p>
            <w:pPr>
              <w:spacing w:line="360" w:lineRule="auto"/>
              <w:rPr>
                <w:rFonts w:hint="eastAsia" w:ascii="宋体" w:hAnsi="宋体" w:cs="宋体"/>
                <w:sz w:val="24"/>
              </w:rPr>
            </w:pPr>
            <w:r>
              <w:rPr>
                <w:rFonts w:hint="eastAsia" w:ascii="宋体" w:hAnsi="宋体" w:cs="宋体"/>
                <w:sz w:val="24"/>
              </w:rPr>
              <w:t>招标人明示或者暗示投标人压低或者抬高投标报价；</w:t>
            </w:r>
          </w:p>
          <w:p>
            <w:pPr>
              <w:spacing w:line="360" w:lineRule="auto"/>
              <w:rPr>
                <w:rFonts w:hint="eastAsia" w:ascii="宋体" w:hAnsi="宋体" w:cs="宋体"/>
                <w:sz w:val="24"/>
              </w:rPr>
            </w:pPr>
            <w:r>
              <w:rPr>
                <w:rFonts w:hint="eastAsia" w:ascii="宋体" w:hAnsi="宋体" w:cs="宋体"/>
                <w:sz w:val="24"/>
              </w:rPr>
              <w:t>招标人授意投标人撤换、修改投标文件；</w:t>
            </w:r>
          </w:p>
          <w:p>
            <w:pPr>
              <w:spacing w:line="360" w:lineRule="auto"/>
              <w:rPr>
                <w:rFonts w:hint="eastAsia" w:ascii="宋体" w:hAnsi="宋体" w:cs="宋体"/>
                <w:sz w:val="24"/>
              </w:rPr>
            </w:pPr>
            <w:r>
              <w:rPr>
                <w:rFonts w:hint="eastAsia" w:ascii="宋体" w:hAnsi="宋体" w:cs="宋体"/>
                <w:sz w:val="24"/>
              </w:rPr>
              <w:t>招标人明示或者暗示投标人为特定投标人中标提供方便；</w:t>
            </w:r>
          </w:p>
          <w:p>
            <w:pPr>
              <w:spacing w:line="360" w:lineRule="auto"/>
              <w:rPr>
                <w:rFonts w:hint="eastAsia" w:ascii="宋体" w:hAnsi="宋体" w:cs="宋体"/>
                <w:sz w:val="24"/>
              </w:rPr>
            </w:pPr>
            <w:r>
              <w:rPr>
                <w:rFonts w:hint="eastAsia" w:ascii="宋体" w:hAnsi="宋体" w:cs="宋体"/>
                <w:sz w:val="24"/>
              </w:rPr>
              <w:t xml:space="preserve">招标人与投标人为谋求特定投标人中标而采取的其他串通行为。 </w:t>
            </w:r>
          </w:p>
          <w:p>
            <w:pPr>
              <w:spacing w:line="360" w:lineRule="auto"/>
              <w:rPr>
                <w:rFonts w:hint="eastAsia" w:ascii="宋体" w:hAnsi="宋体" w:cs="宋体"/>
                <w:b/>
                <w:sz w:val="24"/>
              </w:rPr>
            </w:pPr>
            <w:r>
              <w:rPr>
                <w:rFonts w:hint="eastAsia" w:ascii="宋体" w:hAnsi="宋体" w:cs="宋体"/>
                <w:b/>
                <w:sz w:val="24"/>
              </w:rPr>
              <w:t>有下列情形之一的，属于投标人相互串通投标：</w:t>
            </w:r>
          </w:p>
          <w:p>
            <w:pPr>
              <w:spacing w:line="360" w:lineRule="auto"/>
              <w:rPr>
                <w:rFonts w:hint="eastAsia" w:ascii="宋体" w:hAnsi="宋体" w:cs="宋体"/>
                <w:sz w:val="24"/>
              </w:rPr>
            </w:pPr>
            <w:r>
              <w:rPr>
                <w:rFonts w:hint="eastAsia" w:ascii="宋体" w:hAnsi="宋体" w:cs="宋体"/>
                <w:sz w:val="24"/>
              </w:rPr>
              <w:t>投标人之间协商 投标报价等投标文件的实质性内容；</w:t>
            </w:r>
          </w:p>
          <w:p>
            <w:pPr>
              <w:spacing w:line="360" w:lineRule="auto"/>
              <w:rPr>
                <w:rFonts w:hint="eastAsia" w:ascii="宋体" w:hAnsi="宋体" w:cs="宋体"/>
                <w:sz w:val="24"/>
              </w:rPr>
            </w:pPr>
            <w:r>
              <w:rPr>
                <w:rFonts w:hint="eastAsia" w:ascii="宋体" w:hAnsi="宋体" w:cs="宋体"/>
                <w:sz w:val="24"/>
              </w:rPr>
              <w:t>投标人之间约定中标人；</w:t>
            </w:r>
          </w:p>
          <w:p>
            <w:pPr>
              <w:spacing w:line="360" w:lineRule="auto"/>
              <w:rPr>
                <w:rFonts w:hint="eastAsia" w:ascii="宋体" w:hAnsi="宋体" w:cs="宋体"/>
                <w:sz w:val="24"/>
              </w:rPr>
            </w:pPr>
            <w:r>
              <w:rPr>
                <w:rFonts w:hint="eastAsia" w:ascii="宋体" w:hAnsi="宋体" w:cs="宋体"/>
                <w:sz w:val="24"/>
              </w:rPr>
              <w:t>投标人之间约定中标人；</w:t>
            </w:r>
          </w:p>
          <w:p>
            <w:pPr>
              <w:spacing w:line="360" w:lineRule="auto"/>
              <w:rPr>
                <w:rFonts w:hint="eastAsia" w:ascii="宋体" w:hAnsi="宋体" w:cs="宋体"/>
                <w:sz w:val="24"/>
              </w:rPr>
            </w:pPr>
            <w:r>
              <w:rPr>
                <w:rFonts w:hint="eastAsia" w:ascii="宋体" w:hAnsi="宋体" w:cs="宋体"/>
                <w:sz w:val="24"/>
              </w:rPr>
              <w:t>属于同一集团、协会、商会等组织成员的投标人按照该组织要求协同投标；</w:t>
            </w:r>
          </w:p>
          <w:p>
            <w:pPr>
              <w:spacing w:line="360" w:lineRule="auto"/>
              <w:rPr>
                <w:rFonts w:hint="eastAsia" w:ascii="宋体" w:hAnsi="宋体" w:cs="宋体"/>
                <w:sz w:val="24"/>
              </w:rPr>
            </w:pPr>
            <w:r>
              <w:rPr>
                <w:rFonts w:hint="eastAsia" w:ascii="宋体" w:hAnsi="宋体" w:cs="宋体"/>
                <w:sz w:val="24"/>
              </w:rPr>
              <w:t>投标人之间为谋求中标或者排斥特定投标人而采取的其他联合行动。</w:t>
            </w:r>
          </w:p>
          <w:p>
            <w:pPr>
              <w:spacing w:line="360" w:lineRule="auto"/>
              <w:rPr>
                <w:rFonts w:hint="eastAsia" w:ascii="宋体" w:hAnsi="宋体" w:cs="宋体"/>
                <w:b/>
                <w:sz w:val="24"/>
              </w:rPr>
            </w:pPr>
            <w:r>
              <w:rPr>
                <w:rFonts w:hint="eastAsia" w:ascii="宋体" w:hAnsi="宋体" w:cs="宋体"/>
                <w:b/>
                <w:sz w:val="24"/>
              </w:rPr>
              <w:t>有下列情形之一的视为投标人相互串通投标：</w:t>
            </w:r>
          </w:p>
          <w:p>
            <w:pPr>
              <w:spacing w:line="360" w:lineRule="auto"/>
              <w:rPr>
                <w:rFonts w:hint="eastAsia" w:ascii="宋体" w:hAnsi="宋体" w:cs="宋体"/>
                <w:sz w:val="24"/>
              </w:rPr>
            </w:pPr>
            <w:r>
              <w:rPr>
                <w:rFonts w:hint="eastAsia" w:ascii="宋体" w:hAnsi="宋体" w:cs="宋体"/>
                <w:sz w:val="24"/>
              </w:rPr>
              <w:t>不同投标人的投标文件由同一单位或者个人编制；</w:t>
            </w:r>
          </w:p>
          <w:p>
            <w:pPr>
              <w:spacing w:line="360" w:lineRule="auto"/>
              <w:rPr>
                <w:rFonts w:hint="eastAsia" w:ascii="宋体" w:hAnsi="宋体" w:cs="宋体"/>
                <w:sz w:val="24"/>
              </w:rPr>
            </w:pPr>
            <w:r>
              <w:rPr>
                <w:rFonts w:hint="eastAsia" w:ascii="宋体" w:hAnsi="宋体" w:cs="宋体"/>
                <w:sz w:val="24"/>
              </w:rPr>
              <w:t>不同投标人委托同一单位或者个人办理投标事宜；</w:t>
            </w:r>
          </w:p>
          <w:p>
            <w:pPr>
              <w:spacing w:line="360" w:lineRule="auto"/>
              <w:rPr>
                <w:rFonts w:hint="eastAsia" w:ascii="宋体" w:hAnsi="宋体" w:cs="宋体"/>
                <w:sz w:val="24"/>
              </w:rPr>
            </w:pPr>
            <w:r>
              <w:rPr>
                <w:rFonts w:hint="eastAsia" w:ascii="宋体" w:hAnsi="宋体" w:cs="宋体"/>
                <w:sz w:val="24"/>
              </w:rPr>
              <w:t>不同投标人的投标文件载明的项目管理成员为一人；</w:t>
            </w:r>
          </w:p>
          <w:p>
            <w:pPr>
              <w:spacing w:line="360" w:lineRule="auto"/>
              <w:rPr>
                <w:rFonts w:hint="eastAsia" w:ascii="宋体" w:hAnsi="宋体" w:cs="宋体"/>
                <w:sz w:val="24"/>
              </w:rPr>
            </w:pPr>
            <w:r>
              <w:rPr>
                <w:rFonts w:hint="eastAsia" w:ascii="宋体" w:hAnsi="宋体" w:cs="宋体"/>
                <w:sz w:val="24"/>
              </w:rPr>
              <w:t>不同投标人的投标文件异常一致或者投标报价呈规律性差异；</w:t>
            </w:r>
          </w:p>
          <w:p>
            <w:pPr>
              <w:spacing w:line="360" w:lineRule="auto"/>
              <w:rPr>
                <w:rFonts w:hint="eastAsia" w:ascii="宋体" w:hAnsi="宋体" w:cs="宋体"/>
                <w:sz w:val="24"/>
              </w:rPr>
            </w:pPr>
            <w:r>
              <w:rPr>
                <w:rFonts w:hint="eastAsia" w:ascii="宋体" w:hAnsi="宋体" w:cs="宋体"/>
                <w:sz w:val="24"/>
              </w:rPr>
              <w:t>不同投标人的投标文件相互混装；</w:t>
            </w:r>
          </w:p>
          <w:p>
            <w:pPr>
              <w:spacing w:line="360" w:lineRule="auto"/>
              <w:rPr>
                <w:rFonts w:hint="eastAsia" w:ascii="宋体" w:hAnsi="宋体" w:cs="宋体"/>
                <w:sz w:val="24"/>
              </w:rPr>
            </w:pPr>
            <w:r>
              <w:rPr>
                <w:rFonts w:hint="eastAsia" w:ascii="宋体" w:hAnsi="宋体" w:cs="宋体"/>
                <w:sz w:val="24"/>
              </w:rPr>
              <w:t>不同投标人的投标保证金从同一单位或者个人的账户转出。使用通过受让或者租借等方式获取的资格、资质证书投标的，属于招标投标法第三十三条规定的以他人名义投标的。</w:t>
            </w:r>
          </w:p>
          <w:p>
            <w:pPr>
              <w:spacing w:line="360" w:lineRule="auto"/>
              <w:rPr>
                <w:rFonts w:hint="eastAsia" w:ascii="宋体" w:hAnsi="宋体" w:cs="宋体"/>
                <w:b/>
                <w:sz w:val="24"/>
              </w:rPr>
            </w:pPr>
            <w:r>
              <w:rPr>
                <w:rFonts w:hint="eastAsia" w:ascii="宋体" w:hAnsi="宋体" w:cs="宋体"/>
                <w:b/>
                <w:sz w:val="24"/>
              </w:rPr>
              <w:t>投标人之有下列情形之一的，属于招标投标法第三十三条规定的以其他方式弄虚作假的行为：</w:t>
            </w:r>
          </w:p>
          <w:p>
            <w:pPr>
              <w:spacing w:line="360" w:lineRule="auto"/>
              <w:rPr>
                <w:rFonts w:hint="eastAsia" w:ascii="宋体" w:hAnsi="宋体" w:cs="宋体"/>
                <w:sz w:val="24"/>
              </w:rPr>
            </w:pPr>
            <w:r>
              <w:rPr>
                <w:rFonts w:hint="eastAsia" w:ascii="宋体" w:hAnsi="宋体" w:cs="宋体"/>
                <w:sz w:val="24"/>
              </w:rPr>
              <w:t>使用伪造、变更的许可证件；</w:t>
            </w:r>
          </w:p>
          <w:p>
            <w:pPr>
              <w:spacing w:line="360" w:lineRule="auto"/>
              <w:rPr>
                <w:rFonts w:hint="eastAsia" w:ascii="宋体" w:hAnsi="宋体" w:cs="宋体"/>
                <w:sz w:val="24"/>
              </w:rPr>
            </w:pPr>
            <w:r>
              <w:rPr>
                <w:rFonts w:hint="eastAsia" w:ascii="宋体" w:hAnsi="宋体" w:cs="宋体"/>
                <w:sz w:val="24"/>
              </w:rPr>
              <w:t>提供虚假的财务状况或者业绩；</w:t>
            </w:r>
          </w:p>
          <w:p>
            <w:pPr>
              <w:spacing w:line="360" w:lineRule="auto"/>
              <w:rPr>
                <w:rFonts w:hint="eastAsia" w:ascii="宋体" w:hAnsi="宋体" w:cs="宋体"/>
                <w:sz w:val="24"/>
              </w:rPr>
            </w:pPr>
            <w:r>
              <w:rPr>
                <w:rFonts w:hint="eastAsia" w:ascii="宋体" w:hAnsi="宋体" w:cs="宋体"/>
                <w:sz w:val="24"/>
              </w:rPr>
              <w:t>提供虚假的项目经理或者主要技术人员简历、劳动关系证明；</w:t>
            </w:r>
          </w:p>
          <w:p>
            <w:pPr>
              <w:spacing w:line="360" w:lineRule="auto"/>
              <w:rPr>
                <w:rFonts w:hint="eastAsia" w:ascii="宋体" w:hAnsi="宋体" w:cs="宋体"/>
                <w:sz w:val="24"/>
              </w:rPr>
            </w:pPr>
            <w:r>
              <w:rPr>
                <w:rFonts w:hint="eastAsia" w:ascii="宋体" w:hAnsi="宋体" w:cs="宋体"/>
                <w:sz w:val="24"/>
              </w:rPr>
              <w:t>提供虚假的信用状况；</w:t>
            </w:r>
          </w:p>
          <w:p>
            <w:pPr>
              <w:spacing w:line="360" w:lineRule="auto"/>
              <w:rPr>
                <w:rFonts w:hint="eastAsia" w:ascii="宋体" w:hAnsi="宋体" w:cs="宋体"/>
                <w:sz w:val="24"/>
              </w:rPr>
            </w:pPr>
            <w:r>
              <w:rPr>
                <w:rFonts w:hint="eastAsia" w:ascii="宋体" w:hAnsi="宋体" w:cs="宋体"/>
                <w:sz w:val="24"/>
              </w:rPr>
              <w:t>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761" w:type="dxa"/>
            <w:gridSpan w:val="4"/>
            <w:noWrap w:val="0"/>
            <w:vAlign w:val="center"/>
          </w:tcPr>
          <w:p>
            <w:pPr>
              <w:spacing w:line="360" w:lineRule="auto"/>
              <w:rPr>
                <w:rFonts w:hint="eastAsia" w:ascii="宋体" w:hAnsi="宋体" w:cs="宋体"/>
                <w:b/>
                <w:sz w:val="24"/>
              </w:rPr>
            </w:pPr>
            <w:bookmarkStart w:id="42" w:name="_Toc144974497"/>
            <w:bookmarkStart w:id="43" w:name="_Toc152042305"/>
            <w:bookmarkStart w:id="44" w:name="_Toc179632546"/>
            <w:bookmarkStart w:id="45" w:name="_Toc311013668"/>
            <w:bookmarkStart w:id="46" w:name="_Toc152045529"/>
            <w:r>
              <w:rPr>
                <w:rFonts w:hint="eastAsia" w:ascii="宋体" w:hAnsi="宋体" w:cs="宋体"/>
                <w:b/>
                <w:sz w:val="24"/>
              </w:rPr>
              <w:t>注意事项：</w:t>
            </w:r>
          </w:p>
          <w:p>
            <w:pPr>
              <w:spacing w:line="360" w:lineRule="auto"/>
              <w:rPr>
                <w:rFonts w:hint="eastAsia" w:ascii="宋体" w:hAnsi="宋体" w:cs="宋体"/>
                <w:sz w:val="24"/>
              </w:rPr>
            </w:pPr>
            <w:r>
              <w:rPr>
                <w:rFonts w:hint="eastAsia" w:ascii="宋体" w:hAnsi="宋体" w:cs="宋体"/>
                <w:sz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spacing w:line="360" w:lineRule="auto"/>
              <w:ind w:firstLine="480" w:firstLineChars="200"/>
              <w:rPr>
                <w:rFonts w:hint="eastAsia" w:ascii="宋体" w:hAnsi="宋体" w:cs="宋体"/>
                <w:sz w:val="24"/>
              </w:rPr>
            </w:pPr>
            <w:r>
              <w:rPr>
                <w:rFonts w:hint="eastAsia" w:ascii="宋体" w:hAnsi="宋体" w:cs="宋体"/>
                <w:sz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spacing w:line="360" w:lineRule="auto"/>
              <w:ind w:firstLine="480" w:firstLineChars="200"/>
              <w:rPr>
                <w:rFonts w:hint="eastAsia" w:ascii="宋体" w:hAnsi="宋体" w:cs="宋体"/>
                <w:sz w:val="24"/>
              </w:rPr>
            </w:pPr>
            <w:r>
              <w:rPr>
                <w:rFonts w:hint="eastAsia" w:ascii="宋体" w:hAnsi="宋体" w:cs="宋体"/>
                <w:sz w:val="24"/>
              </w:rPr>
              <w:t>中标人无正当理由不与招标人订立合同，在签订合同时向招标人提出附加条件，或者不按照招标文件要求提交履约担保的，取消其中标资格，投标保证金不予退还。</w:t>
            </w:r>
          </w:p>
          <w:p>
            <w:pPr>
              <w:spacing w:line="360" w:lineRule="auto"/>
              <w:ind w:firstLine="480" w:firstLineChars="200"/>
              <w:rPr>
                <w:rFonts w:hint="eastAsia" w:ascii="宋体" w:hAnsi="宋体" w:cs="宋体"/>
                <w:sz w:val="24"/>
              </w:rPr>
            </w:pPr>
            <w:r>
              <w:rPr>
                <w:rFonts w:hint="eastAsia" w:ascii="宋体" w:hAnsi="宋体" w:cs="宋体"/>
                <w:sz w:val="24"/>
              </w:rPr>
              <w:t>中标人不履行与招标人订立的合同的，履约担保不予退还，给招标人造成的损失超过履约担保数额的，还应当对超过部分予以赔偿；没有提交履约担保的，应当对招标人的损失承担赔偿责任。</w:t>
            </w:r>
          </w:p>
          <w:p>
            <w:pPr>
              <w:spacing w:line="360" w:lineRule="auto"/>
              <w:rPr>
                <w:rFonts w:hint="eastAsia" w:ascii="宋体" w:hAnsi="宋体" w:cs="宋体"/>
                <w:sz w:val="24"/>
              </w:rPr>
            </w:pPr>
            <w:r>
              <w:rPr>
                <w:rFonts w:hint="eastAsia" w:ascii="宋体" w:hAnsi="宋体" w:cs="宋体"/>
                <w:sz w:val="24"/>
              </w:rPr>
              <w:t>投标人的投标活动属于“国家发展改革委等２４部委《关于对公共资源交易领域严重失信主体开展联合惩戒的备忘录》（发改法规〔2018〕457号）”界定的不良行为的，按相关文件规定执行。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76" w:type="dxa"/>
            <w:gridSpan w:val="2"/>
            <w:noWrap w:val="0"/>
            <w:vAlign w:val="center"/>
          </w:tcPr>
          <w:p>
            <w:pPr>
              <w:spacing w:line="360" w:lineRule="auto"/>
              <w:rPr>
                <w:rFonts w:hint="eastAsia" w:ascii="宋体" w:hAnsi="宋体" w:cs="宋体"/>
                <w:kern w:val="0"/>
                <w:sz w:val="24"/>
              </w:rPr>
            </w:pPr>
            <w:r>
              <w:rPr>
                <w:rFonts w:hint="eastAsia" w:ascii="宋体" w:hAnsi="宋体" w:cs="宋体"/>
                <w:kern w:val="0"/>
                <w:sz w:val="24"/>
              </w:rPr>
              <w:t>招标代理服务费</w:t>
            </w:r>
          </w:p>
        </w:tc>
        <w:tc>
          <w:tcPr>
            <w:tcW w:w="7685" w:type="dxa"/>
            <w:gridSpan w:val="2"/>
            <w:noWrap w:val="0"/>
            <w:vAlign w:val="center"/>
          </w:tcPr>
          <w:p>
            <w:pPr>
              <w:spacing w:line="360" w:lineRule="auto"/>
              <w:rPr>
                <w:rFonts w:hint="eastAsia" w:ascii="宋体" w:hAnsi="宋体" w:cs="宋体"/>
                <w:kern w:val="0"/>
                <w:sz w:val="24"/>
              </w:rPr>
            </w:pPr>
            <w:r>
              <w:rPr>
                <w:rFonts w:hint="eastAsia" w:ascii="宋体" w:hAnsi="宋体" w:cs="宋体"/>
                <w:kern w:val="0"/>
                <w:sz w:val="24"/>
              </w:rPr>
              <w:t>由中标人向招标代理机构支付。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76" w:type="dxa"/>
            <w:gridSpan w:val="2"/>
            <w:noWrap w:val="0"/>
            <w:vAlign w:val="center"/>
          </w:tcPr>
          <w:p>
            <w:pPr>
              <w:spacing w:line="360" w:lineRule="auto"/>
              <w:rPr>
                <w:rFonts w:hint="eastAsia" w:ascii="宋体" w:hAnsi="宋体" w:cs="宋体"/>
                <w:kern w:val="0"/>
                <w:sz w:val="24"/>
              </w:rPr>
            </w:pPr>
            <w:r>
              <w:rPr>
                <w:rFonts w:hint="eastAsia" w:ascii="宋体" w:hAnsi="宋体" w:cs="宋体"/>
                <w:sz w:val="24"/>
              </w:rPr>
              <w:t>未尽事宜</w:t>
            </w:r>
          </w:p>
        </w:tc>
        <w:tc>
          <w:tcPr>
            <w:tcW w:w="7685" w:type="dxa"/>
            <w:gridSpan w:val="2"/>
            <w:noWrap w:val="0"/>
            <w:vAlign w:val="center"/>
          </w:tcPr>
          <w:p>
            <w:pPr>
              <w:spacing w:line="360" w:lineRule="auto"/>
              <w:rPr>
                <w:rFonts w:hint="eastAsia" w:ascii="宋体" w:hAnsi="宋体" w:cs="宋体"/>
                <w:kern w:val="0"/>
                <w:sz w:val="24"/>
              </w:rPr>
            </w:pPr>
            <w:r>
              <w:rPr>
                <w:rFonts w:hint="eastAsia" w:ascii="宋体" w:hAnsi="宋体" w:cs="宋体"/>
                <w:sz w:val="24"/>
              </w:rPr>
              <w:t>按国家有关规定执行</w:t>
            </w:r>
          </w:p>
        </w:tc>
      </w:tr>
      <w:bookmarkEnd w:id="42"/>
      <w:bookmarkEnd w:id="43"/>
      <w:bookmarkEnd w:id="44"/>
      <w:bookmarkEnd w:id="45"/>
      <w:bookmarkEnd w:id="46"/>
    </w:tbl>
    <w:p>
      <w:pPr>
        <w:pStyle w:val="2"/>
        <w:ind w:firstLine="0" w:firstLineChars="0"/>
        <w:rPr>
          <w:rFonts w:hint="eastAsia" w:ascii="黑体" w:hAnsi="黑体" w:eastAsia="黑体"/>
          <w:b/>
          <w:sz w:val="28"/>
        </w:rPr>
      </w:pPr>
    </w:p>
    <w:p>
      <w:pPr>
        <w:tabs>
          <w:tab w:val="right" w:leader="dot" w:pos="8295"/>
        </w:tabs>
        <w:adjustRightInd w:val="0"/>
        <w:snapToGrid w:val="0"/>
        <w:spacing w:line="360" w:lineRule="auto"/>
        <w:rPr>
          <w:rFonts w:hint="eastAsia" w:ascii="黑体" w:hAnsi="黑体" w:eastAsia="黑体"/>
          <w:b/>
          <w:sz w:val="28"/>
        </w:rPr>
      </w:pPr>
      <w:r>
        <w:rPr>
          <w:rFonts w:ascii="黑体" w:hAnsi="黑体" w:eastAsia="黑体"/>
          <w:b/>
          <w:sz w:val="28"/>
        </w:rPr>
        <w:br w:type="page"/>
      </w:r>
      <w:r>
        <w:rPr>
          <w:rFonts w:hint="eastAsia" w:ascii="黑体" w:hAnsi="黑体" w:eastAsia="黑体"/>
          <w:b/>
          <w:sz w:val="28"/>
          <w:lang w:eastAsia="zh-CN"/>
        </w:rPr>
        <w:t>附</w:t>
      </w:r>
      <w:r>
        <w:rPr>
          <w:rFonts w:hint="eastAsia" w:ascii="黑体" w:hAnsi="黑体" w:eastAsia="黑体"/>
          <w:b/>
          <w:sz w:val="28"/>
        </w:rPr>
        <w:t>录</w:t>
      </w:r>
      <w:r>
        <w:rPr>
          <w:rFonts w:hint="eastAsia" w:ascii="黑体" w:hAnsi="黑体" w:eastAsia="黑体"/>
          <w:b/>
          <w:spacing w:val="-71"/>
          <w:sz w:val="28"/>
        </w:rPr>
        <w:t xml:space="preserve"> </w:t>
      </w:r>
      <w:r>
        <w:rPr>
          <w:rFonts w:hint="eastAsia" w:ascii="黑体" w:hAnsi="黑体" w:eastAsia="黑体"/>
          <w:b/>
          <w:sz w:val="28"/>
        </w:rPr>
        <w:t>1 资格审查条件（资质最低要求）</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9" w:hRule="exact"/>
          <w:jc w:val="center"/>
        </w:trPr>
        <w:tc>
          <w:tcPr>
            <w:tcW w:w="9040" w:type="dxa"/>
            <w:tcBorders>
              <w:right w:val="single" w:color="auto" w:sz="12" w:space="0"/>
            </w:tcBorders>
            <w:noWrap w:val="0"/>
            <w:vAlign w:val="center"/>
          </w:tcPr>
          <w:p>
            <w:pPr>
              <w:spacing w:line="360" w:lineRule="auto"/>
              <w:jc w:val="center"/>
              <w:rPr>
                <w:rFonts w:hint="eastAsia"/>
                <w:sz w:val="24"/>
              </w:rPr>
            </w:pPr>
            <w:r>
              <w:rPr>
                <w:rFonts w:hint="eastAsia"/>
                <w:sz w:val="24"/>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1" w:hRule="atLeast"/>
          <w:jc w:val="center"/>
        </w:trPr>
        <w:tc>
          <w:tcPr>
            <w:tcW w:w="9040" w:type="dxa"/>
            <w:tcBorders>
              <w:right w:val="single" w:color="auto" w:sz="12" w:space="0"/>
            </w:tcBorders>
            <w:noWrap w:val="0"/>
            <w:vAlign w:val="top"/>
          </w:tcPr>
          <w:p>
            <w:pPr>
              <w:spacing w:line="360" w:lineRule="auto"/>
              <w:rPr>
                <w:rFonts w:hint="eastAsia" w:ascii="宋体" w:hAnsi="宋体" w:cs="宋体"/>
                <w:sz w:val="24"/>
              </w:rPr>
            </w:pPr>
            <w:r>
              <w:rPr>
                <w:rFonts w:hint="eastAsia" w:ascii="宋体" w:hAnsi="宋体" w:cs="宋体"/>
                <w:sz w:val="24"/>
              </w:rPr>
              <w:t>1、营业执照：具有在中华人民共和国境内注册的独立企业法人营业执照（在有效期内）。</w:t>
            </w:r>
          </w:p>
          <w:p>
            <w:pPr>
              <w:spacing w:line="360" w:lineRule="auto"/>
              <w:rPr>
                <w:rFonts w:hint="eastAsia" w:ascii="宋体" w:hAnsi="宋体" w:cs="宋体"/>
                <w:sz w:val="24"/>
                <w:szCs w:val="28"/>
              </w:rPr>
            </w:pPr>
            <w:r>
              <w:rPr>
                <w:rFonts w:hint="eastAsia" w:ascii="宋体" w:hAnsi="宋体" w:cs="宋体"/>
                <w:sz w:val="24"/>
              </w:rPr>
              <w:t>2、资质要求：投标人须具备建设行政主管部门颁发的公路工程施工总承包叁级及以上资质，具备独立法人资格，并具备有效的企业安全生产许可证，在人员、设备、资金等方面具有相应的施工能力。</w:t>
            </w:r>
          </w:p>
        </w:tc>
      </w:tr>
    </w:tbl>
    <w:p>
      <w:pPr>
        <w:tabs>
          <w:tab w:val="right" w:leader="dot" w:pos="8295"/>
        </w:tabs>
        <w:adjustRightInd w:val="0"/>
        <w:snapToGrid w:val="0"/>
        <w:spacing w:line="360" w:lineRule="auto"/>
        <w:rPr>
          <w:rFonts w:hint="eastAsia" w:ascii="黑体" w:hAnsi="黑体" w:eastAsia="黑体"/>
          <w:b/>
          <w:sz w:val="28"/>
        </w:rPr>
      </w:pPr>
    </w:p>
    <w:p>
      <w:pPr>
        <w:tabs>
          <w:tab w:val="right" w:leader="dot" w:pos="8295"/>
        </w:tabs>
        <w:adjustRightInd w:val="0"/>
        <w:snapToGrid w:val="0"/>
        <w:spacing w:line="360" w:lineRule="auto"/>
        <w:rPr>
          <w:rFonts w:hint="eastAsia" w:ascii="黑体" w:hAnsi="黑体" w:eastAsia="黑体"/>
          <w:b/>
          <w:sz w:val="28"/>
        </w:rPr>
      </w:pPr>
    </w:p>
    <w:p>
      <w:pPr>
        <w:tabs>
          <w:tab w:val="right" w:leader="dot" w:pos="8295"/>
        </w:tabs>
        <w:adjustRightInd w:val="0"/>
        <w:snapToGrid w:val="0"/>
        <w:spacing w:line="360" w:lineRule="auto"/>
        <w:jc w:val="center"/>
        <w:rPr>
          <w:rFonts w:hint="eastAsia" w:ascii="黑体" w:eastAsia="黑体"/>
          <w:b/>
          <w:sz w:val="28"/>
        </w:rPr>
      </w:pPr>
      <w:r>
        <w:rPr>
          <w:rFonts w:hint="eastAsia" w:ascii="黑体" w:hAnsi="黑体" w:eastAsia="黑体"/>
          <w:b/>
          <w:sz w:val="28"/>
        </w:rPr>
        <w:t>附录2资格审查条件（财务最低要求）</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2" w:hRule="exact"/>
          <w:jc w:val="center"/>
        </w:trPr>
        <w:tc>
          <w:tcPr>
            <w:tcW w:w="8940" w:type="dxa"/>
            <w:tcBorders>
              <w:right w:val="single" w:color="auto" w:sz="12" w:space="0"/>
            </w:tcBorders>
            <w:noWrap w:val="0"/>
            <w:vAlign w:val="center"/>
          </w:tcPr>
          <w:p>
            <w:pPr>
              <w:spacing w:line="360" w:lineRule="auto"/>
              <w:jc w:val="center"/>
              <w:rPr>
                <w:rFonts w:hint="eastAsia"/>
                <w:sz w:val="24"/>
              </w:rPr>
            </w:pPr>
            <w:r>
              <w:rPr>
                <w:rFonts w:hint="eastAsia"/>
                <w:sz w:val="24"/>
              </w:rPr>
              <w:t>财务要求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69" w:hRule="atLeast"/>
          <w:jc w:val="center"/>
        </w:trPr>
        <w:tc>
          <w:tcPr>
            <w:tcW w:w="8940" w:type="dxa"/>
            <w:tcBorders>
              <w:right w:val="single" w:color="auto" w:sz="12" w:space="0"/>
            </w:tcBorders>
            <w:noWrap w:val="0"/>
            <w:vAlign w:val="top"/>
          </w:tcPr>
          <w:p>
            <w:pPr>
              <w:spacing w:line="360" w:lineRule="auto"/>
              <w:ind w:firstLine="480" w:firstLineChars="200"/>
              <w:rPr>
                <w:rFonts w:hint="eastAsia"/>
                <w:kern w:val="11"/>
                <w:sz w:val="24"/>
              </w:rPr>
            </w:pPr>
          </w:p>
          <w:p>
            <w:pPr>
              <w:spacing w:line="360" w:lineRule="auto"/>
              <w:ind w:firstLine="480" w:firstLineChars="200"/>
              <w:rPr>
                <w:rFonts w:hint="eastAsia"/>
                <w:spacing w:val="1"/>
                <w:sz w:val="24"/>
              </w:rPr>
            </w:pPr>
            <w:r>
              <w:rPr>
                <w:rFonts w:hint="eastAsia"/>
                <w:sz w:val="24"/>
              </w:rPr>
              <w:t>具备良好的财务状况，财务没有被接管或冻结且近三年（2016、2017、2018年度，若公司成立未满三年，须提供成立当年至今的财务报告）无亏损，具有有效的财务审计报告。</w:t>
            </w:r>
          </w:p>
        </w:tc>
      </w:tr>
    </w:tbl>
    <w:p>
      <w:pPr>
        <w:tabs>
          <w:tab w:val="right" w:leader="dot" w:pos="8295"/>
        </w:tabs>
        <w:adjustRightInd w:val="0"/>
        <w:snapToGrid w:val="0"/>
        <w:spacing w:line="360" w:lineRule="auto"/>
        <w:rPr>
          <w:rFonts w:hint="eastAsia" w:ascii="黑体" w:hAnsi="黑体" w:eastAsia="黑体"/>
          <w:b/>
          <w:sz w:val="28"/>
        </w:rPr>
      </w:pPr>
    </w:p>
    <w:p>
      <w:pPr>
        <w:spacing w:before="120" w:after="120"/>
        <w:jc w:val="center"/>
        <w:rPr>
          <w:rFonts w:hint="eastAsia" w:ascii="黑体" w:eastAsia="黑体"/>
          <w:b/>
          <w:bCs/>
          <w:kern w:val="44"/>
          <w:sz w:val="30"/>
          <w:szCs w:val="30"/>
        </w:rPr>
      </w:pPr>
    </w:p>
    <w:p>
      <w:pPr>
        <w:spacing w:before="120" w:after="120"/>
        <w:jc w:val="center"/>
        <w:rPr>
          <w:rFonts w:ascii="隶书" w:hAnsi="宋体" w:eastAsia="隶书"/>
          <w:sz w:val="24"/>
          <w:vertAlign w:val="superscript"/>
        </w:rPr>
      </w:pPr>
      <w:r>
        <w:rPr>
          <w:rFonts w:hint="eastAsia" w:ascii="黑体" w:eastAsia="黑体"/>
          <w:b/>
          <w:bCs/>
          <w:kern w:val="44"/>
          <w:sz w:val="30"/>
          <w:szCs w:val="30"/>
        </w:rPr>
        <w:t>附录3   资格审查条件(业绩最低要求)</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noWrap w:val="0"/>
            <w:vAlign w:val="center"/>
          </w:tcPr>
          <w:p>
            <w:pPr>
              <w:jc w:val="center"/>
              <w:rPr>
                <w:rFonts w:ascii="宋体" w:hAnsi="宋体"/>
                <w:sz w:val="24"/>
              </w:rPr>
            </w:pPr>
            <w:r>
              <w:rPr>
                <w:rFonts w:hint="eastAsia" w:ascii="宋体" w:hAnsi="宋体"/>
                <w:sz w:val="24"/>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2" w:hRule="atLeast"/>
          <w:jc w:val="center"/>
        </w:trPr>
        <w:tc>
          <w:tcPr>
            <w:tcW w:w="9239" w:type="dxa"/>
            <w:noWrap w:val="0"/>
            <w:vAlign w:val="center"/>
          </w:tcPr>
          <w:p>
            <w:pPr>
              <w:spacing w:line="360" w:lineRule="auto"/>
              <w:jc w:val="left"/>
              <w:rPr>
                <w:rFonts w:ascii="宋体" w:hAnsi="宋体"/>
                <w:sz w:val="24"/>
              </w:rPr>
            </w:pPr>
            <w:r>
              <w:rPr>
                <w:rFonts w:hint="eastAsia" w:ascii="宋体" w:hAnsi="宋体"/>
                <w:sz w:val="24"/>
              </w:rPr>
              <w:t>指2017年1月1日以来承接</w:t>
            </w:r>
            <w:r>
              <w:rPr>
                <w:rFonts w:hint="eastAsia" w:ascii="宋体" w:hAnsi="宋体"/>
                <w:color w:val="000000"/>
                <w:sz w:val="24"/>
              </w:rPr>
              <w:t>的公路新建或改造等</w:t>
            </w:r>
            <w:r>
              <w:rPr>
                <w:rFonts w:hint="eastAsia" w:ascii="宋体" w:hAnsi="宋体"/>
                <w:sz w:val="24"/>
              </w:rPr>
              <w:t>施工项目（以合同签订时间为准）；</w:t>
            </w:r>
          </w:p>
        </w:tc>
      </w:tr>
    </w:tbl>
    <w:p>
      <w:pPr>
        <w:spacing w:before="120" w:after="120"/>
        <w:jc w:val="center"/>
        <w:rPr>
          <w:rFonts w:ascii="黑体" w:hAnsi="黑体" w:eastAsia="黑体"/>
          <w:b/>
          <w:sz w:val="28"/>
        </w:rPr>
      </w:pPr>
    </w:p>
    <w:p>
      <w:pPr>
        <w:spacing w:before="120" w:after="120"/>
        <w:jc w:val="center"/>
        <w:rPr>
          <w:rFonts w:ascii="黑体" w:hAnsi="黑体" w:eastAsia="黑体"/>
          <w:b/>
          <w:sz w:val="28"/>
        </w:rPr>
      </w:pPr>
    </w:p>
    <w:p>
      <w:pPr>
        <w:spacing w:before="120" w:after="120"/>
        <w:jc w:val="center"/>
        <w:rPr>
          <w:rFonts w:hint="eastAsia" w:ascii="黑体" w:eastAsia="黑体"/>
          <w:b/>
          <w:bCs/>
          <w:kern w:val="44"/>
          <w:sz w:val="30"/>
          <w:szCs w:val="30"/>
        </w:rPr>
      </w:pPr>
      <w:r>
        <w:rPr>
          <w:rFonts w:hint="eastAsia" w:ascii="黑体" w:hAnsi="黑体" w:eastAsia="黑体"/>
          <w:b/>
          <w:sz w:val="28"/>
        </w:rPr>
        <w:t>附录</w:t>
      </w:r>
      <w:r>
        <w:rPr>
          <w:rFonts w:hint="eastAsia" w:ascii="黑体" w:hAnsi="黑体" w:eastAsia="黑体"/>
          <w:b/>
          <w:spacing w:val="-71"/>
          <w:sz w:val="28"/>
        </w:rPr>
        <w:t>4</w:t>
      </w:r>
      <w:r>
        <w:rPr>
          <w:rFonts w:hint="eastAsia" w:ascii="黑体" w:eastAsia="黑体"/>
          <w:b/>
          <w:bCs/>
          <w:kern w:val="44"/>
          <w:sz w:val="30"/>
          <w:szCs w:val="30"/>
        </w:rPr>
        <w:t xml:space="preserve">  资格审查条件（信誉最低要求）</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00" w:type="dxa"/>
            <w:noWrap w:val="0"/>
            <w:vAlign w:val="center"/>
          </w:tcPr>
          <w:p>
            <w:pPr>
              <w:jc w:val="center"/>
              <w:rPr>
                <w:rFonts w:hint="eastAsia"/>
                <w:sz w:val="24"/>
              </w:rPr>
            </w:pPr>
            <w:r>
              <w:rPr>
                <w:rFonts w:hint="eastAsia"/>
                <w:sz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6" w:hRule="atLeast"/>
          <w:jc w:val="center"/>
        </w:trPr>
        <w:tc>
          <w:tcPr>
            <w:tcW w:w="8900" w:type="dxa"/>
            <w:noWrap w:val="0"/>
            <w:vAlign w:val="top"/>
          </w:tcPr>
          <w:p>
            <w:pPr>
              <w:rPr>
                <w:rFonts w:hint="eastAsia"/>
                <w:sz w:val="24"/>
              </w:rPr>
            </w:pPr>
          </w:p>
          <w:p>
            <w:pPr>
              <w:tabs>
                <w:tab w:val="right" w:leader="dot" w:pos="8295"/>
              </w:tabs>
              <w:adjustRightInd w:val="0"/>
              <w:snapToGrid w:val="0"/>
              <w:spacing w:line="440" w:lineRule="exact"/>
              <w:ind w:firstLine="480" w:firstLineChars="200"/>
              <w:rPr>
                <w:rFonts w:hint="eastAsia"/>
                <w:sz w:val="24"/>
              </w:rPr>
            </w:pPr>
            <w:r>
              <w:rPr>
                <w:rFonts w:hint="eastAsia"/>
                <w:sz w:val="24"/>
              </w:rPr>
              <w:t>1、根据《河南省公路建设市场从业单位及人员信用管理办法》第二十一条“对信用考核定级为D级即黑名单的从业单位，”不得参与本项目投标。</w:t>
            </w:r>
          </w:p>
          <w:p>
            <w:pPr>
              <w:snapToGrid w:val="0"/>
              <w:spacing w:line="480" w:lineRule="exact"/>
              <w:ind w:firstLine="480" w:firstLineChars="200"/>
              <w:rPr>
                <w:rFonts w:ascii="新宋体" w:hAnsi="新宋体" w:eastAsia="新宋体" w:cs="宋体"/>
                <w:sz w:val="24"/>
              </w:rPr>
            </w:pPr>
            <w:r>
              <w:rPr>
                <w:rFonts w:hint="eastAsia"/>
                <w:sz w:val="24"/>
              </w:rPr>
              <w:t>2、</w:t>
            </w:r>
            <w:r>
              <w:rPr>
                <w:rFonts w:hint="eastAsia" w:ascii="宋体" w:hAnsi="宋体" w:cs="新宋体"/>
                <w:sz w:val="24"/>
                <w:lang w:bidi="ar"/>
              </w:rPr>
              <w:t>被列入失信被执行人名单的投标人，其投标将被拒绝。（</w:t>
            </w:r>
            <w:bookmarkStart w:id="47" w:name="_Hlk534616277"/>
            <w:r>
              <w:rPr>
                <w:rFonts w:hint="eastAsia" w:ascii="宋体" w:hAnsi="宋体" w:cs="新宋体"/>
                <w:sz w:val="24"/>
                <w:lang w:bidi="ar"/>
              </w:rPr>
              <w:t>招标项目开标结束后、评标开始前，招标人（或招标代理机构）对投标人信用记录进行现场查询，并将查询结果随项目开标资料一并送入评标室，由专家进行评判。</w:t>
            </w:r>
            <w:r>
              <w:rPr>
                <w:rFonts w:hint="eastAsia" w:ascii="宋体" w:hAnsi="宋体" w:cs="宋体"/>
                <w:b/>
                <w:bCs/>
                <w:sz w:val="24"/>
              </w:rPr>
              <w:t>投标人无须提供信用记录查询结果网页截图。</w:t>
            </w:r>
            <w:r>
              <w:rPr>
                <w:rFonts w:hint="eastAsia" w:ascii="宋体" w:hAnsi="宋体" w:cs="新宋体"/>
                <w:sz w:val="24"/>
                <w:lang w:bidi="ar"/>
              </w:rPr>
              <w:t>信用信息查询记录和证据留存具体方式：经评标委员会确认的查询结果网页截图作为查询记录和证据，与其他文件一并存档）</w:t>
            </w:r>
            <w:bookmarkEnd w:id="47"/>
            <w:r>
              <w:rPr>
                <w:rFonts w:hint="eastAsia" w:ascii="宋体" w:hAnsi="宋体" w:cs="新宋体"/>
                <w:sz w:val="24"/>
                <w:lang w:bidi="ar"/>
              </w:rPr>
              <w:t>。</w:t>
            </w:r>
          </w:p>
          <w:p>
            <w:pPr>
              <w:snapToGrid w:val="0"/>
              <w:spacing w:line="480" w:lineRule="exact"/>
              <w:ind w:firstLine="480" w:firstLineChars="200"/>
              <w:rPr>
                <w:rFonts w:hint="eastAsia" w:ascii="宋体" w:hAnsi="宋体" w:cs="新宋体"/>
                <w:sz w:val="24"/>
                <w:lang w:bidi="ar"/>
              </w:rPr>
            </w:pPr>
            <w:r>
              <w:rPr>
                <w:rFonts w:hint="eastAsia" w:ascii="宋体" w:hAnsi="宋体" w:cs="新宋体"/>
                <w:sz w:val="24"/>
                <w:lang w:bidi="ar"/>
              </w:rPr>
              <w:t>（1）“信用中国”（www.creditchina.gov.cn）“失信被执行人”、“重大税收违法案件当事人名单”网页查询结果截图，查询对象为投标人；</w:t>
            </w:r>
          </w:p>
          <w:p>
            <w:pPr>
              <w:snapToGrid w:val="0"/>
              <w:spacing w:line="460" w:lineRule="exact"/>
              <w:ind w:firstLine="480" w:firstLineChars="200"/>
              <w:rPr>
                <w:rFonts w:hint="eastAsia" w:ascii="宋体" w:hAnsi="宋体" w:cs="新宋体"/>
                <w:sz w:val="24"/>
                <w:lang w:bidi="ar"/>
              </w:rPr>
            </w:pPr>
            <w:r>
              <w:rPr>
                <w:rFonts w:hint="eastAsia" w:ascii="宋体" w:hAnsi="宋体" w:cs="新宋体"/>
                <w:sz w:val="24"/>
                <w:lang w:bidi="ar"/>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hint="eastAsia" w:ascii="宋体" w:hAnsi="宋体" w:cs="新宋体"/>
                <w:sz w:val="24"/>
                <w:lang w:bidi="ar"/>
              </w:rPr>
            </w:pPr>
            <w:r>
              <w:rPr>
                <w:rFonts w:hint="eastAsia" w:ascii="宋体" w:hAnsi="宋体" w:cs="新宋体"/>
                <w:sz w:val="24"/>
                <w:lang w:bidi="ar"/>
              </w:rPr>
              <w:t>（2）“全国企业信用信息公示系统”（www.gsxt.gov.cn）“经营异常名录和严重违法失信企业名单”网页查询结果截图；</w:t>
            </w:r>
          </w:p>
          <w:p>
            <w:pPr>
              <w:tabs>
                <w:tab w:val="right" w:leader="dot" w:pos="8295"/>
              </w:tabs>
              <w:adjustRightInd w:val="0"/>
              <w:snapToGrid w:val="0"/>
              <w:spacing w:line="440" w:lineRule="exact"/>
              <w:ind w:firstLine="480" w:firstLineChars="200"/>
              <w:rPr>
                <w:rFonts w:hint="eastAsia" w:ascii="新宋体" w:hAnsi="新宋体" w:eastAsia="新宋体" w:cs="新宋体"/>
                <w:sz w:val="24"/>
                <w:lang w:bidi="ar"/>
              </w:rPr>
            </w:pPr>
            <w:r>
              <w:rPr>
                <w:rFonts w:hint="eastAsia" w:ascii="宋体" w:hAnsi="宋体" w:cs="新宋体"/>
                <w:sz w:val="24"/>
                <w:lang w:bidi="ar"/>
              </w:rPr>
              <w:t>（3）“中国裁判文书网”（wenshu.court.gov.cn）行贿犯罪网页查询结果截图。查询对象为投标人</w:t>
            </w:r>
            <w:r>
              <w:rPr>
                <w:rFonts w:hint="eastAsia" w:ascii="宋体" w:hAnsi="宋体" w:cs="宋体"/>
                <w:kern w:val="0"/>
                <w:sz w:val="24"/>
              </w:rPr>
              <w:t>。</w:t>
            </w:r>
          </w:p>
        </w:tc>
      </w:tr>
    </w:tbl>
    <w:p>
      <w:pPr>
        <w:spacing w:before="120" w:after="120"/>
        <w:jc w:val="center"/>
        <w:rPr>
          <w:rFonts w:hint="eastAsia" w:ascii="黑体" w:eastAsia="黑体"/>
          <w:b/>
          <w:bCs/>
          <w:kern w:val="44"/>
          <w:sz w:val="30"/>
          <w:szCs w:val="30"/>
        </w:rPr>
      </w:pPr>
    </w:p>
    <w:p>
      <w:pPr>
        <w:spacing w:before="120" w:after="120"/>
        <w:jc w:val="center"/>
        <w:rPr>
          <w:rFonts w:hint="eastAsia" w:ascii="黑体" w:eastAsia="黑体"/>
          <w:b/>
          <w:bCs/>
          <w:kern w:val="44"/>
          <w:sz w:val="30"/>
          <w:szCs w:val="30"/>
        </w:rPr>
      </w:pPr>
      <w:r>
        <w:rPr>
          <w:rFonts w:hint="eastAsia" w:ascii="黑体" w:eastAsia="黑体"/>
          <w:b/>
          <w:bCs/>
          <w:kern w:val="44"/>
          <w:sz w:val="30"/>
          <w:szCs w:val="30"/>
        </w:rPr>
        <w:t>附录5   资格审查条件（项目经理和项目总工最低要求）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73"/>
        <w:gridCol w:w="62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exact"/>
          <w:jc w:val="center"/>
        </w:trPr>
        <w:tc>
          <w:tcPr>
            <w:tcW w:w="2773" w:type="dxa"/>
            <w:noWrap w:val="0"/>
            <w:vAlign w:val="center"/>
          </w:tcPr>
          <w:p>
            <w:pPr>
              <w:jc w:val="center"/>
              <w:rPr>
                <w:rFonts w:hint="eastAsia"/>
                <w:sz w:val="24"/>
              </w:rPr>
            </w:pPr>
            <w:r>
              <w:rPr>
                <w:rFonts w:hint="eastAsia"/>
                <w:sz w:val="24"/>
              </w:rPr>
              <w:t>人  员</w:t>
            </w:r>
          </w:p>
        </w:tc>
        <w:tc>
          <w:tcPr>
            <w:tcW w:w="6227" w:type="dxa"/>
            <w:noWrap w:val="0"/>
            <w:vAlign w:val="center"/>
          </w:tcPr>
          <w:p>
            <w:pPr>
              <w:jc w:val="center"/>
              <w:rPr>
                <w:rFonts w:hint="eastAsia"/>
                <w:sz w:val="24"/>
              </w:rPr>
            </w:pPr>
            <w:r>
              <w:rPr>
                <w:rFonts w:hint="eastAsia"/>
                <w:sz w:val="24"/>
              </w:rPr>
              <w:t>资 格 要 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2" w:hRule="exact"/>
          <w:jc w:val="center"/>
        </w:trPr>
        <w:tc>
          <w:tcPr>
            <w:tcW w:w="2773" w:type="dxa"/>
            <w:noWrap w:val="0"/>
            <w:vAlign w:val="center"/>
          </w:tcPr>
          <w:p>
            <w:pPr>
              <w:jc w:val="center"/>
              <w:rPr>
                <w:rFonts w:hint="eastAsia"/>
                <w:sz w:val="24"/>
              </w:rPr>
            </w:pPr>
            <w:r>
              <w:rPr>
                <w:rFonts w:hint="eastAsia"/>
                <w:sz w:val="24"/>
              </w:rPr>
              <w:t>项目经理</w:t>
            </w:r>
          </w:p>
        </w:tc>
        <w:tc>
          <w:tcPr>
            <w:tcW w:w="6227" w:type="dxa"/>
            <w:noWrap w:val="0"/>
            <w:vAlign w:val="center"/>
          </w:tcPr>
          <w:p>
            <w:pPr>
              <w:spacing w:line="360" w:lineRule="auto"/>
              <w:rPr>
                <w:rFonts w:hint="eastAsia"/>
                <w:color w:val="000000"/>
                <w:sz w:val="24"/>
              </w:rPr>
            </w:pPr>
            <w:r>
              <w:rPr>
                <w:rFonts w:hint="eastAsia"/>
                <w:color w:val="000000"/>
                <w:sz w:val="24"/>
              </w:rPr>
              <w:t>拟派建造师须具备贰级及以上公路工程专业注册建造师执业资格，具备有效的安全生产考核合格证书，且未担任其他在施建设项目的项目经理。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exact"/>
          <w:jc w:val="center"/>
        </w:trPr>
        <w:tc>
          <w:tcPr>
            <w:tcW w:w="2773" w:type="dxa"/>
            <w:noWrap w:val="0"/>
            <w:vAlign w:val="center"/>
          </w:tcPr>
          <w:p>
            <w:pPr>
              <w:jc w:val="center"/>
              <w:rPr>
                <w:rFonts w:hint="eastAsia"/>
                <w:sz w:val="24"/>
              </w:rPr>
            </w:pPr>
            <w:r>
              <w:rPr>
                <w:rFonts w:hint="eastAsia" w:ascii="宋体" w:hAnsi="宋体"/>
                <w:sz w:val="24"/>
              </w:rPr>
              <w:t>项目总工程师</w:t>
            </w:r>
          </w:p>
        </w:tc>
        <w:tc>
          <w:tcPr>
            <w:tcW w:w="6227" w:type="dxa"/>
            <w:tcBorders>
              <w:bottom w:val="single" w:color="auto" w:sz="4" w:space="0"/>
            </w:tcBorders>
            <w:noWrap w:val="0"/>
            <w:vAlign w:val="center"/>
          </w:tcPr>
          <w:p>
            <w:pPr>
              <w:spacing w:line="360" w:lineRule="auto"/>
              <w:rPr>
                <w:rFonts w:hint="eastAsia"/>
                <w:color w:val="000000"/>
                <w:sz w:val="24"/>
              </w:rPr>
            </w:pPr>
            <w:r>
              <w:rPr>
                <w:rFonts w:hint="eastAsia" w:ascii="宋体" w:hAnsi="宋体"/>
                <w:sz w:val="24"/>
              </w:rPr>
              <w:t>拟派项目总工须具备中级及以上相关专业技术职称。</w:t>
            </w:r>
          </w:p>
        </w:tc>
      </w:tr>
    </w:tbl>
    <w:p>
      <w:pPr>
        <w:pStyle w:val="18"/>
        <w:spacing w:line="360" w:lineRule="auto"/>
        <w:ind w:firstLine="0" w:firstLineChars="0"/>
        <w:rPr>
          <w:rFonts w:hint="eastAsia" w:ascii="宋体" w:hAnsi="宋体"/>
        </w:rPr>
      </w:pPr>
    </w:p>
    <w:p>
      <w:pPr>
        <w:pStyle w:val="18"/>
        <w:spacing w:line="360" w:lineRule="auto"/>
        <w:ind w:firstLine="400"/>
        <w:rPr>
          <w:rFonts w:hint="eastAsia" w:ascii="宋体" w:hAnsi="宋体"/>
        </w:rPr>
      </w:pPr>
    </w:p>
    <w:p>
      <w:pPr>
        <w:pStyle w:val="13"/>
        <w:spacing w:line="360" w:lineRule="auto"/>
        <w:rPr>
          <w:rFonts w:hint="eastAsia" w:ascii="宋体" w:hAnsi="宋体" w:cs="宋体"/>
          <w:sz w:val="30"/>
          <w:szCs w:val="30"/>
        </w:rPr>
      </w:pPr>
      <w:r>
        <w:rPr>
          <w:rFonts w:hint="eastAsia" w:ascii="宋体" w:hAnsi="宋体" w:cs="宋体"/>
          <w:sz w:val="30"/>
          <w:szCs w:val="30"/>
        </w:rPr>
        <w:t>投标人须知</w:t>
      </w:r>
    </w:p>
    <w:p>
      <w:pPr>
        <w:spacing w:line="360" w:lineRule="auto"/>
        <w:ind w:firstLine="482" w:firstLineChars="200"/>
        <w:jc w:val="left"/>
        <w:rPr>
          <w:rFonts w:hint="eastAsia" w:ascii="宋体" w:hAnsi="宋体" w:cs="宋体"/>
          <w:b/>
          <w:sz w:val="24"/>
        </w:rPr>
      </w:pPr>
      <w:r>
        <w:rPr>
          <w:rFonts w:hint="eastAsia" w:ascii="宋体" w:hAnsi="宋体" w:cs="宋体"/>
          <w:b/>
          <w:sz w:val="24"/>
        </w:rPr>
        <w:t>1. 总则</w:t>
      </w:r>
      <w:bookmarkStart w:id="48" w:name="_Toc152045530"/>
      <w:bookmarkStart w:id="49" w:name="_Toc144974498"/>
      <w:bookmarkStart w:id="50" w:name="_Toc152042306"/>
      <w:bookmarkStart w:id="51" w:name="_Toc179632547"/>
    </w:p>
    <w:p>
      <w:pPr>
        <w:spacing w:line="360" w:lineRule="auto"/>
        <w:rPr>
          <w:rFonts w:hint="eastAsia" w:ascii="宋体" w:hAnsi="宋体" w:cs="宋体"/>
          <w:sz w:val="24"/>
        </w:rPr>
      </w:pPr>
      <w:bookmarkStart w:id="52" w:name="_Toc311013669"/>
      <w:r>
        <w:rPr>
          <w:rFonts w:hint="eastAsia" w:ascii="宋体" w:hAnsi="宋体" w:cs="宋体"/>
          <w:sz w:val="24"/>
        </w:rPr>
        <w:t>1.1 项目概况</w:t>
      </w:r>
      <w:bookmarkEnd w:id="48"/>
      <w:bookmarkEnd w:id="49"/>
      <w:bookmarkEnd w:id="50"/>
      <w:bookmarkEnd w:id="51"/>
      <w:bookmarkEnd w:id="52"/>
    </w:p>
    <w:p>
      <w:pPr>
        <w:spacing w:line="360" w:lineRule="auto"/>
        <w:ind w:firstLine="480" w:firstLineChars="200"/>
        <w:rPr>
          <w:rFonts w:hint="eastAsia" w:ascii="宋体" w:hAnsi="宋体" w:cs="宋体"/>
          <w:sz w:val="24"/>
        </w:rPr>
      </w:pPr>
      <w:r>
        <w:rPr>
          <w:rFonts w:hint="eastAsia" w:ascii="宋体" w:hAnsi="宋体" w:cs="宋体"/>
          <w:sz w:val="24"/>
        </w:rPr>
        <w:t>1.1.1根据《中华人民共和国招标投标法》等有关法律、法规和规章的规定，本招标项目已具备招标条件，现对本标段进行招标。</w:t>
      </w:r>
    </w:p>
    <w:p>
      <w:pPr>
        <w:spacing w:line="360" w:lineRule="auto"/>
        <w:ind w:firstLine="480" w:firstLineChars="200"/>
        <w:rPr>
          <w:rFonts w:hint="eastAsia" w:ascii="宋体" w:hAnsi="宋体" w:cs="宋体"/>
          <w:sz w:val="24"/>
        </w:rPr>
      </w:pPr>
      <w:r>
        <w:rPr>
          <w:rFonts w:hint="eastAsia" w:ascii="宋体" w:hAnsi="宋体" w:cs="宋体"/>
          <w:sz w:val="24"/>
        </w:rPr>
        <w:t>1.1.2 本招标项目招标人：见投标人须知前附表。</w:t>
      </w:r>
    </w:p>
    <w:p>
      <w:pPr>
        <w:spacing w:line="360" w:lineRule="auto"/>
        <w:ind w:firstLine="480" w:firstLineChars="200"/>
        <w:rPr>
          <w:rFonts w:hint="eastAsia" w:ascii="宋体" w:hAnsi="宋体" w:cs="宋体"/>
          <w:sz w:val="24"/>
        </w:rPr>
      </w:pPr>
      <w:r>
        <w:rPr>
          <w:rFonts w:hint="eastAsia" w:ascii="宋体" w:hAnsi="宋体" w:cs="宋体"/>
          <w:sz w:val="24"/>
        </w:rPr>
        <w:t>1.1.3 本标段招标代理机构：见投标人须知前附表。</w:t>
      </w:r>
    </w:p>
    <w:p>
      <w:pPr>
        <w:spacing w:line="360" w:lineRule="auto"/>
        <w:ind w:firstLine="480" w:firstLineChars="200"/>
        <w:rPr>
          <w:rFonts w:hint="eastAsia" w:ascii="宋体" w:hAnsi="宋体" w:cs="宋体"/>
          <w:sz w:val="24"/>
        </w:rPr>
      </w:pPr>
      <w:r>
        <w:rPr>
          <w:rFonts w:hint="eastAsia" w:ascii="宋体" w:hAnsi="宋体" w:cs="宋体"/>
          <w:sz w:val="24"/>
        </w:rPr>
        <w:t>1.1.4 本招标项目名称：见投标人须知前附表。</w:t>
      </w:r>
    </w:p>
    <w:p>
      <w:pPr>
        <w:spacing w:line="360" w:lineRule="auto"/>
        <w:ind w:firstLine="480" w:firstLineChars="200"/>
        <w:rPr>
          <w:rFonts w:hint="eastAsia" w:ascii="宋体" w:hAnsi="宋体" w:cs="宋体"/>
          <w:sz w:val="24"/>
        </w:rPr>
      </w:pPr>
      <w:r>
        <w:rPr>
          <w:rFonts w:hint="eastAsia" w:ascii="宋体" w:hAnsi="宋体" w:cs="宋体"/>
          <w:sz w:val="24"/>
        </w:rPr>
        <w:t>1.1.5 本标段建设地点：见投标人须知前附表。</w:t>
      </w:r>
    </w:p>
    <w:p>
      <w:pPr>
        <w:spacing w:line="360" w:lineRule="auto"/>
        <w:ind w:firstLine="480" w:firstLineChars="200"/>
        <w:rPr>
          <w:rFonts w:hint="eastAsia" w:ascii="宋体" w:hAnsi="宋体" w:cs="宋体"/>
          <w:sz w:val="24"/>
        </w:rPr>
      </w:pPr>
      <w:r>
        <w:rPr>
          <w:rFonts w:hint="eastAsia" w:ascii="宋体" w:hAnsi="宋体" w:cs="宋体"/>
          <w:sz w:val="24"/>
        </w:rPr>
        <w:t>1.1.6本标段建设规模：见投标人须知前附表。</w:t>
      </w:r>
    </w:p>
    <w:p>
      <w:pPr>
        <w:spacing w:line="360" w:lineRule="auto"/>
        <w:ind w:firstLine="480" w:firstLineChars="200"/>
        <w:rPr>
          <w:rFonts w:hint="eastAsia" w:ascii="宋体" w:hAnsi="宋体" w:cs="宋体"/>
          <w:sz w:val="24"/>
        </w:rPr>
      </w:pPr>
      <w:r>
        <w:rPr>
          <w:rFonts w:hint="eastAsia" w:ascii="宋体" w:hAnsi="宋体" w:cs="宋体"/>
          <w:sz w:val="24"/>
        </w:rPr>
        <w:t>1.1.7本标段标段划分：见投标人须知前附表。</w:t>
      </w:r>
    </w:p>
    <w:p>
      <w:pPr>
        <w:spacing w:line="360" w:lineRule="auto"/>
        <w:rPr>
          <w:rFonts w:hint="eastAsia" w:ascii="宋体" w:hAnsi="宋体" w:cs="宋体"/>
          <w:sz w:val="24"/>
        </w:rPr>
      </w:pPr>
      <w:bookmarkStart w:id="53" w:name="_Toc311013670"/>
      <w:bookmarkStart w:id="54" w:name="_Toc179632548"/>
      <w:bookmarkStart w:id="55" w:name="_Toc144974499"/>
      <w:bookmarkStart w:id="56" w:name="_Toc152042307"/>
      <w:bookmarkStart w:id="57" w:name="_Toc152045531"/>
      <w:r>
        <w:rPr>
          <w:rFonts w:hint="eastAsia" w:ascii="宋体" w:hAnsi="宋体" w:cs="宋体"/>
          <w:sz w:val="24"/>
        </w:rPr>
        <w:t>1.2 资金来源和落实情况</w:t>
      </w:r>
      <w:bookmarkEnd w:id="53"/>
      <w:bookmarkEnd w:id="54"/>
      <w:bookmarkEnd w:id="55"/>
      <w:bookmarkEnd w:id="56"/>
      <w:bookmarkEnd w:id="57"/>
    </w:p>
    <w:p>
      <w:pPr>
        <w:spacing w:line="360" w:lineRule="auto"/>
        <w:ind w:firstLine="480" w:firstLineChars="200"/>
        <w:rPr>
          <w:rFonts w:hint="eastAsia" w:ascii="宋体" w:hAnsi="宋体" w:cs="宋体"/>
          <w:sz w:val="24"/>
        </w:rPr>
      </w:pPr>
      <w:r>
        <w:rPr>
          <w:rFonts w:hint="eastAsia" w:ascii="宋体" w:hAnsi="宋体" w:cs="宋体"/>
          <w:sz w:val="24"/>
        </w:rPr>
        <w:t>1.2.1 本招标项目的资金来源：见投标人须知前附表。</w:t>
      </w:r>
    </w:p>
    <w:p>
      <w:pPr>
        <w:spacing w:line="360" w:lineRule="auto"/>
        <w:ind w:firstLine="480" w:firstLineChars="200"/>
        <w:rPr>
          <w:rFonts w:hint="eastAsia" w:ascii="宋体" w:hAnsi="宋体" w:cs="宋体"/>
          <w:sz w:val="24"/>
        </w:rPr>
      </w:pPr>
      <w:r>
        <w:rPr>
          <w:rFonts w:hint="eastAsia" w:ascii="宋体" w:hAnsi="宋体" w:cs="宋体"/>
          <w:sz w:val="24"/>
        </w:rPr>
        <w:t>1.2.2 本招标项目的出资比例：见投标人须知前附表。</w:t>
      </w:r>
    </w:p>
    <w:p>
      <w:pPr>
        <w:spacing w:line="360" w:lineRule="auto"/>
        <w:ind w:firstLine="480" w:firstLineChars="200"/>
        <w:rPr>
          <w:rFonts w:hint="eastAsia" w:ascii="宋体" w:hAnsi="宋体" w:cs="宋体"/>
          <w:sz w:val="24"/>
        </w:rPr>
      </w:pPr>
      <w:r>
        <w:rPr>
          <w:rFonts w:hint="eastAsia" w:ascii="宋体" w:hAnsi="宋体" w:cs="宋体"/>
          <w:sz w:val="24"/>
        </w:rPr>
        <w:t>1.2.3 本招标项目的资金落实情况：见投标人须知前附表。</w:t>
      </w:r>
    </w:p>
    <w:p>
      <w:pPr>
        <w:spacing w:line="360" w:lineRule="auto"/>
        <w:rPr>
          <w:rFonts w:hint="eastAsia" w:ascii="宋体" w:hAnsi="宋体" w:cs="宋体"/>
          <w:sz w:val="24"/>
        </w:rPr>
      </w:pPr>
      <w:bookmarkStart w:id="58" w:name="_Toc152042308"/>
      <w:bookmarkStart w:id="59" w:name="_Toc179632549"/>
      <w:bookmarkStart w:id="60" w:name="_Toc311013671"/>
      <w:bookmarkStart w:id="61" w:name="_Toc144974500"/>
      <w:bookmarkStart w:id="62" w:name="_Toc152045532"/>
      <w:r>
        <w:rPr>
          <w:rFonts w:hint="eastAsia" w:ascii="宋体" w:hAnsi="宋体" w:cs="宋体"/>
          <w:sz w:val="24"/>
        </w:rPr>
        <w:t>1.3 招标范围、计划工期和质量要求</w:t>
      </w:r>
      <w:bookmarkEnd w:id="58"/>
      <w:bookmarkEnd w:id="59"/>
      <w:bookmarkEnd w:id="60"/>
      <w:bookmarkEnd w:id="61"/>
      <w:bookmarkEnd w:id="62"/>
    </w:p>
    <w:p>
      <w:pPr>
        <w:spacing w:line="360" w:lineRule="auto"/>
        <w:ind w:firstLine="480" w:firstLineChars="200"/>
        <w:rPr>
          <w:rFonts w:hint="eastAsia" w:ascii="宋体" w:hAnsi="宋体" w:cs="宋体"/>
          <w:sz w:val="24"/>
        </w:rPr>
      </w:pPr>
      <w:r>
        <w:rPr>
          <w:rFonts w:hint="eastAsia" w:ascii="宋体" w:hAnsi="宋体" w:cs="宋体"/>
          <w:sz w:val="24"/>
        </w:rPr>
        <w:t>1.3.1 本次招标范围：见投标人须知前附表。</w:t>
      </w:r>
    </w:p>
    <w:p>
      <w:pPr>
        <w:spacing w:line="360" w:lineRule="auto"/>
        <w:ind w:firstLine="480" w:firstLineChars="200"/>
        <w:rPr>
          <w:rFonts w:hint="eastAsia" w:ascii="宋体" w:hAnsi="宋体" w:cs="宋体"/>
          <w:sz w:val="24"/>
        </w:rPr>
      </w:pPr>
      <w:r>
        <w:rPr>
          <w:rFonts w:hint="eastAsia" w:ascii="宋体" w:hAnsi="宋体" w:cs="宋体"/>
          <w:sz w:val="24"/>
        </w:rPr>
        <w:t>1.3.2 本标段的计划工期：见投标人须知前附表。</w:t>
      </w:r>
    </w:p>
    <w:p>
      <w:pPr>
        <w:spacing w:line="360" w:lineRule="auto"/>
        <w:ind w:firstLine="480" w:firstLineChars="200"/>
        <w:rPr>
          <w:rFonts w:hint="eastAsia" w:ascii="宋体" w:hAnsi="宋体" w:cs="宋体"/>
          <w:sz w:val="24"/>
        </w:rPr>
      </w:pPr>
      <w:r>
        <w:rPr>
          <w:rFonts w:hint="eastAsia" w:ascii="宋体" w:hAnsi="宋体" w:cs="宋体"/>
          <w:sz w:val="24"/>
        </w:rPr>
        <w:t>1.3.3 本标段的质量要求：见投标人须知前附表。</w:t>
      </w:r>
    </w:p>
    <w:p>
      <w:pPr>
        <w:spacing w:line="360" w:lineRule="auto"/>
        <w:rPr>
          <w:rFonts w:hint="eastAsia" w:ascii="宋体" w:hAnsi="宋体" w:cs="宋体"/>
          <w:sz w:val="24"/>
        </w:rPr>
      </w:pPr>
      <w:bookmarkStart w:id="63" w:name="_Toc152045534"/>
      <w:bookmarkStart w:id="64" w:name="_Toc152042310"/>
      <w:bookmarkStart w:id="65" w:name="_Toc179632551"/>
      <w:bookmarkStart w:id="66" w:name="_Toc311013672"/>
      <w:bookmarkStart w:id="67" w:name="_Toc144974502"/>
      <w:r>
        <w:rPr>
          <w:rFonts w:hint="eastAsia" w:ascii="宋体" w:hAnsi="宋体" w:cs="宋体"/>
          <w:sz w:val="24"/>
        </w:rPr>
        <w:t>1.4 投标人资格要求</w:t>
      </w:r>
      <w:bookmarkEnd w:id="63"/>
      <w:bookmarkEnd w:id="64"/>
      <w:bookmarkEnd w:id="65"/>
      <w:bookmarkEnd w:id="66"/>
      <w:bookmarkEnd w:id="67"/>
    </w:p>
    <w:p>
      <w:pPr>
        <w:spacing w:line="360" w:lineRule="auto"/>
        <w:ind w:firstLine="480" w:firstLineChars="200"/>
        <w:rPr>
          <w:rFonts w:hint="eastAsia" w:ascii="宋体" w:hAnsi="宋体" w:cs="宋体"/>
          <w:sz w:val="24"/>
        </w:rPr>
      </w:pPr>
      <w:r>
        <w:rPr>
          <w:rFonts w:hint="eastAsia" w:ascii="宋体" w:hAnsi="宋体" w:cs="宋体"/>
          <w:sz w:val="24"/>
        </w:rPr>
        <w:t>1.4.1投标人应具备承担本项目的资质条件、能力和信誉。（详见投标人须知前附表。）</w:t>
      </w:r>
    </w:p>
    <w:p>
      <w:pPr>
        <w:spacing w:line="360" w:lineRule="auto"/>
        <w:ind w:firstLine="480" w:firstLineChars="200"/>
        <w:rPr>
          <w:rFonts w:hint="eastAsia" w:ascii="宋体" w:hAnsi="宋体" w:cs="宋体"/>
          <w:sz w:val="24"/>
        </w:rPr>
      </w:pPr>
      <w:r>
        <w:rPr>
          <w:rFonts w:hint="eastAsia" w:ascii="宋体" w:hAnsi="宋体" w:cs="宋体"/>
          <w:sz w:val="24"/>
        </w:rPr>
        <w:t>1.4.2投标人不得存在下列情形之一：</w:t>
      </w:r>
    </w:p>
    <w:p>
      <w:pPr>
        <w:spacing w:line="360" w:lineRule="auto"/>
        <w:ind w:firstLine="480" w:firstLineChars="200"/>
        <w:rPr>
          <w:rFonts w:hint="eastAsia" w:ascii="宋体" w:hAnsi="宋体" w:cs="宋体"/>
          <w:sz w:val="24"/>
        </w:rPr>
      </w:pPr>
      <w:r>
        <w:rPr>
          <w:rFonts w:hint="eastAsia" w:ascii="宋体" w:hAnsi="宋体" w:cs="宋体"/>
          <w:sz w:val="24"/>
        </w:rPr>
        <w:t xml:space="preserve">（1）为招标人不具有独立法人资格的附属机构（单位）； </w:t>
      </w:r>
    </w:p>
    <w:p>
      <w:pPr>
        <w:spacing w:line="360" w:lineRule="auto"/>
        <w:ind w:firstLine="480" w:firstLineChars="200"/>
        <w:rPr>
          <w:rFonts w:hint="eastAsia" w:ascii="宋体" w:hAnsi="宋体" w:cs="宋体"/>
          <w:sz w:val="24"/>
        </w:rPr>
      </w:pPr>
      <w:r>
        <w:rPr>
          <w:rFonts w:hint="eastAsia" w:ascii="宋体" w:hAnsi="宋体" w:cs="宋体"/>
          <w:sz w:val="24"/>
        </w:rPr>
        <w:t xml:space="preserve">（2）为本标段前期准备提供设计或咨询服务的，但设计施工总承包的除外； </w:t>
      </w:r>
    </w:p>
    <w:p>
      <w:pPr>
        <w:spacing w:line="360" w:lineRule="auto"/>
        <w:ind w:firstLine="480" w:firstLineChars="200"/>
        <w:rPr>
          <w:rFonts w:hint="eastAsia" w:ascii="宋体" w:hAnsi="宋体" w:cs="宋体"/>
          <w:sz w:val="24"/>
        </w:rPr>
      </w:pPr>
      <w:r>
        <w:rPr>
          <w:rFonts w:hint="eastAsia" w:ascii="宋体" w:hAnsi="宋体" w:cs="宋体"/>
          <w:sz w:val="24"/>
        </w:rPr>
        <w:t xml:space="preserve">（3）为本标段的代建人； </w:t>
      </w:r>
    </w:p>
    <w:p>
      <w:pPr>
        <w:spacing w:line="360" w:lineRule="auto"/>
        <w:ind w:firstLine="480" w:firstLineChars="200"/>
        <w:rPr>
          <w:rFonts w:hint="eastAsia" w:ascii="宋体" w:hAnsi="宋体" w:cs="宋体"/>
          <w:sz w:val="24"/>
        </w:rPr>
      </w:pPr>
      <w:r>
        <w:rPr>
          <w:rFonts w:hint="eastAsia" w:ascii="宋体" w:hAnsi="宋体" w:cs="宋体"/>
          <w:sz w:val="24"/>
        </w:rPr>
        <w:t xml:space="preserve">（4）为本标段提供招标代理服务的； </w:t>
      </w:r>
    </w:p>
    <w:p>
      <w:pPr>
        <w:spacing w:line="360" w:lineRule="auto"/>
        <w:ind w:firstLine="480" w:firstLineChars="200"/>
        <w:rPr>
          <w:rFonts w:hint="eastAsia" w:ascii="宋体" w:hAnsi="宋体" w:cs="宋体"/>
          <w:sz w:val="24"/>
        </w:rPr>
      </w:pPr>
      <w:r>
        <w:rPr>
          <w:rFonts w:hint="eastAsia" w:ascii="宋体" w:hAnsi="宋体" w:cs="宋体"/>
          <w:sz w:val="24"/>
        </w:rPr>
        <w:t>（5）与本标段的代建人或招标代理机构同为一个法定代表人的；</w:t>
      </w:r>
    </w:p>
    <w:p>
      <w:pPr>
        <w:spacing w:line="360" w:lineRule="auto"/>
        <w:ind w:firstLine="480" w:firstLineChars="200"/>
        <w:rPr>
          <w:rFonts w:hint="eastAsia" w:ascii="宋体" w:hAnsi="宋体" w:cs="宋体"/>
          <w:sz w:val="24"/>
        </w:rPr>
      </w:pPr>
      <w:r>
        <w:rPr>
          <w:rFonts w:hint="eastAsia" w:ascii="宋体" w:hAnsi="宋体" w:cs="宋体"/>
          <w:sz w:val="24"/>
        </w:rPr>
        <w:t>（6）与本标段的代建人或招标代理机构相互控股或参股的；</w:t>
      </w:r>
    </w:p>
    <w:p>
      <w:pPr>
        <w:spacing w:line="360" w:lineRule="auto"/>
        <w:ind w:firstLine="480" w:firstLineChars="200"/>
        <w:rPr>
          <w:rFonts w:hint="eastAsia" w:ascii="宋体" w:hAnsi="宋体" w:cs="宋体"/>
          <w:sz w:val="24"/>
        </w:rPr>
      </w:pPr>
      <w:r>
        <w:rPr>
          <w:rFonts w:hint="eastAsia" w:ascii="宋体" w:hAnsi="宋体" w:cs="宋体"/>
          <w:sz w:val="24"/>
        </w:rPr>
        <w:t>（7）与本标段的代建人或招标代理机构相互任职或工作的；</w:t>
      </w:r>
    </w:p>
    <w:p>
      <w:pPr>
        <w:spacing w:line="360" w:lineRule="auto"/>
        <w:ind w:firstLine="480" w:firstLineChars="200"/>
        <w:rPr>
          <w:rFonts w:hint="eastAsia" w:ascii="宋体" w:hAnsi="宋体" w:cs="宋体"/>
          <w:sz w:val="24"/>
        </w:rPr>
      </w:pPr>
      <w:r>
        <w:rPr>
          <w:rFonts w:hint="eastAsia" w:ascii="宋体" w:hAnsi="宋体" w:cs="宋体"/>
          <w:sz w:val="24"/>
        </w:rPr>
        <w:t xml:space="preserve">（8）被责令停业的； </w:t>
      </w:r>
    </w:p>
    <w:p>
      <w:pPr>
        <w:spacing w:line="360" w:lineRule="auto"/>
        <w:ind w:firstLine="480" w:firstLineChars="200"/>
        <w:rPr>
          <w:rFonts w:hint="eastAsia" w:ascii="宋体" w:hAnsi="宋体" w:cs="宋体"/>
          <w:sz w:val="24"/>
        </w:rPr>
      </w:pPr>
      <w:r>
        <w:rPr>
          <w:rFonts w:hint="eastAsia" w:ascii="宋体" w:hAnsi="宋体" w:cs="宋体"/>
          <w:sz w:val="24"/>
        </w:rPr>
        <w:t xml:space="preserve">（9）被暂停或取消投标资格的； </w:t>
      </w:r>
    </w:p>
    <w:p>
      <w:pPr>
        <w:spacing w:line="360" w:lineRule="auto"/>
        <w:ind w:firstLine="480" w:firstLineChars="200"/>
        <w:rPr>
          <w:rFonts w:hint="eastAsia" w:ascii="宋体" w:hAnsi="宋体" w:cs="宋体"/>
          <w:sz w:val="24"/>
        </w:rPr>
      </w:pPr>
      <w:r>
        <w:rPr>
          <w:rFonts w:hint="eastAsia" w:ascii="宋体" w:hAnsi="宋体" w:cs="宋体"/>
          <w:sz w:val="24"/>
        </w:rPr>
        <w:t>（10）财产被接管或冻结的；</w:t>
      </w:r>
    </w:p>
    <w:p>
      <w:pPr>
        <w:spacing w:line="360" w:lineRule="auto"/>
        <w:ind w:firstLine="480" w:firstLineChars="200"/>
        <w:rPr>
          <w:rFonts w:hint="eastAsia" w:ascii="宋体" w:hAnsi="宋体" w:cs="宋体"/>
          <w:sz w:val="24"/>
        </w:rPr>
      </w:pPr>
      <w:r>
        <w:rPr>
          <w:rFonts w:hint="eastAsia" w:ascii="宋体" w:hAnsi="宋体" w:cs="宋体"/>
          <w:sz w:val="24"/>
        </w:rPr>
        <w:t>（11）在最近三年内有骗取中标或严重违约或重大工程质量问题的。</w:t>
      </w:r>
    </w:p>
    <w:p>
      <w:pPr>
        <w:spacing w:line="360" w:lineRule="auto"/>
        <w:ind w:firstLine="480" w:firstLineChars="200"/>
        <w:rPr>
          <w:rFonts w:hint="eastAsia" w:ascii="宋体" w:hAnsi="宋体" w:cs="宋体"/>
          <w:sz w:val="24"/>
        </w:rPr>
      </w:pPr>
      <w:r>
        <w:rPr>
          <w:rFonts w:hint="eastAsia" w:ascii="宋体" w:hAnsi="宋体" w:cs="宋体"/>
          <w:sz w:val="24"/>
        </w:rPr>
        <w:t>1.4.3 投标人不得存在下列情形之一：</w:t>
      </w:r>
    </w:p>
    <w:p>
      <w:pPr>
        <w:spacing w:line="360" w:lineRule="auto"/>
        <w:ind w:firstLine="480" w:firstLineChars="200"/>
        <w:rPr>
          <w:rFonts w:hint="eastAsia" w:ascii="宋体" w:hAnsi="宋体" w:cs="宋体"/>
          <w:sz w:val="24"/>
        </w:rPr>
      </w:pPr>
      <w:r>
        <w:rPr>
          <w:rFonts w:hint="eastAsia" w:ascii="宋体" w:hAnsi="宋体" w:cs="宋体"/>
          <w:sz w:val="24"/>
        </w:rPr>
        <w:t>（1）为招标人不具有独立法人资格的附属机构（单位）；</w:t>
      </w:r>
    </w:p>
    <w:p>
      <w:pPr>
        <w:spacing w:line="360" w:lineRule="auto"/>
        <w:ind w:firstLine="480" w:firstLineChars="200"/>
        <w:rPr>
          <w:rFonts w:hint="eastAsia" w:ascii="宋体" w:hAnsi="宋体" w:cs="宋体"/>
          <w:sz w:val="24"/>
        </w:rPr>
      </w:pPr>
      <w:r>
        <w:rPr>
          <w:rFonts w:hint="eastAsia" w:ascii="宋体" w:hAnsi="宋体" w:cs="宋体"/>
          <w:sz w:val="24"/>
        </w:rPr>
        <w:t>（2）为本标段前期准备提供设计或咨询服务的，但设计施工总承包的除外；</w:t>
      </w:r>
    </w:p>
    <w:p>
      <w:pPr>
        <w:spacing w:line="360" w:lineRule="auto"/>
        <w:ind w:firstLine="480" w:firstLineChars="200"/>
        <w:rPr>
          <w:rFonts w:hint="eastAsia" w:ascii="宋体" w:hAnsi="宋体" w:cs="宋体"/>
          <w:sz w:val="24"/>
        </w:rPr>
      </w:pPr>
      <w:r>
        <w:rPr>
          <w:rFonts w:hint="eastAsia" w:ascii="宋体" w:hAnsi="宋体" w:cs="宋体"/>
          <w:sz w:val="24"/>
        </w:rPr>
        <w:t>（3）为本标段的监理人；</w:t>
      </w:r>
    </w:p>
    <w:p>
      <w:pPr>
        <w:spacing w:line="360" w:lineRule="auto"/>
        <w:ind w:firstLine="480" w:firstLineChars="200"/>
        <w:rPr>
          <w:rFonts w:hint="eastAsia" w:ascii="宋体" w:hAnsi="宋体" w:cs="宋体"/>
          <w:sz w:val="24"/>
        </w:rPr>
      </w:pPr>
      <w:r>
        <w:rPr>
          <w:rFonts w:hint="eastAsia" w:ascii="宋体" w:hAnsi="宋体" w:cs="宋体"/>
          <w:sz w:val="24"/>
        </w:rPr>
        <w:t>（4）为本标段的代建人；</w:t>
      </w:r>
    </w:p>
    <w:p>
      <w:pPr>
        <w:spacing w:line="360" w:lineRule="auto"/>
        <w:ind w:firstLine="480" w:firstLineChars="200"/>
        <w:rPr>
          <w:rFonts w:hint="eastAsia" w:ascii="宋体" w:hAnsi="宋体" w:cs="宋体"/>
          <w:sz w:val="24"/>
        </w:rPr>
      </w:pPr>
      <w:r>
        <w:rPr>
          <w:rFonts w:hint="eastAsia" w:ascii="宋体" w:hAnsi="宋体" w:cs="宋体"/>
          <w:sz w:val="24"/>
        </w:rPr>
        <w:t>（5）为本标段提供招标代理服务的；</w:t>
      </w:r>
    </w:p>
    <w:p>
      <w:pPr>
        <w:spacing w:line="360" w:lineRule="auto"/>
        <w:ind w:firstLine="480" w:firstLineChars="200"/>
        <w:rPr>
          <w:rFonts w:hint="eastAsia" w:ascii="宋体" w:hAnsi="宋体" w:cs="宋体"/>
          <w:sz w:val="24"/>
        </w:rPr>
      </w:pPr>
      <w:r>
        <w:rPr>
          <w:rFonts w:hint="eastAsia" w:ascii="宋体" w:hAnsi="宋体" w:cs="宋体"/>
          <w:sz w:val="24"/>
        </w:rPr>
        <w:t>（6）与本标段的监理人或代建人或招标代理机构同为一个法定代表人的；</w:t>
      </w:r>
    </w:p>
    <w:p>
      <w:pPr>
        <w:spacing w:line="360" w:lineRule="auto"/>
        <w:ind w:firstLine="480" w:firstLineChars="200"/>
        <w:rPr>
          <w:rFonts w:hint="eastAsia" w:ascii="宋体" w:hAnsi="宋体" w:cs="宋体"/>
          <w:sz w:val="24"/>
        </w:rPr>
      </w:pPr>
      <w:r>
        <w:rPr>
          <w:rFonts w:hint="eastAsia" w:ascii="宋体" w:hAnsi="宋体" w:cs="宋体"/>
          <w:sz w:val="24"/>
        </w:rPr>
        <w:t>（7）与本标段的监理人或代建人或招标代理机构相互控股或参股的；</w:t>
      </w:r>
    </w:p>
    <w:p>
      <w:pPr>
        <w:spacing w:line="360" w:lineRule="auto"/>
        <w:ind w:firstLine="480" w:firstLineChars="200"/>
        <w:rPr>
          <w:rFonts w:hint="eastAsia" w:ascii="宋体" w:hAnsi="宋体" w:cs="宋体"/>
          <w:sz w:val="24"/>
        </w:rPr>
      </w:pPr>
      <w:r>
        <w:rPr>
          <w:rFonts w:hint="eastAsia" w:ascii="宋体" w:hAnsi="宋体" w:cs="宋体"/>
          <w:sz w:val="24"/>
        </w:rPr>
        <w:t>（8）与本标段的监理人或代建人或招标代理机构相互任职或工作的；</w:t>
      </w:r>
    </w:p>
    <w:p>
      <w:pPr>
        <w:spacing w:line="360" w:lineRule="auto"/>
        <w:ind w:firstLine="480" w:firstLineChars="200"/>
        <w:rPr>
          <w:rFonts w:hint="eastAsia" w:ascii="宋体" w:hAnsi="宋体" w:cs="宋体"/>
          <w:sz w:val="24"/>
        </w:rPr>
      </w:pPr>
      <w:r>
        <w:rPr>
          <w:rFonts w:hint="eastAsia" w:ascii="宋体" w:hAnsi="宋体" w:cs="宋体"/>
          <w:sz w:val="24"/>
        </w:rPr>
        <w:t>（9）被责令停业的；</w:t>
      </w:r>
    </w:p>
    <w:p>
      <w:pPr>
        <w:spacing w:line="360" w:lineRule="auto"/>
        <w:ind w:firstLine="480" w:firstLineChars="200"/>
        <w:rPr>
          <w:rFonts w:hint="eastAsia" w:ascii="宋体" w:hAnsi="宋体" w:cs="宋体"/>
          <w:sz w:val="24"/>
        </w:rPr>
      </w:pPr>
      <w:r>
        <w:rPr>
          <w:rFonts w:hint="eastAsia" w:ascii="宋体" w:hAnsi="宋体" w:cs="宋体"/>
          <w:sz w:val="24"/>
        </w:rPr>
        <w:t>（10）被暂停或取消投标资格的；</w:t>
      </w:r>
    </w:p>
    <w:p>
      <w:pPr>
        <w:spacing w:line="360" w:lineRule="auto"/>
        <w:ind w:firstLine="480" w:firstLineChars="200"/>
        <w:rPr>
          <w:rFonts w:hint="eastAsia" w:ascii="宋体" w:hAnsi="宋体" w:cs="宋体"/>
          <w:sz w:val="24"/>
        </w:rPr>
      </w:pPr>
      <w:r>
        <w:rPr>
          <w:rFonts w:hint="eastAsia" w:ascii="宋体" w:hAnsi="宋体" w:cs="宋体"/>
          <w:sz w:val="24"/>
        </w:rPr>
        <w:t>（11）财产被接管或冻结的；</w:t>
      </w:r>
    </w:p>
    <w:p>
      <w:pPr>
        <w:spacing w:line="360" w:lineRule="auto"/>
        <w:ind w:firstLine="480" w:firstLineChars="200"/>
        <w:rPr>
          <w:rFonts w:hint="eastAsia" w:ascii="宋体" w:hAnsi="宋体" w:cs="宋体"/>
          <w:sz w:val="24"/>
        </w:rPr>
      </w:pPr>
      <w:r>
        <w:rPr>
          <w:rFonts w:hint="eastAsia" w:ascii="宋体" w:hAnsi="宋体" w:cs="宋体"/>
          <w:sz w:val="24"/>
        </w:rPr>
        <w:t>（12）在最近三年内有骗取中标或严重违约或重大工程质量问题的；</w:t>
      </w:r>
    </w:p>
    <w:p>
      <w:pPr>
        <w:spacing w:line="360" w:lineRule="auto"/>
        <w:ind w:firstLine="480" w:firstLineChars="200"/>
        <w:rPr>
          <w:rFonts w:hint="eastAsia" w:ascii="宋体" w:hAnsi="宋体" w:cs="宋体"/>
          <w:sz w:val="24"/>
        </w:rPr>
      </w:pPr>
      <w:r>
        <w:rPr>
          <w:rFonts w:hint="eastAsia" w:ascii="宋体" w:hAnsi="宋体" w:cs="宋体"/>
          <w:sz w:val="24"/>
        </w:rPr>
        <w:t>（13）涉及正在诉讼的案件，或涉及正在诉讼的案件但经审查委员会认定不会对承担本项目造成重大影响；</w:t>
      </w:r>
    </w:p>
    <w:p>
      <w:pPr>
        <w:spacing w:line="360" w:lineRule="auto"/>
        <w:ind w:firstLine="480" w:firstLineChars="200"/>
        <w:rPr>
          <w:rFonts w:hint="eastAsia" w:ascii="宋体" w:hAnsi="宋体" w:cs="宋体"/>
          <w:sz w:val="24"/>
        </w:rPr>
      </w:pPr>
      <w:r>
        <w:rPr>
          <w:rFonts w:hint="eastAsia" w:ascii="宋体" w:hAnsi="宋体" w:cs="宋体"/>
          <w:sz w:val="24"/>
        </w:rPr>
        <w:t>（14）为投资参股本项目的法人单位；</w:t>
      </w:r>
    </w:p>
    <w:p>
      <w:pPr>
        <w:spacing w:line="360" w:lineRule="auto"/>
        <w:ind w:firstLine="480" w:firstLineChars="200"/>
        <w:rPr>
          <w:rFonts w:hint="eastAsia" w:ascii="宋体" w:hAnsi="宋体" w:cs="宋体"/>
          <w:sz w:val="24"/>
        </w:rPr>
      </w:pPr>
      <w:r>
        <w:rPr>
          <w:rFonts w:hint="eastAsia" w:ascii="宋体" w:hAnsi="宋体" w:cs="宋体"/>
          <w:sz w:val="24"/>
        </w:rPr>
        <w:t>（15）被省级及以上交通主管部门取消项目所在地的投标资格或禁止进入该区域公路建设市场且处于有效期内；</w:t>
      </w:r>
    </w:p>
    <w:p>
      <w:pPr>
        <w:spacing w:line="360" w:lineRule="auto"/>
        <w:ind w:firstLine="480" w:firstLineChars="200"/>
        <w:rPr>
          <w:rFonts w:hint="eastAsia" w:ascii="宋体" w:hAnsi="宋体" w:cs="宋体"/>
          <w:sz w:val="24"/>
        </w:rPr>
      </w:pPr>
      <w:r>
        <w:rPr>
          <w:rFonts w:hint="eastAsia" w:ascii="宋体" w:hAnsi="宋体" w:cs="宋体"/>
          <w:sz w:val="24"/>
        </w:rPr>
        <w:t>（16）单位负责人为同一人或存在控股、管理关系的不同单位，不得同时参加本项目投标。</w:t>
      </w:r>
    </w:p>
    <w:p>
      <w:pPr>
        <w:spacing w:line="360" w:lineRule="auto"/>
        <w:rPr>
          <w:rFonts w:hint="eastAsia" w:ascii="宋体" w:hAnsi="宋体" w:cs="宋体"/>
          <w:sz w:val="24"/>
        </w:rPr>
      </w:pPr>
      <w:bookmarkStart w:id="68" w:name="_Toc311013673"/>
      <w:bookmarkStart w:id="69" w:name="_Toc152045535"/>
      <w:bookmarkStart w:id="70" w:name="_Toc152042311"/>
      <w:bookmarkStart w:id="71" w:name="_Toc179632552"/>
      <w:bookmarkStart w:id="72" w:name="_Toc144974503"/>
      <w:r>
        <w:rPr>
          <w:rFonts w:hint="eastAsia" w:ascii="宋体" w:hAnsi="宋体" w:cs="宋体"/>
          <w:sz w:val="24"/>
        </w:rPr>
        <w:t>1.5 费用承担</w:t>
      </w:r>
      <w:bookmarkEnd w:id="68"/>
      <w:bookmarkEnd w:id="69"/>
      <w:bookmarkEnd w:id="70"/>
      <w:bookmarkEnd w:id="71"/>
      <w:bookmarkEnd w:id="72"/>
    </w:p>
    <w:p>
      <w:pPr>
        <w:spacing w:line="360" w:lineRule="auto"/>
        <w:ind w:firstLine="480" w:firstLineChars="200"/>
        <w:rPr>
          <w:rFonts w:hint="eastAsia" w:ascii="宋体" w:hAnsi="宋体" w:cs="宋体"/>
          <w:sz w:val="24"/>
        </w:rPr>
      </w:pPr>
      <w:r>
        <w:rPr>
          <w:rFonts w:hint="eastAsia" w:ascii="宋体" w:hAnsi="宋体" w:cs="宋体"/>
          <w:sz w:val="24"/>
        </w:rPr>
        <w:t>投标人准备和参加投标活动发生的费用自理。</w:t>
      </w:r>
    </w:p>
    <w:p>
      <w:pPr>
        <w:spacing w:line="360" w:lineRule="auto"/>
        <w:rPr>
          <w:rFonts w:hint="eastAsia" w:ascii="宋体" w:hAnsi="宋体" w:cs="宋体"/>
          <w:sz w:val="24"/>
        </w:rPr>
      </w:pPr>
      <w:bookmarkStart w:id="73" w:name="_Toc152045536"/>
      <w:bookmarkStart w:id="74" w:name="_Toc152042312"/>
      <w:bookmarkStart w:id="75" w:name="_Toc179632553"/>
      <w:bookmarkStart w:id="76" w:name="_Toc144974504"/>
      <w:bookmarkStart w:id="77" w:name="_Toc311013674"/>
      <w:r>
        <w:rPr>
          <w:rFonts w:hint="eastAsia" w:ascii="宋体" w:hAnsi="宋体" w:cs="宋体"/>
          <w:sz w:val="24"/>
        </w:rPr>
        <w:t>1.6 保密</w:t>
      </w:r>
      <w:bookmarkEnd w:id="73"/>
      <w:bookmarkEnd w:id="74"/>
      <w:bookmarkEnd w:id="75"/>
      <w:bookmarkEnd w:id="76"/>
      <w:bookmarkEnd w:id="77"/>
    </w:p>
    <w:p>
      <w:pPr>
        <w:spacing w:line="360" w:lineRule="auto"/>
        <w:ind w:firstLine="480" w:firstLineChars="200"/>
        <w:rPr>
          <w:rFonts w:hint="eastAsia" w:ascii="宋体" w:hAnsi="宋体" w:cs="宋体"/>
          <w:sz w:val="24"/>
        </w:rPr>
      </w:pPr>
      <w:r>
        <w:rPr>
          <w:rFonts w:hint="eastAsia" w:ascii="宋体" w:hAnsi="宋体" w:cs="宋体"/>
          <w:sz w:val="24"/>
        </w:rPr>
        <w:t xml:space="preserve">参与招标投标活动的各方应对招标文件和投标文件中的商业和技术等秘密保密，违者应对由此造成的后果承担法律责任。 </w:t>
      </w:r>
    </w:p>
    <w:p>
      <w:pPr>
        <w:spacing w:line="360" w:lineRule="auto"/>
        <w:rPr>
          <w:rFonts w:hint="eastAsia" w:ascii="宋体" w:hAnsi="宋体" w:cs="宋体"/>
          <w:sz w:val="24"/>
        </w:rPr>
      </w:pPr>
      <w:bookmarkStart w:id="78" w:name="_Toc144974505"/>
      <w:bookmarkStart w:id="79" w:name="_Toc152042313"/>
      <w:bookmarkStart w:id="80" w:name="_Toc311013675"/>
      <w:bookmarkStart w:id="81" w:name="_Toc152045537"/>
      <w:bookmarkStart w:id="82" w:name="_Toc179632554"/>
      <w:r>
        <w:rPr>
          <w:rFonts w:hint="eastAsia" w:ascii="宋体" w:hAnsi="宋体" w:cs="宋体"/>
          <w:sz w:val="24"/>
        </w:rPr>
        <w:t>1.7 语言</w:t>
      </w:r>
      <w:bookmarkEnd w:id="78"/>
      <w:r>
        <w:rPr>
          <w:rFonts w:hint="eastAsia" w:ascii="宋体" w:hAnsi="宋体" w:cs="宋体"/>
          <w:sz w:val="24"/>
        </w:rPr>
        <w:t>文字</w:t>
      </w:r>
      <w:bookmarkEnd w:id="79"/>
      <w:bookmarkEnd w:id="80"/>
      <w:bookmarkEnd w:id="81"/>
      <w:bookmarkEnd w:id="82"/>
    </w:p>
    <w:p>
      <w:pPr>
        <w:spacing w:line="360" w:lineRule="auto"/>
        <w:ind w:firstLine="480" w:firstLineChars="200"/>
        <w:rPr>
          <w:rFonts w:hint="eastAsia" w:ascii="宋体" w:hAnsi="宋体" w:cs="宋体"/>
          <w:sz w:val="24"/>
        </w:rPr>
      </w:pPr>
      <w:r>
        <w:rPr>
          <w:rFonts w:hint="eastAsia" w:ascii="宋体" w:hAnsi="宋体" w:cs="宋体"/>
          <w:sz w:val="24"/>
        </w:rPr>
        <w:t>除专用术语外，与招标投标有关的语言均使用中文。必要时专用术语应附有中文注释。</w:t>
      </w:r>
    </w:p>
    <w:p>
      <w:pPr>
        <w:spacing w:line="360" w:lineRule="auto"/>
        <w:rPr>
          <w:rFonts w:hint="eastAsia" w:ascii="宋体" w:hAnsi="宋体" w:cs="宋体"/>
          <w:sz w:val="24"/>
        </w:rPr>
      </w:pPr>
      <w:bookmarkStart w:id="83" w:name="_Toc179632555"/>
      <w:bookmarkStart w:id="84" w:name="_Toc152045538"/>
      <w:bookmarkStart w:id="85" w:name="_Toc152042314"/>
      <w:bookmarkStart w:id="86" w:name="_Toc311013676"/>
      <w:bookmarkStart w:id="87" w:name="_Toc144974506"/>
      <w:r>
        <w:rPr>
          <w:rFonts w:hint="eastAsia" w:ascii="宋体" w:hAnsi="宋体" w:cs="宋体"/>
          <w:sz w:val="24"/>
        </w:rPr>
        <w:t>1.8 计量单位</w:t>
      </w:r>
      <w:bookmarkEnd w:id="83"/>
      <w:bookmarkEnd w:id="84"/>
      <w:bookmarkEnd w:id="85"/>
      <w:bookmarkEnd w:id="86"/>
      <w:bookmarkEnd w:id="87"/>
    </w:p>
    <w:p>
      <w:pPr>
        <w:spacing w:line="360" w:lineRule="auto"/>
        <w:ind w:firstLine="480" w:firstLineChars="200"/>
        <w:rPr>
          <w:rFonts w:hint="eastAsia" w:ascii="宋体" w:hAnsi="宋体" w:cs="宋体"/>
          <w:sz w:val="24"/>
        </w:rPr>
      </w:pPr>
      <w:r>
        <w:rPr>
          <w:rFonts w:hint="eastAsia" w:ascii="宋体" w:hAnsi="宋体" w:cs="宋体"/>
          <w:sz w:val="24"/>
        </w:rPr>
        <w:t>所有计量均采用中华人民共和国法定计量单位。</w:t>
      </w:r>
    </w:p>
    <w:p>
      <w:pPr>
        <w:spacing w:line="360" w:lineRule="auto"/>
        <w:rPr>
          <w:rFonts w:hint="eastAsia" w:ascii="宋体" w:hAnsi="宋体" w:cs="宋体"/>
          <w:sz w:val="24"/>
        </w:rPr>
      </w:pPr>
      <w:bookmarkStart w:id="88" w:name="_Toc311013677"/>
      <w:bookmarkStart w:id="89" w:name="_Toc144974507"/>
      <w:bookmarkStart w:id="90" w:name="_Toc152042315"/>
      <w:bookmarkStart w:id="91" w:name="_Toc179632556"/>
      <w:bookmarkStart w:id="92" w:name="_Toc152045539"/>
      <w:r>
        <w:rPr>
          <w:rFonts w:hint="eastAsia" w:ascii="宋体" w:hAnsi="宋体" w:cs="宋体"/>
          <w:sz w:val="24"/>
        </w:rPr>
        <w:t>1.9 踏勘现场</w:t>
      </w:r>
      <w:bookmarkEnd w:id="88"/>
      <w:bookmarkEnd w:id="89"/>
      <w:bookmarkEnd w:id="90"/>
      <w:bookmarkEnd w:id="91"/>
      <w:bookmarkEnd w:id="92"/>
    </w:p>
    <w:p>
      <w:pPr>
        <w:spacing w:line="360" w:lineRule="auto"/>
        <w:ind w:firstLine="480" w:firstLineChars="200"/>
        <w:rPr>
          <w:rFonts w:hint="eastAsia" w:ascii="宋体" w:hAnsi="宋体" w:cs="宋体"/>
          <w:sz w:val="24"/>
        </w:rPr>
      </w:pPr>
      <w:r>
        <w:rPr>
          <w:rFonts w:hint="eastAsia" w:ascii="宋体" w:hAnsi="宋体" w:cs="宋体"/>
          <w:sz w:val="24"/>
        </w:rPr>
        <w:t xml:space="preserve">1.9.1 投标人须知前附表规定组织踏勘现场的，招标人按投标人须知前附表规定的时间、地点组织投标人踏勘项目现场。 </w:t>
      </w:r>
    </w:p>
    <w:p>
      <w:pPr>
        <w:spacing w:line="360" w:lineRule="auto"/>
        <w:ind w:firstLine="480" w:firstLineChars="200"/>
        <w:rPr>
          <w:rFonts w:hint="eastAsia" w:ascii="宋体" w:hAnsi="宋体" w:cs="宋体"/>
          <w:sz w:val="24"/>
        </w:rPr>
      </w:pPr>
      <w:r>
        <w:rPr>
          <w:rFonts w:hint="eastAsia" w:ascii="宋体" w:hAnsi="宋体" w:cs="宋体"/>
          <w:sz w:val="24"/>
        </w:rPr>
        <w:t>1.9.2 投标人踏勘现场发生的费用自理。</w:t>
      </w:r>
    </w:p>
    <w:p>
      <w:pPr>
        <w:spacing w:line="360" w:lineRule="auto"/>
        <w:ind w:firstLine="480" w:firstLineChars="200"/>
        <w:rPr>
          <w:rFonts w:hint="eastAsia" w:ascii="宋体" w:hAnsi="宋体" w:cs="宋体"/>
          <w:sz w:val="24"/>
        </w:rPr>
      </w:pPr>
      <w:r>
        <w:rPr>
          <w:rFonts w:hint="eastAsia" w:ascii="宋体" w:hAnsi="宋体" w:cs="宋体"/>
          <w:sz w:val="24"/>
        </w:rPr>
        <w:t>1.9.3 除招标人的原因外，投标人自行负责在踏勘现场中所发生的人员伤亡和财产损失。</w:t>
      </w:r>
    </w:p>
    <w:p>
      <w:pPr>
        <w:spacing w:line="360" w:lineRule="auto"/>
        <w:ind w:firstLine="480" w:firstLineChars="200"/>
        <w:rPr>
          <w:rFonts w:hint="eastAsia" w:ascii="宋体" w:hAnsi="宋体" w:cs="宋体"/>
          <w:sz w:val="24"/>
        </w:rPr>
      </w:pPr>
      <w:r>
        <w:rPr>
          <w:rFonts w:hint="eastAsia" w:ascii="宋体" w:hAnsi="宋体" w:cs="宋体"/>
          <w:sz w:val="24"/>
        </w:rPr>
        <w:t>1.9.4 招标人在踏勘现场中介绍的工程场地和相关的周边环境情况，供投标人在编制投标文件时参考，招标人不对投标人据此作出的判断和决策负责。</w:t>
      </w:r>
    </w:p>
    <w:p>
      <w:pPr>
        <w:spacing w:line="360" w:lineRule="auto"/>
        <w:rPr>
          <w:rFonts w:hint="eastAsia" w:ascii="宋体" w:hAnsi="宋体" w:cs="宋体"/>
          <w:sz w:val="24"/>
        </w:rPr>
      </w:pPr>
      <w:bookmarkStart w:id="93" w:name="_Toc152045540"/>
      <w:bookmarkStart w:id="94" w:name="_Toc144974508"/>
      <w:bookmarkStart w:id="95" w:name="_Toc152042316"/>
      <w:bookmarkStart w:id="96" w:name="_Toc179632557"/>
      <w:bookmarkStart w:id="97" w:name="_Toc311013678"/>
      <w:r>
        <w:rPr>
          <w:rFonts w:hint="eastAsia" w:ascii="宋体" w:hAnsi="宋体" w:cs="宋体"/>
          <w:sz w:val="24"/>
        </w:rPr>
        <w:t>1.10 投标预备会</w:t>
      </w:r>
      <w:bookmarkEnd w:id="93"/>
      <w:bookmarkEnd w:id="94"/>
      <w:bookmarkEnd w:id="95"/>
      <w:bookmarkEnd w:id="96"/>
      <w:r>
        <w:rPr>
          <w:rFonts w:hint="eastAsia" w:ascii="宋体" w:hAnsi="宋体" w:cs="宋体"/>
          <w:sz w:val="24"/>
        </w:rPr>
        <w:t>（不召开）</w:t>
      </w:r>
      <w:bookmarkEnd w:id="97"/>
    </w:p>
    <w:p>
      <w:pPr>
        <w:spacing w:line="360" w:lineRule="auto"/>
        <w:rPr>
          <w:rFonts w:hint="eastAsia" w:ascii="宋体" w:hAnsi="宋体" w:cs="宋体"/>
          <w:sz w:val="24"/>
        </w:rPr>
      </w:pPr>
      <w:bookmarkStart w:id="98" w:name="_Toc144974509"/>
      <w:bookmarkStart w:id="99" w:name="_Toc152042317"/>
      <w:bookmarkStart w:id="100" w:name="_Toc152045541"/>
      <w:bookmarkStart w:id="101" w:name="_Toc179632558"/>
      <w:bookmarkStart w:id="102" w:name="_Toc311013679"/>
      <w:r>
        <w:rPr>
          <w:rFonts w:hint="eastAsia" w:ascii="宋体" w:hAnsi="宋体" w:cs="宋体"/>
          <w:sz w:val="24"/>
        </w:rPr>
        <w:t>1.11 分包</w:t>
      </w:r>
      <w:bookmarkEnd w:id="98"/>
      <w:bookmarkEnd w:id="99"/>
      <w:bookmarkEnd w:id="100"/>
      <w:bookmarkEnd w:id="101"/>
      <w:r>
        <w:rPr>
          <w:rFonts w:hint="eastAsia" w:ascii="宋体" w:hAnsi="宋体" w:cs="宋体"/>
          <w:sz w:val="24"/>
        </w:rPr>
        <w:t>（不允许）</w:t>
      </w:r>
      <w:bookmarkEnd w:id="102"/>
    </w:p>
    <w:p>
      <w:pPr>
        <w:spacing w:line="360" w:lineRule="auto"/>
        <w:rPr>
          <w:rFonts w:hint="eastAsia" w:ascii="宋体" w:hAnsi="宋体" w:cs="宋体"/>
          <w:sz w:val="24"/>
        </w:rPr>
      </w:pPr>
      <w:bookmarkStart w:id="103" w:name="_Toc179632559"/>
      <w:bookmarkStart w:id="104" w:name="_Toc311013680"/>
      <w:r>
        <w:rPr>
          <w:rFonts w:hint="eastAsia" w:ascii="宋体" w:hAnsi="宋体" w:cs="宋体"/>
          <w:sz w:val="24"/>
        </w:rPr>
        <w:t>1.12响应和偏差</w:t>
      </w:r>
      <w:bookmarkEnd w:id="103"/>
      <w:bookmarkEnd w:id="104"/>
    </w:p>
    <w:p>
      <w:pPr>
        <w:spacing w:line="360" w:lineRule="auto"/>
        <w:ind w:firstLine="480" w:firstLineChars="200"/>
        <w:rPr>
          <w:rFonts w:hint="eastAsia" w:ascii="宋体" w:hAnsi="宋体" w:cs="宋体"/>
          <w:sz w:val="24"/>
        </w:rPr>
      </w:pPr>
      <w:r>
        <w:rPr>
          <w:rFonts w:hint="eastAsia" w:ascii="宋体" w:hAnsi="宋体" w:cs="宋体"/>
          <w:sz w:val="24"/>
        </w:rPr>
        <w:t>1.12.1技标文件偏离招标文件某些要求，视为投标文件存在偏差。偏差包括重大偏差和细微偏差。</w:t>
      </w:r>
    </w:p>
    <w:p>
      <w:pPr>
        <w:spacing w:line="360" w:lineRule="auto"/>
        <w:ind w:firstLine="480" w:firstLineChars="200"/>
        <w:rPr>
          <w:rFonts w:hint="eastAsia" w:ascii="宋体" w:hAnsi="宋体" w:cs="宋体"/>
          <w:sz w:val="24"/>
        </w:rPr>
      </w:pPr>
      <w:r>
        <w:rPr>
          <w:rFonts w:hint="eastAsia" w:ascii="宋体" w:hAnsi="宋体" w:cs="宋体"/>
          <w:sz w:val="24"/>
        </w:rPr>
        <w:t>1.12.2 投标文件应对招标文件的实质性要求和条件作出满足性或更有利于招标人的响应， 否则，视为投标文件存在重大偏差，投标人的投标将被否决。投标文件存在第三章 “评标办法 ”中所列任一否决投标情形的，均属于存在重大偏差。</w:t>
      </w:r>
    </w:p>
    <w:p>
      <w:pPr>
        <w:spacing w:line="360" w:lineRule="auto"/>
        <w:ind w:firstLine="480" w:firstLineChars="200"/>
        <w:rPr>
          <w:rFonts w:hint="eastAsia" w:ascii="宋体" w:hAnsi="宋体" w:cs="宋体"/>
          <w:sz w:val="24"/>
        </w:rPr>
      </w:pPr>
      <w:r>
        <w:rPr>
          <w:rFonts w:hint="eastAsia" w:ascii="宋体" w:hAnsi="宋体" w:cs="宋体"/>
          <w:sz w:val="24"/>
        </w:rPr>
        <w:t>1.12.3 投标文件中的下列偏差为细微偏差：</w:t>
      </w:r>
    </w:p>
    <w:p>
      <w:pPr>
        <w:spacing w:line="360" w:lineRule="auto"/>
        <w:ind w:firstLine="480" w:firstLineChars="200"/>
        <w:rPr>
          <w:rFonts w:hint="eastAsia" w:ascii="宋体" w:hAnsi="宋体" w:cs="宋体"/>
          <w:sz w:val="24"/>
        </w:rPr>
      </w:pPr>
      <w:r>
        <w:rPr>
          <w:rFonts w:hint="eastAsia" w:ascii="宋体" w:hAnsi="宋体" w:cs="宋体"/>
          <w:sz w:val="24"/>
        </w:rPr>
        <w:t>(1）在按照第二章“评标办法 ”的规定对投标价进行算术性错误修正及其他错误修正后，最终投标报价未超过最高投标限价（如有 ）的情况下，出现第三章“评标办法”规定的算术性错误和投标报价的其他错误。</w:t>
      </w:r>
    </w:p>
    <w:p>
      <w:pPr>
        <w:spacing w:line="360" w:lineRule="auto"/>
        <w:ind w:firstLine="480" w:firstLineChars="200"/>
        <w:rPr>
          <w:rFonts w:hint="eastAsia" w:ascii="宋体" w:hAnsi="宋体" w:cs="宋体"/>
          <w:sz w:val="24"/>
        </w:rPr>
      </w:pPr>
      <w:r>
        <w:rPr>
          <w:rFonts w:hint="eastAsia" w:ascii="宋体" w:hAnsi="宋体" w:cs="宋体"/>
          <w:sz w:val="24"/>
        </w:rPr>
        <w:t>(2）施工组织设计（含关键工程技术方案）和项目管理机构不够完善；</w:t>
      </w:r>
    </w:p>
    <w:p>
      <w:pPr>
        <w:spacing w:line="360" w:lineRule="auto"/>
        <w:ind w:firstLine="480" w:firstLineChars="200"/>
        <w:rPr>
          <w:rFonts w:hint="eastAsia" w:ascii="宋体" w:hAnsi="宋体" w:cs="宋体"/>
          <w:sz w:val="24"/>
        </w:rPr>
      </w:pPr>
      <w:r>
        <w:rPr>
          <w:rFonts w:hint="eastAsia" w:ascii="宋体" w:hAnsi="宋体" w:cs="宋体"/>
          <w:sz w:val="24"/>
        </w:rPr>
        <w:t>（3）投标文件页码不连续、采用活页夹装订、个别文字有遗漏错误等不影响投标文件实质性内容的偏差。</w:t>
      </w:r>
    </w:p>
    <w:p>
      <w:pPr>
        <w:spacing w:line="360" w:lineRule="auto"/>
        <w:ind w:firstLine="480" w:firstLineChars="200"/>
        <w:rPr>
          <w:rFonts w:hint="eastAsia" w:ascii="宋体" w:hAnsi="宋体" w:cs="宋体"/>
          <w:sz w:val="24"/>
        </w:rPr>
      </w:pPr>
      <w:r>
        <w:rPr>
          <w:rFonts w:hint="eastAsia" w:ascii="宋体" w:hAnsi="宋体" w:cs="宋体"/>
          <w:sz w:val="24"/>
        </w:rPr>
        <w:t>1.12.4评标委员会对投标文件中的细微偏差按如下规定处理：</w:t>
      </w:r>
    </w:p>
    <w:p>
      <w:pPr>
        <w:spacing w:line="360" w:lineRule="auto"/>
        <w:ind w:firstLine="480" w:firstLineChars="200"/>
        <w:rPr>
          <w:rFonts w:hint="eastAsia" w:ascii="宋体" w:hAnsi="宋体" w:cs="宋体"/>
          <w:sz w:val="24"/>
        </w:rPr>
      </w:pPr>
      <w:r>
        <w:rPr>
          <w:rFonts w:hint="eastAsia" w:ascii="宋体" w:hAnsi="宋体" w:cs="宋体"/>
          <w:sz w:val="24"/>
        </w:rPr>
        <w:t>(1）对于本章第1.12.3项(1）目所述的细微偏差，按照第三章“评标办法 ”的规定予以修正并要求投标人进行澄清：</w:t>
      </w:r>
    </w:p>
    <w:p>
      <w:pPr>
        <w:spacing w:line="360" w:lineRule="auto"/>
        <w:ind w:firstLine="480" w:firstLineChars="200"/>
        <w:rPr>
          <w:rFonts w:hint="eastAsia" w:ascii="宋体" w:hAnsi="宋体" w:cs="宋体"/>
          <w:sz w:val="24"/>
        </w:rPr>
      </w:pPr>
      <w:r>
        <w:rPr>
          <w:rFonts w:hint="eastAsia" w:ascii="宋体" w:hAnsi="宋体" w:cs="宋体"/>
          <w:sz w:val="24"/>
        </w:rPr>
        <w:t>(2）对于本章第1.12.3项(2）目所述的细微偏差，如果采用合理低价法或经评审的最低投标价法评标，应要求投标人对细微偏差进行澄清，只有投标人的澄清文件被评标委员会接受，技标人才能参加评标价的最终评比。如果采用技术评分最低标价法或综合评分法评标， 可在相关评分因素的评分中酌情扣分；</w:t>
      </w:r>
    </w:p>
    <w:p>
      <w:pPr>
        <w:spacing w:line="360" w:lineRule="auto"/>
        <w:ind w:firstLine="480" w:firstLineChars="200"/>
        <w:rPr>
          <w:rFonts w:hint="eastAsia" w:ascii="宋体" w:hAnsi="宋体" w:cs="宋体"/>
          <w:sz w:val="24"/>
        </w:rPr>
      </w:pPr>
      <w:r>
        <w:rPr>
          <w:rFonts w:hint="eastAsia" w:ascii="宋体" w:hAnsi="宋体" w:cs="宋体"/>
          <w:sz w:val="24"/>
        </w:rPr>
        <w:t>(3）对于本章第1.12.3项（ 2）目所述的细微偏差， 可要求投标人对细微偏差进行澄清。</w:t>
      </w:r>
    </w:p>
    <w:p>
      <w:pPr>
        <w:spacing w:line="360" w:lineRule="auto"/>
        <w:ind w:firstLine="480" w:firstLineChars="200"/>
        <w:rPr>
          <w:rFonts w:hint="eastAsia" w:ascii="宋体" w:hAnsi="宋体" w:cs="宋体"/>
          <w:sz w:val="24"/>
        </w:rPr>
      </w:pPr>
      <w:r>
        <w:rPr>
          <w:rFonts w:hint="eastAsia" w:ascii="宋体" w:hAnsi="宋体" w:cs="宋体"/>
          <w:sz w:val="24"/>
        </w:rPr>
        <w:t>1.12.5技标人应根据招标文件的要求提供施工组织设计等内容以对招标文件作出响应。</w:t>
      </w:r>
    </w:p>
    <w:p>
      <w:pPr>
        <w:spacing w:line="360" w:lineRule="auto"/>
        <w:rPr>
          <w:rFonts w:hint="eastAsia" w:ascii="宋体" w:hAnsi="宋体" w:cs="宋体"/>
          <w:sz w:val="24"/>
        </w:rPr>
      </w:pPr>
      <w:r>
        <w:rPr>
          <w:rFonts w:hint="eastAsia" w:ascii="宋体" w:hAnsi="宋体" w:cs="宋体"/>
          <w:sz w:val="24"/>
        </w:rPr>
        <w:t>1.13招标文件及图纸的获取：见投标人须知前附表。</w:t>
      </w:r>
    </w:p>
    <w:p>
      <w:pPr>
        <w:spacing w:line="360" w:lineRule="auto"/>
        <w:ind w:firstLine="480" w:firstLineChars="200"/>
        <w:rPr>
          <w:rFonts w:hint="eastAsia" w:ascii="宋体" w:hAnsi="宋体" w:cs="宋体"/>
          <w:sz w:val="24"/>
        </w:rPr>
      </w:pPr>
      <w:bookmarkStart w:id="105" w:name="_Toc144974510"/>
      <w:bookmarkStart w:id="106" w:name="_Toc152045542"/>
      <w:bookmarkStart w:id="107" w:name="_Toc152042318"/>
      <w:bookmarkStart w:id="108" w:name="_Toc179632560"/>
      <w:bookmarkStart w:id="109" w:name="_Toc311013681"/>
      <w:r>
        <w:rPr>
          <w:rFonts w:hint="eastAsia" w:ascii="宋体" w:hAnsi="宋体" w:cs="宋体"/>
          <w:sz w:val="24"/>
        </w:rPr>
        <w:t>2. 招标文件</w:t>
      </w:r>
      <w:bookmarkEnd w:id="105"/>
      <w:bookmarkEnd w:id="106"/>
      <w:bookmarkEnd w:id="107"/>
      <w:bookmarkEnd w:id="108"/>
      <w:bookmarkEnd w:id="109"/>
    </w:p>
    <w:p>
      <w:pPr>
        <w:spacing w:line="360" w:lineRule="auto"/>
        <w:rPr>
          <w:rFonts w:hint="eastAsia" w:ascii="宋体" w:hAnsi="宋体" w:cs="宋体"/>
          <w:sz w:val="24"/>
        </w:rPr>
      </w:pPr>
      <w:bookmarkStart w:id="110" w:name="_Toc311013682"/>
      <w:bookmarkStart w:id="111" w:name="_Toc144974511"/>
      <w:bookmarkStart w:id="112" w:name="_Toc152042319"/>
      <w:bookmarkStart w:id="113" w:name="_Toc179632561"/>
      <w:bookmarkStart w:id="114" w:name="_Toc152045543"/>
      <w:r>
        <w:rPr>
          <w:rFonts w:hint="eastAsia" w:ascii="宋体" w:hAnsi="宋体" w:cs="宋体"/>
          <w:sz w:val="24"/>
        </w:rPr>
        <w:t>2.1 招标文件的组成</w:t>
      </w:r>
      <w:bookmarkEnd w:id="110"/>
      <w:bookmarkEnd w:id="111"/>
      <w:bookmarkEnd w:id="112"/>
      <w:bookmarkEnd w:id="113"/>
      <w:bookmarkEnd w:id="114"/>
    </w:p>
    <w:p>
      <w:pPr>
        <w:spacing w:line="360" w:lineRule="auto"/>
        <w:ind w:firstLine="480" w:firstLineChars="200"/>
        <w:rPr>
          <w:rFonts w:hint="eastAsia" w:ascii="宋体" w:hAnsi="宋体" w:cs="宋体"/>
          <w:sz w:val="24"/>
        </w:rPr>
      </w:pPr>
      <w:r>
        <w:rPr>
          <w:rFonts w:hint="eastAsia" w:ascii="宋体" w:hAnsi="宋体" w:cs="宋体"/>
          <w:sz w:val="24"/>
        </w:rPr>
        <w:t>　　本招标文件包括：</w:t>
      </w:r>
    </w:p>
    <w:p>
      <w:pPr>
        <w:spacing w:line="360" w:lineRule="auto"/>
        <w:ind w:firstLine="960" w:firstLineChars="400"/>
        <w:rPr>
          <w:rFonts w:hint="eastAsia" w:ascii="宋体" w:hAnsi="宋体" w:cs="宋体"/>
          <w:sz w:val="24"/>
        </w:rPr>
      </w:pPr>
      <w:bookmarkStart w:id="115" w:name="_Toc144974514"/>
      <w:bookmarkStart w:id="116" w:name="_Toc179632564"/>
      <w:bookmarkStart w:id="117" w:name="_Toc152042322"/>
      <w:bookmarkStart w:id="118" w:name="_Toc152045546"/>
      <w:bookmarkStart w:id="119" w:name="_Toc311013685"/>
      <w:r>
        <w:rPr>
          <w:rFonts w:hint="eastAsia" w:ascii="宋体" w:hAnsi="宋体" w:cs="宋体"/>
          <w:sz w:val="24"/>
        </w:rPr>
        <w:t>（1）招标公告；</w:t>
      </w:r>
    </w:p>
    <w:p>
      <w:pPr>
        <w:spacing w:line="360" w:lineRule="auto"/>
        <w:ind w:firstLine="960" w:firstLineChars="400"/>
        <w:rPr>
          <w:rFonts w:hint="eastAsia" w:ascii="宋体" w:hAnsi="宋体" w:cs="宋体"/>
          <w:sz w:val="24"/>
        </w:rPr>
      </w:pPr>
      <w:r>
        <w:rPr>
          <w:rFonts w:hint="eastAsia" w:ascii="宋体" w:hAnsi="宋体" w:cs="宋体"/>
          <w:sz w:val="24"/>
        </w:rPr>
        <w:t>（2）投标人须知；</w:t>
      </w:r>
    </w:p>
    <w:p>
      <w:pPr>
        <w:spacing w:line="360" w:lineRule="auto"/>
        <w:ind w:firstLine="960" w:firstLineChars="400"/>
        <w:rPr>
          <w:rFonts w:hint="eastAsia" w:ascii="宋体" w:hAnsi="宋体" w:cs="宋体"/>
          <w:sz w:val="24"/>
        </w:rPr>
      </w:pPr>
      <w:r>
        <w:rPr>
          <w:rFonts w:hint="eastAsia" w:ascii="宋体" w:hAnsi="宋体" w:cs="宋体"/>
          <w:sz w:val="24"/>
        </w:rPr>
        <w:t>（3）评标办法；</w:t>
      </w:r>
    </w:p>
    <w:p>
      <w:pPr>
        <w:spacing w:line="360" w:lineRule="auto"/>
        <w:ind w:firstLine="960" w:firstLineChars="400"/>
        <w:rPr>
          <w:rFonts w:hint="eastAsia" w:ascii="宋体" w:hAnsi="宋体" w:cs="宋体"/>
          <w:sz w:val="24"/>
        </w:rPr>
      </w:pPr>
      <w:r>
        <w:rPr>
          <w:rFonts w:hint="eastAsia" w:ascii="宋体" w:hAnsi="宋体" w:cs="宋体"/>
          <w:sz w:val="24"/>
        </w:rPr>
        <w:t>（4）合同条款及格式；</w:t>
      </w:r>
    </w:p>
    <w:p>
      <w:pPr>
        <w:spacing w:line="360" w:lineRule="auto"/>
        <w:ind w:firstLine="960" w:firstLineChars="400"/>
        <w:rPr>
          <w:rFonts w:hint="eastAsia" w:ascii="宋体" w:hAnsi="宋体" w:cs="宋体"/>
          <w:sz w:val="24"/>
        </w:rPr>
      </w:pPr>
      <w:r>
        <w:rPr>
          <w:rFonts w:hint="eastAsia" w:ascii="宋体" w:hAnsi="宋体" w:cs="宋体"/>
          <w:sz w:val="24"/>
        </w:rPr>
        <w:t>（5）工程量清单编制要求；</w:t>
      </w:r>
    </w:p>
    <w:p>
      <w:pPr>
        <w:spacing w:line="360" w:lineRule="auto"/>
        <w:ind w:firstLine="960" w:firstLineChars="400"/>
        <w:rPr>
          <w:rFonts w:hint="eastAsia" w:ascii="宋体" w:hAnsi="宋体" w:cs="宋体"/>
          <w:sz w:val="24"/>
        </w:rPr>
      </w:pPr>
      <w:r>
        <w:rPr>
          <w:rFonts w:hint="eastAsia" w:ascii="宋体" w:hAnsi="宋体" w:cs="宋体"/>
          <w:sz w:val="24"/>
        </w:rPr>
        <w:t>（6）图纸；</w:t>
      </w:r>
    </w:p>
    <w:p>
      <w:pPr>
        <w:spacing w:line="360" w:lineRule="auto"/>
        <w:ind w:firstLine="960" w:firstLineChars="400"/>
        <w:rPr>
          <w:rFonts w:hint="eastAsia" w:ascii="宋体" w:hAnsi="宋体" w:cs="宋体"/>
          <w:sz w:val="24"/>
        </w:rPr>
      </w:pPr>
      <w:r>
        <w:rPr>
          <w:rFonts w:hint="eastAsia" w:ascii="宋体" w:hAnsi="宋体" w:cs="宋体"/>
          <w:sz w:val="24"/>
        </w:rPr>
        <w:t>（7）技术标准和要求；</w:t>
      </w:r>
    </w:p>
    <w:p>
      <w:pPr>
        <w:spacing w:line="360" w:lineRule="auto"/>
        <w:ind w:firstLine="960" w:firstLineChars="400"/>
        <w:rPr>
          <w:rFonts w:hint="eastAsia" w:ascii="宋体" w:hAnsi="宋体" w:cs="宋体"/>
          <w:sz w:val="24"/>
        </w:rPr>
      </w:pPr>
      <w:r>
        <w:rPr>
          <w:rFonts w:hint="eastAsia" w:ascii="宋体" w:hAnsi="宋体" w:cs="宋体"/>
          <w:sz w:val="24"/>
        </w:rPr>
        <w:t>（8）投标文件格式；</w:t>
      </w:r>
    </w:p>
    <w:p>
      <w:pPr>
        <w:spacing w:line="360" w:lineRule="auto"/>
        <w:rPr>
          <w:rFonts w:hint="eastAsia" w:ascii="宋体" w:hAnsi="宋体" w:cs="宋体"/>
          <w:sz w:val="24"/>
        </w:rPr>
      </w:pPr>
      <w:r>
        <w:rPr>
          <w:rFonts w:hint="eastAsia" w:ascii="宋体" w:hAnsi="宋体" w:cs="宋体"/>
          <w:sz w:val="24"/>
        </w:rPr>
        <w:t>2.2 招标文件的澄清</w:t>
      </w:r>
    </w:p>
    <w:p>
      <w:pPr>
        <w:spacing w:line="360" w:lineRule="auto"/>
        <w:ind w:firstLine="480" w:firstLineChars="200"/>
        <w:rPr>
          <w:rFonts w:hint="eastAsia"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spacing w:line="360" w:lineRule="auto"/>
        <w:ind w:firstLine="480" w:firstLineChars="200"/>
        <w:rPr>
          <w:rFonts w:hint="eastAsia" w:ascii="宋体" w:hAnsi="宋体" w:cs="宋体"/>
          <w:sz w:val="24"/>
        </w:rPr>
      </w:pPr>
      <w:r>
        <w:rPr>
          <w:rFonts w:hint="eastAsia" w:ascii="宋体" w:hAnsi="宋体" w:cs="宋体"/>
          <w:sz w:val="24"/>
        </w:rPr>
        <w:t>2.2.2 招标文件的澄清将在投标人须知前附表规定的投标截止时间15天前通过</w:t>
      </w:r>
      <w:r>
        <w:rPr>
          <w:rFonts w:hint="eastAsia" w:ascii="宋体" w:hAnsi="宋体" w:cs="宋体"/>
          <w:b/>
          <w:sz w:val="24"/>
        </w:rPr>
        <w:t>全国公共资源交易平台（河南省·许昌市）</w:t>
      </w:r>
      <w:r>
        <w:rPr>
          <w:rFonts w:hint="eastAsia" w:ascii="宋体" w:hAnsi="宋体" w:cs="宋体"/>
          <w:sz w:val="24"/>
        </w:rPr>
        <w:t>发出，但不指明澄清问题的来源。如果澄清发出的时间距投标截止时间不足15天，相应延长投标截止时间。</w:t>
      </w:r>
    </w:p>
    <w:p>
      <w:pPr>
        <w:spacing w:line="360" w:lineRule="auto"/>
        <w:ind w:firstLine="480" w:firstLineChars="200"/>
        <w:rPr>
          <w:rFonts w:hint="eastAsia" w:ascii="宋体" w:hAnsi="宋体" w:cs="宋体"/>
          <w:sz w:val="24"/>
        </w:rPr>
      </w:pPr>
      <w:r>
        <w:rPr>
          <w:rFonts w:hint="eastAsia" w:ascii="宋体" w:hAnsi="宋体" w:cs="宋体"/>
          <w:sz w:val="24"/>
        </w:rPr>
        <w:t>2.2.3 所有澄清、答疑全部以</w:t>
      </w:r>
      <w:r>
        <w:rPr>
          <w:rFonts w:hint="eastAsia" w:ascii="宋体" w:hAnsi="宋体" w:cs="宋体"/>
          <w:b/>
          <w:sz w:val="24"/>
        </w:rPr>
        <w:t>全国公共资源交易平台（河南省·许昌市）</w:t>
      </w:r>
      <w:r>
        <w:rPr>
          <w:rFonts w:hint="eastAsia" w:ascii="宋体" w:hAnsi="宋体" w:cs="宋体"/>
          <w:sz w:val="24"/>
        </w:rPr>
        <w:t>发出的为准，不再接受书面形式的递交。</w:t>
      </w:r>
    </w:p>
    <w:p>
      <w:pPr>
        <w:spacing w:line="360" w:lineRule="auto"/>
        <w:rPr>
          <w:rFonts w:hint="eastAsia" w:ascii="宋体" w:hAnsi="宋体" w:cs="宋体"/>
          <w:sz w:val="24"/>
        </w:rPr>
      </w:pPr>
      <w:bookmarkStart w:id="120" w:name="_Toc283559954"/>
      <w:r>
        <w:rPr>
          <w:rFonts w:hint="eastAsia" w:ascii="宋体" w:hAnsi="宋体" w:cs="宋体"/>
          <w:sz w:val="24"/>
        </w:rPr>
        <w:t>2.3 招标文件的修改</w:t>
      </w:r>
      <w:bookmarkEnd w:id="120"/>
    </w:p>
    <w:p>
      <w:pPr>
        <w:spacing w:line="360" w:lineRule="auto"/>
        <w:ind w:firstLine="480" w:firstLineChars="200"/>
        <w:rPr>
          <w:rFonts w:hint="eastAsia" w:ascii="宋体" w:hAnsi="宋体" w:cs="宋体"/>
          <w:sz w:val="24"/>
        </w:rPr>
      </w:pPr>
      <w:r>
        <w:rPr>
          <w:rFonts w:hint="eastAsia" w:ascii="宋体" w:hAnsi="宋体" w:cs="宋体"/>
          <w:sz w:val="24"/>
        </w:rPr>
        <w:t>2.3.1 在投标截止时间15天前，招标人可以通过</w:t>
      </w:r>
      <w:r>
        <w:rPr>
          <w:rFonts w:hint="eastAsia" w:ascii="宋体" w:hAnsi="宋体" w:cs="宋体"/>
          <w:b/>
          <w:sz w:val="24"/>
        </w:rPr>
        <w:t>全国公共资源交易平台（河南省·许昌市）</w:t>
      </w:r>
      <w:r>
        <w:rPr>
          <w:rFonts w:hint="eastAsia" w:ascii="宋体" w:hAnsi="宋体" w:cs="宋体"/>
          <w:sz w:val="24"/>
        </w:rPr>
        <w:t>修改招标文件，如果修改招标文件的时间距投标截止时间不足15 天，相应延长投标截止时间。</w:t>
      </w:r>
    </w:p>
    <w:p>
      <w:pPr>
        <w:spacing w:line="360" w:lineRule="auto"/>
        <w:ind w:firstLine="480" w:firstLineChars="200"/>
        <w:rPr>
          <w:rFonts w:hint="eastAsia" w:ascii="宋体" w:hAnsi="宋体" w:cs="宋体"/>
          <w:sz w:val="24"/>
        </w:rPr>
      </w:pPr>
      <w:r>
        <w:rPr>
          <w:rFonts w:hint="eastAsia" w:ascii="宋体" w:hAnsi="宋体" w:cs="宋体"/>
          <w:sz w:val="24"/>
        </w:rPr>
        <w:t>2.3.2 当招标文件（含评标、定标办法）、补充通知、答疑纪要，内容相互矛盾时，以最后发出的通知（或纪要）为准。</w:t>
      </w:r>
    </w:p>
    <w:p>
      <w:pPr>
        <w:spacing w:line="360" w:lineRule="auto"/>
        <w:ind w:firstLine="480" w:firstLineChars="200"/>
        <w:rPr>
          <w:rFonts w:hint="eastAsia" w:ascii="宋体" w:hAnsi="宋体" w:cs="宋体"/>
          <w:sz w:val="24"/>
        </w:rPr>
      </w:pPr>
      <w:r>
        <w:rPr>
          <w:rFonts w:hint="eastAsia" w:ascii="宋体" w:hAnsi="宋体" w:cs="宋体"/>
          <w:sz w:val="24"/>
        </w:rPr>
        <w:t>2.3.3</w:t>
      </w:r>
      <w:r>
        <w:rPr>
          <w:rFonts w:hint="eastAsia" w:ascii="宋体" w:hAnsi="宋体" w:cs="宋体"/>
          <w:kern w:val="0"/>
          <w:sz w:val="24"/>
        </w:rPr>
        <w:t>投标人对招标文件有异议的提出与受理：</w:t>
      </w:r>
      <w:r>
        <w:rPr>
          <w:rFonts w:hint="eastAsia" w:ascii="宋体" w:hAnsi="宋体" w:cs="宋体"/>
          <w:sz w:val="24"/>
        </w:rPr>
        <w:t>见投标人须知前附表。</w:t>
      </w:r>
    </w:p>
    <w:p>
      <w:pPr>
        <w:numPr>
          <w:ilvl w:val="0"/>
          <w:numId w:val="2"/>
        </w:numPr>
        <w:spacing w:line="360" w:lineRule="auto"/>
        <w:rPr>
          <w:rFonts w:hint="eastAsia" w:ascii="宋体" w:hAnsi="宋体" w:cs="宋体"/>
          <w:sz w:val="24"/>
        </w:rPr>
      </w:pPr>
      <w:r>
        <w:rPr>
          <w:rFonts w:hint="eastAsia" w:ascii="宋体" w:hAnsi="宋体" w:cs="宋体"/>
          <w:sz w:val="24"/>
        </w:rPr>
        <w:t>投标文件</w:t>
      </w:r>
      <w:bookmarkEnd w:id="115"/>
      <w:bookmarkEnd w:id="116"/>
      <w:bookmarkEnd w:id="117"/>
      <w:bookmarkEnd w:id="118"/>
      <w:bookmarkEnd w:id="119"/>
    </w:p>
    <w:p>
      <w:pPr>
        <w:spacing w:line="360" w:lineRule="auto"/>
        <w:rPr>
          <w:rFonts w:hint="eastAsia" w:ascii="宋体" w:hAnsi="宋体" w:cs="宋体"/>
          <w:b/>
          <w:bCs/>
          <w:sz w:val="24"/>
        </w:rPr>
      </w:pPr>
      <w:bookmarkStart w:id="121" w:name="_Toc486277882"/>
      <w:bookmarkStart w:id="122" w:name="_Toc485889021"/>
      <w:bookmarkStart w:id="123" w:name="_Toc234382608"/>
      <w:bookmarkStart w:id="124" w:name="_Toc12156"/>
      <w:bookmarkStart w:id="125" w:name="_Toc144974516"/>
      <w:bookmarkStart w:id="126" w:name="_Toc179632566"/>
      <w:bookmarkStart w:id="127" w:name="_Toc311013701"/>
      <w:bookmarkStart w:id="128" w:name="_Toc152042324"/>
      <w:bookmarkStart w:id="129" w:name="_Toc152045548"/>
      <w:r>
        <w:rPr>
          <w:rFonts w:hint="eastAsia" w:ascii="宋体" w:hAnsi="宋体" w:cs="宋体"/>
          <w:b/>
          <w:bCs/>
          <w:sz w:val="24"/>
        </w:rPr>
        <w:t>3.1 投标文件的组成</w:t>
      </w:r>
      <w:bookmarkEnd w:id="121"/>
      <w:bookmarkEnd w:id="122"/>
      <w:bookmarkEnd w:id="123"/>
      <w:bookmarkEnd w:id="124"/>
    </w:p>
    <w:p>
      <w:pPr>
        <w:spacing w:line="360" w:lineRule="auto"/>
        <w:rPr>
          <w:rFonts w:hint="eastAsia" w:ascii="宋体" w:hAnsi="宋体" w:cs="宋体"/>
          <w:sz w:val="24"/>
        </w:rPr>
      </w:pPr>
      <w:r>
        <w:rPr>
          <w:rFonts w:hint="eastAsia" w:ascii="宋体" w:hAnsi="宋体" w:cs="宋体"/>
          <w:sz w:val="24"/>
        </w:rPr>
        <w:t>3.1.1 投标文件应包括下列内容：</w:t>
      </w:r>
    </w:p>
    <w:p>
      <w:pPr>
        <w:spacing w:line="360" w:lineRule="auto"/>
        <w:rPr>
          <w:rFonts w:hint="eastAsia" w:ascii="宋体" w:hAnsi="宋体" w:cs="宋体"/>
          <w:sz w:val="24"/>
        </w:rPr>
      </w:pPr>
      <w:r>
        <w:rPr>
          <w:rFonts w:hint="eastAsia" w:ascii="宋体" w:hAnsi="宋体" w:cs="宋体"/>
          <w:sz w:val="24"/>
        </w:rPr>
        <w:t>第一个信封（商务及技术文件）：</w:t>
      </w:r>
    </w:p>
    <w:p>
      <w:pPr>
        <w:spacing w:line="360" w:lineRule="auto"/>
        <w:rPr>
          <w:rFonts w:hint="eastAsia" w:ascii="宋体" w:hAnsi="宋体" w:cs="宋体"/>
          <w:sz w:val="24"/>
        </w:rPr>
      </w:pPr>
      <w:r>
        <w:rPr>
          <w:rFonts w:hint="eastAsia" w:ascii="宋体" w:hAnsi="宋体" w:cs="宋体"/>
          <w:sz w:val="24"/>
        </w:rPr>
        <w:t>（1）投标函及投标函附录；</w:t>
      </w:r>
    </w:p>
    <w:p>
      <w:pPr>
        <w:spacing w:line="360" w:lineRule="auto"/>
        <w:rPr>
          <w:rFonts w:hint="eastAsia" w:ascii="宋体" w:hAnsi="宋体" w:cs="宋体"/>
          <w:sz w:val="24"/>
        </w:rPr>
      </w:pPr>
      <w:r>
        <w:rPr>
          <w:rFonts w:hint="eastAsia" w:ascii="宋体" w:hAnsi="宋体" w:cs="宋体"/>
          <w:sz w:val="24"/>
        </w:rPr>
        <w:t>（2）法定代表人身份证明及授权委托书；</w:t>
      </w:r>
    </w:p>
    <w:p>
      <w:pPr>
        <w:spacing w:line="360" w:lineRule="auto"/>
        <w:rPr>
          <w:rFonts w:hint="eastAsia" w:ascii="宋体" w:hAnsi="宋体" w:cs="宋体"/>
          <w:sz w:val="24"/>
        </w:rPr>
      </w:pPr>
      <w:r>
        <w:rPr>
          <w:rFonts w:hint="eastAsia" w:ascii="宋体" w:hAnsi="宋体" w:cs="宋体"/>
          <w:sz w:val="24"/>
        </w:rPr>
        <w:t>（3）投标保证金；</w:t>
      </w:r>
    </w:p>
    <w:p>
      <w:pPr>
        <w:spacing w:line="360" w:lineRule="auto"/>
        <w:rPr>
          <w:rFonts w:hint="eastAsia" w:ascii="宋体" w:hAnsi="宋体" w:cs="宋体"/>
          <w:sz w:val="24"/>
        </w:rPr>
      </w:pPr>
      <w:r>
        <w:rPr>
          <w:rFonts w:hint="eastAsia" w:ascii="宋体" w:hAnsi="宋体" w:cs="宋体"/>
          <w:sz w:val="24"/>
        </w:rPr>
        <w:t>（4）施工组织设计；</w:t>
      </w:r>
    </w:p>
    <w:p>
      <w:pPr>
        <w:spacing w:line="360" w:lineRule="auto"/>
        <w:rPr>
          <w:rFonts w:hint="eastAsia" w:ascii="宋体" w:hAnsi="宋体" w:cs="宋体"/>
          <w:sz w:val="24"/>
        </w:rPr>
      </w:pPr>
      <w:r>
        <w:rPr>
          <w:rFonts w:hint="eastAsia" w:ascii="宋体" w:hAnsi="宋体" w:cs="宋体"/>
          <w:sz w:val="24"/>
        </w:rPr>
        <w:t>（5）项目管理机构；</w:t>
      </w:r>
    </w:p>
    <w:p>
      <w:pPr>
        <w:spacing w:line="360" w:lineRule="auto"/>
        <w:rPr>
          <w:rFonts w:hint="eastAsia" w:ascii="宋体" w:hAnsi="宋体" w:cs="宋体"/>
          <w:sz w:val="24"/>
        </w:rPr>
      </w:pPr>
      <w:r>
        <w:rPr>
          <w:rFonts w:hint="eastAsia" w:ascii="宋体" w:hAnsi="宋体" w:cs="宋体"/>
          <w:sz w:val="24"/>
        </w:rPr>
        <w:t>（6）资格审查资料；</w:t>
      </w:r>
    </w:p>
    <w:p>
      <w:pPr>
        <w:spacing w:line="360" w:lineRule="auto"/>
        <w:rPr>
          <w:rFonts w:hint="eastAsia" w:ascii="宋体" w:hAnsi="宋体" w:cs="宋体"/>
          <w:sz w:val="24"/>
        </w:rPr>
      </w:pPr>
      <w:r>
        <w:rPr>
          <w:rFonts w:hint="eastAsia" w:ascii="宋体" w:hAnsi="宋体" w:cs="宋体"/>
          <w:sz w:val="24"/>
        </w:rPr>
        <w:t>（7）主要进场管理人员和技术人员最低要求；</w:t>
      </w:r>
    </w:p>
    <w:p>
      <w:pPr>
        <w:spacing w:line="360" w:lineRule="auto"/>
        <w:rPr>
          <w:rFonts w:hint="eastAsia" w:ascii="宋体" w:hAnsi="宋体" w:cs="宋体"/>
          <w:sz w:val="24"/>
        </w:rPr>
      </w:pPr>
      <w:r>
        <w:rPr>
          <w:rFonts w:hint="eastAsia" w:ascii="宋体" w:hAnsi="宋体" w:cs="宋体"/>
          <w:sz w:val="24"/>
        </w:rPr>
        <w:t>（8）承诺书；</w:t>
      </w:r>
    </w:p>
    <w:p>
      <w:pPr>
        <w:spacing w:line="360" w:lineRule="auto"/>
        <w:rPr>
          <w:rFonts w:hint="eastAsia" w:ascii="宋体" w:hAnsi="宋体" w:cs="宋体"/>
          <w:sz w:val="24"/>
        </w:rPr>
      </w:pPr>
      <w:r>
        <w:rPr>
          <w:rFonts w:hint="eastAsia" w:ascii="宋体" w:hAnsi="宋体" w:cs="宋体"/>
          <w:sz w:val="24"/>
        </w:rPr>
        <w:t>（9）其他材料。</w:t>
      </w:r>
    </w:p>
    <w:p>
      <w:pPr>
        <w:spacing w:line="360" w:lineRule="auto"/>
        <w:rPr>
          <w:rFonts w:hint="eastAsia" w:ascii="宋体" w:hAnsi="宋体" w:cs="宋体"/>
          <w:sz w:val="24"/>
        </w:rPr>
      </w:pPr>
      <w:r>
        <w:rPr>
          <w:rFonts w:hint="eastAsia" w:ascii="宋体" w:hAnsi="宋体" w:cs="宋体"/>
          <w:sz w:val="24"/>
        </w:rPr>
        <w:t>第二个信封（投标报价和工程量清单）</w:t>
      </w:r>
    </w:p>
    <w:p>
      <w:pPr>
        <w:spacing w:line="360" w:lineRule="auto"/>
        <w:rPr>
          <w:rFonts w:hint="eastAsia" w:ascii="宋体" w:hAnsi="宋体" w:cs="宋体"/>
          <w:sz w:val="24"/>
        </w:rPr>
      </w:pPr>
      <w:r>
        <w:rPr>
          <w:rFonts w:hint="eastAsia" w:ascii="宋体" w:hAnsi="宋体" w:cs="宋体"/>
          <w:sz w:val="24"/>
        </w:rPr>
        <w:t>（1）投标函；</w:t>
      </w:r>
    </w:p>
    <w:p>
      <w:pPr>
        <w:spacing w:line="360" w:lineRule="auto"/>
        <w:rPr>
          <w:rFonts w:hint="eastAsia" w:ascii="宋体" w:hAnsi="宋体" w:cs="宋体"/>
          <w:sz w:val="24"/>
        </w:rPr>
      </w:pPr>
      <w:r>
        <w:rPr>
          <w:rFonts w:hint="eastAsia" w:ascii="宋体" w:hAnsi="宋体" w:cs="宋体"/>
          <w:sz w:val="24"/>
        </w:rPr>
        <w:t>（2）已标价工程量清单；</w:t>
      </w:r>
    </w:p>
    <w:p>
      <w:pPr>
        <w:spacing w:line="360" w:lineRule="auto"/>
        <w:rPr>
          <w:rFonts w:hint="eastAsia" w:ascii="宋体" w:hAnsi="宋体" w:cs="宋体"/>
          <w:sz w:val="24"/>
        </w:rPr>
      </w:pPr>
      <w:r>
        <w:rPr>
          <w:rFonts w:hint="eastAsia" w:ascii="宋体" w:hAnsi="宋体" w:cs="宋体"/>
          <w:sz w:val="24"/>
        </w:rPr>
        <w:t>3.2 投标报价</w:t>
      </w:r>
      <w:bookmarkEnd w:id="125"/>
      <w:bookmarkEnd w:id="126"/>
      <w:bookmarkEnd w:id="127"/>
      <w:bookmarkEnd w:id="128"/>
      <w:bookmarkEnd w:id="129"/>
    </w:p>
    <w:p>
      <w:pPr>
        <w:spacing w:line="360" w:lineRule="auto"/>
        <w:ind w:firstLine="480" w:firstLineChars="200"/>
        <w:rPr>
          <w:rFonts w:hint="eastAsia" w:ascii="宋体" w:hAnsi="宋体" w:cs="宋体"/>
          <w:sz w:val="24"/>
        </w:rPr>
      </w:pPr>
      <w:bookmarkStart w:id="130" w:name="_Toc152042325"/>
      <w:bookmarkStart w:id="131" w:name="_Toc144974517"/>
      <w:bookmarkStart w:id="132" w:name="_Toc311013702"/>
      <w:bookmarkStart w:id="133" w:name="_Toc179632567"/>
      <w:bookmarkStart w:id="134" w:name="_Toc152045549"/>
      <w:r>
        <w:rPr>
          <w:rFonts w:hint="eastAsia" w:ascii="宋体" w:hAnsi="宋体" w:cs="宋体"/>
          <w:sz w:val="24"/>
        </w:rPr>
        <w:t xml:space="preserve"> 3.2.1 投标人应按第五章“工程量清单”的要求填写相应表格。</w:t>
      </w:r>
    </w:p>
    <w:p>
      <w:pPr>
        <w:spacing w:line="360" w:lineRule="auto"/>
        <w:ind w:firstLine="480" w:firstLineChars="200"/>
        <w:rPr>
          <w:rFonts w:hint="eastAsia" w:ascii="宋体" w:hAnsi="宋体" w:cs="宋体"/>
          <w:sz w:val="24"/>
        </w:rPr>
      </w:pPr>
      <w:r>
        <w:rPr>
          <w:rFonts w:hint="eastAsia" w:ascii="宋体" w:hAnsi="宋体" w:cs="宋体"/>
          <w:sz w:val="24"/>
        </w:rPr>
        <w:t>本项目招标由招标人提供工程量清单电子版，由投标人按照招标人提供的工程量清单填写本合同各工程子目的单价、合价和总额价。评标委员会将按照第三章“评标办法”第3.4.2项和第3.4.3项的规定对投标价进行算术性错误修正及其他错误修正。</w:t>
      </w:r>
    </w:p>
    <w:p>
      <w:pPr>
        <w:spacing w:line="360" w:lineRule="auto"/>
        <w:ind w:firstLine="480" w:firstLineChars="200"/>
        <w:rPr>
          <w:rFonts w:hint="eastAsia" w:ascii="宋体" w:hAnsi="宋体" w:cs="宋体"/>
          <w:sz w:val="24"/>
        </w:rPr>
      </w:pPr>
      <w:r>
        <w:rPr>
          <w:rFonts w:hint="eastAsia" w:ascii="宋体" w:hAnsi="宋体" w:cs="宋体"/>
          <w:sz w:val="24"/>
        </w:rPr>
        <w:t>3.2.2 投标人在投标截止时间前修改投标函中的投标总报价，应同时修改第五章“工程量清单”中的相应报价。此修改须符合本章第 4.3 款的有关要求。</w:t>
      </w:r>
    </w:p>
    <w:p>
      <w:pPr>
        <w:spacing w:line="360" w:lineRule="auto"/>
        <w:ind w:firstLine="480" w:firstLineChars="200"/>
        <w:rPr>
          <w:rFonts w:hint="eastAsia" w:ascii="宋体" w:hAnsi="宋体" w:cs="宋体"/>
          <w:sz w:val="24"/>
        </w:rPr>
      </w:pPr>
      <w:r>
        <w:rPr>
          <w:rFonts w:hint="eastAsia" w:ascii="宋体" w:hAnsi="宋体" w:cs="宋体"/>
          <w:sz w:val="24"/>
        </w:rPr>
        <w:t>3.2.3 投标人如果发现工程量清单中的数量与图纸中数量不一致时，应立即通知招标人核查，除非招标人以书面方式予以更正，否则，应以工程量清单中列出的数量为准。</w:t>
      </w:r>
    </w:p>
    <w:p>
      <w:pPr>
        <w:spacing w:line="360" w:lineRule="auto"/>
        <w:ind w:firstLine="480" w:firstLineChars="200"/>
        <w:rPr>
          <w:rFonts w:hint="eastAsia" w:ascii="宋体" w:hAnsi="宋体" w:cs="宋体"/>
          <w:sz w:val="24"/>
        </w:rPr>
      </w:pPr>
      <w:r>
        <w:rPr>
          <w:rFonts w:hint="eastAsia" w:ascii="宋体" w:hAnsi="宋体" w:cs="宋体"/>
          <w:sz w:val="24"/>
        </w:rPr>
        <w:t>3.2.4投标人应根据《公路水运工程安全生产监督管理办法》，在投标总价中计入安全生产费用，安全生产费用应符合合同条款第9.2项的规定。工程量清单内列有上述安全生产费的支付子目，由投标人按招标文件的规定填写总额价。</w:t>
      </w:r>
    </w:p>
    <w:p>
      <w:pPr>
        <w:spacing w:line="360" w:lineRule="auto"/>
        <w:ind w:firstLine="480" w:firstLineChars="200"/>
        <w:rPr>
          <w:rFonts w:hint="eastAsia" w:ascii="宋体" w:hAnsi="宋体" w:cs="宋体"/>
          <w:sz w:val="24"/>
        </w:rPr>
      </w:pPr>
      <w:r>
        <w:rPr>
          <w:rFonts w:hint="eastAsia" w:ascii="宋体" w:hAnsi="宋体" w:cs="宋体"/>
          <w:sz w:val="24"/>
        </w:rPr>
        <w:t>3.2.5 按投标人须知前附表规定，招标人不接受调价函。</w:t>
      </w:r>
    </w:p>
    <w:p>
      <w:pPr>
        <w:spacing w:line="360" w:lineRule="auto"/>
        <w:ind w:firstLine="480" w:firstLineChars="200"/>
        <w:rPr>
          <w:rFonts w:hint="eastAsia" w:ascii="宋体" w:hAnsi="宋体" w:cs="宋体"/>
          <w:sz w:val="24"/>
        </w:rPr>
      </w:pPr>
      <w:r>
        <w:rPr>
          <w:rFonts w:hint="eastAsia" w:ascii="宋体" w:hAnsi="宋体" w:cs="宋体"/>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spacing w:line="360" w:lineRule="auto"/>
        <w:rPr>
          <w:rFonts w:hint="eastAsia" w:ascii="宋体" w:hAnsi="宋体" w:cs="宋体"/>
          <w:sz w:val="24"/>
        </w:rPr>
      </w:pPr>
      <w:r>
        <w:rPr>
          <w:rFonts w:hint="eastAsia" w:ascii="宋体" w:hAnsi="宋体" w:cs="宋体"/>
          <w:sz w:val="24"/>
        </w:rPr>
        <w:t>3.3 投标有效期</w:t>
      </w:r>
      <w:bookmarkEnd w:id="130"/>
      <w:bookmarkEnd w:id="131"/>
      <w:bookmarkEnd w:id="132"/>
      <w:bookmarkEnd w:id="133"/>
      <w:bookmarkEnd w:id="134"/>
    </w:p>
    <w:p>
      <w:pPr>
        <w:spacing w:line="360" w:lineRule="auto"/>
        <w:ind w:firstLine="480" w:firstLineChars="200"/>
        <w:rPr>
          <w:rFonts w:hint="eastAsia" w:ascii="宋体" w:hAnsi="宋体" w:cs="宋体"/>
          <w:sz w:val="24"/>
        </w:rPr>
      </w:pPr>
      <w:r>
        <w:rPr>
          <w:rFonts w:hint="eastAsia" w:ascii="宋体" w:hAnsi="宋体" w:cs="宋体"/>
          <w:sz w:val="24"/>
        </w:rPr>
        <w:t>3.3.1 在投标人须知前附表规定的投标有效期内，投标人不得要求撤销或修改其投标文件。</w:t>
      </w:r>
    </w:p>
    <w:p>
      <w:pPr>
        <w:spacing w:line="360" w:lineRule="auto"/>
        <w:ind w:firstLine="480" w:firstLineChars="200"/>
        <w:rPr>
          <w:rFonts w:hint="eastAsia" w:ascii="宋体" w:hAnsi="宋体" w:cs="宋体"/>
          <w:sz w:val="24"/>
        </w:rPr>
      </w:pPr>
      <w:r>
        <w:rPr>
          <w:rFonts w:hint="eastAsia" w:ascii="宋体" w:hAnsi="宋体" w:cs="宋体"/>
          <w:sz w:val="24"/>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360" w:lineRule="auto"/>
        <w:rPr>
          <w:rFonts w:hint="eastAsia" w:ascii="宋体" w:hAnsi="宋体" w:cs="宋体"/>
          <w:sz w:val="24"/>
        </w:rPr>
      </w:pPr>
      <w:bookmarkStart w:id="135" w:name="_Toc179632570"/>
      <w:bookmarkStart w:id="136" w:name="_Toc311013704"/>
      <w:bookmarkStart w:id="137" w:name="_Toc152042328"/>
      <w:bookmarkStart w:id="138" w:name="_Toc144974520"/>
      <w:bookmarkStart w:id="139" w:name="_Toc152045552"/>
      <w:r>
        <w:rPr>
          <w:rFonts w:hint="eastAsia" w:ascii="宋体" w:hAnsi="宋体" w:cs="宋体"/>
          <w:sz w:val="24"/>
        </w:rPr>
        <w:t>3.4 投标保证金缴纳及退还</w:t>
      </w:r>
    </w:p>
    <w:p>
      <w:pPr>
        <w:spacing w:line="360" w:lineRule="auto"/>
        <w:ind w:firstLine="480" w:firstLineChars="200"/>
        <w:rPr>
          <w:rFonts w:hint="eastAsia" w:ascii="宋体" w:hAnsi="宋体" w:cs="宋体"/>
          <w:sz w:val="24"/>
        </w:rPr>
      </w:pPr>
      <w:r>
        <w:rPr>
          <w:rFonts w:hint="eastAsia" w:ascii="宋体" w:hAnsi="宋体" w:cs="宋体"/>
          <w:sz w:val="24"/>
        </w:rPr>
        <w:t>3.4.1、投标保证金递交截止时间及金额见投标人须知前附表。</w:t>
      </w:r>
    </w:p>
    <w:p>
      <w:pPr>
        <w:spacing w:line="360" w:lineRule="auto"/>
        <w:ind w:firstLine="480" w:firstLineChars="200"/>
        <w:rPr>
          <w:rFonts w:hint="eastAsia" w:ascii="宋体" w:hAnsi="宋体" w:cs="宋体"/>
          <w:sz w:val="24"/>
        </w:rPr>
      </w:pPr>
      <w:r>
        <w:rPr>
          <w:rFonts w:hint="eastAsia" w:ascii="宋体" w:hAnsi="宋体" w:cs="宋体"/>
          <w:sz w:val="24"/>
        </w:rPr>
        <w:t>3.4.2、投标保证金缴纳方式：银行转账、银行电汇（均需从投标人的基本账户汇出），不接受以现金方式缴纳的投标保证金。凡以现金方式缴纳投标保证金而影响其投标结果的，由投标人自行负责。</w:t>
      </w:r>
    </w:p>
    <w:p>
      <w:pPr>
        <w:spacing w:line="360" w:lineRule="auto"/>
        <w:ind w:firstLine="480" w:firstLineChars="200"/>
        <w:rPr>
          <w:rFonts w:hint="eastAsia" w:ascii="宋体" w:hAnsi="宋体" w:cs="宋体"/>
          <w:sz w:val="24"/>
        </w:rPr>
      </w:pPr>
      <w:r>
        <w:rPr>
          <w:rFonts w:hint="eastAsia" w:ascii="宋体" w:hAnsi="宋体" w:cs="宋体"/>
          <w:sz w:val="24"/>
        </w:rPr>
        <w:t xml:space="preserve">3.4.2.1 投标人网上报名后，登录http://221.14.6.70:8088/ggzy </w:t>
      </w:r>
    </w:p>
    <w:p>
      <w:pPr>
        <w:spacing w:line="360" w:lineRule="auto"/>
        <w:ind w:firstLine="480" w:firstLineChars="200"/>
        <w:rPr>
          <w:rFonts w:hint="eastAsia" w:ascii="宋体" w:hAnsi="宋体" w:cs="宋体"/>
          <w:sz w:val="24"/>
        </w:rPr>
      </w:pPr>
      <w:r>
        <w:rPr>
          <w:rFonts w:hint="eastAsia" w:ascii="宋体" w:hAnsi="宋体" w:cs="宋体"/>
          <w:sz w:val="24"/>
        </w:rPr>
        <w:t>系统，依次点击“会员向导”→“参与投标”→“费用缴纳说明”→“保证金缴纳说明单”，获取缴费说明单，根据每个标段的缴纳说明单在缴纳截止时间前缴纳；</w:t>
      </w:r>
    </w:p>
    <w:p>
      <w:pPr>
        <w:spacing w:line="360" w:lineRule="auto"/>
        <w:ind w:firstLine="480" w:firstLineChars="200"/>
        <w:rPr>
          <w:rFonts w:hint="eastAsia" w:ascii="宋体" w:hAnsi="宋体" w:cs="宋体"/>
          <w:sz w:val="24"/>
        </w:rPr>
      </w:pPr>
      <w:r>
        <w:rPr>
          <w:rFonts w:hint="eastAsia" w:ascii="宋体" w:hAnsi="宋体" w:cs="宋体"/>
          <w:sz w:val="24"/>
        </w:rPr>
        <w:t>3.4.2.2 成功缴纳后重新登录前述系统，依次点击“会员向导”→“参与投标”→“保证金绑定”→“绑定”进行投标保证金绑定。</w:t>
      </w:r>
    </w:p>
    <w:p>
      <w:pPr>
        <w:spacing w:line="360" w:lineRule="auto"/>
        <w:ind w:firstLine="480" w:firstLineChars="200"/>
        <w:rPr>
          <w:rFonts w:hint="eastAsia" w:ascii="宋体" w:hAnsi="宋体" w:cs="宋体"/>
          <w:sz w:val="24"/>
        </w:rPr>
      </w:pPr>
      <w:r>
        <w:rPr>
          <w:rFonts w:hint="eastAsia" w:ascii="宋体" w:hAnsi="宋体" w:cs="宋体"/>
          <w:sz w:val="24"/>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360" w:lineRule="auto"/>
        <w:ind w:firstLine="480" w:firstLineChars="200"/>
        <w:rPr>
          <w:rFonts w:hint="eastAsia" w:ascii="宋体" w:hAnsi="宋体" w:cs="宋体"/>
          <w:sz w:val="24"/>
        </w:rPr>
      </w:pPr>
      <w:r>
        <w:rPr>
          <w:rFonts w:hint="eastAsia" w:ascii="宋体" w:hAnsi="宋体" w:cs="宋体"/>
          <w:sz w:val="24"/>
        </w:rPr>
        <w:t>3.4.2.4 每个投标人每个项目每个标段只有唯一缴纳账号，切勿重复缴纳或错误缴纳。</w:t>
      </w:r>
    </w:p>
    <w:p>
      <w:pPr>
        <w:spacing w:line="360" w:lineRule="auto"/>
        <w:ind w:firstLine="480" w:firstLineChars="200"/>
        <w:rPr>
          <w:rFonts w:hint="eastAsia" w:ascii="宋体" w:hAnsi="宋体" w:cs="宋体"/>
          <w:sz w:val="24"/>
        </w:rPr>
      </w:pPr>
      <w:r>
        <w:rPr>
          <w:rFonts w:hint="eastAsia" w:ascii="宋体" w:hAnsi="宋体" w:cs="宋体"/>
          <w:sz w:val="24"/>
        </w:rPr>
        <w:t>3.4.3、未按上述规定操作引起的无效投标，由投标人自行负责。</w:t>
      </w:r>
    </w:p>
    <w:p>
      <w:pPr>
        <w:spacing w:line="360" w:lineRule="auto"/>
        <w:ind w:firstLine="480" w:firstLineChars="200"/>
        <w:rPr>
          <w:rFonts w:hint="eastAsia" w:ascii="宋体" w:hAnsi="宋体" w:cs="宋体"/>
          <w:sz w:val="24"/>
        </w:rPr>
      </w:pPr>
      <w:r>
        <w:rPr>
          <w:rFonts w:hint="eastAsia" w:ascii="宋体" w:hAnsi="宋体" w:cs="宋体"/>
          <w:sz w:val="24"/>
        </w:rPr>
        <w:t>3.4.4、汇款凭证无须备注项目编号和项目名称。</w:t>
      </w:r>
    </w:p>
    <w:p>
      <w:pPr>
        <w:spacing w:line="360" w:lineRule="auto"/>
        <w:ind w:firstLine="480" w:firstLineChars="200"/>
        <w:rPr>
          <w:rFonts w:hint="eastAsia" w:ascii="宋体" w:hAnsi="宋体" w:cs="宋体"/>
          <w:sz w:val="24"/>
        </w:rPr>
      </w:pPr>
      <w:r>
        <w:rPr>
          <w:rFonts w:hint="eastAsia" w:ascii="宋体" w:hAnsi="宋体" w:cs="宋体"/>
          <w:sz w:val="24"/>
        </w:rPr>
        <w:t>3.4.5、出现以下情形造成的投标保证金无效，由投标人自行负责。</w:t>
      </w:r>
    </w:p>
    <w:p>
      <w:pPr>
        <w:spacing w:line="360" w:lineRule="auto"/>
        <w:ind w:firstLine="480" w:firstLineChars="200"/>
        <w:rPr>
          <w:rFonts w:hint="eastAsia" w:ascii="宋体" w:hAnsi="宋体" w:cs="宋体"/>
          <w:sz w:val="24"/>
        </w:rPr>
      </w:pPr>
      <w:r>
        <w:rPr>
          <w:rFonts w:hint="eastAsia" w:ascii="宋体" w:hAnsi="宋体" w:cs="宋体"/>
          <w:sz w:val="24"/>
        </w:rPr>
        <w:t>(1)投标保证金未从投标人的基本账户转出；</w:t>
      </w:r>
    </w:p>
    <w:p>
      <w:pPr>
        <w:spacing w:line="360" w:lineRule="auto"/>
        <w:ind w:firstLine="480" w:firstLineChars="200"/>
        <w:rPr>
          <w:rFonts w:hint="eastAsia" w:ascii="宋体" w:hAnsi="宋体" w:cs="宋体"/>
          <w:sz w:val="24"/>
        </w:rPr>
      </w:pPr>
      <w:r>
        <w:rPr>
          <w:rFonts w:hint="eastAsia" w:ascii="宋体" w:hAnsi="宋体" w:cs="宋体"/>
          <w:sz w:val="24"/>
        </w:rPr>
        <w:t>(2)投标保证金未按照招标文件划分的标段转账。</w:t>
      </w:r>
    </w:p>
    <w:p>
      <w:pPr>
        <w:spacing w:line="360" w:lineRule="auto"/>
        <w:ind w:firstLine="480" w:firstLineChars="200"/>
        <w:rPr>
          <w:rFonts w:hint="eastAsia" w:ascii="宋体" w:hAnsi="宋体" w:cs="宋体"/>
          <w:sz w:val="24"/>
        </w:rPr>
      </w:pPr>
      <w:r>
        <w:rPr>
          <w:rFonts w:hint="eastAsia" w:ascii="宋体" w:hAnsi="宋体" w:cs="宋体"/>
          <w:sz w:val="24"/>
        </w:rPr>
        <w:t>3.4.6、《保证金缴纳绑定操作指南》获取方法：</w:t>
      </w:r>
    </w:p>
    <w:p>
      <w:pPr>
        <w:spacing w:line="360" w:lineRule="auto"/>
        <w:ind w:firstLine="480" w:firstLineChars="200"/>
        <w:rPr>
          <w:rFonts w:hint="eastAsia" w:ascii="宋体" w:hAnsi="宋体" w:cs="宋体"/>
          <w:sz w:val="24"/>
        </w:rPr>
      </w:pPr>
      <w:r>
        <w:rPr>
          <w:rFonts w:hint="eastAsia" w:ascii="宋体" w:hAnsi="宋体" w:cs="宋体"/>
          <w:sz w:val="24"/>
        </w:rPr>
        <w:t>登录《全国公共资源交易平台（河南省·许昌市）》系统-组件下载-《保证金缴纳绑定操作指南》。</w:t>
      </w:r>
    </w:p>
    <w:p>
      <w:pPr>
        <w:spacing w:line="360" w:lineRule="auto"/>
        <w:ind w:firstLine="480" w:firstLineChars="200"/>
        <w:rPr>
          <w:rFonts w:hint="eastAsia" w:ascii="宋体" w:hAnsi="宋体" w:cs="宋体"/>
          <w:sz w:val="24"/>
        </w:rPr>
      </w:pPr>
      <w:r>
        <w:rPr>
          <w:rFonts w:hint="eastAsia" w:ascii="宋体" w:hAnsi="宋体" w:cs="宋体"/>
          <w:sz w:val="24"/>
        </w:rPr>
        <w:t>保证金缴纳绑定问题咨询电话:0374-2961598</w:t>
      </w:r>
    </w:p>
    <w:p>
      <w:pPr>
        <w:spacing w:line="360" w:lineRule="auto"/>
        <w:ind w:firstLine="480" w:firstLineChars="200"/>
        <w:rPr>
          <w:rFonts w:hint="eastAsia" w:ascii="宋体" w:hAnsi="宋体" w:cs="宋体"/>
          <w:sz w:val="24"/>
        </w:rPr>
      </w:pPr>
      <w:r>
        <w:rPr>
          <w:rFonts w:hint="eastAsia" w:ascii="宋体" w:hAnsi="宋体" w:cs="宋体"/>
          <w:sz w:val="24"/>
        </w:rPr>
        <w:t>3.4.7、基本户备案</w:t>
      </w:r>
    </w:p>
    <w:p>
      <w:pPr>
        <w:spacing w:line="360" w:lineRule="auto"/>
        <w:ind w:firstLine="480" w:firstLineChars="200"/>
        <w:rPr>
          <w:rFonts w:hint="eastAsia" w:ascii="宋体" w:hAnsi="宋体" w:cs="宋体"/>
          <w:sz w:val="24"/>
        </w:rPr>
      </w:pPr>
      <w:r>
        <w:rPr>
          <w:rFonts w:hint="eastAsia" w:ascii="宋体" w:hAnsi="宋体" w:cs="宋体"/>
          <w:sz w:val="24"/>
        </w:rPr>
        <w:t>3.4.7.1 自文件发布之日起，投标人需进行基本户备案，已备案的基本户开户银行、账户发生变化的，须在投标保证金缴纳前办理变更手续。</w:t>
      </w:r>
    </w:p>
    <w:p>
      <w:pPr>
        <w:spacing w:line="360" w:lineRule="auto"/>
        <w:ind w:firstLine="480" w:firstLineChars="200"/>
        <w:rPr>
          <w:rFonts w:hint="eastAsia" w:ascii="宋体" w:hAnsi="宋体" w:cs="宋体"/>
          <w:sz w:val="24"/>
        </w:rPr>
      </w:pPr>
      <w:r>
        <w:rPr>
          <w:rFonts w:hint="eastAsia" w:ascii="宋体" w:hAnsi="宋体" w:cs="宋体"/>
          <w:sz w:val="24"/>
        </w:rPr>
        <w:t xml:space="preserve">3.4.7.2 基本户备案流程： </w:t>
      </w:r>
    </w:p>
    <w:p>
      <w:pPr>
        <w:spacing w:line="360" w:lineRule="auto"/>
        <w:ind w:firstLine="480" w:firstLineChars="200"/>
        <w:rPr>
          <w:rFonts w:hint="eastAsia" w:ascii="宋体" w:hAnsi="宋体" w:cs="宋体"/>
          <w:sz w:val="24"/>
        </w:rPr>
      </w:pPr>
      <w:r>
        <w:rPr>
          <w:rFonts w:hint="eastAsia" w:ascii="宋体" w:hAnsi="宋体" w:cs="宋体"/>
          <w:sz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360" w:lineRule="auto"/>
        <w:ind w:firstLine="480" w:firstLineChars="200"/>
        <w:rPr>
          <w:rFonts w:hint="eastAsia" w:ascii="宋体" w:hAnsi="宋体" w:cs="宋体"/>
          <w:sz w:val="24"/>
        </w:rPr>
      </w:pPr>
      <w:r>
        <w:rPr>
          <w:rFonts w:hint="eastAsia" w:ascii="宋体" w:hAnsi="宋体" w:cs="宋体"/>
          <w:sz w:val="24"/>
        </w:rPr>
        <w:t>3.4.7.3 因投标人的原因无法及时退还投标保证金、滞留三年以上的，投标保证金上缴同级国库。</w:t>
      </w:r>
    </w:p>
    <w:p>
      <w:pPr>
        <w:spacing w:line="360" w:lineRule="auto"/>
        <w:ind w:firstLine="480" w:firstLineChars="200"/>
        <w:rPr>
          <w:rFonts w:hint="eastAsia" w:ascii="宋体" w:hAnsi="宋体" w:cs="宋体"/>
          <w:sz w:val="24"/>
        </w:rPr>
      </w:pPr>
      <w:r>
        <w:rPr>
          <w:rFonts w:hint="eastAsia" w:ascii="宋体" w:hAnsi="宋体" w:cs="宋体"/>
          <w:sz w:val="24"/>
        </w:rPr>
        <w:t>3.4.8、投标保证金的退还：</w:t>
      </w:r>
    </w:p>
    <w:p>
      <w:pPr>
        <w:spacing w:line="360" w:lineRule="auto"/>
        <w:ind w:firstLine="480" w:firstLineChars="200"/>
        <w:rPr>
          <w:rFonts w:hint="eastAsia" w:ascii="宋体" w:hAnsi="宋体" w:cs="宋体"/>
          <w:sz w:val="24"/>
        </w:rPr>
      </w:pPr>
      <w:r>
        <w:rPr>
          <w:rFonts w:hint="eastAsia" w:ascii="宋体" w:hAnsi="宋体" w:cs="宋体"/>
          <w:sz w:val="24"/>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spacing w:line="360" w:lineRule="auto"/>
        <w:ind w:firstLine="480" w:firstLineChars="200"/>
        <w:rPr>
          <w:rFonts w:hint="eastAsia" w:ascii="宋体" w:hAnsi="宋体" w:cs="宋体"/>
          <w:b/>
          <w:color w:val="FF0000"/>
          <w:sz w:val="24"/>
        </w:rPr>
      </w:pPr>
      <w:r>
        <w:rPr>
          <w:rFonts w:hint="eastAsia" w:ascii="宋体" w:hAnsi="宋体" w:cs="宋体"/>
          <w:sz w:val="24"/>
        </w:rPr>
        <w:t>电话：0374-61</w:t>
      </w:r>
      <w:r>
        <w:rPr>
          <w:rFonts w:ascii="宋体" w:hAnsi="宋体" w:cs="宋体"/>
          <w:sz w:val="24"/>
        </w:rPr>
        <w:t>98229</w:t>
      </w:r>
    </w:p>
    <w:p>
      <w:pPr>
        <w:spacing w:line="360" w:lineRule="auto"/>
        <w:ind w:firstLine="480" w:firstLineChars="200"/>
        <w:rPr>
          <w:rFonts w:hint="eastAsia" w:ascii="宋体" w:hAnsi="宋体" w:cs="宋体"/>
          <w:sz w:val="24"/>
        </w:rPr>
      </w:pPr>
      <w:r>
        <w:rPr>
          <w:rFonts w:hint="eastAsia" w:ascii="宋体" w:hAnsi="宋体" w:cs="宋体"/>
          <w:sz w:val="24"/>
        </w:rPr>
        <w:t>3.4.8.2 法定期限内未签订书面合同的，按照有关规定向中标人和其他中标候选人退还投标保证金及银行同期活期存款利息。</w:t>
      </w:r>
    </w:p>
    <w:p>
      <w:pPr>
        <w:spacing w:line="360" w:lineRule="auto"/>
        <w:ind w:firstLine="480" w:firstLineChars="200"/>
        <w:rPr>
          <w:rFonts w:hint="eastAsia" w:ascii="宋体" w:hAnsi="宋体" w:cs="宋体"/>
          <w:sz w:val="24"/>
        </w:rPr>
      </w:pPr>
      <w:r>
        <w:rPr>
          <w:rFonts w:hint="eastAsia" w:ascii="宋体" w:hAnsi="宋体" w:cs="宋体"/>
          <w:sz w:val="24"/>
        </w:rPr>
        <w:t>3.4.8.3 项目废标或招标人终止招标的，在此后5个工作日内退还投标保证金及银行同期活期存利息。</w:t>
      </w:r>
    </w:p>
    <w:p>
      <w:pPr>
        <w:spacing w:line="360" w:lineRule="auto"/>
        <w:ind w:firstLine="480" w:firstLineChars="200"/>
        <w:rPr>
          <w:rFonts w:hint="eastAsia" w:ascii="宋体" w:hAnsi="宋体" w:cs="宋体"/>
          <w:sz w:val="24"/>
        </w:rPr>
      </w:pPr>
      <w:r>
        <w:rPr>
          <w:rFonts w:hint="eastAsia" w:ascii="宋体" w:hAnsi="宋体" w:cs="宋体"/>
          <w:sz w:val="24"/>
        </w:rPr>
        <w:t>3.4.8.4 投标活动中出现质疑、投诉的，中标候选人、质疑人和被质疑人、投诉人和被投诉人的投标保证金暂停退还。</w:t>
      </w:r>
    </w:p>
    <w:p>
      <w:pPr>
        <w:spacing w:line="360" w:lineRule="auto"/>
        <w:ind w:firstLine="480" w:firstLineChars="200"/>
        <w:rPr>
          <w:rFonts w:hint="eastAsia" w:ascii="宋体" w:hAnsi="宋体" w:cs="宋体"/>
          <w:sz w:val="24"/>
        </w:rPr>
      </w:pPr>
      <w:r>
        <w:rPr>
          <w:rFonts w:hint="eastAsia" w:ascii="宋体" w:hAnsi="宋体" w:cs="宋体"/>
          <w:sz w:val="24"/>
        </w:rPr>
        <w:t>3.4.8.5 相关投标人有违法违规行为的项目，其投标保证金暂不退还，待行政监督部门对相关情况处置后，按照有关规定办理。</w:t>
      </w:r>
    </w:p>
    <w:p>
      <w:pPr>
        <w:spacing w:line="360" w:lineRule="auto"/>
        <w:ind w:firstLine="480" w:firstLineChars="200"/>
        <w:rPr>
          <w:rFonts w:hint="eastAsia" w:ascii="宋体" w:hAnsi="宋体" w:cs="宋体"/>
          <w:sz w:val="24"/>
        </w:rPr>
      </w:pPr>
      <w:r>
        <w:rPr>
          <w:rFonts w:hint="eastAsia" w:ascii="宋体" w:hAnsi="宋体" w:cs="宋体"/>
          <w:sz w:val="24"/>
        </w:rPr>
        <w:t>3.4.8.6 因投标人的原因无法及时退还投标（竞买）保证金、滞留三年以上的，投标（竞买）保证金上缴同级国库。</w:t>
      </w:r>
    </w:p>
    <w:p>
      <w:pPr>
        <w:topLinePunct/>
        <w:spacing w:line="360" w:lineRule="auto"/>
        <w:ind w:left="420" w:leftChars="200"/>
        <w:rPr>
          <w:rFonts w:hint="eastAsia" w:ascii="宋体" w:hAnsi="宋体" w:cs="宋体"/>
          <w:sz w:val="24"/>
        </w:rPr>
      </w:pPr>
      <w:r>
        <w:rPr>
          <w:rFonts w:hint="eastAsia" w:ascii="宋体" w:hAnsi="宋体" w:cs="宋体"/>
          <w:sz w:val="24"/>
        </w:rPr>
        <w:t>3.4.8.7退还投标保证金，除另有规定外，一般以转账方式一次性退还至投标保证金的原提交账户。3.3.8.8投标人如需了解投标保证金退还情况，请持授权委托书及个人身份证件到中心业务受理部查询，不接受电话查询。</w:t>
      </w:r>
    </w:p>
    <w:p>
      <w:pPr>
        <w:spacing w:line="360" w:lineRule="auto"/>
        <w:ind w:firstLine="480" w:firstLineChars="200"/>
        <w:rPr>
          <w:rFonts w:hint="eastAsia" w:ascii="宋体" w:hAnsi="宋体" w:cs="宋体"/>
          <w:sz w:val="24"/>
        </w:rPr>
      </w:pPr>
      <w:r>
        <w:rPr>
          <w:rFonts w:hint="eastAsia" w:ascii="宋体" w:hAnsi="宋体" w:cs="宋体"/>
          <w:sz w:val="24"/>
        </w:rPr>
        <w:t>3.4.9、特殊情况处理</w:t>
      </w:r>
    </w:p>
    <w:p>
      <w:pPr>
        <w:spacing w:line="360" w:lineRule="auto"/>
        <w:ind w:firstLine="480" w:firstLineChars="200"/>
        <w:rPr>
          <w:rFonts w:hint="eastAsia" w:ascii="宋体" w:hAnsi="宋体" w:cs="宋体"/>
          <w:sz w:val="24"/>
        </w:rPr>
      </w:pPr>
      <w:r>
        <w:rPr>
          <w:rFonts w:hint="eastAsia" w:ascii="宋体" w:hAnsi="宋体" w:cs="宋体"/>
          <w:sz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pPr>
        <w:spacing w:line="360" w:lineRule="auto"/>
        <w:ind w:firstLine="480" w:firstLineChars="200"/>
        <w:rPr>
          <w:rFonts w:hint="eastAsia" w:ascii="宋体" w:hAnsi="宋体" w:cs="宋体"/>
          <w:sz w:val="24"/>
        </w:rPr>
      </w:pPr>
      <w:r>
        <w:rPr>
          <w:rFonts w:hint="eastAsia" w:ascii="宋体" w:hAnsi="宋体" w:cs="宋体"/>
          <w:sz w:val="24"/>
        </w:rPr>
        <w:t>电话：0374-6175225。</w:t>
      </w:r>
    </w:p>
    <w:p>
      <w:pPr>
        <w:spacing w:line="360" w:lineRule="auto"/>
        <w:ind w:firstLine="480" w:firstLineChars="200"/>
        <w:rPr>
          <w:rFonts w:hint="eastAsia" w:ascii="宋体" w:hAnsi="宋体" w:cs="宋体"/>
          <w:sz w:val="24"/>
        </w:rPr>
      </w:pPr>
      <w:r>
        <w:rPr>
          <w:rFonts w:hint="eastAsia" w:ascii="宋体" w:hAnsi="宋体" w:cs="宋体"/>
          <w:sz w:val="24"/>
        </w:rPr>
        <w:t>3.4.10、投标人有下列情形之一的，投标保证金不予退还：</w:t>
      </w:r>
    </w:p>
    <w:p>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3.4.10.1 中标人无正当理由不与招标人订立合同，在签订合同时向招标人提出附加条件，或者不按照招标文件要求提交履约担保的，取消其中标资格，投标保证金不予退还。 </w:t>
      </w:r>
    </w:p>
    <w:p>
      <w:pPr>
        <w:autoSpaceDE w:val="0"/>
        <w:autoSpaceDN w:val="0"/>
        <w:spacing w:line="360" w:lineRule="auto"/>
        <w:ind w:firstLine="480" w:firstLineChars="200"/>
        <w:jc w:val="left"/>
        <w:outlineLvl w:val="0"/>
        <w:rPr>
          <w:rFonts w:hint="eastAsia" w:ascii="宋体" w:hAnsi="宋体" w:cs="宋体"/>
          <w:kern w:val="0"/>
          <w:sz w:val="24"/>
        </w:rPr>
      </w:pPr>
      <w:r>
        <w:rPr>
          <w:rFonts w:hint="eastAsia" w:ascii="宋体" w:hAnsi="宋体" w:cs="宋体"/>
          <w:kern w:val="0"/>
          <w:sz w:val="24"/>
        </w:rPr>
        <w:t>3.4.10.2 投标人有违法违规行为，其投标保证金暂不退还，待行政监督部门对相关情况处置后，按照有关规定办理。</w:t>
      </w:r>
    </w:p>
    <w:p>
      <w:pPr>
        <w:autoSpaceDE w:val="0"/>
        <w:autoSpaceDN w:val="0"/>
        <w:spacing w:line="360" w:lineRule="auto"/>
        <w:ind w:firstLine="480" w:firstLineChars="200"/>
        <w:jc w:val="left"/>
        <w:outlineLvl w:val="0"/>
        <w:rPr>
          <w:rFonts w:hint="eastAsia" w:ascii="宋体" w:hAnsi="宋体" w:cs="宋体"/>
          <w:kern w:val="0"/>
          <w:sz w:val="24"/>
        </w:rPr>
      </w:pPr>
      <w:r>
        <w:rPr>
          <w:rFonts w:hint="eastAsia" w:ascii="宋体" w:hAnsi="宋体" w:cs="宋体"/>
          <w:kern w:val="0"/>
          <w:sz w:val="24"/>
        </w:rPr>
        <w:t>3.4.10.3 凡投标人投标保证金交纳至同一标段相同子账号的，保证金暂不予退还。对涉嫌串通投标等违规行为的，移交有关部门进行查处。经调查核实后，按有关规定处理。不予退还的保证金上缴国库。</w:t>
      </w:r>
    </w:p>
    <w:p>
      <w:pPr>
        <w:autoSpaceDE w:val="0"/>
        <w:autoSpaceDN w:val="0"/>
        <w:spacing w:line="360" w:lineRule="auto"/>
        <w:ind w:firstLine="480" w:firstLineChars="200"/>
        <w:jc w:val="left"/>
        <w:outlineLvl w:val="0"/>
        <w:rPr>
          <w:rFonts w:hint="eastAsia" w:ascii="宋体" w:hAnsi="宋体" w:cs="宋体"/>
          <w:kern w:val="0"/>
          <w:sz w:val="24"/>
        </w:rPr>
      </w:pPr>
      <w:r>
        <w:rPr>
          <w:rFonts w:hint="eastAsia" w:ascii="宋体" w:hAnsi="宋体" w:cs="宋体"/>
          <w:kern w:val="0"/>
          <w:sz w:val="24"/>
        </w:rPr>
        <w:t>3.4.10.4 相关法律、法规规定不予退还的其它情形。</w:t>
      </w:r>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3.5 资格审查资料</w:t>
      </w:r>
      <w:bookmarkEnd w:id="135"/>
      <w:bookmarkEnd w:id="136"/>
      <w:bookmarkEnd w:id="137"/>
      <w:bookmarkEnd w:id="138"/>
      <w:bookmarkEnd w:id="139"/>
      <w:bookmarkStart w:id="140" w:name="_Toc179632571"/>
      <w:bookmarkStart w:id="141" w:name="_Toc152042329"/>
      <w:bookmarkStart w:id="142" w:name="_Toc144974521"/>
      <w:bookmarkStart w:id="143" w:name="_Toc152045553"/>
      <w:bookmarkStart w:id="144" w:name="_Toc311013705"/>
    </w:p>
    <w:p>
      <w:pPr>
        <w:autoSpaceDE w:val="0"/>
        <w:autoSpaceDN w:val="0"/>
        <w:spacing w:line="360" w:lineRule="auto"/>
        <w:ind w:firstLine="360" w:firstLineChars="150"/>
        <w:jc w:val="left"/>
        <w:outlineLvl w:val="0"/>
        <w:rPr>
          <w:rFonts w:hint="eastAsia" w:ascii="宋体" w:hAnsi="宋体" w:cs="宋体"/>
          <w:sz w:val="24"/>
        </w:rPr>
      </w:pPr>
      <w:r>
        <w:rPr>
          <w:rFonts w:hint="eastAsia" w:ascii="宋体" w:hAnsi="宋体" w:cs="宋体"/>
          <w:sz w:val="24"/>
        </w:rPr>
        <w:t>3.5.1 “投标人的基本情况表”后应附投标人的法人营业执照等材料的原件扫描件（或图片）。</w:t>
      </w:r>
    </w:p>
    <w:p>
      <w:pPr>
        <w:autoSpaceDE w:val="0"/>
        <w:autoSpaceDN w:val="0"/>
        <w:spacing w:line="360" w:lineRule="auto"/>
        <w:ind w:firstLine="360" w:firstLineChars="150"/>
        <w:jc w:val="left"/>
        <w:outlineLvl w:val="0"/>
        <w:rPr>
          <w:rFonts w:hint="eastAsia" w:ascii="宋体" w:hAnsi="宋体" w:cs="宋体"/>
          <w:sz w:val="24"/>
        </w:rPr>
      </w:pPr>
      <w:r>
        <w:rPr>
          <w:rFonts w:hint="eastAsia" w:ascii="宋体" w:hAnsi="宋体" w:cs="宋体"/>
          <w:sz w:val="24"/>
        </w:rPr>
        <w:t>“拟委任的项目经理和项目总工资历表”应附项目经理的身份证、职称资格证书以及资格审查条件所要求的其他相关证书的原件扫描件（或图片），并应提供其担任类似项目的项目经理的相关业绩证明材料原件扫描件（或图片），并应附投标人拟委任的项目经理201</w:t>
      </w:r>
      <w:r>
        <w:rPr>
          <w:rFonts w:ascii="宋体" w:hAnsi="宋体" w:cs="宋体"/>
          <w:sz w:val="24"/>
        </w:rPr>
        <w:t>9</w:t>
      </w:r>
      <w:r>
        <w:rPr>
          <w:rFonts w:hint="eastAsia" w:ascii="宋体" w:hAnsi="宋体" w:cs="宋体"/>
          <w:sz w:val="24"/>
        </w:rPr>
        <w:t>年1月1日以来连续三个月的社会保险证明（或相关缴纳凭证）社保的有效证明材料原件扫描件（或图片）（并加盖社保机构单位章）。</w:t>
      </w:r>
    </w:p>
    <w:p>
      <w:pPr>
        <w:autoSpaceDE w:val="0"/>
        <w:autoSpaceDN w:val="0"/>
        <w:spacing w:line="360" w:lineRule="auto"/>
        <w:ind w:firstLine="360" w:firstLineChars="150"/>
        <w:jc w:val="left"/>
        <w:outlineLvl w:val="0"/>
        <w:rPr>
          <w:rFonts w:hint="eastAsia" w:ascii="宋体" w:hAnsi="宋体" w:cs="宋体"/>
          <w:sz w:val="24"/>
        </w:rPr>
      </w:pPr>
      <w:r>
        <w:rPr>
          <w:rFonts w:hint="eastAsia" w:ascii="宋体" w:hAnsi="宋体" w:cs="宋体"/>
          <w:sz w:val="24"/>
        </w:rPr>
        <w:t>3.5.2投标人在投标文件中填报的项目经理和项目总工不允许更换。</w:t>
      </w:r>
    </w:p>
    <w:p>
      <w:pPr>
        <w:autoSpaceDE w:val="0"/>
        <w:autoSpaceDN w:val="0"/>
        <w:spacing w:line="360" w:lineRule="auto"/>
        <w:ind w:firstLine="360" w:firstLineChars="150"/>
        <w:jc w:val="left"/>
        <w:outlineLvl w:val="0"/>
        <w:rPr>
          <w:rFonts w:hint="eastAsia" w:ascii="宋体" w:hAnsi="宋体" w:cs="宋体"/>
          <w:sz w:val="24"/>
        </w:rPr>
      </w:pPr>
      <w:r>
        <w:rPr>
          <w:rFonts w:hint="eastAsia" w:ascii="宋体" w:hAnsi="宋体" w:cs="宋体"/>
          <w:sz w:val="24"/>
        </w:rPr>
        <w:t>3.5.3“财务状况表”应附经会计师事务所或审计机构审计的财务会计报表，包括资产负债表、现金流量表、利润表等原件扫描件（或图片），具体年份要求见投标人须知前附表。投标人的成立时间少于投标人须知前附表规定年份的，应提供成立以来的财务状况表。</w:t>
      </w:r>
    </w:p>
    <w:p>
      <w:pPr>
        <w:autoSpaceDE w:val="0"/>
        <w:autoSpaceDN w:val="0"/>
        <w:spacing w:line="360" w:lineRule="auto"/>
        <w:ind w:firstLine="360" w:firstLineChars="150"/>
        <w:jc w:val="left"/>
        <w:outlineLvl w:val="0"/>
        <w:rPr>
          <w:rFonts w:hint="eastAsia" w:ascii="宋体" w:hAnsi="宋体" w:cs="宋体"/>
          <w:sz w:val="24"/>
        </w:rPr>
      </w:pPr>
      <w:r>
        <w:rPr>
          <w:rFonts w:hint="eastAsia" w:ascii="宋体" w:hAnsi="宋体" w:cs="宋体"/>
          <w:sz w:val="24"/>
        </w:rPr>
        <w:t>3.5.4 “近年完成的类似项目情况表”应附法定媒介中标公示网页截图、合同协议书、中标通知书【或法定媒介中标公示网页截图、合同协议书、工程竣工验收备案表（或工程竣工验收证书）】的原件扫描件（或图片），具体年份要求见投标人须知前附表。每张表格只填写一个项目，并标明序号。</w:t>
      </w:r>
    </w:p>
    <w:p>
      <w:pPr>
        <w:autoSpaceDE w:val="0"/>
        <w:autoSpaceDN w:val="0"/>
        <w:spacing w:line="360" w:lineRule="auto"/>
        <w:ind w:firstLine="360" w:firstLineChars="150"/>
        <w:jc w:val="left"/>
        <w:outlineLvl w:val="0"/>
        <w:rPr>
          <w:rFonts w:hint="eastAsia" w:ascii="宋体" w:hAnsi="宋体" w:cs="宋体"/>
          <w:sz w:val="24"/>
        </w:rPr>
      </w:pPr>
      <w:r>
        <w:rPr>
          <w:rFonts w:hint="eastAsia" w:ascii="宋体" w:hAnsi="宋体" w:cs="宋体"/>
          <w:sz w:val="24"/>
        </w:rPr>
        <w:t>3.5.5 “正在施工和新承接的项目情况表”应附法定媒介中标公示网页截图、合同协议书和中标通知书的原件扫描件（或图片）。每张表格只填写一个项目，并标明序号。</w:t>
      </w:r>
    </w:p>
    <w:p>
      <w:pPr>
        <w:autoSpaceDE w:val="0"/>
        <w:autoSpaceDN w:val="0"/>
        <w:spacing w:line="360" w:lineRule="auto"/>
        <w:ind w:firstLine="360" w:firstLineChars="150"/>
        <w:jc w:val="left"/>
        <w:outlineLvl w:val="0"/>
        <w:rPr>
          <w:rFonts w:hint="eastAsia" w:ascii="宋体" w:hAnsi="宋体" w:cs="宋体"/>
          <w:sz w:val="24"/>
        </w:rPr>
      </w:pPr>
      <w:r>
        <w:rPr>
          <w:rFonts w:hint="eastAsia" w:ascii="宋体" w:hAnsi="宋体" w:cs="宋体"/>
          <w:sz w:val="24"/>
        </w:rPr>
        <w:t>3.5.6“近年发生的诉讼及仲裁情况”应说明相关情况，并附法院或仲裁机构作出的判决、裁决等有关法律文件原件扫描件（或图片），具体年份要求见投标人须知前附表。</w:t>
      </w:r>
    </w:p>
    <w:p>
      <w:pPr>
        <w:autoSpaceDE w:val="0"/>
        <w:autoSpaceDN w:val="0"/>
        <w:spacing w:line="360" w:lineRule="auto"/>
        <w:ind w:firstLine="360" w:firstLineChars="150"/>
        <w:jc w:val="left"/>
        <w:outlineLvl w:val="0"/>
        <w:rPr>
          <w:rFonts w:hint="eastAsia" w:ascii="宋体" w:hAnsi="宋体" w:cs="宋体"/>
          <w:sz w:val="24"/>
        </w:rPr>
      </w:pPr>
      <w:r>
        <w:rPr>
          <w:rFonts w:hint="eastAsia" w:ascii="宋体" w:hAnsi="宋体" w:cs="宋体"/>
          <w:sz w:val="24"/>
        </w:rPr>
        <w:t>3.5.7被列入失信被执行人名单的投标人，其投标将被拒绝。</w:t>
      </w:r>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3.6 备选投标方案</w:t>
      </w:r>
      <w:bookmarkEnd w:id="140"/>
      <w:bookmarkEnd w:id="141"/>
      <w:bookmarkEnd w:id="142"/>
      <w:bookmarkEnd w:id="143"/>
      <w:r>
        <w:rPr>
          <w:rFonts w:hint="eastAsia" w:ascii="宋体" w:hAnsi="宋体" w:cs="宋体"/>
          <w:sz w:val="24"/>
        </w:rPr>
        <w:t>（不接受）</w:t>
      </w:r>
      <w:bookmarkEnd w:id="144"/>
      <w:bookmarkStart w:id="145" w:name="_Toc144974522"/>
      <w:bookmarkStart w:id="146" w:name="_Toc152045554"/>
      <w:bookmarkStart w:id="147" w:name="_Toc311013706"/>
      <w:bookmarkStart w:id="148" w:name="_Toc179632572"/>
      <w:bookmarkStart w:id="149" w:name="_Toc152042330"/>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3.7 投标文件的编制</w:t>
      </w:r>
      <w:bookmarkEnd w:id="145"/>
      <w:bookmarkEnd w:id="146"/>
      <w:bookmarkEnd w:id="147"/>
      <w:bookmarkEnd w:id="148"/>
      <w:bookmarkEnd w:id="149"/>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3.7.2 投标文件应当对招标文件有关工期、投标有效期、质量要求、技术标准和要求、招标范围等实质性内容作出响应。</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3.7.3</w:t>
      </w:r>
      <w:bookmarkStart w:id="150" w:name="_Toc311013707"/>
      <w:bookmarkStart w:id="151" w:name="_Toc144974523"/>
      <w:bookmarkStart w:id="152" w:name="_Toc152042331"/>
      <w:bookmarkStart w:id="153" w:name="_Toc179632573"/>
      <w:bookmarkStart w:id="154" w:name="_Toc152045555"/>
      <w:r>
        <w:rPr>
          <w:rFonts w:hint="eastAsia" w:ascii="宋体" w:hAnsi="宋体" w:cs="宋体"/>
          <w:sz w:val="24"/>
        </w:rPr>
        <w:t xml:space="preserve"> 投标人登录许昌公共资源交易系统下载“许昌投标文件制作系统SEARUN V1.1”，按招标文件要求制作电子投标文件。</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3.7.4 使用电子介质存储的备份文件1份。</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3.7.5 同时生成与电子投标文件内容、水印码、电子签章一致的PDF文件,用于打印纸质文件。</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3.7.8 纸质投标文件的正本与副本应分别装订成册，并编制目录，具体装订要求见投标人须知前附表规定。</w:t>
      </w:r>
    </w:p>
    <w:p>
      <w:pPr>
        <w:autoSpaceDE w:val="0"/>
        <w:autoSpaceDN w:val="0"/>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rPr>
        <w:t>3.7.9 电子投标文件制作注意事项：</w:t>
      </w:r>
    </w:p>
    <w:p>
      <w:pPr>
        <w:autoSpaceDE w:val="0"/>
        <w:autoSpaceDN w:val="0"/>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rPr>
        <w:t>3.7.9.1投标人登录《全国公共资源交易平台（河南省•许昌市）》公共资源交易系统下载“许昌投标文件制作系统SEARUN V1.1” 和操作手册（工程项目），按招标文件要求制作电子投标文件。</w:t>
      </w:r>
    </w:p>
    <w:p>
      <w:pPr>
        <w:autoSpaceDE w:val="0"/>
        <w:autoSpaceDN w:val="0"/>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rPr>
        <w:t>3.7.9.2 电子投标文件制作技术咨询：0374-2961598。</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4. 投标</w:t>
      </w:r>
      <w:bookmarkEnd w:id="150"/>
      <w:bookmarkEnd w:id="151"/>
      <w:bookmarkEnd w:id="152"/>
      <w:bookmarkEnd w:id="153"/>
      <w:bookmarkEnd w:id="154"/>
      <w:bookmarkStart w:id="155" w:name="_Toc311013708"/>
      <w:bookmarkStart w:id="156" w:name="_Toc144974524"/>
      <w:bookmarkStart w:id="157" w:name="_Toc152045556"/>
      <w:bookmarkStart w:id="158" w:name="_Toc152042332"/>
      <w:bookmarkStart w:id="159" w:name="_Toc179632574"/>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4.1 投标文件的密封和标记</w:t>
      </w:r>
      <w:bookmarkEnd w:id="155"/>
      <w:bookmarkEnd w:id="156"/>
      <w:bookmarkEnd w:id="157"/>
      <w:bookmarkEnd w:id="158"/>
      <w:bookmarkEnd w:id="159"/>
      <w:r>
        <w:rPr>
          <w:rFonts w:hint="eastAsia" w:ascii="宋体" w:hAnsi="宋体" w:cs="宋体"/>
          <w:sz w:val="24"/>
        </w:rPr>
        <w:t>（具体要求详见投标人须知前附表）</w:t>
      </w:r>
      <w:bookmarkStart w:id="160" w:name="_Toc311013709"/>
      <w:bookmarkStart w:id="161" w:name="_Toc144974525"/>
      <w:bookmarkStart w:id="162" w:name="_Toc152042333"/>
      <w:bookmarkStart w:id="163" w:name="_Toc179632575"/>
      <w:bookmarkStart w:id="164" w:name="_Toc152045557"/>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4.2 投标文件的递交</w:t>
      </w:r>
      <w:bookmarkEnd w:id="160"/>
      <w:bookmarkEnd w:id="161"/>
      <w:bookmarkEnd w:id="162"/>
      <w:bookmarkEnd w:id="163"/>
      <w:bookmarkEnd w:id="164"/>
    </w:p>
    <w:p>
      <w:pPr>
        <w:autoSpaceDE w:val="0"/>
        <w:autoSpaceDN w:val="0"/>
        <w:spacing w:line="360" w:lineRule="auto"/>
        <w:ind w:firstLine="480" w:firstLineChars="200"/>
        <w:jc w:val="left"/>
        <w:outlineLvl w:val="0"/>
        <w:rPr>
          <w:rFonts w:hint="eastAsia" w:ascii="宋体" w:hAnsi="宋体" w:cs="宋体"/>
          <w:sz w:val="24"/>
        </w:rPr>
      </w:pPr>
      <w:bookmarkStart w:id="165" w:name="_Toc311013710"/>
      <w:bookmarkStart w:id="166" w:name="_Toc144974526"/>
      <w:bookmarkStart w:id="167" w:name="_Toc152042334"/>
      <w:bookmarkStart w:id="168" w:name="_Toc179632576"/>
      <w:bookmarkStart w:id="169" w:name="_Toc152045558"/>
      <w:r>
        <w:rPr>
          <w:rFonts w:hint="eastAsia" w:ascii="宋体" w:hAnsi="宋体" w:cs="宋体"/>
          <w:sz w:val="24"/>
        </w:rPr>
        <w:t>4.2.1投标人应在投标人须知前附表中规定的投标截止时间前成功上传电子投标文件和现场提交纸质投标文件、电子介质存储的投标文件。</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4.2.2 投标人提交纸质投标文件及电子介质存储的投标文件地点：见投标人须知前附表。</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4.2.3 除投标人须知前附表另有规定外，投标人所递交的电子投标文件、纸质投标文件及电子介质存储的投标文件不予退还。</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4.2.4 逾期送达的或者未送达指定地点的纸质投标文件及仅提供纸质投标文件的，招标人不予受理。</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4.3 投标文件的修改与撤回</w:t>
      </w:r>
      <w:bookmarkEnd w:id="165"/>
      <w:bookmarkEnd w:id="166"/>
      <w:bookmarkEnd w:id="167"/>
      <w:bookmarkEnd w:id="168"/>
      <w:bookmarkEnd w:id="169"/>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4.3.1 在本章第4.2.2项规定的投标截止时间前，投标人可以修改或撤回已递交的投标文件，但应以书面形式通知招标人。</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4.3.2 投标人修改或撤回已递交投标文件的书面通知应按照本章投标人须知前附表第3.7.3项的要求签字或盖章。招标人收到书面通知后，向投标人出具签收凭证。</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4.3.3 修改的内容为投标文件的组成部分。修改的投标文件应按照本章第3条、第4条规定进行编制、密封、标记和递交，并标明“修改”字样。</w:t>
      </w:r>
      <w:bookmarkStart w:id="170" w:name="_Toc179632577"/>
      <w:bookmarkStart w:id="171" w:name="_Toc152042335"/>
      <w:bookmarkStart w:id="172" w:name="_Toc144974527"/>
      <w:bookmarkStart w:id="173" w:name="_Toc152045559"/>
      <w:bookmarkStart w:id="174" w:name="_Toc311013711"/>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5. 开标</w:t>
      </w:r>
      <w:bookmarkEnd w:id="170"/>
      <w:bookmarkEnd w:id="171"/>
      <w:bookmarkEnd w:id="172"/>
      <w:bookmarkEnd w:id="173"/>
      <w:bookmarkEnd w:id="174"/>
      <w:bookmarkStart w:id="175" w:name="_Toc311013712"/>
      <w:bookmarkStart w:id="176" w:name="_Toc152042336"/>
      <w:bookmarkStart w:id="177" w:name="_Toc179632578"/>
      <w:bookmarkStart w:id="178" w:name="_Toc144974528"/>
      <w:bookmarkStart w:id="179" w:name="_Toc152045560"/>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5.1 开标时间和地点</w:t>
      </w:r>
      <w:bookmarkEnd w:id="175"/>
      <w:bookmarkEnd w:id="176"/>
      <w:bookmarkEnd w:id="177"/>
      <w:bookmarkEnd w:id="178"/>
      <w:bookmarkEnd w:id="179"/>
      <w:bookmarkStart w:id="180" w:name="_Toc152042337"/>
      <w:bookmarkStart w:id="181" w:name="_Toc311013713"/>
      <w:bookmarkStart w:id="182" w:name="_Toc152045561"/>
      <w:bookmarkStart w:id="183" w:name="_Toc179632579"/>
      <w:bookmarkStart w:id="184" w:name="_Toc144974529"/>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招标人在前附表相应位置规定的投标截止时间（开标时间）和投标人须知前附表规定的地点对收到的投标文件第一个信封（商务及技术文件）公开开标，并邀请所有投标人的法定代表人或其委托代理人准时参加。</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招标人在投标人须知前附表规定的时间和地点对投标文件第二个信封（投标报价和工程量清单）进行开标，并邀请所有投标人的法定代表人或其委托代理人准时参加。</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投标人若未派法定代表人或委托代理人出席开标活动，视为该投标人默认开标结果。</w:t>
      </w:r>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5.2 开标程序</w:t>
      </w:r>
      <w:bookmarkEnd w:id="180"/>
      <w:bookmarkEnd w:id="181"/>
      <w:bookmarkEnd w:id="182"/>
      <w:bookmarkEnd w:id="183"/>
      <w:bookmarkEnd w:id="184"/>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主持人按下列程序进行开标：</w:t>
      </w:r>
      <w:bookmarkStart w:id="185" w:name="_Toc152042338"/>
      <w:bookmarkStart w:id="186" w:name="_Toc144974530"/>
      <w:bookmarkStart w:id="187" w:name="_Toc152045562"/>
      <w:bookmarkStart w:id="188" w:name="_Toc179632580"/>
      <w:bookmarkStart w:id="189" w:name="_Toc311013714"/>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5.2.1 主持人按下列程序对投标文件第一个信封（商务及技术文件）进行开标：</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（1）宣布开标纪律；</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（2）公布在投标截止时间前递交投标文件的投标人名称，并点名确认投标人是否派人到场；</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（3）宣布开标人、唱标人、记录人、监标人等有关人员姓名；</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（4）按照投标人须知前附表规定检查投标文件的密封情况；</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（5）按照投标人须知前附表的规定确定并宣布投标文件开标顺序；</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（6）按照宣布的开标顺序当众开标，公布投标人名称、合同段名称、投标保证金的递交情况、质量目标、工期及其他内容，并记录在案；</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（7）投标人代表、招标人代表、监标人、记录人等有关人员在开标记录上签字确认；</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（8）开标会议结束。</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5.2.2 若招标人宣读的内容与投标文件不符时，投标人有权在开标现场提出异议，经监标人当场核查确认之后，可重新宣读其投标文件。若投标人现场未提出异议，则认为投标人已确认招标人宣读的内容。</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5.2.3 投标文件第二个信封（投标报价和工程量清单）不予开封，并交监标人密封保存。</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5.2.4 招标人将按照本章第5.1款规定的时间和地点对投标文件第二个信封（投标报价和工程量清单）进行开标。主持人按下列程序进行开标：</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（1）宣布开标纪律；</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（2）宣布开标人、唱标人、记录人、监标人等有关人员姓名；</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（3）按照投标人须知前附表规定检查投标文件情况；</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（4）按照投标人须知前附表的规定确定并宣布投标文件开标顺序；</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（5）当众拆开投标文件第一个信封（商务及技术文件）评审结果的的密封袋，宣布通过投标文件第一个信封（商务及技术文件）评审的投标人名单，并点名确认投标人是否派人到场；</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（6）第二信封电子投标文件解密；</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未通过电子投标文件第一个信封（商务及技术文件）评审的投标文件第二个信封（投标报价和工程量清单）不再进行解密；</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）投标人代表、招标人代表、监标人、记录人等有关人员在开标记录上签字确认；</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）开标会议结束。</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5.2.5 第二个信封（投标报价和工程量清单）开标过程中，若招标人发现投标文件出现以下任一情况，经监标人确认并当场宣布为废标：</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（1）未在投标函上填写投标总价；</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（2）投标报价或调价函中的报价</w:t>
      </w:r>
      <w:r>
        <w:rPr>
          <w:rFonts w:hint="eastAsia" w:ascii="宋体" w:hAnsi="宋体"/>
          <w:sz w:val="24"/>
        </w:rPr>
        <w:t>未</w:t>
      </w:r>
      <w:r>
        <w:rPr>
          <w:rFonts w:hint="eastAsia" w:ascii="宋体" w:hAnsi="宋体" w:cs="宋体"/>
          <w:sz w:val="24"/>
        </w:rPr>
        <w:t>超出招标人公布的招标控制价,</w:t>
      </w:r>
      <w:r>
        <w:rPr>
          <w:rFonts w:hint="eastAsia" w:ascii="宋体" w:hAnsi="宋体" w:cs="华文仿宋"/>
          <w:sz w:val="24"/>
        </w:rPr>
        <w:t>单项工程投标报价未超过单项工程招标控制价</w:t>
      </w:r>
      <w:r>
        <w:rPr>
          <w:rFonts w:hint="eastAsia" w:ascii="宋体" w:hAnsi="宋体"/>
          <w:sz w:val="24"/>
        </w:rPr>
        <w:t>（如有）</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5.2.6 若招标人宣读的内容与投标文件不符时，投标人有权在开标现场提出异议，经监标人当场核查确认之后，可重新宣读其投标文件。若投标人现场未提出异议，则认为投标人已确认招标人宣读的内容。</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5.2.7 电子投标文件的解密</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5.2.7.1本项目为全流程电子化交易项目，电子投标文件采用双重加密。在投标截止时间到达后，分标段进行解密。</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(1)投标人解密：投标人使用本单位CA数字证书远程或现场进行解密。需现场使用一体机进行解密的，请在代理机构引导下进行。</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(2)代理机构解密：代理机构按电子投标文件到达交易系统的先后顺序，使用本单位CA数字证书进行再次解密。</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5.2.7.2电子投标文件解密异常情况处理</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1）因投标人原因电子投标文件解密失败的，由系统技术人员协助投标人将备份文件（电子介质存储）导入系统。若备份文件（电子介质存储）无法导入系统或导入系统仍无法解密的，视为投标人撤销其投标文件。</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6. 评标</w:t>
      </w:r>
      <w:bookmarkEnd w:id="185"/>
      <w:bookmarkEnd w:id="186"/>
      <w:bookmarkEnd w:id="187"/>
      <w:bookmarkEnd w:id="188"/>
      <w:bookmarkEnd w:id="189"/>
      <w:r>
        <w:rPr>
          <w:rFonts w:hint="eastAsia" w:ascii="宋体" w:hAnsi="宋体" w:cs="宋体"/>
          <w:sz w:val="24"/>
        </w:rPr>
        <w:t>委员会</w:t>
      </w:r>
      <w:bookmarkStart w:id="190" w:name="_Toc152042339"/>
      <w:bookmarkStart w:id="191" w:name="_Toc179632581"/>
      <w:bookmarkStart w:id="192" w:name="_Toc152045563"/>
      <w:bookmarkStart w:id="193" w:name="_Toc144974531"/>
      <w:bookmarkStart w:id="194" w:name="_Toc311013715"/>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6.1 评标委员会</w:t>
      </w:r>
      <w:bookmarkEnd w:id="190"/>
      <w:bookmarkEnd w:id="191"/>
      <w:bookmarkEnd w:id="192"/>
      <w:bookmarkEnd w:id="193"/>
      <w:bookmarkEnd w:id="194"/>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6.1.1评标由招标人依法组建的评标委员会负责，评标委员会组成详见前附表。</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6.1.2 评标委员会成员有下列情形之一的，应当回避：</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（一）负责招标项目监督管理的交通运输主管部门的工作人员；</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（二）与投标人法定代表人或者授权参与投标的代理人有近亲属关系的人员；</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（三）投标人的工作人员或者退休人员；</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（四）与投标人有其他利害关系，可能影响评标活动公正性的人员；</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（五）在与招标投标有关的活动中有过违法违规行为、曾受过行政处罚或者刑事处罚的人员。</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招标人及其子公司、招标人的上级主管部门或者控股公司、招标代理机构的工作人员或者退休人员不得以专家身份参与本单位招标或者招标代理项目的评标。</w:t>
      </w:r>
      <w:bookmarkStart w:id="195" w:name="_Toc179632582"/>
      <w:bookmarkStart w:id="196" w:name="_Toc311013716"/>
      <w:bookmarkStart w:id="197" w:name="_Toc152042340"/>
      <w:bookmarkStart w:id="198" w:name="_Toc152045564"/>
      <w:bookmarkStart w:id="199" w:name="_Toc144974532"/>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6.2 评标原则</w:t>
      </w:r>
      <w:bookmarkEnd w:id="195"/>
      <w:bookmarkEnd w:id="196"/>
      <w:bookmarkEnd w:id="197"/>
      <w:bookmarkEnd w:id="198"/>
      <w:bookmarkEnd w:id="199"/>
      <w:r>
        <w:rPr>
          <w:rFonts w:hint="eastAsia" w:ascii="宋体" w:hAnsi="宋体" w:cs="宋体"/>
          <w:sz w:val="24"/>
        </w:rPr>
        <w:tab/>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评标活动遵循公平、公正、科学和择优的原则严格按照招标文件进行。</w:t>
      </w:r>
      <w:bookmarkStart w:id="200" w:name="_Toc311013717"/>
      <w:bookmarkStart w:id="201" w:name="_Toc152045565"/>
      <w:bookmarkStart w:id="202" w:name="_Toc144974533"/>
      <w:bookmarkStart w:id="203" w:name="_Toc152042341"/>
      <w:bookmarkStart w:id="204" w:name="_Toc179632583"/>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6.3 评标</w:t>
      </w:r>
      <w:bookmarkEnd w:id="200"/>
      <w:bookmarkEnd w:id="201"/>
      <w:bookmarkEnd w:id="202"/>
      <w:bookmarkEnd w:id="203"/>
      <w:bookmarkEnd w:id="204"/>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bookmarkStart w:id="205" w:name="_Toc144974534"/>
      <w:bookmarkStart w:id="206" w:name="_Toc152042342"/>
      <w:bookmarkStart w:id="207" w:name="_Toc179632584"/>
      <w:bookmarkStart w:id="208" w:name="_Toc311013718"/>
      <w:bookmarkStart w:id="209" w:name="_Toc152045566"/>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评标过程中，评标委员会成员有回避事由、擅离职守或者因健康等原因不能继续评标的，应当及时更换。被更换的评标委员会成员作出的评审结论无效，由更换后的评标委员会成员重新进行评审。更换评标委员会成员的情况应当在评标报告中予以记录。</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被更换的评标委员会成员如为评标专家库专家，招标人应当从原评标专家库中按照原方式抽取更换后的评标委员会成员，或者在符合法律规定的前提下相应减少评标委员会中招标人代表数量。</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无法及时更换评标委员会成员导致评标委员会构成不满足法定要求的，评标委员会应当停止评标活动，已作出的评审结论无效。招标人封存所有投标文件和开标、评标资料，依法重新组建评标委员会进行评标。招标人应当将重新组建评标委员会的情况在招标投标情况书面报告中予以说明。</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7.合同授予</w:t>
      </w:r>
      <w:bookmarkEnd w:id="205"/>
      <w:bookmarkEnd w:id="206"/>
      <w:bookmarkEnd w:id="207"/>
      <w:bookmarkEnd w:id="208"/>
      <w:bookmarkEnd w:id="209"/>
      <w:bookmarkStart w:id="210" w:name="_Toc152042343"/>
      <w:bookmarkStart w:id="211" w:name="_Toc311013719"/>
      <w:bookmarkStart w:id="212" w:name="_Toc144974535"/>
      <w:bookmarkStart w:id="213" w:name="_Toc152045567"/>
      <w:bookmarkStart w:id="214" w:name="_Toc179632585"/>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7.1 定标方式</w:t>
      </w:r>
      <w:bookmarkEnd w:id="210"/>
      <w:bookmarkEnd w:id="211"/>
      <w:bookmarkEnd w:id="212"/>
      <w:bookmarkEnd w:id="213"/>
      <w:bookmarkEnd w:id="214"/>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bookmarkStart w:id="215" w:name="_Toc144974536"/>
      <w:bookmarkStart w:id="216" w:name="_Toc311013720"/>
      <w:bookmarkStart w:id="217" w:name="_Toc152042344"/>
      <w:bookmarkStart w:id="218" w:name="_Toc179632586"/>
      <w:bookmarkStart w:id="219" w:name="_Toc152045568"/>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7.2 中标通知</w:t>
      </w:r>
      <w:bookmarkEnd w:id="215"/>
      <w:bookmarkEnd w:id="216"/>
      <w:bookmarkEnd w:id="217"/>
      <w:bookmarkEnd w:id="218"/>
      <w:bookmarkEnd w:id="219"/>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在本章第3.3款规定的投标有效期内，招标人以书面形式向中标人发出中标通知书，同时将中标结果通知未中标的投标人。</w:t>
      </w:r>
      <w:bookmarkStart w:id="220" w:name="_Toc152045569"/>
      <w:bookmarkStart w:id="221" w:name="_Toc144974537"/>
      <w:bookmarkStart w:id="222" w:name="_Toc152042345"/>
      <w:bookmarkStart w:id="223" w:name="_Toc311013721"/>
      <w:bookmarkStart w:id="224" w:name="_Toc179632587"/>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 xml:space="preserve">7.3 </w:t>
      </w:r>
      <w:bookmarkEnd w:id="220"/>
      <w:bookmarkEnd w:id="221"/>
      <w:bookmarkEnd w:id="222"/>
      <w:bookmarkEnd w:id="223"/>
      <w:bookmarkEnd w:id="224"/>
      <w:r>
        <w:rPr>
          <w:rFonts w:hint="eastAsia" w:ascii="宋体" w:hAnsi="宋体" w:cs="宋体"/>
          <w:sz w:val="24"/>
        </w:rPr>
        <w:t>履约担保</w:t>
      </w:r>
      <w:bookmarkStart w:id="225" w:name="_Toc144974538"/>
      <w:bookmarkStart w:id="226" w:name="_Toc152045570"/>
      <w:bookmarkStart w:id="227" w:name="_Toc179632588"/>
      <w:bookmarkStart w:id="228" w:name="_Toc311013722"/>
      <w:bookmarkStart w:id="229" w:name="_Toc152042346"/>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7.4 签订合同</w:t>
      </w:r>
      <w:bookmarkEnd w:id="225"/>
      <w:bookmarkEnd w:id="226"/>
      <w:bookmarkEnd w:id="227"/>
      <w:bookmarkEnd w:id="228"/>
      <w:bookmarkEnd w:id="229"/>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7.4.1招标人和中标人应当在投标有效期内并在自中标通知书发出之日起三十日内，按照招标文件和中标人的投标文件订立书面合同。招标人和中标人不得再行订立背离合同实质性内容的其他协议。</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 xml:space="preserve">7.4.2中标人无正当理由拒签合同的，招标人取消其中标资格，其投标保证金不予退还；给招标人造成的损失超过投标保证金数额的，中标人还应当对超过部分予以赔偿。 </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7.4.3发出中标通知书后，招标人无正当理由拒签合同的，招标人向中标人退还投标保证金；给中标人造成损失的，还应当赔偿损失。</w:t>
      </w:r>
      <w:bookmarkStart w:id="230" w:name="_Toc179632589"/>
      <w:bookmarkStart w:id="231" w:name="_Toc152045571"/>
      <w:bookmarkStart w:id="232" w:name="_Toc152042347"/>
      <w:bookmarkStart w:id="233" w:name="_Toc311013723"/>
      <w:bookmarkStart w:id="234" w:name="_Toc144974539"/>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8. 重新招标和不再招标</w:t>
      </w:r>
      <w:bookmarkEnd w:id="230"/>
      <w:bookmarkEnd w:id="231"/>
      <w:bookmarkEnd w:id="232"/>
      <w:bookmarkEnd w:id="233"/>
      <w:bookmarkEnd w:id="234"/>
      <w:bookmarkStart w:id="235" w:name="_Toc152045572"/>
      <w:bookmarkStart w:id="236" w:name="_Toc152042348"/>
      <w:bookmarkStart w:id="237" w:name="_Toc311013724"/>
      <w:bookmarkStart w:id="238" w:name="_Toc179632590"/>
      <w:bookmarkStart w:id="239" w:name="_Toc144974540"/>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8.1 重新招标</w:t>
      </w:r>
      <w:bookmarkEnd w:id="235"/>
      <w:bookmarkEnd w:id="236"/>
      <w:bookmarkEnd w:id="237"/>
      <w:bookmarkEnd w:id="238"/>
      <w:bookmarkEnd w:id="239"/>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有下列情形之一的，招标人将重新招标：</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（1）投标截止时间止，投标人少于3个的；</w:t>
      </w:r>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（2）经评标委员会评审后否决所有投标的。</w:t>
      </w:r>
      <w:bookmarkStart w:id="240" w:name="_Toc144974541"/>
      <w:bookmarkStart w:id="241" w:name="_Toc311013725"/>
      <w:bookmarkStart w:id="242" w:name="_Toc179632591"/>
      <w:bookmarkStart w:id="243" w:name="_Toc152045573"/>
      <w:bookmarkStart w:id="244" w:name="_Toc152042349"/>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8.2 不再招标</w:t>
      </w:r>
      <w:bookmarkEnd w:id="240"/>
      <w:bookmarkEnd w:id="241"/>
      <w:bookmarkEnd w:id="242"/>
      <w:bookmarkEnd w:id="243"/>
      <w:bookmarkEnd w:id="244"/>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bookmarkStart w:id="245" w:name="_Toc152042350"/>
      <w:bookmarkStart w:id="246" w:name="_Toc179632592"/>
      <w:bookmarkStart w:id="247" w:name="_Toc311013726"/>
      <w:bookmarkStart w:id="248" w:name="_Toc144974542"/>
      <w:bookmarkStart w:id="249" w:name="_Toc152045574"/>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9. 纪律和监督</w:t>
      </w:r>
      <w:bookmarkEnd w:id="245"/>
      <w:bookmarkEnd w:id="246"/>
      <w:bookmarkEnd w:id="247"/>
      <w:bookmarkEnd w:id="248"/>
      <w:bookmarkEnd w:id="249"/>
      <w:bookmarkStart w:id="250" w:name="_Toc152042351"/>
      <w:bookmarkStart w:id="251" w:name="_Toc179632593"/>
      <w:bookmarkStart w:id="252" w:name="_Toc144974543"/>
      <w:bookmarkStart w:id="253" w:name="_Toc311013727"/>
      <w:bookmarkStart w:id="254" w:name="_Toc152045575"/>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9.1 对招标人的纪律要求</w:t>
      </w:r>
      <w:bookmarkEnd w:id="250"/>
      <w:bookmarkEnd w:id="251"/>
      <w:bookmarkEnd w:id="252"/>
      <w:bookmarkEnd w:id="253"/>
      <w:bookmarkEnd w:id="254"/>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bookmarkStart w:id="255" w:name="_Toc311013728"/>
      <w:bookmarkStart w:id="256" w:name="_Toc179632594"/>
      <w:bookmarkStart w:id="257" w:name="_Toc144974544"/>
      <w:bookmarkStart w:id="258" w:name="_Toc152045576"/>
      <w:bookmarkStart w:id="259" w:name="_Toc152042352"/>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9.2 对投标人的纪律要求</w:t>
      </w:r>
      <w:bookmarkEnd w:id="255"/>
      <w:bookmarkEnd w:id="256"/>
      <w:bookmarkEnd w:id="257"/>
      <w:bookmarkEnd w:id="258"/>
      <w:bookmarkEnd w:id="259"/>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bookmarkStart w:id="260" w:name="_Toc144974545"/>
      <w:bookmarkStart w:id="261" w:name="_Toc179632595"/>
      <w:bookmarkStart w:id="262" w:name="_Toc311013729"/>
      <w:bookmarkStart w:id="263" w:name="_Toc152042353"/>
      <w:bookmarkStart w:id="264" w:name="_Toc152045577"/>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9.3 对评标委员会成员的纪律要求</w:t>
      </w:r>
      <w:bookmarkEnd w:id="260"/>
      <w:bookmarkEnd w:id="261"/>
      <w:bookmarkEnd w:id="262"/>
      <w:bookmarkEnd w:id="263"/>
      <w:bookmarkEnd w:id="264"/>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bookmarkStart w:id="265" w:name="_Toc179632596"/>
      <w:bookmarkStart w:id="266" w:name="_Toc152042354"/>
      <w:bookmarkStart w:id="267" w:name="_Toc311013730"/>
      <w:bookmarkStart w:id="268" w:name="_Toc152045578"/>
      <w:bookmarkStart w:id="269" w:name="_Toc144974546"/>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9.4 对与评标活动有关的工作人员的纪律要求</w:t>
      </w:r>
      <w:bookmarkEnd w:id="265"/>
      <w:bookmarkEnd w:id="266"/>
      <w:bookmarkEnd w:id="267"/>
      <w:bookmarkEnd w:id="268"/>
      <w:bookmarkStart w:id="270" w:name="_Toc152042355"/>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70"/>
      <w:bookmarkStart w:id="271" w:name="_Toc179632597"/>
      <w:bookmarkStart w:id="272" w:name="_Toc152045579"/>
      <w:bookmarkStart w:id="273" w:name="_Toc311013731"/>
      <w:bookmarkStart w:id="274" w:name="_Toc152042356"/>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9.5 投诉</w:t>
      </w:r>
      <w:bookmarkEnd w:id="269"/>
      <w:bookmarkEnd w:id="271"/>
      <w:bookmarkEnd w:id="272"/>
      <w:bookmarkEnd w:id="273"/>
      <w:bookmarkEnd w:id="274"/>
      <w:bookmarkStart w:id="275" w:name="_Toc144974547"/>
      <w:bookmarkStart w:id="276" w:name="_Toc311013732"/>
      <w:bookmarkStart w:id="277" w:name="_Toc152045580"/>
      <w:bookmarkStart w:id="278" w:name="_Toc179632598"/>
      <w:bookmarkStart w:id="279" w:name="_Toc152042357"/>
    </w:p>
    <w:p>
      <w:pPr>
        <w:autoSpaceDE w:val="0"/>
        <w:autoSpaceDN w:val="0"/>
        <w:spacing w:line="360" w:lineRule="auto"/>
        <w:ind w:firstLine="480" w:firstLineChars="200"/>
        <w:jc w:val="left"/>
        <w:outlineLvl w:val="0"/>
        <w:rPr>
          <w:rFonts w:hint="eastAsia" w:ascii="宋体" w:hAnsi="宋体" w:cs="宋体"/>
          <w:kern w:val="0"/>
          <w:sz w:val="24"/>
        </w:rPr>
      </w:pPr>
      <w:r>
        <w:rPr>
          <w:rFonts w:hint="eastAsia" w:ascii="宋体" w:hAnsi="宋体" w:cs="宋体"/>
          <w:kern w:val="0"/>
          <w:sz w:val="24"/>
        </w:rPr>
        <w:t>投标人和其他利害关系人认为本次招标活动违反法律、法规和规章规定的，有权向有关行政监督部门投诉。</w:t>
      </w:r>
    </w:p>
    <w:p>
      <w:pPr>
        <w:autoSpaceDE w:val="0"/>
        <w:autoSpaceDN w:val="0"/>
        <w:spacing w:line="360" w:lineRule="auto"/>
        <w:ind w:firstLine="480" w:firstLineChars="200"/>
        <w:jc w:val="left"/>
        <w:outlineLvl w:val="0"/>
        <w:rPr>
          <w:rFonts w:hint="eastAsia" w:ascii="宋体" w:hAnsi="宋体" w:cs="宋体"/>
          <w:kern w:val="0"/>
          <w:sz w:val="24"/>
        </w:rPr>
      </w:pPr>
      <w:r>
        <w:rPr>
          <w:rFonts w:hint="eastAsia" w:ascii="宋体" w:hAnsi="宋体" w:cs="宋体"/>
          <w:kern w:val="0"/>
          <w:sz w:val="24"/>
        </w:rPr>
        <w:t>投标人提起投诉应当符合《中华人民共和国招标投标法》及其实施条例、《工程建设项目招标投标活动投诉处理办法》（七部委11号令；九部委23号令于2013年3月11日修改）规定。</w:t>
      </w:r>
    </w:p>
    <w:p>
      <w:pPr>
        <w:autoSpaceDE w:val="0"/>
        <w:autoSpaceDN w:val="0"/>
        <w:spacing w:line="360" w:lineRule="auto"/>
        <w:jc w:val="left"/>
        <w:outlineLvl w:val="0"/>
        <w:rPr>
          <w:rFonts w:hint="eastAsia" w:ascii="宋体" w:hAnsi="宋体" w:cs="宋体"/>
          <w:sz w:val="24"/>
        </w:rPr>
      </w:pPr>
      <w:r>
        <w:rPr>
          <w:rFonts w:hint="eastAsia" w:ascii="宋体" w:hAnsi="宋体" w:cs="宋体"/>
          <w:sz w:val="24"/>
        </w:rPr>
        <w:t>10. 需要补充的其他内容</w:t>
      </w:r>
      <w:bookmarkEnd w:id="275"/>
      <w:bookmarkEnd w:id="276"/>
      <w:bookmarkEnd w:id="277"/>
      <w:bookmarkEnd w:id="278"/>
      <w:bookmarkEnd w:id="279"/>
      <w:bookmarkStart w:id="280" w:name="_Toc372538148"/>
    </w:p>
    <w:p>
      <w:pPr>
        <w:autoSpaceDE w:val="0"/>
        <w:autoSpaceDN w:val="0"/>
        <w:spacing w:line="360" w:lineRule="auto"/>
        <w:ind w:firstLine="480" w:firstLineChars="200"/>
        <w:jc w:val="left"/>
        <w:outlineLvl w:val="0"/>
        <w:rPr>
          <w:rFonts w:hint="eastAsia" w:ascii="宋体" w:hAnsi="宋体" w:cs="宋体"/>
          <w:sz w:val="24"/>
        </w:rPr>
      </w:pPr>
      <w:r>
        <w:rPr>
          <w:rFonts w:hint="eastAsia" w:ascii="宋体" w:hAnsi="宋体" w:cs="宋体"/>
          <w:sz w:val="24"/>
        </w:rPr>
        <w:t>需要补充的其他内容：见投标人须知前附表。</w:t>
      </w:r>
    </w:p>
    <w:p>
      <w:pPr>
        <w:spacing w:line="360" w:lineRule="auto"/>
        <w:ind w:firstLine="482" w:firstLineChars="200"/>
        <w:rPr>
          <w:rFonts w:ascii="宋体" w:hAnsi="宋体" w:cs="华文仿宋"/>
          <w:b/>
          <w:bCs/>
          <w:sz w:val="32"/>
          <w:szCs w:val="32"/>
        </w:rPr>
      </w:pPr>
      <w:r>
        <w:rPr>
          <w:rFonts w:hint="eastAsia" w:ascii="宋体" w:hAnsi="宋体" w:cs="宋体"/>
          <w:b/>
          <w:sz w:val="24"/>
        </w:rPr>
        <w:br w:type="page"/>
      </w:r>
      <w:r>
        <w:rPr>
          <w:rFonts w:hint="eastAsia" w:ascii="宋体" w:hAnsi="宋体" w:cs="华文仿宋"/>
          <w:b/>
          <w:bCs/>
          <w:sz w:val="32"/>
          <w:szCs w:val="32"/>
        </w:rPr>
        <w:t>附表一：问题澄清通知</w:t>
      </w:r>
    </w:p>
    <w:p>
      <w:pPr>
        <w:spacing w:line="360" w:lineRule="auto"/>
        <w:ind w:firstLine="120" w:firstLineChars="50"/>
        <w:jc w:val="center"/>
        <w:rPr>
          <w:rFonts w:ascii="宋体" w:hAnsi="宋体" w:cs="华文仿宋"/>
          <w:b/>
          <w:sz w:val="24"/>
        </w:rPr>
      </w:pPr>
      <w:r>
        <w:rPr>
          <w:rFonts w:hint="eastAsia" w:ascii="宋体" w:hAnsi="宋体" w:cs="华文仿宋"/>
          <w:b/>
          <w:sz w:val="24"/>
        </w:rPr>
        <w:t>问题澄清通知</w:t>
      </w:r>
    </w:p>
    <w:p>
      <w:pPr>
        <w:spacing w:line="360" w:lineRule="auto"/>
        <w:ind w:firstLine="6120" w:firstLineChars="2550"/>
        <w:rPr>
          <w:rFonts w:ascii="宋体" w:hAnsi="宋体" w:cs="华文仿宋"/>
          <w:sz w:val="24"/>
          <w:u w:val="single"/>
        </w:rPr>
      </w:pPr>
      <w:r>
        <w:rPr>
          <w:rFonts w:hint="eastAsia" w:ascii="宋体" w:hAnsi="宋体" w:cs="华文仿宋"/>
          <w:sz w:val="24"/>
        </w:rPr>
        <w:t>编号：</w:t>
      </w:r>
    </w:p>
    <w:p>
      <w:pPr>
        <w:spacing w:line="360" w:lineRule="auto"/>
        <w:ind w:firstLine="480" w:firstLineChars="200"/>
        <w:rPr>
          <w:rFonts w:ascii="宋体" w:hAnsi="宋体" w:cs="华文仿宋"/>
          <w:sz w:val="24"/>
        </w:rPr>
      </w:pPr>
      <w:r>
        <w:rPr>
          <w:rFonts w:hint="eastAsia" w:ascii="宋体" w:hAnsi="宋体" w:cs="华文仿宋"/>
          <w:sz w:val="24"/>
        </w:rPr>
        <w:t>（投标人名称）：</w:t>
      </w:r>
    </w:p>
    <w:p>
      <w:pPr>
        <w:spacing w:line="360" w:lineRule="auto"/>
        <w:ind w:firstLine="480" w:firstLineChars="200"/>
        <w:rPr>
          <w:rFonts w:ascii="宋体" w:hAnsi="宋体" w:cs="华文仿宋"/>
          <w:sz w:val="24"/>
        </w:rPr>
      </w:pPr>
      <w:r>
        <w:rPr>
          <w:rFonts w:hint="eastAsia" w:ascii="宋体" w:hAnsi="宋体" w:cs="华文仿宋"/>
          <w:sz w:val="24"/>
          <w:u w:val="single"/>
        </w:rPr>
        <w:t>（项目名称</w:t>
      </w:r>
      <w:r>
        <w:rPr>
          <w:rFonts w:hint="eastAsia" w:ascii="宋体" w:hAnsi="宋体" w:cs="华文仿宋"/>
          <w:sz w:val="24"/>
        </w:rPr>
        <w:t>）施工招标的评标委员会，对你方的投标文件进行了仔细的审查，现需你方对本通知所附质疑问卷中的问题以书面形式予以澄清、说明或者补正。</w:t>
      </w:r>
    </w:p>
    <w:p>
      <w:pPr>
        <w:spacing w:line="360" w:lineRule="auto"/>
        <w:ind w:firstLine="480" w:firstLineChars="200"/>
        <w:rPr>
          <w:rFonts w:ascii="宋体" w:hAnsi="宋体" w:cs="华文仿宋"/>
          <w:sz w:val="24"/>
        </w:rPr>
      </w:pPr>
    </w:p>
    <w:p>
      <w:pPr>
        <w:spacing w:line="360" w:lineRule="auto"/>
        <w:ind w:firstLine="480" w:firstLineChars="200"/>
        <w:rPr>
          <w:rFonts w:ascii="宋体" w:hAnsi="宋体" w:cs="华文仿宋"/>
          <w:sz w:val="24"/>
        </w:rPr>
      </w:pPr>
      <w:r>
        <w:rPr>
          <w:rFonts w:hint="eastAsia" w:ascii="宋体" w:hAnsi="宋体" w:cs="华文仿宋"/>
          <w:sz w:val="24"/>
        </w:rPr>
        <w:t>请将上述问题的澄清、说明或者补正于年月日时前密封递交至（详细地址）或传真至（传真号码）。采用传真方式的，应在年月日</w:t>
      </w:r>
    </w:p>
    <w:p>
      <w:pPr>
        <w:spacing w:line="360" w:lineRule="auto"/>
        <w:rPr>
          <w:rFonts w:ascii="宋体" w:hAnsi="宋体" w:cs="华文仿宋"/>
          <w:sz w:val="24"/>
        </w:rPr>
      </w:pPr>
      <w:r>
        <w:rPr>
          <w:rFonts w:hint="eastAsia" w:ascii="宋体" w:hAnsi="宋体" w:cs="华文仿宋"/>
          <w:sz w:val="24"/>
        </w:rPr>
        <w:t>时前将原件递交至 （详细地址）。</w:t>
      </w:r>
    </w:p>
    <w:p>
      <w:pPr>
        <w:spacing w:line="360" w:lineRule="auto"/>
        <w:rPr>
          <w:rFonts w:ascii="宋体" w:hAnsi="宋体" w:cs="华文仿宋"/>
          <w:sz w:val="24"/>
        </w:rPr>
      </w:pPr>
      <w:r>
        <w:rPr>
          <w:rFonts w:hint="eastAsia" w:ascii="宋体" w:hAnsi="宋体" w:cs="华文仿宋"/>
          <w:sz w:val="24"/>
        </w:rPr>
        <w:t>附件：质疑问卷</w:t>
      </w:r>
    </w:p>
    <w:p>
      <w:pPr>
        <w:spacing w:line="360" w:lineRule="auto"/>
        <w:ind w:firstLine="3360" w:firstLineChars="1400"/>
        <w:jc w:val="right"/>
        <w:rPr>
          <w:rFonts w:ascii="宋体" w:hAnsi="宋体" w:cs="华文仿宋"/>
          <w:sz w:val="24"/>
        </w:rPr>
      </w:pPr>
      <w:r>
        <w:rPr>
          <w:rFonts w:hint="eastAsia" w:ascii="宋体" w:hAnsi="宋体" w:cs="华文仿宋"/>
          <w:sz w:val="24"/>
        </w:rPr>
        <w:t xml:space="preserve"> （项目名称）标段施工招标评标委员会</w:t>
      </w:r>
    </w:p>
    <w:p>
      <w:pPr>
        <w:spacing w:line="360" w:lineRule="auto"/>
        <w:ind w:firstLine="2400" w:firstLineChars="1000"/>
        <w:jc w:val="right"/>
        <w:rPr>
          <w:rFonts w:ascii="宋体" w:hAnsi="宋体" w:cs="华文仿宋"/>
          <w:sz w:val="24"/>
        </w:rPr>
      </w:pPr>
      <w:r>
        <w:rPr>
          <w:rFonts w:hint="eastAsia" w:ascii="宋体" w:hAnsi="宋体" w:cs="华文仿宋"/>
          <w:sz w:val="24"/>
        </w:rPr>
        <w:t xml:space="preserve">  （经评标委员会授权的招标人代表签字或招标人加盖单位章）</w:t>
      </w:r>
    </w:p>
    <w:p>
      <w:pPr>
        <w:spacing w:line="360" w:lineRule="auto"/>
        <w:ind w:right="420"/>
        <w:jc w:val="right"/>
        <w:rPr>
          <w:rFonts w:ascii="宋体" w:hAnsi="宋体" w:cs="华文仿宋"/>
          <w:sz w:val="24"/>
        </w:rPr>
      </w:pPr>
      <w:r>
        <w:rPr>
          <w:rFonts w:hint="eastAsia" w:ascii="宋体" w:hAnsi="宋体" w:cs="华文仿宋"/>
          <w:sz w:val="24"/>
        </w:rPr>
        <w:t>年  月  日</w:t>
      </w:r>
    </w:p>
    <w:p>
      <w:pPr>
        <w:spacing w:line="360" w:lineRule="auto"/>
        <w:rPr>
          <w:rFonts w:ascii="宋体" w:hAnsi="宋体" w:cs="华文仿宋"/>
          <w:b/>
          <w:bCs/>
          <w:sz w:val="32"/>
          <w:szCs w:val="32"/>
        </w:rPr>
      </w:pPr>
      <w:r>
        <w:rPr>
          <w:rFonts w:hint="eastAsia" w:ascii="宋体" w:hAnsi="宋体" w:cs="华文仿宋"/>
          <w:b/>
          <w:bCs/>
          <w:sz w:val="32"/>
          <w:szCs w:val="32"/>
        </w:rPr>
        <w:t>附表二：问题的澄清</w:t>
      </w:r>
    </w:p>
    <w:p>
      <w:pPr>
        <w:spacing w:line="360" w:lineRule="auto"/>
        <w:jc w:val="center"/>
        <w:rPr>
          <w:rFonts w:ascii="宋体" w:hAnsi="宋体" w:cs="华文仿宋"/>
          <w:b/>
          <w:sz w:val="24"/>
        </w:rPr>
      </w:pPr>
      <w:r>
        <w:rPr>
          <w:rFonts w:hint="eastAsia" w:ascii="宋体" w:hAnsi="宋体" w:cs="华文仿宋"/>
          <w:b/>
          <w:sz w:val="24"/>
        </w:rPr>
        <w:t>问题的澄清、说明或补正</w:t>
      </w:r>
    </w:p>
    <w:p>
      <w:pPr>
        <w:spacing w:line="360" w:lineRule="auto"/>
        <w:ind w:firstLine="6120" w:firstLineChars="2550"/>
        <w:rPr>
          <w:rFonts w:hint="eastAsia" w:ascii="宋体" w:hAnsi="宋体" w:cs="宋体"/>
          <w:sz w:val="24"/>
          <w:u w:val="single"/>
        </w:rPr>
      </w:pPr>
      <w:r>
        <w:rPr>
          <w:rFonts w:hint="eastAsia" w:ascii="宋体" w:hAnsi="宋体" w:cs="宋体"/>
          <w:sz w:val="24"/>
        </w:rPr>
        <w:t>编号：</w:t>
      </w:r>
    </w:p>
    <w:p>
      <w:pPr>
        <w:spacing w:line="360" w:lineRule="auto"/>
        <w:rPr>
          <w:rFonts w:hint="eastAsia" w:ascii="宋体" w:hAnsi="宋体" w:cs="宋体"/>
          <w:sz w:val="24"/>
        </w:rPr>
      </w:pPr>
      <w:r>
        <w:rPr>
          <w:rFonts w:hint="eastAsia" w:ascii="宋体" w:hAnsi="宋体" w:cs="宋体"/>
          <w:sz w:val="24"/>
        </w:rPr>
        <w:t>（项目名称）标段施工招标评标委员会：</w:t>
      </w:r>
    </w:p>
    <w:p>
      <w:pPr>
        <w:spacing w:line="360" w:lineRule="auto"/>
        <w:ind w:firstLine="480" w:firstLineChars="200"/>
        <w:rPr>
          <w:rFonts w:hint="eastAsia" w:ascii="宋体" w:hAnsi="宋体" w:cs="宋体"/>
          <w:sz w:val="24"/>
        </w:rPr>
      </w:pPr>
      <w:r>
        <w:rPr>
          <w:rFonts w:hint="eastAsia" w:ascii="宋体" w:hAnsi="宋体" w:cs="宋体"/>
          <w:sz w:val="24"/>
        </w:rPr>
        <w:t>问题澄清通知（编号：）已收悉，现澄清、说明或者补正如下：</w:t>
      </w:r>
    </w:p>
    <w:p>
      <w:pPr>
        <w:spacing w:line="360" w:lineRule="auto"/>
        <w:ind w:firstLine="480" w:firstLineChars="200"/>
        <w:rPr>
          <w:rFonts w:hint="eastAsia" w:ascii="宋体" w:hAnsi="宋体" w:cs="宋体"/>
          <w:sz w:val="24"/>
        </w:rPr>
      </w:pPr>
      <w:r>
        <w:rPr>
          <w:rFonts w:hint="eastAsia" w:ascii="宋体" w:hAnsi="宋体" w:cs="宋体"/>
          <w:sz w:val="24"/>
        </w:rPr>
        <w:t>1.</w:t>
      </w:r>
    </w:p>
    <w:p>
      <w:pPr>
        <w:spacing w:line="360" w:lineRule="auto"/>
        <w:ind w:firstLine="480" w:firstLineChars="200"/>
        <w:rPr>
          <w:rFonts w:hint="eastAsia" w:ascii="宋体" w:hAnsi="宋体" w:cs="宋体"/>
          <w:sz w:val="24"/>
        </w:rPr>
      </w:pPr>
      <w:r>
        <w:rPr>
          <w:rFonts w:hint="eastAsia" w:ascii="宋体" w:hAnsi="宋体" w:cs="宋体"/>
          <w:sz w:val="24"/>
        </w:rPr>
        <w:t>2.</w:t>
      </w:r>
    </w:p>
    <w:p>
      <w:pPr>
        <w:spacing w:line="360" w:lineRule="auto"/>
        <w:rPr>
          <w:rFonts w:hint="eastAsia" w:ascii="宋体" w:hAnsi="宋体" w:cs="宋体"/>
          <w:sz w:val="24"/>
        </w:rPr>
      </w:pPr>
    </w:p>
    <w:p>
      <w:pPr>
        <w:spacing w:line="360" w:lineRule="auto"/>
        <w:ind w:right="420" w:firstLine="480" w:firstLineChars="200"/>
        <w:rPr>
          <w:rFonts w:hint="eastAsia" w:ascii="宋体" w:hAnsi="宋体" w:cs="宋体"/>
          <w:sz w:val="24"/>
        </w:rPr>
      </w:pPr>
      <w:r>
        <w:rPr>
          <w:rFonts w:hint="eastAsia" w:ascii="宋体" w:hAnsi="宋体" w:cs="宋体"/>
          <w:sz w:val="24"/>
        </w:rPr>
        <w:t xml:space="preserve">                                                      投标人：（盖单位章） </w:t>
      </w:r>
    </w:p>
    <w:p>
      <w:pPr>
        <w:spacing w:line="360" w:lineRule="auto"/>
        <w:jc w:val="right"/>
        <w:rPr>
          <w:rFonts w:hint="eastAsia" w:ascii="宋体" w:hAnsi="宋体" w:cs="宋体"/>
          <w:sz w:val="24"/>
        </w:rPr>
      </w:pPr>
      <w:r>
        <w:rPr>
          <w:rFonts w:hint="eastAsia" w:ascii="宋体" w:hAnsi="宋体" w:cs="宋体"/>
          <w:sz w:val="24"/>
        </w:rPr>
        <w:t xml:space="preserve">             法定代表人或其委托代理人：（签字或盖章） </w:t>
      </w:r>
    </w:p>
    <w:p>
      <w:pPr>
        <w:spacing w:line="360" w:lineRule="auto"/>
        <w:ind w:right="630"/>
        <w:jc w:val="right"/>
        <w:rPr>
          <w:rFonts w:hint="eastAsia" w:ascii="宋体" w:hAnsi="宋体" w:cs="宋体"/>
          <w:sz w:val="24"/>
        </w:rPr>
      </w:pPr>
      <w:r>
        <w:rPr>
          <w:rFonts w:hint="eastAsia" w:ascii="宋体" w:hAnsi="宋体" w:cs="宋体"/>
          <w:sz w:val="24"/>
        </w:rPr>
        <w:t>年  月  日</w:t>
      </w:r>
    </w:p>
    <w:bookmarkEnd w:id="280"/>
    <w:p>
      <w:pPr>
        <w:pStyle w:val="18"/>
        <w:spacing w:line="360" w:lineRule="auto"/>
        <w:ind w:firstLine="0" w:firstLineChars="0"/>
        <w:rPr>
          <w:rFonts w:ascii="宋体" w:hAnsi="宋体"/>
        </w:rPr>
      </w:pPr>
      <w:bookmarkStart w:id="281" w:name="_Toc28682"/>
      <w:bookmarkStart w:id="282" w:name="_Toc372538155"/>
    </w:p>
    <w:bookmarkEnd w:id="281"/>
    <w:p>
      <w:pPr>
        <w:spacing w:line="360" w:lineRule="auto"/>
        <w:outlineLvl w:val="0"/>
        <w:rPr>
          <w:rFonts w:hint="eastAsia" w:ascii="宋体" w:hAnsi="宋体" w:cs="华文仿宋"/>
          <w:b/>
          <w:bCs/>
          <w:sz w:val="32"/>
          <w:szCs w:val="32"/>
        </w:rPr>
      </w:pPr>
      <w:bookmarkStart w:id="283" w:name="_Toc13221"/>
    </w:p>
    <w:p>
      <w:pPr>
        <w:spacing w:line="360" w:lineRule="auto"/>
        <w:jc w:val="center"/>
        <w:outlineLvl w:val="0"/>
        <w:rPr>
          <w:rFonts w:hint="eastAsia" w:ascii="宋体" w:hAnsi="宋体" w:cs="华文仿宋"/>
          <w:b/>
          <w:bCs/>
          <w:sz w:val="32"/>
          <w:szCs w:val="32"/>
        </w:rPr>
      </w:pPr>
    </w:p>
    <w:p>
      <w:pPr>
        <w:spacing w:line="360" w:lineRule="auto"/>
        <w:jc w:val="center"/>
        <w:outlineLvl w:val="0"/>
        <w:rPr>
          <w:rFonts w:hint="eastAsia" w:ascii="宋体" w:hAnsi="宋体" w:cs="华文仿宋"/>
          <w:b/>
          <w:bCs/>
          <w:sz w:val="36"/>
          <w:szCs w:val="36"/>
        </w:rPr>
      </w:pPr>
      <w:r>
        <w:rPr>
          <w:rFonts w:hint="eastAsia" w:ascii="宋体" w:hAnsi="宋体" w:cs="华文仿宋"/>
          <w:b/>
          <w:bCs/>
          <w:sz w:val="36"/>
          <w:szCs w:val="36"/>
        </w:rPr>
        <w:t>第三章 评标办法</w:t>
      </w:r>
      <w:r>
        <w:rPr>
          <w:rFonts w:hint="eastAsia" w:ascii="宋体" w:hAnsi="宋体"/>
          <w:sz w:val="36"/>
          <w:szCs w:val="36"/>
        </w:rPr>
        <w:t xml:space="preserve"> </w:t>
      </w:r>
      <w:r>
        <w:rPr>
          <w:rFonts w:hint="eastAsia" w:ascii="宋体" w:hAnsi="宋体" w:cs="华文仿宋"/>
          <w:b/>
          <w:bCs/>
          <w:sz w:val="36"/>
          <w:szCs w:val="36"/>
        </w:rPr>
        <w:t>(技术评分最低标价法)</w:t>
      </w:r>
    </w:p>
    <w:p>
      <w:pPr>
        <w:spacing w:line="360" w:lineRule="auto"/>
        <w:ind w:firstLine="480" w:firstLineChars="200"/>
        <w:rPr>
          <w:rFonts w:hint="eastAsia" w:ascii="宋体" w:hAnsi="宋体" w:cs="华文仿宋"/>
          <w:sz w:val="24"/>
        </w:rPr>
      </w:pPr>
      <w:r>
        <w:rPr>
          <w:rFonts w:ascii="宋体" w:hAnsi="宋体"/>
          <w:sz w:val="24"/>
        </w:rPr>
        <w:t>一</w:t>
      </w:r>
      <w:r>
        <w:rPr>
          <w:rFonts w:hint="eastAsia" w:ascii="宋体" w:hAnsi="宋体"/>
          <w:sz w:val="24"/>
        </w:rPr>
        <w:t>、评标委员会组建及回避</w:t>
      </w:r>
    </w:p>
    <w:p>
      <w:pPr>
        <w:spacing w:line="360" w:lineRule="auto"/>
        <w:ind w:firstLine="480" w:firstLineChars="200"/>
        <w:rPr>
          <w:rFonts w:ascii="宋体" w:hAnsi="宋体" w:cs="华文仿宋"/>
          <w:sz w:val="24"/>
        </w:rPr>
      </w:pPr>
      <w:r>
        <w:rPr>
          <w:rFonts w:hint="eastAsia" w:ascii="宋体" w:hAnsi="宋体" w:cs="华文仿宋"/>
          <w:sz w:val="24"/>
        </w:rPr>
        <w:t>1、评标由招标人依法组建的评标委员会负责，评标委员会组成详见前附表。</w:t>
      </w:r>
    </w:p>
    <w:p>
      <w:pPr>
        <w:spacing w:line="360" w:lineRule="auto"/>
        <w:ind w:firstLine="480" w:firstLineChars="200"/>
        <w:rPr>
          <w:rFonts w:ascii="宋体" w:hAnsi="宋体" w:cs="华文仿宋"/>
          <w:sz w:val="24"/>
        </w:rPr>
      </w:pPr>
      <w:r>
        <w:rPr>
          <w:rFonts w:hint="eastAsia" w:ascii="宋体" w:hAnsi="宋体" w:cs="华文仿宋"/>
          <w:sz w:val="24"/>
        </w:rPr>
        <w:t>2 、评标委员会成员有下列情形之一的，应当回避：</w:t>
      </w:r>
    </w:p>
    <w:p>
      <w:pPr>
        <w:spacing w:line="360" w:lineRule="auto"/>
        <w:ind w:firstLine="480" w:firstLineChars="200"/>
        <w:rPr>
          <w:rFonts w:hint="eastAsia" w:ascii="宋体" w:hAnsi="宋体" w:cs="宋体"/>
          <w:sz w:val="24"/>
        </w:rPr>
      </w:pPr>
      <w:r>
        <w:rPr>
          <w:rFonts w:hint="eastAsia" w:ascii="宋体" w:hAnsi="宋体" w:cs="宋体"/>
          <w:sz w:val="24"/>
        </w:rPr>
        <w:t>（一）负责招标项目监督管理的交通运输主管部门的工作人员；</w:t>
      </w:r>
    </w:p>
    <w:p>
      <w:pPr>
        <w:spacing w:line="360" w:lineRule="auto"/>
        <w:ind w:firstLine="480" w:firstLineChars="200"/>
        <w:rPr>
          <w:rFonts w:hint="eastAsia" w:ascii="宋体" w:hAnsi="宋体" w:cs="宋体"/>
          <w:sz w:val="24"/>
        </w:rPr>
      </w:pPr>
      <w:r>
        <w:rPr>
          <w:rFonts w:hint="eastAsia" w:ascii="宋体" w:hAnsi="宋体" w:cs="宋体"/>
          <w:sz w:val="24"/>
        </w:rPr>
        <w:t>（二）与投标人法定代表人或者授权参与投标的代理人有近亲属关系的人员；</w:t>
      </w:r>
    </w:p>
    <w:p>
      <w:pPr>
        <w:spacing w:line="360" w:lineRule="auto"/>
        <w:ind w:firstLine="480" w:firstLineChars="200"/>
        <w:rPr>
          <w:rFonts w:hint="eastAsia" w:ascii="宋体" w:hAnsi="宋体" w:cs="宋体"/>
          <w:sz w:val="24"/>
        </w:rPr>
      </w:pPr>
      <w:r>
        <w:rPr>
          <w:rFonts w:hint="eastAsia" w:ascii="宋体" w:hAnsi="宋体" w:cs="宋体"/>
          <w:sz w:val="24"/>
        </w:rPr>
        <w:t>（三）投标人的工作人员或者退休人员；</w:t>
      </w:r>
    </w:p>
    <w:p>
      <w:pPr>
        <w:spacing w:line="360" w:lineRule="auto"/>
        <w:ind w:firstLine="480" w:firstLineChars="200"/>
        <w:rPr>
          <w:rFonts w:hint="eastAsia" w:ascii="宋体" w:hAnsi="宋体" w:cs="宋体"/>
          <w:sz w:val="24"/>
        </w:rPr>
      </w:pPr>
      <w:r>
        <w:rPr>
          <w:rFonts w:hint="eastAsia" w:ascii="宋体" w:hAnsi="宋体" w:cs="宋体"/>
          <w:sz w:val="24"/>
        </w:rPr>
        <w:t>（四）与投标人有其他利害关系，可能影响评标活动公正性的人员；</w:t>
      </w:r>
    </w:p>
    <w:p>
      <w:pPr>
        <w:spacing w:line="360" w:lineRule="auto"/>
        <w:ind w:firstLine="480" w:firstLineChars="200"/>
        <w:rPr>
          <w:rFonts w:hint="eastAsia" w:ascii="宋体" w:hAnsi="宋体" w:cs="宋体"/>
          <w:sz w:val="24"/>
        </w:rPr>
      </w:pPr>
      <w:r>
        <w:rPr>
          <w:rFonts w:hint="eastAsia" w:ascii="宋体" w:hAnsi="宋体" w:cs="宋体"/>
          <w:sz w:val="24"/>
        </w:rPr>
        <w:t>（五）在与招标投标有关的活动中有过违法违规行为、曾受过行政处罚或者刑事处罚的人员。</w:t>
      </w:r>
    </w:p>
    <w:p>
      <w:pPr>
        <w:spacing w:line="360" w:lineRule="auto"/>
        <w:ind w:firstLine="480" w:firstLineChars="200"/>
        <w:rPr>
          <w:rFonts w:hint="eastAsia" w:ascii="宋体" w:hAnsi="宋体" w:cs="宋体"/>
          <w:sz w:val="24"/>
        </w:rPr>
      </w:pPr>
      <w:r>
        <w:rPr>
          <w:rFonts w:hint="eastAsia" w:ascii="宋体" w:hAnsi="宋体" w:cs="宋体"/>
          <w:sz w:val="24"/>
        </w:rPr>
        <w:t>招标人及其子公司、招标人的上级主管部门或者控股公司、招标代理机构的工作人员或者退休人员不得以专家身份参与本单位招标或者招标代理项目的评标。</w:t>
      </w:r>
    </w:p>
    <w:p>
      <w:pPr>
        <w:spacing w:line="360" w:lineRule="auto"/>
        <w:ind w:firstLine="472" w:firstLineChars="196"/>
        <w:rPr>
          <w:rFonts w:hint="eastAsia" w:ascii="宋体" w:hAnsi="宋体" w:cs="宋体"/>
          <w:b/>
          <w:bCs/>
          <w:sz w:val="24"/>
        </w:rPr>
      </w:pPr>
      <w:r>
        <w:rPr>
          <w:rFonts w:hint="eastAsia" w:ascii="宋体" w:hAnsi="宋体" w:cs="宋体"/>
          <w:b/>
          <w:bCs/>
          <w:sz w:val="24"/>
        </w:rPr>
        <w:t>3.关于交易中心全电子系统的说明（特别提示）</w:t>
      </w:r>
    </w:p>
    <w:p>
      <w:pPr>
        <w:spacing w:line="360" w:lineRule="auto"/>
        <w:ind w:firstLine="472" w:firstLineChars="196"/>
        <w:rPr>
          <w:rFonts w:hint="eastAsia" w:ascii="宋体" w:hAnsi="宋体" w:cs="宋体"/>
          <w:b/>
          <w:bCs/>
          <w:sz w:val="24"/>
        </w:rPr>
      </w:pPr>
      <w:r>
        <w:rPr>
          <w:rFonts w:hint="eastAsia" w:ascii="宋体" w:hAnsi="宋体" w:cs="宋体"/>
          <w:b/>
          <w:bCs/>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spacing w:line="360" w:lineRule="auto"/>
        <w:ind w:firstLine="472" w:firstLineChars="196"/>
        <w:rPr>
          <w:rFonts w:hint="eastAsia" w:ascii="宋体" w:hAnsi="宋体" w:cs="宋体"/>
          <w:b/>
          <w:bCs/>
          <w:sz w:val="24"/>
        </w:rPr>
      </w:pPr>
      <w:r>
        <w:rPr>
          <w:rFonts w:hint="eastAsia" w:ascii="宋体" w:hAnsi="宋体" w:cs="宋体"/>
          <w:b/>
          <w:bCs/>
          <w:sz w:val="24"/>
        </w:rPr>
        <w:t>评标专家应严格按照招标文件要求查看“硬件特征码”相关信息并进行评审，在评标报告中显示“不同投标人电子投标文件制作硬件特征码”是否雷同的分析及判定结果。</w:t>
      </w:r>
    </w:p>
    <w:p>
      <w:pPr>
        <w:spacing w:line="360" w:lineRule="auto"/>
        <w:ind w:firstLine="472" w:firstLineChars="196"/>
        <w:rPr>
          <w:rFonts w:hint="eastAsia" w:ascii="宋体" w:hAnsi="宋体" w:cs="宋体"/>
          <w:b/>
          <w:bCs/>
          <w:sz w:val="24"/>
        </w:rPr>
      </w:pPr>
      <w:r>
        <w:rPr>
          <w:rFonts w:hint="eastAsia" w:ascii="宋体" w:hAnsi="宋体" w:cs="宋体"/>
          <w:b/>
          <w:bCs/>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w:t>
      </w:r>
    </w:p>
    <w:p>
      <w:pPr>
        <w:spacing w:line="360" w:lineRule="auto"/>
        <w:ind w:firstLine="472" w:firstLineChars="196"/>
        <w:rPr>
          <w:rFonts w:hint="eastAsia" w:ascii="宋体" w:hAnsi="宋体" w:cs="宋体"/>
          <w:b/>
          <w:bCs/>
          <w:sz w:val="24"/>
        </w:rPr>
      </w:pPr>
      <w:r>
        <w:rPr>
          <w:rFonts w:hint="eastAsia" w:ascii="宋体" w:hAnsi="宋体" w:cs="宋体"/>
          <w:b/>
          <w:bCs/>
          <w:sz w:val="24"/>
        </w:rPr>
        <w:t>评标委员会不得暗示或者诱导投标人作出澄清、说明，不得接受投标人主动提出的澄清、说明。</w:t>
      </w:r>
    </w:p>
    <w:p>
      <w:pPr>
        <w:spacing w:line="360" w:lineRule="auto"/>
        <w:ind w:firstLine="480" w:firstLineChars="200"/>
        <w:rPr>
          <w:rFonts w:ascii="宋体" w:hAnsi="宋体" w:cs="华文仿宋"/>
          <w:sz w:val="24"/>
        </w:rPr>
      </w:pPr>
      <w:r>
        <w:rPr>
          <w:rFonts w:hint="eastAsia" w:ascii="宋体" w:hAnsi="宋体" w:cs="华文仿宋"/>
          <w:sz w:val="24"/>
        </w:rPr>
        <w:t>二、评标应遵循公正、公平、择优的原则严格按照招标文件进行。</w:t>
      </w:r>
    </w:p>
    <w:p>
      <w:pPr>
        <w:spacing w:line="360" w:lineRule="auto"/>
        <w:rPr>
          <w:rFonts w:ascii="宋体" w:hAnsi="宋体" w:cs="华文仿宋"/>
          <w:sz w:val="24"/>
        </w:rPr>
      </w:pPr>
      <w:r>
        <w:rPr>
          <w:rFonts w:hint="eastAsia" w:ascii="宋体" w:hAnsi="宋体" w:cs="华文仿宋"/>
          <w:sz w:val="24"/>
        </w:rPr>
        <w:t>评标办法前附表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72"/>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条款号</w:t>
            </w:r>
          </w:p>
        </w:tc>
        <w:tc>
          <w:tcPr>
            <w:tcW w:w="743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b/>
                <w:bCs/>
                <w:color w:val="000000"/>
                <w:sz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c>
          <w:tcPr>
            <w:tcW w:w="167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评标办法</w:t>
            </w:r>
          </w:p>
        </w:tc>
        <w:tc>
          <w:tcPr>
            <w:tcW w:w="743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评标价相等时，评标委员会依次按照以下优先顺序推荐中标候选人</w:t>
            </w:r>
            <w:r>
              <w:rPr>
                <w:rFonts w:hint="eastAsia" w:ascii="宋体" w:hAnsi="宋体"/>
                <w:sz w:val="24"/>
              </w:rPr>
              <w:t>人</w:t>
            </w:r>
            <w:r>
              <w:rPr>
                <w:rFonts w:hint="eastAsia" w:ascii="宋体" w:hAnsi="宋体"/>
                <w:color w:val="000000"/>
                <w:sz w:val="24"/>
              </w:rPr>
              <w:t>或确定中标人：</w:t>
            </w:r>
          </w:p>
          <w:p>
            <w:pPr>
              <w:spacing w:line="360" w:lineRule="auto"/>
              <w:rPr>
                <w:rFonts w:hint="eastAsia" w:ascii="宋体" w:hAnsi="宋体"/>
                <w:color w:val="000000"/>
                <w:sz w:val="24"/>
              </w:rPr>
            </w:pPr>
            <w:r>
              <w:rPr>
                <w:rFonts w:hint="eastAsia" w:ascii="宋体" w:hAnsi="宋体"/>
                <w:color w:val="000000"/>
                <w:sz w:val="24"/>
              </w:rPr>
              <w:t>（1）投标报价低的投标人优先；</w:t>
            </w:r>
          </w:p>
          <w:p>
            <w:pPr>
              <w:spacing w:line="360" w:lineRule="auto"/>
              <w:rPr>
                <w:rFonts w:hint="eastAsia" w:ascii="宋体" w:hAnsi="宋体"/>
                <w:color w:val="000000"/>
                <w:sz w:val="24"/>
              </w:rPr>
            </w:pPr>
            <w:r>
              <w:rPr>
                <w:rFonts w:hint="eastAsia" w:ascii="宋体" w:hAnsi="宋体"/>
                <w:color w:val="000000"/>
                <w:sz w:val="24"/>
              </w:rPr>
              <w:t>（2）被招标项目所在地省级交通运输主管部门评为较高信用等级</w:t>
            </w:r>
          </w:p>
          <w:p>
            <w:pPr>
              <w:spacing w:line="360" w:lineRule="auto"/>
              <w:rPr>
                <w:rFonts w:hint="eastAsia" w:ascii="宋体" w:hAnsi="宋体"/>
                <w:color w:val="000000"/>
                <w:sz w:val="24"/>
              </w:rPr>
            </w:pPr>
            <w:r>
              <w:rPr>
                <w:rFonts w:hint="eastAsia" w:ascii="宋体" w:hAnsi="宋体"/>
                <w:color w:val="000000"/>
                <w:sz w:val="24"/>
              </w:rPr>
              <w:t>的投标人优先；</w:t>
            </w:r>
          </w:p>
          <w:p>
            <w:pPr>
              <w:spacing w:line="360" w:lineRule="auto"/>
              <w:rPr>
                <w:rFonts w:ascii="宋体" w:hAnsi="宋体"/>
                <w:sz w:val="24"/>
              </w:rPr>
            </w:pPr>
            <w:r>
              <w:rPr>
                <w:rFonts w:hint="eastAsia" w:ascii="宋体" w:hAnsi="宋体"/>
                <w:color w:val="000000"/>
                <w:sz w:val="24"/>
              </w:rPr>
              <w:t>（3）商务和技术得分较高的投标人优先；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2.1.1</w:t>
            </w:r>
          </w:p>
          <w:p>
            <w:pPr>
              <w:spacing w:line="360" w:lineRule="auto"/>
              <w:jc w:val="center"/>
              <w:rPr>
                <w:rFonts w:ascii="宋体" w:hAnsi="宋体"/>
                <w:sz w:val="24"/>
              </w:rPr>
            </w:pPr>
          </w:p>
        </w:tc>
        <w:tc>
          <w:tcPr>
            <w:tcW w:w="167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pStyle w:val="18"/>
              <w:spacing w:line="360" w:lineRule="auto"/>
              <w:ind w:firstLine="0" w:firstLineChars="0"/>
              <w:rPr>
                <w:rFonts w:hint="eastAsia" w:ascii="宋体" w:hAnsi="宋体"/>
                <w:kern w:val="2"/>
                <w:sz w:val="24"/>
                <w:lang w:val="en-US" w:eastAsia="zh-CN"/>
              </w:rPr>
            </w:pPr>
          </w:p>
          <w:p>
            <w:pPr>
              <w:spacing w:line="360" w:lineRule="auto"/>
              <w:jc w:val="center"/>
              <w:rPr>
                <w:rFonts w:hint="eastAsia" w:ascii="宋体" w:hAnsi="宋体"/>
                <w:sz w:val="24"/>
              </w:rPr>
            </w:pPr>
            <w:r>
              <w:rPr>
                <w:rFonts w:hint="eastAsia" w:ascii="宋体" w:hAnsi="宋体"/>
                <w:sz w:val="24"/>
              </w:rPr>
              <w:t>形式评审与响应性评审标准</w:t>
            </w: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ascii="宋体" w:hAnsi="宋体"/>
                <w:sz w:val="24"/>
              </w:rPr>
            </w:pPr>
            <w:r>
              <w:rPr>
                <w:rFonts w:hint="eastAsia" w:ascii="宋体" w:hAnsi="宋体"/>
                <w:sz w:val="24"/>
              </w:rPr>
              <w:t>形式评审与响应性评审标准</w:t>
            </w:r>
          </w:p>
        </w:tc>
        <w:tc>
          <w:tcPr>
            <w:tcW w:w="7438" w:type="dxa"/>
            <w:tcBorders>
              <w:top w:val="single" w:color="auto" w:sz="4" w:space="0"/>
              <w:left w:val="nil"/>
              <w:bottom w:val="single" w:color="auto" w:sz="4" w:space="0"/>
              <w:right w:val="single" w:color="auto" w:sz="4" w:space="0"/>
            </w:tcBorders>
            <w:noWrap w:val="0"/>
            <w:vAlign w:val="top"/>
          </w:tcPr>
          <w:p>
            <w:pPr>
              <w:spacing w:line="360" w:lineRule="auto"/>
              <w:ind w:left="540"/>
              <w:rPr>
                <w:rFonts w:ascii="宋体" w:hAnsi="宋体"/>
                <w:b/>
                <w:bCs/>
                <w:sz w:val="24"/>
              </w:rPr>
            </w:pPr>
            <w:r>
              <w:rPr>
                <w:rFonts w:hint="eastAsia" w:ascii="宋体" w:hAnsi="宋体"/>
                <w:b/>
                <w:bCs/>
                <w:sz w:val="24"/>
              </w:rPr>
              <w:t>第一个信封（商务及技术文件）评审标准：</w:t>
            </w:r>
          </w:p>
          <w:p>
            <w:pPr>
              <w:spacing w:line="360" w:lineRule="auto"/>
              <w:rPr>
                <w:rFonts w:hint="eastAsia" w:ascii="宋体" w:hAnsi="宋体"/>
                <w:sz w:val="24"/>
              </w:rPr>
            </w:pPr>
            <w:r>
              <w:rPr>
                <w:rFonts w:hint="eastAsia" w:ascii="宋体" w:hAnsi="宋体"/>
                <w:sz w:val="24"/>
              </w:rPr>
              <w:t>（1）投标文件按照招标文件规定的格式、内容填写，字迹清晰可辨：</w:t>
            </w:r>
          </w:p>
          <w:p>
            <w:pPr>
              <w:spacing w:line="360" w:lineRule="auto"/>
              <w:ind w:left="540"/>
              <w:rPr>
                <w:rFonts w:hint="eastAsia" w:ascii="宋体" w:hAnsi="宋体"/>
                <w:sz w:val="24"/>
              </w:rPr>
            </w:pPr>
            <w:r>
              <w:rPr>
                <w:rFonts w:hint="eastAsia" w:ascii="宋体" w:hAnsi="宋体"/>
                <w:sz w:val="24"/>
              </w:rPr>
              <w:t>a.投标函按招标文件规定填报了项目名称、标段号、补遗书编号（如有）、工期、工程质量要求及安全目标；</w:t>
            </w:r>
          </w:p>
          <w:p>
            <w:pPr>
              <w:spacing w:line="360" w:lineRule="auto"/>
              <w:ind w:left="540"/>
              <w:rPr>
                <w:rFonts w:hint="eastAsia" w:ascii="宋体" w:hAnsi="宋体"/>
                <w:sz w:val="24"/>
              </w:rPr>
            </w:pPr>
            <w:r>
              <w:rPr>
                <w:rFonts w:hint="eastAsia" w:ascii="宋体" w:hAnsi="宋体"/>
                <w:sz w:val="24"/>
              </w:rPr>
              <w:t>b.投标函附录的所有数据均符合招标文件规定；</w:t>
            </w:r>
          </w:p>
          <w:p>
            <w:pPr>
              <w:spacing w:line="360" w:lineRule="auto"/>
              <w:ind w:left="540"/>
              <w:rPr>
                <w:rFonts w:hint="eastAsia" w:ascii="宋体" w:hAnsi="宋体"/>
                <w:sz w:val="24"/>
              </w:rPr>
            </w:pPr>
            <w:r>
              <w:rPr>
                <w:rFonts w:hint="eastAsia" w:ascii="宋体" w:hAnsi="宋体"/>
                <w:sz w:val="24"/>
              </w:rPr>
              <w:t>c.投标文件组成齐全完整，内容均按规定填写。</w:t>
            </w:r>
          </w:p>
          <w:p>
            <w:pPr>
              <w:spacing w:line="360" w:lineRule="auto"/>
              <w:rPr>
                <w:rFonts w:hint="eastAsia" w:ascii="宋体" w:hAnsi="宋体"/>
                <w:sz w:val="24"/>
              </w:rPr>
            </w:pPr>
            <w:r>
              <w:rPr>
                <w:rFonts w:hint="eastAsia" w:ascii="宋体" w:hAnsi="宋体"/>
                <w:sz w:val="24"/>
              </w:rPr>
              <w:t>（2）投标文件上法定代表人或其委托代理人的签字、投标人的单位章盖章齐全，符合招标文件规定。</w:t>
            </w:r>
          </w:p>
          <w:p>
            <w:pPr>
              <w:spacing w:line="360" w:lineRule="auto"/>
              <w:rPr>
                <w:rFonts w:hint="eastAsia" w:ascii="宋体" w:hAnsi="宋体"/>
                <w:sz w:val="24"/>
              </w:rPr>
            </w:pPr>
            <w:r>
              <w:rPr>
                <w:rFonts w:hint="eastAsia" w:ascii="宋体" w:hAnsi="宋体"/>
                <w:sz w:val="24"/>
              </w:rPr>
              <w:t>（3）投标人发生合并、分立、破产等重大变化的，仍具备招标文件规定的相应资格条件且其投标未影响招标公正性：</w:t>
            </w:r>
          </w:p>
          <w:p>
            <w:pPr>
              <w:spacing w:line="360" w:lineRule="auto"/>
              <w:ind w:left="540"/>
              <w:rPr>
                <w:rFonts w:hint="eastAsia" w:ascii="宋体" w:hAnsi="宋体"/>
                <w:sz w:val="24"/>
              </w:rPr>
            </w:pPr>
            <w:r>
              <w:rPr>
                <w:rFonts w:hint="eastAsia" w:ascii="宋体" w:hAnsi="宋体"/>
                <w:sz w:val="24"/>
              </w:rPr>
              <w:t>a.投标人应提供相关部门的合法批件及企业法人营业执照和资质证书等证件的副本变更记录原件扫描件（或图片）；</w:t>
            </w:r>
          </w:p>
          <w:p>
            <w:pPr>
              <w:spacing w:line="360" w:lineRule="auto"/>
              <w:ind w:left="540"/>
              <w:rPr>
                <w:rFonts w:hint="eastAsia" w:ascii="宋体" w:hAnsi="宋体"/>
                <w:sz w:val="24"/>
              </w:rPr>
            </w:pPr>
            <w:r>
              <w:rPr>
                <w:rFonts w:hint="eastAsia" w:ascii="宋体" w:hAnsi="宋体"/>
                <w:sz w:val="24"/>
              </w:rPr>
              <w:t>b.投标人满足招标文件中规定的资格条件最低要求（资质、业绩、人员、信誉、财务等）；</w:t>
            </w:r>
          </w:p>
          <w:p>
            <w:pPr>
              <w:spacing w:line="360" w:lineRule="auto"/>
              <w:ind w:left="540"/>
              <w:rPr>
                <w:rFonts w:hint="eastAsia" w:ascii="宋体" w:hAnsi="宋体"/>
                <w:sz w:val="24"/>
              </w:rPr>
            </w:pPr>
            <w:r>
              <w:rPr>
                <w:rFonts w:hint="eastAsia" w:ascii="宋体" w:hAnsi="宋体"/>
                <w:sz w:val="24"/>
              </w:rPr>
              <w:t>c.与所投标段的其他投标人不存在控股、管理关系或单位负责人为同一人的情况；与招标人也不存在利害关系并可能影响招标公正性。</w:t>
            </w:r>
          </w:p>
          <w:p>
            <w:pPr>
              <w:spacing w:line="360" w:lineRule="auto"/>
              <w:rPr>
                <w:rFonts w:hint="eastAsia" w:ascii="宋体" w:hAnsi="宋体"/>
                <w:sz w:val="24"/>
              </w:rPr>
            </w:pPr>
            <w:r>
              <w:rPr>
                <w:rFonts w:hint="eastAsia" w:ascii="宋体" w:hAnsi="宋体"/>
                <w:sz w:val="24"/>
              </w:rPr>
              <w:t>（4）投标人按照招标文件的规定提供了投标保证金。</w:t>
            </w:r>
          </w:p>
          <w:p>
            <w:pPr>
              <w:widowControl/>
              <w:spacing w:line="360" w:lineRule="auto"/>
              <w:jc w:val="left"/>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）投标文件上法定代表人或其授权代理人的签字、投标人的单位章盖章齐全，符合招标文件规定。</w:t>
            </w:r>
          </w:p>
          <w:p>
            <w:pPr>
              <w:spacing w:line="360" w:lineRule="auto"/>
              <w:ind w:firstLine="120" w:firstLineChars="50"/>
              <w:rPr>
                <w:rFonts w:hint="eastAsia" w:ascii="宋体" w:hAnsi="宋体"/>
                <w:sz w:val="24"/>
              </w:rPr>
            </w:pPr>
            <w:r>
              <w:rPr>
                <w:rFonts w:hint="eastAsia" w:ascii="宋体" w:hAnsi="宋体"/>
                <w:sz w:val="24"/>
              </w:rPr>
              <w:t>(</w:t>
            </w:r>
            <w:r>
              <w:rPr>
                <w:rFonts w:ascii="宋体" w:hAnsi="宋体"/>
                <w:sz w:val="24"/>
              </w:rPr>
              <w:t>6</w:t>
            </w:r>
            <w:r>
              <w:rPr>
                <w:rFonts w:hint="eastAsia" w:ascii="宋体" w:hAnsi="宋体"/>
                <w:sz w:val="24"/>
              </w:rPr>
              <w:t>）投标文件中未出现有关投标报价的内容。</w:t>
            </w:r>
          </w:p>
          <w:p>
            <w:pPr>
              <w:widowControl/>
              <w:spacing w:line="360" w:lineRule="auto"/>
              <w:ind w:right="100"/>
              <w:jc w:val="left"/>
              <w:rPr>
                <w:rFonts w:ascii="宋体" w:hAnsi="宋体"/>
                <w:sz w:val="24"/>
              </w:rPr>
            </w:pPr>
            <w:r>
              <w:rPr>
                <w:rFonts w:hint="eastAsia" w:ascii="宋体" w:hAnsi="宋体"/>
                <w:sz w:val="24"/>
              </w:rPr>
              <w:t>（7）投标文件载明的招标项目完成期限未超过招标文件规定的时限。</w:t>
            </w:r>
          </w:p>
          <w:p>
            <w:pPr>
              <w:widowControl/>
              <w:spacing w:line="360" w:lineRule="auto"/>
              <w:ind w:right="620"/>
              <w:jc w:val="left"/>
              <w:rPr>
                <w:rFonts w:ascii="宋体" w:hAnsi="宋体"/>
                <w:sz w:val="24"/>
              </w:rPr>
            </w:pPr>
            <w:r>
              <w:rPr>
                <w:rFonts w:hint="eastAsia" w:ascii="宋体" w:hAnsi="宋体"/>
                <w:sz w:val="24"/>
              </w:rPr>
              <w:t>（8）投标文件对招标文件的实质性要求和条件作出响应。</w:t>
            </w:r>
          </w:p>
          <w:p>
            <w:pPr>
              <w:widowControl/>
              <w:spacing w:line="360" w:lineRule="auto"/>
              <w:ind w:right="620"/>
              <w:jc w:val="left"/>
              <w:rPr>
                <w:rFonts w:hint="eastAsia" w:ascii="宋体" w:hAnsi="宋体"/>
                <w:sz w:val="24"/>
              </w:rPr>
            </w:pPr>
            <w:r>
              <w:rPr>
                <w:rFonts w:hint="eastAsia" w:ascii="宋体" w:hAnsi="宋体"/>
                <w:sz w:val="24"/>
              </w:rPr>
              <w:t>（9）权利义务符合招标文件规定：</w:t>
            </w:r>
          </w:p>
          <w:p>
            <w:pPr>
              <w:widowControl/>
              <w:spacing w:line="360" w:lineRule="auto"/>
              <w:ind w:firstLine="240" w:firstLineChars="100"/>
              <w:rPr>
                <w:rFonts w:hint="eastAsia" w:ascii="宋体" w:hAnsi="宋体"/>
                <w:sz w:val="24"/>
              </w:rPr>
            </w:pPr>
            <w:r>
              <w:rPr>
                <w:rFonts w:ascii="宋体" w:hAnsi="宋体"/>
                <w:sz w:val="24"/>
              </w:rPr>
              <w:t>a.</w:t>
            </w:r>
            <w:r>
              <w:rPr>
                <w:rFonts w:hint="eastAsia" w:ascii="宋体" w:hAnsi="宋体"/>
                <w:sz w:val="24"/>
              </w:rPr>
              <w:t>投标人应接受招标文件规定的风险划分原则，未提出新的风险划分办法；</w:t>
            </w:r>
          </w:p>
          <w:p>
            <w:pPr>
              <w:widowControl/>
              <w:spacing w:line="360" w:lineRule="auto"/>
              <w:ind w:right="1520" w:firstLine="240" w:firstLineChars="100"/>
              <w:rPr>
                <w:rFonts w:hint="eastAsia" w:ascii="宋体" w:hAnsi="宋体"/>
                <w:sz w:val="24"/>
              </w:rPr>
            </w:pPr>
            <w:r>
              <w:rPr>
                <w:rFonts w:ascii="宋体" w:hAnsi="宋体"/>
                <w:sz w:val="24"/>
              </w:rPr>
              <w:t>b.</w:t>
            </w:r>
            <w:r>
              <w:rPr>
                <w:rFonts w:hint="eastAsia" w:ascii="宋体" w:hAnsi="宋体"/>
                <w:sz w:val="24"/>
              </w:rPr>
              <w:t>投标人未增加发包人的责任范围，或减少投标人务；</w:t>
            </w:r>
          </w:p>
          <w:p>
            <w:pPr>
              <w:widowControl/>
              <w:spacing w:line="360" w:lineRule="auto"/>
              <w:ind w:right="1520" w:firstLine="240" w:firstLineChars="100"/>
              <w:rPr>
                <w:rFonts w:hint="eastAsia" w:ascii="宋体" w:hAnsi="宋体"/>
                <w:sz w:val="24"/>
              </w:rPr>
            </w:pPr>
            <w:r>
              <w:rPr>
                <w:rFonts w:ascii="宋体" w:hAnsi="宋体"/>
                <w:sz w:val="24"/>
              </w:rPr>
              <w:t>c.</w:t>
            </w:r>
            <w:r>
              <w:rPr>
                <w:rFonts w:hint="eastAsia" w:ascii="宋体" w:hAnsi="宋体"/>
                <w:sz w:val="24"/>
              </w:rPr>
              <w:t>投标人未提出不同的工程验收、计量、支付办法；</w:t>
            </w:r>
          </w:p>
          <w:p>
            <w:pPr>
              <w:widowControl/>
              <w:spacing w:line="360" w:lineRule="auto"/>
              <w:ind w:right="1520" w:firstLine="240" w:firstLineChars="100"/>
              <w:rPr>
                <w:rFonts w:hint="eastAsia" w:ascii="宋体" w:hAnsi="宋体"/>
                <w:sz w:val="24"/>
              </w:rPr>
            </w:pPr>
            <w:r>
              <w:rPr>
                <w:rFonts w:ascii="宋体" w:hAnsi="宋体"/>
                <w:sz w:val="24"/>
              </w:rPr>
              <w:t>d.</w:t>
            </w:r>
            <w:r>
              <w:rPr>
                <w:rFonts w:hint="eastAsia" w:ascii="宋体" w:hAnsi="宋体"/>
                <w:sz w:val="24"/>
              </w:rPr>
              <w:t>投标人对合同纠纷、事故处理办法未提出异议；</w:t>
            </w:r>
          </w:p>
          <w:p>
            <w:pPr>
              <w:widowControl/>
              <w:spacing w:line="360" w:lineRule="auto"/>
              <w:ind w:right="1520" w:firstLine="240" w:firstLineChars="100"/>
              <w:jc w:val="left"/>
              <w:rPr>
                <w:rFonts w:hint="eastAsia" w:ascii="宋体" w:hAnsi="宋体"/>
                <w:sz w:val="24"/>
              </w:rPr>
            </w:pPr>
            <w:r>
              <w:rPr>
                <w:rFonts w:ascii="宋体" w:hAnsi="宋体"/>
                <w:sz w:val="24"/>
              </w:rPr>
              <w:t>e.</w:t>
            </w:r>
            <w:r>
              <w:rPr>
                <w:rFonts w:hint="eastAsia" w:ascii="宋体" w:hAnsi="宋体"/>
                <w:sz w:val="24"/>
              </w:rPr>
              <w:t>投标人在投标活动中无欺诈行为；</w:t>
            </w:r>
          </w:p>
          <w:p>
            <w:pPr>
              <w:widowControl/>
              <w:spacing w:line="360" w:lineRule="auto"/>
              <w:ind w:right="1520" w:firstLine="240" w:firstLineChars="100"/>
              <w:jc w:val="left"/>
              <w:rPr>
                <w:rFonts w:hint="eastAsia" w:ascii="宋体" w:hAnsi="宋体"/>
                <w:sz w:val="24"/>
              </w:rPr>
            </w:pPr>
            <w:r>
              <w:rPr>
                <w:rFonts w:ascii="宋体" w:hAnsi="宋体"/>
                <w:sz w:val="24"/>
              </w:rPr>
              <w:t>f.</w:t>
            </w:r>
            <w:r>
              <w:rPr>
                <w:rFonts w:hint="eastAsia" w:ascii="宋体" w:hAnsi="宋体"/>
                <w:sz w:val="24"/>
              </w:rPr>
              <w:t>投标人未对合同条款有重要保留。</w:t>
            </w:r>
          </w:p>
          <w:p>
            <w:pPr>
              <w:widowControl/>
              <w:spacing w:line="360" w:lineRule="auto"/>
              <w:ind w:right="880"/>
              <w:jc w:val="left"/>
              <w:rPr>
                <w:rFonts w:hint="eastAsia" w:ascii="宋体" w:hAnsi="宋体"/>
                <w:sz w:val="24"/>
              </w:rPr>
            </w:pPr>
            <w:r>
              <w:rPr>
                <w:rFonts w:hint="eastAsia" w:ascii="宋体" w:hAnsi="宋体"/>
                <w:sz w:val="24"/>
              </w:rPr>
              <w:t>（10）投标文件正、副份数符合招标文件第二章“投标人须知”第3.7.4项规定；</w:t>
            </w:r>
          </w:p>
          <w:p>
            <w:pPr>
              <w:widowControl/>
              <w:spacing w:line="360" w:lineRule="auto"/>
              <w:ind w:right="880" w:firstLine="241" w:firstLineChars="100"/>
              <w:jc w:val="left"/>
              <w:rPr>
                <w:rFonts w:hint="eastAsia" w:ascii="宋体" w:hAnsi="宋体"/>
                <w:sz w:val="24"/>
              </w:rPr>
            </w:pPr>
            <w:r>
              <w:rPr>
                <w:rFonts w:hint="eastAsia" w:ascii="宋体" w:hAnsi="宋体"/>
                <w:b/>
                <w:bCs/>
                <w:sz w:val="24"/>
              </w:rPr>
              <w:t>第二个信封（报价文件）评审标准</w:t>
            </w:r>
            <w:r>
              <w:rPr>
                <w:rFonts w:hint="eastAsia" w:ascii="宋体" w:hAnsi="宋体"/>
                <w:sz w:val="24"/>
              </w:rPr>
              <w:t>：</w:t>
            </w:r>
          </w:p>
          <w:p>
            <w:pPr>
              <w:spacing w:line="360" w:lineRule="auto"/>
              <w:ind w:firstLine="240" w:firstLineChars="100"/>
              <w:rPr>
                <w:rFonts w:hint="eastAsia" w:ascii="宋体" w:hAnsi="宋体"/>
                <w:sz w:val="24"/>
              </w:rPr>
            </w:pPr>
            <w:r>
              <w:rPr>
                <w:rFonts w:ascii="宋体" w:hAnsi="宋体"/>
                <w:sz w:val="24"/>
              </w:rPr>
              <w:t>1</w:t>
            </w:r>
            <w:r>
              <w:rPr>
                <w:rFonts w:hint="eastAsia" w:ascii="宋体" w:hAnsi="宋体"/>
                <w:sz w:val="24"/>
              </w:rPr>
              <w:t>）投标文件按照招标文件规定的格式、内容填写，字迹清晰可辨：</w:t>
            </w:r>
          </w:p>
          <w:p>
            <w:pPr>
              <w:spacing w:line="360" w:lineRule="auto"/>
              <w:ind w:firstLine="240" w:firstLineChars="100"/>
              <w:rPr>
                <w:rFonts w:hint="eastAsia" w:ascii="宋体" w:hAnsi="宋体"/>
                <w:sz w:val="24"/>
              </w:rPr>
            </w:pPr>
            <w:r>
              <w:rPr>
                <w:rFonts w:ascii="宋体" w:hAnsi="宋体"/>
                <w:sz w:val="24"/>
              </w:rPr>
              <w:t>a.</w:t>
            </w:r>
            <w:r>
              <w:rPr>
                <w:rFonts w:hint="eastAsia" w:ascii="宋体" w:hAnsi="宋体"/>
                <w:sz w:val="24"/>
              </w:rPr>
              <w:t>投标函按招标文件规定填报了项目名称、标段号、补遗书编号（如有）、投标价（包括大写金额和小写金额）；</w:t>
            </w:r>
          </w:p>
          <w:p>
            <w:pPr>
              <w:spacing w:line="360" w:lineRule="auto"/>
              <w:ind w:firstLine="240" w:firstLineChars="100"/>
              <w:rPr>
                <w:rFonts w:hint="eastAsia" w:ascii="宋体" w:hAnsi="宋体"/>
                <w:sz w:val="24"/>
              </w:rPr>
            </w:pPr>
            <w:r>
              <w:rPr>
                <w:rFonts w:ascii="宋体" w:hAnsi="宋体"/>
                <w:sz w:val="24"/>
              </w:rPr>
              <w:t>b.</w:t>
            </w:r>
            <w:r>
              <w:rPr>
                <w:rFonts w:hint="eastAsia" w:ascii="宋体" w:hAnsi="宋体"/>
                <w:sz w:val="24"/>
              </w:rPr>
              <w:t>已标价工程量清单说明文字与招标文件规定一致，未进行实质性修改和删减；</w:t>
            </w:r>
          </w:p>
          <w:p>
            <w:pPr>
              <w:spacing w:line="360" w:lineRule="auto"/>
              <w:ind w:firstLine="240" w:firstLineChars="100"/>
              <w:rPr>
                <w:rFonts w:hint="eastAsia" w:ascii="宋体" w:hAnsi="宋体"/>
                <w:sz w:val="24"/>
              </w:rPr>
            </w:pPr>
            <w:r>
              <w:rPr>
                <w:rFonts w:ascii="宋体" w:hAnsi="宋体"/>
                <w:sz w:val="24"/>
              </w:rPr>
              <w:t>c.</w:t>
            </w:r>
            <w:r>
              <w:rPr>
                <w:rFonts w:hint="eastAsia" w:ascii="宋体" w:hAnsi="宋体"/>
                <w:sz w:val="24"/>
              </w:rPr>
              <w:t>投标文件组成齐全完整，内容均按规定填写。</w:t>
            </w:r>
          </w:p>
          <w:p>
            <w:pPr>
              <w:spacing w:line="360" w:lineRule="auto"/>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）投标文件上法定代表人或其委托代理人的签字、投标人的单</w:t>
            </w:r>
          </w:p>
          <w:p>
            <w:pPr>
              <w:spacing w:line="360" w:lineRule="auto"/>
              <w:ind w:left="120"/>
              <w:rPr>
                <w:rFonts w:hint="eastAsia" w:ascii="宋体" w:hAnsi="宋体"/>
                <w:sz w:val="24"/>
              </w:rPr>
            </w:pPr>
            <w:r>
              <w:rPr>
                <w:rFonts w:hint="eastAsia" w:ascii="宋体" w:hAnsi="宋体"/>
                <w:sz w:val="24"/>
              </w:rPr>
              <w:t>位章盖章齐全，符合招标文件规定。</w:t>
            </w:r>
          </w:p>
          <w:p>
            <w:pPr>
              <w:spacing w:line="360" w:lineRule="auto"/>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hint="eastAsia" w:ascii="宋体" w:hAnsi="宋体" w:cs="宋体"/>
                <w:sz w:val="24"/>
              </w:rPr>
              <w:t>投标报价或调价函中的报价</w:t>
            </w:r>
            <w:r>
              <w:rPr>
                <w:rFonts w:hint="eastAsia" w:ascii="宋体" w:hAnsi="宋体"/>
                <w:sz w:val="24"/>
              </w:rPr>
              <w:t>未</w:t>
            </w:r>
            <w:r>
              <w:rPr>
                <w:rFonts w:hint="eastAsia" w:ascii="宋体" w:hAnsi="宋体" w:cs="宋体"/>
                <w:sz w:val="24"/>
              </w:rPr>
              <w:t>超出招标人公布的招标控制价,</w:t>
            </w:r>
            <w:r>
              <w:rPr>
                <w:rFonts w:hint="eastAsia" w:ascii="宋体" w:hAnsi="宋体" w:cs="华文仿宋"/>
                <w:sz w:val="24"/>
              </w:rPr>
              <w:t>单项工程投标报价未超过单项工程招标控制价</w:t>
            </w:r>
            <w:r>
              <w:rPr>
                <w:rFonts w:hint="eastAsia" w:ascii="宋体" w:hAnsi="宋体"/>
                <w:sz w:val="24"/>
              </w:rPr>
              <w:t>（如有）。</w:t>
            </w:r>
          </w:p>
          <w:p>
            <w:pPr>
              <w:spacing w:line="360" w:lineRule="auto"/>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）投标报价或调价函中报价的大写金额能够确定具体数值。</w:t>
            </w:r>
          </w:p>
          <w:p>
            <w:pPr>
              <w:spacing w:line="360" w:lineRule="auto"/>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）同一投标人未提交两个以上不同的投标报价，但招标文件要求提交备选投标的除外。</w:t>
            </w:r>
          </w:p>
          <w:p>
            <w:pPr>
              <w:spacing w:line="360" w:lineRule="auto"/>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）投标人若填写工程量固化清单，填写完毕的工程量固化清单未对工程量固化清单电子文件中的数据、格式和运算定义进行修改；工程量固化清单中的投标报价和投标函大写金额报价一致。</w:t>
            </w:r>
          </w:p>
          <w:p>
            <w:pPr>
              <w:spacing w:line="360" w:lineRule="auto"/>
              <w:rPr>
                <w:rFonts w:ascii="宋体" w:hAnsi="宋体"/>
                <w:sz w:val="24"/>
              </w:rPr>
            </w:pPr>
            <w:r>
              <w:rPr>
                <w:rFonts w:hint="eastAsia" w:ascii="宋体" w:hAnsi="宋体"/>
                <w:sz w:val="24"/>
              </w:rPr>
              <w:t>（7）投标文件正、副本份数符合招标文件第二章</w:t>
            </w:r>
            <w:r>
              <w:rPr>
                <w:rFonts w:ascii="宋体" w:hAnsi="宋体"/>
                <w:sz w:val="24"/>
              </w:rPr>
              <w:t>“</w:t>
            </w:r>
            <w:r>
              <w:rPr>
                <w:rFonts w:hint="eastAsia" w:ascii="宋体" w:hAnsi="宋体"/>
                <w:sz w:val="24"/>
              </w:rPr>
              <w:t>投标人须知</w:t>
            </w:r>
            <w:r>
              <w:rPr>
                <w:rFonts w:ascii="宋体" w:hAnsi="宋体"/>
                <w:sz w:val="24"/>
              </w:rPr>
              <w:t>”</w:t>
            </w:r>
            <w:r>
              <w:rPr>
                <w:rFonts w:hint="eastAsia" w:ascii="宋体" w:hAnsi="宋体"/>
                <w:sz w:val="24"/>
              </w:rPr>
              <w:t>第</w:t>
            </w:r>
            <w:r>
              <w:rPr>
                <w:rFonts w:ascii="宋体" w:hAnsi="宋体"/>
                <w:sz w:val="24"/>
              </w:rPr>
              <w:t xml:space="preserve">3.7.4 </w:t>
            </w:r>
            <w:r>
              <w:rPr>
                <w:rFonts w:hint="eastAsia" w:ascii="宋体" w:hAnsi="宋体"/>
                <w:sz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sz w:val="24"/>
              </w:rPr>
              <w:t>2.1.2</w:t>
            </w:r>
          </w:p>
        </w:tc>
        <w:tc>
          <w:tcPr>
            <w:tcW w:w="1672"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资格评审标准</w:t>
            </w:r>
          </w:p>
        </w:tc>
        <w:tc>
          <w:tcPr>
            <w:tcW w:w="7438"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）投标人具备有效的营业执照、组织机构代码证、资质证书和基本账户开户许可证。</w:t>
            </w:r>
          </w:p>
          <w:p>
            <w:pPr>
              <w:spacing w:line="360" w:lineRule="auto"/>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）投标人的资质等级符合招标文件规定。</w:t>
            </w:r>
          </w:p>
          <w:p>
            <w:pPr>
              <w:spacing w:line="360" w:lineRule="auto"/>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）投标人的财务状况符合招标文件规定。</w:t>
            </w:r>
          </w:p>
          <w:p>
            <w:pPr>
              <w:spacing w:line="360" w:lineRule="auto"/>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）投标人的类似项目业绩符合招标文件规定。</w:t>
            </w:r>
          </w:p>
          <w:p>
            <w:pPr>
              <w:spacing w:line="360" w:lineRule="auto"/>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）投标人的信誉符合招标文件规定。</w:t>
            </w:r>
          </w:p>
          <w:p>
            <w:pPr>
              <w:spacing w:line="360" w:lineRule="auto"/>
              <w:rPr>
                <w:rFonts w:hint="eastAsia" w:ascii="宋体" w:hAnsi="宋体"/>
                <w:sz w:val="24"/>
              </w:rPr>
            </w:pPr>
            <w:r>
              <w:rPr>
                <w:rFonts w:hint="eastAsia" w:ascii="宋体" w:hAnsi="宋体"/>
                <w:sz w:val="24"/>
              </w:rPr>
              <w:t>（</w:t>
            </w:r>
            <w:r>
              <w:rPr>
                <w:rFonts w:ascii="宋体" w:hAnsi="宋体"/>
                <w:sz w:val="24"/>
              </w:rPr>
              <w:t>6</w:t>
            </w:r>
            <w:r>
              <w:rPr>
                <w:rFonts w:hint="eastAsia" w:ascii="宋体" w:hAnsi="宋体"/>
                <w:sz w:val="24"/>
              </w:rPr>
              <w:t>）投标人的项目经理符合招标文件规定。</w:t>
            </w:r>
          </w:p>
          <w:p>
            <w:pPr>
              <w:spacing w:line="360" w:lineRule="auto"/>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）投标人的其他要求符合招标文件规定。</w:t>
            </w:r>
          </w:p>
          <w:p>
            <w:pPr>
              <w:spacing w:line="360" w:lineRule="auto"/>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）投标人不存在第二章</w:t>
            </w:r>
            <w:r>
              <w:rPr>
                <w:rFonts w:ascii="宋体" w:hAnsi="宋体"/>
                <w:sz w:val="24"/>
              </w:rPr>
              <w:t>“</w:t>
            </w:r>
            <w:r>
              <w:rPr>
                <w:rFonts w:hint="eastAsia" w:ascii="宋体" w:hAnsi="宋体"/>
                <w:sz w:val="24"/>
              </w:rPr>
              <w:t>投标人须知</w:t>
            </w:r>
            <w:r>
              <w:rPr>
                <w:rFonts w:ascii="宋体" w:hAnsi="宋体"/>
                <w:sz w:val="24"/>
              </w:rPr>
              <w:t>”</w:t>
            </w:r>
            <w:r>
              <w:rPr>
                <w:rFonts w:hint="eastAsia" w:ascii="宋体" w:hAnsi="宋体"/>
                <w:sz w:val="24"/>
              </w:rPr>
              <w:t xml:space="preserve">第 </w:t>
            </w:r>
            <w:r>
              <w:rPr>
                <w:rFonts w:ascii="宋体" w:hAnsi="宋体"/>
                <w:sz w:val="24"/>
              </w:rPr>
              <w:t>1.4.3</w:t>
            </w:r>
            <w:r>
              <w:rPr>
                <w:rFonts w:hint="eastAsia" w:ascii="宋体" w:hAnsi="宋体"/>
                <w:sz w:val="24"/>
              </w:rPr>
              <w:t xml:space="preserve"> 项或第 </w:t>
            </w:r>
            <w:r>
              <w:rPr>
                <w:rFonts w:ascii="宋体" w:hAnsi="宋体"/>
                <w:sz w:val="24"/>
              </w:rPr>
              <w:t>1.4.4</w:t>
            </w:r>
            <w:r>
              <w:rPr>
                <w:rFonts w:hint="eastAsia" w:ascii="宋体" w:hAnsi="宋体"/>
                <w:sz w:val="24"/>
              </w:rPr>
              <w:t xml:space="preserve"> 项规定的任何一种情形。</w:t>
            </w:r>
          </w:p>
          <w:p>
            <w:pPr>
              <w:spacing w:line="360" w:lineRule="auto"/>
              <w:rPr>
                <w:rFonts w:ascii="宋体" w:hAnsi="宋体"/>
                <w:sz w:val="24"/>
              </w:rPr>
            </w:pPr>
            <w:r>
              <w:rPr>
                <w:rFonts w:hint="eastAsia" w:ascii="宋体" w:hAnsi="宋体"/>
                <w:b/>
                <w:sz w:val="24"/>
              </w:rPr>
              <w:t>(9)</w:t>
            </w:r>
            <w:r>
              <w:rPr>
                <w:rFonts w:hint="eastAsia"/>
                <w:b/>
              </w:rPr>
              <w:t xml:space="preserve"> </w:t>
            </w:r>
            <w:r>
              <w:rPr>
                <w:rFonts w:hint="eastAsia" w:ascii="宋体" w:hAnsi="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条款号</w:t>
            </w:r>
          </w:p>
        </w:tc>
        <w:tc>
          <w:tcPr>
            <w:tcW w:w="1672"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条款内容</w:t>
            </w:r>
          </w:p>
        </w:tc>
        <w:tc>
          <w:tcPr>
            <w:tcW w:w="743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2.2.1</w:t>
            </w:r>
          </w:p>
        </w:tc>
        <w:tc>
          <w:tcPr>
            <w:tcW w:w="167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第一个信封</w:t>
            </w:r>
          </w:p>
          <w:p>
            <w:pPr>
              <w:spacing w:line="360" w:lineRule="auto"/>
              <w:jc w:val="center"/>
              <w:rPr>
                <w:rFonts w:hint="eastAsia" w:ascii="宋体" w:hAnsi="宋体"/>
                <w:sz w:val="24"/>
              </w:rPr>
            </w:pPr>
            <w:r>
              <w:rPr>
                <w:rFonts w:hint="eastAsia" w:ascii="宋体" w:hAnsi="宋体"/>
                <w:sz w:val="24"/>
              </w:rPr>
              <w:t>评分构成</w:t>
            </w:r>
          </w:p>
          <w:p>
            <w:pPr>
              <w:spacing w:line="360" w:lineRule="auto"/>
              <w:jc w:val="center"/>
              <w:rPr>
                <w:rFonts w:ascii="宋体" w:hAnsi="宋体"/>
                <w:sz w:val="24"/>
              </w:rPr>
            </w:pPr>
            <w:r>
              <w:rPr>
                <w:rFonts w:hint="eastAsia" w:ascii="宋体" w:hAnsi="宋体"/>
                <w:sz w:val="24"/>
              </w:rPr>
              <w:t>（总分100分）</w:t>
            </w:r>
          </w:p>
        </w:tc>
        <w:tc>
          <w:tcPr>
            <w:tcW w:w="7438" w:type="dxa"/>
            <w:tcBorders>
              <w:top w:val="single" w:color="auto" w:sz="4" w:space="0"/>
              <w:left w:val="nil"/>
              <w:bottom w:val="single" w:color="auto" w:sz="4" w:space="0"/>
              <w:right w:val="single" w:color="auto" w:sz="4" w:space="0"/>
            </w:tcBorders>
            <w:noWrap w:val="0"/>
            <w:vAlign w:val="top"/>
          </w:tcPr>
          <w:p>
            <w:pPr>
              <w:spacing w:line="360" w:lineRule="auto"/>
              <w:jc w:val="left"/>
              <w:rPr>
                <w:rFonts w:ascii="宋体" w:hAnsi="宋体"/>
                <w:color w:val="000000"/>
                <w:sz w:val="24"/>
              </w:rPr>
            </w:pPr>
            <w:r>
              <w:rPr>
                <w:rFonts w:hint="eastAsia" w:ascii="宋体" w:hAnsi="宋体"/>
                <w:color w:val="000000"/>
                <w:sz w:val="24"/>
              </w:rPr>
              <w:t>施工组织设计60分</w:t>
            </w:r>
          </w:p>
          <w:p>
            <w:pPr>
              <w:spacing w:line="360" w:lineRule="auto"/>
              <w:jc w:val="left"/>
              <w:rPr>
                <w:rFonts w:hint="eastAsia" w:ascii="宋体" w:hAnsi="宋体"/>
                <w:color w:val="000000"/>
                <w:sz w:val="24"/>
              </w:rPr>
            </w:pPr>
            <w:r>
              <w:rPr>
                <w:rFonts w:hint="eastAsia" w:ascii="宋体" w:hAnsi="宋体"/>
                <w:color w:val="000000"/>
                <w:sz w:val="24"/>
              </w:rPr>
              <w:t>项目管理机构2分</w:t>
            </w:r>
          </w:p>
          <w:p>
            <w:pPr>
              <w:spacing w:line="360" w:lineRule="auto"/>
              <w:jc w:val="left"/>
              <w:rPr>
                <w:rFonts w:ascii="宋体" w:hAnsi="宋体"/>
                <w:color w:val="000000"/>
                <w:sz w:val="24"/>
              </w:rPr>
            </w:pPr>
            <w:r>
              <w:rPr>
                <w:rFonts w:hint="eastAsia" w:ascii="宋体" w:hAnsi="宋体"/>
                <w:color w:val="000000"/>
                <w:sz w:val="24"/>
              </w:rPr>
              <w:t>技术能力20分</w:t>
            </w:r>
          </w:p>
          <w:p>
            <w:pPr>
              <w:spacing w:line="360" w:lineRule="auto"/>
              <w:rPr>
                <w:rFonts w:ascii="宋体" w:hAnsi="宋体"/>
                <w:sz w:val="24"/>
              </w:rPr>
            </w:pPr>
            <w:r>
              <w:rPr>
                <w:rFonts w:hint="eastAsia" w:ascii="宋体" w:hAnsi="宋体"/>
                <w:color w:val="000000"/>
                <w:sz w:val="24"/>
              </w:rPr>
              <w:t>履约信誉18分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2.2.3</w:t>
            </w:r>
          </w:p>
        </w:tc>
        <w:tc>
          <w:tcPr>
            <w:tcW w:w="167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第二个信封详细评审标准</w:t>
            </w:r>
          </w:p>
        </w:tc>
        <w:tc>
          <w:tcPr>
            <w:tcW w:w="7438"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sz w:val="24"/>
              </w:rPr>
            </w:pPr>
            <w:r>
              <w:rPr>
                <w:rFonts w:hint="eastAsia" w:ascii="宋体" w:hAnsi="宋体"/>
                <w:sz w:val="24"/>
              </w:rPr>
              <w:t>评标价计算公式：</w:t>
            </w:r>
          </w:p>
          <w:p>
            <w:pPr>
              <w:spacing w:line="360" w:lineRule="auto"/>
              <w:rPr>
                <w:rFonts w:ascii="宋体" w:hAnsi="宋体"/>
                <w:sz w:val="24"/>
              </w:rPr>
            </w:pPr>
            <w:r>
              <w:rPr>
                <w:rFonts w:hint="eastAsia" w:ascii="宋体" w:hAnsi="宋体"/>
                <w:sz w:val="24"/>
              </w:rPr>
              <w:t>评标价=修正后的投标报价—暂估价—暂列金额（不含计日工总额）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3.2.4</w:t>
            </w:r>
          </w:p>
        </w:tc>
        <w:tc>
          <w:tcPr>
            <w:tcW w:w="167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通过第一个信封详细评审的投标人数量</w:t>
            </w:r>
          </w:p>
        </w:tc>
        <w:tc>
          <w:tcPr>
            <w:tcW w:w="743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按照投标人的商务和技术得分由高到低排序，选择前三名通过详细评审。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2.2.2</w:t>
            </w:r>
          </w:p>
        </w:tc>
        <w:tc>
          <w:tcPr>
            <w:tcW w:w="167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施工组织设计（0-60分）</w:t>
            </w:r>
          </w:p>
        </w:tc>
        <w:tc>
          <w:tcPr>
            <w:tcW w:w="7438"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sz w:val="24"/>
              </w:rPr>
            </w:pPr>
            <w:r>
              <w:rPr>
                <w:rFonts w:hint="eastAsia" w:ascii="宋体" w:hAnsi="宋体"/>
                <w:sz w:val="24"/>
              </w:rPr>
              <w:t>1、投标人应按以下要点编制施工组织设计（文字宜精炼、内容具有针对性，总体控制在30000字以内）；</w:t>
            </w:r>
          </w:p>
          <w:p>
            <w:pPr>
              <w:spacing w:line="360" w:lineRule="auto"/>
              <w:rPr>
                <w:rFonts w:ascii="宋体" w:hAnsi="宋体"/>
                <w:sz w:val="24"/>
              </w:rPr>
            </w:pPr>
            <w:r>
              <w:rPr>
                <w:rFonts w:hint="eastAsia" w:ascii="宋体" w:hAnsi="宋体"/>
                <w:sz w:val="24"/>
              </w:rPr>
              <w:t>（1）总体施工组织布置及规划                   0-2分</w:t>
            </w:r>
          </w:p>
          <w:p>
            <w:pPr>
              <w:spacing w:line="360" w:lineRule="auto"/>
              <w:rPr>
                <w:rFonts w:ascii="宋体" w:hAnsi="宋体"/>
                <w:sz w:val="24"/>
              </w:rPr>
            </w:pPr>
            <w:r>
              <w:rPr>
                <w:rFonts w:hint="eastAsia" w:ascii="宋体" w:hAnsi="宋体"/>
                <w:sz w:val="24"/>
              </w:rPr>
              <w:t>（2）主要工程项目的施工方案、方法与技术措施（尤其对重点、关键和难点工程的施工方案、方法及其措施）                  0-15分</w:t>
            </w:r>
          </w:p>
          <w:p>
            <w:pPr>
              <w:spacing w:line="360" w:lineRule="auto"/>
              <w:rPr>
                <w:rFonts w:ascii="宋体" w:hAnsi="宋体"/>
                <w:sz w:val="24"/>
              </w:rPr>
            </w:pPr>
            <w:r>
              <w:rPr>
                <w:rFonts w:hint="eastAsia" w:ascii="宋体" w:hAnsi="宋体"/>
                <w:sz w:val="24"/>
              </w:rPr>
              <w:t>（3）工期的保证体系及保证措施                 0-3分</w:t>
            </w:r>
          </w:p>
          <w:p>
            <w:pPr>
              <w:spacing w:line="360" w:lineRule="auto"/>
              <w:rPr>
                <w:rFonts w:ascii="宋体" w:hAnsi="宋体"/>
                <w:sz w:val="24"/>
              </w:rPr>
            </w:pPr>
            <w:r>
              <w:rPr>
                <w:rFonts w:hint="eastAsia" w:ascii="宋体" w:hAnsi="宋体"/>
                <w:sz w:val="24"/>
              </w:rPr>
              <w:t>（4）工程质量管理体系及保证措施               0-3分</w:t>
            </w:r>
          </w:p>
          <w:p>
            <w:pPr>
              <w:spacing w:line="360" w:lineRule="auto"/>
              <w:rPr>
                <w:rFonts w:ascii="宋体" w:hAnsi="宋体"/>
                <w:sz w:val="24"/>
              </w:rPr>
            </w:pPr>
            <w:r>
              <w:rPr>
                <w:rFonts w:hint="eastAsia" w:ascii="宋体" w:hAnsi="宋体"/>
                <w:sz w:val="24"/>
              </w:rPr>
              <w:t>（5）安全生产管理体系及保证措施               0-3分</w:t>
            </w:r>
          </w:p>
          <w:p>
            <w:pPr>
              <w:spacing w:line="360" w:lineRule="auto"/>
              <w:rPr>
                <w:rFonts w:ascii="宋体" w:hAnsi="宋体"/>
                <w:b/>
                <w:bCs/>
                <w:sz w:val="24"/>
              </w:rPr>
            </w:pPr>
            <w:r>
              <w:rPr>
                <w:rFonts w:hint="eastAsia" w:ascii="宋体" w:hAnsi="宋体"/>
                <w:sz w:val="24"/>
              </w:rPr>
              <w:t>（6）环境保护、水土保持保证体系及保证措施</w:t>
            </w:r>
            <w:r>
              <w:rPr>
                <w:rFonts w:hint="eastAsia" w:ascii="宋体" w:hAnsi="宋体"/>
                <w:b/>
                <w:bCs/>
                <w:sz w:val="24"/>
              </w:rPr>
              <w:t xml:space="preserve">（含扬尘治理措施）                                                                  </w:t>
            </w:r>
          </w:p>
          <w:p>
            <w:pPr>
              <w:spacing w:line="360" w:lineRule="auto"/>
              <w:ind w:firstLine="480" w:firstLineChars="200"/>
              <w:rPr>
                <w:rFonts w:ascii="宋体" w:hAnsi="宋体"/>
                <w:sz w:val="24"/>
              </w:rPr>
            </w:pPr>
            <w:r>
              <w:rPr>
                <w:rFonts w:hint="eastAsia" w:ascii="宋体" w:hAnsi="宋体"/>
                <w:sz w:val="24"/>
              </w:rPr>
              <w:t>0-3分</w:t>
            </w:r>
          </w:p>
          <w:p>
            <w:pPr>
              <w:spacing w:line="360" w:lineRule="auto"/>
              <w:rPr>
                <w:rFonts w:ascii="宋体" w:hAnsi="宋体"/>
                <w:sz w:val="24"/>
              </w:rPr>
            </w:pPr>
            <w:r>
              <w:rPr>
                <w:rFonts w:hint="eastAsia" w:ascii="宋体" w:hAnsi="宋体"/>
                <w:sz w:val="24"/>
              </w:rPr>
              <w:t>（7）文明施工、文物保护保证体系及保证措施     0-3分</w:t>
            </w:r>
          </w:p>
          <w:p>
            <w:pPr>
              <w:spacing w:line="360" w:lineRule="auto"/>
              <w:rPr>
                <w:rFonts w:ascii="宋体" w:hAnsi="宋体"/>
                <w:sz w:val="24"/>
              </w:rPr>
            </w:pPr>
            <w:r>
              <w:rPr>
                <w:rFonts w:hint="eastAsia" w:ascii="宋体" w:hAnsi="宋体"/>
                <w:sz w:val="24"/>
              </w:rPr>
              <w:t>（8）项目风险预测与防范，事故应急预案         0-3分</w:t>
            </w:r>
          </w:p>
          <w:p>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施工组织设计除采用文字表述外可附下列图表，图表及格式要求附后。</w:t>
            </w:r>
          </w:p>
          <w:p>
            <w:pPr>
              <w:spacing w:line="360" w:lineRule="auto"/>
              <w:rPr>
                <w:rFonts w:ascii="宋体" w:hAnsi="宋体"/>
                <w:sz w:val="24"/>
              </w:rPr>
            </w:pPr>
            <w:r>
              <w:rPr>
                <w:rFonts w:hint="eastAsia" w:ascii="宋体" w:hAnsi="宋体"/>
                <w:sz w:val="24"/>
              </w:rPr>
              <w:t>附表一  施工总体计划表                     0-3分</w:t>
            </w:r>
          </w:p>
          <w:p>
            <w:pPr>
              <w:spacing w:line="360" w:lineRule="auto"/>
              <w:rPr>
                <w:rFonts w:hint="eastAsia" w:ascii="宋体" w:hAnsi="宋体"/>
                <w:sz w:val="24"/>
              </w:rPr>
            </w:pPr>
            <w:r>
              <w:rPr>
                <w:rFonts w:hint="eastAsia" w:ascii="宋体" w:hAnsi="宋体"/>
                <w:sz w:val="24"/>
              </w:rPr>
              <w:t xml:space="preserve">附表二  分项工程进度率计划（斜率图）       0-3分 </w:t>
            </w:r>
          </w:p>
          <w:p>
            <w:pPr>
              <w:spacing w:line="360" w:lineRule="auto"/>
              <w:rPr>
                <w:rFonts w:ascii="宋体" w:hAnsi="宋体"/>
                <w:sz w:val="24"/>
              </w:rPr>
            </w:pPr>
            <w:r>
              <w:rPr>
                <w:rFonts w:hint="eastAsia" w:ascii="宋体" w:hAnsi="宋体"/>
                <w:sz w:val="24"/>
              </w:rPr>
              <w:t>附表三  工程管理曲线                       0-3分</w:t>
            </w:r>
          </w:p>
          <w:p>
            <w:pPr>
              <w:spacing w:line="360" w:lineRule="auto"/>
              <w:rPr>
                <w:rFonts w:ascii="宋体" w:hAnsi="宋体"/>
                <w:sz w:val="24"/>
              </w:rPr>
            </w:pPr>
            <w:r>
              <w:rPr>
                <w:rFonts w:hint="eastAsia" w:ascii="宋体" w:hAnsi="宋体"/>
                <w:sz w:val="24"/>
              </w:rPr>
              <w:t>附表四  分项工程生产率和施工周期表         0-3分</w:t>
            </w:r>
          </w:p>
          <w:p>
            <w:pPr>
              <w:spacing w:line="360" w:lineRule="auto"/>
              <w:rPr>
                <w:rFonts w:hint="eastAsia" w:ascii="宋体" w:hAnsi="宋体"/>
                <w:sz w:val="24"/>
              </w:rPr>
            </w:pPr>
            <w:r>
              <w:rPr>
                <w:rFonts w:hint="eastAsia" w:ascii="宋体" w:hAnsi="宋体"/>
                <w:sz w:val="24"/>
              </w:rPr>
              <w:t>附表五  施工总平面图                       0-3分</w:t>
            </w:r>
          </w:p>
          <w:p>
            <w:pPr>
              <w:spacing w:line="360" w:lineRule="auto"/>
              <w:rPr>
                <w:rFonts w:hint="eastAsia" w:ascii="宋体" w:hAnsi="宋体"/>
                <w:sz w:val="24"/>
              </w:rPr>
            </w:pPr>
            <w:r>
              <w:rPr>
                <w:rFonts w:hint="eastAsia" w:ascii="宋体" w:hAnsi="宋体"/>
                <w:sz w:val="24"/>
              </w:rPr>
              <w:t>附表六  劳动力计划表                       0-3分</w:t>
            </w:r>
          </w:p>
          <w:p>
            <w:pPr>
              <w:spacing w:line="360" w:lineRule="auto"/>
              <w:rPr>
                <w:rFonts w:ascii="宋体" w:hAnsi="宋体"/>
                <w:sz w:val="24"/>
              </w:rPr>
            </w:pPr>
            <w:r>
              <w:rPr>
                <w:rFonts w:hint="eastAsia" w:ascii="宋体" w:hAnsi="宋体"/>
                <w:sz w:val="24"/>
              </w:rPr>
              <w:t>附表七  临时用地计划表                     0-3分</w:t>
            </w:r>
          </w:p>
          <w:p>
            <w:pPr>
              <w:spacing w:line="360" w:lineRule="auto"/>
              <w:rPr>
                <w:rFonts w:ascii="宋体" w:hAnsi="宋体"/>
                <w:sz w:val="24"/>
              </w:rPr>
            </w:pPr>
            <w:r>
              <w:rPr>
                <w:rFonts w:hint="eastAsia" w:ascii="宋体" w:hAnsi="宋体"/>
                <w:sz w:val="24"/>
              </w:rPr>
              <w:t>附表八  外供电力需求计划表                 0-2分</w:t>
            </w:r>
          </w:p>
          <w:p>
            <w:pPr>
              <w:spacing w:line="360" w:lineRule="auto"/>
              <w:rPr>
                <w:rFonts w:ascii="宋体" w:hAnsi="宋体"/>
                <w:sz w:val="24"/>
              </w:rPr>
            </w:pPr>
            <w:r>
              <w:rPr>
                <w:rFonts w:hint="eastAsia" w:ascii="宋体" w:hAnsi="宋体"/>
                <w:sz w:val="24"/>
              </w:rPr>
              <w:t>附表九  合同用款估算表                     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2.2.2</w:t>
            </w:r>
          </w:p>
        </w:tc>
        <w:tc>
          <w:tcPr>
            <w:tcW w:w="16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sz w:val="24"/>
              </w:rPr>
              <w:t>项目管理机构（0-2分）</w:t>
            </w:r>
          </w:p>
        </w:tc>
        <w:tc>
          <w:tcPr>
            <w:tcW w:w="7438"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sz w:val="24"/>
              </w:rPr>
            </w:pPr>
            <w:r>
              <w:rPr>
                <w:rFonts w:hint="eastAsia" w:ascii="宋体" w:hAnsi="宋体"/>
                <w:sz w:val="24"/>
              </w:rPr>
              <w:t>拟派项目班子中施工员、质检员、安全员、造价（预算）员、资料员证件齐全者得2分，每缺一个证件扣0.4分，扣完为止。【以证书原件扫描件或图片为准】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sz w:val="24"/>
              </w:rPr>
              <w:t>技术能力</w:t>
            </w:r>
          </w:p>
          <w:p>
            <w:pPr>
              <w:spacing w:line="360" w:lineRule="auto"/>
              <w:rPr>
                <w:rFonts w:hint="eastAsia" w:ascii="宋体" w:hAnsi="宋体"/>
                <w:sz w:val="24"/>
              </w:rPr>
            </w:pPr>
            <w:r>
              <w:rPr>
                <w:rFonts w:hint="eastAsia" w:ascii="宋体" w:hAnsi="宋体"/>
                <w:sz w:val="24"/>
              </w:rPr>
              <w:t>（0-20分）</w:t>
            </w:r>
          </w:p>
        </w:tc>
        <w:tc>
          <w:tcPr>
            <w:tcW w:w="7438"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sz w:val="24"/>
              </w:rPr>
            </w:pPr>
            <w:r>
              <w:rPr>
                <w:rFonts w:hint="eastAsia" w:ascii="宋体" w:hAnsi="宋体"/>
                <w:sz w:val="24"/>
              </w:rPr>
              <w:t>1、企业业绩（10分）</w:t>
            </w:r>
          </w:p>
          <w:p>
            <w:pPr>
              <w:spacing w:line="360" w:lineRule="auto"/>
              <w:rPr>
                <w:rFonts w:hint="eastAsia" w:ascii="宋体" w:hAnsi="宋体"/>
                <w:sz w:val="24"/>
              </w:rPr>
            </w:pPr>
            <w:r>
              <w:rPr>
                <w:rFonts w:hint="eastAsia" w:ascii="宋体" w:hAnsi="宋体"/>
                <w:sz w:val="24"/>
              </w:rPr>
              <w:t>1.1近年来企业在具有一项类似项目的基础上，再承建过类似项目每项得2分，本项最高10分（应提供法定媒介中标（成交）公示网页截图、合同、中标通知书（或竣工备案表）缺一项不得分。）。</w:t>
            </w:r>
          </w:p>
          <w:p>
            <w:pPr>
              <w:spacing w:line="360" w:lineRule="auto"/>
              <w:rPr>
                <w:rFonts w:hint="eastAsia" w:ascii="宋体" w:hAnsi="宋体"/>
                <w:sz w:val="24"/>
              </w:rPr>
            </w:pPr>
            <w:r>
              <w:rPr>
                <w:rFonts w:hint="eastAsia" w:ascii="宋体" w:hAnsi="宋体"/>
                <w:sz w:val="24"/>
              </w:rPr>
              <w:t>2、项目经理业绩（10分）</w:t>
            </w:r>
          </w:p>
          <w:p>
            <w:pPr>
              <w:pStyle w:val="2"/>
              <w:ind w:firstLine="0" w:firstLineChars="0"/>
              <w:rPr>
                <w:rFonts w:hint="eastAsia" w:ascii="宋体" w:hAnsi="宋体" w:cs="黑体"/>
                <w:kern w:val="2"/>
                <w:sz w:val="24"/>
                <w:lang w:val="en-US" w:eastAsia="zh-CN"/>
              </w:rPr>
            </w:pPr>
            <w:r>
              <w:rPr>
                <w:rFonts w:hint="eastAsia" w:ascii="宋体" w:hAnsi="宋体" w:cs="黑体"/>
                <w:kern w:val="2"/>
                <w:sz w:val="24"/>
                <w:lang w:val="en-US" w:eastAsia="zh-CN"/>
              </w:rPr>
              <w:t>2．1近年来拟派项目经理2017年1月1日以来，承担过类似项目业绩的，得2分，本项最高得10分。（应提供法定媒介中标（成交）公示网页截图、合同、中标通知书（或竣工备案表）缺一项不得分。）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履约信誉</w:t>
            </w:r>
          </w:p>
          <w:p>
            <w:pPr>
              <w:spacing w:line="360" w:lineRule="auto"/>
              <w:rPr>
                <w:rFonts w:hint="eastAsia" w:ascii="宋体" w:hAnsi="宋体"/>
                <w:sz w:val="24"/>
              </w:rPr>
            </w:pPr>
            <w:r>
              <w:rPr>
                <w:rFonts w:hint="eastAsia" w:ascii="宋体" w:hAnsi="宋体"/>
                <w:sz w:val="24"/>
              </w:rPr>
              <w:t>（0-18分）</w:t>
            </w:r>
          </w:p>
        </w:tc>
        <w:tc>
          <w:tcPr>
            <w:tcW w:w="7438"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sz w:val="24"/>
              </w:rPr>
            </w:pPr>
            <w:r>
              <w:rPr>
                <w:rFonts w:hint="eastAsia" w:ascii="宋体" w:hAnsi="宋体"/>
                <w:sz w:val="24"/>
              </w:rPr>
              <w:t>1、企业信用（9分）</w:t>
            </w:r>
          </w:p>
          <w:p>
            <w:pPr>
              <w:spacing w:line="360" w:lineRule="auto"/>
              <w:rPr>
                <w:rFonts w:hint="eastAsia" w:ascii="宋体" w:hAnsi="宋体"/>
                <w:sz w:val="24"/>
              </w:rPr>
            </w:pPr>
            <w:r>
              <w:rPr>
                <w:rFonts w:hint="eastAsia" w:ascii="宋体" w:hAnsi="宋体"/>
                <w:sz w:val="24"/>
              </w:rPr>
              <w:t>1.1企业通过质量管理体系、环境管理体系和职业健康安全管理体系得3分，每缺一项扣1分。【以证书原件扫描件或图片为准】</w:t>
            </w:r>
          </w:p>
          <w:p>
            <w:pPr>
              <w:spacing w:line="360" w:lineRule="auto"/>
              <w:rPr>
                <w:rFonts w:hint="eastAsia" w:ascii="宋体" w:hAnsi="宋体"/>
                <w:sz w:val="24"/>
              </w:rPr>
            </w:pPr>
            <w:r>
              <w:rPr>
                <w:rFonts w:hint="eastAsia" w:ascii="宋体" w:hAnsi="宋体"/>
                <w:sz w:val="24"/>
              </w:rPr>
              <w:t>1.2自2017年1月1日以来企业荣获省级及以上质量奖项者，每项得3分，本项最高得6分。【以证书原件扫描件或图片为准】</w:t>
            </w:r>
          </w:p>
          <w:p>
            <w:pPr>
              <w:spacing w:line="360" w:lineRule="auto"/>
              <w:rPr>
                <w:rFonts w:hint="eastAsia" w:ascii="宋体" w:hAnsi="宋体"/>
                <w:sz w:val="24"/>
              </w:rPr>
            </w:pPr>
            <w:r>
              <w:rPr>
                <w:rFonts w:hint="eastAsia" w:ascii="宋体" w:hAnsi="宋体"/>
                <w:sz w:val="24"/>
              </w:rPr>
              <w:t>2、服务承诺（含扬尘治理等内容）（9分）</w:t>
            </w:r>
          </w:p>
          <w:p>
            <w:pPr>
              <w:spacing w:line="360" w:lineRule="auto"/>
              <w:ind w:firstLine="480" w:firstLineChars="200"/>
              <w:rPr>
                <w:rFonts w:hint="eastAsia" w:ascii="宋体" w:hAnsi="宋体"/>
                <w:sz w:val="24"/>
              </w:rPr>
            </w:pPr>
            <w:r>
              <w:rPr>
                <w:rFonts w:hint="eastAsia" w:ascii="宋体" w:hAnsi="宋体"/>
                <w:sz w:val="24"/>
              </w:rPr>
              <w:t>2.1 含扬尘治理承诺，得0-1分；</w:t>
            </w:r>
          </w:p>
          <w:p>
            <w:pPr>
              <w:spacing w:line="360" w:lineRule="auto"/>
              <w:ind w:firstLine="480" w:firstLineChars="200"/>
              <w:rPr>
                <w:rFonts w:hint="eastAsia" w:ascii="宋体" w:hAnsi="宋体"/>
                <w:sz w:val="24"/>
              </w:rPr>
            </w:pPr>
            <w:r>
              <w:rPr>
                <w:rFonts w:hint="eastAsia" w:ascii="宋体" w:hAnsi="宋体"/>
                <w:sz w:val="24"/>
              </w:rPr>
              <w:t>2.2对施工现场标准化管理作出服务承诺，得0-2分；</w:t>
            </w:r>
          </w:p>
          <w:p>
            <w:pPr>
              <w:spacing w:line="360" w:lineRule="auto"/>
              <w:ind w:firstLine="480" w:firstLineChars="200"/>
              <w:rPr>
                <w:rFonts w:hint="eastAsia" w:ascii="宋体" w:hAnsi="宋体"/>
                <w:sz w:val="24"/>
              </w:rPr>
            </w:pPr>
            <w:r>
              <w:rPr>
                <w:rFonts w:hint="eastAsia" w:ascii="宋体" w:hAnsi="宋体"/>
                <w:sz w:val="24"/>
              </w:rPr>
              <w:t>2.3对政府投资项目工程变更作出服务承诺，得0-2分；</w:t>
            </w:r>
          </w:p>
          <w:p>
            <w:pPr>
              <w:spacing w:line="360" w:lineRule="auto"/>
              <w:ind w:firstLine="480" w:firstLineChars="200"/>
              <w:rPr>
                <w:rFonts w:hint="eastAsia" w:ascii="宋体" w:hAnsi="宋体"/>
                <w:sz w:val="24"/>
              </w:rPr>
            </w:pPr>
            <w:r>
              <w:rPr>
                <w:rFonts w:hint="eastAsia" w:ascii="宋体" w:hAnsi="宋体"/>
                <w:sz w:val="24"/>
              </w:rPr>
              <w:t>2.4对降低业主投入，保证工期和工程质量做出承诺，得0-2分；</w:t>
            </w:r>
          </w:p>
          <w:p>
            <w:pPr>
              <w:spacing w:line="360" w:lineRule="auto"/>
              <w:ind w:firstLine="480" w:firstLineChars="200"/>
              <w:rPr>
                <w:rFonts w:hint="eastAsia" w:ascii="宋体" w:hAnsi="宋体"/>
                <w:sz w:val="24"/>
              </w:rPr>
            </w:pPr>
            <w:r>
              <w:rPr>
                <w:rFonts w:hint="eastAsia" w:ascii="宋体" w:hAnsi="宋体"/>
                <w:sz w:val="24"/>
              </w:rPr>
              <w:t>2.5投标人针对招标项目的特点和要求，结合自身条件和潜力做出优惠和服务承诺，得0-2分；</w:t>
            </w:r>
          </w:p>
          <w:p>
            <w:pPr>
              <w:spacing w:line="360" w:lineRule="auto"/>
              <w:rPr>
                <w:rFonts w:hint="eastAsia" w:ascii="宋体" w:hAnsi="宋体"/>
                <w:sz w:val="24"/>
              </w:rPr>
            </w:pPr>
            <w:r>
              <w:rPr>
                <w:rFonts w:hint="eastAsia" w:ascii="宋体" w:hAnsi="宋体"/>
                <w:sz w:val="24"/>
              </w:rPr>
              <w:t xml:space="preserve">  由评委根据投标文件表述的具体内容酌情打分</w:t>
            </w:r>
            <w:r>
              <w:rPr>
                <w:rFonts w:hint="eastAsia" w:hAnsi="宋体" w:cs="宋体"/>
                <w:bCs/>
                <w:sz w:val="24"/>
              </w:rPr>
              <w:t>，缺项者该项不得分</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95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宋体" w:hAnsi="宋体"/>
                <w:sz w:val="24"/>
              </w:rPr>
            </w:pPr>
            <w:r>
              <w:rPr>
                <w:rFonts w:hint="eastAsia" w:ascii="宋体" w:hAnsi="宋体"/>
                <w:sz w:val="24"/>
              </w:rPr>
              <w:t>评标程序如下：</w:t>
            </w:r>
          </w:p>
          <w:p>
            <w:pPr>
              <w:spacing w:line="360" w:lineRule="auto"/>
              <w:rPr>
                <w:rFonts w:ascii="宋体" w:hAnsi="宋体"/>
                <w:sz w:val="24"/>
              </w:rPr>
            </w:pPr>
            <w:r>
              <w:rPr>
                <w:rFonts w:hint="eastAsia" w:ascii="宋体" w:hAnsi="宋体"/>
                <w:sz w:val="24"/>
              </w:rPr>
              <w:t>1、招标人按照第二章“投标人须知”第5.2.1-5.2.3项的规定对投标文件第一信封（商务及技术文件）进行开标。</w:t>
            </w:r>
          </w:p>
          <w:p>
            <w:pPr>
              <w:spacing w:line="360" w:lineRule="auto"/>
              <w:rPr>
                <w:rFonts w:ascii="宋体" w:hAnsi="宋体"/>
                <w:sz w:val="24"/>
              </w:rPr>
            </w:pPr>
            <w:r>
              <w:rPr>
                <w:rFonts w:hint="eastAsia" w:ascii="宋体" w:hAnsi="宋体"/>
                <w:sz w:val="24"/>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sz w:val="24"/>
              </w:rPr>
              <w:t>各项打分保留小数点后两位，小数点后第三位“四舍五入”。</w:t>
            </w:r>
          </w:p>
          <w:p>
            <w:pPr>
              <w:spacing w:line="360" w:lineRule="auto"/>
              <w:rPr>
                <w:rFonts w:ascii="宋体" w:hAnsi="宋体"/>
                <w:sz w:val="24"/>
              </w:rPr>
            </w:pPr>
            <w:r>
              <w:rPr>
                <w:rFonts w:hint="eastAsia" w:ascii="宋体" w:hAnsi="宋体"/>
                <w:sz w:val="24"/>
              </w:rPr>
              <w:t>3、招标人按照第二章“投标人须知”第5.2.4-5.2.6项的规定对投标文件第一信封（商务及技术文件）评审得分前</w:t>
            </w:r>
            <w:r>
              <w:rPr>
                <w:rFonts w:hint="eastAsia" w:ascii="宋体" w:hAnsi="宋体"/>
                <w:sz w:val="24"/>
                <w:u w:val="single"/>
              </w:rPr>
              <w:t xml:space="preserve"> 3 </w:t>
            </w:r>
            <w:r>
              <w:rPr>
                <w:rFonts w:hint="eastAsia" w:ascii="宋体" w:hAnsi="宋体"/>
                <w:sz w:val="24"/>
              </w:rPr>
              <w:t>名的投标文件第二个信封（投标文件）进行开启。</w:t>
            </w:r>
          </w:p>
          <w:p>
            <w:pPr>
              <w:spacing w:line="360" w:lineRule="auto"/>
              <w:rPr>
                <w:rFonts w:hint="eastAsia" w:ascii="宋体" w:hAnsi="宋体"/>
                <w:sz w:val="24"/>
              </w:rPr>
            </w:pPr>
            <w:r>
              <w:rPr>
                <w:rFonts w:hint="eastAsia" w:ascii="宋体" w:hAnsi="宋体"/>
                <w:sz w:val="24"/>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60" w:lineRule="auto"/>
              <w:rPr>
                <w:rFonts w:hint="eastAsia" w:ascii="宋体" w:hAnsi="宋体"/>
                <w:color w:val="FF0000"/>
                <w:sz w:val="24"/>
              </w:rPr>
            </w:pPr>
            <w:r>
              <w:rPr>
                <w:rFonts w:hint="eastAsia" w:ascii="宋体" w:hAnsi="宋体"/>
                <w:b/>
                <w:sz w:val="24"/>
              </w:rPr>
              <w:t>5、本评分标准中所要求提供的</w:t>
            </w:r>
            <w:r>
              <w:rPr>
                <w:rFonts w:hint="eastAsia" w:hAnsi="宋体" w:cs="宋体"/>
                <w:b/>
                <w:sz w:val="24"/>
              </w:rPr>
              <w:t>证书、证件及业绩等</w:t>
            </w:r>
            <w:r>
              <w:rPr>
                <w:rFonts w:hint="eastAsia" w:ascii="宋体" w:hAnsi="宋体"/>
                <w:b/>
                <w:sz w:val="24"/>
              </w:rPr>
              <w:t>各种证明材料，投标文件中须提供原件扫描件或图片，否则不得分。</w:t>
            </w:r>
          </w:p>
        </w:tc>
      </w:tr>
    </w:tbl>
    <w:p>
      <w:pPr>
        <w:spacing w:line="360" w:lineRule="auto"/>
        <w:rPr>
          <w:rFonts w:ascii="宋体" w:hAnsi="宋体"/>
          <w:sz w:val="24"/>
        </w:rPr>
      </w:pPr>
      <w:r>
        <w:rPr>
          <w:rFonts w:hint="eastAsia" w:ascii="宋体" w:hAnsi="宋体"/>
          <w:sz w:val="24"/>
        </w:rPr>
        <w:t>1. 评标方法</w:t>
      </w:r>
    </w:p>
    <w:p>
      <w:pPr>
        <w:spacing w:line="360" w:lineRule="auto"/>
        <w:ind w:firstLine="480"/>
        <w:rPr>
          <w:rFonts w:hint="eastAsia" w:ascii="宋体" w:hAnsi="宋体"/>
          <w:sz w:val="24"/>
        </w:rPr>
      </w:pPr>
      <w:r>
        <w:rPr>
          <w:rFonts w:hint="eastAsia" w:ascii="宋体" w:hAnsi="宋体"/>
          <w:sz w:val="24"/>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spacing w:line="360" w:lineRule="auto"/>
        <w:ind w:firstLine="480" w:firstLineChars="200"/>
        <w:rPr>
          <w:rFonts w:hint="eastAsia" w:ascii="宋体" w:hAnsi="宋体"/>
          <w:sz w:val="24"/>
        </w:rPr>
      </w:pPr>
      <w:r>
        <w:rPr>
          <w:rFonts w:hint="eastAsia" w:ascii="宋体" w:hAnsi="宋体"/>
          <w:sz w:val="24"/>
        </w:rPr>
        <w:t>投标报价低的优先；</w:t>
      </w:r>
    </w:p>
    <w:p>
      <w:pPr>
        <w:spacing w:line="360" w:lineRule="auto"/>
        <w:ind w:firstLine="480" w:firstLineChars="200"/>
        <w:rPr>
          <w:rFonts w:hint="eastAsia" w:ascii="宋体" w:hAnsi="宋体"/>
          <w:sz w:val="24"/>
        </w:rPr>
      </w:pPr>
      <w:r>
        <w:rPr>
          <w:rFonts w:hint="eastAsia" w:ascii="宋体" w:hAnsi="宋体"/>
          <w:sz w:val="24"/>
        </w:rPr>
        <w:t>被招标项目所在地省级交通运输主管部门评为较高信用等级的投标人优先；</w:t>
      </w:r>
    </w:p>
    <w:p>
      <w:pPr>
        <w:spacing w:line="360" w:lineRule="auto"/>
        <w:ind w:firstLine="480" w:firstLineChars="200"/>
        <w:rPr>
          <w:rFonts w:hint="eastAsia" w:ascii="宋体" w:hAnsi="宋体"/>
          <w:sz w:val="24"/>
        </w:rPr>
      </w:pPr>
      <w:r>
        <w:rPr>
          <w:rFonts w:hint="eastAsia" w:ascii="宋体" w:hAnsi="宋体"/>
          <w:sz w:val="24"/>
        </w:rPr>
        <w:t>商务标和技术标得分较高的投标人优先；</w:t>
      </w:r>
    </w:p>
    <w:p>
      <w:pPr>
        <w:spacing w:line="360" w:lineRule="auto"/>
        <w:ind w:firstLine="480"/>
        <w:rPr>
          <w:rFonts w:hint="eastAsia" w:ascii="宋体" w:hAnsi="宋体"/>
          <w:sz w:val="24"/>
        </w:rPr>
      </w:pPr>
      <w:r>
        <w:rPr>
          <w:rFonts w:hint="eastAsia" w:ascii="宋体" w:hAnsi="宋体"/>
          <w:sz w:val="24"/>
        </w:rPr>
        <w:t>招标人授权直接确定中标人</w:t>
      </w:r>
    </w:p>
    <w:p>
      <w:pPr>
        <w:spacing w:line="360" w:lineRule="auto"/>
        <w:ind w:firstLine="480" w:firstLineChars="200"/>
        <w:rPr>
          <w:rFonts w:hint="eastAsia" w:ascii="宋体" w:hAnsi="宋体"/>
          <w:sz w:val="24"/>
        </w:rPr>
      </w:pPr>
      <w:r>
        <w:rPr>
          <w:rFonts w:hint="eastAsia" w:ascii="宋体" w:hAnsi="宋体"/>
          <w:sz w:val="24"/>
        </w:rPr>
        <w:t>2.评审标准</w:t>
      </w:r>
    </w:p>
    <w:p>
      <w:pPr>
        <w:spacing w:line="360" w:lineRule="auto"/>
        <w:ind w:firstLine="480" w:firstLineChars="200"/>
        <w:rPr>
          <w:rFonts w:hint="eastAsia" w:ascii="宋体" w:hAnsi="宋体"/>
          <w:sz w:val="24"/>
        </w:rPr>
      </w:pPr>
      <w:r>
        <w:rPr>
          <w:rFonts w:hint="eastAsia" w:ascii="宋体" w:hAnsi="宋体"/>
          <w:sz w:val="24"/>
        </w:rPr>
        <w:t>2.1初步评审标准</w:t>
      </w:r>
    </w:p>
    <w:p>
      <w:pPr>
        <w:spacing w:line="360" w:lineRule="auto"/>
        <w:ind w:firstLine="480" w:firstLineChars="200"/>
        <w:rPr>
          <w:rFonts w:hint="eastAsia" w:ascii="宋体" w:hAnsi="宋体"/>
          <w:sz w:val="24"/>
        </w:rPr>
      </w:pPr>
      <w:r>
        <w:rPr>
          <w:rFonts w:hint="eastAsia" w:ascii="宋体" w:hAnsi="宋体"/>
          <w:sz w:val="24"/>
        </w:rPr>
        <w:t>2.1.1形式评审标准：见评标办法前附表。</w:t>
      </w:r>
    </w:p>
    <w:p>
      <w:pPr>
        <w:spacing w:line="360" w:lineRule="auto"/>
        <w:ind w:firstLine="480" w:firstLineChars="200"/>
        <w:rPr>
          <w:rFonts w:hint="eastAsia" w:ascii="宋体" w:hAnsi="宋体"/>
          <w:sz w:val="24"/>
        </w:rPr>
      </w:pPr>
      <w:r>
        <w:rPr>
          <w:rFonts w:hint="eastAsia" w:ascii="宋体" w:hAnsi="宋体"/>
          <w:sz w:val="24"/>
        </w:rPr>
        <w:t>2.1.2资格评审标准：见评标办法前附表。</w:t>
      </w:r>
    </w:p>
    <w:p>
      <w:pPr>
        <w:spacing w:line="360" w:lineRule="auto"/>
        <w:ind w:firstLine="480" w:firstLineChars="200"/>
        <w:rPr>
          <w:rFonts w:hint="eastAsia" w:ascii="宋体" w:hAnsi="宋体"/>
          <w:sz w:val="24"/>
        </w:rPr>
      </w:pPr>
      <w:r>
        <w:rPr>
          <w:rFonts w:hint="eastAsia" w:ascii="宋体" w:hAnsi="宋体"/>
          <w:sz w:val="24"/>
        </w:rPr>
        <w:t>2.1.3响应性评审标准：见评标办法前附表。</w:t>
      </w:r>
    </w:p>
    <w:p>
      <w:pPr>
        <w:spacing w:line="360" w:lineRule="auto"/>
        <w:ind w:firstLine="480" w:firstLineChars="200"/>
        <w:rPr>
          <w:rFonts w:hint="eastAsia" w:ascii="宋体" w:hAnsi="宋体"/>
          <w:sz w:val="24"/>
        </w:rPr>
      </w:pPr>
      <w:r>
        <w:rPr>
          <w:rFonts w:hint="eastAsia" w:ascii="宋体" w:hAnsi="宋体"/>
          <w:sz w:val="24"/>
        </w:rPr>
        <w:t xml:space="preserve">2.2 分值构成与评分标准 </w:t>
      </w:r>
    </w:p>
    <w:p>
      <w:pPr>
        <w:spacing w:line="360" w:lineRule="auto"/>
        <w:ind w:firstLine="480" w:firstLineChars="200"/>
        <w:rPr>
          <w:rFonts w:hint="eastAsia" w:ascii="宋体" w:hAnsi="宋体"/>
          <w:sz w:val="24"/>
        </w:rPr>
      </w:pPr>
      <w:r>
        <w:rPr>
          <w:rFonts w:hint="eastAsia" w:ascii="宋体" w:hAnsi="宋体"/>
          <w:sz w:val="24"/>
        </w:rPr>
        <w:t xml:space="preserve">2.2.1 1 第一个信封评分分值构成 </w:t>
      </w:r>
    </w:p>
    <w:p>
      <w:pPr>
        <w:spacing w:line="360" w:lineRule="auto"/>
        <w:ind w:firstLine="480" w:firstLineChars="200"/>
        <w:rPr>
          <w:rFonts w:hint="eastAsia" w:ascii="宋体" w:hAnsi="宋体"/>
          <w:sz w:val="24"/>
        </w:rPr>
      </w:pPr>
      <w:r>
        <w:rPr>
          <w:rFonts w:hint="eastAsia" w:ascii="宋体" w:hAnsi="宋体"/>
          <w:sz w:val="24"/>
        </w:rPr>
        <w:t>(1)施工组织设计：见评标办法前附表。</w:t>
      </w:r>
    </w:p>
    <w:p>
      <w:pPr>
        <w:spacing w:line="360" w:lineRule="auto"/>
        <w:ind w:firstLine="480" w:firstLineChars="200"/>
        <w:rPr>
          <w:rFonts w:hint="eastAsia" w:ascii="宋体" w:hAnsi="宋体"/>
          <w:sz w:val="24"/>
        </w:rPr>
      </w:pPr>
      <w:r>
        <w:rPr>
          <w:rFonts w:hint="eastAsia" w:ascii="宋体" w:hAnsi="宋体"/>
          <w:sz w:val="24"/>
        </w:rPr>
        <w:t>(2)主要人员：见评标办法前附表。</w:t>
      </w:r>
    </w:p>
    <w:p>
      <w:pPr>
        <w:spacing w:line="360" w:lineRule="auto"/>
        <w:ind w:firstLine="480" w:firstLineChars="200"/>
        <w:rPr>
          <w:rFonts w:hint="eastAsia" w:ascii="宋体" w:hAnsi="宋体"/>
          <w:sz w:val="24"/>
        </w:rPr>
      </w:pPr>
      <w:r>
        <w:rPr>
          <w:rFonts w:hint="eastAsia" w:ascii="宋体" w:hAnsi="宋体"/>
          <w:sz w:val="24"/>
        </w:rPr>
        <w:t>(3)技术能力：见评标办法前附表。</w:t>
      </w:r>
    </w:p>
    <w:p>
      <w:pPr>
        <w:spacing w:line="360" w:lineRule="auto"/>
        <w:ind w:firstLine="480" w:firstLineChars="200"/>
        <w:rPr>
          <w:rFonts w:hint="eastAsia" w:ascii="宋体" w:hAnsi="宋体"/>
          <w:sz w:val="24"/>
        </w:rPr>
      </w:pPr>
      <w:r>
        <w:rPr>
          <w:rFonts w:hint="eastAsia" w:ascii="宋体" w:hAnsi="宋体"/>
          <w:sz w:val="24"/>
        </w:rPr>
        <w:t>(4)履约信誉：见评标办法前附表。</w:t>
      </w:r>
    </w:p>
    <w:p>
      <w:pPr>
        <w:spacing w:line="360" w:lineRule="auto"/>
        <w:ind w:firstLine="480" w:firstLineChars="200"/>
        <w:rPr>
          <w:rFonts w:hint="eastAsia" w:ascii="宋体" w:hAnsi="宋体"/>
          <w:sz w:val="24"/>
        </w:rPr>
      </w:pPr>
      <w:r>
        <w:rPr>
          <w:rFonts w:hint="eastAsia" w:ascii="宋体" w:hAnsi="宋体"/>
          <w:sz w:val="24"/>
        </w:rPr>
        <w:t xml:space="preserve">2.2.2  第一个信封评分评分标准 </w:t>
      </w:r>
    </w:p>
    <w:p>
      <w:pPr>
        <w:spacing w:line="360" w:lineRule="auto"/>
        <w:ind w:firstLine="480" w:firstLineChars="200"/>
        <w:rPr>
          <w:rFonts w:hint="eastAsia" w:ascii="宋体" w:hAnsi="宋体"/>
          <w:sz w:val="24"/>
        </w:rPr>
      </w:pPr>
      <w:r>
        <w:rPr>
          <w:rFonts w:hint="eastAsia" w:ascii="宋体" w:hAnsi="宋体"/>
          <w:sz w:val="24"/>
        </w:rPr>
        <w:t xml:space="preserve">(1)施工组织设计评审标准：见评标办法前附表。 </w:t>
      </w:r>
    </w:p>
    <w:p>
      <w:pPr>
        <w:spacing w:line="360" w:lineRule="auto"/>
        <w:ind w:firstLine="480" w:firstLineChars="200"/>
        <w:rPr>
          <w:rFonts w:hint="eastAsia" w:ascii="宋体" w:hAnsi="宋体"/>
          <w:sz w:val="24"/>
        </w:rPr>
      </w:pPr>
      <w:r>
        <w:rPr>
          <w:rFonts w:hint="eastAsia" w:ascii="宋体" w:hAnsi="宋体"/>
          <w:sz w:val="24"/>
        </w:rPr>
        <w:t xml:space="preserve">(2)主要人员评审标准：见评标办法前附表。 </w:t>
      </w:r>
    </w:p>
    <w:p>
      <w:pPr>
        <w:spacing w:line="360" w:lineRule="auto"/>
        <w:ind w:firstLine="480" w:firstLineChars="200"/>
        <w:rPr>
          <w:rFonts w:hint="eastAsia" w:ascii="宋体" w:hAnsi="宋体"/>
          <w:sz w:val="24"/>
        </w:rPr>
      </w:pPr>
      <w:r>
        <w:rPr>
          <w:rFonts w:hint="eastAsia" w:ascii="宋体" w:hAnsi="宋体"/>
          <w:sz w:val="24"/>
        </w:rPr>
        <w:t>(3)技术能力评审标准：见评标办法前附表。</w:t>
      </w:r>
    </w:p>
    <w:p>
      <w:pPr>
        <w:spacing w:line="360" w:lineRule="auto"/>
        <w:ind w:firstLine="480" w:firstLineChars="200"/>
        <w:rPr>
          <w:rFonts w:hint="eastAsia" w:ascii="宋体" w:hAnsi="宋体"/>
          <w:sz w:val="24"/>
        </w:rPr>
      </w:pPr>
      <w:r>
        <w:rPr>
          <w:rFonts w:hint="eastAsia" w:ascii="宋体" w:hAnsi="宋体"/>
          <w:sz w:val="24"/>
        </w:rPr>
        <w:t>(4)履约信誉评审标准：见评标办法前附表。</w:t>
      </w:r>
    </w:p>
    <w:p>
      <w:pPr>
        <w:numPr>
          <w:ilvl w:val="1"/>
          <w:numId w:val="3"/>
        </w:numPr>
        <w:spacing w:line="360" w:lineRule="auto"/>
        <w:ind w:left="1080" w:hanging="596"/>
        <w:rPr>
          <w:rFonts w:hint="eastAsia" w:ascii="宋体" w:hAnsi="宋体"/>
          <w:sz w:val="24"/>
        </w:rPr>
      </w:pPr>
      <w:r>
        <w:rPr>
          <w:rFonts w:hint="eastAsia" w:ascii="宋体" w:hAnsi="宋体"/>
          <w:sz w:val="24"/>
        </w:rPr>
        <w:t>第二个信封详细评审标准：见评标办法前附表。</w:t>
      </w:r>
    </w:p>
    <w:p>
      <w:pPr>
        <w:numPr>
          <w:ilvl w:val="0"/>
          <w:numId w:val="4"/>
        </w:numPr>
        <w:spacing w:line="360" w:lineRule="auto"/>
        <w:ind w:left="420" w:hanging="416"/>
        <w:rPr>
          <w:rFonts w:hint="eastAsia" w:ascii="宋体" w:hAnsi="宋体"/>
          <w:sz w:val="24"/>
        </w:rPr>
      </w:pPr>
      <w:r>
        <w:rPr>
          <w:rFonts w:hint="eastAsia" w:ascii="宋体" w:hAnsi="宋体"/>
          <w:sz w:val="24"/>
        </w:rPr>
        <w:t>评标程序</w:t>
      </w:r>
    </w:p>
    <w:p>
      <w:pPr>
        <w:spacing w:line="360" w:lineRule="auto"/>
        <w:rPr>
          <w:rFonts w:hint="eastAsia" w:ascii="宋体" w:hAnsi="宋体"/>
          <w:sz w:val="24"/>
        </w:rPr>
      </w:pPr>
      <w:r>
        <w:rPr>
          <w:rFonts w:hint="eastAsia" w:ascii="宋体" w:hAnsi="宋体"/>
          <w:sz w:val="24"/>
        </w:rPr>
        <w:t>3.1 第一个信封初步评审</w:t>
      </w:r>
    </w:p>
    <w:p>
      <w:pPr>
        <w:spacing w:line="360" w:lineRule="auto"/>
        <w:ind w:left="480"/>
        <w:rPr>
          <w:rFonts w:hint="eastAsia" w:ascii="宋体" w:hAnsi="宋体"/>
          <w:sz w:val="24"/>
        </w:rPr>
      </w:pPr>
      <w:r>
        <w:rPr>
          <w:rFonts w:hint="eastAsia" w:ascii="宋体" w:hAnsi="宋体"/>
          <w:sz w:val="24"/>
        </w:rPr>
        <w:t>3.1.1评标委员会依据本章第 2.1 款规定的标准对投标文件第一个信封（商务及技术文件）进行初步评审。有一项不符合评审标准的，评标委员会应否决其投标。</w:t>
      </w:r>
    </w:p>
    <w:p>
      <w:pPr>
        <w:numPr>
          <w:ilvl w:val="0"/>
          <w:numId w:val="5"/>
        </w:numPr>
        <w:spacing w:line="360" w:lineRule="auto"/>
        <w:ind w:left="480" w:hanging="476"/>
        <w:rPr>
          <w:rFonts w:hint="eastAsia" w:ascii="宋体" w:hAnsi="宋体"/>
          <w:sz w:val="24"/>
        </w:rPr>
      </w:pPr>
      <w:r>
        <w:rPr>
          <w:rFonts w:hint="eastAsia" w:ascii="宋体" w:hAnsi="宋体"/>
          <w:sz w:val="24"/>
        </w:rPr>
        <w:t>第一个信封详细评审</w:t>
      </w:r>
    </w:p>
    <w:p>
      <w:pPr>
        <w:numPr>
          <w:ilvl w:val="1"/>
          <w:numId w:val="5"/>
        </w:numPr>
        <w:spacing w:line="360" w:lineRule="auto"/>
        <w:ind w:right="120" w:firstLine="484"/>
        <w:rPr>
          <w:rFonts w:hint="eastAsia" w:ascii="宋体" w:hAnsi="宋体"/>
          <w:sz w:val="24"/>
        </w:rPr>
      </w:pPr>
      <w:r>
        <w:rPr>
          <w:rFonts w:hint="eastAsia" w:ascii="宋体" w:hAnsi="宋体"/>
          <w:sz w:val="24"/>
        </w:rPr>
        <w:t>评标委员会按本章第 2.2 款规定的量化因素和分值进行打分，并计算出各投标人的商务和技术得分。</w:t>
      </w:r>
    </w:p>
    <w:p>
      <w:pPr>
        <w:spacing w:line="360" w:lineRule="auto"/>
        <w:ind w:right="120" w:firstLine="480"/>
        <w:rPr>
          <w:rFonts w:hint="eastAsia" w:ascii="宋体" w:hAnsi="宋体"/>
          <w:sz w:val="24"/>
        </w:rPr>
      </w:pPr>
      <w:r>
        <w:rPr>
          <w:rFonts w:hint="eastAsia" w:ascii="宋体" w:hAnsi="宋体"/>
          <w:sz w:val="24"/>
        </w:rPr>
        <w:t>（1）按本章第 2.2.2 项规定的评审因素和分值对施工组织设计部分计算出得分 A；</w:t>
      </w:r>
    </w:p>
    <w:p>
      <w:pPr>
        <w:spacing w:line="360" w:lineRule="auto"/>
        <w:ind w:left="480"/>
        <w:rPr>
          <w:rFonts w:hint="eastAsia" w:ascii="宋体" w:hAnsi="宋体"/>
          <w:sz w:val="24"/>
        </w:rPr>
      </w:pPr>
      <w:r>
        <w:rPr>
          <w:rFonts w:hint="eastAsia" w:ascii="宋体" w:hAnsi="宋体"/>
          <w:sz w:val="24"/>
        </w:rPr>
        <w:t>（2）按本章第 2.2.2项规定的评审因素和分值对主要人员部分计算出得分 B；</w:t>
      </w:r>
    </w:p>
    <w:p>
      <w:pPr>
        <w:spacing w:line="360" w:lineRule="auto"/>
        <w:ind w:firstLine="480" w:firstLineChars="200"/>
        <w:rPr>
          <w:rFonts w:hint="eastAsia" w:ascii="宋体" w:hAnsi="宋体"/>
          <w:sz w:val="24"/>
        </w:rPr>
      </w:pPr>
      <w:r>
        <w:rPr>
          <w:rFonts w:hint="eastAsia" w:ascii="宋体" w:hAnsi="宋体"/>
          <w:sz w:val="24"/>
        </w:rPr>
        <w:t>（3）按本章第 2.2.2项规定的评审因素和分值对技术能力部分算出得分C。</w:t>
      </w:r>
    </w:p>
    <w:p>
      <w:pPr>
        <w:spacing w:line="360" w:lineRule="auto"/>
        <w:ind w:firstLine="480" w:firstLineChars="200"/>
        <w:rPr>
          <w:rFonts w:hint="eastAsia" w:ascii="宋体" w:hAnsi="宋体"/>
          <w:sz w:val="24"/>
        </w:rPr>
      </w:pPr>
      <w:r>
        <w:rPr>
          <w:rFonts w:hint="eastAsia" w:ascii="宋体" w:hAnsi="宋体"/>
          <w:sz w:val="24"/>
        </w:rPr>
        <w:t>（4）按本章第2.2.2规定的评审因素和分值对履约信誉部分算出得分 D</w:t>
      </w:r>
    </w:p>
    <w:p>
      <w:pPr>
        <w:spacing w:line="360" w:lineRule="auto"/>
        <w:ind w:left="480"/>
        <w:rPr>
          <w:rFonts w:hint="eastAsia" w:ascii="宋体" w:hAnsi="宋体"/>
          <w:sz w:val="24"/>
        </w:rPr>
      </w:pPr>
      <w:r>
        <w:rPr>
          <w:rFonts w:hint="eastAsia" w:ascii="宋体" w:hAnsi="宋体"/>
          <w:sz w:val="24"/>
        </w:rPr>
        <w:t>3.2.2  投标人的商务和技术得分分值计算保留小数点后两位，小数点后第三位</w:t>
      </w:r>
    </w:p>
    <w:p>
      <w:pPr>
        <w:spacing w:line="360" w:lineRule="auto"/>
        <w:rPr>
          <w:rFonts w:hint="eastAsia" w:ascii="宋体" w:hAnsi="宋体"/>
          <w:sz w:val="24"/>
        </w:rPr>
      </w:pPr>
      <w:r>
        <w:rPr>
          <w:rFonts w:hint="eastAsia" w:ascii="宋体" w:hAnsi="宋体"/>
          <w:sz w:val="24"/>
        </w:rPr>
        <w:t>“四舍五入”。</w:t>
      </w:r>
    </w:p>
    <w:p>
      <w:pPr>
        <w:spacing w:line="360" w:lineRule="auto"/>
        <w:ind w:firstLine="480" w:firstLineChars="200"/>
        <w:rPr>
          <w:rFonts w:hint="eastAsia" w:ascii="宋体" w:hAnsi="宋体"/>
          <w:sz w:val="24"/>
        </w:rPr>
      </w:pPr>
      <w:r>
        <w:rPr>
          <w:rFonts w:hint="eastAsia" w:ascii="宋体" w:hAnsi="宋体"/>
          <w:sz w:val="24"/>
        </w:rPr>
        <w:t>3.2.3投标人的商务和技术得分＝A+B+C+D。</w:t>
      </w:r>
    </w:p>
    <w:p>
      <w:pPr>
        <w:spacing w:line="360" w:lineRule="auto"/>
        <w:ind w:firstLine="480" w:firstLineChars="200"/>
        <w:rPr>
          <w:rFonts w:hint="eastAsia" w:ascii="宋体" w:hAnsi="宋体"/>
          <w:sz w:val="24"/>
        </w:rPr>
      </w:pPr>
      <w:r>
        <w:rPr>
          <w:rFonts w:hint="eastAsia" w:ascii="宋体" w:hAnsi="宋体"/>
          <w:sz w:val="24"/>
        </w:rPr>
        <w:t>3.2.4通过投标文件第一个信封（商务及技术文件）初步评审的投标人未超过评标办法前附表第 3 项规定数量的，均通过投标文件第一个信封（商务及技术文件）详细评审，不再对投标人的商务和技术文件进行评分。</w:t>
      </w:r>
    </w:p>
    <w:p>
      <w:pPr>
        <w:spacing w:line="360" w:lineRule="auto"/>
        <w:ind w:right="120" w:firstLine="482" w:firstLineChars="200"/>
        <w:rPr>
          <w:rFonts w:hint="eastAsia"/>
          <w:b/>
          <w:sz w:val="24"/>
        </w:rPr>
      </w:pPr>
      <w:r>
        <w:rPr>
          <w:rFonts w:hint="eastAsia"/>
          <w:b/>
          <w:sz w:val="24"/>
        </w:rPr>
        <w:t>投标文件第一个信封(商务及技术文件)不得出现有关投标报价的内容，否则评标委员会将对投标文件第一个信封(商务及技术文件)作废标处理。</w:t>
      </w:r>
    </w:p>
    <w:p>
      <w:pPr>
        <w:spacing w:line="360" w:lineRule="auto"/>
        <w:rPr>
          <w:rFonts w:hint="eastAsia" w:ascii="宋体" w:hAnsi="宋体"/>
          <w:sz w:val="24"/>
        </w:rPr>
      </w:pPr>
      <w:r>
        <w:rPr>
          <w:rFonts w:hint="eastAsia" w:ascii="宋体" w:hAnsi="宋体"/>
          <w:sz w:val="24"/>
        </w:rPr>
        <w:t>3.3 第二个信封开标</w:t>
      </w:r>
    </w:p>
    <w:p>
      <w:pPr>
        <w:spacing w:line="360" w:lineRule="auto"/>
        <w:ind w:firstLine="480" w:firstLineChars="200"/>
        <w:rPr>
          <w:rFonts w:hint="eastAsia" w:ascii="宋体" w:hAnsi="宋体"/>
          <w:sz w:val="24"/>
        </w:rPr>
      </w:pPr>
      <w:r>
        <w:rPr>
          <w:rFonts w:hint="eastAsia" w:ascii="宋体" w:hAnsi="宋体"/>
          <w:sz w:val="24"/>
        </w:rPr>
        <w:t xml:space="preserve">第一个信封（商务及技术文件）评审结束后，招标人将按照第二章“投标人须知”第 5.1 款规定的时间和地点对通过投标文件第一个信封（商务及技术文件）评审的投标文件第二个信封（报价文件）进行开标。 </w:t>
      </w:r>
    </w:p>
    <w:p>
      <w:pPr>
        <w:numPr>
          <w:ilvl w:val="0"/>
          <w:numId w:val="6"/>
        </w:numPr>
        <w:spacing w:line="360" w:lineRule="auto"/>
        <w:ind w:left="480" w:hanging="476"/>
        <w:rPr>
          <w:rFonts w:hint="eastAsia" w:ascii="宋体" w:hAnsi="宋体"/>
          <w:sz w:val="24"/>
        </w:rPr>
      </w:pPr>
      <w:r>
        <w:rPr>
          <w:rFonts w:hint="eastAsia" w:ascii="宋体" w:hAnsi="宋体"/>
          <w:sz w:val="24"/>
        </w:rPr>
        <w:t>第二个信封初步评审</w:t>
      </w:r>
    </w:p>
    <w:p>
      <w:pPr>
        <w:numPr>
          <w:ilvl w:val="1"/>
          <w:numId w:val="6"/>
        </w:numPr>
        <w:spacing w:line="360" w:lineRule="auto"/>
        <w:ind w:right="120" w:firstLine="484"/>
        <w:rPr>
          <w:rFonts w:hint="eastAsia" w:ascii="宋体" w:hAnsi="宋体"/>
          <w:sz w:val="24"/>
        </w:rPr>
      </w:pPr>
      <w:r>
        <w:rPr>
          <w:rFonts w:hint="eastAsia" w:ascii="宋体" w:hAnsi="宋体"/>
          <w:sz w:val="24"/>
        </w:rPr>
        <w:t>评标委员会依据本章第 2.1.1 项、第 2.1.3 项规定的评审标准对投标文件第二个信封（报价文件）进行初步评审。有一项不符合评审标准的，评标委员会应否决其投标。</w:t>
      </w:r>
    </w:p>
    <w:p>
      <w:pPr>
        <w:spacing w:line="360" w:lineRule="auto"/>
        <w:ind w:left="480"/>
        <w:rPr>
          <w:rFonts w:hint="eastAsia" w:ascii="宋体" w:hAnsi="宋体"/>
          <w:sz w:val="24"/>
        </w:rPr>
      </w:pPr>
      <w:r>
        <w:rPr>
          <w:rFonts w:hint="eastAsia" w:ascii="宋体" w:hAnsi="宋体"/>
          <w:sz w:val="24"/>
        </w:rPr>
        <w:t>3.4.2</w:t>
      </w:r>
      <w:r>
        <w:rPr>
          <w:rFonts w:hint="eastAsia" w:ascii="宋体" w:hAnsi="宋体"/>
          <w:sz w:val="24"/>
          <w:vertAlign w:val="superscript"/>
        </w:rPr>
        <w:t>①</w:t>
      </w:r>
      <w:r>
        <w:rPr>
          <w:rFonts w:hint="eastAsia" w:ascii="宋体" w:hAnsi="宋体"/>
          <w:sz w:val="24"/>
        </w:rPr>
        <w:t xml:space="preserve">  投标报价有算术错误的，评标委员会按以下原则对投标报价进行修正，</w:t>
      </w:r>
    </w:p>
    <w:p>
      <w:pPr>
        <w:spacing w:line="360" w:lineRule="auto"/>
        <w:ind w:right="120"/>
        <w:rPr>
          <w:rFonts w:hint="eastAsia" w:ascii="宋体" w:hAnsi="宋体"/>
          <w:sz w:val="24"/>
        </w:rPr>
      </w:pPr>
      <w:r>
        <w:rPr>
          <w:rFonts w:hint="eastAsia" w:ascii="宋体" w:hAnsi="宋体"/>
          <w:sz w:val="24"/>
        </w:rPr>
        <w:t>修正的价格经投标人书面确认后具有约束力。投标人不接受修正价格的，评标委员会应否决其投标。</w:t>
      </w:r>
    </w:p>
    <w:p>
      <w:pPr>
        <w:spacing w:line="360" w:lineRule="auto"/>
        <w:ind w:left="480" w:right="40"/>
        <w:rPr>
          <w:rFonts w:hint="eastAsia" w:ascii="宋体" w:hAnsi="宋体"/>
          <w:sz w:val="24"/>
        </w:rPr>
      </w:pPr>
      <w:r>
        <w:rPr>
          <w:rFonts w:hint="eastAsia" w:ascii="宋体" w:hAnsi="宋体"/>
          <w:sz w:val="24"/>
        </w:rPr>
        <w:t>（1）投标文件中的大写金额与小写金额不一致的，以大写金额为准；</w:t>
      </w:r>
    </w:p>
    <w:p>
      <w:pPr>
        <w:spacing w:line="360" w:lineRule="auto"/>
        <w:ind w:left="480" w:right="40"/>
        <w:rPr>
          <w:rFonts w:hint="eastAsia" w:ascii="宋体" w:hAnsi="宋体"/>
          <w:sz w:val="24"/>
        </w:rPr>
      </w:pPr>
      <w:r>
        <w:rPr>
          <w:rFonts w:hint="eastAsia" w:ascii="宋体" w:hAnsi="宋体"/>
          <w:sz w:val="24"/>
        </w:rPr>
        <w:t>（2）总价金额与依据单价计算出的结果不一致的，以单价金额为准修正总价，</w:t>
      </w:r>
    </w:p>
    <w:p>
      <w:pPr>
        <w:spacing w:line="360" w:lineRule="auto"/>
        <w:rPr>
          <w:rFonts w:hint="eastAsia" w:ascii="宋体" w:hAnsi="宋体"/>
          <w:sz w:val="24"/>
        </w:rPr>
      </w:pPr>
      <w:r>
        <w:rPr>
          <w:rFonts w:hint="eastAsia" w:ascii="宋体" w:hAnsi="宋体"/>
          <w:sz w:val="24"/>
        </w:rPr>
        <w:t>但单价金额小数点有明显错误的除外；</w:t>
      </w:r>
    </w:p>
    <w:p>
      <w:pPr>
        <w:spacing w:line="360" w:lineRule="auto"/>
        <w:ind w:right="120" w:firstLine="480"/>
        <w:rPr>
          <w:rFonts w:hint="eastAsia" w:ascii="宋体" w:hAnsi="宋体"/>
          <w:sz w:val="24"/>
        </w:rPr>
      </w:pPr>
      <w:r>
        <w:rPr>
          <w:rFonts w:hint="eastAsia" w:ascii="宋体" w:hAnsi="宋体"/>
          <w:sz w:val="24"/>
        </w:rPr>
        <w:t>（3）当单价与数量相乘不等于合价时，以单价计算为准，如果单价有明显的小数点位置差错，应以标出的合价为准，同时对单价予以修正；</w:t>
      </w:r>
    </w:p>
    <w:p>
      <w:pPr>
        <w:spacing w:line="360" w:lineRule="auto"/>
        <w:ind w:left="480"/>
        <w:rPr>
          <w:rFonts w:hint="eastAsia" w:ascii="宋体" w:hAnsi="宋体"/>
          <w:sz w:val="24"/>
        </w:rPr>
      </w:pPr>
      <w:r>
        <w:rPr>
          <w:rFonts w:hint="eastAsia" w:ascii="宋体" w:hAnsi="宋体"/>
          <w:sz w:val="24"/>
        </w:rPr>
        <w:t>（4）当各子目的合价累计不等于总价时，应以各子目合价累计数为准，修正总</w:t>
      </w:r>
    </w:p>
    <w:p>
      <w:pPr>
        <w:spacing w:line="360" w:lineRule="auto"/>
        <w:rPr>
          <w:rFonts w:hint="eastAsia" w:ascii="宋体" w:hAnsi="宋体"/>
          <w:sz w:val="24"/>
        </w:rPr>
      </w:pPr>
      <w:r>
        <w:rPr>
          <w:rFonts w:hint="eastAsia" w:ascii="宋体" w:hAnsi="宋体"/>
          <w:sz w:val="24"/>
        </w:rPr>
        <w:t>价。</w:t>
      </w:r>
    </w:p>
    <w:p>
      <w:pPr>
        <w:numPr>
          <w:ilvl w:val="1"/>
          <w:numId w:val="7"/>
        </w:numPr>
        <w:spacing w:line="360" w:lineRule="auto"/>
        <w:ind w:right="120" w:firstLine="484"/>
        <w:rPr>
          <w:rFonts w:hint="eastAsia" w:ascii="宋体" w:hAnsi="宋体"/>
          <w:sz w:val="24"/>
        </w:rPr>
      </w:pPr>
      <w:r>
        <w:rPr>
          <w:rFonts w:hint="eastAsia" w:ascii="宋体" w:hAnsi="宋体"/>
          <w:sz w:val="24"/>
        </w:rPr>
        <w:t>工程量清单中的投标报价有其他错误的，评标委员会按以下原则对投标报价进行修正，修正的价格经投标人书面确认后具有约束力。投标人不接受修正价格的，评标委员会应否决其投标。</w:t>
      </w:r>
    </w:p>
    <w:p>
      <w:pPr>
        <w:spacing w:line="360" w:lineRule="auto"/>
        <w:ind w:firstLine="480"/>
        <w:rPr>
          <w:rFonts w:hint="eastAsia" w:ascii="宋体" w:hAnsi="宋体"/>
          <w:sz w:val="24"/>
        </w:rPr>
      </w:pPr>
      <w:r>
        <w:rPr>
          <w:rFonts w:hint="eastAsia" w:ascii="宋体" w:hAnsi="宋体"/>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auto"/>
        <w:ind w:firstLine="480"/>
        <w:rPr>
          <w:rFonts w:hint="eastAsia" w:ascii="宋体" w:hAnsi="宋体"/>
          <w:sz w:val="24"/>
        </w:rPr>
      </w:pPr>
      <w:r>
        <w:rPr>
          <w:rFonts w:hint="eastAsia" w:ascii="宋体" w:hAnsi="宋体"/>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360" w:lineRule="auto"/>
        <w:ind w:right="120" w:firstLine="480"/>
        <w:rPr>
          <w:rFonts w:hint="eastAsia" w:ascii="宋体" w:hAnsi="宋体"/>
          <w:sz w:val="24"/>
        </w:rPr>
      </w:pPr>
      <w:r>
        <w:rPr>
          <w:rFonts w:hint="eastAsia" w:ascii="宋体" w:hAnsi="宋体"/>
          <w:sz w:val="24"/>
        </w:rPr>
        <w:t>（3）当单价与数量的乘积与合价（金额）虽然一致，但投标人修改了该子目的工程数量，则其合价按招标人给定的工程数量乘以投标人所报单价予以修正。</w:t>
      </w:r>
    </w:p>
    <w:p>
      <w:pPr>
        <w:numPr>
          <w:ilvl w:val="1"/>
          <w:numId w:val="7"/>
        </w:numPr>
        <w:spacing w:line="360" w:lineRule="auto"/>
        <w:ind w:left="1080" w:hanging="596"/>
        <w:rPr>
          <w:rFonts w:hint="eastAsia" w:ascii="宋体" w:hAnsi="宋体"/>
          <w:sz w:val="24"/>
        </w:rPr>
      </w:pPr>
      <w:r>
        <w:rPr>
          <w:rFonts w:hint="eastAsia" w:ascii="宋体" w:hAnsi="宋体"/>
          <w:sz w:val="24"/>
        </w:rPr>
        <w:t>修正后的最终投标报价若超过最高投标限价（如有），评标委员会应否决</w:t>
      </w:r>
    </w:p>
    <w:p>
      <w:pPr>
        <w:spacing w:line="360" w:lineRule="auto"/>
        <w:rPr>
          <w:rFonts w:hint="eastAsia" w:ascii="宋体" w:hAnsi="宋体"/>
          <w:sz w:val="24"/>
        </w:rPr>
      </w:pPr>
      <w:r>
        <w:rPr>
          <w:rFonts w:hint="eastAsia" w:ascii="宋体" w:hAnsi="宋体"/>
          <w:sz w:val="24"/>
        </w:rPr>
        <w:t>其投标。</w:t>
      </w:r>
    </w:p>
    <w:p>
      <w:pPr>
        <w:numPr>
          <w:ilvl w:val="0"/>
          <w:numId w:val="8"/>
        </w:numPr>
        <w:spacing w:line="360" w:lineRule="auto"/>
        <w:ind w:left="480" w:hanging="476"/>
        <w:rPr>
          <w:rFonts w:hint="eastAsia" w:ascii="宋体" w:hAnsi="宋体"/>
          <w:sz w:val="24"/>
        </w:rPr>
      </w:pPr>
      <w:r>
        <w:rPr>
          <w:rFonts w:hint="eastAsia" w:ascii="宋体" w:hAnsi="宋体"/>
          <w:sz w:val="24"/>
        </w:rPr>
        <w:t>第二个信封详细评审</w:t>
      </w:r>
    </w:p>
    <w:p>
      <w:pPr>
        <w:numPr>
          <w:ilvl w:val="1"/>
          <w:numId w:val="8"/>
        </w:numPr>
        <w:spacing w:line="360" w:lineRule="auto"/>
        <w:ind w:right="120" w:firstLine="484"/>
        <w:rPr>
          <w:rFonts w:hint="eastAsia" w:ascii="宋体" w:hAnsi="宋体"/>
          <w:sz w:val="24"/>
        </w:rPr>
      </w:pPr>
      <w:r>
        <w:rPr>
          <w:rFonts w:hint="eastAsia" w:ascii="宋体" w:hAnsi="宋体"/>
          <w:sz w:val="24"/>
        </w:rPr>
        <w:t>评标委员会按本章第 2.2 款规定的量化因素和标准进行价格折算，计算出评标价，并编制价格比较一览表。</w:t>
      </w:r>
    </w:p>
    <w:p>
      <w:pPr>
        <w:spacing w:line="360" w:lineRule="auto"/>
        <w:rPr>
          <w:rFonts w:hint="eastAsia" w:ascii="宋体" w:hAnsi="宋体"/>
          <w:sz w:val="24"/>
        </w:rPr>
      </w:pPr>
      <w:r>
        <w:rPr>
          <w:rFonts w:hint="eastAsia" w:ascii="宋体" w:hAnsi="宋体"/>
          <w:sz w:val="24"/>
        </w:rPr>
        <w:t>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spacing w:line="360" w:lineRule="auto"/>
        <w:rPr>
          <w:rFonts w:hint="eastAsia" w:ascii="宋体" w:hAnsi="宋体"/>
          <w:sz w:val="24"/>
        </w:rPr>
      </w:pPr>
      <w:r>
        <w:rPr>
          <w:rFonts w:hint="eastAsia" w:ascii="宋体" w:hAnsi="宋体"/>
          <w:sz w:val="24"/>
        </w:rPr>
        <w:t>3.6投标文件相关信息的核查</w:t>
      </w:r>
    </w:p>
    <w:p>
      <w:pPr>
        <w:numPr>
          <w:ilvl w:val="1"/>
          <w:numId w:val="9"/>
        </w:numPr>
        <w:spacing w:line="360" w:lineRule="auto"/>
        <w:ind w:firstLine="484"/>
        <w:rPr>
          <w:rFonts w:hint="eastAsia" w:ascii="宋体" w:hAnsi="宋体"/>
          <w:sz w:val="24"/>
        </w:rPr>
      </w:pPr>
      <w:r>
        <w:rPr>
          <w:rFonts w:hint="eastAsia" w:ascii="宋体" w:hAnsi="宋体"/>
          <w:sz w:val="24"/>
        </w:rPr>
        <w:t xml:space="preserve">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                                                  </w:t>
      </w:r>
    </w:p>
    <w:p>
      <w:pPr>
        <w:numPr>
          <w:ilvl w:val="1"/>
          <w:numId w:val="9"/>
        </w:numPr>
        <w:spacing w:line="360" w:lineRule="auto"/>
        <w:ind w:firstLine="484"/>
        <w:rPr>
          <w:rFonts w:hint="eastAsia" w:ascii="宋体" w:hAnsi="宋体"/>
          <w:sz w:val="24"/>
        </w:rPr>
      </w:pPr>
      <w:r>
        <w:rPr>
          <w:rFonts w:hint="eastAsia" w:ascii="宋体" w:hAnsi="宋体"/>
          <w:sz w:val="24"/>
        </w:rPr>
        <w:t>在评标过程中，如有效投标不足3个，评标委员会应当对有效投标是否仍具有竞争性进行评审。评标委员会一致认为有效投标仍具有竞争性的，应当继续推荐中标候选人，并在评标报告中予以说明。评标委员会对有效投标是否仍具有竞争性无法达到一致意见的，应当否决全部投标。</w:t>
      </w:r>
      <w:r>
        <w:rPr>
          <w:rFonts w:hint="eastAsia" w:ascii="新宋体" w:hAnsi="新宋体" w:eastAsia="新宋体" w:cs="宋体"/>
          <w:kern w:val="0"/>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r>
        <w:rPr>
          <w:rFonts w:hint="eastAsia" w:ascii="宋体" w:hAnsi="宋体"/>
          <w:sz w:val="24"/>
        </w:rPr>
        <w:t xml:space="preserve">                        </w:t>
      </w:r>
    </w:p>
    <w:p>
      <w:pPr>
        <w:numPr>
          <w:ilvl w:val="1"/>
          <w:numId w:val="9"/>
        </w:numPr>
        <w:spacing w:line="360" w:lineRule="auto"/>
        <w:ind w:left="210" w:leftChars="100"/>
        <w:rPr>
          <w:rFonts w:hint="eastAsia" w:ascii="宋体" w:hAnsi="宋体"/>
          <w:sz w:val="24"/>
        </w:rPr>
      </w:pPr>
      <w:r>
        <w:rPr>
          <w:rFonts w:hint="eastAsia" w:ascii="宋体" w:hAnsi="宋体"/>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360" w:lineRule="auto"/>
        <w:rPr>
          <w:rFonts w:hint="eastAsia" w:ascii="宋体" w:hAnsi="宋体"/>
          <w:sz w:val="24"/>
        </w:rPr>
      </w:pPr>
      <w:r>
        <w:rPr>
          <w:rFonts w:hint="eastAsia" w:ascii="宋体" w:hAnsi="宋体"/>
          <w:sz w:val="24"/>
        </w:rPr>
        <w:t>（1）有下列情形之一的，属于投标人相互串通投标：</w:t>
      </w:r>
    </w:p>
    <w:p>
      <w:pPr>
        <w:spacing w:line="360" w:lineRule="auto"/>
        <w:ind w:firstLine="240" w:firstLineChars="100"/>
        <w:rPr>
          <w:rFonts w:hint="eastAsia" w:ascii="宋体" w:hAnsi="宋体"/>
          <w:sz w:val="24"/>
        </w:rPr>
      </w:pPr>
      <w:r>
        <w:rPr>
          <w:rFonts w:hint="eastAsia" w:ascii="宋体" w:hAnsi="宋体"/>
          <w:sz w:val="24"/>
        </w:rPr>
        <w:t xml:space="preserve">   a.投标人之间协商投标报价等投标文件的实质性内容；</w:t>
      </w:r>
    </w:p>
    <w:p>
      <w:pPr>
        <w:spacing w:line="360" w:lineRule="auto"/>
        <w:ind w:firstLine="480" w:firstLineChars="200"/>
        <w:rPr>
          <w:rFonts w:hint="eastAsia" w:ascii="宋体" w:hAnsi="宋体"/>
          <w:sz w:val="24"/>
        </w:rPr>
      </w:pPr>
      <w:r>
        <w:rPr>
          <w:rFonts w:hint="eastAsia" w:ascii="宋体" w:hAnsi="宋体"/>
          <w:sz w:val="24"/>
        </w:rPr>
        <w:t xml:space="preserve"> b.投标人之间约定中标人；</w:t>
      </w:r>
    </w:p>
    <w:p>
      <w:pPr>
        <w:spacing w:line="360" w:lineRule="auto"/>
        <w:ind w:right="3220" w:firstLine="600" w:firstLineChars="250"/>
        <w:rPr>
          <w:rFonts w:hint="eastAsia" w:ascii="宋体" w:hAnsi="宋体"/>
          <w:sz w:val="24"/>
        </w:rPr>
      </w:pPr>
      <w:r>
        <w:rPr>
          <w:rFonts w:hint="eastAsia" w:ascii="宋体" w:hAnsi="宋体"/>
          <w:sz w:val="24"/>
        </w:rPr>
        <w:t>c.投标人之间约定部分投标人放弃投标或中标；</w:t>
      </w:r>
    </w:p>
    <w:p>
      <w:pPr>
        <w:spacing w:line="360" w:lineRule="auto"/>
        <w:ind w:firstLine="480" w:firstLineChars="200"/>
        <w:rPr>
          <w:rFonts w:hint="eastAsia" w:ascii="宋体" w:hAnsi="宋体"/>
          <w:sz w:val="24"/>
        </w:rPr>
      </w:pPr>
      <w:r>
        <w:rPr>
          <w:rFonts w:hint="eastAsia" w:ascii="宋体" w:hAnsi="宋体"/>
          <w:sz w:val="24"/>
        </w:rPr>
        <w:t xml:space="preserve"> d.属于同一集团、协会、商会等组织成员的投标人按照该组织要求协同投标；</w:t>
      </w:r>
    </w:p>
    <w:p>
      <w:pPr>
        <w:spacing w:line="360" w:lineRule="auto"/>
        <w:ind w:right="100" w:firstLine="600" w:firstLineChars="250"/>
        <w:rPr>
          <w:rFonts w:hint="eastAsia" w:ascii="宋体" w:hAnsi="宋体"/>
          <w:sz w:val="24"/>
        </w:rPr>
      </w:pPr>
      <w:r>
        <w:rPr>
          <w:rFonts w:hint="eastAsia" w:ascii="宋体" w:hAnsi="宋体"/>
          <w:sz w:val="24"/>
        </w:rPr>
        <w:t>e.投标人之间为谋取中标或排斥特定投标人而采取的其他联合行动。</w:t>
      </w:r>
    </w:p>
    <w:p>
      <w:pPr>
        <w:spacing w:line="360" w:lineRule="auto"/>
        <w:rPr>
          <w:rFonts w:hint="eastAsia" w:ascii="宋体" w:hAnsi="宋体"/>
          <w:sz w:val="24"/>
        </w:rPr>
      </w:pPr>
      <w:r>
        <w:rPr>
          <w:rFonts w:hint="eastAsia" w:ascii="宋体" w:hAnsi="宋体"/>
          <w:sz w:val="24"/>
        </w:rPr>
        <w:t>（2）有下列情形之一的，视为投标人相互串通投标：</w:t>
      </w:r>
    </w:p>
    <w:p>
      <w:pPr>
        <w:spacing w:line="360" w:lineRule="auto"/>
        <w:ind w:left="480"/>
        <w:rPr>
          <w:rFonts w:hint="eastAsia" w:ascii="宋体" w:hAnsi="宋体"/>
          <w:sz w:val="24"/>
        </w:rPr>
      </w:pPr>
      <w:r>
        <w:rPr>
          <w:rFonts w:hint="eastAsia" w:ascii="宋体" w:hAnsi="宋体"/>
          <w:sz w:val="24"/>
        </w:rPr>
        <w:t>a.不同投标人的投标文件由同一单位或个人编制；</w:t>
      </w:r>
    </w:p>
    <w:p>
      <w:pPr>
        <w:spacing w:line="360" w:lineRule="auto"/>
        <w:ind w:left="480" w:right="2260"/>
        <w:rPr>
          <w:rFonts w:hint="eastAsia" w:ascii="宋体" w:hAnsi="宋体"/>
          <w:sz w:val="24"/>
        </w:rPr>
      </w:pPr>
      <w:r>
        <w:rPr>
          <w:rFonts w:hint="eastAsia" w:ascii="宋体" w:hAnsi="宋体"/>
          <w:sz w:val="24"/>
        </w:rPr>
        <w:t>b.不同投标人委托同一单位或个人办理投标事宜；</w:t>
      </w:r>
    </w:p>
    <w:p>
      <w:pPr>
        <w:spacing w:line="360" w:lineRule="auto"/>
        <w:ind w:left="480" w:right="2260"/>
        <w:rPr>
          <w:rFonts w:hint="eastAsia" w:ascii="宋体" w:hAnsi="宋体"/>
          <w:sz w:val="24"/>
        </w:rPr>
      </w:pPr>
      <w:r>
        <w:rPr>
          <w:rFonts w:hint="eastAsia" w:ascii="宋体" w:hAnsi="宋体"/>
          <w:sz w:val="24"/>
        </w:rPr>
        <w:t>c.不同投标人的投标文件载明的项目管理成员为同一人；</w:t>
      </w:r>
    </w:p>
    <w:p>
      <w:pPr>
        <w:spacing w:line="360" w:lineRule="auto"/>
        <w:ind w:left="480" w:right="1780"/>
        <w:rPr>
          <w:rFonts w:hint="eastAsia" w:ascii="宋体" w:hAnsi="宋体"/>
          <w:sz w:val="24"/>
        </w:rPr>
      </w:pPr>
      <w:r>
        <w:rPr>
          <w:rFonts w:hint="eastAsia" w:ascii="宋体" w:hAnsi="宋体"/>
          <w:sz w:val="24"/>
        </w:rPr>
        <w:t>d.不同投标人的投标文件异常一致或投标报价呈规律性差异；</w:t>
      </w:r>
    </w:p>
    <w:p>
      <w:pPr>
        <w:spacing w:line="360" w:lineRule="auto"/>
        <w:ind w:left="480" w:right="1780"/>
        <w:rPr>
          <w:rFonts w:hint="eastAsia" w:ascii="宋体" w:hAnsi="宋体"/>
          <w:sz w:val="24"/>
        </w:rPr>
      </w:pPr>
      <w:r>
        <w:rPr>
          <w:rFonts w:hint="eastAsia" w:ascii="宋体" w:hAnsi="宋体"/>
          <w:sz w:val="24"/>
        </w:rPr>
        <w:t>e.不同投标人的投标文件相互混装；</w:t>
      </w:r>
    </w:p>
    <w:p>
      <w:pPr>
        <w:spacing w:line="360" w:lineRule="auto"/>
        <w:ind w:left="480" w:right="1780"/>
        <w:rPr>
          <w:rFonts w:hint="eastAsia" w:ascii="宋体" w:hAnsi="宋体"/>
          <w:sz w:val="24"/>
        </w:rPr>
      </w:pPr>
      <w:r>
        <w:rPr>
          <w:rFonts w:hint="eastAsia" w:ascii="宋体" w:hAnsi="宋体"/>
          <w:sz w:val="24"/>
        </w:rPr>
        <w:t>f.不同投标人的投标保证金从同一单位或个人的账户转出。</w:t>
      </w:r>
    </w:p>
    <w:p>
      <w:pPr>
        <w:spacing w:line="360" w:lineRule="auto"/>
        <w:rPr>
          <w:rFonts w:hint="eastAsia" w:ascii="宋体" w:hAnsi="宋体"/>
          <w:sz w:val="24"/>
        </w:rPr>
      </w:pPr>
      <w:r>
        <w:rPr>
          <w:rFonts w:hint="eastAsia" w:ascii="宋体" w:hAnsi="宋体"/>
          <w:sz w:val="24"/>
        </w:rPr>
        <w:t>（3）有下列情形之一的，属于招标人与投标人串通投标：</w:t>
      </w:r>
    </w:p>
    <w:p>
      <w:pPr>
        <w:spacing w:line="360" w:lineRule="auto"/>
        <w:ind w:left="480"/>
        <w:rPr>
          <w:rFonts w:hint="eastAsia" w:ascii="宋体" w:hAnsi="宋体"/>
          <w:sz w:val="24"/>
        </w:rPr>
      </w:pPr>
      <w:r>
        <w:rPr>
          <w:rFonts w:hint="eastAsia" w:ascii="宋体" w:hAnsi="宋体"/>
          <w:sz w:val="24"/>
        </w:rPr>
        <w:t>a.招标人在开标前开启投标文件并将有关信息泄露给其他投标人;</w:t>
      </w:r>
    </w:p>
    <w:p>
      <w:pPr>
        <w:spacing w:line="360" w:lineRule="auto"/>
        <w:ind w:left="480" w:right="1300"/>
        <w:rPr>
          <w:rFonts w:hint="eastAsia" w:ascii="宋体" w:hAnsi="宋体"/>
          <w:sz w:val="24"/>
        </w:rPr>
      </w:pPr>
      <w:r>
        <w:rPr>
          <w:rFonts w:hint="eastAsia" w:ascii="宋体" w:hAnsi="宋体"/>
          <w:sz w:val="24"/>
        </w:rPr>
        <w:t>b.招标人直接或间接向投标人泄露标底、评标委员会成员等信息；</w:t>
      </w:r>
    </w:p>
    <w:p>
      <w:pPr>
        <w:spacing w:line="360" w:lineRule="auto"/>
        <w:ind w:left="480" w:right="1300"/>
        <w:rPr>
          <w:rFonts w:hint="eastAsia" w:ascii="宋体" w:hAnsi="宋体"/>
          <w:sz w:val="24"/>
        </w:rPr>
      </w:pPr>
      <w:r>
        <w:rPr>
          <w:rFonts w:hint="eastAsia" w:ascii="宋体" w:hAnsi="宋体"/>
          <w:sz w:val="24"/>
        </w:rPr>
        <w:t>c.招标人明示或暗示投标人压低或抬高投标报价；</w:t>
      </w:r>
    </w:p>
    <w:p>
      <w:pPr>
        <w:spacing w:line="360" w:lineRule="auto"/>
        <w:ind w:right="1340" w:firstLine="480" w:firstLineChars="200"/>
        <w:rPr>
          <w:rFonts w:hint="eastAsia" w:ascii="宋体" w:hAnsi="宋体"/>
          <w:sz w:val="24"/>
        </w:rPr>
      </w:pPr>
      <w:r>
        <w:rPr>
          <w:rFonts w:hint="eastAsia" w:ascii="宋体" w:hAnsi="宋体"/>
          <w:sz w:val="24"/>
        </w:rPr>
        <w:t>d.招标人授意投标人撤换、修改投标文件；</w:t>
      </w:r>
    </w:p>
    <w:p>
      <w:pPr>
        <w:spacing w:line="360" w:lineRule="auto"/>
        <w:ind w:right="1340" w:firstLine="480" w:firstLineChars="200"/>
        <w:rPr>
          <w:rFonts w:hint="eastAsia" w:ascii="宋体" w:hAnsi="宋体"/>
          <w:sz w:val="24"/>
        </w:rPr>
      </w:pPr>
      <w:r>
        <w:rPr>
          <w:rFonts w:hint="eastAsia" w:ascii="宋体" w:hAnsi="宋体"/>
          <w:sz w:val="24"/>
        </w:rPr>
        <w:t>e.招标人明示或暗示投标人为特定投标人中标提供方便；</w:t>
      </w:r>
    </w:p>
    <w:p>
      <w:pPr>
        <w:spacing w:line="360" w:lineRule="auto"/>
        <w:ind w:right="1340" w:firstLine="480" w:firstLineChars="200"/>
        <w:rPr>
          <w:rFonts w:hint="eastAsia" w:ascii="宋体" w:hAnsi="宋体"/>
          <w:sz w:val="24"/>
        </w:rPr>
      </w:pPr>
      <w:r>
        <w:rPr>
          <w:rFonts w:hint="eastAsia" w:ascii="宋体" w:hAnsi="宋体"/>
          <w:sz w:val="24"/>
        </w:rPr>
        <w:t>f.招标人与投标人为谋求特定投标人中标而采取的其他串通行为。</w:t>
      </w:r>
    </w:p>
    <w:p>
      <w:pPr>
        <w:spacing w:line="360" w:lineRule="auto"/>
        <w:rPr>
          <w:rFonts w:hint="eastAsia" w:ascii="宋体" w:hAnsi="宋体"/>
          <w:sz w:val="24"/>
        </w:rPr>
      </w:pPr>
      <w:r>
        <w:rPr>
          <w:rFonts w:hint="eastAsia" w:ascii="宋体" w:hAnsi="宋体"/>
          <w:sz w:val="24"/>
        </w:rPr>
        <w:t>（4）投标人有下列情形之一的，属于弄虚作假的行为：</w:t>
      </w:r>
    </w:p>
    <w:p>
      <w:pPr>
        <w:spacing w:line="360" w:lineRule="auto"/>
        <w:ind w:firstLine="480" w:firstLineChars="200"/>
        <w:rPr>
          <w:rFonts w:hint="eastAsia" w:ascii="宋体" w:hAnsi="宋体"/>
          <w:sz w:val="24"/>
        </w:rPr>
      </w:pPr>
      <w:r>
        <w:rPr>
          <w:rFonts w:hint="eastAsia" w:ascii="宋体" w:hAnsi="宋体"/>
          <w:sz w:val="24"/>
        </w:rPr>
        <w:t>a.使用通过受让或租借等方式获取的资格、资质证书投标；</w:t>
      </w:r>
    </w:p>
    <w:p>
      <w:pPr>
        <w:spacing w:line="360" w:lineRule="auto"/>
        <w:ind w:left="480" w:right="5020"/>
        <w:rPr>
          <w:rFonts w:hint="eastAsia" w:ascii="宋体" w:hAnsi="宋体"/>
          <w:sz w:val="24"/>
        </w:rPr>
      </w:pPr>
      <w:r>
        <w:rPr>
          <w:rFonts w:hint="eastAsia" w:ascii="宋体" w:hAnsi="宋体"/>
          <w:sz w:val="24"/>
        </w:rPr>
        <w:t>b.使用伪造、变造的许可证件；</w:t>
      </w:r>
    </w:p>
    <w:p>
      <w:pPr>
        <w:spacing w:line="360" w:lineRule="auto"/>
        <w:ind w:left="480" w:right="5020"/>
        <w:rPr>
          <w:rFonts w:hint="eastAsia" w:ascii="宋体" w:hAnsi="宋体"/>
          <w:sz w:val="24"/>
        </w:rPr>
      </w:pPr>
      <w:r>
        <w:rPr>
          <w:rFonts w:hint="eastAsia" w:ascii="宋体" w:hAnsi="宋体"/>
          <w:sz w:val="24"/>
        </w:rPr>
        <w:t>c.提供虚假的财务状况或业绩；</w:t>
      </w:r>
    </w:p>
    <w:p>
      <w:pPr>
        <w:spacing w:line="360" w:lineRule="auto"/>
        <w:ind w:right="1660" w:firstLine="480" w:firstLineChars="200"/>
        <w:rPr>
          <w:rFonts w:hint="eastAsia" w:ascii="宋体" w:hAnsi="宋体"/>
          <w:sz w:val="24"/>
        </w:rPr>
      </w:pPr>
      <w:r>
        <w:rPr>
          <w:rFonts w:hint="eastAsia" w:ascii="宋体" w:hAnsi="宋体"/>
          <w:sz w:val="24"/>
        </w:rPr>
        <w:t>d.提供虚假的项目经理或主要技术人员简历、劳动关系证明；</w:t>
      </w:r>
    </w:p>
    <w:p>
      <w:pPr>
        <w:spacing w:line="360" w:lineRule="auto"/>
        <w:ind w:right="1660" w:firstLine="480" w:firstLineChars="200"/>
        <w:rPr>
          <w:rFonts w:hint="eastAsia" w:ascii="宋体" w:hAnsi="宋体"/>
          <w:sz w:val="24"/>
        </w:rPr>
      </w:pPr>
      <w:r>
        <w:rPr>
          <w:rFonts w:hint="eastAsia" w:ascii="宋体" w:hAnsi="宋体"/>
          <w:sz w:val="24"/>
        </w:rPr>
        <w:t>e.提供虚假的信用状况；</w:t>
      </w:r>
    </w:p>
    <w:p>
      <w:pPr>
        <w:spacing w:line="360" w:lineRule="auto"/>
        <w:ind w:right="1660" w:firstLine="480" w:firstLineChars="200"/>
        <w:rPr>
          <w:rFonts w:hint="eastAsia" w:ascii="宋体" w:hAnsi="宋体"/>
          <w:sz w:val="24"/>
        </w:rPr>
      </w:pPr>
      <w:r>
        <w:rPr>
          <w:rFonts w:hint="eastAsia" w:ascii="宋体" w:hAnsi="宋体"/>
          <w:sz w:val="24"/>
        </w:rPr>
        <w:t>f.其他弄虚作假的行为。</w:t>
      </w:r>
    </w:p>
    <w:p>
      <w:pPr>
        <w:numPr>
          <w:ilvl w:val="0"/>
          <w:numId w:val="10"/>
        </w:numPr>
        <w:spacing w:line="360" w:lineRule="auto"/>
        <w:ind w:left="480" w:hanging="476"/>
        <w:rPr>
          <w:rFonts w:hint="eastAsia" w:ascii="宋体" w:hAnsi="宋体"/>
          <w:sz w:val="24"/>
        </w:rPr>
      </w:pPr>
      <w:r>
        <w:rPr>
          <w:rFonts w:hint="eastAsia" w:ascii="宋体" w:hAnsi="宋体"/>
          <w:sz w:val="24"/>
        </w:rPr>
        <w:t>投标文件的澄清和说明</w:t>
      </w:r>
    </w:p>
    <w:p>
      <w:pPr>
        <w:numPr>
          <w:ilvl w:val="1"/>
          <w:numId w:val="10"/>
        </w:numPr>
        <w:spacing w:line="360" w:lineRule="auto"/>
        <w:ind w:right="120" w:firstLine="484"/>
        <w:rPr>
          <w:rFonts w:hint="eastAsia" w:ascii="宋体" w:hAnsi="宋体"/>
          <w:sz w:val="24"/>
        </w:rPr>
      </w:pPr>
      <w:r>
        <w:rPr>
          <w:rFonts w:hint="eastAsia" w:ascii="宋体" w:hAnsi="宋体"/>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numPr>
          <w:ilvl w:val="1"/>
          <w:numId w:val="10"/>
        </w:numPr>
        <w:spacing w:line="360" w:lineRule="auto"/>
        <w:ind w:right="120" w:firstLine="484"/>
        <w:rPr>
          <w:rFonts w:hint="eastAsia" w:ascii="宋体" w:hAnsi="宋体"/>
          <w:sz w:val="24"/>
        </w:rPr>
      </w:pPr>
      <w:r>
        <w:rPr>
          <w:rFonts w:hint="eastAsia" w:ascii="宋体" w:hAnsi="宋体"/>
          <w:sz w:val="24"/>
        </w:rPr>
        <w:t>澄清和说明不得超出投标文件的范围或改变投标文件的实质性内容（算术性错误的修正除外）。投标人的书面澄清、说明属于投标文件的组成部分。</w:t>
      </w:r>
    </w:p>
    <w:p>
      <w:pPr>
        <w:numPr>
          <w:ilvl w:val="1"/>
          <w:numId w:val="10"/>
        </w:numPr>
        <w:spacing w:line="360" w:lineRule="auto"/>
        <w:ind w:firstLine="480" w:firstLineChars="200"/>
        <w:rPr>
          <w:rFonts w:hint="eastAsia" w:ascii="宋体" w:hAnsi="宋体"/>
          <w:sz w:val="24"/>
        </w:rPr>
      </w:pPr>
      <w:r>
        <w:rPr>
          <w:rFonts w:hint="eastAsia" w:ascii="宋体" w:hAnsi="宋体"/>
          <w:sz w:val="24"/>
        </w:rPr>
        <w:t>评标委员会不得暗示或诱导投标人作出澄清、说明，对投标人提交的澄清、说明有疑问的，可以要求投标人进一步澄清或说明，直至满足评标委员会的要求。</w:t>
      </w:r>
    </w:p>
    <w:p>
      <w:pPr>
        <w:numPr>
          <w:ilvl w:val="1"/>
          <w:numId w:val="10"/>
        </w:numPr>
        <w:spacing w:line="360" w:lineRule="auto"/>
        <w:ind w:left="105" w:leftChars="50" w:firstLine="480" w:firstLineChars="200"/>
        <w:rPr>
          <w:rFonts w:hint="eastAsia" w:ascii="宋体" w:hAnsi="宋体"/>
          <w:sz w:val="24"/>
        </w:rPr>
      </w:pPr>
      <w:r>
        <w:rPr>
          <w:rFonts w:hint="eastAsia" w:ascii="宋体" w:hAnsi="宋体"/>
          <w:sz w:val="24"/>
        </w:rPr>
        <w:t>凡超出招标文件规定的或给发包人带来未曾要求的利益的变化、偏差或其他因素在评标时不予考虑。</w:t>
      </w:r>
    </w:p>
    <w:p>
      <w:pPr>
        <w:numPr>
          <w:ilvl w:val="0"/>
          <w:numId w:val="10"/>
        </w:numPr>
        <w:spacing w:line="360" w:lineRule="auto"/>
        <w:ind w:left="480" w:hanging="476"/>
        <w:rPr>
          <w:rFonts w:hint="eastAsia" w:ascii="宋体" w:hAnsi="宋体"/>
          <w:sz w:val="24"/>
        </w:rPr>
      </w:pPr>
      <w:r>
        <w:rPr>
          <w:rFonts w:hint="eastAsia" w:ascii="宋体" w:hAnsi="宋体"/>
          <w:sz w:val="24"/>
        </w:rPr>
        <w:t>不得否决投标的情形</w:t>
      </w:r>
    </w:p>
    <w:p>
      <w:pPr>
        <w:spacing w:line="360" w:lineRule="auto"/>
        <w:ind w:firstLine="480"/>
        <w:rPr>
          <w:rFonts w:hint="eastAsia" w:ascii="宋体" w:hAnsi="宋体"/>
          <w:sz w:val="24"/>
        </w:rPr>
      </w:pPr>
      <w:r>
        <w:rPr>
          <w:rFonts w:hint="eastAsia" w:ascii="宋体" w:hAnsi="宋体"/>
          <w:sz w:val="24"/>
        </w:rPr>
        <w:t>投标文件存在第二章“投标人须知”第 1.12.3 项所列情形的，均视为细微偏差，评标委员会不得否决投标人的投标，应按照第二章“投标人须知”第 1.12.4 项规定的原则处理。</w:t>
      </w:r>
    </w:p>
    <w:p>
      <w:pPr>
        <w:numPr>
          <w:ilvl w:val="0"/>
          <w:numId w:val="11"/>
        </w:numPr>
        <w:spacing w:line="360" w:lineRule="auto"/>
        <w:ind w:left="480" w:hanging="476"/>
        <w:rPr>
          <w:rFonts w:hint="eastAsia" w:ascii="宋体" w:hAnsi="宋体"/>
          <w:sz w:val="24"/>
        </w:rPr>
      </w:pPr>
      <w:r>
        <w:rPr>
          <w:rFonts w:hint="eastAsia" w:ascii="宋体" w:hAnsi="宋体"/>
          <w:sz w:val="24"/>
        </w:rPr>
        <w:t>评标结果</w:t>
      </w:r>
    </w:p>
    <w:p>
      <w:pPr>
        <w:numPr>
          <w:ilvl w:val="1"/>
          <w:numId w:val="11"/>
        </w:numPr>
        <w:spacing w:line="360" w:lineRule="auto"/>
        <w:ind w:right="120" w:firstLine="484"/>
        <w:rPr>
          <w:rFonts w:hint="eastAsia" w:ascii="宋体" w:hAnsi="宋体"/>
          <w:sz w:val="24"/>
        </w:rPr>
      </w:pPr>
      <w:r>
        <w:rPr>
          <w:rFonts w:hint="eastAsia" w:ascii="宋体" w:hAnsi="宋体"/>
          <w:sz w:val="24"/>
        </w:rPr>
        <w:t>除第二章“投标人须知”前附表授权直接确定中标人外，评标委员会按照评标价由低到高的顺序推荐中标候选人，并标明排序。</w:t>
      </w:r>
    </w:p>
    <w:p>
      <w:pPr>
        <w:numPr>
          <w:ilvl w:val="1"/>
          <w:numId w:val="11"/>
        </w:numPr>
        <w:spacing w:line="360" w:lineRule="auto"/>
        <w:ind w:left="1080" w:hanging="596"/>
        <w:rPr>
          <w:rFonts w:hint="eastAsia" w:ascii="宋体" w:hAnsi="宋体"/>
          <w:sz w:val="24"/>
        </w:rPr>
      </w:pPr>
      <w:r>
        <w:rPr>
          <w:rFonts w:hint="eastAsia" w:ascii="宋体" w:hAnsi="宋体"/>
          <w:sz w:val="24"/>
        </w:rPr>
        <w:t>评标委员会完成评标后，应向招标人提交书面评标报告。</w:t>
      </w:r>
    </w:p>
    <w:p>
      <w:pPr>
        <w:numPr>
          <w:ilvl w:val="0"/>
          <w:numId w:val="12"/>
        </w:numPr>
        <w:spacing w:line="360" w:lineRule="auto"/>
        <w:rPr>
          <w:rFonts w:hint="eastAsia" w:ascii="宋体" w:hAnsi="宋体"/>
          <w:b/>
          <w:bCs/>
          <w:kern w:val="0"/>
          <w:sz w:val="24"/>
        </w:rPr>
      </w:pPr>
      <w:r>
        <w:rPr>
          <w:rFonts w:hint="eastAsia" w:ascii="宋体" w:hAnsi="宋体"/>
          <w:b/>
          <w:bCs/>
          <w:kern w:val="0"/>
          <w:sz w:val="24"/>
        </w:rPr>
        <w:t>定标</w:t>
      </w:r>
    </w:p>
    <w:p>
      <w:pPr>
        <w:spacing w:line="360" w:lineRule="auto"/>
        <w:ind w:firstLine="480" w:firstLineChars="200"/>
        <w:rPr>
          <w:rFonts w:hint="eastAsia"/>
          <w:sz w:val="24"/>
        </w:rPr>
      </w:pPr>
      <w:r>
        <w:rPr>
          <w:rFonts w:hint="eastAsia" w:ascii="宋体" w:hAnsi="宋体"/>
          <w:kern w:val="0"/>
          <w:sz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auto"/>
        <w:ind w:left="4"/>
        <w:rPr>
          <w:rFonts w:hint="eastAsia" w:ascii="宋体" w:hAnsi="宋体"/>
          <w:b/>
          <w:bCs/>
          <w:color w:val="000000"/>
          <w:sz w:val="24"/>
        </w:rPr>
      </w:pPr>
      <w:r>
        <w:rPr>
          <w:rFonts w:hint="eastAsia" w:ascii="宋体" w:hAnsi="宋体"/>
          <w:b/>
          <w:bCs/>
          <w:color w:val="000000"/>
          <w:sz w:val="24"/>
        </w:rPr>
        <w:t>5、评标报告</w:t>
      </w:r>
    </w:p>
    <w:p>
      <w:pPr>
        <w:spacing w:line="360" w:lineRule="auto"/>
        <w:ind w:left="4" w:firstLine="480" w:firstLineChars="200"/>
        <w:rPr>
          <w:rFonts w:hint="eastAsia" w:ascii="宋体" w:hAnsi="宋体"/>
          <w:color w:val="000000"/>
          <w:spacing w:val="-3"/>
          <w:sz w:val="24"/>
        </w:rPr>
      </w:pPr>
      <w:r>
        <w:rPr>
          <w:rFonts w:hint="eastAsia" w:ascii="宋体" w:hAnsi="宋体"/>
          <w:color w:val="000000"/>
          <w:sz w:val="24"/>
        </w:rPr>
        <w:t>评标委员会根据投标人须知前附表7.1条的规定向招标人提交评标报告。评标报告应当由全体评标委员会成员签字，并于评标结束时抄送有关行政监督部门。</w:t>
      </w:r>
    </w:p>
    <w:p>
      <w:pPr>
        <w:spacing w:line="360" w:lineRule="auto"/>
        <w:ind w:left="4"/>
        <w:rPr>
          <w:rFonts w:hint="eastAsia" w:ascii="宋体" w:hAnsi="宋体"/>
          <w:color w:val="000000"/>
          <w:sz w:val="24"/>
        </w:rPr>
      </w:pPr>
      <w:r>
        <w:rPr>
          <w:rFonts w:hint="eastAsia" w:ascii="宋体" w:hAnsi="宋体"/>
          <w:b/>
          <w:bCs/>
          <w:sz w:val="24"/>
        </w:rPr>
        <w:t>6、公示</w:t>
      </w:r>
    </w:p>
    <w:p>
      <w:pPr>
        <w:spacing w:line="360" w:lineRule="auto"/>
        <w:ind w:left="4" w:firstLine="241" w:firstLineChars="100"/>
        <w:rPr>
          <w:rFonts w:hint="eastAsia" w:ascii="宋体" w:hAnsi="宋体"/>
          <w:color w:val="000000"/>
          <w:sz w:val="24"/>
        </w:rPr>
      </w:pPr>
      <w:r>
        <w:rPr>
          <w:rFonts w:hint="eastAsia" w:ascii="宋体" w:hAnsi="宋体"/>
          <w:b/>
          <w:bCs/>
          <w:sz w:val="24"/>
        </w:rPr>
        <w:t xml:space="preserve">  </w:t>
      </w:r>
      <w:r>
        <w:rPr>
          <w:rFonts w:hint="eastAsia" w:ascii="宋体" w:hAnsi="宋体"/>
          <w:color w:val="000000"/>
          <w:sz w:val="24"/>
        </w:rPr>
        <w:t>中标人确定后，应当在招标公告发布的同一媒介上进行公示，公示期不得少于3日。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经理业绩名称及填报的单位项目业绩名称。</w:t>
      </w:r>
    </w:p>
    <w:p>
      <w:pPr>
        <w:numPr>
          <w:ilvl w:val="0"/>
          <w:numId w:val="13"/>
        </w:numPr>
        <w:spacing w:line="360" w:lineRule="auto"/>
        <w:ind w:left="4" w:firstLine="241" w:firstLineChars="100"/>
        <w:rPr>
          <w:rFonts w:hint="eastAsia" w:ascii="宋体" w:hAnsi="宋体"/>
          <w:b/>
          <w:bCs/>
          <w:sz w:val="24"/>
        </w:rPr>
      </w:pPr>
      <w:r>
        <w:rPr>
          <w:rFonts w:hint="eastAsia" w:ascii="宋体" w:hAnsi="宋体"/>
          <w:b/>
          <w:bCs/>
          <w:sz w:val="24"/>
        </w:rPr>
        <w:t>特殊情况的处置程序</w:t>
      </w:r>
    </w:p>
    <w:p>
      <w:pPr>
        <w:spacing w:line="360" w:lineRule="auto"/>
        <w:ind w:left="210" w:leftChars="100"/>
        <w:rPr>
          <w:rFonts w:hint="eastAsia" w:ascii="宋体" w:hAnsi="宋体"/>
          <w:b/>
          <w:bCs/>
          <w:sz w:val="24"/>
        </w:rPr>
      </w:pPr>
      <w:r>
        <w:rPr>
          <w:rFonts w:hint="eastAsia" w:ascii="宋体" w:hAnsi="宋体"/>
          <w:b/>
          <w:bCs/>
          <w:sz w:val="24"/>
        </w:rPr>
        <w:t>7.1关于评标活动暂停</w:t>
      </w:r>
    </w:p>
    <w:p>
      <w:pPr>
        <w:spacing w:line="360" w:lineRule="auto"/>
        <w:ind w:left="210" w:leftChars="100"/>
        <w:rPr>
          <w:rFonts w:hint="eastAsia" w:ascii="宋体" w:hAnsi="宋体"/>
          <w:sz w:val="24"/>
        </w:rPr>
      </w:pPr>
      <w:r>
        <w:rPr>
          <w:rFonts w:hint="eastAsia" w:ascii="宋体" w:hAnsi="宋体"/>
          <w:sz w:val="24"/>
        </w:rPr>
        <w:t>7.1.1评标委员会应当执行连续评标的原则，按评标办法中规定的程序、内容、方法、标准完成全部评标工作。只有发生不可抗力导致评标工作无法继续时，评标活动方可暂停。7.1.2发生评标暂停情况时，评标委员会应当封存全部投标文件和评标记录，待不可抗力的影响结束且具备继续评标的条件时，由原评标委员会继续评标。</w:t>
      </w:r>
    </w:p>
    <w:p>
      <w:pPr>
        <w:spacing w:line="360" w:lineRule="auto"/>
        <w:ind w:left="210" w:leftChars="100"/>
        <w:rPr>
          <w:rFonts w:hint="eastAsia" w:ascii="宋体" w:hAnsi="宋体"/>
          <w:b/>
          <w:bCs/>
          <w:sz w:val="24"/>
        </w:rPr>
      </w:pPr>
      <w:r>
        <w:rPr>
          <w:rFonts w:hint="eastAsia" w:ascii="宋体" w:hAnsi="宋体"/>
          <w:b/>
          <w:bCs/>
          <w:sz w:val="24"/>
        </w:rPr>
        <w:t>7.2关于评标中途更换评标委员会成员</w:t>
      </w:r>
    </w:p>
    <w:p>
      <w:pPr>
        <w:spacing w:line="360" w:lineRule="auto"/>
        <w:ind w:left="210" w:leftChars="100"/>
        <w:rPr>
          <w:rFonts w:hint="eastAsia" w:ascii="宋体" w:hAnsi="宋体"/>
          <w:sz w:val="24"/>
        </w:rPr>
      </w:pPr>
      <w:r>
        <w:rPr>
          <w:rFonts w:hint="eastAsia" w:ascii="宋体" w:hAnsi="宋体"/>
          <w:sz w:val="24"/>
        </w:rPr>
        <w:t>7.2.1  除非发生下列情况之一，评标委员会成员不得在评标中途更换：</w:t>
      </w:r>
    </w:p>
    <w:p>
      <w:pPr>
        <w:spacing w:line="360" w:lineRule="auto"/>
        <w:ind w:left="210" w:leftChars="100"/>
        <w:rPr>
          <w:rFonts w:hint="eastAsia" w:ascii="宋体" w:hAnsi="宋体"/>
          <w:sz w:val="24"/>
        </w:rPr>
      </w:pPr>
      <w:r>
        <w:rPr>
          <w:rFonts w:hint="eastAsia" w:ascii="宋体" w:hAnsi="宋体"/>
          <w:sz w:val="24"/>
        </w:rPr>
        <w:t>（1）因不可抗拒的客观原因，不能到场或需在评标中途退出评标活动。</w:t>
      </w:r>
    </w:p>
    <w:p>
      <w:pPr>
        <w:spacing w:line="360" w:lineRule="auto"/>
        <w:ind w:left="210" w:leftChars="100"/>
        <w:rPr>
          <w:rFonts w:hint="eastAsia" w:ascii="宋体" w:hAnsi="宋体"/>
          <w:sz w:val="24"/>
        </w:rPr>
      </w:pPr>
      <w:r>
        <w:rPr>
          <w:rFonts w:hint="eastAsia" w:ascii="宋体" w:hAnsi="宋体"/>
          <w:sz w:val="24"/>
        </w:rPr>
        <w:t>（2）根据法律法规规定，某个或某几个评标委员会成员需要回避。</w:t>
      </w:r>
    </w:p>
    <w:p>
      <w:pPr>
        <w:spacing w:line="360" w:lineRule="auto"/>
        <w:ind w:left="210" w:leftChars="100"/>
        <w:rPr>
          <w:rFonts w:hint="eastAsia" w:ascii="宋体" w:hAnsi="宋体"/>
          <w:sz w:val="24"/>
        </w:rPr>
      </w:pPr>
      <w:r>
        <w:rPr>
          <w:rFonts w:hint="eastAsia" w:ascii="宋体" w:hAnsi="宋体"/>
          <w:sz w:val="24"/>
        </w:rPr>
        <w:t>7.2.2  退出评标的评标委员会成员，其已完成的评标行为无效。由招标人根据本招标文件规定的评标委员会成员产生方式另行确定替代者进行评标。</w:t>
      </w:r>
    </w:p>
    <w:p>
      <w:pPr>
        <w:spacing w:line="360" w:lineRule="auto"/>
        <w:ind w:left="210" w:leftChars="100"/>
        <w:rPr>
          <w:rFonts w:hint="eastAsia" w:ascii="宋体" w:hAnsi="宋体"/>
          <w:b/>
          <w:bCs/>
          <w:sz w:val="24"/>
        </w:rPr>
      </w:pPr>
      <w:r>
        <w:rPr>
          <w:rFonts w:hint="eastAsia" w:ascii="宋体" w:hAnsi="宋体"/>
          <w:b/>
          <w:bCs/>
          <w:sz w:val="24"/>
        </w:rPr>
        <w:t>7.3记名投票</w:t>
      </w:r>
    </w:p>
    <w:p>
      <w:pPr>
        <w:spacing w:line="360" w:lineRule="auto"/>
        <w:ind w:left="210" w:leftChars="100" w:firstLine="480" w:firstLineChars="200"/>
        <w:rPr>
          <w:rFonts w:hint="eastAsia" w:ascii="宋体" w:hAnsi="宋体"/>
          <w:sz w:val="24"/>
        </w:rPr>
      </w:pPr>
      <w:r>
        <w:rPr>
          <w:rFonts w:hint="eastAsia" w:ascii="宋体" w:hAnsi="宋体"/>
          <w:sz w:val="24"/>
        </w:rPr>
        <w:t>在任何评标环节中，需评标委员会就某项定性的评审结论做出表决的，由评标委员会全体成员按照少数服从多数的原则，以记名投票方式表决。</w:t>
      </w:r>
    </w:p>
    <w:p>
      <w:pPr>
        <w:spacing w:line="360" w:lineRule="auto"/>
        <w:ind w:left="210" w:leftChars="100"/>
        <w:rPr>
          <w:rFonts w:hint="eastAsia" w:ascii="宋体" w:hAnsi="宋体"/>
          <w:b/>
          <w:bCs/>
          <w:sz w:val="24"/>
        </w:rPr>
      </w:pPr>
      <w:r>
        <w:rPr>
          <w:rFonts w:hint="eastAsia" w:ascii="宋体" w:hAnsi="宋体"/>
          <w:b/>
          <w:bCs/>
          <w:sz w:val="24"/>
        </w:rPr>
        <w:t>7.4评标委员会成员对评标结论持有异议的</w:t>
      </w:r>
    </w:p>
    <w:p>
      <w:pPr>
        <w:spacing w:line="360" w:lineRule="auto"/>
        <w:rPr>
          <w:rFonts w:hint="eastAsia" w:ascii="宋体" w:hAnsi="宋体"/>
          <w:sz w:val="24"/>
        </w:rPr>
      </w:pPr>
      <w:r>
        <w:rPr>
          <w:rFonts w:hint="eastAsia" w:ascii="宋体"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spacing w:line="360" w:lineRule="auto"/>
        <w:ind w:left="210" w:leftChars="100"/>
        <w:rPr>
          <w:rFonts w:hint="eastAsia" w:ascii="宋体" w:hAnsi="宋体"/>
          <w:b/>
          <w:bCs/>
          <w:sz w:val="24"/>
        </w:rPr>
        <w:sectPr>
          <w:headerReference r:id="rId6" w:type="default"/>
          <w:footerReference r:id="rId7" w:type="default"/>
          <w:pgSz w:w="11900" w:h="16841"/>
          <w:pgMar w:top="1440" w:right="1080" w:bottom="1440" w:left="1080" w:header="0" w:footer="1134" w:gutter="0"/>
          <w:pgNumType w:fmt="numberInDash"/>
          <w:cols w:space="720" w:num="1"/>
          <w:docGrid w:linePitch="360" w:charSpace="0"/>
        </w:sectPr>
      </w:pPr>
    </w:p>
    <w:bookmarkEnd w:id="283"/>
    <w:p>
      <w:pPr>
        <w:spacing w:line="360" w:lineRule="auto"/>
        <w:ind w:firstLine="2570" w:firstLineChars="800"/>
        <w:outlineLvl w:val="0"/>
        <w:rPr>
          <w:rFonts w:ascii="宋体" w:hAnsi="宋体" w:cs="华文仿宋"/>
          <w:b/>
          <w:bCs/>
          <w:sz w:val="32"/>
          <w:szCs w:val="32"/>
        </w:rPr>
      </w:pPr>
      <w:r>
        <w:rPr>
          <w:rFonts w:hint="eastAsia" w:ascii="宋体" w:hAnsi="宋体" w:cs="华文仿宋"/>
          <w:b/>
          <w:bCs/>
          <w:sz w:val="32"/>
          <w:szCs w:val="32"/>
        </w:rPr>
        <w:t>第四章 合同条款及格式</w:t>
      </w:r>
    </w:p>
    <w:p>
      <w:pPr>
        <w:adjustRightInd w:val="0"/>
        <w:snapToGrid w:val="0"/>
        <w:spacing w:line="360" w:lineRule="auto"/>
        <w:jc w:val="center"/>
        <w:outlineLvl w:val="0"/>
        <w:rPr>
          <w:rFonts w:ascii="宋体" w:hAnsi="宋体"/>
          <w:bCs/>
          <w:sz w:val="24"/>
          <w:szCs w:val="30"/>
        </w:rPr>
      </w:pPr>
      <w:r>
        <w:rPr>
          <w:rFonts w:hint="eastAsia" w:ascii="宋体" w:hAnsi="宋体"/>
          <w:bCs/>
          <w:sz w:val="24"/>
          <w:szCs w:val="30"/>
        </w:rPr>
        <w:t>第一节 通用合同条款</w:t>
      </w:r>
    </w:p>
    <w:p>
      <w:pPr>
        <w:adjustRightInd w:val="0"/>
        <w:snapToGrid w:val="0"/>
        <w:spacing w:line="360" w:lineRule="auto"/>
        <w:jc w:val="center"/>
        <w:rPr>
          <w:rFonts w:ascii="宋体" w:hAnsi="宋体"/>
          <w:b/>
          <w:sz w:val="24"/>
        </w:rPr>
      </w:pPr>
      <w:r>
        <w:rPr>
          <w:rFonts w:hint="eastAsia" w:ascii="宋体" w:hAnsi="宋体"/>
          <w:sz w:val="24"/>
        </w:rPr>
        <w:t>参见中华人民共和国《标准施工招标文件》（2007年版）</w:t>
      </w:r>
    </w:p>
    <w:p>
      <w:pPr>
        <w:tabs>
          <w:tab w:val="left" w:pos="4500"/>
        </w:tabs>
        <w:spacing w:line="360" w:lineRule="auto"/>
        <w:jc w:val="center"/>
        <w:rPr>
          <w:rFonts w:ascii="宋体" w:hAnsi="宋体"/>
          <w:bCs/>
          <w:sz w:val="24"/>
        </w:rPr>
      </w:pPr>
      <w:r>
        <w:rPr>
          <w:rFonts w:hint="eastAsia" w:ascii="宋体" w:hAnsi="宋体"/>
          <w:bCs/>
          <w:sz w:val="24"/>
        </w:rPr>
        <w:t>第二节 专用合同条款</w:t>
      </w:r>
      <w:bookmarkStart w:id="284" w:name="_Toc132601562"/>
    </w:p>
    <w:p>
      <w:pPr>
        <w:tabs>
          <w:tab w:val="left" w:pos="4500"/>
        </w:tabs>
        <w:spacing w:line="360" w:lineRule="auto"/>
        <w:jc w:val="center"/>
        <w:rPr>
          <w:rFonts w:ascii="宋体" w:hAnsi="宋体"/>
          <w:bCs/>
          <w:sz w:val="24"/>
        </w:rPr>
      </w:pPr>
      <w:r>
        <w:rPr>
          <w:rFonts w:ascii="宋体" w:hAnsi="宋体"/>
          <w:sz w:val="24"/>
        </w:rPr>
        <w:t>A．公路行业标准专用合同条款</w:t>
      </w:r>
    </w:p>
    <w:p>
      <w:pPr>
        <w:adjustRightInd w:val="0"/>
        <w:snapToGrid w:val="0"/>
        <w:spacing w:line="424" w:lineRule="exact"/>
        <w:rPr>
          <w:rFonts w:ascii="宋体" w:hAnsi="宋体"/>
          <w:sz w:val="24"/>
        </w:rPr>
      </w:pPr>
      <w:r>
        <w:rPr>
          <w:rFonts w:ascii="宋体" w:hAnsi="宋体"/>
          <w:sz w:val="24"/>
        </w:rPr>
        <w:t>1．一般约定</w:t>
      </w:r>
    </w:p>
    <w:p>
      <w:pPr>
        <w:adjustRightInd w:val="0"/>
        <w:snapToGrid w:val="0"/>
        <w:spacing w:line="424" w:lineRule="exact"/>
        <w:rPr>
          <w:rFonts w:ascii="宋体" w:hAnsi="宋体"/>
          <w:sz w:val="24"/>
        </w:rPr>
      </w:pPr>
      <w:r>
        <w:rPr>
          <w:rFonts w:ascii="宋体" w:hAnsi="宋体"/>
          <w:sz w:val="24"/>
        </w:rPr>
        <w:t>1.1词语定义</w:t>
      </w:r>
    </w:p>
    <w:p>
      <w:pPr>
        <w:adjustRightInd w:val="0"/>
        <w:snapToGrid w:val="0"/>
        <w:spacing w:line="424" w:lineRule="exact"/>
        <w:ind w:firstLine="480" w:firstLineChars="200"/>
        <w:rPr>
          <w:rFonts w:ascii="宋体" w:hAnsi="宋体"/>
          <w:sz w:val="24"/>
        </w:rPr>
      </w:pPr>
      <w:r>
        <w:rPr>
          <w:rFonts w:ascii="宋体" w:hAnsi="宋体"/>
          <w:sz w:val="24"/>
        </w:rPr>
        <w:t>1.1.1合同</w:t>
      </w:r>
    </w:p>
    <w:p>
      <w:pPr>
        <w:adjustRightInd w:val="0"/>
        <w:snapToGrid w:val="0"/>
        <w:spacing w:line="424" w:lineRule="exact"/>
        <w:ind w:firstLine="720" w:firstLineChars="300"/>
        <w:rPr>
          <w:rFonts w:ascii="宋体" w:hAnsi="宋体"/>
          <w:sz w:val="24"/>
        </w:rPr>
      </w:pPr>
      <w:r>
        <w:rPr>
          <w:rFonts w:ascii="宋体" w:hAnsi="宋体"/>
          <w:sz w:val="24"/>
        </w:rPr>
        <w:t>1.1.1.6技术规范：为本合同所约定的技术标准和要求。</w:t>
      </w:r>
    </w:p>
    <w:p>
      <w:pPr>
        <w:adjustRightInd w:val="0"/>
        <w:snapToGrid w:val="0"/>
        <w:spacing w:line="424" w:lineRule="exact"/>
        <w:ind w:firstLine="720" w:firstLineChars="300"/>
        <w:rPr>
          <w:rFonts w:ascii="宋体" w:hAnsi="宋体"/>
          <w:sz w:val="24"/>
        </w:rPr>
      </w:pPr>
      <w:r>
        <w:rPr>
          <w:rFonts w:ascii="宋体" w:hAnsi="宋体"/>
          <w:sz w:val="24"/>
        </w:rPr>
        <w:t>1.1.1.8已标价工程量清单：指构成合同文件组成部分的已标明价格、经算术性修正且承包人已确认的最终的工程量清单。</w:t>
      </w:r>
    </w:p>
    <w:p>
      <w:pPr>
        <w:adjustRightInd w:val="0"/>
        <w:snapToGrid w:val="0"/>
        <w:spacing w:line="424" w:lineRule="exact"/>
        <w:ind w:firstLine="480" w:firstLineChars="200"/>
        <w:rPr>
          <w:rFonts w:ascii="宋体" w:hAnsi="宋体"/>
          <w:sz w:val="24"/>
        </w:rPr>
      </w:pPr>
      <w:r>
        <w:rPr>
          <w:rFonts w:ascii="宋体" w:hAnsi="宋体"/>
          <w:sz w:val="24"/>
        </w:rPr>
        <w:t>本项增加第1</w:t>
      </w: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10目：</w:t>
      </w:r>
    </w:p>
    <w:p>
      <w:pPr>
        <w:adjustRightInd w:val="0"/>
        <w:snapToGrid w:val="0"/>
        <w:spacing w:line="424" w:lineRule="exact"/>
        <w:ind w:firstLine="720" w:firstLineChars="300"/>
        <w:rPr>
          <w:rFonts w:ascii="宋体" w:hAnsi="宋体"/>
          <w:sz w:val="24"/>
        </w:rPr>
      </w:pPr>
      <w:r>
        <w:rPr>
          <w:rFonts w:ascii="宋体" w:hAnsi="宋体"/>
          <w:sz w:val="24"/>
        </w:rPr>
        <w:t>1.1.1.10补遗书：指发出招标文件之后由招标人向已取得招标文件的投标人发出的、编号的补充或修改书，是招标文件的组成部分。</w:t>
      </w:r>
    </w:p>
    <w:p>
      <w:pPr>
        <w:adjustRightInd w:val="0"/>
        <w:snapToGrid w:val="0"/>
        <w:spacing w:line="424" w:lineRule="exact"/>
        <w:ind w:firstLine="480" w:firstLineChars="200"/>
        <w:rPr>
          <w:rFonts w:ascii="宋体" w:hAnsi="宋体"/>
          <w:sz w:val="24"/>
        </w:rPr>
      </w:pPr>
      <w:r>
        <w:rPr>
          <w:rFonts w:ascii="宋体" w:hAnsi="宋体"/>
          <w:sz w:val="24"/>
        </w:rPr>
        <w:t>1.1.2合同当事人和人员</w:t>
      </w:r>
    </w:p>
    <w:p>
      <w:pPr>
        <w:adjustRightInd w:val="0"/>
        <w:snapToGrid w:val="0"/>
        <w:spacing w:line="424" w:lineRule="exact"/>
        <w:ind w:firstLine="720" w:firstLineChars="300"/>
        <w:rPr>
          <w:rFonts w:ascii="宋体" w:hAnsi="宋体"/>
          <w:sz w:val="24"/>
          <w:u w:val="single"/>
        </w:rPr>
      </w:pPr>
      <w:r>
        <w:rPr>
          <w:rFonts w:ascii="宋体" w:hAnsi="宋体"/>
          <w:sz w:val="24"/>
        </w:rPr>
        <w:t>1</w:t>
      </w:r>
      <w:r>
        <w:rPr>
          <w:rFonts w:hint="eastAsia" w:ascii="宋体" w:hAnsi="宋体"/>
          <w:sz w:val="24"/>
        </w:rPr>
        <w:t>.</w:t>
      </w:r>
      <w:r>
        <w:rPr>
          <w:rFonts w:ascii="宋体" w:hAnsi="宋体"/>
          <w:sz w:val="24"/>
        </w:rPr>
        <w:t>1.2.2发包人：</w:t>
      </w:r>
      <w:r>
        <w:rPr>
          <w:rFonts w:hint="eastAsia" w:ascii="宋体" w:hAnsi="宋体"/>
          <w:sz w:val="24"/>
          <w:u w:val="single"/>
        </w:rPr>
        <w:t xml:space="preserve">  （在项目专用条款数据表中予以规定）  </w:t>
      </w:r>
    </w:p>
    <w:p>
      <w:pPr>
        <w:adjustRightInd w:val="0"/>
        <w:snapToGrid w:val="0"/>
        <w:spacing w:line="424" w:lineRule="exact"/>
        <w:ind w:firstLine="720" w:firstLineChars="300"/>
        <w:rPr>
          <w:rFonts w:ascii="宋体" w:hAnsi="宋体"/>
          <w:sz w:val="24"/>
        </w:rPr>
      </w:pPr>
      <w:r>
        <w:rPr>
          <w:rFonts w:hint="eastAsia" w:ascii="宋体" w:hAnsi="宋体"/>
          <w:sz w:val="24"/>
        </w:rPr>
        <w:t>1.1</w:t>
      </w:r>
      <w:r>
        <w:rPr>
          <w:rFonts w:ascii="宋体" w:hAnsi="宋体"/>
          <w:sz w:val="24"/>
        </w:rPr>
        <w:t>.2.6监理人</w:t>
      </w:r>
      <w:r>
        <w:rPr>
          <w:rFonts w:hint="eastAsia" w:ascii="宋体" w:hAnsi="宋体"/>
          <w:sz w:val="24"/>
        </w:rPr>
        <w:t>：</w:t>
      </w:r>
      <w:r>
        <w:rPr>
          <w:rFonts w:hint="eastAsia" w:ascii="宋体" w:hAnsi="宋体"/>
          <w:sz w:val="24"/>
          <w:u w:val="single"/>
        </w:rPr>
        <w:t xml:space="preserve">  （在项目专用条款数据表中予以规定）  </w:t>
      </w:r>
    </w:p>
    <w:p>
      <w:pPr>
        <w:adjustRightInd w:val="0"/>
        <w:snapToGrid w:val="0"/>
        <w:spacing w:line="424" w:lineRule="exact"/>
        <w:ind w:firstLine="720" w:firstLineChars="300"/>
        <w:rPr>
          <w:rFonts w:ascii="宋体" w:hAnsi="宋体"/>
          <w:sz w:val="24"/>
        </w:rPr>
      </w:pPr>
      <w:r>
        <w:rPr>
          <w:rFonts w:ascii="宋体" w:hAnsi="宋体"/>
          <w:sz w:val="24"/>
        </w:rPr>
        <w:t>本项增加第1</w:t>
      </w:r>
      <w:r>
        <w:rPr>
          <w:rFonts w:hint="eastAsia" w:ascii="宋体" w:hAnsi="宋体"/>
          <w:sz w:val="24"/>
        </w:rPr>
        <w:t>.</w:t>
      </w:r>
      <w:r>
        <w:rPr>
          <w:rFonts w:ascii="宋体" w:hAnsi="宋体"/>
          <w:sz w:val="24"/>
        </w:rPr>
        <w:t>1.2.8目：</w:t>
      </w:r>
    </w:p>
    <w:p>
      <w:pPr>
        <w:adjustRightInd w:val="0"/>
        <w:snapToGrid w:val="0"/>
        <w:spacing w:line="424" w:lineRule="exact"/>
        <w:ind w:firstLine="720" w:firstLineChars="300"/>
        <w:rPr>
          <w:rFonts w:ascii="宋体" w:hAnsi="宋体"/>
          <w:sz w:val="24"/>
        </w:rPr>
      </w:pPr>
      <w:r>
        <w:rPr>
          <w:rFonts w:ascii="宋体" w:hAnsi="宋体"/>
          <w:sz w:val="24"/>
        </w:rPr>
        <w:t>1.1.2.8技术负责人：指由承包人书面委派常驻现场负责管理本合同工程的总工程师或技术总负责人。</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3工程和设备</w:t>
      </w:r>
    </w:p>
    <w:p>
      <w:pPr>
        <w:adjustRightInd w:val="0"/>
        <w:snapToGrid w:val="0"/>
        <w:spacing w:line="424" w:lineRule="exact"/>
        <w:ind w:firstLine="720" w:firstLineChars="300"/>
        <w:rPr>
          <w:rFonts w:ascii="宋体" w:hAnsi="宋体"/>
          <w:sz w:val="24"/>
        </w:rPr>
      </w:pPr>
      <w:r>
        <w:rPr>
          <w:rFonts w:ascii="宋体" w:hAnsi="宋体"/>
          <w:sz w:val="24"/>
        </w:rPr>
        <w:t>1.1.3.4单位工程：指在建设项目中，根据签订的合同，具有独立施工条件的工程。</w:t>
      </w:r>
    </w:p>
    <w:p>
      <w:pPr>
        <w:adjustRightInd w:val="0"/>
        <w:snapToGrid w:val="0"/>
        <w:spacing w:line="424" w:lineRule="exact"/>
        <w:ind w:firstLine="720" w:firstLineChars="300"/>
        <w:rPr>
          <w:rFonts w:ascii="宋体" w:hAnsi="宋体"/>
          <w:sz w:val="24"/>
        </w:rPr>
      </w:pPr>
      <w:r>
        <w:rPr>
          <w:rFonts w:ascii="宋体" w:hAnsi="宋体"/>
          <w:sz w:val="24"/>
        </w:rPr>
        <w:t>1.1.3.10永久占地：指为实施本合同工程而需要的一切永久占用的土地，包括公路两侧路权范围内的用地。</w:t>
      </w:r>
    </w:p>
    <w:p>
      <w:pPr>
        <w:adjustRightInd w:val="0"/>
        <w:snapToGrid w:val="0"/>
        <w:spacing w:line="424" w:lineRule="exact"/>
        <w:ind w:firstLine="720" w:firstLineChars="300"/>
        <w:rPr>
          <w:rFonts w:ascii="宋体" w:hAnsi="宋体"/>
          <w:sz w:val="24"/>
        </w:rPr>
      </w:pPr>
      <w:r>
        <w:rPr>
          <w:rFonts w:ascii="宋体" w:hAnsi="宋体"/>
          <w:sz w:val="24"/>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424" w:lineRule="exact"/>
        <w:ind w:firstLine="720" w:firstLineChars="300"/>
        <w:rPr>
          <w:rFonts w:ascii="宋体" w:hAnsi="宋体"/>
          <w:sz w:val="24"/>
        </w:rPr>
      </w:pPr>
      <w:r>
        <w:rPr>
          <w:rFonts w:ascii="宋体" w:hAnsi="宋体"/>
          <w:sz w:val="24"/>
        </w:rPr>
        <w:t>本项增加第1．1.3．12、1．1.3．13目：</w:t>
      </w:r>
    </w:p>
    <w:p>
      <w:pPr>
        <w:adjustRightInd w:val="0"/>
        <w:snapToGrid w:val="0"/>
        <w:spacing w:line="424" w:lineRule="exact"/>
        <w:ind w:firstLine="720" w:firstLineChars="300"/>
        <w:rPr>
          <w:rFonts w:ascii="宋体" w:hAnsi="宋体"/>
          <w:sz w:val="24"/>
        </w:rPr>
      </w:pPr>
      <w:r>
        <w:rPr>
          <w:rFonts w:ascii="宋体" w:hAnsi="宋体"/>
          <w:sz w:val="24"/>
        </w:rPr>
        <w:t>1</w:t>
      </w:r>
      <w:r>
        <w:rPr>
          <w:rFonts w:hint="eastAsia" w:ascii="宋体" w:hAnsi="宋体"/>
          <w:sz w:val="24"/>
        </w:rPr>
        <w:t>.</w:t>
      </w:r>
      <w:r>
        <w:rPr>
          <w:rFonts w:ascii="宋体" w:hAnsi="宋体"/>
          <w:sz w:val="24"/>
        </w:rPr>
        <w:t>1.3.12分部工程：指在单位工程中，按结构部位、路段长度及施工特点或施工任务划分的若干个工程。</w:t>
      </w:r>
    </w:p>
    <w:p>
      <w:pPr>
        <w:adjustRightInd w:val="0"/>
        <w:snapToGrid w:val="0"/>
        <w:spacing w:line="424" w:lineRule="exact"/>
        <w:ind w:firstLine="720" w:firstLineChars="300"/>
        <w:rPr>
          <w:rFonts w:ascii="宋体" w:hAnsi="宋体"/>
          <w:sz w:val="24"/>
        </w:rPr>
      </w:pPr>
      <w:r>
        <w:rPr>
          <w:rFonts w:ascii="宋体" w:hAnsi="宋体"/>
          <w:sz w:val="24"/>
        </w:rPr>
        <w:t>1.1.3.13分项工程：指在分部工程中，按不同的施工方法、材料、工序及路段长度等划分的若干个工程。</w:t>
      </w:r>
    </w:p>
    <w:p>
      <w:pPr>
        <w:adjustRightInd w:val="0"/>
        <w:snapToGrid w:val="0"/>
        <w:spacing w:line="424" w:lineRule="exact"/>
        <w:ind w:firstLine="480" w:firstLineChars="200"/>
        <w:rPr>
          <w:rFonts w:ascii="宋体" w:hAnsi="宋体"/>
          <w:sz w:val="24"/>
        </w:rPr>
      </w:pPr>
      <w:r>
        <w:rPr>
          <w:rFonts w:ascii="宋体" w:hAnsi="宋体"/>
          <w:sz w:val="24"/>
        </w:rPr>
        <w:t>1.1.4日期</w:t>
      </w:r>
    </w:p>
    <w:p>
      <w:pPr>
        <w:adjustRightInd w:val="0"/>
        <w:snapToGrid w:val="0"/>
        <w:spacing w:line="424" w:lineRule="exact"/>
        <w:ind w:firstLine="720" w:firstLineChars="300"/>
        <w:rPr>
          <w:rFonts w:ascii="宋体" w:hAnsi="宋体"/>
          <w:sz w:val="24"/>
        </w:rPr>
      </w:pPr>
      <w:r>
        <w:rPr>
          <w:rFonts w:ascii="宋体" w:hAnsi="宋体"/>
          <w:sz w:val="24"/>
        </w:rPr>
        <w:t>1.1.4.5缺陷责任期：自实际竣工日期起计算</w:t>
      </w:r>
      <w:r>
        <w:rPr>
          <w:rFonts w:hint="eastAsia" w:ascii="宋体" w:hAnsi="宋体"/>
          <w:sz w:val="24"/>
        </w:rPr>
        <w:t>1</w:t>
      </w:r>
      <w:r>
        <w:rPr>
          <w:rFonts w:ascii="宋体" w:hAnsi="宋体"/>
          <w:sz w:val="24"/>
        </w:rPr>
        <w:t>年。</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1.6其他</w:t>
      </w:r>
    </w:p>
    <w:p>
      <w:pPr>
        <w:adjustRightInd w:val="0"/>
        <w:snapToGrid w:val="0"/>
        <w:spacing w:line="424" w:lineRule="exact"/>
        <w:ind w:firstLine="720" w:firstLineChars="300"/>
        <w:rPr>
          <w:rFonts w:ascii="宋体" w:hAnsi="宋体"/>
          <w:sz w:val="24"/>
        </w:rPr>
      </w:pPr>
      <w:r>
        <w:rPr>
          <w:rFonts w:ascii="宋体" w:hAnsi="宋体"/>
          <w:sz w:val="24"/>
        </w:rPr>
        <w:t>本项增加第1．1.6.2至1．1.6.5目：</w:t>
      </w:r>
    </w:p>
    <w:p>
      <w:pPr>
        <w:adjustRightInd w:val="0"/>
        <w:snapToGrid w:val="0"/>
        <w:spacing w:line="424" w:lineRule="exact"/>
        <w:ind w:firstLine="720" w:firstLineChars="300"/>
        <w:rPr>
          <w:rFonts w:ascii="宋体" w:hAnsi="宋体"/>
          <w:sz w:val="24"/>
        </w:rPr>
      </w:pPr>
      <w:r>
        <w:rPr>
          <w:rFonts w:ascii="宋体" w:hAnsi="宋体"/>
          <w:sz w:val="24"/>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424" w:lineRule="exact"/>
        <w:ind w:firstLine="720" w:firstLineChars="300"/>
        <w:rPr>
          <w:rFonts w:ascii="宋体" w:hAnsi="宋体"/>
          <w:sz w:val="24"/>
        </w:rPr>
      </w:pPr>
      <w:r>
        <w:rPr>
          <w:rFonts w:ascii="宋体" w:hAnsi="宋体"/>
          <w:sz w:val="24"/>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424" w:lineRule="exact"/>
        <w:ind w:firstLine="720" w:firstLineChars="300"/>
        <w:rPr>
          <w:rFonts w:ascii="宋体" w:hAnsi="宋体"/>
          <w:sz w:val="24"/>
        </w:rPr>
      </w:pPr>
      <w:r>
        <w:rPr>
          <w:rFonts w:ascii="宋体" w:hAnsi="宋体"/>
          <w:sz w:val="24"/>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424" w:lineRule="exact"/>
        <w:ind w:firstLine="720" w:firstLineChars="300"/>
        <w:rPr>
          <w:rFonts w:ascii="宋体" w:hAnsi="宋体"/>
          <w:sz w:val="24"/>
        </w:rPr>
      </w:pPr>
      <w:r>
        <w:rPr>
          <w:rFonts w:ascii="宋体" w:hAnsi="宋体"/>
          <w:sz w:val="24"/>
        </w:rPr>
        <w:t>1.1.6.5聘用职工：凡承包人与具有相应劳动能力的自然人签订劳动合同，由承包人统一组织管理，从事分项工程施工或配套工程施工的行为。</w:t>
      </w:r>
    </w:p>
    <w:p>
      <w:pPr>
        <w:adjustRightInd w:val="0"/>
        <w:snapToGrid w:val="0"/>
        <w:spacing w:before="312" w:beforeLines="100" w:line="424" w:lineRule="exact"/>
        <w:rPr>
          <w:rFonts w:ascii="宋体" w:hAnsi="宋体"/>
          <w:sz w:val="24"/>
        </w:rPr>
      </w:pPr>
      <w:r>
        <w:rPr>
          <w:rFonts w:ascii="宋体" w:hAnsi="宋体"/>
          <w:sz w:val="24"/>
        </w:rPr>
        <w:t>1.4合同文件的优先顺序</w:t>
      </w:r>
    </w:p>
    <w:p>
      <w:pPr>
        <w:adjustRightInd w:val="0"/>
        <w:snapToGrid w:val="0"/>
        <w:spacing w:line="424" w:lineRule="exact"/>
        <w:ind w:firstLine="480" w:firstLineChars="200"/>
        <w:rPr>
          <w:rFonts w:ascii="宋体" w:hAnsi="宋体"/>
          <w:sz w:val="24"/>
        </w:rPr>
      </w:pPr>
      <w:r>
        <w:rPr>
          <w:rFonts w:ascii="宋体" w:hAnsi="宋体"/>
          <w:sz w:val="24"/>
        </w:rPr>
        <w:t>本款约定为：</w:t>
      </w:r>
    </w:p>
    <w:p>
      <w:pPr>
        <w:adjustRightInd w:val="0"/>
        <w:snapToGrid w:val="0"/>
        <w:spacing w:line="424" w:lineRule="exact"/>
        <w:ind w:firstLine="480" w:firstLineChars="200"/>
        <w:rPr>
          <w:rFonts w:ascii="宋体" w:hAnsi="宋体"/>
          <w:sz w:val="24"/>
        </w:rPr>
      </w:pPr>
      <w:r>
        <w:rPr>
          <w:rFonts w:ascii="宋体" w:hAnsi="宋体"/>
          <w:sz w:val="24"/>
        </w:rPr>
        <w:t>组成合同的各项文件应互相解释，互为说明。除项目专用合同条款另有约定外，解释合同文件的优先顺序如下：</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合同协议书及各种合同附件（含评标期间和合同谈判过程中的澄清文件和补充资料）；</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中标通知书；</w:t>
      </w:r>
    </w:p>
    <w:p>
      <w:pPr>
        <w:adjustRightInd w:val="0"/>
        <w:snapToGrid w:val="0"/>
        <w:spacing w:line="424"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补遗书；</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投标函及投标函附录；</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项目专用合同条款；</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公路行业标准专用合同条款；</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w:t>
      </w:r>
      <w:r>
        <w:rPr>
          <w:rFonts w:ascii="宋体" w:hAnsi="宋体"/>
          <w:sz w:val="24"/>
        </w:rPr>
        <w:t>通用合同条款；</w:t>
      </w:r>
    </w:p>
    <w:p>
      <w:pPr>
        <w:adjustRightInd w:val="0"/>
        <w:snapToGrid w:val="0"/>
        <w:spacing w:line="424" w:lineRule="exact"/>
        <w:ind w:firstLine="480" w:firstLineChars="200"/>
        <w:rPr>
          <w:rFonts w:ascii="宋体" w:hAnsi="宋体"/>
          <w:sz w:val="24"/>
        </w:rPr>
      </w:pPr>
      <w:r>
        <w:rPr>
          <w:rFonts w:ascii="宋体" w:hAnsi="宋体"/>
          <w:sz w:val="24"/>
        </w:rPr>
        <w:t>（8）技术规范；</w:t>
      </w:r>
    </w:p>
    <w:p>
      <w:pPr>
        <w:adjustRightInd w:val="0"/>
        <w:snapToGrid w:val="0"/>
        <w:spacing w:line="424" w:lineRule="exact"/>
        <w:ind w:firstLine="480" w:firstLineChars="200"/>
        <w:rPr>
          <w:rFonts w:ascii="宋体" w:hAnsi="宋体"/>
          <w:sz w:val="24"/>
        </w:rPr>
      </w:pPr>
      <w:r>
        <w:rPr>
          <w:rFonts w:ascii="宋体" w:hAnsi="宋体"/>
          <w:sz w:val="24"/>
        </w:rPr>
        <w:t>（9）图纸；</w:t>
      </w:r>
    </w:p>
    <w:p>
      <w:pPr>
        <w:adjustRightInd w:val="0"/>
        <w:snapToGrid w:val="0"/>
        <w:spacing w:line="424" w:lineRule="exact"/>
        <w:ind w:firstLine="480" w:firstLineChars="200"/>
        <w:rPr>
          <w:rFonts w:ascii="宋体" w:hAnsi="宋体"/>
          <w:sz w:val="24"/>
        </w:rPr>
      </w:pPr>
      <w:r>
        <w:rPr>
          <w:rFonts w:ascii="宋体" w:hAnsi="宋体"/>
          <w:sz w:val="24"/>
        </w:rPr>
        <w:t>（10）已标价工程量清单；</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11</w:t>
      </w:r>
      <w:r>
        <w:rPr>
          <w:rFonts w:hint="eastAsia" w:ascii="宋体" w:hAnsi="宋体"/>
          <w:sz w:val="24"/>
        </w:rPr>
        <w:t>）</w:t>
      </w:r>
      <w:r>
        <w:rPr>
          <w:rFonts w:ascii="宋体" w:hAnsi="宋体"/>
          <w:sz w:val="24"/>
        </w:rPr>
        <w:t>资格预审申请文件中有关人员、设备投入的承诺</w:t>
      </w:r>
      <w:r>
        <w:rPr>
          <w:rFonts w:hint="eastAsia" w:ascii="宋体" w:hAnsi="宋体"/>
          <w:sz w:val="24"/>
        </w:rPr>
        <w:t>和目标承诺书；</w:t>
      </w:r>
    </w:p>
    <w:p>
      <w:pPr>
        <w:adjustRightInd w:val="0"/>
        <w:snapToGrid w:val="0"/>
        <w:spacing w:line="424" w:lineRule="exact"/>
        <w:ind w:firstLine="480" w:firstLineChars="200"/>
        <w:rPr>
          <w:rFonts w:ascii="宋体" w:hAnsi="宋体"/>
          <w:sz w:val="24"/>
        </w:rPr>
      </w:pPr>
      <w:r>
        <w:rPr>
          <w:rFonts w:hint="eastAsia" w:ascii="宋体" w:hAnsi="宋体"/>
          <w:sz w:val="24"/>
        </w:rPr>
        <w:t>（12）根据承诺提供的详细人员、设备清单；</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）其他合同文件。</w:t>
      </w:r>
    </w:p>
    <w:p>
      <w:pPr>
        <w:adjustRightInd w:val="0"/>
        <w:snapToGrid w:val="0"/>
        <w:spacing w:line="424" w:lineRule="exact"/>
        <w:rPr>
          <w:rFonts w:ascii="宋体" w:hAnsi="宋体"/>
          <w:sz w:val="24"/>
        </w:rPr>
      </w:pPr>
      <w:r>
        <w:rPr>
          <w:rFonts w:ascii="宋体" w:hAnsi="宋体"/>
          <w:sz w:val="24"/>
        </w:rPr>
        <w:t>1.5合同协议书</w:t>
      </w:r>
    </w:p>
    <w:p>
      <w:pPr>
        <w:adjustRightInd w:val="0"/>
        <w:snapToGrid w:val="0"/>
        <w:spacing w:line="424" w:lineRule="exact"/>
        <w:ind w:firstLine="480" w:firstLineChars="200"/>
        <w:rPr>
          <w:rFonts w:ascii="宋体" w:hAnsi="宋体"/>
          <w:sz w:val="24"/>
        </w:rPr>
      </w:pPr>
      <w:r>
        <w:rPr>
          <w:rFonts w:ascii="宋体" w:hAnsi="宋体"/>
          <w:sz w:val="24"/>
        </w:rPr>
        <w:t>本款补充：</w:t>
      </w:r>
    </w:p>
    <w:p>
      <w:pPr>
        <w:adjustRightInd w:val="0"/>
        <w:snapToGrid w:val="0"/>
        <w:spacing w:line="424" w:lineRule="exact"/>
        <w:ind w:firstLine="480" w:firstLineChars="200"/>
        <w:rPr>
          <w:rFonts w:ascii="宋体" w:hAnsi="宋体"/>
          <w:sz w:val="24"/>
        </w:rPr>
      </w:pPr>
      <w:r>
        <w:rPr>
          <w:rFonts w:ascii="宋体" w:hAnsi="宋体"/>
          <w:sz w:val="24"/>
        </w:rPr>
        <w:t>制备本合同文件的费用由发包人承担。在合同协议书签订并生效之前，投标函和中标通知书将约束双方。</w:t>
      </w:r>
      <w:r>
        <w:rPr>
          <w:rFonts w:hint="eastAsia" w:ascii="宋体" w:hAnsi="宋体"/>
          <w:sz w:val="24"/>
        </w:rPr>
        <w:t>、</w:t>
      </w:r>
    </w:p>
    <w:p>
      <w:pPr>
        <w:adjustRightInd w:val="0"/>
        <w:snapToGrid w:val="0"/>
        <w:spacing w:line="424" w:lineRule="exact"/>
        <w:rPr>
          <w:rFonts w:ascii="宋体" w:hAnsi="宋体"/>
          <w:sz w:val="24"/>
        </w:rPr>
      </w:pPr>
      <w:r>
        <w:rPr>
          <w:rFonts w:ascii="宋体" w:hAnsi="宋体"/>
          <w:sz w:val="24"/>
        </w:rPr>
        <w:t>1.6图纸和承包人文件</w:t>
      </w:r>
    </w:p>
    <w:p>
      <w:pPr>
        <w:adjustRightInd w:val="0"/>
        <w:snapToGrid w:val="0"/>
        <w:spacing w:line="424" w:lineRule="exact"/>
        <w:ind w:firstLine="480" w:firstLineChars="200"/>
        <w:rPr>
          <w:rFonts w:ascii="宋体" w:hAnsi="宋体"/>
          <w:sz w:val="24"/>
        </w:rPr>
      </w:pPr>
      <w:r>
        <w:rPr>
          <w:rFonts w:ascii="宋体" w:hAnsi="宋体"/>
          <w:sz w:val="24"/>
        </w:rPr>
        <w:t>1.6.1图纸的提供</w:t>
      </w:r>
    </w:p>
    <w:p>
      <w:pPr>
        <w:adjustRightInd w:val="0"/>
        <w:snapToGrid w:val="0"/>
        <w:spacing w:line="424" w:lineRule="exact"/>
        <w:ind w:firstLine="480" w:firstLineChars="200"/>
        <w:rPr>
          <w:rFonts w:ascii="宋体" w:hAnsi="宋体"/>
          <w:sz w:val="24"/>
        </w:rPr>
      </w:pPr>
      <w:r>
        <w:rPr>
          <w:rFonts w:hint="eastAsia" w:ascii="宋体" w:hAnsi="宋体"/>
          <w:sz w:val="24"/>
        </w:rPr>
        <w:t>本项细化为：</w:t>
      </w:r>
    </w:p>
    <w:p>
      <w:pPr>
        <w:adjustRightInd w:val="0"/>
        <w:snapToGrid w:val="0"/>
        <w:spacing w:line="424" w:lineRule="exact"/>
        <w:ind w:firstLine="480" w:firstLineChars="200"/>
        <w:rPr>
          <w:rFonts w:ascii="宋体" w:hAnsi="宋体"/>
          <w:sz w:val="24"/>
        </w:rPr>
      </w:pPr>
      <w:r>
        <w:rPr>
          <w:rFonts w:ascii="宋体" w:hAnsi="宋体"/>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424" w:lineRule="exact"/>
        <w:ind w:firstLine="480" w:firstLineChars="200"/>
        <w:rPr>
          <w:rFonts w:ascii="宋体" w:hAnsi="宋体"/>
          <w:sz w:val="24"/>
        </w:rPr>
      </w:pPr>
      <w:r>
        <w:rPr>
          <w:rFonts w:ascii="宋体" w:hAnsi="宋体"/>
          <w:sz w:val="24"/>
        </w:rPr>
        <w:t>1.6.2承包人提供的文件</w:t>
      </w:r>
    </w:p>
    <w:p>
      <w:pPr>
        <w:adjustRightInd w:val="0"/>
        <w:snapToGrid w:val="0"/>
        <w:spacing w:line="424" w:lineRule="exact"/>
        <w:ind w:firstLine="480" w:firstLineChars="200"/>
        <w:rPr>
          <w:rFonts w:ascii="宋体" w:hAnsi="宋体"/>
          <w:sz w:val="24"/>
        </w:rPr>
      </w:pPr>
      <w:r>
        <w:rPr>
          <w:rFonts w:ascii="宋体" w:hAnsi="宋体"/>
          <w:sz w:val="24"/>
        </w:rPr>
        <w:t>本项细化为：</w:t>
      </w:r>
    </w:p>
    <w:p>
      <w:pPr>
        <w:adjustRightInd w:val="0"/>
        <w:snapToGrid w:val="0"/>
        <w:spacing w:line="424" w:lineRule="exact"/>
        <w:ind w:firstLine="480" w:firstLineChars="200"/>
        <w:rPr>
          <w:rFonts w:ascii="宋体" w:hAnsi="宋体"/>
          <w:sz w:val="24"/>
        </w:rPr>
      </w:pPr>
      <w:r>
        <w:rPr>
          <w:rFonts w:ascii="宋体" w:hAnsi="宋体"/>
          <w:sz w:val="24"/>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424" w:lineRule="exact"/>
        <w:ind w:firstLine="480" w:firstLineChars="200"/>
        <w:rPr>
          <w:rFonts w:ascii="宋体" w:hAnsi="宋体"/>
          <w:sz w:val="24"/>
        </w:rPr>
      </w:pPr>
      <w:r>
        <w:rPr>
          <w:rFonts w:ascii="宋体" w:hAnsi="宋体"/>
          <w:sz w:val="24"/>
        </w:rPr>
        <w:t>1.6.3图纸的修改</w:t>
      </w:r>
    </w:p>
    <w:p>
      <w:pPr>
        <w:adjustRightInd w:val="0"/>
        <w:snapToGrid w:val="0"/>
        <w:spacing w:line="424" w:lineRule="exact"/>
        <w:ind w:firstLine="480" w:firstLineChars="200"/>
        <w:rPr>
          <w:rFonts w:ascii="宋体" w:hAnsi="宋体"/>
          <w:sz w:val="24"/>
        </w:rPr>
      </w:pPr>
      <w:r>
        <w:rPr>
          <w:rFonts w:ascii="宋体" w:hAnsi="宋体"/>
          <w:sz w:val="24"/>
        </w:rPr>
        <w:t>本项细化为：</w:t>
      </w:r>
    </w:p>
    <w:p>
      <w:pPr>
        <w:adjustRightInd w:val="0"/>
        <w:snapToGrid w:val="0"/>
        <w:spacing w:line="424" w:lineRule="exact"/>
        <w:ind w:firstLine="480" w:firstLineChars="200"/>
        <w:rPr>
          <w:rFonts w:ascii="宋体" w:hAnsi="宋体"/>
          <w:sz w:val="24"/>
        </w:rPr>
      </w:pPr>
      <w:r>
        <w:rPr>
          <w:rFonts w:ascii="宋体" w:hAnsi="宋体"/>
          <w:sz w:val="24"/>
        </w:rPr>
        <w:t>图纸需要修改和补充的，应由监理人取得发包人同意后，在该工程或工程相应部位施工前</w:t>
      </w:r>
      <w:r>
        <w:rPr>
          <w:rFonts w:hint="eastAsia" w:ascii="宋体" w:hAnsi="宋体"/>
          <w:sz w:val="24"/>
          <w:u w:val="single"/>
        </w:rPr>
        <w:t xml:space="preserve">     </w:t>
      </w:r>
      <w:r>
        <w:rPr>
          <w:rFonts w:ascii="宋体" w:hAnsi="宋体"/>
          <w:sz w:val="24"/>
        </w:rPr>
        <w:t>天（在项目专用条款数据表中予以规定）签发图纸修改图给承包人。承包人应按修改后的图纸施工。</w:t>
      </w:r>
    </w:p>
    <w:p>
      <w:pPr>
        <w:adjustRightInd w:val="0"/>
        <w:snapToGrid w:val="0"/>
        <w:spacing w:line="424" w:lineRule="exact"/>
        <w:ind w:firstLine="480" w:firstLineChars="200"/>
        <w:rPr>
          <w:rFonts w:ascii="宋体" w:hAnsi="宋体"/>
          <w:sz w:val="24"/>
        </w:rPr>
      </w:pPr>
      <w:r>
        <w:rPr>
          <w:rFonts w:ascii="宋体" w:hAnsi="宋体"/>
          <w:sz w:val="24"/>
        </w:rPr>
        <w:t>1.6.4图纸的错误</w:t>
      </w:r>
    </w:p>
    <w:p>
      <w:pPr>
        <w:adjustRightInd w:val="0"/>
        <w:snapToGrid w:val="0"/>
        <w:spacing w:line="424" w:lineRule="exact"/>
        <w:ind w:firstLine="480" w:firstLineChars="200"/>
        <w:rPr>
          <w:rFonts w:ascii="宋体" w:hAnsi="宋体"/>
          <w:sz w:val="24"/>
        </w:rPr>
      </w:pPr>
      <w:r>
        <w:rPr>
          <w:rFonts w:ascii="宋体" w:hAnsi="宋体"/>
          <w:sz w:val="24"/>
        </w:rPr>
        <w:t>本项细化为：</w:t>
      </w:r>
    </w:p>
    <w:p>
      <w:pPr>
        <w:adjustRightInd w:val="0"/>
        <w:snapToGrid w:val="0"/>
        <w:spacing w:line="424" w:lineRule="exact"/>
        <w:ind w:firstLine="480" w:firstLineChars="200"/>
        <w:rPr>
          <w:rFonts w:ascii="宋体" w:hAnsi="宋体"/>
          <w:sz w:val="24"/>
        </w:rPr>
      </w:pPr>
      <w:r>
        <w:rPr>
          <w:rFonts w:ascii="宋体" w:hAnsi="宋体"/>
          <w:sz w:val="24"/>
        </w:rPr>
        <w:t>当承包人在查阅合同文件或在本合同工程实施过程中，发现有关的工程设计、技术规范、图纸或其他资料中的任何</w:t>
      </w:r>
      <w:r>
        <w:rPr>
          <w:rFonts w:hint="eastAsia" w:ascii="宋体" w:hAnsi="宋体"/>
          <w:sz w:val="24"/>
        </w:rPr>
        <w:t>技术因素</w:t>
      </w:r>
      <w:r>
        <w:rPr>
          <w:rFonts w:ascii="宋体" w:hAnsi="宋体"/>
          <w:sz w:val="24"/>
        </w:rPr>
        <w:t>差错、遗漏或缺陷后，应及时通知监理人。监理人接到该通知后，应立即就此做出决定，并通知承包人和发包人。</w:t>
      </w:r>
    </w:p>
    <w:p>
      <w:pPr>
        <w:adjustRightInd w:val="0"/>
        <w:snapToGrid w:val="0"/>
        <w:spacing w:line="424" w:lineRule="exact"/>
        <w:ind w:firstLine="480" w:firstLineChars="200"/>
        <w:rPr>
          <w:rFonts w:ascii="宋体" w:hAnsi="宋体"/>
          <w:sz w:val="24"/>
        </w:rPr>
      </w:pPr>
      <w:r>
        <w:rPr>
          <w:rFonts w:ascii="宋体" w:hAnsi="宋体"/>
          <w:sz w:val="24"/>
        </w:rPr>
        <w:t>1.7联络</w:t>
      </w:r>
    </w:p>
    <w:p>
      <w:pPr>
        <w:adjustRightInd w:val="0"/>
        <w:snapToGrid w:val="0"/>
        <w:spacing w:line="424" w:lineRule="exact"/>
        <w:ind w:firstLine="480" w:firstLineChars="200"/>
        <w:rPr>
          <w:rFonts w:ascii="宋体" w:hAnsi="宋体"/>
          <w:sz w:val="24"/>
        </w:rPr>
      </w:pPr>
      <w:r>
        <w:rPr>
          <w:rFonts w:ascii="宋体" w:hAnsi="宋体"/>
          <w:sz w:val="24"/>
        </w:rPr>
        <w:t>1.7.2来往函件送达的期限：</w:t>
      </w:r>
      <w:r>
        <w:rPr>
          <w:rFonts w:hint="eastAsia" w:ascii="宋体" w:hAnsi="宋体"/>
          <w:sz w:val="24"/>
          <w:u w:val="single"/>
        </w:rPr>
        <w:t xml:space="preserve">  （见项目专用合同条款）  </w:t>
      </w:r>
    </w:p>
    <w:p>
      <w:pPr>
        <w:adjustRightInd w:val="0"/>
        <w:snapToGrid w:val="0"/>
        <w:spacing w:before="312" w:beforeLines="100" w:line="424" w:lineRule="exact"/>
        <w:rPr>
          <w:rFonts w:ascii="宋体" w:hAnsi="宋体"/>
          <w:sz w:val="24"/>
        </w:rPr>
      </w:pPr>
      <w:r>
        <w:rPr>
          <w:rFonts w:ascii="宋体" w:hAnsi="宋体"/>
          <w:sz w:val="24"/>
        </w:rPr>
        <w:t>1.9严禁贿赔</w:t>
      </w:r>
    </w:p>
    <w:p>
      <w:pPr>
        <w:adjustRightInd w:val="0"/>
        <w:snapToGrid w:val="0"/>
        <w:spacing w:line="424" w:lineRule="exact"/>
        <w:ind w:firstLine="480" w:firstLineChars="200"/>
        <w:rPr>
          <w:rFonts w:ascii="宋体" w:hAnsi="宋体"/>
          <w:sz w:val="24"/>
        </w:rPr>
      </w:pPr>
      <w:r>
        <w:rPr>
          <w:rFonts w:ascii="宋体" w:hAnsi="宋体"/>
          <w:sz w:val="24"/>
        </w:rPr>
        <w:t>本款补充：</w:t>
      </w:r>
    </w:p>
    <w:p>
      <w:pPr>
        <w:adjustRightInd w:val="0"/>
        <w:snapToGrid w:val="0"/>
        <w:spacing w:line="424" w:lineRule="exact"/>
        <w:ind w:firstLine="480" w:firstLineChars="200"/>
        <w:rPr>
          <w:rFonts w:ascii="宋体" w:hAnsi="宋体"/>
          <w:sz w:val="24"/>
        </w:rPr>
      </w:pPr>
      <w:r>
        <w:rPr>
          <w:rFonts w:ascii="宋体" w:hAnsi="宋体"/>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line="424"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发包人义务</w:t>
      </w:r>
    </w:p>
    <w:p>
      <w:pPr>
        <w:adjustRightInd w:val="0"/>
        <w:snapToGrid w:val="0"/>
        <w:spacing w:line="424" w:lineRule="exact"/>
        <w:rPr>
          <w:rFonts w:ascii="宋体" w:hAnsi="宋体"/>
          <w:sz w:val="24"/>
        </w:rPr>
      </w:pPr>
      <w:r>
        <w:rPr>
          <w:rFonts w:ascii="宋体" w:hAnsi="宋体"/>
          <w:sz w:val="24"/>
        </w:rPr>
        <w:t>2.3提供施工场地</w:t>
      </w:r>
    </w:p>
    <w:p>
      <w:pPr>
        <w:adjustRightInd w:val="0"/>
        <w:snapToGrid w:val="0"/>
        <w:spacing w:line="424" w:lineRule="exact"/>
        <w:ind w:firstLine="480" w:firstLineChars="200"/>
        <w:rPr>
          <w:rFonts w:ascii="宋体" w:hAnsi="宋体"/>
          <w:sz w:val="24"/>
        </w:rPr>
      </w:pPr>
      <w:r>
        <w:rPr>
          <w:rFonts w:ascii="宋体" w:hAnsi="宋体"/>
          <w:sz w:val="24"/>
        </w:rPr>
        <w:t>本款约定为：</w:t>
      </w:r>
    </w:p>
    <w:p>
      <w:pPr>
        <w:adjustRightInd w:val="0"/>
        <w:snapToGrid w:val="0"/>
        <w:spacing w:line="424" w:lineRule="exact"/>
        <w:ind w:firstLine="480" w:firstLineChars="200"/>
        <w:rPr>
          <w:rFonts w:ascii="宋体" w:hAnsi="宋体"/>
          <w:sz w:val="24"/>
        </w:rPr>
      </w:pPr>
      <w:r>
        <w:rPr>
          <w:rFonts w:ascii="宋体" w:hAnsi="宋体"/>
          <w:sz w:val="24"/>
        </w:rPr>
        <w:t>2.3.1提供永久占地</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如果由于发包人未能按照本项规定办妥永久占地征用手续，影响承包人及时使用，由此导致费用增加和（或）工期延误由发包人承担。</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如果由于承包人未能按照本项规定提交占地计划，因而影响发包人办理永久占地征用手续而导致延误工期或增加费用，则应由承包人自行负责。</w:t>
      </w:r>
    </w:p>
    <w:p>
      <w:pPr>
        <w:adjustRightInd w:val="0"/>
        <w:snapToGrid w:val="0"/>
        <w:spacing w:line="424" w:lineRule="exact"/>
        <w:ind w:firstLine="480" w:firstLineChars="200"/>
        <w:rPr>
          <w:rFonts w:ascii="宋体" w:hAnsi="宋体"/>
          <w:sz w:val="24"/>
        </w:rPr>
      </w:pPr>
      <w:r>
        <w:rPr>
          <w:rFonts w:ascii="宋体" w:hAnsi="宋体"/>
          <w:sz w:val="24"/>
        </w:rPr>
        <w:t>2.3.2提供临时占地</w:t>
      </w:r>
    </w:p>
    <w:p>
      <w:pPr>
        <w:adjustRightInd w:val="0"/>
        <w:snapToGrid w:val="0"/>
        <w:spacing w:line="424" w:lineRule="exact"/>
        <w:ind w:firstLine="480" w:firstLineChars="200"/>
        <w:rPr>
          <w:rFonts w:ascii="宋体" w:hAnsi="宋体"/>
          <w:sz w:val="24"/>
        </w:rPr>
      </w:pPr>
      <w:r>
        <w:rPr>
          <w:rFonts w:ascii="宋体" w:hAnsi="宋体"/>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w:t>
      </w:r>
      <w:r>
        <w:rPr>
          <w:rFonts w:hint="eastAsia" w:ascii="宋体" w:hAnsi="宋体"/>
          <w:sz w:val="24"/>
          <w:u w:val="single"/>
        </w:rPr>
        <w:t xml:space="preserve">          </w:t>
      </w:r>
      <w:r>
        <w:rPr>
          <w:rFonts w:ascii="宋体" w:hAnsi="宋体"/>
          <w:sz w:val="24"/>
        </w:rPr>
        <w:t>元计（在项目专用条款数据表中予以规定）。临时用地中如有地面附着物（电力、电信、房屋、坟墓除外），其拆迁补偿费用计入工程量清单各有关项目单价内，不另支付。</w:t>
      </w:r>
    </w:p>
    <w:p>
      <w:pPr>
        <w:adjustRightInd w:val="0"/>
        <w:snapToGrid w:val="0"/>
        <w:spacing w:line="424" w:lineRule="exact"/>
        <w:ind w:firstLine="480" w:firstLineChars="200"/>
        <w:rPr>
          <w:rFonts w:hint="eastAsia" w:ascii="宋体" w:hAnsi="宋体"/>
          <w:sz w:val="24"/>
        </w:rPr>
      </w:pPr>
      <w:r>
        <w:rPr>
          <w:rFonts w:ascii="宋体" w:hAnsi="宋体"/>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line="424" w:lineRule="exact"/>
        <w:ind w:firstLine="480" w:firstLineChars="200"/>
        <w:rPr>
          <w:rFonts w:ascii="宋体" w:hAnsi="宋体"/>
          <w:sz w:val="24"/>
        </w:rPr>
      </w:pPr>
      <w:r>
        <w:rPr>
          <w:rFonts w:ascii="宋体" w:hAnsi="宋体"/>
          <w:sz w:val="24"/>
        </w:rPr>
        <w:t>2.8其他义务</w:t>
      </w:r>
    </w:p>
    <w:p>
      <w:pPr>
        <w:adjustRightInd w:val="0"/>
        <w:snapToGrid w:val="0"/>
        <w:spacing w:line="424" w:lineRule="exact"/>
        <w:ind w:firstLine="480" w:firstLineChars="200"/>
        <w:rPr>
          <w:rFonts w:hint="eastAsia" w:ascii="宋体" w:hAnsi="宋体"/>
          <w:sz w:val="24"/>
          <w:u w:val="single"/>
        </w:rPr>
      </w:pPr>
      <w:r>
        <w:rPr>
          <w:rFonts w:ascii="宋体" w:hAnsi="宋体"/>
          <w:sz w:val="24"/>
        </w:rPr>
        <w:t>发包人应履行的其他义务</w:t>
      </w:r>
      <w:r>
        <w:rPr>
          <w:rFonts w:hint="eastAsia" w:ascii="宋体" w:hAnsi="宋体"/>
          <w:sz w:val="24"/>
        </w:rPr>
        <w:t>：</w:t>
      </w:r>
      <w:r>
        <w:rPr>
          <w:rFonts w:hint="eastAsia" w:ascii="宋体" w:hAnsi="宋体"/>
          <w:sz w:val="24"/>
          <w:u w:val="single"/>
        </w:rPr>
        <w:t xml:space="preserve">  （见项目专用合同条款）  </w:t>
      </w:r>
    </w:p>
    <w:p>
      <w:pPr>
        <w:adjustRightInd w:val="0"/>
        <w:snapToGrid w:val="0"/>
        <w:spacing w:line="424" w:lineRule="exact"/>
        <w:ind w:firstLine="480" w:firstLineChars="200"/>
        <w:rPr>
          <w:rFonts w:ascii="宋体" w:hAnsi="宋体"/>
          <w:sz w:val="24"/>
          <w:u w:val="single"/>
        </w:rPr>
      </w:pPr>
      <w:r>
        <w:rPr>
          <w:rFonts w:ascii="宋体" w:hAnsi="宋体"/>
          <w:sz w:val="24"/>
        </w:rPr>
        <w:t>3</w:t>
      </w:r>
      <w:r>
        <w:rPr>
          <w:rFonts w:hint="eastAsia" w:ascii="宋体" w:hAnsi="宋体"/>
          <w:sz w:val="24"/>
        </w:rPr>
        <w:t>．</w:t>
      </w:r>
      <w:r>
        <w:rPr>
          <w:rFonts w:ascii="宋体" w:hAnsi="宋体"/>
          <w:sz w:val="24"/>
        </w:rPr>
        <w:t>监理人</w:t>
      </w:r>
    </w:p>
    <w:p>
      <w:pPr>
        <w:adjustRightInd w:val="0"/>
        <w:snapToGrid w:val="0"/>
        <w:spacing w:line="424" w:lineRule="exact"/>
        <w:ind w:firstLine="480" w:firstLineChars="200"/>
        <w:rPr>
          <w:rFonts w:ascii="宋体" w:hAnsi="宋体"/>
          <w:sz w:val="24"/>
        </w:rPr>
      </w:pPr>
      <w:r>
        <w:rPr>
          <w:rFonts w:ascii="宋体" w:hAnsi="宋体"/>
          <w:sz w:val="24"/>
        </w:rPr>
        <w:t>3.1监理人的职责和权力</w:t>
      </w:r>
    </w:p>
    <w:p>
      <w:pPr>
        <w:adjustRightInd w:val="0"/>
        <w:snapToGrid w:val="0"/>
        <w:spacing w:line="424" w:lineRule="exact"/>
        <w:ind w:firstLine="480" w:firstLineChars="200"/>
        <w:rPr>
          <w:rFonts w:ascii="宋体" w:hAnsi="宋体"/>
          <w:sz w:val="24"/>
        </w:rPr>
      </w:pPr>
      <w:r>
        <w:rPr>
          <w:rFonts w:ascii="宋体" w:hAnsi="宋体"/>
          <w:sz w:val="24"/>
        </w:rPr>
        <w:t>3.1</w:t>
      </w:r>
      <w:r>
        <w:rPr>
          <w:rFonts w:hint="eastAsia" w:ascii="宋体" w:hAnsi="宋体"/>
          <w:sz w:val="24"/>
        </w:rPr>
        <w:t>.</w:t>
      </w:r>
      <w:r>
        <w:rPr>
          <w:rFonts w:ascii="宋体" w:hAnsi="宋体"/>
          <w:sz w:val="24"/>
        </w:rPr>
        <w:t>1项补充：</w:t>
      </w:r>
    </w:p>
    <w:p>
      <w:pPr>
        <w:adjustRightInd w:val="0"/>
        <w:snapToGrid w:val="0"/>
        <w:spacing w:line="424" w:lineRule="exact"/>
        <w:ind w:firstLine="480" w:firstLineChars="200"/>
        <w:rPr>
          <w:rFonts w:ascii="宋体" w:hAnsi="宋体"/>
          <w:sz w:val="24"/>
        </w:rPr>
      </w:pPr>
      <w:r>
        <w:rPr>
          <w:rFonts w:ascii="宋体" w:hAnsi="宋体"/>
          <w:sz w:val="24"/>
        </w:rPr>
        <w:t>监理人在行使下列权力前需要经发包人事先批准：</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根据第4.3款，同意分包本工程的某非主体和关键性工作；</w:t>
      </w:r>
    </w:p>
    <w:p>
      <w:pPr>
        <w:adjustRightInd w:val="0"/>
        <w:snapToGrid w:val="0"/>
        <w:spacing w:line="424" w:lineRule="exact"/>
        <w:ind w:firstLine="480" w:firstLineChars="200"/>
        <w:rPr>
          <w:rFonts w:ascii="宋体" w:hAnsi="宋体"/>
          <w:sz w:val="24"/>
        </w:rPr>
      </w:pPr>
      <w:r>
        <w:rPr>
          <w:rFonts w:ascii="宋体" w:hAnsi="宋体"/>
          <w:sz w:val="24"/>
        </w:rPr>
        <w:t>（2）确定第4.11款下产生的费用增加额；</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3）根据第11</w:t>
      </w:r>
      <w:r>
        <w:rPr>
          <w:rFonts w:hint="eastAsia" w:ascii="宋体" w:hAnsi="宋体"/>
          <w:sz w:val="24"/>
        </w:rPr>
        <w:t>.</w:t>
      </w:r>
      <w:r>
        <w:rPr>
          <w:rFonts w:ascii="宋体" w:hAnsi="宋体"/>
          <w:sz w:val="24"/>
        </w:rPr>
        <w:t>1款、12.3款、12.4款发布开工通知、暂停施工指示或复工通矢日；</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决定第11.3款、11.4款下的工期延长；</w:t>
      </w:r>
    </w:p>
    <w:p>
      <w:pPr>
        <w:adjustRightInd w:val="0"/>
        <w:snapToGrid w:val="0"/>
        <w:spacing w:line="424" w:lineRule="exact"/>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审查批准技术规范或设计的变更；</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根据第15.3款发出的变更指令，其单项工程变更涉及的金额超过了该单项工程原合同价的</w:t>
      </w:r>
      <w:r>
        <w:rPr>
          <w:rFonts w:hint="eastAsia" w:ascii="宋体" w:hAnsi="宋体"/>
          <w:sz w:val="24"/>
          <w:u w:val="single"/>
        </w:rPr>
        <w:t xml:space="preserve">    </w:t>
      </w:r>
      <w:r>
        <w:rPr>
          <w:rFonts w:ascii="宋体" w:hAnsi="宋体"/>
          <w:sz w:val="24"/>
        </w:rPr>
        <w:t>％或累计变更超过了原总合同价的</w:t>
      </w:r>
      <w:r>
        <w:rPr>
          <w:rFonts w:hint="eastAsia" w:ascii="宋体" w:hAnsi="宋体"/>
          <w:sz w:val="24"/>
          <w:u w:val="single"/>
        </w:rPr>
        <w:t xml:space="preserve">    </w:t>
      </w:r>
      <w:r>
        <w:rPr>
          <w:rFonts w:ascii="宋体" w:hAnsi="宋体"/>
          <w:sz w:val="24"/>
        </w:rPr>
        <w:t>％（在项目专用条款数据表中予以规定）；</w:t>
      </w:r>
    </w:p>
    <w:p>
      <w:pPr>
        <w:adjustRightInd w:val="0"/>
        <w:snapToGrid w:val="0"/>
        <w:spacing w:line="424" w:lineRule="exact"/>
        <w:ind w:firstLine="480" w:firstLineChars="200"/>
        <w:rPr>
          <w:rFonts w:ascii="宋体" w:hAnsi="宋体"/>
          <w:sz w:val="24"/>
        </w:rPr>
      </w:pPr>
      <w:r>
        <w:rPr>
          <w:rFonts w:ascii="宋体" w:hAnsi="宋体"/>
          <w:sz w:val="24"/>
        </w:rPr>
        <w:t>（7）确定第23.1款项下的索赔额；</w:t>
      </w:r>
    </w:p>
    <w:p>
      <w:pPr>
        <w:adjustRightInd w:val="0"/>
        <w:snapToGrid w:val="0"/>
        <w:spacing w:line="424" w:lineRule="exact"/>
        <w:ind w:firstLine="480" w:firstLineChars="200"/>
        <w:rPr>
          <w:rFonts w:ascii="宋体" w:hAnsi="宋体"/>
          <w:sz w:val="24"/>
        </w:rPr>
      </w:pPr>
      <w:r>
        <w:rPr>
          <w:rFonts w:ascii="宋体" w:hAnsi="宋体"/>
          <w:sz w:val="24"/>
        </w:rPr>
        <w:t>（8</w:t>
      </w:r>
      <w:r>
        <w:rPr>
          <w:rFonts w:hint="eastAsia" w:ascii="宋体" w:hAnsi="宋体"/>
          <w:sz w:val="24"/>
        </w:rPr>
        <w:t>）</w:t>
      </w:r>
      <w:r>
        <w:rPr>
          <w:rFonts w:ascii="宋体" w:hAnsi="宋体"/>
          <w:sz w:val="24"/>
        </w:rPr>
        <w:t>按照第15.6款决定有关暂列金额的使用；</w:t>
      </w:r>
    </w:p>
    <w:p>
      <w:pPr>
        <w:adjustRightInd w:val="0"/>
        <w:snapToGrid w:val="0"/>
        <w:spacing w:line="424" w:lineRule="exact"/>
        <w:ind w:firstLine="480" w:firstLineChars="200"/>
        <w:rPr>
          <w:rFonts w:ascii="宋体" w:hAnsi="宋体"/>
          <w:sz w:val="24"/>
        </w:rPr>
      </w:pPr>
      <w:r>
        <w:rPr>
          <w:rFonts w:ascii="宋体" w:hAnsi="宋体"/>
          <w:sz w:val="24"/>
        </w:rPr>
        <w:t>（9</w:t>
      </w:r>
      <w:r>
        <w:rPr>
          <w:rFonts w:hint="eastAsia" w:ascii="宋体" w:hAnsi="宋体"/>
          <w:sz w:val="24"/>
        </w:rPr>
        <w:t>）</w:t>
      </w:r>
      <w:r>
        <w:rPr>
          <w:rFonts w:ascii="宋体" w:hAnsi="宋体"/>
          <w:sz w:val="24"/>
        </w:rPr>
        <w:t>确定第15.8款项下的暂估价金额；</w:t>
      </w:r>
    </w:p>
    <w:p>
      <w:pPr>
        <w:adjustRightInd w:val="0"/>
        <w:snapToGrid w:val="0"/>
        <w:spacing w:line="424" w:lineRule="exact"/>
        <w:ind w:firstLine="480" w:firstLineChars="200"/>
        <w:rPr>
          <w:rFonts w:ascii="宋体" w:hAnsi="宋体"/>
          <w:sz w:val="24"/>
        </w:rPr>
      </w:pPr>
      <w:r>
        <w:rPr>
          <w:rFonts w:ascii="宋体" w:hAnsi="宋体"/>
          <w:sz w:val="24"/>
        </w:rPr>
        <w:t>（10</w:t>
      </w:r>
      <w:r>
        <w:rPr>
          <w:rFonts w:hint="eastAsia" w:ascii="宋体" w:hAnsi="宋体"/>
          <w:sz w:val="24"/>
        </w:rPr>
        <w:t>）</w:t>
      </w:r>
      <w:r>
        <w:rPr>
          <w:rFonts w:ascii="宋体" w:hAnsi="宋体"/>
          <w:sz w:val="24"/>
        </w:rPr>
        <w:t>确定第15.4款下变更工作的单价。</w:t>
      </w:r>
    </w:p>
    <w:p>
      <w:pPr>
        <w:adjustRightInd w:val="0"/>
        <w:snapToGrid w:val="0"/>
        <w:spacing w:line="424" w:lineRule="exact"/>
        <w:ind w:firstLine="480" w:firstLineChars="200"/>
        <w:rPr>
          <w:rFonts w:hint="eastAsia" w:ascii="宋体" w:hAnsi="宋体"/>
          <w:sz w:val="24"/>
        </w:rPr>
      </w:pPr>
      <w:r>
        <w:rPr>
          <w:rFonts w:ascii="宋体" w:hAnsi="宋体"/>
          <w:sz w:val="24"/>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line="424" w:lineRule="exact"/>
        <w:ind w:firstLine="480" w:firstLineChars="200"/>
        <w:rPr>
          <w:rFonts w:ascii="宋体" w:hAnsi="宋体"/>
          <w:sz w:val="24"/>
        </w:rPr>
      </w:pPr>
      <w:r>
        <w:rPr>
          <w:rFonts w:ascii="宋体" w:hAnsi="宋体"/>
          <w:sz w:val="24"/>
        </w:rPr>
        <w:t>3.5商定或确定</w:t>
      </w:r>
    </w:p>
    <w:p>
      <w:pPr>
        <w:adjustRightInd w:val="0"/>
        <w:snapToGrid w:val="0"/>
        <w:spacing w:line="424" w:lineRule="exact"/>
        <w:ind w:firstLine="480" w:firstLineChars="200"/>
        <w:rPr>
          <w:rFonts w:ascii="宋体" w:hAnsi="宋体"/>
          <w:sz w:val="24"/>
        </w:rPr>
      </w:pPr>
      <w:r>
        <w:rPr>
          <w:rFonts w:ascii="宋体" w:hAnsi="宋体"/>
          <w:sz w:val="24"/>
        </w:rPr>
        <w:t>3.5</w:t>
      </w:r>
      <w:r>
        <w:rPr>
          <w:rFonts w:hint="eastAsia" w:ascii="宋体" w:hAnsi="宋体"/>
          <w:sz w:val="24"/>
        </w:rPr>
        <w:t>.</w:t>
      </w:r>
      <w:r>
        <w:rPr>
          <w:rFonts w:ascii="宋体" w:hAnsi="宋体"/>
          <w:sz w:val="24"/>
        </w:rPr>
        <w:t>1项补充：</w:t>
      </w:r>
    </w:p>
    <w:p>
      <w:pPr>
        <w:adjustRightInd w:val="0"/>
        <w:snapToGrid w:val="0"/>
        <w:spacing w:line="424" w:lineRule="exact"/>
        <w:ind w:firstLine="480" w:firstLineChars="200"/>
        <w:rPr>
          <w:rFonts w:hint="eastAsia" w:ascii="宋体" w:hAnsi="宋体"/>
          <w:sz w:val="24"/>
        </w:rPr>
      </w:pPr>
      <w:r>
        <w:rPr>
          <w:rFonts w:ascii="宋体" w:hAnsi="宋体"/>
          <w:sz w:val="24"/>
        </w:rPr>
        <w:t>如果这项商定或确定导致费用增加和（或）工期延长，或者涉及确定变更工程的价格，则总监理工程师在发出通知前，应征得发包人的同意。</w:t>
      </w:r>
    </w:p>
    <w:p>
      <w:pPr>
        <w:adjustRightInd w:val="0"/>
        <w:snapToGrid w:val="0"/>
        <w:spacing w:line="424" w:lineRule="exact"/>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承包人</w:t>
      </w:r>
    </w:p>
    <w:p>
      <w:pPr>
        <w:adjustRightInd w:val="0"/>
        <w:snapToGrid w:val="0"/>
        <w:spacing w:line="424" w:lineRule="exact"/>
        <w:rPr>
          <w:rFonts w:ascii="宋体" w:hAnsi="宋体"/>
          <w:sz w:val="24"/>
        </w:rPr>
      </w:pPr>
      <w:r>
        <w:rPr>
          <w:rFonts w:ascii="宋体" w:hAnsi="宋体"/>
          <w:sz w:val="24"/>
        </w:rPr>
        <w:t>4.1承包人的一般义务</w:t>
      </w:r>
    </w:p>
    <w:p>
      <w:pPr>
        <w:adjustRightInd w:val="0"/>
        <w:snapToGrid w:val="0"/>
        <w:spacing w:line="424" w:lineRule="exact"/>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1.2依法纳税</w:t>
      </w:r>
    </w:p>
    <w:p>
      <w:pPr>
        <w:adjustRightInd w:val="0"/>
        <w:snapToGrid w:val="0"/>
        <w:spacing w:line="424" w:lineRule="exact"/>
        <w:ind w:firstLine="480" w:firstLineChars="200"/>
        <w:rPr>
          <w:rFonts w:ascii="宋体" w:hAnsi="宋体"/>
          <w:sz w:val="24"/>
        </w:rPr>
      </w:pPr>
      <w:r>
        <w:rPr>
          <w:rFonts w:ascii="宋体" w:hAnsi="宋体"/>
          <w:sz w:val="24"/>
        </w:rPr>
        <w:t>本项细化为：</w:t>
      </w:r>
    </w:p>
    <w:p>
      <w:pPr>
        <w:adjustRightInd w:val="0"/>
        <w:snapToGrid w:val="0"/>
        <w:spacing w:line="424" w:lineRule="exact"/>
        <w:ind w:firstLine="480" w:firstLineChars="200"/>
        <w:rPr>
          <w:rFonts w:ascii="宋体" w:hAnsi="宋体"/>
          <w:sz w:val="24"/>
        </w:rPr>
      </w:pPr>
      <w:r>
        <w:rPr>
          <w:rFonts w:ascii="宋体" w:hAnsi="宋体"/>
          <w:sz w:val="24"/>
        </w:rPr>
        <w:t>承包人应按有关法律规定纳税。应缴纳的税费应按项目专用合同条款的约定：</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包括在工程量清单第100章相应的支付子目中；</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分摊在工程量清单各工程子目的单价或总额价内。</w:t>
      </w:r>
    </w:p>
    <w:p>
      <w:pPr>
        <w:adjustRightInd w:val="0"/>
        <w:snapToGrid w:val="0"/>
        <w:spacing w:line="424" w:lineRule="exact"/>
        <w:ind w:firstLine="480" w:firstLineChars="200"/>
        <w:rPr>
          <w:rFonts w:ascii="宋体" w:hAnsi="宋体"/>
          <w:sz w:val="24"/>
        </w:rPr>
      </w:pPr>
      <w:r>
        <w:rPr>
          <w:rFonts w:ascii="宋体" w:hAnsi="宋体"/>
          <w:sz w:val="24"/>
        </w:rPr>
        <w:t>4.1.8为他人提供方便</w:t>
      </w:r>
    </w:p>
    <w:p>
      <w:pPr>
        <w:adjustRightInd w:val="0"/>
        <w:snapToGrid w:val="0"/>
        <w:spacing w:line="424" w:lineRule="exact"/>
        <w:ind w:firstLine="480" w:firstLineChars="200"/>
        <w:rPr>
          <w:rFonts w:ascii="宋体" w:hAnsi="宋体"/>
          <w:sz w:val="24"/>
        </w:rPr>
      </w:pPr>
      <w:r>
        <w:rPr>
          <w:rFonts w:ascii="宋体" w:hAnsi="宋体"/>
          <w:sz w:val="24"/>
        </w:rPr>
        <w:t>承包人为他人提供条件的内容：</w:t>
      </w:r>
      <w:r>
        <w:rPr>
          <w:rFonts w:hint="eastAsia" w:ascii="宋体" w:hAnsi="宋体"/>
          <w:sz w:val="24"/>
          <w:u w:val="single"/>
        </w:rPr>
        <w:t xml:space="preserve">  （见项目专用合同条款）  </w:t>
      </w:r>
    </w:p>
    <w:p>
      <w:pPr>
        <w:adjustRightInd w:val="0"/>
        <w:snapToGrid w:val="0"/>
        <w:spacing w:line="424" w:lineRule="exact"/>
        <w:ind w:firstLine="480" w:firstLineChars="200"/>
        <w:rPr>
          <w:rFonts w:ascii="宋体" w:hAnsi="宋体"/>
          <w:sz w:val="24"/>
          <w:u w:val="single"/>
        </w:rPr>
      </w:pPr>
      <w:r>
        <w:rPr>
          <w:rFonts w:ascii="宋体" w:hAnsi="宋体"/>
          <w:sz w:val="24"/>
        </w:rPr>
        <w:t>承包人为他人提供条件可能发生费用的处理方法：</w:t>
      </w:r>
      <w:r>
        <w:rPr>
          <w:rFonts w:hint="eastAsia" w:ascii="宋体" w:hAnsi="宋体"/>
          <w:sz w:val="24"/>
          <w:u w:val="single"/>
        </w:rPr>
        <w:t xml:space="preserve">  （见项目专用合同条款）</w:t>
      </w:r>
    </w:p>
    <w:p>
      <w:pPr>
        <w:adjustRightInd w:val="0"/>
        <w:snapToGrid w:val="0"/>
        <w:spacing w:line="424" w:lineRule="exact"/>
        <w:ind w:firstLine="480" w:firstLineChars="200"/>
        <w:rPr>
          <w:rFonts w:ascii="宋体" w:hAnsi="宋体"/>
          <w:sz w:val="24"/>
        </w:rPr>
      </w:pPr>
      <w:r>
        <w:rPr>
          <w:rFonts w:ascii="宋体" w:hAnsi="宋体"/>
          <w:sz w:val="24"/>
        </w:rPr>
        <w:t>4.1.9工程的维护和照管</w:t>
      </w:r>
    </w:p>
    <w:p>
      <w:pPr>
        <w:adjustRightInd w:val="0"/>
        <w:snapToGrid w:val="0"/>
        <w:spacing w:line="424" w:lineRule="exact"/>
        <w:ind w:firstLine="480" w:firstLineChars="200"/>
        <w:rPr>
          <w:rFonts w:ascii="宋体" w:hAnsi="宋体"/>
          <w:sz w:val="24"/>
        </w:rPr>
      </w:pPr>
      <w:r>
        <w:rPr>
          <w:rFonts w:ascii="宋体" w:hAnsi="宋体"/>
          <w:sz w:val="24"/>
        </w:rPr>
        <w:t>本项细化为：</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424" w:lineRule="exact"/>
        <w:ind w:firstLine="480" w:firstLineChars="200"/>
        <w:rPr>
          <w:rFonts w:ascii="宋体" w:hAnsi="宋体"/>
          <w:sz w:val="24"/>
        </w:rPr>
      </w:pPr>
      <w:r>
        <w:rPr>
          <w:rFonts w:ascii="宋体" w:hAnsi="宋体"/>
          <w:sz w:val="24"/>
        </w:rPr>
        <w:t>4.1</w:t>
      </w:r>
      <w:r>
        <w:rPr>
          <w:rFonts w:hint="eastAsia" w:ascii="宋体" w:hAnsi="宋体"/>
          <w:sz w:val="24"/>
        </w:rPr>
        <w:t>.</w:t>
      </w:r>
      <w:r>
        <w:rPr>
          <w:rFonts w:ascii="宋体" w:hAnsi="宋体"/>
          <w:sz w:val="24"/>
        </w:rPr>
        <w:t>10其他义务</w:t>
      </w:r>
    </w:p>
    <w:p>
      <w:pPr>
        <w:adjustRightInd w:val="0"/>
        <w:snapToGrid w:val="0"/>
        <w:spacing w:line="424" w:lineRule="exact"/>
        <w:ind w:firstLine="480" w:firstLineChars="200"/>
        <w:rPr>
          <w:rFonts w:ascii="宋体" w:hAnsi="宋体"/>
          <w:sz w:val="24"/>
        </w:rPr>
      </w:pPr>
      <w:r>
        <w:rPr>
          <w:rFonts w:ascii="宋体" w:hAnsi="宋体"/>
          <w:sz w:val="24"/>
        </w:rPr>
        <w:t>本项细化为：</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424" w:lineRule="exact"/>
        <w:ind w:firstLine="480" w:firstLineChars="200"/>
        <w:rPr>
          <w:rFonts w:ascii="宋体" w:hAnsi="宋体"/>
          <w:sz w:val="24"/>
        </w:rPr>
      </w:pPr>
      <w:r>
        <w:rPr>
          <w:rFonts w:hint="eastAsia" w:ascii="宋体" w:hAnsi="宋体"/>
          <w:sz w:val="24"/>
        </w:rPr>
        <w:t>工</w:t>
      </w:r>
      <w:r>
        <w:rPr>
          <w:rFonts w:ascii="宋体" w:hAnsi="宋体"/>
          <w:sz w:val="24"/>
        </w:rPr>
        <w:t>资支付表应如实记录支付单位、支付时间、支付对象、支付数额、支付对象的身份证号和签字等工资支付情况。民工花名册和工资支付表报监理人备查。</w:t>
      </w:r>
    </w:p>
    <w:p>
      <w:pPr>
        <w:adjustRightInd w:val="0"/>
        <w:snapToGrid w:val="0"/>
        <w:spacing w:line="424" w:lineRule="exact"/>
        <w:ind w:firstLine="480" w:firstLineChars="200"/>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承包人应履行项目专用合同条款约定的其他义务。</w:t>
      </w:r>
    </w:p>
    <w:p>
      <w:pPr>
        <w:adjustRightInd w:val="0"/>
        <w:snapToGrid w:val="0"/>
        <w:spacing w:line="424" w:lineRule="exact"/>
        <w:ind w:firstLine="480" w:firstLineChars="200"/>
        <w:rPr>
          <w:rFonts w:ascii="宋体" w:hAnsi="宋体"/>
          <w:sz w:val="24"/>
        </w:rPr>
      </w:pPr>
      <w:r>
        <w:rPr>
          <w:rFonts w:ascii="宋体" w:hAnsi="宋体"/>
          <w:sz w:val="24"/>
        </w:rPr>
        <w:t>4.2履约担保</w:t>
      </w:r>
    </w:p>
    <w:p>
      <w:pPr>
        <w:adjustRightInd w:val="0"/>
        <w:snapToGrid w:val="0"/>
        <w:spacing w:line="424" w:lineRule="exact"/>
        <w:ind w:firstLine="480" w:firstLineChars="200"/>
        <w:rPr>
          <w:rFonts w:ascii="宋体" w:hAnsi="宋体"/>
          <w:sz w:val="24"/>
        </w:rPr>
      </w:pPr>
      <w:r>
        <w:rPr>
          <w:rFonts w:ascii="宋体" w:hAnsi="宋体"/>
          <w:sz w:val="24"/>
        </w:rPr>
        <w:t>本款补充：</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424" w:lineRule="exact"/>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联合体的履约担保应由联合体牵头人提交，其金额应达到投标函附录中规定的金额。</w:t>
      </w:r>
    </w:p>
    <w:p>
      <w:pPr>
        <w:adjustRightInd w:val="0"/>
        <w:snapToGrid w:val="0"/>
        <w:spacing w:line="424" w:lineRule="exact"/>
        <w:ind w:firstLine="480" w:firstLineChars="200"/>
        <w:rPr>
          <w:rFonts w:ascii="宋体" w:hAnsi="宋体"/>
          <w:sz w:val="24"/>
        </w:rPr>
      </w:pPr>
      <w:r>
        <w:rPr>
          <w:rFonts w:ascii="宋体" w:hAnsi="宋体"/>
          <w:sz w:val="24"/>
        </w:rPr>
        <w:t>4.3分包</w:t>
      </w:r>
    </w:p>
    <w:p>
      <w:pPr>
        <w:adjustRightInd w:val="0"/>
        <w:snapToGrid w:val="0"/>
        <w:spacing w:line="424" w:lineRule="exact"/>
        <w:ind w:firstLine="480" w:firstLineChars="200"/>
        <w:rPr>
          <w:rFonts w:ascii="宋体" w:hAnsi="宋体"/>
          <w:sz w:val="24"/>
        </w:rPr>
      </w:pPr>
      <w:r>
        <w:rPr>
          <w:rFonts w:ascii="宋体" w:hAnsi="宋体"/>
          <w:sz w:val="24"/>
        </w:rPr>
        <w:t>4.3.2项细化为：</w:t>
      </w:r>
    </w:p>
    <w:p>
      <w:pPr>
        <w:adjustRightInd w:val="0"/>
        <w:snapToGrid w:val="0"/>
        <w:spacing w:line="424" w:lineRule="exact"/>
        <w:ind w:firstLine="480" w:firstLineChars="200"/>
        <w:rPr>
          <w:rFonts w:ascii="宋体" w:hAnsi="宋体"/>
          <w:sz w:val="24"/>
        </w:rPr>
      </w:pPr>
      <w:r>
        <w:rPr>
          <w:rFonts w:ascii="宋体" w:hAnsi="宋体"/>
          <w:sz w:val="24"/>
        </w:rPr>
        <w:t>承包人不得将工程主体、关键性工作分包给第三人。经发包人同意，承包人可将工程的其他部分或工作分包给第三人。分包包括专业分包和劳务分包。</w:t>
      </w:r>
    </w:p>
    <w:p>
      <w:pPr>
        <w:adjustRightInd w:val="0"/>
        <w:snapToGrid w:val="0"/>
        <w:spacing w:line="424" w:lineRule="exact"/>
        <w:ind w:firstLine="480" w:firstLineChars="200"/>
        <w:rPr>
          <w:rFonts w:ascii="宋体" w:hAnsi="宋体"/>
          <w:sz w:val="24"/>
        </w:rPr>
      </w:pPr>
      <w:r>
        <w:rPr>
          <w:rFonts w:ascii="宋体" w:hAnsi="宋体"/>
          <w:sz w:val="24"/>
        </w:rPr>
        <w:t>4.3.3项至4.3.5项细化为：</w:t>
      </w:r>
    </w:p>
    <w:p>
      <w:pPr>
        <w:adjustRightInd w:val="0"/>
        <w:snapToGrid w:val="0"/>
        <w:spacing w:line="424" w:lineRule="exact"/>
        <w:ind w:firstLine="480" w:firstLineChars="200"/>
        <w:rPr>
          <w:rFonts w:ascii="宋体" w:hAnsi="宋体"/>
          <w:sz w:val="24"/>
        </w:rPr>
      </w:pPr>
      <w:r>
        <w:rPr>
          <w:rFonts w:ascii="宋体" w:hAnsi="宋体"/>
          <w:sz w:val="24"/>
        </w:rPr>
        <w:t>4.3.3专业分包</w:t>
      </w:r>
    </w:p>
    <w:p>
      <w:pPr>
        <w:adjustRightInd w:val="0"/>
        <w:snapToGrid w:val="0"/>
        <w:spacing w:line="424" w:lineRule="exact"/>
        <w:ind w:firstLine="480" w:firstLineChars="200"/>
        <w:rPr>
          <w:rFonts w:ascii="宋体" w:hAnsi="宋体"/>
          <w:sz w:val="24"/>
        </w:rPr>
      </w:pPr>
      <w:r>
        <w:rPr>
          <w:rFonts w:ascii="宋体" w:hAnsi="宋体"/>
          <w:sz w:val="24"/>
        </w:rPr>
        <w:t>在工程施工过程中，承包人如有专业分包计划，则必须遵守以下规定：</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允许专业分包的工程范围仅限于分部工程或分项工程、适合专业化队伍施工的工程，专业分包的工程量不得超过总工程量的30%</w:t>
      </w:r>
      <w:r>
        <w:rPr>
          <w:rFonts w:hint="eastAsia" w:ascii="宋体" w:hAnsi="宋体"/>
          <w:sz w:val="24"/>
        </w:rPr>
        <w:t>；</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专业分包人的资格能力（含安全生产能力）应与其分包工程的标准和规模相适应，具备相应的专业承包资质；</w:t>
      </w:r>
    </w:p>
    <w:p>
      <w:pPr>
        <w:adjustRightInd w:val="0"/>
        <w:snapToGrid w:val="0"/>
        <w:spacing w:line="424"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专业分包工程不得再次分包或转包；</w:t>
      </w:r>
    </w:p>
    <w:p>
      <w:pPr>
        <w:adjustRightInd w:val="0"/>
        <w:snapToGrid w:val="0"/>
        <w:spacing w:line="424" w:lineRule="exact"/>
        <w:ind w:firstLine="480" w:firstLineChars="200"/>
        <w:rPr>
          <w:rFonts w:ascii="宋体" w:hAnsi="宋体"/>
          <w:sz w:val="24"/>
        </w:rPr>
      </w:pPr>
      <w:r>
        <w:rPr>
          <w:rFonts w:ascii="宋体" w:hAnsi="宋体"/>
          <w:sz w:val="24"/>
        </w:rPr>
        <w:t>（4）承包人应对专业分包工程的工程质量及专业分包人职工的行为、违约和疏忽承担责任；</w:t>
      </w:r>
    </w:p>
    <w:p>
      <w:pPr>
        <w:adjustRightInd w:val="0"/>
        <w:snapToGrid w:val="0"/>
        <w:spacing w:line="424" w:lineRule="exact"/>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424" w:lineRule="exact"/>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424" w:lineRule="exact"/>
        <w:ind w:firstLine="480" w:firstLineChars="200"/>
        <w:rPr>
          <w:rFonts w:ascii="宋体" w:hAnsi="宋体"/>
          <w:sz w:val="24"/>
        </w:rPr>
      </w:pPr>
      <w:r>
        <w:rPr>
          <w:rFonts w:ascii="宋体" w:hAnsi="宋体"/>
          <w:sz w:val="24"/>
        </w:rPr>
        <w:t>（7</w:t>
      </w:r>
      <w:r>
        <w:rPr>
          <w:rFonts w:hint="eastAsia" w:ascii="宋体" w:hAnsi="宋体"/>
          <w:sz w:val="24"/>
        </w:rPr>
        <w:t>）</w:t>
      </w:r>
      <w:r>
        <w:rPr>
          <w:rFonts w:ascii="宋体" w:hAnsi="宋体"/>
          <w:sz w:val="24"/>
        </w:rPr>
        <w:t>所有专</w:t>
      </w:r>
      <w:r>
        <w:rPr>
          <w:rFonts w:hint="eastAsia" w:ascii="宋体" w:hAnsi="宋体"/>
          <w:sz w:val="24"/>
        </w:rPr>
        <w:t>业</w:t>
      </w:r>
      <w:r>
        <w:rPr>
          <w:rFonts w:ascii="宋体" w:hAnsi="宋体"/>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424" w:lineRule="exact"/>
        <w:ind w:firstLine="480" w:firstLineChars="200"/>
        <w:rPr>
          <w:rFonts w:ascii="宋体" w:hAnsi="宋体"/>
          <w:sz w:val="24"/>
        </w:rPr>
      </w:pPr>
      <w:r>
        <w:rPr>
          <w:rFonts w:ascii="宋体" w:hAnsi="宋体"/>
          <w:sz w:val="24"/>
        </w:rPr>
        <w:t>违反上述规定之一者属违规分包。</w:t>
      </w:r>
    </w:p>
    <w:p>
      <w:pPr>
        <w:adjustRightInd w:val="0"/>
        <w:snapToGrid w:val="0"/>
        <w:spacing w:line="424" w:lineRule="exact"/>
        <w:ind w:firstLine="480" w:firstLineChars="200"/>
        <w:rPr>
          <w:rFonts w:ascii="宋体" w:hAnsi="宋体"/>
          <w:sz w:val="24"/>
        </w:rPr>
      </w:pPr>
      <w:r>
        <w:rPr>
          <w:rFonts w:ascii="宋体" w:hAnsi="宋体"/>
          <w:sz w:val="24"/>
        </w:rPr>
        <w:t>4.3.4劳务分包</w:t>
      </w:r>
    </w:p>
    <w:p>
      <w:pPr>
        <w:adjustRightInd w:val="0"/>
        <w:snapToGrid w:val="0"/>
        <w:spacing w:line="424" w:lineRule="exact"/>
        <w:ind w:firstLine="480" w:firstLineChars="200"/>
        <w:rPr>
          <w:rFonts w:ascii="宋体" w:hAnsi="宋体"/>
          <w:sz w:val="24"/>
        </w:rPr>
      </w:pPr>
      <w:r>
        <w:rPr>
          <w:rFonts w:ascii="宋体" w:hAnsi="宋体"/>
          <w:sz w:val="24"/>
        </w:rPr>
        <w:t>在工程施工过程中，承包人如有劳务分包计划，则必须遵守以下规定：</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424"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承包人应当对劳务分包人员进行安全培训和管理，劳务分包人不得将其分包的劳务作业再次分包或转包；</w:t>
      </w:r>
    </w:p>
    <w:p>
      <w:pPr>
        <w:adjustRightInd w:val="0"/>
        <w:snapToGrid w:val="0"/>
        <w:spacing w:line="424" w:lineRule="exact"/>
        <w:ind w:firstLine="480" w:firstLineChars="200"/>
        <w:rPr>
          <w:rFonts w:ascii="宋体" w:hAnsi="宋体"/>
          <w:sz w:val="24"/>
        </w:rPr>
      </w:pPr>
      <w:r>
        <w:rPr>
          <w:rFonts w:ascii="宋体" w:hAnsi="宋体"/>
          <w:sz w:val="24"/>
        </w:rPr>
        <w:t>（4）承包人应对劳务分包人职工的行为、违约和疏忽所造成的后果负完全连带责任。</w:t>
      </w:r>
    </w:p>
    <w:p>
      <w:pPr>
        <w:adjustRightInd w:val="0"/>
        <w:snapToGrid w:val="0"/>
        <w:spacing w:line="424" w:lineRule="exact"/>
        <w:ind w:firstLine="480" w:firstLineChars="200"/>
        <w:rPr>
          <w:rFonts w:hint="eastAsia" w:ascii="宋体" w:hAnsi="宋体"/>
          <w:sz w:val="24"/>
        </w:rPr>
      </w:pPr>
      <w:r>
        <w:rPr>
          <w:rFonts w:ascii="宋体" w:hAnsi="宋体"/>
          <w:sz w:val="24"/>
        </w:rPr>
        <w:t>违反上述规定之一者属违规分包。</w:t>
      </w:r>
    </w:p>
    <w:p>
      <w:pPr>
        <w:adjustRightInd w:val="0"/>
        <w:snapToGrid w:val="0"/>
        <w:spacing w:line="424" w:lineRule="exact"/>
        <w:ind w:firstLine="480" w:firstLineChars="200"/>
        <w:rPr>
          <w:rFonts w:ascii="宋体" w:hAnsi="宋体"/>
          <w:sz w:val="24"/>
        </w:rPr>
      </w:pPr>
      <w:r>
        <w:rPr>
          <w:rFonts w:ascii="宋体" w:hAnsi="宋体"/>
          <w:sz w:val="24"/>
        </w:rPr>
        <w:t>4.4联合体</w:t>
      </w:r>
    </w:p>
    <w:p>
      <w:pPr>
        <w:adjustRightInd w:val="0"/>
        <w:snapToGrid w:val="0"/>
        <w:spacing w:line="424" w:lineRule="exact"/>
        <w:ind w:firstLine="480" w:firstLineChars="200"/>
        <w:rPr>
          <w:rFonts w:ascii="宋体" w:hAnsi="宋体"/>
          <w:sz w:val="24"/>
        </w:rPr>
      </w:pPr>
      <w:r>
        <w:rPr>
          <w:rFonts w:ascii="宋体" w:hAnsi="宋体"/>
          <w:sz w:val="24"/>
        </w:rPr>
        <w:t>本款增加第4.4.4项：</w:t>
      </w:r>
    </w:p>
    <w:p>
      <w:pPr>
        <w:adjustRightInd w:val="0"/>
        <w:snapToGrid w:val="0"/>
        <w:spacing w:line="424" w:lineRule="exact"/>
        <w:ind w:firstLine="480" w:firstLineChars="200"/>
        <w:rPr>
          <w:rFonts w:hint="eastAsia" w:ascii="宋体" w:hAnsi="宋体"/>
          <w:sz w:val="24"/>
        </w:rPr>
      </w:pPr>
      <w:r>
        <w:rPr>
          <w:rFonts w:ascii="宋体" w:hAnsi="宋体"/>
          <w:sz w:val="24"/>
        </w:rPr>
        <w:t>4.4.4未经发包人事先同意，联合体的组成与结构不得变动。</w:t>
      </w:r>
    </w:p>
    <w:p>
      <w:pPr>
        <w:adjustRightInd w:val="0"/>
        <w:snapToGrid w:val="0"/>
        <w:spacing w:line="424" w:lineRule="exact"/>
        <w:ind w:firstLine="480" w:firstLineChars="200"/>
        <w:rPr>
          <w:rFonts w:ascii="宋体" w:hAnsi="宋体"/>
          <w:sz w:val="24"/>
        </w:rPr>
      </w:pPr>
      <w:r>
        <w:rPr>
          <w:rFonts w:ascii="宋体" w:hAnsi="宋体"/>
          <w:sz w:val="24"/>
        </w:rPr>
        <w:t>4.6承包人人员的管理</w:t>
      </w:r>
    </w:p>
    <w:p>
      <w:pPr>
        <w:adjustRightInd w:val="0"/>
        <w:snapToGrid w:val="0"/>
        <w:spacing w:line="424" w:lineRule="exact"/>
        <w:ind w:firstLine="480" w:firstLineChars="200"/>
        <w:rPr>
          <w:rFonts w:ascii="宋体" w:hAnsi="宋体"/>
          <w:sz w:val="24"/>
        </w:rPr>
      </w:pPr>
      <w:r>
        <w:rPr>
          <w:rFonts w:ascii="宋体" w:hAnsi="宋体"/>
          <w:sz w:val="24"/>
        </w:rPr>
        <w:t>4.6.3项细化为：</w:t>
      </w:r>
    </w:p>
    <w:p>
      <w:pPr>
        <w:adjustRightInd w:val="0"/>
        <w:snapToGrid w:val="0"/>
        <w:spacing w:line="424" w:lineRule="exact"/>
        <w:ind w:firstLine="480" w:firstLineChars="200"/>
        <w:rPr>
          <w:rFonts w:ascii="宋体" w:hAnsi="宋体"/>
          <w:sz w:val="24"/>
        </w:rPr>
      </w:pPr>
      <w:r>
        <w:rPr>
          <w:rFonts w:ascii="宋体" w:hAnsi="宋体"/>
          <w:sz w:val="24"/>
        </w:rPr>
        <w:t>承包人安排在施工场地的主要管理人员和技术骨干应与投标文件（如承包人未奎投标阶段对人员进行新增或更新，则以资格预审申请文件为准）所承诺的名单</w:t>
      </w:r>
      <w:r>
        <w:rPr>
          <w:rFonts w:hint="eastAsia" w:ascii="宋体" w:hAnsi="宋体"/>
          <w:sz w:val="24"/>
        </w:rPr>
        <w:t>一致，</w:t>
      </w:r>
      <w:r>
        <w:rPr>
          <w:rFonts w:ascii="宋体" w:hAnsi="宋体"/>
          <w:sz w:val="24"/>
        </w:rPr>
        <w:t>并保持相对稳定。未经监理人批准，上述人员不应无故不到位或被替换；若确</w:t>
      </w:r>
      <w:r>
        <w:rPr>
          <w:rFonts w:hint="eastAsia" w:ascii="宋体" w:hAnsi="宋体"/>
          <w:sz w:val="24"/>
        </w:rPr>
        <w:t>实无</w:t>
      </w:r>
      <w:r>
        <w:rPr>
          <w:rFonts w:ascii="宋体" w:hAnsi="宋体"/>
          <w:sz w:val="24"/>
        </w:rPr>
        <w:t>法到位或需替换，需经监理人审核并报发包人批准后，用同等资质和</w:t>
      </w:r>
      <w:r>
        <w:rPr>
          <w:rFonts w:hint="eastAsia" w:ascii="宋体" w:hAnsi="宋体"/>
          <w:sz w:val="24"/>
        </w:rPr>
        <w:t>经历的人</w:t>
      </w:r>
      <w:r>
        <w:rPr>
          <w:rFonts w:ascii="宋体" w:hAnsi="宋体"/>
          <w:sz w:val="24"/>
        </w:rPr>
        <w:t>员替换。</w:t>
      </w:r>
    </w:p>
    <w:p>
      <w:pPr>
        <w:adjustRightInd w:val="0"/>
        <w:snapToGrid w:val="0"/>
        <w:spacing w:line="424" w:lineRule="exact"/>
        <w:ind w:firstLine="480" w:firstLineChars="200"/>
        <w:rPr>
          <w:rFonts w:ascii="宋体" w:hAnsi="宋体"/>
          <w:sz w:val="24"/>
        </w:rPr>
      </w:pPr>
      <w:r>
        <w:rPr>
          <w:rFonts w:ascii="宋体" w:hAnsi="宋体"/>
          <w:sz w:val="24"/>
        </w:rPr>
        <w:t>本款增加第4.6.5项：</w:t>
      </w:r>
    </w:p>
    <w:p>
      <w:pPr>
        <w:adjustRightInd w:val="0"/>
        <w:snapToGrid w:val="0"/>
        <w:spacing w:line="424" w:lineRule="exact"/>
        <w:ind w:firstLine="480" w:firstLineChars="200"/>
        <w:rPr>
          <w:rFonts w:hint="eastAsia" w:ascii="宋体" w:hAnsi="宋体"/>
          <w:sz w:val="24"/>
        </w:rPr>
      </w:pPr>
      <w:r>
        <w:rPr>
          <w:rFonts w:ascii="宋体" w:hAnsi="宋体"/>
          <w:sz w:val="24"/>
        </w:rPr>
        <w:t>4.6.5尽管承包人</w:t>
      </w:r>
      <w:r>
        <w:rPr>
          <w:rFonts w:hint="eastAsia" w:ascii="宋体" w:hAnsi="宋体"/>
          <w:sz w:val="24"/>
        </w:rPr>
        <w:t>已</w:t>
      </w:r>
      <w:r>
        <w:rPr>
          <w:rFonts w:ascii="宋体" w:hAnsi="宋体"/>
          <w:sz w:val="24"/>
        </w:rPr>
        <w:t>按投标文件（如承包人未在投标阶段对人员进行新增或更新，则以</w:t>
      </w:r>
      <w:r>
        <w:rPr>
          <w:rFonts w:hint="eastAsia" w:ascii="宋体" w:hAnsi="宋体"/>
          <w:sz w:val="24"/>
        </w:rPr>
        <w:t>资</w:t>
      </w:r>
      <w:r>
        <w:rPr>
          <w:rFonts w:ascii="宋体" w:hAnsi="宋体"/>
          <w:sz w:val="24"/>
        </w:rPr>
        <w:t>格预</w:t>
      </w:r>
      <w:r>
        <w:rPr>
          <w:rFonts w:hint="eastAsia" w:ascii="宋体" w:hAnsi="宋体"/>
          <w:sz w:val="24"/>
        </w:rPr>
        <w:t>审</w:t>
      </w:r>
      <w:r>
        <w:rPr>
          <w:rFonts w:ascii="宋体" w:hAnsi="宋体"/>
          <w:sz w:val="24"/>
        </w:rPr>
        <w:t>申请文件为准）中所</w:t>
      </w:r>
      <w:r>
        <w:rPr>
          <w:rFonts w:hint="eastAsia" w:ascii="宋体" w:hAnsi="宋体"/>
          <w:sz w:val="24"/>
        </w:rPr>
        <w:t>列</w:t>
      </w:r>
      <w:r>
        <w:rPr>
          <w:rFonts w:ascii="宋体" w:hAnsi="宋体"/>
          <w:sz w:val="24"/>
        </w:rPr>
        <w:t>的数量派遣了上述各类人员，但若监</w:t>
      </w:r>
      <w:r>
        <w:rPr>
          <w:rFonts w:hint="eastAsia" w:ascii="宋体" w:hAnsi="宋体"/>
          <w:sz w:val="24"/>
        </w:rPr>
        <w:t>理人</w:t>
      </w:r>
      <w:r>
        <w:rPr>
          <w:rFonts w:ascii="宋体" w:hAnsi="宋体"/>
          <w:sz w:val="24"/>
        </w:rPr>
        <w:t>认为这些人员仍不足以适应现场施工的需要且不能保证工程质量时，监理人有权要参承包人继续增派或雇用这类人员，并书面通知承包人和抄送发包人。承包人</w:t>
      </w:r>
      <w:r>
        <w:rPr>
          <w:rFonts w:hint="eastAsia" w:ascii="宋体" w:hAnsi="宋体"/>
          <w:sz w:val="24"/>
        </w:rPr>
        <w:t>在接到</w:t>
      </w:r>
      <w:r>
        <w:rPr>
          <w:rFonts w:ascii="宋体" w:hAnsi="宋体"/>
          <w:sz w:val="24"/>
        </w:rPr>
        <w:t>上述通</w:t>
      </w:r>
      <w:r>
        <w:rPr>
          <w:rFonts w:hint="eastAsia" w:ascii="宋体" w:hAnsi="宋体"/>
          <w:sz w:val="24"/>
        </w:rPr>
        <w:t>知</w:t>
      </w:r>
      <w:r>
        <w:rPr>
          <w:rFonts w:ascii="宋体" w:hAnsi="宋体"/>
          <w:sz w:val="24"/>
        </w:rPr>
        <w:t>后应立即执行监理人的上述指示，不得无故拖延，监理人应考虑承包</w:t>
      </w:r>
      <w:r>
        <w:rPr>
          <w:rFonts w:hint="eastAsia" w:ascii="宋体" w:hAnsi="宋体"/>
          <w:sz w:val="24"/>
        </w:rPr>
        <w:t>人</w:t>
      </w:r>
      <w:r>
        <w:rPr>
          <w:rFonts w:ascii="宋体" w:hAnsi="宋体"/>
          <w:sz w:val="24"/>
        </w:rPr>
        <w:t>因此增加的费用。</w:t>
      </w:r>
    </w:p>
    <w:p>
      <w:pPr>
        <w:adjustRightInd w:val="0"/>
        <w:snapToGrid w:val="0"/>
        <w:spacing w:line="424" w:lineRule="exact"/>
        <w:ind w:firstLine="480" w:firstLineChars="200"/>
        <w:rPr>
          <w:rFonts w:ascii="宋体" w:hAnsi="宋体"/>
          <w:sz w:val="24"/>
        </w:rPr>
      </w:pPr>
      <w:r>
        <w:rPr>
          <w:rFonts w:ascii="宋体" w:hAnsi="宋体"/>
          <w:sz w:val="24"/>
        </w:rPr>
        <w:t>4.7撤换承包人项目经理和其他人员</w:t>
      </w:r>
    </w:p>
    <w:p>
      <w:pPr>
        <w:adjustRightInd w:val="0"/>
        <w:snapToGrid w:val="0"/>
        <w:spacing w:line="424" w:lineRule="exact"/>
        <w:ind w:firstLine="480" w:firstLineChars="200"/>
        <w:rPr>
          <w:rFonts w:ascii="宋体" w:hAnsi="宋体"/>
          <w:sz w:val="24"/>
        </w:rPr>
      </w:pPr>
      <w:r>
        <w:rPr>
          <w:rFonts w:ascii="宋体" w:hAnsi="宋体"/>
          <w:sz w:val="24"/>
        </w:rPr>
        <w:t>本款细化为：</w:t>
      </w:r>
    </w:p>
    <w:p>
      <w:pPr>
        <w:adjustRightInd w:val="0"/>
        <w:snapToGrid w:val="0"/>
        <w:spacing w:line="424" w:lineRule="exact"/>
        <w:ind w:firstLine="480" w:firstLineChars="200"/>
        <w:rPr>
          <w:rFonts w:hint="eastAsia" w:ascii="宋体" w:hAnsi="宋体"/>
          <w:sz w:val="24"/>
        </w:rPr>
      </w:pPr>
      <w:r>
        <w:rPr>
          <w:rFonts w:ascii="宋体" w:hAnsi="宋体"/>
          <w:sz w:val="24"/>
        </w:rPr>
        <w:t>承包人应对其项目经理和其他人员进行有效管理。监理人要求撤换不能胜任本职工作、行为不端或玩忽职守的承包人项目经理和其他人员的，承包人应予以撤</w:t>
      </w:r>
      <w:r>
        <w:rPr>
          <w:rFonts w:hint="eastAsia" w:ascii="宋体" w:hAnsi="宋体"/>
          <w:sz w:val="24"/>
        </w:rPr>
        <w:t>换，</w:t>
      </w:r>
      <w:r>
        <w:rPr>
          <w:rFonts w:ascii="宋体" w:hAnsi="宋体"/>
          <w:sz w:val="24"/>
        </w:rPr>
        <w:t>同时委派经发包人与监理人同意的新的项目经理和其他人员。</w:t>
      </w:r>
    </w:p>
    <w:p>
      <w:pPr>
        <w:adjustRightInd w:val="0"/>
        <w:snapToGrid w:val="0"/>
        <w:spacing w:line="424" w:lineRule="exact"/>
        <w:ind w:firstLine="480" w:firstLineChars="200"/>
        <w:rPr>
          <w:rFonts w:ascii="宋体" w:hAnsi="宋体"/>
          <w:sz w:val="24"/>
        </w:rPr>
      </w:pPr>
      <w:r>
        <w:rPr>
          <w:rFonts w:ascii="宋体" w:hAnsi="宋体"/>
          <w:sz w:val="24"/>
        </w:rPr>
        <w:t>4.8保障承包人人员的合法权益</w:t>
      </w:r>
    </w:p>
    <w:p>
      <w:pPr>
        <w:adjustRightInd w:val="0"/>
        <w:snapToGrid w:val="0"/>
        <w:spacing w:line="424" w:lineRule="exact"/>
        <w:ind w:firstLine="480" w:firstLineChars="200"/>
        <w:rPr>
          <w:rFonts w:ascii="宋体" w:hAnsi="宋体"/>
          <w:sz w:val="24"/>
        </w:rPr>
      </w:pPr>
      <w:r>
        <w:rPr>
          <w:rFonts w:ascii="宋体" w:hAnsi="宋体"/>
          <w:sz w:val="24"/>
        </w:rPr>
        <w:t>本款增加第4.8.7项：</w:t>
      </w:r>
    </w:p>
    <w:p>
      <w:pPr>
        <w:adjustRightInd w:val="0"/>
        <w:snapToGrid w:val="0"/>
        <w:spacing w:line="424" w:lineRule="exact"/>
        <w:ind w:firstLine="480" w:firstLineChars="200"/>
        <w:rPr>
          <w:rFonts w:hint="eastAsia" w:ascii="宋体" w:hAnsi="宋体"/>
          <w:sz w:val="24"/>
        </w:rPr>
      </w:pPr>
      <w:r>
        <w:rPr>
          <w:rFonts w:ascii="宋体" w:hAnsi="宋体"/>
          <w:sz w:val="24"/>
        </w:rPr>
        <w:t>4.8.7承包人应自费采取必须的卫生防护措施，经常保持现场及其驻地整洁和</w:t>
      </w:r>
      <w:r>
        <w:rPr>
          <w:rFonts w:hint="eastAsia" w:ascii="宋体" w:hAnsi="宋体"/>
          <w:sz w:val="24"/>
        </w:rPr>
        <w:t>卫</w:t>
      </w:r>
      <w:r>
        <w:rPr>
          <w:rFonts w:ascii="宋体" w:hAnsi="宋体"/>
          <w:sz w:val="24"/>
        </w:rPr>
        <w:t>生，以保护职员和工人的健康，并应与当地卫生部门合作，根据要求在整个合同</w:t>
      </w:r>
      <w:r>
        <w:rPr>
          <w:rFonts w:hint="eastAsia" w:ascii="宋体" w:hAnsi="宋体"/>
          <w:sz w:val="24"/>
        </w:rPr>
        <w:t>执</w:t>
      </w:r>
      <w:r>
        <w:rPr>
          <w:rFonts w:ascii="宋体" w:hAnsi="宋体"/>
          <w:sz w:val="24"/>
        </w:rPr>
        <w:t>行期间配备医务人员，防止传染病和准备常用的急救药物。在炎热的高温条件下施工时，承包人应注意采取防暑降温措施。</w:t>
      </w:r>
    </w:p>
    <w:p>
      <w:pPr>
        <w:adjustRightInd w:val="0"/>
        <w:snapToGrid w:val="0"/>
        <w:spacing w:line="424" w:lineRule="exact"/>
        <w:ind w:firstLine="480" w:firstLineChars="200"/>
        <w:rPr>
          <w:rFonts w:ascii="宋体" w:hAnsi="宋体"/>
          <w:sz w:val="24"/>
        </w:rPr>
      </w:pPr>
      <w:r>
        <w:rPr>
          <w:rFonts w:ascii="宋体" w:hAnsi="宋体"/>
          <w:sz w:val="24"/>
        </w:rPr>
        <w:t>4.10承包人现场查勘</w:t>
      </w:r>
    </w:p>
    <w:p>
      <w:pPr>
        <w:adjustRightInd w:val="0"/>
        <w:snapToGrid w:val="0"/>
        <w:spacing w:line="424" w:lineRule="exact"/>
        <w:ind w:firstLine="480" w:firstLineChars="200"/>
        <w:rPr>
          <w:rFonts w:ascii="宋体" w:hAnsi="宋体"/>
          <w:sz w:val="24"/>
        </w:rPr>
      </w:pPr>
      <w:r>
        <w:rPr>
          <w:rFonts w:ascii="宋体" w:hAnsi="宋体"/>
          <w:sz w:val="24"/>
        </w:rPr>
        <w:t>4.10.1项补充：</w:t>
      </w:r>
    </w:p>
    <w:p>
      <w:pPr>
        <w:adjustRightInd w:val="0"/>
        <w:snapToGrid w:val="0"/>
        <w:spacing w:line="424" w:lineRule="exact"/>
        <w:ind w:firstLine="480" w:firstLineChars="200"/>
        <w:rPr>
          <w:rFonts w:hint="eastAsia" w:ascii="宋体" w:hAnsi="宋体"/>
          <w:sz w:val="24"/>
        </w:rPr>
      </w:pPr>
      <w:r>
        <w:rPr>
          <w:rFonts w:ascii="宋体" w:hAnsi="宋体"/>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line="424" w:lineRule="exact"/>
        <w:ind w:firstLine="480" w:firstLineChars="200"/>
        <w:rPr>
          <w:rFonts w:ascii="宋体" w:hAnsi="宋体"/>
          <w:sz w:val="24"/>
        </w:rPr>
      </w:pPr>
      <w:r>
        <w:rPr>
          <w:rFonts w:ascii="宋体" w:hAnsi="宋体"/>
          <w:sz w:val="24"/>
        </w:rPr>
        <w:t>4.11不利物质条件</w:t>
      </w:r>
    </w:p>
    <w:p>
      <w:pPr>
        <w:adjustRightInd w:val="0"/>
        <w:snapToGrid w:val="0"/>
        <w:spacing w:line="424" w:lineRule="exact"/>
        <w:ind w:firstLine="480" w:firstLineChars="200"/>
        <w:rPr>
          <w:rFonts w:ascii="宋体" w:hAnsi="宋体"/>
          <w:sz w:val="24"/>
        </w:rPr>
      </w:pPr>
      <w:r>
        <w:rPr>
          <w:rFonts w:ascii="宋体" w:hAnsi="宋体"/>
          <w:sz w:val="24"/>
        </w:rPr>
        <w:t>4.11.1不利物质条件的范围：</w:t>
      </w:r>
      <w:r>
        <w:rPr>
          <w:rFonts w:hint="eastAsia" w:ascii="宋体" w:hAnsi="宋体"/>
          <w:sz w:val="24"/>
          <w:u w:val="single"/>
        </w:rPr>
        <w:t xml:space="preserve">  </w:t>
      </w:r>
      <w:r>
        <w:rPr>
          <w:rFonts w:ascii="宋体" w:hAnsi="宋体"/>
          <w:sz w:val="24"/>
          <w:u w:val="single"/>
        </w:rPr>
        <w:t>（见项目专用合同条</w:t>
      </w:r>
      <w:r>
        <w:rPr>
          <w:rFonts w:hint="eastAsia" w:ascii="宋体" w:hAnsi="宋体"/>
          <w:sz w:val="24"/>
          <w:u w:val="single"/>
        </w:rPr>
        <w:t xml:space="preserve">款）  </w:t>
      </w:r>
    </w:p>
    <w:p>
      <w:pPr>
        <w:adjustRightInd w:val="0"/>
        <w:snapToGrid w:val="0"/>
        <w:spacing w:line="424" w:lineRule="exact"/>
        <w:ind w:firstLine="480" w:firstLineChars="200"/>
        <w:rPr>
          <w:rFonts w:ascii="宋体" w:hAnsi="宋体"/>
          <w:sz w:val="24"/>
        </w:rPr>
      </w:pPr>
      <w:r>
        <w:rPr>
          <w:rFonts w:ascii="宋体" w:hAnsi="宋体"/>
          <w:sz w:val="24"/>
        </w:rPr>
        <w:t>本款增加第4.11.3项：</w:t>
      </w:r>
    </w:p>
    <w:p>
      <w:pPr>
        <w:adjustRightInd w:val="0"/>
        <w:snapToGrid w:val="0"/>
        <w:spacing w:line="424" w:lineRule="exact"/>
        <w:ind w:firstLine="480" w:firstLineChars="200"/>
        <w:rPr>
          <w:rFonts w:ascii="宋体" w:hAnsi="宋体"/>
          <w:sz w:val="24"/>
        </w:rPr>
      </w:pPr>
      <w:r>
        <w:rPr>
          <w:rFonts w:ascii="宋体" w:hAnsi="宋体"/>
          <w:sz w:val="24"/>
        </w:rPr>
        <w:t>4.11.3可预见的不利物质条件</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424"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对于在没有监理人具体指令情况下，承包人已经及时采取了合理而恰当的措施，并事后为监理人接受，监理人应适当考虑承包人因此增加的费用和（或）工期延误。</w:t>
      </w:r>
    </w:p>
    <w:p>
      <w:pPr>
        <w:adjustRightInd w:val="0"/>
        <w:snapToGrid w:val="0"/>
        <w:spacing w:line="424" w:lineRule="exact"/>
        <w:rPr>
          <w:rFonts w:ascii="宋体" w:hAnsi="宋体"/>
          <w:sz w:val="24"/>
        </w:rPr>
      </w:pPr>
      <w:r>
        <w:rPr>
          <w:rFonts w:ascii="宋体" w:hAnsi="宋体"/>
          <w:sz w:val="24"/>
        </w:rPr>
        <w:t>增加第4.12款：</w:t>
      </w:r>
    </w:p>
    <w:p>
      <w:pPr>
        <w:adjustRightInd w:val="0"/>
        <w:snapToGrid w:val="0"/>
        <w:spacing w:line="424" w:lineRule="exact"/>
        <w:rPr>
          <w:rFonts w:ascii="宋体" w:hAnsi="宋体"/>
          <w:sz w:val="24"/>
        </w:rPr>
      </w:pPr>
      <w:r>
        <w:rPr>
          <w:rFonts w:ascii="宋体" w:hAnsi="宋体"/>
          <w:sz w:val="24"/>
        </w:rPr>
        <w:t>4.12投标文件的完备性</w:t>
      </w:r>
    </w:p>
    <w:p>
      <w:pPr>
        <w:adjustRightInd w:val="0"/>
        <w:snapToGrid w:val="0"/>
        <w:spacing w:line="424" w:lineRule="exact"/>
        <w:ind w:firstLine="480" w:firstLineChars="200"/>
        <w:rPr>
          <w:rFonts w:hint="eastAsia" w:ascii="宋体" w:hAnsi="宋体"/>
          <w:sz w:val="24"/>
        </w:rPr>
      </w:pPr>
      <w:r>
        <w:rPr>
          <w:rFonts w:ascii="宋体" w:hAnsi="宋体"/>
          <w:sz w:val="24"/>
        </w:rPr>
        <w:t>合同双方一致认为，承包人在递交投标文件前，对本合同工程的投标文件和已标价工程量清单中开列的单价和总额价</w:t>
      </w:r>
      <w:r>
        <w:rPr>
          <w:rFonts w:hint="eastAsia" w:ascii="宋体" w:hAnsi="宋体"/>
          <w:sz w:val="24"/>
        </w:rPr>
        <w:t>已</w:t>
      </w:r>
      <w:r>
        <w:rPr>
          <w:rFonts w:ascii="宋体" w:hAnsi="宋体"/>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line="424" w:lineRule="exact"/>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材料和工程设备</w:t>
      </w:r>
    </w:p>
    <w:p>
      <w:pPr>
        <w:adjustRightInd w:val="0"/>
        <w:snapToGrid w:val="0"/>
        <w:spacing w:line="424" w:lineRule="exact"/>
        <w:rPr>
          <w:rFonts w:ascii="宋体" w:hAnsi="宋体"/>
          <w:sz w:val="24"/>
        </w:rPr>
      </w:pPr>
      <w:r>
        <w:rPr>
          <w:rFonts w:ascii="宋体" w:hAnsi="宋体"/>
          <w:sz w:val="24"/>
        </w:rPr>
        <w:t>5.2发包人提供的材料和工程设备</w:t>
      </w:r>
    </w:p>
    <w:p>
      <w:pPr>
        <w:adjustRightInd w:val="0"/>
        <w:snapToGrid w:val="0"/>
        <w:spacing w:line="424" w:lineRule="exact"/>
        <w:ind w:firstLine="480" w:firstLineChars="200"/>
        <w:rPr>
          <w:rFonts w:ascii="宋体" w:hAnsi="宋体"/>
          <w:sz w:val="24"/>
        </w:rPr>
      </w:pPr>
      <w:r>
        <w:rPr>
          <w:rFonts w:ascii="宋体" w:hAnsi="宋体"/>
          <w:sz w:val="24"/>
        </w:rPr>
        <w:t>5.2.3项补充：</w:t>
      </w:r>
    </w:p>
    <w:p>
      <w:pPr>
        <w:adjustRightInd w:val="0"/>
        <w:snapToGrid w:val="0"/>
        <w:spacing w:line="424" w:lineRule="exact"/>
        <w:ind w:firstLine="480" w:firstLineChars="200"/>
        <w:rPr>
          <w:rFonts w:hint="eastAsia" w:ascii="宋体" w:hAnsi="宋体"/>
          <w:sz w:val="24"/>
        </w:rPr>
      </w:pPr>
      <w:r>
        <w:rPr>
          <w:rFonts w:ascii="宋体" w:hAnsi="宋体"/>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line="424" w:lineRule="exact"/>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施工设备和临时设施</w:t>
      </w:r>
    </w:p>
    <w:p>
      <w:pPr>
        <w:adjustRightInd w:val="0"/>
        <w:snapToGrid w:val="0"/>
        <w:spacing w:line="424" w:lineRule="exact"/>
        <w:rPr>
          <w:rFonts w:ascii="宋体" w:hAnsi="宋体"/>
          <w:sz w:val="24"/>
        </w:rPr>
      </w:pPr>
      <w:r>
        <w:rPr>
          <w:rFonts w:ascii="宋体" w:hAnsi="宋体"/>
          <w:sz w:val="24"/>
        </w:rPr>
        <w:t>6.2发包人提供的施工设备和临时设施</w:t>
      </w:r>
    </w:p>
    <w:p>
      <w:pPr>
        <w:adjustRightInd w:val="0"/>
        <w:snapToGrid w:val="0"/>
        <w:spacing w:line="424" w:lineRule="exact"/>
        <w:ind w:firstLine="480" w:firstLineChars="200"/>
        <w:rPr>
          <w:rFonts w:ascii="宋体" w:hAnsi="宋体"/>
          <w:sz w:val="24"/>
        </w:rPr>
      </w:pPr>
      <w:r>
        <w:rPr>
          <w:rFonts w:ascii="宋体" w:hAnsi="宋体"/>
          <w:sz w:val="24"/>
        </w:rPr>
        <w:t>发包人是否提供施工设备或临时设施：</w:t>
      </w:r>
      <w:r>
        <w:rPr>
          <w:rFonts w:hint="eastAsia" w:ascii="宋体" w:hAnsi="宋体"/>
          <w:sz w:val="24"/>
          <w:u w:val="single"/>
        </w:rPr>
        <w:t xml:space="preserve">  </w:t>
      </w:r>
      <w:r>
        <w:rPr>
          <w:rFonts w:ascii="宋体" w:hAnsi="宋体"/>
          <w:sz w:val="24"/>
          <w:u w:val="single"/>
        </w:rPr>
        <w:t>（见项目专用合同条</w:t>
      </w:r>
      <w:r>
        <w:rPr>
          <w:rFonts w:hint="eastAsia" w:ascii="宋体" w:hAnsi="宋体"/>
          <w:sz w:val="24"/>
          <w:u w:val="single"/>
        </w:rPr>
        <w:t xml:space="preserve">款）  </w:t>
      </w:r>
    </w:p>
    <w:p>
      <w:pPr>
        <w:adjustRightInd w:val="0"/>
        <w:snapToGrid w:val="0"/>
        <w:spacing w:line="424" w:lineRule="exact"/>
        <w:ind w:firstLine="480" w:firstLineChars="200"/>
        <w:rPr>
          <w:rFonts w:hint="eastAsia" w:ascii="宋体" w:hAnsi="宋体"/>
          <w:sz w:val="24"/>
        </w:rPr>
      </w:pPr>
      <w:r>
        <w:rPr>
          <w:rFonts w:ascii="宋体" w:hAnsi="宋体"/>
          <w:sz w:val="24"/>
        </w:rPr>
        <w:t>（如发包人负责提供部分施工设备或临时设施，请在项目专用合同条款中约定提供的具体内容、提供时间、所需费用等）。</w:t>
      </w:r>
    </w:p>
    <w:p>
      <w:pPr>
        <w:adjustRightInd w:val="0"/>
        <w:snapToGrid w:val="0"/>
        <w:spacing w:line="424" w:lineRule="exact"/>
        <w:ind w:firstLine="480" w:firstLineChars="200"/>
        <w:rPr>
          <w:rFonts w:ascii="宋体" w:hAnsi="宋体"/>
          <w:sz w:val="24"/>
        </w:rPr>
      </w:pPr>
      <w:r>
        <w:rPr>
          <w:rFonts w:ascii="宋体" w:hAnsi="宋体"/>
          <w:sz w:val="24"/>
        </w:rPr>
        <w:t>6.3要求承包人增加或更换施工设备</w:t>
      </w:r>
    </w:p>
    <w:p>
      <w:pPr>
        <w:adjustRightInd w:val="0"/>
        <w:snapToGrid w:val="0"/>
        <w:spacing w:line="424" w:lineRule="exact"/>
        <w:ind w:firstLine="480" w:firstLineChars="200"/>
        <w:rPr>
          <w:rFonts w:ascii="宋体" w:hAnsi="宋体"/>
          <w:sz w:val="24"/>
        </w:rPr>
      </w:pPr>
      <w:r>
        <w:rPr>
          <w:rFonts w:ascii="宋体" w:hAnsi="宋体"/>
          <w:sz w:val="24"/>
        </w:rPr>
        <w:t>本款细化为：</w:t>
      </w:r>
    </w:p>
    <w:p>
      <w:pPr>
        <w:adjustRightInd w:val="0"/>
        <w:snapToGrid w:val="0"/>
        <w:spacing w:line="424" w:lineRule="exact"/>
        <w:ind w:firstLine="480" w:firstLineChars="200"/>
        <w:rPr>
          <w:rFonts w:hint="eastAsia" w:ascii="宋体" w:hAnsi="宋体"/>
          <w:sz w:val="24"/>
        </w:rPr>
      </w:pPr>
      <w:r>
        <w:rPr>
          <w:rFonts w:ascii="宋体" w:hAnsi="宋体"/>
          <w:sz w:val="24"/>
        </w:rPr>
        <w:t>承包人必须使投标文件（如承包人未在投标阶段对施工设备进行新增或更新，则以资格预审申请文件为准）承诺的施工设备按时到达现场，不得拖延、缺</w:t>
      </w:r>
      <w:r>
        <w:rPr>
          <w:rFonts w:hint="eastAsia" w:ascii="宋体" w:hAnsi="宋体"/>
          <w:sz w:val="24"/>
        </w:rPr>
        <w:t>少</w:t>
      </w:r>
      <w:r>
        <w:rPr>
          <w:rFonts w:ascii="宋体" w:hAnsi="宋体"/>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line="424" w:lineRule="exact"/>
        <w:ind w:firstLine="480" w:firstLineChars="200"/>
        <w:rPr>
          <w:rFonts w:ascii="宋体" w:hAnsi="宋体"/>
          <w:sz w:val="24"/>
        </w:rPr>
      </w:pPr>
      <w:r>
        <w:rPr>
          <w:rFonts w:ascii="宋体" w:hAnsi="宋体"/>
          <w:sz w:val="24"/>
        </w:rPr>
        <w:t>7．交通运输</w:t>
      </w:r>
    </w:p>
    <w:p>
      <w:pPr>
        <w:adjustRightInd w:val="0"/>
        <w:snapToGrid w:val="0"/>
        <w:spacing w:line="424" w:lineRule="exact"/>
        <w:rPr>
          <w:rFonts w:ascii="宋体" w:hAnsi="宋体"/>
          <w:sz w:val="24"/>
        </w:rPr>
      </w:pPr>
      <w:r>
        <w:rPr>
          <w:rFonts w:ascii="宋体" w:hAnsi="宋体"/>
          <w:sz w:val="24"/>
        </w:rPr>
        <w:t>7.1道路通行权和场外设施</w:t>
      </w:r>
    </w:p>
    <w:p>
      <w:pPr>
        <w:adjustRightInd w:val="0"/>
        <w:snapToGrid w:val="0"/>
        <w:spacing w:line="424" w:lineRule="exact"/>
        <w:ind w:firstLine="480" w:firstLineChars="200"/>
        <w:rPr>
          <w:rFonts w:ascii="宋体" w:hAnsi="宋体"/>
          <w:sz w:val="24"/>
        </w:rPr>
      </w:pPr>
      <w:r>
        <w:rPr>
          <w:rFonts w:ascii="宋体" w:hAnsi="宋体"/>
          <w:sz w:val="24"/>
        </w:rPr>
        <w:t>本款约定为：</w:t>
      </w:r>
    </w:p>
    <w:p>
      <w:pPr>
        <w:adjustRightInd w:val="0"/>
        <w:snapToGrid w:val="0"/>
        <w:spacing w:line="424" w:lineRule="exact"/>
        <w:ind w:firstLine="480" w:firstLineChars="200"/>
        <w:rPr>
          <w:rFonts w:hint="eastAsia" w:ascii="宋体" w:hAnsi="宋体"/>
          <w:sz w:val="24"/>
        </w:rPr>
      </w:pPr>
      <w:r>
        <w:rPr>
          <w:rFonts w:ascii="宋体" w:hAnsi="宋体"/>
          <w:sz w:val="24"/>
        </w:rPr>
        <w:t>道路通行权由承包人办理并承担费用，需要发包人协调时，发包人应协助承包人办理相关手续。</w:t>
      </w:r>
    </w:p>
    <w:p>
      <w:pPr>
        <w:adjustRightInd w:val="0"/>
        <w:snapToGrid w:val="0"/>
        <w:spacing w:line="424" w:lineRule="exact"/>
        <w:ind w:firstLine="480" w:firstLineChars="200"/>
        <w:rPr>
          <w:rFonts w:ascii="宋体" w:hAnsi="宋体"/>
          <w:sz w:val="24"/>
        </w:rPr>
      </w:pPr>
      <w:r>
        <w:rPr>
          <w:rFonts w:ascii="宋体" w:hAnsi="宋体"/>
          <w:sz w:val="24"/>
        </w:rPr>
        <w:t>8</w:t>
      </w:r>
      <w:r>
        <w:rPr>
          <w:rFonts w:hint="eastAsia" w:ascii="宋体" w:hAnsi="宋体"/>
          <w:sz w:val="24"/>
        </w:rPr>
        <w:t>．</w:t>
      </w:r>
      <w:r>
        <w:rPr>
          <w:rFonts w:ascii="宋体" w:hAnsi="宋体"/>
          <w:sz w:val="24"/>
        </w:rPr>
        <w:t>测量放线</w:t>
      </w:r>
    </w:p>
    <w:p>
      <w:pPr>
        <w:adjustRightInd w:val="0"/>
        <w:snapToGrid w:val="0"/>
        <w:spacing w:line="424" w:lineRule="exact"/>
        <w:rPr>
          <w:rFonts w:ascii="宋体" w:hAnsi="宋体"/>
          <w:sz w:val="24"/>
        </w:rPr>
      </w:pPr>
      <w:r>
        <w:rPr>
          <w:rFonts w:ascii="宋体" w:hAnsi="宋体"/>
          <w:sz w:val="24"/>
        </w:rPr>
        <w:t>8.1施工控制网</w:t>
      </w:r>
    </w:p>
    <w:p>
      <w:pPr>
        <w:adjustRightInd w:val="0"/>
        <w:snapToGrid w:val="0"/>
        <w:spacing w:line="424" w:lineRule="exact"/>
        <w:ind w:firstLine="480" w:firstLineChars="200"/>
        <w:rPr>
          <w:rFonts w:ascii="宋体" w:hAnsi="宋体"/>
          <w:sz w:val="24"/>
        </w:rPr>
      </w:pPr>
      <w:r>
        <w:rPr>
          <w:rFonts w:ascii="宋体" w:hAnsi="宋体"/>
          <w:sz w:val="24"/>
        </w:rPr>
        <w:t>8.1．1项约定为：</w:t>
      </w:r>
    </w:p>
    <w:p>
      <w:pPr>
        <w:adjustRightInd w:val="0"/>
        <w:snapToGrid w:val="0"/>
        <w:spacing w:line="424" w:lineRule="exact"/>
        <w:ind w:firstLine="480" w:firstLineChars="200"/>
        <w:rPr>
          <w:rFonts w:ascii="宋体" w:hAnsi="宋体"/>
          <w:sz w:val="24"/>
        </w:rPr>
      </w:pPr>
      <w:r>
        <w:rPr>
          <w:rFonts w:ascii="宋体" w:hAnsi="宋体"/>
          <w:sz w:val="24"/>
        </w:rPr>
        <w:t>发包人向承包人提供测量基准点、基准线和水准点及其书面资料的时间</w:t>
      </w:r>
      <w:r>
        <w:rPr>
          <w:rFonts w:hint="eastAsia" w:ascii="宋体" w:hAnsi="宋体"/>
          <w:sz w:val="24"/>
        </w:rPr>
        <w:t>：</w:t>
      </w:r>
      <w:r>
        <w:rPr>
          <w:rFonts w:ascii="宋体" w:hAnsi="宋体"/>
          <w:sz w:val="24"/>
          <w:u w:val="single"/>
        </w:rPr>
        <w:t>（见项目专用合同条</w:t>
      </w:r>
      <w:r>
        <w:rPr>
          <w:rFonts w:hint="eastAsia" w:ascii="宋体" w:hAnsi="宋体"/>
          <w:sz w:val="24"/>
          <w:u w:val="single"/>
        </w:rPr>
        <w:t>款）</w:t>
      </w:r>
      <w:r>
        <w:rPr>
          <w:rFonts w:ascii="宋体" w:hAnsi="宋体"/>
          <w:sz w:val="24"/>
        </w:rPr>
        <w:t>。承包人向监理人报送施工控制网资料的时间：</w:t>
      </w:r>
      <w:r>
        <w:rPr>
          <w:rFonts w:ascii="宋体" w:hAnsi="宋体"/>
          <w:sz w:val="24"/>
          <w:u w:val="single"/>
        </w:rPr>
        <w:t>（见项目专用合同条</w:t>
      </w:r>
      <w:r>
        <w:rPr>
          <w:rFonts w:hint="eastAsia" w:ascii="宋体" w:hAnsi="宋体"/>
          <w:sz w:val="24"/>
          <w:u w:val="single"/>
        </w:rPr>
        <w:t>款）</w:t>
      </w:r>
      <w:r>
        <w:rPr>
          <w:rFonts w:ascii="宋体" w:hAnsi="宋体"/>
          <w:sz w:val="24"/>
        </w:rPr>
        <w:t>。</w:t>
      </w:r>
    </w:p>
    <w:p>
      <w:pPr>
        <w:adjustRightInd w:val="0"/>
        <w:snapToGrid w:val="0"/>
        <w:spacing w:line="424" w:lineRule="exact"/>
        <w:ind w:firstLine="480" w:firstLineChars="200"/>
        <w:rPr>
          <w:rFonts w:hint="eastAsia" w:ascii="宋体" w:hAnsi="宋体"/>
          <w:sz w:val="24"/>
        </w:rPr>
      </w:pPr>
      <w:r>
        <w:rPr>
          <w:rFonts w:ascii="宋体" w:hAnsi="宋体"/>
          <w:sz w:val="24"/>
        </w:rPr>
        <w:t>承包人应对发包人提供的测量基准点、基准线和水准点进行复测，并将有关复测资料报监理人批准后，方可用于工程施工定线与放样。</w:t>
      </w:r>
    </w:p>
    <w:p>
      <w:pPr>
        <w:adjustRightInd w:val="0"/>
        <w:snapToGrid w:val="0"/>
        <w:spacing w:line="424" w:lineRule="exact"/>
        <w:ind w:firstLine="480" w:firstLineChars="200"/>
        <w:rPr>
          <w:rFonts w:ascii="宋体" w:hAnsi="宋体"/>
          <w:sz w:val="24"/>
        </w:rPr>
      </w:pPr>
      <w:r>
        <w:rPr>
          <w:rFonts w:ascii="宋体" w:hAnsi="宋体"/>
          <w:sz w:val="24"/>
        </w:rPr>
        <w:t>8.2施工测量</w:t>
      </w:r>
    </w:p>
    <w:p>
      <w:pPr>
        <w:adjustRightInd w:val="0"/>
        <w:snapToGrid w:val="0"/>
        <w:spacing w:line="424" w:lineRule="exact"/>
        <w:ind w:firstLine="480" w:firstLineChars="200"/>
        <w:rPr>
          <w:rFonts w:ascii="宋体" w:hAnsi="宋体"/>
          <w:sz w:val="24"/>
        </w:rPr>
      </w:pPr>
      <w:r>
        <w:rPr>
          <w:rFonts w:ascii="宋体" w:hAnsi="宋体"/>
          <w:sz w:val="24"/>
        </w:rPr>
        <w:t>8.2.1项补充：</w:t>
      </w:r>
    </w:p>
    <w:p>
      <w:pPr>
        <w:adjustRightInd w:val="0"/>
        <w:snapToGrid w:val="0"/>
        <w:spacing w:line="424" w:lineRule="exact"/>
        <w:ind w:firstLine="480" w:firstLineChars="200"/>
        <w:rPr>
          <w:rFonts w:hint="eastAsia" w:ascii="宋体" w:hAnsi="宋体"/>
          <w:sz w:val="24"/>
        </w:rPr>
      </w:pPr>
      <w:r>
        <w:rPr>
          <w:rFonts w:ascii="宋体" w:hAnsi="宋体"/>
          <w:sz w:val="24"/>
        </w:rPr>
        <w:t>承包人应负责施工测量放线工作的准确性。</w:t>
      </w:r>
    </w:p>
    <w:p>
      <w:pPr>
        <w:adjustRightInd w:val="0"/>
        <w:snapToGrid w:val="0"/>
        <w:spacing w:line="424" w:lineRule="exact"/>
        <w:ind w:firstLine="480" w:firstLineChars="200"/>
        <w:rPr>
          <w:rFonts w:ascii="宋体" w:hAnsi="宋体"/>
          <w:sz w:val="24"/>
        </w:rPr>
      </w:pPr>
      <w:r>
        <w:rPr>
          <w:rFonts w:ascii="宋体" w:hAnsi="宋体"/>
          <w:sz w:val="24"/>
        </w:rPr>
        <w:t>8.3基准资料错误的责任</w:t>
      </w:r>
    </w:p>
    <w:p>
      <w:pPr>
        <w:adjustRightInd w:val="0"/>
        <w:snapToGrid w:val="0"/>
        <w:spacing w:line="424" w:lineRule="exact"/>
        <w:ind w:firstLine="480" w:firstLineChars="200"/>
        <w:rPr>
          <w:rFonts w:ascii="宋体" w:hAnsi="宋体"/>
          <w:sz w:val="24"/>
        </w:rPr>
      </w:pPr>
      <w:r>
        <w:rPr>
          <w:rFonts w:ascii="宋体" w:hAnsi="宋体"/>
          <w:sz w:val="24"/>
        </w:rPr>
        <w:t>本款补充：</w:t>
      </w:r>
    </w:p>
    <w:p>
      <w:pPr>
        <w:adjustRightInd w:val="0"/>
        <w:snapToGrid w:val="0"/>
        <w:spacing w:line="424" w:lineRule="exact"/>
        <w:ind w:firstLine="480" w:firstLineChars="200"/>
        <w:rPr>
          <w:rFonts w:hint="eastAsia" w:ascii="宋体" w:hAnsi="宋体"/>
          <w:sz w:val="24"/>
        </w:rPr>
      </w:pPr>
      <w:r>
        <w:rPr>
          <w:rFonts w:ascii="宋体" w:hAnsi="宋体"/>
          <w:sz w:val="24"/>
        </w:rPr>
        <w:t>承包人应对发包人提供的基准资料进行核实，发现错误，应及时通知监理人和发包人，否则应承担相应责任。</w:t>
      </w:r>
    </w:p>
    <w:p>
      <w:pPr>
        <w:adjustRightInd w:val="0"/>
        <w:snapToGrid w:val="0"/>
        <w:spacing w:line="424" w:lineRule="exact"/>
        <w:ind w:firstLine="480" w:firstLineChars="200"/>
        <w:rPr>
          <w:rFonts w:ascii="宋体" w:hAnsi="宋体"/>
          <w:sz w:val="24"/>
        </w:rPr>
      </w:pPr>
      <w:r>
        <w:rPr>
          <w:rFonts w:ascii="宋体" w:hAnsi="宋体"/>
          <w:sz w:val="24"/>
        </w:rPr>
        <w:t>8.4监理人使用施工控制网</w:t>
      </w:r>
    </w:p>
    <w:p>
      <w:pPr>
        <w:adjustRightInd w:val="0"/>
        <w:snapToGrid w:val="0"/>
        <w:spacing w:line="424" w:lineRule="exact"/>
        <w:ind w:firstLine="480" w:firstLineChars="200"/>
        <w:rPr>
          <w:rFonts w:ascii="宋体" w:hAnsi="宋体"/>
          <w:sz w:val="24"/>
        </w:rPr>
      </w:pPr>
      <w:r>
        <w:rPr>
          <w:rFonts w:ascii="宋体" w:hAnsi="宋体"/>
          <w:sz w:val="24"/>
        </w:rPr>
        <w:t>本款补充：</w:t>
      </w:r>
    </w:p>
    <w:p>
      <w:pPr>
        <w:adjustRightInd w:val="0"/>
        <w:snapToGrid w:val="0"/>
        <w:spacing w:line="424" w:lineRule="exact"/>
        <w:ind w:firstLine="480" w:firstLineChars="200"/>
        <w:rPr>
          <w:rFonts w:hint="eastAsia" w:ascii="宋体" w:hAnsi="宋体"/>
          <w:sz w:val="24"/>
        </w:rPr>
      </w:pPr>
      <w:r>
        <w:rPr>
          <w:rFonts w:ascii="宋体" w:hAnsi="宋体"/>
          <w:sz w:val="24"/>
        </w:rPr>
        <w:t>经监理人批准，其他相关承包人也可免费使用施工控制网。</w:t>
      </w:r>
    </w:p>
    <w:p>
      <w:pPr>
        <w:adjustRightInd w:val="0"/>
        <w:snapToGrid w:val="0"/>
        <w:spacing w:line="424" w:lineRule="exact"/>
        <w:ind w:firstLine="480" w:firstLineChars="200"/>
        <w:rPr>
          <w:rFonts w:ascii="宋体" w:hAnsi="宋体"/>
          <w:sz w:val="24"/>
        </w:rPr>
      </w:pPr>
      <w:r>
        <w:rPr>
          <w:rFonts w:ascii="宋体" w:hAnsi="宋体"/>
          <w:sz w:val="24"/>
        </w:rPr>
        <w:t>9</w:t>
      </w:r>
      <w:r>
        <w:rPr>
          <w:rFonts w:hint="eastAsia" w:ascii="宋体" w:hAnsi="宋体"/>
          <w:sz w:val="24"/>
        </w:rPr>
        <w:t>．</w:t>
      </w:r>
      <w:r>
        <w:rPr>
          <w:rFonts w:ascii="宋体" w:hAnsi="宋体"/>
          <w:sz w:val="24"/>
        </w:rPr>
        <w:t>施工安全、治安保卫和环境保护</w:t>
      </w:r>
    </w:p>
    <w:p>
      <w:pPr>
        <w:adjustRightInd w:val="0"/>
        <w:snapToGrid w:val="0"/>
        <w:spacing w:line="424" w:lineRule="exact"/>
        <w:rPr>
          <w:rFonts w:ascii="宋体" w:hAnsi="宋体"/>
          <w:sz w:val="24"/>
        </w:rPr>
      </w:pPr>
      <w:r>
        <w:rPr>
          <w:rFonts w:ascii="宋体" w:hAnsi="宋体"/>
          <w:sz w:val="24"/>
        </w:rPr>
        <w:t>9.1发包人的施工安全责任</w:t>
      </w:r>
    </w:p>
    <w:p>
      <w:pPr>
        <w:adjustRightInd w:val="0"/>
        <w:snapToGrid w:val="0"/>
        <w:spacing w:line="424" w:lineRule="exact"/>
        <w:ind w:firstLine="480" w:firstLineChars="200"/>
        <w:rPr>
          <w:rFonts w:ascii="宋体" w:hAnsi="宋体"/>
          <w:sz w:val="24"/>
        </w:rPr>
      </w:pPr>
      <w:r>
        <w:rPr>
          <w:rFonts w:ascii="宋体" w:hAnsi="宋体"/>
          <w:sz w:val="24"/>
        </w:rPr>
        <w:t>9.1.3项补充：</w:t>
      </w:r>
    </w:p>
    <w:p>
      <w:pPr>
        <w:adjustRightInd w:val="0"/>
        <w:snapToGrid w:val="0"/>
        <w:spacing w:line="424" w:lineRule="exact"/>
        <w:ind w:firstLine="480" w:firstLineChars="200"/>
        <w:rPr>
          <w:rFonts w:hint="eastAsia" w:ascii="宋体" w:hAnsi="宋体"/>
          <w:sz w:val="24"/>
        </w:rPr>
      </w:pPr>
      <w:r>
        <w:rPr>
          <w:rFonts w:ascii="宋体" w:hAnsi="宋体"/>
          <w:sz w:val="24"/>
        </w:rPr>
        <w:t>如果承包人或其雇员也对上述人身伤亡或财产损失负有部分责任时，承包人也应承担相应赔偿责任。</w:t>
      </w:r>
    </w:p>
    <w:p>
      <w:pPr>
        <w:adjustRightInd w:val="0"/>
        <w:snapToGrid w:val="0"/>
        <w:spacing w:line="424" w:lineRule="exact"/>
        <w:ind w:firstLine="480" w:firstLineChars="200"/>
        <w:rPr>
          <w:rFonts w:ascii="宋体" w:hAnsi="宋体"/>
          <w:sz w:val="24"/>
        </w:rPr>
      </w:pPr>
      <w:r>
        <w:rPr>
          <w:rFonts w:ascii="宋体" w:hAnsi="宋体"/>
          <w:sz w:val="24"/>
        </w:rPr>
        <w:t>9.2承包人的施工安全责任</w:t>
      </w:r>
    </w:p>
    <w:p>
      <w:pPr>
        <w:adjustRightInd w:val="0"/>
        <w:snapToGrid w:val="0"/>
        <w:spacing w:line="424" w:lineRule="exact"/>
        <w:ind w:firstLine="480" w:firstLineChars="200"/>
        <w:rPr>
          <w:rFonts w:ascii="宋体" w:hAnsi="宋体"/>
          <w:sz w:val="24"/>
        </w:rPr>
      </w:pPr>
      <w:r>
        <w:rPr>
          <w:rFonts w:ascii="宋体" w:hAnsi="宋体"/>
          <w:sz w:val="24"/>
        </w:rPr>
        <w:t>9.2.1项细化为：</w:t>
      </w:r>
    </w:p>
    <w:p>
      <w:pPr>
        <w:adjustRightInd w:val="0"/>
        <w:snapToGrid w:val="0"/>
        <w:spacing w:line="424" w:lineRule="exact"/>
        <w:ind w:firstLine="480" w:firstLineChars="200"/>
        <w:rPr>
          <w:rFonts w:ascii="宋体" w:hAnsi="宋体"/>
          <w:sz w:val="24"/>
        </w:rPr>
      </w:pPr>
      <w:r>
        <w:rPr>
          <w:rFonts w:ascii="宋体" w:hAnsi="宋体"/>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424" w:lineRule="exact"/>
        <w:ind w:firstLine="480" w:firstLineChars="200"/>
        <w:rPr>
          <w:rFonts w:ascii="宋体" w:hAnsi="宋体"/>
          <w:sz w:val="24"/>
        </w:rPr>
      </w:pPr>
      <w:r>
        <w:rPr>
          <w:rFonts w:ascii="宋体" w:hAnsi="宋体"/>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424" w:lineRule="exact"/>
        <w:ind w:firstLine="480" w:firstLineChars="200"/>
        <w:rPr>
          <w:rFonts w:ascii="宋体" w:hAnsi="宋体"/>
          <w:sz w:val="24"/>
        </w:rPr>
      </w:pPr>
      <w:r>
        <w:rPr>
          <w:rFonts w:ascii="宋体" w:hAnsi="宋体"/>
          <w:sz w:val="24"/>
        </w:rPr>
        <w:t>本项目需要编制专项施工方案的工程包括但不限于以下内容：</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不良地质条件下有潜在危险性的土方、石方开挖；</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2）滑坡和高边坡处理；</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桩基础、挡墙基础、深水基础及围堰工程；</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4）桥梁工程中的梁、拱、柱等构件施工等；</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5）隧道工程中的不良地质隧道、高瓦斯隧道等；</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）水</w:t>
      </w:r>
      <w:r>
        <w:rPr>
          <w:rFonts w:ascii="宋体" w:hAnsi="宋体"/>
          <w:sz w:val="24"/>
        </w:rPr>
        <w:t>上工程中的打桩船作业、施工船作业、外海孤岛作业、边通航边施工作业等；</w:t>
      </w:r>
    </w:p>
    <w:p>
      <w:pPr>
        <w:adjustRightInd w:val="0"/>
        <w:snapToGrid w:val="0"/>
        <w:spacing w:line="424" w:lineRule="exact"/>
        <w:ind w:firstLine="480" w:firstLineChars="200"/>
        <w:rPr>
          <w:rFonts w:ascii="宋体" w:hAnsi="宋体"/>
          <w:sz w:val="24"/>
        </w:rPr>
      </w:pPr>
      <w:r>
        <w:rPr>
          <w:rFonts w:ascii="宋体" w:hAnsi="宋体"/>
          <w:sz w:val="24"/>
        </w:rPr>
        <w:t>（7）水下工程中的水下焊接、混凝土浇注、爆破工程等；</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w:t>
      </w:r>
      <w:r>
        <w:rPr>
          <w:rFonts w:ascii="宋体" w:hAnsi="宋体"/>
          <w:sz w:val="24"/>
        </w:rPr>
        <w:t>爆破工程；</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9）大型临时工程中的大型支架、模板、便桥的架设与拆除；桥梁、码头的加固与拆除；</w:t>
      </w:r>
    </w:p>
    <w:p>
      <w:pPr>
        <w:adjustRightInd w:val="0"/>
        <w:snapToGrid w:val="0"/>
        <w:spacing w:line="424" w:lineRule="exact"/>
        <w:ind w:firstLine="480" w:firstLineChars="200"/>
        <w:rPr>
          <w:rFonts w:ascii="宋体" w:hAnsi="宋体"/>
          <w:sz w:val="24"/>
        </w:rPr>
      </w:pPr>
      <w:r>
        <w:rPr>
          <w:rFonts w:hint="eastAsia" w:ascii="宋体" w:hAnsi="宋体"/>
          <w:sz w:val="24"/>
        </w:rPr>
        <w:t>（10）</w:t>
      </w:r>
      <w:r>
        <w:rPr>
          <w:rFonts w:ascii="宋体" w:hAnsi="宋体"/>
          <w:sz w:val="24"/>
        </w:rPr>
        <w:t>其他危险性较大的工程。</w:t>
      </w:r>
    </w:p>
    <w:p>
      <w:pPr>
        <w:adjustRightInd w:val="0"/>
        <w:snapToGrid w:val="0"/>
        <w:spacing w:line="424" w:lineRule="exact"/>
        <w:ind w:firstLine="480" w:firstLineChars="200"/>
        <w:rPr>
          <w:rFonts w:ascii="宋体" w:hAnsi="宋体"/>
          <w:sz w:val="24"/>
        </w:rPr>
      </w:pPr>
      <w:r>
        <w:rPr>
          <w:rFonts w:ascii="宋体" w:hAnsi="宋体"/>
          <w:sz w:val="24"/>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424" w:lineRule="exact"/>
        <w:ind w:firstLine="480" w:firstLineChars="200"/>
        <w:rPr>
          <w:rFonts w:ascii="宋体" w:hAnsi="宋体"/>
          <w:sz w:val="24"/>
        </w:rPr>
      </w:pPr>
      <w:r>
        <w:rPr>
          <w:rFonts w:ascii="宋体" w:hAnsi="宋体"/>
          <w:sz w:val="24"/>
        </w:rPr>
        <w:t>本款增加第9.2.8至9.2.11项：</w:t>
      </w:r>
    </w:p>
    <w:p>
      <w:pPr>
        <w:adjustRightInd w:val="0"/>
        <w:snapToGrid w:val="0"/>
        <w:spacing w:line="424" w:lineRule="exact"/>
        <w:ind w:firstLine="480" w:firstLineChars="200"/>
        <w:rPr>
          <w:rFonts w:ascii="宋体" w:hAnsi="宋体"/>
          <w:sz w:val="24"/>
        </w:rPr>
      </w:pPr>
      <w:r>
        <w:rPr>
          <w:rFonts w:ascii="宋体" w:hAnsi="宋体"/>
          <w:sz w:val="24"/>
        </w:rPr>
        <w:t>9.2.8承包人应充分关注和保障所有在现场工作的人员的安全，采取有效措施，使现场和本合同工程的实施保持有条不紊，以免使上述人员的安全受到威胁：</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按《公路水运工程安全生产监督管理办法》规定的最低数量和资质条件配备专职安全生产管理人员；</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2）特殊工种（电工、电梯工、起重工、电焊工、车船驾驶员、爆破工、潜水工、瓦斯检验员等）应经过专业培训，并持有专业主管部门签发的合格证上岗；</w:t>
      </w:r>
    </w:p>
    <w:p>
      <w:pPr>
        <w:adjustRightInd w:val="0"/>
        <w:snapToGrid w:val="0"/>
        <w:spacing w:line="424"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对于易燃易爆的材料除应专门妥善保管之外，还应配备有足够的消防设备，所有施工人员都应熟悉消防设备的性能和使用方法；</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所有施工机具设备和高空作业设备均应定期检查，并有安全员的签字记录；</w:t>
      </w:r>
    </w:p>
    <w:p>
      <w:pPr>
        <w:adjustRightInd w:val="0"/>
        <w:snapToGrid w:val="0"/>
        <w:spacing w:line="424" w:lineRule="exact"/>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根据本合同各单位工程的施工特点，严格执行《公路水运工程安全生产监督管理办法》、《公路工程施工安全技术规程》与《公路筑养路机械操作规程》的具体规定。</w:t>
      </w:r>
    </w:p>
    <w:p>
      <w:pPr>
        <w:adjustRightInd w:val="0"/>
        <w:snapToGrid w:val="0"/>
        <w:spacing w:line="424" w:lineRule="exact"/>
        <w:ind w:firstLine="480" w:firstLineChars="200"/>
        <w:rPr>
          <w:rFonts w:ascii="宋体" w:hAnsi="宋体"/>
          <w:sz w:val="24"/>
        </w:rPr>
      </w:pPr>
      <w:r>
        <w:rPr>
          <w:rFonts w:ascii="宋体" w:hAnsi="宋体"/>
          <w:sz w:val="24"/>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424" w:lineRule="exact"/>
        <w:ind w:firstLine="480" w:firstLineChars="200"/>
        <w:rPr>
          <w:rFonts w:ascii="宋体" w:hAnsi="宋体"/>
          <w:sz w:val="24"/>
        </w:rPr>
      </w:pPr>
      <w:r>
        <w:rPr>
          <w:rFonts w:ascii="宋体" w:hAnsi="宋体"/>
          <w:sz w:val="24"/>
        </w:rPr>
        <w:t>9.2.10在通航水域施工时，承包人应与地方当局取得联系，设置必要的导航标志，及时发布航行通告，确保施工水域安全。</w:t>
      </w:r>
    </w:p>
    <w:p>
      <w:pPr>
        <w:adjustRightInd w:val="0"/>
        <w:snapToGrid w:val="0"/>
        <w:spacing w:line="424" w:lineRule="exact"/>
        <w:ind w:firstLine="480" w:firstLineChars="200"/>
        <w:rPr>
          <w:rFonts w:hint="eastAsia" w:ascii="宋体" w:hAnsi="宋体"/>
          <w:sz w:val="24"/>
        </w:rPr>
      </w:pPr>
      <w:r>
        <w:rPr>
          <w:rFonts w:ascii="宋体" w:hAnsi="宋体"/>
          <w:sz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424" w:lineRule="exact"/>
        <w:ind w:firstLine="480" w:firstLineChars="200"/>
        <w:rPr>
          <w:rFonts w:ascii="宋体" w:hAnsi="宋体"/>
          <w:sz w:val="24"/>
        </w:rPr>
      </w:pPr>
      <w:r>
        <w:rPr>
          <w:rFonts w:ascii="宋体" w:hAnsi="宋体"/>
          <w:sz w:val="24"/>
        </w:rPr>
        <w:t>9.4环境保护</w:t>
      </w:r>
    </w:p>
    <w:p>
      <w:pPr>
        <w:adjustRightInd w:val="0"/>
        <w:snapToGrid w:val="0"/>
        <w:spacing w:line="424" w:lineRule="exact"/>
        <w:ind w:firstLine="480" w:firstLineChars="200"/>
        <w:rPr>
          <w:rFonts w:ascii="宋体" w:hAnsi="宋体"/>
          <w:sz w:val="24"/>
        </w:rPr>
      </w:pPr>
      <w:r>
        <w:rPr>
          <w:rFonts w:ascii="宋体" w:hAnsi="宋体"/>
          <w:sz w:val="24"/>
        </w:rPr>
        <w:t>本款增加第9.4.7至9.4.9项：</w:t>
      </w:r>
    </w:p>
    <w:p>
      <w:pPr>
        <w:adjustRightInd w:val="0"/>
        <w:snapToGrid w:val="0"/>
        <w:spacing w:line="424" w:lineRule="exact"/>
        <w:ind w:firstLine="480" w:firstLineChars="200"/>
        <w:rPr>
          <w:rFonts w:ascii="宋体" w:hAnsi="宋体"/>
          <w:sz w:val="24"/>
        </w:rPr>
      </w:pPr>
      <w:r>
        <w:rPr>
          <w:rFonts w:ascii="宋体" w:hAnsi="宋体"/>
          <w:sz w:val="24"/>
        </w:rPr>
        <w:t>9.4.7承包人应切实执行技术规范中有关环境保护方面的条款和规定。</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对于公路施工中粉尘污染的主要污染源—灰土拌和、施工车辆和筑路机械运行及运输产生的扬尘，应采取有效措施减轻施工现场的大气污染，保护人民健康，如：</w:t>
      </w:r>
    </w:p>
    <w:p>
      <w:pPr>
        <w:adjustRightInd w:val="0"/>
        <w:snapToGrid w:val="0"/>
        <w:spacing w:line="424" w:lineRule="exact"/>
        <w:ind w:firstLine="480" w:firstLineChars="200"/>
        <w:rPr>
          <w:rFonts w:ascii="宋体" w:hAnsi="宋体"/>
          <w:sz w:val="24"/>
        </w:rPr>
      </w:pPr>
      <w:r>
        <w:rPr>
          <w:rFonts w:ascii="宋体" w:hAnsi="宋体"/>
          <w:sz w:val="24"/>
        </w:rPr>
        <w:t>a</w:t>
      </w:r>
      <w:r>
        <w:rPr>
          <w:rFonts w:hint="eastAsia" w:ascii="宋体" w:hAnsi="宋体"/>
          <w:sz w:val="24"/>
        </w:rPr>
        <w:t>．</w:t>
      </w:r>
      <w:r>
        <w:rPr>
          <w:rFonts w:ascii="宋体" w:hAnsi="宋体"/>
          <w:sz w:val="24"/>
        </w:rPr>
        <w:t>拌和设备应有较好的密封，或有防尘设备。</w:t>
      </w:r>
    </w:p>
    <w:p>
      <w:pPr>
        <w:adjustRightInd w:val="0"/>
        <w:snapToGrid w:val="0"/>
        <w:spacing w:line="424" w:lineRule="exact"/>
        <w:ind w:firstLine="480" w:firstLineChars="200"/>
        <w:rPr>
          <w:rFonts w:ascii="宋体" w:hAnsi="宋体"/>
          <w:sz w:val="24"/>
        </w:rPr>
      </w:pPr>
      <w:r>
        <w:rPr>
          <w:rFonts w:ascii="宋体" w:hAnsi="宋体"/>
          <w:sz w:val="24"/>
        </w:rPr>
        <w:t>b</w:t>
      </w:r>
      <w:r>
        <w:rPr>
          <w:rFonts w:hint="eastAsia" w:ascii="宋体" w:hAnsi="宋体"/>
          <w:sz w:val="24"/>
        </w:rPr>
        <w:t>．</w:t>
      </w:r>
      <w:r>
        <w:rPr>
          <w:rFonts w:ascii="宋体" w:hAnsi="宋体"/>
          <w:sz w:val="24"/>
        </w:rPr>
        <w:t>施工通道、沥青混凝土拌和站及灰土拌和站应经常进行洒水降尘。</w:t>
      </w:r>
    </w:p>
    <w:p>
      <w:pPr>
        <w:adjustRightInd w:val="0"/>
        <w:snapToGrid w:val="0"/>
        <w:spacing w:line="424" w:lineRule="exact"/>
        <w:ind w:firstLine="480" w:firstLineChars="200"/>
        <w:rPr>
          <w:rFonts w:ascii="宋体" w:hAnsi="宋体"/>
          <w:sz w:val="24"/>
        </w:rPr>
      </w:pPr>
      <w:r>
        <w:rPr>
          <w:rFonts w:ascii="宋体" w:hAnsi="宋体"/>
          <w:sz w:val="24"/>
        </w:rPr>
        <w:t>c．路面施工应注意保持水份，以免扬尘。</w:t>
      </w:r>
    </w:p>
    <w:p>
      <w:pPr>
        <w:adjustRightInd w:val="0"/>
        <w:snapToGrid w:val="0"/>
        <w:spacing w:line="424" w:lineRule="exact"/>
        <w:ind w:firstLine="480" w:firstLineChars="200"/>
        <w:rPr>
          <w:rFonts w:ascii="宋体" w:hAnsi="宋体"/>
          <w:sz w:val="24"/>
        </w:rPr>
      </w:pPr>
      <w:r>
        <w:rPr>
          <w:rFonts w:ascii="宋体" w:hAnsi="宋体"/>
          <w:sz w:val="24"/>
        </w:rPr>
        <w:t>d</w:t>
      </w:r>
      <w:r>
        <w:rPr>
          <w:rFonts w:hint="eastAsia" w:ascii="宋体" w:hAnsi="宋体"/>
          <w:sz w:val="24"/>
        </w:rPr>
        <w:t>．</w:t>
      </w:r>
      <w:r>
        <w:rPr>
          <w:rFonts w:ascii="宋体" w:hAnsi="宋体"/>
          <w:sz w:val="24"/>
        </w:rPr>
        <w:t>隧道出渣和桥梁钻孔灌注桩施工时排除的泥浆要进行妥善处理，严禁向河流或农田排放。</w:t>
      </w:r>
    </w:p>
    <w:p>
      <w:pPr>
        <w:adjustRightInd w:val="0"/>
        <w:snapToGrid w:val="0"/>
        <w:spacing w:line="424"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采取可靠措施保证原有交通的正常通行，维持沿线村镇的居民饮水、农田灌溉、生产生活用电及通讯等管线的正常使用。</w:t>
      </w:r>
    </w:p>
    <w:p>
      <w:pPr>
        <w:adjustRightInd w:val="0"/>
        <w:snapToGrid w:val="0"/>
        <w:spacing w:line="424" w:lineRule="exact"/>
        <w:ind w:firstLine="480" w:firstLineChars="200"/>
        <w:rPr>
          <w:rFonts w:ascii="宋体" w:hAnsi="宋体"/>
          <w:sz w:val="24"/>
        </w:rPr>
      </w:pPr>
      <w:r>
        <w:rPr>
          <w:rFonts w:ascii="宋体" w:hAnsi="宋体"/>
          <w:sz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424" w:lineRule="exact"/>
        <w:ind w:firstLine="480" w:firstLineChars="200"/>
        <w:rPr>
          <w:rFonts w:hint="eastAsia" w:ascii="宋体" w:hAnsi="宋体"/>
          <w:sz w:val="24"/>
        </w:rPr>
      </w:pPr>
      <w:r>
        <w:rPr>
          <w:rFonts w:ascii="宋体" w:hAnsi="宋体"/>
          <w:sz w:val="24"/>
        </w:rPr>
        <w:t>9.4.9在施工期间，承包人应随时保持现场整洁，施工设备和材料、工程设备应整齐妥善存放和贮存，废料与垃圾及不再需要的临时设施应及时从现场清除、拆除并运走。</w:t>
      </w:r>
    </w:p>
    <w:p>
      <w:pPr>
        <w:adjustRightInd w:val="0"/>
        <w:snapToGrid w:val="0"/>
        <w:spacing w:line="424" w:lineRule="exact"/>
        <w:ind w:firstLine="480" w:firstLineChars="200"/>
        <w:rPr>
          <w:rFonts w:ascii="宋体" w:hAnsi="宋体"/>
          <w:sz w:val="24"/>
        </w:rPr>
      </w:pPr>
      <w:r>
        <w:rPr>
          <w:rFonts w:ascii="宋体" w:hAnsi="宋体"/>
          <w:sz w:val="24"/>
        </w:rPr>
        <w:t>10</w:t>
      </w:r>
      <w:r>
        <w:rPr>
          <w:rFonts w:hint="eastAsia" w:ascii="宋体" w:hAnsi="宋体"/>
          <w:sz w:val="24"/>
        </w:rPr>
        <w:t>．</w:t>
      </w:r>
      <w:r>
        <w:rPr>
          <w:rFonts w:ascii="宋体" w:hAnsi="宋体"/>
          <w:sz w:val="24"/>
        </w:rPr>
        <w:t>进度计划</w:t>
      </w:r>
    </w:p>
    <w:p>
      <w:pPr>
        <w:adjustRightInd w:val="0"/>
        <w:snapToGrid w:val="0"/>
        <w:spacing w:line="424" w:lineRule="exact"/>
        <w:rPr>
          <w:rFonts w:ascii="宋体" w:hAnsi="宋体"/>
          <w:sz w:val="24"/>
        </w:rPr>
      </w:pPr>
      <w:r>
        <w:rPr>
          <w:rFonts w:ascii="宋体" w:hAnsi="宋体"/>
          <w:sz w:val="24"/>
        </w:rPr>
        <w:t>10.1合同进度计划</w:t>
      </w:r>
    </w:p>
    <w:p>
      <w:pPr>
        <w:adjustRightInd w:val="0"/>
        <w:snapToGrid w:val="0"/>
        <w:spacing w:line="424" w:lineRule="exact"/>
        <w:ind w:firstLine="480" w:firstLineChars="200"/>
        <w:rPr>
          <w:rFonts w:ascii="宋体" w:hAnsi="宋体"/>
          <w:sz w:val="24"/>
        </w:rPr>
      </w:pPr>
      <w:r>
        <w:rPr>
          <w:rFonts w:ascii="宋体" w:hAnsi="宋体"/>
          <w:sz w:val="24"/>
        </w:rPr>
        <w:t>本款补充：</w:t>
      </w:r>
    </w:p>
    <w:p>
      <w:pPr>
        <w:adjustRightInd w:val="0"/>
        <w:snapToGrid w:val="0"/>
        <w:spacing w:line="424" w:lineRule="exact"/>
        <w:ind w:firstLine="480" w:firstLineChars="200"/>
        <w:rPr>
          <w:rFonts w:ascii="宋体" w:hAnsi="宋体"/>
          <w:sz w:val="24"/>
        </w:rPr>
      </w:pPr>
      <w:r>
        <w:rPr>
          <w:rFonts w:ascii="宋体" w:hAnsi="宋体"/>
          <w:sz w:val="24"/>
        </w:rPr>
        <w:t>承包人编制施工方案的内容：</w:t>
      </w:r>
      <w:r>
        <w:rPr>
          <w:rFonts w:hint="eastAsia" w:ascii="宋体" w:hAnsi="宋体"/>
          <w:sz w:val="24"/>
          <w:u w:val="single"/>
        </w:rPr>
        <w:t xml:space="preserve">  </w:t>
      </w:r>
      <w:r>
        <w:rPr>
          <w:rFonts w:ascii="宋体" w:hAnsi="宋体"/>
          <w:sz w:val="24"/>
          <w:u w:val="single"/>
        </w:rPr>
        <w:t>（见项目专用合同条款）</w:t>
      </w:r>
      <w:r>
        <w:rPr>
          <w:rFonts w:hint="eastAsia" w:ascii="宋体" w:hAnsi="宋体"/>
          <w:sz w:val="24"/>
          <w:u w:val="single"/>
        </w:rPr>
        <w:t xml:space="preserve">  </w:t>
      </w:r>
    </w:p>
    <w:p>
      <w:pPr>
        <w:adjustRightInd w:val="0"/>
        <w:snapToGrid w:val="0"/>
        <w:spacing w:line="424" w:lineRule="exact"/>
        <w:ind w:firstLine="480" w:firstLineChars="200"/>
        <w:rPr>
          <w:rFonts w:ascii="宋体" w:hAnsi="宋体"/>
          <w:sz w:val="24"/>
        </w:rPr>
      </w:pPr>
      <w:r>
        <w:rPr>
          <w:rFonts w:ascii="宋体" w:hAnsi="宋体"/>
          <w:sz w:val="24"/>
        </w:rPr>
        <w:t>承包人向监理人报送施工进度计划和施工方案说明的期限：</w:t>
      </w:r>
      <w:r>
        <w:rPr>
          <w:rFonts w:hint="eastAsia" w:ascii="宋体" w:hAnsi="宋体"/>
          <w:sz w:val="24"/>
          <w:u w:val="single"/>
        </w:rPr>
        <w:t>签订合同协议书后</w:t>
      </w:r>
      <w:r>
        <w:rPr>
          <w:rFonts w:ascii="宋体" w:hAnsi="宋体"/>
          <w:sz w:val="24"/>
          <w:u w:val="single"/>
        </w:rPr>
        <w:t>28天之内</w:t>
      </w:r>
      <w:r>
        <w:rPr>
          <w:rFonts w:ascii="宋体" w:hAnsi="宋体"/>
          <w:sz w:val="24"/>
        </w:rPr>
        <w:t>。</w:t>
      </w:r>
    </w:p>
    <w:p>
      <w:pPr>
        <w:adjustRightInd w:val="0"/>
        <w:snapToGrid w:val="0"/>
        <w:spacing w:line="424" w:lineRule="exact"/>
        <w:ind w:firstLine="480" w:firstLineChars="200"/>
        <w:rPr>
          <w:rFonts w:ascii="宋体" w:hAnsi="宋体"/>
          <w:sz w:val="24"/>
        </w:rPr>
      </w:pPr>
      <w:r>
        <w:rPr>
          <w:rFonts w:ascii="宋体" w:hAnsi="宋体"/>
          <w:sz w:val="24"/>
        </w:rPr>
        <w:t>监理人应在</w:t>
      </w:r>
      <w:r>
        <w:rPr>
          <w:rFonts w:hint="eastAsia" w:ascii="宋体" w:hAnsi="宋体"/>
          <w:sz w:val="24"/>
          <w:u w:val="single"/>
        </w:rPr>
        <w:t>14</w:t>
      </w:r>
      <w:r>
        <w:rPr>
          <w:rFonts w:ascii="宋体" w:hAnsi="宋体"/>
          <w:sz w:val="24"/>
        </w:rPr>
        <w:t>天内对承包人施工进度计划和施工方案说明予以批复或提出修改意见。</w:t>
      </w:r>
    </w:p>
    <w:p>
      <w:pPr>
        <w:adjustRightInd w:val="0"/>
        <w:snapToGrid w:val="0"/>
        <w:spacing w:line="424" w:lineRule="exact"/>
        <w:ind w:firstLine="480" w:firstLineChars="200"/>
        <w:rPr>
          <w:rFonts w:hint="eastAsia" w:ascii="宋体" w:hAnsi="宋体"/>
          <w:sz w:val="24"/>
        </w:rPr>
      </w:pPr>
      <w:r>
        <w:rPr>
          <w:rFonts w:ascii="宋体" w:hAnsi="宋体"/>
          <w:sz w:val="24"/>
        </w:rPr>
        <w:t>合同进度计划应按照关键线路网络图和主要工作横道图两种形式分别编绘，并应包括每月预计完成的工作量和形象进度。</w:t>
      </w:r>
    </w:p>
    <w:p>
      <w:pPr>
        <w:adjustRightInd w:val="0"/>
        <w:snapToGrid w:val="0"/>
        <w:spacing w:line="424" w:lineRule="exact"/>
        <w:rPr>
          <w:rFonts w:ascii="宋体" w:hAnsi="宋体"/>
          <w:sz w:val="24"/>
        </w:rPr>
      </w:pPr>
      <w:r>
        <w:rPr>
          <w:rFonts w:ascii="宋体" w:hAnsi="宋体"/>
          <w:sz w:val="24"/>
        </w:rPr>
        <w:t>10.2合同进度计划的修订</w:t>
      </w:r>
    </w:p>
    <w:p>
      <w:pPr>
        <w:adjustRightInd w:val="0"/>
        <w:snapToGrid w:val="0"/>
        <w:spacing w:line="424" w:lineRule="exact"/>
        <w:ind w:firstLine="480" w:firstLineChars="200"/>
        <w:rPr>
          <w:rFonts w:ascii="宋体" w:hAnsi="宋体"/>
          <w:sz w:val="24"/>
        </w:rPr>
      </w:pPr>
      <w:r>
        <w:rPr>
          <w:rFonts w:ascii="宋体" w:hAnsi="宋体"/>
          <w:sz w:val="24"/>
        </w:rPr>
        <w:t>本款补充：</w:t>
      </w:r>
    </w:p>
    <w:p>
      <w:pPr>
        <w:adjustRightInd w:val="0"/>
        <w:snapToGrid w:val="0"/>
        <w:spacing w:line="424" w:lineRule="exact"/>
        <w:ind w:firstLine="480" w:firstLineChars="200"/>
        <w:rPr>
          <w:rFonts w:ascii="宋体" w:hAnsi="宋体"/>
          <w:sz w:val="24"/>
        </w:rPr>
      </w:pPr>
      <w:r>
        <w:rPr>
          <w:rFonts w:ascii="宋体" w:hAnsi="宋体"/>
          <w:sz w:val="24"/>
        </w:rPr>
        <w:t>承包人提交合同进度计划修订申请报告，并附有关措施和相关资料的期限：</w:t>
      </w:r>
      <w:r>
        <w:rPr>
          <w:rFonts w:ascii="宋体" w:hAnsi="宋体"/>
          <w:sz w:val="24"/>
          <w:u w:val="single"/>
        </w:rPr>
        <w:t>实际进度发生滞后的当月25日前</w:t>
      </w:r>
      <w:r>
        <w:rPr>
          <w:rFonts w:ascii="宋体" w:hAnsi="宋体"/>
          <w:sz w:val="24"/>
        </w:rPr>
        <w:t>。</w:t>
      </w:r>
    </w:p>
    <w:p>
      <w:pPr>
        <w:adjustRightInd w:val="0"/>
        <w:snapToGrid w:val="0"/>
        <w:spacing w:line="424" w:lineRule="exact"/>
        <w:ind w:firstLine="480" w:firstLineChars="200"/>
        <w:rPr>
          <w:rFonts w:ascii="宋体" w:hAnsi="宋体"/>
          <w:sz w:val="24"/>
        </w:rPr>
      </w:pPr>
      <w:r>
        <w:rPr>
          <w:rFonts w:ascii="宋体" w:hAnsi="宋体"/>
          <w:sz w:val="24"/>
        </w:rPr>
        <w:t>监理人批复修订合同进度计划的期限：</w:t>
      </w:r>
      <w:r>
        <w:rPr>
          <w:rFonts w:hint="eastAsia" w:ascii="宋体" w:hAnsi="宋体"/>
          <w:sz w:val="24"/>
          <w:u w:val="single"/>
        </w:rPr>
        <w:t>收到修订合同进度计划后14天内</w:t>
      </w:r>
      <w:r>
        <w:rPr>
          <w:rFonts w:ascii="宋体" w:hAnsi="宋体"/>
          <w:sz w:val="24"/>
        </w:rPr>
        <w:t>。</w:t>
      </w:r>
    </w:p>
    <w:p>
      <w:pPr>
        <w:adjustRightInd w:val="0"/>
        <w:snapToGrid w:val="0"/>
        <w:spacing w:line="424" w:lineRule="exact"/>
        <w:rPr>
          <w:rFonts w:hint="eastAsia" w:ascii="宋体" w:hAnsi="宋体"/>
          <w:sz w:val="24"/>
        </w:rPr>
      </w:pPr>
      <w:r>
        <w:rPr>
          <w:rFonts w:ascii="宋体" w:hAnsi="宋体"/>
          <w:sz w:val="24"/>
        </w:rPr>
        <w:t>增加第10.3、10.4款：</w:t>
      </w:r>
    </w:p>
    <w:p>
      <w:pPr>
        <w:adjustRightInd w:val="0"/>
        <w:snapToGrid w:val="0"/>
        <w:spacing w:line="424" w:lineRule="exact"/>
        <w:rPr>
          <w:rFonts w:ascii="宋体" w:hAnsi="宋体"/>
          <w:sz w:val="24"/>
        </w:rPr>
      </w:pPr>
      <w:r>
        <w:rPr>
          <w:rFonts w:ascii="宋体" w:hAnsi="宋体"/>
          <w:sz w:val="24"/>
        </w:rPr>
        <w:t>10.3年度施工计划</w:t>
      </w:r>
    </w:p>
    <w:p>
      <w:pPr>
        <w:adjustRightInd w:val="0"/>
        <w:snapToGrid w:val="0"/>
        <w:spacing w:line="424" w:lineRule="exact"/>
        <w:ind w:firstLine="480" w:firstLineChars="200"/>
        <w:rPr>
          <w:rFonts w:hint="eastAsia" w:ascii="宋体" w:hAnsi="宋体"/>
          <w:sz w:val="24"/>
        </w:rPr>
      </w:pPr>
      <w:r>
        <w:rPr>
          <w:rFonts w:ascii="宋体" w:hAnsi="宋体"/>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line="424" w:lineRule="exact"/>
        <w:rPr>
          <w:rFonts w:ascii="宋体" w:hAnsi="宋体"/>
          <w:sz w:val="24"/>
        </w:rPr>
      </w:pPr>
      <w:r>
        <w:rPr>
          <w:rFonts w:ascii="宋体" w:hAnsi="宋体"/>
          <w:sz w:val="24"/>
        </w:rPr>
        <w:t>10.4合同用款计划</w:t>
      </w:r>
    </w:p>
    <w:p>
      <w:pPr>
        <w:adjustRightInd w:val="0"/>
        <w:snapToGrid w:val="0"/>
        <w:spacing w:line="424" w:lineRule="exact"/>
        <w:ind w:firstLine="480" w:firstLineChars="200"/>
        <w:rPr>
          <w:rFonts w:hint="eastAsia" w:ascii="宋体" w:hAnsi="宋体"/>
          <w:sz w:val="24"/>
        </w:rPr>
      </w:pPr>
      <w:r>
        <w:rPr>
          <w:rFonts w:ascii="宋体" w:hAnsi="宋体"/>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line="424" w:lineRule="exact"/>
        <w:ind w:firstLine="480" w:firstLineChars="200"/>
        <w:rPr>
          <w:rFonts w:ascii="宋体" w:hAnsi="宋体"/>
          <w:sz w:val="24"/>
        </w:rPr>
      </w:pPr>
      <w:r>
        <w:rPr>
          <w:rFonts w:ascii="宋体" w:hAnsi="宋体"/>
          <w:sz w:val="24"/>
        </w:rPr>
        <w:t>11．开工和竣工</w:t>
      </w:r>
    </w:p>
    <w:p>
      <w:pPr>
        <w:adjustRightInd w:val="0"/>
        <w:snapToGrid w:val="0"/>
        <w:spacing w:line="424" w:lineRule="exact"/>
        <w:rPr>
          <w:rFonts w:ascii="宋体" w:hAnsi="宋体"/>
          <w:sz w:val="24"/>
        </w:rPr>
      </w:pPr>
      <w:r>
        <w:rPr>
          <w:rFonts w:ascii="宋体" w:hAnsi="宋体"/>
          <w:sz w:val="24"/>
        </w:rPr>
        <w:t>11.1开工</w:t>
      </w:r>
    </w:p>
    <w:p>
      <w:pPr>
        <w:adjustRightInd w:val="0"/>
        <w:snapToGrid w:val="0"/>
        <w:spacing w:line="424" w:lineRule="exact"/>
        <w:ind w:firstLine="480" w:firstLineChars="200"/>
        <w:rPr>
          <w:rFonts w:ascii="宋体" w:hAnsi="宋体"/>
          <w:sz w:val="24"/>
        </w:rPr>
      </w:pPr>
      <w:r>
        <w:rPr>
          <w:rFonts w:ascii="宋体" w:hAnsi="宋体"/>
          <w:sz w:val="24"/>
        </w:rPr>
        <w:t>11</w:t>
      </w:r>
      <w:r>
        <w:rPr>
          <w:rFonts w:hint="eastAsia" w:ascii="宋体" w:hAnsi="宋体"/>
          <w:sz w:val="24"/>
        </w:rPr>
        <w:t>.</w:t>
      </w:r>
      <w:r>
        <w:rPr>
          <w:rFonts w:ascii="宋体" w:hAnsi="宋体"/>
          <w:sz w:val="24"/>
        </w:rPr>
        <w:t>1.2项补充：</w:t>
      </w:r>
    </w:p>
    <w:p>
      <w:pPr>
        <w:adjustRightInd w:val="0"/>
        <w:snapToGrid w:val="0"/>
        <w:spacing w:line="424" w:lineRule="exact"/>
        <w:ind w:firstLine="480" w:firstLineChars="200"/>
        <w:rPr>
          <w:rFonts w:hint="eastAsia" w:ascii="宋体" w:hAnsi="宋体"/>
          <w:sz w:val="24"/>
        </w:rPr>
      </w:pPr>
      <w:r>
        <w:rPr>
          <w:rFonts w:ascii="宋体" w:hAnsi="宋体"/>
          <w:sz w:val="24"/>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line="424" w:lineRule="exact"/>
        <w:ind w:firstLine="480" w:firstLineChars="200"/>
        <w:rPr>
          <w:rFonts w:ascii="宋体" w:hAnsi="宋体"/>
          <w:sz w:val="24"/>
        </w:rPr>
      </w:pPr>
      <w:r>
        <w:rPr>
          <w:rFonts w:ascii="宋体" w:hAnsi="宋体"/>
          <w:sz w:val="24"/>
        </w:rPr>
        <w:t>11.3发包人的工期延误</w:t>
      </w:r>
    </w:p>
    <w:p>
      <w:pPr>
        <w:adjustRightInd w:val="0"/>
        <w:snapToGrid w:val="0"/>
        <w:spacing w:line="424" w:lineRule="exact"/>
        <w:ind w:firstLine="480" w:firstLineChars="200"/>
        <w:rPr>
          <w:rFonts w:ascii="宋体" w:hAnsi="宋体"/>
          <w:sz w:val="24"/>
        </w:rPr>
      </w:pPr>
      <w:r>
        <w:rPr>
          <w:rFonts w:ascii="宋体" w:hAnsi="宋体"/>
          <w:sz w:val="24"/>
        </w:rPr>
        <w:t>本款补充：</w:t>
      </w:r>
    </w:p>
    <w:p>
      <w:pPr>
        <w:adjustRightInd w:val="0"/>
        <w:snapToGrid w:val="0"/>
        <w:spacing w:line="424" w:lineRule="exact"/>
        <w:ind w:firstLine="480" w:firstLineChars="200"/>
        <w:rPr>
          <w:rFonts w:hint="eastAsia" w:ascii="宋体" w:hAnsi="宋体"/>
          <w:sz w:val="24"/>
        </w:rPr>
      </w:pPr>
      <w:r>
        <w:rPr>
          <w:rFonts w:ascii="宋体" w:hAnsi="宋体"/>
          <w:sz w:val="24"/>
        </w:rPr>
        <w:t>即使由于上述原因造成工期延误，如果受影响的工程并非处在工程施工进度网络计划的关键线路上，承包人亦无权要求延长总工期。</w:t>
      </w:r>
    </w:p>
    <w:p>
      <w:pPr>
        <w:adjustRightInd w:val="0"/>
        <w:snapToGrid w:val="0"/>
        <w:spacing w:line="424" w:lineRule="exact"/>
        <w:ind w:firstLine="480" w:firstLineChars="200"/>
        <w:rPr>
          <w:rFonts w:ascii="宋体" w:hAnsi="宋体"/>
          <w:sz w:val="24"/>
        </w:rPr>
      </w:pPr>
      <w:r>
        <w:rPr>
          <w:rFonts w:ascii="宋体" w:hAnsi="宋体"/>
          <w:sz w:val="24"/>
        </w:rPr>
        <w:t>11.4异常恶劣的气候条件</w:t>
      </w:r>
    </w:p>
    <w:p>
      <w:pPr>
        <w:adjustRightInd w:val="0"/>
        <w:snapToGrid w:val="0"/>
        <w:spacing w:line="424" w:lineRule="exact"/>
        <w:ind w:firstLine="480" w:firstLineChars="200"/>
        <w:rPr>
          <w:rFonts w:ascii="宋体" w:hAnsi="宋体"/>
          <w:sz w:val="24"/>
        </w:rPr>
      </w:pPr>
      <w:r>
        <w:rPr>
          <w:rFonts w:ascii="宋体" w:hAnsi="宋体"/>
          <w:sz w:val="24"/>
        </w:rPr>
        <w:t>本款补充：</w:t>
      </w:r>
    </w:p>
    <w:p>
      <w:pPr>
        <w:adjustRightInd w:val="0"/>
        <w:snapToGrid w:val="0"/>
        <w:spacing w:line="424" w:lineRule="exact"/>
        <w:ind w:firstLine="480" w:firstLineChars="200"/>
        <w:rPr>
          <w:rFonts w:hint="eastAsia" w:ascii="宋体" w:hAnsi="宋体"/>
          <w:sz w:val="24"/>
        </w:rPr>
      </w:pPr>
      <w:r>
        <w:rPr>
          <w:rFonts w:ascii="宋体" w:hAnsi="宋体"/>
          <w:sz w:val="24"/>
        </w:rPr>
        <w:t>异常恶劣的气候条件包括：台风、龙卷风、暴雨（雪）、大风（沙尘暴）、冰雹和项目专用合同条款可能规定的其他气候条件。</w:t>
      </w:r>
    </w:p>
    <w:p>
      <w:pPr>
        <w:adjustRightInd w:val="0"/>
        <w:snapToGrid w:val="0"/>
        <w:spacing w:line="424" w:lineRule="exact"/>
        <w:ind w:firstLine="480" w:firstLineChars="200"/>
        <w:rPr>
          <w:rFonts w:ascii="宋体" w:hAnsi="宋体"/>
          <w:sz w:val="24"/>
        </w:rPr>
      </w:pPr>
      <w:r>
        <w:rPr>
          <w:rFonts w:ascii="宋体" w:hAnsi="宋体"/>
          <w:sz w:val="24"/>
        </w:rPr>
        <w:t>11.5承包人的工期延误</w:t>
      </w:r>
    </w:p>
    <w:p>
      <w:pPr>
        <w:adjustRightInd w:val="0"/>
        <w:snapToGrid w:val="0"/>
        <w:spacing w:line="424" w:lineRule="exact"/>
        <w:ind w:firstLine="480" w:firstLineChars="200"/>
        <w:rPr>
          <w:rFonts w:ascii="宋体" w:hAnsi="宋体"/>
          <w:sz w:val="24"/>
        </w:rPr>
      </w:pPr>
      <w:r>
        <w:rPr>
          <w:rFonts w:ascii="宋体" w:hAnsi="宋体"/>
          <w:sz w:val="24"/>
        </w:rPr>
        <w:t>本款细化为：</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424"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ascii="宋体" w:hAnsi="宋体"/>
          <w:sz w:val="24"/>
        </w:rPr>
        <w:t>10</w:t>
      </w:r>
      <w:r>
        <w:rPr>
          <w:rFonts w:ascii="宋体" w:hAnsi="宋体"/>
          <w:sz w:val="24"/>
        </w:rPr>
        <w:t>％。发包人可以从应付或到期应付给承包人的任何款项中或采用其他方法扣除此违约金。</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承包人支付逾期竣工违约金，不免除承包人完成工程及修补缺陷的义务。</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如果在合同工程完工之前，己对合同工程内按时完工的单位工程签发了工程接收证书，则合同工程的逾期竣工违约金，应按</w:t>
      </w:r>
      <w:r>
        <w:rPr>
          <w:rFonts w:hint="eastAsia" w:ascii="宋体" w:hAnsi="宋体"/>
          <w:sz w:val="24"/>
        </w:rPr>
        <w:t>已</w:t>
      </w:r>
      <w:r>
        <w:rPr>
          <w:rFonts w:ascii="宋体" w:hAnsi="宋体"/>
          <w:sz w:val="24"/>
        </w:rPr>
        <w:t>签发工程接收证书的单位工程的价值占合同工程价值的比例予以减少，但本规定不应影响逾期竣工违约金的规定限额。</w:t>
      </w:r>
    </w:p>
    <w:p>
      <w:pPr>
        <w:adjustRightInd w:val="0"/>
        <w:snapToGrid w:val="0"/>
        <w:spacing w:before="312" w:beforeLines="100" w:line="424" w:lineRule="exact"/>
        <w:rPr>
          <w:rFonts w:ascii="宋体" w:hAnsi="宋体"/>
          <w:sz w:val="24"/>
        </w:rPr>
      </w:pPr>
      <w:r>
        <w:rPr>
          <w:rFonts w:ascii="宋体" w:hAnsi="宋体"/>
          <w:sz w:val="24"/>
        </w:rPr>
        <w:t>11.6工期提前</w:t>
      </w:r>
    </w:p>
    <w:p>
      <w:pPr>
        <w:adjustRightInd w:val="0"/>
        <w:snapToGrid w:val="0"/>
        <w:spacing w:line="424" w:lineRule="exact"/>
        <w:ind w:firstLine="480" w:firstLineChars="200"/>
        <w:rPr>
          <w:rFonts w:ascii="宋体" w:hAnsi="宋体"/>
          <w:sz w:val="24"/>
        </w:rPr>
      </w:pPr>
      <w:r>
        <w:rPr>
          <w:rFonts w:ascii="宋体" w:hAnsi="宋体"/>
          <w:sz w:val="24"/>
        </w:rPr>
        <w:t>本款补充：</w:t>
      </w:r>
    </w:p>
    <w:p>
      <w:pPr>
        <w:adjustRightInd w:val="0"/>
        <w:snapToGrid w:val="0"/>
        <w:spacing w:line="424" w:lineRule="exact"/>
        <w:ind w:firstLine="464" w:firstLineChars="200"/>
        <w:rPr>
          <w:rFonts w:ascii="宋体" w:hAnsi="宋体"/>
          <w:spacing w:val="-4"/>
          <w:sz w:val="24"/>
        </w:rPr>
      </w:pPr>
      <w:r>
        <w:rPr>
          <w:rFonts w:ascii="宋体" w:hAnsi="宋体"/>
          <w:spacing w:val="-4"/>
          <w:sz w:val="24"/>
        </w:rPr>
        <w:t>如果承包人提前竣工，发包人支付奖金的计算方法为：每提前一天支付</w:t>
      </w:r>
      <w:r>
        <w:rPr>
          <w:rFonts w:hint="eastAsia" w:ascii="宋体" w:hAnsi="宋体"/>
          <w:spacing w:val="-4"/>
          <w:sz w:val="24"/>
          <w:u w:val="single"/>
        </w:rPr>
        <w:t xml:space="preserve">    </w:t>
      </w:r>
      <w:r>
        <w:rPr>
          <w:rFonts w:ascii="宋体" w:hAnsi="宋体"/>
          <w:spacing w:val="-4"/>
          <w:sz w:val="24"/>
        </w:rPr>
        <w:t>元人民币（在项目专用合同条款中约定），时间自工程接收证书中写明的实际竣工日期起至预定的竣工日期止，按天计算。但奖金最高限额不超过签约合同价的</w:t>
      </w:r>
      <w:r>
        <w:rPr>
          <w:rFonts w:hint="eastAsia" w:ascii="宋体" w:hAnsi="宋体"/>
          <w:spacing w:val="-4"/>
          <w:sz w:val="24"/>
          <w:u w:val="single"/>
        </w:rPr>
        <w:t xml:space="preserve">    </w:t>
      </w:r>
      <w:r>
        <w:rPr>
          <w:rFonts w:ascii="宋体" w:hAnsi="宋体"/>
          <w:spacing w:val="-4"/>
          <w:sz w:val="24"/>
        </w:rPr>
        <w:t>％（在项目专用合同条款中约定）。</w:t>
      </w:r>
    </w:p>
    <w:p>
      <w:pPr>
        <w:adjustRightInd w:val="0"/>
        <w:snapToGrid w:val="0"/>
        <w:spacing w:line="424" w:lineRule="exact"/>
        <w:rPr>
          <w:rFonts w:hint="eastAsia" w:ascii="宋体" w:hAnsi="宋体"/>
          <w:sz w:val="24"/>
        </w:rPr>
      </w:pPr>
      <w:r>
        <w:rPr>
          <w:rFonts w:ascii="宋体" w:hAnsi="宋体"/>
          <w:sz w:val="24"/>
        </w:rPr>
        <w:t>增加第11.7款：</w:t>
      </w:r>
    </w:p>
    <w:p>
      <w:pPr>
        <w:adjustRightInd w:val="0"/>
        <w:snapToGrid w:val="0"/>
        <w:spacing w:line="424" w:lineRule="exact"/>
        <w:rPr>
          <w:rFonts w:ascii="宋体" w:hAnsi="宋体"/>
          <w:sz w:val="24"/>
        </w:rPr>
      </w:pPr>
      <w:r>
        <w:rPr>
          <w:rFonts w:ascii="宋体" w:hAnsi="宋体"/>
          <w:sz w:val="24"/>
        </w:rPr>
        <w:t>11.7</w:t>
      </w:r>
      <w:r>
        <w:rPr>
          <w:rFonts w:hint="eastAsia" w:ascii="宋体" w:hAnsi="宋体"/>
          <w:sz w:val="24"/>
        </w:rPr>
        <w:t>工</w:t>
      </w:r>
      <w:r>
        <w:rPr>
          <w:rFonts w:ascii="宋体" w:hAnsi="宋体"/>
          <w:sz w:val="24"/>
        </w:rPr>
        <w:t>作时</w:t>
      </w:r>
      <w:r>
        <w:rPr>
          <w:rFonts w:hint="eastAsia" w:ascii="宋体" w:hAnsi="宋体"/>
          <w:sz w:val="24"/>
        </w:rPr>
        <w:t>间</w:t>
      </w:r>
      <w:r>
        <w:rPr>
          <w:rFonts w:ascii="宋体" w:hAnsi="宋体"/>
          <w:sz w:val="24"/>
        </w:rPr>
        <w:t>的限制</w:t>
      </w:r>
    </w:p>
    <w:p>
      <w:pPr>
        <w:adjustRightInd w:val="0"/>
        <w:snapToGrid w:val="0"/>
        <w:spacing w:line="424" w:lineRule="exact"/>
        <w:ind w:firstLine="480" w:firstLineChars="200"/>
        <w:rPr>
          <w:rFonts w:ascii="宋体" w:hAnsi="宋体"/>
          <w:sz w:val="24"/>
        </w:rPr>
      </w:pPr>
      <w:r>
        <w:rPr>
          <w:rFonts w:ascii="宋体" w:hAnsi="宋体"/>
          <w:sz w:val="24"/>
        </w:rPr>
        <w:t>承包人在夜间或国家规定的节假日进行永久工程的施工，应向监理人报告，以便监理人履行监理职责和义务。</w:t>
      </w:r>
    </w:p>
    <w:p>
      <w:pPr>
        <w:adjustRightInd w:val="0"/>
        <w:snapToGrid w:val="0"/>
        <w:spacing w:line="424" w:lineRule="exact"/>
        <w:ind w:firstLine="480" w:firstLineChars="200"/>
        <w:rPr>
          <w:rFonts w:ascii="宋体" w:hAnsi="宋体"/>
          <w:sz w:val="24"/>
        </w:rPr>
      </w:pPr>
      <w:r>
        <w:rPr>
          <w:rFonts w:ascii="宋体" w:hAnsi="宋体"/>
          <w:sz w:val="24"/>
        </w:rPr>
        <w:t>但是，为了抢救生命或保护财产，或为了工程的安全、质量而不可避免地短暂作业，则不必事先向监理人报告。但承包人应在事后立即向监理人报告。</w:t>
      </w:r>
    </w:p>
    <w:p>
      <w:pPr>
        <w:adjustRightInd w:val="0"/>
        <w:snapToGrid w:val="0"/>
        <w:spacing w:line="424" w:lineRule="exact"/>
        <w:ind w:firstLine="480" w:firstLineChars="200"/>
        <w:rPr>
          <w:rFonts w:hint="eastAsia" w:ascii="宋体" w:hAnsi="宋体"/>
          <w:sz w:val="24"/>
        </w:rPr>
      </w:pPr>
      <w:r>
        <w:rPr>
          <w:rFonts w:ascii="宋体" w:hAnsi="宋体"/>
          <w:sz w:val="24"/>
        </w:rPr>
        <w:t>本款规定不适用于习惯上或施工本身要求实行连续生产的作业。</w:t>
      </w:r>
    </w:p>
    <w:p>
      <w:pPr>
        <w:adjustRightInd w:val="0"/>
        <w:snapToGrid w:val="0"/>
        <w:spacing w:line="424" w:lineRule="exact"/>
        <w:ind w:firstLine="480" w:firstLineChars="200"/>
        <w:rPr>
          <w:rFonts w:ascii="宋体" w:hAnsi="宋体"/>
          <w:sz w:val="24"/>
        </w:rPr>
      </w:pPr>
      <w:r>
        <w:rPr>
          <w:rFonts w:ascii="宋体" w:hAnsi="宋体"/>
          <w:sz w:val="24"/>
        </w:rPr>
        <w:t>12</w:t>
      </w:r>
      <w:r>
        <w:rPr>
          <w:rFonts w:hint="eastAsia" w:ascii="宋体" w:hAnsi="宋体"/>
          <w:sz w:val="24"/>
        </w:rPr>
        <w:t>．</w:t>
      </w:r>
      <w:r>
        <w:rPr>
          <w:rFonts w:ascii="宋体" w:hAnsi="宋体"/>
          <w:sz w:val="24"/>
        </w:rPr>
        <w:t>暂停施工</w:t>
      </w:r>
    </w:p>
    <w:p>
      <w:pPr>
        <w:adjustRightInd w:val="0"/>
        <w:snapToGrid w:val="0"/>
        <w:spacing w:line="424" w:lineRule="exact"/>
        <w:ind w:firstLine="480" w:firstLineChars="200"/>
        <w:rPr>
          <w:rFonts w:ascii="宋体" w:hAnsi="宋体"/>
          <w:sz w:val="24"/>
        </w:rPr>
      </w:pPr>
      <w:r>
        <w:rPr>
          <w:rFonts w:ascii="宋体" w:hAnsi="宋体"/>
          <w:sz w:val="24"/>
        </w:rPr>
        <w:t>12.1承包人暂停施工的责任</w:t>
      </w:r>
    </w:p>
    <w:p>
      <w:pPr>
        <w:adjustRightInd w:val="0"/>
        <w:snapToGrid w:val="0"/>
        <w:spacing w:line="424" w:lineRule="exact"/>
        <w:ind w:firstLine="480" w:firstLineChars="200"/>
        <w:rPr>
          <w:rFonts w:ascii="宋体" w:hAnsi="宋体"/>
          <w:sz w:val="24"/>
        </w:rPr>
      </w:pPr>
      <w:r>
        <w:rPr>
          <w:rFonts w:ascii="宋体" w:hAnsi="宋体"/>
          <w:sz w:val="24"/>
        </w:rPr>
        <w:t>12.1（5</w:t>
      </w:r>
      <w:r>
        <w:rPr>
          <w:rFonts w:hint="eastAsia" w:ascii="宋体" w:hAnsi="宋体"/>
          <w:sz w:val="24"/>
        </w:rPr>
        <w:t>）</w:t>
      </w:r>
      <w:r>
        <w:rPr>
          <w:rFonts w:ascii="宋体" w:hAnsi="宋体"/>
          <w:sz w:val="24"/>
        </w:rPr>
        <w:t>项补充：</w:t>
      </w:r>
    </w:p>
    <w:p>
      <w:pPr>
        <w:adjustRightInd w:val="0"/>
        <w:snapToGrid w:val="0"/>
        <w:spacing w:line="424" w:lineRule="exact"/>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现场气候条件导致的必要停工（第11.4款规定的异常恶劣的气候条件除外）；</w:t>
      </w:r>
    </w:p>
    <w:p>
      <w:pPr>
        <w:adjustRightInd w:val="0"/>
        <w:snapToGrid w:val="0"/>
        <w:spacing w:line="424" w:lineRule="exact"/>
        <w:ind w:firstLine="480" w:firstLineChars="200"/>
        <w:rPr>
          <w:rFonts w:hint="eastAsia" w:ascii="宋体" w:hAns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项目专用合同条款约定由承包人承担的其他暂停施工。</w:t>
      </w:r>
    </w:p>
    <w:p>
      <w:pPr>
        <w:adjustRightInd w:val="0"/>
        <w:snapToGrid w:val="0"/>
        <w:spacing w:line="424" w:lineRule="exact"/>
        <w:ind w:firstLine="480" w:firstLineChars="200"/>
        <w:rPr>
          <w:rFonts w:ascii="宋体" w:hAnsi="宋体"/>
          <w:sz w:val="24"/>
        </w:rPr>
      </w:pPr>
      <w:r>
        <w:rPr>
          <w:rFonts w:ascii="宋体" w:hAnsi="宋体"/>
          <w:sz w:val="24"/>
        </w:rPr>
        <w:t>13．工程质量</w:t>
      </w:r>
    </w:p>
    <w:p>
      <w:pPr>
        <w:adjustRightInd w:val="0"/>
        <w:snapToGrid w:val="0"/>
        <w:spacing w:line="424" w:lineRule="exact"/>
        <w:rPr>
          <w:rFonts w:ascii="宋体" w:hAnsi="宋体"/>
          <w:sz w:val="24"/>
        </w:rPr>
      </w:pPr>
      <w:r>
        <w:rPr>
          <w:rFonts w:ascii="宋体" w:hAnsi="宋体"/>
          <w:sz w:val="24"/>
        </w:rPr>
        <w:t>13.1工程质量要求</w:t>
      </w:r>
    </w:p>
    <w:p>
      <w:pPr>
        <w:adjustRightInd w:val="0"/>
        <w:snapToGrid w:val="0"/>
        <w:spacing w:line="424" w:lineRule="exact"/>
        <w:ind w:firstLine="480" w:firstLineChars="200"/>
        <w:rPr>
          <w:rFonts w:ascii="宋体" w:hAnsi="宋体"/>
          <w:sz w:val="24"/>
        </w:rPr>
      </w:pPr>
      <w:r>
        <w:rPr>
          <w:rFonts w:ascii="宋体" w:hAnsi="宋体"/>
          <w:sz w:val="24"/>
        </w:rPr>
        <w:t>13.1</w:t>
      </w:r>
      <w:r>
        <w:rPr>
          <w:rFonts w:hint="eastAsia" w:ascii="宋体" w:hAnsi="宋体"/>
          <w:sz w:val="24"/>
        </w:rPr>
        <w:t>.</w:t>
      </w:r>
      <w:r>
        <w:rPr>
          <w:rFonts w:ascii="宋体" w:hAnsi="宋体"/>
          <w:sz w:val="24"/>
        </w:rPr>
        <w:t>1项约定为：</w:t>
      </w:r>
    </w:p>
    <w:p>
      <w:pPr>
        <w:adjustRightInd w:val="0"/>
        <w:snapToGrid w:val="0"/>
        <w:spacing w:line="424" w:lineRule="exact"/>
        <w:ind w:firstLine="480" w:firstLineChars="200"/>
        <w:rPr>
          <w:rFonts w:ascii="宋体" w:hAnsi="宋体"/>
          <w:sz w:val="24"/>
        </w:rPr>
      </w:pPr>
      <w:r>
        <w:rPr>
          <w:rFonts w:ascii="宋体" w:hAnsi="宋体"/>
          <w:sz w:val="24"/>
        </w:rPr>
        <w:t>工程质量验收按技术规范及交通部《公路工程质量验收评定标准》执行。本款增加第13．1.4至13．1.6项：</w:t>
      </w:r>
    </w:p>
    <w:p>
      <w:pPr>
        <w:adjustRightInd w:val="0"/>
        <w:snapToGrid w:val="0"/>
        <w:spacing w:line="424" w:lineRule="exact"/>
        <w:ind w:firstLine="480" w:firstLineChars="200"/>
        <w:rPr>
          <w:rFonts w:ascii="宋体" w:hAnsi="宋体"/>
          <w:sz w:val="24"/>
        </w:rPr>
      </w:pPr>
      <w:r>
        <w:rPr>
          <w:rFonts w:ascii="宋体" w:hAnsi="宋体"/>
          <w:sz w:val="24"/>
        </w:rPr>
        <w:t>13.1.4承包人对工程质量终身负责。</w:t>
      </w:r>
    </w:p>
    <w:p>
      <w:pPr>
        <w:adjustRightInd w:val="0"/>
        <w:snapToGrid w:val="0"/>
        <w:spacing w:line="424" w:lineRule="exact"/>
        <w:ind w:firstLine="480" w:firstLineChars="200"/>
        <w:rPr>
          <w:rFonts w:ascii="宋体" w:hAnsi="宋体"/>
          <w:sz w:val="24"/>
        </w:rPr>
      </w:pPr>
      <w:r>
        <w:rPr>
          <w:rFonts w:ascii="宋体" w:hAnsi="宋体"/>
          <w:sz w:val="24"/>
        </w:rPr>
        <w:t>13</w:t>
      </w:r>
      <w:r>
        <w:rPr>
          <w:rFonts w:hint="eastAsia" w:ascii="宋体" w:hAnsi="宋体"/>
          <w:sz w:val="24"/>
        </w:rPr>
        <w:t>.</w:t>
      </w:r>
      <w:r>
        <w:rPr>
          <w:rFonts w:ascii="宋体" w:hAnsi="宋体"/>
          <w:sz w:val="24"/>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424" w:lineRule="exact"/>
        <w:ind w:firstLine="480" w:firstLineChars="200"/>
        <w:rPr>
          <w:rFonts w:hint="eastAsia" w:ascii="宋体" w:hAnsi="宋体"/>
          <w:sz w:val="24"/>
        </w:rPr>
      </w:pPr>
      <w:r>
        <w:rPr>
          <w:rFonts w:ascii="宋体" w:hAnsi="宋体"/>
          <w:sz w:val="24"/>
        </w:rPr>
        <w:t>13.1.6发包人对存在质量问题或质量隐患的工程有权直接发布或授权监理人发布停工令、复工令。</w:t>
      </w:r>
    </w:p>
    <w:p>
      <w:pPr>
        <w:adjustRightInd w:val="0"/>
        <w:snapToGrid w:val="0"/>
        <w:spacing w:line="424" w:lineRule="exact"/>
        <w:ind w:firstLine="480" w:firstLineChars="200"/>
        <w:rPr>
          <w:rFonts w:ascii="宋体" w:hAnsi="宋体"/>
          <w:sz w:val="24"/>
        </w:rPr>
      </w:pPr>
      <w:r>
        <w:rPr>
          <w:rFonts w:ascii="宋体" w:hAnsi="宋体"/>
          <w:sz w:val="24"/>
        </w:rPr>
        <w:t>13.2承包人的质量管理</w:t>
      </w:r>
    </w:p>
    <w:p>
      <w:pPr>
        <w:adjustRightInd w:val="0"/>
        <w:snapToGrid w:val="0"/>
        <w:spacing w:line="424" w:lineRule="exact"/>
        <w:ind w:firstLine="480" w:firstLineChars="200"/>
        <w:rPr>
          <w:rFonts w:ascii="宋体" w:hAnsi="宋体"/>
          <w:sz w:val="24"/>
        </w:rPr>
      </w:pPr>
      <w:r>
        <w:rPr>
          <w:rFonts w:ascii="宋体" w:hAnsi="宋体"/>
          <w:sz w:val="24"/>
        </w:rPr>
        <w:t>13.2.1项补充：</w:t>
      </w:r>
    </w:p>
    <w:p>
      <w:pPr>
        <w:adjustRightInd w:val="0"/>
        <w:snapToGrid w:val="0"/>
        <w:spacing w:line="424" w:lineRule="exact"/>
        <w:ind w:firstLine="480" w:firstLineChars="200"/>
        <w:rPr>
          <w:rFonts w:ascii="宋体" w:hAnsi="宋体"/>
          <w:sz w:val="24"/>
        </w:rPr>
      </w:pPr>
      <w:r>
        <w:rPr>
          <w:rFonts w:ascii="宋体" w:hAnsi="宋体"/>
          <w:sz w:val="24"/>
        </w:rPr>
        <w:t>承包人提交工程质量保证措施文件的期限：</w:t>
      </w:r>
      <w:r>
        <w:rPr>
          <w:rFonts w:ascii="宋体" w:hAnsi="宋体"/>
          <w:sz w:val="24"/>
          <w:u w:val="single"/>
        </w:rPr>
        <w:t>签订合同协议书后28天之内</w:t>
      </w:r>
      <w:r>
        <w:rPr>
          <w:rFonts w:ascii="宋体" w:hAnsi="宋体"/>
          <w:sz w:val="24"/>
        </w:rPr>
        <w:t>。</w:t>
      </w:r>
    </w:p>
    <w:p>
      <w:pPr>
        <w:adjustRightInd w:val="0"/>
        <w:snapToGrid w:val="0"/>
        <w:spacing w:line="424" w:lineRule="exact"/>
        <w:ind w:firstLine="480" w:firstLineChars="200"/>
        <w:rPr>
          <w:rFonts w:ascii="宋体" w:hAnsi="宋体"/>
          <w:sz w:val="24"/>
        </w:rPr>
      </w:pPr>
      <w:r>
        <w:rPr>
          <w:rFonts w:ascii="宋体" w:hAnsi="宋体"/>
          <w:sz w:val="24"/>
        </w:rPr>
        <w:t>本款增加第13.2.3至13.2.5项：</w:t>
      </w:r>
    </w:p>
    <w:p>
      <w:pPr>
        <w:adjustRightInd w:val="0"/>
        <w:snapToGrid w:val="0"/>
        <w:spacing w:line="424" w:lineRule="exact"/>
        <w:ind w:firstLine="480" w:firstLineChars="200"/>
        <w:rPr>
          <w:rFonts w:ascii="宋体" w:hAnsi="宋体"/>
          <w:sz w:val="24"/>
        </w:rPr>
      </w:pPr>
      <w:r>
        <w:rPr>
          <w:rFonts w:ascii="宋体" w:hAnsi="宋体"/>
          <w:sz w:val="24"/>
        </w:rPr>
        <w:t>13.2.3承包人应加强质量监控，确保规范规定的检验、抽检频率，现场质检的原始资料必须真实、准确、可靠，不得追记，接受质量检查时必须出示原始资料。</w:t>
      </w:r>
    </w:p>
    <w:p>
      <w:pPr>
        <w:adjustRightInd w:val="0"/>
        <w:snapToGrid w:val="0"/>
        <w:spacing w:line="424" w:lineRule="exact"/>
        <w:ind w:firstLine="480" w:firstLineChars="200"/>
        <w:rPr>
          <w:rFonts w:ascii="宋体" w:hAnsi="宋体"/>
          <w:sz w:val="24"/>
        </w:rPr>
      </w:pPr>
      <w:r>
        <w:rPr>
          <w:rFonts w:ascii="宋体" w:hAnsi="宋体"/>
          <w:sz w:val="24"/>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424" w:lineRule="exact"/>
        <w:ind w:firstLine="480" w:firstLineChars="200"/>
        <w:rPr>
          <w:rFonts w:hint="eastAsia" w:ascii="宋体" w:hAnsi="宋体"/>
          <w:sz w:val="24"/>
        </w:rPr>
      </w:pPr>
      <w:r>
        <w:rPr>
          <w:rFonts w:ascii="宋体" w:hAnsi="宋体"/>
          <w:sz w:val="24"/>
        </w:rPr>
        <w:t>13.2.5承包人应建立质量奖罚制度，对质量事故要严肃处理，坚持三不放过：事故原因不明不放过，不分清责任不放过，没有改进措施不放过。</w:t>
      </w:r>
    </w:p>
    <w:p>
      <w:pPr>
        <w:adjustRightInd w:val="0"/>
        <w:snapToGrid w:val="0"/>
        <w:spacing w:line="424" w:lineRule="exact"/>
        <w:ind w:firstLine="480" w:firstLineChars="200"/>
        <w:rPr>
          <w:rFonts w:ascii="宋体" w:hAnsi="宋体"/>
          <w:sz w:val="24"/>
        </w:rPr>
      </w:pPr>
      <w:r>
        <w:rPr>
          <w:rFonts w:ascii="宋体" w:hAnsi="宋体"/>
          <w:sz w:val="24"/>
        </w:rPr>
        <w:t>13.4监理人的质量检查</w:t>
      </w:r>
    </w:p>
    <w:p>
      <w:pPr>
        <w:adjustRightInd w:val="0"/>
        <w:snapToGrid w:val="0"/>
        <w:spacing w:line="424" w:lineRule="exact"/>
        <w:ind w:firstLine="480" w:firstLineChars="200"/>
        <w:rPr>
          <w:rFonts w:ascii="宋体" w:hAnsi="宋体"/>
          <w:sz w:val="24"/>
        </w:rPr>
      </w:pPr>
      <w:r>
        <w:rPr>
          <w:rFonts w:ascii="宋体" w:hAnsi="宋体"/>
          <w:sz w:val="24"/>
        </w:rPr>
        <w:t>本款补充：</w:t>
      </w:r>
    </w:p>
    <w:p>
      <w:pPr>
        <w:adjustRightInd w:val="0"/>
        <w:snapToGrid w:val="0"/>
        <w:spacing w:line="424" w:lineRule="exact"/>
        <w:ind w:firstLine="480" w:firstLineChars="200"/>
        <w:rPr>
          <w:rFonts w:ascii="宋体" w:hAnsi="宋体"/>
          <w:sz w:val="24"/>
        </w:rPr>
      </w:pPr>
      <w:r>
        <w:rPr>
          <w:rFonts w:ascii="宋体" w:hAnsi="宋体"/>
          <w:sz w:val="24"/>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424" w:lineRule="exact"/>
        <w:ind w:firstLine="480" w:firstLineChars="200"/>
        <w:rPr>
          <w:rFonts w:hint="eastAsia" w:ascii="宋体" w:hAnsi="宋体"/>
          <w:sz w:val="24"/>
        </w:rPr>
      </w:pPr>
      <w:r>
        <w:rPr>
          <w:rFonts w:ascii="宋体" w:hAnsi="宋体"/>
          <w:sz w:val="24"/>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line="424" w:lineRule="exact"/>
        <w:ind w:firstLine="480" w:firstLineChars="200"/>
        <w:rPr>
          <w:rFonts w:ascii="宋体" w:hAnsi="宋体"/>
          <w:sz w:val="24"/>
        </w:rPr>
      </w:pPr>
      <w:r>
        <w:rPr>
          <w:rFonts w:ascii="宋体" w:hAnsi="宋体"/>
          <w:sz w:val="24"/>
        </w:rPr>
        <w:t>13.5工程隐蔽部位覆盖前的检查</w:t>
      </w:r>
    </w:p>
    <w:p>
      <w:pPr>
        <w:adjustRightInd w:val="0"/>
        <w:snapToGrid w:val="0"/>
        <w:spacing w:line="424" w:lineRule="exact"/>
        <w:ind w:firstLine="480" w:firstLineChars="200"/>
        <w:rPr>
          <w:rFonts w:ascii="宋体" w:hAnsi="宋体"/>
          <w:sz w:val="24"/>
        </w:rPr>
      </w:pPr>
      <w:r>
        <w:rPr>
          <w:rFonts w:ascii="宋体" w:hAnsi="宋体"/>
          <w:sz w:val="24"/>
        </w:rPr>
        <w:t>13.5.1通知监理人检查</w:t>
      </w:r>
    </w:p>
    <w:p>
      <w:pPr>
        <w:adjustRightInd w:val="0"/>
        <w:snapToGrid w:val="0"/>
        <w:spacing w:line="424" w:lineRule="exact"/>
        <w:ind w:firstLine="480" w:firstLineChars="200"/>
        <w:rPr>
          <w:rFonts w:ascii="宋体" w:hAnsi="宋体"/>
          <w:sz w:val="24"/>
        </w:rPr>
      </w:pPr>
      <w:r>
        <w:rPr>
          <w:rFonts w:ascii="宋体" w:hAnsi="宋体"/>
          <w:sz w:val="24"/>
        </w:rPr>
        <w:t>本款补充：</w:t>
      </w:r>
    </w:p>
    <w:p>
      <w:pPr>
        <w:adjustRightInd w:val="0"/>
        <w:snapToGrid w:val="0"/>
        <w:spacing w:line="424" w:lineRule="exact"/>
        <w:ind w:firstLine="480" w:firstLineChars="200"/>
        <w:rPr>
          <w:rFonts w:hint="eastAsia" w:ascii="宋体" w:hAnsi="宋体"/>
          <w:sz w:val="24"/>
        </w:rPr>
      </w:pPr>
      <w:r>
        <w:rPr>
          <w:rFonts w:ascii="宋体" w:hAnsi="宋体"/>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line="424" w:lineRule="exact"/>
        <w:ind w:firstLine="480" w:firstLineChars="200"/>
        <w:rPr>
          <w:rFonts w:ascii="宋体" w:hAnsi="宋体"/>
          <w:sz w:val="24"/>
        </w:rPr>
      </w:pPr>
      <w:r>
        <w:rPr>
          <w:rFonts w:ascii="宋体" w:hAnsi="宋体"/>
          <w:sz w:val="24"/>
        </w:rPr>
        <w:t>13.6清除不合格工程</w:t>
      </w:r>
    </w:p>
    <w:p>
      <w:pPr>
        <w:adjustRightInd w:val="0"/>
        <w:snapToGrid w:val="0"/>
        <w:spacing w:line="424" w:lineRule="exact"/>
        <w:ind w:firstLine="480" w:firstLineChars="200"/>
        <w:rPr>
          <w:rFonts w:ascii="宋体" w:hAnsi="宋体"/>
          <w:sz w:val="24"/>
        </w:rPr>
      </w:pPr>
      <w:r>
        <w:rPr>
          <w:rFonts w:ascii="宋体" w:hAnsi="宋体"/>
          <w:sz w:val="24"/>
        </w:rPr>
        <w:t>13.6.1项细化为：</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如果承包人未在规定时间内执行监理人的指示，发包人有权雇用他人执行，并向其支付有关费用。所有由此造成的或伴随产生的费用，由承包人负责承担。</w:t>
      </w:r>
    </w:p>
    <w:p>
      <w:pPr>
        <w:adjustRightInd w:val="0"/>
        <w:snapToGrid w:val="0"/>
        <w:spacing w:line="424" w:lineRule="exact"/>
        <w:rPr>
          <w:rFonts w:ascii="宋体" w:hAnsi="宋体"/>
          <w:sz w:val="24"/>
        </w:rPr>
      </w:pPr>
      <w:r>
        <w:rPr>
          <w:rFonts w:ascii="宋体" w:hAnsi="宋体"/>
          <w:sz w:val="24"/>
        </w:rPr>
        <w:t>14</w:t>
      </w:r>
      <w:r>
        <w:rPr>
          <w:rFonts w:hint="eastAsia" w:ascii="宋体" w:hAnsi="宋体"/>
          <w:sz w:val="24"/>
        </w:rPr>
        <w:t>．</w:t>
      </w:r>
      <w:r>
        <w:rPr>
          <w:rFonts w:ascii="宋体" w:hAnsi="宋体"/>
          <w:sz w:val="24"/>
        </w:rPr>
        <w:t>试验和检验</w:t>
      </w:r>
    </w:p>
    <w:p>
      <w:pPr>
        <w:adjustRightInd w:val="0"/>
        <w:snapToGrid w:val="0"/>
        <w:spacing w:line="424" w:lineRule="exact"/>
        <w:rPr>
          <w:rFonts w:ascii="宋体" w:hAnsi="宋体"/>
          <w:sz w:val="24"/>
        </w:rPr>
      </w:pPr>
      <w:r>
        <w:rPr>
          <w:rFonts w:ascii="宋体" w:hAnsi="宋体"/>
          <w:sz w:val="24"/>
        </w:rPr>
        <w:t>增加第14.4款：</w:t>
      </w:r>
    </w:p>
    <w:p>
      <w:pPr>
        <w:adjustRightInd w:val="0"/>
        <w:snapToGrid w:val="0"/>
        <w:spacing w:line="424" w:lineRule="exact"/>
        <w:rPr>
          <w:rFonts w:ascii="宋体" w:hAnsi="宋体"/>
          <w:sz w:val="24"/>
        </w:rPr>
      </w:pPr>
      <w:r>
        <w:rPr>
          <w:rFonts w:ascii="宋体" w:hAnsi="宋体"/>
          <w:sz w:val="24"/>
        </w:rPr>
        <w:t>14.4试验和检验费用</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承包人应负责提供进行试验和检验所需的全部样品，并承担其费用。</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在合同中明确规定的或在合同中列有可供报价的检（试）验子目或专项检（试）验子目，其试验和检验的费用由承包人负担。</w:t>
      </w:r>
    </w:p>
    <w:p>
      <w:pPr>
        <w:adjustRightInd w:val="0"/>
        <w:snapToGrid w:val="0"/>
        <w:spacing w:line="424" w:lineRule="exact"/>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line="424" w:lineRule="exact"/>
        <w:ind w:firstLine="480" w:firstLineChars="200"/>
        <w:rPr>
          <w:rFonts w:ascii="宋体" w:hAnsi="宋体"/>
          <w:sz w:val="24"/>
        </w:rPr>
      </w:pPr>
      <w:r>
        <w:rPr>
          <w:rFonts w:ascii="宋体" w:hAnsi="宋体"/>
          <w:sz w:val="24"/>
        </w:rPr>
        <w:t>15</w:t>
      </w:r>
      <w:r>
        <w:rPr>
          <w:rFonts w:hint="eastAsia" w:ascii="宋体" w:hAnsi="宋体"/>
          <w:sz w:val="24"/>
        </w:rPr>
        <w:t>．</w:t>
      </w:r>
      <w:r>
        <w:rPr>
          <w:rFonts w:ascii="宋体" w:hAnsi="宋体"/>
          <w:sz w:val="24"/>
        </w:rPr>
        <w:t>变更</w:t>
      </w:r>
    </w:p>
    <w:p>
      <w:pPr>
        <w:adjustRightInd w:val="0"/>
        <w:snapToGrid w:val="0"/>
        <w:spacing w:line="424" w:lineRule="exact"/>
        <w:rPr>
          <w:rFonts w:ascii="宋体" w:hAnsi="宋体"/>
          <w:sz w:val="24"/>
        </w:rPr>
      </w:pPr>
      <w:r>
        <w:rPr>
          <w:rFonts w:ascii="宋体" w:hAnsi="宋体"/>
          <w:sz w:val="24"/>
        </w:rPr>
        <w:t>15.1变更的范围和内容</w:t>
      </w:r>
    </w:p>
    <w:p>
      <w:pPr>
        <w:adjustRightInd w:val="0"/>
        <w:snapToGrid w:val="0"/>
        <w:spacing w:line="424" w:lineRule="exact"/>
        <w:ind w:firstLine="480" w:firstLineChars="200"/>
        <w:rPr>
          <w:rFonts w:ascii="宋体" w:hAnsi="宋体"/>
          <w:sz w:val="24"/>
        </w:rPr>
      </w:pPr>
      <w:r>
        <w:rPr>
          <w:rFonts w:ascii="宋体" w:hAnsi="宋体"/>
          <w:sz w:val="24"/>
        </w:rPr>
        <w:t>15.1（1）项细化为：</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取消合同中任何一项工作，但被取消的工作不能转由发包人或其他人实施，由于承包人违约造成的情况除外；</w:t>
      </w:r>
    </w:p>
    <w:p>
      <w:pPr>
        <w:adjustRightInd w:val="0"/>
        <w:snapToGrid w:val="0"/>
        <w:spacing w:line="424" w:lineRule="exact"/>
        <w:ind w:firstLine="480" w:firstLineChars="200"/>
        <w:rPr>
          <w:rFonts w:ascii="宋体" w:hAnsi="宋体"/>
          <w:sz w:val="24"/>
        </w:rPr>
      </w:pPr>
      <w:r>
        <w:rPr>
          <w:rFonts w:ascii="宋体" w:hAnsi="宋体"/>
          <w:sz w:val="24"/>
        </w:rPr>
        <w:t>本款补充：</w:t>
      </w:r>
    </w:p>
    <w:p>
      <w:pPr>
        <w:adjustRightInd w:val="0"/>
        <w:snapToGrid w:val="0"/>
        <w:spacing w:line="424" w:lineRule="exact"/>
        <w:ind w:firstLine="480" w:firstLineChars="200"/>
        <w:rPr>
          <w:rFonts w:hint="eastAsia" w:ascii="宋体" w:hAnsi="宋体"/>
          <w:sz w:val="24"/>
        </w:rPr>
      </w:pPr>
      <w:r>
        <w:rPr>
          <w:rFonts w:ascii="宋体" w:hAnsi="宋体"/>
          <w:sz w:val="24"/>
        </w:rPr>
        <w:t>设计变更程序应执行交通部《公路工程设计变更管理办法》的相关规定。</w:t>
      </w:r>
    </w:p>
    <w:p>
      <w:pPr>
        <w:adjustRightInd w:val="0"/>
        <w:snapToGrid w:val="0"/>
        <w:spacing w:line="424" w:lineRule="exact"/>
        <w:ind w:firstLine="480" w:firstLineChars="200"/>
        <w:rPr>
          <w:rFonts w:ascii="宋体" w:hAnsi="宋体"/>
          <w:sz w:val="24"/>
        </w:rPr>
      </w:pPr>
      <w:r>
        <w:rPr>
          <w:rFonts w:ascii="宋体" w:hAnsi="宋体"/>
          <w:sz w:val="24"/>
        </w:rPr>
        <w:t>15.4变更的估价原则</w:t>
      </w:r>
    </w:p>
    <w:p>
      <w:pPr>
        <w:adjustRightInd w:val="0"/>
        <w:snapToGrid w:val="0"/>
        <w:spacing w:line="424" w:lineRule="exact"/>
        <w:ind w:firstLine="480" w:firstLineChars="200"/>
        <w:rPr>
          <w:rFonts w:ascii="宋体" w:hAnsi="宋体"/>
          <w:sz w:val="24"/>
        </w:rPr>
      </w:pPr>
      <w:r>
        <w:rPr>
          <w:rFonts w:ascii="宋体" w:hAnsi="宋体"/>
          <w:sz w:val="24"/>
        </w:rPr>
        <w:t>本款细化为：</w:t>
      </w:r>
    </w:p>
    <w:p>
      <w:pPr>
        <w:adjustRightInd w:val="0"/>
        <w:snapToGrid w:val="0"/>
        <w:spacing w:line="424" w:lineRule="exact"/>
        <w:ind w:firstLine="480" w:firstLineChars="200"/>
        <w:rPr>
          <w:rFonts w:ascii="宋体" w:hAnsi="宋体"/>
          <w:sz w:val="24"/>
        </w:rPr>
      </w:pPr>
      <w:r>
        <w:rPr>
          <w:rFonts w:ascii="宋体" w:hAnsi="宋体"/>
          <w:sz w:val="24"/>
        </w:rPr>
        <w:t>除项目专用合同条款另有约定外，因变更引起的价格调整按照本款约定处理。</w:t>
      </w:r>
    </w:p>
    <w:p>
      <w:pPr>
        <w:adjustRightInd w:val="0"/>
        <w:snapToGrid w:val="0"/>
        <w:spacing w:line="424" w:lineRule="exact"/>
        <w:ind w:firstLine="480" w:firstLineChars="200"/>
        <w:rPr>
          <w:rFonts w:ascii="宋体" w:hAnsi="宋体"/>
          <w:sz w:val="24"/>
        </w:rPr>
      </w:pPr>
      <w:r>
        <w:rPr>
          <w:rFonts w:ascii="宋体" w:hAnsi="宋体"/>
          <w:sz w:val="24"/>
        </w:rPr>
        <w:t>15.4.1如果取消某项工作，则该项工作的总额价不予支付；</w:t>
      </w:r>
    </w:p>
    <w:p>
      <w:pPr>
        <w:adjustRightInd w:val="0"/>
        <w:snapToGrid w:val="0"/>
        <w:spacing w:line="424" w:lineRule="exact"/>
        <w:ind w:firstLine="480" w:firstLineChars="200"/>
        <w:rPr>
          <w:rFonts w:ascii="宋体" w:hAnsi="宋体"/>
          <w:sz w:val="24"/>
        </w:rPr>
      </w:pPr>
      <w:r>
        <w:rPr>
          <w:rFonts w:ascii="宋体" w:hAnsi="宋体"/>
          <w:sz w:val="24"/>
        </w:rPr>
        <w:t>15.4.2已标价工程量清单中有适用于变更工作的子目的，采用该子目的单价。</w:t>
      </w:r>
    </w:p>
    <w:p>
      <w:pPr>
        <w:adjustRightInd w:val="0"/>
        <w:snapToGrid w:val="0"/>
        <w:spacing w:line="424" w:lineRule="exact"/>
        <w:ind w:firstLine="480" w:firstLineChars="200"/>
        <w:rPr>
          <w:rFonts w:ascii="宋体" w:hAnsi="宋体"/>
          <w:sz w:val="24"/>
        </w:rPr>
      </w:pPr>
      <w:r>
        <w:rPr>
          <w:rFonts w:ascii="宋体" w:hAnsi="宋体"/>
          <w:sz w:val="24"/>
        </w:rPr>
        <w:t>15.4.3已标价工程量清单中无适用于变更工作的子目，但有类似子目的，可在合理范围内参照类似子目的单价，由监理人按第3.5款商定或确定变更工作的单价。</w:t>
      </w:r>
    </w:p>
    <w:p>
      <w:pPr>
        <w:adjustRightInd w:val="0"/>
        <w:snapToGrid w:val="0"/>
        <w:spacing w:line="424" w:lineRule="exact"/>
        <w:ind w:firstLine="480" w:firstLineChars="200"/>
        <w:rPr>
          <w:rFonts w:ascii="宋体" w:hAnsi="宋体"/>
          <w:sz w:val="24"/>
        </w:rPr>
      </w:pPr>
      <w:r>
        <w:rPr>
          <w:rFonts w:ascii="宋体" w:hAnsi="宋体"/>
          <w:sz w:val="24"/>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424" w:lineRule="exact"/>
        <w:ind w:firstLine="480" w:firstLineChars="200"/>
        <w:rPr>
          <w:rFonts w:hint="eastAsia" w:ascii="宋体" w:hAnsi="宋体"/>
          <w:sz w:val="24"/>
        </w:rPr>
      </w:pPr>
      <w:r>
        <w:rPr>
          <w:rFonts w:ascii="宋体" w:hAnsi="宋体"/>
          <w:sz w:val="24"/>
        </w:rPr>
        <w:t>15.4.5如果本工程的变更指示是因承包人过错、承包人违反合同或承包人责任造成的，则这种违约引起的任何额外费用应由承包人承担。</w:t>
      </w:r>
    </w:p>
    <w:p>
      <w:pPr>
        <w:adjustRightInd w:val="0"/>
        <w:snapToGrid w:val="0"/>
        <w:spacing w:line="424" w:lineRule="exact"/>
        <w:ind w:firstLine="480" w:firstLineChars="200"/>
        <w:rPr>
          <w:rFonts w:ascii="宋体" w:hAnsi="宋体"/>
          <w:sz w:val="24"/>
        </w:rPr>
      </w:pPr>
      <w:r>
        <w:rPr>
          <w:rFonts w:ascii="宋体" w:hAnsi="宋体"/>
          <w:sz w:val="24"/>
        </w:rPr>
        <w:t>15.5承包人的合理化建议</w:t>
      </w:r>
    </w:p>
    <w:p>
      <w:pPr>
        <w:adjustRightInd w:val="0"/>
        <w:snapToGrid w:val="0"/>
        <w:spacing w:line="424" w:lineRule="exact"/>
        <w:ind w:firstLine="480" w:firstLineChars="200"/>
        <w:rPr>
          <w:rFonts w:ascii="宋体" w:hAnsi="宋体"/>
          <w:sz w:val="24"/>
        </w:rPr>
      </w:pPr>
      <w:r>
        <w:rPr>
          <w:rFonts w:ascii="宋体" w:hAnsi="宋体"/>
          <w:sz w:val="24"/>
        </w:rPr>
        <w:t>15.5.2项约定为：</w:t>
      </w:r>
    </w:p>
    <w:p>
      <w:pPr>
        <w:adjustRightInd w:val="0"/>
        <w:snapToGrid w:val="0"/>
        <w:spacing w:line="424" w:lineRule="exact"/>
        <w:ind w:firstLine="480" w:firstLineChars="200"/>
        <w:rPr>
          <w:rFonts w:ascii="宋体" w:hAnsi="宋体"/>
          <w:sz w:val="24"/>
        </w:rPr>
      </w:pPr>
      <w:r>
        <w:rPr>
          <w:rFonts w:ascii="宋体" w:hAnsi="宋体"/>
          <w:sz w:val="24"/>
        </w:rPr>
        <w:t>承包人提出的合理化建议缩短了工期，发包人按专用合同条款第11.6款的规定给予奖励。</w:t>
      </w:r>
    </w:p>
    <w:p>
      <w:pPr>
        <w:adjustRightInd w:val="0"/>
        <w:snapToGrid w:val="0"/>
        <w:spacing w:line="424" w:lineRule="exact"/>
        <w:ind w:firstLine="480" w:firstLineChars="200"/>
        <w:rPr>
          <w:rFonts w:ascii="宋体" w:hAnsi="宋体"/>
          <w:sz w:val="24"/>
        </w:rPr>
      </w:pPr>
      <w:r>
        <w:rPr>
          <w:rFonts w:ascii="宋体" w:hAnsi="宋体"/>
          <w:sz w:val="24"/>
        </w:rPr>
        <w:t>承包人提出的合理化建议降低了合同价格或者提高了工程经济效益的，发包人按所节约成本或增加收益的</w:t>
      </w:r>
      <w:r>
        <w:rPr>
          <w:rFonts w:hint="eastAsia" w:ascii="宋体" w:hAnsi="宋体"/>
          <w:sz w:val="24"/>
          <w:u w:val="single"/>
        </w:rPr>
        <w:t xml:space="preserve">    </w:t>
      </w:r>
      <w:r>
        <w:rPr>
          <w:rFonts w:hint="eastAsia" w:ascii="宋体" w:hAnsi="宋体"/>
          <w:sz w:val="24"/>
        </w:rPr>
        <w:t>%</w:t>
      </w:r>
      <w:r>
        <w:rPr>
          <w:rFonts w:ascii="宋体" w:hAnsi="宋体"/>
          <w:sz w:val="24"/>
        </w:rPr>
        <w:t>（在项目专用条款数据表中约定）给予奖励。</w:t>
      </w:r>
    </w:p>
    <w:p>
      <w:pPr>
        <w:adjustRightInd w:val="0"/>
        <w:snapToGrid w:val="0"/>
        <w:spacing w:line="424" w:lineRule="exact"/>
        <w:ind w:firstLine="480" w:firstLineChars="200"/>
        <w:rPr>
          <w:rFonts w:ascii="宋体" w:hAnsi="宋体"/>
          <w:sz w:val="24"/>
        </w:rPr>
      </w:pPr>
      <w:r>
        <w:rPr>
          <w:rFonts w:ascii="宋体" w:hAnsi="宋体"/>
          <w:sz w:val="24"/>
        </w:rPr>
        <w:t>15.6暂列金额</w:t>
      </w:r>
    </w:p>
    <w:p>
      <w:pPr>
        <w:adjustRightInd w:val="0"/>
        <w:snapToGrid w:val="0"/>
        <w:spacing w:line="424" w:lineRule="exact"/>
        <w:ind w:firstLine="480" w:firstLineChars="200"/>
        <w:rPr>
          <w:rFonts w:ascii="宋体" w:hAnsi="宋体"/>
          <w:sz w:val="24"/>
        </w:rPr>
      </w:pPr>
      <w:r>
        <w:rPr>
          <w:rFonts w:ascii="宋体" w:hAnsi="宋体"/>
          <w:sz w:val="24"/>
        </w:rPr>
        <w:t>本款细化为：</w:t>
      </w:r>
    </w:p>
    <w:p>
      <w:pPr>
        <w:adjustRightInd w:val="0"/>
        <w:snapToGrid w:val="0"/>
        <w:spacing w:line="424" w:lineRule="exact"/>
        <w:ind w:firstLine="480" w:firstLineChars="200"/>
        <w:rPr>
          <w:rFonts w:ascii="宋体" w:hAnsi="宋体"/>
          <w:sz w:val="24"/>
        </w:rPr>
      </w:pPr>
      <w:r>
        <w:rPr>
          <w:rFonts w:ascii="宋体" w:hAnsi="宋体"/>
          <w:sz w:val="24"/>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424" w:lineRule="exact"/>
        <w:ind w:firstLine="480" w:firstLineChars="200"/>
        <w:rPr>
          <w:rFonts w:ascii="宋体" w:hAnsi="宋体"/>
          <w:sz w:val="24"/>
        </w:rPr>
      </w:pPr>
      <w:r>
        <w:rPr>
          <w:rFonts w:ascii="宋体" w:hAnsi="宋体"/>
          <w:sz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424" w:lineRule="exact"/>
        <w:ind w:firstLine="480" w:firstLineChars="200"/>
        <w:rPr>
          <w:rFonts w:hint="eastAsia" w:ascii="宋体" w:hAnsi="宋体"/>
          <w:sz w:val="24"/>
        </w:rPr>
      </w:pPr>
      <w:r>
        <w:rPr>
          <w:rFonts w:ascii="宋体" w:hAnsi="宋体"/>
          <w:sz w:val="24"/>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line="424" w:lineRule="exact"/>
        <w:ind w:firstLine="480" w:firstLineChars="200"/>
        <w:rPr>
          <w:rFonts w:ascii="宋体" w:hAnsi="宋体"/>
          <w:sz w:val="24"/>
        </w:rPr>
      </w:pPr>
      <w:r>
        <w:rPr>
          <w:rFonts w:ascii="宋体" w:hAnsi="宋体"/>
          <w:sz w:val="24"/>
        </w:rPr>
        <w:t>15.8暂估价</w:t>
      </w:r>
    </w:p>
    <w:p>
      <w:pPr>
        <w:adjustRightInd w:val="0"/>
        <w:snapToGrid w:val="0"/>
        <w:spacing w:line="424" w:lineRule="exact"/>
        <w:ind w:firstLine="480" w:firstLineChars="200"/>
        <w:rPr>
          <w:rFonts w:ascii="宋体" w:hAnsi="宋体"/>
          <w:sz w:val="24"/>
        </w:rPr>
      </w:pPr>
      <w:r>
        <w:rPr>
          <w:rFonts w:ascii="宋体" w:hAnsi="宋体"/>
          <w:sz w:val="24"/>
        </w:rPr>
        <w:t>15.8.1项补充：</w:t>
      </w:r>
    </w:p>
    <w:p>
      <w:pPr>
        <w:adjustRightInd w:val="0"/>
        <w:snapToGrid w:val="0"/>
        <w:spacing w:line="424" w:lineRule="exact"/>
        <w:ind w:firstLine="480" w:firstLineChars="200"/>
        <w:rPr>
          <w:rFonts w:ascii="宋体" w:hAnsi="宋体"/>
          <w:sz w:val="24"/>
        </w:rPr>
      </w:pPr>
      <w:r>
        <w:rPr>
          <w:rFonts w:ascii="宋体" w:hAnsi="宋体"/>
          <w:sz w:val="24"/>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承包人应与特殊分包人或供应商签订分包合同。</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424" w:lineRule="exact"/>
        <w:ind w:firstLine="480" w:firstLineChars="200"/>
        <w:rPr>
          <w:rFonts w:ascii="宋体" w:hAnsi="宋体"/>
          <w:sz w:val="24"/>
        </w:rPr>
      </w:pPr>
      <w:r>
        <w:rPr>
          <w:rFonts w:ascii="宋体" w:hAnsi="宋体"/>
          <w:sz w:val="24"/>
        </w:rPr>
        <w:t>如果特殊分包合同中含有与上述规定有悖的条款，承包人有权拒绝与此特殊分包人（或供应商）签订合同。</w:t>
      </w:r>
    </w:p>
    <w:p>
      <w:pPr>
        <w:adjustRightInd w:val="0"/>
        <w:snapToGrid w:val="0"/>
        <w:spacing w:line="424"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对于特殊分包人或供应商已完成的工程或已提供的货物、材料、设备，承包人应有权得到下述款项：</w:t>
      </w:r>
    </w:p>
    <w:p>
      <w:pPr>
        <w:adjustRightInd w:val="0"/>
        <w:snapToGrid w:val="0"/>
        <w:spacing w:line="424" w:lineRule="exact"/>
        <w:ind w:firstLine="480" w:firstLineChars="200"/>
        <w:rPr>
          <w:rFonts w:ascii="宋体" w:hAnsi="宋体"/>
          <w:sz w:val="24"/>
        </w:rPr>
      </w:pPr>
      <w:r>
        <w:rPr>
          <w:rFonts w:ascii="宋体" w:hAnsi="宋体"/>
          <w:sz w:val="24"/>
        </w:rPr>
        <w:t>a</w:t>
      </w:r>
      <w:r>
        <w:rPr>
          <w:rFonts w:hint="eastAsia" w:ascii="宋体" w:hAnsi="宋体"/>
          <w:sz w:val="24"/>
        </w:rPr>
        <w:t>．</w:t>
      </w:r>
      <w:r>
        <w:rPr>
          <w:rFonts w:ascii="宋体" w:hAnsi="宋体"/>
          <w:sz w:val="24"/>
        </w:rPr>
        <w:t>按照监理人的指令，并根据特殊分包合同的约定，由承包人己支付或应支付的实际价款；</w:t>
      </w:r>
    </w:p>
    <w:p>
      <w:pPr>
        <w:adjustRightInd w:val="0"/>
        <w:snapToGrid w:val="0"/>
        <w:spacing w:line="424" w:lineRule="exact"/>
        <w:ind w:firstLine="480" w:firstLineChars="200"/>
        <w:rPr>
          <w:rFonts w:ascii="宋体" w:hAnsi="宋体"/>
          <w:sz w:val="24"/>
        </w:rPr>
      </w:pPr>
      <w:r>
        <w:rPr>
          <w:rFonts w:ascii="宋体" w:hAnsi="宋体"/>
          <w:sz w:val="24"/>
        </w:rPr>
        <w:t>b</w:t>
      </w:r>
      <w:r>
        <w:rPr>
          <w:rFonts w:hint="eastAsia" w:ascii="宋体" w:hAnsi="宋体"/>
          <w:sz w:val="24"/>
        </w:rPr>
        <w:t>．</w:t>
      </w:r>
      <w:r>
        <w:rPr>
          <w:rFonts w:ascii="宋体" w:hAnsi="宋体"/>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424" w:lineRule="exact"/>
        <w:ind w:firstLine="480" w:firstLineChars="200"/>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line="424" w:lineRule="exact"/>
        <w:ind w:firstLine="480" w:firstLineChars="200"/>
        <w:rPr>
          <w:rFonts w:ascii="宋体" w:hAnsi="宋体"/>
          <w:sz w:val="24"/>
        </w:rPr>
      </w:pPr>
      <w:r>
        <w:rPr>
          <w:rFonts w:ascii="宋体" w:hAnsi="宋体"/>
          <w:sz w:val="24"/>
        </w:rPr>
        <w:t>16</w:t>
      </w:r>
      <w:r>
        <w:rPr>
          <w:rFonts w:hint="eastAsia" w:ascii="宋体" w:hAnsi="宋体"/>
          <w:sz w:val="24"/>
        </w:rPr>
        <w:t>．</w:t>
      </w:r>
      <w:r>
        <w:rPr>
          <w:rFonts w:ascii="宋体" w:hAnsi="宋体"/>
          <w:sz w:val="24"/>
        </w:rPr>
        <w:t>价格调整</w:t>
      </w:r>
    </w:p>
    <w:p>
      <w:pPr>
        <w:adjustRightInd w:val="0"/>
        <w:snapToGrid w:val="0"/>
        <w:spacing w:line="424" w:lineRule="exact"/>
        <w:rPr>
          <w:rFonts w:ascii="宋体" w:hAnsi="宋体"/>
          <w:sz w:val="24"/>
        </w:rPr>
      </w:pPr>
      <w:r>
        <w:rPr>
          <w:rFonts w:ascii="宋体" w:hAnsi="宋体"/>
          <w:sz w:val="24"/>
        </w:rPr>
        <w:t>16.1物价波动引起的价格调整</w:t>
      </w:r>
    </w:p>
    <w:p>
      <w:pPr>
        <w:adjustRightInd w:val="0"/>
        <w:snapToGrid w:val="0"/>
        <w:spacing w:line="424" w:lineRule="exact"/>
        <w:ind w:firstLine="480" w:firstLineChars="200"/>
        <w:rPr>
          <w:rFonts w:ascii="宋体" w:hAnsi="宋体"/>
          <w:sz w:val="24"/>
        </w:rPr>
      </w:pPr>
      <w:r>
        <w:rPr>
          <w:rFonts w:ascii="宋体" w:hAnsi="宋体"/>
          <w:sz w:val="24"/>
        </w:rPr>
        <w:t>本款约定为：</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因物价波动引起的价格调整按照约定的原则处理；或者</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承包人在合同在执行期间（包括工期拖延期间）人工、材料和设备价格的上涨而引起工程施工成本增加</w:t>
      </w:r>
      <w:r>
        <w:rPr>
          <w:rFonts w:hint="eastAsia" w:ascii="宋体" w:hAnsi="宋体"/>
          <w:sz w:val="24"/>
        </w:rPr>
        <w:t>或减少</w:t>
      </w:r>
      <w:r>
        <w:rPr>
          <w:rFonts w:ascii="宋体" w:hAnsi="宋体"/>
          <w:sz w:val="24"/>
        </w:rPr>
        <w:t>的风险，</w:t>
      </w:r>
      <w:r>
        <w:rPr>
          <w:rFonts w:hint="eastAsia" w:ascii="宋体" w:hAnsi="宋体"/>
          <w:sz w:val="24"/>
        </w:rPr>
        <w:t>由业主和承包商协商解决</w:t>
      </w:r>
      <w:r>
        <w:rPr>
          <w:rFonts w:ascii="宋体" w:hAnsi="宋体"/>
          <w:sz w:val="24"/>
        </w:rPr>
        <w:t>。</w:t>
      </w:r>
    </w:p>
    <w:p>
      <w:pPr>
        <w:adjustRightInd w:val="0"/>
        <w:snapToGrid w:val="0"/>
        <w:spacing w:line="424" w:lineRule="exact"/>
        <w:ind w:firstLine="480" w:firstLineChars="200"/>
        <w:rPr>
          <w:rFonts w:ascii="宋体" w:hAnsi="宋体"/>
          <w:sz w:val="24"/>
        </w:rPr>
      </w:pPr>
      <w:r>
        <w:rPr>
          <w:rFonts w:ascii="宋体" w:hAnsi="宋体"/>
          <w:sz w:val="24"/>
        </w:rPr>
        <w:t>16.1.1采用价格指数调整价格差额</w:t>
      </w:r>
    </w:p>
    <w:p>
      <w:pPr>
        <w:adjustRightInd w:val="0"/>
        <w:snapToGrid w:val="0"/>
        <w:spacing w:line="424" w:lineRule="exact"/>
        <w:ind w:firstLine="480" w:firstLineChars="200"/>
        <w:rPr>
          <w:rFonts w:ascii="宋体" w:hAnsi="宋体"/>
          <w:sz w:val="24"/>
        </w:rPr>
      </w:pPr>
      <w:r>
        <w:rPr>
          <w:rFonts w:ascii="宋体" w:hAnsi="宋体"/>
          <w:sz w:val="24"/>
        </w:rPr>
        <w:t>16.1</w:t>
      </w: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1价格调整公式</w:t>
      </w:r>
    </w:p>
    <w:p>
      <w:pPr>
        <w:adjustRightInd w:val="0"/>
        <w:snapToGrid w:val="0"/>
        <w:spacing w:line="424" w:lineRule="exact"/>
        <w:ind w:firstLine="480" w:firstLineChars="200"/>
        <w:rPr>
          <w:rFonts w:ascii="宋体" w:hAnsi="宋体"/>
          <w:sz w:val="24"/>
        </w:rPr>
      </w:pPr>
      <w:r>
        <w:rPr>
          <w:rFonts w:ascii="宋体" w:hAnsi="宋体"/>
          <w:sz w:val="24"/>
        </w:rPr>
        <w:t>本目细化为：</w:t>
      </w:r>
    </w:p>
    <w:p>
      <w:pPr>
        <w:adjustRightInd w:val="0"/>
        <w:snapToGrid w:val="0"/>
        <w:spacing w:line="424" w:lineRule="exact"/>
        <w:ind w:firstLine="480" w:firstLineChars="200"/>
        <w:rPr>
          <w:rFonts w:ascii="宋体" w:hAnsi="宋体"/>
          <w:sz w:val="24"/>
        </w:rPr>
      </w:pPr>
      <w:r>
        <w:rPr>
          <w:rFonts w:ascii="宋体" w:hAnsi="宋体"/>
          <w:sz w:val="24"/>
        </w:rPr>
        <w:t>因人工、材料和设备等价格波动影响合同价格时，根据投标函附录中的价格指数和权重表约定的数据，按以下公式计算差额并调整合同价格。</w:t>
      </w:r>
    </w:p>
    <w:p>
      <w:pPr>
        <w:adjustRightInd w:val="0"/>
        <w:snapToGrid w:val="0"/>
        <w:spacing w:line="424" w:lineRule="exact"/>
        <w:ind w:firstLine="240" w:firstLineChars="100"/>
        <w:rPr>
          <w:rFonts w:ascii="宋体" w:hAnsi="宋体"/>
          <w:sz w:val="24"/>
        </w:rPr>
      </w:pPr>
      <w:r>
        <w:rPr>
          <w:rFonts w:hint="eastAsia" w:ascii="宋体" w:hAnsi="宋体"/>
          <w:sz w:val="24"/>
        </w:rPr>
        <w:t>△</w:t>
      </w:r>
      <w:r>
        <w:rPr>
          <w:rFonts w:ascii="宋体" w:hAnsi="宋体"/>
          <w:i/>
          <w:sz w:val="24"/>
        </w:rPr>
        <w:t>P</w:t>
      </w:r>
      <w:r>
        <w:rPr>
          <w:rFonts w:hint="eastAsia" w:ascii="宋体" w:hAnsi="宋体"/>
          <w:sz w:val="24"/>
        </w:rPr>
        <w:t>=</w:t>
      </w:r>
      <w:r>
        <w:rPr>
          <w:rFonts w:ascii="宋体" w:hAnsi="宋体"/>
          <w:i/>
          <w:sz w:val="24"/>
        </w:rPr>
        <w:t>P</w:t>
      </w:r>
      <w:r>
        <w:rPr>
          <w:rFonts w:ascii="宋体" w:hAnsi="宋体"/>
          <w:sz w:val="24"/>
          <w:vertAlign w:val="subscript"/>
        </w:rPr>
        <w:t>0</w:t>
      </w:r>
      <w:r>
        <w:rPr>
          <w:rFonts w:ascii="宋体" w:hAnsi="宋体"/>
          <w:position w:val="-34"/>
          <w:sz w:val="24"/>
        </w:rPr>
        <w:object>
          <v:shape id="_x0000_i1025" o:spt="75" type="#_x0000_t75" style="height:38.5pt;width:276.9pt;" o:ole="t" filled="f" o:preferrelative="t" stroked="f" coordsize="21600,21600">
            <v:path/>
            <v:fill on="f" focussize="0,0"/>
            <v:stroke on="f"/>
            <v:imagedata r:id="rId11" o:title=""/>
            <o:lock v:ext="edit" aspectratio="t"/>
            <w10:wrap type="none"/>
            <w10:anchorlock/>
          </v:shape>
          <o:OLEObject Type="Embed" ProgID="Equations" ShapeID="_x0000_i1025" DrawAspect="Content" ObjectID="_1468075725" r:id="rId10">
            <o:LockedField>false</o:LockedField>
          </o:OLEObject>
        </w:object>
      </w:r>
    </w:p>
    <w:p>
      <w:pPr>
        <w:adjustRightInd w:val="0"/>
        <w:snapToGrid w:val="0"/>
        <w:spacing w:line="424" w:lineRule="exact"/>
        <w:ind w:firstLine="480" w:firstLineChars="200"/>
        <w:rPr>
          <w:rFonts w:ascii="宋体" w:hAnsi="宋体"/>
          <w:sz w:val="24"/>
        </w:rPr>
      </w:pPr>
      <w:r>
        <w:rPr>
          <w:rFonts w:ascii="宋体" w:hAnsi="宋体"/>
          <w:sz w:val="24"/>
        </w:rPr>
        <w:t>式中：</w:t>
      </w:r>
      <w:r>
        <w:rPr>
          <w:rFonts w:hint="eastAsia" w:ascii="宋体" w:hAnsi="宋体"/>
          <w:sz w:val="24"/>
        </w:rPr>
        <w:t>△</w:t>
      </w:r>
      <w:r>
        <w:rPr>
          <w:rFonts w:ascii="宋体" w:hAnsi="宋体"/>
          <w:i/>
          <w:sz w:val="24"/>
        </w:rPr>
        <w:t>P</w:t>
      </w:r>
      <w:r>
        <w:rPr>
          <w:rFonts w:ascii="宋体" w:hAnsi="宋体"/>
          <w:sz w:val="24"/>
        </w:rPr>
        <w:t>一需调整的价格差额；</w:t>
      </w:r>
    </w:p>
    <w:p>
      <w:pPr>
        <w:adjustRightInd w:val="0"/>
        <w:snapToGrid w:val="0"/>
        <w:spacing w:line="424" w:lineRule="exact"/>
        <w:ind w:firstLine="480" w:firstLineChars="200"/>
        <w:rPr>
          <w:rFonts w:ascii="宋体" w:hAnsi="宋体"/>
          <w:sz w:val="24"/>
        </w:rPr>
      </w:pPr>
      <w:r>
        <w:rPr>
          <w:rFonts w:ascii="宋体" w:hAnsi="宋体"/>
          <w:sz w:val="24"/>
        </w:rPr>
        <w:t>P。一第17.3.3项、第17.5.2项和第17.6.2项约定的付款证书中承包人应得到的</w:t>
      </w:r>
      <w:r>
        <w:rPr>
          <w:rFonts w:hint="eastAsia" w:ascii="宋体" w:hAnsi="宋体"/>
          <w:sz w:val="24"/>
        </w:rPr>
        <w:t>已</w:t>
      </w:r>
      <w:r>
        <w:rPr>
          <w:rFonts w:ascii="宋体" w:hAnsi="宋体"/>
          <w:sz w:val="24"/>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424" w:lineRule="exact"/>
        <w:ind w:firstLine="480" w:firstLineChars="200"/>
        <w:rPr>
          <w:rFonts w:ascii="宋体" w:hAnsi="宋体"/>
          <w:sz w:val="24"/>
        </w:rPr>
      </w:pPr>
      <w:r>
        <w:rPr>
          <w:rFonts w:ascii="宋体" w:hAnsi="宋体"/>
          <w:sz w:val="24"/>
        </w:rPr>
        <w:t>A</w:t>
      </w:r>
      <w:r>
        <w:rPr>
          <w:rFonts w:hint="eastAsia" w:ascii="宋体" w:hAnsi="宋体"/>
          <w:sz w:val="24"/>
        </w:rPr>
        <w:t>--</w:t>
      </w:r>
      <w:r>
        <w:rPr>
          <w:rFonts w:ascii="宋体" w:hAnsi="宋体"/>
          <w:sz w:val="24"/>
        </w:rPr>
        <w:t>定值权重（即不调部分的权重）；</w:t>
      </w:r>
    </w:p>
    <w:p>
      <w:pPr>
        <w:adjustRightInd w:val="0"/>
        <w:snapToGrid w:val="0"/>
        <w:spacing w:line="424" w:lineRule="exact"/>
        <w:ind w:firstLine="480" w:firstLineChars="200"/>
        <w:rPr>
          <w:rFonts w:ascii="宋体" w:hAnsi="宋体"/>
          <w:sz w:val="24"/>
        </w:rPr>
      </w:pPr>
      <w:r>
        <w:rPr>
          <w:rFonts w:ascii="宋体" w:hAnsi="宋体"/>
          <w:sz w:val="24"/>
        </w:rPr>
        <w:t>B</w:t>
      </w:r>
      <w:r>
        <w:rPr>
          <w:rFonts w:ascii="宋体" w:hAnsi="宋体"/>
          <w:sz w:val="24"/>
          <w:vertAlign w:val="subscript"/>
        </w:rPr>
        <w:t>1</w:t>
      </w:r>
      <w:r>
        <w:rPr>
          <w:rFonts w:hint="eastAsia" w:ascii="宋体" w:hAnsi="宋体"/>
          <w:sz w:val="24"/>
        </w:rPr>
        <w:t>；</w:t>
      </w:r>
      <w:r>
        <w:rPr>
          <w:rFonts w:ascii="宋体" w:hAnsi="宋体"/>
          <w:sz w:val="24"/>
        </w:rPr>
        <w:t>B</w:t>
      </w:r>
      <w:r>
        <w:rPr>
          <w:rFonts w:hint="eastAsia" w:ascii="宋体" w:hAnsi="宋体"/>
          <w:sz w:val="24"/>
          <w:vertAlign w:val="subscript"/>
        </w:rPr>
        <w:t>2</w:t>
      </w:r>
      <w:r>
        <w:rPr>
          <w:rFonts w:hint="eastAsia" w:ascii="宋体" w:hAnsi="宋体"/>
          <w:sz w:val="24"/>
        </w:rPr>
        <w:t>；</w:t>
      </w:r>
      <w:r>
        <w:rPr>
          <w:rFonts w:ascii="宋体" w:hAnsi="宋体"/>
          <w:sz w:val="24"/>
        </w:rPr>
        <w:t>B</w:t>
      </w:r>
      <w:r>
        <w:rPr>
          <w:rFonts w:hint="eastAsia" w:ascii="宋体" w:hAnsi="宋体"/>
          <w:sz w:val="24"/>
          <w:vertAlign w:val="subscript"/>
        </w:rPr>
        <w:t>3</w:t>
      </w:r>
      <w:r>
        <w:rPr>
          <w:rFonts w:ascii="宋体" w:hAnsi="宋体"/>
          <w:sz w:val="24"/>
        </w:rPr>
        <w:t>...... B</w:t>
      </w:r>
      <w:r>
        <w:rPr>
          <w:rFonts w:hint="eastAsia" w:ascii="宋体" w:hAnsi="宋体"/>
          <w:sz w:val="24"/>
          <w:vertAlign w:val="subscript"/>
        </w:rPr>
        <w:t>n</w:t>
      </w:r>
      <w:r>
        <w:rPr>
          <w:rFonts w:hint="eastAsia" w:ascii="宋体" w:hAnsi="宋体"/>
          <w:sz w:val="24"/>
        </w:rPr>
        <w:t>--</w:t>
      </w:r>
      <w:r>
        <w:rPr>
          <w:rFonts w:ascii="宋体" w:hAnsi="宋体"/>
          <w:sz w:val="24"/>
        </w:rPr>
        <w:t>各可调因子的变值权重（即可调部分的权重）为各可调因子在投标函投标总报价中所占的比例；</w:t>
      </w:r>
    </w:p>
    <w:p>
      <w:pPr>
        <w:adjustRightInd w:val="0"/>
        <w:snapToGrid w:val="0"/>
        <w:spacing w:line="424" w:lineRule="exact"/>
        <w:ind w:firstLine="480" w:firstLineChars="200"/>
        <w:rPr>
          <w:rFonts w:ascii="宋体" w:hAnsi="宋体"/>
          <w:sz w:val="24"/>
        </w:rPr>
      </w:pPr>
      <w:r>
        <w:rPr>
          <w:rFonts w:ascii="宋体" w:hAnsi="宋体"/>
          <w:sz w:val="24"/>
        </w:rPr>
        <w:t>A=1</w:t>
      </w:r>
      <w:r>
        <w:rPr>
          <w:rFonts w:hint="eastAsia" w:ascii="宋体" w:hAnsi="宋体"/>
          <w:sz w:val="24"/>
        </w:rPr>
        <w:t>－</w:t>
      </w:r>
      <w:r>
        <w:rPr>
          <w:rFonts w:ascii="宋体" w:hAnsi="宋体"/>
          <w:sz w:val="24"/>
        </w:rPr>
        <w:t>（B</w:t>
      </w:r>
      <w:r>
        <w:rPr>
          <w:rFonts w:ascii="宋体" w:hAnsi="宋体"/>
          <w:sz w:val="24"/>
          <w:vertAlign w:val="subscript"/>
        </w:rPr>
        <w:t>1</w:t>
      </w:r>
      <w:r>
        <w:rPr>
          <w:rFonts w:ascii="宋体" w:hAnsi="宋体"/>
          <w:sz w:val="24"/>
        </w:rPr>
        <w:t>＋B</w:t>
      </w:r>
      <w:r>
        <w:rPr>
          <w:rFonts w:hint="eastAsia" w:ascii="宋体" w:hAnsi="宋体"/>
          <w:sz w:val="24"/>
          <w:vertAlign w:val="subscript"/>
        </w:rPr>
        <w:t>2</w:t>
      </w:r>
      <w:r>
        <w:rPr>
          <w:rFonts w:ascii="宋体" w:hAnsi="宋体"/>
          <w:sz w:val="24"/>
        </w:rPr>
        <w:t>＋B</w:t>
      </w:r>
      <w:r>
        <w:rPr>
          <w:rFonts w:hint="eastAsia" w:ascii="宋体" w:hAnsi="宋体"/>
          <w:sz w:val="24"/>
          <w:vertAlign w:val="subscript"/>
        </w:rPr>
        <w:t>3</w:t>
      </w:r>
      <w:r>
        <w:rPr>
          <w:rFonts w:ascii="宋体" w:hAnsi="宋体"/>
          <w:sz w:val="24"/>
        </w:rPr>
        <w:t>＋……＋B</w:t>
      </w:r>
      <w:r>
        <w:rPr>
          <w:rFonts w:hint="eastAsia" w:ascii="宋体" w:hAnsi="宋体"/>
          <w:sz w:val="24"/>
          <w:vertAlign w:val="subscript"/>
        </w:rPr>
        <w:t>n</w:t>
      </w:r>
      <w:r>
        <w:rPr>
          <w:rFonts w:ascii="宋体" w:hAnsi="宋体"/>
          <w:sz w:val="24"/>
        </w:rPr>
        <w:t>）；</w:t>
      </w:r>
    </w:p>
    <w:p>
      <w:pPr>
        <w:adjustRightInd w:val="0"/>
        <w:snapToGrid w:val="0"/>
        <w:spacing w:line="424" w:lineRule="exact"/>
        <w:ind w:firstLine="480" w:firstLineChars="200"/>
        <w:rPr>
          <w:rFonts w:ascii="宋体" w:hAnsi="宋体"/>
          <w:sz w:val="24"/>
        </w:rPr>
      </w:pPr>
      <w:r>
        <w:rPr>
          <w:rFonts w:ascii="宋体" w:hAnsi="宋体"/>
          <w:sz w:val="24"/>
        </w:rPr>
        <w:t>F</w:t>
      </w:r>
      <w:r>
        <w:rPr>
          <w:rFonts w:ascii="宋体" w:hAnsi="宋体"/>
          <w:sz w:val="24"/>
          <w:vertAlign w:val="subscript"/>
        </w:rPr>
        <w:t>tl</w:t>
      </w:r>
      <w:r>
        <w:rPr>
          <w:rFonts w:hint="eastAsia" w:ascii="宋体" w:hAnsi="宋体"/>
          <w:sz w:val="24"/>
        </w:rPr>
        <w:t>；</w:t>
      </w:r>
      <w:r>
        <w:rPr>
          <w:rFonts w:ascii="宋体" w:hAnsi="宋体"/>
          <w:sz w:val="24"/>
        </w:rPr>
        <w:t>F</w:t>
      </w:r>
      <w:r>
        <w:rPr>
          <w:rFonts w:ascii="宋体" w:hAnsi="宋体"/>
          <w:sz w:val="24"/>
          <w:vertAlign w:val="subscript"/>
        </w:rPr>
        <w:t>t2</w:t>
      </w:r>
      <w:r>
        <w:rPr>
          <w:rFonts w:hint="eastAsia" w:ascii="宋体" w:hAnsi="宋体"/>
          <w:sz w:val="24"/>
        </w:rPr>
        <w:t>；</w:t>
      </w:r>
      <w:r>
        <w:rPr>
          <w:rFonts w:ascii="宋体" w:hAnsi="宋体"/>
          <w:sz w:val="24"/>
        </w:rPr>
        <w:t>F</w:t>
      </w:r>
      <w:r>
        <w:rPr>
          <w:rFonts w:ascii="宋体" w:hAnsi="宋体"/>
          <w:sz w:val="24"/>
          <w:vertAlign w:val="subscript"/>
        </w:rPr>
        <w:t>t3</w:t>
      </w:r>
      <w:r>
        <w:rPr>
          <w:rFonts w:ascii="宋体" w:hAnsi="宋体"/>
          <w:sz w:val="24"/>
        </w:rPr>
        <w:t>...... F</w:t>
      </w:r>
      <w:r>
        <w:rPr>
          <w:rFonts w:ascii="宋体" w:hAnsi="宋体"/>
          <w:sz w:val="24"/>
          <w:vertAlign w:val="subscript"/>
        </w:rPr>
        <w:t>tn</w:t>
      </w:r>
      <w:r>
        <w:rPr>
          <w:rFonts w:hint="eastAsia" w:ascii="宋体" w:hAnsi="宋体"/>
          <w:sz w:val="24"/>
        </w:rPr>
        <w:t>--</w:t>
      </w:r>
      <w:r>
        <w:rPr>
          <w:rFonts w:ascii="宋体" w:hAnsi="宋体"/>
          <w:sz w:val="24"/>
        </w:rPr>
        <w:t>各可调因子的现行价格指数，指第17.3.3项、第17.5.2项和第17.6.2项约定的付款证书相关周期最后一天的前42天的各可调因子的价格指数；</w:t>
      </w:r>
    </w:p>
    <w:p>
      <w:pPr>
        <w:adjustRightInd w:val="0"/>
        <w:snapToGrid w:val="0"/>
        <w:spacing w:line="424" w:lineRule="exact"/>
        <w:ind w:firstLine="480" w:firstLineChars="200"/>
        <w:rPr>
          <w:rFonts w:ascii="宋体" w:hAnsi="宋体"/>
          <w:sz w:val="24"/>
        </w:rPr>
      </w:pPr>
      <w:r>
        <w:rPr>
          <w:rFonts w:ascii="宋体" w:hAnsi="宋体"/>
          <w:sz w:val="24"/>
        </w:rPr>
        <w:t>F</w:t>
      </w:r>
      <w:r>
        <w:rPr>
          <w:rFonts w:ascii="宋体" w:hAnsi="宋体"/>
          <w:sz w:val="24"/>
          <w:vertAlign w:val="subscript"/>
        </w:rPr>
        <w:t>ol</w:t>
      </w:r>
      <w:r>
        <w:rPr>
          <w:rFonts w:ascii="宋体" w:hAnsi="宋体"/>
          <w:sz w:val="24"/>
        </w:rPr>
        <w:t>；F</w:t>
      </w:r>
      <w:r>
        <w:rPr>
          <w:rFonts w:ascii="宋体" w:hAnsi="宋体"/>
          <w:sz w:val="24"/>
          <w:vertAlign w:val="subscript"/>
        </w:rPr>
        <w:t>o</w:t>
      </w:r>
      <w:r>
        <w:rPr>
          <w:rFonts w:hint="eastAsia" w:ascii="宋体" w:hAnsi="宋体"/>
          <w:sz w:val="24"/>
          <w:vertAlign w:val="subscript"/>
        </w:rPr>
        <w:t>2</w:t>
      </w:r>
      <w:r>
        <w:rPr>
          <w:rFonts w:ascii="宋体" w:hAnsi="宋体"/>
          <w:sz w:val="24"/>
        </w:rPr>
        <w:t>；F</w:t>
      </w:r>
      <w:r>
        <w:rPr>
          <w:rFonts w:ascii="宋体" w:hAnsi="宋体"/>
          <w:sz w:val="24"/>
          <w:vertAlign w:val="subscript"/>
        </w:rPr>
        <w:t>o3</w:t>
      </w:r>
      <w:r>
        <w:rPr>
          <w:rFonts w:ascii="宋体" w:hAnsi="宋体"/>
          <w:sz w:val="24"/>
        </w:rPr>
        <w:t>...... F</w:t>
      </w:r>
      <w:r>
        <w:rPr>
          <w:rFonts w:ascii="宋体" w:hAnsi="宋体"/>
          <w:sz w:val="24"/>
          <w:vertAlign w:val="subscript"/>
        </w:rPr>
        <w:t>on</w:t>
      </w:r>
      <w:r>
        <w:rPr>
          <w:rFonts w:hint="eastAsia" w:ascii="宋体" w:hAnsi="宋体"/>
          <w:sz w:val="24"/>
        </w:rPr>
        <w:t>--</w:t>
      </w:r>
      <w:r>
        <w:rPr>
          <w:rFonts w:ascii="宋体" w:hAnsi="宋体"/>
          <w:sz w:val="24"/>
        </w:rPr>
        <w:t>各可调因子的基本价格指数，指基准日期的各可调因子的价格指数。</w:t>
      </w:r>
    </w:p>
    <w:p>
      <w:pPr>
        <w:adjustRightInd w:val="0"/>
        <w:snapToGrid w:val="0"/>
        <w:spacing w:line="424" w:lineRule="exact"/>
        <w:ind w:firstLine="480" w:firstLineChars="200"/>
        <w:rPr>
          <w:rFonts w:ascii="宋体" w:hAnsi="宋体"/>
          <w:sz w:val="24"/>
        </w:rPr>
      </w:pPr>
      <w:r>
        <w:rPr>
          <w:rFonts w:ascii="宋体" w:hAnsi="宋体"/>
          <w:sz w:val="24"/>
        </w:rPr>
        <w:t>在采用价格调整公式进行调价时，还应遵守以下规定：</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合同价格在投标所在年份不作调整，此后每年按价格调整公式调整一次。</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424" w:lineRule="exact"/>
        <w:ind w:firstLine="480" w:firstLineChars="200"/>
        <w:rPr>
          <w:rFonts w:ascii="宋体" w:hAnsi="宋体"/>
          <w:sz w:val="24"/>
        </w:rPr>
      </w:pPr>
      <w:r>
        <w:rPr>
          <w:rFonts w:ascii="宋体" w:hAnsi="宋体"/>
          <w:sz w:val="24"/>
        </w:rPr>
        <w:t>16.1.1.4承包人工期延误后的价格调整</w:t>
      </w:r>
    </w:p>
    <w:p>
      <w:pPr>
        <w:adjustRightInd w:val="0"/>
        <w:snapToGrid w:val="0"/>
        <w:spacing w:line="424" w:lineRule="exact"/>
        <w:ind w:firstLine="480" w:firstLineChars="200"/>
        <w:rPr>
          <w:rFonts w:ascii="宋体" w:hAnsi="宋体"/>
          <w:sz w:val="24"/>
        </w:rPr>
      </w:pPr>
      <w:r>
        <w:rPr>
          <w:rFonts w:ascii="宋体" w:hAnsi="宋体"/>
          <w:sz w:val="24"/>
        </w:rPr>
        <w:t>本目补充：</w:t>
      </w:r>
    </w:p>
    <w:p>
      <w:pPr>
        <w:adjustRightInd w:val="0"/>
        <w:snapToGrid w:val="0"/>
        <w:spacing w:line="424" w:lineRule="exact"/>
        <w:ind w:firstLine="480" w:firstLineChars="200"/>
        <w:rPr>
          <w:rFonts w:hint="eastAsia" w:ascii="宋体" w:hAnsi="宋体"/>
          <w:sz w:val="24"/>
        </w:rPr>
      </w:pPr>
      <w:r>
        <w:rPr>
          <w:rFonts w:ascii="宋体" w:hAnsi="宋体"/>
          <w:sz w:val="24"/>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line="424" w:lineRule="exact"/>
        <w:ind w:firstLine="480" w:firstLineChars="200"/>
        <w:rPr>
          <w:rFonts w:ascii="宋体" w:hAnsi="宋体"/>
          <w:sz w:val="24"/>
        </w:rPr>
      </w:pPr>
      <w:r>
        <w:rPr>
          <w:rFonts w:ascii="宋体" w:hAnsi="宋体"/>
          <w:sz w:val="24"/>
        </w:rPr>
        <w:t>17</w:t>
      </w:r>
      <w:r>
        <w:rPr>
          <w:rFonts w:hint="eastAsia" w:ascii="宋体" w:hAnsi="宋体"/>
          <w:sz w:val="24"/>
        </w:rPr>
        <w:t>．</w:t>
      </w:r>
      <w:r>
        <w:rPr>
          <w:rFonts w:ascii="宋体" w:hAnsi="宋体"/>
          <w:sz w:val="24"/>
        </w:rPr>
        <w:t>计量与支付</w:t>
      </w:r>
    </w:p>
    <w:p>
      <w:pPr>
        <w:adjustRightInd w:val="0"/>
        <w:snapToGrid w:val="0"/>
        <w:spacing w:line="424" w:lineRule="exact"/>
        <w:rPr>
          <w:rFonts w:ascii="宋体" w:hAnsi="宋体"/>
          <w:sz w:val="24"/>
        </w:rPr>
      </w:pPr>
      <w:r>
        <w:rPr>
          <w:rFonts w:ascii="宋体" w:hAnsi="宋体"/>
          <w:sz w:val="24"/>
        </w:rPr>
        <w:t>17</w:t>
      </w:r>
      <w:r>
        <w:rPr>
          <w:rFonts w:hint="eastAsia" w:ascii="宋体" w:hAnsi="宋体"/>
          <w:sz w:val="24"/>
        </w:rPr>
        <w:t>.</w:t>
      </w:r>
      <w:r>
        <w:rPr>
          <w:rFonts w:ascii="宋体" w:hAnsi="宋体"/>
          <w:sz w:val="24"/>
        </w:rPr>
        <w:t>1计量</w:t>
      </w:r>
    </w:p>
    <w:p>
      <w:pPr>
        <w:adjustRightInd w:val="0"/>
        <w:snapToGrid w:val="0"/>
        <w:spacing w:line="424" w:lineRule="exact"/>
        <w:ind w:firstLine="480" w:firstLineChars="200"/>
        <w:rPr>
          <w:rFonts w:ascii="宋体" w:hAnsi="宋体"/>
          <w:sz w:val="24"/>
        </w:rPr>
      </w:pPr>
      <w:r>
        <w:rPr>
          <w:rFonts w:ascii="宋体" w:hAnsi="宋体"/>
          <w:sz w:val="24"/>
        </w:rPr>
        <w:t>17.1.2计量方法</w:t>
      </w:r>
    </w:p>
    <w:p>
      <w:pPr>
        <w:adjustRightInd w:val="0"/>
        <w:snapToGrid w:val="0"/>
        <w:spacing w:line="424" w:lineRule="exact"/>
        <w:ind w:firstLine="480" w:firstLineChars="200"/>
        <w:rPr>
          <w:rFonts w:ascii="宋体" w:hAnsi="宋体"/>
          <w:sz w:val="24"/>
        </w:rPr>
      </w:pPr>
      <w:r>
        <w:rPr>
          <w:rFonts w:ascii="宋体" w:hAnsi="宋体"/>
          <w:sz w:val="24"/>
        </w:rPr>
        <w:t>本项约定为：</w:t>
      </w:r>
    </w:p>
    <w:p>
      <w:pPr>
        <w:adjustRightInd w:val="0"/>
        <w:snapToGrid w:val="0"/>
        <w:spacing w:line="424" w:lineRule="exact"/>
        <w:ind w:firstLine="480" w:firstLineChars="200"/>
        <w:rPr>
          <w:rFonts w:ascii="宋体" w:hAnsi="宋体"/>
          <w:sz w:val="24"/>
        </w:rPr>
      </w:pPr>
      <w:r>
        <w:rPr>
          <w:rFonts w:ascii="宋体" w:hAnsi="宋体"/>
          <w:sz w:val="24"/>
        </w:rPr>
        <w:t>工程的计量应以净值为准，除非本合同另有约定。工程量清单中各个子目的具体计量方法按本合同文件技术标准与要求中的规定执行。</w:t>
      </w:r>
    </w:p>
    <w:p>
      <w:pPr>
        <w:adjustRightInd w:val="0"/>
        <w:snapToGrid w:val="0"/>
        <w:spacing w:line="424" w:lineRule="exact"/>
        <w:ind w:firstLine="480" w:firstLineChars="200"/>
        <w:rPr>
          <w:rFonts w:ascii="宋体" w:hAnsi="宋体"/>
          <w:sz w:val="24"/>
        </w:rPr>
      </w:pPr>
      <w:r>
        <w:rPr>
          <w:rFonts w:ascii="宋体" w:hAnsi="宋体"/>
          <w:sz w:val="24"/>
        </w:rPr>
        <w:t>17.1.4单价子目的计量</w:t>
      </w:r>
    </w:p>
    <w:p>
      <w:pPr>
        <w:adjustRightInd w:val="0"/>
        <w:snapToGrid w:val="0"/>
        <w:spacing w:line="424" w:lineRule="exact"/>
        <w:ind w:firstLine="480" w:firstLineChars="200"/>
        <w:rPr>
          <w:rFonts w:ascii="宋体" w:hAnsi="宋体"/>
          <w:sz w:val="24"/>
        </w:rPr>
      </w:pPr>
      <w:r>
        <w:rPr>
          <w:rFonts w:ascii="宋体" w:hAnsi="宋体"/>
          <w:sz w:val="24"/>
        </w:rPr>
        <w:t>本目补充：</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w:t>
      </w:r>
      <w:r>
        <w:rPr>
          <w:rFonts w:ascii="宋体" w:hAnsi="宋体"/>
          <w:sz w:val="24"/>
        </w:rPr>
        <w:t>承包人未在已标价工程量清单中填入单价或总额价的工程子目，将被认为其己包含在本合同的其他子目的单价和总额价中，发包人将不另行支付。</w:t>
      </w:r>
    </w:p>
    <w:p>
      <w:pPr>
        <w:adjustRightInd w:val="0"/>
        <w:snapToGrid w:val="0"/>
        <w:spacing w:line="424" w:lineRule="exact"/>
        <w:ind w:firstLine="480" w:firstLineChars="200"/>
        <w:rPr>
          <w:rFonts w:ascii="宋体" w:hAnsi="宋体"/>
          <w:sz w:val="24"/>
        </w:rPr>
      </w:pPr>
      <w:r>
        <w:rPr>
          <w:rFonts w:hint="eastAsia" w:ascii="宋体" w:hAnsi="宋体"/>
          <w:sz w:val="24"/>
        </w:rPr>
        <w:t>17.1.6 路面养护期计量方法</w:t>
      </w:r>
    </w:p>
    <w:p>
      <w:pPr>
        <w:adjustRightInd w:val="0"/>
        <w:snapToGrid w:val="0"/>
        <w:spacing w:line="424" w:lineRule="exact"/>
        <w:ind w:firstLine="480" w:firstLineChars="200"/>
        <w:rPr>
          <w:rFonts w:ascii="宋体" w:hAnsi="宋体"/>
          <w:sz w:val="24"/>
        </w:rPr>
      </w:pPr>
      <w:r>
        <w:rPr>
          <w:rFonts w:hint="eastAsia" w:ascii="宋体" w:hAnsi="宋体"/>
          <w:sz w:val="24"/>
        </w:rPr>
        <w:t>（一）路面养护所有工作内容包含在综合报价中，不单独计量支付。</w:t>
      </w:r>
    </w:p>
    <w:p>
      <w:pPr>
        <w:adjustRightInd w:val="0"/>
        <w:snapToGrid w:val="0"/>
        <w:spacing w:line="424" w:lineRule="exact"/>
        <w:ind w:firstLine="480" w:firstLineChars="200"/>
        <w:rPr>
          <w:rFonts w:ascii="宋体" w:hAnsi="宋体"/>
          <w:sz w:val="24"/>
        </w:rPr>
      </w:pPr>
      <w:r>
        <w:rPr>
          <w:rFonts w:hint="eastAsia" w:ascii="宋体" w:hAnsi="宋体"/>
          <w:sz w:val="24"/>
        </w:rPr>
        <w:t>（二</w:t>
      </w:r>
      <w:r>
        <w:rPr>
          <w:rFonts w:ascii="宋体" w:hAnsi="宋体"/>
          <w:sz w:val="24"/>
        </w:rPr>
        <w:t>）</w:t>
      </w:r>
      <w:r>
        <w:rPr>
          <w:rFonts w:hint="eastAsia" w:ascii="宋体" w:hAnsi="宋体"/>
          <w:sz w:val="24"/>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424" w:lineRule="exact"/>
        <w:ind w:firstLine="480" w:firstLineChars="200"/>
        <w:rPr>
          <w:rFonts w:ascii="宋体" w:hAnsi="宋体"/>
          <w:sz w:val="24"/>
        </w:rPr>
      </w:pPr>
      <w:r>
        <w:rPr>
          <w:rFonts w:hint="eastAsia" w:ascii="宋体" w:hAnsi="宋体"/>
          <w:sz w:val="24"/>
        </w:rPr>
        <w:t>（1）除了合同另有规定外，所有计量单位均为公制；</w:t>
      </w:r>
    </w:p>
    <w:p>
      <w:pPr>
        <w:adjustRightInd w:val="0"/>
        <w:snapToGrid w:val="0"/>
        <w:spacing w:line="424" w:lineRule="exact"/>
        <w:ind w:firstLine="480" w:firstLineChars="200"/>
        <w:rPr>
          <w:rFonts w:ascii="宋体" w:hAnsi="宋体"/>
          <w:sz w:val="24"/>
        </w:rPr>
      </w:pPr>
      <w:r>
        <w:rPr>
          <w:rFonts w:hint="eastAsia" w:ascii="宋体" w:hAnsi="宋体"/>
          <w:sz w:val="24"/>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424" w:lineRule="exact"/>
        <w:ind w:firstLine="480" w:firstLineChars="200"/>
        <w:rPr>
          <w:rFonts w:ascii="宋体" w:hAnsi="宋体"/>
          <w:sz w:val="24"/>
        </w:rPr>
      </w:pPr>
      <w:r>
        <w:rPr>
          <w:rFonts w:hint="eastAsia" w:ascii="宋体" w:hAnsi="宋体"/>
          <w:sz w:val="24"/>
        </w:rPr>
        <w:t>（3）每次计量支付基数为年度养护费用的百分比值，分别按照养护年度第一次计量40%，第二次计量60%；</w:t>
      </w:r>
    </w:p>
    <w:p>
      <w:pPr>
        <w:adjustRightInd w:val="0"/>
        <w:snapToGrid w:val="0"/>
        <w:spacing w:line="424" w:lineRule="exact"/>
        <w:ind w:firstLine="480" w:firstLineChars="200"/>
        <w:rPr>
          <w:rFonts w:ascii="宋体" w:hAnsi="宋体"/>
          <w:sz w:val="24"/>
        </w:rPr>
      </w:pPr>
      <w:r>
        <w:rPr>
          <w:rFonts w:hint="eastAsia" w:ascii="宋体" w:hAnsi="宋体"/>
          <w:sz w:val="24"/>
        </w:rPr>
        <w:t>（4）按照有关规定，IRI指数每年检测两次，每次检测的IRI指数指标值作为本期和上期计量的控制指标，具体如下：（应该根据实际情况测算和预测，以下举例说明）</w:t>
      </w:r>
    </w:p>
    <w:p>
      <w:pPr>
        <w:adjustRightInd w:val="0"/>
        <w:snapToGrid w:val="0"/>
        <w:spacing w:line="424" w:lineRule="exact"/>
        <w:ind w:firstLine="480" w:firstLineChars="200"/>
        <w:rPr>
          <w:rFonts w:ascii="宋体" w:hAnsi="宋体"/>
          <w:sz w:val="24"/>
        </w:rPr>
      </w:pPr>
      <w:r>
        <w:rPr>
          <w:rFonts w:hint="eastAsia" w:ascii="宋体" w:hAnsi="宋体"/>
          <w:sz w:val="24"/>
        </w:rPr>
        <w:t>第一养护年度，IRI指数须达到：IRI≤1.3</w:t>
      </w:r>
    </w:p>
    <w:p>
      <w:pPr>
        <w:adjustRightInd w:val="0"/>
        <w:snapToGrid w:val="0"/>
        <w:spacing w:line="424" w:lineRule="exact"/>
        <w:ind w:firstLine="480" w:firstLineChars="200"/>
        <w:rPr>
          <w:rFonts w:ascii="宋体" w:hAnsi="宋体"/>
          <w:sz w:val="24"/>
        </w:rPr>
      </w:pPr>
      <w:r>
        <w:rPr>
          <w:rFonts w:hint="eastAsia" w:ascii="宋体" w:hAnsi="宋体"/>
          <w:sz w:val="24"/>
        </w:rPr>
        <w:t>a.当1.3＜IRI≤1.4时，扣除该期计量的10%；</w:t>
      </w:r>
    </w:p>
    <w:p>
      <w:pPr>
        <w:adjustRightInd w:val="0"/>
        <w:snapToGrid w:val="0"/>
        <w:spacing w:line="424" w:lineRule="exact"/>
        <w:ind w:firstLine="480" w:firstLineChars="200"/>
        <w:rPr>
          <w:rFonts w:ascii="宋体" w:hAnsi="宋体"/>
          <w:sz w:val="24"/>
        </w:rPr>
      </w:pPr>
      <w:r>
        <w:rPr>
          <w:rFonts w:hint="eastAsia" w:ascii="宋体" w:hAnsi="宋体"/>
          <w:sz w:val="24"/>
        </w:rPr>
        <w:t>b.当1.4＜IRI≤1.5时，以1.4为基数，再扣除该期计量的10%，责令承包人更换技术和质量负责人，并向其公司通报；</w:t>
      </w:r>
    </w:p>
    <w:p>
      <w:pPr>
        <w:adjustRightInd w:val="0"/>
        <w:snapToGrid w:val="0"/>
        <w:spacing w:line="424" w:lineRule="exact"/>
        <w:ind w:firstLine="480" w:firstLineChars="200"/>
        <w:rPr>
          <w:rFonts w:ascii="宋体" w:hAnsi="宋体"/>
          <w:sz w:val="24"/>
        </w:rPr>
      </w:pPr>
      <w:r>
        <w:rPr>
          <w:rFonts w:hint="eastAsia" w:ascii="宋体" w:hAnsi="宋体"/>
          <w:sz w:val="24"/>
        </w:rPr>
        <w:t>c.当IRI＞1.5时，将视为承包人违约，扣除该期计量，解除合同，并追究承包人的违约责任。</w:t>
      </w:r>
    </w:p>
    <w:p>
      <w:pPr>
        <w:adjustRightInd w:val="0"/>
        <w:snapToGrid w:val="0"/>
        <w:spacing w:line="424" w:lineRule="exact"/>
        <w:ind w:firstLine="480" w:firstLineChars="200"/>
        <w:rPr>
          <w:rFonts w:ascii="宋体" w:hAnsi="宋体"/>
          <w:sz w:val="24"/>
        </w:rPr>
      </w:pPr>
      <w:r>
        <w:rPr>
          <w:rFonts w:hint="eastAsia" w:ascii="宋体" w:hAnsi="宋体"/>
          <w:sz w:val="24"/>
        </w:rPr>
        <w:t>第二养护年度，IRI指数须≤1.4</w:t>
      </w:r>
    </w:p>
    <w:p>
      <w:pPr>
        <w:adjustRightInd w:val="0"/>
        <w:snapToGrid w:val="0"/>
        <w:spacing w:line="424" w:lineRule="exact"/>
        <w:ind w:firstLine="480" w:firstLineChars="200"/>
        <w:rPr>
          <w:rFonts w:ascii="宋体" w:hAnsi="宋体"/>
          <w:sz w:val="24"/>
        </w:rPr>
      </w:pPr>
      <w:r>
        <w:rPr>
          <w:rFonts w:hint="eastAsia" w:ascii="宋体" w:hAnsi="宋体"/>
          <w:sz w:val="24"/>
        </w:rPr>
        <w:t>a.当1.4＜IRI≤1.5时，扣除该期计量的10%；</w:t>
      </w:r>
    </w:p>
    <w:p>
      <w:pPr>
        <w:adjustRightInd w:val="0"/>
        <w:snapToGrid w:val="0"/>
        <w:spacing w:line="424" w:lineRule="exact"/>
        <w:ind w:firstLine="480" w:firstLineChars="200"/>
        <w:rPr>
          <w:rFonts w:ascii="宋体" w:hAnsi="宋体"/>
          <w:sz w:val="24"/>
        </w:rPr>
      </w:pPr>
      <w:r>
        <w:rPr>
          <w:rFonts w:hint="eastAsia" w:ascii="宋体" w:hAnsi="宋体"/>
          <w:sz w:val="24"/>
        </w:rPr>
        <w:t>b.当1.5＜IRI≤1.6时，以1.5为基数，再扣除该期计量的10%，责令承包人更换技术和质量负责人，并向其公司通报；</w:t>
      </w:r>
    </w:p>
    <w:p>
      <w:pPr>
        <w:adjustRightInd w:val="0"/>
        <w:snapToGrid w:val="0"/>
        <w:spacing w:line="424" w:lineRule="exact"/>
        <w:ind w:firstLine="480" w:firstLineChars="200"/>
        <w:rPr>
          <w:rFonts w:ascii="宋体" w:hAnsi="宋体"/>
          <w:sz w:val="24"/>
        </w:rPr>
      </w:pPr>
      <w:r>
        <w:rPr>
          <w:rFonts w:hint="eastAsia" w:ascii="宋体" w:hAnsi="宋体"/>
          <w:sz w:val="24"/>
        </w:rPr>
        <w:t>c.当IRI＞1.6时，将视为承包人违约，扣除该期计量，解除合同，并追究承包人的违约责任。</w:t>
      </w:r>
    </w:p>
    <w:p>
      <w:pPr>
        <w:adjustRightInd w:val="0"/>
        <w:snapToGrid w:val="0"/>
        <w:spacing w:line="424" w:lineRule="exact"/>
        <w:ind w:firstLine="480" w:firstLineChars="200"/>
        <w:rPr>
          <w:rFonts w:ascii="宋体" w:hAnsi="宋体"/>
          <w:sz w:val="24"/>
        </w:rPr>
      </w:pPr>
      <w:r>
        <w:rPr>
          <w:rFonts w:hint="eastAsia" w:ascii="宋体" w:hAnsi="宋体"/>
          <w:sz w:val="24"/>
        </w:rPr>
        <w:t>第三养护年度，IRI指数须达到：IRI≤1.5</w:t>
      </w:r>
    </w:p>
    <w:p>
      <w:pPr>
        <w:adjustRightInd w:val="0"/>
        <w:snapToGrid w:val="0"/>
        <w:spacing w:line="424" w:lineRule="exact"/>
        <w:ind w:firstLine="480" w:firstLineChars="200"/>
        <w:rPr>
          <w:rFonts w:ascii="宋体" w:hAnsi="宋体"/>
          <w:sz w:val="24"/>
        </w:rPr>
      </w:pPr>
      <w:r>
        <w:rPr>
          <w:rFonts w:hint="eastAsia" w:ascii="宋体" w:hAnsi="宋体"/>
          <w:sz w:val="24"/>
        </w:rPr>
        <w:t>a.当1.5＜IRI≤1.6时，扣除该期计量的10%；</w:t>
      </w:r>
    </w:p>
    <w:p>
      <w:pPr>
        <w:adjustRightInd w:val="0"/>
        <w:snapToGrid w:val="0"/>
        <w:spacing w:line="424" w:lineRule="exact"/>
        <w:ind w:firstLine="480" w:firstLineChars="200"/>
        <w:rPr>
          <w:rFonts w:ascii="宋体" w:hAnsi="宋体"/>
          <w:sz w:val="24"/>
        </w:rPr>
      </w:pPr>
      <w:r>
        <w:rPr>
          <w:rFonts w:hint="eastAsia" w:ascii="宋体" w:hAnsi="宋体"/>
          <w:sz w:val="24"/>
        </w:rPr>
        <w:t>b.当1.6＜IRI≤1.7时，以1.6为基数，再扣除该期计量的10%，责令承包人更换技术和质量负责人，并向其公司通报；</w:t>
      </w:r>
    </w:p>
    <w:p>
      <w:pPr>
        <w:adjustRightInd w:val="0"/>
        <w:snapToGrid w:val="0"/>
        <w:spacing w:line="424" w:lineRule="exact"/>
        <w:ind w:firstLine="480" w:firstLineChars="200"/>
        <w:rPr>
          <w:rFonts w:ascii="宋体" w:hAnsi="宋体"/>
          <w:sz w:val="24"/>
        </w:rPr>
      </w:pPr>
      <w:r>
        <w:rPr>
          <w:rFonts w:hint="eastAsia" w:ascii="宋体" w:hAnsi="宋体"/>
          <w:sz w:val="24"/>
        </w:rPr>
        <w:t>c.当IRI＞1.7时，将视为承包人违约，扣除该期计量，解除合同，并追究承包人的违约责任。</w:t>
      </w:r>
    </w:p>
    <w:p>
      <w:pPr>
        <w:adjustRightInd w:val="0"/>
        <w:snapToGrid w:val="0"/>
        <w:spacing w:line="424" w:lineRule="exact"/>
        <w:ind w:firstLine="470" w:firstLineChars="196"/>
        <w:rPr>
          <w:rFonts w:ascii="宋体" w:hAnsi="宋体"/>
          <w:sz w:val="24"/>
        </w:rPr>
      </w:pPr>
      <w:r>
        <w:rPr>
          <w:rFonts w:hint="eastAsia" w:ascii="宋体" w:hAnsi="宋体"/>
          <w:sz w:val="24"/>
        </w:rPr>
        <w:t>每次检测IRI值小于规定值的，给予全额计量。</w:t>
      </w:r>
    </w:p>
    <w:p>
      <w:pPr>
        <w:adjustRightInd w:val="0"/>
        <w:snapToGrid w:val="0"/>
        <w:spacing w:line="424" w:lineRule="exact"/>
        <w:ind w:firstLine="470" w:firstLineChars="196"/>
        <w:rPr>
          <w:rFonts w:ascii="宋体" w:hAnsi="宋体"/>
          <w:sz w:val="24"/>
        </w:rPr>
      </w:pPr>
      <w:r>
        <w:rPr>
          <w:rFonts w:hint="eastAsia" w:ascii="宋体" w:hAnsi="宋体"/>
          <w:sz w:val="24"/>
        </w:rPr>
        <w:t>（5）在一个计量周期内，每一季度综合养护指数值均不低于96分的，给予全额计量；一个计量周期内，两次季度平均综合养护指数值低于96分的：</w:t>
      </w:r>
    </w:p>
    <w:p>
      <w:pPr>
        <w:adjustRightInd w:val="0"/>
        <w:snapToGrid w:val="0"/>
        <w:spacing w:line="424" w:lineRule="exact"/>
        <w:ind w:firstLine="470" w:firstLineChars="196"/>
        <w:rPr>
          <w:rFonts w:ascii="宋体" w:hAnsi="宋体"/>
          <w:sz w:val="24"/>
        </w:rPr>
      </w:pPr>
      <w:r>
        <w:rPr>
          <w:rFonts w:hint="eastAsia" w:ascii="宋体" w:hAnsi="宋体"/>
          <w:sz w:val="24"/>
        </w:rPr>
        <w:t>当96.0＞综合养护指数值≥94.0时，每降低0.5分，扣除当期计量的5％；</w:t>
      </w:r>
    </w:p>
    <w:p>
      <w:pPr>
        <w:adjustRightInd w:val="0"/>
        <w:snapToGrid w:val="0"/>
        <w:spacing w:line="424" w:lineRule="exact"/>
        <w:ind w:firstLine="470" w:firstLineChars="196"/>
        <w:rPr>
          <w:rFonts w:ascii="宋体" w:hAnsi="宋体"/>
          <w:sz w:val="24"/>
        </w:rPr>
      </w:pPr>
      <w:r>
        <w:rPr>
          <w:rFonts w:hint="eastAsia" w:ascii="宋体" w:hAnsi="宋体"/>
          <w:sz w:val="24"/>
        </w:rPr>
        <w:t>当94.0＞综合养护指数值≥92.0时，以94分为基数，每降低0.5分，再扣除当期计量的10％，并要求承包商在规定的时间内更换项目经理和技术负责人；</w:t>
      </w:r>
    </w:p>
    <w:p>
      <w:pPr>
        <w:adjustRightInd w:val="0"/>
        <w:snapToGrid w:val="0"/>
        <w:spacing w:line="424" w:lineRule="exact"/>
        <w:ind w:firstLine="470" w:firstLineChars="196"/>
        <w:rPr>
          <w:rFonts w:ascii="宋体" w:hAnsi="宋体"/>
          <w:sz w:val="24"/>
        </w:rPr>
      </w:pPr>
      <w:r>
        <w:rPr>
          <w:rFonts w:hint="eastAsia" w:ascii="宋体" w:hAnsi="宋体"/>
          <w:sz w:val="24"/>
        </w:rPr>
        <w:t>当任一季度综合养护指数值≤92时，将视为承包商违约，业主将扣除承包商本期所有计量，并予以解除合同。</w:t>
      </w:r>
    </w:p>
    <w:p>
      <w:pPr>
        <w:adjustRightInd w:val="0"/>
        <w:snapToGrid w:val="0"/>
        <w:spacing w:line="424" w:lineRule="exact"/>
        <w:ind w:firstLine="470" w:firstLineChars="196"/>
        <w:rPr>
          <w:rFonts w:ascii="宋体" w:hAnsi="宋体"/>
          <w:sz w:val="24"/>
        </w:rPr>
      </w:pPr>
      <w:r>
        <w:rPr>
          <w:rFonts w:hint="eastAsia" w:ascii="宋体" w:hAnsi="宋体"/>
          <w:sz w:val="24"/>
        </w:rPr>
        <w:t>（6）以上国际平整度指数（IRI</w:t>
      </w:r>
      <w:r>
        <w:rPr>
          <w:rFonts w:ascii="宋体" w:hAnsi="宋体"/>
          <w:sz w:val="24"/>
        </w:rPr>
        <w:t>）</w:t>
      </w:r>
      <w:r>
        <w:rPr>
          <w:rFonts w:hint="eastAsia" w:ascii="宋体" w:hAnsi="宋体"/>
          <w:sz w:val="24"/>
        </w:rPr>
        <w:t>和综合养护指数实行双控，任一指标低于规定值，均按照上述要求处罚，并且实行以上处罚时不免除合同规定的其它处罚。</w:t>
      </w:r>
    </w:p>
    <w:p>
      <w:pPr>
        <w:adjustRightInd w:val="0"/>
        <w:snapToGrid w:val="0"/>
        <w:spacing w:line="424" w:lineRule="exact"/>
        <w:ind w:firstLine="470" w:firstLineChars="196"/>
        <w:rPr>
          <w:rFonts w:hint="eastAsia" w:ascii="宋体" w:hAnsi="宋体"/>
          <w:sz w:val="24"/>
        </w:rPr>
      </w:pPr>
      <w:r>
        <w:rPr>
          <w:rFonts w:hint="eastAsia" w:ascii="宋体" w:hAnsi="宋体"/>
          <w:sz w:val="24"/>
        </w:rPr>
        <w:t>（7</w:t>
      </w:r>
      <w:r>
        <w:rPr>
          <w:rFonts w:ascii="宋体" w:hAnsi="宋体"/>
          <w:sz w:val="24"/>
        </w:rPr>
        <w:t>）</w:t>
      </w:r>
      <w:r>
        <w:rPr>
          <w:rFonts w:hint="eastAsia" w:ascii="宋体" w:hAnsi="宋体"/>
          <w:sz w:val="24"/>
        </w:rPr>
        <w:t>以上国际平整度指数（IRI）以检测单位检测的数据为准，综合养护指数以业主和监理工程师按照合同规定汇总计算的数值为准。</w:t>
      </w:r>
    </w:p>
    <w:p>
      <w:pPr>
        <w:adjustRightInd w:val="0"/>
        <w:snapToGrid w:val="0"/>
        <w:spacing w:line="424" w:lineRule="exact"/>
        <w:ind w:firstLine="470" w:firstLineChars="196"/>
        <w:rPr>
          <w:rFonts w:ascii="宋体" w:hAnsi="宋体"/>
          <w:sz w:val="24"/>
        </w:rPr>
      </w:pPr>
      <w:r>
        <w:rPr>
          <w:rFonts w:ascii="宋体" w:hAnsi="宋体"/>
          <w:sz w:val="24"/>
        </w:rPr>
        <w:t>17.2预付款</w:t>
      </w:r>
    </w:p>
    <w:p>
      <w:pPr>
        <w:adjustRightInd w:val="0"/>
        <w:snapToGrid w:val="0"/>
        <w:spacing w:line="424" w:lineRule="exact"/>
        <w:ind w:firstLine="480" w:firstLineChars="200"/>
        <w:rPr>
          <w:rFonts w:ascii="宋体" w:hAnsi="宋体"/>
          <w:sz w:val="24"/>
        </w:rPr>
      </w:pPr>
      <w:r>
        <w:rPr>
          <w:rFonts w:ascii="宋体" w:hAnsi="宋体"/>
          <w:sz w:val="24"/>
        </w:rPr>
        <w:t>17.2.1预付款</w:t>
      </w:r>
    </w:p>
    <w:p>
      <w:pPr>
        <w:adjustRightInd w:val="0"/>
        <w:snapToGrid w:val="0"/>
        <w:spacing w:line="424" w:lineRule="exact"/>
        <w:ind w:firstLine="480" w:firstLineChars="200"/>
        <w:rPr>
          <w:rFonts w:ascii="宋体" w:hAnsi="宋体"/>
          <w:sz w:val="24"/>
        </w:rPr>
      </w:pPr>
      <w:r>
        <w:rPr>
          <w:rFonts w:ascii="宋体" w:hAnsi="宋体"/>
          <w:sz w:val="24"/>
        </w:rPr>
        <w:t>本项约定的预付款包括开工预付款和材料、设备预付款。具体额度和预付办法如下：</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开工预付款的额度为签约合同价的</w:t>
      </w:r>
      <w:r>
        <w:rPr>
          <w:rFonts w:hint="eastAsia" w:ascii="宋体" w:hAnsi="宋体"/>
          <w:sz w:val="24"/>
          <w:u w:val="single"/>
        </w:rPr>
        <w:t xml:space="preserve">   </w:t>
      </w:r>
      <w:r>
        <w:rPr>
          <w:rFonts w:ascii="宋体" w:hAnsi="宋体"/>
          <w:sz w:val="24"/>
        </w:rPr>
        <w:t>％（在项目专用合同条款中约定）。在承包人签订了合同协议书并提交了开工预付款保函后，监理人应在当期进度付款证书中向承包人支付开工预付款的</w:t>
      </w:r>
      <w:r>
        <w:rPr>
          <w:rFonts w:hint="eastAsia" w:ascii="宋体" w:hAnsi="宋体"/>
          <w:sz w:val="24"/>
          <w:u w:val="single"/>
        </w:rPr>
        <w:t xml:space="preserve">    </w:t>
      </w:r>
      <w:r>
        <w:rPr>
          <w:rFonts w:ascii="宋体" w:hAnsi="宋体"/>
          <w:sz w:val="24"/>
        </w:rPr>
        <w:t>%的价款；在投标文件载明的主要设备进场后，再支付预付款</w:t>
      </w:r>
      <w:r>
        <w:rPr>
          <w:rFonts w:hint="eastAsia" w:ascii="宋体" w:hAnsi="宋体"/>
          <w:sz w:val="24"/>
          <w:u w:val="single"/>
        </w:rPr>
        <w:t xml:space="preserve">    </w:t>
      </w:r>
      <w:r>
        <w:rPr>
          <w:rFonts w:ascii="宋体" w:hAnsi="宋体"/>
          <w:sz w:val="24"/>
        </w:rPr>
        <w:t>%。</w:t>
      </w:r>
    </w:p>
    <w:p>
      <w:pPr>
        <w:adjustRightInd w:val="0"/>
        <w:snapToGrid w:val="0"/>
        <w:spacing w:line="424" w:lineRule="exact"/>
        <w:ind w:firstLine="480" w:firstLineChars="200"/>
        <w:rPr>
          <w:rFonts w:ascii="宋体" w:hAnsi="宋体"/>
          <w:sz w:val="24"/>
        </w:rPr>
      </w:pPr>
      <w:r>
        <w:rPr>
          <w:rFonts w:ascii="宋体" w:hAnsi="宋体"/>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材料、设备预付款的额度为项目专用合同条款中所列主要材料、设备单据费用（进口的材料、设备为到岸价，国内采购的为出厂价或销售价，地方材料为堆场价）的</w:t>
      </w:r>
      <w:r>
        <w:rPr>
          <w:rFonts w:hint="eastAsia" w:ascii="宋体" w:hAnsi="宋体"/>
          <w:sz w:val="24"/>
          <w:u w:val="single"/>
        </w:rPr>
        <w:t xml:space="preserve">   </w:t>
      </w:r>
      <w:r>
        <w:rPr>
          <w:rFonts w:ascii="宋体" w:hAnsi="宋体"/>
          <w:sz w:val="24"/>
        </w:rPr>
        <w:t>％（在项目专用条款数据表中约定）。其预付条件为：</w:t>
      </w:r>
    </w:p>
    <w:p>
      <w:pPr>
        <w:adjustRightInd w:val="0"/>
        <w:snapToGrid w:val="0"/>
        <w:spacing w:line="424" w:lineRule="exact"/>
        <w:ind w:firstLine="480" w:firstLineChars="200"/>
        <w:rPr>
          <w:rFonts w:ascii="宋体" w:hAnsi="宋体"/>
          <w:sz w:val="24"/>
        </w:rPr>
      </w:pPr>
      <w:r>
        <w:rPr>
          <w:rFonts w:ascii="宋体" w:hAnsi="宋体"/>
          <w:sz w:val="24"/>
        </w:rPr>
        <w:t>a</w:t>
      </w:r>
      <w:r>
        <w:rPr>
          <w:rFonts w:hint="eastAsia" w:ascii="宋体" w:hAnsi="宋体"/>
          <w:sz w:val="24"/>
        </w:rPr>
        <w:t>．</w:t>
      </w:r>
      <w:r>
        <w:rPr>
          <w:rFonts w:ascii="宋体" w:hAnsi="宋体"/>
          <w:sz w:val="24"/>
        </w:rPr>
        <w:t>材料、设备符合规范要求并经监理人认可；</w:t>
      </w:r>
    </w:p>
    <w:p>
      <w:pPr>
        <w:adjustRightInd w:val="0"/>
        <w:snapToGrid w:val="0"/>
        <w:spacing w:line="424" w:lineRule="exact"/>
        <w:ind w:firstLine="480" w:firstLineChars="200"/>
        <w:rPr>
          <w:rFonts w:ascii="宋体" w:hAnsi="宋体"/>
          <w:sz w:val="24"/>
        </w:rPr>
      </w:pPr>
      <w:r>
        <w:rPr>
          <w:rFonts w:ascii="宋体" w:hAnsi="宋体"/>
          <w:sz w:val="24"/>
        </w:rPr>
        <w:t>b</w:t>
      </w:r>
      <w:r>
        <w:rPr>
          <w:rFonts w:hint="eastAsia" w:ascii="宋体" w:hAnsi="宋体"/>
          <w:sz w:val="24"/>
        </w:rPr>
        <w:t>．</w:t>
      </w:r>
      <w:r>
        <w:rPr>
          <w:rFonts w:ascii="宋体" w:hAnsi="宋体"/>
          <w:sz w:val="24"/>
        </w:rPr>
        <w:t>承包人已出具材料、设备费用凭证或支付单据；以及</w:t>
      </w:r>
    </w:p>
    <w:p>
      <w:pPr>
        <w:adjustRightInd w:val="0"/>
        <w:snapToGrid w:val="0"/>
        <w:spacing w:line="424" w:lineRule="exact"/>
        <w:ind w:firstLine="480" w:firstLineChars="200"/>
        <w:rPr>
          <w:rFonts w:ascii="宋体" w:hAnsi="宋体"/>
          <w:sz w:val="24"/>
        </w:rPr>
      </w:pPr>
      <w:r>
        <w:rPr>
          <w:rFonts w:ascii="宋体" w:hAnsi="宋体"/>
          <w:sz w:val="24"/>
        </w:rPr>
        <w:t>c</w:t>
      </w:r>
      <w:r>
        <w:rPr>
          <w:rFonts w:hint="eastAsia" w:ascii="宋体" w:hAnsi="宋体"/>
          <w:sz w:val="24"/>
        </w:rPr>
        <w:t>．</w:t>
      </w:r>
      <w:r>
        <w:rPr>
          <w:rFonts w:ascii="宋体" w:hAnsi="宋体"/>
          <w:sz w:val="24"/>
        </w:rPr>
        <w:t>材料、设备已在现场交货，且存储良好，监理人认为材料、设备的存储方法符合要求。</w:t>
      </w:r>
    </w:p>
    <w:p>
      <w:pPr>
        <w:adjustRightInd w:val="0"/>
        <w:snapToGrid w:val="0"/>
        <w:spacing w:line="424" w:lineRule="exact"/>
        <w:ind w:firstLine="480" w:firstLineChars="200"/>
        <w:rPr>
          <w:rFonts w:ascii="宋体" w:hAnsi="宋体"/>
          <w:sz w:val="24"/>
        </w:rPr>
      </w:pPr>
      <w:r>
        <w:rPr>
          <w:rFonts w:ascii="宋体" w:hAnsi="宋体"/>
          <w:sz w:val="24"/>
        </w:rPr>
        <w:t>则监理人应将此项金额作为材料、设备预付款计入下一次的进度付款证书中。在预计竣工前3个月，将不再支付材料、设备预付款。</w:t>
      </w:r>
    </w:p>
    <w:p>
      <w:pPr>
        <w:adjustRightInd w:val="0"/>
        <w:snapToGrid w:val="0"/>
        <w:spacing w:line="424" w:lineRule="exact"/>
        <w:ind w:firstLine="480" w:firstLineChars="200"/>
        <w:rPr>
          <w:rFonts w:ascii="宋体" w:hAnsi="宋体"/>
          <w:sz w:val="24"/>
        </w:rPr>
      </w:pPr>
      <w:r>
        <w:rPr>
          <w:rFonts w:ascii="宋体" w:hAnsi="宋体"/>
          <w:sz w:val="24"/>
        </w:rPr>
        <w:t>17.2.2预付款保函</w:t>
      </w:r>
    </w:p>
    <w:p>
      <w:pPr>
        <w:adjustRightInd w:val="0"/>
        <w:snapToGrid w:val="0"/>
        <w:spacing w:line="424" w:lineRule="exact"/>
        <w:ind w:firstLine="480" w:firstLineChars="200"/>
        <w:rPr>
          <w:rFonts w:ascii="宋体" w:hAnsi="宋体"/>
          <w:sz w:val="24"/>
        </w:rPr>
      </w:pPr>
      <w:r>
        <w:rPr>
          <w:rFonts w:ascii="宋体" w:hAnsi="宋体"/>
          <w:sz w:val="24"/>
        </w:rPr>
        <w:t>本项细化为：</w:t>
      </w:r>
    </w:p>
    <w:p>
      <w:pPr>
        <w:adjustRightInd w:val="0"/>
        <w:snapToGrid w:val="0"/>
        <w:spacing w:line="424" w:lineRule="exact"/>
        <w:ind w:firstLine="480" w:firstLineChars="200"/>
        <w:rPr>
          <w:rFonts w:ascii="宋体" w:hAnsi="宋体"/>
          <w:sz w:val="24"/>
        </w:rPr>
      </w:pPr>
      <w:r>
        <w:rPr>
          <w:rFonts w:ascii="宋体" w:hAnsi="宋体"/>
          <w:sz w:val="24"/>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424" w:lineRule="exact"/>
        <w:ind w:firstLine="480" w:firstLineChars="200"/>
        <w:rPr>
          <w:rFonts w:ascii="宋体" w:hAnsi="宋体"/>
          <w:sz w:val="24"/>
        </w:rPr>
      </w:pPr>
      <w:r>
        <w:rPr>
          <w:rFonts w:ascii="宋体" w:hAnsi="宋体"/>
          <w:sz w:val="24"/>
        </w:rPr>
        <w:t>17:2.3预付款的扣回与还清本项约定为：</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424" w:lineRule="exact"/>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line="424" w:lineRule="exact"/>
        <w:ind w:firstLine="480" w:firstLineChars="200"/>
        <w:rPr>
          <w:rFonts w:ascii="宋体" w:hAnsi="宋体"/>
          <w:sz w:val="24"/>
        </w:rPr>
      </w:pPr>
      <w:r>
        <w:rPr>
          <w:rFonts w:ascii="宋体" w:hAnsi="宋体"/>
          <w:sz w:val="24"/>
        </w:rPr>
        <w:t>17.3工程进度付款</w:t>
      </w:r>
    </w:p>
    <w:p>
      <w:pPr>
        <w:adjustRightInd w:val="0"/>
        <w:snapToGrid w:val="0"/>
        <w:spacing w:line="424" w:lineRule="exact"/>
        <w:ind w:firstLine="480" w:firstLineChars="200"/>
        <w:rPr>
          <w:rFonts w:ascii="宋体" w:hAnsi="宋体"/>
          <w:sz w:val="24"/>
        </w:rPr>
      </w:pPr>
      <w:r>
        <w:rPr>
          <w:rFonts w:ascii="宋体" w:hAnsi="宋体"/>
          <w:sz w:val="24"/>
        </w:rPr>
        <w:t>17.3.2进度付款申请单</w:t>
      </w:r>
    </w:p>
    <w:p>
      <w:pPr>
        <w:adjustRightInd w:val="0"/>
        <w:snapToGrid w:val="0"/>
        <w:spacing w:line="424" w:lineRule="exact"/>
        <w:ind w:firstLine="480" w:firstLineChars="200"/>
        <w:rPr>
          <w:rFonts w:ascii="宋体" w:hAnsi="宋体"/>
          <w:sz w:val="24"/>
        </w:rPr>
      </w:pPr>
      <w:r>
        <w:rPr>
          <w:rFonts w:ascii="宋体" w:hAnsi="宋体"/>
          <w:sz w:val="24"/>
        </w:rPr>
        <w:t>本项约定为：</w:t>
      </w:r>
    </w:p>
    <w:p>
      <w:pPr>
        <w:adjustRightInd w:val="0"/>
        <w:snapToGrid w:val="0"/>
        <w:spacing w:line="424" w:lineRule="exact"/>
        <w:ind w:firstLine="480" w:firstLineChars="200"/>
        <w:rPr>
          <w:rFonts w:ascii="宋体" w:hAnsi="宋体"/>
          <w:sz w:val="24"/>
        </w:rPr>
      </w:pPr>
      <w:r>
        <w:rPr>
          <w:rFonts w:ascii="宋体" w:hAnsi="宋体"/>
          <w:sz w:val="24"/>
        </w:rPr>
        <w:t>承包人在每个付款周期末，向监理人提交进度付款申请单的份数：</w:t>
      </w:r>
      <w:r>
        <w:rPr>
          <w:rFonts w:hint="eastAsia" w:ascii="宋体" w:hAnsi="宋体"/>
          <w:sz w:val="24"/>
          <w:u w:val="single"/>
        </w:rPr>
        <w:t xml:space="preserve">     </w:t>
      </w:r>
      <w:r>
        <w:rPr>
          <w:rFonts w:ascii="宋体" w:hAnsi="宋体"/>
          <w:sz w:val="24"/>
        </w:rPr>
        <w:t>份（在项目专用条款数据表中约定）。</w:t>
      </w:r>
    </w:p>
    <w:p>
      <w:pPr>
        <w:adjustRightInd w:val="0"/>
        <w:snapToGrid w:val="0"/>
        <w:spacing w:line="424" w:lineRule="exact"/>
        <w:ind w:firstLine="480" w:firstLineChars="200"/>
        <w:rPr>
          <w:rFonts w:ascii="宋体" w:hAnsi="宋体"/>
          <w:sz w:val="24"/>
        </w:rPr>
      </w:pPr>
      <w:r>
        <w:rPr>
          <w:rFonts w:ascii="宋体" w:hAnsi="宋体"/>
          <w:sz w:val="24"/>
        </w:rPr>
        <w:t>本项（6）目细化为：</w:t>
      </w:r>
    </w:p>
    <w:p>
      <w:pPr>
        <w:adjustRightInd w:val="0"/>
        <w:snapToGrid w:val="0"/>
        <w:spacing w:line="424" w:lineRule="exact"/>
        <w:ind w:firstLine="480" w:firstLineChars="200"/>
        <w:rPr>
          <w:rFonts w:ascii="宋体" w:hAnsi="宋体"/>
          <w:sz w:val="24"/>
        </w:rPr>
      </w:pPr>
      <w:r>
        <w:rPr>
          <w:rFonts w:ascii="宋体" w:hAnsi="宋体"/>
          <w:sz w:val="24"/>
        </w:rPr>
        <w:t>（6）根据第16条应增加和扣减的价格调整金额；</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7）根据合同应增加和扣减的其他金额。</w:t>
      </w:r>
    </w:p>
    <w:p>
      <w:pPr>
        <w:adjustRightInd w:val="0"/>
        <w:snapToGrid w:val="0"/>
        <w:spacing w:line="424" w:lineRule="exact"/>
        <w:ind w:firstLine="480" w:firstLineChars="200"/>
        <w:rPr>
          <w:rFonts w:ascii="宋体" w:hAnsi="宋体"/>
          <w:sz w:val="24"/>
        </w:rPr>
      </w:pPr>
      <w:r>
        <w:rPr>
          <w:rFonts w:ascii="宋体" w:hAnsi="宋体"/>
          <w:sz w:val="24"/>
        </w:rPr>
        <w:t>17.3.3进度付款证书和支付时间</w:t>
      </w:r>
    </w:p>
    <w:p>
      <w:pPr>
        <w:adjustRightInd w:val="0"/>
        <w:snapToGrid w:val="0"/>
        <w:spacing w:line="424" w:lineRule="exact"/>
        <w:ind w:firstLine="480" w:firstLineChars="200"/>
        <w:rPr>
          <w:rFonts w:ascii="宋体" w:hAnsi="宋体"/>
          <w:sz w:val="24"/>
        </w:rPr>
      </w:pPr>
      <w:r>
        <w:rPr>
          <w:rFonts w:ascii="宋体" w:hAnsi="宋体"/>
          <w:sz w:val="24"/>
        </w:rPr>
        <w:t>本项（1</w:t>
      </w:r>
      <w:r>
        <w:rPr>
          <w:rFonts w:hint="eastAsia" w:ascii="宋体" w:hAnsi="宋体"/>
          <w:sz w:val="24"/>
        </w:rPr>
        <w:t>）</w:t>
      </w:r>
      <w:r>
        <w:rPr>
          <w:rFonts w:ascii="宋体" w:hAnsi="宋体"/>
          <w:sz w:val="24"/>
        </w:rPr>
        <w:t>目补充：</w:t>
      </w:r>
    </w:p>
    <w:p>
      <w:pPr>
        <w:adjustRightInd w:val="0"/>
        <w:snapToGrid w:val="0"/>
        <w:spacing w:line="424" w:lineRule="exact"/>
        <w:ind w:firstLine="480" w:firstLineChars="200"/>
        <w:rPr>
          <w:rFonts w:ascii="宋体" w:hAnsi="宋体"/>
          <w:sz w:val="24"/>
        </w:rPr>
      </w:pPr>
      <w:r>
        <w:rPr>
          <w:rFonts w:ascii="宋体" w:hAnsi="宋体"/>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424" w:lineRule="exact"/>
        <w:ind w:firstLine="480" w:firstLineChars="200"/>
        <w:rPr>
          <w:rFonts w:ascii="宋体" w:hAnsi="宋体"/>
          <w:sz w:val="24"/>
        </w:rPr>
      </w:pPr>
      <w:r>
        <w:rPr>
          <w:rFonts w:ascii="宋体" w:hAnsi="宋体"/>
          <w:sz w:val="24"/>
        </w:rPr>
        <w:t>本项</w:t>
      </w: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目约定为：</w:t>
      </w:r>
    </w:p>
    <w:p>
      <w:pPr>
        <w:adjustRightInd w:val="0"/>
        <w:snapToGrid w:val="0"/>
        <w:spacing w:line="424" w:lineRule="exact"/>
        <w:ind w:firstLine="480" w:firstLineChars="200"/>
        <w:rPr>
          <w:rFonts w:ascii="宋体" w:hAnsi="宋体"/>
          <w:sz w:val="24"/>
        </w:rPr>
      </w:pPr>
      <w:r>
        <w:rPr>
          <w:rFonts w:ascii="宋体" w:hAnsi="宋体"/>
          <w:sz w:val="24"/>
        </w:rPr>
        <w:t>发包人不按期支付的，按</w:t>
      </w:r>
      <w:r>
        <w:rPr>
          <w:rFonts w:hint="eastAsia" w:ascii="宋体" w:hAnsi="宋体"/>
          <w:sz w:val="24"/>
          <w:u w:val="single"/>
        </w:rPr>
        <w:t xml:space="preserve">    </w:t>
      </w:r>
      <w:r>
        <w:rPr>
          <w:rFonts w:hint="eastAsia" w:ascii="宋体" w:hAnsi="宋体"/>
          <w:sz w:val="24"/>
        </w:rPr>
        <w:t>‰天（</w:t>
      </w:r>
      <w:r>
        <w:rPr>
          <w:rFonts w:ascii="宋体" w:hAnsi="宋体"/>
          <w:sz w:val="24"/>
        </w:rPr>
        <w:t>在项目专用条款数据表中约定）的利率向承包人支付逾期付款违约金。违约金计算基数为发包人的全部未付款额，时间从应付而未付该款额之日算起（不计复利）。</w:t>
      </w:r>
    </w:p>
    <w:p>
      <w:pPr>
        <w:adjustRightInd w:val="0"/>
        <w:snapToGrid w:val="0"/>
        <w:spacing w:line="424" w:lineRule="exact"/>
        <w:ind w:firstLine="480" w:firstLineChars="200"/>
        <w:rPr>
          <w:rFonts w:ascii="宋体" w:hAnsi="宋体"/>
          <w:sz w:val="24"/>
        </w:rPr>
      </w:pPr>
      <w:r>
        <w:rPr>
          <w:rFonts w:ascii="宋体" w:hAnsi="宋体"/>
          <w:sz w:val="24"/>
        </w:rPr>
        <w:t>本项</w:t>
      </w: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目约定为：</w:t>
      </w:r>
    </w:p>
    <w:p>
      <w:pPr>
        <w:adjustRightInd w:val="0"/>
        <w:snapToGrid w:val="0"/>
        <w:spacing w:line="424" w:lineRule="exact"/>
        <w:ind w:firstLine="480" w:firstLineChars="200"/>
        <w:rPr>
          <w:rFonts w:hint="eastAsia" w:ascii="宋体" w:hAnsi="宋体"/>
          <w:sz w:val="24"/>
        </w:rPr>
      </w:pPr>
      <w:r>
        <w:rPr>
          <w:rFonts w:ascii="宋体" w:hAnsi="宋体"/>
          <w:sz w:val="24"/>
        </w:rPr>
        <w:t>进度付款涉及政府投资资金的，按照以下规定办理：</w:t>
      </w:r>
      <w:r>
        <w:rPr>
          <w:rFonts w:hint="eastAsia" w:ascii="宋体" w:hAnsi="宋体"/>
          <w:sz w:val="24"/>
          <w:u w:val="single"/>
        </w:rPr>
        <w:t xml:space="preserve">  （见项目专用合同条款</w:t>
      </w:r>
      <w:r>
        <w:rPr>
          <w:rFonts w:ascii="宋体" w:hAnsi="宋体"/>
          <w:sz w:val="24"/>
          <w:u w:val="single"/>
        </w:rPr>
        <w:t>）</w:t>
      </w:r>
      <w:r>
        <w:rPr>
          <w:rFonts w:hint="eastAsia" w:ascii="宋体" w:hAnsi="宋体"/>
          <w:sz w:val="24"/>
          <w:u w:val="single"/>
        </w:rPr>
        <w:t xml:space="preserve">  </w:t>
      </w:r>
    </w:p>
    <w:p>
      <w:pPr>
        <w:adjustRightInd w:val="0"/>
        <w:snapToGrid w:val="0"/>
        <w:spacing w:line="424" w:lineRule="exact"/>
        <w:ind w:firstLine="480" w:firstLineChars="200"/>
        <w:rPr>
          <w:rFonts w:ascii="宋体" w:hAnsi="宋体"/>
          <w:sz w:val="24"/>
        </w:rPr>
      </w:pPr>
      <w:r>
        <w:rPr>
          <w:rFonts w:ascii="宋体" w:hAnsi="宋体"/>
          <w:sz w:val="24"/>
        </w:rPr>
        <w:t>17.4质量保证金</w:t>
      </w:r>
    </w:p>
    <w:p>
      <w:pPr>
        <w:adjustRightInd w:val="0"/>
        <w:snapToGrid w:val="0"/>
        <w:spacing w:line="424" w:lineRule="exact"/>
        <w:ind w:firstLine="480" w:firstLineChars="200"/>
        <w:rPr>
          <w:rFonts w:ascii="宋体" w:hAnsi="宋体"/>
          <w:sz w:val="24"/>
        </w:rPr>
      </w:pPr>
      <w:r>
        <w:rPr>
          <w:rFonts w:ascii="宋体" w:hAnsi="宋体"/>
          <w:sz w:val="24"/>
        </w:rPr>
        <w:t>17.4.1项细化为：</w:t>
      </w:r>
    </w:p>
    <w:p>
      <w:pPr>
        <w:adjustRightInd w:val="0"/>
        <w:snapToGrid w:val="0"/>
        <w:spacing w:line="424" w:lineRule="exact"/>
        <w:ind w:firstLine="480" w:firstLineChars="200"/>
        <w:rPr>
          <w:rFonts w:hint="eastAsia" w:ascii="宋体" w:hAnsi="宋体"/>
          <w:sz w:val="24"/>
        </w:rPr>
      </w:pPr>
      <w:r>
        <w:rPr>
          <w:rFonts w:ascii="宋体" w:hAnsi="宋体"/>
          <w:sz w:val="24"/>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line="424" w:lineRule="exact"/>
        <w:ind w:firstLine="480" w:firstLineChars="200"/>
        <w:rPr>
          <w:rFonts w:ascii="宋体" w:hAnsi="宋体"/>
          <w:sz w:val="24"/>
        </w:rPr>
      </w:pPr>
      <w:r>
        <w:rPr>
          <w:rFonts w:ascii="宋体" w:hAnsi="宋体"/>
          <w:sz w:val="24"/>
        </w:rPr>
        <w:t>17.5竣工结算</w:t>
      </w:r>
    </w:p>
    <w:p>
      <w:pPr>
        <w:adjustRightInd w:val="0"/>
        <w:snapToGrid w:val="0"/>
        <w:spacing w:line="424" w:lineRule="exact"/>
        <w:ind w:firstLine="480" w:firstLineChars="200"/>
        <w:rPr>
          <w:rFonts w:ascii="宋体" w:hAnsi="宋体"/>
          <w:sz w:val="24"/>
        </w:rPr>
      </w:pPr>
      <w:r>
        <w:rPr>
          <w:rFonts w:ascii="宋体" w:hAnsi="宋体"/>
          <w:sz w:val="24"/>
        </w:rPr>
        <w:t>17.5.1竣工付款申请单</w:t>
      </w:r>
    </w:p>
    <w:p>
      <w:pPr>
        <w:adjustRightInd w:val="0"/>
        <w:snapToGrid w:val="0"/>
        <w:spacing w:line="424" w:lineRule="exact"/>
        <w:ind w:firstLine="480" w:firstLineChars="200"/>
        <w:rPr>
          <w:rFonts w:ascii="宋体" w:hAnsi="宋体"/>
          <w:sz w:val="24"/>
        </w:rPr>
      </w:pPr>
      <w:r>
        <w:rPr>
          <w:rFonts w:ascii="宋体" w:hAnsi="宋体"/>
          <w:sz w:val="24"/>
        </w:rPr>
        <w:t>本项（1</w:t>
      </w:r>
      <w:r>
        <w:rPr>
          <w:rFonts w:hint="eastAsia" w:ascii="宋体" w:hAnsi="宋体"/>
          <w:sz w:val="24"/>
        </w:rPr>
        <w:t>）</w:t>
      </w:r>
      <w:r>
        <w:rPr>
          <w:rFonts w:ascii="宋体" w:hAnsi="宋体"/>
          <w:sz w:val="24"/>
        </w:rPr>
        <w:t>目约定：</w:t>
      </w:r>
    </w:p>
    <w:p>
      <w:pPr>
        <w:adjustRightInd w:val="0"/>
        <w:snapToGrid w:val="0"/>
        <w:spacing w:line="424" w:lineRule="exact"/>
        <w:ind w:firstLine="480" w:firstLineChars="200"/>
        <w:rPr>
          <w:rFonts w:hint="eastAsia" w:ascii="宋体" w:hAnsi="宋体"/>
          <w:sz w:val="24"/>
        </w:rPr>
      </w:pPr>
      <w:r>
        <w:rPr>
          <w:rFonts w:ascii="宋体" w:hAnsi="宋体"/>
          <w:sz w:val="24"/>
        </w:rPr>
        <w:t>承包人向监理人提交竣工付款申请单（包括相关证明材料）的份数：</w:t>
      </w:r>
      <w:r>
        <w:rPr>
          <w:rFonts w:hint="eastAsia" w:ascii="宋体" w:hAnsi="宋体"/>
          <w:sz w:val="24"/>
          <w:u w:val="single"/>
        </w:rPr>
        <w:t xml:space="preserve">     </w:t>
      </w:r>
      <w:r>
        <w:rPr>
          <w:rFonts w:ascii="宋体" w:hAnsi="宋体"/>
          <w:sz w:val="24"/>
        </w:rPr>
        <w:t>份（在项目专用条款数据表中约定）；期限：</w:t>
      </w:r>
      <w:r>
        <w:rPr>
          <w:rFonts w:hint="eastAsia" w:ascii="宋体" w:hAnsi="宋体"/>
          <w:sz w:val="24"/>
          <w:u w:val="single"/>
        </w:rPr>
        <w:t xml:space="preserve"> </w:t>
      </w:r>
      <w:r>
        <w:rPr>
          <w:rFonts w:ascii="宋体" w:hAnsi="宋体"/>
          <w:sz w:val="24"/>
          <w:u w:val="single"/>
        </w:rPr>
        <w:t>工程接收证书签发后42天内</w:t>
      </w:r>
      <w:r>
        <w:rPr>
          <w:rFonts w:hint="eastAsia" w:ascii="宋体" w:hAnsi="宋体"/>
          <w:sz w:val="24"/>
          <w:u w:val="single"/>
        </w:rPr>
        <w:t xml:space="preserve"> </w:t>
      </w:r>
      <w:r>
        <w:rPr>
          <w:rFonts w:hint="eastAsia" w:ascii="宋体" w:hAnsi="宋体"/>
          <w:sz w:val="24"/>
        </w:rPr>
        <w:t>。</w:t>
      </w:r>
    </w:p>
    <w:p>
      <w:pPr>
        <w:adjustRightInd w:val="0"/>
        <w:snapToGrid w:val="0"/>
        <w:spacing w:line="424" w:lineRule="exact"/>
        <w:ind w:firstLine="480" w:firstLineChars="200"/>
        <w:rPr>
          <w:rFonts w:ascii="宋体" w:hAnsi="宋体"/>
          <w:sz w:val="24"/>
        </w:rPr>
      </w:pPr>
      <w:r>
        <w:rPr>
          <w:rFonts w:ascii="宋体" w:hAnsi="宋体"/>
          <w:sz w:val="24"/>
        </w:rPr>
        <w:t>17.6最终结清</w:t>
      </w:r>
    </w:p>
    <w:p>
      <w:pPr>
        <w:adjustRightInd w:val="0"/>
        <w:snapToGrid w:val="0"/>
        <w:spacing w:line="424" w:lineRule="exact"/>
        <w:ind w:firstLine="480" w:firstLineChars="200"/>
        <w:rPr>
          <w:rFonts w:ascii="宋体" w:hAnsi="宋体"/>
          <w:sz w:val="24"/>
        </w:rPr>
      </w:pPr>
      <w:r>
        <w:rPr>
          <w:rFonts w:ascii="宋体" w:hAnsi="宋体"/>
          <w:sz w:val="24"/>
        </w:rPr>
        <w:t>17.6.1最终结清申请单</w:t>
      </w:r>
    </w:p>
    <w:p>
      <w:pPr>
        <w:adjustRightInd w:val="0"/>
        <w:snapToGrid w:val="0"/>
        <w:spacing w:line="424" w:lineRule="exact"/>
        <w:ind w:firstLine="480" w:firstLineChars="200"/>
        <w:rPr>
          <w:rFonts w:ascii="宋体" w:hAnsi="宋体"/>
          <w:sz w:val="24"/>
        </w:rPr>
      </w:pPr>
      <w:r>
        <w:rPr>
          <w:rFonts w:ascii="宋体" w:hAnsi="宋体"/>
          <w:sz w:val="24"/>
        </w:rPr>
        <w:t>本项（1</w:t>
      </w:r>
      <w:r>
        <w:rPr>
          <w:rFonts w:hint="eastAsia" w:ascii="宋体" w:hAnsi="宋体"/>
          <w:sz w:val="24"/>
        </w:rPr>
        <w:t>）</w:t>
      </w:r>
      <w:r>
        <w:rPr>
          <w:rFonts w:ascii="宋体" w:hAnsi="宋体"/>
          <w:sz w:val="24"/>
        </w:rPr>
        <w:t>目约定：</w:t>
      </w:r>
    </w:p>
    <w:p>
      <w:pPr>
        <w:adjustRightInd w:val="0"/>
        <w:snapToGrid w:val="0"/>
        <w:spacing w:line="424" w:lineRule="exact"/>
        <w:ind w:firstLine="480" w:firstLineChars="200"/>
        <w:rPr>
          <w:rFonts w:ascii="宋体" w:hAnsi="宋体"/>
          <w:sz w:val="24"/>
        </w:rPr>
      </w:pPr>
      <w:r>
        <w:rPr>
          <w:rFonts w:ascii="宋体" w:hAnsi="宋体"/>
          <w:sz w:val="24"/>
        </w:rPr>
        <w:t>承包人向监理人提交最终结清申请单（包括相关证明材料）的份数：</w:t>
      </w:r>
      <w:r>
        <w:rPr>
          <w:rFonts w:hint="eastAsia" w:ascii="宋体" w:hAnsi="宋体"/>
          <w:sz w:val="24"/>
          <w:u w:val="single"/>
        </w:rPr>
        <w:t xml:space="preserve">     </w:t>
      </w:r>
      <w:r>
        <w:rPr>
          <w:rFonts w:ascii="宋体" w:hAnsi="宋体"/>
          <w:sz w:val="24"/>
        </w:rPr>
        <w:t>份（在项目专用条款数据表中约定）；期限：</w:t>
      </w:r>
      <w:r>
        <w:rPr>
          <w:rFonts w:ascii="宋体" w:hAnsi="宋体"/>
          <w:sz w:val="24"/>
          <w:u w:val="single"/>
        </w:rPr>
        <w:t>缺陷责任期终止证书签发后28天内</w:t>
      </w:r>
      <w:r>
        <w:rPr>
          <w:rFonts w:ascii="宋体" w:hAnsi="宋体"/>
          <w:sz w:val="24"/>
        </w:rPr>
        <w:t>。</w:t>
      </w:r>
    </w:p>
    <w:p>
      <w:pPr>
        <w:adjustRightInd w:val="0"/>
        <w:snapToGrid w:val="0"/>
        <w:spacing w:line="424" w:lineRule="exact"/>
        <w:ind w:firstLine="480" w:firstLineChars="200"/>
        <w:rPr>
          <w:rFonts w:hint="eastAsia" w:ascii="宋体" w:hAnsi="宋体"/>
          <w:sz w:val="24"/>
        </w:rPr>
      </w:pPr>
      <w:r>
        <w:rPr>
          <w:rFonts w:ascii="宋体" w:hAnsi="宋体"/>
          <w:sz w:val="24"/>
        </w:rPr>
        <w:t>最终结清申请单中的总金额应认为是代表了根据合同规定应付给承包人的全部款项的最后结算。</w:t>
      </w:r>
    </w:p>
    <w:p>
      <w:pPr>
        <w:adjustRightInd w:val="0"/>
        <w:snapToGrid w:val="0"/>
        <w:spacing w:line="424" w:lineRule="exact"/>
        <w:ind w:firstLine="480" w:firstLineChars="200"/>
        <w:rPr>
          <w:rFonts w:ascii="宋体" w:hAnsi="宋体"/>
          <w:sz w:val="24"/>
        </w:rPr>
      </w:pPr>
      <w:r>
        <w:rPr>
          <w:rFonts w:ascii="宋体" w:hAnsi="宋体"/>
          <w:sz w:val="24"/>
        </w:rPr>
        <w:t>18．竣工验收</w:t>
      </w:r>
    </w:p>
    <w:p>
      <w:pPr>
        <w:adjustRightInd w:val="0"/>
        <w:snapToGrid w:val="0"/>
        <w:spacing w:line="424" w:lineRule="exact"/>
        <w:rPr>
          <w:rFonts w:ascii="宋体" w:hAnsi="宋体"/>
          <w:sz w:val="24"/>
        </w:rPr>
      </w:pPr>
      <w:r>
        <w:rPr>
          <w:rFonts w:ascii="宋体" w:hAnsi="宋体"/>
          <w:sz w:val="24"/>
        </w:rPr>
        <w:t>18.1竣工验收的含义</w:t>
      </w:r>
    </w:p>
    <w:p>
      <w:pPr>
        <w:adjustRightInd w:val="0"/>
        <w:snapToGrid w:val="0"/>
        <w:spacing w:line="424" w:lineRule="exact"/>
        <w:ind w:firstLine="480" w:firstLineChars="200"/>
        <w:rPr>
          <w:rFonts w:ascii="宋体" w:hAnsi="宋体"/>
          <w:sz w:val="24"/>
        </w:rPr>
      </w:pPr>
      <w:r>
        <w:rPr>
          <w:rFonts w:ascii="宋体" w:hAnsi="宋体"/>
          <w:sz w:val="24"/>
        </w:rPr>
        <w:t>本款增加第18.1.4项：</w:t>
      </w:r>
    </w:p>
    <w:p>
      <w:pPr>
        <w:adjustRightInd w:val="0"/>
        <w:snapToGrid w:val="0"/>
        <w:spacing w:line="424" w:lineRule="exact"/>
        <w:ind w:firstLine="480" w:firstLineChars="200"/>
        <w:rPr>
          <w:rFonts w:hint="eastAsia" w:ascii="宋体" w:hAnsi="宋体"/>
          <w:sz w:val="24"/>
        </w:rPr>
      </w:pPr>
      <w:r>
        <w:rPr>
          <w:rFonts w:ascii="宋体" w:hAnsi="宋体"/>
          <w:sz w:val="24"/>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line="424" w:lineRule="exact"/>
        <w:ind w:firstLine="480" w:firstLineChars="200"/>
        <w:rPr>
          <w:rFonts w:ascii="宋体" w:hAnsi="宋体"/>
          <w:sz w:val="24"/>
        </w:rPr>
      </w:pPr>
      <w:r>
        <w:rPr>
          <w:rFonts w:ascii="宋体" w:hAnsi="宋体"/>
          <w:sz w:val="24"/>
        </w:rPr>
        <w:t>18.3验收</w:t>
      </w:r>
    </w:p>
    <w:p>
      <w:pPr>
        <w:adjustRightInd w:val="0"/>
        <w:snapToGrid w:val="0"/>
        <w:spacing w:line="424" w:lineRule="exact"/>
        <w:ind w:firstLine="480" w:firstLineChars="200"/>
        <w:rPr>
          <w:rFonts w:ascii="宋体" w:hAnsi="宋体"/>
          <w:sz w:val="24"/>
        </w:rPr>
      </w:pPr>
      <w:r>
        <w:rPr>
          <w:rFonts w:ascii="宋体" w:hAnsi="宋体"/>
          <w:sz w:val="24"/>
        </w:rPr>
        <w:t>18.3.2项补充：</w:t>
      </w:r>
    </w:p>
    <w:p>
      <w:pPr>
        <w:adjustRightInd w:val="0"/>
        <w:snapToGrid w:val="0"/>
        <w:spacing w:line="424" w:lineRule="exact"/>
        <w:ind w:firstLine="480" w:firstLineChars="200"/>
        <w:rPr>
          <w:rFonts w:ascii="宋体" w:hAnsi="宋体"/>
          <w:sz w:val="24"/>
        </w:rPr>
      </w:pPr>
      <w:r>
        <w:rPr>
          <w:rFonts w:ascii="宋体" w:hAnsi="宋体"/>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424" w:lineRule="exact"/>
        <w:ind w:firstLine="480" w:firstLineChars="200"/>
        <w:rPr>
          <w:rFonts w:ascii="宋体" w:hAnsi="宋体"/>
          <w:sz w:val="24"/>
        </w:rPr>
      </w:pPr>
      <w:r>
        <w:rPr>
          <w:rFonts w:ascii="宋体" w:hAnsi="宋体"/>
          <w:sz w:val="24"/>
        </w:rPr>
        <w:t>18.3.5项约定为：</w:t>
      </w:r>
    </w:p>
    <w:p>
      <w:pPr>
        <w:adjustRightInd w:val="0"/>
        <w:snapToGrid w:val="0"/>
        <w:spacing w:line="424" w:lineRule="exact"/>
        <w:ind w:firstLine="480" w:firstLineChars="200"/>
        <w:rPr>
          <w:rFonts w:ascii="宋体" w:hAnsi="宋体"/>
          <w:sz w:val="24"/>
        </w:rPr>
      </w:pPr>
      <w:r>
        <w:rPr>
          <w:rFonts w:ascii="宋体" w:hAnsi="宋体"/>
          <w:sz w:val="24"/>
        </w:rPr>
        <w:t>经验收合格工程的实际竣工日期，以最终提交竣工验收申请报告的日期为准，并在工程接收证书中写明。</w:t>
      </w:r>
    </w:p>
    <w:p>
      <w:pPr>
        <w:adjustRightInd w:val="0"/>
        <w:snapToGrid w:val="0"/>
        <w:spacing w:line="424" w:lineRule="exact"/>
        <w:ind w:firstLine="480" w:firstLineChars="200"/>
        <w:rPr>
          <w:rFonts w:ascii="宋体" w:hAnsi="宋体"/>
          <w:sz w:val="24"/>
        </w:rPr>
      </w:pPr>
      <w:r>
        <w:rPr>
          <w:rFonts w:ascii="宋体" w:hAnsi="宋体"/>
          <w:sz w:val="24"/>
        </w:rPr>
        <w:t>本款增加第18.3.7项：</w:t>
      </w:r>
    </w:p>
    <w:p>
      <w:pPr>
        <w:adjustRightInd w:val="0"/>
        <w:snapToGrid w:val="0"/>
        <w:spacing w:line="424" w:lineRule="exact"/>
        <w:ind w:firstLine="480" w:firstLineChars="200"/>
        <w:rPr>
          <w:rFonts w:hint="eastAsia" w:ascii="宋体" w:hAnsi="宋体"/>
          <w:sz w:val="24"/>
        </w:rPr>
      </w:pPr>
      <w:r>
        <w:rPr>
          <w:rFonts w:ascii="宋体" w:hAnsi="宋体"/>
          <w:sz w:val="24"/>
        </w:rPr>
        <w:t>组织办理竣工验收和签发工程接收证书的费用由发包人承担。但按照18.3.4项规定达不到合格标准的竣工验收费用由承包人承担。</w:t>
      </w:r>
    </w:p>
    <w:p>
      <w:pPr>
        <w:adjustRightInd w:val="0"/>
        <w:snapToGrid w:val="0"/>
        <w:spacing w:line="424" w:lineRule="exact"/>
        <w:ind w:firstLine="480" w:firstLineChars="200"/>
        <w:rPr>
          <w:rFonts w:ascii="宋体" w:hAnsi="宋体"/>
          <w:sz w:val="24"/>
        </w:rPr>
      </w:pPr>
      <w:r>
        <w:rPr>
          <w:rFonts w:ascii="宋体" w:hAnsi="宋体"/>
          <w:sz w:val="24"/>
        </w:rPr>
        <w:t>18.5施工期运行</w:t>
      </w:r>
    </w:p>
    <w:p>
      <w:pPr>
        <w:adjustRightInd w:val="0"/>
        <w:snapToGrid w:val="0"/>
        <w:spacing w:line="424" w:lineRule="exact"/>
        <w:ind w:firstLine="480" w:firstLineChars="200"/>
        <w:rPr>
          <w:rFonts w:ascii="宋体" w:hAnsi="宋体"/>
          <w:sz w:val="24"/>
        </w:rPr>
      </w:pPr>
      <w:r>
        <w:rPr>
          <w:rFonts w:ascii="宋体" w:hAnsi="宋体"/>
          <w:sz w:val="24"/>
        </w:rPr>
        <w:t>18.5.1项约定：</w:t>
      </w:r>
    </w:p>
    <w:p>
      <w:pPr>
        <w:adjustRightInd w:val="0"/>
        <w:snapToGrid w:val="0"/>
        <w:spacing w:line="424" w:lineRule="exact"/>
        <w:ind w:firstLine="480" w:firstLineChars="200"/>
        <w:rPr>
          <w:rFonts w:hint="eastAsia" w:ascii="宋体" w:hAnsi="宋体"/>
          <w:sz w:val="24"/>
          <w:u w:val="single"/>
        </w:rPr>
      </w:pPr>
      <w:r>
        <w:rPr>
          <w:rFonts w:ascii="宋体" w:hAnsi="宋体"/>
          <w:sz w:val="24"/>
        </w:rPr>
        <w:t>单位工程或工程设备是否需投入施工期运行：</w:t>
      </w:r>
      <w:r>
        <w:rPr>
          <w:rFonts w:hint="eastAsia" w:ascii="宋体" w:hAnsi="宋体"/>
          <w:sz w:val="24"/>
          <w:u w:val="single"/>
        </w:rPr>
        <w:t xml:space="preserve">  （见项目专用合同条款） </w:t>
      </w:r>
    </w:p>
    <w:p>
      <w:pPr>
        <w:adjustRightInd w:val="0"/>
        <w:snapToGrid w:val="0"/>
        <w:spacing w:line="424" w:lineRule="exact"/>
        <w:ind w:firstLine="480" w:firstLineChars="200"/>
        <w:rPr>
          <w:rFonts w:ascii="宋体" w:hAnsi="宋体"/>
          <w:sz w:val="24"/>
          <w:u w:val="single"/>
        </w:rPr>
      </w:pPr>
      <w:r>
        <w:rPr>
          <w:rFonts w:hint="eastAsia" w:ascii="宋体" w:hAnsi="宋体"/>
          <w:sz w:val="24"/>
        </w:rPr>
        <w:t>18.6试运行</w:t>
      </w:r>
    </w:p>
    <w:p>
      <w:pPr>
        <w:adjustRightInd w:val="0"/>
        <w:snapToGrid w:val="0"/>
        <w:spacing w:line="424" w:lineRule="exact"/>
        <w:ind w:firstLine="480" w:firstLineChars="200"/>
        <w:rPr>
          <w:rFonts w:ascii="宋体" w:hAnsi="宋体"/>
          <w:sz w:val="24"/>
        </w:rPr>
      </w:pPr>
      <w:r>
        <w:rPr>
          <w:rFonts w:ascii="宋体" w:hAnsi="宋体"/>
          <w:sz w:val="24"/>
        </w:rPr>
        <w:t>18.6.1项约定：</w:t>
      </w:r>
    </w:p>
    <w:p>
      <w:pPr>
        <w:adjustRightInd w:val="0"/>
        <w:snapToGrid w:val="0"/>
        <w:spacing w:line="424" w:lineRule="exact"/>
        <w:ind w:firstLine="480" w:firstLineChars="200"/>
        <w:rPr>
          <w:rFonts w:ascii="宋体" w:hAnsi="宋体"/>
          <w:sz w:val="24"/>
          <w:u w:val="single"/>
        </w:rPr>
      </w:pPr>
      <w:r>
        <w:rPr>
          <w:rFonts w:ascii="宋体" w:hAnsi="宋体"/>
          <w:sz w:val="24"/>
        </w:rPr>
        <w:t>本工程及工程设备是否进行试运行：</w:t>
      </w:r>
      <w:r>
        <w:rPr>
          <w:rFonts w:hint="eastAsia" w:ascii="宋体" w:hAnsi="宋体"/>
          <w:sz w:val="24"/>
          <w:u w:val="single"/>
        </w:rPr>
        <w:t xml:space="preserve">  （见项目专用合同条款）</w:t>
      </w:r>
    </w:p>
    <w:p>
      <w:pPr>
        <w:adjustRightInd w:val="0"/>
        <w:snapToGrid w:val="0"/>
        <w:spacing w:line="424" w:lineRule="exact"/>
        <w:ind w:firstLine="480" w:firstLineChars="200"/>
        <w:rPr>
          <w:rFonts w:ascii="宋体" w:hAnsi="宋体"/>
          <w:sz w:val="24"/>
        </w:rPr>
      </w:pPr>
      <w:r>
        <w:rPr>
          <w:rFonts w:ascii="宋体" w:hAnsi="宋体"/>
          <w:sz w:val="24"/>
        </w:rPr>
        <w:t>试运行的内容：</w:t>
      </w:r>
      <w:r>
        <w:rPr>
          <w:rFonts w:hint="eastAsia" w:ascii="宋体" w:hAnsi="宋体"/>
          <w:sz w:val="24"/>
          <w:u w:val="single"/>
        </w:rPr>
        <w:t xml:space="preserve">  （见项目专用合同条款）</w:t>
      </w:r>
    </w:p>
    <w:p>
      <w:pPr>
        <w:adjustRightInd w:val="0"/>
        <w:snapToGrid w:val="0"/>
        <w:spacing w:line="424" w:lineRule="exact"/>
        <w:ind w:firstLine="480" w:firstLineChars="200"/>
        <w:rPr>
          <w:rFonts w:hint="eastAsia" w:ascii="宋体" w:hAnsi="宋体"/>
          <w:sz w:val="24"/>
        </w:rPr>
      </w:pPr>
      <w:r>
        <w:rPr>
          <w:rFonts w:ascii="宋体" w:hAnsi="宋体"/>
          <w:sz w:val="24"/>
        </w:rPr>
        <w:t>试运行的费用约定：</w:t>
      </w:r>
      <w:r>
        <w:rPr>
          <w:rFonts w:hint="eastAsia" w:ascii="宋体" w:hAnsi="宋体"/>
          <w:sz w:val="24"/>
          <w:u w:val="single"/>
        </w:rPr>
        <w:t xml:space="preserve">  （见项目专用合同条款）</w:t>
      </w:r>
    </w:p>
    <w:p>
      <w:pPr>
        <w:adjustRightInd w:val="0"/>
        <w:snapToGrid w:val="0"/>
        <w:spacing w:line="424" w:lineRule="exact"/>
        <w:ind w:firstLine="480" w:firstLineChars="200"/>
        <w:rPr>
          <w:rFonts w:ascii="宋体" w:hAnsi="宋体"/>
          <w:sz w:val="24"/>
        </w:rPr>
      </w:pPr>
      <w:r>
        <w:rPr>
          <w:rFonts w:ascii="宋体" w:hAnsi="宋体"/>
          <w:sz w:val="24"/>
        </w:rPr>
        <w:t>本条增加第18.9款：</w:t>
      </w:r>
    </w:p>
    <w:p>
      <w:pPr>
        <w:adjustRightInd w:val="0"/>
        <w:snapToGrid w:val="0"/>
        <w:spacing w:line="424" w:lineRule="exact"/>
        <w:rPr>
          <w:rFonts w:ascii="宋体" w:hAnsi="宋体"/>
          <w:sz w:val="24"/>
        </w:rPr>
      </w:pPr>
      <w:r>
        <w:rPr>
          <w:rFonts w:ascii="宋体" w:hAnsi="宋体"/>
          <w:sz w:val="24"/>
        </w:rPr>
        <w:t>18.9竣工文件</w:t>
      </w:r>
    </w:p>
    <w:p>
      <w:pPr>
        <w:adjustRightInd w:val="0"/>
        <w:snapToGrid w:val="0"/>
        <w:spacing w:line="424" w:lineRule="exact"/>
        <w:ind w:firstLine="480" w:firstLineChars="200"/>
        <w:rPr>
          <w:rFonts w:hint="eastAsia" w:ascii="宋体" w:hAnsi="宋体"/>
          <w:sz w:val="24"/>
        </w:rPr>
      </w:pPr>
      <w:r>
        <w:rPr>
          <w:rFonts w:ascii="宋体" w:hAnsi="宋体"/>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line="424" w:lineRule="exact"/>
        <w:ind w:firstLine="480" w:firstLineChars="200"/>
        <w:rPr>
          <w:rFonts w:ascii="宋体" w:hAnsi="宋体"/>
          <w:sz w:val="24"/>
        </w:rPr>
      </w:pPr>
      <w:r>
        <w:rPr>
          <w:rFonts w:ascii="宋体" w:hAnsi="宋体"/>
          <w:sz w:val="24"/>
        </w:rPr>
        <w:t>19</w:t>
      </w:r>
      <w:r>
        <w:rPr>
          <w:rFonts w:hint="eastAsia" w:ascii="宋体" w:hAnsi="宋体"/>
          <w:sz w:val="24"/>
        </w:rPr>
        <w:t>．</w:t>
      </w:r>
      <w:r>
        <w:rPr>
          <w:rFonts w:ascii="宋体" w:hAnsi="宋体"/>
          <w:sz w:val="24"/>
        </w:rPr>
        <w:t>缺陷责任与保修责任</w:t>
      </w:r>
    </w:p>
    <w:p>
      <w:pPr>
        <w:adjustRightInd w:val="0"/>
        <w:snapToGrid w:val="0"/>
        <w:spacing w:line="424" w:lineRule="exact"/>
        <w:rPr>
          <w:rFonts w:ascii="宋体" w:hAnsi="宋体"/>
          <w:sz w:val="24"/>
        </w:rPr>
      </w:pPr>
      <w:r>
        <w:rPr>
          <w:rFonts w:ascii="宋体" w:hAnsi="宋体"/>
          <w:sz w:val="24"/>
        </w:rPr>
        <w:t>19.2缺陷责任</w:t>
      </w:r>
    </w:p>
    <w:p>
      <w:pPr>
        <w:adjustRightInd w:val="0"/>
        <w:snapToGrid w:val="0"/>
        <w:spacing w:line="424" w:lineRule="exact"/>
        <w:ind w:firstLine="480" w:firstLineChars="200"/>
        <w:rPr>
          <w:rFonts w:ascii="宋体" w:hAnsi="宋体"/>
          <w:sz w:val="24"/>
        </w:rPr>
      </w:pPr>
      <w:r>
        <w:rPr>
          <w:rFonts w:ascii="宋体" w:hAnsi="宋体"/>
          <w:sz w:val="24"/>
        </w:rPr>
        <w:t>19.2.2项补充：</w:t>
      </w:r>
    </w:p>
    <w:p>
      <w:pPr>
        <w:adjustRightInd w:val="0"/>
        <w:snapToGrid w:val="0"/>
        <w:spacing w:line="424" w:lineRule="exact"/>
        <w:ind w:firstLine="480" w:firstLineChars="200"/>
        <w:rPr>
          <w:rFonts w:ascii="宋体" w:hAnsi="宋体"/>
          <w:sz w:val="24"/>
        </w:rPr>
      </w:pPr>
      <w:r>
        <w:rPr>
          <w:rFonts w:ascii="宋体" w:hAnsi="宋体"/>
          <w:sz w:val="24"/>
        </w:rPr>
        <w:t>在缺陷责任期内，承包人应尽快完成在工程接收证书中写明的未完成工作，并完成对本工程缺陷的修复或监理人指令的修补工作。</w:t>
      </w:r>
    </w:p>
    <w:p>
      <w:pPr>
        <w:adjustRightInd w:val="0"/>
        <w:snapToGrid w:val="0"/>
        <w:spacing w:line="424" w:lineRule="exact"/>
        <w:ind w:firstLine="480" w:firstLineChars="200"/>
        <w:rPr>
          <w:rFonts w:ascii="宋体" w:hAnsi="宋体"/>
          <w:sz w:val="24"/>
        </w:rPr>
      </w:pPr>
      <w:r>
        <w:rPr>
          <w:rFonts w:ascii="宋体" w:hAnsi="宋体"/>
          <w:sz w:val="24"/>
        </w:rPr>
        <w:t>19.2.3项补充：</w:t>
      </w:r>
    </w:p>
    <w:p>
      <w:pPr>
        <w:adjustRightInd w:val="0"/>
        <w:snapToGrid w:val="0"/>
        <w:spacing w:line="424" w:lineRule="exact"/>
        <w:ind w:firstLine="480" w:firstLineChars="200"/>
        <w:rPr>
          <w:rFonts w:ascii="宋体" w:hAnsi="宋体"/>
          <w:sz w:val="24"/>
        </w:rPr>
      </w:pPr>
      <w:r>
        <w:rPr>
          <w:rFonts w:ascii="宋体" w:hAnsi="宋体"/>
          <w:sz w:val="24"/>
        </w:rPr>
        <w:t>在缺陷责任期内，下述原因造成的缺陷修复和查验费用应由承包人自行负责：</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承包人所用的材料、设备或操作工艺不符合合同要求；或</w:t>
      </w:r>
    </w:p>
    <w:p>
      <w:pPr>
        <w:adjustRightInd w:val="0"/>
        <w:snapToGrid w:val="0"/>
        <w:spacing w:line="424" w:lineRule="exact"/>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承包人的疏忽或未遵守合同中对承包人规定的义务。</w:t>
      </w:r>
    </w:p>
    <w:p>
      <w:pPr>
        <w:adjustRightInd w:val="0"/>
        <w:snapToGrid w:val="0"/>
        <w:spacing w:line="424" w:lineRule="exact"/>
        <w:ind w:firstLine="480" w:firstLineChars="200"/>
        <w:rPr>
          <w:rFonts w:ascii="宋体" w:hAnsi="宋体"/>
          <w:sz w:val="24"/>
        </w:rPr>
      </w:pPr>
      <w:r>
        <w:rPr>
          <w:rFonts w:ascii="宋体" w:hAnsi="宋体"/>
          <w:sz w:val="24"/>
        </w:rPr>
        <w:t>19.3缺陷责任期的延长</w:t>
      </w:r>
    </w:p>
    <w:p>
      <w:pPr>
        <w:adjustRightInd w:val="0"/>
        <w:snapToGrid w:val="0"/>
        <w:spacing w:line="424" w:lineRule="exact"/>
        <w:ind w:firstLine="480" w:firstLineChars="200"/>
        <w:rPr>
          <w:rFonts w:ascii="宋体" w:hAnsi="宋体"/>
          <w:sz w:val="24"/>
        </w:rPr>
      </w:pPr>
      <w:r>
        <w:rPr>
          <w:rFonts w:ascii="宋体" w:hAnsi="宋体"/>
          <w:sz w:val="24"/>
        </w:rPr>
        <w:t>本款细化为：</w:t>
      </w:r>
    </w:p>
    <w:p>
      <w:pPr>
        <w:adjustRightInd w:val="0"/>
        <w:snapToGrid w:val="0"/>
        <w:spacing w:line="424" w:lineRule="exact"/>
        <w:ind w:firstLine="480" w:firstLineChars="200"/>
        <w:rPr>
          <w:rFonts w:ascii="宋体" w:hAnsi="宋体"/>
          <w:sz w:val="24"/>
        </w:rPr>
      </w:pPr>
      <w:r>
        <w:rPr>
          <w:rFonts w:ascii="宋体" w:hAnsi="宋体"/>
          <w:sz w:val="24"/>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line="424" w:lineRule="exact"/>
        <w:rPr>
          <w:rFonts w:ascii="宋体" w:hAnsi="宋体"/>
          <w:sz w:val="24"/>
        </w:rPr>
      </w:pPr>
      <w:r>
        <w:rPr>
          <w:rFonts w:ascii="宋体" w:hAnsi="宋体"/>
          <w:sz w:val="24"/>
        </w:rPr>
        <w:t>19.5承包人的进入权</w:t>
      </w:r>
    </w:p>
    <w:p>
      <w:pPr>
        <w:adjustRightInd w:val="0"/>
        <w:snapToGrid w:val="0"/>
        <w:spacing w:line="424" w:lineRule="exact"/>
        <w:ind w:firstLine="480" w:firstLineChars="200"/>
        <w:rPr>
          <w:rFonts w:ascii="宋体" w:hAnsi="宋体"/>
          <w:sz w:val="24"/>
        </w:rPr>
      </w:pPr>
      <w:r>
        <w:rPr>
          <w:rFonts w:ascii="宋体" w:hAnsi="宋体"/>
          <w:sz w:val="24"/>
        </w:rPr>
        <w:t>本款补充：</w:t>
      </w:r>
    </w:p>
    <w:p>
      <w:pPr>
        <w:adjustRightInd w:val="0"/>
        <w:snapToGrid w:val="0"/>
        <w:spacing w:line="424" w:lineRule="exact"/>
        <w:ind w:firstLine="480" w:firstLineChars="200"/>
        <w:rPr>
          <w:rFonts w:hint="eastAsia" w:ascii="宋体" w:hAnsi="宋体"/>
          <w:sz w:val="24"/>
        </w:rPr>
      </w:pPr>
      <w:r>
        <w:rPr>
          <w:rFonts w:ascii="宋体" w:hAnsi="宋体"/>
          <w:sz w:val="24"/>
        </w:rPr>
        <w:t>承包人在缺陷修复施工过程中，应服从管养单位的有关安全管理规定，由于承包人自身原因造成的人员伤亡、．设备和材料的损毁及罚款等责任由承包人自负。</w:t>
      </w:r>
    </w:p>
    <w:p>
      <w:pPr>
        <w:adjustRightInd w:val="0"/>
        <w:snapToGrid w:val="0"/>
        <w:spacing w:line="424" w:lineRule="exact"/>
        <w:ind w:firstLine="480" w:firstLineChars="200"/>
        <w:rPr>
          <w:rFonts w:ascii="宋体" w:hAnsi="宋体"/>
          <w:sz w:val="24"/>
        </w:rPr>
      </w:pPr>
      <w:r>
        <w:rPr>
          <w:rFonts w:ascii="宋体" w:hAnsi="宋体"/>
          <w:sz w:val="24"/>
        </w:rPr>
        <w:t>19.7保修责任</w:t>
      </w:r>
    </w:p>
    <w:p>
      <w:pPr>
        <w:adjustRightInd w:val="0"/>
        <w:snapToGrid w:val="0"/>
        <w:spacing w:line="424" w:lineRule="exact"/>
        <w:ind w:firstLine="480" w:firstLineChars="200"/>
        <w:rPr>
          <w:rFonts w:ascii="宋体" w:hAnsi="宋体"/>
          <w:sz w:val="24"/>
        </w:rPr>
      </w:pPr>
      <w:r>
        <w:rPr>
          <w:rFonts w:ascii="宋体" w:hAnsi="宋体"/>
          <w:sz w:val="24"/>
        </w:rPr>
        <w:t>本款细化为：</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424"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在全部工程竣工验收前，已经发包人提前验收的单位工程，其保修期的起算日期相应提前。</w:t>
      </w:r>
    </w:p>
    <w:p>
      <w:pPr>
        <w:adjustRightInd w:val="0"/>
        <w:snapToGrid w:val="0"/>
        <w:spacing w:line="424" w:lineRule="exact"/>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工程保修期终止后28天内，监理人签发保修期终止证书。</w:t>
      </w:r>
    </w:p>
    <w:p>
      <w:pPr>
        <w:adjustRightInd w:val="0"/>
        <w:snapToGrid w:val="0"/>
        <w:spacing w:line="424" w:lineRule="exact"/>
        <w:ind w:firstLine="480" w:firstLineChars="200"/>
        <w:rPr>
          <w:rFonts w:ascii="宋体" w:hAnsi="宋体"/>
          <w:sz w:val="24"/>
        </w:rPr>
      </w:pPr>
      <w:r>
        <w:rPr>
          <w:rFonts w:ascii="宋体" w:hAnsi="宋体"/>
          <w:sz w:val="24"/>
        </w:rPr>
        <w:t>19.</w:t>
      </w:r>
      <w:r>
        <w:rPr>
          <w:rFonts w:hint="eastAsia" w:ascii="宋体" w:hAnsi="宋体"/>
          <w:sz w:val="24"/>
        </w:rPr>
        <w:t>8路面保修</w:t>
      </w:r>
    </w:p>
    <w:p>
      <w:pPr>
        <w:adjustRightInd w:val="0"/>
        <w:snapToGrid w:val="0"/>
        <w:spacing w:line="424" w:lineRule="exact"/>
        <w:ind w:firstLine="480" w:firstLineChars="200"/>
        <w:rPr>
          <w:rFonts w:hint="eastAsia" w:ascii="宋体" w:hAnsi="宋体"/>
          <w:sz w:val="24"/>
        </w:rPr>
      </w:pPr>
      <w:r>
        <w:rPr>
          <w:rFonts w:hint="eastAsia" w:ascii="宋体" w:hAnsi="宋体"/>
          <w:sz w:val="24"/>
        </w:rPr>
        <w:t>路面工程招标在缺陷责任期（通车后两年）结束之后，再增加三年路面养护期，由原路面施工单位进行除日常保洁外的路面养护。</w:t>
      </w:r>
    </w:p>
    <w:p>
      <w:pPr>
        <w:adjustRightInd w:val="0"/>
        <w:snapToGrid w:val="0"/>
        <w:spacing w:line="424" w:lineRule="exact"/>
        <w:ind w:firstLine="480" w:firstLineChars="200"/>
        <w:rPr>
          <w:rFonts w:ascii="宋体" w:hAnsi="宋体"/>
          <w:sz w:val="24"/>
        </w:rPr>
      </w:pPr>
      <w:r>
        <w:rPr>
          <w:rFonts w:ascii="宋体" w:hAnsi="宋体"/>
          <w:sz w:val="24"/>
        </w:rPr>
        <w:t>20</w:t>
      </w:r>
      <w:r>
        <w:rPr>
          <w:rFonts w:hint="eastAsia" w:ascii="宋体" w:hAnsi="宋体"/>
          <w:sz w:val="24"/>
        </w:rPr>
        <w:t>．</w:t>
      </w:r>
      <w:r>
        <w:rPr>
          <w:rFonts w:ascii="宋体" w:hAnsi="宋体"/>
          <w:sz w:val="24"/>
        </w:rPr>
        <w:t>保险</w:t>
      </w:r>
    </w:p>
    <w:p>
      <w:pPr>
        <w:adjustRightInd w:val="0"/>
        <w:snapToGrid w:val="0"/>
        <w:spacing w:line="424" w:lineRule="exact"/>
        <w:ind w:firstLine="480" w:firstLineChars="200"/>
        <w:rPr>
          <w:rFonts w:ascii="宋体" w:hAnsi="宋体"/>
          <w:sz w:val="24"/>
        </w:rPr>
      </w:pPr>
      <w:r>
        <w:rPr>
          <w:rFonts w:ascii="宋体" w:hAnsi="宋体"/>
          <w:sz w:val="24"/>
        </w:rPr>
        <w:t>20.1工程保险</w:t>
      </w:r>
    </w:p>
    <w:p>
      <w:pPr>
        <w:adjustRightInd w:val="0"/>
        <w:snapToGrid w:val="0"/>
        <w:spacing w:line="424" w:lineRule="exact"/>
        <w:ind w:firstLine="480" w:firstLineChars="200"/>
        <w:rPr>
          <w:rFonts w:ascii="宋体" w:hAnsi="宋体"/>
          <w:sz w:val="24"/>
        </w:rPr>
      </w:pPr>
      <w:r>
        <w:rPr>
          <w:rFonts w:ascii="宋体" w:hAnsi="宋体"/>
          <w:sz w:val="24"/>
        </w:rPr>
        <w:t>本款约定为：</w:t>
      </w:r>
    </w:p>
    <w:p>
      <w:pPr>
        <w:adjustRightInd w:val="0"/>
        <w:snapToGrid w:val="0"/>
        <w:spacing w:line="424" w:lineRule="exact"/>
        <w:ind w:firstLine="480" w:firstLineChars="200"/>
        <w:rPr>
          <w:rFonts w:ascii="宋体" w:hAnsi="宋体"/>
          <w:sz w:val="24"/>
        </w:rPr>
      </w:pPr>
      <w:r>
        <w:rPr>
          <w:rFonts w:ascii="宋体" w:hAnsi="宋体"/>
          <w:sz w:val="24"/>
        </w:rPr>
        <w:t>建筑工程一切险的投保内容：为永久工程、临时工程和设备及</w:t>
      </w:r>
      <w:r>
        <w:rPr>
          <w:rFonts w:hint="eastAsia" w:ascii="宋体" w:hAnsi="宋体"/>
          <w:sz w:val="24"/>
        </w:rPr>
        <w:t>已</w:t>
      </w:r>
      <w:r>
        <w:rPr>
          <w:rFonts w:ascii="宋体" w:hAnsi="宋体"/>
          <w:sz w:val="24"/>
        </w:rPr>
        <w:t>运至施工工地用于永久工程的材料和设备所投的保险。</w:t>
      </w:r>
    </w:p>
    <w:p>
      <w:pPr>
        <w:adjustRightInd w:val="0"/>
        <w:snapToGrid w:val="0"/>
        <w:spacing w:line="424" w:lineRule="exact"/>
        <w:ind w:firstLine="480" w:firstLineChars="200"/>
        <w:rPr>
          <w:rFonts w:ascii="宋体" w:hAnsi="宋体"/>
          <w:sz w:val="24"/>
        </w:rPr>
      </w:pPr>
      <w:r>
        <w:rPr>
          <w:rFonts w:ascii="宋体" w:hAnsi="宋体"/>
          <w:sz w:val="24"/>
        </w:rPr>
        <w:t>保险金额：工程量清单第100章（不含建筑工程一切险及第三者责任险的保险费）至700章的合计金额。</w:t>
      </w:r>
    </w:p>
    <w:p>
      <w:pPr>
        <w:adjustRightInd w:val="0"/>
        <w:snapToGrid w:val="0"/>
        <w:spacing w:line="424" w:lineRule="exact"/>
        <w:ind w:firstLine="480" w:firstLineChars="200"/>
        <w:rPr>
          <w:rFonts w:ascii="宋体" w:hAnsi="宋体"/>
          <w:sz w:val="24"/>
        </w:rPr>
      </w:pPr>
      <w:r>
        <w:rPr>
          <w:rFonts w:ascii="宋体" w:hAnsi="宋体"/>
          <w:sz w:val="24"/>
        </w:rPr>
        <w:t>保险费率：</w:t>
      </w:r>
      <w:r>
        <w:rPr>
          <w:rFonts w:hint="eastAsia" w:ascii="宋体" w:hAnsi="宋体"/>
          <w:sz w:val="24"/>
          <w:u w:val="single"/>
        </w:rPr>
        <w:t xml:space="preserve">     </w:t>
      </w:r>
      <w:r>
        <w:rPr>
          <w:rFonts w:hint="eastAsia" w:ascii="宋体" w:hAnsi="宋体"/>
          <w:sz w:val="24"/>
        </w:rPr>
        <w:t>%</w:t>
      </w:r>
      <w:r>
        <w:rPr>
          <w:rFonts w:ascii="宋体" w:hAnsi="宋体"/>
          <w:sz w:val="24"/>
        </w:rPr>
        <w:t>（在项目专用条款数据中约定）</w:t>
      </w:r>
    </w:p>
    <w:p>
      <w:pPr>
        <w:adjustRightInd w:val="0"/>
        <w:snapToGrid w:val="0"/>
        <w:spacing w:line="424" w:lineRule="exact"/>
        <w:ind w:firstLine="480" w:firstLineChars="200"/>
        <w:rPr>
          <w:rFonts w:ascii="宋体" w:hAnsi="宋体"/>
          <w:sz w:val="24"/>
        </w:rPr>
      </w:pPr>
      <w:r>
        <w:rPr>
          <w:rFonts w:ascii="宋体" w:hAnsi="宋体"/>
          <w:sz w:val="24"/>
        </w:rPr>
        <w:t>保险期限：开工日起直至本合同工程签发缺陷责任期终止证书止（即合同工期＋缺陷责任期）</w:t>
      </w:r>
    </w:p>
    <w:p>
      <w:pPr>
        <w:adjustRightInd w:val="0"/>
        <w:snapToGrid w:val="0"/>
        <w:spacing w:line="424" w:lineRule="exact"/>
        <w:ind w:firstLine="480" w:firstLineChars="200"/>
        <w:rPr>
          <w:rFonts w:hint="eastAsia" w:ascii="宋体" w:hAnsi="宋体"/>
          <w:sz w:val="24"/>
        </w:rPr>
      </w:pPr>
      <w:r>
        <w:rPr>
          <w:rFonts w:ascii="宋体" w:hAnsi="宋体"/>
          <w:sz w:val="24"/>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line="424" w:lineRule="exact"/>
        <w:ind w:firstLine="480" w:firstLineChars="200"/>
        <w:rPr>
          <w:rFonts w:ascii="宋体" w:hAnsi="宋体"/>
          <w:sz w:val="24"/>
        </w:rPr>
      </w:pPr>
      <w:r>
        <w:rPr>
          <w:rFonts w:ascii="宋体" w:hAnsi="宋体"/>
          <w:sz w:val="24"/>
        </w:rPr>
        <w:t>20.4第三者责任险</w:t>
      </w:r>
    </w:p>
    <w:p>
      <w:pPr>
        <w:adjustRightInd w:val="0"/>
        <w:snapToGrid w:val="0"/>
        <w:spacing w:line="424" w:lineRule="exact"/>
        <w:ind w:firstLine="480" w:firstLineChars="200"/>
        <w:rPr>
          <w:rFonts w:ascii="宋体" w:hAnsi="宋体"/>
          <w:sz w:val="24"/>
        </w:rPr>
      </w:pPr>
      <w:r>
        <w:rPr>
          <w:rFonts w:ascii="宋体" w:hAnsi="宋体"/>
          <w:sz w:val="24"/>
        </w:rPr>
        <w:t>20.4.2项约定为：</w:t>
      </w:r>
    </w:p>
    <w:p>
      <w:pPr>
        <w:adjustRightInd w:val="0"/>
        <w:snapToGrid w:val="0"/>
        <w:spacing w:line="424" w:lineRule="exact"/>
        <w:ind w:firstLine="480" w:firstLineChars="200"/>
        <w:rPr>
          <w:rFonts w:ascii="宋体" w:hAnsi="宋体"/>
          <w:sz w:val="24"/>
        </w:rPr>
      </w:pPr>
      <w:r>
        <w:rPr>
          <w:rFonts w:ascii="宋体" w:hAnsi="宋体"/>
          <w:sz w:val="24"/>
        </w:rPr>
        <w:t>第三者责任险的最低保险金额：</w:t>
      </w:r>
      <w:r>
        <w:rPr>
          <w:rFonts w:hint="eastAsia" w:ascii="宋体" w:hAnsi="宋体"/>
          <w:sz w:val="24"/>
          <w:u w:val="single"/>
        </w:rPr>
        <w:t xml:space="preserve">    </w:t>
      </w:r>
      <w:r>
        <w:rPr>
          <w:rFonts w:ascii="宋体" w:hAnsi="宋体"/>
          <w:sz w:val="24"/>
        </w:rPr>
        <w:t>万元人民币，事故次数不限（不计免赔额）</w:t>
      </w:r>
    </w:p>
    <w:p>
      <w:pPr>
        <w:adjustRightInd w:val="0"/>
        <w:snapToGrid w:val="0"/>
        <w:spacing w:line="424" w:lineRule="exact"/>
        <w:ind w:firstLine="480" w:firstLineChars="200"/>
        <w:rPr>
          <w:rFonts w:ascii="宋体" w:hAnsi="宋体"/>
          <w:sz w:val="24"/>
        </w:rPr>
      </w:pPr>
      <w:r>
        <w:rPr>
          <w:rFonts w:ascii="宋体" w:hAnsi="宋体"/>
          <w:sz w:val="24"/>
        </w:rPr>
        <w:t>保险费率：</w:t>
      </w:r>
      <w:r>
        <w:rPr>
          <w:rFonts w:hint="eastAsia" w:ascii="宋体" w:hAnsi="宋体"/>
          <w:sz w:val="24"/>
          <w:u w:val="single"/>
        </w:rPr>
        <w:t xml:space="preserve">     </w:t>
      </w:r>
      <w:r>
        <w:rPr>
          <w:rFonts w:ascii="宋体" w:hAnsi="宋体"/>
          <w:sz w:val="24"/>
        </w:rPr>
        <w:t>％。（在项目专用合同条款中约定）</w:t>
      </w:r>
    </w:p>
    <w:p>
      <w:pPr>
        <w:adjustRightInd w:val="0"/>
        <w:snapToGrid w:val="0"/>
        <w:spacing w:line="424" w:lineRule="exact"/>
        <w:ind w:firstLine="480" w:firstLineChars="200"/>
        <w:rPr>
          <w:rFonts w:ascii="宋体" w:hAnsi="宋体"/>
          <w:sz w:val="24"/>
        </w:rPr>
      </w:pPr>
      <w:r>
        <w:rPr>
          <w:rFonts w:ascii="宋体" w:hAnsi="宋体"/>
          <w:sz w:val="24"/>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line="424" w:lineRule="exact"/>
        <w:ind w:firstLine="480" w:firstLineChars="200"/>
        <w:rPr>
          <w:rFonts w:ascii="宋体" w:hAnsi="宋体"/>
          <w:sz w:val="24"/>
        </w:rPr>
      </w:pPr>
      <w:r>
        <w:rPr>
          <w:rFonts w:ascii="宋体" w:hAnsi="宋体"/>
          <w:sz w:val="24"/>
        </w:rPr>
        <w:t>20.5其他保险</w:t>
      </w:r>
    </w:p>
    <w:p>
      <w:pPr>
        <w:adjustRightInd w:val="0"/>
        <w:snapToGrid w:val="0"/>
        <w:spacing w:line="424" w:lineRule="exact"/>
        <w:ind w:firstLine="480" w:firstLineChars="200"/>
        <w:rPr>
          <w:rFonts w:ascii="宋体" w:hAnsi="宋体"/>
          <w:sz w:val="24"/>
        </w:rPr>
      </w:pPr>
      <w:r>
        <w:rPr>
          <w:rFonts w:ascii="宋体" w:hAnsi="宋体"/>
          <w:sz w:val="24"/>
        </w:rPr>
        <w:t>本款细化为：</w:t>
      </w:r>
    </w:p>
    <w:p>
      <w:pPr>
        <w:adjustRightInd w:val="0"/>
        <w:snapToGrid w:val="0"/>
        <w:spacing w:line="424" w:lineRule="exact"/>
        <w:ind w:firstLine="480" w:firstLineChars="200"/>
        <w:rPr>
          <w:rFonts w:hint="eastAsia" w:ascii="宋体" w:hAnsi="宋体"/>
          <w:sz w:val="24"/>
        </w:rPr>
      </w:pPr>
      <w:r>
        <w:rPr>
          <w:rFonts w:ascii="宋体" w:hAnsi="宋体"/>
          <w:sz w:val="24"/>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line="424" w:lineRule="exact"/>
        <w:ind w:firstLine="480" w:firstLineChars="200"/>
        <w:rPr>
          <w:rFonts w:ascii="宋体" w:hAnsi="宋体"/>
          <w:sz w:val="24"/>
        </w:rPr>
      </w:pPr>
      <w:r>
        <w:rPr>
          <w:rFonts w:ascii="宋体" w:hAnsi="宋体"/>
          <w:sz w:val="24"/>
        </w:rPr>
        <w:t>20.6对各项保险的一般要求</w:t>
      </w:r>
    </w:p>
    <w:p>
      <w:pPr>
        <w:adjustRightInd w:val="0"/>
        <w:snapToGrid w:val="0"/>
        <w:spacing w:line="424" w:lineRule="exact"/>
        <w:ind w:firstLine="480" w:firstLineChars="200"/>
        <w:rPr>
          <w:rFonts w:ascii="宋体" w:hAnsi="宋体"/>
          <w:sz w:val="24"/>
        </w:rPr>
      </w:pPr>
      <w:r>
        <w:rPr>
          <w:rFonts w:ascii="宋体" w:hAnsi="宋体"/>
          <w:sz w:val="24"/>
        </w:rPr>
        <w:t>20.6.1保险凭证</w:t>
      </w:r>
    </w:p>
    <w:p>
      <w:pPr>
        <w:adjustRightInd w:val="0"/>
        <w:snapToGrid w:val="0"/>
        <w:spacing w:line="424" w:lineRule="exact"/>
        <w:ind w:firstLine="480" w:firstLineChars="200"/>
        <w:rPr>
          <w:rFonts w:ascii="宋体" w:hAnsi="宋体"/>
          <w:sz w:val="24"/>
        </w:rPr>
      </w:pPr>
      <w:r>
        <w:rPr>
          <w:rFonts w:ascii="宋体" w:hAnsi="宋体"/>
          <w:sz w:val="24"/>
        </w:rPr>
        <w:t>本项约定为：</w:t>
      </w:r>
    </w:p>
    <w:p>
      <w:pPr>
        <w:adjustRightInd w:val="0"/>
        <w:snapToGrid w:val="0"/>
        <w:spacing w:line="424" w:lineRule="exact"/>
        <w:ind w:firstLine="480" w:firstLineChars="200"/>
        <w:rPr>
          <w:rFonts w:ascii="宋体" w:hAnsi="宋体"/>
          <w:sz w:val="24"/>
        </w:rPr>
      </w:pPr>
      <w:r>
        <w:rPr>
          <w:rFonts w:ascii="宋体" w:hAnsi="宋体"/>
          <w:sz w:val="24"/>
        </w:rPr>
        <w:t>承包人向发包人提交各项保险生效的证据和保险单副本的期限：</w:t>
      </w:r>
      <w:r>
        <w:rPr>
          <w:rFonts w:hint="eastAsia" w:ascii="宋体" w:hAnsi="宋体"/>
          <w:sz w:val="24"/>
          <w:u w:val="single"/>
        </w:rPr>
        <w:t xml:space="preserve">  开工后56天内 </w:t>
      </w:r>
      <w:r>
        <w:rPr>
          <w:rFonts w:ascii="宋体" w:hAnsi="宋体"/>
          <w:sz w:val="24"/>
        </w:rPr>
        <w:t>。</w:t>
      </w:r>
    </w:p>
    <w:p>
      <w:pPr>
        <w:adjustRightInd w:val="0"/>
        <w:snapToGrid w:val="0"/>
        <w:spacing w:line="424" w:lineRule="exact"/>
        <w:ind w:firstLine="480" w:firstLineChars="200"/>
        <w:rPr>
          <w:rFonts w:ascii="宋体" w:hAnsi="宋体"/>
          <w:sz w:val="24"/>
        </w:rPr>
      </w:pPr>
      <w:r>
        <w:rPr>
          <w:rFonts w:ascii="宋体" w:hAnsi="宋体"/>
          <w:sz w:val="24"/>
        </w:rPr>
        <w:t>20.6.3持续保险</w:t>
      </w:r>
    </w:p>
    <w:p>
      <w:pPr>
        <w:adjustRightInd w:val="0"/>
        <w:snapToGrid w:val="0"/>
        <w:spacing w:line="424" w:lineRule="exact"/>
        <w:ind w:firstLine="480" w:firstLineChars="200"/>
        <w:rPr>
          <w:rFonts w:ascii="宋体" w:hAnsi="宋体"/>
          <w:sz w:val="24"/>
        </w:rPr>
      </w:pPr>
      <w:r>
        <w:rPr>
          <w:rFonts w:ascii="宋体" w:hAnsi="宋体"/>
          <w:sz w:val="24"/>
        </w:rPr>
        <w:t>本项补充：</w:t>
      </w:r>
    </w:p>
    <w:p>
      <w:pPr>
        <w:adjustRightInd w:val="0"/>
        <w:snapToGrid w:val="0"/>
        <w:spacing w:line="424" w:lineRule="exact"/>
        <w:ind w:firstLine="480" w:firstLineChars="200"/>
        <w:rPr>
          <w:rFonts w:ascii="宋体" w:hAnsi="宋体"/>
          <w:sz w:val="24"/>
        </w:rPr>
      </w:pPr>
      <w:r>
        <w:rPr>
          <w:rFonts w:ascii="宋体" w:hAnsi="宋体"/>
          <w:sz w:val="24"/>
        </w:rPr>
        <w:t>在整个合同期内，承包人应按合同条款保证足够的保险额。</w:t>
      </w:r>
    </w:p>
    <w:p>
      <w:pPr>
        <w:adjustRightInd w:val="0"/>
        <w:snapToGrid w:val="0"/>
        <w:spacing w:line="424" w:lineRule="exact"/>
        <w:ind w:firstLine="480" w:firstLineChars="200"/>
        <w:rPr>
          <w:rFonts w:ascii="宋体" w:hAnsi="宋体"/>
          <w:sz w:val="24"/>
        </w:rPr>
      </w:pPr>
      <w:r>
        <w:rPr>
          <w:rFonts w:ascii="宋体" w:hAnsi="宋体"/>
          <w:sz w:val="24"/>
        </w:rPr>
        <w:t>20.6.4保险</w:t>
      </w:r>
      <w:r>
        <w:rPr>
          <w:rFonts w:hint="eastAsia" w:ascii="宋体" w:hAnsi="宋体"/>
          <w:sz w:val="24"/>
        </w:rPr>
        <w:t>金</w:t>
      </w:r>
      <w:r>
        <w:rPr>
          <w:rFonts w:ascii="宋体" w:hAnsi="宋体"/>
          <w:sz w:val="24"/>
        </w:rPr>
        <w:t>不足的补偿</w:t>
      </w:r>
    </w:p>
    <w:p>
      <w:pPr>
        <w:adjustRightInd w:val="0"/>
        <w:snapToGrid w:val="0"/>
        <w:spacing w:line="424" w:lineRule="exact"/>
        <w:ind w:firstLine="480" w:firstLineChars="200"/>
        <w:rPr>
          <w:rFonts w:ascii="宋体" w:hAnsi="宋体"/>
          <w:sz w:val="24"/>
        </w:rPr>
      </w:pPr>
      <w:r>
        <w:rPr>
          <w:rFonts w:ascii="宋体" w:hAnsi="宋体"/>
          <w:sz w:val="24"/>
        </w:rPr>
        <w:t xml:space="preserve">本项细化为： </w:t>
      </w:r>
    </w:p>
    <w:p>
      <w:pPr>
        <w:adjustRightInd w:val="0"/>
        <w:snapToGrid w:val="0"/>
        <w:spacing w:line="424" w:lineRule="exact"/>
        <w:ind w:firstLine="480" w:firstLineChars="200"/>
        <w:rPr>
          <w:rFonts w:ascii="宋体" w:hAnsi="宋体"/>
          <w:sz w:val="24"/>
        </w:rPr>
      </w:pPr>
      <w:r>
        <w:rPr>
          <w:rFonts w:ascii="宋体" w:hAnsi="宋体"/>
          <w:sz w:val="24"/>
        </w:rPr>
        <w:t>保险金不足以补偿损失的（包括免赔额和超过赔偿限额的部分），应由承包人和（或）发包人按合同约定负责补偿。</w:t>
      </w:r>
    </w:p>
    <w:p>
      <w:pPr>
        <w:adjustRightInd w:val="0"/>
        <w:snapToGrid w:val="0"/>
        <w:spacing w:line="424" w:lineRule="exact"/>
        <w:ind w:firstLine="480" w:firstLineChars="200"/>
        <w:rPr>
          <w:rFonts w:ascii="宋体" w:hAnsi="宋体"/>
          <w:sz w:val="24"/>
        </w:rPr>
      </w:pPr>
      <w:r>
        <w:rPr>
          <w:rFonts w:ascii="宋体" w:hAnsi="宋体"/>
          <w:sz w:val="24"/>
        </w:rPr>
        <w:t>20.6.5未按约定投保的补救</w:t>
      </w:r>
    </w:p>
    <w:p>
      <w:pPr>
        <w:adjustRightInd w:val="0"/>
        <w:snapToGrid w:val="0"/>
        <w:spacing w:line="424" w:lineRule="exact"/>
        <w:ind w:firstLine="480" w:firstLineChars="200"/>
        <w:rPr>
          <w:rFonts w:ascii="宋体" w:hAnsi="宋体"/>
          <w:sz w:val="24"/>
        </w:rPr>
      </w:pPr>
      <w:r>
        <w:rPr>
          <w:rFonts w:ascii="宋体" w:hAnsi="宋体"/>
          <w:sz w:val="24"/>
        </w:rPr>
        <w:t>本项（2）目细化为：</w:t>
      </w:r>
    </w:p>
    <w:p>
      <w:pPr>
        <w:adjustRightInd w:val="0"/>
        <w:snapToGrid w:val="0"/>
        <w:spacing w:line="424" w:lineRule="exact"/>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line="424" w:lineRule="exact"/>
        <w:ind w:firstLine="480" w:firstLineChars="200"/>
        <w:rPr>
          <w:rFonts w:ascii="宋体" w:hAnsi="宋体"/>
          <w:sz w:val="24"/>
        </w:rPr>
      </w:pPr>
      <w:r>
        <w:rPr>
          <w:rFonts w:ascii="宋体" w:hAnsi="宋体"/>
          <w:sz w:val="24"/>
        </w:rPr>
        <w:t>21．不可抗力</w:t>
      </w:r>
    </w:p>
    <w:p>
      <w:pPr>
        <w:adjustRightInd w:val="0"/>
        <w:snapToGrid w:val="0"/>
        <w:spacing w:line="424" w:lineRule="exact"/>
        <w:rPr>
          <w:rFonts w:ascii="宋体" w:hAnsi="宋体"/>
          <w:sz w:val="24"/>
        </w:rPr>
      </w:pPr>
      <w:r>
        <w:rPr>
          <w:rFonts w:ascii="宋体" w:hAnsi="宋体"/>
          <w:sz w:val="24"/>
        </w:rPr>
        <w:t>21.1不可抗力的确认</w:t>
      </w:r>
    </w:p>
    <w:p>
      <w:pPr>
        <w:adjustRightInd w:val="0"/>
        <w:snapToGrid w:val="0"/>
        <w:spacing w:line="424" w:lineRule="exact"/>
        <w:ind w:firstLine="480" w:firstLineChars="200"/>
        <w:rPr>
          <w:rFonts w:ascii="宋体" w:hAnsi="宋体"/>
          <w:sz w:val="24"/>
        </w:rPr>
      </w:pPr>
      <w:r>
        <w:rPr>
          <w:rFonts w:ascii="宋体" w:hAnsi="宋体"/>
          <w:sz w:val="24"/>
        </w:rPr>
        <w:t>21</w:t>
      </w: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1项细化为：</w:t>
      </w:r>
    </w:p>
    <w:p>
      <w:pPr>
        <w:adjustRightInd w:val="0"/>
        <w:snapToGrid w:val="0"/>
        <w:spacing w:line="424" w:lineRule="exact"/>
        <w:ind w:firstLine="480" w:firstLineChars="200"/>
        <w:rPr>
          <w:rFonts w:ascii="宋体" w:hAnsi="宋体"/>
          <w:sz w:val="24"/>
        </w:rPr>
      </w:pPr>
      <w:r>
        <w:rPr>
          <w:rFonts w:ascii="宋体" w:hAnsi="宋体"/>
          <w:sz w:val="24"/>
        </w:rPr>
        <w:t>不可抗力是指承包人和发包人在订立合同时不可预见，在工程施工过程中不可避免发生并不能克服的自然灾害和社会性突发事件。包括但不限于：</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地震、海啸、火山爆发、泥石流、暴雨（雪）、台风、龙卷风、水灾等自然灾害；</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战争、骚乱、暴动，但纯属承包人或其分包人派遣与雇用的人员由于本合同工程施工原因引起者除外；</w:t>
      </w:r>
    </w:p>
    <w:p>
      <w:pPr>
        <w:adjustRightInd w:val="0"/>
        <w:snapToGrid w:val="0"/>
        <w:spacing w:line="424" w:lineRule="exact"/>
        <w:ind w:firstLine="480" w:firstLineChars="200"/>
        <w:rPr>
          <w:rFonts w:ascii="宋体" w:hAnsi="宋体"/>
          <w:sz w:val="24"/>
        </w:rPr>
      </w:pPr>
      <w:r>
        <w:rPr>
          <w:rFonts w:ascii="宋体" w:hAnsi="宋体"/>
          <w:sz w:val="24"/>
        </w:rPr>
        <w:t>（3）核反应、辐射或放射性污染；</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空中飞行物体坠落或非发包人或承包人责任造成的爆炸、火灾；</w:t>
      </w:r>
    </w:p>
    <w:p>
      <w:pPr>
        <w:adjustRightInd w:val="0"/>
        <w:snapToGrid w:val="0"/>
        <w:spacing w:line="424" w:lineRule="exact"/>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瘟疫；</w:t>
      </w:r>
    </w:p>
    <w:p>
      <w:pPr>
        <w:adjustRightInd w:val="0"/>
        <w:snapToGrid w:val="0"/>
        <w:spacing w:line="424" w:lineRule="exact"/>
        <w:ind w:firstLine="480" w:firstLineChars="200"/>
        <w:rPr>
          <w:rFonts w:hint="eastAsia" w:ascii="宋体" w:hAns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项目专用合同条款约定的其他情形。</w:t>
      </w:r>
    </w:p>
    <w:p>
      <w:pPr>
        <w:adjustRightInd w:val="0"/>
        <w:snapToGrid w:val="0"/>
        <w:spacing w:line="424" w:lineRule="exact"/>
        <w:ind w:firstLine="480" w:firstLineChars="200"/>
        <w:rPr>
          <w:rFonts w:ascii="宋体" w:hAnsi="宋体"/>
          <w:sz w:val="24"/>
        </w:rPr>
      </w:pPr>
      <w:r>
        <w:rPr>
          <w:rFonts w:ascii="宋体" w:hAnsi="宋体"/>
          <w:sz w:val="24"/>
        </w:rPr>
        <w:t>21.3不可抗力后果及其处理</w:t>
      </w:r>
    </w:p>
    <w:p>
      <w:pPr>
        <w:adjustRightInd w:val="0"/>
        <w:snapToGrid w:val="0"/>
        <w:spacing w:line="424" w:lineRule="exact"/>
        <w:ind w:firstLine="480" w:firstLineChars="200"/>
        <w:rPr>
          <w:rFonts w:ascii="宋体" w:hAnsi="宋体"/>
          <w:sz w:val="24"/>
        </w:rPr>
      </w:pPr>
      <w:r>
        <w:rPr>
          <w:rFonts w:ascii="宋体" w:hAnsi="宋体"/>
          <w:sz w:val="24"/>
        </w:rPr>
        <w:t>21.3.4因不可抗力解除合同本项细化为：</w:t>
      </w:r>
    </w:p>
    <w:p>
      <w:pPr>
        <w:adjustRightInd w:val="0"/>
        <w:snapToGrid w:val="0"/>
        <w:spacing w:line="424" w:lineRule="exact"/>
        <w:ind w:firstLine="480" w:firstLineChars="200"/>
        <w:rPr>
          <w:rFonts w:hint="eastAsia" w:ascii="宋体" w:hAnsi="宋体"/>
          <w:sz w:val="24"/>
        </w:rPr>
      </w:pPr>
      <w:r>
        <w:rPr>
          <w:rFonts w:ascii="宋体" w:hAnsi="宋体"/>
          <w:sz w:val="24"/>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line="424" w:lineRule="exact"/>
        <w:ind w:firstLine="480" w:firstLineChars="200"/>
        <w:rPr>
          <w:rFonts w:ascii="宋体" w:hAnsi="宋体"/>
          <w:sz w:val="24"/>
        </w:rPr>
      </w:pPr>
      <w:r>
        <w:rPr>
          <w:rFonts w:ascii="宋体" w:hAnsi="宋体"/>
          <w:sz w:val="24"/>
        </w:rPr>
        <w:t>22</w:t>
      </w:r>
      <w:r>
        <w:rPr>
          <w:rFonts w:hint="eastAsia" w:ascii="宋体" w:hAnsi="宋体"/>
          <w:sz w:val="24"/>
        </w:rPr>
        <w:t>．</w:t>
      </w:r>
      <w:r>
        <w:rPr>
          <w:rFonts w:ascii="宋体" w:hAnsi="宋体"/>
          <w:sz w:val="24"/>
        </w:rPr>
        <w:t>违约</w:t>
      </w:r>
    </w:p>
    <w:p>
      <w:pPr>
        <w:adjustRightInd w:val="0"/>
        <w:snapToGrid w:val="0"/>
        <w:spacing w:line="424" w:lineRule="exact"/>
        <w:rPr>
          <w:rFonts w:ascii="宋体" w:hAnsi="宋体"/>
          <w:sz w:val="24"/>
        </w:rPr>
      </w:pPr>
      <w:r>
        <w:rPr>
          <w:rFonts w:ascii="宋体" w:hAnsi="宋体"/>
          <w:sz w:val="24"/>
        </w:rPr>
        <w:t>22.1承包人违约</w:t>
      </w:r>
    </w:p>
    <w:p>
      <w:pPr>
        <w:adjustRightInd w:val="0"/>
        <w:snapToGrid w:val="0"/>
        <w:spacing w:line="424" w:lineRule="exact"/>
        <w:ind w:firstLine="480" w:firstLineChars="200"/>
        <w:rPr>
          <w:rFonts w:ascii="宋体" w:hAnsi="宋体"/>
          <w:sz w:val="24"/>
        </w:rPr>
      </w:pPr>
      <w:r>
        <w:rPr>
          <w:rFonts w:ascii="宋体" w:hAnsi="宋体"/>
          <w:sz w:val="24"/>
        </w:rPr>
        <w:t>22.1.1承包人违约的情形</w:t>
      </w:r>
    </w:p>
    <w:p>
      <w:pPr>
        <w:adjustRightInd w:val="0"/>
        <w:snapToGrid w:val="0"/>
        <w:spacing w:line="424" w:lineRule="exact"/>
        <w:ind w:firstLine="480" w:firstLineChars="200"/>
        <w:rPr>
          <w:rFonts w:ascii="宋体" w:hAnsi="宋体"/>
          <w:sz w:val="24"/>
        </w:rPr>
      </w:pPr>
      <w:r>
        <w:rPr>
          <w:rFonts w:ascii="宋体" w:hAnsi="宋体"/>
          <w:sz w:val="24"/>
        </w:rPr>
        <w:t>本项</w:t>
      </w: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目细化为：</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承包人违反第5.3款或第6.4款的约定，未经监理人批准，私自将已按合同约定进入施工场地的施工设备、临时设施、材料或工程设备撤离施工场地；</w:t>
      </w:r>
    </w:p>
    <w:p>
      <w:pPr>
        <w:adjustRightInd w:val="0"/>
        <w:snapToGrid w:val="0"/>
        <w:spacing w:line="424" w:lineRule="exact"/>
        <w:ind w:firstLine="480" w:firstLineChars="200"/>
        <w:rPr>
          <w:rFonts w:ascii="宋体" w:hAnsi="宋体"/>
          <w:sz w:val="24"/>
        </w:rPr>
      </w:pPr>
      <w:r>
        <w:rPr>
          <w:rFonts w:ascii="宋体" w:hAnsi="宋体"/>
          <w:sz w:val="24"/>
        </w:rPr>
        <w:t>本项</w:t>
      </w:r>
      <w:r>
        <w:rPr>
          <w:rFonts w:hint="eastAsia" w:ascii="宋体" w:hAnsi="宋体"/>
          <w:sz w:val="24"/>
        </w:rPr>
        <w:t>（</w:t>
      </w:r>
      <w:r>
        <w:rPr>
          <w:rFonts w:ascii="宋体" w:hAnsi="宋体"/>
          <w:sz w:val="24"/>
        </w:rPr>
        <w:t>7</w:t>
      </w:r>
      <w:r>
        <w:rPr>
          <w:rFonts w:hint="eastAsia" w:ascii="宋体" w:hAnsi="宋体"/>
          <w:sz w:val="24"/>
        </w:rPr>
        <w:t>）</w:t>
      </w:r>
      <w:r>
        <w:rPr>
          <w:rFonts w:ascii="宋体" w:hAnsi="宋体"/>
          <w:sz w:val="24"/>
        </w:rPr>
        <w:t>目细化为：</w:t>
      </w:r>
    </w:p>
    <w:p>
      <w:pPr>
        <w:adjustRightInd w:val="0"/>
        <w:snapToGrid w:val="0"/>
        <w:spacing w:line="424" w:lineRule="exact"/>
        <w:ind w:firstLine="480" w:firstLineChars="200"/>
        <w:rPr>
          <w:rFonts w:ascii="宋体" w:hAnsi="宋体"/>
          <w:sz w:val="24"/>
        </w:rPr>
      </w:pPr>
      <w:r>
        <w:rPr>
          <w:rFonts w:ascii="宋体" w:hAnsi="宋体"/>
          <w:sz w:val="24"/>
        </w:rPr>
        <w:t>（7</w:t>
      </w:r>
      <w:r>
        <w:rPr>
          <w:rFonts w:hint="eastAsia" w:ascii="宋体" w:hAnsi="宋体"/>
          <w:sz w:val="24"/>
        </w:rPr>
        <w:t>）</w:t>
      </w:r>
      <w:r>
        <w:rPr>
          <w:rFonts w:ascii="宋体" w:hAnsi="宋体"/>
          <w:sz w:val="24"/>
        </w:rPr>
        <w:t>承包人未能按期开工；</w:t>
      </w:r>
    </w:p>
    <w:p>
      <w:pPr>
        <w:adjustRightInd w:val="0"/>
        <w:snapToGrid w:val="0"/>
        <w:spacing w:line="424" w:lineRule="exact"/>
        <w:ind w:firstLine="480" w:firstLineChars="200"/>
        <w:rPr>
          <w:rFonts w:ascii="宋体" w:hAnsi="宋体"/>
          <w:sz w:val="24"/>
        </w:rPr>
      </w:pPr>
      <w:r>
        <w:rPr>
          <w:rFonts w:ascii="宋体" w:hAnsi="宋体"/>
          <w:sz w:val="24"/>
        </w:rPr>
        <w:t>（8</w:t>
      </w:r>
      <w:r>
        <w:rPr>
          <w:rFonts w:hint="eastAsia" w:ascii="宋体" w:hAnsi="宋体"/>
          <w:sz w:val="24"/>
        </w:rPr>
        <w:t>）</w:t>
      </w:r>
      <w:r>
        <w:rPr>
          <w:rFonts w:ascii="宋体" w:hAnsi="宋体"/>
          <w:sz w:val="24"/>
        </w:rPr>
        <w:t>承包人违反第4.6款关于按投标文件及时配备称职的主要管理人员与技术骨干的规定，或违反第6.3款承包人承诺配备的关键施工设备；</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w:t>
      </w:r>
      <w:r>
        <w:rPr>
          <w:rFonts w:ascii="宋体" w:hAnsi="宋体"/>
          <w:sz w:val="24"/>
        </w:rPr>
        <w:t>承包人不按合同约定履行义务的其他情况。</w:t>
      </w:r>
    </w:p>
    <w:p>
      <w:pPr>
        <w:adjustRightInd w:val="0"/>
        <w:snapToGrid w:val="0"/>
        <w:spacing w:line="424" w:lineRule="exact"/>
        <w:ind w:firstLine="480" w:firstLineChars="200"/>
        <w:rPr>
          <w:rFonts w:ascii="宋体" w:hAnsi="宋体"/>
          <w:sz w:val="24"/>
        </w:rPr>
      </w:pPr>
      <w:r>
        <w:rPr>
          <w:rFonts w:ascii="宋体" w:hAnsi="宋体"/>
          <w:sz w:val="24"/>
        </w:rPr>
        <w:t>22.1.2对承包人违约的处理</w:t>
      </w:r>
    </w:p>
    <w:p>
      <w:pPr>
        <w:adjustRightInd w:val="0"/>
        <w:snapToGrid w:val="0"/>
        <w:spacing w:line="424" w:lineRule="exact"/>
        <w:ind w:firstLine="480" w:firstLineChars="200"/>
        <w:rPr>
          <w:rFonts w:ascii="宋体" w:hAnsi="宋体"/>
          <w:sz w:val="24"/>
        </w:rPr>
      </w:pPr>
      <w:r>
        <w:rPr>
          <w:rFonts w:ascii="宋体" w:hAnsi="宋体"/>
          <w:sz w:val="24"/>
        </w:rPr>
        <w:t>本项补充：</w:t>
      </w:r>
    </w:p>
    <w:p>
      <w:pPr>
        <w:adjustRightInd w:val="0"/>
        <w:snapToGrid w:val="0"/>
        <w:spacing w:line="424" w:lineRule="exact"/>
        <w:ind w:firstLine="480" w:firstLineChars="200"/>
        <w:rPr>
          <w:rFonts w:hint="eastAsia" w:ascii="宋体" w:hAnsi="宋体"/>
          <w:sz w:val="24"/>
        </w:rPr>
      </w:pPr>
      <w:r>
        <w:rPr>
          <w:rFonts w:ascii="宋体" w:hAnsi="宋体"/>
          <w:sz w:val="24"/>
        </w:rPr>
        <w:t>承包人发生第22.1.1项约定的违约情况时，无论发包人是否解除合同，发包人均有权向承包人课以项目专用合同条款中规定的违约金。</w:t>
      </w:r>
    </w:p>
    <w:p>
      <w:pPr>
        <w:adjustRightInd w:val="0"/>
        <w:snapToGrid w:val="0"/>
        <w:spacing w:line="424" w:lineRule="exact"/>
        <w:ind w:firstLine="480" w:firstLineChars="200"/>
        <w:rPr>
          <w:rFonts w:ascii="宋体" w:hAnsi="宋体"/>
          <w:sz w:val="24"/>
        </w:rPr>
      </w:pPr>
      <w:r>
        <w:rPr>
          <w:rFonts w:ascii="宋体" w:hAnsi="宋体"/>
          <w:sz w:val="24"/>
        </w:rPr>
        <w:t>22.2发包人违约</w:t>
      </w:r>
    </w:p>
    <w:p>
      <w:pPr>
        <w:adjustRightInd w:val="0"/>
        <w:snapToGrid w:val="0"/>
        <w:spacing w:line="424" w:lineRule="exact"/>
        <w:ind w:firstLine="480" w:firstLineChars="200"/>
        <w:rPr>
          <w:rFonts w:ascii="宋体" w:hAnsi="宋体"/>
          <w:sz w:val="24"/>
        </w:rPr>
      </w:pPr>
      <w:r>
        <w:rPr>
          <w:rFonts w:ascii="宋体" w:hAnsi="宋体"/>
          <w:sz w:val="24"/>
        </w:rPr>
        <w:t>22.2.4解除合同后的付款</w:t>
      </w:r>
    </w:p>
    <w:p>
      <w:pPr>
        <w:adjustRightInd w:val="0"/>
        <w:snapToGrid w:val="0"/>
        <w:spacing w:line="424" w:lineRule="exact"/>
        <w:ind w:firstLine="480" w:firstLineChars="200"/>
        <w:rPr>
          <w:rFonts w:ascii="宋体" w:hAnsi="宋体"/>
          <w:sz w:val="24"/>
        </w:rPr>
      </w:pPr>
      <w:r>
        <w:rPr>
          <w:rFonts w:ascii="宋体" w:hAnsi="宋体"/>
          <w:sz w:val="24"/>
        </w:rPr>
        <w:t>本项</w:t>
      </w: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目细化为：</w:t>
      </w:r>
    </w:p>
    <w:p>
      <w:pPr>
        <w:adjustRightInd w:val="0"/>
        <w:snapToGrid w:val="0"/>
        <w:spacing w:line="424" w:lineRule="exact"/>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承包人为该工程施工订购并已付款的材料、工程设备和其他物品的金额。发包人付款后，该材料、工程设备和其他物品归发包人所有；</w:t>
      </w:r>
    </w:p>
    <w:p>
      <w:pPr>
        <w:adjustRightInd w:val="0"/>
        <w:snapToGrid w:val="0"/>
        <w:spacing w:line="424" w:lineRule="exact"/>
        <w:ind w:firstLine="480" w:firstLineChars="200"/>
        <w:rPr>
          <w:rFonts w:ascii="宋体" w:hAnsi="宋体"/>
          <w:sz w:val="24"/>
        </w:rPr>
      </w:pPr>
      <w:r>
        <w:rPr>
          <w:rFonts w:ascii="宋体" w:hAnsi="宋体"/>
          <w:sz w:val="24"/>
        </w:rPr>
        <w:t>23</w:t>
      </w:r>
      <w:r>
        <w:rPr>
          <w:rFonts w:hint="eastAsia" w:ascii="宋体" w:hAnsi="宋体"/>
          <w:sz w:val="24"/>
        </w:rPr>
        <w:t>．</w:t>
      </w:r>
      <w:r>
        <w:rPr>
          <w:rFonts w:ascii="宋体" w:hAnsi="宋体"/>
          <w:sz w:val="24"/>
        </w:rPr>
        <w:t>索赔</w:t>
      </w:r>
    </w:p>
    <w:p>
      <w:pPr>
        <w:adjustRightInd w:val="0"/>
        <w:snapToGrid w:val="0"/>
        <w:spacing w:line="424" w:lineRule="exact"/>
        <w:rPr>
          <w:rFonts w:ascii="宋体" w:hAnsi="宋体"/>
          <w:sz w:val="24"/>
        </w:rPr>
      </w:pPr>
      <w:r>
        <w:rPr>
          <w:rFonts w:ascii="宋体" w:hAnsi="宋体"/>
          <w:sz w:val="24"/>
        </w:rPr>
        <w:t>23.1承包人索赔的提出</w:t>
      </w:r>
    </w:p>
    <w:p>
      <w:pPr>
        <w:adjustRightInd w:val="0"/>
        <w:snapToGrid w:val="0"/>
        <w:spacing w:line="424" w:lineRule="exact"/>
        <w:ind w:firstLine="480" w:firstLineChars="200"/>
        <w:rPr>
          <w:rFonts w:ascii="宋体" w:hAnsi="宋体"/>
          <w:sz w:val="24"/>
        </w:rPr>
      </w:pPr>
      <w:r>
        <w:rPr>
          <w:rFonts w:ascii="宋体" w:hAnsi="宋体"/>
          <w:sz w:val="24"/>
        </w:rPr>
        <w:t>本款</w:t>
      </w:r>
      <w:r>
        <w:rPr>
          <w:rFonts w:hint="eastAsia" w:ascii="宋体" w:hAnsi="宋体"/>
          <w:sz w:val="24"/>
        </w:rPr>
        <w:t>（</w:t>
      </w:r>
      <w:r>
        <w:rPr>
          <w:rFonts w:ascii="宋体" w:hAnsi="宋体"/>
          <w:sz w:val="24"/>
        </w:rPr>
        <w:t>4）项细化为：</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在索赔事件影响结束后的28天内，承包人应向监理人递交最终索赔通知’书，说明最终要求索赔的追加付款金额和（或）延长的工期，并附必要的记录和证明材料。</w:t>
      </w:r>
    </w:p>
    <w:p>
      <w:pPr>
        <w:adjustRightInd w:val="0"/>
        <w:snapToGrid w:val="0"/>
        <w:spacing w:line="424" w:lineRule="exact"/>
        <w:rPr>
          <w:rFonts w:ascii="宋体" w:hAnsi="宋体"/>
          <w:sz w:val="24"/>
        </w:rPr>
      </w:pPr>
      <w:r>
        <w:rPr>
          <w:rFonts w:ascii="宋体" w:hAnsi="宋体"/>
          <w:sz w:val="24"/>
        </w:rPr>
        <w:t>23.2承包人索赔处理程序</w:t>
      </w:r>
    </w:p>
    <w:p>
      <w:pPr>
        <w:adjustRightInd w:val="0"/>
        <w:snapToGrid w:val="0"/>
        <w:spacing w:line="424" w:lineRule="exact"/>
        <w:ind w:firstLine="480" w:firstLineChars="200"/>
        <w:rPr>
          <w:rFonts w:ascii="宋体" w:hAnsi="宋体"/>
          <w:sz w:val="24"/>
        </w:rPr>
      </w:pPr>
      <w:r>
        <w:rPr>
          <w:rFonts w:ascii="宋体" w:hAnsi="宋体"/>
          <w:sz w:val="24"/>
        </w:rPr>
        <w:t>本款（2</w:t>
      </w:r>
      <w:r>
        <w:rPr>
          <w:rFonts w:hint="eastAsia" w:ascii="宋体" w:hAnsi="宋体"/>
          <w:sz w:val="24"/>
        </w:rPr>
        <w:t>）</w:t>
      </w:r>
      <w:r>
        <w:rPr>
          <w:rFonts w:ascii="宋体" w:hAnsi="宋体"/>
          <w:sz w:val="24"/>
        </w:rPr>
        <w:t>项细化为：</w:t>
      </w:r>
    </w:p>
    <w:p>
      <w:pPr>
        <w:adjustRightInd w:val="0"/>
        <w:snapToGrid w:val="0"/>
        <w:spacing w:line="424" w:lineRule="exact"/>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line="424" w:lineRule="exact"/>
        <w:rPr>
          <w:rFonts w:ascii="宋体" w:hAnsi="宋体"/>
          <w:sz w:val="24"/>
        </w:rPr>
      </w:pPr>
      <w:r>
        <w:rPr>
          <w:rFonts w:ascii="宋体" w:hAnsi="宋体"/>
          <w:sz w:val="24"/>
        </w:rPr>
        <w:t>24</w:t>
      </w:r>
      <w:r>
        <w:rPr>
          <w:rFonts w:hint="eastAsia" w:ascii="宋体" w:hAnsi="宋体"/>
          <w:sz w:val="24"/>
        </w:rPr>
        <w:t>．</w:t>
      </w:r>
      <w:r>
        <w:rPr>
          <w:rFonts w:ascii="宋体" w:hAnsi="宋体"/>
          <w:sz w:val="24"/>
        </w:rPr>
        <w:t>争议的解决</w:t>
      </w:r>
    </w:p>
    <w:p>
      <w:pPr>
        <w:adjustRightInd w:val="0"/>
        <w:snapToGrid w:val="0"/>
        <w:spacing w:line="424" w:lineRule="exact"/>
        <w:ind w:firstLine="480" w:firstLineChars="200"/>
        <w:rPr>
          <w:rFonts w:ascii="宋体" w:hAnsi="宋体"/>
          <w:sz w:val="24"/>
        </w:rPr>
      </w:pPr>
      <w:r>
        <w:rPr>
          <w:rFonts w:ascii="宋体" w:hAnsi="宋体"/>
          <w:sz w:val="24"/>
        </w:rPr>
        <w:t>24.1争议的解决方式</w:t>
      </w:r>
    </w:p>
    <w:p>
      <w:pPr>
        <w:adjustRightInd w:val="0"/>
        <w:snapToGrid w:val="0"/>
        <w:spacing w:line="424" w:lineRule="exact"/>
        <w:ind w:firstLine="480" w:firstLineChars="200"/>
        <w:rPr>
          <w:rFonts w:ascii="宋体" w:hAnsi="宋体"/>
          <w:sz w:val="24"/>
        </w:rPr>
      </w:pPr>
      <w:r>
        <w:rPr>
          <w:rFonts w:ascii="宋体" w:hAnsi="宋体"/>
          <w:sz w:val="24"/>
        </w:rPr>
        <w:t>本款约定为：</w:t>
      </w:r>
    </w:p>
    <w:p>
      <w:pPr>
        <w:adjustRightInd w:val="0"/>
        <w:snapToGrid w:val="0"/>
        <w:spacing w:line="424" w:lineRule="exact"/>
        <w:ind w:firstLine="480" w:firstLineChars="200"/>
        <w:rPr>
          <w:rFonts w:ascii="宋体" w:hAnsi="宋体"/>
          <w:sz w:val="24"/>
        </w:rPr>
      </w:pPr>
      <w:r>
        <w:rPr>
          <w:rFonts w:ascii="宋体" w:hAnsi="宋体"/>
          <w:sz w:val="24"/>
        </w:rPr>
        <w:t>争议的最终解决方式：</w:t>
      </w:r>
      <w:r>
        <w:rPr>
          <w:rFonts w:hint="eastAsia" w:ascii="宋体" w:hAnsi="宋体"/>
          <w:sz w:val="24"/>
          <w:u w:val="single"/>
        </w:rPr>
        <w:t xml:space="preserve">   仲裁或诉讼   </w:t>
      </w:r>
      <w:r>
        <w:rPr>
          <w:rFonts w:ascii="宋体" w:hAnsi="宋体"/>
          <w:sz w:val="24"/>
        </w:rPr>
        <w:t>（在项目专用条款数据中约定）</w:t>
      </w:r>
    </w:p>
    <w:p>
      <w:pPr>
        <w:adjustRightInd w:val="0"/>
        <w:snapToGrid w:val="0"/>
        <w:spacing w:line="424" w:lineRule="exact"/>
        <w:ind w:firstLine="480" w:firstLineChars="200"/>
        <w:rPr>
          <w:rFonts w:ascii="宋体" w:hAnsi="宋体"/>
          <w:sz w:val="24"/>
          <w:u w:val="single"/>
        </w:rPr>
      </w:pPr>
      <w:r>
        <w:rPr>
          <w:rFonts w:ascii="宋体" w:hAnsi="宋体"/>
          <w:sz w:val="24"/>
        </w:rPr>
        <w:t>如采用仲裁，仲裁委员会名称：</w:t>
      </w:r>
      <w:r>
        <w:rPr>
          <w:rFonts w:ascii="宋体" w:hAnsi="宋体"/>
          <w:sz w:val="24"/>
          <w:u w:val="single"/>
        </w:rPr>
        <w:t>（在项目专用条款数据中约定）</w:t>
      </w:r>
    </w:p>
    <w:p>
      <w:pPr>
        <w:adjustRightInd w:val="0"/>
        <w:snapToGrid w:val="0"/>
        <w:spacing w:line="424" w:lineRule="exact"/>
        <w:ind w:firstLine="480" w:firstLineChars="200"/>
        <w:rPr>
          <w:rFonts w:ascii="宋体" w:hAnsi="宋体"/>
          <w:sz w:val="24"/>
        </w:rPr>
      </w:pPr>
      <w:r>
        <w:rPr>
          <w:rFonts w:ascii="宋体" w:hAnsi="宋体"/>
          <w:sz w:val="24"/>
        </w:rPr>
        <w:t>24.3争议评审</w:t>
      </w:r>
    </w:p>
    <w:p>
      <w:pPr>
        <w:adjustRightInd w:val="0"/>
        <w:snapToGrid w:val="0"/>
        <w:spacing w:line="424" w:lineRule="exact"/>
        <w:ind w:firstLine="480" w:firstLineChars="200"/>
        <w:rPr>
          <w:rFonts w:ascii="宋体" w:hAnsi="宋体"/>
          <w:sz w:val="24"/>
        </w:rPr>
      </w:pPr>
      <w:r>
        <w:rPr>
          <w:rFonts w:ascii="宋体" w:hAnsi="宋体"/>
          <w:sz w:val="24"/>
        </w:rPr>
        <w:t>24.3</w:t>
      </w:r>
      <w:r>
        <w:rPr>
          <w:rFonts w:hint="eastAsia" w:ascii="宋体" w:hAnsi="宋体"/>
          <w:sz w:val="24"/>
        </w:rPr>
        <w:t>.</w:t>
      </w:r>
      <w:r>
        <w:rPr>
          <w:rFonts w:ascii="宋体" w:hAnsi="宋体"/>
          <w:sz w:val="24"/>
        </w:rPr>
        <w:t>1项补充：</w:t>
      </w:r>
    </w:p>
    <w:p>
      <w:pPr>
        <w:adjustRightInd w:val="0"/>
        <w:snapToGrid w:val="0"/>
        <w:spacing w:line="424" w:lineRule="exact"/>
        <w:ind w:firstLine="480" w:firstLineChars="200"/>
        <w:rPr>
          <w:rFonts w:ascii="宋体" w:hAnsi="宋体"/>
          <w:sz w:val="24"/>
        </w:rPr>
      </w:pPr>
      <w:r>
        <w:rPr>
          <w:rFonts w:ascii="宋体" w:hAnsi="宋体"/>
          <w:sz w:val="24"/>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line="424" w:lineRule="exact"/>
        <w:ind w:firstLine="480" w:firstLineChars="200"/>
        <w:rPr>
          <w:rFonts w:ascii="宋体" w:hAnsi="宋体"/>
          <w:sz w:val="24"/>
        </w:rPr>
      </w:pPr>
      <w:r>
        <w:rPr>
          <w:rFonts w:ascii="宋体" w:hAnsi="宋体"/>
          <w:sz w:val="24"/>
        </w:rPr>
        <w:t>本条增加第24.4</w:t>
      </w:r>
      <w:r>
        <w:rPr>
          <w:rFonts w:hint="eastAsia" w:ascii="宋体" w:hAnsi="宋体"/>
          <w:sz w:val="24"/>
        </w:rPr>
        <w:t>、</w:t>
      </w:r>
      <w:r>
        <w:rPr>
          <w:rFonts w:ascii="宋体" w:hAnsi="宋体"/>
          <w:sz w:val="24"/>
        </w:rPr>
        <w:t>24.5款（适用于采用仲裁方式最终解决争议的项目）：</w:t>
      </w:r>
    </w:p>
    <w:p>
      <w:pPr>
        <w:adjustRightInd w:val="0"/>
        <w:snapToGrid w:val="0"/>
        <w:spacing w:line="424" w:lineRule="exact"/>
        <w:rPr>
          <w:rFonts w:ascii="宋体" w:hAnsi="宋体"/>
          <w:sz w:val="24"/>
        </w:rPr>
      </w:pPr>
      <w:r>
        <w:rPr>
          <w:rFonts w:ascii="宋体" w:hAnsi="宋体"/>
          <w:sz w:val="24"/>
        </w:rPr>
        <w:t>24.4仲裁</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对于未能友好解决或通过争议评审解决的争议，发包人或承包人任一方均有权提交给第24.1款约定的仲裁委员会仲裁。</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424"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仲裁裁决是终局性的并对发包人和承包人双方具有约束力。</w:t>
      </w:r>
    </w:p>
    <w:p>
      <w:pPr>
        <w:adjustRightInd w:val="0"/>
        <w:snapToGrid w:val="0"/>
        <w:spacing w:line="424" w:lineRule="exact"/>
        <w:ind w:firstLine="480" w:firstLineChars="200"/>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全部仲裁费用应由败诉方承担；或按仲裁委员会裁决的比例分担。</w:t>
      </w:r>
    </w:p>
    <w:p>
      <w:pPr>
        <w:adjustRightInd w:val="0"/>
        <w:snapToGrid w:val="0"/>
        <w:spacing w:line="424" w:lineRule="exact"/>
        <w:ind w:firstLine="480" w:firstLineChars="200"/>
        <w:rPr>
          <w:rFonts w:ascii="宋体" w:hAnsi="宋体"/>
          <w:sz w:val="24"/>
        </w:rPr>
      </w:pPr>
      <w:r>
        <w:rPr>
          <w:rFonts w:ascii="宋体" w:hAnsi="宋体"/>
          <w:sz w:val="24"/>
        </w:rPr>
        <w:t>24.5诉讼</w:t>
      </w:r>
    </w:p>
    <w:p>
      <w:pPr>
        <w:adjustRightInd w:val="0"/>
        <w:snapToGrid w:val="0"/>
        <w:spacing w:line="42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任何一方不履行仲裁机构的裁决的，对方可以向有管辖权的人民法院申请执行。受申请的人民法院应当执行。</w:t>
      </w:r>
    </w:p>
    <w:p>
      <w:pPr>
        <w:adjustRightInd w:val="0"/>
        <w:snapToGrid w:val="0"/>
        <w:spacing w:line="424"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adjustRightInd w:val="0"/>
        <w:snapToGrid w:val="0"/>
        <w:spacing w:line="424" w:lineRule="exact"/>
        <w:ind w:firstLine="480" w:firstLineChars="200"/>
        <w:jc w:val="center"/>
        <w:rPr>
          <w:rFonts w:ascii="宋体" w:hAnsi="宋体"/>
          <w:bCs/>
          <w:sz w:val="24"/>
        </w:rPr>
      </w:pPr>
      <w:r>
        <w:rPr>
          <w:rFonts w:hint="eastAsia" w:ascii="宋体" w:hAnsi="宋体"/>
          <w:bCs/>
          <w:sz w:val="24"/>
        </w:rPr>
        <w:t>B.项目专用合同条款</w:t>
      </w:r>
    </w:p>
    <w:p>
      <w:pPr>
        <w:adjustRightInd w:val="0"/>
        <w:snapToGrid w:val="0"/>
        <w:spacing w:line="424" w:lineRule="exact"/>
        <w:ind w:firstLine="480" w:firstLineChars="200"/>
        <w:rPr>
          <w:rFonts w:ascii="宋体" w:hAnsi="宋体"/>
          <w:sz w:val="24"/>
        </w:rPr>
      </w:pPr>
      <w:r>
        <w:rPr>
          <w:rFonts w:hint="eastAsia" w:ascii="宋体" w:hAnsi="宋体"/>
          <w:sz w:val="24"/>
        </w:rPr>
        <w:t>1.1 考虑养护工程的特殊性，项目工程量增减变量难以去确定，因此项目清单单价杜绝不平衡报价。</w:t>
      </w:r>
    </w:p>
    <w:p>
      <w:pPr>
        <w:adjustRightInd w:val="0"/>
        <w:snapToGrid w:val="0"/>
        <w:spacing w:line="424" w:lineRule="exact"/>
        <w:ind w:firstLine="480" w:firstLineChars="200"/>
        <w:rPr>
          <w:rFonts w:ascii="宋体" w:hAnsi="宋体"/>
          <w:sz w:val="24"/>
        </w:rPr>
      </w:pPr>
      <w:r>
        <w:rPr>
          <w:rFonts w:hint="eastAsia" w:ascii="宋体" w:hAnsi="宋体"/>
          <w:sz w:val="24"/>
        </w:rPr>
        <w:t>1.2施工过程中，对于施工质量差、进度严重滞后的施工单位，发包人可以将其驱逐出场，或者强行分割其承包工程。</w:t>
      </w:r>
    </w:p>
    <w:p>
      <w:pPr>
        <w:adjustRightInd w:val="0"/>
        <w:snapToGrid w:val="0"/>
        <w:spacing w:line="424" w:lineRule="exact"/>
        <w:ind w:firstLine="480" w:firstLineChars="200"/>
        <w:rPr>
          <w:rFonts w:ascii="宋体" w:hAnsi="宋体"/>
          <w:sz w:val="24"/>
        </w:rPr>
      </w:pPr>
      <w:r>
        <w:rPr>
          <w:rFonts w:hint="eastAsia" w:ascii="宋体" w:hAnsi="宋体"/>
          <w:sz w:val="24"/>
        </w:rPr>
        <w:t>1.3本工程质量目标要求竣工为优良工程（以政府公路工程质量监督机构国家验收评定为依据），标段工程质量鉴定得分在90分以上（含90分）。经国家验收，标段工程质量鉴定得分在90分以下未达到优良等级的，质量保证金不予支付，同时在许昌交通建设市场给予通报批评，并上报省交通运输厅建议降低施工单位信用等级评价。</w:t>
      </w:r>
    </w:p>
    <w:p>
      <w:pPr>
        <w:adjustRightInd w:val="0"/>
        <w:snapToGrid w:val="0"/>
        <w:spacing w:line="424" w:lineRule="exact"/>
        <w:ind w:firstLine="480" w:firstLineChars="200"/>
        <w:rPr>
          <w:rFonts w:ascii="宋体" w:hAnsi="宋体"/>
          <w:sz w:val="24"/>
        </w:rPr>
      </w:pPr>
      <w:r>
        <w:rPr>
          <w:rFonts w:hint="eastAsia" w:ascii="宋体" w:hAnsi="宋体"/>
          <w:sz w:val="24"/>
        </w:rPr>
        <w:t>2.1价格调整：</w:t>
      </w:r>
    </w:p>
    <w:p>
      <w:pPr>
        <w:adjustRightInd w:val="0"/>
        <w:snapToGrid w:val="0"/>
        <w:spacing w:line="424" w:lineRule="exact"/>
        <w:ind w:firstLine="480" w:firstLineChars="200"/>
        <w:rPr>
          <w:rFonts w:ascii="宋体" w:hAnsi="宋体"/>
          <w:sz w:val="24"/>
        </w:rPr>
      </w:pPr>
      <w:r>
        <w:rPr>
          <w:rFonts w:hint="eastAsia" w:ascii="宋体" w:hAnsi="宋体"/>
          <w:sz w:val="24"/>
        </w:rPr>
        <w:t>2.1.1调整材料种类：水泥、沥青、中粗砂、碎石。</w:t>
      </w:r>
    </w:p>
    <w:p>
      <w:pPr>
        <w:adjustRightInd w:val="0"/>
        <w:snapToGrid w:val="0"/>
        <w:spacing w:line="424" w:lineRule="exact"/>
        <w:ind w:firstLine="480" w:firstLineChars="200"/>
        <w:rPr>
          <w:rFonts w:ascii="宋体" w:hAnsi="宋体"/>
          <w:sz w:val="24"/>
        </w:rPr>
      </w:pPr>
      <w:r>
        <w:rPr>
          <w:rFonts w:hint="eastAsia" w:ascii="宋体" w:hAnsi="宋体"/>
          <w:sz w:val="24"/>
        </w:rPr>
        <w:t>2.1.2材料基准价格：招标人报价中材料价格。</w:t>
      </w:r>
    </w:p>
    <w:p>
      <w:pPr>
        <w:adjustRightInd w:val="0"/>
        <w:snapToGrid w:val="0"/>
        <w:spacing w:line="424" w:lineRule="exact"/>
        <w:ind w:firstLine="480" w:firstLineChars="200"/>
        <w:rPr>
          <w:rFonts w:ascii="宋体" w:hAnsi="宋体"/>
          <w:sz w:val="24"/>
        </w:rPr>
      </w:pPr>
      <w:r>
        <w:rPr>
          <w:rFonts w:hint="eastAsia" w:ascii="宋体" w:hAnsi="宋体"/>
          <w:sz w:val="24"/>
        </w:rPr>
        <w:t>2.1.3材料数量：以当期计量工程量确定，燃料油数量按照部颁定额消耗量分析方法确定，延期计量的，以实际完成时间计算。材料价格涨、降超出10％的可进行价格调整。</w:t>
      </w:r>
    </w:p>
    <w:p>
      <w:pPr>
        <w:adjustRightInd w:val="0"/>
        <w:snapToGrid w:val="0"/>
        <w:spacing w:line="424" w:lineRule="exact"/>
        <w:ind w:firstLine="480" w:firstLineChars="200"/>
        <w:rPr>
          <w:rFonts w:ascii="宋体" w:hAnsi="宋体"/>
          <w:sz w:val="24"/>
        </w:rPr>
      </w:pPr>
      <w:r>
        <w:rPr>
          <w:rFonts w:hint="eastAsia" w:ascii="宋体" w:hAnsi="宋体"/>
          <w:sz w:val="24"/>
        </w:rPr>
        <w:t>1、当施工单位投标报价中可调材料价格低于基准价格（发包人公示价格）时，只对实际价格涨（降）幅度在基准价10%以外的部分进行调整；</w:t>
      </w:r>
    </w:p>
    <w:p>
      <w:pPr>
        <w:adjustRightInd w:val="0"/>
        <w:snapToGrid w:val="0"/>
        <w:spacing w:line="424" w:lineRule="exact"/>
        <w:ind w:firstLine="480" w:firstLineChars="200"/>
        <w:rPr>
          <w:rFonts w:ascii="宋体" w:hAnsi="宋体"/>
          <w:sz w:val="24"/>
        </w:rPr>
      </w:pPr>
      <w:r>
        <w:rPr>
          <w:rFonts w:hint="eastAsia" w:ascii="宋体" w:hAnsi="宋体"/>
          <w:sz w:val="24"/>
        </w:rPr>
        <w:t>2、当施工单位投标报价中可调材料价格高于基准价格时，只对实际价格涨（降）幅度在投标报价中可调价格10%以外的部分进行调整。</w:t>
      </w:r>
    </w:p>
    <w:p>
      <w:pPr>
        <w:adjustRightInd w:val="0"/>
        <w:snapToGrid w:val="0"/>
        <w:spacing w:line="424" w:lineRule="exact"/>
        <w:ind w:firstLine="480" w:firstLineChars="200"/>
        <w:rPr>
          <w:rFonts w:ascii="宋体" w:hAnsi="宋体"/>
          <w:sz w:val="24"/>
        </w:rPr>
      </w:pPr>
      <w:r>
        <w:rPr>
          <w:rFonts w:hint="eastAsia" w:ascii="宋体" w:hAnsi="宋体"/>
          <w:sz w:val="24"/>
        </w:rPr>
        <w:t>3、双方承担比例：材料价格涨（降）幅度超过10％的部分，由承包人和业主进行协商解决。</w:t>
      </w:r>
    </w:p>
    <w:p>
      <w:pPr>
        <w:adjustRightInd w:val="0"/>
        <w:snapToGrid w:val="0"/>
        <w:spacing w:line="424" w:lineRule="exact"/>
        <w:ind w:firstLine="480" w:firstLineChars="200"/>
        <w:rPr>
          <w:rFonts w:ascii="宋体" w:hAnsi="宋体"/>
          <w:sz w:val="24"/>
        </w:rPr>
      </w:pPr>
      <w:r>
        <w:rPr>
          <w:rFonts w:hint="eastAsia" w:ascii="宋体" w:hAnsi="宋体"/>
          <w:sz w:val="24"/>
        </w:rPr>
        <w:t>4、因施工单位原因造成工期延误的，在延误期间价格变化引起的增加费用由施工单位承担。</w:t>
      </w:r>
    </w:p>
    <w:p>
      <w:pPr>
        <w:adjustRightInd w:val="0"/>
        <w:snapToGrid w:val="0"/>
        <w:spacing w:line="424" w:lineRule="exact"/>
        <w:ind w:firstLine="480" w:firstLineChars="200"/>
        <w:rPr>
          <w:rFonts w:ascii="宋体" w:hAnsi="宋体"/>
          <w:sz w:val="24"/>
        </w:rPr>
      </w:pPr>
      <w:r>
        <w:rPr>
          <w:rFonts w:hint="eastAsia" w:ascii="宋体" w:hAnsi="宋体"/>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adjustRightInd w:val="0"/>
        <w:snapToGrid w:val="0"/>
        <w:spacing w:line="430" w:lineRule="exact"/>
        <w:rPr>
          <w:rFonts w:ascii="宋体" w:hAnsi="宋体"/>
          <w:sz w:val="24"/>
        </w:rPr>
      </w:pPr>
      <w:r>
        <w:rPr>
          <w:rFonts w:hint="eastAsia" w:ascii="宋体" w:hAnsi="宋体"/>
          <w:sz w:val="24"/>
        </w:rPr>
        <w:t>项目专用条款数据表</w:t>
      </w:r>
    </w:p>
    <w:p>
      <w:pPr>
        <w:adjustRightInd w:val="0"/>
        <w:snapToGrid w:val="0"/>
        <w:spacing w:line="430" w:lineRule="exact"/>
        <w:ind w:firstLine="480" w:firstLineChars="200"/>
        <w:rPr>
          <w:rFonts w:ascii="宋体" w:hAnsi="宋体"/>
          <w:sz w:val="24"/>
        </w:rPr>
      </w:pPr>
      <w:r>
        <w:rPr>
          <w:rFonts w:hint="eastAsia" w:ascii="宋体" w:hAnsi="宋体"/>
          <w:sz w:val="24"/>
        </w:rPr>
        <w:t>说明：本数据表是项目专用合同条款中适用于本项目的信息和数据的归纳与提示，是项目专用合同条款的组成部分。第三卷投标函附录中的数据（供投标人确认）与本表所列有重复。编写招标文件的单位应仔细校核，不使数据出现差错或不一致。</w:t>
      </w:r>
    </w:p>
    <w:p>
      <w:pPr>
        <w:adjustRightInd w:val="0"/>
        <w:snapToGrid w:val="0"/>
        <w:spacing w:line="430" w:lineRule="exact"/>
        <w:rPr>
          <w:rFonts w:ascii="宋体" w:hAnsi="宋体"/>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44"/>
        <w:gridCol w:w="92"/>
        <w:gridCol w:w="7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序号</w:t>
            </w:r>
          </w:p>
        </w:tc>
        <w:tc>
          <w:tcPr>
            <w:tcW w:w="113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条款号</w:t>
            </w:r>
          </w:p>
        </w:tc>
        <w:tc>
          <w:tcPr>
            <w:tcW w:w="7794" w:type="dxa"/>
            <w:noWrap w:val="0"/>
            <w:vAlign w:val="center"/>
          </w:tcPr>
          <w:p>
            <w:pPr>
              <w:adjustRightInd w:val="0"/>
              <w:snapToGrid w:val="0"/>
              <w:spacing w:line="430" w:lineRule="exact"/>
              <w:rPr>
                <w:rFonts w:ascii="宋体" w:hAnsi="宋体"/>
                <w:sz w:val="24"/>
              </w:rPr>
            </w:pPr>
            <w:r>
              <w:rPr>
                <w:rFonts w:hint="eastAsia" w:ascii="宋体" w:hAnsi="宋体"/>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1</w:t>
            </w:r>
          </w:p>
        </w:tc>
        <w:tc>
          <w:tcPr>
            <w:tcW w:w="113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1.1.2.2</w:t>
            </w:r>
          </w:p>
        </w:tc>
        <w:tc>
          <w:tcPr>
            <w:tcW w:w="7794" w:type="dxa"/>
            <w:noWrap w:val="0"/>
            <w:vAlign w:val="center"/>
          </w:tcPr>
          <w:p>
            <w:pPr>
              <w:adjustRightInd w:val="0"/>
              <w:snapToGrid w:val="0"/>
              <w:spacing w:line="430" w:lineRule="exact"/>
              <w:rPr>
                <w:rFonts w:hint="eastAsia" w:ascii="宋体" w:hAnsi="宋体"/>
                <w:sz w:val="24"/>
              </w:rPr>
            </w:pPr>
            <w:r>
              <w:rPr>
                <w:rFonts w:hint="eastAsia" w:ascii="宋体" w:hAnsi="宋体"/>
                <w:sz w:val="24"/>
              </w:rPr>
              <w:t>发包人：</w:t>
            </w:r>
            <w:r>
              <w:rPr>
                <w:rFonts w:hint="eastAsia" w:ascii="宋体" w:hAnsi="宋体"/>
                <w:color w:val="000000"/>
                <w:sz w:val="24"/>
              </w:rPr>
              <w:t>长葛市交通运输局</w:t>
            </w:r>
          </w:p>
          <w:p>
            <w:pPr>
              <w:adjustRightInd w:val="0"/>
              <w:snapToGrid w:val="0"/>
              <w:spacing w:line="430" w:lineRule="exact"/>
              <w:rPr>
                <w:rFonts w:ascii="宋体" w:hAnsi="宋体"/>
                <w:sz w:val="24"/>
              </w:rPr>
            </w:pPr>
            <w:r>
              <w:rPr>
                <w:rFonts w:hint="eastAsia" w:ascii="宋体" w:hAnsi="宋体"/>
                <w:sz w:val="24"/>
              </w:rPr>
              <w:t>地址：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2</w:t>
            </w:r>
          </w:p>
        </w:tc>
        <w:tc>
          <w:tcPr>
            <w:tcW w:w="113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1.1.2.6</w:t>
            </w:r>
          </w:p>
        </w:tc>
        <w:tc>
          <w:tcPr>
            <w:tcW w:w="7794" w:type="dxa"/>
            <w:noWrap w:val="0"/>
            <w:vAlign w:val="center"/>
          </w:tcPr>
          <w:p>
            <w:pPr>
              <w:adjustRightInd w:val="0"/>
              <w:snapToGrid w:val="0"/>
              <w:spacing w:line="430" w:lineRule="exact"/>
              <w:rPr>
                <w:rFonts w:ascii="宋体" w:hAnsi="宋体"/>
                <w:sz w:val="24"/>
              </w:rPr>
            </w:pPr>
            <w:r>
              <w:rPr>
                <w:rFonts w:hint="eastAsia" w:ascii="宋体" w:hAnsi="宋体"/>
                <w:sz w:val="24"/>
              </w:rPr>
              <w:t>监理人：</w:t>
            </w:r>
          </w:p>
          <w:p>
            <w:pPr>
              <w:adjustRightInd w:val="0"/>
              <w:snapToGrid w:val="0"/>
              <w:spacing w:line="430" w:lineRule="exact"/>
              <w:rPr>
                <w:rFonts w:ascii="宋体" w:hAnsi="宋体"/>
                <w:sz w:val="24"/>
              </w:rPr>
            </w:pPr>
            <w:r>
              <w:rPr>
                <w:rFonts w:hint="eastAsia" w:ascii="宋体" w:hAnsi="宋体"/>
                <w:sz w:val="24"/>
              </w:rPr>
              <w:t>地  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3</w:t>
            </w:r>
          </w:p>
        </w:tc>
        <w:tc>
          <w:tcPr>
            <w:tcW w:w="113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1.1.4.3</w:t>
            </w:r>
          </w:p>
        </w:tc>
        <w:tc>
          <w:tcPr>
            <w:tcW w:w="7794" w:type="dxa"/>
            <w:noWrap w:val="0"/>
            <w:vAlign w:val="center"/>
          </w:tcPr>
          <w:p>
            <w:pPr>
              <w:adjustRightInd w:val="0"/>
              <w:snapToGrid w:val="0"/>
              <w:spacing w:line="430" w:lineRule="exact"/>
              <w:rPr>
                <w:rFonts w:ascii="宋体" w:hAnsi="宋体"/>
                <w:sz w:val="24"/>
                <w:u w:val="single"/>
              </w:rPr>
            </w:pPr>
            <w:r>
              <w:rPr>
                <w:rFonts w:hint="eastAsia" w:ascii="宋体" w:hAnsi="宋体"/>
                <w:sz w:val="24"/>
              </w:rPr>
              <w:t>工期：</w:t>
            </w:r>
            <w:r>
              <w:rPr>
                <w:rFonts w:hint="eastAsia" w:ascii="宋体" w:hAnsi="宋体"/>
                <w:sz w:val="24"/>
                <w:u w:val="single"/>
              </w:rPr>
              <w:t xml:space="preserve">   </w:t>
            </w:r>
            <w:r>
              <w:rPr>
                <w:rFonts w:hint="eastAsia" w:ascii="宋体" w:hAnsi="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4</w:t>
            </w:r>
          </w:p>
        </w:tc>
        <w:tc>
          <w:tcPr>
            <w:tcW w:w="113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1.1.4.5</w:t>
            </w:r>
          </w:p>
        </w:tc>
        <w:tc>
          <w:tcPr>
            <w:tcW w:w="7794" w:type="dxa"/>
            <w:noWrap w:val="0"/>
            <w:vAlign w:val="center"/>
          </w:tcPr>
          <w:p>
            <w:pPr>
              <w:adjustRightInd w:val="0"/>
              <w:snapToGrid w:val="0"/>
              <w:spacing w:line="430" w:lineRule="exact"/>
              <w:rPr>
                <w:rFonts w:ascii="宋体" w:hAnsi="宋体"/>
                <w:sz w:val="24"/>
              </w:rPr>
            </w:pPr>
            <w:r>
              <w:rPr>
                <w:rFonts w:hint="eastAsia" w:ascii="宋体" w:hAnsi="宋体"/>
                <w:sz w:val="24"/>
              </w:rPr>
              <w:t>缺陷责任期：</w:t>
            </w:r>
            <w:r>
              <w:rPr>
                <w:rFonts w:hint="eastAsia" w:ascii="宋体" w:hAnsi="宋体"/>
                <w:sz w:val="24"/>
                <w:u w:val="single"/>
              </w:rPr>
              <w:t xml:space="preserve">   2   </w:t>
            </w: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5</w:t>
            </w:r>
          </w:p>
        </w:tc>
        <w:tc>
          <w:tcPr>
            <w:tcW w:w="113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1.6.3</w:t>
            </w:r>
          </w:p>
        </w:tc>
        <w:tc>
          <w:tcPr>
            <w:tcW w:w="7794" w:type="dxa"/>
            <w:noWrap w:val="0"/>
            <w:vAlign w:val="center"/>
          </w:tcPr>
          <w:p>
            <w:pPr>
              <w:adjustRightInd w:val="0"/>
              <w:snapToGrid w:val="0"/>
              <w:spacing w:line="430" w:lineRule="exact"/>
              <w:rPr>
                <w:rFonts w:ascii="宋体" w:hAnsi="宋体"/>
                <w:sz w:val="24"/>
                <w:u w:val="single"/>
              </w:rPr>
            </w:pPr>
            <w:r>
              <w:rPr>
                <w:rFonts w:hint="eastAsia" w:ascii="宋体" w:hAnsi="宋体"/>
                <w:sz w:val="24"/>
              </w:rPr>
              <w:t>图纸需要修改和补充的，应由监理人取得发包人同意后，在该工程或工程相应部位施工前</w:t>
            </w:r>
            <w:r>
              <w:rPr>
                <w:rFonts w:hint="eastAsia" w:ascii="宋体" w:hAnsi="宋体"/>
                <w:sz w:val="24"/>
                <w:u w:val="single"/>
              </w:rPr>
              <w:t xml:space="preserve"> 7 </w:t>
            </w:r>
            <w:r>
              <w:rPr>
                <w:rFonts w:hint="eastAsia" w:ascii="宋体" w:hAnsi="宋体"/>
                <w:sz w:val="24"/>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6</w:t>
            </w:r>
          </w:p>
        </w:tc>
        <w:tc>
          <w:tcPr>
            <w:tcW w:w="113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3.1.1</w:t>
            </w:r>
          </w:p>
        </w:tc>
        <w:tc>
          <w:tcPr>
            <w:tcW w:w="7794" w:type="dxa"/>
            <w:noWrap w:val="0"/>
            <w:vAlign w:val="center"/>
          </w:tcPr>
          <w:p>
            <w:pPr>
              <w:adjustRightInd w:val="0"/>
              <w:snapToGrid w:val="0"/>
              <w:spacing w:line="430" w:lineRule="exact"/>
              <w:rPr>
                <w:rFonts w:ascii="宋体" w:hAnsi="宋体"/>
                <w:sz w:val="24"/>
              </w:rPr>
            </w:pPr>
            <w:r>
              <w:rPr>
                <w:rFonts w:hint="eastAsia" w:ascii="宋体" w:hAnsi="宋体"/>
                <w:sz w:val="24"/>
              </w:rPr>
              <w:t>单项工程变更涉及的金额超过了该单项工程原合同价的</w:t>
            </w:r>
            <w:r>
              <w:rPr>
                <w:rFonts w:hint="eastAsia" w:ascii="宋体" w:hAnsi="宋体"/>
                <w:sz w:val="24"/>
                <w:u w:val="single"/>
              </w:rPr>
              <w:t xml:space="preserve">   </w:t>
            </w:r>
            <w:r>
              <w:rPr>
                <w:rFonts w:hint="eastAsia" w:ascii="宋体" w:hAnsi="宋体"/>
                <w:sz w:val="24"/>
              </w:rPr>
              <w:t>%或累计变更超过了原总合同的</w:t>
            </w:r>
            <w:r>
              <w:rPr>
                <w:rFonts w:hint="eastAsia" w:ascii="宋体" w:hAnsi="宋体"/>
                <w:sz w:val="24"/>
                <w:u w:val="single"/>
              </w:rPr>
              <w:t xml:space="preserve">   </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7</w:t>
            </w:r>
          </w:p>
        </w:tc>
        <w:tc>
          <w:tcPr>
            <w:tcW w:w="113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4.2</w:t>
            </w:r>
          </w:p>
        </w:tc>
        <w:tc>
          <w:tcPr>
            <w:tcW w:w="7794" w:type="dxa"/>
            <w:noWrap w:val="0"/>
            <w:vAlign w:val="center"/>
          </w:tcPr>
          <w:p>
            <w:pPr>
              <w:adjustRightInd w:val="0"/>
              <w:snapToGrid w:val="0"/>
              <w:spacing w:line="430" w:lineRule="exact"/>
              <w:rPr>
                <w:rFonts w:ascii="宋体" w:hAnsi="宋体"/>
                <w:sz w:val="24"/>
              </w:rPr>
            </w:pPr>
            <w:r>
              <w:rPr>
                <w:rFonts w:hint="eastAsia" w:ascii="宋体" w:hAnsi="宋体"/>
                <w:sz w:val="24"/>
              </w:rPr>
              <w:t xml:space="preserve">履约担保金额：中标价的10% </w:t>
            </w:r>
          </w:p>
          <w:p>
            <w:pPr>
              <w:adjustRightInd w:val="0"/>
              <w:snapToGrid w:val="0"/>
              <w:spacing w:line="430" w:lineRule="exact"/>
              <w:rPr>
                <w:rFonts w:ascii="宋体" w:hAnsi="宋体"/>
                <w:sz w:val="24"/>
              </w:rPr>
            </w:pPr>
            <w:r>
              <w:rPr>
                <w:rFonts w:hint="eastAsia" w:ascii="宋体" w:hAnsi="宋体"/>
                <w:sz w:val="24"/>
              </w:rPr>
              <w:t>提交履约担保的时间：在签订合同协议书之前</w:t>
            </w:r>
          </w:p>
          <w:p>
            <w:pPr>
              <w:adjustRightInd w:val="0"/>
              <w:snapToGrid w:val="0"/>
              <w:spacing w:line="430" w:lineRule="exact"/>
              <w:rPr>
                <w:rFonts w:ascii="宋体" w:hAnsi="宋体"/>
                <w:sz w:val="24"/>
              </w:rPr>
            </w:pPr>
            <w:r>
              <w:rPr>
                <w:rFonts w:hint="eastAsia" w:ascii="宋体" w:hAnsi="宋体"/>
                <w:sz w:val="24"/>
              </w:rPr>
              <w:t>履约担保形式：中标人从基本账户转出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8</w:t>
            </w:r>
          </w:p>
        </w:tc>
        <w:tc>
          <w:tcPr>
            <w:tcW w:w="113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10.1</w:t>
            </w:r>
          </w:p>
        </w:tc>
        <w:tc>
          <w:tcPr>
            <w:tcW w:w="7794" w:type="dxa"/>
            <w:noWrap w:val="0"/>
            <w:vAlign w:val="center"/>
          </w:tcPr>
          <w:p>
            <w:pPr>
              <w:adjustRightInd w:val="0"/>
              <w:snapToGrid w:val="0"/>
              <w:spacing w:line="430" w:lineRule="exact"/>
              <w:rPr>
                <w:rFonts w:ascii="宋体" w:hAnsi="宋体"/>
                <w:sz w:val="24"/>
              </w:rPr>
            </w:pPr>
            <w:r>
              <w:rPr>
                <w:rFonts w:hint="eastAsia" w:ascii="宋体" w:hAnsi="宋体"/>
                <w:sz w:val="24"/>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9</w:t>
            </w:r>
          </w:p>
        </w:tc>
        <w:tc>
          <w:tcPr>
            <w:tcW w:w="113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10.2</w:t>
            </w:r>
          </w:p>
        </w:tc>
        <w:tc>
          <w:tcPr>
            <w:tcW w:w="7794" w:type="dxa"/>
            <w:noWrap w:val="0"/>
            <w:vAlign w:val="center"/>
          </w:tcPr>
          <w:p>
            <w:pPr>
              <w:adjustRightInd w:val="0"/>
              <w:snapToGrid w:val="0"/>
              <w:spacing w:line="430" w:lineRule="exact"/>
              <w:rPr>
                <w:rFonts w:ascii="宋体" w:hAnsi="宋体"/>
                <w:sz w:val="24"/>
              </w:rPr>
            </w:pPr>
            <w:r>
              <w:rPr>
                <w:rFonts w:hint="eastAsia" w:ascii="宋体" w:hAnsi="宋体"/>
                <w:sz w:val="24"/>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10</w:t>
            </w:r>
          </w:p>
        </w:tc>
        <w:tc>
          <w:tcPr>
            <w:tcW w:w="113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10.4</w:t>
            </w:r>
          </w:p>
        </w:tc>
        <w:tc>
          <w:tcPr>
            <w:tcW w:w="7794" w:type="dxa"/>
            <w:noWrap w:val="0"/>
            <w:vAlign w:val="center"/>
          </w:tcPr>
          <w:p>
            <w:pPr>
              <w:adjustRightInd w:val="0"/>
              <w:snapToGrid w:val="0"/>
              <w:spacing w:line="430" w:lineRule="exact"/>
              <w:rPr>
                <w:rFonts w:ascii="宋体" w:hAnsi="宋体"/>
                <w:sz w:val="24"/>
              </w:rPr>
            </w:pPr>
            <w:r>
              <w:rPr>
                <w:rFonts w:hint="eastAsia" w:ascii="宋体" w:hAnsi="宋体"/>
                <w:sz w:val="24"/>
              </w:rPr>
              <w:t>提交合同用款计划的时间：</w:t>
            </w:r>
          </w:p>
          <w:p>
            <w:pPr>
              <w:adjustRightInd w:val="0"/>
              <w:snapToGrid w:val="0"/>
              <w:spacing w:line="430" w:lineRule="exact"/>
              <w:rPr>
                <w:rFonts w:ascii="宋体" w:hAnsi="宋体"/>
                <w:sz w:val="24"/>
              </w:rPr>
            </w:pPr>
            <w:r>
              <w:rPr>
                <w:rFonts w:hint="eastAsia" w:ascii="宋体" w:hAnsi="宋体"/>
                <w:sz w:val="24"/>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11</w:t>
            </w:r>
          </w:p>
        </w:tc>
        <w:tc>
          <w:tcPr>
            <w:tcW w:w="113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11.1</w:t>
            </w:r>
          </w:p>
        </w:tc>
        <w:tc>
          <w:tcPr>
            <w:tcW w:w="7794" w:type="dxa"/>
            <w:noWrap w:val="0"/>
            <w:vAlign w:val="center"/>
          </w:tcPr>
          <w:p>
            <w:pPr>
              <w:adjustRightInd w:val="0"/>
              <w:snapToGrid w:val="0"/>
              <w:spacing w:line="430" w:lineRule="exact"/>
              <w:rPr>
                <w:rFonts w:ascii="宋体" w:hAnsi="宋体"/>
                <w:sz w:val="24"/>
              </w:rPr>
            </w:pPr>
            <w:r>
              <w:rPr>
                <w:rFonts w:hint="eastAsia" w:ascii="宋体" w:hAnsi="宋体"/>
                <w:sz w:val="24"/>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12</w:t>
            </w:r>
          </w:p>
        </w:tc>
        <w:tc>
          <w:tcPr>
            <w:tcW w:w="113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11.5</w:t>
            </w:r>
          </w:p>
        </w:tc>
        <w:tc>
          <w:tcPr>
            <w:tcW w:w="7794" w:type="dxa"/>
            <w:noWrap w:val="0"/>
            <w:vAlign w:val="center"/>
          </w:tcPr>
          <w:p>
            <w:pPr>
              <w:adjustRightInd w:val="0"/>
              <w:snapToGrid w:val="0"/>
              <w:spacing w:line="430" w:lineRule="exact"/>
              <w:rPr>
                <w:rFonts w:ascii="宋体" w:hAnsi="宋体"/>
                <w:sz w:val="24"/>
              </w:rPr>
            </w:pPr>
            <w:r>
              <w:rPr>
                <w:rFonts w:hint="eastAsia" w:ascii="宋体" w:hAnsi="宋体"/>
                <w:sz w:val="24"/>
              </w:rPr>
              <w:t>逾期竣工违约金：人民币</w:t>
            </w:r>
            <w:r>
              <w:rPr>
                <w:rFonts w:hint="eastAsia" w:ascii="宋体" w:hAnsi="宋体"/>
                <w:sz w:val="24"/>
                <w:u w:val="single"/>
              </w:rPr>
              <w:t xml:space="preserve">  500 </w:t>
            </w:r>
            <w:r>
              <w:rPr>
                <w:rFonts w:hint="eastAsia" w:ascii="宋体" w:hAnsi="宋体"/>
                <w:sz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13</w:t>
            </w:r>
          </w:p>
        </w:tc>
        <w:tc>
          <w:tcPr>
            <w:tcW w:w="113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11.5</w:t>
            </w:r>
          </w:p>
        </w:tc>
        <w:tc>
          <w:tcPr>
            <w:tcW w:w="7794" w:type="dxa"/>
            <w:noWrap w:val="0"/>
            <w:vAlign w:val="center"/>
          </w:tcPr>
          <w:p>
            <w:pPr>
              <w:adjustRightInd w:val="0"/>
              <w:snapToGrid w:val="0"/>
              <w:spacing w:line="430" w:lineRule="exact"/>
              <w:rPr>
                <w:rFonts w:ascii="宋体" w:hAnsi="宋体"/>
                <w:sz w:val="24"/>
              </w:rPr>
            </w:pPr>
            <w:r>
              <w:rPr>
                <w:rFonts w:hint="eastAsia" w:ascii="宋体" w:hAnsi="宋体"/>
                <w:sz w:val="24"/>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14</w:t>
            </w:r>
          </w:p>
        </w:tc>
        <w:tc>
          <w:tcPr>
            <w:tcW w:w="113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11.6</w:t>
            </w:r>
          </w:p>
        </w:tc>
        <w:tc>
          <w:tcPr>
            <w:tcW w:w="7794" w:type="dxa"/>
            <w:noWrap w:val="0"/>
            <w:vAlign w:val="center"/>
          </w:tcPr>
          <w:p>
            <w:pPr>
              <w:adjustRightInd w:val="0"/>
              <w:snapToGrid w:val="0"/>
              <w:spacing w:line="430" w:lineRule="exact"/>
              <w:rPr>
                <w:rFonts w:ascii="宋体" w:hAnsi="宋体"/>
                <w:sz w:val="24"/>
              </w:rPr>
            </w:pPr>
            <w:r>
              <w:rPr>
                <w:rFonts w:hint="eastAsia" w:ascii="宋体" w:hAnsi="宋体"/>
                <w:sz w:val="24"/>
              </w:rPr>
              <w:t>提前竣工的奖金：人民币</w:t>
            </w:r>
            <w:r>
              <w:rPr>
                <w:rFonts w:hint="eastAsia" w:ascii="宋体" w:hAnsi="宋体"/>
                <w:sz w:val="24"/>
                <w:u w:val="single"/>
              </w:rPr>
              <w:t xml:space="preserve">  0 </w:t>
            </w:r>
            <w:r>
              <w:rPr>
                <w:rFonts w:hint="eastAsia" w:ascii="宋体" w:hAnsi="宋体"/>
                <w:sz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15</w:t>
            </w:r>
          </w:p>
        </w:tc>
        <w:tc>
          <w:tcPr>
            <w:tcW w:w="113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11.6</w:t>
            </w:r>
          </w:p>
        </w:tc>
        <w:tc>
          <w:tcPr>
            <w:tcW w:w="7794" w:type="dxa"/>
            <w:noWrap w:val="0"/>
            <w:vAlign w:val="center"/>
          </w:tcPr>
          <w:p>
            <w:pPr>
              <w:adjustRightInd w:val="0"/>
              <w:snapToGrid w:val="0"/>
              <w:spacing w:line="430" w:lineRule="exact"/>
              <w:rPr>
                <w:rFonts w:ascii="宋体" w:hAnsi="宋体"/>
                <w:sz w:val="24"/>
              </w:rPr>
            </w:pPr>
            <w:r>
              <w:rPr>
                <w:rFonts w:hint="eastAsia" w:ascii="宋体" w:hAnsi="宋体"/>
                <w:sz w:val="24"/>
              </w:rPr>
              <w:t>提前竣工的奖金限额：签约合同价的</w:t>
            </w:r>
            <w:r>
              <w:rPr>
                <w:rFonts w:hint="eastAsia" w:ascii="宋体" w:hAnsi="宋体"/>
                <w:sz w:val="24"/>
                <w:u w:val="single"/>
              </w:rPr>
              <w:t xml:space="preserve"> 0 </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序号</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条款号</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16</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15.2.2</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按所节约或增加收益的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17</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16.1</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因物价波动引起的价格调整按照第16.1.1项约定的原则处理或合同期内不调价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18</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17.2.1</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开工预付款比例：   %签约合同价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29</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17.2.1</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材料、设备预付款比例：   等主要材料、设备单据所列费用的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20</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17.3.2</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进度付款申请单：向监理人提交进度付款申请单的份数：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21</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17.3.3</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进度付款申请证书最低限额：签约合同价的  %或人民币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22</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17.3.3</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进度付款支付期限：</w:t>
            </w:r>
          </w:p>
          <w:p>
            <w:pPr>
              <w:adjustRightInd w:val="0"/>
              <w:snapToGrid w:val="0"/>
              <w:spacing w:line="430" w:lineRule="exact"/>
              <w:rPr>
                <w:rFonts w:ascii="宋体" w:hAnsi="宋体"/>
                <w:sz w:val="24"/>
              </w:rPr>
            </w:pPr>
            <w:r>
              <w:rPr>
                <w:rFonts w:hint="eastAsia" w:ascii="宋体" w:hAnsi="宋体"/>
                <w:sz w:val="24"/>
              </w:rPr>
              <w:t>监理人收到进度付款申请单后    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23</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17.3.3</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逾期付款违约金：    ‰/天</w:t>
            </w:r>
            <w:r>
              <w:rPr>
                <w:rFonts w:ascii="宋体" w:hAnsi="宋体"/>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24</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17.4.1</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质量保证金百分比：月支付额的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25</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17.4.1</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质量保证金限额：合同价格的5%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26</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17.5.1</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竣工付款申请单：承包人向监理人提交竣工付款申请单（包括相关证明材料）的份数：  5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27</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17.5.2</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竣工付款支付期限：</w:t>
            </w:r>
          </w:p>
          <w:p>
            <w:pPr>
              <w:adjustRightInd w:val="0"/>
              <w:snapToGrid w:val="0"/>
              <w:spacing w:line="430" w:lineRule="exact"/>
              <w:rPr>
                <w:rFonts w:ascii="宋体" w:hAnsi="宋体"/>
                <w:sz w:val="24"/>
              </w:rPr>
            </w:pPr>
            <w:r>
              <w:rPr>
                <w:rFonts w:hint="eastAsia" w:ascii="宋体" w:hAnsi="宋体"/>
                <w:sz w:val="24"/>
              </w:rPr>
              <w:t>监理人出具工程竣工付款证书后42 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28</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17.6.1</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最终结清申请单：承包人向监理人提交终结清申请单（包括相关证明材料）的份数： 5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29</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17.6.2</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最终付款支付期限：</w:t>
            </w:r>
          </w:p>
          <w:p>
            <w:pPr>
              <w:adjustRightInd w:val="0"/>
              <w:snapToGrid w:val="0"/>
              <w:spacing w:line="430" w:lineRule="exact"/>
              <w:rPr>
                <w:rFonts w:ascii="宋体" w:hAnsi="宋体"/>
                <w:sz w:val="24"/>
              </w:rPr>
            </w:pPr>
            <w:r>
              <w:rPr>
                <w:rFonts w:hint="eastAsia" w:ascii="宋体" w:hAnsi="宋体"/>
                <w:sz w:val="24"/>
              </w:rPr>
              <w:t>监理人出具最终结清证书后 28 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30</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19.7</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保修期： 5  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31</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20.1</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建筑工程一切险的保险费率：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32</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20.4.2</w:t>
            </w:r>
          </w:p>
        </w:tc>
        <w:tc>
          <w:tcPr>
            <w:tcW w:w="7886" w:type="dxa"/>
            <w:gridSpan w:val="2"/>
            <w:noWrap w:val="0"/>
            <w:vAlign w:val="center"/>
          </w:tcPr>
          <w:p>
            <w:pPr>
              <w:adjustRightInd w:val="0"/>
              <w:snapToGrid w:val="0"/>
              <w:spacing w:line="430" w:lineRule="exact"/>
              <w:rPr>
                <w:rFonts w:ascii="宋体" w:hAnsi="宋体"/>
                <w:sz w:val="24"/>
              </w:rPr>
            </w:pPr>
            <w:r>
              <w:rPr>
                <w:rFonts w:hint="eastAsia" w:ascii="宋体" w:hAnsi="宋体"/>
                <w:sz w:val="24"/>
              </w:rPr>
              <w:t>第三者责任的最低投保金额：    万元人民币，事故次数不限（不计免赔额）     保险费率：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66" w:type="dxa"/>
            <w:noWrap w:val="0"/>
            <w:vAlign w:val="center"/>
          </w:tcPr>
          <w:p>
            <w:pPr>
              <w:adjustRightInd w:val="0"/>
              <w:snapToGrid w:val="0"/>
              <w:spacing w:line="430" w:lineRule="exact"/>
              <w:rPr>
                <w:rFonts w:ascii="宋体" w:hAnsi="宋体"/>
                <w:sz w:val="24"/>
              </w:rPr>
            </w:pPr>
            <w:r>
              <w:rPr>
                <w:rFonts w:hint="eastAsia" w:ascii="宋体" w:hAnsi="宋体"/>
                <w:sz w:val="24"/>
              </w:rPr>
              <w:t>33</w:t>
            </w:r>
          </w:p>
        </w:tc>
        <w:tc>
          <w:tcPr>
            <w:tcW w:w="1044" w:type="dxa"/>
            <w:noWrap w:val="0"/>
            <w:vAlign w:val="center"/>
          </w:tcPr>
          <w:p>
            <w:pPr>
              <w:adjustRightInd w:val="0"/>
              <w:snapToGrid w:val="0"/>
              <w:spacing w:line="430" w:lineRule="exact"/>
              <w:rPr>
                <w:rFonts w:ascii="宋体" w:hAnsi="宋体"/>
                <w:sz w:val="24"/>
              </w:rPr>
            </w:pPr>
            <w:r>
              <w:rPr>
                <w:rFonts w:hint="eastAsia" w:ascii="宋体" w:hAnsi="宋体"/>
                <w:sz w:val="24"/>
              </w:rPr>
              <w:t>24.1</w:t>
            </w:r>
          </w:p>
        </w:tc>
        <w:tc>
          <w:tcPr>
            <w:tcW w:w="7886" w:type="dxa"/>
            <w:gridSpan w:val="2"/>
            <w:noWrap w:val="0"/>
            <w:vAlign w:val="center"/>
          </w:tcPr>
          <w:p>
            <w:pPr>
              <w:adjustRightInd w:val="0"/>
              <w:snapToGrid w:val="0"/>
              <w:spacing w:line="430" w:lineRule="exact"/>
              <w:rPr>
                <w:rFonts w:ascii="宋体" w:hAnsi="宋体"/>
                <w:sz w:val="24"/>
                <w:u w:val="single"/>
              </w:rPr>
            </w:pPr>
            <w:r>
              <w:rPr>
                <w:rFonts w:hint="eastAsia" w:ascii="宋体" w:hAnsi="宋体"/>
                <w:sz w:val="24"/>
              </w:rPr>
              <w:t>争议的最终解决方式：</w:t>
            </w:r>
            <w:r>
              <w:rPr>
                <w:rFonts w:hint="eastAsia" w:ascii="宋体" w:hAnsi="宋体"/>
                <w:sz w:val="24"/>
                <w:u w:val="single"/>
              </w:rPr>
              <w:t>仲裁</w:t>
            </w:r>
          </w:p>
          <w:p>
            <w:pPr>
              <w:adjustRightInd w:val="0"/>
              <w:snapToGrid w:val="0"/>
              <w:spacing w:line="430" w:lineRule="exact"/>
              <w:rPr>
                <w:rFonts w:ascii="宋体" w:hAnsi="宋体"/>
                <w:sz w:val="24"/>
              </w:rPr>
            </w:pPr>
            <w:r>
              <w:rPr>
                <w:rFonts w:hint="eastAsia" w:ascii="宋体" w:hAnsi="宋体"/>
                <w:sz w:val="24"/>
              </w:rPr>
              <w:t>仲裁委员会名称</w:t>
            </w:r>
            <w:r>
              <w:rPr>
                <w:rFonts w:hint="eastAsia" w:ascii="宋体" w:hAnsi="宋体"/>
                <w:sz w:val="24"/>
                <w:u w:val="single"/>
              </w:rPr>
              <w:t xml:space="preserve">：许昌市仲裁委员会  </w:t>
            </w:r>
          </w:p>
        </w:tc>
      </w:tr>
    </w:tbl>
    <w:p>
      <w:pPr>
        <w:topLinePunct/>
        <w:adjustRightInd w:val="0"/>
        <w:snapToGrid w:val="0"/>
        <w:spacing w:before="240" w:after="240" w:line="430" w:lineRule="exact"/>
        <w:jc w:val="center"/>
        <w:rPr>
          <w:rFonts w:ascii="宋体" w:hAnsi="宋体" w:cs="仿宋"/>
          <w:b/>
          <w:sz w:val="24"/>
        </w:rPr>
      </w:pPr>
      <w:r>
        <w:rPr>
          <w:rFonts w:ascii="宋体" w:hAnsi="宋体"/>
          <w:sz w:val="24"/>
        </w:rPr>
        <w:br w:type="page"/>
      </w:r>
      <w:r>
        <w:rPr>
          <w:rFonts w:hint="eastAsia" w:ascii="宋体" w:hAnsi="宋体" w:cs="仿宋"/>
          <w:b/>
          <w:sz w:val="24"/>
        </w:rPr>
        <w:t>项目专用合同条款</w:t>
      </w:r>
    </w:p>
    <w:p>
      <w:pPr>
        <w:topLinePunct/>
        <w:adjustRightInd w:val="0"/>
        <w:snapToGrid w:val="0"/>
        <w:spacing w:line="430" w:lineRule="exact"/>
        <w:rPr>
          <w:rFonts w:ascii="宋体" w:hAnsi="宋体" w:cs="仿宋"/>
          <w:b/>
          <w:sz w:val="24"/>
        </w:rPr>
      </w:pPr>
      <w:r>
        <w:rPr>
          <w:rFonts w:hint="eastAsia" w:ascii="宋体" w:hAnsi="宋体" w:cs="仿宋"/>
          <w:b/>
          <w:sz w:val="24"/>
        </w:rPr>
        <w:t>1.1.1合同</w:t>
      </w:r>
    </w:p>
    <w:p>
      <w:pPr>
        <w:topLinePunct/>
        <w:adjustRightInd w:val="0"/>
        <w:snapToGrid w:val="0"/>
        <w:spacing w:line="430" w:lineRule="exact"/>
        <w:rPr>
          <w:rFonts w:ascii="宋体" w:hAnsi="宋体" w:cs="仿宋"/>
          <w:b/>
          <w:sz w:val="24"/>
        </w:rPr>
      </w:pPr>
      <w:r>
        <w:rPr>
          <w:rFonts w:hint="eastAsia" w:ascii="宋体" w:hAnsi="宋体" w:cs="仿宋"/>
          <w:b/>
          <w:sz w:val="24"/>
        </w:rPr>
        <w:t>增加1.1.1.10条</w:t>
      </w:r>
    </w:p>
    <w:p>
      <w:pPr>
        <w:topLinePunct/>
        <w:adjustRightInd w:val="0"/>
        <w:snapToGrid w:val="0"/>
        <w:spacing w:line="430" w:lineRule="exact"/>
        <w:ind w:firstLine="482" w:firstLineChars="200"/>
        <w:rPr>
          <w:rFonts w:ascii="宋体" w:hAnsi="宋体" w:cs="仿宋"/>
          <w:b/>
          <w:sz w:val="24"/>
        </w:rPr>
      </w:pPr>
      <w:r>
        <w:rPr>
          <w:rFonts w:hint="eastAsia" w:ascii="宋体" w:hAnsi="宋体" w:cs="仿宋"/>
          <w:b/>
          <w:sz w:val="24"/>
        </w:rPr>
        <w:t>发包人下发的管理文件：发包人为使项目达到合同约定的质量、造价、进度、安全、保通、文明等一系列目标，在项目实施期间制定的相关管理、实施办法、方案等文件。</w:t>
      </w:r>
    </w:p>
    <w:p>
      <w:pPr>
        <w:topLinePunct/>
        <w:adjustRightInd w:val="0"/>
        <w:snapToGrid w:val="0"/>
        <w:spacing w:line="430" w:lineRule="exact"/>
        <w:rPr>
          <w:rFonts w:ascii="宋体" w:hAnsi="宋体" w:cs="仿宋"/>
          <w:sz w:val="24"/>
          <w:u w:val="single"/>
        </w:rPr>
      </w:pPr>
      <w:r>
        <w:rPr>
          <w:rFonts w:hint="eastAsia" w:ascii="宋体" w:hAnsi="宋体" w:cs="仿宋"/>
          <w:sz w:val="24"/>
        </w:rPr>
        <w:t>1.4合同文件的优先顺序：</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在本款1.4(12)后增加:</w:t>
      </w:r>
      <w:r>
        <w:rPr>
          <w:rFonts w:hint="eastAsia" w:ascii="宋体" w:hAnsi="宋体" w:cs="仿宋"/>
          <w:b/>
          <w:sz w:val="24"/>
        </w:rPr>
        <w:t>(13)施工组织设计；（14）项目经理委任书；(15) 农民工工资支付承诺书；（16）发包人下发的管理文件。</w:t>
      </w:r>
      <w:r>
        <w:rPr>
          <w:rFonts w:hint="eastAsia" w:ascii="宋体" w:hAnsi="宋体" w:cs="仿宋"/>
          <w:sz w:val="24"/>
        </w:rPr>
        <w:t>将原1.4（13）子款修正为1.4(17)子款：“构成本合同组成部分的任何其他文件。”</w:t>
      </w:r>
    </w:p>
    <w:p>
      <w:pPr>
        <w:topLinePunct/>
        <w:adjustRightInd w:val="0"/>
        <w:snapToGrid w:val="0"/>
        <w:spacing w:line="430" w:lineRule="exact"/>
        <w:rPr>
          <w:rFonts w:ascii="宋体" w:hAnsi="宋体" w:cs="仿宋"/>
          <w:sz w:val="24"/>
          <w:u w:val="single"/>
        </w:rPr>
      </w:pPr>
      <w:r>
        <w:rPr>
          <w:rFonts w:hint="eastAsia" w:ascii="宋体" w:hAnsi="宋体" w:cs="仿宋"/>
          <w:sz w:val="24"/>
        </w:rPr>
        <w:t>1.7.2来往函件送达的期限：</w:t>
      </w:r>
      <w:r>
        <w:rPr>
          <w:rFonts w:hint="eastAsia" w:ascii="宋体" w:hAnsi="宋体" w:cs="仿宋"/>
          <w:bCs/>
          <w:sz w:val="24"/>
          <w:u w:val="single"/>
        </w:rPr>
        <w:t xml:space="preserve"> 3天内</w:t>
      </w:r>
    </w:p>
    <w:p>
      <w:pPr>
        <w:topLinePunct/>
        <w:adjustRightInd w:val="0"/>
        <w:snapToGrid w:val="0"/>
        <w:spacing w:line="430" w:lineRule="exact"/>
        <w:rPr>
          <w:rFonts w:ascii="宋体" w:hAnsi="宋体" w:cs="仿宋"/>
          <w:sz w:val="24"/>
          <w:u w:val="single"/>
        </w:rPr>
      </w:pPr>
      <w:r>
        <w:rPr>
          <w:rFonts w:hint="eastAsia" w:ascii="宋体" w:hAnsi="宋体" w:cs="仿宋"/>
          <w:sz w:val="24"/>
        </w:rPr>
        <w:t>4.1.2依法纳税：国家及地方法律、法规规定应缴纳的一切税费</w:t>
      </w:r>
    </w:p>
    <w:p>
      <w:pPr>
        <w:topLinePunct/>
        <w:adjustRightInd w:val="0"/>
        <w:snapToGrid w:val="0"/>
        <w:spacing w:line="430" w:lineRule="exact"/>
        <w:rPr>
          <w:rFonts w:ascii="宋体" w:hAnsi="宋体" w:cs="仿宋"/>
          <w:sz w:val="24"/>
        </w:rPr>
      </w:pPr>
      <w:r>
        <w:rPr>
          <w:rFonts w:hint="eastAsia" w:ascii="宋体" w:hAnsi="宋体" w:cs="仿宋"/>
          <w:sz w:val="24"/>
        </w:rPr>
        <w:t>4.1.8为他人提供方便</w:t>
      </w:r>
    </w:p>
    <w:p>
      <w:pPr>
        <w:topLinePunct/>
        <w:adjustRightInd w:val="0"/>
        <w:snapToGrid w:val="0"/>
        <w:spacing w:line="430" w:lineRule="exact"/>
        <w:ind w:firstLine="672" w:firstLineChars="280"/>
        <w:rPr>
          <w:rFonts w:ascii="宋体" w:hAnsi="宋体" w:cs="仿宋"/>
          <w:bCs/>
          <w:sz w:val="24"/>
          <w:u w:val="single"/>
        </w:rPr>
      </w:pPr>
      <w:r>
        <w:rPr>
          <w:rFonts w:hint="eastAsia" w:ascii="宋体" w:hAnsi="宋体" w:cs="仿宋"/>
          <w:sz w:val="24"/>
        </w:rPr>
        <w:t>承包人为他人提供条件的内容：</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1、工程用地红线以外临时用地等有关问题由施工单位与当地群众协调，协调过程中所发生的费用由承包商承担；</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2、承包商应与地方政府、各部门及当地群众搞好关系，自觉遵守村规民约、法律、法规；</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3、因施工过程中造成道路、房屋以及其他沿线设施的损坏，由承包商负责赔偿；</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4、有经验的承包商，应当能够预见在施工过程中，因意外造成的停工停产以及其它原因所产生的相应费用，其费用包含在报价中。</w:t>
      </w:r>
    </w:p>
    <w:p>
      <w:pPr>
        <w:topLinePunct/>
        <w:adjustRightInd w:val="0"/>
        <w:snapToGrid w:val="0"/>
        <w:spacing w:line="430" w:lineRule="exact"/>
        <w:ind w:firstLine="672" w:firstLineChars="280"/>
        <w:rPr>
          <w:rFonts w:ascii="宋体" w:hAnsi="宋体" w:cs="仿宋"/>
          <w:bCs/>
          <w:sz w:val="24"/>
        </w:rPr>
      </w:pPr>
      <w:r>
        <w:rPr>
          <w:rFonts w:hint="eastAsia" w:ascii="宋体" w:hAnsi="宋体" w:cs="仿宋"/>
          <w:sz w:val="24"/>
        </w:rPr>
        <w:t>承包人为他人提供条件可能发生费用的处理方法</w:t>
      </w:r>
      <w:r>
        <w:rPr>
          <w:rFonts w:hint="eastAsia" w:ascii="宋体" w:hAnsi="宋体" w:cs="仿宋"/>
          <w:color w:val="000000"/>
          <w:sz w:val="24"/>
        </w:rPr>
        <w:t>：</w:t>
      </w:r>
      <w:r>
        <w:rPr>
          <w:rFonts w:hint="eastAsia" w:ascii="宋体" w:hAnsi="宋体" w:cs="仿宋"/>
          <w:bCs/>
          <w:color w:val="000000"/>
          <w:sz w:val="24"/>
        </w:rPr>
        <w:t>由此产生的一切费用由承包人自行负责，应综合考虑到报价中，不再单独计量</w:t>
      </w:r>
    </w:p>
    <w:p>
      <w:pPr>
        <w:topLinePunct/>
        <w:adjustRightInd w:val="0"/>
        <w:snapToGrid w:val="0"/>
        <w:spacing w:line="430" w:lineRule="exact"/>
        <w:rPr>
          <w:rFonts w:ascii="宋体" w:hAnsi="宋体" w:cs="仿宋"/>
          <w:sz w:val="24"/>
        </w:rPr>
      </w:pPr>
      <w:r>
        <w:rPr>
          <w:rFonts w:hint="eastAsia" w:ascii="宋体" w:hAnsi="宋体" w:cs="仿宋"/>
          <w:sz w:val="24"/>
        </w:rPr>
        <w:t>4.1.10其他义务</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明确第（5）条款：积极配合好与本项目相关的审计和稽查工作。</w:t>
      </w:r>
    </w:p>
    <w:p>
      <w:pPr>
        <w:topLinePunct/>
        <w:adjustRightInd w:val="0"/>
        <w:snapToGrid w:val="0"/>
        <w:spacing w:line="430" w:lineRule="exact"/>
        <w:rPr>
          <w:rFonts w:ascii="宋体" w:hAnsi="宋体" w:cs="仿宋"/>
          <w:color w:val="000000"/>
          <w:sz w:val="24"/>
        </w:rPr>
      </w:pPr>
      <w:r>
        <w:rPr>
          <w:rFonts w:hint="eastAsia" w:ascii="宋体" w:hAnsi="宋体" w:cs="仿宋"/>
          <w:sz w:val="24"/>
        </w:rPr>
        <w:t>4.2履约担保：现金或银行保函，投标人采用现金形式提交的，应从基本账户一次性汇入指定账户；采用银行保函形式的，出具履约担保的银行级别：具有开保函资格和所</w:t>
      </w:r>
      <w:r>
        <w:rPr>
          <w:rFonts w:hint="eastAsia" w:ascii="宋体" w:hAnsi="宋体" w:cs="仿宋"/>
          <w:color w:val="000000"/>
          <w:sz w:val="24"/>
        </w:rPr>
        <w:t>需额度的信誉良好的国内地市级以上（含地市级）的全国性商业银行分行或支行。</w:t>
      </w:r>
    </w:p>
    <w:p>
      <w:pPr>
        <w:topLinePunct/>
        <w:adjustRightInd w:val="0"/>
        <w:snapToGrid w:val="0"/>
        <w:spacing w:line="430" w:lineRule="exact"/>
        <w:rPr>
          <w:rFonts w:ascii="宋体" w:hAnsi="宋体" w:cs="仿宋"/>
          <w:sz w:val="24"/>
        </w:rPr>
      </w:pPr>
      <w:r>
        <w:rPr>
          <w:rFonts w:hint="eastAsia" w:ascii="宋体" w:hAnsi="宋体" w:cs="仿宋"/>
          <w:sz w:val="24"/>
        </w:rPr>
        <w:t>4.6.3本款细化为：承包人安排在施工场地的主要管理人员和技术骨干应与投标文件所承诺的名单一致，并保持相对稳定，原则上不充许更换，如确需要更换人员，更换比例不得超出投标文件人员承诺书中人员总数的30%。合同签订时进场人员（拟投入关键人员承诺书所列人员）如需更</w:t>
      </w:r>
      <w:r>
        <w:rPr>
          <w:rFonts w:hint="eastAsia" w:ascii="宋体" w:hAnsi="宋体" w:cs="仿宋"/>
          <w:color w:val="000000"/>
          <w:sz w:val="24"/>
        </w:rPr>
        <w:t>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30万元/每人次；合同中的其他人员（拟投入关键人员承诺书所列人员）一旦擅自更换，发包人对承包人处罚20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w:t>
      </w:r>
      <w:r>
        <w:rPr>
          <w:rFonts w:hint="eastAsia" w:ascii="宋体" w:hAnsi="宋体" w:cs="仿宋"/>
          <w:sz w:val="24"/>
        </w:rPr>
        <w:t>替换。</w:t>
      </w:r>
    </w:p>
    <w:p>
      <w:pPr>
        <w:topLinePunct/>
        <w:adjustRightInd w:val="0"/>
        <w:snapToGrid w:val="0"/>
        <w:spacing w:line="430" w:lineRule="exact"/>
        <w:ind w:firstLine="480"/>
        <w:rPr>
          <w:rFonts w:ascii="宋体" w:hAnsi="宋体" w:cs="仿宋"/>
          <w:sz w:val="24"/>
        </w:rPr>
      </w:pPr>
      <w:r>
        <w:rPr>
          <w:rFonts w:hint="eastAsia" w:ascii="宋体" w:hAnsi="宋体" w:cs="仿宋"/>
          <w:sz w:val="24"/>
        </w:rPr>
        <w:t>合同签订时进场人员（拟投入关键人员承诺书所列人员）的资格证书原件交由发包人保管，直至工程交工验收。</w:t>
      </w:r>
    </w:p>
    <w:p>
      <w:pPr>
        <w:topLinePunct/>
        <w:adjustRightInd w:val="0"/>
        <w:snapToGrid w:val="0"/>
        <w:spacing w:line="430" w:lineRule="exact"/>
        <w:rPr>
          <w:rFonts w:ascii="宋体" w:hAnsi="宋体" w:cs="仿宋"/>
          <w:sz w:val="24"/>
        </w:rPr>
      </w:pPr>
      <w:r>
        <w:rPr>
          <w:rFonts w:hint="eastAsia" w:ascii="宋体" w:hAnsi="宋体" w:cs="仿宋"/>
          <w:sz w:val="24"/>
        </w:rPr>
        <w:t>4.11.1不利物质条件的范围：指承包人在施工场地遇到的不可预见的自然物质条件、非自然的物质障碍和污染物，包括地下和水文条件，但不包括气候条件。</w:t>
      </w:r>
    </w:p>
    <w:p>
      <w:pPr>
        <w:topLinePunct/>
        <w:adjustRightInd w:val="0"/>
        <w:snapToGrid w:val="0"/>
        <w:spacing w:line="430" w:lineRule="exact"/>
        <w:rPr>
          <w:rFonts w:ascii="宋体" w:hAnsi="宋体" w:cs="仿宋"/>
          <w:sz w:val="24"/>
        </w:rPr>
      </w:pPr>
      <w:r>
        <w:rPr>
          <w:rFonts w:hint="eastAsia" w:ascii="宋体" w:hAnsi="宋体" w:cs="仿宋"/>
          <w:sz w:val="24"/>
        </w:rPr>
        <w:t>8.1.1发包人向承包人提供测量准点、基准线和水准点及其书面资料的时间：</w:t>
      </w:r>
    </w:p>
    <w:p>
      <w:pPr>
        <w:topLinePunct/>
        <w:adjustRightInd w:val="0"/>
        <w:snapToGrid w:val="0"/>
        <w:spacing w:line="430" w:lineRule="exact"/>
        <w:rPr>
          <w:rFonts w:ascii="宋体" w:hAnsi="宋体" w:cs="仿宋"/>
          <w:sz w:val="24"/>
        </w:rPr>
      </w:pPr>
      <w:r>
        <w:rPr>
          <w:rFonts w:hint="eastAsia" w:ascii="宋体" w:hAnsi="宋体" w:cs="仿宋"/>
          <w:sz w:val="24"/>
        </w:rPr>
        <w:t>合同签订后，开工令发出之日前。承包人向监理人报送施工控制网资料的时间：合同签订后，开工令发出之日前。</w:t>
      </w:r>
    </w:p>
    <w:p>
      <w:pPr>
        <w:topLinePunct/>
        <w:adjustRightInd w:val="0"/>
        <w:snapToGrid w:val="0"/>
        <w:spacing w:line="430" w:lineRule="exact"/>
        <w:rPr>
          <w:rFonts w:ascii="宋体" w:hAnsi="宋体" w:cs="仿宋"/>
          <w:color w:val="000000"/>
          <w:sz w:val="24"/>
        </w:rPr>
      </w:pPr>
      <w:r>
        <w:rPr>
          <w:rFonts w:hint="eastAsia" w:ascii="宋体" w:hAnsi="宋体" w:cs="仿宋"/>
          <w:sz w:val="24"/>
        </w:rPr>
        <w:t>9.2承包人的施工安全责任：</w:t>
      </w:r>
      <w:r>
        <w:rPr>
          <w:rFonts w:hint="eastAsia" w:ascii="宋体" w:hAnsi="宋体" w:cs="仿宋"/>
          <w:color w:val="000000"/>
          <w:sz w:val="24"/>
        </w:rPr>
        <w:t>按公路工程标准施工招标文件（2009版）公路工程专用合同条款执行。</w:t>
      </w:r>
    </w:p>
    <w:p>
      <w:pPr>
        <w:topLinePunct/>
        <w:adjustRightInd w:val="0"/>
        <w:snapToGrid w:val="0"/>
        <w:spacing w:line="430" w:lineRule="exact"/>
        <w:rPr>
          <w:rFonts w:ascii="宋体" w:hAnsi="宋体" w:cs="仿宋"/>
          <w:sz w:val="24"/>
        </w:rPr>
      </w:pPr>
      <w:r>
        <w:rPr>
          <w:rFonts w:hint="eastAsia" w:ascii="宋体" w:hAnsi="宋体" w:cs="仿宋"/>
          <w:sz w:val="24"/>
        </w:rPr>
        <w:t>10.1合同进度计划</w:t>
      </w:r>
    </w:p>
    <w:p>
      <w:pPr>
        <w:topLinePunct/>
        <w:adjustRightInd w:val="0"/>
        <w:snapToGrid w:val="0"/>
        <w:spacing w:line="430" w:lineRule="exact"/>
        <w:rPr>
          <w:rFonts w:ascii="宋体" w:hAnsi="宋体" w:cs="仿宋"/>
          <w:sz w:val="24"/>
        </w:rPr>
      </w:pPr>
      <w:r>
        <w:rPr>
          <w:rFonts w:hint="eastAsia" w:ascii="宋体" w:hAnsi="宋体" w:cs="仿宋"/>
          <w:sz w:val="24"/>
        </w:rPr>
        <w:t>承包人编制施工方案的内容：</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1、施工组织设计的文字说明。</w:t>
      </w:r>
    </w:p>
    <w:p>
      <w:pPr>
        <w:topLinePunct/>
        <w:adjustRightInd w:val="0"/>
        <w:snapToGrid w:val="0"/>
        <w:spacing w:line="430" w:lineRule="exact"/>
        <w:ind w:firstLine="960" w:firstLineChars="400"/>
        <w:rPr>
          <w:rFonts w:ascii="宋体" w:hAnsi="宋体" w:cs="仿宋"/>
          <w:sz w:val="24"/>
        </w:rPr>
      </w:pPr>
      <w:r>
        <w:rPr>
          <w:rFonts w:hint="eastAsia" w:ascii="宋体" w:hAnsi="宋体" w:cs="仿宋"/>
          <w:sz w:val="24"/>
        </w:rPr>
        <w:t>1）设备、人员动员周期和设备、人员、材料运到施工现场的方法；</w:t>
      </w:r>
    </w:p>
    <w:p>
      <w:pPr>
        <w:topLinePunct/>
        <w:adjustRightInd w:val="0"/>
        <w:snapToGrid w:val="0"/>
        <w:spacing w:line="430" w:lineRule="exact"/>
        <w:ind w:firstLine="960" w:firstLineChars="400"/>
        <w:rPr>
          <w:rFonts w:ascii="宋体" w:hAnsi="宋体" w:cs="仿宋"/>
          <w:sz w:val="24"/>
        </w:rPr>
      </w:pPr>
      <w:r>
        <w:rPr>
          <w:rFonts w:hint="eastAsia" w:ascii="宋体" w:hAnsi="宋体" w:cs="仿宋"/>
          <w:sz w:val="24"/>
        </w:rPr>
        <w:t>2）施工便道修建方案；</w:t>
      </w:r>
    </w:p>
    <w:p>
      <w:pPr>
        <w:topLinePunct/>
        <w:adjustRightInd w:val="0"/>
        <w:snapToGrid w:val="0"/>
        <w:spacing w:line="430" w:lineRule="exact"/>
        <w:ind w:firstLine="960" w:firstLineChars="400"/>
        <w:rPr>
          <w:rFonts w:ascii="宋体" w:hAnsi="宋体" w:cs="仿宋"/>
          <w:sz w:val="24"/>
        </w:rPr>
      </w:pPr>
      <w:r>
        <w:rPr>
          <w:rFonts w:hint="eastAsia" w:ascii="宋体" w:hAnsi="宋体" w:cs="仿宋"/>
          <w:sz w:val="24"/>
        </w:rPr>
        <w:t>3)主要工程项目的施工方案、施工方法；各分项工程的施工顺序；重点（关键）和难点工程的施工方案、方法及其措施；</w:t>
      </w:r>
    </w:p>
    <w:p>
      <w:pPr>
        <w:topLinePunct/>
        <w:adjustRightInd w:val="0"/>
        <w:snapToGrid w:val="0"/>
        <w:spacing w:line="430" w:lineRule="exact"/>
        <w:ind w:firstLine="960" w:firstLineChars="400"/>
        <w:rPr>
          <w:rFonts w:ascii="宋体" w:hAnsi="宋体" w:cs="仿宋"/>
          <w:sz w:val="24"/>
        </w:rPr>
      </w:pPr>
      <w:r>
        <w:rPr>
          <w:rFonts w:hint="eastAsia" w:ascii="宋体" w:hAnsi="宋体" w:cs="仿宋"/>
          <w:sz w:val="24"/>
        </w:rPr>
        <w:t>4）工期进度安排：应编制施工总体计划表（横道图及网络图形式），详细说明整个工程开、竣工日期及分阶段计划安排；保证工期的措施。</w:t>
      </w:r>
    </w:p>
    <w:p>
      <w:pPr>
        <w:topLinePunct/>
        <w:adjustRightInd w:val="0"/>
        <w:snapToGrid w:val="0"/>
        <w:spacing w:line="430" w:lineRule="exact"/>
        <w:ind w:firstLine="960" w:firstLineChars="400"/>
        <w:rPr>
          <w:rFonts w:ascii="宋体" w:hAnsi="宋体" w:cs="仿宋"/>
          <w:sz w:val="24"/>
        </w:rPr>
      </w:pPr>
      <w:r>
        <w:rPr>
          <w:rFonts w:hint="eastAsia" w:ascii="宋体" w:hAnsi="宋体" w:cs="仿宋"/>
          <w:sz w:val="24"/>
        </w:rPr>
        <w:t>5）确保质量的措施：质保体系的建立；质量目标的制定；明确各分部、分项工程的质量控制重点，并提出对可能出现的质量问题的事前、事中、事后控制的处理措施；消除质量通病的方法和措施；</w:t>
      </w:r>
    </w:p>
    <w:p>
      <w:pPr>
        <w:topLinePunct/>
        <w:adjustRightInd w:val="0"/>
        <w:snapToGrid w:val="0"/>
        <w:spacing w:line="430" w:lineRule="exact"/>
        <w:ind w:firstLine="960" w:firstLineChars="400"/>
        <w:rPr>
          <w:rFonts w:ascii="宋体" w:hAnsi="宋体" w:cs="仿宋"/>
          <w:sz w:val="24"/>
        </w:rPr>
      </w:pPr>
      <w:r>
        <w:rPr>
          <w:rFonts w:hint="eastAsia" w:ascii="宋体" w:hAnsi="宋体" w:cs="仿宋"/>
          <w:sz w:val="24"/>
        </w:rPr>
        <w:t>6）冬季和雨季的施工安排；</w:t>
      </w:r>
    </w:p>
    <w:p>
      <w:pPr>
        <w:topLinePunct/>
        <w:adjustRightInd w:val="0"/>
        <w:snapToGrid w:val="0"/>
        <w:spacing w:line="430" w:lineRule="exact"/>
        <w:ind w:firstLine="960" w:firstLineChars="400"/>
        <w:rPr>
          <w:rFonts w:ascii="宋体" w:hAnsi="宋体" w:cs="仿宋"/>
          <w:sz w:val="24"/>
        </w:rPr>
      </w:pPr>
      <w:r>
        <w:rPr>
          <w:rFonts w:hint="eastAsia" w:ascii="宋体" w:hAnsi="宋体" w:cs="仿宋"/>
          <w:sz w:val="24"/>
        </w:rPr>
        <w:t>7）安全生产、文明施工及环保措施；</w:t>
      </w:r>
    </w:p>
    <w:p>
      <w:pPr>
        <w:topLinePunct/>
        <w:adjustRightInd w:val="0"/>
        <w:snapToGrid w:val="0"/>
        <w:spacing w:line="430" w:lineRule="exact"/>
        <w:ind w:firstLine="960" w:firstLineChars="400"/>
        <w:rPr>
          <w:rFonts w:ascii="宋体" w:hAnsi="宋体" w:cs="仿宋"/>
          <w:sz w:val="24"/>
        </w:rPr>
      </w:pPr>
      <w:r>
        <w:rPr>
          <w:rFonts w:hint="eastAsia" w:ascii="宋体" w:hAnsi="宋体" w:cs="仿宋"/>
          <w:sz w:val="24"/>
        </w:rPr>
        <w:t>8）与其它在建工程施工单位之间的配合、协调；</w:t>
      </w:r>
    </w:p>
    <w:p>
      <w:pPr>
        <w:topLinePunct/>
        <w:adjustRightInd w:val="0"/>
        <w:snapToGrid w:val="0"/>
        <w:spacing w:line="430" w:lineRule="exact"/>
        <w:ind w:firstLine="960" w:firstLineChars="400"/>
        <w:rPr>
          <w:rFonts w:ascii="宋体" w:hAnsi="宋体" w:cs="仿宋"/>
          <w:sz w:val="24"/>
        </w:rPr>
      </w:pPr>
      <w:r>
        <w:rPr>
          <w:rFonts w:hint="eastAsia" w:ascii="宋体" w:hAnsi="宋体" w:cs="仿宋"/>
          <w:sz w:val="24"/>
        </w:rPr>
        <w:t>9）其它应说明的事项。</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 xml:space="preserve">2、分项工程进度率计划 </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3、工程管理曲线</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4、施工总平面布置</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5、主要分项工程施工工艺框图</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6、分项工程生产率和施工周期表</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7、施工总体计划表</w:t>
      </w:r>
    </w:p>
    <w:p>
      <w:pPr>
        <w:topLinePunct/>
        <w:adjustRightInd w:val="0"/>
        <w:snapToGrid w:val="0"/>
        <w:spacing w:line="430" w:lineRule="exact"/>
        <w:rPr>
          <w:rFonts w:ascii="宋体" w:hAnsi="宋体" w:cs="仿宋"/>
          <w:sz w:val="24"/>
        </w:rPr>
      </w:pPr>
      <w:r>
        <w:rPr>
          <w:rFonts w:hint="eastAsia" w:ascii="宋体" w:hAnsi="宋体" w:cs="仿宋"/>
          <w:sz w:val="24"/>
        </w:rPr>
        <w:t>11.4异常恶劣的气候条件： 本合同工程指发生烈度为七度以上地震、龙卷风、超过百年一遇洪水位等引起的延误情况。</w:t>
      </w:r>
    </w:p>
    <w:p>
      <w:pPr>
        <w:topLinePunct/>
        <w:adjustRightInd w:val="0"/>
        <w:snapToGrid w:val="0"/>
        <w:spacing w:line="430" w:lineRule="exact"/>
        <w:rPr>
          <w:rFonts w:ascii="宋体" w:hAnsi="宋体" w:cs="仿宋"/>
          <w:color w:val="000000"/>
          <w:sz w:val="24"/>
        </w:rPr>
      </w:pPr>
      <w:r>
        <w:rPr>
          <w:rFonts w:hint="eastAsia" w:ascii="宋体" w:hAnsi="宋体" w:cs="仿宋"/>
          <w:color w:val="000000"/>
          <w:sz w:val="24"/>
        </w:rPr>
        <w:t>11.5承包人的工期延误：工期延误违约金：人民币5000 元/天，限额为合同价的10%</w:t>
      </w:r>
    </w:p>
    <w:p>
      <w:pPr>
        <w:topLinePunct/>
        <w:adjustRightInd w:val="0"/>
        <w:snapToGrid w:val="0"/>
        <w:spacing w:line="430" w:lineRule="exact"/>
        <w:rPr>
          <w:rFonts w:ascii="宋体" w:hAnsi="宋体" w:cs="仿宋"/>
          <w:color w:val="000000"/>
          <w:sz w:val="24"/>
        </w:rPr>
      </w:pPr>
      <w:r>
        <w:rPr>
          <w:rFonts w:hint="eastAsia" w:ascii="宋体" w:hAnsi="宋体" w:cs="仿宋"/>
          <w:color w:val="000000"/>
          <w:sz w:val="24"/>
        </w:rPr>
        <w:t>11.6工期提前：提前交工的奖金：（不适用）</w:t>
      </w:r>
    </w:p>
    <w:p>
      <w:pPr>
        <w:topLinePunct/>
        <w:adjustRightInd w:val="0"/>
        <w:snapToGrid w:val="0"/>
        <w:spacing w:line="430" w:lineRule="exact"/>
        <w:rPr>
          <w:rFonts w:ascii="宋体" w:hAnsi="宋体" w:cs="仿宋"/>
          <w:color w:val="000000"/>
          <w:sz w:val="24"/>
        </w:rPr>
      </w:pPr>
      <w:r>
        <w:rPr>
          <w:rFonts w:hint="eastAsia" w:ascii="宋体" w:hAnsi="宋体" w:cs="仿宋"/>
          <w:color w:val="000000"/>
          <w:sz w:val="24"/>
        </w:rPr>
        <w:t>12.1承包人暂停施工的责任：按公路工程标准施工招标文件（2009版）公路工程专用合同条款执行。</w:t>
      </w:r>
    </w:p>
    <w:p>
      <w:pPr>
        <w:topLinePunct/>
        <w:adjustRightInd w:val="0"/>
        <w:snapToGrid w:val="0"/>
        <w:spacing w:line="430" w:lineRule="exact"/>
        <w:rPr>
          <w:rFonts w:ascii="宋体" w:hAnsi="宋体" w:cs="仿宋"/>
          <w:color w:val="000000"/>
          <w:sz w:val="24"/>
        </w:rPr>
      </w:pPr>
      <w:r>
        <w:rPr>
          <w:rFonts w:hint="eastAsia" w:ascii="宋体" w:hAnsi="宋体" w:cs="仿宋"/>
          <w:color w:val="000000"/>
          <w:sz w:val="24"/>
        </w:rPr>
        <w:t>15.4变更的估价原则：按公路工程标准施工招标文件（2009版）公路工程专用合同条款执行。</w:t>
      </w:r>
    </w:p>
    <w:p>
      <w:pPr>
        <w:topLinePunct/>
        <w:adjustRightInd w:val="0"/>
        <w:snapToGrid w:val="0"/>
        <w:spacing w:line="430" w:lineRule="exact"/>
        <w:rPr>
          <w:rFonts w:ascii="宋体" w:hAnsi="宋体" w:cs="仿宋"/>
          <w:color w:val="000000"/>
          <w:sz w:val="24"/>
          <w:u w:val="single"/>
        </w:rPr>
      </w:pPr>
      <w:r>
        <w:rPr>
          <w:rFonts w:hint="eastAsia" w:ascii="宋体" w:hAnsi="宋体" w:cs="仿宋"/>
          <w:color w:val="000000"/>
          <w:sz w:val="24"/>
        </w:rPr>
        <w:t>16价格调整：</w:t>
      </w:r>
      <w:r>
        <w:rPr>
          <w:rFonts w:hint="eastAsia" w:ascii="宋体" w:hAnsi="宋体" w:cs="仿宋"/>
          <w:b/>
          <w:color w:val="000000"/>
          <w:sz w:val="24"/>
          <w:u w:val="single"/>
        </w:rPr>
        <w:t>（合同期间外材料价格不予调整）</w:t>
      </w:r>
    </w:p>
    <w:p>
      <w:pPr>
        <w:topLinePunct/>
        <w:adjustRightInd w:val="0"/>
        <w:snapToGrid w:val="0"/>
        <w:spacing w:line="430" w:lineRule="exact"/>
        <w:rPr>
          <w:rFonts w:ascii="宋体" w:hAnsi="宋体" w:cs="仿宋"/>
          <w:color w:val="000000"/>
          <w:sz w:val="24"/>
          <w:u w:val="single"/>
        </w:rPr>
      </w:pPr>
      <w:r>
        <w:rPr>
          <w:rFonts w:hint="eastAsia" w:ascii="宋体" w:hAnsi="宋体" w:cs="仿宋"/>
          <w:color w:val="000000"/>
          <w:sz w:val="24"/>
        </w:rPr>
        <w:t>17.1.6路面养护期计量方法：</w:t>
      </w:r>
      <w:r>
        <w:rPr>
          <w:rFonts w:hint="eastAsia" w:ascii="宋体" w:hAnsi="宋体" w:cs="仿宋"/>
          <w:color w:val="000000"/>
          <w:sz w:val="24"/>
          <w:u w:val="single"/>
        </w:rPr>
        <w:tab/>
      </w:r>
      <w:r>
        <w:rPr>
          <w:rFonts w:hint="eastAsia" w:ascii="宋体" w:hAnsi="宋体" w:cs="仿宋"/>
          <w:b/>
          <w:color w:val="000000"/>
          <w:sz w:val="24"/>
          <w:u w:val="single"/>
        </w:rPr>
        <w:t>（本项目不适用）</w:t>
      </w:r>
      <w:r>
        <w:rPr>
          <w:rFonts w:hint="eastAsia" w:ascii="宋体" w:hAnsi="宋体" w:cs="仿宋"/>
          <w:color w:val="000000"/>
          <w:sz w:val="24"/>
          <w:u w:val="single"/>
        </w:rPr>
        <w:tab/>
      </w:r>
    </w:p>
    <w:p>
      <w:pPr>
        <w:topLinePunct/>
        <w:adjustRightInd w:val="0"/>
        <w:snapToGrid w:val="0"/>
        <w:spacing w:line="430" w:lineRule="exact"/>
        <w:rPr>
          <w:rFonts w:ascii="宋体" w:hAnsi="宋体" w:cs="仿宋"/>
          <w:sz w:val="24"/>
        </w:rPr>
      </w:pPr>
      <w:r>
        <w:rPr>
          <w:rFonts w:hint="eastAsia" w:ascii="宋体" w:hAnsi="宋体" w:cs="仿宋"/>
          <w:sz w:val="24"/>
        </w:rPr>
        <w:t xml:space="preserve">17.3．3进度付款证书和支付时间： </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进度付款涉及政府投资资金的,按照以下规定办理：按照国库集中支付等国家相关规定办理。</w:t>
      </w:r>
    </w:p>
    <w:p>
      <w:pPr>
        <w:tabs>
          <w:tab w:val="left" w:pos="3328"/>
        </w:tabs>
        <w:topLinePunct/>
        <w:adjustRightInd w:val="0"/>
        <w:snapToGrid w:val="0"/>
        <w:spacing w:line="430" w:lineRule="exact"/>
        <w:rPr>
          <w:rFonts w:ascii="宋体" w:hAnsi="宋体" w:cs="仿宋"/>
          <w:b/>
          <w:sz w:val="24"/>
        </w:rPr>
      </w:pPr>
      <w:r>
        <w:rPr>
          <w:rFonts w:hint="eastAsia" w:ascii="宋体" w:hAnsi="宋体" w:cs="仿宋"/>
          <w:sz w:val="24"/>
        </w:rPr>
        <w:t>18.9竣工文件</w:t>
      </w:r>
      <w:r>
        <w:rPr>
          <w:rFonts w:hint="eastAsia" w:ascii="宋体" w:hAnsi="宋体" w:cs="仿宋"/>
          <w:b/>
          <w:sz w:val="24"/>
        </w:rPr>
        <w:tab/>
      </w:r>
    </w:p>
    <w:p>
      <w:pPr>
        <w:topLinePunct/>
        <w:adjustRightInd w:val="0"/>
        <w:snapToGrid w:val="0"/>
        <w:spacing w:line="430" w:lineRule="exact"/>
        <w:ind w:firstLine="482" w:firstLineChars="200"/>
        <w:rPr>
          <w:rFonts w:ascii="宋体" w:hAnsi="宋体" w:cs="仿宋"/>
          <w:b/>
          <w:sz w:val="24"/>
        </w:rPr>
      </w:pPr>
      <w:r>
        <w:rPr>
          <w:rFonts w:hint="eastAsia" w:ascii="宋体" w:hAnsi="宋体" w:cs="仿宋"/>
          <w:b/>
          <w:sz w:val="24"/>
        </w:rPr>
        <w:t>本款修改为：</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承包人应按照交通部《公路工程竣工验收办法》和河南省交通运输厅豫交办[2011]39号文关于下发《河南省公路建设项目文件材料立卷归档整理规范》的通知的有关规定：公路工程建设项目档案的验收应与工程验收的初步验收和竣工验收同步进行，交工时对档案进行初验，竣工验收前三个月进行验收归档。竣工资料档案验收时，如果档案管理部门认为不满足有关档案管理的要求时，承包人必须根据发包人或监理人的要求及时进行补充和完善，所发生的费用由承包人承担。</w:t>
      </w:r>
    </w:p>
    <w:p>
      <w:pPr>
        <w:topLinePunct/>
        <w:adjustRightInd w:val="0"/>
        <w:snapToGrid w:val="0"/>
        <w:spacing w:line="430" w:lineRule="exact"/>
        <w:rPr>
          <w:rFonts w:ascii="宋体" w:hAnsi="宋体" w:cs="仿宋"/>
          <w:sz w:val="24"/>
        </w:rPr>
      </w:pPr>
      <w:r>
        <w:rPr>
          <w:rFonts w:hint="eastAsia" w:ascii="宋体" w:hAnsi="宋体" w:cs="仿宋"/>
          <w:sz w:val="24"/>
        </w:rPr>
        <w:t>22.1.1承包人违约的情形</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本项（9）目修改为：</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（9）承包人违反第9.2款的约定，未按专项施工方案施工，或违反国家、本项目相关安全管理规章制度，或没有有效保障现场工作人员安全的措施等情况。</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（10）承包人不按合同约定履行义务的其他情况</w:t>
      </w:r>
    </w:p>
    <w:p>
      <w:pPr>
        <w:topLinePunct/>
        <w:adjustRightInd w:val="0"/>
        <w:snapToGrid w:val="0"/>
        <w:spacing w:line="430" w:lineRule="exact"/>
        <w:rPr>
          <w:rFonts w:ascii="宋体" w:hAnsi="宋体" w:cs="仿宋"/>
          <w:sz w:val="24"/>
        </w:rPr>
      </w:pPr>
      <w:r>
        <w:rPr>
          <w:rFonts w:hint="eastAsia" w:ascii="宋体" w:hAnsi="宋体" w:cs="仿宋"/>
          <w:sz w:val="24"/>
        </w:rPr>
        <w:t>22.1.2对承包人违约的处理：</w:t>
      </w:r>
      <w:r>
        <w:rPr>
          <w:rFonts w:hint="eastAsia" w:ascii="宋体" w:hAnsi="宋体" w:cs="仿宋"/>
          <w:sz w:val="24"/>
          <w:u w:val="single"/>
        </w:rPr>
        <w:t>处以项目不超过合同价5%的违约金</w:t>
      </w:r>
    </w:p>
    <w:p>
      <w:pPr>
        <w:topLinePunct/>
        <w:adjustRightInd w:val="0"/>
        <w:snapToGrid w:val="0"/>
        <w:spacing w:line="430" w:lineRule="exact"/>
        <w:ind w:firstLine="482" w:firstLineChars="200"/>
        <w:rPr>
          <w:rFonts w:ascii="宋体" w:hAnsi="宋体" w:cs="仿宋"/>
          <w:b/>
          <w:color w:val="000000"/>
          <w:sz w:val="24"/>
        </w:rPr>
      </w:pPr>
      <w:r>
        <w:rPr>
          <w:rFonts w:hint="eastAsia" w:ascii="宋体" w:hAnsi="宋体" w:cs="仿宋"/>
          <w:b/>
          <w:color w:val="000000"/>
          <w:sz w:val="24"/>
        </w:rPr>
        <w:t>将本款最后自然段增加违约金规定：</w:t>
      </w:r>
    </w:p>
    <w:p>
      <w:pPr>
        <w:topLinePunct/>
        <w:adjustRightInd w:val="0"/>
        <w:snapToGrid w:val="0"/>
        <w:spacing w:line="430" w:lineRule="exact"/>
        <w:ind w:firstLine="482" w:firstLineChars="200"/>
        <w:rPr>
          <w:rFonts w:ascii="宋体" w:hAnsi="宋体" w:cs="仿宋"/>
          <w:b/>
          <w:color w:val="000000"/>
          <w:sz w:val="24"/>
        </w:rPr>
      </w:pPr>
      <w:r>
        <w:rPr>
          <w:rFonts w:hint="eastAsia" w:ascii="宋体" w:hAnsi="宋体" w:cs="仿宋"/>
          <w:b/>
          <w:color w:val="000000"/>
          <w:sz w:val="24"/>
        </w:rPr>
        <w:t>（1）项目经理、总工等主要负责人员没有按时进场，或进场后，未经批准又离开工地，发包人将按10000元/人·天扣除违约金。其他工地主要人员没有按时进场，或进场后，未经批准又离开工地，发包人将按2000元/人·天扣除违约金。</w:t>
      </w:r>
    </w:p>
    <w:p>
      <w:pPr>
        <w:topLinePunct/>
        <w:adjustRightInd w:val="0"/>
        <w:snapToGrid w:val="0"/>
        <w:spacing w:line="430" w:lineRule="exact"/>
        <w:ind w:firstLine="482" w:firstLineChars="200"/>
        <w:rPr>
          <w:rFonts w:ascii="宋体" w:hAnsi="宋体" w:cs="仿宋"/>
          <w:b/>
          <w:color w:val="000000"/>
          <w:sz w:val="24"/>
        </w:rPr>
      </w:pPr>
      <w:r>
        <w:rPr>
          <w:rFonts w:hint="eastAsia" w:ascii="宋体" w:hAnsi="宋体" w:cs="仿宋"/>
          <w:b/>
          <w:color w:val="000000"/>
          <w:sz w:val="24"/>
        </w:rPr>
        <w:t>(2)承包人承诺的主要机械及试验、测量设备不能按时进场，每迟到1天，发包人将按照设备的台班费（以承包人投标书中单价分析为准）的三倍扣除违约金，直到设备进场为止。</w:t>
      </w:r>
    </w:p>
    <w:p>
      <w:pPr>
        <w:topLinePunct/>
        <w:adjustRightInd w:val="0"/>
        <w:snapToGrid w:val="0"/>
        <w:spacing w:line="430" w:lineRule="exact"/>
        <w:ind w:firstLine="482" w:firstLineChars="200"/>
        <w:rPr>
          <w:rFonts w:ascii="宋体" w:hAnsi="宋体" w:cs="仿宋"/>
          <w:b/>
          <w:color w:val="000000"/>
          <w:sz w:val="24"/>
        </w:rPr>
      </w:pPr>
      <w:r>
        <w:rPr>
          <w:rFonts w:hint="eastAsia" w:ascii="宋体" w:hAnsi="宋体" w:cs="仿宋"/>
          <w:b/>
          <w:color w:val="000000"/>
          <w:sz w:val="24"/>
        </w:rPr>
        <w:t>(3)承包人承诺的主要机械进场后，未经批准又离开工地，发包人将按10000元/台天扣除违约金。直到设备返场为止。</w:t>
      </w:r>
    </w:p>
    <w:p>
      <w:pPr>
        <w:topLinePunct/>
        <w:adjustRightInd w:val="0"/>
        <w:snapToGrid w:val="0"/>
        <w:spacing w:line="430" w:lineRule="exact"/>
        <w:ind w:firstLine="482" w:firstLineChars="200"/>
        <w:rPr>
          <w:rFonts w:ascii="宋体" w:hAnsi="宋体" w:cs="仿宋"/>
          <w:b/>
          <w:color w:val="000000"/>
          <w:sz w:val="24"/>
        </w:rPr>
      </w:pPr>
      <w:r>
        <w:rPr>
          <w:rFonts w:hint="eastAsia" w:ascii="宋体" w:hAnsi="宋体" w:cs="仿宋"/>
          <w:b/>
          <w:color w:val="000000"/>
          <w:sz w:val="24"/>
        </w:rPr>
        <w:t>(4)承包人未履行施工安全责任，在发包人、监理人要求期限内未响应改正的，发包人有权根据情节严重程度对承包人处以10万元以内罚款每次。</w:t>
      </w:r>
    </w:p>
    <w:p>
      <w:pPr>
        <w:topLinePunct/>
        <w:adjustRightInd w:val="0"/>
        <w:snapToGrid w:val="0"/>
        <w:spacing w:line="430" w:lineRule="exact"/>
        <w:ind w:firstLine="482" w:firstLineChars="200"/>
        <w:rPr>
          <w:rFonts w:ascii="宋体" w:hAnsi="宋体" w:cs="仿宋"/>
          <w:b/>
          <w:color w:val="000000"/>
          <w:sz w:val="24"/>
        </w:rPr>
      </w:pPr>
      <w:r>
        <w:rPr>
          <w:rFonts w:hint="eastAsia" w:ascii="宋体" w:hAnsi="宋体" w:cs="仿宋"/>
          <w:b/>
          <w:color w:val="000000"/>
          <w:sz w:val="24"/>
        </w:rPr>
        <w:t>以上违约金罚款不免除承包人违约的其他责任。</w:t>
      </w:r>
    </w:p>
    <w:p>
      <w:pPr>
        <w:topLinePunct/>
        <w:autoSpaceDN w:val="0"/>
        <w:adjustRightInd w:val="0"/>
        <w:snapToGrid w:val="0"/>
        <w:spacing w:line="430" w:lineRule="exact"/>
        <w:ind w:firstLine="482" w:firstLineChars="200"/>
        <w:jc w:val="left"/>
        <w:rPr>
          <w:rFonts w:ascii="宋体" w:hAnsi="宋体" w:cs="仿宋"/>
          <w:b/>
          <w:sz w:val="24"/>
        </w:rPr>
      </w:pPr>
      <w:r>
        <w:rPr>
          <w:rFonts w:hint="eastAsia" w:ascii="宋体" w:hAnsi="宋体" w:cs="仿宋"/>
          <w:b/>
          <w:sz w:val="24"/>
        </w:rPr>
        <w:t>增加25、26、27、28、29、30、31、32、33、34、35、36条</w:t>
      </w:r>
    </w:p>
    <w:p>
      <w:pPr>
        <w:topLinePunct/>
        <w:autoSpaceDN w:val="0"/>
        <w:adjustRightInd w:val="0"/>
        <w:snapToGrid w:val="0"/>
        <w:spacing w:line="430" w:lineRule="exact"/>
        <w:jc w:val="left"/>
        <w:rPr>
          <w:rFonts w:ascii="宋体" w:hAnsi="宋体" w:cs="仿宋"/>
          <w:b/>
          <w:sz w:val="24"/>
        </w:rPr>
      </w:pPr>
      <w:r>
        <w:rPr>
          <w:rFonts w:hint="eastAsia" w:ascii="宋体" w:hAnsi="宋体" w:cs="仿宋"/>
          <w:b/>
          <w:sz w:val="24"/>
        </w:rPr>
        <w:t>25、安全生产费用</w:t>
      </w:r>
    </w:p>
    <w:p>
      <w:pPr>
        <w:topLinePunct/>
        <w:autoSpaceDN w:val="0"/>
        <w:adjustRightInd w:val="0"/>
        <w:snapToGrid w:val="0"/>
        <w:spacing w:line="430" w:lineRule="exact"/>
        <w:ind w:firstLine="480" w:firstLineChars="200"/>
        <w:jc w:val="left"/>
        <w:rPr>
          <w:rFonts w:ascii="宋体" w:hAnsi="宋体" w:cs="仿宋"/>
          <w:sz w:val="24"/>
        </w:rPr>
      </w:pPr>
      <w:r>
        <w:rPr>
          <w:rFonts w:hint="eastAsia" w:ascii="宋体" w:hAnsi="宋体" w:cs="仿宋"/>
          <w:sz w:val="24"/>
        </w:rPr>
        <w:t>25.1安全生产费由发包人控制使用和支付。工程实施期间发包人将根据承包人在安全生产方面的投入、安全生产管理水平、有无发生安全事故以及发包人平时对承包人安全生产方面的考核、考评情况来决定对安全生产费的支付。该项费用视上述情况在合同执行期间分次支付，至合同履行完毕可以部分支付、全部支付、也可以完全不支付。</w:t>
      </w:r>
    </w:p>
    <w:p>
      <w:pPr>
        <w:topLinePunct/>
        <w:autoSpaceDN w:val="0"/>
        <w:adjustRightInd w:val="0"/>
        <w:snapToGrid w:val="0"/>
        <w:spacing w:line="430" w:lineRule="exact"/>
        <w:ind w:firstLine="480" w:firstLineChars="200"/>
        <w:jc w:val="left"/>
        <w:rPr>
          <w:rFonts w:ascii="宋体" w:hAnsi="宋体" w:cs="仿宋"/>
          <w:sz w:val="24"/>
        </w:rPr>
      </w:pPr>
      <w:r>
        <w:rPr>
          <w:rFonts w:hint="eastAsia" w:ascii="宋体" w:hAnsi="宋体" w:cs="仿宋"/>
          <w:sz w:val="24"/>
        </w:rPr>
        <w:t>25.2 在整个合同执行期间，如未达到承诺的安全目标，安全生产费将不予支付，已经支付应予扣回。</w:t>
      </w:r>
    </w:p>
    <w:p>
      <w:pPr>
        <w:topLinePunct/>
        <w:autoSpaceDN w:val="0"/>
        <w:adjustRightInd w:val="0"/>
        <w:snapToGrid w:val="0"/>
        <w:spacing w:line="430" w:lineRule="exact"/>
        <w:jc w:val="left"/>
        <w:rPr>
          <w:rFonts w:ascii="宋体" w:hAnsi="宋体" w:cs="仿宋"/>
          <w:b/>
          <w:sz w:val="24"/>
        </w:rPr>
      </w:pPr>
      <w:r>
        <w:rPr>
          <w:rFonts w:hint="eastAsia" w:ascii="宋体" w:hAnsi="宋体" w:cs="仿宋"/>
          <w:b/>
          <w:sz w:val="24"/>
        </w:rPr>
        <w:t>26、项目审计、稽查和检查等的配合</w:t>
      </w:r>
    </w:p>
    <w:p>
      <w:pPr>
        <w:topLinePunct/>
        <w:autoSpaceDN w:val="0"/>
        <w:adjustRightInd w:val="0"/>
        <w:snapToGrid w:val="0"/>
        <w:spacing w:line="430" w:lineRule="exact"/>
        <w:ind w:firstLine="480" w:firstLineChars="200"/>
        <w:jc w:val="left"/>
        <w:rPr>
          <w:rFonts w:ascii="宋体" w:hAnsi="宋体" w:cs="仿宋"/>
          <w:sz w:val="24"/>
        </w:rPr>
      </w:pPr>
      <w:bookmarkStart w:id="285" w:name="_Hlt225138316"/>
      <w:bookmarkEnd w:id="285"/>
      <w:r>
        <w:rPr>
          <w:rFonts w:hint="eastAsia" w:ascii="宋体" w:hAnsi="宋体" w:cs="仿宋"/>
          <w:sz w:val="24"/>
        </w:rPr>
        <w:t>（1）与本项目相关的审计和稽查，承包人应高度重视并委派专人积极予以配合工作，对审计和稽查的有关意见承包人应无条件执行并及时整改。</w:t>
      </w:r>
    </w:p>
    <w:p>
      <w:pPr>
        <w:topLinePunct/>
        <w:autoSpaceDN w:val="0"/>
        <w:adjustRightInd w:val="0"/>
        <w:snapToGrid w:val="0"/>
        <w:spacing w:line="430" w:lineRule="exact"/>
        <w:ind w:firstLine="480" w:firstLineChars="200"/>
        <w:jc w:val="left"/>
        <w:rPr>
          <w:rFonts w:ascii="宋体" w:hAnsi="宋体" w:cs="仿宋"/>
          <w:sz w:val="24"/>
        </w:rPr>
      </w:pPr>
      <w:r>
        <w:rPr>
          <w:rFonts w:hint="eastAsia" w:ascii="宋体" w:hAnsi="宋体" w:cs="仿宋"/>
          <w:sz w:val="24"/>
        </w:rPr>
        <w:t>（2）有关单位对本项目的各种检查和视察等活动，承包人和监理人有义务予以积极配合开展各项工作。</w:t>
      </w:r>
    </w:p>
    <w:p>
      <w:pPr>
        <w:topLinePunct/>
        <w:autoSpaceDN w:val="0"/>
        <w:adjustRightInd w:val="0"/>
        <w:snapToGrid w:val="0"/>
        <w:spacing w:line="430" w:lineRule="exact"/>
        <w:ind w:firstLine="480" w:firstLineChars="200"/>
        <w:jc w:val="left"/>
        <w:rPr>
          <w:rFonts w:ascii="宋体" w:hAnsi="宋体" w:cs="仿宋"/>
          <w:sz w:val="24"/>
        </w:rPr>
      </w:pPr>
      <w:r>
        <w:rPr>
          <w:rFonts w:hint="eastAsia" w:ascii="宋体" w:hAnsi="宋体" w:cs="仿宋"/>
          <w:sz w:val="24"/>
        </w:rPr>
        <w:t>（3）本项目有关的各类统计报表和汇报材料及后评估报告，承包人和监理人有义务予以积极配合发包人做好编制工作并提供相应的资料。</w:t>
      </w:r>
    </w:p>
    <w:p>
      <w:pPr>
        <w:topLinePunct/>
        <w:autoSpaceDN w:val="0"/>
        <w:adjustRightInd w:val="0"/>
        <w:snapToGrid w:val="0"/>
        <w:spacing w:line="430" w:lineRule="exact"/>
        <w:ind w:firstLine="480" w:firstLineChars="200"/>
        <w:jc w:val="left"/>
        <w:rPr>
          <w:rFonts w:ascii="宋体" w:hAnsi="宋体" w:cs="仿宋"/>
          <w:sz w:val="24"/>
        </w:rPr>
      </w:pPr>
      <w:r>
        <w:rPr>
          <w:rFonts w:hint="eastAsia" w:ascii="宋体" w:hAnsi="宋体" w:cs="仿宋"/>
          <w:sz w:val="24"/>
        </w:rPr>
        <w:t>（4）承包人和监理人应按发包人和有关文件要求，建立相应的计量、支付和变更台帐，同时承包人和监理人应积极配合发包人建立相应的台帐，三方各自的台帐应相应保持一致并保持其持续有效，直至工程决算完成。</w:t>
      </w:r>
    </w:p>
    <w:p>
      <w:pPr>
        <w:topLinePunct/>
        <w:autoSpaceDN w:val="0"/>
        <w:adjustRightInd w:val="0"/>
        <w:snapToGrid w:val="0"/>
        <w:spacing w:line="430" w:lineRule="exact"/>
        <w:ind w:firstLine="480" w:firstLineChars="200"/>
        <w:jc w:val="left"/>
        <w:rPr>
          <w:rFonts w:ascii="宋体" w:hAnsi="宋体" w:cs="仿宋"/>
          <w:sz w:val="24"/>
        </w:rPr>
      </w:pPr>
      <w:r>
        <w:rPr>
          <w:rFonts w:hint="eastAsia" w:ascii="宋体" w:hAnsi="宋体" w:cs="仿宋"/>
          <w:sz w:val="24"/>
        </w:rPr>
        <w:t>（5）承包人应按发包人要求将主要材料的供货合同等资料提供给发包人和监理人备案。取材的料场和货源应保持相对固定，承包人及其供货人应接受发包人和监理人的监督检查，如有变更应及时通知发包人或监理人并报送相应有关资料。监理人征得发包人同意后有权要求承包人更换不符合要求的材料，承包人必须接受。</w:t>
      </w:r>
    </w:p>
    <w:p>
      <w:pPr>
        <w:topLinePunct/>
        <w:autoSpaceDN w:val="0"/>
        <w:adjustRightInd w:val="0"/>
        <w:snapToGrid w:val="0"/>
        <w:spacing w:line="430" w:lineRule="exact"/>
        <w:jc w:val="left"/>
        <w:rPr>
          <w:rFonts w:ascii="宋体" w:hAnsi="宋体" w:cs="仿宋"/>
          <w:b/>
          <w:sz w:val="24"/>
        </w:rPr>
      </w:pPr>
      <w:r>
        <w:rPr>
          <w:rFonts w:hint="eastAsia" w:ascii="宋体" w:hAnsi="宋体" w:cs="仿宋"/>
          <w:b/>
          <w:sz w:val="24"/>
        </w:rPr>
        <w:t>27、防止和避免电力、电讯线路非正常中断</w:t>
      </w:r>
    </w:p>
    <w:p>
      <w:pPr>
        <w:topLinePunct/>
        <w:autoSpaceDN w:val="0"/>
        <w:adjustRightInd w:val="0"/>
        <w:snapToGrid w:val="0"/>
        <w:spacing w:line="430" w:lineRule="exact"/>
        <w:ind w:firstLine="480" w:firstLineChars="200"/>
        <w:jc w:val="left"/>
        <w:rPr>
          <w:rFonts w:ascii="宋体" w:hAnsi="宋体" w:cs="仿宋"/>
          <w:sz w:val="24"/>
        </w:rPr>
      </w:pPr>
      <w:r>
        <w:rPr>
          <w:rFonts w:hint="eastAsia" w:ascii="宋体" w:hAnsi="宋体" w:cs="仿宋"/>
          <w:sz w:val="24"/>
        </w:rPr>
        <w:t>根据《公路行业标准专用合同条款》第2.3.2项规定，承包人在为了临时出入和施工交通方便而修建的临时道路的过程中，应征得有关电力、电讯等部门同意，防止和避免由于承包人或其任何分包人的疏忽不正当的施工方法和手段而造成电力、电讯线路及地下电缆的非正常中断。否则，由于承包人或其任何分包人的过失而造成的电力、电讯线路及地下电缆的非正常中断而引起的一切索赔、诉讼、损害赔偿、指控费及其它开支，应由承包人自负。</w:t>
      </w:r>
    </w:p>
    <w:p>
      <w:pPr>
        <w:topLinePunct/>
        <w:autoSpaceDN w:val="0"/>
        <w:adjustRightInd w:val="0"/>
        <w:snapToGrid w:val="0"/>
        <w:spacing w:line="430" w:lineRule="exact"/>
        <w:jc w:val="left"/>
        <w:rPr>
          <w:rFonts w:ascii="宋体" w:hAnsi="宋体" w:cs="仿宋"/>
          <w:b/>
          <w:sz w:val="24"/>
        </w:rPr>
      </w:pPr>
      <w:r>
        <w:rPr>
          <w:rFonts w:hint="eastAsia" w:ascii="宋体" w:hAnsi="宋体" w:cs="仿宋"/>
          <w:b/>
          <w:sz w:val="24"/>
        </w:rPr>
        <w:t>28、摄影</w:t>
      </w:r>
    </w:p>
    <w:p>
      <w:pPr>
        <w:topLinePunct/>
        <w:autoSpaceDN w:val="0"/>
        <w:adjustRightInd w:val="0"/>
        <w:snapToGrid w:val="0"/>
        <w:spacing w:line="430" w:lineRule="exact"/>
        <w:ind w:firstLine="480" w:firstLineChars="200"/>
        <w:jc w:val="left"/>
        <w:rPr>
          <w:rFonts w:ascii="宋体" w:hAnsi="宋体" w:cs="仿宋"/>
          <w:sz w:val="24"/>
        </w:rPr>
      </w:pPr>
      <w:r>
        <w:rPr>
          <w:rFonts w:hint="eastAsia" w:ascii="宋体" w:hAnsi="宋体" w:cs="仿宋"/>
          <w:sz w:val="24"/>
        </w:rPr>
        <w:t>有关工地、工程的任何部分或工程的任何事项的照片，其版权归发包人所有，在没有发包人书面许可的情况下，不得发表或发行。发包人的许可不免除承包商遵守任何法律规定的有关照片拍摄、出版所应承担的责任。</w:t>
      </w:r>
    </w:p>
    <w:p>
      <w:pPr>
        <w:topLinePunct/>
        <w:autoSpaceDN w:val="0"/>
        <w:adjustRightInd w:val="0"/>
        <w:snapToGrid w:val="0"/>
        <w:spacing w:line="430" w:lineRule="exact"/>
        <w:jc w:val="left"/>
        <w:rPr>
          <w:rFonts w:ascii="宋体" w:hAnsi="宋体" w:cs="仿宋"/>
          <w:b/>
          <w:sz w:val="24"/>
        </w:rPr>
      </w:pPr>
      <w:r>
        <w:rPr>
          <w:rFonts w:hint="eastAsia" w:ascii="宋体" w:hAnsi="宋体" w:cs="仿宋"/>
          <w:b/>
          <w:sz w:val="24"/>
        </w:rPr>
        <w:t>29、广告</w:t>
      </w:r>
    </w:p>
    <w:p>
      <w:pPr>
        <w:topLinePunct/>
        <w:autoSpaceDN w:val="0"/>
        <w:adjustRightInd w:val="0"/>
        <w:snapToGrid w:val="0"/>
        <w:spacing w:line="430" w:lineRule="exact"/>
        <w:ind w:firstLine="480" w:firstLineChars="200"/>
        <w:jc w:val="left"/>
        <w:rPr>
          <w:rFonts w:ascii="宋体" w:hAnsi="宋体" w:cs="仿宋"/>
          <w:sz w:val="24"/>
        </w:rPr>
      </w:pPr>
      <w:r>
        <w:rPr>
          <w:rFonts w:hint="eastAsia" w:ascii="宋体" w:hAnsi="宋体" w:cs="仿宋"/>
          <w:sz w:val="24"/>
        </w:rPr>
        <w:t>承包人不应在施工场地或施工机械、车辆上张贴商业性广告。需要在现场张贴布告时，应经监理人批准。</w:t>
      </w:r>
    </w:p>
    <w:p>
      <w:pPr>
        <w:topLinePunct/>
        <w:autoSpaceDN w:val="0"/>
        <w:adjustRightInd w:val="0"/>
        <w:snapToGrid w:val="0"/>
        <w:spacing w:line="430" w:lineRule="exact"/>
        <w:ind w:firstLine="480" w:firstLineChars="200"/>
        <w:jc w:val="left"/>
        <w:rPr>
          <w:rFonts w:ascii="宋体" w:hAnsi="宋体" w:cs="仿宋"/>
          <w:sz w:val="24"/>
        </w:rPr>
      </w:pPr>
      <w:r>
        <w:rPr>
          <w:rFonts w:hint="eastAsia" w:ascii="宋体" w:hAnsi="宋体" w:cs="仿宋"/>
          <w:sz w:val="24"/>
        </w:rPr>
        <w:t>未经监理人书面许可，除发包人组织的有关视察外，不允许任何人到工地视察。</w:t>
      </w:r>
    </w:p>
    <w:p>
      <w:pPr>
        <w:topLinePunct/>
        <w:autoSpaceDN w:val="0"/>
        <w:adjustRightInd w:val="0"/>
        <w:snapToGrid w:val="0"/>
        <w:spacing w:line="430" w:lineRule="exact"/>
        <w:jc w:val="left"/>
        <w:rPr>
          <w:rFonts w:ascii="宋体" w:hAnsi="宋体" w:cs="仿宋"/>
          <w:b/>
          <w:sz w:val="24"/>
        </w:rPr>
      </w:pPr>
      <w:r>
        <w:rPr>
          <w:rFonts w:hint="eastAsia" w:ascii="宋体" w:hAnsi="宋体" w:cs="仿宋"/>
          <w:b/>
          <w:sz w:val="24"/>
        </w:rPr>
        <w:t>30 、标准化施工要求</w:t>
      </w:r>
    </w:p>
    <w:p>
      <w:pPr>
        <w:widowControl/>
        <w:topLinePunct/>
        <w:adjustRightInd w:val="0"/>
        <w:snapToGrid w:val="0"/>
        <w:spacing w:line="430" w:lineRule="exact"/>
        <w:ind w:firstLine="480"/>
        <w:rPr>
          <w:rFonts w:ascii="宋体" w:hAnsi="宋体" w:cs="仿宋"/>
          <w:b/>
          <w:bCs/>
          <w:color w:val="000000"/>
          <w:kern w:val="0"/>
          <w:sz w:val="24"/>
        </w:rPr>
      </w:pPr>
      <w:r>
        <w:rPr>
          <w:rFonts w:hint="eastAsia" w:ascii="宋体" w:hAnsi="宋体" w:cs="仿宋"/>
          <w:b/>
          <w:color w:val="000000"/>
          <w:sz w:val="24"/>
        </w:rPr>
        <w:t>30.1</w:t>
      </w:r>
      <w:r>
        <w:rPr>
          <w:rFonts w:hint="eastAsia" w:ascii="宋体" w:hAnsi="宋体" w:cs="仿宋"/>
          <w:b/>
          <w:bCs/>
          <w:color w:val="000000"/>
          <w:kern w:val="0"/>
          <w:sz w:val="24"/>
        </w:rPr>
        <w:t>驻地建设</w:t>
      </w:r>
    </w:p>
    <w:p>
      <w:pPr>
        <w:topLinePunct/>
        <w:autoSpaceDN w:val="0"/>
        <w:adjustRightInd w:val="0"/>
        <w:snapToGrid w:val="0"/>
        <w:spacing w:line="430" w:lineRule="exact"/>
        <w:ind w:firstLine="480" w:firstLineChars="200"/>
        <w:jc w:val="left"/>
        <w:rPr>
          <w:rFonts w:ascii="宋体" w:hAnsi="宋体" w:cs="仿宋"/>
          <w:sz w:val="24"/>
        </w:rPr>
      </w:pPr>
      <w:r>
        <w:rPr>
          <w:rFonts w:hint="eastAsia" w:ascii="宋体" w:hAnsi="宋体" w:cs="仿宋"/>
          <w:sz w:val="24"/>
        </w:rPr>
        <w:t>1）驻地可自建或租用沿线合适的单位或民用房屋，但应坚固、安全、实用、美观，并满足工作及生活基本需求。自建房最低标准为活动板房，建设宜选用阻燃材料，房间净高不低于2.6m，安装、拆卸方便，且满足环保要求，房屋地面硬化周围设置排水沟。</w:t>
      </w:r>
    </w:p>
    <w:p>
      <w:pPr>
        <w:topLinePunct/>
        <w:autoSpaceDN w:val="0"/>
        <w:adjustRightInd w:val="0"/>
        <w:snapToGrid w:val="0"/>
        <w:spacing w:line="430" w:lineRule="exact"/>
        <w:ind w:firstLine="480" w:firstLineChars="200"/>
        <w:jc w:val="left"/>
        <w:rPr>
          <w:rFonts w:ascii="宋体" w:hAnsi="宋体" w:cs="仿宋"/>
          <w:sz w:val="24"/>
        </w:rPr>
      </w:pPr>
      <w:r>
        <w:rPr>
          <w:rFonts w:hint="eastAsia" w:ascii="宋体" w:hAnsi="宋体" w:cs="仿宋"/>
          <w:sz w:val="24"/>
        </w:rPr>
        <w:t>2）办公区、生活区及车辆、机具停放区等布局应科学合理，进行分区管理，合理规划人车路线，尽可能减少不同区域间的相互干扰。区内场地和主要道路应做硬化处理，排水设施完善，庭院内适当绿化，生产生活污水和垃圾应集中收集处理。</w:t>
      </w:r>
    </w:p>
    <w:p>
      <w:pPr>
        <w:topLinePunct/>
        <w:autoSpaceDN w:val="0"/>
        <w:adjustRightInd w:val="0"/>
        <w:snapToGrid w:val="0"/>
        <w:spacing w:line="430" w:lineRule="exact"/>
        <w:ind w:firstLine="480" w:firstLineChars="200"/>
        <w:jc w:val="left"/>
        <w:rPr>
          <w:rFonts w:ascii="宋体" w:hAnsi="宋体" w:cs="仿宋"/>
          <w:sz w:val="24"/>
        </w:rPr>
      </w:pPr>
      <w:r>
        <w:rPr>
          <w:rFonts w:hint="eastAsia" w:ascii="宋体" w:hAnsi="宋体" w:cs="仿宋"/>
          <w:sz w:val="24"/>
        </w:rPr>
        <w:t>3）施工单位项目部一般设项目经理办公室（书记办公室）、项目总工程师办公室、各职能部门办公室（名称统一按部或室）、档案资料室、试验室、会议室等。</w:t>
      </w:r>
    </w:p>
    <w:p>
      <w:pPr>
        <w:topLinePunct/>
        <w:autoSpaceDN w:val="0"/>
        <w:adjustRightInd w:val="0"/>
        <w:snapToGrid w:val="0"/>
        <w:spacing w:line="430" w:lineRule="exact"/>
        <w:ind w:firstLine="480" w:firstLineChars="200"/>
        <w:jc w:val="left"/>
        <w:rPr>
          <w:rFonts w:ascii="宋体" w:hAnsi="宋体" w:cs="仿宋"/>
          <w:sz w:val="24"/>
        </w:rPr>
      </w:pPr>
      <w:r>
        <w:rPr>
          <w:rFonts w:hint="eastAsia" w:ascii="宋体" w:hAnsi="宋体" w:cs="仿宋"/>
          <w:sz w:val="24"/>
        </w:rPr>
        <w:t>4）驻地办公用房面积应满足办公需要，不低于下表的规定。</w:t>
      </w:r>
    </w:p>
    <w:tbl>
      <w:tblPr>
        <w:tblStyle w:val="14"/>
        <w:tblW w:w="0" w:type="auto"/>
        <w:tblInd w:w="0" w:type="dxa"/>
        <w:tblLayout w:type="fixed"/>
        <w:tblCellMar>
          <w:top w:w="0" w:type="dxa"/>
          <w:left w:w="108" w:type="dxa"/>
          <w:bottom w:w="0" w:type="dxa"/>
          <w:right w:w="108" w:type="dxa"/>
        </w:tblCellMar>
      </w:tblPr>
      <w:tblGrid>
        <w:gridCol w:w="1624"/>
        <w:gridCol w:w="4296"/>
        <w:gridCol w:w="3119"/>
      </w:tblGrid>
      <w:tr>
        <w:tblPrEx>
          <w:tblCellMar>
            <w:top w:w="0" w:type="dxa"/>
            <w:left w:w="108" w:type="dxa"/>
            <w:bottom w:w="0" w:type="dxa"/>
            <w:right w:w="108" w:type="dxa"/>
          </w:tblCellMar>
        </w:tblPrEx>
        <w:trPr>
          <w:trHeight w:val="302" w:hRule="atLeast"/>
        </w:trPr>
        <w:tc>
          <w:tcPr>
            <w:tcW w:w="1624" w:type="dxa"/>
            <w:vMerge w:val="restart"/>
            <w:tcBorders>
              <w:top w:val="single" w:color="000000" w:sz="4" w:space="0"/>
              <w:left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各室名称</w:t>
            </w:r>
          </w:p>
        </w:tc>
        <w:tc>
          <w:tcPr>
            <w:tcW w:w="4296"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配备标准（m2）</w:t>
            </w:r>
          </w:p>
        </w:tc>
        <w:tc>
          <w:tcPr>
            <w:tcW w:w="3119" w:type="dxa"/>
            <w:vMerge w:val="restart"/>
            <w:tcBorders>
              <w:top w:val="single" w:color="000000" w:sz="4" w:space="0"/>
              <w:left w:val="nil"/>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备注</w:t>
            </w:r>
          </w:p>
        </w:tc>
      </w:tr>
      <w:tr>
        <w:tblPrEx>
          <w:tblCellMar>
            <w:top w:w="0" w:type="dxa"/>
            <w:left w:w="108" w:type="dxa"/>
            <w:bottom w:w="0" w:type="dxa"/>
            <w:right w:w="108" w:type="dxa"/>
          </w:tblCellMar>
        </w:tblPrEx>
        <w:trPr>
          <w:trHeight w:val="144" w:hRule="atLeast"/>
        </w:trPr>
        <w:tc>
          <w:tcPr>
            <w:tcW w:w="1624" w:type="dxa"/>
            <w:vMerge w:val="continue"/>
            <w:tcBorders>
              <w:top w:val="single" w:color="000000" w:sz="4" w:space="0"/>
              <w:left w:val="single" w:color="000000" w:sz="4" w:space="0"/>
              <w:right w:val="single" w:color="000000" w:sz="4" w:space="0"/>
            </w:tcBorders>
            <w:noWrap w:val="0"/>
            <w:vAlign w:val="center"/>
          </w:tcPr>
          <w:p>
            <w:pPr>
              <w:widowControl/>
              <w:topLinePunct/>
              <w:adjustRightInd w:val="0"/>
              <w:snapToGrid w:val="0"/>
              <w:spacing w:line="430" w:lineRule="exact"/>
              <w:jc w:val="left"/>
              <w:rPr>
                <w:rFonts w:ascii="宋体" w:hAnsi="宋体" w:cs="仿宋"/>
                <w:color w:val="000000"/>
                <w:kern w:val="0"/>
                <w:sz w:val="24"/>
              </w:rPr>
            </w:pPr>
          </w:p>
        </w:tc>
        <w:tc>
          <w:tcPr>
            <w:tcW w:w="4296"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施工单位</w:t>
            </w:r>
          </w:p>
        </w:tc>
        <w:tc>
          <w:tcPr>
            <w:tcW w:w="3119" w:type="dxa"/>
            <w:vMerge w:val="continue"/>
            <w:tcBorders>
              <w:top w:val="single" w:color="000000" w:sz="4" w:space="0"/>
              <w:left w:val="nil"/>
              <w:right w:val="single" w:color="000000" w:sz="4" w:space="0"/>
            </w:tcBorders>
            <w:noWrap w:val="0"/>
            <w:vAlign w:val="center"/>
          </w:tcPr>
          <w:p>
            <w:pPr>
              <w:widowControl/>
              <w:topLinePunct/>
              <w:adjustRightInd w:val="0"/>
              <w:snapToGrid w:val="0"/>
              <w:spacing w:line="430" w:lineRule="exact"/>
              <w:jc w:val="left"/>
              <w:rPr>
                <w:rFonts w:ascii="宋体" w:hAnsi="宋体" w:cs="仿宋"/>
                <w:color w:val="000000"/>
                <w:kern w:val="0"/>
                <w:sz w:val="24"/>
              </w:rPr>
            </w:pPr>
          </w:p>
        </w:tc>
      </w:tr>
      <w:tr>
        <w:tblPrEx>
          <w:tblCellMar>
            <w:top w:w="0" w:type="dxa"/>
            <w:left w:w="108" w:type="dxa"/>
            <w:bottom w:w="0" w:type="dxa"/>
            <w:right w:w="108" w:type="dxa"/>
          </w:tblCellMar>
        </w:tblPrEx>
        <w:trPr>
          <w:trHeight w:val="144" w:hRule="atLeast"/>
        </w:trPr>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办公室</w:t>
            </w:r>
          </w:p>
        </w:tc>
        <w:tc>
          <w:tcPr>
            <w:tcW w:w="4296"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4</w:t>
            </w:r>
          </w:p>
        </w:tc>
        <w:tc>
          <w:tcPr>
            <w:tcW w:w="3119"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人均面积</w:t>
            </w:r>
          </w:p>
        </w:tc>
      </w:tr>
      <w:tr>
        <w:tblPrEx>
          <w:tblCellMar>
            <w:top w:w="0" w:type="dxa"/>
            <w:left w:w="108" w:type="dxa"/>
            <w:bottom w:w="0" w:type="dxa"/>
            <w:right w:w="108" w:type="dxa"/>
          </w:tblCellMar>
        </w:tblPrEx>
        <w:trPr>
          <w:trHeight w:val="144" w:hRule="atLeast"/>
        </w:trPr>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会议室</w:t>
            </w:r>
          </w:p>
        </w:tc>
        <w:tc>
          <w:tcPr>
            <w:tcW w:w="4296"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40</w:t>
            </w:r>
          </w:p>
        </w:tc>
        <w:tc>
          <w:tcPr>
            <w:tcW w:w="3119"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具备多媒体功能</w:t>
            </w:r>
          </w:p>
        </w:tc>
      </w:tr>
      <w:tr>
        <w:tblPrEx>
          <w:tblCellMar>
            <w:top w:w="0" w:type="dxa"/>
            <w:left w:w="108" w:type="dxa"/>
            <w:bottom w:w="0" w:type="dxa"/>
            <w:right w:w="108" w:type="dxa"/>
          </w:tblCellMar>
        </w:tblPrEx>
        <w:trPr>
          <w:trHeight w:val="144" w:hRule="atLeast"/>
        </w:trPr>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档案资料室</w:t>
            </w:r>
          </w:p>
        </w:tc>
        <w:tc>
          <w:tcPr>
            <w:tcW w:w="4296"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15</w:t>
            </w:r>
          </w:p>
        </w:tc>
        <w:tc>
          <w:tcPr>
            <w:tcW w:w="3119"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p>
        </w:tc>
      </w:tr>
    </w:tbl>
    <w:p>
      <w:pPr>
        <w:topLinePunct/>
        <w:autoSpaceDN w:val="0"/>
        <w:adjustRightInd w:val="0"/>
        <w:snapToGrid w:val="0"/>
        <w:spacing w:line="430" w:lineRule="exact"/>
        <w:ind w:firstLine="480" w:firstLineChars="200"/>
        <w:jc w:val="left"/>
        <w:rPr>
          <w:rFonts w:ascii="宋体" w:hAnsi="宋体" w:cs="仿宋"/>
          <w:sz w:val="24"/>
        </w:rPr>
      </w:pPr>
      <w:r>
        <w:rPr>
          <w:rFonts w:hint="eastAsia" w:ascii="宋体" w:hAnsi="宋体" w:cs="仿宋"/>
          <w:sz w:val="24"/>
        </w:rPr>
        <w:t>5）驻地办公用房应实用、美观、隔热、通风、防潮，功能房间的上墙图、表，尺寸、颜色、内容按照驻地标识标牌设置表执行，各室功能应满足《河南省普通干线公路建设标准化管理指南》（试行）中有关规定的要求。</w:t>
      </w:r>
    </w:p>
    <w:p>
      <w:pPr>
        <w:widowControl/>
        <w:topLinePunct/>
        <w:adjustRightInd w:val="0"/>
        <w:snapToGrid w:val="0"/>
        <w:spacing w:line="430" w:lineRule="exact"/>
        <w:ind w:firstLine="480"/>
        <w:rPr>
          <w:rFonts w:ascii="宋体" w:hAnsi="宋体" w:cs="仿宋"/>
          <w:b/>
          <w:bCs/>
          <w:color w:val="000000"/>
          <w:kern w:val="0"/>
          <w:sz w:val="24"/>
        </w:rPr>
      </w:pPr>
      <w:r>
        <w:rPr>
          <w:rFonts w:hint="eastAsia" w:ascii="宋体" w:hAnsi="宋体" w:cs="仿宋"/>
          <w:b/>
          <w:color w:val="000000"/>
          <w:sz w:val="24"/>
        </w:rPr>
        <w:t>30.2</w:t>
      </w:r>
      <w:r>
        <w:rPr>
          <w:rFonts w:hint="eastAsia" w:ascii="宋体" w:hAnsi="宋体" w:cs="仿宋"/>
          <w:b/>
          <w:bCs/>
          <w:color w:val="000000"/>
          <w:kern w:val="0"/>
          <w:sz w:val="24"/>
        </w:rPr>
        <w:t>工地试验室建设</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工地试验室按照《河南省公路工程工地临时试验室管理办法实施细则（试行）》要求，遵循科学、客观、严谨、公正的原则，独立开展试验检测活动，为工程建设提供真实、准确的试验检测数据和报告。</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 xml:space="preserve">工地试验室建设选址、布局、房屋、门牌、指路牌、消防安全措施等设置与驻地建设要求相同。 </w:t>
      </w:r>
    </w:p>
    <w:p>
      <w:pPr>
        <w:widowControl/>
        <w:topLinePunct/>
        <w:adjustRightInd w:val="0"/>
        <w:snapToGrid w:val="0"/>
        <w:spacing w:line="430" w:lineRule="exact"/>
        <w:ind w:firstLine="480"/>
        <w:rPr>
          <w:rFonts w:ascii="宋体" w:hAnsi="宋体" w:cs="仿宋"/>
          <w:b/>
          <w:bCs/>
          <w:color w:val="000000"/>
          <w:kern w:val="0"/>
          <w:sz w:val="24"/>
        </w:rPr>
      </w:pPr>
      <w:r>
        <w:rPr>
          <w:rFonts w:hint="eastAsia" w:ascii="宋体" w:hAnsi="宋体" w:cs="仿宋"/>
          <w:b/>
          <w:bCs/>
          <w:color w:val="000000"/>
          <w:kern w:val="0"/>
          <w:sz w:val="24"/>
        </w:rPr>
        <w:t>试验室具体设置要求如下：</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1）工地试验室应将工作区和生活区分开设置，工作区总体上可分为办公室、资料室和功能室。工地试验室各功能室面积标准如下图所示：</w:t>
      </w:r>
    </w:p>
    <w:tbl>
      <w:tblPr>
        <w:tblStyle w:val="14"/>
        <w:tblW w:w="0" w:type="auto"/>
        <w:tblInd w:w="0" w:type="dxa"/>
        <w:tblLayout w:type="fixed"/>
        <w:tblCellMar>
          <w:top w:w="0" w:type="dxa"/>
          <w:left w:w="108" w:type="dxa"/>
          <w:bottom w:w="0" w:type="dxa"/>
          <w:right w:w="108" w:type="dxa"/>
        </w:tblCellMar>
      </w:tblPr>
      <w:tblGrid>
        <w:gridCol w:w="1951"/>
        <w:gridCol w:w="2410"/>
        <w:gridCol w:w="4252"/>
      </w:tblGrid>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功能室名称</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施工单位实验室配备标准（㎡） </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备注</w:t>
            </w:r>
          </w:p>
        </w:tc>
      </w:tr>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土工室</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10</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应配置温度控制设备</w:t>
            </w:r>
          </w:p>
        </w:tc>
      </w:tr>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集料室</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10</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应配置温度控制设备</w:t>
            </w:r>
          </w:p>
        </w:tc>
      </w:tr>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样品室</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15</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应安装样品状态分区</w:t>
            </w:r>
          </w:p>
        </w:tc>
      </w:tr>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水泥室</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10</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应配置温度控制设备</w:t>
            </w:r>
          </w:p>
        </w:tc>
      </w:tr>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水泥混凝土室</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15</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应配置温度控制设备、完善排水设施</w:t>
            </w:r>
          </w:p>
        </w:tc>
      </w:tr>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力学室</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20</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应配置温度控制设备</w:t>
            </w:r>
          </w:p>
        </w:tc>
      </w:tr>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标准养护室</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20</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应配置温度控制设备、完善排水设施</w:t>
            </w:r>
          </w:p>
        </w:tc>
      </w:tr>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沥青室</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10</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应配置温度控制设备</w:t>
            </w:r>
          </w:p>
        </w:tc>
      </w:tr>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沥青混合料室</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20</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应配置温湿度控制、大功率排风设备</w:t>
            </w:r>
          </w:p>
        </w:tc>
      </w:tr>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无机结合料室</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10</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应配置温度控制设备</w:t>
            </w:r>
          </w:p>
        </w:tc>
      </w:tr>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检测设备室</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10</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p>
        </w:tc>
      </w:tr>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化学室</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10</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应配置温度控制设备</w:t>
            </w:r>
          </w:p>
        </w:tc>
      </w:tr>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留样室</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10</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应配置温度控制设备、按样品状态分区</w:t>
            </w:r>
          </w:p>
        </w:tc>
      </w:tr>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储藏室</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10</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应配置温度控制设备</w:t>
            </w:r>
          </w:p>
        </w:tc>
      </w:tr>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办公室</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20</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应设置防暑降温、取暖设施</w:t>
            </w:r>
          </w:p>
        </w:tc>
      </w:tr>
      <w:tr>
        <w:tblPrEx>
          <w:tblCellMar>
            <w:top w:w="0" w:type="dxa"/>
            <w:left w:w="108" w:type="dxa"/>
            <w:bottom w:w="0" w:type="dxa"/>
            <w:right w:w="108" w:type="dxa"/>
          </w:tblCellMar>
        </w:tblPrEx>
        <w:trPr>
          <w:trHeight w:val="1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资料室</w:t>
            </w:r>
          </w:p>
        </w:tc>
        <w:tc>
          <w:tcPr>
            <w:tcW w:w="2410"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20</w:t>
            </w:r>
          </w:p>
        </w:tc>
        <w:tc>
          <w:tcPr>
            <w:tcW w:w="4252"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应通风、防止受潮</w:t>
            </w:r>
          </w:p>
        </w:tc>
      </w:tr>
    </w:tbl>
    <w:p>
      <w:pPr>
        <w:widowControl/>
        <w:topLinePunct/>
        <w:adjustRightInd w:val="0"/>
        <w:snapToGrid w:val="0"/>
        <w:spacing w:line="430" w:lineRule="exact"/>
        <w:ind w:firstLine="480"/>
        <w:jc w:val="left"/>
        <w:rPr>
          <w:rFonts w:ascii="宋体" w:hAnsi="宋体" w:cs="仿宋"/>
          <w:color w:val="000000"/>
          <w:kern w:val="0"/>
          <w:sz w:val="24"/>
        </w:rPr>
      </w:pPr>
      <w:r>
        <w:rPr>
          <w:rFonts w:hint="eastAsia" w:ascii="宋体" w:hAnsi="宋体" w:cs="仿宋"/>
          <w:color w:val="000000"/>
          <w:kern w:val="0"/>
          <w:sz w:val="24"/>
        </w:rPr>
        <w:t xml:space="preserve">2）试验室根据功能合理分区，相互独立，有效隔离，保证试验时互不干扰。 </w:t>
      </w:r>
    </w:p>
    <w:p>
      <w:pPr>
        <w:widowControl/>
        <w:topLinePunct/>
        <w:adjustRightInd w:val="0"/>
        <w:snapToGrid w:val="0"/>
        <w:spacing w:line="430" w:lineRule="exact"/>
        <w:ind w:firstLine="480"/>
        <w:jc w:val="left"/>
        <w:rPr>
          <w:rFonts w:ascii="宋体" w:hAnsi="宋体" w:cs="仿宋"/>
          <w:color w:val="000000"/>
          <w:kern w:val="0"/>
          <w:sz w:val="24"/>
        </w:rPr>
      </w:pPr>
      <w:r>
        <w:rPr>
          <w:rFonts w:hint="eastAsia" w:ascii="宋体" w:hAnsi="宋体" w:cs="仿宋"/>
          <w:color w:val="000000"/>
          <w:kern w:val="0"/>
          <w:sz w:val="24"/>
        </w:rPr>
        <w:t xml:space="preserve">2.1) 试验室必须有保温、防尘、防潮措施，有温、湿要求的必须安装温、湿度自动控制设备，标准养生室试件须架设放置养护，地面设置1%的横坡，将余水集中排向室外的排水沟。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2.2)样品室配备样品柜(架)，样品分类存放，标识清楚，做到账物相符。储存环境安全措施齐全，做到防火、防盗、防腐、防鼠、防潮、通风，卫生良好。</w:t>
      </w:r>
    </w:p>
    <w:p>
      <w:pPr>
        <w:widowControl/>
        <w:topLinePunct/>
        <w:adjustRightInd w:val="0"/>
        <w:snapToGrid w:val="0"/>
        <w:spacing w:line="430" w:lineRule="exact"/>
        <w:ind w:firstLine="480"/>
        <w:jc w:val="left"/>
        <w:rPr>
          <w:rFonts w:ascii="宋体" w:hAnsi="宋体" w:cs="仿宋"/>
          <w:color w:val="000000"/>
          <w:kern w:val="0"/>
          <w:sz w:val="24"/>
        </w:rPr>
      </w:pPr>
      <w:r>
        <w:rPr>
          <w:rFonts w:hint="eastAsia" w:ascii="宋体" w:hAnsi="宋体" w:cs="仿宋"/>
          <w:color w:val="000000"/>
          <w:kern w:val="0"/>
          <w:sz w:val="24"/>
        </w:rPr>
        <w:t xml:space="preserve">2.3)试验区域、有毒有害物体存放处设置禁止、警告警示标志。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2.4)消防设施存放处设置提示标志，废旧物品存放区设置明示标志。</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 xml:space="preserve">3）试验仪器设备配置与安装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 xml:space="preserve">3.1) 试验仪器设备应满足投标文件承诺要求配置。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 xml:space="preserve">3.2) 试验仪器设备的精度、量程应满足现行试验规程相关要求。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 xml:space="preserve">3.3) 设备应按照设备使用说明书或试验规程相关要求进行安装。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4）试验室应设置标识牌，设置标准按照《河南省普通干线公路建设标准化管理指南》（试行）中规定执行。</w:t>
      </w:r>
    </w:p>
    <w:p>
      <w:pPr>
        <w:widowControl/>
        <w:topLinePunct/>
        <w:adjustRightInd w:val="0"/>
        <w:snapToGrid w:val="0"/>
        <w:spacing w:line="430" w:lineRule="exact"/>
        <w:ind w:firstLine="480"/>
        <w:jc w:val="left"/>
        <w:rPr>
          <w:rFonts w:ascii="宋体" w:hAnsi="宋体" w:cs="仿宋"/>
          <w:color w:val="000000"/>
          <w:kern w:val="0"/>
          <w:sz w:val="24"/>
        </w:rPr>
      </w:pPr>
      <w:r>
        <w:rPr>
          <w:rFonts w:hint="eastAsia" w:ascii="宋体" w:hAnsi="宋体" w:cs="仿宋"/>
          <w:color w:val="000000"/>
          <w:kern w:val="0"/>
          <w:sz w:val="24"/>
        </w:rPr>
        <w:t xml:space="preserve">5）人员配备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5.1）试验检测工程师1名，有5年以上工程经验，从事类似工作3年以上，具有交通运输部颁发的试验检测工程师证书。</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5.2）试验检测员2名，有3年以上试验检测工作经验，具备交通运输主管部门颁发的试验检测员资格证书。</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6）按照《河南省普通干线公路建设标准化管理指南》（试行）建立试验检测档案资料管理制度并贯彻执行。</w:t>
      </w:r>
    </w:p>
    <w:p>
      <w:pPr>
        <w:widowControl/>
        <w:topLinePunct/>
        <w:adjustRightInd w:val="0"/>
        <w:snapToGrid w:val="0"/>
        <w:spacing w:line="430" w:lineRule="exact"/>
        <w:ind w:firstLine="480"/>
        <w:rPr>
          <w:rFonts w:ascii="宋体" w:hAnsi="宋体" w:cs="仿宋"/>
          <w:b/>
          <w:bCs/>
          <w:color w:val="000000"/>
          <w:kern w:val="0"/>
          <w:sz w:val="24"/>
        </w:rPr>
      </w:pPr>
      <w:r>
        <w:rPr>
          <w:rFonts w:hint="eastAsia" w:ascii="宋体" w:hAnsi="宋体" w:cs="仿宋"/>
          <w:b/>
          <w:color w:val="000000"/>
          <w:sz w:val="24"/>
        </w:rPr>
        <w:t>30.3</w:t>
      </w:r>
      <w:r>
        <w:rPr>
          <w:rFonts w:hint="eastAsia" w:ascii="宋体" w:hAnsi="宋体" w:cs="仿宋"/>
          <w:b/>
          <w:bCs/>
          <w:color w:val="000000"/>
          <w:kern w:val="0"/>
          <w:sz w:val="24"/>
        </w:rPr>
        <w:t>水泥混凝土及水泥稳定土拌合站</w:t>
      </w:r>
    </w:p>
    <w:p>
      <w:pPr>
        <w:widowControl/>
        <w:topLinePunct/>
        <w:adjustRightInd w:val="0"/>
        <w:snapToGrid w:val="0"/>
        <w:spacing w:line="430" w:lineRule="exact"/>
        <w:ind w:firstLine="480"/>
        <w:jc w:val="left"/>
        <w:rPr>
          <w:rFonts w:ascii="宋体" w:hAnsi="宋体" w:cs="仿宋"/>
          <w:color w:val="000000"/>
          <w:kern w:val="0"/>
          <w:sz w:val="24"/>
        </w:rPr>
      </w:pPr>
      <w:r>
        <w:rPr>
          <w:rFonts w:hint="eastAsia" w:ascii="宋体" w:hAnsi="宋体" w:cs="仿宋"/>
          <w:color w:val="000000"/>
          <w:kern w:val="0"/>
          <w:sz w:val="24"/>
        </w:rPr>
        <w:t xml:space="preserve">1）拌和站选址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拌和站选址除应符合基本要求外，还应根据本合同段的主要构造物分布、运输条件、通电和通水条件等特点综合选址，尽量靠近主体工程施工部位，做到运输便利、经济合理；并远离生活区、居民区。</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 xml:space="preserve">2）场地建设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 xml:space="preserve">2.1）拌和站应根据工程实际情况集中布置，宜采用封闭式管理，四周设置围墙，入口设置彩门和值班室。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2.2）拌和站建设应合理划分为生活区、拌和作业区、材料计量区、材料库及运输车辆停放区、试验区、集料堆放区，内设排水系统。</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2.3）拌和站场地面积、搅拌机组配置及产能应满足生产、施工需求和工程进度要求。</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 xml:space="preserve">3）拌和站内道路、场地应做硬化处理，场区排水应按照中间高四周低的原则，预设不小于1.5%排水坡度，四周宜设砖砌排水沟，站区做到雨天不积水、不泥泞，晴天不扬尘。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4）拌和站各罐体宜联接成整体，且必须安装避雷设施及防倾倒设施。</w:t>
      </w:r>
    </w:p>
    <w:p>
      <w:pPr>
        <w:widowControl/>
        <w:topLinePunct/>
        <w:adjustRightInd w:val="0"/>
        <w:snapToGrid w:val="0"/>
        <w:spacing w:line="430" w:lineRule="exact"/>
        <w:ind w:firstLine="480"/>
        <w:jc w:val="left"/>
        <w:rPr>
          <w:rFonts w:ascii="宋体" w:hAnsi="宋体" w:cs="仿宋"/>
          <w:color w:val="000000"/>
          <w:kern w:val="0"/>
          <w:sz w:val="24"/>
        </w:rPr>
      </w:pPr>
      <w:r>
        <w:rPr>
          <w:rFonts w:hint="eastAsia" w:ascii="宋体" w:hAnsi="宋体" w:cs="仿宋"/>
          <w:color w:val="000000"/>
          <w:kern w:val="0"/>
          <w:sz w:val="24"/>
        </w:rPr>
        <w:t xml:space="preserve">5）原材料堆放应符合下列要求：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5.1) 原材料堆放应靠近拌和设备的使用地点，料仓口留一定余地，确保运输车辆装、卸料方便。</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5.2）凡用于各工程的砂石料应按级配要求，不同粒径、不同品种分场存放，并设立1m×1m标准样品池，墙厚采用12cm的砖砌结构。存料场应搭设防雨棚，棚顶宜采用彩钢板或蓬布。每区在醒目位置设置材料标识牌。</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5.3）水泥混凝土、路面面层储料场应用混凝土进行硬化处理，路面基层储料可用水稳材料进行硬化处理。料场底高于外部地面，修筑成向外横坡（不小于2%），并在料场口设置排水沟，防止料场积水。</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6） 所有拌和机的集料仓应搭设防雨棚。高度应满足机械设备操作空间（一般不宜小于7m），并满足受力、防雨、防雪等要求。</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7）拌和设备生产能力不低于下表的规定。</w:t>
      </w:r>
    </w:p>
    <w:tbl>
      <w:tblPr>
        <w:tblStyle w:val="14"/>
        <w:tblW w:w="0" w:type="auto"/>
        <w:jc w:val="center"/>
        <w:tblLayout w:type="fixed"/>
        <w:tblCellMar>
          <w:top w:w="0" w:type="dxa"/>
          <w:left w:w="108" w:type="dxa"/>
          <w:bottom w:w="0" w:type="dxa"/>
          <w:right w:w="108" w:type="dxa"/>
        </w:tblCellMar>
      </w:tblPr>
      <w:tblGrid>
        <w:gridCol w:w="1748"/>
        <w:gridCol w:w="1624"/>
        <w:gridCol w:w="1748"/>
        <w:gridCol w:w="3708"/>
      </w:tblGrid>
      <w:tr>
        <w:tblPrEx>
          <w:tblCellMar>
            <w:top w:w="0" w:type="dxa"/>
            <w:left w:w="108" w:type="dxa"/>
            <w:bottom w:w="0" w:type="dxa"/>
            <w:right w:w="108" w:type="dxa"/>
          </w:tblCellMar>
        </w:tblPrEx>
        <w:trPr>
          <w:trHeight w:val="1428" w:hRule="atLeast"/>
          <w:jc w:val="center"/>
        </w:trPr>
        <w:tc>
          <w:tcPr>
            <w:tcW w:w="1748"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混凝土拌和机生产能力（m3/h）</w:t>
            </w:r>
          </w:p>
        </w:tc>
        <w:tc>
          <w:tcPr>
            <w:tcW w:w="1624"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水稳拌和机生产能力（t/h）</w:t>
            </w:r>
          </w:p>
        </w:tc>
        <w:tc>
          <w:tcPr>
            <w:tcW w:w="1748"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沥青拌和机</w:t>
            </w:r>
          </w:p>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生产能力（t/h）</w:t>
            </w:r>
          </w:p>
        </w:tc>
        <w:tc>
          <w:tcPr>
            <w:tcW w:w="3708"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ind w:firstLine="480"/>
              <w:jc w:val="center"/>
              <w:rPr>
                <w:rFonts w:ascii="宋体" w:hAnsi="宋体" w:cs="仿宋"/>
                <w:color w:val="000000"/>
                <w:kern w:val="0"/>
                <w:sz w:val="24"/>
              </w:rPr>
            </w:pPr>
            <w:r>
              <w:rPr>
                <w:rFonts w:hint="eastAsia" w:ascii="宋体" w:hAnsi="宋体" w:cs="仿宋"/>
                <w:color w:val="000000"/>
                <w:kern w:val="0"/>
                <w:sz w:val="24"/>
              </w:rPr>
              <w:t>备 注</w:t>
            </w:r>
          </w:p>
        </w:tc>
      </w:tr>
      <w:tr>
        <w:tblPrEx>
          <w:tblCellMar>
            <w:top w:w="0" w:type="dxa"/>
            <w:left w:w="108" w:type="dxa"/>
            <w:bottom w:w="0" w:type="dxa"/>
            <w:right w:w="108" w:type="dxa"/>
          </w:tblCellMar>
        </w:tblPrEx>
        <w:trPr>
          <w:trHeight w:val="721" w:hRule="atLeast"/>
          <w:jc w:val="center"/>
        </w:trPr>
        <w:tc>
          <w:tcPr>
            <w:tcW w:w="1748" w:type="dxa"/>
            <w:tcBorders>
              <w:top w:val="single" w:color="000000" w:sz="4" w:space="0"/>
              <w:left w:val="single" w:color="000000" w:sz="4" w:space="0"/>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75</w:t>
            </w:r>
          </w:p>
        </w:tc>
        <w:tc>
          <w:tcPr>
            <w:tcW w:w="1624"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300</w:t>
            </w:r>
          </w:p>
        </w:tc>
        <w:tc>
          <w:tcPr>
            <w:tcW w:w="1748"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240</w:t>
            </w:r>
          </w:p>
        </w:tc>
        <w:tc>
          <w:tcPr>
            <w:tcW w:w="3708" w:type="dxa"/>
            <w:tcBorders>
              <w:top w:val="single" w:color="000000" w:sz="4" w:space="0"/>
              <w:left w:val="nil"/>
              <w:bottom w:val="single" w:color="000000" w:sz="4" w:space="0"/>
              <w:right w:val="single" w:color="000000" w:sz="4" w:space="0"/>
            </w:tcBorders>
            <w:noWrap w:val="0"/>
            <w:vAlign w:val="center"/>
          </w:tcPr>
          <w:p>
            <w:pPr>
              <w:widowControl/>
              <w:topLinePunct/>
              <w:adjustRightInd w:val="0"/>
              <w:snapToGrid w:val="0"/>
              <w:spacing w:line="430" w:lineRule="exact"/>
              <w:jc w:val="center"/>
              <w:rPr>
                <w:rFonts w:ascii="宋体" w:hAnsi="宋体" w:cs="仿宋"/>
                <w:color w:val="000000"/>
                <w:kern w:val="0"/>
                <w:sz w:val="24"/>
              </w:rPr>
            </w:pPr>
            <w:r>
              <w:rPr>
                <w:rFonts w:hint="eastAsia" w:ascii="宋体" w:hAnsi="宋体" w:cs="仿宋"/>
                <w:color w:val="000000"/>
                <w:kern w:val="0"/>
                <w:sz w:val="24"/>
              </w:rPr>
              <w:t>拌和设备应采用强制式拌和机，具备自动计量功能</w:t>
            </w:r>
          </w:p>
        </w:tc>
      </w:tr>
    </w:tbl>
    <w:p>
      <w:pPr>
        <w:widowControl/>
        <w:topLinePunct/>
        <w:adjustRightInd w:val="0"/>
        <w:snapToGrid w:val="0"/>
        <w:spacing w:line="430" w:lineRule="exact"/>
        <w:rPr>
          <w:rFonts w:ascii="宋体" w:hAnsi="宋体" w:cs="仿宋"/>
          <w:color w:val="000000"/>
          <w:kern w:val="0"/>
          <w:sz w:val="24"/>
        </w:rPr>
      </w:pPr>
      <w:r>
        <w:rPr>
          <w:rFonts w:hint="eastAsia" w:ascii="宋体" w:hAnsi="宋体" w:cs="仿宋"/>
          <w:color w:val="000000"/>
          <w:kern w:val="0"/>
          <w:sz w:val="24"/>
        </w:rPr>
        <w:t xml:space="preserve">注：①拌和站计量设备应通过当地有关计量部门标定合格后方可投入使用，使用过程中应不定期进行复检，确保计量准确。 </w:t>
      </w:r>
    </w:p>
    <w:p>
      <w:pPr>
        <w:widowControl/>
        <w:topLinePunct/>
        <w:adjustRightInd w:val="0"/>
        <w:snapToGrid w:val="0"/>
        <w:spacing w:line="430" w:lineRule="exact"/>
        <w:ind w:firstLine="420"/>
        <w:rPr>
          <w:rFonts w:ascii="宋体" w:hAnsi="宋体" w:cs="仿宋"/>
          <w:color w:val="000000"/>
          <w:kern w:val="0"/>
          <w:sz w:val="24"/>
        </w:rPr>
      </w:pPr>
      <w:r>
        <w:rPr>
          <w:rFonts w:hint="eastAsia" w:ascii="宋体" w:hAnsi="宋体" w:cs="仿宋"/>
          <w:color w:val="000000"/>
          <w:kern w:val="0"/>
          <w:sz w:val="24"/>
        </w:rPr>
        <w:t>②拌和站应根据拌和机的功率配备相应的备用发电机，确保拌和站有可靠的电源使用。</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 xml:space="preserve">8）拌和站的标识标牌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 xml:space="preserve">拌和站大门位置必须绘制详细的现场布置图，站内设置明显的标识牌。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9）其他要求</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 xml:space="preserve">9.1）作业平台、储料仓、集料仓、水泥罐等涉及人身安全的部位均应设置安全防护装置。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 xml:space="preserve">9.2）专人定期进行拌和站的清理和打扫，保持拌和站内卫生。每次拌和作业完成后，及时清洗机具，清理现场，做到场地整洁。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 xml:space="preserve">9.3）临近居民区施工产生的噪音，应符合现行的《建筑施工场界环境噪声排放标准》的规定。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 xml:space="preserve">9.4）砂石料场底部、上料台、上料输送带下部废料应经常性清理并保持清洁，严禁装载机铲料时铲底。地面应定期洒水，对粉尘源进行覆盖遮挡。 </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color w:val="000000"/>
          <w:kern w:val="0"/>
          <w:sz w:val="24"/>
        </w:rPr>
        <w:t>9.5）水泥、粉煤灰等材料进料时，应保证材料罐顶的密封性能，预留通气孔应设有降尘措施。</w:t>
      </w:r>
    </w:p>
    <w:p>
      <w:pPr>
        <w:widowControl/>
        <w:topLinePunct/>
        <w:adjustRightInd w:val="0"/>
        <w:snapToGrid w:val="0"/>
        <w:spacing w:line="430" w:lineRule="exact"/>
        <w:ind w:firstLine="480"/>
        <w:rPr>
          <w:rFonts w:ascii="宋体" w:hAnsi="宋体" w:cs="仿宋"/>
          <w:color w:val="000000"/>
          <w:kern w:val="0"/>
          <w:sz w:val="24"/>
        </w:rPr>
      </w:pPr>
      <w:r>
        <w:rPr>
          <w:rFonts w:hint="eastAsia" w:ascii="宋体" w:hAnsi="宋体" w:cs="仿宋"/>
          <w:b/>
          <w:color w:val="000000"/>
          <w:sz w:val="24"/>
        </w:rPr>
        <w:t>30.4</w:t>
      </w:r>
      <w:r>
        <w:rPr>
          <w:rFonts w:hint="eastAsia" w:ascii="宋体" w:hAnsi="宋体" w:cs="仿宋"/>
          <w:color w:val="000000"/>
          <w:kern w:val="0"/>
          <w:sz w:val="24"/>
        </w:rPr>
        <w:t>其他关于施工单位标准化管理未尽事宜按照河南省交通运输厅公路管理局发布的《河南省普通干线公路建设标准化管理指南》（试行）执行。</w:t>
      </w:r>
    </w:p>
    <w:p>
      <w:pPr>
        <w:topLinePunct/>
        <w:autoSpaceDN w:val="0"/>
        <w:adjustRightInd w:val="0"/>
        <w:snapToGrid w:val="0"/>
        <w:spacing w:line="430" w:lineRule="exact"/>
        <w:ind w:firstLine="472" w:firstLineChars="196"/>
        <w:jc w:val="left"/>
        <w:rPr>
          <w:rFonts w:ascii="宋体" w:hAnsi="宋体" w:cs="仿宋"/>
          <w:color w:val="000000"/>
          <w:sz w:val="24"/>
        </w:rPr>
      </w:pPr>
      <w:r>
        <w:rPr>
          <w:rFonts w:hint="eastAsia" w:ascii="宋体" w:hAnsi="宋体" w:cs="仿宋"/>
          <w:b/>
          <w:color w:val="000000"/>
          <w:sz w:val="24"/>
        </w:rPr>
        <w:t>30.5</w:t>
      </w:r>
      <w:r>
        <w:rPr>
          <w:rFonts w:hint="eastAsia" w:ascii="宋体" w:hAnsi="宋体" w:cs="仿宋"/>
          <w:color w:val="000000"/>
          <w:sz w:val="24"/>
        </w:rPr>
        <w:t xml:space="preserve"> 承包商进场后，按照 《河南省普通干线公路建设标准化管理指南》的要求进行驻地建设，经项目业主验收合格后，方可进行第一次计量。</w:t>
      </w:r>
    </w:p>
    <w:p>
      <w:pPr>
        <w:topLinePunct/>
        <w:autoSpaceDN w:val="0"/>
        <w:adjustRightInd w:val="0"/>
        <w:snapToGrid w:val="0"/>
        <w:spacing w:line="430" w:lineRule="exact"/>
        <w:ind w:firstLine="482" w:firstLineChars="200"/>
        <w:jc w:val="left"/>
        <w:rPr>
          <w:rFonts w:ascii="宋体" w:hAnsi="宋体" w:cs="仿宋"/>
          <w:color w:val="000000"/>
          <w:sz w:val="24"/>
        </w:rPr>
      </w:pPr>
      <w:r>
        <w:rPr>
          <w:rFonts w:hint="eastAsia" w:ascii="宋体" w:hAnsi="宋体" w:cs="仿宋"/>
          <w:b/>
          <w:color w:val="000000"/>
          <w:sz w:val="24"/>
        </w:rPr>
        <w:t>30.6</w:t>
      </w:r>
      <w:r>
        <w:rPr>
          <w:rFonts w:hint="eastAsia" w:ascii="宋体" w:hAnsi="宋体" w:cs="仿宋"/>
          <w:color w:val="000000"/>
          <w:sz w:val="24"/>
        </w:rPr>
        <w:t xml:space="preserve"> 按照《河南省交通运输厅关于印发河南省交通运输行业公路扬尘污染防治暂行办法的通知》的要求，做好工地现场公路扬尘污染防治。</w:t>
      </w:r>
    </w:p>
    <w:p>
      <w:pPr>
        <w:tabs>
          <w:tab w:val="left" w:pos="4500"/>
        </w:tabs>
        <w:topLinePunct/>
        <w:adjustRightInd w:val="0"/>
        <w:snapToGrid w:val="0"/>
        <w:spacing w:line="430" w:lineRule="exact"/>
        <w:rPr>
          <w:rFonts w:ascii="宋体" w:hAnsi="宋体" w:cs="仿宋"/>
          <w:b/>
          <w:sz w:val="24"/>
        </w:rPr>
      </w:pPr>
      <w:r>
        <w:rPr>
          <w:rFonts w:hint="eastAsia" w:ascii="宋体" w:hAnsi="宋体" w:cs="仿宋"/>
          <w:b/>
          <w:sz w:val="24"/>
        </w:rPr>
        <w:t>31、杜绝拖欠工程款和农民工工资</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本项目严格执行《河南省人民政府关于解决建设领域拖欠工程款和农民工工资问题的通知》（豫政[2004]27号）和河南省交通运输厅《关于建立防止河南省交通建设领域拖欠工程款和农民工工资长效管理机制的通知》（豫交工[2007]26号）等文件精神，发包人将按照省厅要求在“工程质量保证金中提取20%存入发包人开设的农民工工作预储账户，专款专用作为农民工工资保障金。”另外，并要求投标人承诺，对于已经认定施工单位拖欠的工程款和农民工工资，项目公司（发包人）可动用质量保证金予以支付。农民工工资保障金的来源和使用按照和河南省交通厅《关于建立防止河南省交通建设领域拖欠工程款和农民工工资长效管理机制的通知》（豫交工[2007]26号）文件要求：“在质量保证金中提取20%”；如发生拖欠行为，“由建设单位（发包人）对拖欠情况进行公示，并根据公示情况和支付凭证，动用这部分资金进行支付，不足部分在合同价款中扣除。凡发生动用农民工工资保证金支付的，在下次工程计量支付时要扣双倍金额补充进保障金账户，并保留进一步追究责任的权利，如批评、上报、媒体曝光等”（参见豫交工[2005]126号文件）。若无拖欠农民工工资的问题，农民工工资保障金与质量保证金一并退还。</w:t>
      </w:r>
    </w:p>
    <w:p>
      <w:pPr>
        <w:topLinePunct/>
        <w:adjustRightInd w:val="0"/>
        <w:snapToGrid w:val="0"/>
        <w:spacing w:line="430" w:lineRule="exact"/>
        <w:rPr>
          <w:rFonts w:ascii="宋体" w:hAnsi="宋体" w:cs="仿宋"/>
          <w:b/>
          <w:sz w:val="24"/>
        </w:rPr>
      </w:pPr>
      <w:r>
        <w:rPr>
          <w:rFonts w:hint="eastAsia" w:ascii="宋体" w:hAnsi="宋体" w:cs="仿宋"/>
          <w:b/>
          <w:sz w:val="24"/>
        </w:rPr>
        <w:t>32、材料准入制度</w:t>
      </w:r>
    </w:p>
    <w:p>
      <w:pPr>
        <w:topLinePunct/>
        <w:adjustRightInd w:val="0"/>
        <w:snapToGrid w:val="0"/>
        <w:spacing w:line="430" w:lineRule="exact"/>
        <w:ind w:firstLine="480" w:firstLineChars="200"/>
        <w:rPr>
          <w:rFonts w:ascii="宋体" w:hAnsi="宋体" w:cs="仿宋"/>
          <w:sz w:val="24"/>
        </w:rPr>
      </w:pPr>
      <w:r>
        <w:rPr>
          <w:rFonts w:hint="eastAsia" w:ascii="宋体" w:hAnsi="宋体" w:cs="仿宋"/>
          <w:sz w:val="24"/>
        </w:rPr>
        <w:t>为规范本项目沥青材料使用，防止劣质沥青材料进入，确保工程质量，在本项目的施工过程中将实行沥青材料准入制度，具体实施方案</w:t>
      </w:r>
      <w:r>
        <w:rPr>
          <w:rFonts w:hint="eastAsia" w:ascii="宋体" w:hAnsi="宋体" w:cs="仿宋"/>
          <w:sz w:val="24"/>
          <w:u w:val="single"/>
        </w:rPr>
        <w:t>另行制定</w:t>
      </w:r>
      <w:r>
        <w:rPr>
          <w:rFonts w:hint="eastAsia" w:ascii="宋体" w:hAnsi="宋体" w:cs="仿宋"/>
          <w:sz w:val="24"/>
        </w:rPr>
        <w:t>。</w:t>
      </w:r>
    </w:p>
    <w:p>
      <w:pPr>
        <w:topLinePunct/>
        <w:adjustRightInd w:val="0"/>
        <w:snapToGrid w:val="0"/>
        <w:spacing w:line="430" w:lineRule="exact"/>
        <w:rPr>
          <w:rFonts w:ascii="宋体" w:hAnsi="宋体" w:cs="仿宋"/>
          <w:sz w:val="24"/>
        </w:rPr>
      </w:pPr>
      <w:r>
        <w:rPr>
          <w:rFonts w:hint="eastAsia" w:ascii="宋体" w:hAnsi="宋体" w:cs="仿宋"/>
          <w:b/>
          <w:sz w:val="24"/>
        </w:rPr>
        <w:t>34、</w:t>
      </w:r>
      <w:r>
        <w:rPr>
          <w:rFonts w:hint="eastAsia" w:ascii="宋体" w:hAnsi="宋体" w:cs="仿宋"/>
          <w:sz w:val="24"/>
        </w:rPr>
        <w:t>施工过程中，对于施工质量差、进度严重滞后的施工单位，发包人可以将其驱逐出场，或者强行分割其承包工程。</w:t>
      </w:r>
    </w:p>
    <w:p>
      <w:pPr>
        <w:pStyle w:val="8"/>
        <w:snapToGrid w:val="0"/>
        <w:spacing w:line="360" w:lineRule="auto"/>
        <w:jc w:val="center"/>
        <w:rPr>
          <w:rFonts w:hAnsi="宋体"/>
          <w:bCs/>
          <w:sz w:val="24"/>
          <w:szCs w:val="24"/>
        </w:rPr>
      </w:pPr>
    </w:p>
    <w:p>
      <w:pPr>
        <w:pStyle w:val="8"/>
        <w:snapToGrid w:val="0"/>
        <w:spacing w:line="360" w:lineRule="auto"/>
        <w:jc w:val="center"/>
        <w:rPr>
          <w:rFonts w:hAnsi="宋体"/>
          <w:bCs/>
          <w:sz w:val="24"/>
          <w:szCs w:val="24"/>
        </w:rPr>
      </w:pPr>
    </w:p>
    <w:p>
      <w:pPr>
        <w:pStyle w:val="8"/>
        <w:snapToGrid w:val="0"/>
        <w:spacing w:line="360" w:lineRule="auto"/>
        <w:rPr>
          <w:rFonts w:hAnsi="宋体"/>
          <w:bCs/>
          <w:sz w:val="24"/>
          <w:szCs w:val="24"/>
        </w:rPr>
      </w:pPr>
    </w:p>
    <w:p>
      <w:pPr>
        <w:pStyle w:val="8"/>
        <w:snapToGrid w:val="0"/>
        <w:spacing w:line="360" w:lineRule="auto"/>
        <w:rPr>
          <w:rFonts w:hint="eastAsia" w:hAnsi="宋体"/>
          <w:bCs/>
          <w:sz w:val="24"/>
          <w:szCs w:val="24"/>
        </w:rPr>
      </w:pPr>
    </w:p>
    <w:p>
      <w:pPr>
        <w:pStyle w:val="8"/>
        <w:snapToGrid w:val="0"/>
        <w:spacing w:line="360" w:lineRule="auto"/>
        <w:jc w:val="center"/>
        <w:rPr>
          <w:rFonts w:hAnsi="宋体"/>
          <w:bCs/>
          <w:sz w:val="24"/>
          <w:szCs w:val="24"/>
        </w:rPr>
      </w:pPr>
    </w:p>
    <w:p>
      <w:pPr>
        <w:pStyle w:val="8"/>
        <w:snapToGrid w:val="0"/>
        <w:spacing w:line="360" w:lineRule="auto"/>
        <w:jc w:val="center"/>
        <w:rPr>
          <w:rFonts w:hAnsi="宋体"/>
          <w:bCs/>
          <w:sz w:val="24"/>
          <w:szCs w:val="24"/>
        </w:rPr>
      </w:pPr>
    </w:p>
    <w:p>
      <w:pPr>
        <w:pStyle w:val="8"/>
        <w:snapToGrid w:val="0"/>
        <w:spacing w:line="360" w:lineRule="auto"/>
        <w:jc w:val="center"/>
        <w:rPr>
          <w:rFonts w:hAnsi="宋体"/>
          <w:bCs/>
          <w:sz w:val="24"/>
          <w:szCs w:val="24"/>
        </w:rPr>
      </w:pPr>
    </w:p>
    <w:p>
      <w:pPr>
        <w:pStyle w:val="8"/>
        <w:snapToGrid w:val="0"/>
        <w:spacing w:line="360" w:lineRule="auto"/>
        <w:jc w:val="center"/>
        <w:rPr>
          <w:rFonts w:hAnsi="宋体"/>
          <w:b/>
          <w:sz w:val="24"/>
          <w:szCs w:val="24"/>
        </w:rPr>
      </w:pPr>
      <w:r>
        <w:rPr>
          <w:rFonts w:hAnsi="宋体"/>
          <w:b/>
          <w:sz w:val="24"/>
          <w:szCs w:val="24"/>
        </w:rPr>
        <w:t>第三节 合同附件格式</w:t>
      </w:r>
      <w:bookmarkEnd w:id="284"/>
    </w:p>
    <w:p>
      <w:pPr>
        <w:adjustRightInd w:val="0"/>
        <w:snapToGrid w:val="0"/>
        <w:spacing w:line="360" w:lineRule="auto"/>
        <w:rPr>
          <w:rFonts w:ascii="宋体" w:hAnsi="宋体"/>
          <w:sz w:val="24"/>
        </w:rPr>
      </w:pPr>
      <w:r>
        <w:rPr>
          <w:rFonts w:hint="eastAsia" w:ascii="宋体" w:hAnsi="宋体"/>
          <w:sz w:val="24"/>
        </w:rPr>
        <w:t>附件一：合同协议书</w:t>
      </w:r>
    </w:p>
    <w:p>
      <w:pPr>
        <w:adjustRightInd w:val="0"/>
        <w:snapToGrid w:val="0"/>
        <w:spacing w:before="312" w:beforeLines="100" w:after="312" w:afterLines="100" w:line="360" w:lineRule="auto"/>
        <w:jc w:val="center"/>
        <w:rPr>
          <w:rFonts w:ascii="宋体" w:hAnsi="宋体"/>
          <w:sz w:val="24"/>
        </w:rPr>
      </w:pPr>
      <w:r>
        <w:rPr>
          <w:rFonts w:hint="eastAsia" w:ascii="宋体" w:hAnsi="宋体"/>
          <w:sz w:val="24"/>
        </w:rPr>
        <w:t>合 同 协 议 书</w:t>
      </w:r>
    </w:p>
    <w:p>
      <w:pPr>
        <w:adjustRightInd w:val="0"/>
        <w:snapToGrid w:val="0"/>
        <w:spacing w:line="360" w:lineRule="auto"/>
        <w:ind w:firstLine="600" w:firstLineChars="250"/>
        <w:rPr>
          <w:rFonts w:ascii="宋体" w:hAnsi="宋体"/>
          <w:sz w:val="24"/>
        </w:rPr>
      </w:pPr>
      <w:r>
        <w:rPr>
          <w:rFonts w:hint="eastAsia" w:ascii="宋体" w:hAnsi="宋体"/>
          <w:sz w:val="24"/>
          <w:u w:val="single"/>
        </w:rPr>
        <w:t xml:space="preserve">                 </w:t>
      </w:r>
      <w:r>
        <w:rPr>
          <w:rFonts w:ascii="宋体" w:hAnsi="宋体"/>
          <w:sz w:val="24"/>
        </w:rPr>
        <w:t>（发包</w:t>
      </w:r>
      <w:r>
        <w:rPr>
          <w:rFonts w:hint="eastAsia" w:ascii="宋体" w:hAnsi="宋体"/>
          <w:sz w:val="24"/>
        </w:rPr>
        <w:t>人名</w:t>
      </w:r>
      <w:r>
        <w:rPr>
          <w:rFonts w:ascii="宋体" w:hAnsi="宋体"/>
          <w:sz w:val="24"/>
        </w:rPr>
        <w:t>称，以下</w:t>
      </w:r>
      <w:r>
        <w:rPr>
          <w:rFonts w:hint="eastAsia" w:ascii="宋体" w:hAnsi="宋体"/>
          <w:sz w:val="24"/>
        </w:rPr>
        <w:t>简称“发包</w:t>
      </w:r>
      <w:r>
        <w:rPr>
          <w:rFonts w:ascii="宋体" w:hAnsi="宋体"/>
          <w:sz w:val="24"/>
        </w:rPr>
        <w:t>人</w:t>
      </w:r>
      <w:r>
        <w:rPr>
          <w:rFonts w:hint="eastAsia" w:ascii="宋体" w:hAnsi="宋体"/>
          <w:sz w:val="24"/>
        </w:rPr>
        <w:t>” ）</w:t>
      </w:r>
      <w:r>
        <w:rPr>
          <w:rFonts w:ascii="宋体" w:hAnsi="宋体"/>
          <w:sz w:val="24"/>
        </w:rPr>
        <w:t>为实施</w:t>
      </w:r>
      <w:r>
        <w:rPr>
          <w:rFonts w:hint="eastAsia" w:ascii="宋体" w:hAnsi="宋体"/>
          <w:sz w:val="24"/>
          <w:u w:val="single"/>
        </w:rPr>
        <w:t xml:space="preserve">                 </w:t>
      </w:r>
      <w:r>
        <w:rPr>
          <w:rFonts w:ascii="宋体" w:hAnsi="宋体"/>
          <w:sz w:val="24"/>
        </w:rPr>
        <w:t>（项目名称），已接受</w:t>
      </w:r>
      <w:r>
        <w:rPr>
          <w:rFonts w:hint="eastAsia" w:ascii="宋体" w:hAnsi="宋体"/>
          <w:sz w:val="24"/>
          <w:u w:val="single"/>
        </w:rPr>
        <w:t xml:space="preserve">             </w:t>
      </w:r>
      <w:r>
        <w:rPr>
          <w:rFonts w:ascii="宋体" w:hAnsi="宋体"/>
          <w:sz w:val="24"/>
        </w:rPr>
        <w:t>（承包人名称，以下简称“承包人”）对该项目</w:t>
      </w:r>
      <w:r>
        <w:rPr>
          <w:rFonts w:hint="eastAsia" w:ascii="宋体" w:hAnsi="宋体"/>
          <w:sz w:val="24"/>
          <w:u w:val="single"/>
        </w:rPr>
        <w:t xml:space="preserve">         </w:t>
      </w:r>
      <w:r>
        <w:rPr>
          <w:rFonts w:ascii="宋体" w:hAnsi="宋体"/>
          <w:sz w:val="24"/>
        </w:rPr>
        <w:t>标段施工的投标。发包人和承包人共同达成如下协议。</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第</w:t>
      </w:r>
      <w:r>
        <w:rPr>
          <w:rFonts w:hint="eastAsia" w:ascii="宋体" w:hAnsi="宋体"/>
          <w:sz w:val="24"/>
          <w:u w:val="single"/>
        </w:rPr>
        <w:t xml:space="preserve">    </w:t>
      </w:r>
      <w:r>
        <w:rPr>
          <w:rFonts w:ascii="宋体" w:hAnsi="宋体"/>
          <w:sz w:val="24"/>
        </w:rPr>
        <w:t>标段由K</w:t>
      </w:r>
      <w:r>
        <w:rPr>
          <w:rFonts w:hint="eastAsia" w:ascii="宋体" w:hAnsi="宋体"/>
          <w:sz w:val="24"/>
          <w:u w:val="single"/>
        </w:rPr>
        <w:t xml:space="preserve">   </w:t>
      </w:r>
      <w:r>
        <w:rPr>
          <w:rFonts w:ascii="宋体" w:hAnsi="宋体"/>
          <w:sz w:val="24"/>
        </w:rPr>
        <w:t>＋</w:t>
      </w:r>
      <w:r>
        <w:rPr>
          <w:rFonts w:hint="eastAsia" w:ascii="宋体" w:hAnsi="宋体"/>
          <w:sz w:val="24"/>
          <w:u w:val="single"/>
        </w:rPr>
        <w:t xml:space="preserve">   </w:t>
      </w:r>
      <w:r>
        <w:rPr>
          <w:rFonts w:ascii="宋体" w:hAnsi="宋体"/>
          <w:sz w:val="24"/>
        </w:rPr>
        <w:t>至K</w:t>
      </w:r>
      <w:r>
        <w:rPr>
          <w:rFonts w:hint="eastAsia" w:ascii="宋体" w:hAnsi="宋体"/>
          <w:sz w:val="24"/>
          <w:u w:val="single"/>
        </w:rPr>
        <w:t xml:space="preserve">   </w:t>
      </w:r>
      <w:r>
        <w:rPr>
          <w:rFonts w:ascii="宋体" w:hAnsi="宋体"/>
          <w:sz w:val="24"/>
        </w:rPr>
        <w:t>十</w:t>
      </w:r>
      <w:r>
        <w:rPr>
          <w:rFonts w:hint="eastAsia" w:ascii="宋体" w:hAnsi="宋体"/>
          <w:sz w:val="24"/>
          <w:u w:val="single"/>
        </w:rPr>
        <w:t xml:space="preserve">   </w:t>
      </w:r>
      <w:r>
        <w:rPr>
          <w:rFonts w:ascii="宋体" w:hAnsi="宋体"/>
          <w:sz w:val="24"/>
        </w:rPr>
        <w:t>，长约</w:t>
      </w:r>
      <w:r>
        <w:rPr>
          <w:rFonts w:hint="eastAsia" w:ascii="宋体" w:hAnsi="宋体"/>
          <w:sz w:val="24"/>
          <w:u w:val="single"/>
        </w:rPr>
        <w:t xml:space="preserve">   </w:t>
      </w:r>
      <w:r>
        <w:rPr>
          <w:rFonts w:ascii="宋体" w:hAnsi="宋体"/>
          <w:sz w:val="24"/>
        </w:rPr>
        <w:t>km，技术标准</w:t>
      </w:r>
      <w:r>
        <w:rPr>
          <w:rFonts w:hint="eastAsia" w:ascii="宋体" w:hAnsi="宋体"/>
          <w:sz w:val="24"/>
          <w:u w:val="single"/>
        </w:rPr>
        <w:t xml:space="preserve">   </w:t>
      </w:r>
      <w:r>
        <w:rPr>
          <w:rFonts w:ascii="宋体" w:hAnsi="宋体"/>
          <w:sz w:val="24"/>
        </w:rPr>
        <w:t>级，</w:t>
      </w:r>
      <w:r>
        <w:rPr>
          <w:rFonts w:hint="eastAsia" w:ascii="宋体" w:hAnsi="宋体"/>
          <w:sz w:val="24"/>
          <w:u w:val="single"/>
        </w:rPr>
        <w:t xml:space="preserve">   </w:t>
      </w:r>
      <w:r>
        <w:rPr>
          <w:rFonts w:ascii="宋体" w:hAnsi="宋体"/>
          <w:sz w:val="24"/>
        </w:rPr>
        <w:t>路面。有</w:t>
      </w:r>
      <w:r>
        <w:rPr>
          <w:rFonts w:hint="eastAsia" w:ascii="宋体" w:hAnsi="宋体"/>
          <w:sz w:val="24"/>
          <w:u w:val="single"/>
        </w:rPr>
        <w:t xml:space="preserve">   </w:t>
      </w:r>
      <w:r>
        <w:rPr>
          <w:rFonts w:ascii="宋体" w:hAnsi="宋体"/>
          <w:sz w:val="24"/>
        </w:rPr>
        <w:t>立交</w:t>
      </w:r>
      <w:r>
        <w:rPr>
          <w:rFonts w:hint="eastAsia" w:ascii="宋体" w:hAnsi="宋体"/>
          <w:sz w:val="24"/>
          <w:u w:val="single"/>
        </w:rPr>
        <w:t xml:space="preserve">   </w:t>
      </w:r>
      <w:r>
        <w:rPr>
          <w:rFonts w:ascii="宋体" w:hAnsi="宋体"/>
          <w:sz w:val="24"/>
        </w:rPr>
        <w:t>处；大中桥</w:t>
      </w:r>
      <w:r>
        <w:rPr>
          <w:rFonts w:hint="eastAsia" w:ascii="宋体" w:hAnsi="宋体"/>
          <w:sz w:val="24"/>
          <w:u w:val="single"/>
        </w:rPr>
        <w:t xml:space="preserve">   </w:t>
      </w:r>
      <w:r>
        <w:rPr>
          <w:rFonts w:ascii="宋体" w:hAnsi="宋体"/>
          <w:sz w:val="24"/>
        </w:rPr>
        <w:t>座，计长</w:t>
      </w:r>
      <w:r>
        <w:rPr>
          <w:rFonts w:hint="eastAsia" w:ascii="宋体" w:hAnsi="宋体"/>
          <w:sz w:val="24"/>
          <w:u w:val="single"/>
        </w:rPr>
        <w:t xml:space="preserve">   </w:t>
      </w:r>
      <w:r>
        <w:rPr>
          <w:rFonts w:hint="eastAsia" w:ascii="宋体" w:hAnsi="宋体"/>
          <w:sz w:val="24"/>
        </w:rPr>
        <w:t>m</w:t>
      </w:r>
      <w:r>
        <w:rPr>
          <w:rFonts w:ascii="宋体" w:hAnsi="宋体"/>
          <w:sz w:val="24"/>
        </w:rPr>
        <w:t>；隧道</w:t>
      </w:r>
      <w:r>
        <w:rPr>
          <w:rFonts w:hint="eastAsia" w:ascii="宋体" w:hAnsi="宋体"/>
          <w:sz w:val="24"/>
          <w:u w:val="single"/>
        </w:rPr>
        <w:t xml:space="preserve">   </w:t>
      </w:r>
      <w:r>
        <w:rPr>
          <w:rFonts w:ascii="宋体" w:hAnsi="宋体"/>
          <w:sz w:val="24"/>
        </w:rPr>
        <w:t>座，计长</w:t>
      </w:r>
      <w:r>
        <w:rPr>
          <w:rFonts w:hint="eastAsia" w:ascii="宋体" w:hAnsi="宋体"/>
          <w:sz w:val="24"/>
          <w:u w:val="single"/>
        </w:rPr>
        <w:t xml:space="preserve">    </w:t>
      </w:r>
      <w:r>
        <w:rPr>
          <w:rFonts w:hint="eastAsia" w:ascii="宋体" w:hAnsi="宋体"/>
          <w:sz w:val="24"/>
        </w:rPr>
        <w:t>m</w:t>
      </w:r>
      <w:r>
        <w:rPr>
          <w:rFonts w:ascii="宋体" w:hAnsi="宋体"/>
          <w:sz w:val="24"/>
        </w:rPr>
        <w:t>以及其他构造物工程等。</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下列文件应视为构成合同文件的组成部分：</w:t>
      </w:r>
    </w:p>
    <w:p>
      <w:pPr>
        <w:adjustRightInd w:val="0"/>
        <w:snapToGrid w:val="0"/>
        <w:spacing w:line="360" w:lineRule="auto"/>
        <w:ind w:left="1079" w:leftChars="228" w:hanging="600" w:hangingChars="250"/>
        <w:rPr>
          <w:rFonts w:ascii="宋体" w:hAnsi="宋体"/>
          <w:sz w:val="24"/>
        </w:rPr>
      </w:pPr>
      <w:r>
        <w:rPr>
          <w:rFonts w:ascii="宋体" w:hAnsi="宋体"/>
          <w:sz w:val="24"/>
        </w:rPr>
        <w:t>（1</w:t>
      </w:r>
      <w:r>
        <w:rPr>
          <w:rFonts w:hint="eastAsia" w:ascii="宋体" w:hAnsi="宋体"/>
          <w:sz w:val="24"/>
        </w:rPr>
        <w:t>）</w:t>
      </w:r>
      <w:r>
        <w:rPr>
          <w:rFonts w:ascii="宋体" w:hAnsi="宋体"/>
          <w:sz w:val="24"/>
        </w:rPr>
        <w:t>本协议书及各种合同附件（含评标期间和合同谈判过程中的澄清文件和补充资料）；</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中标通知书；</w:t>
      </w:r>
    </w:p>
    <w:p>
      <w:pPr>
        <w:adjustRightInd w:val="0"/>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补遗书；</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投标函及投标函附录；</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5）项目专用合同条款；</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公路行业标准专用合同条款；</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w:t>
      </w:r>
      <w:r>
        <w:rPr>
          <w:rFonts w:ascii="宋体" w:hAnsi="宋体"/>
          <w:sz w:val="24"/>
        </w:rPr>
        <w:t>通用合同条款；</w:t>
      </w:r>
    </w:p>
    <w:p>
      <w:pPr>
        <w:adjustRightInd w:val="0"/>
        <w:snapToGrid w:val="0"/>
        <w:spacing w:line="360" w:lineRule="auto"/>
        <w:ind w:firstLine="480" w:firstLineChars="200"/>
        <w:rPr>
          <w:rFonts w:ascii="宋体" w:hAnsi="宋体"/>
          <w:sz w:val="24"/>
        </w:rPr>
      </w:pPr>
      <w:r>
        <w:rPr>
          <w:rFonts w:ascii="宋体" w:hAnsi="宋体"/>
          <w:sz w:val="24"/>
        </w:rPr>
        <w:t>（8）技术规范；</w:t>
      </w:r>
    </w:p>
    <w:p>
      <w:pPr>
        <w:adjustRightInd w:val="0"/>
        <w:snapToGrid w:val="0"/>
        <w:spacing w:line="360" w:lineRule="auto"/>
        <w:ind w:firstLine="480" w:firstLineChars="200"/>
        <w:rPr>
          <w:rFonts w:ascii="宋体" w:hAnsi="宋体"/>
          <w:sz w:val="24"/>
        </w:rPr>
      </w:pPr>
      <w:r>
        <w:rPr>
          <w:rFonts w:ascii="宋体" w:hAnsi="宋体"/>
          <w:sz w:val="24"/>
        </w:rPr>
        <w:t>（9）图纸；</w:t>
      </w:r>
    </w:p>
    <w:p>
      <w:pPr>
        <w:adjustRightInd w:val="0"/>
        <w:snapToGrid w:val="0"/>
        <w:spacing w:line="360" w:lineRule="auto"/>
        <w:ind w:firstLine="480" w:firstLineChars="200"/>
        <w:rPr>
          <w:rFonts w:ascii="宋体" w:hAnsi="宋体"/>
          <w:sz w:val="24"/>
        </w:rPr>
      </w:pPr>
      <w:r>
        <w:rPr>
          <w:rFonts w:ascii="宋体" w:hAnsi="宋体"/>
          <w:sz w:val="24"/>
        </w:rPr>
        <w:t>（10）已标价工程量清单；</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11</w:t>
      </w:r>
      <w:r>
        <w:rPr>
          <w:rFonts w:hint="eastAsia" w:ascii="宋体" w:hAnsi="宋体"/>
          <w:sz w:val="24"/>
        </w:rPr>
        <w:t>）</w:t>
      </w:r>
      <w:r>
        <w:rPr>
          <w:rFonts w:ascii="宋体" w:hAnsi="宋体"/>
          <w:sz w:val="24"/>
        </w:rPr>
        <w:t>资格预审申请文件中有关人员、设备投入的承诺</w:t>
      </w:r>
      <w:r>
        <w:rPr>
          <w:rFonts w:hint="eastAsia" w:ascii="宋体" w:hAnsi="宋体"/>
          <w:sz w:val="24"/>
        </w:rPr>
        <w:t>和目标承诺书；</w:t>
      </w:r>
    </w:p>
    <w:p>
      <w:pPr>
        <w:adjustRightInd w:val="0"/>
        <w:snapToGrid w:val="0"/>
        <w:spacing w:line="360" w:lineRule="auto"/>
        <w:ind w:firstLine="480" w:firstLineChars="200"/>
        <w:rPr>
          <w:rFonts w:ascii="宋体" w:hAnsi="宋体"/>
          <w:sz w:val="24"/>
        </w:rPr>
      </w:pPr>
      <w:r>
        <w:rPr>
          <w:rFonts w:hint="eastAsia" w:ascii="宋体" w:hAnsi="宋体"/>
          <w:sz w:val="24"/>
        </w:rPr>
        <w:t>（12）根据承诺提供的详细人员、设备清单；</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）施工组织设计安排；</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农民工工资支付承诺书</w:t>
      </w:r>
      <w:r>
        <w:rPr>
          <w:rFonts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（15）扬尘治理专项承诺书；</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6</w:t>
      </w:r>
      <w:r>
        <w:rPr>
          <w:rFonts w:ascii="宋体" w:hAnsi="宋体"/>
          <w:sz w:val="24"/>
        </w:rPr>
        <w:t>）其他合同文件。</w:t>
      </w:r>
    </w:p>
    <w:p>
      <w:pPr>
        <w:adjustRightInd w:val="0"/>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上述文件互相补充和解释，如有不明确或不一致之处，以合同约定次序在先者为准。</w:t>
      </w:r>
    </w:p>
    <w:p>
      <w:pPr>
        <w:adjustRightInd w:val="0"/>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根据工程量清单所列的预计数量和单价或总额价计算的签约合同价：人民币（大写）</w:t>
      </w:r>
      <w:r>
        <w:rPr>
          <w:rFonts w:hint="eastAsia" w:ascii="宋体" w:hAnsi="宋体"/>
          <w:sz w:val="24"/>
          <w:u w:val="single"/>
        </w:rPr>
        <w:t xml:space="preserve">         </w:t>
      </w:r>
      <w:r>
        <w:rPr>
          <w:rFonts w:ascii="宋体" w:hAnsi="宋体"/>
          <w:sz w:val="24"/>
        </w:rPr>
        <w:t>元（￥</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承包人项目经理：</w:t>
      </w:r>
      <w:r>
        <w:rPr>
          <w:rFonts w:hint="eastAsia" w:ascii="宋体" w:hAnsi="宋体"/>
          <w:sz w:val="24"/>
          <w:u w:val="single"/>
        </w:rPr>
        <w:t xml:space="preserve">               </w:t>
      </w:r>
      <w:r>
        <w:rPr>
          <w:rFonts w:ascii="宋体" w:hAnsi="宋体"/>
          <w:sz w:val="24"/>
        </w:rPr>
        <w:t>。技术负责人：</w:t>
      </w:r>
      <w:r>
        <w:rPr>
          <w:rFonts w:hint="eastAsia" w:ascii="宋体" w:hAnsi="宋体"/>
          <w:sz w:val="24"/>
          <w:u w:val="single"/>
        </w:rPr>
        <w:t xml:space="preserve">             </w:t>
      </w:r>
      <w:r>
        <w:rPr>
          <w:rFonts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工程质量符合</w:t>
      </w:r>
      <w:r>
        <w:rPr>
          <w:rFonts w:hint="eastAsia" w:ascii="宋体" w:hAnsi="宋体"/>
          <w:sz w:val="24"/>
          <w:u w:val="single"/>
        </w:rPr>
        <w:t xml:space="preserve">              </w:t>
      </w:r>
      <w:r>
        <w:rPr>
          <w:rFonts w:ascii="宋体" w:hAnsi="宋体"/>
          <w:sz w:val="24"/>
        </w:rPr>
        <w:t>标准。</w:t>
      </w:r>
    </w:p>
    <w:p>
      <w:pPr>
        <w:adjustRightInd w:val="0"/>
        <w:snapToGrid w:val="0"/>
        <w:spacing w:line="360" w:lineRule="auto"/>
        <w:ind w:firstLine="480" w:firstLineChars="200"/>
        <w:rPr>
          <w:rFonts w:ascii="宋体" w:hAnsi="宋体"/>
          <w:sz w:val="24"/>
        </w:rPr>
      </w:pPr>
      <w:r>
        <w:rPr>
          <w:rFonts w:ascii="宋体" w:hAnsi="宋体"/>
          <w:sz w:val="24"/>
        </w:rPr>
        <w:t>7．承包人承诺按合同约定承担工程的实施、完成及缺陷修复。</w:t>
      </w:r>
    </w:p>
    <w:p>
      <w:pPr>
        <w:adjustRightInd w:val="0"/>
        <w:snapToGrid w:val="0"/>
        <w:spacing w:line="360" w:lineRule="auto"/>
        <w:ind w:firstLine="480" w:firstLineChars="200"/>
        <w:rPr>
          <w:rFonts w:ascii="宋体" w:hAnsi="宋体"/>
          <w:sz w:val="24"/>
        </w:rPr>
      </w:pPr>
      <w:r>
        <w:rPr>
          <w:rFonts w:hint="eastAsia" w:ascii="宋体" w:hAnsi="宋体"/>
          <w:sz w:val="24"/>
        </w:rPr>
        <w:t>8．</w:t>
      </w:r>
      <w:r>
        <w:rPr>
          <w:rFonts w:ascii="宋体" w:hAnsi="宋体"/>
          <w:sz w:val="24"/>
        </w:rPr>
        <w:t>发包人承诺按合同约定的条件、时间和方式向承包人支付合同价款。</w:t>
      </w:r>
    </w:p>
    <w:p>
      <w:pPr>
        <w:adjustRightInd w:val="0"/>
        <w:snapToGrid w:val="0"/>
        <w:spacing w:line="360" w:lineRule="auto"/>
        <w:ind w:firstLine="480" w:firstLineChars="200"/>
        <w:rPr>
          <w:rFonts w:ascii="宋体" w:hAnsi="宋体"/>
          <w:sz w:val="24"/>
        </w:rPr>
      </w:pPr>
      <w:r>
        <w:rPr>
          <w:rFonts w:ascii="宋体" w:hAnsi="宋体"/>
          <w:sz w:val="24"/>
        </w:rPr>
        <w:t>9</w:t>
      </w:r>
      <w:r>
        <w:rPr>
          <w:rFonts w:hint="eastAsia" w:ascii="宋体" w:hAnsi="宋体"/>
          <w:sz w:val="24"/>
        </w:rPr>
        <w:t>．</w:t>
      </w:r>
      <w:r>
        <w:rPr>
          <w:rFonts w:ascii="宋体" w:hAnsi="宋体"/>
          <w:sz w:val="24"/>
        </w:rPr>
        <w:t>承包人应按照监理人指示开工，工期为</w:t>
      </w:r>
      <w:r>
        <w:rPr>
          <w:rFonts w:hint="eastAsia" w:ascii="宋体" w:hAnsi="宋体"/>
          <w:sz w:val="24"/>
          <w:u w:val="single"/>
        </w:rPr>
        <w:t xml:space="preserve">     </w:t>
      </w:r>
      <w:r>
        <w:rPr>
          <w:rFonts w:ascii="宋体" w:hAnsi="宋体"/>
          <w:sz w:val="24"/>
        </w:rPr>
        <w:t>日历天。</w:t>
      </w:r>
    </w:p>
    <w:p>
      <w:pPr>
        <w:adjustRightInd w:val="0"/>
        <w:snapToGrid w:val="0"/>
        <w:spacing w:line="360" w:lineRule="auto"/>
        <w:ind w:firstLine="480" w:firstLineChars="200"/>
        <w:rPr>
          <w:rFonts w:ascii="宋体" w:hAnsi="宋体"/>
          <w:sz w:val="24"/>
        </w:rPr>
      </w:pPr>
      <w:r>
        <w:rPr>
          <w:rFonts w:ascii="宋体" w:hAnsi="宋体"/>
          <w:sz w:val="24"/>
        </w:rPr>
        <w:t>10</w:t>
      </w:r>
      <w:r>
        <w:rPr>
          <w:rFonts w:hint="eastAsia" w:ascii="宋体" w:hAnsi="宋体"/>
          <w:sz w:val="24"/>
        </w:rPr>
        <w:t>．</w:t>
      </w:r>
      <w:r>
        <w:rPr>
          <w:rFonts w:ascii="宋体" w:hAnsi="宋体"/>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rFonts w:ascii="宋体" w:hAnsi="宋体"/>
          <w:sz w:val="24"/>
        </w:rPr>
      </w:pPr>
      <w:r>
        <w:rPr>
          <w:rFonts w:ascii="宋体" w:hAnsi="宋体"/>
          <w:sz w:val="24"/>
        </w:rPr>
        <w:t>11．本协议书正本二份、副本</w:t>
      </w:r>
      <w:r>
        <w:rPr>
          <w:rFonts w:hint="eastAsia" w:ascii="宋体" w:hAnsi="宋体"/>
          <w:sz w:val="24"/>
          <w:u w:val="single"/>
        </w:rPr>
        <w:t xml:space="preserve">     </w:t>
      </w:r>
      <w:r>
        <w:rPr>
          <w:rFonts w:ascii="宋体" w:hAnsi="宋体"/>
          <w:sz w:val="24"/>
        </w:rPr>
        <w:t>份，合同双方各执正本一份，副本</w:t>
      </w:r>
      <w:r>
        <w:rPr>
          <w:rFonts w:hint="eastAsia" w:ascii="宋体" w:hAnsi="宋体"/>
          <w:sz w:val="24"/>
          <w:u w:val="single"/>
        </w:rPr>
        <w:t xml:space="preserve">     </w:t>
      </w:r>
      <w:r>
        <w:rPr>
          <w:rFonts w:ascii="宋体" w:hAnsi="宋体"/>
          <w:sz w:val="24"/>
        </w:rPr>
        <w:t>份，当正本与副本的内容不一致时，以正本为准。</w:t>
      </w:r>
    </w:p>
    <w:p>
      <w:pPr>
        <w:adjustRightInd w:val="0"/>
        <w:snapToGrid w:val="0"/>
        <w:spacing w:line="360" w:lineRule="auto"/>
        <w:ind w:firstLine="480" w:firstLineChars="200"/>
        <w:rPr>
          <w:rFonts w:ascii="宋体" w:hAnsi="宋体"/>
          <w:sz w:val="24"/>
        </w:rPr>
      </w:pPr>
      <w:r>
        <w:rPr>
          <w:rFonts w:ascii="宋体" w:hAnsi="宋体"/>
          <w:sz w:val="24"/>
        </w:rPr>
        <w:t>12</w:t>
      </w:r>
      <w:r>
        <w:rPr>
          <w:rFonts w:hint="eastAsia" w:ascii="宋体" w:hAnsi="宋体"/>
          <w:sz w:val="24"/>
        </w:rPr>
        <w:t>．</w:t>
      </w:r>
      <w:r>
        <w:rPr>
          <w:rFonts w:ascii="宋体" w:hAnsi="宋体"/>
          <w:sz w:val="24"/>
        </w:rPr>
        <w:t>合同未尽事宜，双方另行签订补充协议。补充协议是合同的组成部分。</w:t>
      </w:r>
    </w:p>
    <w:p>
      <w:pPr>
        <w:adjustRightInd w:val="0"/>
        <w:snapToGrid w:val="0"/>
        <w:spacing w:line="360" w:lineRule="auto"/>
        <w:ind w:firstLine="480" w:firstLineChars="200"/>
        <w:rPr>
          <w:rFonts w:ascii="宋体" w:hAnsi="宋体"/>
          <w:sz w:val="24"/>
        </w:rPr>
      </w:pPr>
    </w:p>
    <w:p>
      <w:pPr>
        <w:adjustRightInd w:val="0"/>
        <w:snapToGrid w:val="0"/>
        <w:spacing w:line="360" w:lineRule="auto"/>
        <w:rPr>
          <w:rFonts w:ascii="宋体" w:hAnsi="宋体"/>
          <w:sz w:val="24"/>
        </w:rPr>
      </w:pPr>
      <w:r>
        <w:rPr>
          <w:rFonts w:ascii="宋体" w:hAnsi="宋体"/>
          <w:sz w:val="24"/>
        </w:rPr>
        <w:t>发包人：</w:t>
      </w:r>
      <w:r>
        <w:rPr>
          <w:rFonts w:hint="eastAsia" w:ascii="宋体" w:hAnsi="宋体"/>
          <w:sz w:val="24"/>
          <w:u w:val="single"/>
        </w:rPr>
        <w:t xml:space="preserve">              </w:t>
      </w:r>
      <w:r>
        <w:rPr>
          <w:rFonts w:ascii="宋体" w:hAnsi="宋体"/>
          <w:sz w:val="24"/>
        </w:rPr>
        <w:t>（盖单位公章）</w:t>
      </w:r>
      <w:r>
        <w:rPr>
          <w:rFonts w:hint="eastAsia" w:ascii="宋体" w:hAnsi="宋体"/>
          <w:sz w:val="24"/>
        </w:rPr>
        <w:t xml:space="preserve">    </w:t>
      </w:r>
      <w:r>
        <w:rPr>
          <w:rFonts w:ascii="宋体" w:hAnsi="宋体"/>
          <w:sz w:val="24"/>
        </w:rPr>
        <w:t>承包人：</w:t>
      </w:r>
      <w:r>
        <w:rPr>
          <w:rFonts w:hint="eastAsia" w:ascii="宋体" w:hAnsi="宋体"/>
          <w:sz w:val="24"/>
          <w:u w:val="single"/>
        </w:rPr>
        <w:t xml:space="preserve">                </w:t>
      </w:r>
      <w:r>
        <w:rPr>
          <w:rFonts w:ascii="宋体" w:hAnsi="宋体"/>
          <w:sz w:val="24"/>
        </w:rPr>
        <w:t>（盖单位公章）</w:t>
      </w:r>
    </w:p>
    <w:p>
      <w:pPr>
        <w:adjustRightInd w:val="0"/>
        <w:snapToGrid w:val="0"/>
        <w:spacing w:line="360" w:lineRule="auto"/>
        <w:rPr>
          <w:rFonts w:ascii="宋体" w:hAnsi="宋体"/>
          <w:sz w:val="24"/>
        </w:rPr>
      </w:pPr>
      <w:r>
        <w:rPr>
          <w:rFonts w:ascii="宋体" w:hAnsi="宋体"/>
          <w:sz w:val="24"/>
        </w:rPr>
        <w:t>法定代表人或其委托代理人：</w:t>
      </w:r>
      <w:r>
        <w:rPr>
          <w:rFonts w:hint="eastAsia" w:ascii="宋体" w:hAnsi="宋体"/>
          <w:sz w:val="24"/>
          <w:u w:val="single"/>
        </w:rPr>
        <w:t xml:space="preserve">    </w:t>
      </w:r>
      <w:r>
        <w:rPr>
          <w:rFonts w:hint="eastAsia" w:ascii="宋体" w:hAnsi="宋体"/>
          <w:sz w:val="24"/>
        </w:rPr>
        <w:t>（</w:t>
      </w:r>
      <w:r>
        <w:rPr>
          <w:rFonts w:ascii="宋体" w:hAnsi="宋体"/>
          <w:sz w:val="24"/>
        </w:rPr>
        <w:t>签字）</w:t>
      </w:r>
      <w:r>
        <w:rPr>
          <w:rFonts w:hint="eastAsia" w:ascii="宋体" w:hAnsi="宋体"/>
          <w:sz w:val="24"/>
        </w:rPr>
        <w:t xml:space="preserve">  </w:t>
      </w:r>
      <w:r>
        <w:rPr>
          <w:rFonts w:ascii="宋体" w:hAnsi="宋体"/>
          <w:sz w:val="24"/>
        </w:rPr>
        <w:t>法定代表人或其委托代理人：</w:t>
      </w:r>
      <w:r>
        <w:rPr>
          <w:rFonts w:hint="eastAsia" w:ascii="宋体" w:hAnsi="宋体"/>
          <w:sz w:val="24"/>
          <w:u w:val="single"/>
        </w:rPr>
        <w:t xml:space="preserve">    </w:t>
      </w:r>
      <w:r>
        <w:rPr>
          <w:rFonts w:hint="eastAsia" w:ascii="宋体" w:hAnsi="宋体"/>
          <w:sz w:val="24"/>
        </w:rPr>
        <w:t>（</w:t>
      </w:r>
      <w:r>
        <w:rPr>
          <w:rFonts w:ascii="宋体" w:hAnsi="宋体"/>
          <w:sz w:val="24"/>
        </w:rPr>
        <w:t>签字）</w:t>
      </w:r>
    </w:p>
    <w:p>
      <w:pPr>
        <w:adjustRightInd w:val="0"/>
        <w:snapToGrid w:val="0"/>
        <w:spacing w:line="360" w:lineRule="auto"/>
        <w:ind w:firstLine="480" w:firstLineChars="200"/>
        <w:rPr>
          <w:rFonts w:ascii="宋体" w:hAnsi="宋体"/>
          <w:sz w:val="24"/>
        </w:rPr>
      </w:pP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r>
        <w:rPr>
          <w:rFonts w:hint="eastAsia" w:ascii="宋体" w:hAnsi="宋体"/>
          <w:sz w:val="24"/>
        </w:rPr>
        <w:t xml:space="preserve">          </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adjustRightInd w:val="0"/>
        <w:snapToGrid w:val="0"/>
        <w:spacing w:line="360" w:lineRule="auto"/>
        <w:ind w:firstLine="480" w:firstLineChars="200"/>
        <w:rPr>
          <w:rFonts w:ascii="宋体" w:hAnsi="宋体"/>
          <w:sz w:val="24"/>
        </w:rPr>
      </w:pPr>
    </w:p>
    <w:p>
      <w:pPr>
        <w:adjustRightInd w:val="0"/>
        <w:snapToGrid w:val="0"/>
        <w:spacing w:line="360" w:lineRule="auto"/>
        <w:rPr>
          <w:rFonts w:hint="eastAsia" w:ascii="宋体" w:hAnsi="宋体"/>
          <w:sz w:val="24"/>
        </w:rPr>
      </w:pPr>
    </w:p>
    <w:p>
      <w:pPr>
        <w:pStyle w:val="18"/>
        <w:spacing w:line="360" w:lineRule="auto"/>
        <w:ind w:firstLine="480"/>
        <w:rPr>
          <w:rFonts w:ascii="宋体" w:hAnsi="宋体"/>
          <w:sz w:val="24"/>
        </w:rPr>
      </w:pPr>
    </w:p>
    <w:p>
      <w:pPr>
        <w:adjustRightInd w:val="0"/>
        <w:snapToGrid w:val="0"/>
        <w:spacing w:line="360" w:lineRule="auto"/>
        <w:rPr>
          <w:rFonts w:ascii="宋体" w:hAnsi="宋体"/>
          <w:sz w:val="24"/>
        </w:rPr>
      </w:pPr>
      <w:r>
        <w:rPr>
          <w:rFonts w:ascii="宋体" w:hAnsi="宋体"/>
          <w:sz w:val="24"/>
        </w:rPr>
        <w:br w:type="page"/>
      </w:r>
      <w:r>
        <w:rPr>
          <w:rFonts w:hint="eastAsia" w:ascii="宋体" w:hAnsi="宋体"/>
          <w:sz w:val="24"/>
        </w:rPr>
        <w:t>附件二：廉政合同</w:t>
      </w:r>
    </w:p>
    <w:p>
      <w:pPr>
        <w:adjustRightInd w:val="0"/>
        <w:snapToGrid w:val="0"/>
        <w:spacing w:after="156" w:afterLines="50" w:line="360" w:lineRule="auto"/>
        <w:jc w:val="center"/>
        <w:rPr>
          <w:rFonts w:ascii="宋体" w:hAnsi="宋体"/>
          <w:sz w:val="24"/>
        </w:rPr>
      </w:pPr>
      <w:r>
        <w:rPr>
          <w:rFonts w:hint="eastAsia" w:ascii="宋体" w:hAnsi="宋体"/>
          <w:sz w:val="24"/>
        </w:rPr>
        <w:t>廉 政 合 同</w:t>
      </w:r>
    </w:p>
    <w:p>
      <w:pPr>
        <w:adjustRightInd w:val="0"/>
        <w:snapToGrid w:val="0"/>
        <w:spacing w:line="360" w:lineRule="auto"/>
        <w:ind w:firstLine="480" w:firstLineChars="200"/>
        <w:rPr>
          <w:rFonts w:ascii="宋体" w:hAnsi="宋体"/>
          <w:sz w:val="24"/>
        </w:rPr>
      </w:pPr>
      <w:r>
        <w:rPr>
          <w:rFonts w:ascii="宋体" w:hAnsi="宋体"/>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ascii="宋体" w:hAnsi="宋体"/>
          <w:sz w:val="24"/>
          <w:u w:val="single"/>
        </w:rPr>
        <w:t xml:space="preserve">    （全称）   </w:t>
      </w:r>
      <w:r>
        <w:rPr>
          <w:rFonts w:ascii="宋体" w:hAnsi="宋体"/>
          <w:sz w:val="24"/>
        </w:rPr>
        <w:t>（以下简称“甲方”）与施工单位</w:t>
      </w:r>
      <w:r>
        <w:rPr>
          <w:rFonts w:hint="eastAsia" w:ascii="宋体" w:hAnsi="宋体"/>
          <w:sz w:val="24"/>
          <w:u w:val="single"/>
        </w:rPr>
        <w:t xml:space="preserve">    （全称）   </w:t>
      </w:r>
      <w:r>
        <w:rPr>
          <w:rFonts w:ascii="宋体" w:hAnsi="宋体"/>
          <w:sz w:val="24"/>
        </w:rPr>
        <w:t>（以下简称“乙方”），特订立如下合同。</w:t>
      </w:r>
    </w:p>
    <w:p>
      <w:pPr>
        <w:adjustRightInd w:val="0"/>
        <w:snapToGrid w:val="0"/>
        <w:spacing w:line="360" w:lineRule="auto"/>
        <w:ind w:firstLine="480" w:firstLineChars="200"/>
        <w:rPr>
          <w:rFonts w:ascii="宋体" w:hAnsi="宋体"/>
          <w:sz w:val="24"/>
        </w:rPr>
      </w:pPr>
      <w:r>
        <w:rPr>
          <w:rFonts w:hint="eastAsia" w:ascii="宋体" w:hAnsi="宋体"/>
          <w:sz w:val="24"/>
        </w:rPr>
        <w:t>1．甲乙双方的权利和义务</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 xml:space="preserve"> </w:t>
      </w:r>
      <w:r>
        <w:rPr>
          <w:rFonts w:ascii="宋体" w:hAnsi="宋体"/>
          <w:sz w:val="24"/>
        </w:rPr>
        <w:t>严格遵守党的政策规定和国家有关法律法规及交通部的有关规定。</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 xml:space="preserve">） </w:t>
      </w:r>
      <w:r>
        <w:rPr>
          <w:rFonts w:ascii="宋体" w:hAnsi="宋体"/>
          <w:sz w:val="24"/>
        </w:rPr>
        <w:t>严格执行．（项目名称）工程的合同文件，自觉按合同办事。</w:t>
      </w:r>
    </w:p>
    <w:p>
      <w:pPr>
        <w:adjustRightInd w:val="0"/>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 xml:space="preserve">） </w:t>
      </w:r>
      <w:r>
        <w:rPr>
          <w:rFonts w:ascii="宋体" w:hAnsi="宋体"/>
          <w:sz w:val="24"/>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rFonts w:ascii="宋体" w:hAnsi="宋体"/>
          <w:sz w:val="24"/>
        </w:rPr>
      </w:pPr>
      <w:r>
        <w:rPr>
          <w:rFonts w:hint="eastAsia" w:ascii="宋体" w:hAnsi="宋体"/>
          <w:sz w:val="24"/>
        </w:rPr>
        <w:t xml:space="preserve">（4） </w:t>
      </w:r>
      <w:r>
        <w:rPr>
          <w:rFonts w:ascii="宋体" w:hAnsi="宋体"/>
          <w:sz w:val="24"/>
        </w:rPr>
        <w:t>建立健全廉政制度，开展廉政教育，设立廉政告示牌，公布举报电话，监督并认真查处违法违纪行为。</w:t>
      </w:r>
    </w:p>
    <w:p>
      <w:pPr>
        <w:adjustRightInd w:val="0"/>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 xml:space="preserve"> </w:t>
      </w:r>
      <w:r>
        <w:rPr>
          <w:rFonts w:ascii="宋体" w:hAnsi="宋体"/>
          <w:sz w:val="24"/>
        </w:rPr>
        <w:t>发现对方在业务活动中有违反廉政规定的行为，有及时提醒对方纠正的权利和义务。</w:t>
      </w:r>
    </w:p>
    <w:p>
      <w:pPr>
        <w:adjustRightInd w:val="0"/>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 xml:space="preserve"> </w:t>
      </w:r>
      <w:r>
        <w:rPr>
          <w:rFonts w:ascii="宋体" w:hAnsi="宋体"/>
          <w:sz w:val="24"/>
        </w:rPr>
        <w:t>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ascii="宋体" w:hAnsi="宋体"/>
          <w:sz w:val="24"/>
        </w:rPr>
      </w:pPr>
      <w:r>
        <w:rPr>
          <w:rFonts w:ascii="宋体" w:hAnsi="宋体"/>
          <w:sz w:val="24"/>
        </w:rPr>
        <w:t>2．甲方的义务</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 xml:space="preserve"> </w:t>
      </w:r>
      <w:r>
        <w:rPr>
          <w:rFonts w:ascii="宋体" w:hAnsi="宋体"/>
          <w:sz w:val="24"/>
        </w:rPr>
        <w:t>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 xml:space="preserve">） </w:t>
      </w:r>
      <w:r>
        <w:rPr>
          <w:rFonts w:ascii="宋体" w:hAnsi="宋体"/>
          <w:sz w:val="24"/>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 xml:space="preserve">） </w:t>
      </w:r>
      <w:r>
        <w:rPr>
          <w:rFonts w:ascii="宋体" w:hAnsi="宋体"/>
          <w:sz w:val="24"/>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 xml:space="preserve"> </w:t>
      </w:r>
      <w:r>
        <w:rPr>
          <w:rFonts w:ascii="宋体" w:hAnsi="宋体"/>
          <w:sz w:val="24"/>
        </w:rPr>
        <w:t>甲方工作人员及其配偶、子女不得从事与甲方工程有关的材料设备供应、工程分包、劳务等经济活动等。</w:t>
      </w:r>
    </w:p>
    <w:p>
      <w:pPr>
        <w:adjustRightInd w:val="0"/>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 xml:space="preserve"> </w:t>
      </w:r>
      <w:r>
        <w:rPr>
          <w:rFonts w:ascii="宋体" w:hAnsi="宋体"/>
          <w:sz w:val="24"/>
        </w:rPr>
        <w:t>甲方及其工作人员不得以任何理由向乙方推荐分包单位或推销材料，不得要求乙方购买合同规定外的材料和设备。</w:t>
      </w:r>
    </w:p>
    <w:p>
      <w:pPr>
        <w:adjustRightInd w:val="0"/>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 xml:space="preserve"> </w:t>
      </w:r>
      <w:r>
        <w:rPr>
          <w:rFonts w:ascii="宋体" w:hAnsi="宋体"/>
          <w:sz w:val="24"/>
        </w:rPr>
        <w:t>甲方工作人员要秉公办事，不准营私舞弊，不准利用职权从事各种个人有偿中介活动和安排个人施工队伍。</w:t>
      </w:r>
    </w:p>
    <w:p>
      <w:pPr>
        <w:adjustRightInd w:val="0"/>
        <w:snapToGrid w:val="0"/>
        <w:spacing w:line="360" w:lineRule="auto"/>
        <w:ind w:firstLine="480" w:firstLineChars="200"/>
        <w:rPr>
          <w:rFonts w:ascii="宋体" w:hAnsi="宋体"/>
          <w:sz w:val="24"/>
        </w:rPr>
      </w:pPr>
      <w:r>
        <w:rPr>
          <w:rFonts w:ascii="宋体" w:hAnsi="宋体"/>
          <w:sz w:val="24"/>
        </w:rPr>
        <w:t>3．乙方的义务</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乙方不得以任何理由向甲方及其工作人员行贿或馈赠礼金、有价证券、贵重礼品。</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2）乙方不得以任何名义为甲方及其工作人员报销应由甲方单位或个人支付的任何费用。</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3）乙方不得以任何理由安排甲方工作人员参加超标准宴请及娱乐活动。</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4）乙方不得为甲方单位和个人购置或提供通讯工具、交通工具和高档办公用品等。</w:t>
      </w:r>
    </w:p>
    <w:p>
      <w:pPr>
        <w:adjustRightInd w:val="0"/>
        <w:snapToGrid w:val="0"/>
        <w:spacing w:line="360" w:lineRule="auto"/>
        <w:ind w:firstLine="480" w:firstLineChars="200"/>
        <w:rPr>
          <w:rFonts w:ascii="宋体" w:hAnsi="宋体"/>
          <w:sz w:val="24"/>
        </w:rPr>
      </w:pPr>
      <w:r>
        <w:rPr>
          <w:rFonts w:ascii="宋体" w:hAnsi="宋体"/>
          <w:sz w:val="24"/>
        </w:rPr>
        <w:t>4．违约责任</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本合同有效期为甲乙双方签署之日起至该工程项目国家验收后止。</w:t>
      </w:r>
    </w:p>
    <w:p>
      <w:pPr>
        <w:adjustRightInd w:val="0"/>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w:t>
      </w:r>
      <w:r>
        <w:rPr>
          <w:rFonts w:ascii="宋体" w:hAnsi="宋体"/>
          <w:sz w:val="24"/>
        </w:rPr>
        <w:t>本合同作为</w:t>
      </w:r>
      <w:r>
        <w:rPr>
          <w:rFonts w:hint="eastAsia" w:ascii="宋体" w:hAnsi="宋体"/>
          <w:sz w:val="24"/>
          <w:u w:val="single"/>
        </w:rPr>
        <w:t xml:space="preserve">    （项目名称）    </w:t>
      </w:r>
      <w:r>
        <w:rPr>
          <w:rFonts w:ascii="宋体" w:hAnsi="宋体"/>
          <w:sz w:val="24"/>
        </w:rPr>
        <w:t>工程施工合同的附件，与工程施工合同具有同等的法律效力，经合同双方签署立即生效。</w:t>
      </w:r>
    </w:p>
    <w:p>
      <w:pPr>
        <w:adjustRightInd w:val="0"/>
        <w:snapToGrid w:val="0"/>
        <w:spacing w:line="360" w:lineRule="auto"/>
        <w:ind w:firstLine="480" w:firstLineChars="200"/>
        <w:rPr>
          <w:rFonts w:ascii="宋体" w:hAnsi="宋体"/>
          <w:sz w:val="24"/>
        </w:rPr>
      </w:pPr>
      <w:r>
        <w:rPr>
          <w:rFonts w:ascii="宋体" w:hAnsi="宋体"/>
          <w:sz w:val="24"/>
        </w:rPr>
        <w:t>8</w:t>
      </w:r>
      <w:r>
        <w:rPr>
          <w:rFonts w:hint="eastAsia" w:ascii="宋体" w:hAnsi="宋体"/>
          <w:sz w:val="24"/>
        </w:rPr>
        <w:t>．</w:t>
      </w:r>
      <w:r>
        <w:rPr>
          <w:rFonts w:ascii="宋体" w:hAnsi="宋体"/>
          <w:sz w:val="24"/>
        </w:rPr>
        <w:t>本合同一式四份，由甲乙双方各执一份，送交甲乙双方的监督单位各一份。</w:t>
      </w:r>
    </w:p>
    <w:p>
      <w:pPr>
        <w:adjustRightInd w:val="0"/>
        <w:snapToGrid w:val="0"/>
        <w:spacing w:before="312" w:beforeLines="100" w:line="360" w:lineRule="auto"/>
        <w:rPr>
          <w:rFonts w:ascii="宋体" w:hAnsi="宋体"/>
          <w:sz w:val="24"/>
        </w:rPr>
      </w:pPr>
      <w:r>
        <w:rPr>
          <w:rFonts w:ascii="宋体" w:hAnsi="宋体"/>
          <w:sz w:val="24"/>
        </w:rPr>
        <w:t>甲</w:t>
      </w:r>
      <w:r>
        <w:rPr>
          <w:rFonts w:hint="eastAsia" w:ascii="宋体" w:hAnsi="宋体"/>
          <w:sz w:val="24"/>
        </w:rPr>
        <w:t xml:space="preserve">  </w:t>
      </w:r>
      <w:r>
        <w:rPr>
          <w:rFonts w:ascii="宋体" w:hAnsi="宋体"/>
          <w:sz w:val="24"/>
        </w:rPr>
        <w:t>方：</w:t>
      </w:r>
      <w:r>
        <w:rPr>
          <w:rFonts w:hint="eastAsia" w:ascii="宋体" w:hAnsi="宋体"/>
          <w:sz w:val="24"/>
          <w:u w:val="single"/>
        </w:rPr>
        <w:t xml:space="preserve">  单位全称   （盖章）</w:t>
      </w:r>
      <w:r>
        <w:rPr>
          <w:rFonts w:hint="eastAsia" w:ascii="宋体" w:hAnsi="宋体"/>
          <w:sz w:val="24"/>
        </w:rPr>
        <w:t xml:space="preserve">         乙  </w:t>
      </w:r>
      <w:r>
        <w:rPr>
          <w:rFonts w:ascii="宋体" w:hAnsi="宋体"/>
          <w:sz w:val="24"/>
        </w:rPr>
        <w:t>方：</w:t>
      </w:r>
      <w:r>
        <w:rPr>
          <w:rFonts w:hint="eastAsia" w:ascii="宋体" w:hAnsi="宋体"/>
          <w:sz w:val="24"/>
          <w:u w:val="single"/>
        </w:rPr>
        <w:t xml:space="preserve">    单位全称  （盖章）</w:t>
      </w:r>
    </w:p>
    <w:p>
      <w:pPr>
        <w:adjustRightInd w:val="0"/>
        <w:snapToGrid w:val="0"/>
        <w:spacing w:line="360" w:lineRule="auto"/>
        <w:rPr>
          <w:rFonts w:ascii="宋体" w:hAnsi="宋体"/>
          <w:sz w:val="24"/>
        </w:rPr>
      </w:pPr>
      <w:r>
        <w:rPr>
          <w:rFonts w:ascii="宋体" w:hAnsi="宋体"/>
          <w:sz w:val="24"/>
        </w:rPr>
        <w:t>法定代表人</w:t>
      </w:r>
      <w:r>
        <w:rPr>
          <w:rFonts w:hint="eastAsia" w:ascii="宋体" w:hAnsi="宋体"/>
          <w:sz w:val="24"/>
        </w:rPr>
        <w:t xml:space="preserve">                            </w:t>
      </w:r>
      <w:r>
        <w:rPr>
          <w:rFonts w:ascii="宋体" w:hAnsi="宋体"/>
          <w:sz w:val="24"/>
        </w:rPr>
        <w:t>法定代表人</w:t>
      </w:r>
    </w:p>
    <w:p>
      <w:pPr>
        <w:adjustRightInd w:val="0"/>
        <w:snapToGrid w:val="0"/>
        <w:spacing w:line="360" w:lineRule="auto"/>
        <w:rPr>
          <w:rFonts w:ascii="宋体" w:hAnsi="宋体"/>
          <w:sz w:val="24"/>
        </w:rPr>
      </w:pPr>
      <w:r>
        <w:rPr>
          <w:rFonts w:ascii="宋体" w:hAnsi="宋体"/>
          <w:sz w:val="24"/>
        </w:rPr>
        <w:t>或或其授权的代理人</w:t>
      </w:r>
      <w:r>
        <w:rPr>
          <w:rFonts w:hint="eastAsia" w:ascii="宋体" w:hAnsi="宋体"/>
          <w:sz w:val="24"/>
          <w:u w:val="single"/>
        </w:rPr>
        <w:t xml:space="preserve">   （职务） </w:t>
      </w:r>
      <w:r>
        <w:rPr>
          <w:rFonts w:hint="eastAsia" w:ascii="宋体" w:hAnsi="宋体"/>
          <w:sz w:val="24"/>
        </w:rPr>
        <w:t xml:space="preserve">        或</w:t>
      </w:r>
      <w:r>
        <w:rPr>
          <w:rFonts w:ascii="宋体" w:hAnsi="宋体"/>
          <w:sz w:val="24"/>
        </w:rPr>
        <w:t>其授权的代理人</w:t>
      </w:r>
      <w:r>
        <w:rPr>
          <w:rFonts w:hint="eastAsia" w:ascii="宋体" w:hAnsi="宋体"/>
          <w:sz w:val="24"/>
          <w:u w:val="single"/>
        </w:rPr>
        <w:t xml:space="preserve">   （职务）    </w:t>
      </w:r>
    </w:p>
    <w:p>
      <w:pPr>
        <w:adjustRightInd w:val="0"/>
        <w:snapToGrid w:val="0"/>
        <w:spacing w:line="360" w:lineRule="auto"/>
        <w:ind w:firstLine="2160" w:firstLineChars="900"/>
        <w:rPr>
          <w:rFonts w:ascii="宋体" w:hAnsi="宋体"/>
          <w:sz w:val="24"/>
          <w:u w:val="single"/>
        </w:rPr>
      </w:pPr>
      <w:r>
        <w:rPr>
          <w:rFonts w:hint="eastAsia" w:ascii="宋体" w:hAnsi="宋体"/>
          <w:sz w:val="24"/>
          <w:u w:val="single"/>
        </w:rPr>
        <w:t xml:space="preserve">   </w:t>
      </w:r>
      <w:r>
        <w:rPr>
          <w:rFonts w:ascii="宋体" w:hAnsi="宋体"/>
          <w:sz w:val="24"/>
          <w:u w:val="single"/>
        </w:rPr>
        <w:t>（姓名）</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（姓名）</w:t>
      </w:r>
      <w:r>
        <w:rPr>
          <w:rFonts w:hint="eastAsia" w:ascii="宋体" w:hAnsi="宋体"/>
          <w:sz w:val="24"/>
          <w:u w:val="single"/>
        </w:rPr>
        <w:t xml:space="preserve">    </w:t>
      </w:r>
    </w:p>
    <w:p>
      <w:pPr>
        <w:adjustRightInd w:val="0"/>
        <w:snapToGrid w:val="0"/>
        <w:spacing w:line="360" w:lineRule="auto"/>
        <w:ind w:firstLine="2160" w:firstLineChars="900"/>
        <w:rPr>
          <w:rFonts w:ascii="宋体" w:hAnsi="宋体"/>
          <w:sz w:val="24"/>
        </w:rPr>
      </w:pP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签字</w:t>
      </w:r>
      <w:r>
        <w:rPr>
          <w:rFonts w:ascii="宋体" w:hAnsi="宋体"/>
          <w:sz w:val="24"/>
          <w:u w:val="single"/>
        </w:rPr>
        <w:t>）</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签字</w:t>
      </w:r>
      <w:r>
        <w:rPr>
          <w:rFonts w:ascii="宋体" w:hAnsi="宋体"/>
          <w:sz w:val="24"/>
          <w:u w:val="single"/>
        </w:rPr>
        <w:t>）</w:t>
      </w:r>
      <w:r>
        <w:rPr>
          <w:rFonts w:hint="eastAsia" w:ascii="宋体" w:hAnsi="宋体"/>
          <w:sz w:val="24"/>
          <w:u w:val="single"/>
        </w:rPr>
        <w:t xml:space="preserve">    </w:t>
      </w:r>
    </w:p>
    <w:p>
      <w:pPr>
        <w:adjustRightInd w:val="0"/>
        <w:snapToGrid w:val="0"/>
        <w:spacing w:line="360" w:lineRule="auto"/>
        <w:rPr>
          <w:rFonts w:ascii="宋体" w:hAnsi="宋体"/>
          <w:sz w:val="24"/>
        </w:rPr>
      </w:pPr>
      <w:r>
        <w:rPr>
          <w:rFonts w:ascii="宋体" w:hAnsi="宋体"/>
          <w:sz w:val="24"/>
        </w:rPr>
        <w:t>地址：</w:t>
      </w:r>
      <w:r>
        <w:rPr>
          <w:rFonts w:hint="eastAsia" w:ascii="宋体" w:hAnsi="宋体"/>
          <w:sz w:val="24"/>
        </w:rPr>
        <w:t xml:space="preserve">                                 </w:t>
      </w:r>
      <w:r>
        <w:rPr>
          <w:rFonts w:ascii="宋体" w:hAnsi="宋体"/>
          <w:sz w:val="24"/>
        </w:rPr>
        <w:t>地址：</w:t>
      </w:r>
    </w:p>
    <w:p>
      <w:pPr>
        <w:adjustRightInd w:val="0"/>
        <w:snapToGrid w:val="0"/>
        <w:spacing w:line="360" w:lineRule="auto"/>
        <w:rPr>
          <w:rFonts w:ascii="宋体" w:hAnsi="宋体"/>
          <w:sz w:val="24"/>
        </w:rPr>
      </w:pPr>
      <w:r>
        <w:rPr>
          <w:rFonts w:ascii="宋体" w:hAnsi="宋体"/>
          <w:sz w:val="24"/>
        </w:rPr>
        <w:t>电话：</w:t>
      </w:r>
      <w:r>
        <w:rPr>
          <w:rFonts w:hint="eastAsia" w:ascii="宋体" w:hAnsi="宋体"/>
          <w:sz w:val="24"/>
        </w:rPr>
        <w:t xml:space="preserve">                                 </w:t>
      </w:r>
      <w:r>
        <w:rPr>
          <w:rFonts w:ascii="宋体" w:hAnsi="宋体"/>
          <w:sz w:val="24"/>
        </w:rPr>
        <w:t>电话：</w:t>
      </w:r>
    </w:p>
    <w:p>
      <w:pPr>
        <w:adjustRightInd w:val="0"/>
        <w:snapToGrid w:val="0"/>
        <w:spacing w:line="360" w:lineRule="auto"/>
        <w:rPr>
          <w:rFonts w:ascii="宋体" w:hAnsi="宋体"/>
          <w:sz w:val="24"/>
        </w:rPr>
      </w:pPr>
      <w:r>
        <w:rPr>
          <w:rFonts w:ascii="宋体" w:hAnsi="宋体"/>
          <w:sz w:val="24"/>
        </w:rPr>
        <w:t>日期：</w:t>
      </w:r>
      <w:r>
        <w:rPr>
          <w:rFonts w:hint="eastAsia" w:ascii="宋体" w:hAnsi="宋体"/>
          <w:sz w:val="24"/>
        </w:rPr>
        <w:t xml:space="preserve">                                 </w:t>
      </w:r>
      <w:r>
        <w:rPr>
          <w:rFonts w:ascii="宋体" w:hAnsi="宋体"/>
          <w:sz w:val="24"/>
        </w:rPr>
        <w:t>日期：</w:t>
      </w:r>
    </w:p>
    <w:p>
      <w:pPr>
        <w:adjustRightInd w:val="0"/>
        <w:snapToGrid w:val="0"/>
        <w:spacing w:line="360" w:lineRule="auto"/>
        <w:rPr>
          <w:rFonts w:ascii="宋体" w:hAnsi="宋体"/>
          <w:sz w:val="24"/>
          <w:u w:val="single"/>
        </w:rPr>
      </w:pPr>
      <w:r>
        <w:rPr>
          <w:rFonts w:ascii="宋体" w:hAnsi="宋体"/>
          <w:sz w:val="24"/>
        </w:rPr>
        <w:t>甲方监督单位：</w:t>
      </w:r>
      <w:r>
        <w:rPr>
          <w:rFonts w:hint="eastAsia" w:ascii="宋体" w:hAnsi="宋体"/>
          <w:sz w:val="24"/>
          <w:u w:val="single"/>
        </w:rPr>
        <w:t xml:space="preserve"> （全称）  （盖章）</w:t>
      </w:r>
      <w:r>
        <w:rPr>
          <w:rFonts w:hint="eastAsia" w:ascii="宋体" w:hAnsi="宋体"/>
          <w:sz w:val="24"/>
        </w:rPr>
        <w:t xml:space="preserve">      </w:t>
      </w:r>
      <w:r>
        <w:rPr>
          <w:rFonts w:ascii="宋体" w:hAnsi="宋体"/>
          <w:sz w:val="24"/>
        </w:rPr>
        <w:t>乙方监督单位</w:t>
      </w:r>
      <w:r>
        <w:rPr>
          <w:rFonts w:hint="eastAsia" w:ascii="宋体" w:hAnsi="宋体"/>
          <w:sz w:val="24"/>
        </w:rPr>
        <w:t>：</w:t>
      </w:r>
      <w:r>
        <w:rPr>
          <w:rFonts w:hint="eastAsia" w:ascii="宋体" w:hAnsi="宋体"/>
          <w:sz w:val="24"/>
          <w:u w:val="single"/>
        </w:rPr>
        <w:t>（全称）  （盖章）</w:t>
      </w:r>
    </w:p>
    <w:p>
      <w:pPr>
        <w:adjustRightInd w:val="0"/>
        <w:snapToGrid w:val="0"/>
        <w:spacing w:line="360" w:lineRule="auto"/>
        <w:rPr>
          <w:rFonts w:ascii="宋体" w:hAnsi="宋体"/>
          <w:sz w:val="24"/>
          <w:u w:val="single"/>
        </w:rPr>
      </w:pPr>
    </w:p>
    <w:p>
      <w:pPr>
        <w:adjustRightInd w:val="0"/>
        <w:snapToGrid w:val="0"/>
        <w:spacing w:line="360" w:lineRule="auto"/>
        <w:rPr>
          <w:rFonts w:ascii="宋体" w:hAnsi="宋体"/>
          <w:sz w:val="24"/>
        </w:rPr>
      </w:pPr>
      <w:r>
        <w:rPr>
          <w:rFonts w:ascii="宋体" w:hAnsi="宋体"/>
          <w:sz w:val="24"/>
        </w:rPr>
        <w:br w:type="page"/>
      </w:r>
      <w:r>
        <w:rPr>
          <w:rFonts w:hint="eastAsia" w:ascii="宋体" w:hAnsi="宋体"/>
          <w:sz w:val="24"/>
        </w:rPr>
        <w:t>附件三：安全生产合同</w:t>
      </w:r>
    </w:p>
    <w:p>
      <w:pPr>
        <w:adjustRightInd w:val="0"/>
        <w:snapToGrid w:val="0"/>
        <w:spacing w:after="156" w:afterLines="50" w:line="360" w:lineRule="auto"/>
        <w:jc w:val="center"/>
        <w:rPr>
          <w:rFonts w:ascii="宋体" w:hAnsi="宋体"/>
          <w:sz w:val="24"/>
        </w:rPr>
      </w:pPr>
      <w:r>
        <w:rPr>
          <w:rFonts w:hint="eastAsia" w:ascii="宋体" w:hAnsi="宋体"/>
          <w:sz w:val="24"/>
        </w:rPr>
        <w:t>安全生产合同</w:t>
      </w:r>
    </w:p>
    <w:p>
      <w:pPr>
        <w:adjustRightInd w:val="0"/>
        <w:snapToGrid w:val="0"/>
        <w:spacing w:line="440" w:lineRule="exact"/>
        <w:ind w:firstLine="480" w:firstLineChars="200"/>
        <w:rPr>
          <w:rFonts w:ascii="宋体" w:hAnsi="宋体"/>
          <w:sz w:val="24"/>
        </w:rPr>
      </w:pPr>
      <w:r>
        <w:rPr>
          <w:rFonts w:ascii="宋体" w:hAnsi="宋体"/>
          <w:sz w:val="24"/>
        </w:rPr>
        <w:t>为在</w:t>
      </w:r>
      <w:r>
        <w:rPr>
          <w:rFonts w:hint="eastAsia" w:ascii="宋体" w:hAnsi="宋体"/>
          <w:sz w:val="24"/>
          <w:u w:val="single"/>
        </w:rPr>
        <w:t xml:space="preserve">               </w:t>
      </w:r>
      <w:r>
        <w:rPr>
          <w:rFonts w:ascii="宋体" w:hAnsi="宋体"/>
          <w:sz w:val="24"/>
        </w:rPr>
        <w:t>施工合同的实施过程中创造安全、高效的施工环境，切实搞好本项目的安全管理工作，本项目发包人</w:t>
      </w:r>
      <w:r>
        <w:rPr>
          <w:rFonts w:hint="eastAsia" w:ascii="宋体" w:hAnsi="宋体"/>
          <w:sz w:val="24"/>
          <w:u w:val="single"/>
        </w:rPr>
        <w:t xml:space="preserve">    </w:t>
      </w:r>
      <w:r>
        <w:rPr>
          <w:rFonts w:ascii="宋体" w:hAnsi="宋体"/>
          <w:sz w:val="24"/>
          <w:u w:val="single"/>
        </w:rPr>
        <w:t>（全称）</w:t>
      </w:r>
      <w:r>
        <w:rPr>
          <w:rFonts w:hint="eastAsia" w:ascii="宋体" w:hAnsi="宋体"/>
          <w:sz w:val="24"/>
          <w:u w:val="single"/>
        </w:rPr>
        <w:t xml:space="preserve">    </w:t>
      </w:r>
      <w:r>
        <w:rPr>
          <w:rFonts w:hint="eastAsia" w:ascii="宋体" w:hAnsi="宋体"/>
          <w:sz w:val="24"/>
        </w:rPr>
        <w:t xml:space="preserve"> </w:t>
      </w:r>
      <w:r>
        <w:rPr>
          <w:rFonts w:ascii="宋体" w:hAnsi="宋体"/>
          <w:sz w:val="24"/>
        </w:rPr>
        <w:t>（以下简称“甲方</w:t>
      </w:r>
      <w:r>
        <w:rPr>
          <w:rFonts w:hint="eastAsia" w:ascii="宋体" w:hAnsi="宋体"/>
          <w:sz w:val="24"/>
        </w:rPr>
        <w:t xml:space="preserve">” </w:t>
      </w:r>
      <w:r>
        <w:rPr>
          <w:rFonts w:ascii="宋体" w:hAnsi="宋体"/>
          <w:sz w:val="24"/>
        </w:rPr>
        <w:t>）与承包人</w:t>
      </w:r>
      <w:r>
        <w:rPr>
          <w:rFonts w:hint="eastAsia" w:ascii="宋体" w:hAnsi="宋体"/>
          <w:sz w:val="24"/>
          <w:u w:val="single"/>
        </w:rPr>
        <w:t xml:space="preserve">   </w:t>
      </w:r>
      <w:r>
        <w:rPr>
          <w:rFonts w:ascii="宋体" w:hAnsi="宋体"/>
          <w:sz w:val="24"/>
          <w:u w:val="single"/>
        </w:rPr>
        <w:t>（全称）</w:t>
      </w:r>
      <w:r>
        <w:rPr>
          <w:rFonts w:hint="eastAsia" w:ascii="宋体" w:hAnsi="宋体"/>
          <w:sz w:val="24"/>
          <w:u w:val="single"/>
        </w:rPr>
        <w:t xml:space="preserve">  </w:t>
      </w:r>
      <w:r>
        <w:rPr>
          <w:rFonts w:ascii="宋体" w:hAnsi="宋体"/>
          <w:sz w:val="24"/>
        </w:rPr>
        <w:t>（以下简称“乙方</w:t>
      </w:r>
      <w:r>
        <w:rPr>
          <w:rFonts w:hint="eastAsia" w:ascii="宋体" w:hAnsi="宋体"/>
          <w:sz w:val="24"/>
        </w:rPr>
        <w:t xml:space="preserve">” </w:t>
      </w:r>
      <w:r>
        <w:rPr>
          <w:rFonts w:ascii="宋体" w:hAnsi="宋体"/>
          <w:sz w:val="24"/>
        </w:rPr>
        <w:t>）特此签订安全生产合同：</w:t>
      </w:r>
    </w:p>
    <w:p>
      <w:pPr>
        <w:adjustRightInd w:val="0"/>
        <w:snapToGrid w:val="0"/>
        <w:spacing w:line="440" w:lineRule="exact"/>
        <w:ind w:firstLine="480" w:firstLineChars="200"/>
        <w:rPr>
          <w:rFonts w:ascii="宋体" w:hAnsi="宋体"/>
          <w:sz w:val="24"/>
        </w:rPr>
      </w:pPr>
      <w:r>
        <w:rPr>
          <w:rFonts w:ascii="宋体" w:hAnsi="宋体"/>
          <w:sz w:val="24"/>
        </w:rPr>
        <w:t>一、甲方职责</w:t>
      </w:r>
    </w:p>
    <w:p>
      <w:pPr>
        <w:adjustRightInd w:val="0"/>
        <w:snapToGrid w:val="0"/>
        <w:spacing w:line="440" w:lineRule="exact"/>
        <w:ind w:firstLine="480" w:firstLineChars="200"/>
        <w:rPr>
          <w:rFonts w:ascii="宋体" w:hAnsi="宋体"/>
          <w:sz w:val="24"/>
        </w:rPr>
      </w:pPr>
      <w:r>
        <w:rPr>
          <w:rFonts w:ascii="宋体" w:hAnsi="宋体"/>
          <w:sz w:val="24"/>
        </w:rPr>
        <w:t>1、严格遵守国家有关安全生产的法律法规，认真执行工程承包合同中的有关安全要求。</w:t>
      </w:r>
    </w:p>
    <w:p>
      <w:pPr>
        <w:adjustRightInd w:val="0"/>
        <w:snapToGrid w:val="0"/>
        <w:spacing w:line="440" w:lineRule="exact"/>
        <w:ind w:firstLine="480" w:firstLineChars="200"/>
        <w:rPr>
          <w:rFonts w:ascii="宋体" w:hAnsi="宋体"/>
          <w:sz w:val="24"/>
        </w:rPr>
      </w:pPr>
      <w:r>
        <w:rPr>
          <w:rFonts w:ascii="宋体" w:hAnsi="宋体"/>
          <w:sz w:val="24"/>
        </w:rPr>
        <w:t>2、按照“安全第一、预防为主”和坚持“管生产必须管安全”的原则进行安全生产管理，做到生产与安全工作同时计划、布置、检查、总结和评比。</w:t>
      </w:r>
    </w:p>
    <w:p>
      <w:pPr>
        <w:adjustRightInd w:val="0"/>
        <w:snapToGrid w:val="0"/>
        <w:spacing w:line="440" w:lineRule="exact"/>
        <w:ind w:firstLine="480" w:firstLineChars="200"/>
        <w:rPr>
          <w:rFonts w:ascii="宋体" w:hAnsi="宋体"/>
          <w:sz w:val="24"/>
        </w:rPr>
      </w:pPr>
      <w:r>
        <w:rPr>
          <w:rFonts w:ascii="宋体" w:hAnsi="宋体"/>
          <w:sz w:val="24"/>
        </w:rPr>
        <w:t>3、重要的安全设施必须坚持与主体工程“三同时”的原则，即：同时设计、审批，同时施工，一同时验收，投入使用。</w:t>
      </w:r>
    </w:p>
    <w:p>
      <w:pPr>
        <w:adjustRightInd w:val="0"/>
        <w:snapToGrid w:val="0"/>
        <w:spacing w:line="440" w:lineRule="exact"/>
        <w:ind w:firstLine="480" w:firstLineChars="200"/>
        <w:rPr>
          <w:rFonts w:ascii="宋体" w:hAnsi="宋体"/>
          <w:sz w:val="24"/>
        </w:rPr>
      </w:pPr>
      <w:r>
        <w:rPr>
          <w:rFonts w:ascii="宋体" w:hAnsi="宋体"/>
          <w:sz w:val="24"/>
        </w:rPr>
        <w:t>4、定期召开安全生产调度会，及时传达中央及地方有关安全生产的精神。</w:t>
      </w:r>
    </w:p>
    <w:p>
      <w:pPr>
        <w:adjustRightInd w:val="0"/>
        <w:snapToGrid w:val="0"/>
        <w:spacing w:line="440" w:lineRule="exact"/>
        <w:ind w:firstLine="480" w:firstLineChars="200"/>
        <w:rPr>
          <w:rFonts w:ascii="宋体" w:hAnsi="宋体"/>
          <w:sz w:val="24"/>
        </w:rPr>
      </w:pPr>
      <w:r>
        <w:rPr>
          <w:rFonts w:ascii="宋体" w:hAnsi="宋体"/>
          <w:sz w:val="24"/>
        </w:rPr>
        <w:t>5、组织对乙方施工现场安全生产检查，监督乙方及时处理发现的各种安全隐患。</w:t>
      </w:r>
    </w:p>
    <w:p>
      <w:pPr>
        <w:adjustRightInd w:val="0"/>
        <w:snapToGrid w:val="0"/>
        <w:spacing w:line="440" w:lineRule="exact"/>
        <w:ind w:firstLine="480" w:firstLineChars="200"/>
        <w:rPr>
          <w:rFonts w:ascii="宋体" w:hAnsi="宋体"/>
          <w:sz w:val="24"/>
        </w:rPr>
      </w:pPr>
      <w:r>
        <w:rPr>
          <w:rFonts w:ascii="宋体" w:hAnsi="宋体"/>
          <w:sz w:val="24"/>
        </w:rPr>
        <w:t>二、乙方职责</w:t>
      </w:r>
    </w:p>
    <w:p>
      <w:pPr>
        <w:adjustRightInd w:val="0"/>
        <w:snapToGrid w:val="0"/>
        <w:spacing w:line="440" w:lineRule="exact"/>
        <w:ind w:firstLine="480" w:firstLineChars="200"/>
        <w:rPr>
          <w:rFonts w:ascii="宋体" w:hAnsi="宋体"/>
          <w:sz w:val="24"/>
        </w:rPr>
      </w:pPr>
      <w:r>
        <w:rPr>
          <w:rFonts w:ascii="宋体" w:hAnsi="宋体"/>
          <w:sz w:val="24"/>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440" w:lineRule="exact"/>
        <w:ind w:firstLine="480" w:firstLineChars="200"/>
        <w:rPr>
          <w:rFonts w:ascii="宋体" w:hAnsi="宋体"/>
          <w:sz w:val="24"/>
        </w:rPr>
      </w:pPr>
      <w:r>
        <w:rPr>
          <w:rFonts w:ascii="宋体" w:hAnsi="宋体"/>
          <w:sz w:val="24"/>
        </w:rPr>
        <w:t>2、坚持</w:t>
      </w:r>
      <w:r>
        <w:rPr>
          <w:rFonts w:hint="eastAsia" w:ascii="宋体" w:hAnsi="宋体"/>
          <w:sz w:val="24"/>
        </w:rPr>
        <w:t>“</w:t>
      </w:r>
      <w:r>
        <w:rPr>
          <w:rFonts w:ascii="宋体" w:hAnsi="宋体"/>
          <w:sz w:val="24"/>
        </w:rPr>
        <w:t>安全第一、预防为主</w:t>
      </w:r>
      <w:r>
        <w:rPr>
          <w:rFonts w:hint="eastAsia" w:ascii="宋体" w:hAnsi="宋体"/>
          <w:sz w:val="24"/>
        </w:rPr>
        <w:t>”</w:t>
      </w:r>
      <w:r>
        <w:rPr>
          <w:rFonts w:ascii="宋体" w:hAnsi="宋体"/>
          <w:sz w:val="24"/>
        </w:rPr>
        <w:t>和</w:t>
      </w:r>
      <w:r>
        <w:rPr>
          <w:rFonts w:hint="eastAsia" w:ascii="宋体" w:hAnsi="宋体"/>
          <w:sz w:val="24"/>
        </w:rPr>
        <w:t>“</w:t>
      </w:r>
      <w:r>
        <w:rPr>
          <w:rFonts w:ascii="宋体" w:hAnsi="宋体"/>
          <w:sz w:val="24"/>
        </w:rPr>
        <w:t>管生产必须管安全</w:t>
      </w:r>
      <w:r>
        <w:rPr>
          <w:rFonts w:hint="eastAsia" w:ascii="宋体" w:hAnsi="宋体"/>
          <w:sz w:val="24"/>
        </w:rPr>
        <w:t>”</w:t>
      </w:r>
      <w:r>
        <w:rPr>
          <w:rFonts w:ascii="宋体" w:hAnsi="宋体"/>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440" w:lineRule="exact"/>
        <w:ind w:firstLine="480" w:firstLineChars="200"/>
        <w:rPr>
          <w:rFonts w:ascii="宋体" w:hAnsi="宋体"/>
          <w:sz w:val="24"/>
        </w:rPr>
      </w:pPr>
      <w:r>
        <w:rPr>
          <w:rFonts w:ascii="宋体" w:hAnsi="宋体"/>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440" w:lineRule="exact"/>
        <w:ind w:firstLine="480" w:firstLineChars="200"/>
        <w:rPr>
          <w:rFonts w:ascii="宋体" w:hAnsi="宋体"/>
          <w:sz w:val="24"/>
        </w:rPr>
      </w:pPr>
      <w:r>
        <w:rPr>
          <w:rFonts w:ascii="宋体" w:hAnsi="宋体"/>
          <w:sz w:val="24"/>
        </w:rPr>
        <w:t>4、乙方在任何时候都应采取各种合理的预防措施，防止其员工发生任何违法、违禁、暴力或妨碍治安的行为。</w:t>
      </w:r>
    </w:p>
    <w:p>
      <w:pPr>
        <w:adjustRightInd w:val="0"/>
        <w:snapToGrid w:val="0"/>
        <w:spacing w:line="440" w:lineRule="exact"/>
        <w:ind w:firstLine="480" w:firstLineChars="200"/>
        <w:rPr>
          <w:rFonts w:ascii="宋体" w:hAnsi="宋体"/>
          <w:sz w:val="24"/>
        </w:rPr>
      </w:pPr>
      <w:r>
        <w:rPr>
          <w:rFonts w:ascii="宋体" w:hAnsi="宋体"/>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440" w:lineRule="exact"/>
        <w:ind w:firstLine="480" w:firstLineChars="200"/>
        <w:rPr>
          <w:rFonts w:ascii="宋体" w:hAnsi="宋体"/>
          <w:sz w:val="24"/>
        </w:rPr>
      </w:pPr>
      <w:r>
        <w:rPr>
          <w:rFonts w:ascii="宋体" w:hAnsi="宋体"/>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440" w:lineRule="exact"/>
        <w:ind w:firstLine="480" w:firstLineChars="200"/>
        <w:rPr>
          <w:rFonts w:ascii="宋体" w:hAnsi="宋体"/>
          <w:sz w:val="24"/>
        </w:rPr>
      </w:pPr>
      <w:r>
        <w:rPr>
          <w:rFonts w:ascii="宋体" w:hAnsi="宋体"/>
          <w:sz w:val="24"/>
        </w:rPr>
        <w:t>7、操作人员上岗，必须按规定穿戴防护用品。施工负责人和安全检查员应随时检查劳动防护用品的穿戴情况，不按规定穿戴防护用品的人员不得上岗。</w:t>
      </w:r>
    </w:p>
    <w:p>
      <w:pPr>
        <w:adjustRightInd w:val="0"/>
        <w:snapToGrid w:val="0"/>
        <w:spacing w:line="440" w:lineRule="exact"/>
        <w:ind w:firstLine="480" w:firstLineChars="200"/>
        <w:rPr>
          <w:rFonts w:ascii="宋体" w:hAnsi="宋体"/>
          <w:sz w:val="24"/>
        </w:rPr>
      </w:pPr>
      <w:r>
        <w:rPr>
          <w:rFonts w:ascii="宋体" w:hAnsi="宋体"/>
          <w:sz w:val="24"/>
        </w:rPr>
        <w:t>8、所有施工机具设备和高空作业的设备均应定期检查，并有安全员的签字记录，保证其经常处于完好状态；不合格的机具、设备和劳动保护用品严禁使用。</w:t>
      </w:r>
    </w:p>
    <w:p>
      <w:pPr>
        <w:adjustRightInd w:val="0"/>
        <w:snapToGrid w:val="0"/>
        <w:spacing w:line="440" w:lineRule="exact"/>
        <w:ind w:firstLine="480" w:firstLineChars="200"/>
        <w:rPr>
          <w:rFonts w:ascii="宋体" w:hAnsi="宋体"/>
          <w:sz w:val="24"/>
        </w:rPr>
      </w:pPr>
      <w:r>
        <w:rPr>
          <w:rFonts w:ascii="宋体" w:hAnsi="宋体"/>
          <w:sz w:val="24"/>
        </w:rPr>
        <w:t>9、施工中采用新技术、新工艺、新设备、新材料时，必须制定相应的安全技术措施，施工现场必须具有相关的安全标志牌。</w:t>
      </w:r>
    </w:p>
    <w:p>
      <w:pPr>
        <w:adjustRightInd w:val="0"/>
        <w:snapToGrid w:val="0"/>
        <w:spacing w:line="440" w:lineRule="exact"/>
        <w:ind w:firstLine="480" w:firstLineChars="200"/>
        <w:rPr>
          <w:rFonts w:ascii="宋体" w:hAnsi="宋体"/>
          <w:sz w:val="24"/>
        </w:rPr>
      </w:pPr>
      <w:r>
        <w:rPr>
          <w:rFonts w:ascii="宋体" w:hAnsi="宋体"/>
          <w:sz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440" w:lineRule="exact"/>
        <w:ind w:firstLine="480" w:firstLineChars="200"/>
        <w:rPr>
          <w:rFonts w:ascii="宋体" w:hAnsi="宋体"/>
          <w:sz w:val="24"/>
        </w:rPr>
      </w:pPr>
      <w:r>
        <w:rPr>
          <w:rFonts w:ascii="宋体" w:hAnsi="宋体"/>
          <w:sz w:val="24"/>
        </w:rPr>
        <w:t>11、安全生产费用按照交通部有关规定使用和管理。</w:t>
      </w:r>
    </w:p>
    <w:p>
      <w:pPr>
        <w:adjustRightInd w:val="0"/>
        <w:snapToGrid w:val="0"/>
        <w:spacing w:line="440" w:lineRule="exact"/>
        <w:ind w:firstLine="480" w:firstLineChars="200"/>
        <w:rPr>
          <w:rFonts w:ascii="宋体" w:hAnsi="宋体"/>
          <w:sz w:val="24"/>
        </w:rPr>
      </w:pPr>
      <w:r>
        <w:rPr>
          <w:rFonts w:ascii="宋体" w:hAnsi="宋体"/>
          <w:sz w:val="24"/>
        </w:rPr>
        <w:t>三、违约责任</w:t>
      </w:r>
    </w:p>
    <w:p>
      <w:pPr>
        <w:adjustRightInd w:val="0"/>
        <w:snapToGrid w:val="0"/>
        <w:spacing w:line="440" w:lineRule="exact"/>
        <w:ind w:firstLine="480" w:firstLineChars="200"/>
        <w:rPr>
          <w:rFonts w:ascii="宋体" w:hAnsi="宋体"/>
          <w:sz w:val="24"/>
        </w:rPr>
      </w:pPr>
      <w:r>
        <w:rPr>
          <w:rFonts w:ascii="宋体" w:hAnsi="宋体"/>
          <w:sz w:val="24"/>
        </w:rPr>
        <w:t>如因甲方或乙方违约造成安全事故，将依法追究责任。</w:t>
      </w:r>
    </w:p>
    <w:p>
      <w:pPr>
        <w:adjustRightInd w:val="0"/>
        <w:snapToGrid w:val="0"/>
        <w:spacing w:line="440" w:lineRule="exact"/>
        <w:ind w:firstLine="480" w:firstLineChars="200"/>
        <w:rPr>
          <w:rFonts w:ascii="宋体" w:hAnsi="宋体"/>
          <w:sz w:val="24"/>
        </w:rPr>
      </w:pPr>
      <w:r>
        <w:rPr>
          <w:rFonts w:ascii="宋体" w:hAnsi="宋体"/>
          <w:sz w:val="24"/>
        </w:rPr>
        <w:t>四、本合同正本一式二份，副本八份，合同双方各执正本一份，副本四份。由双方法定代表人或其授权的代理人签署与加盖公章后生效，全部工程国家验收后失效。</w:t>
      </w:r>
    </w:p>
    <w:p>
      <w:pPr>
        <w:adjustRightInd w:val="0"/>
        <w:snapToGrid w:val="0"/>
        <w:spacing w:before="312" w:beforeLines="100" w:line="440" w:lineRule="exact"/>
        <w:rPr>
          <w:rFonts w:ascii="宋体" w:hAnsi="宋体"/>
          <w:sz w:val="24"/>
        </w:rPr>
      </w:pPr>
      <w:r>
        <w:rPr>
          <w:rFonts w:ascii="宋体" w:hAnsi="宋体"/>
          <w:sz w:val="24"/>
        </w:rPr>
        <w:t>甲</w:t>
      </w:r>
      <w:r>
        <w:rPr>
          <w:rFonts w:hint="eastAsia" w:ascii="宋体" w:hAnsi="宋体"/>
          <w:sz w:val="24"/>
        </w:rPr>
        <w:t xml:space="preserve">  </w:t>
      </w:r>
      <w:r>
        <w:rPr>
          <w:rFonts w:ascii="宋体" w:hAnsi="宋体"/>
          <w:sz w:val="24"/>
        </w:rPr>
        <w:t>方：</w:t>
      </w:r>
      <w:r>
        <w:rPr>
          <w:rFonts w:hint="eastAsia" w:ascii="宋体" w:hAnsi="宋体"/>
          <w:sz w:val="24"/>
          <w:u w:val="single"/>
        </w:rPr>
        <w:t xml:space="preserve">  单位全称    （盖章）</w:t>
      </w:r>
      <w:r>
        <w:rPr>
          <w:rFonts w:hint="eastAsia" w:ascii="宋体" w:hAnsi="宋体"/>
          <w:sz w:val="24"/>
        </w:rPr>
        <w:t xml:space="preserve">         乙  </w:t>
      </w:r>
      <w:r>
        <w:rPr>
          <w:rFonts w:ascii="宋体" w:hAnsi="宋体"/>
          <w:sz w:val="24"/>
        </w:rPr>
        <w:t>方：</w:t>
      </w:r>
      <w:r>
        <w:rPr>
          <w:rFonts w:hint="eastAsia" w:ascii="宋体" w:hAnsi="宋体"/>
          <w:sz w:val="24"/>
          <w:u w:val="single"/>
        </w:rPr>
        <w:t xml:space="preserve">  单位全称    （盖章）</w:t>
      </w:r>
    </w:p>
    <w:p>
      <w:pPr>
        <w:adjustRightInd w:val="0"/>
        <w:snapToGrid w:val="0"/>
        <w:spacing w:line="440" w:lineRule="exact"/>
        <w:rPr>
          <w:rFonts w:ascii="宋体" w:hAnsi="宋体"/>
          <w:sz w:val="24"/>
        </w:rPr>
      </w:pPr>
      <w:r>
        <w:rPr>
          <w:rFonts w:ascii="宋体" w:hAnsi="宋体"/>
          <w:sz w:val="24"/>
        </w:rPr>
        <w:t>法定代表人</w:t>
      </w:r>
      <w:r>
        <w:rPr>
          <w:rFonts w:hint="eastAsia" w:ascii="宋体" w:hAnsi="宋体"/>
          <w:sz w:val="24"/>
        </w:rPr>
        <w:t xml:space="preserve">                             </w:t>
      </w:r>
      <w:r>
        <w:rPr>
          <w:rFonts w:ascii="宋体" w:hAnsi="宋体"/>
          <w:sz w:val="24"/>
        </w:rPr>
        <w:t>法定代表人</w:t>
      </w:r>
    </w:p>
    <w:p>
      <w:pPr>
        <w:adjustRightInd w:val="0"/>
        <w:snapToGrid w:val="0"/>
        <w:spacing w:line="440" w:lineRule="exact"/>
        <w:rPr>
          <w:rFonts w:ascii="宋体" w:hAnsi="宋体"/>
          <w:sz w:val="24"/>
        </w:rPr>
      </w:pPr>
      <w:r>
        <w:rPr>
          <w:rFonts w:ascii="宋体" w:hAnsi="宋体"/>
          <w:sz w:val="24"/>
        </w:rPr>
        <w:t>或其授权的代理人</w:t>
      </w:r>
      <w:r>
        <w:rPr>
          <w:rFonts w:hint="eastAsia" w:ascii="宋体" w:hAnsi="宋体"/>
          <w:sz w:val="24"/>
          <w:u w:val="single"/>
        </w:rPr>
        <w:t xml:space="preserve">   （职务）   </w:t>
      </w:r>
      <w:r>
        <w:rPr>
          <w:rFonts w:hint="eastAsia" w:ascii="宋体" w:hAnsi="宋体"/>
          <w:sz w:val="24"/>
        </w:rPr>
        <w:t xml:space="preserve">         或</w:t>
      </w:r>
      <w:r>
        <w:rPr>
          <w:rFonts w:ascii="宋体" w:hAnsi="宋体"/>
          <w:sz w:val="24"/>
        </w:rPr>
        <w:t>其授权的代理人</w:t>
      </w:r>
      <w:r>
        <w:rPr>
          <w:rFonts w:hint="eastAsia" w:ascii="宋体" w:hAnsi="宋体"/>
          <w:sz w:val="24"/>
          <w:u w:val="single"/>
        </w:rPr>
        <w:t xml:space="preserve">   （职务）   </w:t>
      </w:r>
    </w:p>
    <w:p>
      <w:pPr>
        <w:adjustRightInd w:val="0"/>
        <w:snapToGrid w:val="0"/>
        <w:spacing w:line="440" w:lineRule="exact"/>
        <w:ind w:firstLine="1920" w:firstLineChars="800"/>
        <w:rPr>
          <w:rFonts w:ascii="宋体" w:hAnsi="宋体"/>
          <w:sz w:val="24"/>
          <w:u w:val="single"/>
        </w:rPr>
      </w:pPr>
      <w:r>
        <w:rPr>
          <w:rFonts w:hint="eastAsia" w:ascii="宋体" w:hAnsi="宋体"/>
          <w:sz w:val="24"/>
          <w:u w:val="single"/>
        </w:rPr>
        <w:t xml:space="preserve">   </w:t>
      </w:r>
      <w:r>
        <w:rPr>
          <w:rFonts w:ascii="宋体" w:hAnsi="宋体"/>
          <w:sz w:val="24"/>
          <w:u w:val="single"/>
        </w:rPr>
        <w:t>（姓名）</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（姓名）</w:t>
      </w:r>
      <w:r>
        <w:rPr>
          <w:rFonts w:hint="eastAsia" w:ascii="宋体" w:hAnsi="宋体"/>
          <w:sz w:val="24"/>
          <w:u w:val="single"/>
        </w:rPr>
        <w:t xml:space="preserve">    </w:t>
      </w:r>
    </w:p>
    <w:p>
      <w:pPr>
        <w:adjustRightInd w:val="0"/>
        <w:snapToGrid w:val="0"/>
        <w:spacing w:line="440" w:lineRule="exact"/>
        <w:ind w:firstLine="1920" w:firstLineChars="800"/>
        <w:rPr>
          <w:rFonts w:ascii="宋体" w:hAnsi="宋体"/>
          <w:sz w:val="24"/>
        </w:rPr>
      </w:pP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签字</w:t>
      </w:r>
      <w:r>
        <w:rPr>
          <w:rFonts w:ascii="宋体" w:hAnsi="宋体"/>
          <w:sz w:val="24"/>
          <w:u w:val="single"/>
        </w:rPr>
        <w:t>）</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签字</w:t>
      </w:r>
      <w:r>
        <w:rPr>
          <w:rFonts w:ascii="宋体" w:hAnsi="宋体"/>
          <w:sz w:val="24"/>
          <w:u w:val="single"/>
        </w:rPr>
        <w:t>）</w:t>
      </w:r>
      <w:r>
        <w:rPr>
          <w:rFonts w:hint="eastAsia" w:ascii="宋体" w:hAnsi="宋体"/>
          <w:sz w:val="24"/>
          <w:u w:val="single"/>
        </w:rPr>
        <w:t xml:space="preserve">    </w:t>
      </w:r>
    </w:p>
    <w:p>
      <w:pPr>
        <w:adjustRightInd w:val="0"/>
        <w:snapToGrid w:val="0"/>
        <w:spacing w:line="440" w:lineRule="exact"/>
        <w:rPr>
          <w:rFonts w:ascii="宋体" w:hAnsi="宋体"/>
          <w:sz w:val="24"/>
        </w:rPr>
      </w:pPr>
      <w:r>
        <w:rPr>
          <w:rFonts w:ascii="宋体" w:hAnsi="宋体"/>
          <w:sz w:val="24"/>
        </w:rPr>
        <w:t>地址：</w:t>
      </w:r>
      <w:r>
        <w:rPr>
          <w:rFonts w:hint="eastAsia" w:ascii="宋体" w:hAnsi="宋体"/>
          <w:sz w:val="24"/>
        </w:rPr>
        <w:t xml:space="preserve">                                 </w:t>
      </w:r>
      <w:r>
        <w:rPr>
          <w:rFonts w:ascii="宋体" w:hAnsi="宋体"/>
          <w:sz w:val="24"/>
        </w:rPr>
        <w:t>地址：</w:t>
      </w:r>
    </w:p>
    <w:p>
      <w:pPr>
        <w:adjustRightInd w:val="0"/>
        <w:snapToGrid w:val="0"/>
        <w:spacing w:line="440" w:lineRule="exact"/>
        <w:rPr>
          <w:rFonts w:ascii="宋体" w:hAnsi="宋体"/>
          <w:sz w:val="24"/>
        </w:rPr>
      </w:pPr>
      <w:r>
        <w:rPr>
          <w:rFonts w:ascii="宋体" w:hAnsi="宋体"/>
          <w:sz w:val="24"/>
        </w:rPr>
        <w:t>电话：</w:t>
      </w:r>
      <w:r>
        <w:rPr>
          <w:rFonts w:hint="eastAsia" w:ascii="宋体" w:hAnsi="宋体"/>
          <w:sz w:val="24"/>
        </w:rPr>
        <w:t xml:space="preserve">                                 </w:t>
      </w:r>
      <w:r>
        <w:rPr>
          <w:rFonts w:ascii="宋体" w:hAnsi="宋体"/>
          <w:sz w:val="24"/>
        </w:rPr>
        <w:t>电话：</w:t>
      </w:r>
    </w:p>
    <w:p>
      <w:pPr>
        <w:adjustRightInd w:val="0"/>
        <w:snapToGrid w:val="0"/>
        <w:spacing w:line="440" w:lineRule="exact"/>
        <w:rPr>
          <w:rFonts w:ascii="宋体" w:hAnsi="宋体"/>
          <w:sz w:val="24"/>
        </w:rPr>
      </w:pPr>
      <w:r>
        <w:rPr>
          <w:rFonts w:ascii="宋体" w:hAnsi="宋体"/>
          <w:sz w:val="24"/>
        </w:rPr>
        <w:t>日期：</w:t>
      </w:r>
      <w:r>
        <w:rPr>
          <w:rFonts w:hint="eastAsia" w:ascii="宋体" w:hAnsi="宋体"/>
          <w:sz w:val="24"/>
        </w:rPr>
        <w:t xml:space="preserve">                                 </w:t>
      </w:r>
      <w:r>
        <w:rPr>
          <w:rFonts w:ascii="宋体" w:hAnsi="宋体"/>
          <w:sz w:val="24"/>
        </w:rPr>
        <w:t>日期：</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附件四：农民工工资支付承诺书</w:t>
      </w:r>
    </w:p>
    <w:p>
      <w:pPr>
        <w:adjustRightInd w:val="0"/>
        <w:snapToGrid w:val="0"/>
        <w:spacing w:line="360" w:lineRule="auto"/>
        <w:jc w:val="center"/>
        <w:rPr>
          <w:rFonts w:ascii="宋体" w:hAnsi="宋体"/>
          <w:sz w:val="24"/>
          <w:u w:val="single"/>
        </w:rPr>
      </w:pPr>
      <w:r>
        <w:rPr>
          <w:rFonts w:hint="eastAsia" w:ascii="宋体" w:hAnsi="宋体"/>
          <w:sz w:val="24"/>
          <w:u w:val="single"/>
        </w:rPr>
        <w:t>（承包人全称）</w:t>
      </w:r>
    </w:p>
    <w:p>
      <w:pPr>
        <w:adjustRightInd w:val="0"/>
        <w:snapToGrid w:val="0"/>
        <w:spacing w:line="360" w:lineRule="auto"/>
        <w:jc w:val="center"/>
        <w:rPr>
          <w:rFonts w:ascii="宋体" w:hAnsi="宋体"/>
          <w:sz w:val="24"/>
        </w:rPr>
      </w:pPr>
      <w:r>
        <w:rPr>
          <w:rFonts w:hint="eastAsia" w:ascii="宋体" w:hAnsi="宋体"/>
          <w:sz w:val="24"/>
          <w:u w:val="single"/>
        </w:rPr>
        <w:t>（合同工程名称）</w:t>
      </w:r>
      <w:r>
        <w:rPr>
          <w:rFonts w:ascii="宋体" w:hAnsi="宋体"/>
          <w:sz w:val="24"/>
        </w:rPr>
        <w:t>农民工工资支付承诺书</w:t>
      </w:r>
    </w:p>
    <w:p>
      <w:pPr>
        <w:adjustRightInd w:val="0"/>
        <w:snapToGrid w:val="0"/>
        <w:spacing w:after="156" w:afterLines="50" w:line="360" w:lineRule="auto"/>
        <w:ind w:firstLine="360" w:firstLineChars="150"/>
        <w:rPr>
          <w:rFonts w:ascii="宋体" w:hAnsi="宋体"/>
          <w:sz w:val="24"/>
        </w:rPr>
      </w:pPr>
      <w:r>
        <w:rPr>
          <w:rFonts w:hint="eastAsia" w:ascii="宋体" w:hAnsi="宋体"/>
          <w:sz w:val="24"/>
        </w:rPr>
        <w:t>我单位在此郑重承诺：</w:t>
      </w:r>
      <w:r>
        <w:rPr>
          <w:rFonts w:ascii="宋体" w:hAnsi="宋体"/>
          <w:sz w:val="24"/>
        </w:rPr>
        <w:t xml:space="preserve"> </w:t>
      </w:r>
    </w:p>
    <w:p>
      <w:pPr>
        <w:adjustRightInd w:val="0"/>
        <w:snapToGrid w:val="0"/>
        <w:spacing w:after="156" w:afterLines="50" w:line="360" w:lineRule="auto"/>
        <w:ind w:left="479" w:leftChars="228"/>
        <w:rPr>
          <w:rFonts w:ascii="宋体" w:hAnsi="宋体"/>
          <w:sz w:val="24"/>
        </w:rPr>
      </w:pPr>
      <w:r>
        <w:rPr>
          <w:rFonts w:hint="eastAsia" w:ascii="宋体" w:hAnsi="宋体"/>
          <w:sz w:val="24"/>
        </w:rPr>
        <w:t>一、</w:t>
      </w:r>
      <w:r>
        <w:rPr>
          <w:rFonts w:ascii="宋体" w:hAnsi="宋体"/>
          <w:sz w:val="24"/>
        </w:rPr>
        <w:t>开工前与农民工签定劳动合同</w:t>
      </w:r>
      <w:r>
        <w:rPr>
          <w:rFonts w:ascii="宋体" w:hAnsi="宋体"/>
          <w:sz w:val="24"/>
        </w:rPr>
        <w:br w:type="textWrapping"/>
      </w:r>
      <w:r>
        <w:rPr>
          <w:rFonts w:ascii="宋体" w:hAnsi="宋体"/>
          <w:sz w:val="24"/>
        </w:rPr>
        <w:t>二、按时支付农民工工资、加班加点工资。</w:t>
      </w:r>
    </w:p>
    <w:p>
      <w:pPr>
        <w:adjustRightInd w:val="0"/>
        <w:snapToGrid w:val="0"/>
        <w:spacing w:after="156" w:afterLines="50" w:line="360" w:lineRule="auto"/>
        <w:ind w:left="479" w:leftChars="228"/>
        <w:rPr>
          <w:rFonts w:ascii="宋体" w:hAnsi="宋体"/>
          <w:sz w:val="24"/>
        </w:rPr>
      </w:pPr>
      <w:r>
        <w:rPr>
          <w:rFonts w:ascii="宋体" w:hAnsi="宋体"/>
          <w:sz w:val="24"/>
        </w:rPr>
        <w:t>三、支付农民工工资不低于</w:t>
      </w:r>
      <w:r>
        <w:rPr>
          <w:rFonts w:hint="eastAsia" w:ascii="宋体" w:hAnsi="宋体"/>
          <w:sz w:val="24"/>
        </w:rPr>
        <w:t>河南</w:t>
      </w:r>
      <w:r>
        <w:rPr>
          <w:rFonts w:ascii="宋体" w:hAnsi="宋体"/>
          <w:sz w:val="24"/>
        </w:rPr>
        <w:t>省最低工资标准</w:t>
      </w:r>
      <w:r>
        <w:rPr>
          <w:rFonts w:ascii="宋体" w:hAnsi="宋体"/>
          <w:sz w:val="24"/>
          <w:u w:val="single"/>
        </w:rPr>
        <w:t xml:space="preserve">    </w:t>
      </w:r>
      <w:r>
        <w:rPr>
          <w:rFonts w:ascii="宋体" w:hAnsi="宋体"/>
          <w:sz w:val="24"/>
        </w:rPr>
        <w:t>元。</w:t>
      </w:r>
      <w:r>
        <w:rPr>
          <w:rFonts w:ascii="宋体" w:hAnsi="宋体"/>
          <w:sz w:val="24"/>
        </w:rPr>
        <w:br w:type="textWrapping"/>
      </w:r>
      <w:r>
        <w:rPr>
          <w:rFonts w:ascii="宋体" w:hAnsi="宋体"/>
          <w:sz w:val="24"/>
        </w:rPr>
        <w:t>四、不无故拖欠、克扣农民工工资。</w:t>
      </w:r>
      <w:r>
        <w:rPr>
          <w:rFonts w:ascii="宋体" w:hAnsi="宋体"/>
          <w:sz w:val="24"/>
        </w:rPr>
        <w:br w:type="textWrapping"/>
      </w:r>
      <w:r>
        <w:rPr>
          <w:rFonts w:ascii="宋体" w:hAnsi="宋体"/>
          <w:sz w:val="24"/>
        </w:rPr>
        <w:t>五、</w:t>
      </w:r>
      <w:r>
        <w:rPr>
          <w:rFonts w:hint="eastAsia" w:ascii="宋体" w:hAnsi="宋体"/>
          <w:sz w:val="24"/>
        </w:rPr>
        <w:t>坚决不</w:t>
      </w:r>
      <w:r>
        <w:rPr>
          <w:rFonts w:ascii="宋体" w:hAnsi="宋体"/>
          <w:sz w:val="24"/>
        </w:rPr>
        <w:t>侵害农民工劳动报酬的合法权益。</w:t>
      </w:r>
      <w:r>
        <w:rPr>
          <w:rFonts w:ascii="宋体" w:hAnsi="宋体"/>
          <w:sz w:val="24"/>
        </w:rPr>
        <w:br w:type="textWrapping"/>
      </w:r>
      <w:r>
        <w:rPr>
          <w:rFonts w:ascii="宋体" w:hAnsi="宋体"/>
          <w:sz w:val="24"/>
        </w:rPr>
        <w:t>六、若有拖欠、克扣农民工工资、加班加点工资及侵害农民工劳动报酬权益的行为，</w:t>
      </w:r>
    </w:p>
    <w:p>
      <w:pPr>
        <w:adjustRightInd w:val="0"/>
        <w:snapToGrid w:val="0"/>
        <w:spacing w:after="156" w:afterLines="50" w:line="360" w:lineRule="auto"/>
        <w:ind w:left="4560" w:hanging="4560" w:hangingChars="1900"/>
        <w:rPr>
          <w:rFonts w:ascii="宋体" w:hAnsi="宋体"/>
          <w:sz w:val="24"/>
          <w:u w:val="single"/>
        </w:rPr>
      </w:pPr>
      <w:r>
        <w:rPr>
          <w:rFonts w:hint="eastAsia" w:ascii="宋体" w:hAnsi="宋体"/>
          <w:sz w:val="24"/>
        </w:rPr>
        <w:t>经有关部门</w:t>
      </w:r>
      <w:r>
        <w:rPr>
          <w:rFonts w:ascii="宋体" w:hAnsi="宋体"/>
          <w:sz w:val="24"/>
        </w:rPr>
        <w:t>查证属实后，</w:t>
      </w:r>
      <w:r>
        <w:rPr>
          <w:rFonts w:hint="eastAsia" w:ascii="宋体" w:hAnsi="宋体"/>
          <w:sz w:val="24"/>
        </w:rPr>
        <w:t>自愿</w:t>
      </w:r>
      <w:r>
        <w:rPr>
          <w:rFonts w:ascii="宋体" w:hAnsi="宋体"/>
          <w:sz w:val="24"/>
        </w:rPr>
        <w:t>从工资保</w:t>
      </w:r>
      <w:r>
        <w:rPr>
          <w:rFonts w:hint="eastAsia" w:ascii="宋体" w:hAnsi="宋体"/>
          <w:sz w:val="24"/>
        </w:rPr>
        <w:t>障</w:t>
      </w:r>
      <w:r>
        <w:rPr>
          <w:rFonts w:ascii="宋体" w:hAnsi="宋体"/>
          <w:sz w:val="24"/>
        </w:rPr>
        <w:t>金中支付，</w:t>
      </w:r>
      <w:r>
        <w:rPr>
          <w:rFonts w:hint="eastAsia" w:ascii="宋体" w:hAnsi="宋体"/>
          <w:sz w:val="24"/>
        </w:rPr>
        <w:t>且</w:t>
      </w:r>
      <w:r>
        <w:rPr>
          <w:rFonts w:ascii="宋体" w:hAnsi="宋体"/>
          <w:sz w:val="24"/>
        </w:rPr>
        <w:t>在一个星期内补足保</w:t>
      </w:r>
      <w:r>
        <w:rPr>
          <w:rFonts w:hint="eastAsia" w:ascii="宋体" w:hAnsi="宋体"/>
          <w:sz w:val="24"/>
        </w:rPr>
        <w:t>障</w:t>
      </w:r>
      <w:r>
        <w:rPr>
          <w:rFonts w:ascii="宋体" w:hAnsi="宋体"/>
          <w:sz w:val="24"/>
        </w:rPr>
        <w:t>金。</w:t>
      </w:r>
      <w:r>
        <w:rPr>
          <w:rFonts w:ascii="宋体" w:hAnsi="宋体"/>
          <w:sz w:val="24"/>
        </w:rPr>
        <w:br w:type="textWrapping"/>
      </w:r>
      <w:r>
        <w:rPr>
          <w:rFonts w:hint="eastAsia" w:ascii="宋体" w:hAnsi="宋体"/>
          <w:sz w:val="24"/>
        </w:rPr>
        <w:t xml:space="preserve"> 承诺人：</w:t>
      </w:r>
      <w:r>
        <w:rPr>
          <w:rFonts w:hint="eastAsia" w:ascii="宋体" w:hAnsi="宋体"/>
          <w:sz w:val="24"/>
          <w:u w:val="single"/>
        </w:rPr>
        <w:t xml:space="preserve">     （单位全称）（盖章）</w:t>
      </w:r>
    </w:p>
    <w:p>
      <w:pPr>
        <w:adjustRightInd w:val="0"/>
        <w:snapToGrid w:val="0"/>
        <w:spacing w:after="156" w:afterLines="50" w:line="360" w:lineRule="auto"/>
        <w:ind w:firstLine="4680" w:firstLineChars="1950"/>
        <w:rPr>
          <w:rFonts w:ascii="宋体" w:hAnsi="宋体"/>
          <w:sz w:val="24"/>
        </w:rPr>
      </w:pPr>
      <w:r>
        <w:rPr>
          <w:rFonts w:hint="eastAsia" w:ascii="宋体" w:hAnsi="宋体"/>
          <w:sz w:val="24"/>
        </w:rPr>
        <w:t>法定代表人：</w:t>
      </w:r>
      <w:r>
        <w:rPr>
          <w:rFonts w:hint="eastAsia" w:ascii="宋体" w:hAnsi="宋体"/>
          <w:sz w:val="24"/>
          <w:u w:val="single"/>
        </w:rPr>
        <w:t xml:space="preserve">                  </w:t>
      </w:r>
    </w:p>
    <w:p>
      <w:pPr>
        <w:adjustRightInd w:val="0"/>
        <w:snapToGrid w:val="0"/>
        <w:spacing w:line="360" w:lineRule="auto"/>
        <w:rPr>
          <w:rFonts w:ascii="宋体" w:hAnsi="宋体"/>
          <w:sz w:val="24"/>
        </w:rPr>
      </w:pPr>
      <w:r>
        <w:rPr>
          <w:rFonts w:hint="eastAsia" w:ascii="宋体" w:hAnsi="宋体"/>
          <w:sz w:val="24"/>
        </w:rPr>
        <w:t>附件五：项目经理委任书</w:t>
      </w:r>
    </w:p>
    <w:p>
      <w:pPr>
        <w:adjustRightInd w:val="0"/>
        <w:snapToGrid w:val="0"/>
        <w:spacing w:line="360" w:lineRule="auto"/>
        <w:jc w:val="center"/>
        <w:rPr>
          <w:rFonts w:ascii="宋体" w:hAnsi="宋体"/>
          <w:sz w:val="24"/>
          <w:u w:val="single"/>
        </w:rPr>
      </w:pPr>
      <w:r>
        <w:rPr>
          <w:rFonts w:hint="eastAsia" w:ascii="宋体" w:hAnsi="宋体"/>
          <w:sz w:val="24"/>
          <w:u w:val="single"/>
        </w:rPr>
        <w:t>（承包人全称）</w:t>
      </w:r>
    </w:p>
    <w:p>
      <w:pPr>
        <w:adjustRightInd w:val="0"/>
        <w:snapToGrid w:val="0"/>
        <w:spacing w:line="360" w:lineRule="auto"/>
        <w:jc w:val="center"/>
        <w:rPr>
          <w:rFonts w:ascii="宋体" w:hAnsi="宋体"/>
          <w:sz w:val="24"/>
        </w:rPr>
      </w:pPr>
      <w:r>
        <w:rPr>
          <w:rFonts w:hint="eastAsia" w:ascii="宋体" w:hAnsi="宋体"/>
          <w:sz w:val="24"/>
          <w:u w:val="single"/>
        </w:rPr>
        <w:t>（合同工程名称）</w:t>
      </w:r>
      <w:r>
        <w:rPr>
          <w:rFonts w:hint="eastAsia" w:ascii="宋体" w:hAnsi="宋体"/>
          <w:sz w:val="24"/>
        </w:rPr>
        <w:t>项目经理委</w:t>
      </w:r>
      <w:r>
        <w:rPr>
          <w:rFonts w:ascii="宋体" w:hAnsi="宋体"/>
          <w:sz w:val="24"/>
        </w:rPr>
        <w:t>任书</w:t>
      </w:r>
    </w:p>
    <w:p>
      <w:pPr>
        <w:adjustRightInd w:val="0"/>
        <w:snapToGrid w:val="0"/>
        <w:spacing w:line="360" w:lineRule="auto"/>
        <w:jc w:val="center"/>
        <w:rPr>
          <w:rFonts w:ascii="宋体" w:hAnsi="宋体"/>
          <w:sz w:val="24"/>
        </w:rPr>
      </w:pPr>
    </w:p>
    <w:p>
      <w:pPr>
        <w:adjustRightInd w:val="0"/>
        <w:snapToGrid w:val="0"/>
        <w:spacing w:line="360" w:lineRule="auto"/>
        <w:jc w:val="left"/>
        <w:rPr>
          <w:rFonts w:ascii="宋体" w:hAnsi="宋体"/>
          <w:sz w:val="24"/>
        </w:rPr>
      </w:pPr>
      <w:r>
        <w:rPr>
          <w:rFonts w:ascii="宋体" w:hAnsi="宋体"/>
          <w:sz w:val="24"/>
        </w:rPr>
        <w:t>致：</w:t>
      </w:r>
      <w:r>
        <w:rPr>
          <w:rFonts w:ascii="宋体" w:hAnsi="宋体"/>
          <w:sz w:val="24"/>
          <w:u w:val="single"/>
        </w:rPr>
        <w:t>（发包人全称）</w:t>
      </w:r>
    </w:p>
    <w:p>
      <w:pPr>
        <w:adjustRightInd w:val="0"/>
        <w:snapToGrid w:val="0"/>
        <w:spacing w:line="360" w:lineRule="auto"/>
        <w:ind w:firstLine="480" w:firstLineChars="200"/>
        <w:rPr>
          <w:rFonts w:ascii="宋体" w:hAnsi="宋体"/>
          <w:sz w:val="24"/>
        </w:rPr>
      </w:pPr>
      <w:r>
        <w:rPr>
          <w:rFonts w:hint="eastAsia" w:ascii="宋体" w:hAnsi="宋体"/>
          <w:sz w:val="24"/>
          <w:u w:val="single"/>
        </w:rPr>
        <w:t xml:space="preserve">  </w:t>
      </w:r>
      <w:r>
        <w:rPr>
          <w:rFonts w:ascii="宋体" w:hAnsi="宋体"/>
          <w:sz w:val="24"/>
          <w:u w:val="single"/>
        </w:rPr>
        <w:t>（承包人全称）</w:t>
      </w:r>
      <w:r>
        <w:rPr>
          <w:rFonts w:hint="eastAsia" w:ascii="宋体" w:hAnsi="宋体"/>
          <w:sz w:val="24"/>
          <w:u w:val="single"/>
        </w:rPr>
        <w:t xml:space="preserve">  </w:t>
      </w:r>
      <w:r>
        <w:rPr>
          <w:rFonts w:ascii="宋体" w:hAnsi="宋体"/>
          <w:sz w:val="24"/>
        </w:rPr>
        <w:t>法定代表人</w:t>
      </w:r>
      <w:r>
        <w:rPr>
          <w:rFonts w:hint="eastAsia" w:ascii="宋体" w:hAnsi="宋体"/>
          <w:sz w:val="24"/>
          <w:u w:val="single"/>
        </w:rPr>
        <w:t xml:space="preserve">  </w:t>
      </w:r>
      <w:r>
        <w:rPr>
          <w:rFonts w:ascii="宋体" w:hAnsi="宋体"/>
          <w:sz w:val="24"/>
          <w:u w:val="single"/>
        </w:rPr>
        <w:t>（职务、姓名）</w:t>
      </w:r>
      <w:r>
        <w:rPr>
          <w:rFonts w:hint="eastAsia" w:ascii="宋体" w:hAnsi="宋体"/>
          <w:sz w:val="24"/>
          <w:u w:val="single"/>
        </w:rPr>
        <w:t xml:space="preserve">  </w:t>
      </w:r>
      <w:r>
        <w:rPr>
          <w:rFonts w:ascii="宋体" w:hAnsi="宋体"/>
          <w:sz w:val="24"/>
        </w:rPr>
        <w:t>代表本单位委任</w:t>
      </w:r>
      <w:r>
        <w:rPr>
          <w:rFonts w:hint="eastAsia" w:ascii="宋体" w:hAnsi="宋体"/>
          <w:sz w:val="24"/>
          <w:u w:val="single"/>
        </w:rPr>
        <w:t xml:space="preserve">  </w:t>
      </w:r>
      <w:r>
        <w:rPr>
          <w:rFonts w:ascii="宋体" w:hAnsi="宋体"/>
          <w:sz w:val="24"/>
          <w:u w:val="single"/>
        </w:rPr>
        <w:t>（职务、姓名）</w:t>
      </w:r>
      <w:r>
        <w:rPr>
          <w:rFonts w:hint="eastAsia" w:ascii="宋体" w:hAnsi="宋体"/>
          <w:sz w:val="24"/>
          <w:u w:val="single"/>
        </w:rPr>
        <w:t xml:space="preserve">  </w:t>
      </w:r>
      <w:r>
        <w:rPr>
          <w:rFonts w:ascii="宋体" w:hAnsi="宋体"/>
          <w:sz w:val="24"/>
        </w:rPr>
        <w:t>为</w:t>
      </w:r>
      <w:r>
        <w:rPr>
          <w:rFonts w:hint="eastAsia" w:ascii="宋体" w:hAnsi="宋体"/>
          <w:sz w:val="24"/>
          <w:u w:val="single"/>
        </w:rPr>
        <w:t xml:space="preserve">  </w:t>
      </w:r>
      <w:r>
        <w:rPr>
          <w:rFonts w:ascii="宋体" w:hAnsi="宋体"/>
          <w:sz w:val="24"/>
          <w:u w:val="single"/>
        </w:rPr>
        <w:t>（合同工程名称）</w:t>
      </w:r>
      <w:r>
        <w:rPr>
          <w:rFonts w:hint="eastAsia" w:ascii="宋体" w:hAnsi="宋体"/>
          <w:sz w:val="24"/>
          <w:u w:val="single"/>
        </w:rPr>
        <w:t xml:space="preserve">  </w:t>
      </w:r>
      <w:r>
        <w:rPr>
          <w:rFonts w:ascii="宋体" w:hAnsi="宋体"/>
          <w:sz w:val="24"/>
        </w:rPr>
        <w:t>的项目经理。凡本合同执行中的有关技术、工程进度、现场管理、质量检验、结算与支付等方面工作，由</w:t>
      </w:r>
      <w:r>
        <w:rPr>
          <w:rFonts w:hint="eastAsia" w:ascii="宋体" w:hAnsi="宋体"/>
          <w:sz w:val="24"/>
          <w:u w:val="single"/>
        </w:rPr>
        <w:t xml:space="preserve">   （姓名）  </w:t>
      </w:r>
      <w:r>
        <w:rPr>
          <w:rFonts w:ascii="宋体" w:hAnsi="宋体"/>
          <w:sz w:val="24"/>
        </w:rPr>
        <w:t>代表本单位全面负</w:t>
      </w:r>
      <w:r>
        <w:rPr>
          <w:rFonts w:hint="eastAsia" w:ascii="宋体" w:hAnsi="宋体"/>
          <w:sz w:val="24"/>
        </w:rPr>
        <w:t>责。</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3360" w:firstLineChars="1400"/>
        <w:rPr>
          <w:rFonts w:ascii="宋体" w:hAnsi="宋体"/>
          <w:sz w:val="24"/>
        </w:rPr>
      </w:pPr>
      <w:r>
        <w:rPr>
          <w:rFonts w:ascii="宋体" w:hAnsi="宋体"/>
          <w:sz w:val="24"/>
        </w:rPr>
        <w:t>承</w:t>
      </w:r>
      <w:r>
        <w:rPr>
          <w:rFonts w:hint="eastAsia" w:ascii="宋体" w:hAnsi="宋体"/>
          <w:sz w:val="24"/>
        </w:rPr>
        <w:t xml:space="preserve"> </w:t>
      </w:r>
      <w:r>
        <w:rPr>
          <w:rFonts w:ascii="宋体" w:hAnsi="宋体"/>
          <w:sz w:val="24"/>
        </w:rPr>
        <w:t>包</w:t>
      </w:r>
      <w:r>
        <w:rPr>
          <w:rFonts w:hint="eastAsia" w:ascii="宋体" w:hAnsi="宋体"/>
          <w:sz w:val="24"/>
        </w:rPr>
        <w:t xml:space="preserve"> </w:t>
      </w:r>
      <w:r>
        <w:rPr>
          <w:rFonts w:ascii="宋体" w:hAnsi="宋体"/>
          <w:sz w:val="24"/>
        </w:rPr>
        <w:t>人：</w:t>
      </w:r>
      <w:r>
        <w:rPr>
          <w:rFonts w:hint="eastAsia" w:ascii="宋体" w:hAnsi="宋体"/>
          <w:sz w:val="24"/>
          <w:u w:val="single"/>
        </w:rPr>
        <w:t xml:space="preserve">    </w:t>
      </w:r>
      <w:r>
        <w:rPr>
          <w:rFonts w:ascii="宋体" w:hAnsi="宋体"/>
          <w:sz w:val="24"/>
          <w:u w:val="single"/>
        </w:rPr>
        <w:t>（全称）</w:t>
      </w:r>
      <w:r>
        <w:rPr>
          <w:rFonts w:hint="eastAsia" w:ascii="宋体" w:hAnsi="宋体"/>
          <w:sz w:val="24"/>
          <w:u w:val="single"/>
        </w:rPr>
        <w:t xml:space="preserve">    </w:t>
      </w:r>
      <w:r>
        <w:rPr>
          <w:rFonts w:ascii="宋体" w:hAnsi="宋体"/>
          <w:sz w:val="24"/>
        </w:rPr>
        <w:t>…</w:t>
      </w:r>
      <w:r>
        <w:rPr>
          <w:rFonts w:hint="eastAsia" w:ascii="宋体" w:hAnsi="宋体"/>
          <w:sz w:val="24"/>
          <w:u w:val="single"/>
        </w:rPr>
        <w:t xml:space="preserve">    </w:t>
      </w:r>
      <w:r>
        <w:rPr>
          <w:rFonts w:ascii="宋体" w:hAnsi="宋体"/>
          <w:sz w:val="24"/>
          <w:u w:val="single"/>
        </w:rPr>
        <w:t>（盖章）</w:t>
      </w:r>
      <w:r>
        <w:rPr>
          <w:rFonts w:hint="eastAsia" w:ascii="宋体" w:hAnsi="宋体"/>
          <w:sz w:val="24"/>
          <w:u w:val="single"/>
        </w:rPr>
        <w:t xml:space="preserve"> </w:t>
      </w:r>
    </w:p>
    <w:p>
      <w:pPr>
        <w:adjustRightInd w:val="0"/>
        <w:snapToGrid w:val="0"/>
        <w:spacing w:line="360" w:lineRule="auto"/>
        <w:ind w:firstLine="4800" w:firstLineChars="2000"/>
        <w:rPr>
          <w:rFonts w:ascii="宋体" w:hAnsi="宋体"/>
          <w:sz w:val="24"/>
        </w:rPr>
      </w:pPr>
      <w:r>
        <w:rPr>
          <w:rFonts w:ascii="宋体" w:hAnsi="宋体"/>
          <w:sz w:val="24"/>
        </w:rPr>
        <w:t>法定代表人：</w:t>
      </w:r>
      <w:r>
        <w:rPr>
          <w:rFonts w:hint="eastAsia" w:ascii="宋体" w:hAnsi="宋体"/>
          <w:sz w:val="24"/>
          <w:u w:val="single"/>
        </w:rPr>
        <w:t xml:space="preserve">     （职务）     </w:t>
      </w:r>
    </w:p>
    <w:p>
      <w:pPr>
        <w:adjustRightInd w:val="0"/>
        <w:snapToGrid w:val="0"/>
        <w:spacing w:line="360" w:lineRule="auto"/>
        <w:ind w:firstLine="6240" w:firstLineChars="2600"/>
        <w:rPr>
          <w:rFonts w:ascii="宋体" w:hAnsi="宋体"/>
          <w:sz w:val="24"/>
          <w:u w:val="single"/>
        </w:rPr>
      </w:pPr>
      <w:r>
        <w:rPr>
          <w:rFonts w:hint="eastAsia" w:ascii="宋体" w:hAnsi="宋体"/>
          <w:sz w:val="24"/>
          <w:u w:val="single"/>
        </w:rPr>
        <w:t xml:space="preserve">     </w:t>
      </w:r>
      <w:r>
        <w:rPr>
          <w:rFonts w:ascii="宋体" w:hAnsi="宋体"/>
          <w:sz w:val="24"/>
          <w:u w:val="single"/>
        </w:rPr>
        <w:t>（姓名）</w:t>
      </w:r>
      <w:r>
        <w:rPr>
          <w:rFonts w:hint="eastAsia" w:ascii="宋体" w:hAnsi="宋体"/>
          <w:sz w:val="24"/>
          <w:u w:val="single"/>
        </w:rPr>
        <w:t xml:space="preserve">     </w:t>
      </w:r>
    </w:p>
    <w:p>
      <w:pPr>
        <w:adjustRightInd w:val="0"/>
        <w:snapToGrid w:val="0"/>
        <w:spacing w:line="360" w:lineRule="auto"/>
        <w:ind w:firstLine="6240" w:firstLineChars="2600"/>
        <w:rPr>
          <w:rFonts w:ascii="宋体" w:hAnsi="宋体"/>
          <w:sz w:val="24"/>
        </w:rPr>
      </w:pP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签字</w:t>
      </w:r>
      <w:r>
        <w:rPr>
          <w:rFonts w:ascii="宋体" w:hAnsi="宋体"/>
          <w:sz w:val="24"/>
          <w:u w:val="single"/>
        </w:rPr>
        <w:t>）</w:t>
      </w:r>
      <w:r>
        <w:rPr>
          <w:rFonts w:hint="eastAsia" w:ascii="宋体" w:hAnsi="宋体"/>
          <w:sz w:val="24"/>
          <w:u w:val="single"/>
        </w:rPr>
        <w:t xml:space="preserve">     </w:t>
      </w:r>
    </w:p>
    <w:p>
      <w:pPr>
        <w:adjustRightInd w:val="0"/>
        <w:snapToGrid w:val="0"/>
        <w:spacing w:line="360" w:lineRule="auto"/>
        <w:ind w:firstLine="1440" w:firstLineChars="600"/>
        <w:jc w:val="right"/>
        <w:rPr>
          <w:rFonts w:ascii="宋体" w:hAnsi="宋体"/>
          <w:sz w:val="24"/>
        </w:rPr>
      </w:pP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adjustRightInd w:val="0"/>
        <w:snapToGrid w:val="0"/>
        <w:spacing w:line="360" w:lineRule="auto"/>
        <w:jc w:val="right"/>
        <w:rPr>
          <w:rFonts w:ascii="宋体" w:hAnsi="宋体"/>
          <w:sz w:val="24"/>
        </w:rPr>
      </w:pPr>
      <w:r>
        <w:rPr>
          <w:rFonts w:ascii="宋体" w:hAnsi="宋体"/>
          <w:sz w:val="24"/>
        </w:rPr>
        <w:t>抄送：</w:t>
      </w:r>
      <w:r>
        <w:rPr>
          <w:rFonts w:hint="eastAsia" w:ascii="宋体" w:hAnsi="宋体"/>
          <w:sz w:val="24"/>
          <w:u w:val="single"/>
        </w:rPr>
        <w:t xml:space="preserve">   </w:t>
      </w:r>
      <w:r>
        <w:rPr>
          <w:rFonts w:ascii="宋体" w:hAnsi="宋体"/>
          <w:sz w:val="24"/>
          <w:u w:val="single"/>
        </w:rPr>
        <w:t>（监理人）</w:t>
      </w:r>
      <w:r>
        <w:rPr>
          <w:rFonts w:hint="eastAsia" w:ascii="宋体" w:hAnsi="宋体"/>
          <w:sz w:val="24"/>
          <w:u w:val="single"/>
        </w:rPr>
        <w:t xml:space="preserve">   </w:t>
      </w:r>
    </w:p>
    <w:p>
      <w:pPr>
        <w:pStyle w:val="13"/>
        <w:spacing w:line="360" w:lineRule="auto"/>
        <w:rPr>
          <w:rFonts w:hint="eastAsia" w:ascii="宋体" w:hAnsi="宋体" w:cs="华文仿宋"/>
        </w:rPr>
      </w:pPr>
      <w:r>
        <w:rPr>
          <w:rFonts w:hint="eastAsia" w:ascii="宋体" w:hAnsi="宋体" w:cs="华文仿宋"/>
        </w:rPr>
        <w:t>第五章 工程清单编制要求</w:t>
      </w:r>
      <w:bookmarkEnd w:id="282"/>
    </w:p>
    <w:p>
      <w:pPr>
        <w:spacing w:line="360" w:lineRule="auto"/>
        <w:rPr>
          <w:rFonts w:hint="eastAsia" w:ascii="宋体" w:hAnsi="宋体" w:cs="TimesNewRomanPSMT"/>
          <w:kern w:val="0"/>
          <w:sz w:val="24"/>
        </w:rPr>
      </w:pPr>
      <w:bookmarkStart w:id="286" w:name="_Toc302032906"/>
      <w:bookmarkStart w:id="287" w:name="_Toc249851390"/>
      <w:bookmarkStart w:id="288" w:name="_Toc283559992"/>
      <w:r>
        <w:rPr>
          <w:rFonts w:hint="eastAsia" w:ascii="宋体" w:hAnsi="宋体" w:cs="TimesNewRomanPSMT"/>
          <w:kern w:val="0"/>
          <w:sz w:val="24"/>
        </w:rPr>
        <w:t>1.</w:t>
      </w:r>
      <w:r>
        <w:rPr>
          <w:rFonts w:ascii="宋体" w:hAnsi="宋体" w:cs="TimesNewRomanPSMT"/>
          <w:kern w:val="0"/>
          <w:sz w:val="24"/>
        </w:rPr>
        <w:t xml:space="preserve"> </w:t>
      </w:r>
      <w:r>
        <w:rPr>
          <w:rFonts w:hint="eastAsia" w:ascii="宋体" w:hAnsi="宋体" w:cs="TimesNewRomanPSMT"/>
          <w:kern w:val="0"/>
          <w:sz w:val="24"/>
        </w:rPr>
        <w:t>依据</w:t>
      </w:r>
      <w:r>
        <w:rPr>
          <w:rFonts w:ascii="宋体" w:hAnsi="宋体" w:cs="TimesNewRomanPSMT"/>
          <w:kern w:val="0"/>
          <w:sz w:val="24"/>
        </w:rPr>
        <w:t>建设单位提供的施工</w:t>
      </w:r>
      <w:r>
        <w:rPr>
          <w:rFonts w:hint="eastAsia" w:ascii="宋体" w:hAnsi="宋体" w:cs="TimesNewRomanPSMT"/>
          <w:kern w:val="0"/>
          <w:sz w:val="24"/>
        </w:rPr>
        <w:t>说明；</w:t>
      </w:r>
    </w:p>
    <w:p>
      <w:pPr>
        <w:spacing w:line="360" w:lineRule="auto"/>
        <w:rPr>
          <w:rFonts w:hint="eastAsia" w:ascii="宋体" w:hAnsi="宋体" w:cs="TimesNewRomanPSMT"/>
          <w:kern w:val="0"/>
          <w:sz w:val="24"/>
        </w:rPr>
      </w:pPr>
      <w:r>
        <w:rPr>
          <w:rFonts w:hint="eastAsia" w:ascii="宋体" w:hAnsi="宋体" w:cs="TimesNewRomanPSMT"/>
          <w:kern w:val="0"/>
          <w:sz w:val="24"/>
        </w:rPr>
        <w:t>2．清单依据2018版《河南省公路施工招标工程量清单》；</w:t>
      </w:r>
    </w:p>
    <w:p>
      <w:pPr>
        <w:spacing w:line="360" w:lineRule="auto"/>
        <w:rPr>
          <w:rFonts w:hint="eastAsia" w:ascii="宋体" w:hAnsi="宋体" w:cs="TimesNewRomanPSMT"/>
          <w:kern w:val="0"/>
          <w:sz w:val="24"/>
        </w:rPr>
      </w:pPr>
      <w:r>
        <w:rPr>
          <w:rFonts w:hint="eastAsia" w:ascii="宋体" w:hAnsi="宋体" w:cs="TimesNewRomanPSMT"/>
          <w:sz w:val="24"/>
        </w:rPr>
        <w:t>3.定额依据</w:t>
      </w:r>
      <w:r>
        <w:rPr>
          <w:rFonts w:hint="eastAsia" w:ascii="宋体" w:hAnsi="宋体" w:cs="TimesNewRomanPSMT"/>
          <w:kern w:val="0"/>
          <w:sz w:val="24"/>
        </w:rPr>
        <w:t>《公路工程预算定额》（JTG/T 3832-2018）、《公路工程机械台班费用定额》（JTG/T 3833-2018）及相关配套文件的规定；</w:t>
      </w:r>
    </w:p>
    <w:p>
      <w:pPr>
        <w:spacing w:line="360" w:lineRule="auto"/>
        <w:rPr>
          <w:rFonts w:hint="eastAsia" w:ascii="宋体" w:hAnsi="宋体" w:cs="TimesNewRomanPSMT"/>
          <w:kern w:val="0"/>
          <w:sz w:val="24"/>
        </w:rPr>
      </w:pPr>
      <w:r>
        <w:rPr>
          <w:rFonts w:hint="eastAsia" w:ascii="宋体" w:hAnsi="宋体" w:cs="TimesNewRomanPSMT"/>
          <w:kern w:val="0"/>
          <w:sz w:val="24"/>
        </w:rPr>
        <w:t>4.材料价格依据201</w:t>
      </w:r>
      <w:r>
        <w:rPr>
          <w:rFonts w:ascii="宋体" w:hAnsi="宋体" w:cs="TimesNewRomanPSMT"/>
          <w:kern w:val="0"/>
          <w:sz w:val="24"/>
        </w:rPr>
        <w:t>9</w:t>
      </w:r>
      <w:r>
        <w:rPr>
          <w:rFonts w:hint="eastAsia" w:ascii="宋体" w:hAnsi="宋体" w:cs="TimesNewRomanPSMT"/>
          <w:kern w:val="0"/>
          <w:sz w:val="24"/>
        </w:rPr>
        <w:t>年第6期《许昌工程造价信息》，未包含的材料价格参考市场价；</w:t>
      </w:r>
    </w:p>
    <w:p>
      <w:pPr>
        <w:spacing w:line="360" w:lineRule="auto"/>
        <w:rPr>
          <w:rFonts w:hint="eastAsia" w:ascii="宋体" w:hAnsi="宋体" w:cs="TimesNewRomanPSMT"/>
          <w:kern w:val="0"/>
          <w:sz w:val="24"/>
        </w:rPr>
      </w:pPr>
      <w:r>
        <w:rPr>
          <w:rFonts w:hint="eastAsia" w:ascii="宋体" w:hAnsi="宋体" w:cs="TimesNewRomanPSMT"/>
          <w:sz w:val="24"/>
        </w:rPr>
        <w:t>5.税金调整依据建办标函（2019）193号文，按</w:t>
      </w:r>
      <w:r>
        <w:rPr>
          <w:rFonts w:ascii="宋体" w:hAnsi="宋体" w:cs="TimesNewRomanPSMT"/>
          <w:sz w:val="24"/>
        </w:rPr>
        <w:t>9</w:t>
      </w:r>
      <w:r>
        <w:rPr>
          <w:rFonts w:hint="eastAsia" w:ascii="宋体" w:hAnsi="宋体" w:cs="TimesNewRomanPSMT"/>
          <w:sz w:val="24"/>
        </w:rPr>
        <w:t>%计入；</w:t>
      </w:r>
    </w:p>
    <w:p>
      <w:pPr>
        <w:spacing w:line="360" w:lineRule="auto"/>
        <w:rPr>
          <w:rFonts w:hint="eastAsia" w:ascii="宋体" w:hAnsi="宋体" w:cs="TimesNewRomanPSMT"/>
          <w:kern w:val="0"/>
          <w:sz w:val="24"/>
        </w:rPr>
      </w:pPr>
      <w:r>
        <w:rPr>
          <w:rFonts w:hint="eastAsia" w:ascii="宋体" w:hAnsi="宋体" w:cs="TimesNewRomanPSMT"/>
          <w:kern w:val="0"/>
          <w:sz w:val="24"/>
        </w:rPr>
        <w:t>6.人工费、规费按豫交文（2019）274号文关于人工机械费及规费规定执行；</w:t>
      </w:r>
    </w:p>
    <w:bookmarkEnd w:id="286"/>
    <w:bookmarkEnd w:id="287"/>
    <w:bookmarkEnd w:id="288"/>
    <w:p>
      <w:pPr>
        <w:spacing w:line="360" w:lineRule="auto"/>
        <w:rPr>
          <w:rFonts w:ascii="宋体" w:hAnsi="宋体" w:cs="TimesNewRomanPSMT"/>
          <w:b/>
          <w:kern w:val="0"/>
          <w:sz w:val="24"/>
        </w:rPr>
      </w:pPr>
      <w:bookmarkStart w:id="289" w:name="_Toc302032908"/>
      <w:r>
        <w:rPr>
          <w:rFonts w:hint="eastAsia" w:ascii="宋体" w:hAnsi="宋体" w:cs="TimesNewRomanPSMT"/>
          <w:b/>
          <w:kern w:val="0"/>
          <w:sz w:val="24"/>
        </w:rPr>
        <w:t>二.其他说明</w:t>
      </w:r>
      <w:bookmarkEnd w:id="289"/>
    </w:p>
    <w:p>
      <w:pPr>
        <w:spacing w:line="360" w:lineRule="auto"/>
        <w:rPr>
          <w:rFonts w:ascii="宋体" w:hAnsi="宋体"/>
          <w:sz w:val="24"/>
        </w:rPr>
      </w:pPr>
      <w:r>
        <w:rPr>
          <w:rFonts w:hint="eastAsia" w:ascii="宋体" w:hAnsi="宋体"/>
          <w:sz w:val="24"/>
        </w:rPr>
        <w:t xml:space="preserve">报价范围：施工设计图、设计变更、答疑纪要及通知（如有）内的所有内容； </w:t>
      </w:r>
    </w:p>
    <w:p>
      <w:pPr>
        <w:spacing w:line="360" w:lineRule="auto"/>
        <w:rPr>
          <w:rFonts w:ascii="宋体" w:hAnsi="宋体"/>
          <w:b/>
          <w:bCs/>
          <w:sz w:val="24"/>
        </w:rPr>
      </w:pPr>
      <w:r>
        <w:rPr>
          <w:rFonts w:hint="eastAsia" w:ascii="宋体" w:hAnsi="宋体"/>
          <w:b/>
          <w:bCs/>
          <w:sz w:val="24"/>
        </w:rPr>
        <w:t>工程量清单电子版：在全国公共资源交易平台（河南省.许昌市）网上下载。</w:t>
      </w:r>
    </w:p>
    <w:p>
      <w:pPr>
        <w:pStyle w:val="13"/>
        <w:spacing w:line="360" w:lineRule="auto"/>
        <w:rPr>
          <w:rFonts w:hint="eastAsia" w:ascii="宋体" w:hAnsi="宋体" w:cs="华文仿宋"/>
        </w:rPr>
      </w:pPr>
      <w:bookmarkStart w:id="290" w:name="_Toc372538156"/>
    </w:p>
    <w:p>
      <w:pPr>
        <w:pStyle w:val="13"/>
        <w:spacing w:line="360" w:lineRule="auto"/>
        <w:rPr>
          <w:rFonts w:ascii="宋体" w:hAnsi="宋体" w:cs="华文仿宋"/>
        </w:rPr>
      </w:pPr>
      <w:r>
        <w:rPr>
          <w:rFonts w:hint="eastAsia" w:ascii="宋体" w:hAnsi="宋体" w:cs="华文仿宋"/>
        </w:rPr>
        <w:t>第六章  图纸</w:t>
      </w:r>
      <w:bookmarkEnd w:id="290"/>
    </w:p>
    <w:p>
      <w:pPr>
        <w:pStyle w:val="6"/>
        <w:keepNext w:val="0"/>
        <w:keepLines w:val="0"/>
        <w:spacing w:line="360" w:lineRule="auto"/>
        <w:jc w:val="center"/>
        <w:rPr>
          <w:rFonts w:ascii="宋体" w:hAnsi="宋体" w:cs="华文仿宋"/>
          <w:bCs/>
          <w:kern w:val="2"/>
          <w:sz w:val="24"/>
        </w:rPr>
      </w:pPr>
      <w:bookmarkStart w:id="291" w:name="_Toc372538157"/>
      <w:r>
        <w:rPr>
          <w:rFonts w:hint="eastAsia" w:ascii="宋体" w:hAnsi="宋体" w:cs="华文仿宋"/>
          <w:bCs/>
          <w:kern w:val="2"/>
          <w:sz w:val="24"/>
        </w:rPr>
        <w:t>在全国公共资源交易平台（河南省.许昌市）网上下载图纸</w:t>
      </w:r>
      <w:r>
        <w:rPr>
          <w:rFonts w:hint="eastAsia" w:ascii="宋体" w:hAnsi="宋体" w:cs="华文仿宋"/>
          <w:bCs/>
          <w:kern w:val="2"/>
          <w:sz w:val="24"/>
          <w:lang w:eastAsia="zh-CN"/>
        </w:rPr>
        <w:t>（如有）</w:t>
      </w:r>
      <w:r>
        <w:rPr>
          <w:rFonts w:hint="eastAsia" w:ascii="宋体" w:hAnsi="宋体" w:cs="华文仿宋"/>
          <w:bCs/>
          <w:kern w:val="2"/>
          <w:sz w:val="24"/>
        </w:rPr>
        <w:t>。</w:t>
      </w:r>
    </w:p>
    <w:p>
      <w:pPr>
        <w:pStyle w:val="6"/>
        <w:keepNext w:val="0"/>
        <w:keepLines w:val="0"/>
        <w:spacing w:line="360" w:lineRule="auto"/>
        <w:jc w:val="center"/>
        <w:rPr>
          <w:rFonts w:hint="eastAsia" w:ascii="宋体" w:hAnsi="宋体" w:cs="华文仿宋"/>
          <w:bCs/>
          <w:kern w:val="2"/>
          <w:sz w:val="32"/>
          <w:szCs w:val="32"/>
        </w:rPr>
      </w:pPr>
    </w:p>
    <w:p>
      <w:pPr>
        <w:pStyle w:val="6"/>
        <w:keepNext w:val="0"/>
        <w:keepLines w:val="0"/>
        <w:spacing w:line="360" w:lineRule="auto"/>
        <w:jc w:val="center"/>
        <w:rPr>
          <w:rFonts w:ascii="宋体" w:hAnsi="宋体" w:cs="华文仿宋"/>
          <w:bCs/>
          <w:kern w:val="2"/>
          <w:sz w:val="32"/>
          <w:szCs w:val="32"/>
        </w:rPr>
      </w:pPr>
      <w:r>
        <w:rPr>
          <w:rFonts w:hint="eastAsia" w:ascii="宋体" w:hAnsi="宋体" w:cs="华文仿宋"/>
          <w:bCs/>
          <w:kern w:val="2"/>
          <w:sz w:val="32"/>
          <w:szCs w:val="32"/>
        </w:rPr>
        <w:t xml:space="preserve">第七章     </w:t>
      </w:r>
      <w:bookmarkStart w:id="292" w:name="_Toc152042574"/>
      <w:bookmarkStart w:id="293" w:name="_Toc225587137"/>
      <w:bookmarkStart w:id="294" w:name="_Toc152045785"/>
      <w:bookmarkStart w:id="295" w:name="_Toc9478"/>
      <w:bookmarkStart w:id="296" w:name="_Toc144974854"/>
      <w:r>
        <w:rPr>
          <w:rFonts w:hint="eastAsia" w:ascii="宋体" w:hAnsi="宋体" w:cs="华文仿宋"/>
          <w:bCs/>
          <w:kern w:val="2"/>
          <w:sz w:val="32"/>
          <w:szCs w:val="32"/>
        </w:rPr>
        <w:t xml:space="preserve">  技术标准和要求</w:t>
      </w:r>
      <w:bookmarkEnd w:id="291"/>
      <w:bookmarkEnd w:id="292"/>
      <w:bookmarkEnd w:id="293"/>
      <w:bookmarkEnd w:id="294"/>
      <w:bookmarkEnd w:id="295"/>
      <w:bookmarkEnd w:id="296"/>
    </w:p>
    <w:p>
      <w:pPr>
        <w:spacing w:line="360" w:lineRule="auto"/>
        <w:jc w:val="center"/>
        <w:rPr>
          <w:rFonts w:ascii="宋体" w:hAnsi="宋体" w:cs="华文仿宋"/>
        </w:rPr>
      </w:pPr>
      <w:r>
        <w:rPr>
          <w:rFonts w:hint="eastAsia" w:ascii="宋体" w:hAnsi="宋体" w:cs="华文仿宋"/>
        </w:rPr>
        <w:t>（</w:t>
      </w:r>
      <w:r>
        <w:rPr>
          <w:rFonts w:hint="eastAsia" w:ascii="宋体" w:hAnsi="宋体" w:cs="华文仿宋"/>
          <w:sz w:val="24"/>
        </w:rPr>
        <w:t>参见国家、省、市、行业现行的技术规范和标准</w:t>
      </w:r>
      <w:r>
        <w:rPr>
          <w:rFonts w:hint="eastAsia" w:ascii="宋体" w:hAnsi="宋体" w:cs="华文仿宋"/>
        </w:rPr>
        <w:t>）</w:t>
      </w:r>
    </w:p>
    <w:p>
      <w:pPr>
        <w:spacing w:line="360" w:lineRule="auto"/>
        <w:jc w:val="center"/>
        <w:rPr>
          <w:rFonts w:ascii="宋体" w:hAnsi="宋体" w:cs="华文仿宋"/>
          <w:b/>
          <w:bCs/>
          <w:sz w:val="32"/>
          <w:szCs w:val="32"/>
        </w:rPr>
      </w:pPr>
      <w:r>
        <w:rPr>
          <w:rFonts w:hint="eastAsia" w:ascii="宋体" w:hAnsi="宋体" w:cs="华文仿宋"/>
          <w:sz w:val="24"/>
        </w:rPr>
        <w:br w:type="page"/>
      </w:r>
      <w:bookmarkStart w:id="297" w:name="_Toc372538158"/>
      <w:r>
        <w:rPr>
          <w:rFonts w:hint="eastAsia" w:ascii="宋体" w:hAnsi="宋体" w:cs="华文仿宋"/>
          <w:b/>
          <w:bCs/>
          <w:sz w:val="32"/>
          <w:szCs w:val="32"/>
        </w:rPr>
        <w:t>第八章  投标文件格式</w:t>
      </w:r>
      <w:bookmarkEnd w:id="297"/>
    </w:p>
    <w:p>
      <w:pPr>
        <w:spacing w:line="360" w:lineRule="auto"/>
        <w:ind w:firstLine="531" w:firstLineChars="147"/>
        <w:rPr>
          <w:rFonts w:ascii="宋体" w:hAnsi="宋体" w:cs="宋体"/>
          <w:b/>
          <w:sz w:val="36"/>
          <w:szCs w:val="36"/>
        </w:rPr>
      </w:pPr>
      <w:r>
        <w:rPr>
          <w:rFonts w:hint="eastAsia" w:ascii="宋体" w:hAnsi="宋体" w:cs="宋体"/>
          <w:b/>
          <w:sz w:val="36"/>
          <w:szCs w:val="36"/>
        </w:rPr>
        <w:t>一、投标文件第一信封（商务及技术文件）格式</w:t>
      </w:r>
    </w:p>
    <w:p>
      <w:pPr>
        <w:spacing w:line="360" w:lineRule="auto"/>
        <w:rPr>
          <w:rFonts w:ascii="宋体" w:hAnsi="宋体"/>
          <w:sz w:val="20"/>
          <w:szCs w:val="20"/>
        </w:rPr>
      </w:pPr>
      <w:r>
        <w:rPr>
          <w:rFonts w:ascii="宋体" w:hAnsi="宋体"/>
        </w:rPr>
        <mc:AlternateContent>
          <mc:Choice Requires="wps">
            <w:drawing>
              <wp:anchor distT="45720" distB="45720" distL="114300" distR="114300" simplePos="0" relativeHeight="251658240" behindDoc="0" locked="0" layoutInCell="1" allowOverlap="1">
                <wp:simplePos x="0" y="0"/>
                <wp:positionH relativeFrom="column">
                  <wp:posOffset>4407535</wp:posOffset>
                </wp:positionH>
                <wp:positionV relativeFrom="paragraph">
                  <wp:posOffset>186055</wp:posOffset>
                </wp:positionV>
                <wp:extent cx="836295" cy="299085"/>
                <wp:effectExtent l="4445" t="5080" r="12700" b="15875"/>
                <wp:wrapSquare wrapText="bothSides"/>
                <wp:docPr id="3" name="文本框 3"/>
                <wp:cNvGraphicFramePr/>
                <a:graphic xmlns:a="http://schemas.openxmlformats.org/drawingml/2006/main">
                  <a:graphicData uri="http://schemas.microsoft.com/office/word/2010/wordprocessingShape">
                    <wps:wsp>
                      <wps:cNvSpPr txBox="1"/>
                      <wps:spPr>
                        <a:xfrm>
                          <a:off x="0" y="0"/>
                          <a:ext cx="836295"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w:t>
                            </w:r>
                            <w:r>
                              <w:t>/</w:t>
                            </w:r>
                            <w:r>
                              <w:rPr>
                                <w:rFonts w:hint="eastAsia"/>
                              </w:rPr>
                              <w:t>副本</w:t>
                            </w:r>
                          </w:p>
                        </w:txbxContent>
                      </wps:txbx>
                      <wps:bodyPr upright="1"/>
                    </wps:wsp>
                  </a:graphicData>
                </a:graphic>
              </wp:anchor>
            </w:drawing>
          </mc:Choice>
          <mc:Fallback>
            <w:pict>
              <v:shape id="_x0000_s1026" o:spid="_x0000_s1026" o:spt="202" type="#_x0000_t202" style="position:absolute;left:0pt;margin-left:347.05pt;margin-top:14.65pt;height:23.55pt;width:65.85pt;mso-wrap-distance-bottom:3.6pt;mso-wrap-distance-left:9pt;mso-wrap-distance-right:9pt;mso-wrap-distance-top:3.6pt;z-index:251658240;mso-width-relative:page;mso-height-relative:page;" fillcolor="#FFFFFF" filled="t" stroked="t" coordsize="21600,21600" o:gfxdata="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RGK7/ZAAAACQEAAA8AAAAAAAAAAQAgAAAAIgAAAGRycy9kb3ducmV2LnhtbFBL&#10;AQIUABQAAAAIAIdO4kBihIGv9QEAAPUDAAAOAAAAAAAAAAEAIAAAACgBAABkcnMvZTJvRG9jLnht&#10;bFBLBQYAAAAABgAGAFkBAACPBQAAAAA=&#10;">
                <v:fill on="t" focussize="0,0"/>
                <v:stroke color="#000000" joinstyle="miter"/>
                <v:imagedata o:title=""/>
                <o:lock v:ext="edit" aspectratio="f"/>
                <v:textbox>
                  <w:txbxContent>
                    <w:p>
                      <w:r>
                        <w:rPr>
                          <w:rFonts w:hint="eastAsia"/>
                        </w:rPr>
                        <w:t>正本</w:t>
                      </w:r>
                      <w:r>
                        <w:t>/</w:t>
                      </w:r>
                      <w:r>
                        <w:rPr>
                          <w:rFonts w:hint="eastAsia"/>
                        </w:rPr>
                        <w:t>副本</w:t>
                      </w:r>
                    </w:p>
                  </w:txbxContent>
                </v:textbox>
                <w10:wrap type="square"/>
              </v:shape>
            </w:pict>
          </mc:Fallback>
        </mc:AlternateContent>
      </w:r>
    </w:p>
    <w:p>
      <w:pPr>
        <w:spacing w:line="360" w:lineRule="auto"/>
        <w:rPr>
          <w:rFonts w:ascii="宋体" w:hAnsi="宋体"/>
          <w:sz w:val="20"/>
          <w:szCs w:val="20"/>
        </w:rPr>
      </w:pPr>
    </w:p>
    <w:p>
      <w:pPr>
        <w:spacing w:line="360" w:lineRule="auto"/>
        <w:jc w:val="center"/>
        <w:rPr>
          <w:rFonts w:ascii="宋体" w:hAnsi="宋体" w:cs="宋体"/>
          <w:b/>
          <w:bCs/>
          <w:sz w:val="44"/>
          <w:szCs w:val="44"/>
        </w:rPr>
      </w:pPr>
      <w:r>
        <w:rPr>
          <w:rFonts w:hint="eastAsia" w:ascii="宋体" w:hAnsi="宋体" w:cs="宋体"/>
          <w:b/>
          <w:bCs/>
          <w:sz w:val="44"/>
          <w:szCs w:val="44"/>
        </w:rPr>
        <w:t>项目名称</w:t>
      </w:r>
    </w:p>
    <w:p>
      <w:pPr>
        <w:spacing w:line="360" w:lineRule="auto"/>
        <w:rPr>
          <w:rFonts w:ascii="宋体" w:hAnsi="宋体"/>
          <w:sz w:val="20"/>
          <w:szCs w:val="20"/>
        </w:rPr>
      </w:pPr>
    </w:p>
    <w:p>
      <w:pPr>
        <w:spacing w:line="360" w:lineRule="auto"/>
        <w:jc w:val="center"/>
        <w:rPr>
          <w:rFonts w:ascii="宋体" w:hAnsi="宋体"/>
          <w:sz w:val="72"/>
          <w:szCs w:val="72"/>
        </w:rPr>
      </w:pPr>
      <w:r>
        <w:rPr>
          <w:rFonts w:hint="eastAsia" w:ascii="宋体" w:hAnsi="宋体"/>
          <w:sz w:val="72"/>
          <w:szCs w:val="72"/>
        </w:rPr>
        <w:t>投标文件</w:t>
      </w:r>
    </w:p>
    <w:p>
      <w:pPr>
        <w:spacing w:line="360" w:lineRule="auto"/>
        <w:jc w:val="center"/>
        <w:rPr>
          <w:rFonts w:ascii="宋体" w:hAnsi="宋体"/>
          <w:sz w:val="52"/>
          <w:szCs w:val="52"/>
        </w:rPr>
      </w:pPr>
      <w:r>
        <w:rPr>
          <w:rFonts w:hint="eastAsia" w:ascii="宋体" w:hAnsi="宋体"/>
          <w:sz w:val="52"/>
          <w:szCs w:val="52"/>
        </w:rPr>
        <w:t>第一信封</w:t>
      </w:r>
    </w:p>
    <w:p>
      <w:pPr>
        <w:spacing w:line="360" w:lineRule="auto"/>
        <w:jc w:val="center"/>
        <w:rPr>
          <w:rFonts w:ascii="宋体" w:hAnsi="宋体" w:cs="宋体"/>
          <w:b/>
          <w:sz w:val="32"/>
          <w:szCs w:val="32"/>
        </w:rPr>
      </w:pPr>
      <w:r>
        <w:rPr>
          <w:rFonts w:hint="eastAsia" w:ascii="宋体" w:hAnsi="宋体" w:cs="宋体"/>
          <w:b/>
          <w:sz w:val="32"/>
          <w:szCs w:val="32"/>
        </w:rPr>
        <w:t>（商务及技术文件）</w:t>
      </w:r>
    </w:p>
    <w:p>
      <w:pPr>
        <w:spacing w:line="360" w:lineRule="auto"/>
        <w:jc w:val="center"/>
        <w:rPr>
          <w:rFonts w:hint="eastAsia" w:ascii="宋体" w:hAnsi="宋体"/>
          <w:sz w:val="28"/>
          <w:szCs w:val="28"/>
        </w:rPr>
      </w:pPr>
      <w:r>
        <w:rPr>
          <w:rFonts w:hint="eastAsia" w:ascii="宋体" w:hAnsi="宋体"/>
          <w:sz w:val="28"/>
          <w:szCs w:val="28"/>
        </w:rPr>
        <w:t>项目编号：</w:t>
      </w: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ind w:firstLine="275" w:firstLineChars="98"/>
        <w:jc w:val="center"/>
        <w:rPr>
          <w:rFonts w:ascii="宋体" w:hAnsi="宋体" w:cs="宋体"/>
          <w:b/>
          <w:bCs/>
          <w:sz w:val="28"/>
          <w:szCs w:val="28"/>
          <w:u w:val="single"/>
        </w:rPr>
      </w:pPr>
      <w:r>
        <w:rPr>
          <w:rFonts w:hint="eastAsia" w:ascii="宋体" w:hAnsi="宋体" w:cs="宋体"/>
          <w:b/>
          <w:bCs/>
          <w:sz w:val="28"/>
          <w:szCs w:val="28"/>
        </w:rPr>
        <w:t>投标人：（盖单位公章）</w:t>
      </w:r>
    </w:p>
    <w:p>
      <w:pPr>
        <w:spacing w:line="360" w:lineRule="auto"/>
        <w:ind w:firstLine="275" w:firstLineChars="98"/>
        <w:jc w:val="center"/>
        <w:rPr>
          <w:rFonts w:ascii="宋体" w:hAnsi="宋体" w:cs="宋体"/>
          <w:b/>
          <w:bCs/>
          <w:sz w:val="28"/>
          <w:szCs w:val="28"/>
        </w:rPr>
      </w:pPr>
      <w:r>
        <w:rPr>
          <w:rFonts w:hint="eastAsia" w:ascii="宋体" w:hAnsi="宋体" w:cs="宋体"/>
          <w:b/>
          <w:bCs/>
          <w:sz w:val="28"/>
          <w:szCs w:val="28"/>
        </w:rPr>
        <w:t>法定代表人或其委托代理人：（签字）</w:t>
      </w:r>
    </w:p>
    <w:p>
      <w:pPr>
        <w:spacing w:line="360" w:lineRule="auto"/>
        <w:jc w:val="center"/>
        <w:rPr>
          <w:rFonts w:ascii="宋体" w:hAnsi="宋体" w:cs="宋体"/>
          <w:b/>
          <w:bCs/>
          <w:sz w:val="28"/>
          <w:szCs w:val="28"/>
        </w:rPr>
      </w:pPr>
      <w:r>
        <w:rPr>
          <w:rFonts w:hint="eastAsia" w:ascii="宋体" w:hAnsi="宋体" w:cs="宋体"/>
          <w:b/>
          <w:bCs/>
          <w:sz w:val="28"/>
          <w:szCs w:val="28"/>
        </w:rPr>
        <w:t>年  月  日</w:t>
      </w:r>
    </w:p>
    <w:p>
      <w:pPr>
        <w:spacing w:line="360" w:lineRule="auto"/>
        <w:rPr>
          <w:rFonts w:ascii="宋体" w:hAnsi="宋体"/>
          <w:sz w:val="20"/>
          <w:szCs w:val="20"/>
        </w:rPr>
      </w:pPr>
    </w:p>
    <w:p>
      <w:pPr>
        <w:spacing w:line="360" w:lineRule="auto"/>
        <w:jc w:val="center"/>
        <w:rPr>
          <w:rFonts w:ascii="宋体" w:hAnsi="宋体"/>
          <w:b/>
          <w:bCs/>
          <w:color w:val="000000"/>
          <w:sz w:val="36"/>
          <w:szCs w:val="36"/>
        </w:rPr>
      </w:pPr>
    </w:p>
    <w:p>
      <w:pPr>
        <w:topLinePunct/>
        <w:spacing w:line="360" w:lineRule="auto"/>
        <w:jc w:val="center"/>
        <w:rPr>
          <w:rFonts w:hint="eastAsia" w:ascii="宋体" w:hAnsi="宋体" w:cs="宋体"/>
          <w:b/>
          <w:sz w:val="32"/>
          <w:szCs w:val="32"/>
        </w:rPr>
      </w:pPr>
      <w:bookmarkStart w:id="298" w:name="_Toc152042577"/>
      <w:bookmarkStart w:id="299" w:name="_Toc144974857"/>
      <w:bookmarkStart w:id="300" w:name="_Toc179632808"/>
      <w:bookmarkStart w:id="301" w:name="_Toc152045788"/>
    </w:p>
    <w:p>
      <w:pPr>
        <w:topLinePunct/>
        <w:spacing w:line="360" w:lineRule="auto"/>
        <w:jc w:val="center"/>
        <w:rPr>
          <w:rFonts w:ascii="宋体" w:hAnsi="宋体" w:cs="宋体"/>
          <w:b/>
          <w:sz w:val="32"/>
          <w:szCs w:val="32"/>
        </w:rPr>
      </w:pPr>
      <w:r>
        <w:rPr>
          <w:rFonts w:hint="eastAsia" w:ascii="宋体" w:hAnsi="宋体" w:cs="宋体"/>
          <w:b/>
          <w:sz w:val="32"/>
          <w:szCs w:val="32"/>
        </w:rPr>
        <w:t>目</w:t>
      </w:r>
      <w:r>
        <w:rPr>
          <w:rFonts w:ascii="宋体" w:hAnsi="宋体" w:cs="宋体"/>
          <w:b/>
          <w:sz w:val="32"/>
          <w:szCs w:val="32"/>
        </w:rPr>
        <w:tab/>
      </w:r>
      <w:r>
        <w:rPr>
          <w:rFonts w:hint="eastAsia" w:ascii="宋体" w:hAnsi="宋体" w:cs="宋体"/>
          <w:b/>
          <w:sz w:val="32"/>
          <w:szCs w:val="32"/>
        </w:rPr>
        <w:t>录</w:t>
      </w:r>
    </w:p>
    <w:p>
      <w:pPr>
        <w:spacing w:line="360" w:lineRule="auto"/>
        <w:rPr>
          <w:rFonts w:ascii="宋体" w:hAnsi="宋体"/>
          <w:sz w:val="24"/>
        </w:rPr>
      </w:pPr>
      <w:r>
        <w:rPr>
          <w:rFonts w:hint="eastAsia" w:ascii="宋体" w:hAnsi="宋体"/>
          <w:sz w:val="24"/>
        </w:rPr>
        <w:t>一、</w:t>
      </w:r>
      <w:r>
        <w:rPr>
          <w:rFonts w:ascii="宋体" w:hAnsi="宋体"/>
          <w:sz w:val="24"/>
        </w:rPr>
        <w:t>投标函及投标函附录；</w:t>
      </w:r>
    </w:p>
    <w:p>
      <w:pPr>
        <w:spacing w:line="360" w:lineRule="auto"/>
        <w:rPr>
          <w:rFonts w:ascii="宋体" w:hAnsi="宋体"/>
          <w:sz w:val="24"/>
        </w:rPr>
      </w:pPr>
      <w:r>
        <w:rPr>
          <w:rFonts w:hint="eastAsia" w:ascii="宋体" w:hAnsi="宋体"/>
          <w:sz w:val="24"/>
        </w:rPr>
        <w:t>二、</w:t>
      </w:r>
      <w:r>
        <w:rPr>
          <w:rFonts w:ascii="宋体" w:hAnsi="宋体"/>
          <w:sz w:val="24"/>
        </w:rPr>
        <w:t>法定代表人身份证明</w:t>
      </w:r>
      <w:r>
        <w:rPr>
          <w:rFonts w:hint="eastAsia" w:ascii="宋体" w:hAnsi="宋体"/>
          <w:sz w:val="24"/>
        </w:rPr>
        <w:t>及</w:t>
      </w:r>
      <w:r>
        <w:rPr>
          <w:rFonts w:ascii="宋体" w:hAnsi="宋体"/>
          <w:sz w:val="24"/>
        </w:rPr>
        <w:t>授权委托书</w:t>
      </w:r>
      <w:r>
        <w:rPr>
          <w:rFonts w:hint="eastAsia" w:ascii="宋体" w:hAnsi="宋体"/>
          <w:sz w:val="24"/>
        </w:rPr>
        <w:t>；</w:t>
      </w:r>
    </w:p>
    <w:p>
      <w:pPr>
        <w:spacing w:line="360" w:lineRule="auto"/>
        <w:rPr>
          <w:rFonts w:ascii="宋体" w:hAnsi="宋体"/>
          <w:sz w:val="24"/>
        </w:rPr>
      </w:pPr>
      <w:r>
        <w:rPr>
          <w:rFonts w:hint="eastAsia" w:ascii="宋体" w:hAnsi="宋体"/>
          <w:sz w:val="24"/>
        </w:rPr>
        <w:t>三、</w:t>
      </w:r>
      <w:r>
        <w:rPr>
          <w:rFonts w:ascii="宋体" w:hAnsi="宋体"/>
          <w:sz w:val="24"/>
        </w:rPr>
        <w:t>投标保证金；</w:t>
      </w:r>
    </w:p>
    <w:p>
      <w:pPr>
        <w:spacing w:line="360" w:lineRule="auto"/>
        <w:rPr>
          <w:rFonts w:ascii="宋体" w:hAnsi="宋体"/>
          <w:sz w:val="24"/>
        </w:rPr>
      </w:pPr>
      <w:r>
        <w:rPr>
          <w:rFonts w:hint="eastAsia" w:ascii="宋体" w:hAnsi="宋体"/>
          <w:sz w:val="24"/>
        </w:rPr>
        <w:t>四、</w:t>
      </w:r>
      <w:r>
        <w:rPr>
          <w:rFonts w:ascii="宋体" w:hAnsi="宋体"/>
          <w:sz w:val="24"/>
        </w:rPr>
        <w:t>施工组织设计；</w:t>
      </w:r>
    </w:p>
    <w:p>
      <w:pPr>
        <w:spacing w:line="360" w:lineRule="auto"/>
        <w:rPr>
          <w:rFonts w:ascii="宋体" w:hAnsi="宋体"/>
          <w:sz w:val="24"/>
        </w:rPr>
      </w:pPr>
      <w:r>
        <w:rPr>
          <w:rFonts w:hint="eastAsia" w:ascii="宋体" w:hAnsi="宋体"/>
          <w:sz w:val="24"/>
        </w:rPr>
        <w:t>五、</w:t>
      </w:r>
      <w:r>
        <w:rPr>
          <w:rFonts w:ascii="宋体" w:hAnsi="宋体"/>
          <w:sz w:val="24"/>
        </w:rPr>
        <w:t>项目管理机构；</w:t>
      </w:r>
    </w:p>
    <w:p>
      <w:pPr>
        <w:spacing w:line="360" w:lineRule="auto"/>
        <w:rPr>
          <w:rFonts w:ascii="宋体" w:hAnsi="宋体"/>
          <w:sz w:val="24"/>
        </w:rPr>
      </w:pPr>
      <w:r>
        <w:rPr>
          <w:rFonts w:hint="eastAsia" w:ascii="宋体" w:hAnsi="宋体"/>
          <w:sz w:val="24"/>
        </w:rPr>
        <w:t>六、</w:t>
      </w:r>
      <w:r>
        <w:rPr>
          <w:rFonts w:ascii="宋体" w:hAnsi="宋体"/>
          <w:sz w:val="24"/>
        </w:rPr>
        <w:t>资格审查资料；</w:t>
      </w:r>
    </w:p>
    <w:p>
      <w:pPr>
        <w:spacing w:line="360" w:lineRule="auto"/>
        <w:rPr>
          <w:rFonts w:ascii="宋体" w:hAnsi="宋体"/>
          <w:sz w:val="24"/>
        </w:rPr>
      </w:pPr>
      <w:r>
        <w:rPr>
          <w:rFonts w:hint="eastAsia" w:ascii="宋体" w:hAnsi="宋体"/>
          <w:sz w:val="24"/>
        </w:rPr>
        <w:t>七、主要进场管理人员和技术人员最低要求；</w:t>
      </w:r>
    </w:p>
    <w:p>
      <w:pPr>
        <w:spacing w:line="360" w:lineRule="auto"/>
        <w:rPr>
          <w:rFonts w:ascii="宋体" w:hAnsi="宋体"/>
          <w:sz w:val="24"/>
        </w:rPr>
      </w:pPr>
      <w:r>
        <w:rPr>
          <w:rFonts w:hint="eastAsia" w:ascii="宋体" w:hAnsi="宋体"/>
          <w:sz w:val="24"/>
        </w:rPr>
        <w:t>八、承诺书；</w:t>
      </w:r>
    </w:p>
    <w:p>
      <w:pPr>
        <w:spacing w:line="360" w:lineRule="auto"/>
        <w:rPr>
          <w:rFonts w:ascii="宋体" w:hAnsi="宋体"/>
          <w:sz w:val="24"/>
        </w:rPr>
      </w:pPr>
      <w:r>
        <w:rPr>
          <w:rFonts w:hint="eastAsia" w:ascii="宋体" w:hAnsi="宋体"/>
          <w:sz w:val="24"/>
        </w:rPr>
        <w:t>九、其他材料。</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bCs/>
          <w:sz w:val="24"/>
        </w:rPr>
      </w:pPr>
      <w:r>
        <w:rPr>
          <w:rFonts w:hint="eastAsia" w:ascii="宋体" w:hAnsi="宋体"/>
          <w:b/>
          <w:bCs/>
          <w:sz w:val="24"/>
        </w:rPr>
        <w:t>如有本章未提供的格式，投标人可自行编制。</w:t>
      </w:r>
    </w:p>
    <w:p>
      <w:pPr>
        <w:spacing w:line="360" w:lineRule="auto"/>
        <w:rPr>
          <w:rFonts w:ascii="宋体" w:hAnsi="宋体"/>
          <w:sz w:val="24"/>
        </w:rPr>
      </w:pPr>
    </w:p>
    <w:p>
      <w:pPr>
        <w:pStyle w:val="7"/>
        <w:keepNext w:val="0"/>
        <w:keepLines w:val="0"/>
        <w:spacing w:line="360" w:lineRule="auto"/>
        <w:ind w:left="420"/>
        <w:jc w:val="center"/>
        <w:rPr>
          <w:rFonts w:ascii="宋体" w:hAnsi="宋体" w:eastAsia="宋体"/>
          <w:sz w:val="36"/>
          <w:szCs w:val="36"/>
        </w:rPr>
      </w:pPr>
    </w:p>
    <w:p>
      <w:pPr>
        <w:pStyle w:val="7"/>
        <w:keepNext w:val="0"/>
        <w:keepLines w:val="0"/>
        <w:spacing w:line="360" w:lineRule="auto"/>
        <w:ind w:left="420"/>
        <w:jc w:val="center"/>
        <w:rPr>
          <w:rFonts w:ascii="宋体" w:hAnsi="宋体" w:eastAsia="宋体"/>
          <w:sz w:val="36"/>
          <w:szCs w:val="36"/>
        </w:rPr>
      </w:pPr>
    </w:p>
    <w:p>
      <w:pPr>
        <w:pStyle w:val="7"/>
        <w:keepNext w:val="0"/>
        <w:keepLines w:val="0"/>
        <w:spacing w:line="360" w:lineRule="auto"/>
        <w:ind w:left="420"/>
        <w:jc w:val="center"/>
        <w:rPr>
          <w:rFonts w:ascii="宋体" w:hAnsi="宋体" w:eastAsia="宋体"/>
          <w:sz w:val="36"/>
          <w:szCs w:val="36"/>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bookmarkEnd w:id="298"/>
    <w:bookmarkEnd w:id="299"/>
    <w:bookmarkEnd w:id="300"/>
    <w:bookmarkEnd w:id="301"/>
    <w:p>
      <w:pPr>
        <w:pStyle w:val="6"/>
        <w:keepNext w:val="0"/>
        <w:keepLines w:val="0"/>
        <w:spacing w:before="156" w:beforeLines="50" w:after="0" w:line="360" w:lineRule="auto"/>
        <w:jc w:val="center"/>
        <w:rPr>
          <w:rFonts w:ascii="宋体" w:hAnsi="宋体"/>
          <w:sz w:val="28"/>
          <w:szCs w:val="28"/>
        </w:rPr>
      </w:pPr>
      <w:bookmarkStart w:id="302" w:name="_Toc486277922"/>
      <w:bookmarkStart w:id="303" w:name="_Toc485889055"/>
      <w:bookmarkStart w:id="304" w:name="_Toc4791"/>
      <w:bookmarkStart w:id="305" w:name="_Toc234382957"/>
      <w:r>
        <w:rPr>
          <w:rFonts w:ascii="宋体" w:hAnsi="宋体"/>
          <w:sz w:val="28"/>
          <w:szCs w:val="28"/>
        </w:rPr>
        <w:br w:type="page"/>
      </w:r>
      <w:r>
        <w:rPr>
          <w:rFonts w:hint="eastAsia" w:ascii="宋体" w:hAnsi="宋体"/>
          <w:sz w:val="28"/>
          <w:szCs w:val="28"/>
        </w:rPr>
        <w:t>一、投标函及投标函附录</w:t>
      </w:r>
      <w:bookmarkEnd w:id="302"/>
      <w:bookmarkEnd w:id="303"/>
      <w:bookmarkEnd w:id="304"/>
      <w:bookmarkEnd w:id="305"/>
    </w:p>
    <w:p>
      <w:pPr>
        <w:pStyle w:val="6"/>
        <w:keepNext w:val="0"/>
        <w:keepLines w:val="0"/>
        <w:spacing w:before="156" w:beforeLines="50" w:after="0" w:line="360" w:lineRule="auto"/>
        <w:jc w:val="center"/>
        <w:rPr>
          <w:rFonts w:ascii="宋体" w:hAnsi="宋体"/>
          <w:sz w:val="28"/>
          <w:szCs w:val="28"/>
        </w:rPr>
      </w:pPr>
      <w:bookmarkStart w:id="306" w:name="_Toc485889056"/>
      <w:bookmarkStart w:id="307" w:name="_Toc234382958"/>
      <w:bookmarkStart w:id="308" w:name="_Toc18643"/>
      <w:bookmarkStart w:id="309" w:name="_Toc486277923"/>
      <w:r>
        <w:rPr>
          <w:rFonts w:hint="eastAsia" w:ascii="宋体" w:hAnsi="宋体"/>
          <w:sz w:val="28"/>
          <w:szCs w:val="28"/>
        </w:rPr>
        <w:t>（一）投标函</w:t>
      </w:r>
      <w:bookmarkEnd w:id="306"/>
      <w:bookmarkEnd w:id="307"/>
      <w:bookmarkEnd w:id="308"/>
      <w:bookmarkEnd w:id="309"/>
    </w:p>
    <w:p>
      <w:pPr>
        <w:spacing w:line="360" w:lineRule="auto"/>
        <w:rPr>
          <w:rFonts w:ascii="宋体" w:hAnsi="宋体"/>
          <w:sz w:val="24"/>
        </w:rPr>
      </w:pPr>
    </w:p>
    <w:p>
      <w:pPr>
        <w:spacing w:line="360" w:lineRule="auto"/>
        <w:rPr>
          <w:rFonts w:ascii="宋体" w:hAnsi="宋体"/>
        </w:rPr>
      </w:pPr>
      <w:r>
        <w:rPr>
          <w:rFonts w:hint="eastAsia" w:ascii="宋体" w:hAnsi="宋体"/>
          <w:u w:val="single"/>
        </w:rPr>
        <w:t xml:space="preserve">            </w:t>
      </w:r>
      <w:r>
        <w:rPr>
          <w:rFonts w:ascii="宋体" w:hAnsi="宋体"/>
        </w:rPr>
        <w:t>（招标人名称）：</w:t>
      </w:r>
    </w:p>
    <w:p>
      <w:pPr>
        <w:spacing w:line="360" w:lineRule="auto"/>
        <w:ind w:firstLine="420" w:firstLineChars="200"/>
        <w:rPr>
          <w:rFonts w:ascii="宋体" w:hAnsi="宋体"/>
        </w:rPr>
      </w:pPr>
      <w:r>
        <w:rPr>
          <w:rFonts w:hint="eastAsia" w:ascii="宋体" w:hAnsi="宋体"/>
        </w:rPr>
        <w:t>1．我方已仔细研究____________(项目名称)_____ （如划分标段请标注相应标段名称）施工招标文件的全部内容，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pPr>
        <w:spacing w:line="360" w:lineRule="auto"/>
        <w:ind w:firstLine="420" w:firstLineChars="200"/>
        <w:rPr>
          <w:rFonts w:ascii="宋体" w:hAnsi="宋体"/>
        </w:rPr>
      </w:pPr>
      <w:r>
        <w:rPr>
          <w:rFonts w:ascii="宋体" w:hAnsi="宋体"/>
        </w:rPr>
        <w:t>2</w:t>
      </w:r>
      <w:r>
        <w:rPr>
          <w:rFonts w:hint="eastAsia" w:ascii="宋体" w:hAnsi="宋体"/>
        </w:rPr>
        <w:t>.</w:t>
      </w:r>
      <w:r>
        <w:rPr>
          <w:rFonts w:ascii="宋体" w:hAnsi="宋体"/>
        </w:rPr>
        <w:t>我方承诺在投标有效期内不修改、撤销投标文件。</w:t>
      </w:r>
    </w:p>
    <w:p>
      <w:pPr>
        <w:spacing w:line="360" w:lineRule="auto"/>
        <w:ind w:firstLine="420" w:firstLineChars="200"/>
        <w:rPr>
          <w:rFonts w:ascii="宋体" w:hAnsi="宋体"/>
        </w:rPr>
      </w:pPr>
      <w:r>
        <w:rPr>
          <w:rFonts w:ascii="宋体" w:hAnsi="宋体"/>
        </w:rPr>
        <w:t>3</w:t>
      </w:r>
      <w:r>
        <w:rPr>
          <w:rFonts w:hint="eastAsia" w:ascii="宋体" w:hAnsi="宋体"/>
        </w:rPr>
        <w:t>.</w:t>
      </w:r>
      <w:r>
        <w:rPr>
          <w:rFonts w:ascii="宋体" w:hAnsi="宋体"/>
        </w:rPr>
        <w:t>随同本投标函提交投标保证金一份，金额为人民币（大写）</w:t>
      </w:r>
      <w:r>
        <w:rPr>
          <w:rFonts w:hint="eastAsia" w:ascii="宋体" w:hAnsi="宋体"/>
          <w:u w:val="single"/>
        </w:rPr>
        <w:t xml:space="preserve">           </w:t>
      </w:r>
      <w:r>
        <w:rPr>
          <w:rFonts w:ascii="宋体" w:hAnsi="宋体"/>
        </w:rPr>
        <w:t>元（¥</w:t>
      </w:r>
      <w:r>
        <w:rPr>
          <w:rFonts w:hint="eastAsia" w:ascii="宋体" w:hAnsi="宋体"/>
          <w:u w:val="single"/>
        </w:rPr>
        <w:t xml:space="preserve">        </w:t>
      </w:r>
      <w:r>
        <w:rPr>
          <w:rFonts w:ascii="宋体" w:hAnsi="宋体"/>
        </w:rPr>
        <w:t>）。</w:t>
      </w:r>
    </w:p>
    <w:p>
      <w:pPr>
        <w:spacing w:line="360" w:lineRule="auto"/>
        <w:ind w:firstLine="420" w:firstLineChars="200"/>
        <w:rPr>
          <w:rFonts w:ascii="宋体" w:hAnsi="宋体"/>
        </w:rPr>
      </w:pPr>
      <w:r>
        <w:rPr>
          <w:rFonts w:ascii="宋体" w:hAnsi="宋体"/>
        </w:rPr>
        <w:t>4</w:t>
      </w:r>
      <w:r>
        <w:rPr>
          <w:rFonts w:hint="eastAsia" w:ascii="宋体" w:hAnsi="宋体"/>
        </w:rPr>
        <w:t>.</w:t>
      </w:r>
      <w:r>
        <w:rPr>
          <w:rFonts w:ascii="宋体" w:hAnsi="宋体"/>
        </w:rPr>
        <w:t>如我方中标：</w:t>
      </w:r>
    </w:p>
    <w:p>
      <w:pPr>
        <w:spacing w:line="360" w:lineRule="auto"/>
        <w:ind w:firstLine="420" w:firstLineChars="200"/>
        <w:rPr>
          <w:rFonts w:ascii="宋体" w:hAnsi="宋体"/>
        </w:rPr>
      </w:pPr>
      <w:r>
        <w:rPr>
          <w:rFonts w:ascii="宋体" w:hAnsi="宋体"/>
        </w:rPr>
        <w:t>（1）我方承诺在收到中标通知书后，在中标通知书规定的期限内与你方签订合同。</w:t>
      </w:r>
    </w:p>
    <w:p>
      <w:pPr>
        <w:spacing w:line="360" w:lineRule="auto"/>
        <w:ind w:firstLine="420" w:firstLineChars="200"/>
        <w:rPr>
          <w:rFonts w:ascii="宋体" w:hAnsi="宋体"/>
        </w:rPr>
      </w:pPr>
      <w:r>
        <w:rPr>
          <w:rFonts w:ascii="宋体" w:hAnsi="宋体"/>
        </w:rPr>
        <w:t>（2）随同本投标函递交的投标函附录属于合同文件的组成部分。</w:t>
      </w:r>
    </w:p>
    <w:p>
      <w:pPr>
        <w:spacing w:line="360" w:lineRule="auto"/>
        <w:ind w:firstLine="420" w:firstLineChars="200"/>
        <w:rPr>
          <w:rFonts w:ascii="宋体" w:hAnsi="宋体"/>
        </w:rPr>
      </w:pPr>
      <w:r>
        <w:rPr>
          <w:rFonts w:ascii="宋体" w:hAnsi="宋体"/>
        </w:rPr>
        <w:t>（3）我方承诺按照招标文件规定向你方递交履约担保。</w:t>
      </w:r>
    </w:p>
    <w:p>
      <w:pPr>
        <w:spacing w:line="360" w:lineRule="auto"/>
        <w:ind w:firstLine="420" w:firstLineChars="200"/>
        <w:rPr>
          <w:rFonts w:ascii="宋体" w:hAnsi="宋体"/>
        </w:rPr>
      </w:pPr>
      <w:r>
        <w:rPr>
          <w:rFonts w:ascii="宋体" w:hAnsi="宋体"/>
        </w:rPr>
        <w:t>（4）我方承诺在合同约定的期限内完成并移交全部合同工程。</w:t>
      </w:r>
    </w:p>
    <w:p>
      <w:pPr>
        <w:spacing w:line="360" w:lineRule="auto"/>
        <w:ind w:firstLine="420" w:firstLineChars="200"/>
        <w:rPr>
          <w:rFonts w:ascii="宋体" w:hAnsi="宋体"/>
        </w:rPr>
      </w:pPr>
      <w:r>
        <w:rPr>
          <w:rFonts w:ascii="宋体" w:hAnsi="宋体"/>
        </w:rPr>
        <w:t>5</w:t>
      </w:r>
      <w:r>
        <w:rPr>
          <w:rFonts w:hint="eastAsia" w:ascii="宋体" w:hAnsi="宋体"/>
        </w:rPr>
        <w:t>.</w:t>
      </w:r>
      <w:r>
        <w:rPr>
          <w:rFonts w:ascii="宋体" w:hAnsi="宋体"/>
        </w:rPr>
        <w:t>我方在此声明，所递交的投标文件及有关资料内容完整、真实和准确，且不存在第二章“投标人须知”第1.4.</w:t>
      </w:r>
      <w:r>
        <w:rPr>
          <w:rFonts w:hint="eastAsia" w:ascii="宋体" w:hAnsi="宋体"/>
        </w:rPr>
        <w:t>2</w:t>
      </w:r>
      <w:r>
        <w:rPr>
          <w:rFonts w:ascii="宋体" w:hAnsi="宋体"/>
        </w:rPr>
        <w:t>项规定的任何一种情形。</w:t>
      </w:r>
    </w:p>
    <w:p>
      <w:pPr>
        <w:spacing w:line="360" w:lineRule="auto"/>
        <w:ind w:firstLine="420" w:firstLineChars="200"/>
        <w:rPr>
          <w:rFonts w:ascii="宋体" w:hAnsi="宋体"/>
        </w:rPr>
      </w:pPr>
      <w:r>
        <w:rPr>
          <w:rFonts w:ascii="宋体" w:hAnsi="宋体"/>
        </w:rPr>
        <w:t>6</w:t>
      </w:r>
      <w:r>
        <w:rPr>
          <w:rFonts w:hint="eastAsia" w:ascii="宋体" w:hAnsi="宋体"/>
        </w:rPr>
        <w:t>.在合同协议书正式签署生效之前，本投标函连同你方的中标通知书将构成我们双方之间共同遵守的文件，对双方具有约束力。</w:t>
      </w:r>
    </w:p>
    <w:p>
      <w:pPr>
        <w:spacing w:line="360" w:lineRule="auto"/>
        <w:ind w:firstLine="420" w:firstLineChars="200"/>
        <w:rPr>
          <w:rFonts w:ascii="宋体" w:hAnsi="宋体"/>
        </w:rPr>
      </w:pPr>
      <w:r>
        <w:rPr>
          <w:rFonts w:hint="eastAsia" w:ascii="宋体" w:hAnsi="宋体"/>
        </w:rPr>
        <w:t>7.</w:t>
      </w:r>
      <w:r>
        <w:rPr>
          <w:rFonts w:hint="eastAsia" w:ascii="宋体" w:hAnsi="宋体"/>
          <w:u w:val="single"/>
        </w:rPr>
        <w:t xml:space="preserve">                              </w:t>
      </w:r>
      <w:r>
        <w:rPr>
          <w:rFonts w:ascii="宋体" w:hAnsi="宋体"/>
        </w:rPr>
        <w:t>（其他补充说明）。</w:t>
      </w:r>
    </w:p>
    <w:p>
      <w:pPr>
        <w:tabs>
          <w:tab w:val="left" w:pos="2977"/>
          <w:tab w:val="left" w:pos="3261"/>
        </w:tabs>
        <w:spacing w:line="360" w:lineRule="auto"/>
        <w:jc w:val="right"/>
        <w:rPr>
          <w:rFonts w:ascii="宋体" w:hAnsi="宋体"/>
        </w:rPr>
      </w:pPr>
      <w:r>
        <w:rPr>
          <w:rFonts w:hint="eastAsia" w:ascii="宋体" w:hAnsi="宋体"/>
          <w:sz w:val="15"/>
          <w:szCs w:val="18"/>
        </w:rPr>
        <w:t xml:space="preserve"> </w:t>
      </w:r>
      <w:r>
        <w:rPr>
          <w:rFonts w:hint="eastAsia" w:ascii="宋体" w:hAnsi="宋体"/>
        </w:rPr>
        <w:t xml:space="preserve">                         </w:t>
      </w:r>
      <w:r>
        <w:rPr>
          <w:rFonts w:ascii="宋体" w:hAnsi="宋体"/>
        </w:rPr>
        <w:t>投</w:t>
      </w:r>
      <w:r>
        <w:rPr>
          <w:rFonts w:hint="eastAsia" w:ascii="宋体" w:hAnsi="宋体"/>
        </w:rPr>
        <w:t xml:space="preserve"> </w:t>
      </w:r>
      <w:r>
        <w:rPr>
          <w:rFonts w:ascii="宋体" w:hAnsi="宋体"/>
        </w:rPr>
        <w:t>标</w:t>
      </w:r>
      <w:r>
        <w:rPr>
          <w:rFonts w:hint="eastAsia" w:ascii="宋体" w:hAnsi="宋体"/>
        </w:rPr>
        <w:t xml:space="preserve"> </w:t>
      </w:r>
      <w:r>
        <w:rPr>
          <w:rFonts w:ascii="宋体" w:hAnsi="宋体"/>
        </w:rPr>
        <w:t>人：</w:t>
      </w:r>
      <w:r>
        <w:rPr>
          <w:rFonts w:hint="eastAsia" w:ascii="宋体" w:hAnsi="宋体"/>
          <w:u w:val="single"/>
        </w:rPr>
        <w:t xml:space="preserve">                       </w:t>
      </w:r>
      <w:r>
        <w:rPr>
          <w:rFonts w:ascii="宋体" w:hAnsi="宋体"/>
        </w:rPr>
        <w:t>（盖单位章）</w:t>
      </w:r>
    </w:p>
    <w:p>
      <w:pPr>
        <w:spacing w:line="360" w:lineRule="auto"/>
        <w:jc w:val="right"/>
        <w:rPr>
          <w:rFonts w:ascii="宋体" w:hAnsi="宋体"/>
        </w:rPr>
      </w:pPr>
      <w:r>
        <w:rPr>
          <w:rFonts w:hint="eastAsia" w:ascii="宋体" w:hAnsi="宋体"/>
        </w:rPr>
        <w:t xml:space="preserve">                          </w:t>
      </w:r>
      <w:r>
        <w:rPr>
          <w:rFonts w:ascii="宋体" w:hAnsi="宋体"/>
        </w:rPr>
        <w:t>法定代表人或其委托代理人：</w:t>
      </w:r>
      <w:r>
        <w:rPr>
          <w:rFonts w:hint="eastAsia" w:ascii="宋体" w:hAnsi="宋体"/>
          <w:u w:val="single"/>
        </w:rPr>
        <w:t xml:space="preserve">           </w:t>
      </w:r>
      <w:r>
        <w:rPr>
          <w:rFonts w:ascii="宋体" w:hAnsi="宋体"/>
        </w:rPr>
        <w:t>（签字）</w:t>
      </w:r>
    </w:p>
    <w:p>
      <w:pPr>
        <w:spacing w:line="360" w:lineRule="auto"/>
        <w:jc w:val="right"/>
        <w:rPr>
          <w:rFonts w:ascii="宋体" w:hAnsi="宋体"/>
        </w:rPr>
      </w:pPr>
      <w:r>
        <w:rPr>
          <w:rFonts w:hint="eastAsia" w:ascii="宋体" w:hAnsi="宋体"/>
        </w:rPr>
        <w:t xml:space="preserve">                          </w:t>
      </w:r>
      <w:r>
        <w:rPr>
          <w:rFonts w:ascii="宋体" w:hAnsi="宋体"/>
        </w:rPr>
        <w:t>地址：</w:t>
      </w:r>
      <w:r>
        <w:rPr>
          <w:rFonts w:hint="eastAsia" w:ascii="宋体" w:hAnsi="宋体"/>
        </w:rPr>
        <w:t>____________________________</w:t>
      </w:r>
    </w:p>
    <w:p>
      <w:pPr>
        <w:spacing w:line="360" w:lineRule="auto"/>
        <w:jc w:val="right"/>
        <w:rPr>
          <w:rFonts w:ascii="宋体" w:hAnsi="宋体"/>
        </w:rPr>
      </w:pPr>
      <w:r>
        <w:rPr>
          <w:rFonts w:hint="eastAsia" w:ascii="宋体" w:hAnsi="宋体"/>
        </w:rPr>
        <w:t xml:space="preserve">                          </w:t>
      </w:r>
      <w:r>
        <w:rPr>
          <w:rFonts w:ascii="宋体" w:hAnsi="宋体"/>
        </w:rPr>
        <w:t>电话：</w:t>
      </w:r>
      <w:r>
        <w:rPr>
          <w:rFonts w:hint="eastAsia" w:ascii="宋体" w:hAnsi="宋体"/>
        </w:rPr>
        <w:t>____________________________</w:t>
      </w:r>
    </w:p>
    <w:p>
      <w:pPr>
        <w:spacing w:line="360" w:lineRule="auto"/>
        <w:ind w:firstLine="2730" w:firstLineChars="1300"/>
        <w:jc w:val="right"/>
        <w:rPr>
          <w:rFonts w:ascii="宋体" w:hAnsi="宋体"/>
        </w:rPr>
      </w:pPr>
      <w:r>
        <w:rPr>
          <w:rFonts w:hint="eastAsia" w:ascii="宋体" w:hAnsi="宋体"/>
        </w:rPr>
        <w:t>邮箱：____________________________</w:t>
      </w:r>
    </w:p>
    <w:p>
      <w:pPr>
        <w:spacing w:line="360" w:lineRule="auto"/>
        <w:jc w:val="right"/>
        <w:rPr>
          <w:rFonts w:ascii="宋体" w:hAnsi="宋体"/>
        </w:rPr>
      </w:pPr>
      <w:r>
        <w:rPr>
          <w:rFonts w:hint="eastAsia" w:ascii="宋体" w:hAnsi="宋体"/>
        </w:rPr>
        <w:t xml:space="preserve">                          </w:t>
      </w:r>
      <w:r>
        <w:rPr>
          <w:rFonts w:ascii="宋体" w:hAnsi="宋体"/>
        </w:rPr>
        <w:t>邮政编码：</w:t>
      </w:r>
      <w:r>
        <w:rPr>
          <w:rFonts w:hint="eastAsia" w:ascii="宋体" w:hAnsi="宋体"/>
        </w:rPr>
        <w:t>____________________________</w:t>
      </w:r>
    </w:p>
    <w:p>
      <w:pPr>
        <w:spacing w:line="360" w:lineRule="auto"/>
        <w:jc w:val="right"/>
        <w:rPr>
          <w:rFonts w:ascii="宋体" w:hAnsi="宋体"/>
        </w:rPr>
      </w:pPr>
    </w:p>
    <w:p>
      <w:pPr>
        <w:spacing w:line="360" w:lineRule="auto"/>
        <w:jc w:val="right"/>
        <w:rPr>
          <w:rFonts w:ascii="宋体" w:hAnsi="宋体"/>
        </w:rPr>
      </w:pPr>
      <w:r>
        <w:rPr>
          <w:rFonts w:hint="eastAsia" w:ascii="宋体" w:hAnsi="宋体"/>
        </w:rPr>
        <w:t xml:space="preserve">                                         </w:t>
      </w:r>
      <w:r>
        <w:rPr>
          <w:rFonts w:hint="eastAsia" w:ascii="宋体" w:hAnsi="宋体"/>
          <w:u w:val="single"/>
        </w:rPr>
        <w:t xml:space="preserve">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pPr>
        <w:pStyle w:val="6"/>
        <w:keepNext w:val="0"/>
        <w:keepLines w:val="0"/>
        <w:spacing w:before="156" w:beforeLines="50" w:after="312" w:afterLines="100" w:line="360" w:lineRule="auto"/>
        <w:jc w:val="center"/>
        <w:rPr>
          <w:rFonts w:ascii="宋体" w:hAnsi="宋体"/>
          <w:sz w:val="24"/>
        </w:rPr>
      </w:pPr>
      <w:bookmarkStart w:id="310" w:name="_Toc5832"/>
      <w:bookmarkStart w:id="311" w:name="_Toc485889057"/>
      <w:bookmarkStart w:id="312" w:name="_Toc486277924"/>
      <w:bookmarkStart w:id="313" w:name="_Toc234382959"/>
      <w:r>
        <w:rPr>
          <w:rFonts w:hint="eastAsia" w:ascii="宋体" w:hAnsi="宋体"/>
          <w:sz w:val="28"/>
          <w:szCs w:val="28"/>
        </w:rPr>
        <w:t>（二）投标函附录</w:t>
      </w:r>
      <w:bookmarkEnd w:id="310"/>
      <w:bookmarkEnd w:id="311"/>
      <w:bookmarkEnd w:id="312"/>
      <w:bookmarkEnd w:id="313"/>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4"/>
        <w:gridCol w:w="2614"/>
        <w:gridCol w:w="1375"/>
        <w:gridCol w:w="3577"/>
        <w:gridCol w:w="11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9" w:hRule="exact"/>
          <w:jc w:val="center"/>
        </w:trPr>
        <w:tc>
          <w:tcPr>
            <w:tcW w:w="634" w:type="dxa"/>
            <w:noWrap w:val="0"/>
            <w:vAlign w:val="center"/>
          </w:tcPr>
          <w:p>
            <w:pPr>
              <w:spacing w:line="360" w:lineRule="auto"/>
              <w:jc w:val="center"/>
              <w:rPr>
                <w:rFonts w:ascii="宋体" w:hAnsi="宋体"/>
              </w:rPr>
            </w:pPr>
            <w:r>
              <w:rPr>
                <w:rFonts w:hint="eastAsia" w:ascii="宋体" w:hAnsi="宋体"/>
              </w:rPr>
              <w:t>序号</w:t>
            </w:r>
          </w:p>
        </w:tc>
        <w:tc>
          <w:tcPr>
            <w:tcW w:w="2614" w:type="dxa"/>
            <w:noWrap w:val="0"/>
            <w:vAlign w:val="center"/>
          </w:tcPr>
          <w:p>
            <w:pPr>
              <w:spacing w:line="360" w:lineRule="auto"/>
              <w:jc w:val="center"/>
              <w:rPr>
                <w:rFonts w:ascii="宋体" w:hAnsi="宋体"/>
              </w:rPr>
            </w:pPr>
            <w:r>
              <w:rPr>
                <w:rFonts w:hint="eastAsia" w:ascii="宋体" w:hAnsi="宋体"/>
              </w:rPr>
              <w:t>条款名称</w:t>
            </w:r>
          </w:p>
        </w:tc>
        <w:tc>
          <w:tcPr>
            <w:tcW w:w="1375" w:type="dxa"/>
            <w:noWrap w:val="0"/>
            <w:vAlign w:val="center"/>
          </w:tcPr>
          <w:p>
            <w:pPr>
              <w:spacing w:line="360" w:lineRule="auto"/>
              <w:jc w:val="center"/>
              <w:rPr>
                <w:rFonts w:ascii="宋体" w:hAnsi="宋体"/>
              </w:rPr>
            </w:pPr>
            <w:r>
              <w:rPr>
                <w:rFonts w:hint="eastAsia" w:ascii="宋体" w:hAnsi="宋体"/>
              </w:rPr>
              <w:t>合同条目号</w:t>
            </w:r>
          </w:p>
        </w:tc>
        <w:tc>
          <w:tcPr>
            <w:tcW w:w="3577" w:type="dxa"/>
            <w:noWrap w:val="0"/>
            <w:vAlign w:val="center"/>
          </w:tcPr>
          <w:p>
            <w:pPr>
              <w:spacing w:line="360" w:lineRule="auto"/>
              <w:jc w:val="center"/>
              <w:rPr>
                <w:rFonts w:ascii="宋体" w:hAnsi="宋体"/>
              </w:rPr>
            </w:pPr>
            <w:r>
              <w:rPr>
                <w:rFonts w:hint="eastAsia" w:ascii="宋体" w:hAnsi="宋体"/>
              </w:rPr>
              <w:t>约定内容</w:t>
            </w:r>
          </w:p>
        </w:tc>
        <w:tc>
          <w:tcPr>
            <w:tcW w:w="1154" w:type="dxa"/>
            <w:noWrap w:val="0"/>
            <w:vAlign w:val="center"/>
          </w:tcPr>
          <w:p>
            <w:pPr>
              <w:spacing w:line="360" w:lineRule="auto"/>
              <w:jc w:val="center"/>
              <w:rPr>
                <w:rFonts w:ascii="宋体" w:hAnsi="宋体"/>
              </w:rPr>
            </w:pPr>
            <w:r>
              <w:rPr>
                <w:rFonts w:hint="eastAsia"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exact"/>
          <w:jc w:val="center"/>
        </w:trPr>
        <w:tc>
          <w:tcPr>
            <w:tcW w:w="634" w:type="dxa"/>
            <w:noWrap w:val="0"/>
            <w:vAlign w:val="center"/>
          </w:tcPr>
          <w:p>
            <w:pPr>
              <w:spacing w:line="360" w:lineRule="auto"/>
              <w:jc w:val="center"/>
              <w:rPr>
                <w:rFonts w:ascii="宋体" w:hAnsi="宋体"/>
              </w:rPr>
            </w:pPr>
            <w:r>
              <w:rPr>
                <w:rFonts w:hint="eastAsia" w:ascii="宋体" w:hAnsi="宋体"/>
              </w:rPr>
              <w:t>1</w:t>
            </w:r>
          </w:p>
        </w:tc>
        <w:tc>
          <w:tcPr>
            <w:tcW w:w="2614" w:type="dxa"/>
            <w:noWrap w:val="0"/>
            <w:vAlign w:val="center"/>
          </w:tcPr>
          <w:p>
            <w:pPr>
              <w:spacing w:line="360" w:lineRule="auto"/>
              <w:jc w:val="center"/>
              <w:rPr>
                <w:rFonts w:ascii="宋体" w:hAnsi="宋体"/>
              </w:rPr>
            </w:pPr>
            <w:r>
              <w:rPr>
                <w:rFonts w:hint="eastAsia" w:ascii="宋体" w:hAnsi="宋体"/>
              </w:rPr>
              <w:t>项目经理</w:t>
            </w:r>
          </w:p>
        </w:tc>
        <w:tc>
          <w:tcPr>
            <w:tcW w:w="1375" w:type="dxa"/>
            <w:noWrap w:val="0"/>
            <w:vAlign w:val="center"/>
          </w:tcPr>
          <w:p>
            <w:pPr>
              <w:spacing w:line="360" w:lineRule="auto"/>
              <w:jc w:val="center"/>
              <w:rPr>
                <w:rFonts w:ascii="宋体" w:hAnsi="宋体"/>
              </w:rPr>
            </w:pPr>
          </w:p>
        </w:tc>
        <w:tc>
          <w:tcPr>
            <w:tcW w:w="3577" w:type="dxa"/>
            <w:noWrap w:val="0"/>
            <w:vAlign w:val="center"/>
          </w:tcPr>
          <w:p>
            <w:pPr>
              <w:spacing w:line="360" w:lineRule="auto"/>
              <w:ind w:firstLine="210" w:firstLineChars="100"/>
              <w:rPr>
                <w:rFonts w:ascii="宋体" w:hAnsi="宋体"/>
              </w:rPr>
            </w:pPr>
            <w:r>
              <w:rPr>
                <w:rFonts w:hint="eastAsia" w:ascii="宋体" w:hAnsi="宋体"/>
              </w:rPr>
              <w:t>姓名：</w:t>
            </w:r>
          </w:p>
        </w:tc>
        <w:tc>
          <w:tcPr>
            <w:tcW w:w="1154"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exact"/>
          <w:jc w:val="center"/>
        </w:trPr>
        <w:tc>
          <w:tcPr>
            <w:tcW w:w="634" w:type="dxa"/>
            <w:noWrap w:val="0"/>
            <w:vAlign w:val="center"/>
          </w:tcPr>
          <w:p>
            <w:pPr>
              <w:spacing w:line="360" w:lineRule="auto"/>
              <w:jc w:val="center"/>
              <w:rPr>
                <w:rFonts w:ascii="宋体" w:hAnsi="宋体"/>
              </w:rPr>
            </w:pPr>
            <w:r>
              <w:rPr>
                <w:rFonts w:hint="eastAsia" w:ascii="宋体" w:hAnsi="宋体"/>
              </w:rPr>
              <w:t>2</w:t>
            </w:r>
          </w:p>
        </w:tc>
        <w:tc>
          <w:tcPr>
            <w:tcW w:w="2614" w:type="dxa"/>
            <w:noWrap w:val="0"/>
            <w:vAlign w:val="center"/>
          </w:tcPr>
          <w:p>
            <w:pPr>
              <w:spacing w:line="360" w:lineRule="auto"/>
              <w:jc w:val="center"/>
              <w:rPr>
                <w:rFonts w:ascii="宋体" w:hAnsi="宋体"/>
              </w:rPr>
            </w:pPr>
            <w:r>
              <w:rPr>
                <w:rFonts w:hint="eastAsia" w:ascii="宋体" w:hAnsi="宋体"/>
              </w:rPr>
              <w:t>工期</w:t>
            </w:r>
          </w:p>
        </w:tc>
        <w:tc>
          <w:tcPr>
            <w:tcW w:w="1375" w:type="dxa"/>
            <w:noWrap w:val="0"/>
            <w:vAlign w:val="center"/>
          </w:tcPr>
          <w:p>
            <w:pPr>
              <w:spacing w:line="360" w:lineRule="auto"/>
              <w:jc w:val="center"/>
              <w:rPr>
                <w:rFonts w:ascii="宋体" w:hAnsi="宋体"/>
              </w:rPr>
            </w:pPr>
            <w:r>
              <w:rPr>
                <w:rFonts w:hint="eastAsia" w:ascii="宋体" w:hAnsi="宋体"/>
              </w:rPr>
              <w:t>1.1.4.3</w:t>
            </w:r>
          </w:p>
        </w:tc>
        <w:tc>
          <w:tcPr>
            <w:tcW w:w="3577" w:type="dxa"/>
            <w:noWrap w:val="0"/>
            <w:vAlign w:val="center"/>
          </w:tcPr>
          <w:p>
            <w:pPr>
              <w:spacing w:line="360" w:lineRule="auto"/>
              <w:ind w:firstLine="210" w:firstLineChars="100"/>
              <w:rPr>
                <w:rFonts w:ascii="宋体" w:hAnsi="宋体"/>
              </w:rPr>
            </w:pPr>
            <w:r>
              <w:rPr>
                <w:rFonts w:hint="eastAsia" w:ascii="宋体" w:hAnsi="宋体"/>
              </w:rPr>
              <w:t>天数：</w:t>
            </w:r>
            <w:r>
              <w:rPr>
                <w:rFonts w:hint="eastAsia" w:ascii="宋体" w:hAnsi="宋体"/>
                <w:u w:val="single"/>
              </w:rPr>
              <w:t xml:space="preserve">     日历天</w:t>
            </w:r>
          </w:p>
        </w:tc>
        <w:tc>
          <w:tcPr>
            <w:tcW w:w="1154"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6" w:hRule="exact"/>
          <w:jc w:val="center"/>
        </w:trPr>
        <w:tc>
          <w:tcPr>
            <w:tcW w:w="634" w:type="dxa"/>
            <w:noWrap w:val="0"/>
            <w:vAlign w:val="center"/>
          </w:tcPr>
          <w:p>
            <w:pPr>
              <w:spacing w:line="360" w:lineRule="auto"/>
              <w:jc w:val="center"/>
              <w:rPr>
                <w:rFonts w:ascii="宋体" w:hAnsi="宋体"/>
              </w:rPr>
            </w:pPr>
            <w:r>
              <w:rPr>
                <w:rFonts w:hint="eastAsia" w:ascii="宋体" w:hAnsi="宋体"/>
              </w:rPr>
              <w:t>3</w:t>
            </w:r>
          </w:p>
        </w:tc>
        <w:tc>
          <w:tcPr>
            <w:tcW w:w="2614" w:type="dxa"/>
            <w:noWrap w:val="0"/>
            <w:vAlign w:val="center"/>
          </w:tcPr>
          <w:p>
            <w:pPr>
              <w:spacing w:line="360" w:lineRule="auto"/>
              <w:jc w:val="center"/>
              <w:rPr>
                <w:rFonts w:ascii="宋体" w:hAnsi="宋体"/>
              </w:rPr>
            </w:pPr>
            <w:r>
              <w:rPr>
                <w:rFonts w:hint="eastAsia" w:ascii="宋体" w:hAnsi="宋体"/>
              </w:rPr>
              <w:t>缺陷责任期</w:t>
            </w:r>
          </w:p>
        </w:tc>
        <w:tc>
          <w:tcPr>
            <w:tcW w:w="1375" w:type="dxa"/>
            <w:noWrap w:val="0"/>
            <w:vAlign w:val="center"/>
          </w:tcPr>
          <w:p>
            <w:pPr>
              <w:spacing w:line="360" w:lineRule="auto"/>
              <w:jc w:val="center"/>
              <w:rPr>
                <w:rFonts w:ascii="宋体" w:hAnsi="宋体"/>
              </w:rPr>
            </w:pPr>
            <w:r>
              <w:rPr>
                <w:rFonts w:hint="eastAsia" w:ascii="宋体" w:hAnsi="宋体"/>
              </w:rPr>
              <w:t>1.1.4.5</w:t>
            </w:r>
          </w:p>
        </w:tc>
        <w:tc>
          <w:tcPr>
            <w:tcW w:w="3577" w:type="dxa"/>
            <w:noWrap w:val="0"/>
            <w:vAlign w:val="center"/>
          </w:tcPr>
          <w:p>
            <w:pPr>
              <w:spacing w:line="360" w:lineRule="auto"/>
              <w:ind w:firstLine="210" w:firstLineChars="100"/>
              <w:rPr>
                <w:rFonts w:ascii="宋体" w:hAnsi="宋体"/>
              </w:rPr>
            </w:pPr>
            <w:r>
              <w:rPr>
                <w:rFonts w:hint="eastAsia" w:ascii="宋体" w:hAnsi="宋体"/>
              </w:rPr>
              <w:t>自实际交工日期起计算</w:t>
            </w:r>
            <w:r>
              <w:rPr>
                <w:rFonts w:hint="eastAsia" w:ascii="宋体" w:hAnsi="宋体"/>
                <w:u w:val="single"/>
              </w:rPr>
              <w:t xml:space="preserve">  2  </w:t>
            </w:r>
            <w:r>
              <w:rPr>
                <w:rFonts w:hint="eastAsia" w:ascii="宋体" w:hAnsi="宋体"/>
              </w:rPr>
              <w:t>年</w:t>
            </w:r>
          </w:p>
        </w:tc>
        <w:tc>
          <w:tcPr>
            <w:tcW w:w="1154"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exact"/>
          <w:jc w:val="center"/>
        </w:trPr>
        <w:tc>
          <w:tcPr>
            <w:tcW w:w="634" w:type="dxa"/>
            <w:noWrap w:val="0"/>
            <w:vAlign w:val="center"/>
          </w:tcPr>
          <w:p>
            <w:pPr>
              <w:spacing w:line="360" w:lineRule="auto"/>
              <w:jc w:val="center"/>
              <w:rPr>
                <w:rFonts w:ascii="宋体" w:hAnsi="宋体"/>
              </w:rPr>
            </w:pPr>
            <w:r>
              <w:rPr>
                <w:rFonts w:hint="eastAsia" w:ascii="宋体" w:hAnsi="宋体"/>
              </w:rPr>
              <w:t>4</w:t>
            </w:r>
          </w:p>
        </w:tc>
        <w:tc>
          <w:tcPr>
            <w:tcW w:w="2614" w:type="dxa"/>
            <w:noWrap w:val="0"/>
            <w:vAlign w:val="center"/>
          </w:tcPr>
          <w:p>
            <w:pPr>
              <w:spacing w:line="360" w:lineRule="auto"/>
              <w:jc w:val="center"/>
              <w:rPr>
                <w:rFonts w:ascii="宋体" w:hAnsi="宋体"/>
              </w:rPr>
            </w:pPr>
            <w:r>
              <w:rPr>
                <w:rFonts w:hint="eastAsia" w:ascii="宋体" w:hAnsi="宋体"/>
              </w:rPr>
              <w:t>逾期竣工违约金</w:t>
            </w:r>
          </w:p>
        </w:tc>
        <w:tc>
          <w:tcPr>
            <w:tcW w:w="1375" w:type="dxa"/>
            <w:noWrap w:val="0"/>
            <w:vAlign w:val="center"/>
          </w:tcPr>
          <w:p>
            <w:pPr>
              <w:spacing w:line="360" w:lineRule="auto"/>
              <w:jc w:val="center"/>
              <w:rPr>
                <w:rFonts w:ascii="宋体" w:hAnsi="宋体"/>
              </w:rPr>
            </w:pPr>
            <w:r>
              <w:rPr>
                <w:rFonts w:hint="eastAsia" w:ascii="宋体" w:hAnsi="宋体"/>
              </w:rPr>
              <w:t>11.5</w:t>
            </w:r>
          </w:p>
        </w:tc>
        <w:tc>
          <w:tcPr>
            <w:tcW w:w="3577" w:type="dxa"/>
            <w:noWrap w:val="0"/>
            <w:vAlign w:val="center"/>
          </w:tcPr>
          <w:p>
            <w:pPr>
              <w:spacing w:line="360" w:lineRule="auto"/>
              <w:ind w:firstLine="210" w:firstLineChars="100"/>
              <w:rPr>
                <w:rFonts w:ascii="宋体" w:hAnsi="宋体"/>
              </w:rPr>
            </w:pPr>
            <w:r>
              <w:rPr>
                <w:rFonts w:hint="eastAsia" w:ascii="宋体" w:hAnsi="宋体"/>
                <w:u w:val="single"/>
              </w:rPr>
              <w:t xml:space="preserve">  500 </w:t>
            </w:r>
            <w:r>
              <w:rPr>
                <w:rFonts w:hint="eastAsia" w:ascii="宋体" w:hAnsi="宋体"/>
              </w:rPr>
              <w:t>元/天</w:t>
            </w:r>
          </w:p>
        </w:tc>
        <w:tc>
          <w:tcPr>
            <w:tcW w:w="1154"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exact"/>
          <w:jc w:val="center"/>
        </w:trPr>
        <w:tc>
          <w:tcPr>
            <w:tcW w:w="634" w:type="dxa"/>
            <w:noWrap w:val="0"/>
            <w:vAlign w:val="center"/>
          </w:tcPr>
          <w:p>
            <w:pPr>
              <w:spacing w:line="360" w:lineRule="auto"/>
              <w:jc w:val="center"/>
              <w:rPr>
                <w:rFonts w:ascii="宋体" w:hAnsi="宋体"/>
              </w:rPr>
            </w:pPr>
            <w:r>
              <w:rPr>
                <w:rFonts w:hint="eastAsia" w:ascii="宋体" w:hAnsi="宋体"/>
              </w:rPr>
              <w:t>5</w:t>
            </w:r>
          </w:p>
        </w:tc>
        <w:tc>
          <w:tcPr>
            <w:tcW w:w="2614" w:type="dxa"/>
            <w:noWrap w:val="0"/>
            <w:vAlign w:val="center"/>
          </w:tcPr>
          <w:p>
            <w:pPr>
              <w:spacing w:line="360" w:lineRule="auto"/>
              <w:jc w:val="center"/>
              <w:rPr>
                <w:rFonts w:ascii="宋体" w:hAnsi="宋体"/>
              </w:rPr>
            </w:pPr>
            <w:r>
              <w:rPr>
                <w:rFonts w:hint="eastAsia" w:ascii="宋体" w:hAnsi="宋体"/>
              </w:rPr>
              <w:t>逾期竣工违约金限额</w:t>
            </w:r>
          </w:p>
        </w:tc>
        <w:tc>
          <w:tcPr>
            <w:tcW w:w="1375" w:type="dxa"/>
            <w:noWrap w:val="0"/>
            <w:vAlign w:val="center"/>
          </w:tcPr>
          <w:p>
            <w:pPr>
              <w:spacing w:line="360" w:lineRule="auto"/>
              <w:jc w:val="center"/>
              <w:rPr>
                <w:rFonts w:ascii="宋体" w:hAnsi="宋体"/>
              </w:rPr>
            </w:pPr>
            <w:r>
              <w:rPr>
                <w:rFonts w:hint="eastAsia" w:ascii="宋体" w:hAnsi="宋体"/>
              </w:rPr>
              <w:t>11.5</w:t>
            </w:r>
          </w:p>
        </w:tc>
        <w:tc>
          <w:tcPr>
            <w:tcW w:w="3577" w:type="dxa"/>
            <w:noWrap w:val="0"/>
            <w:vAlign w:val="center"/>
          </w:tcPr>
          <w:p>
            <w:pPr>
              <w:spacing w:line="360" w:lineRule="auto"/>
              <w:ind w:firstLine="210" w:firstLineChars="100"/>
              <w:rPr>
                <w:rFonts w:ascii="宋体" w:hAnsi="宋体"/>
              </w:rPr>
            </w:pPr>
            <w:r>
              <w:rPr>
                <w:rFonts w:hint="eastAsia" w:ascii="宋体" w:hAnsi="宋体"/>
                <w:u w:val="single"/>
              </w:rPr>
              <w:t xml:space="preserve">  10  </w:t>
            </w:r>
            <w:r>
              <w:rPr>
                <w:rFonts w:hint="eastAsia" w:ascii="宋体" w:hAnsi="宋体"/>
              </w:rPr>
              <w:t>%签约合同价</w:t>
            </w:r>
          </w:p>
        </w:tc>
        <w:tc>
          <w:tcPr>
            <w:tcW w:w="1154"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exact"/>
          <w:jc w:val="center"/>
        </w:trPr>
        <w:tc>
          <w:tcPr>
            <w:tcW w:w="634" w:type="dxa"/>
            <w:noWrap w:val="0"/>
            <w:vAlign w:val="center"/>
          </w:tcPr>
          <w:p>
            <w:pPr>
              <w:spacing w:line="360" w:lineRule="auto"/>
              <w:jc w:val="center"/>
              <w:rPr>
                <w:rFonts w:ascii="宋体" w:hAnsi="宋体"/>
              </w:rPr>
            </w:pPr>
            <w:r>
              <w:rPr>
                <w:rFonts w:hint="eastAsia" w:ascii="宋体" w:hAnsi="宋体"/>
              </w:rPr>
              <w:t>6</w:t>
            </w:r>
          </w:p>
        </w:tc>
        <w:tc>
          <w:tcPr>
            <w:tcW w:w="2614" w:type="dxa"/>
            <w:noWrap w:val="0"/>
            <w:vAlign w:val="center"/>
          </w:tcPr>
          <w:p>
            <w:pPr>
              <w:spacing w:line="360" w:lineRule="auto"/>
              <w:jc w:val="center"/>
              <w:rPr>
                <w:rFonts w:ascii="宋体" w:hAnsi="宋体"/>
              </w:rPr>
            </w:pPr>
            <w:r>
              <w:rPr>
                <w:rFonts w:hint="eastAsia" w:ascii="宋体" w:hAnsi="宋体"/>
              </w:rPr>
              <w:t>质量保证金百分比</w:t>
            </w:r>
          </w:p>
        </w:tc>
        <w:tc>
          <w:tcPr>
            <w:tcW w:w="1375" w:type="dxa"/>
            <w:noWrap w:val="0"/>
            <w:vAlign w:val="center"/>
          </w:tcPr>
          <w:p>
            <w:pPr>
              <w:spacing w:line="360" w:lineRule="auto"/>
              <w:jc w:val="center"/>
              <w:rPr>
                <w:rFonts w:ascii="宋体" w:hAnsi="宋体"/>
              </w:rPr>
            </w:pPr>
            <w:r>
              <w:rPr>
                <w:rFonts w:hint="eastAsia" w:ascii="宋体" w:hAnsi="宋体"/>
              </w:rPr>
              <w:t>17.4.1</w:t>
            </w:r>
          </w:p>
        </w:tc>
        <w:tc>
          <w:tcPr>
            <w:tcW w:w="3577" w:type="dxa"/>
            <w:noWrap w:val="0"/>
            <w:vAlign w:val="center"/>
          </w:tcPr>
          <w:p>
            <w:pPr>
              <w:spacing w:line="360" w:lineRule="auto"/>
              <w:ind w:firstLine="210" w:firstLineChars="100"/>
              <w:rPr>
                <w:rFonts w:ascii="宋体" w:hAnsi="宋体"/>
              </w:rPr>
            </w:pPr>
            <w:r>
              <w:rPr>
                <w:rFonts w:hint="eastAsia" w:ascii="宋体" w:hAnsi="宋体"/>
              </w:rPr>
              <w:t>月支付额的</w:t>
            </w:r>
            <w:r>
              <w:rPr>
                <w:rFonts w:hint="eastAsia" w:ascii="宋体" w:hAnsi="宋体"/>
                <w:u w:val="single"/>
              </w:rPr>
              <w:t xml:space="preserve">  0  </w:t>
            </w:r>
            <w:r>
              <w:rPr>
                <w:rFonts w:hint="eastAsia" w:ascii="宋体" w:hAnsi="宋体"/>
              </w:rPr>
              <w:t>%</w:t>
            </w:r>
          </w:p>
        </w:tc>
        <w:tc>
          <w:tcPr>
            <w:tcW w:w="1154"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6" w:hRule="exact"/>
          <w:jc w:val="center"/>
        </w:trPr>
        <w:tc>
          <w:tcPr>
            <w:tcW w:w="634" w:type="dxa"/>
            <w:noWrap w:val="0"/>
            <w:vAlign w:val="center"/>
          </w:tcPr>
          <w:p>
            <w:pPr>
              <w:spacing w:line="360" w:lineRule="auto"/>
              <w:jc w:val="center"/>
              <w:rPr>
                <w:rFonts w:ascii="宋体" w:hAnsi="宋体"/>
              </w:rPr>
            </w:pPr>
            <w:r>
              <w:rPr>
                <w:rFonts w:hint="eastAsia" w:ascii="宋体" w:hAnsi="宋体"/>
              </w:rPr>
              <w:t>7</w:t>
            </w:r>
          </w:p>
        </w:tc>
        <w:tc>
          <w:tcPr>
            <w:tcW w:w="2614" w:type="dxa"/>
            <w:noWrap w:val="0"/>
            <w:vAlign w:val="center"/>
          </w:tcPr>
          <w:p>
            <w:pPr>
              <w:spacing w:line="360" w:lineRule="auto"/>
              <w:jc w:val="center"/>
              <w:rPr>
                <w:rFonts w:ascii="宋体" w:hAnsi="宋体"/>
              </w:rPr>
            </w:pPr>
            <w:r>
              <w:rPr>
                <w:rFonts w:hint="eastAsia" w:ascii="宋体" w:hAnsi="宋体"/>
              </w:rPr>
              <w:t>保修期</w:t>
            </w:r>
          </w:p>
        </w:tc>
        <w:tc>
          <w:tcPr>
            <w:tcW w:w="1375" w:type="dxa"/>
            <w:noWrap w:val="0"/>
            <w:vAlign w:val="center"/>
          </w:tcPr>
          <w:p>
            <w:pPr>
              <w:spacing w:line="360" w:lineRule="auto"/>
              <w:jc w:val="center"/>
              <w:rPr>
                <w:rFonts w:ascii="宋体" w:hAnsi="宋体"/>
              </w:rPr>
            </w:pPr>
            <w:r>
              <w:rPr>
                <w:rFonts w:hint="eastAsia" w:ascii="宋体" w:hAnsi="宋体"/>
              </w:rPr>
              <w:t>19.7</w:t>
            </w:r>
          </w:p>
        </w:tc>
        <w:tc>
          <w:tcPr>
            <w:tcW w:w="3577" w:type="dxa"/>
            <w:noWrap w:val="0"/>
            <w:vAlign w:val="center"/>
          </w:tcPr>
          <w:p>
            <w:pPr>
              <w:spacing w:line="360" w:lineRule="auto"/>
              <w:ind w:firstLine="210" w:firstLineChars="100"/>
              <w:rPr>
                <w:rFonts w:ascii="宋体" w:hAnsi="宋体"/>
              </w:rPr>
            </w:pPr>
            <w:r>
              <w:rPr>
                <w:rFonts w:hint="eastAsia" w:ascii="宋体" w:hAnsi="宋体"/>
              </w:rPr>
              <w:t>自实际交工日期起计算</w:t>
            </w:r>
            <w:r>
              <w:rPr>
                <w:rFonts w:hint="eastAsia" w:ascii="宋体" w:hAnsi="宋体"/>
                <w:u w:val="single"/>
              </w:rPr>
              <w:t xml:space="preserve"> 5 </w:t>
            </w:r>
            <w:r>
              <w:rPr>
                <w:rFonts w:hint="eastAsia" w:ascii="宋体" w:hAnsi="宋体"/>
              </w:rPr>
              <w:t>年</w:t>
            </w:r>
          </w:p>
        </w:tc>
        <w:tc>
          <w:tcPr>
            <w:tcW w:w="1154"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6" w:hRule="exact"/>
          <w:jc w:val="center"/>
        </w:trPr>
        <w:tc>
          <w:tcPr>
            <w:tcW w:w="634" w:type="dxa"/>
            <w:noWrap w:val="0"/>
            <w:vAlign w:val="center"/>
          </w:tcPr>
          <w:p>
            <w:pPr>
              <w:spacing w:line="360" w:lineRule="auto"/>
              <w:jc w:val="center"/>
              <w:rPr>
                <w:rFonts w:hint="eastAsia" w:ascii="宋体" w:hAnsi="宋体"/>
              </w:rPr>
            </w:pPr>
            <w:r>
              <w:rPr>
                <w:rFonts w:hint="eastAsia" w:ascii="宋体" w:hAnsi="宋体"/>
              </w:rPr>
              <w:t>8</w:t>
            </w:r>
          </w:p>
        </w:tc>
        <w:tc>
          <w:tcPr>
            <w:tcW w:w="2614" w:type="dxa"/>
            <w:noWrap w:val="0"/>
            <w:vAlign w:val="center"/>
          </w:tcPr>
          <w:p>
            <w:pPr>
              <w:spacing w:line="360" w:lineRule="auto"/>
              <w:jc w:val="center"/>
              <w:rPr>
                <w:rFonts w:hint="eastAsia" w:ascii="宋体" w:hAnsi="宋体"/>
              </w:rPr>
            </w:pPr>
            <w:r>
              <w:rPr>
                <w:rFonts w:hint="eastAsia" w:ascii="宋体" w:hAnsi="宋体"/>
              </w:rPr>
              <w:t>质量要求</w:t>
            </w:r>
          </w:p>
        </w:tc>
        <w:tc>
          <w:tcPr>
            <w:tcW w:w="1375" w:type="dxa"/>
            <w:noWrap w:val="0"/>
            <w:vAlign w:val="center"/>
          </w:tcPr>
          <w:p>
            <w:pPr>
              <w:spacing w:line="360" w:lineRule="auto"/>
              <w:jc w:val="center"/>
              <w:rPr>
                <w:rFonts w:hint="eastAsia" w:ascii="宋体" w:hAnsi="宋体"/>
              </w:rPr>
            </w:pPr>
          </w:p>
        </w:tc>
        <w:tc>
          <w:tcPr>
            <w:tcW w:w="3577" w:type="dxa"/>
            <w:noWrap w:val="0"/>
            <w:vAlign w:val="center"/>
          </w:tcPr>
          <w:p>
            <w:pPr>
              <w:spacing w:line="360" w:lineRule="auto"/>
              <w:ind w:firstLine="210" w:firstLineChars="100"/>
              <w:rPr>
                <w:rFonts w:hint="eastAsia" w:ascii="宋体" w:hAnsi="宋体"/>
                <w:u w:val="single"/>
              </w:rPr>
            </w:pPr>
            <w:r>
              <w:rPr>
                <w:rFonts w:hint="eastAsia" w:ascii="宋体" w:hAnsi="宋体"/>
                <w:u w:val="single"/>
              </w:rPr>
              <w:t xml:space="preserve">             </w:t>
            </w:r>
          </w:p>
        </w:tc>
        <w:tc>
          <w:tcPr>
            <w:tcW w:w="1154" w:type="dxa"/>
            <w:noWrap w:val="0"/>
            <w:vAlign w:val="center"/>
          </w:tcPr>
          <w:p>
            <w:pPr>
              <w:spacing w:line="360" w:lineRule="auto"/>
              <w:jc w:val="center"/>
              <w:rPr>
                <w:rFonts w:ascii="宋体" w:hAnsi="宋体"/>
              </w:rPr>
            </w:pPr>
          </w:p>
        </w:tc>
      </w:tr>
    </w:tbl>
    <w:p>
      <w:pPr>
        <w:spacing w:before="312" w:beforeLines="100" w:line="360" w:lineRule="auto"/>
        <w:jc w:val="center"/>
        <w:rPr>
          <w:rFonts w:ascii="宋体" w:hAnsi="宋体"/>
        </w:rPr>
      </w:pPr>
      <w:r>
        <w:rPr>
          <w:rFonts w:hint="eastAsia" w:ascii="宋体" w:hAnsi="宋体"/>
        </w:rPr>
        <w:t xml:space="preserve">                                     投 标 人:</w:t>
      </w:r>
      <w:r>
        <w:rPr>
          <w:rFonts w:hint="eastAsia" w:ascii="宋体" w:hAnsi="宋体"/>
          <w:u w:val="single"/>
        </w:rPr>
        <w:t xml:space="preserve">                       (</w:t>
      </w:r>
      <w:r>
        <w:rPr>
          <w:rFonts w:hint="eastAsia" w:ascii="宋体" w:hAnsi="宋体"/>
        </w:rPr>
        <w:t>盖单位章)</w:t>
      </w:r>
    </w:p>
    <w:p>
      <w:pPr>
        <w:spacing w:line="360" w:lineRule="auto"/>
        <w:ind w:right="480" w:firstLine="4515" w:firstLineChars="2150"/>
        <w:rPr>
          <w:rFonts w:hint="eastAsia" w:ascii="宋体" w:hAnsi="宋体"/>
        </w:rPr>
      </w:pPr>
      <w:r>
        <w:rPr>
          <w:rFonts w:ascii="宋体" w:hAnsi="宋体"/>
        </w:rPr>
        <w:t>法定代表人或其委托代理人：</w:t>
      </w:r>
      <w:r>
        <w:rPr>
          <w:rFonts w:hint="eastAsia" w:ascii="宋体" w:hAnsi="宋体"/>
          <w:u w:val="single"/>
        </w:rPr>
        <w:t xml:space="preserve">           </w:t>
      </w:r>
      <w:r>
        <w:rPr>
          <w:rFonts w:ascii="宋体" w:hAnsi="宋体"/>
        </w:rPr>
        <w:t>（签字）</w:t>
      </w:r>
      <w:r>
        <w:rPr>
          <w:rFonts w:hint="eastAsia" w:ascii="宋体" w:hAnsi="宋体"/>
        </w:rPr>
        <w:t xml:space="preserve">              </w:t>
      </w:r>
    </w:p>
    <w:p>
      <w:pPr>
        <w:spacing w:line="360" w:lineRule="auto"/>
        <w:ind w:right="480" w:firstLine="5565" w:firstLineChars="2650"/>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pStyle w:val="6"/>
        <w:keepNext w:val="0"/>
        <w:keepLines w:val="0"/>
        <w:spacing w:before="156" w:beforeLines="50" w:after="0" w:line="360" w:lineRule="auto"/>
        <w:jc w:val="center"/>
        <w:rPr>
          <w:rFonts w:hint="eastAsia" w:ascii="宋体" w:hAnsi="宋体"/>
          <w:sz w:val="28"/>
          <w:szCs w:val="28"/>
        </w:rPr>
      </w:pPr>
      <w:bookmarkStart w:id="314" w:name="_Toc486277926"/>
      <w:bookmarkStart w:id="315" w:name="_Toc234382961"/>
      <w:bookmarkStart w:id="316" w:name="_Toc29117"/>
      <w:bookmarkStart w:id="317" w:name="_Toc485889059"/>
      <w:bookmarkStart w:id="318" w:name="_Toc311013760"/>
      <w:bookmarkStart w:id="319" w:name="_Toc311013610"/>
      <w:bookmarkStart w:id="320" w:name="_Toc310284084"/>
    </w:p>
    <w:p>
      <w:pPr>
        <w:pStyle w:val="6"/>
        <w:keepNext w:val="0"/>
        <w:keepLines w:val="0"/>
        <w:spacing w:before="156" w:beforeLines="50" w:after="0" w:line="360" w:lineRule="auto"/>
        <w:jc w:val="center"/>
        <w:rPr>
          <w:rFonts w:hint="eastAsia" w:ascii="宋体" w:hAnsi="宋体"/>
          <w:sz w:val="28"/>
          <w:szCs w:val="28"/>
        </w:rPr>
      </w:pPr>
    </w:p>
    <w:p>
      <w:pPr>
        <w:pStyle w:val="6"/>
        <w:keepNext w:val="0"/>
        <w:keepLines w:val="0"/>
        <w:spacing w:before="156" w:beforeLines="50" w:after="0" w:line="360" w:lineRule="auto"/>
        <w:jc w:val="center"/>
        <w:rPr>
          <w:rFonts w:hint="eastAsia" w:ascii="宋体" w:hAnsi="宋体"/>
          <w:sz w:val="28"/>
          <w:szCs w:val="28"/>
        </w:rPr>
      </w:pPr>
    </w:p>
    <w:p>
      <w:pPr>
        <w:pStyle w:val="6"/>
        <w:keepNext w:val="0"/>
        <w:keepLines w:val="0"/>
        <w:spacing w:before="156" w:beforeLines="50" w:after="0" w:line="360" w:lineRule="auto"/>
        <w:jc w:val="center"/>
        <w:rPr>
          <w:rFonts w:hint="eastAsia" w:ascii="宋体" w:hAnsi="宋体"/>
          <w:sz w:val="28"/>
          <w:szCs w:val="28"/>
        </w:rPr>
      </w:pPr>
    </w:p>
    <w:p>
      <w:pPr>
        <w:pStyle w:val="6"/>
        <w:keepNext w:val="0"/>
        <w:keepLines w:val="0"/>
        <w:spacing w:before="156" w:beforeLines="50" w:after="0" w:line="360" w:lineRule="auto"/>
        <w:jc w:val="center"/>
        <w:rPr>
          <w:rFonts w:ascii="宋体" w:hAnsi="宋体"/>
          <w:sz w:val="28"/>
          <w:szCs w:val="28"/>
        </w:rPr>
      </w:pPr>
      <w:r>
        <w:rPr>
          <w:rFonts w:hint="eastAsia" w:ascii="宋体" w:hAnsi="宋体"/>
          <w:sz w:val="28"/>
          <w:szCs w:val="28"/>
        </w:rPr>
        <w:t>二</w:t>
      </w:r>
      <w:r>
        <w:rPr>
          <w:rFonts w:ascii="宋体" w:hAnsi="宋体"/>
          <w:sz w:val="28"/>
          <w:szCs w:val="28"/>
        </w:rPr>
        <w:t>、法定代表人身份证明</w:t>
      </w:r>
      <w:r>
        <w:rPr>
          <w:rFonts w:hint="eastAsia" w:ascii="宋体" w:hAnsi="宋体"/>
          <w:sz w:val="28"/>
          <w:szCs w:val="28"/>
        </w:rPr>
        <w:t>及授权委托书</w:t>
      </w:r>
      <w:bookmarkEnd w:id="314"/>
      <w:bookmarkEnd w:id="315"/>
      <w:bookmarkEnd w:id="316"/>
      <w:bookmarkEnd w:id="317"/>
    </w:p>
    <w:p>
      <w:pPr>
        <w:pStyle w:val="7"/>
        <w:keepNext w:val="0"/>
        <w:keepLines w:val="0"/>
        <w:spacing w:line="360" w:lineRule="auto"/>
        <w:ind w:firstLine="275" w:firstLineChars="98"/>
        <w:jc w:val="center"/>
        <w:rPr>
          <w:rFonts w:ascii="宋体" w:hAnsi="宋体" w:eastAsia="宋体" w:cs="宋体"/>
          <w:b w:val="0"/>
          <w:bCs w:val="0"/>
          <w:sz w:val="28"/>
          <w:szCs w:val="28"/>
        </w:rPr>
      </w:pPr>
      <w:r>
        <w:rPr>
          <w:rFonts w:hint="eastAsia" w:ascii="宋体" w:hAnsi="宋体" w:eastAsia="宋体"/>
          <w:sz w:val="28"/>
          <w:szCs w:val="28"/>
        </w:rPr>
        <w:t>（一）</w:t>
      </w:r>
      <w:r>
        <w:rPr>
          <w:rFonts w:hint="eastAsia" w:ascii="宋体" w:hAnsi="宋体" w:eastAsia="宋体" w:cs="宋体"/>
          <w:sz w:val="28"/>
          <w:szCs w:val="28"/>
        </w:rPr>
        <w:t>法定代表人身份证明</w:t>
      </w:r>
    </w:p>
    <w:p>
      <w:pPr>
        <w:spacing w:line="360" w:lineRule="auto"/>
        <w:rPr>
          <w:rFonts w:ascii="宋体" w:hAnsi="宋体"/>
          <w:sz w:val="24"/>
        </w:rPr>
      </w:pPr>
      <w:r>
        <w:rPr>
          <w:rFonts w:hint="eastAsia" w:ascii="宋体" w:hAnsi="宋体"/>
          <w:sz w:val="24"/>
        </w:rPr>
        <w:t>投标人名称：____________________________</w:t>
      </w:r>
    </w:p>
    <w:p>
      <w:pPr>
        <w:spacing w:line="360" w:lineRule="auto"/>
        <w:rPr>
          <w:rFonts w:ascii="宋体" w:hAnsi="宋体"/>
          <w:sz w:val="24"/>
        </w:rPr>
      </w:pPr>
      <w:r>
        <w:rPr>
          <w:rFonts w:hint="eastAsia" w:ascii="宋体" w:hAnsi="宋体"/>
          <w:sz w:val="24"/>
        </w:rPr>
        <w:t>姓名：</w:t>
      </w:r>
      <w:r>
        <w:rPr>
          <w:rFonts w:hint="eastAsia" w:ascii="宋体" w:hAnsi="宋体"/>
          <w:sz w:val="24"/>
          <w:u w:val="single"/>
        </w:rPr>
        <w:t xml:space="preserve"> （法定代表人亲笔签名）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_________</w:t>
      </w:r>
    </w:p>
    <w:p>
      <w:pPr>
        <w:spacing w:line="360" w:lineRule="auto"/>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360" w:lineRule="auto"/>
        <w:ind w:firstLine="480" w:firstLineChars="200"/>
        <w:rPr>
          <w:rFonts w:ascii="宋体" w:hAnsi="宋体"/>
          <w:sz w:val="24"/>
        </w:rPr>
      </w:pPr>
      <w:r>
        <w:rPr>
          <w:rFonts w:hint="eastAsia" w:ascii="宋体" w:hAnsi="宋体"/>
          <w:sz w:val="24"/>
        </w:rPr>
        <w:t>特此证明。</w:t>
      </w:r>
    </w:p>
    <w:p>
      <w:pPr>
        <w:spacing w:line="360" w:lineRule="auto"/>
        <w:rPr>
          <w:rFonts w:ascii="宋体" w:hAnsi="宋体"/>
          <w:sz w:val="24"/>
        </w:rPr>
      </w:pPr>
      <w:r>
        <w:rPr>
          <w:rFonts w:ascii="宋体" w:hAnsi="宋体"/>
          <w:sz w:val="24"/>
        </w:rPr>
        <w:t>附</w:t>
      </w:r>
      <w:r>
        <w:rPr>
          <w:rFonts w:hint="eastAsia" w:ascii="宋体" w:hAnsi="宋体"/>
          <w:sz w:val="24"/>
        </w:rPr>
        <w:t>：</w:t>
      </w:r>
      <w:r>
        <w:rPr>
          <w:rFonts w:ascii="宋体" w:hAnsi="宋体"/>
          <w:sz w:val="24"/>
        </w:rPr>
        <w:t>法定代表人身份证</w:t>
      </w:r>
      <w:r>
        <w:rPr>
          <w:rFonts w:hint="eastAsia" w:ascii="宋体" w:hAnsi="宋体"/>
          <w:sz w:val="24"/>
        </w:rPr>
        <w:t>原件扫描件（或图片）</w:t>
      </w:r>
    </w:p>
    <w:p>
      <w:pPr>
        <w:spacing w:line="360" w:lineRule="auto"/>
        <w:jc w:val="right"/>
        <w:rPr>
          <w:rFonts w:ascii="宋体" w:hAnsi="宋体"/>
          <w:sz w:val="24"/>
        </w:rPr>
      </w:pPr>
      <w:r>
        <w:rPr>
          <w:rFonts w:hint="eastAsia" w:ascii="宋体" w:hAnsi="宋体"/>
          <w:sz w:val="24"/>
        </w:rPr>
        <w:t xml:space="preserve">                             投标人：</w:t>
      </w:r>
      <w:r>
        <w:rPr>
          <w:rFonts w:hint="eastAsia" w:ascii="宋体" w:hAnsi="宋体"/>
          <w:sz w:val="24"/>
          <w:u w:val="single"/>
        </w:rPr>
        <w:t xml:space="preserve">              </w:t>
      </w:r>
      <w:r>
        <w:rPr>
          <w:rFonts w:hint="eastAsia" w:ascii="宋体" w:hAnsi="宋体"/>
          <w:sz w:val="24"/>
        </w:rPr>
        <w:t>（盖单位章）</w:t>
      </w:r>
    </w:p>
    <w:p>
      <w:pPr>
        <w:spacing w:line="360" w:lineRule="auto"/>
        <w:rPr>
          <w:rFonts w:ascii="宋体" w:hAnsi="宋体"/>
          <w:sz w:val="24"/>
        </w:rPr>
      </w:pPr>
    </w:p>
    <w:p>
      <w:pPr>
        <w:spacing w:line="360" w:lineRule="auto"/>
        <w:jc w:val="righ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r>
        <w:rPr>
          <w:rFonts w:hint="eastAsia" w:ascii="宋体" w:hAnsi="宋体"/>
          <w:sz w:val="24"/>
        </w:rPr>
        <w:t>注：法定代表人的签字必须是亲笔签名，不得使用印章、签名章或其他电子制版签名。</w:t>
      </w:r>
    </w:p>
    <w:p>
      <w:pPr>
        <w:pStyle w:val="18"/>
        <w:spacing w:line="360" w:lineRule="auto"/>
        <w:ind w:firstLine="400"/>
        <w:rPr>
          <w:rFonts w:hint="eastAsia" w:ascii="宋体" w:hAnsi="宋体"/>
        </w:rPr>
      </w:pPr>
    </w:p>
    <w:p>
      <w:pPr>
        <w:spacing w:line="360" w:lineRule="auto"/>
        <w:jc w:val="center"/>
        <w:rPr>
          <w:rFonts w:ascii="宋体" w:hAnsi="宋体"/>
          <w:b/>
          <w:sz w:val="32"/>
          <w:szCs w:val="32"/>
        </w:rPr>
      </w:pPr>
      <w:r>
        <w:rPr>
          <w:rFonts w:hint="eastAsia" w:ascii="宋体" w:hAnsi="宋体"/>
          <w:b/>
          <w:bCs/>
          <w:kern w:val="44"/>
          <w:sz w:val="28"/>
          <w:szCs w:val="28"/>
        </w:rPr>
        <w:t>（二）授权委托书</w:t>
      </w: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（姓名）为我方代理人。代理人根据授权，以我方名义签署、澄清、递交、撤回、修改</w:t>
      </w:r>
      <w:r>
        <w:rPr>
          <w:rFonts w:hint="eastAsia" w:ascii="宋体" w:hAnsi="宋体"/>
          <w:sz w:val="24"/>
          <w:u w:val="single"/>
        </w:rPr>
        <w:t xml:space="preserve">                  </w:t>
      </w:r>
      <w:r>
        <w:rPr>
          <w:rFonts w:hint="eastAsia" w:ascii="宋体" w:hAnsi="宋体"/>
          <w:sz w:val="24"/>
        </w:rPr>
        <w:t>（项目名称）投标文件、签订合同和处理有关事宜，其法律后果由我方承担。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代理人无转委托权。</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附：法定代表人及被委托人身份证原件扫描件（或图片）</w:t>
      </w:r>
    </w:p>
    <w:p>
      <w:pPr>
        <w:spacing w:line="360" w:lineRule="auto"/>
        <w:jc w:val="right"/>
        <w:rPr>
          <w:rFonts w:ascii="宋体" w:hAnsi="宋体"/>
          <w:sz w:val="24"/>
        </w:rPr>
      </w:pPr>
      <w:r>
        <w:rPr>
          <w:rFonts w:hint="eastAsia" w:ascii="宋体" w:hAnsi="宋体"/>
          <w:sz w:val="24"/>
        </w:rPr>
        <w:t xml:space="preserve">                                </w:t>
      </w:r>
      <w:r>
        <w:rPr>
          <w:rFonts w:hint="eastAsia" w:ascii="宋体" w:hAnsi="宋体"/>
          <w:spacing w:val="121"/>
          <w:kern w:val="0"/>
          <w:sz w:val="24"/>
        </w:rPr>
        <w:t>申请</w:t>
      </w:r>
      <w:r>
        <w:rPr>
          <w:rFonts w:hint="eastAsia" w:ascii="宋体" w:hAnsi="宋体"/>
          <w:spacing w:val="-1"/>
          <w:kern w:val="0"/>
          <w:sz w:val="24"/>
        </w:rPr>
        <w:t>人</w:t>
      </w:r>
      <w:r>
        <w:rPr>
          <w:rFonts w:hint="eastAsia" w:ascii="宋体" w:hAnsi="宋体"/>
          <w:sz w:val="24"/>
        </w:rPr>
        <w:t>：</w:t>
      </w:r>
      <w:r>
        <w:rPr>
          <w:rFonts w:hint="eastAsia" w:ascii="宋体" w:hAnsi="宋体"/>
          <w:sz w:val="24"/>
          <w:u w:val="single"/>
        </w:rPr>
        <w:t xml:space="preserve">                </w:t>
      </w:r>
      <w:r>
        <w:rPr>
          <w:rFonts w:hint="eastAsia" w:ascii="宋体" w:hAnsi="宋体"/>
          <w:sz w:val="24"/>
        </w:rPr>
        <w:t>（盖单位章）</w:t>
      </w:r>
    </w:p>
    <w:p>
      <w:pPr>
        <w:spacing w:line="360" w:lineRule="auto"/>
        <w:jc w:val="right"/>
        <w:rPr>
          <w:rFonts w:ascii="宋体" w:hAnsi="宋体"/>
          <w:sz w:val="24"/>
        </w:rPr>
      </w:pPr>
      <w:r>
        <w:rPr>
          <w:rFonts w:hint="eastAsia" w:ascii="宋体" w:hAnsi="宋体"/>
          <w:sz w:val="24"/>
        </w:rPr>
        <w:t xml:space="preserve">                                法定代表人：</w:t>
      </w:r>
      <w:r>
        <w:rPr>
          <w:rFonts w:hint="eastAsia" w:ascii="宋体" w:hAnsi="宋体"/>
          <w:sz w:val="24"/>
          <w:u w:val="single"/>
        </w:rPr>
        <w:t xml:space="preserve">                    </w:t>
      </w:r>
      <w:r>
        <w:rPr>
          <w:rFonts w:hint="eastAsia" w:ascii="宋体" w:hAnsi="宋体"/>
          <w:sz w:val="24"/>
        </w:rPr>
        <w:t>（签字）</w:t>
      </w:r>
    </w:p>
    <w:p>
      <w:pPr>
        <w:spacing w:line="360" w:lineRule="auto"/>
        <w:jc w:val="center"/>
        <w:rPr>
          <w:rFonts w:ascii="宋体" w:hAnsi="宋体"/>
          <w:sz w:val="24"/>
        </w:rPr>
      </w:pPr>
      <w:r>
        <w:rPr>
          <w:rFonts w:hint="eastAsia" w:ascii="宋体" w:hAnsi="宋体"/>
          <w:sz w:val="24"/>
        </w:rPr>
        <w:t xml:space="preserve">         身份证号码：</w:t>
      </w:r>
    </w:p>
    <w:p>
      <w:pPr>
        <w:spacing w:line="360" w:lineRule="auto"/>
        <w:jc w:val="right"/>
        <w:rPr>
          <w:rFonts w:ascii="宋体" w:hAnsi="宋体"/>
          <w:sz w:val="24"/>
        </w:rPr>
      </w:pPr>
      <w:r>
        <w:rPr>
          <w:rFonts w:hint="eastAsia" w:ascii="宋体" w:hAnsi="宋体"/>
          <w:sz w:val="24"/>
        </w:rPr>
        <w:t xml:space="preserve">                                委托代理人：</w:t>
      </w:r>
      <w:r>
        <w:rPr>
          <w:rFonts w:hint="eastAsia" w:ascii="宋体" w:hAnsi="宋体"/>
          <w:sz w:val="24"/>
          <w:u w:val="single"/>
        </w:rPr>
        <w:t xml:space="preserve">                    </w:t>
      </w:r>
      <w:r>
        <w:rPr>
          <w:rFonts w:hint="eastAsia" w:ascii="宋体" w:hAnsi="宋体"/>
          <w:sz w:val="24"/>
        </w:rPr>
        <w:t>（签字）</w:t>
      </w:r>
    </w:p>
    <w:p>
      <w:pPr>
        <w:spacing w:line="360" w:lineRule="auto"/>
        <w:jc w:val="center"/>
        <w:rPr>
          <w:rFonts w:ascii="宋体" w:hAnsi="宋体"/>
          <w:sz w:val="24"/>
        </w:rPr>
      </w:pPr>
      <w:r>
        <w:rPr>
          <w:rFonts w:hint="eastAsia" w:ascii="宋体" w:hAnsi="宋体"/>
          <w:sz w:val="24"/>
        </w:rPr>
        <w:t xml:space="preserve">         身份证号码：</w:t>
      </w:r>
    </w:p>
    <w:p>
      <w:pPr>
        <w:spacing w:line="360" w:lineRule="auto"/>
        <w:jc w:val="righ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注：1.法定代表人和委托代理人必须在授权书上亲笔签名，不得使用印章、签名章或其他电子制版签名；</w:t>
      </w:r>
    </w:p>
    <w:p>
      <w:pPr>
        <w:pStyle w:val="6"/>
        <w:keepNext w:val="0"/>
        <w:keepLines w:val="0"/>
        <w:spacing w:before="312" w:beforeLines="100" w:after="468" w:afterLines="150" w:line="360" w:lineRule="auto"/>
        <w:jc w:val="center"/>
        <w:rPr>
          <w:rFonts w:ascii="宋体" w:hAnsi="宋体"/>
          <w:sz w:val="28"/>
          <w:szCs w:val="28"/>
        </w:rPr>
      </w:pPr>
      <w:r>
        <w:rPr>
          <w:rFonts w:hint="eastAsia" w:ascii="宋体" w:hAnsi="宋体" w:cs="华文仿宋"/>
          <w:b w:val="0"/>
          <w:sz w:val="24"/>
        </w:rPr>
        <w:br w:type="page"/>
      </w:r>
      <w:r>
        <w:rPr>
          <w:rFonts w:hint="eastAsia" w:ascii="宋体" w:hAnsi="宋体"/>
          <w:sz w:val="28"/>
          <w:szCs w:val="28"/>
        </w:rPr>
        <w:t>三、投标</w:t>
      </w:r>
      <w:bookmarkEnd w:id="318"/>
      <w:bookmarkEnd w:id="319"/>
      <w:bookmarkEnd w:id="320"/>
      <w:r>
        <w:rPr>
          <w:rFonts w:hint="eastAsia" w:ascii="宋体" w:hAnsi="宋体"/>
          <w:sz w:val="28"/>
          <w:szCs w:val="28"/>
        </w:rPr>
        <w:t>担保</w:t>
      </w:r>
    </w:p>
    <w:p>
      <w:pPr>
        <w:spacing w:line="360" w:lineRule="auto"/>
        <w:jc w:val="center"/>
        <w:rPr>
          <w:rFonts w:ascii="宋体" w:hAnsi="宋体" w:cs="华文仿宋"/>
          <w:sz w:val="27"/>
          <w:szCs w:val="27"/>
        </w:rPr>
      </w:pPr>
      <w:r>
        <w:rPr>
          <w:rFonts w:hint="eastAsia" w:ascii="宋体" w:hAnsi="宋体" w:cs="华文仿宋"/>
          <w:b/>
          <w:sz w:val="24"/>
        </w:rPr>
        <w:t>附投标保证金有效证明资料</w:t>
      </w:r>
      <w:bookmarkStart w:id="321" w:name="_Toc311013611"/>
      <w:bookmarkStart w:id="322" w:name="_Toc311013761"/>
      <w:bookmarkStart w:id="323" w:name="_Toc310284085"/>
    </w:p>
    <w:bookmarkEnd w:id="321"/>
    <w:bookmarkEnd w:id="322"/>
    <w:bookmarkEnd w:id="323"/>
    <w:p>
      <w:pPr>
        <w:pStyle w:val="6"/>
        <w:keepNext w:val="0"/>
        <w:keepLines w:val="0"/>
        <w:spacing w:before="312" w:beforeLines="100" w:after="468" w:afterLines="150" w:line="360" w:lineRule="auto"/>
        <w:jc w:val="center"/>
        <w:rPr>
          <w:rFonts w:ascii="宋体" w:hAnsi="宋体"/>
        </w:rPr>
      </w:pPr>
      <w:bookmarkStart w:id="324" w:name="_Toc486277929"/>
      <w:bookmarkStart w:id="325" w:name="_Toc234382966"/>
      <w:bookmarkStart w:id="326" w:name="_Toc485889062"/>
      <w:bookmarkStart w:id="327" w:name="_Toc19556"/>
      <w:r>
        <w:rPr>
          <w:rFonts w:hint="eastAsia" w:ascii="宋体" w:hAnsi="宋体"/>
          <w:sz w:val="28"/>
          <w:szCs w:val="28"/>
        </w:rPr>
        <w:t>四</w:t>
      </w:r>
      <w:r>
        <w:rPr>
          <w:rFonts w:ascii="宋体" w:hAnsi="宋体"/>
          <w:sz w:val="28"/>
          <w:szCs w:val="28"/>
        </w:rPr>
        <w:t>、施工组织设计</w:t>
      </w:r>
      <w:bookmarkEnd w:id="324"/>
      <w:bookmarkEnd w:id="325"/>
      <w:bookmarkEnd w:id="326"/>
      <w:bookmarkEnd w:id="327"/>
    </w:p>
    <w:p>
      <w:pPr>
        <w:spacing w:line="360" w:lineRule="auto"/>
        <w:rPr>
          <w:rFonts w:ascii="宋体" w:hAnsi="宋体"/>
          <w:sz w:val="24"/>
        </w:rPr>
      </w:pPr>
      <w:r>
        <w:rPr>
          <w:rFonts w:hint="eastAsia" w:ascii="宋体" w:hAnsi="宋体"/>
          <w:sz w:val="24"/>
        </w:rPr>
        <w:t xml:space="preserve">  1、投标人应按以下要点编制施工组织设计；</w:t>
      </w:r>
    </w:p>
    <w:p>
      <w:pPr>
        <w:spacing w:line="360" w:lineRule="auto"/>
        <w:ind w:firstLine="480" w:firstLineChars="200"/>
        <w:rPr>
          <w:rFonts w:ascii="宋体" w:hAnsi="宋体"/>
          <w:sz w:val="24"/>
        </w:rPr>
      </w:pPr>
      <w:r>
        <w:rPr>
          <w:rFonts w:hint="eastAsia" w:ascii="宋体" w:hAnsi="宋体"/>
          <w:sz w:val="24"/>
        </w:rPr>
        <w:t>（1）总体施工组织布置及规划</w:t>
      </w:r>
    </w:p>
    <w:p>
      <w:pPr>
        <w:spacing w:line="360" w:lineRule="auto"/>
        <w:ind w:firstLine="480" w:firstLineChars="200"/>
        <w:rPr>
          <w:rFonts w:ascii="宋体" w:hAnsi="宋体"/>
          <w:sz w:val="24"/>
        </w:rPr>
      </w:pPr>
      <w:r>
        <w:rPr>
          <w:rFonts w:hint="eastAsia" w:ascii="宋体" w:hAnsi="宋体"/>
          <w:sz w:val="24"/>
        </w:rPr>
        <w:t>（2）主要工程项目的施工方案、方法与技术措施（尤其对重点、关键和难点工程的施工方案、方法及其措施）</w:t>
      </w:r>
    </w:p>
    <w:p>
      <w:pPr>
        <w:spacing w:line="360" w:lineRule="auto"/>
        <w:ind w:firstLine="480" w:firstLineChars="200"/>
        <w:rPr>
          <w:rFonts w:ascii="宋体" w:hAnsi="宋体"/>
          <w:sz w:val="24"/>
        </w:rPr>
      </w:pPr>
      <w:r>
        <w:rPr>
          <w:rFonts w:hint="eastAsia" w:ascii="宋体" w:hAnsi="宋体"/>
          <w:sz w:val="24"/>
        </w:rPr>
        <w:t>（3）工期的保证体系及保证措施</w:t>
      </w:r>
    </w:p>
    <w:p>
      <w:pPr>
        <w:spacing w:line="360" w:lineRule="auto"/>
        <w:ind w:firstLine="480" w:firstLineChars="200"/>
        <w:rPr>
          <w:rFonts w:ascii="宋体" w:hAnsi="宋体"/>
          <w:sz w:val="24"/>
        </w:rPr>
      </w:pPr>
      <w:r>
        <w:rPr>
          <w:rFonts w:hint="eastAsia" w:ascii="宋体" w:hAnsi="宋体"/>
          <w:sz w:val="24"/>
        </w:rPr>
        <w:t>（4）工程质量管理体系及保证措施</w:t>
      </w:r>
    </w:p>
    <w:p>
      <w:pPr>
        <w:spacing w:line="360" w:lineRule="auto"/>
        <w:ind w:firstLine="480" w:firstLineChars="200"/>
        <w:rPr>
          <w:rFonts w:ascii="宋体" w:hAnsi="宋体"/>
          <w:sz w:val="24"/>
        </w:rPr>
      </w:pPr>
      <w:r>
        <w:rPr>
          <w:rFonts w:hint="eastAsia" w:ascii="宋体" w:hAnsi="宋体"/>
          <w:sz w:val="24"/>
        </w:rPr>
        <w:t>（5）安全生产管理体系及保证措施</w:t>
      </w:r>
    </w:p>
    <w:p>
      <w:pPr>
        <w:spacing w:line="360" w:lineRule="auto"/>
        <w:ind w:firstLine="480" w:firstLineChars="200"/>
        <w:rPr>
          <w:rFonts w:ascii="宋体" w:hAnsi="宋体"/>
          <w:sz w:val="24"/>
        </w:rPr>
      </w:pPr>
      <w:r>
        <w:rPr>
          <w:rFonts w:hint="eastAsia" w:ascii="宋体" w:hAnsi="宋体"/>
          <w:sz w:val="24"/>
        </w:rPr>
        <w:t>（6）环境保护、水土保持保证体系及保证措施</w:t>
      </w:r>
      <w:r>
        <w:rPr>
          <w:rFonts w:hint="eastAsia" w:ascii="宋体" w:hAnsi="宋体"/>
          <w:b/>
          <w:bCs/>
          <w:sz w:val="24"/>
        </w:rPr>
        <w:t>（含扬尘治理措施）</w:t>
      </w:r>
    </w:p>
    <w:p>
      <w:pPr>
        <w:spacing w:line="360" w:lineRule="auto"/>
        <w:ind w:firstLine="480" w:firstLineChars="200"/>
        <w:rPr>
          <w:rFonts w:ascii="宋体" w:hAnsi="宋体"/>
          <w:sz w:val="24"/>
        </w:rPr>
      </w:pPr>
      <w:r>
        <w:rPr>
          <w:rFonts w:hint="eastAsia" w:ascii="宋体" w:hAnsi="宋体"/>
          <w:sz w:val="24"/>
        </w:rPr>
        <w:t>（7）文明施工、文物保护保证体系及保证措施</w:t>
      </w:r>
    </w:p>
    <w:p>
      <w:pPr>
        <w:spacing w:line="360" w:lineRule="auto"/>
        <w:ind w:firstLine="480" w:firstLineChars="200"/>
        <w:rPr>
          <w:rFonts w:ascii="宋体" w:hAnsi="宋体"/>
          <w:sz w:val="24"/>
        </w:rPr>
      </w:pPr>
      <w:r>
        <w:rPr>
          <w:rFonts w:hint="eastAsia" w:ascii="宋体" w:hAnsi="宋体"/>
          <w:sz w:val="24"/>
        </w:rPr>
        <w:t>（8）项目风险预测与防范，事故应急预案</w:t>
      </w:r>
    </w:p>
    <w:p>
      <w:pPr>
        <w:spacing w:line="360" w:lineRule="auto"/>
        <w:ind w:firstLine="480" w:firstLineChars="200"/>
        <w:rPr>
          <w:rFonts w:ascii="宋体" w:hAnsi="宋体"/>
          <w:sz w:val="24"/>
        </w:rPr>
      </w:pPr>
      <w:r>
        <w:rPr>
          <w:rFonts w:hint="eastAsia" w:ascii="宋体" w:hAnsi="宋体"/>
          <w:sz w:val="24"/>
        </w:rPr>
        <w:t>（9）其他应说明的事项</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施工组织设计除采用文字表述外可附下列图表，图表及格式要求附后。</w:t>
      </w:r>
    </w:p>
    <w:p>
      <w:pPr>
        <w:spacing w:line="360" w:lineRule="auto"/>
        <w:ind w:firstLine="480" w:firstLineChars="200"/>
        <w:rPr>
          <w:rFonts w:ascii="宋体" w:hAnsi="宋体"/>
          <w:sz w:val="24"/>
        </w:rPr>
      </w:pPr>
      <w:r>
        <w:rPr>
          <w:rFonts w:hint="eastAsia" w:ascii="宋体" w:hAnsi="宋体"/>
          <w:sz w:val="24"/>
        </w:rPr>
        <w:t xml:space="preserve">   附表一  施工总体计划表</w:t>
      </w:r>
    </w:p>
    <w:p>
      <w:pPr>
        <w:spacing w:line="360" w:lineRule="auto"/>
        <w:ind w:firstLine="480" w:firstLineChars="200"/>
        <w:rPr>
          <w:rFonts w:ascii="宋体" w:hAnsi="宋体"/>
          <w:sz w:val="24"/>
        </w:rPr>
      </w:pPr>
      <w:r>
        <w:rPr>
          <w:rFonts w:hint="eastAsia" w:ascii="宋体" w:hAnsi="宋体"/>
          <w:sz w:val="24"/>
        </w:rPr>
        <w:t xml:space="preserve">   附表二  分项工程进度率计划（斜率图） </w:t>
      </w:r>
    </w:p>
    <w:p>
      <w:pPr>
        <w:spacing w:line="360" w:lineRule="auto"/>
        <w:ind w:firstLine="480" w:firstLineChars="200"/>
        <w:rPr>
          <w:rFonts w:ascii="宋体" w:hAnsi="宋体"/>
          <w:sz w:val="24"/>
        </w:rPr>
      </w:pPr>
      <w:r>
        <w:rPr>
          <w:rFonts w:hint="eastAsia" w:ascii="宋体" w:hAnsi="宋体"/>
          <w:sz w:val="24"/>
        </w:rPr>
        <w:t xml:space="preserve">   附表三  工程管理曲线</w:t>
      </w:r>
    </w:p>
    <w:p>
      <w:pPr>
        <w:spacing w:line="360" w:lineRule="auto"/>
        <w:ind w:firstLine="480" w:firstLineChars="200"/>
        <w:rPr>
          <w:rFonts w:ascii="宋体" w:hAnsi="宋体"/>
          <w:sz w:val="24"/>
        </w:rPr>
      </w:pPr>
      <w:r>
        <w:rPr>
          <w:rFonts w:hint="eastAsia" w:ascii="宋体" w:hAnsi="宋体"/>
          <w:sz w:val="24"/>
        </w:rPr>
        <w:t xml:space="preserve">   附表四  分项工程生产率和施工周期表</w:t>
      </w:r>
    </w:p>
    <w:p>
      <w:pPr>
        <w:spacing w:line="360" w:lineRule="auto"/>
        <w:ind w:firstLine="480" w:firstLineChars="200"/>
        <w:rPr>
          <w:rFonts w:ascii="宋体" w:hAnsi="宋体"/>
          <w:sz w:val="24"/>
        </w:rPr>
      </w:pPr>
      <w:r>
        <w:rPr>
          <w:rFonts w:hint="eastAsia" w:ascii="宋体" w:hAnsi="宋体"/>
          <w:sz w:val="24"/>
        </w:rPr>
        <w:t xml:space="preserve">   附表五  施工总平面图</w:t>
      </w:r>
    </w:p>
    <w:p>
      <w:pPr>
        <w:spacing w:line="360" w:lineRule="auto"/>
        <w:ind w:firstLine="480" w:firstLineChars="200"/>
        <w:rPr>
          <w:rFonts w:ascii="宋体" w:hAnsi="宋体"/>
          <w:sz w:val="24"/>
        </w:rPr>
      </w:pPr>
      <w:r>
        <w:rPr>
          <w:rFonts w:hint="eastAsia" w:ascii="宋体" w:hAnsi="宋体"/>
          <w:sz w:val="24"/>
        </w:rPr>
        <w:t xml:space="preserve">   附表六  劳动力计划表</w:t>
      </w:r>
    </w:p>
    <w:p>
      <w:pPr>
        <w:spacing w:line="360" w:lineRule="auto"/>
        <w:ind w:firstLine="840" w:firstLineChars="350"/>
        <w:rPr>
          <w:rFonts w:ascii="宋体" w:hAnsi="宋体"/>
          <w:sz w:val="24"/>
        </w:rPr>
      </w:pPr>
      <w:r>
        <w:rPr>
          <w:rFonts w:hint="eastAsia" w:ascii="宋体" w:hAnsi="宋体"/>
          <w:sz w:val="24"/>
        </w:rPr>
        <w:t>附表七  临时用地计划表</w:t>
      </w:r>
    </w:p>
    <w:p>
      <w:pPr>
        <w:spacing w:line="360" w:lineRule="auto"/>
        <w:ind w:firstLine="840" w:firstLineChars="350"/>
        <w:rPr>
          <w:rFonts w:ascii="宋体" w:hAnsi="宋体"/>
          <w:sz w:val="24"/>
        </w:rPr>
      </w:pPr>
      <w:r>
        <w:rPr>
          <w:rFonts w:hint="eastAsia" w:ascii="宋体" w:hAnsi="宋体"/>
          <w:sz w:val="24"/>
        </w:rPr>
        <w:t>附表八  外供电力需求计划表</w:t>
      </w:r>
    </w:p>
    <w:p>
      <w:pPr>
        <w:spacing w:line="360" w:lineRule="auto"/>
        <w:ind w:firstLine="840" w:firstLineChars="350"/>
        <w:rPr>
          <w:rFonts w:ascii="宋体" w:hAnsi="宋体"/>
          <w:sz w:val="24"/>
        </w:rPr>
      </w:pPr>
      <w:r>
        <w:rPr>
          <w:rFonts w:hint="eastAsia" w:ascii="宋体" w:hAnsi="宋体"/>
          <w:sz w:val="24"/>
        </w:rPr>
        <w:t>附表九  合同用款估算表</w:t>
      </w:r>
    </w:p>
    <w:p>
      <w:pPr>
        <w:spacing w:line="360" w:lineRule="auto"/>
        <w:rPr>
          <w:rFonts w:ascii="宋体" w:hAnsi="宋体"/>
          <w:color w:val="000000"/>
          <w:sz w:val="24"/>
        </w:rPr>
        <w:sectPr>
          <w:pgSz w:w="11906" w:h="16838"/>
          <w:pgMar w:top="1440" w:right="1080" w:bottom="1440" w:left="1080" w:header="851" w:footer="992" w:gutter="0"/>
          <w:pgNumType w:fmt="numberInDash"/>
          <w:cols w:space="720" w:num="1"/>
          <w:docGrid w:type="lines" w:linePitch="312" w:charSpace="0"/>
        </w:sectPr>
      </w:pPr>
    </w:p>
    <w:p>
      <w:pPr>
        <w:tabs>
          <w:tab w:val="left" w:pos="1575"/>
          <w:tab w:val="left" w:pos="4689"/>
        </w:tabs>
        <w:spacing w:before="120" w:after="120" w:line="360" w:lineRule="auto"/>
        <w:outlineLvl w:val="3"/>
        <w:rPr>
          <w:rFonts w:ascii="宋体" w:hAnsi="宋体" w:cs="宋体"/>
          <w:b/>
          <w:bCs/>
          <w:sz w:val="28"/>
          <w:szCs w:val="28"/>
        </w:rPr>
      </w:pPr>
      <w:r>
        <w:rPr>
          <w:rFonts w:hint="eastAsia" w:ascii="宋体" w:hAnsi="宋体" w:cs="宋体"/>
          <w:b/>
          <w:bCs/>
          <w:sz w:val="28"/>
          <w:szCs w:val="28"/>
        </w:rPr>
        <w:t>附表一    施工总体计划表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859" w:type="dxa"/>
            <w:tcBorders>
              <w:top w:val="single" w:color="auto" w:sz="12" w:space="0"/>
            </w:tcBorders>
            <w:noWrap w:val="0"/>
            <w:vAlign w:val="center"/>
          </w:tcPr>
          <w:p>
            <w:pPr>
              <w:spacing w:line="360" w:lineRule="auto"/>
              <w:jc w:val="center"/>
              <w:rPr>
                <w:rFonts w:ascii="宋体" w:hAnsi="宋体"/>
                <w:szCs w:val="21"/>
              </w:rPr>
            </w:pPr>
            <w:r>
              <w:rPr>
                <w:rFonts w:hint="eastAsia" w:ascii="宋体" w:hAnsi="宋体"/>
                <w:szCs w:val="21"/>
              </w:rPr>
              <w:t>年度</w:t>
            </w:r>
          </w:p>
        </w:tc>
        <w:tc>
          <w:tcPr>
            <w:tcW w:w="4913" w:type="dxa"/>
            <w:gridSpan w:val="12"/>
            <w:tcBorders>
              <w:top w:val="single" w:color="auto" w:sz="12" w:space="0"/>
            </w:tcBorders>
            <w:noWrap w:val="0"/>
            <w:vAlign w:val="center"/>
          </w:tcPr>
          <w:p>
            <w:pPr>
              <w:spacing w:line="360" w:lineRule="auto"/>
              <w:jc w:val="center"/>
              <w:rPr>
                <w:rFonts w:ascii="宋体" w:hAnsi="宋体"/>
                <w:szCs w:val="21"/>
              </w:rPr>
            </w:pPr>
            <w:r>
              <w:rPr>
                <w:rFonts w:hint="eastAsia" w:ascii="宋体" w:hAnsi="宋体"/>
                <w:szCs w:val="21"/>
              </w:rPr>
              <w:t>年</w:t>
            </w:r>
          </w:p>
        </w:tc>
        <w:tc>
          <w:tcPr>
            <w:tcW w:w="4924" w:type="dxa"/>
            <w:gridSpan w:val="12"/>
            <w:tcBorders>
              <w:top w:val="single" w:color="auto" w:sz="12" w:space="0"/>
            </w:tcBorders>
            <w:noWrap w:val="0"/>
            <w:vAlign w:val="center"/>
          </w:tcPr>
          <w:p>
            <w:pPr>
              <w:spacing w:line="360" w:lineRule="auto"/>
              <w:jc w:val="center"/>
              <w:rPr>
                <w:rFonts w:ascii="宋体" w:hAnsi="宋体"/>
                <w:szCs w:val="21"/>
              </w:rPr>
            </w:pPr>
            <w:r>
              <w:rPr>
                <w:rFonts w:hint="eastAsia" w:ascii="宋体" w:hAnsi="宋体"/>
                <w:szCs w:val="21"/>
              </w:rPr>
              <w:t>年</w:t>
            </w:r>
          </w:p>
        </w:tc>
        <w:tc>
          <w:tcPr>
            <w:tcW w:w="2046" w:type="dxa"/>
            <w:gridSpan w:val="5"/>
            <w:tcBorders>
              <w:top w:val="single" w:color="auto" w:sz="12" w:space="0"/>
            </w:tcBorders>
            <w:noWrap w:val="0"/>
            <w:vAlign w:val="center"/>
          </w:tcPr>
          <w:p>
            <w:pPr>
              <w:spacing w:line="360" w:lineRule="auto"/>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8" w:hRule="exact"/>
          <w:jc w:val="center"/>
        </w:trPr>
        <w:tc>
          <w:tcPr>
            <w:tcW w:w="2859" w:type="dxa"/>
            <w:tcBorders>
              <w:tl2br w:val="single" w:color="auto" w:sz="6" w:space="0"/>
            </w:tcBorders>
            <w:noWrap w:val="0"/>
            <w:vAlign w:val="center"/>
          </w:tcPr>
          <w:p>
            <w:pPr>
              <w:spacing w:line="360" w:lineRule="auto"/>
              <w:jc w:val="center"/>
              <w:rPr>
                <w:rFonts w:ascii="宋体" w:hAnsi="宋体"/>
                <w:szCs w:val="21"/>
              </w:rPr>
            </w:pPr>
            <w:r>
              <w:rPr>
                <w:rFonts w:hint="eastAsia" w:ascii="宋体" w:hAnsi="宋体"/>
                <w:szCs w:val="21"/>
              </w:rPr>
              <w:t>月份</w:t>
            </w:r>
          </w:p>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主要工程项目</w:t>
            </w:r>
          </w:p>
        </w:tc>
        <w:tc>
          <w:tcPr>
            <w:tcW w:w="403" w:type="dxa"/>
            <w:noWrap w:val="0"/>
            <w:vAlign w:val="center"/>
          </w:tcPr>
          <w:p>
            <w:pPr>
              <w:spacing w:line="360" w:lineRule="auto"/>
              <w:jc w:val="center"/>
              <w:rPr>
                <w:rFonts w:ascii="宋体" w:hAnsi="宋体"/>
                <w:szCs w:val="21"/>
              </w:rPr>
            </w:pPr>
            <w:r>
              <w:rPr>
                <w:rFonts w:ascii="宋体" w:hAnsi="宋体"/>
                <w:szCs w:val="21"/>
              </w:rPr>
              <w:t>1</w:t>
            </w:r>
          </w:p>
        </w:tc>
        <w:tc>
          <w:tcPr>
            <w:tcW w:w="403" w:type="dxa"/>
            <w:noWrap w:val="0"/>
            <w:vAlign w:val="center"/>
          </w:tcPr>
          <w:p>
            <w:pPr>
              <w:spacing w:line="360" w:lineRule="auto"/>
              <w:jc w:val="center"/>
              <w:rPr>
                <w:rFonts w:ascii="宋体" w:hAnsi="宋体"/>
                <w:szCs w:val="21"/>
              </w:rPr>
            </w:pPr>
            <w:r>
              <w:rPr>
                <w:rFonts w:ascii="宋体" w:hAnsi="宋体"/>
                <w:szCs w:val="21"/>
              </w:rPr>
              <w:t>2</w:t>
            </w:r>
          </w:p>
        </w:tc>
        <w:tc>
          <w:tcPr>
            <w:tcW w:w="403" w:type="dxa"/>
            <w:noWrap w:val="0"/>
            <w:vAlign w:val="center"/>
          </w:tcPr>
          <w:p>
            <w:pPr>
              <w:spacing w:line="360" w:lineRule="auto"/>
              <w:jc w:val="center"/>
              <w:rPr>
                <w:rFonts w:ascii="宋体" w:hAnsi="宋体"/>
                <w:szCs w:val="21"/>
              </w:rPr>
            </w:pPr>
            <w:r>
              <w:rPr>
                <w:rFonts w:ascii="宋体" w:hAnsi="宋体"/>
                <w:szCs w:val="21"/>
              </w:rPr>
              <w:t>3</w:t>
            </w:r>
          </w:p>
        </w:tc>
        <w:tc>
          <w:tcPr>
            <w:tcW w:w="403" w:type="dxa"/>
            <w:noWrap w:val="0"/>
            <w:vAlign w:val="center"/>
          </w:tcPr>
          <w:p>
            <w:pPr>
              <w:spacing w:line="360" w:lineRule="auto"/>
              <w:jc w:val="center"/>
              <w:rPr>
                <w:rFonts w:ascii="宋体" w:hAnsi="宋体"/>
                <w:szCs w:val="21"/>
              </w:rPr>
            </w:pPr>
            <w:r>
              <w:rPr>
                <w:rFonts w:ascii="宋体" w:hAnsi="宋体"/>
                <w:szCs w:val="21"/>
              </w:rPr>
              <w:t>4</w:t>
            </w:r>
          </w:p>
        </w:tc>
        <w:tc>
          <w:tcPr>
            <w:tcW w:w="403" w:type="dxa"/>
            <w:noWrap w:val="0"/>
            <w:vAlign w:val="center"/>
          </w:tcPr>
          <w:p>
            <w:pPr>
              <w:spacing w:line="360" w:lineRule="auto"/>
              <w:jc w:val="center"/>
              <w:rPr>
                <w:rFonts w:ascii="宋体" w:hAnsi="宋体"/>
                <w:szCs w:val="21"/>
              </w:rPr>
            </w:pPr>
            <w:r>
              <w:rPr>
                <w:rFonts w:ascii="宋体" w:hAnsi="宋体"/>
                <w:szCs w:val="21"/>
              </w:rPr>
              <w:t>5</w:t>
            </w:r>
          </w:p>
        </w:tc>
        <w:tc>
          <w:tcPr>
            <w:tcW w:w="404" w:type="dxa"/>
            <w:noWrap w:val="0"/>
            <w:vAlign w:val="center"/>
          </w:tcPr>
          <w:p>
            <w:pPr>
              <w:spacing w:line="360" w:lineRule="auto"/>
              <w:jc w:val="center"/>
              <w:rPr>
                <w:rFonts w:ascii="宋体" w:hAnsi="宋体"/>
                <w:szCs w:val="21"/>
              </w:rPr>
            </w:pPr>
            <w:r>
              <w:rPr>
                <w:rFonts w:ascii="宋体" w:hAnsi="宋体"/>
                <w:szCs w:val="21"/>
              </w:rPr>
              <w:t>6</w:t>
            </w:r>
          </w:p>
        </w:tc>
        <w:tc>
          <w:tcPr>
            <w:tcW w:w="404" w:type="dxa"/>
            <w:noWrap w:val="0"/>
            <w:vAlign w:val="center"/>
          </w:tcPr>
          <w:p>
            <w:pPr>
              <w:spacing w:line="360" w:lineRule="auto"/>
              <w:jc w:val="center"/>
              <w:rPr>
                <w:rFonts w:ascii="宋体" w:hAnsi="宋体"/>
                <w:szCs w:val="21"/>
              </w:rPr>
            </w:pPr>
            <w:r>
              <w:rPr>
                <w:rFonts w:ascii="宋体" w:hAnsi="宋体"/>
                <w:szCs w:val="21"/>
              </w:rPr>
              <w:t>7</w:t>
            </w:r>
          </w:p>
        </w:tc>
        <w:tc>
          <w:tcPr>
            <w:tcW w:w="404" w:type="dxa"/>
            <w:noWrap w:val="0"/>
            <w:vAlign w:val="center"/>
          </w:tcPr>
          <w:p>
            <w:pPr>
              <w:spacing w:line="360" w:lineRule="auto"/>
              <w:jc w:val="center"/>
              <w:rPr>
                <w:rFonts w:ascii="宋体" w:hAnsi="宋体"/>
                <w:szCs w:val="21"/>
              </w:rPr>
            </w:pPr>
            <w:r>
              <w:rPr>
                <w:rFonts w:ascii="宋体" w:hAnsi="宋体"/>
                <w:szCs w:val="21"/>
              </w:rPr>
              <w:t>8</w:t>
            </w:r>
          </w:p>
        </w:tc>
        <w:tc>
          <w:tcPr>
            <w:tcW w:w="404" w:type="dxa"/>
            <w:noWrap w:val="0"/>
            <w:vAlign w:val="center"/>
          </w:tcPr>
          <w:p>
            <w:pPr>
              <w:spacing w:line="360" w:lineRule="auto"/>
              <w:jc w:val="center"/>
              <w:rPr>
                <w:rFonts w:ascii="宋体" w:hAnsi="宋体"/>
                <w:szCs w:val="21"/>
              </w:rPr>
            </w:pPr>
            <w:r>
              <w:rPr>
                <w:rFonts w:ascii="宋体" w:hAnsi="宋体"/>
                <w:szCs w:val="21"/>
              </w:rPr>
              <w:t>9</w:t>
            </w:r>
          </w:p>
        </w:tc>
        <w:tc>
          <w:tcPr>
            <w:tcW w:w="426" w:type="dxa"/>
            <w:noWrap w:val="0"/>
            <w:vAlign w:val="center"/>
          </w:tcPr>
          <w:p>
            <w:pPr>
              <w:spacing w:line="360" w:lineRule="auto"/>
              <w:jc w:val="center"/>
              <w:rPr>
                <w:rFonts w:ascii="宋体" w:hAnsi="宋体"/>
                <w:szCs w:val="21"/>
              </w:rPr>
            </w:pPr>
            <w:r>
              <w:rPr>
                <w:rFonts w:ascii="宋体" w:hAnsi="宋体"/>
                <w:szCs w:val="21"/>
              </w:rPr>
              <w:t>10</w:t>
            </w:r>
          </w:p>
        </w:tc>
        <w:tc>
          <w:tcPr>
            <w:tcW w:w="426" w:type="dxa"/>
            <w:noWrap w:val="0"/>
            <w:vAlign w:val="center"/>
          </w:tcPr>
          <w:p>
            <w:pPr>
              <w:spacing w:line="360" w:lineRule="auto"/>
              <w:jc w:val="center"/>
              <w:rPr>
                <w:rFonts w:ascii="宋体" w:hAnsi="宋体"/>
                <w:szCs w:val="21"/>
              </w:rPr>
            </w:pPr>
            <w:r>
              <w:rPr>
                <w:rFonts w:ascii="宋体" w:hAnsi="宋体"/>
                <w:szCs w:val="21"/>
              </w:rPr>
              <w:t>11</w:t>
            </w:r>
          </w:p>
        </w:tc>
        <w:tc>
          <w:tcPr>
            <w:tcW w:w="430" w:type="dxa"/>
            <w:noWrap w:val="0"/>
            <w:vAlign w:val="center"/>
          </w:tcPr>
          <w:p>
            <w:pPr>
              <w:spacing w:line="360" w:lineRule="auto"/>
              <w:jc w:val="center"/>
              <w:rPr>
                <w:rFonts w:ascii="宋体" w:hAnsi="宋体"/>
                <w:szCs w:val="21"/>
              </w:rPr>
            </w:pPr>
            <w:r>
              <w:rPr>
                <w:rFonts w:ascii="宋体" w:hAnsi="宋体"/>
                <w:szCs w:val="21"/>
              </w:rPr>
              <w:t>12</w:t>
            </w:r>
          </w:p>
        </w:tc>
        <w:tc>
          <w:tcPr>
            <w:tcW w:w="404" w:type="dxa"/>
            <w:noWrap w:val="0"/>
            <w:vAlign w:val="center"/>
          </w:tcPr>
          <w:p>
            <w:pPr>
              <w:spacing w:line="360" w:lineRule="auto"/>
              <w:jc w:val="center"/>
              <w:rPr>
                <w:rFonts w:ascii="宋体" w:hAnsi="宋体"/>
                <w:szCs w:val="21"/>
              </w:rPr>
            </w:pPr>
            <w:r>
              <w:rPr>
                <w:rFonts w:ascii="宋体" w:hAnsi="宋体"/>
                <w:szCs w:val="21"/>
              </w:rPr>
              <w:t>1</w:t>
            </w:r>
          </w:p>
        </w:tc>
        <w:tc>
          <w:tcPr>
            <w:tcW w:w="404" w:type="dxa"/>
            <w:noWrap w:val="0"/>
            <w:vAlign w:val="center"/>
          </w:tcPr>
          <w:p>
            <w:pPr>
              <w:spacing w:line="360" w:lineRule="auto"/>
              <w:jc w:val="center"/>
              <w:rPr>
                <w:rFonts w:ascii="宋体" w:hAnsi="宋体"/>
                <w:szCs w:val="21"/>
              </w:rPr>
            </w:pPr>
            <w:r>
              <w:rPr>
                <w:rFonts w:ascii="宋体" w:hAnsi="宋体"/>
                <w:szCs w:val="21"/>
              </w:rPr>
              <w:t>2</w:t>
            </w:r>
          </w:p>
        </w:tc>
        <w:tc>
          <w:tcPr>
            <w:tcW w:w="404" w:type="dxa"/>
            <w:noWrap w:val="0"/>
            <w:vAlign w:val="center"/>
          </w:tcPr>
          <w:p>
            <w:pPr>
              <w:spacing w:line="360" w:lineRule="auto"/>
              <w:jc w:val="center"/>
              <w:rPr>
                <w:rFonts w:ascii="宋体" w:hAnsi="宋体"/>
                <w:szCs w:val="21"/>
              </w:rPr>
            </w:pPr>
            <w:r>
              <w:rPr>
                <w:rFonts w:ascii="宋体" w:hAnsi="宋体"/>
                <w:szCs w:val="21"/>
              </w:rPr>
              <w:t>3</w:t>
            </w:r>
          </w:p>
        </w:tc>
        <w:tc>
          <w:tcPr>
            <w:tcW w:w="404" w:type="dxa"/>
            <w:noWrap w:val="0"/>
            <w:vAlign w:val="center"/>
          </w:tcPr>
          <w:p>
            <w:pPr>
              <w:spacing w:line="360" w:lineRule="auto"/>
              <w:jc w:val="center"/>
              <w:rPr>
                <w:rFonts w:ascii="宋体" w:hAnsi="宋体"/>
                <w:szCs w:val="21"/>
              </w:rPr>
            </w:pPr>
            <w:r>
              <w:rPr>
                <w:rFonts w:ascii="宋体" w:hAnsi="宋体"/>
                <w:szCs w:val="21"/>
              </w:rPr>
              <w:t>4</w:t>
            </w:r>
          </w:p>
        </w:tc>
        <w:tc>
          <w:tcPr>
            <w:tcW w:w="404" w:type="dxa"/>
            <w:noWrap w:val="0"/>
            <w:vAlign w:val="center"/>
          </w:tcPr>
          <w:p>
            <w:pPr>
              <w:spacing w:line="360" w:lineRule="auto"/>
              <w:jc w:val="center"/>
              <w:rPr>
                <w:rFonts w:ascii="宋体" w:hAnsi="宋体"/>
                <w:szCs w:val="21"/>
              </w:rPr>
            </w:pPr>
            <w:r>
              <w:rPr>
                <w:rFonts w:ascii="宋体" w:hAnsi="宋体"/>
                <w:szCs w:val="21"/>
              </w:rPr>
              <w:t>5</w:t>
            </w:r>
          </w:p>
        </w:tc>
        <w:tc>
          <w:tcPr>
            <w:tcW w:w="404" w:type="dxa"/>
            <w:noWrap w:val="0"/>
            <w:vAlign w:val="center"/>
          </w:tcPr>
          <w:p>
            <w:pPr>
              <w:spacing w:line="360" w:lineRule="auto"/>
              <w:jc w:val="center"/>
              <w:rPr>
                <w:rFonts w:ascii="宋体" w:hAnsi="宋体"/>
                <w:szCs w:val="21"/>
              </w:rPr>
            </w:pPr>
            <w:r>
              <w:rPr>
                <w:rFonts w:ascii="宋体" w:hAnsi="宋体"/>
                <w:szCs w:val="21"/>
              </w:rPr>
              <w:t>6</w:t>
            </w:r>
          </w:p>
        </w:tc>
        <w:tc>
          <w:tcPr>
            <w:tcW w:w="404" w:type="dxa"/>
            <w:noWrap w:val="0"/>
            <w:vAlign w:val="center"/>
          </w:tcPr>
          <w:p>
            <w:pPr>
              <w:spacing w:line="360" w:lineRule="auto"/>
              <w:jc w:val="center"/>
              <w:rPr>
                <w:rFonts w:ascii="宋体" w:hAnsi="宋体"/>
                <w:szCs w:val="21"/>
              </w:rPr>
            </w:pPr>
            <w:r>
              <w:rPr>
                <w:rFonts w:ascii="宋体" w:hAnsi="宋体"/>
                <w:szCs w:val="21"/>
              </w:rPr>
              <w:t>7</w:t>
            </w:r>
          </w:p>
        </w:tc>
        <w:tc>
          <w:tcPr>
            <w:tcW w:w="404" w:type="dxa"/>
            <w:noWrap w:val="0"/>
            <w:vAlign w:val="center"/>
          </w:tcPr>
          <w:p>
            <w:pPr>
              <w:spacing w:line="360" w:lineRule="auto"/>
              <w:jc w:val="center"/>
              <w:rPr>
                <w:rFonts w:ascii="宋体" w:hAnsi="宋体"/>
                <w:szCs w:val="21"/>
              </w:rPr>
            </w:pPr>
            <w:r>
              <w:rPr>
                <w:rFonts w:ascii="宋体" w:hAnsi="宋体"/>
                <w:szCs w:val="21"/>
              </w:rPr>
              <w:t>8</w:t>
            </w:r>
          </w:p>
        </w:tc>
        <w:tc>
          <w:tcPr>
            <w:tcW w:w="404" w:type="dxa"/>
            <w:noWrap w:val="0"/>
            <w:vAlign w:val="center"/>
          </w:tcPr>
          <w:p>
            <w:pPr>
              <w:spacing w:line="360" w:lineRule="auto"/>
              <w:jc w:val="center"/>
              <w:rPr>
                <w:rFonts w:ascii="宋体" w:hAnsi="宋体"/>
                <w:szCs w:val="21"/>
              </w:rPr>
            </w:pPr>
            <w:r>
              <w:rPr>
                <w:rFonts w:ascii="宋体" w:hAnsi="宋体"/>
                <w:szCs w:val="21"/>
              </w:rPr>
              <w:t>9</w:t>
            </w:r>
          </w:p>
        </w:tc>
        <w:tc>
          <w:tcPr>
            <w:tcW w:w="426" w:type="dxa"/>
            <w:noWrap w:val="0"/>
            <w:vAlign w:val="center"/>
          </w:tcPr>
          <w:p>
            <w:pPr>
              <w:spacing w:line="360" w:lineRule="auto"/>
              <w:jc w:val="center"/>
              <w:rPr>
                <w:rFonts w:ascii="宋体" w:hAnsi="宋体"/>
                <w:szCs w:val="21"/>
              </w:rPr>
            </w:pPr>
            <w:r>
              <w:rPr>
                <w:rFonts w:ascii="宋体" w:hAnsi="宋体"/>
                <w:szCs w:val="21"/>
              </w:rPr>
              <w:t>10</w:t>
            </w:r>
          </w:p>
        </w:tc>
        <w:tc>
          <w:tcPr>
            <w:tcW w:w="426" w:type="dxa"/>
            <w:noWrap w:val="0"/>
            <w:vAlign w:val="center"/>
          </w:tcPr>
          <w:p>
            <w:pPr>
              <w:spacing w:line="360" w:lineRule="auto"/>
              <w:jc w:val="center"/>
              <w:rPr>
                <w:rFonts w:ascii="宋体" w:hAnsi="宋体"/>
                <w:szCs w:val="21"/>
              </w:rPr>
            </w:pPr>
            <w:r>
              <w:rPr>
                <w:rFonts w:ascii="宋体" w:hAnsi="宋体"/>
                <w:szCs w:val="21"/>
              </w:rPr>
              <w:t>11</w:t>
            </w:r>
          </w:p>
        </w:tc>
        <w:tc>
          <w:tcPr>
            <w:tcW w:w="436" w:type="dxa"/>
            <w:noWrap w:val="0"/>
            <w:vAlign w:val="center"/>
          </w:tcPr>
          <w:p>
            <w:pPr>
              <w:spacing w:line="360" w:lineRule="auto"/>
              <w:jc w:val="center"/>
              <w:rPr>
                <w:rFonts w:ascii="宋体" w:hAnsi="宋体"/>
                <w:szCs w:val="21"/>
              </w:rPr>
            </w:pPr>
            <w:r>
              <w:rPr>
                <w:rFonts w:ascii="宋体" w:hAnsi="宋体"/>
                <w:szCs w:val="21"/>
              </w:rPr>
              <w:t>12</w:t>
            </w:r>
          </w:p>
        </w:tc>
        <w:tc>
          <w:tcPr>
            <w:tcW w:w="404" w:type="dxa"/>
            <w:noWrap w:val="0"/>
            <w:vAlign w:val="center"/>
          </w:tcPr>
          <w:p>
            <w:pPr>
              <w:spacing w:line="360" w:lineRule="auto"/>
              <w:jc w:val="center"/>
              <w:rPr>
                <w:rFonts w:ascii="宋体" w:hAnsi="宋体"/>
                <w:szCs w:val="21"/>
              </w:rPr>
            </w:pPr>
            <w:r>
              <w:rPr>
                <w:rFonts w:ascii="宋体" w:hAnsi="宋体"/>
                <w:szCs w:val="21"/>
              </w:rPr>
              <w:t>1</w:t>
            </w:r>
          </w:p>
        </w:tc>
        <w:tc>
          <w:tcPr>
            <w:tcW w:w="404" w:type="dxa"/>
            <w:noWrap w:val="0"/>
            <w:vAlign w:val="center"/>
          </w:tcPr>
          <w:p>
            <w:pPr>
              <w:spacing w:line="360" w:lineRule="auto"/>
              <w:jc w:val="center"/>
              <w:rPr>
                <w:rFonts w:ascii="宋体" w:hAnsi="宋体"/>
                <w:szCs w:val="21"/>
              </w:rPr>
            </w:pPr>
            <w:r>
              <w:rPr>
                <w:rFonts w:ascii="宋体" w:hAnsi="宋体"/>
                <w:szCs w:val="21"/>
              </w:rPr>
              <w:t>2</w:t>
            </w:r>
          </w:p>
        </w:tc>
        <w:tc>
          <w:tcPr>
            <w:tcW w:w="404" w:type="dxa"/>
            <w:noWrap w:val="0"/>
            <w:vAlign w:val="center"/>
          </w:tcPr>
          <w:p>
            <w:pPr>
              <w:spacing w:line="360" w:lineRule="auto"/>
              <w:jc w:val="center"/>
              <w:rPr>
                <w:rFonts w:ascii="宋体" w:hAnsi="宋体"/>
                <w:szCs w:val="21"/>
              </w:rPr>
            </w:pPr>
            <w:r>
              <w:rPr>
                <w:rFonts w:ascii="宋体" w:hAnsi="宋体"/>
                <w:szCs w:val="21"/>
              </w:rPr>
              <w:t>3</w:t>
            </w:r>
          </w:p>
        </w:tc>
        <w:tc>
          <w:tcPr>
            <w:tcW w:w="404" w:type="dxa"/>
            <w:noWrap w:val="0"/>
            <w:vAlign w:val="center"/>
          </w:tcPr>
          <w:p>
            <w:pPr>
              <w:spacing w:line="360" w:lineRule="auto"/>
              <w:jc w:val="center"/>
              <w:rPr>
                <w:rFonts w:ascii="宋体" w:hAnsi="宋体"/>
                <w:szCs w:val="21"/>
              </w:rPr>
            </w:pPr>
            <w:r>
              <w:rPr>
                <w:rFonts w:ascii="宋体" w:hAnsi="宋体"/>
                <w:szCs w:val="21"/>
              </w:rPr>
              <w:t>4</w:t>
            </w:r>
          </w:p>
        </w:tc>
        <w:tc>
          <w:tcPr>
            <w:tcW w:w="430" w:type="dxa"/>
            <w:noWrap w:val="0"/>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noWrap w:val="0"/>
            <w:vAlign w:val="center"/>
          </w:tcPr>
          <w:p>
            <w:pPr>
              <w:spacing w:line="360" w:lineRule="auto"/>
              <w:ind w:left="105" w:leftChars="50"/>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30"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36"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3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noWrap w:val="0"/>
            <w:vAlign w:val="center"/>
          </w:tcPr>
          <w:p>
            <w:pPr>
              <w:spacing w:line="360" w:lineRule="auto"/>
              <w:ind w:left="105" w:leftChars="50"/>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30"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36"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3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noWrap w:val="0"/>
            <w:vAlign w:val="center"/>
          </w:tcPr>
          <w:p>
            <w:pPr>
              <w:spacing w:line="360" w:lineRule="auto"/>
              <w:ind w:left="105" w:leftChars="50"/>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30"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36"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3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noWrap w:val="0"/>
            <w:vAlign w:val="center"/>
          </w:tcPr>
          <w:p>
            <w:pPr>
              <w:spacing w:line="360" w:lineRule="auto"/>
              <w:ind w:left="105" w:leftChars="50"/>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30"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36"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3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noWrap w:val="0"/>
            <w:vAlign w:val="center"/>
          </w:tcPr>
          <w:p>
            <w:pPr>
              <w:spacing w:line="360" w:lineRule="auto"/>
              <w:ind w:left="105" w:leftChars="50"/>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30"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36"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3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noWrap w:val="0"/>
            <w:vAlign w:val="center"/>
          </w:tcPr>
          <w:p>
            <w:pPr>
              <w:spacing w:line="360" w:lineRule="auto"/>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30"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36"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3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noWrap w:val="0"/>
            <w:vAlign w:val="center"/>
          </w:tcPr>
          <w:p>
            <w:pPr>
              <w:spacing w:line="360" w:lineRule="auto"/>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30"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36"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3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noWrap w:val="0"/>
            <w:vAlign w:val="center"/>
          </w:tcPr>
          <w:p>
            <w:pPr>
              <w:spacing w:line="360" w:lineRule="auto"/>
              <w:ind w:left="105" w:leftChars="50"/>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3"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30"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26" w:type="dxa"/>
            <w:noWrap w:val="0"/>
            <w:vAlign w:val="center"/>
          </w:tcPr>
          <w:p>
            <w:pPr>
              <w:spacing w:line="360" w:lineRule="auto"/>
              <w:jc w:val="center"/>
              <w:rPr>
                <w:rFonts w:ascii="宋体" w:hAnsi="宋体"/>
                <w:szCs w:val="21"/>
              </w:rPr>
            </w:pPr>
          </w:p>
        </w:tc>
        <w:tc>
          <w:tcPr>
            <w:tcW w:w="436"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04" w:type="dxa"/>
            <w:noWrap w:val="0"/>
            <w:vAlign w:val="center"/>
          </w:tcPr>
          <w:p>
            <w:pPr>
              <w:spacing w:line="360" w:lineRule="auto"/>
              <w:jc w:val="center"/>
              <w:rPr>
                <w:rFonts w:ascii="宋体" w:hAnsi="宋体"/>
                <w:szCs w:val="21"/>
              </w:rPr>
            </w:pPr>
          </w:p>
        </w:tc>
        <w:tc>
          <w:tcPr>
            <w:tcW w:w="43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tcBorders>
              <w:bottom w:val="single" w:color="auto" w:sz="12" w:space="0"/>
            </w:tcBorders>
            <w:noWrap w:val="0"/>
            <w:vAlign w:val="center"/>
          </w:tcPr>
          <w:p>
            <w:pPr>
              <w:spacing w:line="360" w:lineRule="auto"/>
              <w:ind w:left="105" w:leftChars="50"/>
              <w:rPr>
                <w:rFonts w:ascii="宋体" w:hAnsi="宋体"/>
                <w:szCs w:val="21"/>
              </w:rPr>
            </w:pPr>
          </w:p>
        </w:tc>
        <w:tc>
          <w:tcPr>
            <w:tcW w:w="403" w:type="dxa"/>
            <w:tcBorders>
              <w:bottom w:val="single" w:color="auto" w:sz="12" w:space="0"/>
            </w:tcBorders>
            <w:noWrap w:val="0"/>
            <w:vAlign w:val="center"/>
          </w:tcPr>
          <w:p>
            <w:pPr>
              <w:spacing w:line="360" w:lineRule="auto"/>
              <w:jc w:val="center"/>
              <w:rPr>
                <w:rFonts w:ascii="宋体" w:hAnsi="宋体"/>
                <w:szCs w:val="21"/>
              </w:rPr>
            </w:pPr>
          </w:p>
        </w:tc>
        <w:tc>
          <w:tcPr>
            <w:tcW w:w="403" w:type="dxa"/>
            <w:tcBorders>
              <w:bottom w:val="single" w:color="auto" w:sz="12" w:space="0"/>
            </w:tcBorders>
            <w:noWrap w:val="0"/>
            <w:vAlign w:val="center"/>
          </w:tcPr>
          <w:p>
            <w:pPr>
              <w:spacing w:line="360" w:lineRule="auto"/>
              <w:jc w:val="center"/>
              <w:rPr>
                <w:rFonts w:ascii="宋体" w:hAnsi="宋体"/>
                <w:szCs w:val="21"/>
              </w:rPr>
            </w:pPr>
          </w:p>
        </w:tc>
        <w:tc>
          <w:tcPr>
            <w:tcW w:w="403" w:type="dxa"/>
            <w:tcBorders>
              <w:bottom w:val="single" w:color="auto" w:sz="12" w:space="0"/>
            </w:tcBorders>
            <w:noWrap w:val="0"/>
            <w:vAlign w:val="center"/>
          </w:tcPr>
          <w:p>
            <w:pPr>
              <w:spacing w:line="360" w:lineRule="auto"/>
              <w:jc w:val="center"/>
              <w:rPr>
                <w:rFonts w:ascii="宋体" w:hAnsi="宋体"/>
                <w:szCs w:val="21"/>
              </w:rPr>
            </w:pPr>
          </w:p>
        </w:tc>
        <w:tc>
          <w:tcPr>
            <w:tcW w:w="403" w:type="dxa"/>
            <w:tcBorders>
              <w:bottom w:val="single" w:color="auto" w:sz="12" w:space="0"/>
            </w:tcBorders>
            <w:noWrap w:val="0"/>
            <w:vAlign w:val="center"/>
          </w:tcPr>
          <w:p>
            <w:pPr>
              <w:spacing w:line="360" w:lineRule="auto"/>
              <w:jc w:val="center"/>
              <w:rPr>
                <w:rFonts w:ascii="宋体" w:hAnsi="宋体"/>
                <w:szCs w:val="21"/>
              </w:rPr>
            </w:pPr>
          </w:p>
        </w:tc>
        <w:tc>
          <w:tcPr>
            <w:tcW w:w="403"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26" w:type="dxa"/>
            <w:tcBorders>
              <w:bottom w:val="single" w:color="auto" w:sz="12" w:space="0"/>
            </w:tcBorders>
            <w:noWrap w:val="0"/>
            <w:vAlign w:val="center"/>
          </w:tcPr>
          <w:p>
            <w:pPr>
              <w:spacing w:line="360" w:lineRule="auto"/>
              <w:jc w:val="center"/>
              <w:rPr>
                <w:rFonts w:ascii="宋体" w:hAnsi="宋体"/>
                <w:szCs w:val="21"/>
              </w:rPr>
            </w:pPr>
          </w:p>
        </w:tc>
        <w:tc>
          <w:tcPr>
            <w:tcW w:w="426" w:type="dxa"/>
            <w:tcBorders>
              <w:bottom w:val="single" w:color="auto" w:sz="12" w:space="0"/>
            </w:tcBorders>
            <w:noWrap w:val="0"/>
            <w:vAlign w:val="center"/>
          </w:tcPr>
          <w:p>
            <w:pPr>
              <w:spacing w:line="360" w:lineRule="auto"/>
              <w:jc w:val="center"/>
              <w:rPr>
                <w:rFonts w:ascii="宋体" w:hAnsi="宋体"/>
                <w:szCs w:val="21"/>
              </w:rPr>
            </w:pPr>
          </w:p>
        </w:tc>
        <w:tc>
          <w:tcPr>
            <w:tcW w:w="430"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26" w:type="dxa"/>
            <w:tcBorders>
              <w:bottom w:val="single" w:color="auto" w:sz="12" w:space="0"/>
            </w:tcBorders>
            <w:noWrap w:val="0"/>
            <w:vAlign w:val="center"/>
          </w:tcPr>
          <w:p>
            <w:pPr>
              <w:spacing w:line="360" w:lineRule="auto"/>
              <w:jc w:val="center"/>
              <w:rPr>
                <w:rFonts w:ascii="宋体" w:hAnsi="宋体"/>
                <w:szCs w:val="21"/>
              </w:rPr>
            </w:pPr>
          </w:p>
        </w:tc>
        <w:tc>
          <w:tcPr>
            <w:tcW w:w="426" w:type="dxa"/>
            <w:tcBorders>
              <w:bottom w:val="single" w:color="auto" w:sz="12" w:space="0"/>
            </w:tcBorders>
            <w:noWrap w:val="0"/>
            <w:vAlign w:val="center"/>
          </w:tcPr>
          <w:p>
            <w:pPr>
              <w:spacing w:line="360" w:lineRule="auto"/>
              <w:jc w:val="center"/>
              <w:rPr>
                <w:rFonts w:ascii="宋体" w:hAnsi="宋体"/>
                <w:szCs w:val="21"/>
              </w:rPr>
            </w:pPr>
          </w:p>
        </w:tc>
        <w:tc>
          <w:tcPr>
            <w:tcW w:w="436"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04" w:type="dxa"/>
            <w:tcBorders>
              <w:bottom w:val="single" w:color="auto" w:sz="12" w:space="0"/>
            </w:tcBorders>
            <w:noWrap w:val="0"/>
            <w:vAlign w:val="center"/>
          </w:tcPr>
          <w:p>
            <w:pPr>
              <w:spacing w:line="360" w:lineRule="auto"/>
              <w:jc w:val="center"/>
              <w:rPr>
                <w:rFonts w:ascii="宋体" w:hAnsi="宋体"/>
                <w:szCs w:val="21"/>
              </w:rPr>
            </w:pPr>
          </w:p>
        </w:tc>
        <w:tc>
          <w:tcPr>
            <w:tcW w:w="430" w:type="dxa"/>
            <w:tcBorders>
              <w:bottom w:val="single" w:color="auto" w:sz="12" w:space="0"/>
            </w:tcBorders>
            <w:noWrap w:val="0"/>
            <w:vAlign w:val="center"/>
          </w:tcPr>
          <w:p>
            <w:pPr>
              <w:spacing w:line="360" w:lineRule="auto"/>
              <w:jc w:val="center"/>
              <w:rPr>
                <w:rFonts w:ascii="宋体" w:hAnsi="宋体"/>
                <w:szCs w:val="21"/>
              </w:rPr>
            </w:pPr>
          </w:p>
        </w:tc>
      </w:tr>
    </w:tbl>
    <w:p>
      <w:pPr>
        <w:spacing w:line="360" w:lineRule="auto"/>
        <w:rPr>
          <w:rFonts w:ascii="宋体" w:hAnsi="宋体"/>
        </w:rPr>
        <w:sectPr>
          <w:type w:val="continuous"/>
          <w:pgSz w:w="16838" w:h="11906" w:orient="landscape"/>
          <w:pgMar w:top="1440" w:right="1080" w:bottom="1440" w:left="1080" w:header="851" w:footer="992" w:gutter="0"/>
          <w:pgNumType w:fmt="numberInDash"/>
          <w:cols w:space="720" w:num="1"/>
          <w:docGrid w:type="lines" w:linePitch="312" w:charSpace="0"/>
        </w:sectPr>
      </w:pPr>
    </w:p>
    <w:p>
      <w:pPr>
        <w:spacing w:before="120" w:line="360" w:lineRule="auto"/>
        <w:outlineLvl w:val="3"/>
        <w:rPr>
          <w:rFonts w:hint="eastAsia" w:ascii="宋体" w:hAnsi="宋体" w:cs="宋体"/>
          <w:b/>
          <w:bCs/>
          <w:sz w:val="28"/>
          <w:szCs w:val="28"/>
        </w:rPr>
      </w:pPr>
    </w:p>
    <w:p>
      <w:pPr>
        <w:spacing w:before="120" w:line="360" w:lineRule="auto"/>
        <w:outlineLvl w:val="3"/>
        <w:rPr>
          <w:rFonts w:hint="eastAsia" w:ascii="宋体" w:hAnsi="宋体" w:cs="宋体"/>
          <w:b/>
          <w:bCs/>
          <w:sz w:val="28"/>
          <w:szCs w:val="28"/>
        </w:rPr>
      </w:pPr>
    </w:p>
    <w:p>
      <w:pPr>
        <w:spacing w:before="120" w:line="360" w:lineRule="auto"/>
        <w:outlineLvl w:val="3"/>
        <w:rPr>
          <w:rFonts w:hint="eastAsia" w:ascii="宋体" w:hAnsi="宋体" w:cs="宋体"/>
          <w:b/>
          <w:bCs/>
          <w:sz w:val="28"/>
          <w:szCs w:val="28"/>
        </w:rPr>
      </w:pPr>
    </w:p>
    <w:p>
      <w:pPr>
        <w:spacing w:before="120" w:line="360" w:lineRule="auto"/>
        <w:outlineLvl w:val="3"/>
        <w:rPr>
          <w:rFonts w:hint="eastAsia" w:ascii="宋体" w:hAnsi="宋体" w:cs="宋体"/>
          <w:b/>
          <w:bCs/>
          <w:sz w:val="28"/>
          <w:szCs w:val="28"/>
        </w:rPr>
      </w:pPr>
    </w:p>
    <w:p>
      <w:pPr>
        <w:spacing w:before="120" w:line="360" w:lineRule="auto"/>
        <w:outlineLvl w:val="3"/>
        <w:rPr>
          <w:rFonts w:ascii="宋体" w:hAnsi="宋体" w:cs="宋体"/>
          <w:b/>
          <w:bCs/>
          <w:sz w:val="28"/>
          <w:szCs w:val="28"/>
        </w:rPr>
      </w:pPr>
      <w:r>
        <w:rPr>
          <w:rFonts w:ascii="宋体" w:hAnsi="宋体" w:cs="宋体"/>
          <w:b/>
          <w:bCs/>
          <w:sz w:val="28"/>
          <w:szCs w:val="28"/>
        </w:rPr>
        <w:br w:type="page"/>
      </w:r>
      <w:r>
        <w:rPr>
          <w:rFonts w:hint="eastAsia" w:ascii="宋体" w:hAnsi="宋体" w:cs="宋体"/>
          <w:b/>
          <w:bCs/>
          <w:sz w:val="28"/>
          <w:szCs w:val="28"/>
        </w:rPr>
        <w:t>附表二    分项工程进度率计划（斜率图）</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tcBorders>
              <w:top w:val="single" w:color="auto" w:sz="12" w:space="0"/>
            </w:tcBorders>
            <w:noWrap w:val="0"/>
            <w:vAlign w:val="center"/>
          </w:tcPr>
          <w:p>
            <w:pPr>
              <w:spacing w:line="360" w:lineRule="auto"/>
              <w:jc w:val="center"/>
              <w:rPr>
                <w:rFonts w:ascii="宋体" w:hAnsi="宋体"/>
                <w:szCs w:val="21"/>
              </w:rPr>
            </w:pPr>
            <w:r>
              <w:rPr>
                <w:rFonts w:hint="eastAsia" w:ascii="宋体" w:hAnsi="宋体"/>
                <w:szCs w:val="21"/>
              </w:rPr>
              <w:t>年度</w:t>
            </w:r>
          </w:p>
        </w:tc>
        <w:tc>
          <w:tcPr>
            <w:tcW w:w="5605" w:type="dxa"/>
            <w:gridSpan w:val="12"/>
            <w:tcBorders>
              <w:top w:val="single" w:color="auto" w:sz="12" w:space="0"/>
            </w:tcBorders>
            <w:noWrap w:val="0"/>
            <w:vAlign w:val="center"/>
          </w:tcPr>
          <w:p>
            <w:pPr>
              <w:spacing w:line="360" w:lineRule="auto"/>
              <w:jc w:val="center"/>
              <w:rPr>
                <w:rFonts w:ascii="宋体" w:hAnsi="宋体"/>
                <w:szCs w:val="21"/>
              </w:rPr>
            </w:pPr>
            <w:r>
              <w:rPr>
                <w:rFonts w:hint="eastAsia" w:ascii="宋体" w:hAnsi="宋体"/>
                <w:szCs w:val="21"/>
              </w:rPr>
              <w:t>年</w:t>
            </w:r>
          </w:p>
        </w:tc>
        <w:tc>
          <w:tcPr>
            <w:tcW w:w="5139" w:type="dxa"/>
            <w:gridSpan w:val="11"/>
            <w:tcBorders>
              <w:top w:val="single" w:color="auto" w:sz="12" w:space="0"/>
            </w:tcBorders>
            <w:noWrap w:val="0"/>
            <w:vAlign w:val="center"/>
          </w:tcPr>
          <w:p>
            <w:pPr>
              <w:spacing w:line="360" w:lineRule="auto"/>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noWrap w:val="0"/>
            <w:vAlign w:val="center"/>
          </w:tcPr>
          <w:p>
            <w:pPr>
              <w:spacing w:line="360" w:lineRule="auto"/>
              <w:jc w:val="center"/>
              <w:rPr>
                <w:rFonts w:ascii="宋体" w:hAnsi="宋体"/>
                <w:szCs w:val="21"/>
              </w:rPr>
            </w:pPr>
            <w:r>
              <w:rPr>
                <w:rFonts w:hint="eastAsia" w:ascii="宋体" w:hAnsi="宋体"/>
                <w:szCs w:val="21"/>
              </w:rPr>
              <w:t>季度</w:t>
            </w:r>
          </w:p>
        </w:tc>
        <w:tc>
          <w:tcPr>
            <w:tcW w:w="1401" w:type="dxa"/>
            <w:gridSpan w:val="3"/>
            <w:noWrap w:val="0"/>
            <w:vAlign w:val="center"/>
          </w:tcPr>
          <w:p>
            <w:pPr>
              <w:spacing w:line="360" w:lineRule="auto"/>
              <w:jc w:val="center"/>
              <w:rPr>
                <w:rFonts w:ascii="宋体" w:hAnsi="宋体"/>
                <w:szCs w:val="21"/>
              </w:rPr>
            </w:pPr>
            <w:r>
              <w:rPr>
                <w:rFonts w:hint="eastAsia" w:ascii="宋体" w:hAnsi="宋体"/>
                <w:szCs w:val="21"/>
              </w:rPr>
              <w:t>一</w:t>
            </w:r>
          </w:p>
        </w:tc>
        <w:tc>
          <w:tcPr>
            <w:tcW w:w="1401" w:type="dxa"/>
            <w:gridSpan w:val="3"/>
            <w:noWrap w:val="0"/>
            <w:vAlign w:val="center"/>
          </w:tcPr>
          <w:p>
            <w:pPr>
              <w:spacing w:line="360" w:lineRule="auto"/>
              <w:jc w:val="center"/>
              <w:rPr>
                <w:rFonts w:ascii="宋体" w:hAnsi="宋体"/>
                <w:szCs w:val="21"/>
              </w:rPr>
            </w:pPr>
            <w:r>
              <w:rPr>
                <w:rFonts w:hint="eastAsia" w:ascii="宋体" w:hAnsi="宋体"/>
                <w:szCs w:val="21"/>
              </w:rPr>
              <w:t>二</w:t>
            </w:r>
          </w:p>
        </w:tc>
        <w:tc>
          <w:tcPr>
            <w:tcW w:w="1402" w:type="dxa"/>
            <w:gridSpan w:val="3"/>
            <w:noWrap w:val="0"/>
            <w:vAlign w:val="center"/>
          </w:tcPr>
          <w:p>
            <w:pPr>
              <w:spacing w:line="360" w:lineRule="auto"/>
              <w:jc w:val="center"/>
              <w:rPr>
                <w:rFonts w:ascii="宋体" w:hAnsi="宋体"/>
                <w:szCs w:val="21"/>
              </w:rPr>
            </w:pPr>
            <w:r>
              <w:rPr>
                <w:rFonts w:hint="eastAsia" w:ascii="宋体" w:hAnsi="宋体"/>
                <w:szCs w:val="21"/>
              </w:rPr>
              <w:t>三</w:t>
            </w:r>
          </w:p>
        </w:tc>
        <w:tc>
          <w:tcPr>
            <w:tcW w:w="1401" w:type="dxa"/>
            <w:gridSpan w:val="3"/>
            <w:noWrap w:val="0"/>
            <w:vAlign w:val="center"/>
          </w:tcPr>
          <w:p>
            <w:pPr>
              <w:spacing w:line="360" w:lineRule="auto"/>
              <w:jc w:val="center"/>
              <w:rPr>
                <w:rFonts w:ascii="宋体" w:hAnsi="宋体"/>
                <w:szCs w:val="21"/>
              </w:rPr>
            </w:pPr>
            <w:r>
              <w:rPr>
                <w:rFonts w:hint="eastAsia" w:ascii="宋体" w:hAnsi="宋体"/>
                <w:szCs w:val="21"/>
              </w:rPr>
              <w:t>四</w:t>
            </w:r>
          </w:p>
        </w:tc>
        <w:tc>
          <w:tcPr>
            <w:tcW w:w="1401" w:type="dxa"/>
            <w:gridSpan w:val="3"/>
            <w:noWrap w:val="0"/>
            <w:vAlign w:val="center"/>
          </w:tcPr>
          <w:p>
            <w:pPr>
              <w:spacing w:line="360" w:lineRule="auto"/>
              <w:jc w:val="center"/>
              <w:rPr>
                <w:rFonts w:ascii="宋体" w:hAnsi="宋体"/>
                <w:szCs w:val="21"/>
              </w:rPr>
            </w:pPr>
            <w:r>
              <w:rPr>
                <w:rFonts w:hint="eastAsia" w:ascii="宋体" w:hAnsi="宋体"/>
                <w:szCs w:val="21"/>
              </w:rPr>
              <w:t>一</w:t>
            </w:r>
          </w:p>
        </w:tc>
        <w:tc>
          <w:tcPr>
            <w:tcW w:w="1402" w:type="dxa"/>
            <w:gridSpan w:val="3"/>
            <w:noWrap w:val="0"/>
            <w:vAlign w:val="center"/>
          </w:tcPr>
          <w:p>
            <w:pPr>
              <w:spacing w:line="360" w:lineRule="auto"/>
              <w:jc w:val="center"/>
              <w:rPr>
                <w:rFonts w:ascii="宋体" w:hAnsi="宋体"/>
                <w:szCs w:val="21"/>
              </w:rPr>
            </w:pPr>
            <w:r>
              <w:rPr>
                <w:rFonts w:hint="eastAsia" w:ascii="宋体" w:hAnsi="宋体"/>
                <w:szCs w:val="21"/>
              </w:rPr>
              <w:t>二</w:t>
            </w:r>
          </w:p>
        </w:tc>
        <w:tc>
          <w:tcPr>
            <w:tcW w:w="1401" w:type="dxa"/>
            <w:gridSpan w:val="3"/>
            <w:noWrap w:val="0"/>
            <w:vAlign w:val="center"/>
          </w:tcPr>
          <w:p>
            <w:pPr>
              <w:spacing w:line="360" w:lineRule="auto"/>
              <w:jc w:val="center"/>
              <w:rPr>
                <w:rFonts w:ascii="宋体" w:hAnsi="宋体"/>
                <w:szCs w:val="21"/>
              </w:rPr>
            </w:pPr>
            <w:r>
              <w:rPr>
                <w:rFonts w:hint="eastAsia" w:ascii="宋体" w:hAnsi="宋体"/>
                <w:szCs w:val="21"/>
              </w:rPr>
              <w:t>三</w:t>
            </w:r>
          </w:p>
        </w:tc>
        <w:tc>
          <w:tcPr>
            <w:tcW w:w="935" w:type="dxa"/>
            <w:gridSpan w:val="2"/>
            <w:noWrap w:val="0"/>
            <w:vAlign w:val="center"/>
          </w:tcPr>
          <w:p>
            <w:pPr>
              <w:spacing w:line="360" w:lineRule="auto"/>
              <w:jc w:val="cente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noWrap w:val="0"/>
            <w:vAlign w:val="center"/>
          </w:tcPr>
          <w:p>
            <w:pPr>
              <w:spacing w:line="360" w:lineRule="auto"/>
              <w:jc w:val="center"/>
              <w:rPr>
                <w:rFonts w:ascii="宋体" w:hAnsi="宋体"/>
                <w:szCs w:val="21"/>
              </w:rPr>
            </w:pPr>
            <w:r>
              <w:rPr>
                <w:rFonts w:hint="eastAsia" w:ascii="宋体" w:hAnsi="宋体"/>
                <w:szCs w:val="21"/>
              </w:rPr>
              <w:t>月份</w:t>
            </w:r>
          </w:p>
        </w:tc>
        <w:tc>
          <w:tcPr>
            <w:tcW w:w="467" w:type="dxa"/>
            <w:noWrap w:val="0"/>
            <w:vAlign w:val="center"/>
          </w:tcPr>
          <w:p>
            <w:pPr>
              <w:spacing w:line="360" w:lineRule="auto"/>
              <w:jc w:val="center"/>
              <w:rPr>
                <w:rFonts w:ascii="宋体" w:hAnsi="宋体"/>
                <w:szCs w:val="21"/>
              </w:rPr>
            </w:pPr>
            <w:r>
              <w:rPr>
                <w:rFonts w:ascii="宋体" w:hAnsi="宋体"/>
                <w:szCs w:val="21"/>
              </w:rPr>
              <w:t>1</w:t>
            </w:r>
          </w:p>
        </w:tc>
        <w:tc>
          <w:tcPr>
            <w:tcW w:w="467" w:type="dxa"/>
            <w:noWrap w:val="0"/>
            <w:vAlign w:val="center"/>
          </w:tcPr>
          <w:p>
            <w:pPr>
              <w:spacing w:line="360" w:lineRule="auto"/>
              <w:jc w:val="center"/>
              <w:rPr>
                <w:rFonts w:ascii="宋体" w:hAnsi="宋体"/>
                <w:szCs w:val="21"/>
              </w:rPr>
            </w:pPr>
            <w:r>
              <w:rPr>
                <w:rFonts w:ascii="宋体" w:hAnsi="宋体"/>
                <w:szCs w:val="21"/>
              </w:rPr>
              <w:t>2</w:t>
            </w:r>
          </w:p>
        </w:tc>
        <w:tc>
          <w:tcPr>
            <w:tcW w:w="467" w:type="dxa"/>
            <w:noWrap w:val="0"/>
            <w:vAlign w:val="center"/>
          </w:tcPr>
          <w:p>
            <w:pPr>
              <w:spacing w:line="360" w:lineRule="auto"/>
              <w:jc w:val="center"/>
              <w:rPr>
                <w:rFonts w:ascii="宋体" w:hAnsi="宋体"/>
                <w:szCs w:val="21"/>
              </w:rPr>
            </w:pPr>
            <w:r>
              <w:rPr>
                <w:rFonts w:ascii="宋体" w:hAnsi="宋体"/>
                <w:szCs w:val="21"/>
              </w:rPr>
              <w:t>3</w:t>
            </w:r>
          </w:p>
        </w:tc>
        <w:tc>
          <w:tcPr>
            <w:tcW w:w="467" w:type="dxa"/>
            <w:noWrap w:val="0"/>
            <w:vAlign w:val="center"/>
          </w:tcPr>
          <w:p>
            <w:pPr>
              <w:spacing w:line="360" w:lineRule="auto"/>
              <w:jc w:val="center"/>
              <w:rPr>
                <w:rFonts w:ascii="宋体" w:hAnsi="宋体"/>
                <w:szCs w:val="21"/>
              </w:rPr>
            </w:pPr>
            <w:r>
              <w:rPr>
                <w:rFonts w:ascii="宋体" w:hAnsi="宋体"/>
                <w:szCs w:val="21"/>
              </w:rPr>
              <w:t>4</w:t>
            </w:r>
          </w:p>
        </w:tc>
        <w:tc>
          <w:tcPr>
            <w:tcW w:w="467" w:type="dxa"/>
            <w:noWrap w:val="0"/>
            <w:vAlign w:val="center"/>
          </w:tcPr>
          <w:p>
            <w:pPr>
              <w:spacing w:line="360" w:lineRule="auto"/>
              <w:jc w:val="center"/>
              <w:rPr>
                <w:rFonts w:ascii="宋体" w:hAnsi="宋体"/>
                <w:szCs w:val="21"/>
              </w:rPr>
            </w:pPr>
            <w:r>
              <w:rPr>
                <w:rFonts w:ascii="宋体" w:hAnsi="宋体"/>
                <w:szCs w:val="21"/>
              </w:rPr>
              <w:t>5</w:t>
            </w:r>
          </w:p>
        </w:tc>
        <w:tc>
          <w:tcPr>
            <w:tcW w:w="467" w:type="dxa"/>
            <w:noWrap w:val="0"/>
            <w:vAlign w:val="center"/>
          </w:tcPr>
          <w:p>
            <w:pPr>
              <w:spacing w:line="360" w:lineRule="auto"/>
              <w:jc w:val="center"/>
              <w:rPr>
                <w:rFonts w:ascii="宋体" w:hAnsi="宋体"/>
                <w:szCs w:val="21"/>
              </w:rPr>
            </w:pPr>
            <w:r>
              <w:rPr>
                <w:rFonts w:ascii="宋体" w:hAnsi="宋体"/>
                <w:szCs w:val="21"/>
              </w:rPr>
              <w:t>6</w:t>
            </w:r>
          </w:p>
        </w:tc>
        <w:tc>
          <w:tcPr>
            <w:tcW w:w="467" w:type="dxa"/>
            <w:noWrap w:val="0"/>
            <w:vAlign w:val="center"/>
          </w:tcPr>
          <w:p>
            <w:pPr>
              <w:spacing w:line="360" w:lineRule="auto"/>
              <w:jc w:val="center"/>
              <w:rPr>
                <w:rFonts w:ascii="宋体" w:hAnsi="宋体"/>
                <w:szCs w:val="21"/>
              </w:rPr>
            </w:pPr>
            <w:r>
              <w:rPr>
                <w:rFonts w:ascii="宋体" w:hAnsi="宋体"/>
                <w:szCs w:val="21"/>
              </w:rPr>
              <w:t>7</w:t>
            </w:r>
          </w:p>
        </w:tc>
        <w:tc>
          <w:tcPr>
            <w:tcW w:w="468" w:type="dxa"/>
            <w:noWrap w:val="0"/>
            <w:vAlign w:val="center"/>
          </w:tcPr>
          <w:p>
            <w:pPr>
              <w:spacing w:line="360" w:lineRule="auto"/>
              <w:jc w:val="center"/>
              <w:rPr>
                <w:rFonts w:ascii="宋体" w:hAnsi="宋体"/>
                <w:szCs w:val="21"/>
              </w:rPr>
            </w:pPr>
            <w:r>
              <w:rPr>
                <w:rFonts w:ascii="宋体" w:hAnsi="宋体"/>
                <w:szCs w:val="21"/>
              </w:rPr>
              <w:t>8</w:t>
            </w:r>
          </w:p>
        </w:tc>
        <w:tc>
          <w:tcPr>
            <w:tcW w:w="467" w:type="dxa"/>
            <w:noWrap w:val="0"/>
            <w:vAlign w:val="center"/>
          </w:tcPr>
          <w:p>
            <w:pPr>
              <w:spacing w:line="360" w:lineRule="auto"/>
              <w:jc w:val="center"/>
              <w:rPr>
                <w:rFonts w:ascii="宋体" w:hAnsi="宋体"/>
                <w:szCs w:val="21"/>
              </w:rPr>
            </w:pPr>
            <w:r>
              <w:rPr>
                <w:rFonts w:ascii="宋体" w:hAnsi="宋体"/>
                <w:szCs w:val="21"/>
              </w:rPr>
              <w:t>9</w:t>
            </w:r>
          </w:p>
        </w:tc>
        <w:tc>
          <w:tcPr>
            <w:tcW w:w="467" w:type="dxa"/>
            <w:noWrap w:val="0"/>
            <w:vAlign w:val="center"/>
          </w:tcPr>
          <w:p>
            <w:pPr>
              <w:spacing w:line="360" w:lineRule="auto"/>
              <w:jc w:val="center"/>
              <w:rPr>
                <w:rFonts w:ascii="宋体" w:hAnsi="宋体"/>
                <w:szCs w:val="21"/>
              </w:rPr>
            </w:pPr>
            <w:r>
              <w:rPr>
                <w:rFonts w:ascii="宋体" w:hAnsi="宋体"/>
                <w:szCs w:val="21"/>
              </w:rPr>
              <w:t>10</w:t>
            </w:r>
          </w:p>
        </w:tc>
        <w:tc>
          <w:tcPr>
            <w:tcW w:w="467" w:type="dxa"/>
            <w:noWrap w:val="0"/>
            <w:vAlign w:val="center"/>
          </w:tcPr>
          <w:p>
            <w:pPr>
              <w:spacing w:line="360" w:lineRule="auto"/>
              <w:jc w:val="center"/>
              <w:rPr>
                <w:rFonts w:ascii="宋体" w:hAnsi="宋体"/>
                <w:szCs w:val="21"/>
              </w:rPr>
            </w:pPr>
            <w:r>
              <w:rPr>
                <w:rFonts w:ascii="宋体" w:hAnsi="宋体"/>
                <w:szCs w:val="21"/>
              </w:rPr>
              <w:t>11</w:t>
            </w:r>
          </w:p>
        </w:tc>
        <w:tc>
          <w:tcPr>
            <w:tcW w:w="467" w:type="dxa"/>
            <w:noWrap w:val="0"/>
            <w:vAlign w:val="center"/>
          </w:tcPr>
          <w:p>
            <w:pPr>
              <w:spacing w:line="360" w:lineRule="auto"/>
              <w:jc w:val="center"/>
              <w:rPr>
                <w:rFonts w:ascii="宋体" w:hAnsi="宋体"/>
                <w:szCs w:val="21"/>
              </w:rPr>
            </w:pPr>
            <w:r>
              <w:rPr>
                <w:rFonts w:ascii="宋体" w:hAnsi="宋体"/>
                <w:szCs w:val="21"/>
              </w:rPr>
              <w:t>12</w:t>
            </w:r>
          </w:p>
        </w:tc>
        <w:tc>
          <w:tcPr>
            <w:tcW w:w="467" w:type="dxa"/>
            <w:noWrap w:val="0"/>
            <w:vAlign w:val="center"/>
          </w:tcPr>
          <w:p>
            <w:pPr>
              <w:spacing w:line="360" w:lineRule="auto"/>
              <w:jc w:val="center"/>
              <w:rPr>
                <w:rFonts w:ascii="宋体" w:hAnsi="宋体"/>
                <w:szCs w:val="21"/>
              </w:rPr>
            </w:pPr>
            <w:r>
              <w:rPr>
                <w:rFonts w:ascii="宋体" w:hAnsi="宋体"/>
                <w:szCs w:val="21"/>
              </w:rPr>
              <w:t>1</w:t>
            </w:r>
          </w:p>
        </w:tc>
        <w:tc>
          <w:tcPr>
            <w:tcW w:w="467" w:type="dxa"/>
            <w:noWrap w:val="0"/>
            <w:vAlign w:val="center"/>
          </w:tcPr>
          <w:p>
            <w:pPr>
              <w:spacing w:line="360" w:lineRule="auto"/>
              <w:jc w:val="center"/>
              <w:rPr>
                <w:rFonts w:ascii="宋体" w:hAnsi="宋体"/>
                <w:szCs w:val="21"/>
              </w:rPr>
            </w:pPr>
            <w:r>
              <w:rPr>
                <w:rFonts w:ascii="宋体" w:hAnsi="宋体"/>
                <w:szCs w:val="21"/>
              </w:rPr>
              <w:t>2</w:t>
            </w:r>
          </w:p>
        </w:tc>
        <w:tc>
          <w:tcPr>
            <w:tcW w:w="467" w:type="dxa"/>
            <w:noWrap w:val="0"/>
            <w:vAlign w:val="center"/>
          </w:tcPr>
          <w:p>
            <w:pPr>
              <w:spacing w:line="360" w:lineRule="auto"/>
              <w:jc w:val="center"/>
              <w:rPr>
                <w:rFonts w:ascii="宋体" w:hAnsi="宋体"/>
                <w:szCs w:val="21"/>
              </w:rPr>
            </w:pPr>
            <w:r>
              <w:rPr>
                <w:rFonts w:ascii="宋体" w:hAnsi="宋体"/>
                <w:szCs w:val="21"/>
              </w:rPr>
              <w:t>3</w:t>
            </w:r>
          </w:p>
        </w:tc>
        <w:tc>
          <w:tcPr>
            <w:tcW w:w="468" w:type="dxa"/>
            <w:noWrap w:val="0"/>
            <w:vAlign w:val="center"/>
          </w:tcPr>
          <w:p>
            <w:pPr>
              <w:spacing w:line="360" w:lineRule="auto"/>
              <w:jc w:val="center"/>
              <w:rPr>
                <w:rFonts w:ascii="宋体" w:hAnsi="宋体"/>
                <w:szCs w:val="21"/>
              </w:rPr>
            </w:pPr>
            <w:r>
              <w:rPr>
                <w:rFonts w:ascii="宋体" w:hAnsi="宋体"/>
                <w:szCs w:val="21"/>
              </w:rPr>
              <w:t>4</w:t>
            </w:r>
          </w:p>
        </w:tc>
        <w:tc>
          <w:tcPr>
            <w:tcW w:w="467" w:type="dxa"/>
            <w:noWrap w:val="0"/>
            <w:vAlign w:val="center"/>
          </w:tcPr>
          <w:p>
            <w:pPr>
              <w:spacing w:line="360" w:lineRule="auto"/>
              <w:jc w:val="center"/>
              <w:rPr>
                <w:rFonts w:ascii="宋体" w:hAnsi="宋体"/>
                <w:szCs w:val="21"/>
              </w:rPr>
            </w:pPr>
            <w:r>
              <w:rPr>
                <w:rFonts w:ascii="宋体" w:hAnsi="宋体"/>
                <w:szCs w:val="21"/>
              </w:rPr>
              <w:t>5</w:t>
            </w:r>
          </w:p>
        </w:tc>
        <w:tc>
          <w:tcPr>
            <w:tcW w:w="467" w:type="dxa"/>
            <w:noWrap w:val="0"/>
            <w:vAlign w:val="center"/>
          </w:tcPr>
          <w:p>
            <w:pPr>
              <w:spacing w:line="360" w:lineRule="auto"/>
              <w:jc w:val="center"/>
              <w:rPr>
                <w:rFonts w:ascii="宋体" w:hAnsi="宋体"/>
                <w:szCs w:val="21"/>
              </w:rPr>
            </w:pPr>
            <w:r>
              <w:rPr>
                <w:rFonts w:ascii="宋体" w:hAnsi="宋体"/>
                <w:szCs w:val="21"/>
              </w:rPr>
              <w:t>6</w:t>
            </w:r>
          </w:p>
        </w:tc>
        <w:tc>
          <w:tcPr>
            <w:tcW w:w="467" w:type="dxa"/>
            <w:noWrap w:val="0"/>
            <w:vAlign w:val="center"/>
          </w:tcPr>
          <w:p>
            <w:pPr>
              <w:spacing w:line="360" w:lineRule="auto"/>
              <w:jc w:val="center"/>
              <w:rPr>
                <w:rFonts w:ascii="宋体" w:hAnsi="宋体"/>
                <w:szCs w:val="21"/>
              </w:rPr>
            </w:pPr>
            <w:r>
              <w:rPr>
                <w:rFonts w:ascii="宋体" w:hAnsi="宋体"/>
                <w:szCs w:val="21"/>
              </w:rPr>
              <w:t>7</w:t>
            </w:r>
          </w:p>
        </w:tc>
        <w:tc>
          <w:tcPr>
            <w:tcW w:w="467" w:type="dxa"/>
            <w:noWrap w:val="0"/>
            <w:vAlign w:val="center"/>
          </w:tcPr>
          <w:p>
            <w:pPr>
              <w:spacing w:line="360" w:lineRule="auto"/>
              <w:jc w:val="center"/>
              <w:rPr>
                <w:rFonts w:ascii="宋体" w:hAnsi="宋体"/>
                <w:szCs w:val="21"/>
              </w:rPr>
            </w:pPr>
            <w:r>
              <w:rPr>
                <w:rFonts w:ascii="宋体" w:hAnsi="宋体"/>
                <w:szCs w:val="21"/>
              </w:rPr>
              <w:t>8</w:t>
            </w:r>
          </w:p>
        </w:tc>
        <w:tc>
          <w:tcPr>
            <w:tcW w:w="467" w:type="dxa"/>
            <w:noWrap w:val="0"/>
            <w:vAlign w:val="center"/>
          </w:tcPr>
          <w:p>
            <w:pPr>
              <w:spacing w:line="360" w:lineRule="auto"/>
              <w:jc w:val="center"/>
              <w:rPr>
                <w:rFonts w:ascii="宋体" w:hAnsi="宋体"/>
                <w:szCs w:val="21"/>
              </w:rPr>
            </w:pPr>
            <w:r>
              <w:rPr>
                <w:rFonts w:ascii="宋体" w:hAnsi="宋体"/>
                <w:szCs w:val="21"/>
              </w:rPr>
              <w:t>9</w:t>
            </w:r>
          </w:p>
        </w:tc>
        <w:tc>
          <w:tcPr>
            <w:tcW w:w="467" w:type="dxa"/>
            <w:noWrap w:val="0"/>
            <w:vAlign w:val="center"/>
          </w:tcPr>
          <w:p>
            <w:pPr>
              <w:spacing w:line="360" w:lineRule="auto"/>
              <w:jc w:val="center"/>
              <w:rPr>
                <w:rFonts w:ascii="宋体" w:hAnsi="宋体"/>
                <w:szCs w:val="21"/>
              </w:rPr>
            </w:pPr>
            <w:r>
              <w:rPr>
                <w:rFonts w:ascii="宋体" w:hAnsi="宋体"/>
                <w:szCs w:val="21"/>
              </w:rPr>
              <w:t>10</w:t>
            </w:r>
          </w:p>
        </w:tc>
        <w:tc>
          <w:tcPr>
            <w:tcW w:w="468" w:type="dxa"/>
            <w:noWrap w:val="0"/>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bottom w:val="nil"/>
              <w:right w:val="nil"/>
            </w:tcBorders>
            <w:noWrap w:val="0"/>
            <w:vAlign w:val="center"/>
          </w:tcPr>
          <w:p>
            <w:pPr>
              <w:spacing w:line="360" w:lineRule="auto"/>
              <w:jc w:val="left"/>
              <w:rPr>
                <w:rFonts w:ascii="宋体" w:hAnsi="宋体"/>
                <w:szCs w:val="21"/>
              </w:rPr>
            </w:pPr>
            <w:r>
              <w:rPr>
                <w:rFonts w:hint="eastAsia" w:ascii="宋体" w:hAnsi="宋体"/>
                <w:szCs w:val="21"/>
              </w:rPr>
              <w:t>图例：</w:t>
            </w:r>
          </w:p>
        </w:tc>
        <w:tc>
          <w:tcPr>
            <w:tcW w:w="1276" w:type="dxa"/>
            <w:tcBorders>
              <w:left w:val="nil"/>
              <w:bottom w:val="nil"/>
            </w:tcBorders>
            <w:noWrap w:val="0"/>
            <w:vAlign w:val="center"/>
          </w:tcPr>
          <w:p>
            <w:pPr>
              <w:spacing w:line="360" w:lineRule="auto"/>
              <w:jc w:val="right"/>
              <w:rPr>
                <w:rFonts w:ascii="宋体" w:hAnsi="宋体"/>
                <w:szCs w:val="21"/>
              </w:rPr>
            </w:pPr>
            <w:r>
              <w:rPr>
                <w:rFonts w:ascii="宋体" w:hAnsi="宋体"/>
                <w:szCs w:val="21"/>
              </w:rPr>
              <w:t>100</w:t>
            </w:r>
            <w:r>
              <w:rPr>
                <w:rFonts w:hint="eastAsia" w:ascii="宋体" w:hAnsi="宋体"/>
                <w:szCs w:val="21"/>
              </w:rPr>
              <w:t>（</w:t>
            </w:r>
            <w:r>
              <w:rPr>
                <w:rFonts w:ascii="宋体" w:hAnsi="宋体"/>
                <w:szCs w:val="21"/>
              </w:rPr>
              <w:t>%</w:t>
            </w:r>
            <w:r>
              <w:rPr>
                <w:rFonts w:hint="eastAsia" w:ascii="宋体" w:hAnsi="宋体"/>
                <w:szCs w:val="21"/>
              </w:rPr>
              <w:t>）</w:t>
            </w: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noWrap w:val="0"/>
            <w:vAlign w:val="center"/>
          </w:tcPr>
          <w:p>
            <w:pPr>
              <w:spacing w:line="360" w:lineRule="auto"/>
              <w:jc w:val="center"/>
              <w:rPr>
                <w:rFonts w:ascii="宋体" w:hAnsi="宋体"/>
                <w:szCs w:val="21"/>
              </w:rPr>
            </w:pPr>
          </w:p>
        </w:tc>
        <w:tc>
          <w:tcPr>
            <w:tcW w:w="1276" w:type="dxa"/>
            <w:tcBorders>
              <w:top w:val="nil"/>
              <w:left w:val="nil"/>
              <w:bottom w:val="nil"/>
            </w:tcBorders>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vMerge w:val="restart"/>
            <w:tcBorders>
              <w:top w:val="single" w:color="auto" w:sz="24" w:space="0"/>
              <w:right w:val="nil"/>
            </w:tcBorders>
            <w:noWrap w:val="0"/>
            <w:vAlign w:val="center"/>
          </w:tcPr>
          <w:p>
            <w:pPr>
              <w:spacing w:line="360" w:lineRule="auto"/>
              <w:jc w:val="center"/>
              <w:rPr>
                <w:rFonts w:ascii="宋体" w:hAnsi="宋体"/>
                <w:szCs w:val="21"/>
              </w:rPr>
            </w:pPr>
            <w:r>
              <w:rPr>
                <w:rFonts w:hint="eastAsia" w:ascii="宋体" w:hAnsi="宋体"/>
                <w:szCs w:val="21"/>
              </w:rPr>
              <w:t>施工准备</w:t>
            </w:r>
          </w:p>
        </w:tc>
        <w:tc>
          <w:tcPr>
            <w:tcW w:w="1276" w:type="dxa"/>
            <w:tcBorders>
              <w:top w:val="nil"/>
              <w:left w:val="nil"/>
              <w:bottom w:val="nil"/>
            </w:tcBorders>
            <w:noWrap w:val="0"/>
            <w:vAlign w:val="center"/>
          </w:tcPr>
          <w:p>
            <w:pPr>
              <w:spacing w:line="360" w:lineRule="auto"/>
              <w:jc w:val="right"/>
              <w:rPr>
                <w:rFonts w:ascii="宋体" w:hAnsi="宋体"/>
                <w:szCs w:val="21"/>
              </w:rPr>
            </w:pPr>
            <w:r>
              <w:rPr>
                <w:rFonts w:ascii="宋体" w:hAnsi="宋体"/>
                <w:szCs w:val="21"/>
              </w:rPr>
              <w:t>90</w:t>
            </w: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vMerge w:val="continue"/>
            <w:tcBorders>
              <w:bottom w:val="double" w:color="auto" w:sz="4" w:space="0"/>
              <w:right w:val="nil"/>
            </w:tcBorders>
            <w:noWrap w:val="0"/>
            <w:vAlign w:val="center"/>
          </w:tcPr>
          <w:p>
            <w:pPr>
              <w:spacing w:line="360" w:lineRule="auto"/>
              <w:jc w:val="center"/>
              <w:rPr>
                <w:rFonts w:ascii="宋体" w:hAnsi="宋体"/>
                <w:szCs w:val="21"/>
              </w:rPr>
            </w:pPr>
          </w:p>
        </w:tc>
        <w:tc>
          <w:tcPr>
            <w:tcW w:w="1276" w:type="dxa"/>
            <w:tcBorders>
              <w:top w:val="nil"/>
              <w:left w:val="nil"/>
              <w:bottom w:val="nil"/>
            </w:tcBorders>
            <w:noWrap w:val="0"/>
            <w:vAlign w:val="center"/>
          </w:tcPr>
          <w:p>
            <w:pPr>
              <w:spacing w:line="360" w:lineRule="auto"/>
              <w:jc w:val="right"/>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vMerge w:val="restart"/>
            <w:tcBorders>
              <w:top w:val="double" w:color="auto" w:sz="4" w:space="0"/>
              <w:right w:val="nil"/>
            </w:tcBorders>
            <w:noWrap w:val="0"/>
            <w:vAlign w:val="center"/>
          </w:tcPr>
          <w:p>
            <w:pPr>
              <w:spacing w:line="360" w:lineRule="auto"/>
              <w:jc w:val="center"/>
              <w:rPr>
                <w:rFonts w:ascii="宋体" w:hAnsi="宋体"/>
                <w:szCs w:val="21"/>
              </w:rPr>
            </w:pPr>
            <w:r>
              <w:rPr>
                <w:rFonts w:hint="eastAsia" w:ascii="宋体" w:hAnsi="宋体"/>
                <w:szCs w:val="21"/>
              </w:rPr>
              <w:t>路基填筑</w:t>
            </w:r>
          </w:p>
        </w:tc>
        <w:tc>
          <w:tcPr>
            <w:tcW w:w="1276" w:type="dxa"/>
            <w:tcBorders>
              <w:top w:val="nil"/>
              <w:left w:val="nil"/>
              <w:bottom w:val="nil"/>
            </w:tcBorders>
            <w:noWrap w:val="0"/>
            <w:vAlign w:val="center"/>
          </w:tcPr>
          <w:p>
            <w:pPr>
              <w:spacing w:line="360" w:lineRule="auto"/>
              <w:jc w:val="right"/>
              <w:rPr>
                <w:rFonts w:ascii="宋体" w:hAnsi="宋体"/>
                <w:szCs w:val="21"/>
              </w:rPr>
            </w:pPr>
            <w:r>
              <w:rPr>
                <w:rFonts w:ascii="宋体" w:hAnsi="宋体"/>
                <w:szCs w:val="21"/>
              </w:rPr>
              <w:t>80</w:t>
            </w: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vMerge w:val="continue"/>
            <w:tcBorders>
              <w:bottom w:val="dashDotStroked" w:color="auto" w:sz="24" w:space="0"/>
              <w:right w:val="nil"/>
            </w:tcBorders>
            <w:noWrap w:val="0"/>
            <w:vAlign w:val="center"/>
          </w:tcPr>
          <w:p>
            <w:pPr>
              <w:spacing w:line="360" w:lineRule="auto"/>
              <w:jc w:val="center"/>
              <w:rPr>
                <w:rFonts w:ascii="宋体" w:hAnsi="宋体"/>
                <w:szCs w:val="21"/>
              </w:rPr>
            </w:pPr>
          </w:p>
        </w:tc>
        <w:tc>
          <w:tcPr>
            <w:tcW w:w="1276" w:type="dxa"/>
            <w:tcBorders>
              <w:top w:val="nil"/>
              <w:left w:val="nil"/>
              <w:bottom w:val="nil"/>
            </w:tcBorders>
            <w:noWrap w:val="0"/>
            <w:vAlign w:val="center"/>
          </w:tcPr>
          <w:p>
            <w:pPr>
              <w:spacing w:line="360" w:lineRule="auto"/>
              <w:jc w:val="right"/>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vMerge w:val="restart"/>
            <w:tcBorders>
              <w:top w:val="dashDotStroked" w:color="auto" w:sz="24" w:space="0"/>
              <w:right w:val="nil"/>
            </w:tcBorders>
            <w:noWrap w:val="0"/>
            <w:vAlign w:val="center"/>
          </w:tcPr>
          <w:p>
            <w:pPr>
              <w:spacing w:line="360" w:lineRule="auto"/>
              <w:jc w:val="center"/>
              <w:rPr>
                <w:rFonts w:ascii="宋体" w:hAnsi="宋体"/>
                <w:szCs w:val="21"/>
              </w:rPr>
            </w:pPr>
            <w:r>
              <w:rPr>
                <w:rFonts w:hint="eastAsia" w:ascii="宋体" w:hAnsi="宋体"/>
                <w:szCs w:val="21"/>
              </w:rPr>
              <w:t>路面基层</w:t>
            </w:r>
          </w:p>
        </w:tc>
        <w:tc>
          <w:tcPr>
            <w:tcW w:w="1276" w:type="dxa"/>
            <w:tcBorders>
              <w:top w:val="nil"/>
              <w:left w:val="nil"/>
              <w:bottom w:val="nil"/>
            </w:tcBorders>
            <w:noWrap w:val="0"/>
            <w:vAlign w:val="center"/>
          </w:tcPr>
          <w:p>
            <w:pPr>
              <w:spacing w:line="360" w:lineRule="auto"/>
              <w:jc w:val="right"/>
              <w:rPr>
                <w:rFonts w:ascii="宋体" w:hAnsi="宋体"/>
                <w:szCs w:val="21"/>
              </w:rPr>
            </w:pPr>
            <w:r>
              <w:rPr>
                <w:rFonts w:ascii="宋体" w:hAnsi="宋体"/>
                <w:szCs w:val="21"/>
              </w:rPr>
              <w:t>70</w:t>
            </w: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vMerge w:val="continue"/>
            <w:tcBorders>
              <w:bottom w:val="triple" w:color="auto" w:sz="4" w:space="0"/>
              <w:right w:val="nil"/>
            </w:tcBorders>
            <w:noWrap w:val="0"/>
            <w:vAlign w:val="center"/>
          </w:tcPr>
          <w:p>
            <w:pPr>
              <w:spacing w:line="360" w:lineRule="auto"/>
              <w:jc w:val="center"/>
              <w:rPr>
                <w:rFonts w:ascii="宋体" w:hAnsi="宋体"/>
                <w:szCs w:val="21"/>
              </w:rPr>
            </w:pPr>
          </w:p>
        </w:tc>
        <w:tc>
          <w:tcPr>
            <w:tcW w:w="1276" w:type="dxa"/>
            <w:tcBorders>
              <w:top w:val="nil"/>
              <w:left w:val="nil"/>
              <w:bottom w:val="nil"/>
            </w:tcBorders>
            <w:noWrap w:val="0"/>
            <w:vAlign w:val="center"/>
          </w:tcPr>
          <w:p>
            <w:pPr>
              <w:spacing w:line="360" w:lineRule="auto"/>
              <w:jc w:val="right"/>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vMerge w:val="restart"/>
            <w:tcBorders>
              <w:top w:val="triple" w:color="auto" w:sz="4" w:space="0"/>
              <w:right w:val="nil"/>
            </w:tcBorders>
            <w:noWrap w:val="0"/>
            <w:vAlign w:val="center"/>
          </w:tcPr>
          <w:p>
            <w:pPr>
              <w:spacing w:line="360" w:lineRule="auto"/>
              <w:jc w:val="center"/>
              <w:rPr>
                <w:rFonts w:ascii="宋体" w:hAnsi="宋体"/>
                <w:szCs w:val="21"/>
              </w:rPr>
            </w:pPr>
            <w:r>
              <w:rPr>
                <w:rFonts w:hint="eastAsia" w:ascii="宋体" w:hAnsi="宋体"/>
                <w:szCs w:val="21"/>
              </w:rPr>
              <w:t>路面面层</w:t>
            </w:r>
          </w:p>
        </w:tc>
        <w:tc>
          <w:tcPr>
            <w:tcW w:w="1276" w:type="dxa"/>
            <w:tcBorders>
              <w:top w:val="nil"/>
              <w:left w:val="nil"/>
              <w:bottom w:val="nil"/>
            </w:tcBorders>
            <w:noWrap w:val="0"/>
            <w:vAlign w:val="center"/>
          </w:tcPr>
          <w:p>
            <w:pPr>
              <w:spacing w:line="360" w:lineRule="auto"/>
              <w:jc w:val="right"/>
              <w:rPr>
                <w:rFonts w:ascii="宋体" w:hAnsi="宋体"/>
                <w:szCs w:val="21"/>
              </w:rPr>
            </w:pPr>
            <w:r>
              <w:rPr>
                <w:rFonts w:ascii="宋体" w:hAnsi="宋体"/>
                <w:szCs w:val="21"/>
              </w:rPr>
              <w:t>60</w:t>
            </w: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vMerge w:val="continue"/>
            <w:tcBorders>
              <w:bottom w:val="wave" w:color="auto" w:sz="6" w:space="0"/>
              <w:right w:val="nil"/>
            </w:tcBorders>
            <w:noWrap w:val="0"/>
            <w:vAlign w:val="center"/>
          </w:tcPr>
          <w:p>
            <w:pPr>
              <w:spacing w:line="360" w:lineRule="auto"/>
              <w:jc w:val="center"/>
              <w:rPr>
                <w:rFonts w:ascii="宋体" w:hAnsi="宋体"/>
                <w:szCs w:val="21"/>
              </w:rPr>
            </w:pPr>
          </w:p>
        </w:tc>
        <w:tc>
          <w:tcPr>
            <w:tcW w:w="1276" w:type="dxa"/>
            <w:tcBorders>
              <w:top w:val="nil"/>
              <w:left w:val="nil"/>
              <w:bottom w:val="nil"/>
            </w:tcBorders>
            <w:noWrap w:val="0"/>
            <w:vAlign w:val="center"/>
          </w:tcPr>
          <w:p>
            <w:pPr>
              <w:spacing w:line="360" w:lineRule="auto"/>
              <w:jc w:val="right"/>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exact"/>
          <w:jc w:val="center"/>
        </w:trPr>
        <w:tc>
          <w:tcPr>
            <w:tcW w:w="2722" w:type="dxa"/>
            <w:vMerge w:val="restart"/>
            <w:tcBorders>
              <w:top w:val="wave" w:color="auto" w:sz="6" w:space="0"/>
              <w:right w:val="nil"/>
            </w:tcBorders>
            <w:noWrap w:val="0"/>
            <w:vAlign w:val="center"/>
          </w:tcPr>
          <w:p>
            <w:pPr>
              <w:spacing w:line="360" w:lineRule="auto"/>
              <w:jc w:val="center"/>
              <w:rPr>
                <w:rFonts w:ascii="宋体" w:hAnsi="宋体"/>
                <w:szCs w:val="21"/>
              </w:rPr>
            </w:pPr>
            <w:r>
              <w:rPr>
                <w:rFonts w:hint="eastAsia" w:ascii="宋体" w:hAnsi="宋体"/>
                <w:szCs w:val="21"/>
              </w:rPr>
              <w:t>防护及排水</w:t>
            </w:r>
          </w:p>
        </w:tc>
        <w:tc>
          <w:tcPr>
            <w:tcW w:w="1276" w:type="dxa"/>
            <w:tcBorders>
              <w:top w:val="nil"/>
              <w:left w:val="nil"/>
              <w:bottom w:val="nil"/>
            </w:tcBorders>
            <w:noWrap w:val="0"/>
            <w:vAlign w:val="center"/>
          </w:tcPr>
          <w:p>
            <w:pPr>
              <w:spacing w:line="360" w:lineRule="auto"/>
              <w:jc w:val="right"/>
              <w:rPr>
                <w:rFonts w:ascii="宋体" w:hAnsi="宋体"/>
                <w:szCs w:val="21"/>
              </w:rPr>
            </w:pPr>
            <w:r>
              <w:rPr>
                <w:rFonts w:ascii="宋体" w:hAnsi="宋体"/>
                <w:szCs w:val="21"/>
              </w:rPr>
              <w:t>50</w:t>
            </w: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7" w:type="dxa"/>
            <w:noWrap w:val="0"/>
            <w:vAlign w:val="center"/>
          </w:tcPr>
          <w:p>
            <w:pPr>
              <w:spacing w:line="360" w:lineRule="auto"/>
              <w:jc w:val="center"/>
              <w:rPr>
                <w:rFonts w:ascii="宋体" w:hAnsi="宋体"/>
                <w:szCs w:val="21"/>
              </w:rPr>
            </w:pPr>
          </w:p>
        </w:tc>
        <w:tc>
          <w:tcPr>
            <w:tcW w:w="468"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vMerge w:val="continue"/>
            <w:tcBorders>
              <w:bottom w:val="dotDotDash" w:color="auto" w:sz="4" w:space="0"/>
              <w:right w:val="nil"/>
            </w:tcBorders>
            <w:noWrap w:val="0"/>
            <w:vAlign w:val="center"/>
          </w:tcPr>
          <w:p>
            <w:pPr>
              <w:spacing w:line="360" w:lineRule="auto"/>
              <w:jc w:val="center"/>
              <w:rPr>
                <w:rFonts w:ascii="宋体" w:hAnsi="宋体"/>
                <w:szCs w:val="21"/>
              </w:rPr>
            </w:pPr>
          </w:p>
        </w:tc>
        <w:tc>
          <w:tcPr>
            <w:tcW w:w="1276" w:type="dxa"/>
            <w:tcBorders>
              <w:top w:val="nil"/>
              <w:left w:val="nil"/>
              <w:bottom w:val="nil"/>
            </w:tcBorders>
            <w:noWrap w:val="0"/>
            <w:vAlign w:val="center"/>
          </w:tcPr>
          <w:p>
            <w:pPr>
              <w:spacing w:line="360" w:lineRule="auto"/>
              <w:jc w:val="right"/>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8"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8"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7" w:type="dxa"/>
            <w:tcBorders>
              <w:bottom w:val="single" w:color="auto" w:sz="12" w:space="0"/>
            </w:tcBorders>
            <w:noWrap w:val="0"/>
            <w:vAlign w:val="center"/>
          </w:tcPr>
          <w:p>
            <w:pPr>
              <w:spacing w:line="360" w:lineRule="auto"/>
              <w:jc w:val="center"/>
              <w:rPr>
                <w:rFonts w:ascii="宋体" w:hAnsi="宋体"/>
                <w:szCs w:val="21"/>
              </w:rPr>
            </w:pPr>
          </w:p>
        </w:tc>
        <w:tc>
          <w:tcPr>
            <w:tcW w:w="468" w:type="dxa"/>
            <w:tcBorders>
              <w:bottom w:val="single" w:color="auto" w:sz="12" w:space="0"/>
            </w:tcBorders>
            <w:noWrap w:val="0"/>
            <w:vAlign w:val="center"/>
          </w:tcPr>
          <w:p>
            <w:pPr>
              <w:spacing w:line="360" w:lineRule="auto"/>
              <w:jc w:val="center"/>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应按各标段实际工程内容填写。</w:t>
      </w:r>
    </w:p>
    <w:p>
      <w:pPr>
        <w:spacing w:line="360" w:lineRule="auto"/>
        <w:rPr>
          <w:rFonts w:ascii="宋体" w:hAnsi="宋体"/>
          <w:szCs w:val="21"/>
        </w:rPr>
        <w:sectPr>
          <w:type w:val="continuous"/>
          <w:pgSz w:w="16838" w:h="11906" w:orient="landscape"/>
          <w:pgMar w:top="1440" w:right="1080" w:bottom="1440" w:left="1080" w:header="851" w:footer="992" w:gutter="0"/>
          <w:pgNumType w:fmt="numberInDash"/>
          <w:cols w:space="720" w:num="1"/>
          <w:docGrid w:type="lines" w:linePitch="312" w:charSpace="0"/>
        </w:sectPr>
      </w:pPr>
      <w:r>
        <w:rPr>
          <w:rFonts w:ascii="宋体" w:hAnsi="宋体"/>
          <w:szCs w:val="21"/>
        </w:rPr>
        <w:t xml:space="preserve">    2.</w:t>
      </w:r>
      <w:r>
        <w:rPr>
          <w:rFonts w:hint="eastAsia" w:ascii="宋体" w:hAnsi="宋体"/>
          <w:szCs w:val="21"/>
        </w:rPr>
        <w:t>各个项目的进程可用线条的长短来表示</w:t>
      </w:r>
    </w:p>
    <w:p>
      <w:pPr>
        <w:pStyle w:val="6"/>
        <w:keepNext w:val="0"/>
        <w:keepLines w:val="0"/>
        <w:spacing w:before="120" w:beforeLines="50" w:line="360" w:lineRule="auto"/>
        <w:rPr>
          <w:rFonts w:ascii="宋体" w:hAnsi="宋体" w:cs="宋体"/>
          <w:bCs/>
          <w:kern w:val="2"/>
          <w:sz w:val="28"/>
          <w:szCs w:val="28"/>
        </w:rPr>
      </w:pPr>
      <w:r>
        <w:rPr>
          <w:rFonts w:hint="eastAsia" w:ascii="宋体" w:hAnsi="宋体" w:cs="宋体"/>
          <w:bCs/>
          <w:kern w:val="2"/>
          <w:sz w:val="28"/>
          <w:szCs w:val="28"/>
        </w:rPr>
        <w:t>附表三工程管理曲线</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noWrap w:val="0"/>
            <w:vAlign w:val="center"/>
          </w:tcPr>
          <w:p>
            <w:pPr>
              <w:spacing w:line="360" w:lineRule="auto"/>
              <w:jc w:val="center"/>
              <w:rPr>
                <w:rFonts w:ascii="宋体" w:hAnsi="宋体"/>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-74930</wp:posOffset>
                      </wp:positionH>
                      <wp:positionV relativeFrom="paragraph">
                        <wp:posOffset>-3810</wp:posOffset>
                      </wp:positionV>
                      <wp:extent cx="1397000" cy="563245"/>
                      <wp:effectExtent l="1905" t="4445" r="3175" b="11430"/>
                      <wp:wrapNone/>
                      <wp:docPr id="6" name="直接箭头连接符 6"/>
                      <wp:cNvGraphicFramePr/>
                      <a:graphic xmlns:a="http://schemas.openxmlformats.org/drawingml/2006/main">
                        <a:graphicData uri="http://schemas.microsoft.com/office/word/2010/wordprocessingShape">
                          <wps:wsp>
                            <wps:cNvCnPr/>
                            <wps:spPr>
                              <a:xfrm>
                                <a:off x="0" y="0"/>
                                <a:ext cx="1397000" cy="56324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pt;margin-top:-0.3pt;height:44.35pt;width:110pt;z-index:251661312;mso-width-relative:page;mso-height-relative:page;" filled="f" stroked="t" coordsize="21600,21600"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t2&#10;M1rXAAAACAEAAA8AAAAAAAAAAQAgAAAAIgAAAGRycy9kb3ducmV2LnhtbFBLAQIUABQAAAAIAIdO&#10;4kC2x0UX6wEAALEDAAAOAAAAAAAAAAEAIAAAACYBAABkcnMvZTJvRG9jLnhtbFBLBQYAAAAABgAG&#10;AFkBAACDBQAAAAA=&#10;">
                      <v:fill on="f" focussize="0,0"/>
                      <v:stroke color="#000000" joinstyle="round"/>
                      <v:imagedata o:title=""/>
                      <o:lock v:ext="edit" aspectratio="f"/>
                    </v:shape>
                  </w:pict>
                </mc:Fallback>
              </mc:AlternateContent>
            </w:r>
            <w:r>
              <w:rPr>
                <w:rFonts w:hint="eastAsia" w:ascii="宋体" w:hAnsi="宋体"/>
              </w:rPr>
              <w:t>年度</w:t>
            </w:r>
          </w:p>
          <w:p>
            <w:pPr>
              <w:spacing w:line="360" w:lineRule="auto"/>
              <w:jc w:val="center"/>
              <w:rPr>
                <w:rFonts w:ascii="宋体" w:hAnsi="宋体"/>
              </w:rPr>
            </w:pP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20320</wp:posOffset>
                      </wp:positionV>
                      <wp:extent cx="217805" cy="273685"/>
                      <wp:effectExtent l="0" t="0" r="0" b="0"/>
                      <wp:wrapNone/>
                      <wp:docPr id="7" name="矩形 7"/>
                      <wp:cNvGraphicFramePr/>
                      <a:graphic xmlns:a="http://schemas.openxmlformats.org/drawingml/2006/main">
                        <a:graphicData uri="http://schemas.microsoft.com/office/word/2010/wordprocessingShape">
                          <wps:wsp>
                            <wps:cNvSpPr/>
                            <wps:spPr>
                              <a:xfrm>
                                <a:off x="0" y="0"/>
                                <a:ext cx="217805" cy="273685"/>
                              </a:xfrm>
                              <a:prstGeom prst="rect">
                                <a:avLst/>
                              </a:prstGeom>
                              <a:noFill/>
                              <a:ln w="9525">
                                <a:noFill/>
                              </a:ln>
                              <a:effectLst/>
                            </wps:spPr>
                            <wps:txbx>
                              <w:txbxContent>
                                <w:p>
                                  <w:r>
                                    <w:rPr>
                                      <w:rFonts w:hint="eastAsia"/>
                                    </w:rPr>
                                    <w:t>季</w:t>
                                  </w:r>
                                </w:p>
                              </w:txbxContent>
                            </wps:txbx>
                            <wps:bodyPr upright="1"/>
                          </wps:wsp>
                        </a:graphicData>
                      </a:graphic>
                    </wp:anchor>
                  </w:drawing>
                </mc:Choice>
                <mc:Fallback>
                  <w:pict>
                    <v:rect id="_x0000_s1026" o:spid="_x0000_s1026" o:spt="1" style="position:absolute;left:0pt;margin-left:61.5pt;margin-top:1.6pt;height:21.55pt;width:17.15pt;z-index:251662336;mso-width-relative:page;mso-height-relative:page;" filled="f" stroked="f" coordsize="21600,2160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kJxOBtkAAAAIAQAADwAAAAAAAAABACAAAAAiAAAA&#10;ZHJzL2Rvd25yZXYueG1sUEsBAhQAFAAAAAgAh07iQBtnnUaUAQAACQMAAA4AAAAAAAAAAQAgAAAA&#10;KAEAAGRycy9lMm9Eb2MueG1sUEsFBgAAAAAGAAYAWQEAAC4FAAAAAA==&#10;">
                      <v:fill on="f" focussize="0,0"/>
                      <v:stroke on="f"/>
                      <v:imagedata o:title=""/>
                      <o:lock v:ext="edit" aspectratio="f"/>
                      <v:textbox>
                        <w:txbxContent>
                          <w:p>
                            <w:r>
                              <w:rPr>
                                <w:rFonts w:hint="eastAsia"/>
                              </w:rPr>
                              <w:t>季</w:t>
                            </w:r>
                          </w:p>
                        </w:txbxContent>
                      </v:textbox>
                    </v:rect>
                  </w:pict>
                </mc:Fallback>
              </mc:AlternateContent>
            </w:r>
          </w:p>
          <w:p>
            <w:pPr>
              <w:spacing w:line="360" w:lineRule="auto"/>
              <w:jc w:val="center"/>
              <w:rPr>
                <w:rFonts w:ascii="宋体" w:hAnsi="宋体"/>
              </w:rPr>
            </w:pPr>
          </w:p>
        </w:tc>
        <w:tc>
          <w:tcPr>
            <w:tcW w:w="4537" w:type="dxa"/>
            <w:gridSpan w:val="12"/>
            <w:tcBorders>
              <w:top w:val="single" w:color="auto" w:sz="12" w:space="0"/>
            </w:tcBorders>
            <w:noWrap w:val="0"/>
            <w:vAlign w:val="center"/>
          </w:tcPr>
          <w:p>
            <w:pPr>
              <w:spacing w:line="360" w:lineRule="auto"/>
              <w:jc w:val="center"/>
              <w:rPr>
                <w:rFonts w:ascii="宋体" w:hAnsi="宋体"/>
              </w:rPr>
            </w:pPr>
            <w:r>
              <w:rPr>
                <w:rFonts w:hint="eastAsia" w:ascii="宋体" w:hAnsi="宋体"/>
                <w:szCs w:val="21"/>
              </w:rPr>
              <w:t>年</w:t>
            </w:r>
          </w:p>
        </w:tc>
        <w:tc>
          <w:tcPr>
            <w:tcW w:w="2896" w:type="dxa"/>
            <w:gridSpan w:val="8"/>
            <w:tcBorders>
              <w:top w:val="single" w:color="auto" w:sz="12" w:space="0"/>
            </w:tcBorders>
            <w:noWrap w:val="0"/>
            <w:vAlign w:val="center"/>
          </w:tcPr>
          <w:p>
            <w:pPr>
              <w:spacing w:line="360" w:lineRule="auto"/>
              <w:jc w:val="center"/>
              <w:rPr>
                <w:rFonts w:ascii="宋体" w:hAnsi="宋体"/>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restart"/>
            <w:tcBorders>
              <w:top w:val="nil"/>
            </w:tcBorders>
            <w:noWrap w:val="0"/>
            <w:vAlign w:val="center"/>
          </w:tcPr>
          <w:p>
            <w:pPr>
              <w:spacing w:line="360" w:lineRule="auto"/>
              <w:jc w:val="center"/>
              <w:rPr>
                <w:rFonts w:ascii="宋体" w:hAnsi="宋体"/>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1066800</wp:posOffset>
                      </wp:positionH>
                      <wp:positionV relativeFrom="paragraph">
                        <wp:posOffset>-5715</wp:posOffset>
                      </wp:positionV>
                      <wp:extent cx="217805" cy="273685"/>
                      <wp:effectExtent l="0" t="0" r="0" b="0"/>
                      <wp:wrapNone/>
                      <wp:docPr id="8" name="矩形 8"/>
                      <wp:cNvGraphicFramePr/>
                      <a:graphic xmlns:a="http://schemas.openxmlformats.org/drawingml/2006/main">
                        <a:graphicData uri="http://schemas.microsoft.com/office/word/2010/wordprocessingShape">
                          <wps:wsp>
                            <wps:cNvSpPr/>
                            <wps:spPr>
                              <a:xfrm>
                                <a:off x="0" y="0"/>
                                <a:ext cx="217805" cy="273685"/>
                              </a:xfrm>
                              <a:prstGeom prst="rect">
                                <a:avLst/>
                              </a:prstGeom>
                              <a:noFill/>
                              <a:ln w="9525">
                                <a:noFill/>
                              </a:ln>
                              <a:effectLst/>
                            </wps:spPr>
                            <wps:txbx>
                              <w:txbxContent>
                                <w:p>
                                  <w:r>
                                    <w:rPr>
                                      <w:rFonts w:hint="eastAsia"/>
                                    </w:rPr>
                                    <w:t>度</w:t>
                                  </w:r>
                                </w:p>
                              </w:txbxContent>
                            </wps:txbx>
                            <wps:bodyPr upright="1"/>
                          </wps:wsp>
                        </a:graphicData>
                      </a:graphic>
                    </wp:anchor>
                  </w:drawing>
                </mc:Choice>
                <mc:Fallback>
                  <w:pict>
                    <v:rect id="_x0000_s1026" o:spid="_x0000_s1026" o:spt="1" style="position:absolute;left:0pt;margin-left:84pt;margin-top:-0.45pt;height:21.55pt;width:17.15pt;z-index:251663360;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gNw4dkAAAAIAQAADwAAAAAAAAABACAAAAAiAAAA&#10;ZHJzL2Rvd25yZXYueG1sUEsBAhQAFAAAAAgAh07iQPGcfjeUAQAACQMAAA4AAAAAAAAAAQAgAAAA&#10;KAEAAGRycy9lMm9Eb2MueG1sUEsFBgAAAAAGAAYAWQEAAC4FAAAAAA==&#10;">
                      <v:fill on="f" focussize="0,0"/>
                      <v:stroke on="f"/>
                      <v:imagedata o:title=""/>
                      <o:lock v:ext="edit" aspectratio="f"/>
                      <v:textbox>
                        <w:txbxContent>
                          <w:p>
                            <w:r>
                              <w:rPr>
                                <w:rFonts w:hint="eastAsia"/>
                              </w:rPr>
                              <w:t>度</w:t>
                            </w:r>
                          </w:p>
                        </w:txbxContent>
                      </v:textbox>
                    </v:rect>
                  </w:pict>
                </mc:Fallback>
              </mc:AlternateContent>
            </w:r>
          </w:p>
          <w:p>
            <w:pPr>
              <w:spacing w:line="360" w:lineRule="auto"/>
              <w:jc w:val="left"/>
              <w:rPr>
                <w:rFonts w:ascii="宋体" w:hAnsi="宋体"/>
              </w:rPr>
            </w:pPr>
          </w:p>
          <w:p>
            <w:pPr>
              <w:spacing w:line="360" w:lineRule="auto"/>
              <w:jc w:val="left"/>
              <w:rPr>
                <w:rFonts w:ascii="宋体" w:hAnsi="宋体"/>
              </w:rPr>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-70485</wp:posOffset>
                      </wp:positionH>
                      <wp:positionV relativeFrom="paragraph">
                        <wp:posOffset>245745</wp:posOffset>
                      </wp:positionV>
                      <wp:extent cx="1141730" cy="5772150"/>
                      <wp:effectExtent l="0" t="0" r="0" b="0"/>
                      <wp:wrapNone/>
                      <wp:docPr id="9" name="矩形 9"/>
                      <wp:cNvGraphicFramePr/>
                      <a:graphic xmlns:a="http://schemas.openxmlformats.org/drawingml/2006/main">
                        <a:graphicData uri="http://schemas.microsoft.com/office/word/2010/wordprocessingShape">
                          <wps:wsp>
                            <wps:cNvSpPr/>
                            <wps:spPr>
                              <a:xfrm>
                                <a:off x="0" y="0"/>
                                <a:ext cx="1141730" cy="5772150"/>
                              </a:xfrm>
                              <a:prstGeom prst="rect">
                                <a:avLst/>
                              </a:prstGeom>
                              <a:noFill/>
                              <a:ln w="9525">
                                <a:noFill/>
                              </a:ln>
                              <a:effectLst/>
                            </wps:spPr>
                            <wps:txb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r>
                                    <w:t>%</w:t>
                                  </w:r>
                                  <w:r>
                                    <w:rPr>
                                      <w:rFonts w:hint="eastAsia"/>
                                    </w:rPr>
                                    <w:t>）</w:t>
                                  </w:r>
                                </w:p>
                              </w:txbxContent>
                            </wps:txbx>
                            <wps:bodyPr upright="1"/>
                          </wps:wsp>
                        </a:graphicData>
                      </a:graphic>
                    </wp:anchor>
                  </w:drawing>
                </mc:Choice>
                <mc:Fallback>
                  <w:pict>
                    <v:rect id="_x0000_s1026" o:spid="_x0000_s1026" o:spt="1" style="position:absolute;left:0pt;margin-left:-5.55pt;margin-top:19.35pt;height:454.5pt;width:89.9pt;z-index:251664384;mso-width-relative:page;mso-height-relative:page;" filled="f" stroked="f" coordsize="21600,21600"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dH3DjaAAAACgEAAA8AAAAAAAAAAQAgAAAAIgAA&#10;AGRycy9kb3ducmV2LnhtbFBLAQIUABQAAAAIAIdO4kCDKeKqlAEAAAsDAAAOAAAAAAAAAAEAIAAA&#10;ACkBAABkcnMvZTJvRG9jLnhtbFBLBQYAAAAABgAGAFkBAAAvBQAAAAA=&#10;">
                      <v:fill on="f" focussize="0,0"/>
                      <v:stroke on="f"/>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r>
                              <w:t>%</w:t>
                            </w:r>
                            <w:r>
                              <w:rPr>
                                <w:rFonts w:hint="eastAsia"/>
                              </w:rPr>
                              <w:t>）</w:t>
                            </w:r>
                          </w:p>
                        </w:txbxContent>
                      </v:textbox>
                    </v:rect>
                  </w:pict>
                </mc:Fallback>
              </mc:AlternateContent>
            </w:r>
            <w:r>
              <w:rPr>
                <w:rFonts w:hint="eastAsia" w:ascii="宋体" w:hAnsi="宋体"/>
              </w:rPr>
              <w:t>进度</w:t>
            </w:r>
          </w:p>
        </w:tc>
        <w:tc>
          <w:tcPr>
            <w:tcW w:w="1093" w:type="dxa"/>
            <w:gridSpan w:val="3"/>
            <w:noWrap w:val="0"/>
            <w:vAlign w:val="center"/>
          </w:tcPr>
          <w:p>
            <w:pPr>
              <w:spacing w:line="360" w:lineRule="auto"/>
              <w:jc w:val="center"/>
              <w:rPr>
                <w:rFonts w:ascii="宋体" w:hAnsi="宋体"/>
              </w:rPr>
            </w:pPr>
            <w:r>
              <w:rPr>
                <w:rFonts w:hint="eastAsia" w:ascii="宋体" w:hAnsi="宋体"/>
              </w:rPr>
              <w:t>一</w:t>
            </w:r>
          </w:p>
        </w:tc>
        <w:tc>
          <w:tcPr>
            <w:tcW w:w="1089" w:type="dxa"/>
            <w:gridSpan w:val="3"/>
            <w:noWrap w:val="0"/>
            <w:vAlign w:val="center"/>
          </w:tcPr>
          <w:p>
            <w:pPr>
              <w:spacing w:line="360" w:lineRule="auto"/>
              <w:jc w:val="center"/>
              <w:rPr>
                <w:rFonts w:ascii="宋体" w:hAnsi="宋体"/>
              </w:rPr>
            </w:pPr>
            <w:r>
              <w:rPr>
                <w:rFonts w:hint="eastAsia" w:ascii="宋体" w:hAnsi="宋体"/>
              </w:rPr>
              <w:t>二</w:t>
            </w:r>
          </w:p>
        </w:tc>
        <w:tc>
          <w:tcPr>
            <w:tcW w:w="1084" w:type="dxa"/>
            <w:gridSpan w:val="3"/>
            <w:noWrap w:val="0"/>
            <w:vAlign w:val="center"/>
          </w:tcPr>
          <w:p>
            <w:pPr>
              <w:spacing w:line="360" w:lineRule="auto"/>
              <w:jc w:val="center"/>
              <w:rPr>
                <w:rFonts w:ascii="宋体" w:hAnsi="宋体"/>
              </w:rPr>
            </w:pPr>
            <w:r>
              <w:rPr>
                <w:rFonts w:hint="eastAsia" w:ascii="宋体" w:hAnsi="宋体"/>
              </w:rPr>
              <w:t>三</w:t>
            </w:r>
          </w:p>
        </w:tc>
        <w:tc>
          <w:tcPr>
            <w:tcW w:w="1271" w:type="dxa"/>
            <w:gridSpan w:val="3"/>
            <w:noWrap w:val="0"/>
            <w:vAlign w:val="center"/>
          </w:tcPr>
          <w:p>
            <w:pPr>
              <w:spacing w:line="360" w:lineRule="auto"/>
              <w:jc w:val="center"/>
              <w:rPr>
                <w:rFonts w:ascii="宋体" w:hAnsi="宋体"/>
              </w:rPr>
            </w:pPr>
            <w:r>
              <w:rPr>
                <w:rFonts w:hint="eastAsia" w:ascii="宋体" w:hAnsi="宋体"/>
              </w:rPr>
              <w:t>四</w:t>
            </w:r>
          </w:p>
        </w:tc>
        <w:tc>
          <w:tcPr>
            <w:tcW w:w="1084" w:type="dxa"/>
            <w:gridSpan w:val="3"/>
            <w:noWrap w:val="0"/>
            <w:vAlign w:val="center"/>
          </w:tcPr>
          <w:p>
            <w:pPr>
              <w:spacing w:line="360" w:lineRule="auto"/>
              <w:jc w:val="center"/>
              <w:rPr>
                <w:rFonts w:ascii="宋体" w:hAnsi="宋体"/>
              </w:rPr>
            </w:pPr>
            <w:r>
              <w:rPr>
                <w:rFonts w:hint="eastAsia" w:ascii="宋体" w:hAnsi="宋体"/>
              </w:rPr>
              <w:t>一</w:t>
            </w:r>
          </w:p>
        </w:tc>
        <w:tc>
          <w:tcPr>
            <w:tcW w:w="1088" w:type="dxa"/>
            <w:gridSpan w:val="3"/>
            <w:noWrap w:val="0"/>
            <w:vAlign w:val="center"/>
          </w:tcPr>
          <w:p>
            <w:pPr>
              <w:spacing w:line="360" w:lineRule="auto"/>
              <w:jc w:val="center"/>
              <w:rPr>
                <w:rFonts w:ascii="宋体" w:hAnsi="宋体"/>
              </w:rPr>
            </w:pPr>
            <w:r>
              <w:rPr>
                <w:rFonts w:hint="eastAsia" w:ascii="宋体" w:hAnsi="宋体"/>
              </w:rPr>
              <w:t>二</w:t>
            </w:r>
          </w:p>
        </w:tc>
        <w:tc>
          <w:tcPr>
            <w:tcW w:w="724" w:type="dxa"/>
            <w:gridSpan w:val="2"/>
            <w:noWrap w:val="0"/>
            <w:vAlign w:val="center"/>
          </w:tcPr>
          <w:p>
            <w:pPr>
              <w:spacing w:line="360" w:lineRule="auto"/>
              <w:jc w:val="center"/>
              <w:rPr>
                <w:rFonts w:ascii="宋体" w:hAnsi="宋体"/>
              </w:rPr>
            </w:pPr>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r>
              <w:rPr>
                <w:rFonts w:ascii="宋体" w:hAnsi="宋体"/>
              </w:rPr>
              <w:t>1</w:t>
            </w:r>
          </w:p>
        </w:tc>
        <w:tc>
          <w:tcPr>
            <w:tcW w:w="361" w:type="dxa"/>
            <w:noWrap w:val="0"/>
            <w:vAlign w:val="center"/>
          </w:tcPr>
          <w:p>
            <w:pPr>
              <w:spacing w:line="360" w:lineRule="auto"/>
              <w:jc w:val="center"/>
              <w:rPr>
                <w:rFonts w:ascii="宋体" w:hAnsi="宋体"/>
              </w:rPr>
            </w:pPr>
            <w:r>
              <w:rPr>
                <w:rFonts w:ascii="宋体" w:hAnsi="宋体"/>
              </w:rPr>
              <w:t>2</w:t>
            </w:r>
          </w:p>
        </w:tc>
        <w:tc>
          <w:tcPr>
            <w:tcW w:w="371" w:type="dxa"/>
            <w:noWrap w:val="0"/>
            <w:vAlign w:val="center"/>
          </w:tcPr>
          <w:p>
            <w:pPr>
              <w:spacing w:line="360" w:lineRule="auto"/>
              <w:jc w:val="center"/>
              <w:rPr>
                <w:rFonts w:ascii="宋体" w:hAnsi="宋体"/>
              </w:rPr>
            </w:pPr>
            <w:r>
              <w:rPr>
                <w:rFonts w:ascii="宋体" w:hAnsi="宋体"/>
              </w:rPr>
              <w:t>3</w:t>
            </w:r>
          </w:p>
        </w:tc>
        <w:tc>
          <w:tcPr>
            <w:tcW w:w="361" w:type="dxa"/>
            <w:noWrap w:val="0"/>
            <w:vAlign w:val="center"/>
          </w:tcPr>
          <w:p>
            <w:pPr>
              <w:spacing w:line="360" w:lineRule="auto"/>
              <w:jc w:val="center"/>
              <w:rPr>
                <w:rFonts w:ascii="宋体" w:hAnsi="宋体"/>
              </w:rPr>
            </w:pPr>
            <w:r>
              <w:rPr>
                <w:rFonts w:ascii="宋体" w:hAnsi="宋体"/>
              </w:rPr>
              <w:t>4</w:t>
            </w:r>
          </w:p>
        </w:tc>
        <w:tc>
          <w:tcPr>
            <w:tcW w:w="361" w:type="dxa"/>
            <w:noWrap w:val="0"/>
            <w:vAlign w:val="center"/>
          </w:tcPr>
          <w:p>
            <w:pPr>
              <w:spacing w:line="360" w:lineRule="auto"/>
              <w:jc w:val="center"/>
              <w:rPr>
                <w:rFonts w:ascii="宋体" w:hAnsi="宋体"/>
              </w:rPr>
            </w:pPr>
            <w:r>
              <w:rPr>
                <w:rFonts w:ascii="宋体" w:hAnsi="宋体"/>
              </w:rPr>
              <w:t>5</w:t>
            </w:r>
          </w:p>
        </w:tc>
        <w:tc>
          <w:tcPr>
            <w:tcW w:w="367" w:type="dxa"/>
            <w:noWrap w:val="0"/>
            <w:vAlign w:val="center"/>
          </w:tcPr>
          <w:p>
            <w:pPr>
              <w:spacing w:line="360" w:lineRule="auto"/>
              <w:jc w:val="center"/>
              <w:rPr>
                <w:rFonts w:ascii="宋体" w:hAnsi="宋体"/>
              </w:rPr>
            </w:pPr>
            <w:r>
              <w:rPr>
                <w:rFonts w:ascii="宋体" w:hAnsi="宋体"/>
              </w:rPr>
              <w:t>6</w:t>
            </w:r>
          </w:p>
        </w:tc>
        <w:tc>
          <w:tcPr>
            <w:tcW w:w="360" w:type="dxa"/>
            <w:noWrap w:val="0"/>
            <w:vAlign w:val="center"/>
          </w:tcPr>
          <w:p>
            <w:pPr>
              <w:spacing w:line="360" w:lineRule="auto"/>
              <w:jc w:val="center"/>
              <w:rPr>
                <w:rFonts w:ascii="宋体" w:hAnsi="宋体"/>
              </w:rPr>
            </w:pPr>
            <w:r>
              <w:rPr>
                <w:rFonts w:ascii="宋体" w:hAnsi="宋体"/>
              </w:rPr>
              <w:t>7</w:t>
            </w:r>
          </w:p>
        </w:tc>
        <w:tc>
          <w:tcPr>
            <w:tcW w:w="360" w:type="dxa"/>
            <w:noWrap w:val="0"/>
            <w:vAlign w:val="center"/>
          </w:tcPr>
          <w:p>
            <w:pPr>
              <w:spacing w:line="360" w:lineRule="auto"/>
              <w:jc w:val="center"/>
              <w:rPr>
                <w:rFonts w:ascii="宋体" w:hAnsi="宋体"/>
              </w:rPr>
            </w:pPr>
            <w:r>
              <w:rPr>
                <w:rFonts w:ascii="宋体" w:hAnsi="宋体"/>
              </w:rPr>
              <w:t>8</w:t>
            </w:r>
          </w:p>
        </w:tc>
        <w:tc>
          <w:tcPr>
            <w:tcW w:w="364" w:type="dxa"/>
            <w:noWrap w:val="0"/>
            <w:vAlign w:val="center"/>
          </w:tcPr>
          <w:p>
            <w:pPr>
              <w:spacing w:line="360" w:lineRule="auto"/>
              <w:jc w:val="center"/>
              <w:rPr>
                <w:rFonts w:ascii="宋体" w:hAnsi="宋体"/>
              </w:rPr>
            </w:pPr>
            <w:r>
              <w:rPr>
                <w:rFonts w:ascii="宋体" w:hAnsi="宋体"/>
              </w:rPr>
              <w:t>9</w:t>
            </w:r>
          </w:p>
        </w:tc>
        <w:tc>
          <w:tcPr>
            <w:tcW w:w="426" w:type="dxa"/>
            <w:noWrap w:val="0"/>
            <w:vAlign w:val="center"/>
          </w:tcPr>
          <w:p>
            <w:pPr>
              <w:spacing w:line="360" w:lineRule="auto"/>
              <w:jc w:val="center"/>
              <w:rPr>
                <w:rFonts w:ascii="宋体" w:hAnsi="宋体"/>
              </w:rPr>
            </w:pPr>
            <w:r>
              <w:rPr>
                <w:rFonts w:ascii="宋体" w:hAnsi="宋体"/>
              </w:rPr>
              <w:t>10</w:t>
            </w:r>
          </w:p>
        </w:tc>
        <w:tc>
          <w:tcPr>
            <w:tcW w:w="419" w:type="dxa"/>
            <w:noWrap w:val="0"/>
            <w:vAlign w:val="center"/>
          </w:tcPr>
          <w:p>
            <w:pPr>
              <w:spacing w:line="360" w:lineRule="auto"/>
              <w:jc w:val="center"/>
              <w:rPr>
                <w:rFonts w:ascii="宋体" w:hAnsi="宋体"/>
              </w:rPr>
            </w:pPr>
            <w:r>
              <w:rPr>
                <w:rFonts w:ascii="宋体" w:hAnsi="宋体"/>
              </w:rPr>
              <w:t>11</w:t>
            </w:r>
          </w:p>
        </w:tc>
        <w:tc>
          <w:tcPr>
            <w:tcW w:w="426" w:type="dxa"/>
            <w:noWrap w:val="0"/>
            <w:vAlign w:val="center"/>
          </w:tcPr>
          <w:p>
            <w:pPr>
              <w:spacing w:line="360" w:lineRule="auto"/>
              <w:jc w:val="center"/>
              <w:rPr>
                <w:rFonts w:ascii="宋体" w:hAnsi="宋体"/>
              </w:rPr>
            </w:pPr>
            <w:r>
              <w:rPr>
                <w:rFonts w:ascii="宋体" w:hAnsi="宋体"/>
              </w:rPr>
              <w:t>12</w:t>
            </w:r>
          </w:p>
        </w:tc>
        <w:tc>
          <w:tcPr>
            <w:tcW w:w="360" w:type="dxa"/>
            <w:noWrap w:val="0"/>
            <w:vAlign w:val="center"/>
          </w:tcPr>
          <w:p>
            <w:pPr>
              <w:spacing w:line="360" w:lineRule="auto"/>
              <w:jc w:val="center"/>
              <w:rPr>
                <w:rFonts w:ascii="宋体" w:hAnsi="宋体"/>
              </w:rPr>
            </w:pPr>
            <w:r>
              <w:rPr>
                <w:rFonts w:ascii="宋体" w:hAnsi="宋体"/>
              </w:rPr>
              <w:t>1</w:t>
            </w:r>
          </w:p>
        </w:tc>
        <w:tc>
          <w:tcPr>
            <w:tcW w:w="360" w:type="dxa"/>
            <w:noWrap w:val="0"/>
            <w:vAlign w:val="center"/>
          </w:tcPr>
          <w:p>
            <w:pPr>
              <w:spacing w:line="360" w:lineRule="auto"/>
              <w:jc w:val="center"/>
              <w:rPr>
                <w:rFonts w:ascii="宋体" w:hAnsi="宋体"/>
              </w:rPr>
            </w:pPr>
            <w:r>
              <w:rPr>
                <w:rFonts w:ascii="宋体" w:hAnsi="宋体"/>
              </w:rPr>
              <w:t>2</w:t>
            </w:r>
          </w:p>
        </w:tc>
        <w:tc>
          <w:tcPr>
            <w:tcW w:w="364" w:type="dxa"/>
            <w:noWrap w:val="0"/>
            <w:vAlign w:val="center"/>
          </w:tcPr>
          <w:p>
            <w:pPr>
              <w:spacing w:line="360" w:lineRule="auto"/>
              <w:jc w:val="center"/>
              <w:rPr>
                <w:rFonts w:ascii="宋体" w:hAnsi="宋体"/>
              </w:rPr>
            </w:pPr>
            <w:r>
              <w:rPr>
                <w:rFonts w:ascii="宋体" w:hAnsi="宋体"/>
              </w:rPr>
              <w:t>3</w:t>
            </w:r>
          </w:p>
        </w:tc>
        <w:tc>
          <w:tcPr>
            <w:tcW w:w="362" w:type="dxa"/>
            <w:noWrap w:val="0"/>
            <w:vAlign w:val="center"/>
          </w:tcPr>
          <w:p>
            <w:pPr>
              <w:spacing w:line="360" w:lineRule="auto"/>
              <w:jc w:val="center"/>
              <w:rPr>
                <w:rFonts w:ascii="宋体" w:hAnsi="宋体"/>
              </w:rPr>
            </w:pPr>
            <w:r>
              <w:rPr>
                <w:rFonts w:ascii="宋体" w:hAnsi="宋体"/>
              </w:rPr>
              <w:t>4</w:t>
            </w:r>
          </w:p>
        </w:tc>
        <w:tc>
          <w:tcPr>
            <w:tcW w:w="362" w:type="dxa"/>
            <w:noWrap w:val="0"/>
            <w:vAlign w:val="center"/>
          </w:tcPr>
          <w:p>
            <w:pPr>
              <w:spacing w:line="360" w:lineRule="auto"/>
              <w:jc w:val="center"/>
              <w:rPr>
                <w:rFonts w:ascii="宋体" w:hAnsi="宋体"/>
              </w:rPr>
            </w:pPr>
            <w:r>
              <w:rPr>
                <w:rFonts w:ascii="宋体" w:hAnsi="宋体"/>
              </w:rPr>
              <w:t>5</w:t>
            </w:r>
          </w:p>
        </w:tc>
        <w:tc>
          <w:tcPr>
            <w:tcW w:w="364" w:type="dxa"/>
            <w:noWrap w:val="0"/>
            <w:vAlign w:val="center"/>
          </w:tcPr>
          <w:p>
            <w:pPr>
              <w:spacing w:line="360" w:lineRule="auto"/>
              <w:jc w:val="center"/>
              <w:rPr>
                <w:rFonts w:ascii="宋体" w:hAnsi="宋体"/>
              </w:rPr>
            </w:pPr>
            <w:r>
              <w:rPr>
                <w:rFonts w:ascii="宋体" w:hAnsi="宋体"/>
              </w:rPr>
              <w:t>6</w:t>
            </w:r>
          </w:p>
        </w:tc>
        <w:tc>
          <w:tcPr>
            <w:tcW w:w="724" w:type="dxa"/>
            <w:gridSpan w:val="2"/>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bottom w:val="nil"/>
            </w:tcBorders>
            <w:noWrap w:val="0"/>
            <w:vAlign w:val="center"/>
          </w:tcPr>
          <w:p>
            <w:pPr>
              <w:spacing w:line="360" w:lineRule="auto"/>
              <w:jc w:val="right"/>
              <w:rPr>
                <w:rFonts w:ascii="宋体" w:hAnsi="宋体"/>
              </w:rPr>
            </w:pPr>
            <w:r>
              <w:rPr>
                <w:rFonts w:ascii="宋体" w:hAnsi="宋体"/>
              </w:rPr>
              <w:t>100</w:t>
            </w: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r>
              <w:rPr>
                <w:rFonts w:ascii="宋体" w:hAnsi="宋体"/>
              </w:rPr>
              <w:t>90</w:t>
            </w: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r>
              <w:rPr>
                <w:rFonts w:ascii="宋体" w:hAnsi="宋体"/>
              </w:rPr>
              <w:t>80</w:t>
            </w: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r>
              <w:rPr>
                <w:rFonts w:ascii="宋体" w:hAnsi="宋体"/>
              </w:rPr>
              <w:t>70</w:t>
            </w: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r>
              <w:rPr>
                <w:rFonts w:ascii="宋体" w:hAnsi="宋体"/>
              </w:rPr>
              <w:t>60</w:t>
            </w: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r>
              <w:rPr>
                <w:rFonts w:ascii="宋体" w:hAnsi="宋体"/>
              </w:rPr>
              <w:t>50</w:t>
            </w: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r>
              <w:rPr>
                <w:rFonts w:ascii="宋体" w:hAnsi="宋体"/>
              </w:rPr>
              <w:t>40</w:t>
            </w: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r>
              <w:rPr>
                <w:rFonts w:ascii="宋体" w:hAnsi="宋体"/>
              </w:rPr>
              <w:t>30</w:t>
            </w: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r>
              <w:rPr>
                <w:rFonts w:ascii="宋体" w:hAnsi="宋体"/>
              </w:rPr>
              <w:t>20</w:t>
            </w: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spacing w:line="360" w:lineRule="auto"/>
              <w:jc w:val="right"/>
              <w:rPr>
                <w:rFonts w:ascii="宋体" w:hAnsi="宋体"/>
              </w:rPr>
            </w:pPr>
            <w:r>
              <w:rPr>
                <w:rFonts w:ascii="宋体" w:hAnsi="宋体"/>
              </w:rPr>
              <w:t>10</w:t>
            </w: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7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1" w:type="dxa"/>
            <w:noWrap w:val="0"/>
            <w:vAlign w:val="center"/>
          </w:tcPr>
          <w:p>
            <w:pPr>
              <w:spacing w:line="360" w:lineRule="auto"/>
              <w:jc w:val="center"/>
              <w:rPr>
                <w:rFonts w:ascii="宋体" w:hAnsi="宋体"/>
              </w:rPr>
            </w:pPr>
          </w:p>
        </w:tc>
        <w:tc>
          <w:tcPr>
            <w:tcW w:w="367"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419" w:type="dxa"/>
            <w:noWrap w:val="0"/>
            <w:vAlign w:val="center"/>
          </w:tcPr>
          <w:p>
            <w:pPr>
              <w:spacing w:line="360" w:lineRule="auto"/>
              <w:jc w:val="center"/>
              <w:rPr>
                <w:rFonts w:ascii="宋体" w:hAnsi="宋体"/>
              </w:rPr>
            </w:pPr>
          </w:p>
        </w:tc>
        <w:tc>
          <w:tcPr>
            <w:tcW w:w="426"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0"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4"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c>
          <w:tcPr>
            <w:tcW w:w="362"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noWrap w:val="0"/>
            <w:vAlign w:val="center"/>
          </w:tcPr>
          <w:p>
            <w:pPr>
              <w:spacing w:line="360" w:lineRule="auto"/>
              <w:jc w:val="right"/>
              <w:rPr>
                <w:rFonts w:ascii="宋体" w:hAnsi="宋体"/>
              </w:rPr>
            </w:pPr>
          </w:p>
        </w:tc>
        <w:tc>
          <w:tcPr>
            <w:tcW w:w="361" w:type="dxa"/>
            <w:tcBorders>
              <w:bottom w:val="single" w:color="auto" w:sz="12" w:space="0"/>
            </w:tcBorders>
            <w:noWrap w:val="0"/>
            <w:vAlign w:val="center"/>
          </w:tcPr>
          <w:p>
            <w:pPr>
              <w:spacing w:line="360" w:lineRule="auto"/>
              <w:jc w:val="center"/>
              <w:rPr>
                <w:rFonts w:ascii="宋体" w:hAnsi="宋体"/>
              </w:rPr>
            </w:pPr>
          </w:p>
        </w:tc>
        <w:tc>
          <w:tcPr>
            <w:tcW w:w="361" w:type="dxa"/>
            <w:tcBorders>
              <w:bottom w:val="single" w:color="auto" w:sz="12" w:space="0"/>
            </w:tcBorders>
            <w:noWrap w:val="0"/>
            <w:vAlign w:val="center"/>
          </w:tcPr>
          <w:p>
            <w:pPr>
              <w:spacing w:line="360" w:lineRule="auto"/>
              <w:jc w:val="center"/>
              <w:rPr>
                <w:rFonts w:ascii="宋体" w:hAnsi="宋体"/>
              </w:rPr>
            </w:pPr>
          </w:p>
        </w:tc>
        <w:tc>
          <w:tcPr>
            <w:tcW w:w="371" w:type="dxa"/>
            <w:tcBorders>
              <w:bottom w:val="single" w:color="auto" w:sz="12" w:space="0"/>
            </w:tcBorders>
            <w:noWrap w:val="0"/>
            <w:vAlign w:val="center"/>
          </w:tcPr>
          <w:p>
            <w:pPr>
              <w:spacing w:line="360" w:lineRule="auto"/>
              <w:jc w:val="center"/>
              <w:rPr>
                <w:rFonts w:ascii="宋体" w:hAnsi="宋体"/>
              </w:rPr>
            </w:pPr>
          </w:p>
        </w:tc>
        <w:tc>
          <w:tcPr>
            <w:tcW w:w="361" w:type="dxa"/>
            <w:tcBorders>
              <w:bottom w:val="single" w:color="auto" w:sz="12" w:space="0"/>
            </w:tcBorders>
            <w:noWrap w:val="0"/>
            <w:vAlign w:val="center"/>
          </w:tcPr>
          <w:p>
            <w:pPr>
              <w:spacing w:line="360" w:lineRule="auto"/>
              <w:jc w:val="center"/>
              <w:rPr>
                <w:rFonts w:ascii="宋体" w:hAnsi="宋体"/>
              </w:rPr>
            </w:pPr>
          </w:p>
        </w:tc>
        <w:tc>
          <w:tcPr>
            <w:tcW w:w="361" w:type="dxa"/>
            <w:tcBorders>
              <w:bottom w:val="single" w:color="auto" w:sz="12" w:space="0"/>
            </w:tcBorders>
            <w:noWrap w:val="0"/>
            <w:vAlign w:val="center"/>
          </w:tcPr>
          <w:p>
            <w:pPr>
              <w:spacing w:line="360" w:lineRule="auto"/>
              <w:jc w:val="center"/>
              <w:rPr>
                <w:rFonts w:ascii="宋体" w:hAnsi="宋体"/>
              </w:rPr>
            </w:pPr>
          </w:p>
        </w:tc>
        <w:tc>
          <w:tcPr>
            <w:tcW w:w="367" w:type="dxa"/>
            <w:tcBorders>
              <w:bottom w:val="single" w:color="auto" w:sz="12" w:space="0"/>
            </w:tcBorders>
            <w:noWrap w:val="0"/>
            <w:vAlign w:val="center"/>
          </w:tcPr>
          <w:p>
            <w:pPr>
              <w:spacing w:line="360" w:lineRule="auto"/>
              <w:jc w:val="center"/>
              <w:rPr>
                <w:rFonts w:ascii="宋体" w:hAnsi="宋体"/>
              </w:rPr>
            </w:pPr>
          </w:p>
        </w:tc>
        <w:tc>
          <w:tcPr>
            <w:tcW w:w="360" w:type="dxa"/>
            <w:tcBorders>
              <w:bottom w:val="single" w:color="auto" w:sz="12" w:space="0"/>
            </w:tcBorders>
            <w:noWrap w:val="0"/>
            <w:vAlign w:val="center"/>
          </w:tcPr>
          <w:p>
            <w:pPr>
              <w:spacing w:line="360" w:lineRule="auto"/>
              <w:jc w:val="center"/>
              <w:rPr>
                <w:rFonts w:ascii="宋体" w:hAnsi="宋体"/>
              </w:rPr>
            </w:pPr>
          </w:p>
        </w:tc>
        <w:tc>
          <w:tcPr>
            <w:tcW w:w="360" w:type="dxa"/>
            <w:tcBorders>
              <w:bottom w:val="single" w:color="auto" w:sz="12" w:space="0"/>
            </w:tcBorders>
            <w:noWrap w:val="0"/>
            <w:vAlign w:val="center"/>
          </w:tcPr>
          <w:p>
            <w:pPr>
              <w:spacing w:line="360" w:lineRule="auto"/>
              <w:jc w:val="center"/>
              <w:rPr>
                <w:rFonts w:ascii="宋体" w:hAnsi="宋体"/>
              </w:rPr>
            </w:pPr>
          </w:p>
        </w:tc>
        <w:tc>
          <w:tcPr>
            <w:tcW w:w="364" w:type="dxa"/>
            <w:tcBorders>
              <w:bottom w:val="single" w:color="auto" w:sz="12" w:space="0"/>
            </w:tcBorders>
            <w:noWrap w:val="0"/>
            <w:vAlign w:val="center"/>
          </w:tcPr>
          <w:p>
            <w:pPr>
              <w:spacing w:line="360" w:lineRule="auto"/>
              <w:jc w:val="center"/>
              <w:rPr>
                <w:rFonts w:ascii="宋体" w:hAnsi="宋体"/>
              </w:rPr>
            </w:pPr>
          </w:p>
        </w:tc>
        <w:tc>
          <w:tcPr>
            <w:tcW w:w="426" w:type="dxa"/>
            <w:tcBorders>
              <w:bottom w:val="single" w:color="auto" w:sz="12" w:space="0"/>
            </w:tcBorders>
            <w:noWrap w:val="0"/>
            <w:vAlign w:val="center"/>
          </w:tcPr>
          <w:p>
            <w:pPr>
              <w:spacing w:line="360" w:lineRule="auto"/>
              <w:jc w:val="center"/>
              <w:rPr>
                <w:rFonts w:ascii="宋体" w:hAnsi="宋体"/>
              </w:rPr>
            </w:pPr>
          </w:p>
        </w:tc>
        <w:tc>
          <w:tcPr>
            <w:tcW w:w="419" w:type="dxa"/>
            <w:tcBorders>
              <w:bottom w:val="single" w:color="auto" w:sz="12" w:space="0"/>
            </w:tcBorders>
            <w:noWrap w:val="0"/>
            <w:vAlign w:val="center"/>
          </w:tcPr>
          <w:p>
            <w:pPr>
              <w:spacing w:line="360" w:lineRule="auto"/>
              <w:jc w:val="center"/>
              <w:rPr>
                <w:rFonts w:ascii="宋体" w:hAnsi="宋体"/>
              </w:rPr>
            </w:pPr>
          </w:p>
        </w:tc>
        <w:tc>
          <w:tcPr>
            <w:tcW w:w="426" w:type="dxa"/>
            <w:tcBorders>
              <w:bottom w:val="single" w:color="auto" w:sz="12" w:space="0"/>
            </w:tcBorders>
            <w:noWrap w:val="0"/>
            <w:vAlign w:val="center"/>
          </w:tcPr>
          <w:p>
            <w:pPr>
              <w:spacing w:line="360" w:lineRule="auto"/>
              <w:jc w:val="center"/>
              <w:rPr>
                <w:rFonts w:ascii="宋体" w:hAnsi="宋体"/>
              </w:rPr>
            </w:pPr>
          </w:p>
        </w:tc>
        <w:tc>
          <w:tcPr>
            <w:tcW w:w="360" w:type="dxa"/>
            <w:tcBorders>
              <w:bottom w:val="single" w:color="auto" w:sz="12" w:space="0"/>
            </w:tcBorders>
            <w:noWrap w:val="0"/>
            <w:vAlign w:val="center"/>
          </w:tcPr>
          <w:p>
            <w:pPr>
              <w:spacing w:line="360" w:lineRule="auto"/>
              <w:jc w:val="center"/>
              <w:rPr>
                <w:rFonts w:ascii="宋体" w:hAnsi="宋体"/>
              </w:rPr>
            </w:pPr>
          </w:p>
        </w:tc>
        <w:tc>
          <w:tcPr>
            <w:tcW w:w="360" w:type="dxa"/>
            <w:tcBorders>
              <w:bottom w:val="single" w:color="auto" w:sz="12" w:space="0"/>
            </w:tcBorders>
            <w:noWrap w:val="0"/>
            <w:vAlign w:val="center"/>
          </w:tcPr>
          <w:p>
            <w:pPr>
              <w:spacing w:line="360" w:lineRule="auto"/>
              <w:jc w:val="center"/>
              <w:rPr>
                <w:rFonts w:ascii="宋体" w:hAnsi="宋体"/>
              </w:rPr>
            </w:pPr>
          </w:p>
        </w:tc>
        <w:tc>
          <w:tcPr>
            <w:tcW w:w="364" w:type="dxa"/>
            <w:tcBorders>
              <w:bottom w:val="single" w:color="auto" w:sz="12" w:space="0"/>
            </w:tcBorders>
            <w:noWrap w:val="0"/>
            <w:vAlign w:val="center"/>
          </w:tcPr>
          <w:p>
            <w:pPr>
              <w:spacing w:line="360" w:lineRule="auto"/>
              <w:jc w:val="center"/>
              <w:rPr>
                <w:rFonts w:ascii="宋体" w:hAnsi="宋体"/>
              </w:rPr>
            </w:pPr>
          </w:p>
        </w:tc>
        <w:tc>
          <w:tcPr>
            <w:tcW w:w="362" w:type="dxa"/>
            <w:tcBorders>
              <w:bottom w:val="single" w:color="auto" w:sz="12" w:space="0"/>
            </w:tcBorders>
            <w:noWrap w:val="0"/>
            <w:vAlign w:val="center"/>
          </w:tcPr>
          <w:p>
            <w:pPr>
              <w:spacing w:line="360" w:lineRule="auto"/>
              <w:jc w:val="center"/>
              <w:rPr>
                <w:rFonts w:ascii="宋体" w:hAnsi="宋体"/>
              </w:rPr>
            </w:pPr>
          </w:p>
        </w:tc>
        <w:tc>
          <w:tcPr>
            <w:tcW w:w="362" w:type="dxa"/>
            <w:tcBorders>
              <w:bottom w:val="single" w:color="auto" w:sz="12" w:space="0"/>
            </w:tcBorders>
            <w:noWrap w:val="0"/>
            <w:vAlign w:val="center"/>
          </w:tcPr>
          <w:p>
            <w:pPr>
              <w:spacing w:line="360" w:lineRule="auto"/>
              <w:jc w:val="center"/>
              <w:rPr>
                <w:rFonts w:ascii="宋体" w:hAnsi="宋体"/>
              </w:rPr>
            </w:pPr>
          </w:p>
        </w:tc>
        <w:tc>
          <w:tcPr>
            <w:tcW w:w="364" w:type="dxa"/>
            <w:tcBorders>
              <w:bottom w:val="single" w:color="auto" w:sz="12" w:space="0"/>
            </w:tcBorders>
            <w:noWrap w:val="0"/>
            <w:vAlign w:val="center"/>
          </w:tcPr>
          <w:p>
            <w:pPr>
              <w:spacing w:line="360" w:lineRule="auto"/>
              <w:jc w:val="center"/>
              <w:rPr>
                <w:rFonts w:ascii="宋体" w:hAnsi="宋体"/>
              </w:rPr>
            </w:pPr>
          </w:p>
        </w:tc>
        <w:tc>
          <w:tcPr>
            <w:tcW w:w="362" w:type="dxa"/>
            <w:tcBorders>
              <w:bottom w:val="single" w:color="auto" w:sz="12" w:space="0"/>
            </w:tcBorders>
            <w:noWrap w:val="0"/>
            <w:vAlign w:val="center"/>
          </w:tcPr>
          <w:p>
            <w:pPr>
              <w:spacing w:line="360" w:lineRule="auto"/>
              <w:jc w:val="center"/>
              <w:rPr>
                <w:rFonts w:ascii="宋体" w:hAnsi="宋体"/>
              </w:rPr>
            </w:pPr>
          </w:p>
        </w:tc>
        <w:tc>
          <w:tcPr>
            <w:tcW w:w="362" w:type="dxa"/>
            <w:tcBorders>
              <w:bottom w:val="single" w:color="auto" w:sz="12" w:space="0"/>
            </w:tcBorders>
            <w:noWrap w:val="0"/>
            <w:vAlign w:val="center"/>
          </w:tcPr>
          <w:p>
            <w:pPr>
              <w:spacing w:line="360" w:lineRule="auto"/>
              <w:jc w:val="center"/>
              <w:rPr>
                <w:rFonts w:ascii="宋体" w:hAnsi="宋体"/>
              </w:rPr>
            </w:pPr>
          </w:p>
        </w:tc>
      </w:tr>
    </w:tbl>
    <w:p>
      <w:pPr>
        <w:spacing w:line="360" w:lineRule="auto"/>
        <w:rPr>
          <w:rFonts w:ascii="宋体" w:hAnsi="宋体"/>
        </w:rPr>
      </w:pPr>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1149350</wp:posOffset>
                </wp:positionH>
                <wp:positionV relativeFrom="paragraph">
                  <wp:posOffset>20955</wp:posOffset>
                </wp:positionV>
                <wp:extent cx="5218430" cy="267335"/>
                <wp:effectExtent l="0" t="0" r="0" b="0"/>
                <wp:wrapNone/>
                <wp:docPr id="10" name="矩形 10"/>
                <wp:cNvGraphicFramePr/>
                <a:graphic xmlns:a="http://schemas.openxmlformats.org/drawingml/2006/main">
                  <a:graphicData uri="http://schemas.microsoft.com/office/word/2010/wordprocessingShape">
                    <wps:wsp>
                      <wps:cNvSpPr/>
                      <wps:spPr>
                        <a:xfrm>
                          <a:off x="0" y="0"/>
                          <a:ext cx="5218430" cy="267335"/>
                        </a:xfrm>
                        <a:prstGeom prst="rect">
                          <a:avLst/>
                        </a:prstGeom>
                        <a:noFill/>
                        <a:ln w="9525">
                          <a:noFill/>
                        </a:ln>
                        <a:effectLst/>
                      </wps:spPr>
                      <wps:txbx>
                        <w:txbxContent>
                          <w:p>
                            <w:r>
                              <w:t>0     10     20     30     40      50     60     70     80     90    100</w:t>
                            </w:r>
                          </w:p>
                        </w:txbxContent>
                      </wps:txbx>
                      <wps:bodyPr upright="1"/>
                    </wps:wsp>
                  </a:graphicData>
                </a:graphic>
              </wp:anchor>
            </w:drawing>
          </mc:Choice>
          <mc:Fallback>
            <w:pict>
              <v:rect id="_x0000_s1026" o:spid="_x0000_s1026" o:spt="1" style="position:absolute;left:0pt;margin-left:90.5pt;margin-top:1.65pt;height:21.05pt;width:410.9pt;z-index:251665408;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P1AndkAAAAJAQAADwAAAAAAAAABACAAAAAiAAAAZHJz&#10;L2Rvd25yZXYueG1sUEsBAhQAFAAAAAgAh07iQEgimNyRAQAADAMAAA4AAAAAAAAAAQAgAAAAKAEA&#10;AGRycy9lMm9Eb2MueG1sUEsFBgAAAAAGAAYAWQEAACsFAAAAAA==&#10;">
                <v:fill on="f" focussize="0,0"/>
                <v:stroke on="f"/>
                <v:imagedata o:title=""/>
                <o:lock v:ext="edit" aspectratio="f"/>
                <v:textbox>
                  <w:txbxContent>
                    <w:p>
                      <w:r>
                        <w:t>0     10     20     30     40      50     60     70     80     90    100</w:t>
                      </w:r>
                    </w:p>
                  </w:txbxContent>
                </v:textbox>
              </v:rect>
            </w:pict>
          </mc:Fallback>
        </mc:AlternateContent>
      </w:r>
    </w:p>
    <w:p>
      <w:pPr>
        <w:spacing w:line="360" w:lineRule="auto"/>
        <w:rPr>
          <w:rFonts w:ascii="宋体" w:hAnsi="宋体"/>
        </w:rPr>
      </w:pPr>
    </w:p>
    <w:p>
      <w:pPr>
        <w:spacing w:line="360" w:lineRule="auto"/>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918845</wp:posOffset>
                </wp:positionH>
                <wp:positionV relativeFrom="paragraph">
                  <wp:posOffset>72390</wp:posOffset>
                </wp:positionV>
                <wp:extent cx="3657600" cy="5568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657600" cy="556895"/>
                        </a:xfrm>
                        <a:prstGeom prst="rect">
                          <a:avLst/>
                        </a:prstGeom>
                        <a:noFill/>
                        <a:ln w="9525">
                          <a:noFill/>
                        </a:ln>
                        <a:effectLst/>
                      </wps:spPr>
                      <wps:txbx>
                        <w:txbxContent>
                          <w:p>
                            <w:pPr>
                              <w:spacing w:line="360" w:lineRule="auto"/>
                              <w:jc w:val="center"/>
                              <w:rPr>
                                <w:rFonts w:ascii="宋体"/>
                              </w:rPr>
                            </w:pPr>
                            <w:r>
                              <w:rPr>
                                <w:rFonts w:hint="eastAsia" w:ascii="宋体" w:hAnsi="宋体"/>
                              </w:rPr>
                              <w:t>工期历程的百分比（</w:t>
                            </w:r>
                            <w:r>
                              <w:rPr>
                                <w:rFonts w:ascii="宋体" w:hAnsi="宋体"/>
                              </w:rPr>
                              <w:t>%</w:t>
                            </w:r>
                            <w:r>
                              <w:rPr>
                                <w:rFonts w:hint="eastAsia" w:ascii="宋体" w:hAnsi="宋体"/>
                              </w:rPr>
                              <w:t>）</w:t>
                            </w:r>
                          </w:p>
                        </w:txbxContent>
                      </wps:txbx>
                      <wps:bodyPr upright="1"/>
                    </wps:wsp>
                  </a:graphicData>
                </a:graphic>
              </wp:anchor>
            </w:drawing>
          </mc:Choice>
          <mc:Fallback>
            <w:pict>
              <v:shape id="_x0000_s1026" o:spid="_x0000_s1026" o:spt="202" type="#_x0000_t202" style="position:absolute;left:0pt;margin-left:72.35pt;margin-top:5.7pt;height:43.85pt;width:288pt;z-index:251660288;mso-width-relative:page;mso-height-relative:page;" filled="f" stroked="f" coordsize="21600,21600" o:gfxdata="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X0hNnVAAAACQEAAA8AAAAAAAAAAQAg&#10;AAAAIgAAAGRycy9kb3ducmV2LnhtbFBLAQIUABQAAAAIAIdO4kAXQsoinwEAABcDAAAOAAAAAAAA&#10;AAEAIAAAACQBAABkcnMvZTJvRG9jLnhtbFBLBQYAAAAABgAGAFkBAAA1BQAAAAA=&#10;">
                <v:fill on="f" focussize="0,0"/>
                <v:stroke on="f"/>
                <v:imagedata o:title=""/>
                <o:lock v:ext="edit" aspectratio="f"/>
                <v:textbox>
                  <w:txbxContent>
                    <w:p>
                      <w:pPr>
                        <w:spacing w:line="360" w:lineRule="auto"/>
                        <w:jc w:val="center"/>
                        <w:rPr>
                          <w:rFonts w:ascii="宋体"/>
                        </w:rPr>
                      </w:pPr>
                      <w:r>
                        <w:rPr>
                          <w:rFonts w:hint="eastAsia" w:ascii="宋体" w:hAnsi="宋体"/>
                        </w:rPr>
                        <w:t>工期历程的百分比（</w:t>
                      </w:r>
                      <w:r>
                        <w:rPr>
                          <w:rFonts w:ascii="宋体" w:hAnsi="宋体"/>
                        </w:rPr>
                        <w:t>%</w:t>
                      </w:r>
                      <w:r>
                        <w:rPr>
                          <w:rFonts w:hint="eastAsia" w:ascii="宋体" w:hAnsi="宋体"/>
                        </w:rPr>
                        <w:t>）</w:t>
                      </w:r>
                    </w:p>
                  </w:txbxContent>
                </v:textbox>
              </v:shape>
            </w:pict>
          </mc:Fallback>
        </mc:AlternateConten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widowControl/>
        <w:spacing w:line="360" w:lineRule="auto"/>
        <w:jc w:val="left"/>
        <w:rPr>
          <w:rFonts w:ascii="宋体" w:hAnsi="宋体"/>
          <w:szCs w:val="21"/>
        </w:rPr>
        <w:sectPr>
          <w:footnotePr>
            <w:numFmt w:val="decimalEnclosedCircleChinese"/>
            <w:numRestart w:val="eachPage"/>
          </w:footnotePr>
          <w:type w:val="continuous"/>
          <w:pgSz w:w="11907" w:h="16840"/>
          <w:pgMar w:top="1440" w:right="1080" w:bottom="1440" w:left="1080" w:header="720" w:footer="907" w:gutter="0"/>
          <w:pgNumType w:fmt="numberInDash"/>
          <w:cols w:space="720" w:num="1"/>
        </w:sectPr>
      </w:pPr>
    </w:p>
    <w:p>
      <w:pPr>
        <w:spacing w:line="360" w:lineRule="auto"/>
        <w:rPr>
          <w:rFonts w:ascii="宋体" w:hAnsi="宋体" w:cs="Times New Roman"/>
          <w:b/>
          <w:sz w:val="28"/>
          <w:szCs w:val="28"/>
        </w:rPr>
      </w:pPr>
      <w:r>
        <w:rPr>
          <w:rFonts w:hint="eastAsia" w:ascii="宋体" w:hAnsi="宋体" w:cs="Times New Roman"/>
          <w:b/>
          <w:sz w:val="28"/>
          <w:szCs w:val="28"/>
        </w:rPr>
        <w:t>附表四   分项工程生产率和施工周期表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2"/>
        <w:gridCol w:w="1203"/>
        <w:gridCol w:w="716"/>
        <w:gridCol w:w="534"/>
        <w:gridCol w:w="1719"/>
        <w:gridCol w:w="1238"/>
        <w:gridCol w:w="1237"/>
        <w:gridCol w:w="1237"/>
        <w:gridCol w:w="12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9" w:hRule="atLeast"/>
          <w:jc w:val="center"/>
        </w:trPr>
        <w:tc>
          <w:tcPr>
            <w:tcW w:w="462" w:type="dxa"/>
            <w:tcBorders>
              <w:top w:val="single" w:color="auto" w:sz="12" w:space="0"/>
            </w:tcBorders>
            <w:noWrap w:val="0"/>
            <w:vAlign w:val="center"/>
          </w:tcPr>
          <w:p>
            <w:pPr>
              <w:spacing w:line="360" w:lineRule="auto"/>
              <w:rPr>
                <w:rFonts w:ascii="宋体" w:hAnsi="宋体"/>
              </w:rPr>
            </w:pPr>
            <w:r>
              <w:rPr>
                <w:rFonts w:hint="eastAsia" w:ascii="宋体" w:hAnsi="宋体"/>
              </w:rPr>
              <w:t>序号</w:t>
            </w:r>
          </w:p>
        </w:tc>
        <w:tc>
          <w:tcPr>
            <w:tcW w:w="1203" w:type="dxa"/>
            <w:tcBorders>
              <w:top w:val="single" w:color="auto" w:sz="12" w:space="0"/>
            </w:tcBorders>
            <w:noWrap w:val="0"/>
            <w:vAlign w:val="center"/>
          </w:tcPr>
          <w:p>
            <w:pPr>
              <w:spacing w:line="360" w:lineRule="auto"/>
              <w:rPr>
                <w:rFonts w:ascii="宋体" w:hAnsi="宋体"/>
              </w:rPr>
            </w:pPr>
            <w:r>
              <w:rPr>
                <w:rFonts w:hint="eastAsia" w:ascii="宋体" w:hAnsi="宋体"/>
              </w:rPr>
              <w:t>工程项目</w:t>
            </w:r>
          </w:p>
        </w:tc>
        <w:tc>
          <w:tcPr>
            <w:tcW w:w="716" w:type="dxa"/>
            <w:tcBorders>
              <w:top w:val="single" w:color="auto" w:sz="12" w:space="0"/>
            </w:tcBorders>
            <w:noWrap w:val="0"/>
            <w:vAlign w:val="center"/>
          </w:tcPr>
          <w:p>
            <w:pPr>
              <w:spacing w:line="360" w:lineRule="auto"/>
              <w:rPr>
                <w:rFonts w:ascii="宋体" w:hAnsi="宋体"/>
              </w:rPr>
            </w:pPr>
            <w:r>
              <w:rPr>
                <w:rFonts w:hint="eastAsia" w:ascii="宋体" w:hAnsi="宋体"/>
              </w:rPr>
              <w:t>单位</w:t>
            </w:r>
          </w:p>
        </w:tc>
        <w:tc>
          <w:tcPr>
            <w:tcW w:w="534" w:type="dxa"/>
            <w:tcBorders>
              <w:top w:val="single" w:color="auto" w:sz="12" w:space="0"/>
            </w:tcBorders>
            <w:noWrap w:val="0"/>
            <w:vAlign w:val="center"/>
          </w:tcPr>
          <w:p>
            <w:pPr>
              <w:spacing w:line="360" w:lineRule="auto"/>
              <w:rPr>
                <w:rFonts w:ascii="宋体" w:hAnsi="宋体"/>
              </w:rPr>
            </w:pPr>
            <w:r>
              <w:rPr>
                <w:rFonts w:hint="eastAsia" w:ascii="宋体" w:hAnsi="宋体"/>
              </w:rPr>
              <w:t>数量</w:t>
            </w:r>
          </w:p>
        </w:tc>
        <w:tc>
          <w:tcPr>
            <w:tcW w:w="1719" w:type="dxa"/>
            <w:tcBorders>
              <w:top w:val="single" w:color="auto" w:sz="12" w:space="0"/>
            </w:tcBorders>
            <w:noWrap w:val="0"/>
            <w:vAlign w:val="center"/>
          </w:tcPr>
          <w:p>
            <w:pPr>
              <w:rPr>
                <w:rFonts w:ascii="宋体" w:hAnsi="宋体"/>
              </w:rPr>
            </w:pPr>
            <w:r>
              <w:rPr>
                <w:rFonts w:hint="eastAsia" w:ascii="宋体" w:hAnsi="宋体"/>
              </w:rPr>
              <w:t>平均每生产单位规模（人，各种机械台）</w:t>
            </w:r>
          </w:p>
        </w:tc>
        <w:tc>
          <w:tcPr>
            <w:tcW w:w="1238" w:type="dxa"/>
            <w:tcBorders>
              <w:top w:val="single" w:color="auto" w:sz="12" w:space="0"/>
            </w:tcBorders>
            <w:noWrap w:val="0"/>
            <w:vAlign w:val="center"/>
          </w:tcPr>
          <w:p>
            <w:pPr>
              <w:rPr>
                <w:rFonts w:ascii="宋体" w:hAnsi="宋体"/>
              </w:rPr>
            </w:pPr>
            <w:r>
              <w:rPr>
                <w:rFonts w:hint="eastAsia" w:ascii="宋体" w:hAnsi="宋体"/>
              </w:rPr>
              <w:t>平均每生产单位生产率（数量，每周）</w:t>
            </w:r>
          </w:p>
        </w:tc>
        <w:tc>
          <w:tcPr>
            <w:tcW w:w="1237" w:type="dxa"/>
            <w:tcBorders>
              <w:top w:val="single" w:color="auto" w:sz="12" w:space="0"/>
            </w:tcBorders>
            <w:noWrap w:val="0"/>
            <w:vAlign w:val="center"/>
          </w:tcPr>
          <w:p>
            <w:pPr>
              <w:rPr>
                <w:rFonts w:ascii="宋体" w:hAnsi="宋体"/>
              </w:rPr>
            </w:pPr>
            <w:r>
              <w:rPr>
                <w:rFonts w:hint="eastAsia" w:ascii="宋体" w:hAnsi="宋体"/>
              </w:rPr>
              <w:t>每生产单位</w:t>
            </w:r>
          </w:p>
          <w:p>
            <w:pPr>
              <w:rPr>
                <w:rFonts w:ascii="宋体" w:hAnsi="宋体"/>
              </w:rPr>
            </w:pPr>
            <w:r>
              <w:rPr>
                <w:rFonts w:hint="eastAsia" w:ascii="宋体" w:hAnsi="宋体"/>
              </w:rPr>
              <w:t>平均施工时间（周）</w:t>
            </w:r>
          </w:p>
        </w:tc>
        <w:tc>
          <w:tcPr>
            <w:tcW w:w="1237" w:type="dxa"/>
            <w:tcBorders>
              <w:top w:val="single" w:color="auto" w:sz="12" w:space="0"/>
            </w:tcBorders>
            <w:noWrap w:val="0"/>
            <w:vAlign w:val="center"/>
          </w:tcPr>
          <w:p>
            <w:pPr>
              <w:rPr>
                <w:rFonts w:ascii="宋体" w:hAnsi="宋体"/>
              </w:rPr>
            </w:pPr>
            <w:r>
              <w:rPr>
                <w:rFonts w:hint="eastAsia" w:ascii="宋体" w:hAnsi="宋体"/>
              </w:rPr>
              <w:t>生产单位总数</w:t>
            </w:r>
          </w:p>
          <w:p>
            <w:pPr>
              <w:rPr>
                <w:rFonts w:ascii="宋体" w:hAnsi="宋体"/>
              </w:rPr>
            </w:pPr>
            <w:r>
              <w:rPr>
                <w:rFonts w:hint="eastAsia" w:ascii="宋体" w:hAnsi="宋体"/>
              </w:rPr>
              <w:t>（个）</w:t>
            </w:r>
          </w:p>
        </w:tc>
        <w:tc>
          <w:tcPr>
            <w:tcW w:w="1234" w:type="dxa"/>
            <w:tcBorders>
              <w:top w:val="single" w:color="auto" w:sz="12" w:space="0"/>
            </w:tcBorders>
            <w:noWrap w:val="0"/>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exact"/>
          <w:jc w:val="center"/>
        </w:trPr>
        <w:tc>
          <w:tcPr>
            <w:tcW w:w="462" w:type="dxa"/>
            <w:noWrap w:val="0"/>
            <w:vAlign w:val="center"/>
          </w:tcPr>
          <w:p>
            <w:pPr>
              <w:spacing w:line="360" w:lineRule="auto"/>
              <w:rPr>
                <w:rFonts w:ascii="宋体" w:hAnsi="宋体"/>
              </w:rPr>
            </w:pPr>
            <w:r>
              <w:rPr>
                <w:rFonts w:ascii="宋体" w:hAnsi="宋体"/>
              </w:rPr>
              <w:t>1</w:t>
            </w:r>
          </w:p>
        </w:tc>
        <w:tc>
          <w:tcPr>
            <w:tcW w:w="1203" w:type="dxa"/>
            <w:noWrap w:val="0"/>
            <w:vAlign w:val="center"/>
          </w:tcPr>
          <w:p>
            <w:pPr>
              <w:rPr>
                <w:rFonts w:ascii="宋体" w:hAnsi="宋体"/>
              </w:rPr>
            </w:pPr>
            <w:r>
              <w:rPr>
                <w:rFonts w:hint="eastAsia" w:ascii="宋体" w:hAnsi="宋体"/>
              </w:rPr>
              <w:t>特殊路基处理</w:t>
            </w:r>
          </w:p>
        </w:tc>
        <w:tc>
          <w:tcPr>
            <w:tcW w:w="716" w:type="dxa"/>
            <w:noWrap w:val="0"/>
            <w:vAlign w:val="center"/>
          </w:tcPr>
          <w:p>
            <w:pPr>
              <w:rPr>
                <w:rFonts w:ascii="宋体" w:hAnsi="宋体"/>
              </w:rPr>
            </w:pPr>
            <w:r>
              <w:rPr>
                <w:rFonts w:hint="eastAsia" w:ascii="宋体" w:hAnsi="宋体"/>
              </w:rPr>
              <w:t>公里</w:t>
            </w:r>
          </w:p>
        </w:tc>
        <w:tc>
          <w:tcPr>
            <w:tcW w:w="534" w:type="dxa"/>
            <w:noWrap w:val="0"/>
            <w:vAlign w:val="center"/>
          </w:tcPr>
          <w:p>
            <w:pPr>
              <w:spacing w:line="360" w:lineRule="auto"/>
              <w:rPr>
                <w:rFonts w:ascii="宋体" w:hAnsi="宋体"/>
              </w:rPr>
            </w:pPr>
          </w:p>
        </w:tc>
        <w:tc>
          <w:tcPr>
            <w:tcW w:w="1719" w:type="dxa"/>
            <w:noWrap w:val="0"/>
            <w:vAlign w:val="center"/>
          </w:tcPr>
          <w:p>
            <w:pPr>
              <w:spacing w:line="360" w:lineRule="auto"/>
              <w:rPr>
                <w:rFonts w:ascii="宋体" w:hAnsi="宋体"/>
              </w:rPr>
            </w:pPr>
          </w:p>
        </w:tc>
        <w:tc>
          <w:tcPr>
            <w:tcW w:w="1238" w:type="dxa"/>
            <w:noWrap w:val="0"/>
            <w:vAlign w:val="center"/>
          </w:tcPr>
          <w:p>
            <w:pPr>
              <w:spacing w:line="360" w:lineRule="auto"/>
              <w:rPr>
                <w:rFonts w:ascii="宋体" w:hAnsi="宋体"/>
              </w:rPr>
            </w:pPr>
          </w:p>
        </w:tc>
        <w:tc>
          <w:tcPr>
            <w:tcW w:w="1237" w:type="dxa"/>
            <w:noWrap w:val="0"/>
            <w:vAlign w:val="center"/>
          </w:tcPr>
          <w:p>
            <w:pPr>
              <w:spacing w:line="360" w:lineRule="auto"/>
              <w:rPr>
                <w:rFonts w:ascii="宋体" w:hAnsi="宋体"/>
              </w:rPr>
            </w:pPr>
          </w:p>
        </w:tc>
        <w:tc>
          <w:tcPr>
            <w:tcW w:w="1237" w:type="dxa"/>
            <w:noWrap w:val="0"/>
            <w:vAlign w:val="center"/>
          </w:tcPr>
          <w:p>
            <w:pPr>
              <w:spacing w:line="360" w:lineRule="auto"/>
              <w:rPr>
                <w:rFonts w:ascii="宋体" w:hAnsi="宋体"/>
              </w:rPr>
            </w:pPr>
          </w:p>
        </w:tc>
        <w:tc>
          <w:tcPr>
            <w:tcW w:w="1234" w:type="dxa"/>
            <w:noWrap w:val="0"/>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exact"/>
          <w:jc w:val="center"/>
        </w:trPr>
        <w:tc>
          <w:tcPr>
            <w:tcW w:w="462" w:type="dxa"/>
            <w:noWrap w:val="0"/>
            <w:vAlign w:val="center"/>
          </w:tcPr>
          <w:p>
            <w:pPr>
              <w:spacing w:line="360" w:lineRule="auto"/>
              <w:rPr>
                <w:rFonts w:ascii="宋体" w:hAnsi="宋体"/>
              </w:rPr>
            </w:pPr>
            <w:r>
              <w:rPr>
                <w:rFonts w:ascii="宋体" w:hAnsi="宋体"/>
              </w:rPr>
              <w:t>2</w:t>
            </w:r>
          </w:p>
        </w:tc>
        <w:tc>
          <w:tcPr>
            <w:tcW w:w="1203" w:type="dxa"/>
            <w:noWrap w:val="0"/>
            <w:vAlign w:val="center"/>
          </w:tcPr>
          <w:p>
            <w:pPr>
              <w:rPr>
                <w:rFonts w:ascii="宋体" w:hAnsi="宋体"/>
              </w:rPr>
            </w:pPr>
            <w:r>
              <w:rPr>
                <w:rFonts w:hint="eastAsia" w:ascii="宋体" w:hAnsi="宋体"/>
              </w:rPr>
              <w:t>路基填筑</w:t>
            </w:r>
          </w:p>
        </w:tc>
        <w:tc>
          <w:tcPr>
            <w:tcW w:w="716" w:type="dxa"/>
            <w:noWrap w:val="0"/>
            <w:vAlign w:val="center"/>
          </w:tcPr>
          <w:p>
            <w:pPr>
              <w:rPr>
                <w:rFonts w:ascii="宋体" w:hAnsi="宋体"/>
              </w:rPr>
            </w:pPr>
            <w:r>
              <w:rPr>
                <w:rFonts w:hint="eastAsia" w:ascii="宋体" w:hAnsi="宋体"/>
              </w:rPr>
              <w:t>万</w:t>
            </w:r>
            <w:r>
              <w:rPr>
                <w:rFonts w:ascii="宋体" w:hAnsi="宋体"/>
              </w:rPr>
              <w:t>m</w:t>
            </w:r>
            <w:r>
              <w:rPr>
                <w:rFonts w:ascii="宋体" w:hAnsi="宋体"/>
                <w:vertAlign w:val="superscript"/>
              </w:rPr>
              <w:t>3</w:t>
            </w:r>
          </w:p>
        </w:tc>
        <w:tc>
          <w:tcPr>
            <w:tcW w:w="534" w:type="dxa"/>
            <w:noWrap w:val="0"/>
            <w:vAlign w:val="center"/>
          </w:tcPr>
          <w:p>
            <w:pPr>
              <w:spacing w:line="360" w:lineRule="auto"/>
              <w:rPr>
                <w:rFonts w:ascii="宋体" w:hAnsi="宋体"/>
              </w:rPr>
            </w:pPr>
          </w:p>
        </w:tc>
        <w:tc>
          <w:tcPr>
            <w:tcW w:w="1719" w:type="dxa"/>
            <w:noWrap w:val="0"/>
            <w:vAlign w:val="center"/>
          </w:tcPr>
          <w:p>
            <w:pPr>
              <w:spacing w:line="360" w:lineRule="auto"/>
              <w:rPr>
                <w:rFonts w:ascii="宋体" w:hAnsi="宋体"/>
              </w:rPr>
            </w:pPr>
          </w:p>
        </w:tc>
        <w:tc>
          <w:tcPr>
            <w:tcW w:w="1238" w:type="dxa"/>
            <w:noWrap w:val="0"/>
            <w:vAlign w:val="center"/>
          </w:tcPr>
          <w:p>
            <w:pPr>
              <w:spacing w:line="360" w:lineRule="auto"/>
              <w:rPr>
                <w:rFonts w:ascii="宋体" w:hAnsi="宋体"/>
              </w:rPr>
            </w:pPr>
          </w:p>
        </w:tc>
        <w:tc>
          <w:tcPr>
            <w:tcW w:w="1237" w:type="dxa"/>
            <w:noWrap w:val="0"/>
            <w:vAlign w:val="center"/>
          </w:tcPr>
          <w:p>
            <w:pPr>
              <w:spacing w:line="360" w:lineRule="auto"/>
              <w:rPr>
                <w:rFonts w:ascii="宋体" w:hAnsi="宋体"/>
              </w:rPr>
            </w:pPr>
          </w:p>
        </w:tc>
        <w:tc>
          <w:tcPr>
            <w:tcW w:w="1237" w:type="dxa"/>
            <w:noWrap w:val="0"/>
            <w:vAlign w:val="center"/>
          </w:tcPr>
          <w:p>
            <w:pPr>
              <w:spacing w:line="360" w:lineRule="auto"/>
              <w:rPr>
                <w:rFonts w:ascii="宋体" w:hAnsi="宋体"/>
              </w:rPr>
            </w:pPr>
          </w:p>
        </w:tc>
        <w:tc>
          <w:tcPr>
            <w:tcW w:w="1234" w:type="dxa"/>
            <w:noWrap w:val="0"/>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exact"/>
          <w:jc w:val="center"/>
        </w:trPr>
        <w:tc>
          <w:tcPr>
            <w:tcW w:w="462" w:type="dxa"/>
            <w:noWrap w:val="0"/>
            <w:vAlign w:val="center"/>
          </w:tcPr>
          <w:p>
            <w:pPr>
              <w:spacing w:line="360" w:lineRule="auto"/>
              <w:rPr>
                <w:rFonts w:ascii="宋体" w:hAnsi="宋体"/>
              </w:rPr>
            </w:pPr>
            <w:r>
              <w:rPr>
                <w:rFonts w:ascii="宋体" w:hAnsi="宋体"/>
              </w:rPr>
              <w:t>3</w:t>
            </w:r>
          </w:p>
        </w:tc>
        <w:tc>
          <w:tcPr>
            <w:tcW w:w="1203" w:type="dxa"/>
            <w:noWrap w:val="0"/>
            <w:vAlign w:val="center"/>
          </w:tcPr>
          <w:p>
            <w:pPr>
              <w:rPr>
                <w:rFonts w:ascii="宋体" w:hAnsi="宋体"/>
              </w:rPr>
            </w:pPr>
            <w:r>
              <w:rPr>
                <w:rFonts w:hint="eastAsia" w:ascii="宋体" w:hAnsi="宋体"/>
              </w:rPr>
              <w:t>路面基层</w:t>
            </w:r>
          </w:p>
        </w:tc>
        <w:tc>
          <w:tcPr>
            <w:tcW w:w="716" w:type="dxa"/>
            <w:noWrap w:val="0"/>
            <w:vAlign w:val="center"/>
          </w:tcPr>
          <w:p>
            <w:pPr>
              <w:rPr>
                <w:rFonts w:ascii="宋体" w:hAnsi="宋体"/>
              </w:rPr>
            </w:pPr>
            <w:r>
              <w:rPr>
                <w:rFonts w:hint="eastAsia" w:ascii="宋体" w:hAnsi="宋体"/>
              </w:rPr>
              <w:t>万</w:t>
            </w:r>
            <w:r>
              <w:rPr>
                <w:rFonts w:ascii="宋体" w:hAnsi="宋体"/>
              </w:rPr>
              <w:t>m</w:t>
            </w:r>
            <w:r>
              <w:rPr>
                <w:rFonts w:ascii="宋体" w:hAnsi="宋体"/>
                <w:vertAlign w:val="superscript"/>
              </w:rPr>
              <w:t>2</w:t>
            </w:r>
          </w:p>
        </w:tc>
        <w:tc>
          <w:tcPr>
            <w:tcW w:w="534" w:type="dxa"/>
            <w:noWrap w:val="0"/>
            <w:vAlign w:val="center"/>
          </w:tcPr>
          <w:p>
            <w:pPr>
              <w:spacing w:line="360" w:lineRule="auto"/>
              <w:rPr>
                <w:rFonts w:ascii="宋体" w:hAnsi="宋体"/>
              </w:rPr>
            </w:pPr>
          </w:p>
        </w:tc>
        <w:tc>
          <w:tcPr>
            <w:tcW w:w="1719" w:type="dxa"/>
            <w:noWrap w:val="0"/>
            <w:vAlign w:val="center"/>
          </w:tcPr>
          <w:p>
            <w:pPr>
              <w:spacing w:line="360" w:lineRule="auto"/>
              <w:rPr>
                <w:rFonts w:ascii="宋体" w:hAnsi="宋体"/>
              </w:rPr>
            </w:pPr>
          </w:p>
        </w:tc>
        <w:tc>
          <w:tcPr>
            <w:tcW w:w="1238" w:type="dxa"/>
            <w:noWrap w:val="0"/>
            <w:vAlign w:val="center"/>
          </w:tcPr>
          <w:p>
            <w:pPr>
              <w:spacing w:line="360" w:lineRule="auto"/>
              <w:rPr>
                <w:rFonts w:ascii="宋体" w:hAnsi="宋体"/>
              </w:rPr>
            </w:pPr>
          </w:p>
        </w:tc>
        <w:tc>
          <w:tcPr>
            <w:tcW w:w="1237" w:type="dxa"/>
            <w:noWrap w:val="0"/>
            <w:vAlign w:val="center"/>
          </w:tcPr>
          <w:p>
            <w:pPr>
              <w:spacing w:line="360" w:lineRule="auto"/>
              <w:rPr>
                <w:rFonts w:ascii="宋体" w:hAnsi="宋体"/>
              </w:rPr>
            </w:pPr>
          </w:p>
        </w:tc>
        <w:tc>
          <w:tcPr>
            <w:tcW w:w="1237" w:type="dxa"/>
            <w:noWrap w:val="0"/>
            <w:vAlign w:val="center"/>
          </w:tcPr>
          <w:p>
            <w:pPr>
              <w:spacing w:line="360" w:lineRule="auto"/>
              <w:rPr>
                <w:rFonts w:ascii="宋体" w:hAnsi="宋体"/>
              </w:rPr>
            </w:pPr>
          </w:p>
        </w:tc>
        <w:tc>
          <w:tcPr>
            <w:tcW w:w="1234" w:type="dxa"/>
            <w:noWrap w:val="0"/>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exact"/>
          <w:jc w:val="center"/>
        </w:trPr>
        <w:tc>
          <w:tcPr>
            <w:tcW w:w="462" w:type="dxa"/>
            <w:noWrap w:val="0"/>
            <w:vAlign w:val="center"/>
          </w:tcPr>
          <w:p>
            <w:pPr>
              <w:spacing w:line="360" w:lineRule="auto"/>
              <w:rPr>
                <w:rFonts w:ascii="宋体" w:hAnsi="宋体"/>
              </w:rPr>
            </w:pPr>
            <w:r>
              <w:rPr>
                <w:rFonts w:ascii="宋体" w:hAnsi="宋体"/>
              </w:rPr>
              <w:t>4</w:t>
            </w:r>
          </w:p>
        </w:tc>
        <w:tc>
          <w:tcPr>
            <w:tcW w:w="1203" w:type="dxa"/>
            <w:noWrap w:val="0"/>
            <w:vAlign w:val="center"/>
          </w:tcPr>
          <w:p>
            <w:pPr>
              <w:rPr>
                <w:rFonts w:ascii="宋体" w:hAnsi="宋体"/>
              </w:rPr>
            </w:pPr>
            <w:r>
              <w:rPr>
                <w:rFonts w:hint="eastAsia" w:ascii="宋体" w:hAnsi="宋体"/>
              </w:rPr>
              <w:t>路面面层</w:t>
            </w:r>
          </w:p>
        </w:tc>
        <w:tc>
          <w:tcPr>
            <w:tcW w:w="716" w:type="dxa"/>
            <w:noWrap w:val="0"/>
            <w:vAlign w:val="center"/>
          </w:tcPr>
          <w:p>
            <w:pPr>
              <w:rPr>
                <w:rFonts w:ascii="宋体" w:hAnsi="宋体"/>
              </w:rPr>
            </w:pPr>
            <w:r>
              <w:rPr>
                <w:rFonts w:hint="eastAsia" w:ascii="宋体" w:hAnsi="宋体"/>
              </w:rPr>
              <w:t>万</w:t>
            </w:r>
            <w:r>
              <w:rPr>
                <w:rFonts w:ascii="宋体" w:hAnsi="宋体"/>
              </w:rPr>
              <w:t>m</w:t>
            </w:r>
            <w:r>
              <w:rPr>
                <w:rFonts w:ascii="宋体" w:hAnsi="宋体"/>
                <w:vertAlign w:val="superscript"/>
              </w:rPr>
              <w:t>2</w:t>
            </w:r>
          </w:p>
        </w:tc>
        <w:tc>
          <w:tcPr>
            <w:tcW w:w="534" w:type="dxa"/>
            <w:noWrap w:val="0"/>
            <w:vAlign w:val="center"/>
          </w:tcPr>
          <w:p>
            <w:pPr>
              <w:spacing w:line="360" w:lineRule="auto"/>
              <w:rPr>
                <w:rFonts w:ascii="宋体" w:hAnsi="宋体"/>
              </w:rPr>
            </w:pPr>
          </w:p>
        </w:tc>
        <w:tc>
          <w:tcPr>
            <w:tcW w:w="1719" w:type="dxa"/>
            <w:noWrap w:val="0"/>
            <w:vAlign w:val="center"/>
          </w:tcPr>
          <w:p>
            <w:pPr>
              <w:spacing w:line="360" w:lineRule="auto"/>
              <w:rPr>
                <w:rFonts w:ascii="宋体" w:hAnsi="宋体"/>
              </w:rPr>
            </w:pPr>
          </w:p>
        </w:tc>
        <w:tc>
          <w:tcPr>
            <w:tcW w:w="1238" w:type="dxa"/>
            <w:noWrap w:val="0"/>
            <w:vAlign w:val="center"/>
          </w:tcPr>
          <w:p>
            <w:pPr>
              <w:spacing w:line="360" w:lineRule="auto"/>
              <w:rPr>
                <w:rFonts w:ascii="宋体" w:hAnsi="宋体"/>
              </w:rPr>
            </w:pPr>
          </w:p>
        </w:tc>
        <w:tc>
          <w:tcPr>
            <w:tcW w:w="1237" w:type="dxa"/>
            <w:noWrap w:val="0"/>
            <w:vAlign w:val="center"/>
          </w:tcPr>
          <w:p>
            <w:pPr>
              <w:spacing w:line="360" w:lineRule="auto"/>
              <w:rPr>
                <w:rFonts w:ascii="宋体" w:hAnsi="宋体"/>
              </w:rPr>
            </w:pPr>
          </w:p>
        </w:tc>
        <w:tc>
          <w:tcPr>
            <w:tcW w:w="1237" w:type="dxa"/>
            <w:noWrap w:val="0"/>
            <w:vAlign w:val="center"/>
          </w:tcPr>
          <w:p>
            <w:pPr>
              <w:spacing w:line="360" w:lineRule="auto"/>
              <w:rPr>
                <w:rFonts w:ascii="宋体" w:hAnsi="宋体"/>
              </w:rPr>
            </w:pPr>
          </w:p>
        </w:tc>
        <w:tc>
          <w:tcPr>
            <w:tcW w:w="1234" w:type="dxa"/>
            <w:noWrap w:val="0"/>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jc w:val="center"/>
        </w:trPr>
        <w:tc>
          <w:tcPr>
            <w:tcW w:w="462" w:type="dxa"/>
            <w:tcBorders>
              <w:bottom w:val="single" w:color="auto" w:sz="12" w:space="0"/>
            </w:tcBorders>
            <w:noWrap w:val="0"/>
            <w:vAlign w:val="center"/>
          </w:tcPr>
          <w:p>
            <w:pPr>
              <w:spacing w:line="360" w:lineRule="auto"/>
              <w:rPr>
                <w:rFonts w:ascii="宋体" w:hAnsi="宋体"/>
              </w:rPr>
            </w:pPr>
            <w:r>
              <w:rPr>
                <w:rFonts w:ascii="宋体" w:hAnsi="宋体"/>
              </w:rPr>
              <w:t>5</w:t>
            </w:r>
          </w:p>
        </w:tc>
        <w:tc>
          <w:tcPr>
            <w:tcW w:w="1203" w:type="dxa"/>
            <w:tcBorders>
              <w:bottom w:val="single" w:color="auto" w:sz="12" w:space="0"/>
            </w:tcBorders>
            <w:noWrap w:val="0"/>
            <w:vAlign w:val="center"/>
          </w:tcPr>
          <w:p>
            <w:pPr>
              <w:rPr>
                <w:rFonts w:ascii="宋体" w:hAnsi="宋体"/>
              </w:rPr>
            </w:pPr>
            <w:r>
              <w:rPr>
                <w:rFonts w:hint="eastAsia" w:ascii="宋体" w:hAnsi="宋体"/>
              </w:rPr>
              <w:t>路基防护及排水</w:t>
            </w:r>
          </w:p>
        </w:tc>
        <w:tc>
          <w:tcPr>
            <w:tcW w:w="716" w:type="dxa"/>
            <w:tcBorders>
              <w:bottom w:val="single" w:color="auto" w:sz="12" w:space="0"/>
            </w:tcBorders>
            <w:noWrap w:val="0"/>
            <w:vAlign w:val="center"/>
          </w:tcPr>
          <w:p>
            <w:pPr>
              <w:rPr>
                <w:rFonts w:ascii="宋体" w:hAnsi="宋体"/>
              </w:rPr>
            </w:pPr>
            <w:r>
              <w:rPr>
                <w:rFonts w:ascii="宋体" w:hAnsi="宋体"/>
              </w:rPr>
              <w:t>km</w:t>
            </w:r>
          </w:p>
        </w:tc>
        <w:tc>
          <w:tcPr>
            <w:tcW w:w="534" w:type="dxa"/>
            <w:tcBorders>
              <w:bottom w:val="single" w:color="auto" w:sz="12" w:space="0"/>
            </w:tcBorders>
            <w:noWrap w:val="0"/>
            <w:vAlign w:val="center"/>
          </w:tcPr>
          <w:p>
            <w:pPr>
              <w:spacing w:line="360" w:lineRule="auto"/>
              <w:rPr>
                <w:rFonts w:ascii="宋体" w:hAnsi="宋体"/>
              </w:rPr>
            </w:pPr>
          </w:p>
        </w:tc>
        <w:tc>
          <w:tcPr>
            <w:tcW w:w="1719" w:type="dxa"/>
            <w:tcBorders>
              <w:bottom w:val="single" w:color="auto" w:sz="12" w:space="0"/>
            </w:tcBorders>
            <w:noWrap w:val="0"/>
            <w:vAlign w:val="center"/>
          </w:tcPr>
          <w:p>
            <w:pPr>
              <w:spacing w:line="360" w:lineRule="auto"/>
              <w:rPr>
                <w:rFonts w:ascii="宋体" w:hAnsi="宋体"/>
              </w:rPr>
            </w:pPr>
          </w:p>
        </w:tc>
        <w:tc>
          <w:tcPr>
            <w:tcW w:w="1238" w:type="dxa"/>
            <w:tcBorders>
              <w:bottom w:val="single" w:color="auto" w:sz="12" w:space="0"/>
            </w:tcBorders>
            <w:noWrap w:val="0"/>
            <w:vAlign w:val="center"/>
          </w:tcPr>
          <w:p>
            <w:pPr>
              <w:spacing w:line="360" w:lineRule="auto"/>
              <w:rPr>
                <w:rFonts w:ascii="宋体" w:hAnsi="宋体"/>
              </w:rPr>
            </w:pPr>
          </w:p>
        </w:tc>
        <w:tc>
          <w:tcPr>
            <w:tcW w:w="1237" w:type="dxa"/>
            <w:tcBorders>
              <w:bottom w:val="single" w:color="auto" w:sz="12" w:space="0"/>
            </w:tcBorders>
            <w:noWrap w:val="0"/>
            <w:vAlign w:val="center"/>
          </w:tcPr>
          <w:p>
            <w:pPr>
              <w:spacing w:line="360" w:lineRule="auto"/>
              <w:rPr>
                <w:rFonts w:ascii="宋体" w:hAnsi="宋体"/>
              </w:rPr>
            </w:pPr>
          </w:p>
        </w:tc>
        <w:tc>
          <w:tcPr>
            <w:tcW w:w="1237" w:type="dxa"/>
            <w:tcBorders>
              <w:bottom w:val="single" w:color="auto" w:sz="12" w:space="0"/>
            </w:tcBorders>
            <w:noWrap w:val="0"/>
            <w:vAlign w:val="center"/>
          </w:tcPr>
          <w:p>
            <w:pPr>
              <w:spacing w:line="360" w:lineRule="auto"/>
              <w:rPr>
                <w:rFonts w:ascii="宋体" w:hAnsi="宋体"/>
              </w:rPr>
            </w:pPr>
          </w:p>
        </w:tc>
        <w:tc>
          <w:tcPr>
            <w:tcW w:w="1234" w:type="dxa"/>
            <w:tcBorders>
              <w:bottom w:val="single" w:color="auto" w:sz="12" w:space="0"/>
            </w:tcBorders>
            <w:noWrap w:val="0"/>
            <w:vAlign w:val="center"/>
          </w:tcPr>
          <w:p>
            <w:pPr>
              <w:spacing w:line="360" w:lineRule="auto"/>
              <w:rPr>
                <w:rFonts w:ascii="宋体" w:hAnsi="宋体"/>
              </w:rPr>
            </w:pPr>
          </w:p>
        </w:tc>
      </w:tr>
    </w:tbl>
    <w:p>
      <w:pPr>
        <w:spacing w:line="360" w:lineRule="auto"/>
        <w:rPr>
          <w:rFonts w:ascii="宋体" w:hAnsi="宋体"/>
        </w:rPr>
      </w:pPr>
    </w:p>
    <w:p>
      <w:pPr>
        <w:spacing w:line="360" w:lineRule="auto"/>
        <w:rPr>
          <w:rFonts w:ascii="宋体" w:hAnsi="宋体" w:cs="Times New Roman"/>
          <w:b/>
          <w:sz w:val="28"/>
          <w:szCs w:val="28"/>
        </w:rPr>
      </w:pPr>
      <w:r>
        <w:rPr>
          <w:rFonts w:hint="eastAsia" w:ascii="宋体" w:hAnsi="宋体" w:cs="Times New Roman"/>
          <w:b/>
          <w:sz w:val="28"/>
          <w:szCs w:val="28"/>
        </w:rPr>
        <w:t>附表五   施工总平面图</w:t>
      </w:r>
    </w:p>
    <w:p>
      <w:pPr>
        <w:spacing w:line="360" w:lineRule="auto"/>
        <w:ind w:firstLine="480" w:firstLineChars="200"/>
        <w:rPr>
          <w:rFonts w:hint="eastAsia" w:ascii="宋体" w:hAnsi="宋体"/>
          <w:sz w:val="24"/>
        </w:rPr>
      </w:pPr>
      <w:r>
        <w:rPr>
          <w:rFonts w:hint="eastAsia" w:ascii="宋体" w:hAnsi="宋体"/>
          <w:sz w:val="24"/>
        </w:rPr>
        <w:t>投标人应递交一份施工总平面图，绘出现场临时设施布置图表并附文字说明，说明施工营地、料场、临时设施、加工车间、现场办公、设备及仓储、供电、供水、卫生、生活、道路、消防等设施的情况和布置。</w:t>
      </w:r>
    </w:p>
    <w:p>
      <w:pPr>
        <w:spacing w:line="360" w:lineRule="auto"/>
        <w:rPr>
          <w:rFonts w:hint="eastAsia" w:ascii="宋体" w:hAnsi="宋体" w:cs="Times New Roman"/>
          <w:b/>
          <w:sz w:val="28"/>
          <w:szCs w:val="28"/>
        </w:rPr>
      </w:pPr>
      <w:r>
        <w:rPr>
          <w:rFonts w:hint="eastAsia" w:ascii="宋体" w:hAnsi="宋体" w:cs="Times New Roman"/>
          <w:b/>
          <w:sz w:val="28"/>
          <w:szCs w:val="28"/>
        </w:rPr>
        <w:t>附表六   劳动力计划表</w:t>
      </w:r>
    </w:p>
    <w:p>
      <w:pPr>
        <w:spacing w:line="360" w:lineRule="auto"/>
        <w:jc w:val="right"/>
        <w:rPr>
          <w:rFonts w:ascii="宋体" w:hAnsi="宋体"/>
          <w:sz w:val="24"/>
        </w:rPr>
      </w:pPr>
      <w:r>
        <w:rPr>
          <w:rFonts w:hint="eastAsia" w:ascii="宋体" w:hAnsi="宋体"/>
          <w:sz w:val="24"/>
        </w:rPr>
        <w:t>单位：人</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8"/>
        <w:gridCol w:w="1218"/>
        <w:gridCol w:w="1217"/>
        <w:gridCol w:w="1216"/>
        <w:gridCol w:w="1218"/>
        <w:gridCol w:w="1219"/>
        <w:gridCol w:w="1217"/>
        <w:gridCol w:w="12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 w:hRule="atLeast"/>
          <w:jc w:val="center"/>
        </w:trPr>
        <w:tc>
          <w:tcPr>
            <w:tcW w:w="1218" w:type="dxa"/>
            <w:noWrap w:val="0"/>
            <w:vAlign w:val="center"/>
          </w:tcPr>
          <w:p>
            <w:pPr>
              <w:spacing w:line="360" w:lineRule="auto"/>
              <w:jc w:val="center"/>
              <w:rPr>
                <w:rFonts w:ascii="宋体" w:hAnsi="宋体"/>
                <w:szCs w:val="21"/>
              </w:rPr>
            </w:pPr>
            <w:r>
              <w:rPr>
                <w:rFonts w:hint="eastAsia" w:ascii="宋体" w:hAnsi="宋体"/>
                <w:szCs w:val="21"/>
              </w:rPr>
              <w:t>工种</w:t>
            </w:r>
          </w:p>
        </w:tc>
        <w:tc>
          <w:tcPr>
            <w:tcW w:w="8522" w:type="dxa"/>
            <w:gridSpan w:val="7"/>
            <w:noWrap w:val="0"/>
            <w:vAlign w:val="center"/>
          </w:tcPr>
          <w:p>
            <w:pPr>
              <w:spacing w:line="360" w:lineRule="auto"/>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1218" w:type="dxa"/>
            <w:noWrap w:val="0"/>
            <w:vAlign w:val="center"/>
          </w:tcPr>
          <w:p/>
        </w:tc>
        <w:tc>
          <w:tcPr>
            <w:tcW w:w="1218" w:type="dxa"/>
            <w:noWrap w:val="0"/>
            <w:vAlign w:val="center"/>
          </w:tcPr>
          <w:p/>
        </w:tc>
        <w:tc>
          <w:tcPr>
            <w:tcW w:w="1217" w:type="dxa"/>
            <w:noWrap w:val="0"/>
            <w:vAlign w:val="center"/>
          </w:tcPr>
          <w:p/>
        </w:tc>
        <w:tc>
          <w:tcPr>
            <w:tcW w:w="1216" w:type="dxa"/>
            <w:noWrap w:val="0"/>
            <w:vAlign w:val="center"/>
          </w:tcPr>
          <w:p/>
        </w:tc>
        <w:tc>
          <w:tcPr>
            <w:tcW w:w="1218" w:type="dxa"/>
            <w:noWrap w:val="0"/>
            <w:vAlign w:val="center"/>
          </w:tcPr>
          <w:p/>
        </w:tc>
        <w:tc>
          <w:tcPr>
            <w:tcW w:w="1219" w:type="dxa"/>
            <w:noWrap w:val="0"/>
            <w:vAlign w:val="center"/>
          </w:tcPr>
          <w:p/>
        </w:tc>
        <w:tc>
          <w:tcPr>
            <w:tcW w:w="1217" w:type="dxa"/>
            <w:noWrap w:val="0"/>
            <w:vAlign w:val="center"/>
          </w:tcPr>
          <w:p/>
        </w:tc>
        <w:tc>
          <w:tcPr>
            <w:tcW w:w="1217"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1218" w:type="dxa"/>
            <w:noWrap w:val="0"/>
            <w:vAlign w:val="center"/>
          </w:tcPr>
          <w:p/>
        </w:tc>
        <w:tc>
          <w:tcPr>
            <w:tcW w:w="1218" w:type="dxa"/>
            <w:noWrap w:val="0"/>
            <w:vAlign w:val="center"/>
          </w:tcPr>
          <w:p/>
        </w:tc>
        <w:tc>
          <w:tcPr>
            <w:tcW w:w="1217" w:type="dxa"/>
            <w:noWrap w:val="0"/>
            <w:vAlign w:val="center"/>
          </w:tcPr>
          <w:p/>
        </w:tc>
        <w:tc>
          <w:tcPr>
            <w:tcW w:w="1216" w:type="dxa"/>
            <w:noWrap w:val="0"/>
            <w:vAlign w:val="center"/>
          </w:tcPr>
          <w:p/>
        </w:tc>
        <w:tc>
          <w:tcPr>
            <w:tcW w:w="1218" w:type="dxa"/>
            <w:noWrap w:val="0"/>
            <w:vAlign w:val="center"/>
          </w:tcPr>
          <w:p/>
        </w:tc>
        <w:tc>
          <w:tcPr>
            <w:tcW w:w="1219" w:type="dxa"/>
            <w:noWrap w:val="0"/>
            <w:vAlign w:val="center"/>
          </w:tcPr>
          <w:p/>
        </w:tc>
        <w:tc>
          <w:tcPr>
            <w:tcW w:w="1217" w:type="dxa"/>
            <w:noWrap w:val="0"/>
            <w:vAlign w:val="center"/>
          </w:tcPr>
          <w:p/>
        </w:tc>
        <w:tc>
          <w:tcPr>
            <w:tcW w:w="1217"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1218" w:type="dxa"/>
            <w:noWrap w:val="0"/>
            <w:vAlign w:val="center"/>
          </w:tcPr>
          <w:p/>
        </w:tc>
        <w:tc>
          <w:tcPr>
            <w:tcW w:w="1218" w:type="dxa"/>
            <w:noWrap w:val="0"/>
            <w:vAlign w:val="center"/>
          </w:tcPr>
          <w:p/>
        </w:tc>
        <w:tc>
          <w:tcPr>
            <w:tcW w:w="1217" w:type="dxa"/>
            <w:noWrap w:val="0"/>
            <w:vAlign w:val="center"/>
          </w:tcPr>
          <w:p/>
        </w:tc>
        <w:tc>
          <w:tcPr>
            <w:tcW w:w="1216" w:type="dxa"/>
            <w:noWrap w:val="0"/>
            <w:vAlign w:val="center"/>
          </w:tcPr>
          <w:p/>
        </w:tc>
        <w:tc>
          <w:tcPr>
            <w:tcW w:w="1218" w:type="dxa"/>
            <w:noWrap w:val="0"/>
            <w:vAlign w:val="center"/>
          </w:tcPr>
          <w:p/>
        </w:tc>
        <w:tc>
          <w:tcPr>
            <w:tcW w:w="1219" w:type="dxa"/>
            <w:noWrap w:val="0"/>
            <w:vAlign w:val="center"/>
          </w:tcPr>
          <w:p/>
        </w:tc>
        <w:tc>
          <w:tcPr>
            <w:tcW w:w="1217" w:type="dxa"/>
            <w:noWrap w:val="0"/>
            <w:vAlign w:val="center"/>
          </w:tcPr>
          <w:p/>
        </w:tc>
        <w:tc>
          <w:tcPr>
            <w:tcW w:w="1217"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1218" w:type="dxa"/>
            <w:noWrap w:val="0"/>
            <w:vAlign w:val="center"/>
          </w:tcPr>
          <w:p/>
        </w:tc>
        <w:tc>
          <w:tcPr>
            <w:tcW w:w="1218" w:type="dxa"/>
            <w:noWrap w:val="0"/>
            <w:vAlign w:val="center"/>
          </w:tcPr>
          <w:p/>
        </w:tc>
        <w:tc>
          <w:tcPr>
            <w:tcW w:w="1217" w:type="dxa"/>
            <w:noWrap w:val="0"/>
            <w:vAlign w:val="center"/>
          </w:tcPr>
          <w:p/>
        </w:tc>
        <w:tc>
          <w:tcPr>
            <w:tcW w:w="1216" w:type="dxa"/>
            <w:noWrap w:val="0"/>
            <w:vAlign w:val="center"/>
          </w:tcPr>
          <w:p/>
        </w:tc>
        <w:tc>
          <w:tcPr>
            <w:tcW w:w="1218" w:type="dxa"/>
            <w:noWrap w:val="0"/>
            <w:vAlign w:val="center"/>
          </w:tcPr>
          <w:p/>
        </w:tc>
        <w:tc>
          <w:tcPr>
            <w:tcW w:w="1219" w:type="dxa"/>
            <w:noWrap w:val="0"/>
            <w:vAlign w:val="center"/>
          </w:tcPr>
          <w:p/>
        </w:tc>
        <w:tc>
          <w:tcPr>
            <w:tcW w:w="1217" w:type="dxa"/>
            <w:noWrap w:val="0"/>
            <w:vAlign w:val="center"/>
          </w:tcPr>
          <w:p/>
        </w:tc>
        <w:tc>
          <w:tcPr>
            <w:tcW w:w="1217"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1218" w:type="dxa"/>
            <w:noWrap w:val="0"/>
            <w:vAlign w:val="center"/>
          </w:tcPr>
          <w:p/>
        </w:tc>
        <w:tc>
          <w:tcPr>
            <w:tcW w:w="1218" w:type="dxa"/>
            <w:noWrap w:val="0"/>
            <w:vAlign w:val="center"/>
          </w:tcPr>
          <w:p/>
        </w:tc>
        <w:tc>
          <w:tcPr>
            <w:tcW w:w="1217" w:type="dxa"/>
            <w:noWrap w:val="0"/>
            <w:vAlign w:val="center"/>
          </w:tcPr>
          <w:p/>
        </w:tc>
        <w:tc>
          <w:tcPr>
            <w:tcW w:w="1216" w:type="dxa"/>
            <w:noWrap w:val="0"/>
            <w:vAlign w:val="center"/>
          </w:tcPr>
          <w:p/>
        </w:tc>
        <w:tc>
          <w:tcPr>
            <w:tcW w:w="1218" w:type="dxa"/>
            <w:noWrap w:val="0"/>
            <w:vAlign w:val="center"/>
          </w:tcPr>
          <w:p/>
        </w:tc>
        <w:tc>
          <w:tcPr>
            <w:tcW w:w="1219" w:type="dxa"/>
            <w:noWrap w:val="0"/>
            <w:vAlign w:val="center"/>
          </w:tcPr>
          <w:p/>
        </w:tc>
        <w:tc>
          <w:tcPr>
            <w:tcW w:w="1217" w:type="dxa"/>
            <w:noWrap w:val="0"/>
            <w:vAlign w:val="center"/>
          </w:tcPr>
          <w:p/>
        </w:tc>
        <w:tc>
          <w:tcPr>
            <w:tcW w:w="1217"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1218" w:type="dxa"/>
            <w:noWrap w:val="0"/>
            <w:vAlign w:val="center"/>
          </w:tcPr>
          <w:p/>
        </w:tc>
        <w:tc>
          <w:tcPr>
            <w:tcW w:w="1218" w:type="dxa"/>
            <w:noWrap w:val="0"/>
            <w:vAlign w:val="center"/>
          </w:tcPr>
          <w:p/>
        </w:tc>
        <w:tc>
          <w:tcPr>
            <w:tcW w:w="1217" w:type="dxa"/>
            <w:noWrap w:val="0"/>
            <w:vAlign w:val="center"/>
          </w:tcPr>
          <w:p/>
        </w:tc>
        <w:tc>
          <w:tcPr>
            <w:tcW w:w="1216" w:type="dxa"/>
            <w:noWrap w:val="0"/>
            <w:vAlign w:val="center"/>
          </w:tcPr>
          <w:p/>
        </w:tc>
        <w:tc>
          <w:tcPr>
            <w:tcW w:w="1218" w:type="dxa"/>
            <w:noWrap w:val="0"/>
            <w:vAlign w:val="center"/>
          </w:tcPr>
          <w:p/>
        </w:tc>
        <w:tc>
          <w:tcPr>
            <w:tcW w:w="1219" w:type="dxa"/>
            <w:noWrap w:val="0"/>
            <w:vAlign w:val="center"/>
          </w:tcPr>
          <w:p/>
        </w:tc>
        <w:tc>
          <w:tcPr>
            <w:tcW w:w="1217" w:type="dxa"/>
            <w:noWrap w:val="0"/>
            <w:vAlign w:val="center"/>
          </w:tcPr>
          <w:p/>
        </w:tc>
        <w:tc>
          <w:tcPr>
            <w:tcW w:w="1217"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1218" w:type="dxa"/>
            <w:noWrap w:val="0"/>
            <w:vAlign w:val="center"/>
          </w:tcPr>
          <w:p/>
        </w:tc>
        <w:tc>
          <w:tcPr>
            <w:tcW w:w="1218" w:type="dxa"/>
            <w:noWrap w:val="0"/>
            <w:vAlign w:val="center"/>
          </w:tcPr>
          <w:p/>
        </w:tc>
        <w:tc>
          <w:tcPr>
            <w:tcW w:w="1217" w:type="dxa"/>
            <w:noWrap w:val="0"/>
            <w:vAlign w:val="center"/>
          </w:tcPr>
          <w:p/>
        </w:tc>
        <w:tc>
          <w:tcPr>
            <w:tcW w:w="1216" w:type="dxa"/>
            <w:noWrap w:val="0"/>
            <w:vAlign w:val="center"/>
          </w:tcPr>
          <w:p/>
        </w:tc>
        <w:tc>
          <w:tcPr>
            <w:tcW w:w="1218" w:type="dxa"/>
            <w:noWrap w:val="0"/>
            <w:vAlign w:val="center"/>
          </w:tcPr>
          <w:p/>
        </w:tc>
        <w:tc>
          <w:tcPr>
            <w:tcW w:w="1219" w:type="dxa"/>
            <w:noWrap w:val="0"/>
            <w:vAlign w:val="center"/>
          </w:tcPr>
          <w:p/>
        </w:tc>
        <w:tc>
          <w:tcPr>
            <w:tcW w:w="1217" w:type="dxa"/>
            <w:noWrap w:val="0"/>
            <w:vAlign w:val="center"/>
          </w:tcPr>
          <w:p/>
        </w:tc>
        <w:tc>
          <w:tcPr>
            <w:tcW w:w="1217"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1218" w:type="dxa"/>
            <w:noWrap w:val="0"/>
            <w:vAlign w:val="center"/>
          </w:tcPr>
          <w:p/>
        </w:tc>
        <w:tc>
          <w:tcPr>
            <w:tcW w:w="1218" w:type="dxa"/>
            <w:noWrap w:val="0"/>
            <w:vAlign w:val="center"/>
          </w:tcPr>
          <w:p/>
        </w:tc>
        <w:tc>
          <w:tcPr>
            <w:tcW w:w="1217" w:type="dxa"/>
            <w:noWrap w:val="0"/>
            <w:vAlign w:val="center"/>
          </w:tcPr>
          <w:p/>
        </w:tc>
        <w:tc>
          <w:tcPr>
            <w:tcW w:w="1216" w:type="dxa"/>
            <w:noWrap w:val="0"/>
            <w:vAlign w:val="center"/>
          </w:tcPr>
          <w:p/>
        </w:tc>
        <w:tc>
          <w:tcPr>
            <w:tcW w:w="1218" w:type="dxa"/>
            <w:noWrap w:val="0"/>
            <w:vAlign w:val="center"/>
          </w:tcPr>
          <w:p/>
        </w:tc>
        <w:tc>
          <w:tcPr>
            <w:tcW w:w="1219" w:type="dxa"/>
            <w:noWrap w:val="0"/>
            <w:vAlign w:val="center"/>
          </w:tcPr>
          <w:p/>
        </w:tc>
        <w:tc>
          <w:tcPr>
            <w:tcW w:w="1217" w:type="dxa"/>
            <w:noWrap w:val="0"/>
            <w:vAlign w:val="center"/>
          </w:tcPr>
          <w:p/>
        </w:tc>
        <w:tc>
          <w:tcPr>
            <w:tcW w:w="1217"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1218" w:type="dxa"/>
            <w:noWrap w:val="0"/>
            <w:vAlign w:val="center"/>
          </w:tcPr>
          <w:p/>
        </w:tc>
        <w:tc>
          <w:tcPr>
            <w:tcW w:w="1218" w:type="dxa"/>
            <w:noWrap w:val="0"/>
            <w:vAlign w:val="center"/>
          </w:tcPr>
          <w:p/>
        </w:tc>
        <w:tc>
          <w:tcPr>
            <w:tcW w:w="1217" w:type="dxa"/>
            <w:noWrap w:val="0"/>
            <w:vAlign w:val="center"/>
          </w:tcPr>
          <w:p/>
        </w:tc>
        <w:tc>
          <w:tcPr>
            <w:tcW w:w="1216" w:type="dxa"/>
            <w:noWrap w:val="0"/>
            <w:vAlign w:val="center"/>
          </w:tcPr>
          <w:p/>
        </w:tc>
        <w:tc>
          <w:tcPr>
            <w:tcW w:w="1218" w:type="dxa"/>
            <w:noWrap w:val="0"/>
            <w:vAlign w:val="center"/>
          </w:tcPr>
          <w:p/>
        </w:tc>
        <w:tc>
          <w:tcPr>
            <w:tcW w:w="1219" w:type="dxa"/>
            <w:noWrap w:val="0"/>
            <w:vAlign w:val="center"/>
          </w:tcPr>
          <w:p/>
        </w:tc>
        <w:tc>
          <w:tcPr>
            <w:tcW w:w="1217" w:type="dxa"/>
            <w:noWrap w:val="0"/>
            <w:vAlign w:val="center"/>
          </w:tcPr>
          <w:p/>
        </w:tc>
        <w:tc>
          <w:tcPr>
            <w:tcW w:w="1217"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1218" w:type="dxa"/>
            <w:noWrap w:val="0"/>
            <w:vAlign w:val="center"/>
          </w:tcPr>
          <w:p/>
        </w:tc>
        <w:tc>
          <w:tcPr>
            <w:tcW w:w="1218" w:type="dxa"/>
            <w:noWrap w:val="0"/>
            <w:vAlign w:val="center"/>
          </w:tcPr>
          <w:p/>
        </w:tc>
        <w:tc>
          <w:tcPr>
            <w:tcW w:w="1217" w:type="dxa"/>
            <w:noWrap w:val="0"/>
            <w:vAlign w:val="center"/>
          </w:tcPr>
          <w:p/>
        </w:tc>
        <w:tc>
          <w:tcPr>
            <w:tcW w:w="1216" w:type="dxa"/>
            <w:noWrap w:val="0"/>
            <w:vAlign w:val="center"/>
          </w:tcPr>
          <w:p/>
        </w:tc>
        <w:tc>
          <w:tcPr>
            <w:tcW w:w="1218" w:type="dxa"/>
            <w:noWrap w:val="0"/>
            <w:vAlign w:val="center"/>
          </w:tcPr>
          <w:p/>
        </w:tc>
        <w:tc>
          <w:tcPr>
            <w:tcW w:w="1219" w:type="dxa"/>
            <w:noWrap w:val="0"/>
            <w:vAlign w:val="center"/>
          </w:tcPr>
          <w:p/>
        </w:tc>
        <w:tc>
          <w:tcPr>
            <w:tcW w:w="1217" w:type="dxa"/>
            <w:noWrap w:val="0"/>
            <w:vAlign w:val="center"/>
          </w:tcPr>
          <w:p/>
        </w:tc>
        <w:tc>
          <w:tcPr>
            <w:tcW w:w="1217"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1218" w:type="dxa"/>
            <w:noWrap w:val="0"/>
            <w:vAlign w:val="center"/>
          </w:tcPr>
          <w:p/>
        </w:tc>
        <w:tc>
          <w:tcPr>
            <w:tcW w:w="1218" w:type="dxa"/>
            <w:noWrap w:val="0"/>
            <w:vAlign w:val="center"/>
          </w:tcPr>
          <w:p/>
        </w:tc>
        <w:tc>
          <w:tcPr>
            <w:tcW w:w="1217" w:type="dxa"/>
            <w:noWrap w:val="0"/>
            <w:vAlign w:val="center"/>
          </w:tcPr>
          <w:p/>
        </w:tc>
        <w:tc>
          <w:tcPr>
            <w:tcW w:w="1216" w:type="dxa"/>
            <w:noWrap w:val="0"/>
            <w:vAlign w:val="center"/>
          </w:tcPr>
          <w:p/>
        </w:tc>
        <w:tc>
          <w:tcPr>
            <w:tcW w:w="1218" w:type="dxa"/>
            <w:noWrap w:val="0"/>
            <w:vAlign w:val="center"/>
          </w:tcPr>
          <w:p/>
        </w:tc>
        <w:tc>
          <w:tcPr>
            <w:tcW w:w="1219" w:type="dxa"/>
            <w:noWrap w:val="0"/>
            <w:vAlign w:val="center"/>
          </w:tcPr>
          <w:p/>
        </w:tc>
        <w:tc>
          <w:tcPr>
            <w:tcW w:w="1217" w:type="dxa"/>
            <w:noWrap w:val="0"/>
            <w:vAlign w:val="center"/>
          </w:tcPr>
          <w:p/>
        </w:tc>
        <w:tc>
          <w:tcPr>
            <w:tcW w:w="1217"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218" w:type="dxa"/>
            <w:noWrap w:val="0"/>
            <w:vAlign w:val="center"/>
          </w:tcPr>
          <w:p/>
        </w:tc>
        <w:tc>
          <w:tcPr>
            <w:tcW w:w="1218" w:type="dxa"/>
            <w:noWrap w:val="0"/>
            <w:vAlign w:val="center"/>
          </w:tcPr>
          <w:p/>
        </w:tc>
        <w:tc>
          <w:tcPr>
            <w:tcW w:w="1217" w:type="dxa"/>
            <w:noWrap w:val="0"/>
            <w:vAlign w:val="center"/>
          </w:tcPr>
          <w:p/>
        </w:tc>
        <w:tc>
          <w:tcPr>
            <w:tcW w:w="1216" w:type="dxa"/>
            <w:noWrap w:val="0"/>
            <w:vAlign w:val="center"/>
          </w:tcPr>
          <w:p/>
        </w:tc>
        <w:tc>
          <w:tcPr>
            <w:tcW w:w="1218" w:type="dxa"/>
            <w:noWrap w:val="0"/>
            <w:vAlign w:val="center"/>
          </w:tcPr>
          <w:p/>
        </w:tc>
        <w:tc>
          <w:tcPr>
            <w:tcW w:w="1219" w:type="dxa"/>
            <w:noWrap w:val="0"/>
            <w:vAlign w:val="center"/>
          </w:tcPr>
          <w:p/>
        </w:tc>
        <w:tc>
          <w:tcPr>
            <w:tcW w:w="1217" w:type="dxa"/>
            <w:noWrap w:val="0"/>
            <w:vAlign w:val="center"/>
          </w:tcPr>
          <w:p/>
        </w:tc>
        <w:tc>
          <w:tcPr>
            <w:tcW w:w="1217"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1218" w:type="dxa"/>
            <w:noWrap w:val="0"/>
            <w:vAlign w:val="center"/>
          </w:tcPr>
          <w:p/>
        </w:tc>
        <w:tc>
          <w:tcPr>
            <w:tcW w:w="1218" w:type="dxa"/>
            <w:noWrap w:val="0"/>
            <w:vAlign w:val="center"/>
          </w:tcPr>
          <w:p/>
        </w:tc>
        <w:tc>
          <w:tcPr>
            <w:tcW w:w="1217" w:type="dxa"/>
            <w:noWrap w:val="0"/>
            <w:vAlign w:val="center"/>
          </w:tcPr>
          <w:p/>
        </w:tc>
        <w:tc>
          <w:tcPr>
            <w:tcW w:w="1216" w:type="dxa"/>
            <w:noWrap w:val="0"/>
            <w:vAlign w:val="center"/>
          </w:tcPr>
          <w:p/>
        </w:tc>
        <w:tc>
          <w:tcPr>
            <w:tcW w:w="1218" w:type="dxa"/>
            <w:noWrap w:val="0"/>
            <w:vAlign w:val="center"/>
          </w:tcPr>
          <w:p/>
        </w:tc>
        <w:tc>
          <w:tcPr>
            <w:tcW w:w="1219" w:type="dxa"/>
            <w:noWrap w:val="0"/>
            <w:vAlign w:val="center"/>
          </w:tcPr>
          <w:p/>
        </w:tc>
        <w:tc>
          <w:tcPr>
            <w:tcW w:w="1217" w:type="dxa"/>
            <w:noWrap w:val="0"/>
            <w:vAlign w:val="center"/>
          </w:tcPr>
          <w:p/>
        </w:tc>
        <w:tc>
          <w:tcPr>
            <w:tcW w:w="1217"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1218" w:type="dxa"/>
            <w:noWrap w:val="0"/>
            <w:vAlign w:val="center"/>
          </w:tcPr>
          <w:p/>
        </w:tc>
        <w:tc>
          <w:tcPr>
            <w:tcW w:w="1218" w:type="dxa"/>
            <w:noWrap w:val="0"/>
            <w:vAlign w:val="center"/>
          </w:tcPr>
          <w:p/>
        </w:tc>
        <w:tc>
          <w:tcPr>
            <w:tcW w:w="1217" w:type="dxa"/>
            <w:noWrap w:val="0"/>
            <w:vAlign w:val="center"/>
          </w:tcPr>
          <w:p/>
        </w:tc>
        <w:tc>
          <w:tcPr>
            <w:tcW w:w="1216" w:type="dxa"/>
            <w:noWrap w:val="0"/>
            <w:vAlign w:val="center"/>
          </w:tcPr>
          <w:p/>
        </w:tc>
        <w:tc>
          <w:tcPr>
            <w:tcW w:w="1218" w:type="dxa"/>
            <w:noWrap w:val="0"/>
            <w:vAlign w:val="center"/>
          </w:tcPr>
          <w:p/>
        </w:tc>
        <w:tc>
          <w:tcPr>
            <w:tcW w:w="1219" w:type="dxa"/>
            <w:noWrap w:val="0"/>
            <w:vAlign w:val="center"/>
          </w:tcPr>
          <w:p/>
        </w:tc>
        <w:tc>
          <w:tcPr>
            <w:tcW w:w="1217" w:type="dxa"/>
            <w:noWrap w:val="0"/>
            <w:vAlign w:val="center"/>
          </w:tcPr>
          <w:p/>
        </w:tc>
        <w:tc>
          <w:tcPr>
            <w:tcW w:w="1217"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1218" w:type="dxa"/>
            <w:noWrap w:val="0"/>
            <w:vAlign w:val="center"/>
          </w:tcPr>
          <w:p/>
        </w:tc>
        <w:tc>
          <w:tcPr>
            <w:tcW w:w="1218" w:type="dxa"/>
            <w:noWrap w:val="0"/>
            <w:vAlign w:val="center"/>
          </w:tcPr>
          <w:p/>
        </w:tc>
        <w:tc>
          <w:tcPr>
            <w:tcW w:w="1217" w:type="dxa"/>
            <w:noWrap w:val="0"/>
            <w:vAlign w:val="center"/>
          </w:tcPr>
          <w:p/>
        </w:tc>
        <w:tc>
          <w:tcPr>
            <w:tcW w:w="1216" w:type="dxa"/>
            <w:noWrap w:val="0"/>
            <w:vAlign w:val="center"/>
          </w:tcPr>
          <w:p/>
        </w:tc>
        <w:tc>
          <w:tcPr>
            <w:tcW w:w="1218" w:type="dxa"/>
            <w:noWrap w:val="0"/>
            <w:vAlign w:val="center"/>
          </w:tcPr>
          <w:p/>
        </w:tc>
        <w:tc>
          <w:tcPr>
            <w:tcW w:w="1219" w:type="dxa"/>
            <w:noWrap w:val="0"/>
            <w:vAlign w:val="center"/>
          </w:tcPr>
          <w:p/>
        </w:tc>
        <w:tc>
          <w:tcPr>
            <w:tcW w:w="1217" w:type="dxa"/>
            <w:noWrap w:val="0"/>
            <w:vAlign w:val="center"/>
          </w:tcPr>
          <w:p/>
        </w:tc>
        <w:tc>
          <w:tcPr>
            <w:tcW w:w="1217" w:type="dxa"/>
            <w:noWrap w:val="0"/>
            <w:vAlign w:val="center"/>
          </w:tcPr>
          <w:p/>
        </w:tc>
      </w:tr>
    </w:tbl>
    <w:p>
      <w:pPr>
        <w:spacing w:line="360" w:lineRule="auto"/>
        <w:rPr>
          <w:rFonts w:ascii="宋体" w:hAnsi="宋体"/>
        </w:rPr>
        <w:sectPr>
          <w:type w:val="continuous"/>
          <w:pgSz w:w="11906" w:h="16838"/>
          <w:pgMar w:top="1440" w:right="1080" w:bottom="1440" w:left="1080" w:header="851" w:footer="992" w:gutter="0"/>
          <w:pgNumType w:fmt="numberInDash"/>
          <w:cols w:space="720" w:num="1"/>
          <w:docGrid w:type="lines" w:linePitch="312" w:charSpace="0"/>
        </w:sectPr>
      </w:pPr>
    </w:p>
    <w:p>
      <w:pPr>
        <w:pStyle w:val="6"/>
        <w:keepNext w:val="0"/>
        <w:keepLines w:val="0"/>
        <w:spacing w:before="156" w:beforeLines="50" w:after="240" w:line="360" w:lineRule="auto"/>
        <w:rPr>
          <w:rFonts w:ascii="宋体" w:hAnsi="宋体"/>
          <w:kern w:val="2"/>
          <w:sz w:val="28"/>
          <w:szCs w:val="28"/>
        </w:rPr>
      </w:pPr>
      <w:r>
        <w:rPr>
          <w:rFonts w:ascii="宋体" w:hAnsi="宋体"/>
          <w:kern w:val="2"/>
          <w:sz w:val="28"/>
          <w:szCs w:val="28"/>
        </w:rPr>
        <w:t>附表</w:t>
      </w:r>
      <w:r>
        <w:rPr>
          <w:rFonts w:hint="eastAsia" w:ascii="宋体" w:hAnsi="宋体"/>
          <w:kern w:val="2"/>
          <w:sz w:val="28"/>
          <w:szCs w:val="28"/>
        </w:rPr>
        <w:t>七  临时占地计划表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97" w:type="dxa"/>
            <w:vMerge w:val="restart"/>
            <w:noWrap w:val="0"/>
            <w:vAlign w:val="center"/>
          </w:tcPr>
          <w:p>
            <w:pPr>
              <w:spacing w:line="360" w:lineRule="auto"/>
              <w:jc w:val="center"/>
              <w:rPr>
                <w:rFonts w:ascii="宋体" w:hAnsi="宋体"/>
                <w:szCs w:val="21"/>
              </w:rPr>
            </w:pPr>
            <w:r>
              <w:rPr>
                <w:rFonts w:hint="eastAsia" w:ascii="宋体" w:hAnsi="宋体"/>
                <w:szCs w:val="21"/>
              </w:rPr>
              <w:t>用   途</w:t>
            </w:r>
          </w:p>
        </w:tc>
        <w:tc>
          <w:tcPr>
            <w:tcW w:w="3507" w:type="dxa"/>
            <w:gridSpan w:val="5"/>
            <w:noWrap w:val="0"/>
            <w:vAlign w:val="center"/>
          </w:tcPr>
          <w:p>
            <w:pPr>
              <w:spacing w:line="360" w:lineRule="auto"/>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noWrap w:val="0"/>
            <w:vAlign w:val="center"/>
          </w:tcPr>
          <w:p>
            <w:pPr>
              <w:spacing w:line="360" w:lineRule="auto"/>
              <w:jc w:val="center"/>
              <w:rPr>
                <w:rFonts w:ascii="宋体" w:hAnsi="宋体"/>
                <w:szCs w:val="21"/>
              </w:rPr>
            </w:pPr>
            <w:r>
              <w:rPr>
                <w:rFonts w:hint="eastAsia" w:ascii="宋体" w:hAnsi="宋体"/>
                <w:szCs w:val="21"/>
              </w:rPr>
              <w:t>需用时间</w:t>
            </w:r>
          </w:p>
          <w:p>
            <w:pPr>
              <w:spacing w:line="360" w:lineRule="auto"/>
              <w:ind w:firstLine="5"/>
              <w:jc w:val="center"/>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tc>
        <w:tc>
          <w:tcPr>
            <w:tcW w:w="2156" w:type="dxa"/>
            <w:gridSpan w:val="3"/>
            <w:noWrap w:val="0"/>
            <w:vAlign w:val="center"/>
          </w:tcPr>
          <w:p>
            <w:pPr>
              <w:spacing w:line="360" w:lineRule="auto"/>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97" w:type="dxa"/>
            <w:vMerge w:val="continue"/>
            <w:noWrap w:val="0"/>
            <w:vAlign w:val="center"/>
          </w:tcPr>
          <w:p>
            <w:pPr>
              <w:spacing w:line="360" w:lineRule="auto"/>
              <w:jc w:val="center"/>
              <w:rPr>
                <w:rFonts w:ascii="宋体" w:hAnsi="宋体"/>
                <w:szCs w:val="21"/>
              </w:rPr>
            </w:pPr>
          </w:p>
        </w:tc>
        <w:tc>
          <w:tcPr>
            <w:tcW w:w="699" w:type="dxa"/>
            <w:noWrap w:val="0"/>
            <w:vAlign w:val="center"/>
          </w:tcPr>
          <w:p>
            <w:pPr>
              <w:spacing w:line="360" w:lineRule="auto"/>
              <w:jc w:val="center"/>
              <w:rPr>
                <w:rFonts w:ascii="宋体" w:hAnsi="宋体"/>
                <w:szCs w:val="21"/>
              </w:rPr>
            </w:pPr>
            <w:r>
              <w:rPr>
                <w:rFonts w:hint="eastAsia" w:ascii="宋体" w:hAnsi="宋体"/>
                <w:szCs w:val="21"/>
              </w:rPr>
              <w:t>菜地</w:t>
            </w:r>
          </w:p>
        </w:tc>
        <w:tc>
          <w:tcPr>
            <w:tcW w:w="700" w:type="dxa"/>
            <w:noWrap w:val="0"/>
            <w:vAlign w:val="center"/>
          </w:tcPr>
          <w:p>
            <w:pPr>
              <w:spacing w:line="360" w:lineRule="auto"/>
              <w:jc w:val="center"/>
              <w:rPr>
                <w:rFonts w:ascii="宋体" w:hAnsi="宋体"/>
                <w:szCs w:val="21"/>
              </w:rPr>
            </w:pPr>
            <w:r>
              <w:rPr>
                <w:rFonts w:hint="eastAsia" w:ascii="宋体" w:hAnsi="宋体"/>
                <w:szCs w:val="21"/>
              </w:rPr>
              <w:t>水田</w:t>
            </w:r>
          </w:p>
        </w:tc>
        <w:tc>
          <w:tcPr>
            <w:tcW w:w="702" w:type="dxa"/>
            <w:noWrap w:val="0"/>
            <w:vAlign w:val="center"/>
          </w:tcPr>
          <w:p>
            <w:pPr>
              <w:spacing w:line="360" w:lineRule="auto"/>
              <w:jc w:val="center"/>
              <w:rPr>
                <w:rFonts w:ascii="宋体" w:hAnsi="宋体"/>
                <w:szCs w:val="21"/>
              </w:rPr>
            </w:pPr>
            <w:r>
              <w:rPr>
                <w:rFonts w:hint="eastAsia" w:ascii="宋体" w:hAnsi="宋体"/>
                <w:szCs w:val="21"/>
              </w:rPr>
              <w:t>旱地</w:t>
            </w:r>
          </w:p>
        </w:tc>
        <w:tc>
          <w:tcPr>
            <w:tcW w:w="700" w:type="dxa"/>
            <w:noWrap w:val="0"/>
            <w:vAlign w:val="center"/>
          </w:tcPr>
          <w:p>
            <w:pPr>
              <w:spacing w:line="360" w:lineRule="auto"/>
              <w:jc w:val="center"/>
              <w:rPr>
                <w:rFonts w:ascii="宋体" w:hAnsi="宋体"/>
                <w:szCs w:val="21"/>
              </w:rPr>
            </w:pPr>
            <w:r>
              <w:rPr>
                <w:rFonts w:hint="eastAsia" w:ascii="宋体" w:hAnsi="宋体"/>
                <w:szCs w:val="21"/>
              </w:rPr>
              <w:t>果园</w:t>
            </w:r>
          </w:p>
        </w:tc>
        <w:tc>
          <w:tcPr>
            <w:tcW w:w="706" w:type="dxa"/>
            <w:noWrap w:val="0"/>
            <w:vAlign w:val="center"/>
          </w:tcPr>
          <w:p>
            <w:pPr>
              <w:spacing w:line="360" w:lineRule="auto"/>
              <w:jc w:val="center"/>
              <w:rPr>
                <w:rFonts w:ascii="宋体" w:hAnsi="宋体"/>
                <w:szCs w:val="21"/>
              </w:rPr>
            </w:pPr>
            <w:r>
              <w:rPr>
                <w:rFonts w:hint="eastAsia" w:ascii="宋体" w:hAnsi="宋体"/>
                <w:szCs w:val="21"/>
              </w:rPr>
              <w:t>荒地</w:t>
            </w:r>
          </w:p>
        </w:tc>
        <w:tc>
          <w:tcPr>
            <w:tcW w:w="1779" w:type="dxa"/>
            <w:vMerge w:val="continue"/>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r>
              <w:rPr>
                <w:rFonts w:hint="eastAsia" w:ascii="宋体" w:hAnsi="宋体"/>
                <w:szCs w:val="21"/>
              </w:rPr>
              <w:t>桩</w:t>
            </w:r>
          </w:p>
          <w:p>
            <w:pPr>
              <w:spacing w:line="360" w:lineRule="auto"/>
              <w:jc w:val="center"/>
              <w:rPr>
                <w:rFonts w:ascii="宋体" w:hAnsi="宋体"/>
                <w:szCs w:val="21"/>
              </w:rPr>
            </w:pPr>
            <w:r>
              <w:rPr>
                <w:rFonts w:hint="eastAsia" w:ascii="宋体" w:hAnsi="宋体"/>
                <w:szCs w:val="21"/>
              </w:rPr>
              <w:t>号</w:t>
            </w:r>
          </w:p>
        </w:tc>
        <w:tc>
          <w:tcPr>
            <w:tcW w:w="741" w:type="dxa"/>
            <w:noWrap w:val="0"/>
            <w:vAlign w:val="center"/>
          </w:tcPr>
          <w:p>
            <w:pPr>
              <w:spacing w:line="360" w:lineRule="auto"/>
              <w:jc w:val="center"/>
              <w:rPr>
                <w:rFonts w:ascii="宋体" w:hAnsi="宋体"/>
                <w:szCs w:val="21"/>
              </w:rPr>
            </w:pPr>
            <w:r>
              <w:rPr>
                <w:rFonts w:hint="eastAsia" w:ascii="宋体" w:hAnsi="宋体"/>
                <w:szCs w:val="21"/>
              </w:rPr>
              <w:t>左侧（m）</w:t>
            </w:r>
          </w:p>
        </w:tc>
        <w:tc>
          <w:tcPr>
            <w:tcW w:w="742" w:type="dxa"/>
            <w:noWrap w:val="0"/>
            <w:vAlign w:val="center"/>
          </w:tcPr>
          <w:p>
            <w:pPr>
              <w:spacing w:line="360" w:lineRule="auto"/>
              <w:jc w:val="cente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noWrap w:val="0"/>
            <w:vAlign w:val="center"/>
          </w:tcPr>
          <w:p>
            <w:pPr>
              <w:spacing w:line="360" w:lineRule="auto"/>
              <w:ind w:firstLine="210" w:firstLineChars="100"/>
              <w:rPr>
                <w:rFonts w:ascii="宋体" w:hAnsi="宋体"/>
                <w:szCs w:val="21"/>
              </w:rPr>
            </w:pPr>
            <w:r>
              <w:rPr>
                <w:rFonts w:hint="eastAsia" w:ascii="宋体" w:hAnsi="宋体"/>
                <w:szCs w:val="21"/>
              </w:rPr>
              <w:t>一、临时工程</w:t>
            </w: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noWrap w:val="0"/>
            <w:vAlign w:val="center"/>
          </w:tcPr>
          <w:p>
            <w:pPr>
              <w:spacing w:line="360" w:lineRule="auto"/>
              <w:ind w:firstLine="420" w:firstLineChars="200"/>
              <w:rPr>
                <w:rFonts w:ascii="宋体" w:hAnsi="宋体"/>
                <w:szCs w:val="21"/>
              </w:rPr>
            </w:pPr>
            <w:r>
              <w:rPr>
                <w:rFonts w:hint="eastAsia" w:ascii="宋体" w:hAnsi="宋体"/>
                <w:szCs w:val="21"/>
              </w:rPr>
              <w:t>1.便道</w:t>
            </w: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noWrap w:val="0"/>
            <w:vAlign w:val="center"/>
          </w:tcPr>
          <w:p>
            <w:pPr>
              <w:spacing w:line="360" w:lineRule="auto"/>
              <w:ind w:firstLine="420" w:firstLineChars="200"/>
              <w:rPr>
                <w:rFonts w:ascii="宋体" w:hAnsi="宋体"/>
                <w:szCs w:val="21"/>
              </w:rPr>
            </w:pPr>
            <w:r>
              <w:rPr>
                <w:rFonts w:hint="eastAsia" w:ascii="宋体" w:hAnsi="宋体"/>
                <w:szCs w:val="21"/>
              </w:rPr>
              <w:t>2.……</w:t>
            </w: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noWrap w:val="0"/>
            <w:vAlign w:val="center"/>
          </w:tcPr>
          <w:p>
            <w:pPr>
              <w:spacing w:line="360" w:lineRule="auto"/>
              <w:ind w:firstLine="420" w:firstLineChars="200"/>
              <w:rPr>
                <w:rFonts w:ascii="宋体" w:hAnsi="宋体"/>
                <w:szCs w:val="21"/>
              </w:rPr>
            </w:pPr>
            <w:r>
              <w:rPr>
                <w:rFonts w:hint="eastAsia" w:ascii="宋体" w:hAnsi="宋体"/>
                <w:szCs w:val="21"/>
              </w:rPr>
              <w:t>……</w:t>
            </w: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noWrap w:val="0"/>
            <w:vAlign w:val="center"/>
          </w:tcPr>
          <w:p>
            <w:pPr>
              <w:spacing w:line="360" w:lineRule="auto"/>
              <w:ind w:firstLine="210" w:firstLineChars="100"/>
              <w:rPr>
                <w:rFonts w:ascii="宋体" w:hAnsi="宋体"/>
                <w:szCs w:val="21"/>
              </w:rPr>
            </w:pPr>
            <w:r>
              <w:rPr>
                <w:rFonts w:hint="eastAsia" w:ascii="宋体" w:hAnsi="宋体"/>
                <w:szCs w:val="21"/>
              </w:rPr>
              <w:t>二、生产及生活临时设施</w:t>
            </w: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noWrap w:val="0"/>
            <w:vAlign w:val="center"/>
          </w:tcPr>
          <w:p>
            <w:pPr>
              <w:spacing w:line="360" w:lineRule="auto"/>
              <w:ind w:firstLine="420" w:firstLineChars="200"/>
              <w:rPr>
                <w:rFonts w:ascii="宋体" w:hAnsi="宋体"/>
                <w:szCs w:val="21"/>
              </w:rPr>
            </w:pPr>
            <w:r>
              <w:rPr>
                <w:rFonts w:hint="eastAsia" w:ascii="宋体" w:hAnsi="宋体"/>
                <w:szCs w:val="21"/>
              </w:rPr>
              <w:t>1.临时住房</w:t>
            </w: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noWrap w:val="0"/>
            <w:vAlign w:val="center"/>
          </w:tcPr>
          <w:p>
            <w:pPr>
              <w:spacing w:line="360" w:lineRule="auto"/>
              <w:ind w:firstLine="420" w:firstLineChars="200"/>
              <w:rPr>
                <w:rFonts w:ascii="宋体" w:hAnsi="宋体"/>
                <w:szCs w:val="21"/>
              </w:rPr>
            </w:pPr>
            <w:r>
              <w:rPr>
                <w:rFonts w:hint="eastAsia" w:ascii="宋体" w:hAnsi="宋体"/>
                <w:szCs w:val="21"/>
              </w:rPr>
              <w:t>2.办公等公用房屋</w:t>
            </w: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noWrap w:val="0"/>
            <w:vAlign w:val="center"/>
          </w:tcPr>
          <w:p>
            <w:pPr>
              <w:spacing w:line="360" w:lineRule="auto"/>
              <w:ind w:firstLine="420" w:firstLineChars="200"/>
              <w:rPr>
                <w:rFonts w:ascii="宋体" w:hAnsi="宋体"/>
                <w:szCs w:val="21"/>
              </w:rPr>
            </w:pPr>
            <w:r>
              <w:rPr>
                <w:rFonts w:hint="eastAsia" w:ascii="宋体" w:hAnsi="宋体"/>
                <w:szCs w:val="21"/>
              </w:rPr>
              <w:t>3.料场</w:t>
            </w: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noWrap w:val="0"/>
            <w:vAlign w:val="center"/>
          </w:tcPr>
          <w:p>
            <w:pPr>
              <w:spacing w:line="360" w:lineRule="auto"/>
              <w:ind w:firstLine="420" w:firstLineChars="200"/>
              <w:rPr>
                <w:rFonts w:ascii="宋体" w:hAnsi="宋体"/>
                <w:szCs w:val="21"/>
              </w:rPr>
            </w:pPr>
            <w:r>
              <w:rPr>
                <w:rFonts w:hint="eastAsia" w:ascii="宋体" w:hAnsi="宋体"/>
                <w:szCs w:val="21"/>
              </w:rPr>
              <w:t>……</w:t>
            </w: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noWrap w:val="0"/>
            <w:vAlign w:val="center"/>
          </w:tcPr>
          <w:p>
            <w:pPr>
              <w:spacing w:line="360" w:lineRule="auto"/>
              <w:ind w:firstLine="420" w:firstLineChars="200"/>
              <w:rPr>
                <w:rFonts w:ascii="宋体" w:hAnsi="宋体"/>
                <w:szCs w:val="21"/>
              </w:rPr>
            </w:pP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noWrap w:val="0"/>
            <w:vAlign w:val="center"/>
          </w:tcPr>
          <w:p>
            <w:pPr>
              <w:spacing w:line="360" w:lineRule="auto"/>
              <w:ind w:firstLine="210" w:firstLineChars="100"/>
              <w:rPr>
                <w:rFonts w:ascii="宋体" w:hAnsi="宋体"/>
                <w:szCs w:val="21"/>
              </w:rPr>
            </w:pP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noWrap w:val="0"/>
            <w:vAlign w:val="center"/>
          </w:tcPr>
          <w:p>
            <w:pPr>
              <w:spacing w:line="360" w:lineRule="auto"/>
              <w:ind w:firstLine="210" w:firstLineChars="100"/>
              <w:rPr>
                <w:rFonts w:ascii="宋体" w:hAnsi="宋体"/>
                <w:szCs w:val="21"/>
              </w:rPr>
            </w:pP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noWrap w:val="0"/>
            <w:vAlign w:val="center"/>
          </w:tcPr>
          <w:p>
            <w:pPr>
              <w:spacing w:line="360" w:lineRule="auto"/>
              <w:ind w:firstLine="210" w:firstLineChars="100"/>
              <w:rPr>
                <w:rFonts w:ascii="宋体" w:hAnsi="宋体"/>
                <w:szCs w:val="21"/>
              </w:rPr>
            </w:pP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noWrap w:val="0"/>
            <w:vAlign w:val="center"/>
          </w:tcPr>
          <w:p>
            <w:pPr>
              <w:spacing w:line="360" w:lineRule="auto"/>
              <w:ind w:firstLine="210" w:firstLineChars="100"/>
              <w:rPr>
                <w:rFonts w:ascii="宋体" w:hAnsi="宋体"/>
                <w:szCs w:val="21"/>
              </w:rPr>
            </w:pP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noWrap w:val="0"/>
            <w:vAlign w:val="center"/>
          </w:tcPr>
          <w:p>
            <w:pPr>
              <w:spacing w:line="360" w:lineRule="auto"/>
              <w:ind w:firstLine="210" w:firstLineChars="100"/>
              <w:rPr>
                <w:rFonts w:ascii="宋体" w:hAnsi="宋体"/>
                <w:szCs w:val="21"/>
              </w:rPr>
            </w:pP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noWrap w:val="0"/>
            <w:vAlign w:val="center"/>
          </w:tcPr>
          <w:p>
            <w:pPr>
              <w:spacing w:line="360" w:lineRule="auto"/>
              <w:ind w:firstLine="210" w:firstLineChars="100"/>
              <w:rPr>
                <w:rFonts w:ascii="宋体" w:hAnsi="宋体"/>
                <w:szCs w:val="21"/>
              </w:rPr>
            </w:pP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noWrap w:val="0"/>
            <w:vAlign w:val="center"/>
          </w:tcPr>
          <w:p>
            <w:pPr>
              <w:spacing w:line="360" w:lineRule="auto"/>
              <w:ind w:firstLine="210" w:firstLineChars="100"/>
              <w:rPr>
                <w:rFonts w:ascii="宋体" w:hAnsi="宋体"/>
                <w:szCs w:val="21"/>
              </w:rPr>
            </w:pP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noWrap w:val="0"/>
            <w:vAlign w:val="center"/>
          </w:tcPr>
          <w:p>
            <w:pPr>
              <w:spacing w:line="360" w:lineRule="auto"/>
              <w:ind w:firstLine="210" w:firstLineChars="100"/>
              <w:rPr>
                <w:rFonts w:ascii="宋体" w:hAnsi="宋体"/>
                <w:szCs w:val="21"/>
              </w:rPr>
            </w:pP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noWrap w:val="0"/>
            <w:vAlign w:val="center"/>
          </w:tcPr>
          <w:p>
            <w:pPr>
              <w:spacing w:line="360" w:lineRule="auto"/>
              <w:ind w:firstLine="210" w:firstLineChars="100"/>
              <w:rPr>
                <w:rFonts w:ascii="宋体" w:hAnsi="宋体"/>
                <w:szCs w:val="21"/>
              </w:rPr>
            </w:pP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noWrap w:val="0"/>
            <w:vAlign w:val="center"/>
          </w:tcPr>
          <w:p>
            <w:pPr>
              <w:spacing w:line="360" w:lineRule="auto"/>
              <w:ind w:firstLine="210" w:firstLineChars="100"/>
              <w:rPr>
                <w:rFonts w:ascii="宋体" w:hAnsi="宋体"/>
                <w:szCs w:val="21"/>
              </w:rPr>
            </w:pPr>
            <w:r>
              <w:rPr>
                <w:rFonts w:hint="eastAsia" w:ascii="宋体" w:hAnsi="宋体"/>
                <w:szCs w:val="21"/>
              </w:rPr>
              <w:t>租用面积合计</w:t>
            </w:r>
          </w:p>
        </w:tc>
        <w:tc>
          <w:tcPr>
            <w:tcW w:w="699"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2" w:type="dxa"/>
            <w:noWrap w:val="0"/>
            <w:vAlign w:val="center"/>
          </w:tcPr>
          <w:p>
            <w:pPr>
              <w:spacing w:line="360" w:lineRule="auto"/>
              <w:jc w:val="center"/>
              <w:rPr>
                <w:rFonts w:ascii="宋体" w:hAnsi="宋体"/>
                <w:szCs w:val="21"/>
              </w:rPr>
            </w:pPr>
          </w:p>
        </w:tc>
        <w:tc>
          <w:tcPr>
            <w:tcW w:w="700" w:type="dxa"/>
            <w:noWrap w:val="0"/>
            <w:vAlign w:val="center"/>
          </w:tcPr>
          <w:p>
            <w:pPr>
              <w:spacing w:line="360" w:lineRule="auto"/>
              <w:jc w:val="center"/>
              <w:rPr>
                <w:rFonts w:ascii="宋体" w:hAnsi="宋体"/>
                <w:szCs w:val="21"/>
              </w:rPr>
            </w:pPr>
          </w:p>
        </w:tc>
        <w:tc>
          <w:tcPr>
            <w:tcW w:w="706" w:type="dxa"/>
            <w:noWrap w:val="0"/>
            <w:vAlign w:val="center"/>
          </w:tcPr>
          <w:p>
            <w:pPr>
              <w:spacing w:line="360" w:lineRule="auto"/>
              <w:jc w:val="center"/>
              <w:rPr>
                <w:rFonts w:ascii="宋体" w:hAnsi="宋体"/>
                <w:szCs w:val="21"/>
              </w:rPr>
            </w:pPr>
          </w:p>
        </w:tc>
        <w:tc>
          <w:tcPr>
            <w:tcW w:w="1779" w:type="dxa"/>
            <w:noWrap w:val="0"/>
            <w:vAlign w:val="center"/>
          </w:tcPr>
          <w:p>
            <w:pPr>
              <w:spacing w:line="360" w:lineRule="auto"/>
              <w:jc w:val="center"/>
              <w:rPr>
                <w:rFonts w:ascii="宋体" w:hAnsi="宋体"/>
                <w:szCs w:val="21"/>
              </w:rPr>
            </w:pPr>
          </w:p>
        </w:tc>
        <w:tc>
          <w:tcPr>
            <w:tcW w:w="673" w:type="dxa"/>
            <w:noWrap w:val="0"/>
            <w:vAlign w:val="center"/>
          </w:tcPr>
          <w:p>
            <w:pPr>
              <w:spacing w:line="360" w:lineRule="auto"/>
              <w:jc w:val="center"/>
              <w:rPr>
                <w:rFonts w:ascii="宋体" w:hAnsi="宋体"/>
                <w:szCs w:val="21"/>
              </w:rPr>
            </w:pPr>
          </w:p>
        </w:tc>
        <w:tc>
          <w:tcPr>
            <w:tcW w:w="741"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r>
    </w:tbl>
    <w:p>
      <w:pPr>
        <w:spacing w:line="360" w:lineRule="auto"/>
        <w:rPr>
          <w:rFonts w:ascii="宋体" w:hAnsi="宋体"/>
        </w:rPr>
        <w:sectPr>
          <w:type w:val="continuous"/>
          <w:pgSz w:w="11906" w:h="16838"/>
          <w:pgMar w:top="1440" w:right="1080" w:bottom="1440" w:left="1080" w:header="851" w:footer="992" w:gutter="0"/>
          <w:pgNumType w:fmt="numberInDash"/>
          <w:cols w:space="720" w:num="1"/>
          <w:docGrid w:type="lines" w:linePitch="312" w:charSpace="0"/>
        </w:sectPr>
      </w:pPr>
    </w:p>
    <w:p>
      <w:pPr>
        <w:pStyle w:val="6"/>
        <w:keepNext w:val="0"/>
        <w:keepLines w:val="0"/>
        <w:spacing w:before="156" w:beforeLines="50" w:after="240" w:line="360" w:lineRule="auto"/>
        <w:rPr>
          <w:rFonts w:ascii="宋体" w:hAnsi="宋体"/>
          <w:sz w:val="30"/>
          <w:szCs w:val="30"/>
        </w:rPr>
      </w:pPr>
      <w:bookmarkStart w:id="328" w:name="_Toc234382972"/>
      <w:r>
        <w:rPr>
          <w:rFonts w:hint="eastAsia" w:ascii="宋体" w:hAnsi="宋体"/>
          <w:kern w:val="2"/>
          <w:sz w:val="28"/>
          <w:szCs w:val="28"/>
        </w:rPr>
        <w:t>附表八  外供电力需求计划表</w:t>
      </w:r>
      <w:bookmarkEnd w:id="328"/>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2212" w:type="dxa"/>
            <w:gridSpan w:val="2"/>
            <w:noWrap w:val="0"/>
            <w:vAlign w:val="center"/>
          </w:tcPr>
          <w:p>
            <w:pPr>
              <w:spacing w:line="360" w:lineRule="auto"/>
              <w:jc w:val="center"/>
              <w:rPr>
                <w:rFonts w:ascii="宋体" w:hAnsi="宋体"/>
                <w:szCs w:val="21"/>
              </w:rPr>
            </w:pPr>
            <w:r>
              <w:rPr>
                <w:rFonts w:hint="eastAsia" w:ascii="宋体" w:hAnsi="宋体"/>
                <w:szCs w:val="21"/>
              </w:rPr>
              <w:t>用电位置</w:t>
            </w:r>
          </w:p>
        </w:tc>
        <w:tc>
          <w:tcPr>
            <w:tcW w:w="1984" w:type="dxa"/>
            <w:vMerge w:val="restart"/>
            <w:noWrap w:val="0"/>
            <w:vAlign w:val="center"/>
          </w:tcPr>
          <w:p>
            <w:pPr>
              <w:spacing w:line="360" w:lineRule="auto"/>
              <w:jc w:val="center"/>
              <w:rPr>
                <w:rFonts w:ascii="宋体" w:hAnsi="宋体"/>
                <w:szCs w:val="21"/>
              </w:rPr>
            </w:pPr>
            <w:r>
              <w:rPr>
                <w:rFonts w:hint="eastAsia" w:ascii="宋体" w:hAnsi="宋体"/>
                <w:szCs w:val="21"/>
              </w:rPr>
              <w:t>计划用电数量（KW·h）</w:t>
            </w:r>
          </w:p>
        </w:tc>
        <w:tc>
          <w:tcPr>
            <w:tcW w:w="1701" w:type="dxa"/>
            <w:vMerge w:val="restart"/>
            <w:noWrap w:val="0"/>
            <w:vAlign w:val="center"/>
          </w:tcPr>
          <w:p>
            <w:pPr>
              <w:spacing w:line="360" w:lineRule="auto"/>
              <w:jc w:val="center"/>
              <w:rPr>
                <w:rFonts w:ascii="宋体" w:hAnsi="宋体"/>
                <w:szCs w:val="21"/>
              </w:rPr>
            </w:pPr>
            <w:r>
              <w:rPr>
                <w:rFonts w:hint="eastAsia" w:ascii="宋体" w:hAnsi="宋体"/>
                <w:szCs w:val="21"/>
              </w:rPr>
              <w:t>用  途</w:t>
            </w:r>
          </w:p>
        </w:tc>
        <w:tc>
          <w:tcPr>
            <w:tcW w:w="2552" w:type="dxa"/>
            <w:vMerge w:val="restart"/>
            <w:noWrap w:val="0"/>
            <w:vAlign w:val="center"/>
          </w:tcPr>
          <w:p>
            <w:pPr>
              <w:spacing w:line="360" w:lineRule="auto"/>
              <w:jc w:val="center"/>
              <w:rPr>
                <w:rFonts w:ascii="宋体" w:hAnsi="宋体"/>
                <w:szCs w:val="21"/>
              </w:rPr>
            </w:pPr>
            <w:r>
              <w:rPr>
                <w:rFonts w:hint="eastAsia" w:ascii="宋体" w:hAnsi="宋体"/>
                <w:szCs w:val="21"/>
              </w:rPr>
              <w:t>需 用 时 间</w:t>
            </w:r>
          </w:p>
          <w:p>
            <w:pPr>
              <w:spacing w:line="360" w:lineRule="auto"/>
              <w:ind w:left="735" w:hanging="735" w:hangingChars="350"/>
              <w:jc w:val="center"/>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p>
            <w:pPr>
              <w:spacing w:line="360" w:lineRule="auto"/>
              <w:ind w:left="735" w:hanging="735" w:hangingChars="350"/>
              <w:jc w:val="center"/>
              <w:rPr>
                <w:rFonts w:ascii="宋体" w:hAnsi="宋体"/>
                <w:szCs w:val="21"/>
              </w:rPr>
            </w:pPr>
            <w:r>
              <w:rPr>
                <w:rFonts w:hint="eastAsia" w:ascii="宋体" w:hAnsi="宋体"/>
                <w:szCs w:val="21"/>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tc>
        <w:tc>
          <w:tcPr>
            <w:tcW w:w="1190" w:type="dxa"/>
            <w:vMerge w:val="restart"/>
            <w:noWrap w:val="0"/>
            <w:vAlign w:val="center"/>
          </w:tcPr>
          <w:p>
            <w:pPr>
              <w:spacing w:line="360" w:lineRule="auto"/>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106" w:type="dxa"/>
            <w:noWrap w:val="0"/>
            <w:vAlign w:val="center"/>
          </w:tcPr>
          <w:p>
            <w:pPr>
              <w:spacing w:line="360" w:lineRule="auto"/>
              <w:jc w:val="center"/>
              <w:rPr>
                <w:rFonts w:ascii="宋体" w:hAnsi="宋体"/>
                <w:szCs w:val="21"/>
              </w:rPr>
            </w:pPr>
            <w:r>
              <w:rPr>
                <w:rFonts w:hint="eastAsia" w:ascii="宋体" w:hAnsi="宋体"/>
                <w:szCs w:val="21"/>
              </w:rPr>
              <w:t>桩号</w:t>
            </w:r>
          </w:p>
        </w:tc>
        <w:tc>
          <w:tcPr>
            <w:tcW w:w="1106" w:type="dxa"/>
            <w:noWrap w:val="0"/>
            <w:vAlign w:val="center"/>
          </w:tcPr>
          <w:p>
            <w:pPr>
              <w:spacing w:line="360" w:lineRule="auto"/>
              <w:jc w:val="center"/>
              <w:rPr>
                <w:rFonts w:ascii="宋体" w:hAnsi="宋体"/>
                <w:szCs w:val="21"/>
              </w:rPr>
            </w:pPr>
            <w:r>
              <w:rPr>
                <w:rFonts w:hint="eastAsia" w:ascii="宋体" w:hAnsi="宋体"/>
                <w:szCs w:val="21"/>
              </w:rPr>
              <w:t>左或右（m）</w:t>
            </w:r>
          </w:p>
        </w:tc>
        <w:tc>
          <w:tcPr>
            <w:tcW w:w="1984" w:type="dxa"/>
            <w:vMerge w:val="continue"/>
            <w:noWrap w:val="0"/>
            <w:vAlign w:val="center"/>
          </w:tcPr>
          <w:p>
            <w:pPr>
              <w:spacing w:line="360" w:lineRule="auto"/>
              <w:jc w:val="center"/>
              <w:rPr>
                <w:rFonts w:ascii="宋体" w:hAnsi="宋体"/>
                <w:szCs w:val="21"/>
              </w:rPr>
            </w:pPr>
          </w:p>
        </w:tc>
        <w:tc>
          <w:tcPr>
            <w:tcW w:w="1701" w:type="dxa"/>
            <w:vMerge w:val="continue"/>
            <w:noWrap w:val="0"/>
            <w:vAlign w:val="center"/>
          </w:tcPr>
          <w:p>
            <w:pPr>
              <w:spacing w:line="360" w:lineRule="auto"/>
              <w:jc w:val="center"/>
              <w:rPr>
                <w:rFonts w:ascii="宋体" w:hAnsi="宋体"/>
                <w:szCs w:val="21"/>
              </w:rPr>
            </w:pPr>
          </w:p>
        </w:tc>
        <w:tc>
          <w:tcPr>
            <w:tcW w:w="2552" w:type="dxa"/>
            <w:vMerge w:val="continue"/>
            <w:noWrap w:val="0"/>
            <w:vAlign w:val="center"/>
          </w:tcPr>
          <w:p>
            <w:pPr>
              <w:spacing w:line="360" w:lineRule="auto"/>
              <w:jc w:val="center"/>
              <w:rPr>
                <w:rFonts w:ascii="宋体" w:hAnsi="宋体"/>
                <w:szCs w:val="21"/>
              </w:rPr>
            </w:pPr>
          </w:p>
        </w:tc>
        <w:tc>
          <w:tcPr>
            <w:tcW w:w="1190" w:type="dxa"/>
            <w:vMerge w:val="continue"/>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noWrap w:val="0"/>
            <w:vAlign w:val="center"/>
          </w:tcPr>
          <w:p>
            <w:pPr>
              <w:spacing w:line="360" w:lineRule="auto"/>
              <w:jc w:val="center"/>
              <w:rPr>
                <w:rFonts w:ascii="宋体" w:hAnsi="宋体"/>
                <w:szCs w:val="21"/>
              </w:rPr>
            </w:pPr>
          </w:p>
        </w:tc>
        <w:tc>
          <w:tcPr>
            <w:tcW w:w="1106" w:type="dxa"/>
            <w:noWrap w:val="0"/>
            <w:vAlign w:val="center"/>
          </w:tcPr>
          <w:p>
            <w:pPr>
              <w:spacing w:line="360" w:lineRule="auto"/>
              <w:jc w:val="center"/>
              <w:rPr>
                <w:rFonts w:ascii="宋体" w:hAnsi="宋体"/>
                <w:szCs w:val="21"/>
              </w:rPr>
            </w:pPr>
          </w:p>
        </w:tc>
        <w:tc>
          <w:tcPr>
            <w:tcW w:w="1984" w:type="dxa"/>
            <w:noWrap w:val="0"/>
            <w:vAlign w:val="center"/>
          </w:tcPr>
          <w:p>
            <w:pPr>
              <w:spacing w:line="360" w:lineRule="auto"/>
              <w:jc w:val="center"/>
              <w:rPr>
                <w:rFonts w:ascii="宋体" w:hAnsi="宋体"/>
                <w:szCs w:val="21"/>
              </w:rPr>
            </w:pPr>
          </w:p>
        </w:tc>
        <w:tc>
          <w:tcPr>
            <w:tcW w:w="1701" w:type="dxa"/>
            <w:noWrap w:val="0"/>
            <w:vAlign w:val="center"/>
          </w:tcPr>
          <w:p>
            <w:pPr>
              <w:spacing w:line="360" w:lineRule="auto"/>
              <w:jc w:val="center"/>
              <w:rPr>
                <w:rFonts w:ascii="宋体" w:hAnsi="宋体"/>
                <w:szCs w:val="21"/>
              </w:rPr>
            </w:pPr>
          </w:p>
        </w:tc>
        <w:tc>
          <w:tcPr>
            <w:tcW w:w="2552" w:type="dxa"/>
            <w:noWrap w:val="0"/>
            <w:vAlign w:val="center"/>
          </w:tcPr>
          <w:p>
            <w:pPr>
              <w:spacing w:line="360" w:lineRule="auto"/>
              <w:jc w:val="center"/>
              <w:rPr>
                <w:rFonts w:ascii="宋体" w:hAnsi="宋体"/>
                <w:szCs w:val="21"/>
              </w:rPr>
            </w:pPr>
          </w:p>
        </w:tc>
        <w:tc>
          <w:tcPr>
            <w:tcW w:w="1190" w:type="dxa"/>
            <w:noWrap w:val="0"/>
            <w:vAlign w:val="center"/>
          </w:tcPr>
          <w:p>
            <w:pPr>
              <w:spacing w:line="360" w:lineRule="auto"/>
              <w:jc w:val="center"/>
              <w:rPr>
                <w:rFonts w:ascii="宋体" w:hAnsi="宋体"/>
                <w:szCs w:val="21"/>
              </w:rPr>
            </w:pPr>
          </w:p>
        </w:tc>
      </w:tr>
    </w:tbl>
    <w:p>
      <w:pPr>
        <w:pStyle w:val="6"/>
        <w:keepNext w:val="0"/>
        <w:keepLines w:val="0"/>
        <w:spacing w:before="156" w:beforeLines="50" w:after="240" w:line="360" w:lineRule="auto"/>
        <w:rPr>
          <w:rFonts w:ascii="宋体" w:hAnsi="宋体"/>
          <w:kern w:val="2"/>
          <w:sz w:val="28"/>
          <w:szCs w:val="28"/>
        </w:rPr>
      </w:pPr>
      <w:r>
        <w:rPr>
          <w:rFonts w:hint="eastAsia" w:ascii="宋体" w:hAnsi="宋体"/>
          <w:kern w:val="2"/>
          <w:sz w:val="28"/>
          <w:szCs w:val="28"/>
        </w:rPr>
        <w:t>附表九   合同用款估算表</w:t>
      </w:r>
    </w:p>
    <w:tbl>
      <w:tblPr>
        <w:tblStyle w:val="14"/>
        <w:tblpPr w:leftFromText="180" w:rightFromText="180" w:vertAnchor="text" w:horzAnchor="margin" w:tblpY="17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noWrap w:val="0"/>
            <w:vAlign w:val="center"/>
          </w:tcPr>
          <w:p>
            <w:pPr>
              <w:spacing w:line="360" w:lineRule="auto"/>
              <w:jc w:val="center"/>
              <w:rPr>
                <w:rFonts w:ascii="宋体" w:hAnsi="宋体"/>
                <w:szCs w:val="21"/>
              </w:rPr>
            </w:pPr>
            <w:r>
              <w:rPr>
                <w:rFonts w:hint="eastAsia" w:ascii="宋体" w:hAnsi="宋体"/>
                <w:szCs w:val="21"/>
              </w:rPr>
              <w:t>从开工月算起的时间（月）</w:t>
            </w:r>
          </w:p>
        </w:tc>
        <w:tc>
          <w:tcPr>
            <w:tcW w:w="6925" w:type="dxa"/>
            <w:gridSpan w:val="4"/>
            <w:noWrap w:val="0"/>
            <w:vAlign w:val="center"/>
          </w:tcPr>
          <w:p>
            <w:pPr>
              <w:spacing w:line="360" w:lineRule="auto"/>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noWrap w:val="0"/>
            <w:vAlign w:val="center"/>
          </w:tcPr>
          <w:p>
            <w:pPr>
              <w:spacing w:line="360" w:lineRule="auto"/>
              <w:jc w:val="center"/>
              <w:rPr>
                <w:rFonts w:ascii="宋体" w:hAnsi="宋体"/>
                <w:szCs w:val="21"/>
              </w:rPr>
            </w:pPr>
          </w:p>
        </w:tc>
        <w:tc>
          <w:tcPr>
            <w:tcW w:w="3462" w:type="dxa"/>
            <w:gridSpan w:val="2"/>
            <w:noWrap w:val="0"/>
            <w:vAlign w:val="center"/>
          </w:tcPr>
          <w:p>
            <w:pPr>
              <w:tabs>
                <w:tab w:val="left" w:pos="4863"/>
              </w:tabs>
              <w:spacing w:line="360" w:lineRule="auto"/>
              <w:jc w:val="center"/>
              <w:rPr>
                <w:rFonts w:ascii="宋体" w:hAnsi="宋体"/>
                <w:szCs w:val="21"/>
              </w:rPr>
            </w:pPr>
            <w:r>
              <w:rPr>
                <w:rFonts w:hint="eastAsia" w:ascii="宋体" w:hAnsi="宋体"/>
                <w:szCs w:val="21"/>
              </w:rPr>
              <w:t>分  期</w:t>
            </w:r>
          </w:p>
        </w:tc>
        <w:tc>
          <w:tcPr>
            <w:tcW w:w="3463" w:type="dxa"/>
            <w:gridSpan w:val="2"/>
            <w:noWrap w:val="0"/>
            <w:vAlign w:val="center"/>
          </w:tcPr>
          <w:p>
            <w:pPr>
              <w:tabs>
                <w:tab w:val="left" w:pos="4863"/>
              </w:tabs>
              <w:spacing w:line="360" w:lineRule="auto"/>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r>
              <w:rPr>
                <w:rFonts w:hint="eastAsia" w:ascii="宋体" w:hAnsi="宋体"/>
                <w:szCs w:val="21"/>
              </w:rPr>
              <w:t>金额（元）</w:t>
            </w:r>
          </w:p>
        </w:tc>
        <w:tc>
          <w:tcPr>
            <w:tcW w:w="1731" w:type="dxa"/>
            <w:noWrap w:val="0"/>
            <w:vAlign w:val="center"/>
          </w:tcPr>
          <w:p>
            <w:pPr>
              <w:spacing w:line="360" w:lineRule="auto"/>
              <w:jc w:val="center"/>
              <w:rPr>
                <w:rFonts w:ascii="宋体" w:hAnsi="宋体"/>
                <w:szCs w:val="21"/>
              </w:rPr>
            </w:pPr>
            <w:r>
              <w:rPr>
                <w:rFonts w:hint="eastAsia" w:ascii="宋体" w:hAnsi="宋体"/>
                <w:szCs w:val="21"/>
              </w:rPr>
              <w:t>（%）</w:t>
            </w:r>
          </w:p>
        </w:tc>
        <w:tc>
          <w:tcPr>
            <w:tcW w:w="1731" w:type="dxa"/>
            <w:noWrap w:val="0"/>
            <w:vAlign w:val="center"/>
          </w:tcPr>
          <w:p>
            <w:pPr>
              <w:spacing w:line="360" w:lineRule="auto"/>
              <w:jc w:val="center"/>
              <w:rPr>
                <w:rFonts w:ascii="宋体" w:hAnsi="宋体"/>
                <w:szCs w:val="21"/>
              </w:rPr>
            </w:pPr>
            <w:r>
              <w:rPr>
                <w:rFonts w:hint="eastAsia" w:ascii="宋体" w:hAnsi="宋体"/>
                <w:szCs w:val="21"/>
              </w:rPr>
              <w:t>金额（元）</w:t>
            </w:r>
          </w:p>
        </w:tc>
        <w:tc>
          <w:tcPr>
            <w:tcW w:w="1732" w:type="dxa"/>
            <w:noWrap w:val="0"/>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noWrap w:val="0"/>
            <w:vAlign w:val="center"/>
          </w:tcPr>
          <w:p>
            <w:pPr>
              <w:spacing w:line="360" w:lineRule="auto"/>
              <w:jc w:val="center"/>
              <w:rPr>
                <w:rFonts w:ascii="宋体" w:hAnsi="宋体"/>
                <w:szCs w:val="21"/>
              </w:rPr>
            </w:pPr>
            <w:r>
              <w:rPr>
                <w:rFonts w:hint="eastAsia" w:ascii="宋体" w:hAnsi="宋体"/>
                <w:szCs w:val="21"/>
              </w:rPr>
              <w:t>第一次开工预付款</w:t>
            </w: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noWrap w:val="0"/>
            <w:vAlign w:val="center"/>
          </w:tcPr>
          <w:p>
            <w:pPr>
              <w:spacing w:line="360" w:lineRule="auto"/>
              <w:jc w:val="center"/>
              <w:rPr>
                <w:rFonts w:ascii="宋体" w:hAnsi="宋体"/>
                <w:szCs w:val="21"/>
              </w:rPr>
            </w:pPr>
            <w:r>
              <w:rPr>
                <w:rFonts w:hint="eastAsia" w:ascii="宋体" w:hAnsi="宋体"/>
                <w:szCs w:val="21"/>
              </w:rPr>
              <w:t>1～3</w:t>
            </w: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noWrap w:val="0"/>
            <w:vAlign w:val="center"/>
          </w:tcPr>
          <w:p>
            <w:pPr>
              <w:spacing w:line="360" w:lineRule="auto"/>
              <w:jc w:val="center"/>
              <w:rPr>
                <w:rFonts w:ascii="宋体" w:hAnsi="宋体"/>
                <w:szCs w:val="21"/>
              </w:rPr>
            </w:pPr>
            <w:r>
              <w:rPr>
                <w:rFonts w:hint="eastAsia" w:ascii="宋体" w:hAnsi="宋体"/>
                <w:szCs w:val="21"/>
              </w:rPr>
              <w:t>4～6</w:t>
            </w: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noWrap w:val="0"/>
            <w:vAlign w:val="center"/>
          </w:tcPr>
          <w:p>
            <w:pPr>
              <w:spacing w:line="360" w:lineRule="auto"/>
              <w:jc w:val="center"/>
              <w:rPr>
                <w:rFonts w:ascii="宋体" w:hAnsi="宋体"/>
                <w:szCs w:val="21"/>
              </w:rPr>
            </w:pPr>
            <w:r>
              <w:rPr>
                <w:rFonts w:hint="eastAsia" w:ascii="宋体" w:hAnsi="宋体"/>
                <w:szCs w:val="21"/>
              </w:rPr>
              <w:t>7～9</w:t>
            </w: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noWrap w:val="0"/>
            <w:vAlign w:val="center"/>
          </w:tcPr>
          <w:p>
            <w:pPr>
              <w:spacing w:line="360" w:lineRule="auto"/>
              <w:jc w:val="center"/>
              <w:rPr>
                <w:rFonts w:ascii="宋体" w:hAnsi="宋体"/>
                <w:szCs w:val="21"/>
              </w:rPr>
            </w:pPr>
            <w:r>
              <w:rPr>
                <w:rFonts w:hint="eastAsia" w:ascii="宋体" w:hAnsi="宋体"/>
                <w:szCs w:val="21"/>
              </w:rPr>
              <w:t>10～12</w:t>
            </w: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noWrap w:val="0"/>
            <w:vAlign w:val="center"/>
          </w:tcPr>
          <w:p>
            <w:pPr>
              <w:spacing w:line="360" w:lineRule="auto"/>
              <w:jc w:val="center"/>
              <w:rPr>
                <w:rFonts w:ascii="宋体" w:hAnsi="宋体"/>
                <w:szCs w:val="21"/>
              </w:rPr>
            </w:pPr>
            <w:r>
              <w:rPr>
                <w:rFonts w:hint="eastAsia" w:ascii="宋体" w:hAnsi="宋体"/>
                <w:szCs w:val="21"/>
              </w:rPr>
              <w:t>13～15</w:t>
            </w: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noWrap w:val="0"/>
            <w:vAlign w:val="center"/>
          </w:tcPr>
          <w:p>
            <w:pPr>
              <w:spacing w:line="360" w:lineRule="auto"/>
              <w:jc w:val="center"/>
              <w:rPr>
                <w:rFonts w:ascii="宋体" w:hAnsi="宋体"/>
                <w:szCs w:val="21"/>
              </w:rPr>
            </w:pPr>
            <w:r>
              <w:rPr>
                <w:rFonts w:hint="eastAsia" w:ascii="宋体" w:hAnsi="宋体"/>
                <w:szCs w:val="21"/>
              </w:rPr>
              <w:t>……</w:t>
            </w: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noWrap w:val="0"/>
            <w:vAlign w:val="center"/>
          </w:tcPr>
          <w:p>
            <w:pPr>
              <w:spacing w:line="360" w:lineRule="auto"/>
              <w:jc w:val="center"/>
              <w:rPr>
                <w:rFonts w:ascii="宋体" w:hAnsi="宋体"/>
                <w:szCs w:val="21"/>
              </w:rPr>
            </w:pPr>
            <w:r>
              <w:rPr>
                <w:rFonts w:hint="eastAsia" w:ascii="宋体" w:hAnsi="宋体"/>
                <w:szCs w:val="21"/>
              </w:rPr>
              <w:t>……</w:t>
            </w: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noWrap w:val="0"/>
            <w:vAlign w:val="center"/>
          </w:tcPr>
          <w:p>
            <w:pPr>
              <w:spacing w:line="360" w:lineRule="auto"/>
              <w:jc w:val="center"/>
              <w:rPr>
                <w:rFonts w:ascii="宋体" w:hAnsi="宋体"/>
                <w:szCs w:val="21"/>
              </w:rPr>
            </w:pPr>
            <w:r>
              <w:rPr>
                <w:rFonts w:hint="eastAsia" w:ascii="宋体" w:hAnsi="宋体"/>
                <w:szCs w:val="21"/>
              </w:rPr>
              <w:t>缺陷责任期</w:t>
            </w: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p>
        </w:tc>
        <w:tc>
          <w:tcPr>
            <w:tcW w:w="173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noWrap w:val="0"/>
            <w:vAlign w:val="center"/>
          </w:tcPr>
          <w:p>
            <w:pPr>
              <w:spacing w:line="360" w:lineRule="auto"/>
              <w:jc w:val="center"/>
              <w:rPr>
                <w:rFonts w:ascii="宋体" w:hAnsi="宋体"/>
                <w:szCs w:val="21"/>
              </w:rPr>
            </w:pPr>
            <w:r>
              <w:rPr>
                <w:rFonts w:hint="eastAsia" w:ascii="宋体" w:hAnsi="宋体"/>
                <w:szCs w:val="21"/>
              </w:rPr>
              <w:t>小计</w:t>
            </w:r>
          </w:p>
        </w:tc>
        <w:tc>
          <w:tcPr>
            <w:tcW w:w="1731" w:type="dxa"/>
            <w:noWrap w:val="0"/>
            <w:vAlign w:val="center"/>
          </w:tcPr>
          <w:p>
            <w:pPr>
              <w:spacing w:line="360" w:lineRule="auto"/>
              <w:jc w:val="center"/>
              <w:rPr>
                <w:rFonts w:ascii="宋体" w:hAnsi="宋体"/>
                <w:szCs w:val="21"/>
              </w:rPr>
            </w:pPr>
          </w:p>
        </w:tc>
        <w:tc>
          <w:tcPr>
            <w:tcW w:w="1731" w:type="dxa"/>
            <w:noWrap w:val="0"/>
            <w:vAlign w:val="center"/>
          </w:tcPr>
          <w:p>
            <w:pPr>
              <w:spacing w:line="360" w:lineRule="auto"/>
              <w:jc w:val="center"/>
              <w:rPr>
                <w:rFonts w:ascii="宋体" w:hAnsi="宋体"/>
                <w:szCs w:val="21"/>
              </w:rPr>
            </w:pPr>
            <w:r>
              <w:rPr>
                <w:rFonts w:hint="eastAsia" w:ascii="宋体" w:hAnsi="宋体"/>
                <w:szCs w:val="21"/>
              </w:rPr>
              <w:t>100．00</w:t>
            </w:r>
          </w:p>
        </w:tc>
        <w:tc>
          <w:tcPr>
            <w:tcW w:w="1731" w:type="dxa"/>
            <w:noWrap w:val="0"/>
            <w:vAlign w:val="center"/>
          </w:tcPr>
          <w:p>
            <w:pPr>
              <w:spacing w:line="360" w:lineRule="auto"/>
              <w:jc w:val="center"/>
              <w:rPr>
                <w:rFonts w:ascii="宋体" w:hAnsi="宋体"/>
                <w:szCs w:val="21"/>
              </w:rPr>
            </w:pPr>
          </w:p>
        </w:tc>
        <w:tc>
          <w:tcPr>
            <w:tcW w:w="173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noWrap w:val="0"/>
            <w:vAlign w:val="center"/>
          </w:tcPr>
          <w:p>
            <w:pPr>
              <w:spacing w:line="360" w:lineRule="auto"/>
              <w:jc w:val="left"/>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7" w:hRule="atLeast"/>
        </w:trPr>
        <w:tc>
          <w:tcPr>
            <w:tcW w:w="717" w:type="dxa"/>
            <w:noWrap w:val="0"/>
            <w:vAlign w:val="center"/>
          </w:tcPr>
          <w:p>
            <w:pPr>
              <w:spacing w:line="360" w:lineRule="auto"/>
              <w:jc w:val="center"/>
              <w:rPr>
                <w:rFonts w:ascii="宋体" w:hAnsi="宋体"/>
                <w:szCs w:val="21"/>
              </w:rPr>
            </w:pPr>
            <w:r>
              <w:rPr>
                <w:rFonts w:hint="eastAsia" w:ascii="宋体" w:hAnsi="宋体"/>
                <w:szCs w:val="21"/>
              </w:rPr>
              <w:t>说</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明</w:t>
            </w:r>
          </w:p>
        </w:tc>
        <w:tc>
          <w:tcPr>
            <w:tcW w:w="8922" w:type="dxa"/>
            <w:gridSpan w:val="5"/>
            <w:noWrap w:val="0"/>
            <w:vAlign w:val="center"/>
          </w:tcPr>
          <w:p>
            <w:pPr>
              <w:widowControl/>
              <w:spacing w:line="360" w:lineRule="auto"/>
              <w:jc w:val="center"/>
              <w:rPr>
                <w:rFonts w:ascii="宋体" w:hAnsi="宋体"/>
                <w:szCs w:val="21"/>
              </w:rPr>
            </w:pPr>
          </w:p>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注：1.投标人可按附表一的工程进度估算并填写本表。</w:t>
      </w:r>
    </w:p>
    <w:p>
      <w:pPr>
        <w:spacing w:line="360" w:lineRule="auto"/>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widowControl/>
        <w:spacing w:line="360" w:lineRule="auto"/>
        <w:jc w:val="left"/>
        <w:rPr>
          <w:rFonts w:ascii="宋体" w:hAnsi="宋体"/>
          <w:color w:val="000000"/>
          <w:sz w:val="36"/>
          <w:szCs w:val="36"/>
        </w:rPr>
        <w:sectPr>
          <w:type w:val="continuous"/>
          <w:pgSz w:w="11906" w:h="16838"/>
          <w:pgMar w:top="1440" w:right="1080" w:bottom="1440" w:left="1080" w:header="0" w:footer="1134" w:gutter="0"/>
          <w:pgNumType w:fmt="numberInDash"/>
          <w:cols w:space="720" w:num="1"/>
          <w:docGrid w:type="lines" w:linePitch="312" w:charSpace="0"/>
        </w:sectPr>
      </w:pPr>
    </w:p>
    <w:p>
      <w:pPr>
        <w:pStyle w:val="6"/>
        <w:keepNext w:val="0"/>
        <w:keepLines w:val="0"/>
        <w:pageBreakBefore/>
        <w:spacing w:before="312" w:beforeLines="100" w:after="468" w:afterLines="150" w:line="360" w:lineRule="auto"/>
        <w:jc w:val="center"/>
        <w:rPr>
          <w:rFonts w:ascii="宋体" w:hAnsi="宋体"/>
          <w:sz w:val="28"/>
          <w:szCs w:val="28"/>
        </w:rPr>
      </w:pPr>
      <w:r>
        <w:rPr>
          <w:rFonts w:hint="eastAsia" w:ascii="宋体" w:hAnsi="宋体"/>
          <w:sz w:val="28"/>
          <w:szCs w:val="28"/>
        </w:rPr>
        <w:t>五</w:t>
      </w:r>
      <w:r>
        <w:rPr>
          <w:rFonts w:ascii="宋体" w:hAnsi="宋体"/>
          <w:sz w:val="28"/>
          <w:szCs w:val="28"/>
        </w:rPr>
        <w:t>、项目管理机构</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3" w:hRule="atLeast"/>
          <w:jc w:val="center"/>
        </w:trPr>
        <w:tc>
          <w:tcPr>
            <w:tcW w:w="9639"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说明</w:t>
            </w:r>
          </w:p>
        </w:tc>
      </w:tr>
    </w:tbl>
    <w:p>
      <w:pPr>
        <w:spacing w:line="360" w:lineRule="auto"/>
        <w:rPr>
          <w:rFonts w:ascii="宋体" w:hAnsi="宋体"/>
        </w:rPr>
      </w:pPr>
    </w:p>
    <w:p>
      <w:pPr>
        <w:pStyle w:val="6"/>
        <w:spacing w:before="312" w:beforeLines="100" w:after="468" w:afterLines="150" w:line="360" w:lineRule="auto"/>
        <w:jc w:val="center"/>
        <w:rPr>
          <w:rFonts w:ascii="宋体" w:hAnsi="宋体"/>
          <w:sz w:val="28"/>
          <w:szCs w:val="28"/>
        </w:rPr>
      </w:pPr>
      <w:bookmarkStart w:id="329" w:name="_Toc234382977"/>
      <w:bookmarkStart w:id="330" w:name="_Toc485889072"/>
      <w:bookmarkStart w:id="331" w:name="_Toc18211"/>
      <w:bookmarkStart w:id="332" w:name="_Toc486277938"/>
      <w:r>
        <w:rPr>
          <w:rFonts w:hint="eastAsia" w:ascii="宋体" w:hAnsi="宋体"/>
          <w:sz w:val="28"/>
          <w:szCs w:val="28"/>
        </w:rPr>
        <w:t>六、资格审查资料</w:t>
      </w:r>
      <w:bookmarkEnd w:id="329"/>
      <w:bookmarkEnd w:id="330"/>
      <w:bookmarkEnd w:id="331"/>
      <w:bookmarkEnd w:id="332"/>
    </w:p>
    <w:p>
      <w:pPr>
        <w:pStyle w:val="6"/>
        <w:spacing w:before="312" w:beforeLines="100" w:after="468" w:afterLines="150" w:line="360" w:lineRule="auto"/>
        <w:jc w:val="center"/>
        <w:rPr>
          <w:rFonts w:ascii="宋体" w:hAnsi="宋体"/>
          <w:sz w:val="28"/>
          <w:szCs w:val="28"/>
        </w:rPr>
      </w:pPr>
      <w:bookmarkStart w:id="333" w:name="_Toc9432"/>
      <w:bookmarkStart w:id="334" w:name="_Toc486277939"/>
      <w:bookmarkStart w:id="335" w:name="_Toc234382978"/>
      <w:bookmarkStart w:id="336" w:name="_Toc485889073"/>
      <w:r>
        <w:rPr>
          <w:rFonts w:hint="eastAsia" w:ascii="宋体" w:hAnsi="宋体"/>
          <w:sz w:val="28"/>
          <w:szCs w:val="28"/>
        </w:rPr>
        <w:t>（一）投标人基本情况表</w:t>
      </w:r>
      <w:bookmarkEnd w:id="333"/>
      <w:bookmarkEnd w:id="334"/>
      <w:bookmarkEnd w:id="335"/>
      <w:bookmarkEnd w:id="336"/>
    </w:p>
    <w:tbl>
      <w:tblPr>
        <w:tblStyle w:val="1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投标人名称</w:t>
            </w:r>
          </w:p>
        </w:tc>
        <w:tc>
          <w:tcPr>
            <w:tcW w:w="7697" w:type="dxa"/>
            <w:gridSpan w:val="8"/>
            <w:noWrap w:val="0"/>
            <w:vAlign w:val="center"/>
          </w:tcPr>
          <w:p>
            <w:pPr>
              <w:autoSpaceDE w:val="0"/>
              <w:autoSpaceDN w:val="0"/>
              <w:adjustRightInd w:val="0"/>
              <w:spacing w:line="360" w:lineRule="auto"/>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注册地址</w:t>
            </w:r>
          </w:p>
        </w:tc>
        <w:tc>
          <w:tcPr>
            <w:tcW w:w="3846" w:type="dxa"/>
            <w:gridSpan w:val="4"/>
            <w:noWrap w:val="0"/>
            <w:vAlign w:val="center"/>
          </w:tcPr>
          <w:p>
            <w:pPr>
              <w:autoSpaceDE w:val="0"/>
              <w:autoSpaceDN w:val="0"/>
              <w:adjustRightInd w:val="0"/>
              <w:spacing w:line="360" w:lineRule="auto"/>
              <w:jc w:val="center"/>
              <w:rPr>
                <w:rFonts w:ascii="宋体" w:hAnsi="宋体"/>
                <w:kern w:val="0"/>
                <w:szCs w:val="21"/>
              </w:rPr>
            </w:pPr>
          </w:p>
        </w:tc>
        <w:tc>
          <w:tcPr>
            <w:tcW w:w="1212"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邮政编码</w:t>
            </w:r>
          </w:p>
        </w:tc>
        <w:tc>
          <w:tcPr>
            <w:tcW w:w="2639" w:type="dxa"/>
            <w:gridSpan w:val="3"/>
            <w:noWrap w:val="0"/>
            <w:vAlign w:val="center"/>
          </w:tcPr>
          <w:p>
            <w:pPr>
              <w:autoSpaceDE w:val="0"/>
              <w:autoSpaceDN w:val="0"/>
              <w:adjustRightInd w:val="0"/>
              <w:spacing w:line="360" w:lineRule="auto"/>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联系方式</w:t>
            </w:r>
          </w:p>
        </w:tc>
        <w:tc>
          <w:tcPr>
            <w:tcW w:w="1010"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联系人</w:t>
            </w:r>
          </w:p>
        </w:tc>
        <w:tc>
          <w:tcPr>
            <w:tcW w:w="2836" w:type="dxa"/>
            <w:gridSpan w:val="3"/>
            <w:noWrap w:val="0"/>
            <w:vAlign w:val="center"/>
          </w:tcPr>
          <w:p>
            <w:pPr>
              <w:autoSpaceDE w:val="0"/>
              <w:autoSpaceDN w:val="0"/>
              <w:adjustRightInd w:val="0"/>
              <w:spacing w:line="360" w:lineRule="auto"/>
              <w:jc w:val="center"/>
              <w:rPr>
                <w:rFonts w:ascii="宋体" w:hAnsi="宋体"/>
                <w:kern w:val="0"/>
                <w:szCs w:val="21"/>
              </w:rPr>
            </w:pPr>
          </w:p>
        </w:tc>
        <w:tc>
          <w:tcPr>
            <w:tcW w:w="1212"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电</w:t>
            </w:r>
            <w:r>
              <w:rPr>
                <w:rFonts w:hint="eastAsia" w:ascii="宋体" w:hAnsi="宋体"/>
                <w:kern w:val="0"/>
                <w:szCs w:val="21"/>
              </w:rPr>
              <w:t xml:space="preserve"> </w:t>
            </w:r>
            <w:r>
              <w:rPr>
                <w:rFonts w:hint="eastAsia" w:ascii="宋体" w:hAnsi="宋体" w:cs="MingLiU"/>
                <w:kern w:val="0"/>
                <w:szCs w:val="21"/>
              </w:rPr>
              <w:t>话</w:t>
            </w:r>
          </w:p>
        </w:tc>
        <w:tc>
          <w:tcPr>
            <w:tcW w:w="2639" w:type="dxa"/>
            <w:gridSpan w:val="3"/>
            <w:noWrap w:val="0"/>
            <w:vAlign w:val="center"/>
          </w:tcPr>
          <w:p>
            <w:pPr>
              <w:autoSpaceDE w:val="0"/>
              <w:autoSpaceDN w:val="0"/>
              <w:adjustRightInd w:val="0"/>
              <w:spacing w:line="360" w:lineRule="auto"/>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noWrap w:val="0"/>
            <w:vAlign w:val="center"/>
          </w:tcPr>
          <w:p>
            <w:pPr>
              <w:autoSpaceDE w:val="0"/>
              <w:autoSpaceDN w:val="0"/>
              <w:adjustRightInd w:val="0"/>
              <w:spacing w:line="360" w:lineRule="auto"/>
              <w:jc w:val="center"/>
              <w:rPr>
                <w:rFonts w:ascii="宋体" w:hAnsi="宋体"/>
                <w:kern w:val="0"/>
                <w:szCs w:val="21"/>
              </w:rPr>
            </w:pPr>
          </w:p>
        </w:tc>
        <w:tc>
          <w:tcPr>
            <w:tcW w:w="1010" w:type="dxa"/>
            <w:noWrap w:val="0"/>
            <w:vAlign w:val="center"/>
          </w:tcPr>
          <w:p>
            <w:pPr>
              <w:tabs>
                <w:tab w:val="left" w:pos="540"/>
              </w:tabs>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传</w:t>
            </w:r>
            <w:r>
              <w:rPr>
                <w:rFonts w:hint="eastAsia" w:ascii="宋体" w:hAnsi="宋体"/>
                <w:kern w:val="0"/>
                <w:szCs w:val="21"/>
              </w:rPr>
              <w:t xml:space="preserve"> </w:t>
            </w:r>
            <w:r>
              <w:rPr>
                <w:rFonts w:hint="eastAsia" w:ascii="宋体" w:hAnsi="宋体" w:cs="MingLiU"/>
                <w:kern w:val="0"/>
                <w:szCs w:val="21"/>
              </w:rPr>
              <w:t>真</w:t>
            </w:r>
          </w:p>
        </w:tc>
        <w:tc>
          <w:tcPr>
            <w:tcW w:w="2836" w:type="dxa"/>
            <w:gridSpan w:val="3"/>
            <w:noWrap w:val="0"/>
            <w:vAlign w:val="center"/>
          </w:tcPr>
          <w:p>
            <w:pPr>
              <w:autoSpaceDE w:val="0"/>
              <w:autoSpaceDN w:val="0"/>
              <w:adjustRightInd w:val="0"/>
              <w:spacing w:line="360" w:lineRule="auto"/>
              <w:jc w:val="center"/>
              <w:rPr>
                <w:rFonts w:ascii="宋体" w:hAnsi="宋体"/>
                <w:kern w:val="0"/>
                <w:szCs w:val="21"/>
              </w:rPr>
            </w:pPr>
          </w:p>
        </w:tc>
        <w:tc>
          <w:tcPr>
            <w:tcW w:w="1212"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电子邮件</w:t>
            </w:r>
          </w:p>
        </w:tc>
        <w:tc>
          <w:tcPr>
            <w:tcW w:w="2639" w:type="dxa"/>
            <w:gridSpan w:val="3"/>
            <w:noWrap w:val="0"/>
            <w:vAlign w:val="center"/>
          </w:tcPr>
          <w:p>
            <w:pPr>
              <w:autoSpaceDE w:val="0"/>
              <w:autoSpaceDN w:val="0"/>
              <w:adjustRightInd w:val="0"/>
              <w:spacing w:line="360" w:lineRule="auto"/>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法定代表人</w:t>
            </w:r>
          </w:p>
        </w:tc>
        <w:tc>
          <w:tcPr>
            <w:tcW w:w="1010"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姓名</w:t>
            </w:r>
          </w:p>
        </w:tc>
        <w:tc>
          <w:tcPr>
            <w:tcW w:w="1070" w:type="dxa"/>
            <w:noWrap w:val="0"/>
            <w:vAlign w:val="center"/>
          </w:tcPr>
          <w:p>
            <w:pPr>
              <w:autoSpaceDE w:val="0"/>
              <w:autoSpaceDN w:val="0"/>
              <w:adjustRightInd w:val="0"/>
              <w:spacing w:line="360" w:lineRule="auto"/>
              <w:jc w:val="center"/>
              <w:rPr>
                <w:rFonts w:ascii="宋体" w:hAnsi="宋体"/>
                <w:kern w:val="0"/>
                <w:szCs w:val="21"/>
              </w:rPr>
            </w:pPr>
          </w:p>
        </w:tc>
        <w:tc>
          <w:tcPr>
            <w:tcW w:w="1416"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技术职称</w:t>
            </w:r>
          </w:p>
        </w:tc>
        <w:tc>
          <w:tcPr>
            <w:tcW w:w="2119" w:type="dxa"/>
            <w:gridSpan w:val="3"/>
            <w:noWrap w:val="0"/>
            <w:vAlign w:val="center"/>
          </w:tcPr>
          <w:p>
            <w:pPr>
              <w:autoSpaceDE w:val="0"/>
              <w:autoSpaceDN w:val="0"/>
              <w:adjustRightInd w:val="0"/>
              <w:spacing w:line="360" w:lineRule="auto"/>
              <w:jc w:val="center"/>
              <w:rPr>
                <w:rFonts w:ascii="宋体" w:hAnsi="宋体"/>
                <w:kern w:val="0"/>
                <w:szCs w:val="21"/>
              </w:rPr>
            </w:pPr>
          </w:p>
        </w:tc>
        <w:tc>
          <w:tcPr>
            <w:tcW w:w="966"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电话</w:t>
            </w:r>
          </w:p>
        </w:tc>
        <w:tc>
          <w:tcPr>
            <w:tcW w:w="1116" w:type="dxa"/>
            <w:noWrap w:val="0"/>
            <w:vAlign w:val="center"/>
          </w:tcPr>
          <w:p>
            <w:pPr>
              <w:autoSpaceDE w:val="0"/>
              <w:autoSpaceDN w:val="0"/>
              <w:adjustRightInd w:val="0"/>
              <w:spacing w:line="360" w:lineRule="auto"/>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技术负责人</w:t>
            </w:r>
          </w:p>
        </w:tc>
        <w:tc>
          <w:tcPr>
            <w:tcW w:w="1010"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姓名</w:t>
            </w:r>
          </w:p>
        </w:tc>
        <w:tc>
          <w:tcPr>
            <w:tcW w:w="1070" w:type="dxa"/>
            <w:noWrap w:val="0"/>
            <w:vAlign w:val="center"/>
          </w:tcPr>
          <w:p>
            <w:pPr>
              <w:autoSpaceDE w:val="0"/>
              <w:autoSpaceDN w:val="0"/>
              <w:adjustRightInd w:val="0"/>
              <w:spacing w:line="360" w:lineRule="auto"/>
              <w:jc w:val="center"/>
              <w:rPr>
                <w:rFonts w:ascii="宋体" w:hAnsi="宋体"/>
                <w:kern w:val="0"/>
                <w:szCs w:val="21"/>
              </w:rPr>
            </w:pPr>
          </w:p>
        </w:tc>
        <w:tc>
          <w:tcPr>
            <w:tcW w:w="1416"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技术职称</w:t>
            </w:r>
          </w:p>
        </w:tc>
        <w:tc>
          <w:tcPr>
            <w:tcW w:w="2119" w:type="dxa"/>
            <w:gridSpan w:val="3"/>
            <w:noWrap w:val="0"/>
            <w:vAlign w:val="center"/>
          </w:tcPr>
          <w:p>
            <w:pPr>
              <w:autoSpaceDE w:val="0"/>
              <w:autoSpaceDN w:val="0"/>
              <w:adjustRightInd w:val="0"/>
              <w:spacing w:line="360" w:lineRule="auto"/>
              <w:jc w:val="center"/>
              <w:rPr>
                <w:rFonts w:ascii="宋体" w:hAnsi="宋体"/>
                <w:kern w:val="0"/>
                <w:szCs w:val="21"/>
              </w:rPr>
            </w:pPr>
          </w:p>
        </w:tc>
        <w:tc>
          <w:tcPr>
            <w:tcW w:w="966"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电话</w:t>
            </w:r>
          </w:p>
        </w:tc>
        <w:tc>
          <w:tcPr>
            <w:tcW w:w="1116" w:type="dxa"/>
            <w:noWrap w:val="0"/>
            <w:vAlign w:val="center"/>
          </w:tcPr>
          <w:p>
            <w:pPr>
              <w:autoSpaceDE w:val="0"/>
              <w:autoSpaceDN w:val="0"/>
              <w:adjustRightInd w:val="0"/>
              <w:spacing w:line="360" w:lineRule="auto"/>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成立时间</w:t>
            </w:r>
          </w:p>
        </w:tc>
        <w:tc>
          <w:tcPr>
            <w:tcW w:w="2080" w:type="dxa"/>
            <w:gridSpan w:val="2"/>
            <w:noWrap w:val="0"/>
            <w:vAlign w:val="center"/>
          </w:tcPr>
          <w:p>
            <w:pPr>
              <w:autoSpaceDE w:val="0"/>
              <w:autoSpaceDN w:val="0"/>
              <w:adjustRightInd w:val="0"/>
              <w:spacing w:line="360" w:lineRule="auto"/>
              <w:jc w:val="center"/>
              <w:rPr>
                <w:rFonts w:ascii="宋体" w:hAnsi="宋体"/>
                <w:kern w:val="0"/>
                <w:szCs w:val="21"/>
              </w:rPr>
            </w:pPr>
          </w:p>
        </w:tc>
        <w:tc>
          <w:tcPr>
            <w:tcW w:w="5617" w:type="dxa"/>
            <w:gridSpan w:val="6"/>
            <w:noWrap w:val="0"/>
            <w:vAlign w:val="center"/>
          </w:tcPr>
          <w:p>
            <w:pPr>
              <w:autoSpaceDE w:val="0"/>
              <w:autoSpaceDN w:val="0"/>
              <w:adjustRightInd w:val="0"/>
              <w:spacing w:line="360" w:lineRule="auto"/>
              <w:ind w:left="105" w:leftChars="50"/>
              <w:jc w:val="center"/>
              <w:rPr>
                <w:rFonts w:ascii="宋体" w:hAnsi="宋体"/>
                <w:kern w:val="0"/>
                <w:szCs w:val="21"/>
                <w:u w:val="single"/>
              </w:rPr>
            </w:pPr>
            <w:r>
              <w:rPr>
                <w:rFonts w:hint="eastAsia" w:ascii="宋体" w:hAnsi="宋体" w:cs="MingLiU"/>
                <w:kern w:val="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企业资质等级</w:t>
            </w:r>
          </w:p>
        </w:tc>
        <w:tc>
          <w:tcPr>
            <w:tcW w:w="2080" w:type="dxa"/>
            <w:gridSpan w:val="2"/>
            <w:noWrap w:val="0"/>
            <w:vAlign w:val="center"/>
          </w:tcPr>
          <w:p>
            <w:pPr>
              <w:autoSpaceDE w:val="0"/>
              <w:autoSpaceDN w:val="0"/>
              <w:adjustRightInd w:val="0"/>
              <w:spacing w:line="360" w:lineRule="auto"/>
              <w:jc w:val="center"/>
              <w:rPr>
                <w:rFonts w:ascii="宋体" w:hAnsi="宋体"/>
                <w:kern w:val="0"/>
                <w:szCs w:val="21"/>
              </w:rPr>
            </w:pPr>
          </w:p>
        </w:tc>
        <w:tc>
          <w:tcPr>
            <w:tcW w:w="1416" w:type="dxa"/>
            <w:vMerge w:val="restart"/>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其中</w:t>
            </w:r>
          </w:p>
        </w:tc>
        <w:tc>
          <w:tcPr>
            <w:tcW w:w="2119" w:type="dxa"/>
            <w:gridSpan w:val="3"/>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项目经理</w:t>
            </w:r>
          </w:p>
        </w:tc>
        <w:tc>
          <w:tcPr>
            <w:tcW w:w="2082" w:type="dxa"/>
            <w:gridSpan w:val="2"/>
            <w:noWrap w:val="0"/>
            <w:vAlign w:val="center"/>
          </w:tcPr>
          <w:p>
            <w:pPr>
              <w:autoSpaceDE w:val="0"/>
              <w:autoSpaceDN w:val="0"/>
              <w:adjustRightInd w:val="0"/>
              <w:spacing w:line="360" w:lineRule="auto"/>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营业执照号</w:t>
            </w:r>
          </w:p>
        </w:tc>
        <w:tc>
          <w:tcPr>
            <w:tcW w:w="2080" w:type="dxa"/>
            <w:gridSpan w:val="2"/>
            <w:noWrap w:val="0"/>
            <w:vAlign w:val="center"/>
          </w:tcPr>
          <w:p>
            <w:pPr>
              <w:autoSpaceDE w:val="0"/>
              <w:autoSpaceDN w:val="0"/>
              <w:adjustRightInd w:val="0"/>
              <w:spacing w:line="360" w:lineRule="auto"/>
              <w:jc w:val="center"/>
              <w:rPr>
                <w:rFonts w:ascii="宋体" w:hAnsi="宋体"/>
                <w:kern w:val="0"/>
                <w:szCs w:val="21"/>
              </w:rPr>
            </w:pPr>
          </w:p>
        </w:tc>
        <w:tc>
          <w:tcPr>
            <w:tcW w:w="1416" w:type="dxa"/>
            <w:vMerge w:val="continue"/>
            <w:noWrap w:val="0"/>
            <w:vAlign w:val="center"/>
          </w:tcPr>
          <w:p>
            <w:pPr>
              <w:autoSpaceDE w:val="0"/>
              <w:autoSpaceDN w:val="0"/>
              <w:adjustRightInd w:val="0"/>
              <w:spacing w:line="360" w:lineRule="auto"/>
              <w:jc w:val="center"/>
              <w:rPr>
                <w:rFonts w:ascii="宋体" w:hAnsi="宋体"/>
                <w:kern w:val="0"/>
                <w:szCs w:val="21"/>
              </w:rPr>
            </w:pPr>
          </w:p>
        </w:tc>
        <w:tc>
          <w:tcPr>
            <w:tcW w:w="2119" w:type="dxa"/>
            <w:gridSpan w:val="3"/>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高级职称人员</w:t>
            </w:r>
          </w:p>
        </w:tc>
        <w:tc>
          <w:tcPr>
            <w:tcW w:w="2082" w:type="dxa"/>
            <w:gridSpan w:val="2"/>
            <w:noWrap w:val="0"/>
            <w:vAlign w:val="center"/>
          </w:tcPr>
          <w:p>
            <w:pPr>
              <w:autoSpaceDE w:val="0"/>
              <w:autoSpaceDN w:val="0"/>
              <w:adjustRightInd w:val="0"/>
              <w:spacing w:line="360" w:lineRule="auto"/>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注册资金</w:t>
            </w:r>
          </w:p>
        </w:tc>
        <w:tc>
          <w:tcPr>
            <w:tcW w:w="2080" w:type="dxa"/>
            <w:gridSpan w:val="2"/>
            <w:noWrap w:val="0"/>
            <w:vAlign w:val="center"/>
          </w:tcPr>
          <w:p>
            <w:pPr>
              <w:autoSpaceDE w:val="0"/>
              <w:autoSpaceDN w:val="0"/>
              <w:adjustRightInd w:val="0"/>
              <w:spacing w:line="360" w:lineRule="auto"/>
              <w:jc w:val="center"/>
              <w:rPr>
                <w:rFonts w:ascii="宋体" w:hAnsi="宋体"/>
                <w:kern w:val="0"/>
                <w:szCs w:val="21"/>
              </w:rPr>
            </w:pPr>
          </w:p>
        </w:tc>
        <w:tc>
          <w:tcPr>
            <w:tcW w:w="1416" w:type="dxa"/>
            <w:vMerge w:val="continue"/>
            <w:noWrap w:val="0"/>
            <w:vAlign w:val="center"/>
          </w:tcPr>
          <w:p>
            <w:pPr>
              <w:autoSpaceDE w:val="0"/>
              <w:autoSpaceDN w:val="0"/>
              <w:adjustRightInd w:val="0"/>
              <w:spacing w:line="360" w:lineRule="auto"/>
              <w:jc w:val="center"/>
              <w:rPr>
                <w:rFonts w:ascii="宋体" w:hAnsi="宋体"/>
                <w:kern w:val="0"/>
                <w:szCs w:val="21"/>
              </w:rPr>
            </w:pPr>
          </w:p>
        </w:tc>
        <w:tc>
          <w:tcPr>
            <w:tcW w:w="2119" w:type="dxa"/>
            <w:gridSpan w:val="3"/>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中级职称人员</w:t>
            </w:r>
          </w:p>
        </w:tc>
        <w:tc>
          <w:tcPr>
            <w:tcW w:w="2082" w:type="dxa"/>
            <w:gridSpan w:val="2"/>
            <w:noWrap w:val="0"/>
            <w:vAlign w:val="center"/>
          </w:tcPr>
          <w:p>
            <w:pPr>
              <w:autoSpaceDE w:val="0"/>
              <w:autoSpaceDN w:val="0"/>
              <w:adjustRightInd w:val="0"/>
              <w:spacing w:line="360" w:lineRule="auto"/>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基本账户开户银行</w:t>
            </w:r>
          </w:p>
        </w:tc>
        <w:tc>
          <w:tcPr>
            <w:tcW w:w="2080" w:type="dxa"/>
            <w:gridSpan w:val="2"/>
            <w:noWrap w:val="0"/>
            <w:vAlign w:val="center"/>
          </w:tcPr>
          <w:p>
            <w:pPr>
              <w:autoSpaceDE w:val="0"/>
              <w:autoSpaceDN w:val="0"/>
              <w:adjustRightInd w:val="0"/>
              <w:spacing w:line="360" w:lineRule="auto"/>
              <w:jc w:val="center"/>
              <w:rPr>
                <w:rFonts w:ascii="宋体" w:hAnsi="宋体"/>
                <w:kern w:val="0"/>
                <w:szCs w:val="21"/>
              </w:rPr>
            </w:pPr>
          </w:p>
        </w:tc>
        <w:tc>
          <w:tcPr>
            <w:tcW w:w="1416" w:type="dxa"/>
            <w:vMerge w:val="continue"/>
            <w:noWrap w:val="0"/>
            <w:vAlign w:val="center"/>
          </w:tcPr>
          <w:p>
            <w:pPr>
              <w:autoSpaceDE w:val="0"/>
              <w:autoSpaceDN w:val="0"/>
              <w:adjustRightInd w:val="0"/>
              <w:spacing w:line="360" w:lineRule="auto"/>
              <w:jc w:val="center"/>
              <w:rPr>
                <w:rFonts w:ascii="宋体" w:hAnsi="宋体"/>
                <w:kern w:val="0"/>
                <w:szCs w:val="21"/>
              </w:rPr>
            </w:pPr>
          </w:p>
        </w:tc>
        <w:tc>
          <w:tcPr>
            <w:tcW w:w="2119" w:type="dxa"/>
            <w:gridSpan w:val="3"/>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初级职称人员</w:t>
            </w:r>
          </w:p>
        </w:tc>
        <w:tc>
          <w:tcPr>
            <w:tcW w:w="2082" w:type="dxa"/>
            <w:gridSpan w:val="2"/>
            <w:noWrap w:val="0"/>
            <w:vAlign w:val="center"/>
          </w:tcPr>
          <w:p>
            <w:pPr>
              <w:autoSpaceDE w:val="0"/>
              <w:autoSpaceDN w:val="0"/>
              <w:adjustRightInd w:val="0"/>
              <w:spacing w:line="360" w:lineRule="auto"/>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基本账户账号</w:t>
            </w:r>
          </w:p>
        </w:tc>
        <w:tc>
          <w:tcPr>
            <w:tcW w:w="2080" w:type="dxa"/>
            <w:gridSpan w:val="2"/>
            <w:noWrap w:val="0"/>
            <w:vAlign w:val="center"/>
          </w:tcPr>
          <w:p>
            <w:pPr>
              <w:autoSpaceDE w:val="0"/>
              <w:autoSpaceDN w:val="0"/>
              <w:adjustRightInd w:val="0"/>
              <w:spacing w:line="360" w:lineRule="auto"/>
              <w:jc w:val="center"/>
              <w:rPr>
                <w:rFonts w:ascii="宋体" w:hAnsi="宋体"/>
                <w:kern w:val="0"/>
                <w:szCs w:val="21"/>
              </w:rPr>
            </w:pPr>
          </w:p>
        </w:tc>
        <w:tc>
          <w:tcPr>
            <w:tcW w:w="1416" w:type="dxa"/>
            <w:vMerge w:val="continue"/>
            <w:noWrap w:val="0"/>
            <w:vAlign w:val="center"/>
          </w:tcPr>
          <w:p>
            <w:pPr>
              <w:autoSpaceDE w:val="0"/>
              <w:autoSpaceDN w:val="0"/>
              <w:adjustRightInd w:val="0"/>
              <w:spacing w:line="360" w:lineRule="auto"/>
              <w:jc w:val="center"/>
              <w:rPr>
                <w:rFonts w:ascii="宋体" w:hAnsi="宋体"/>
                <w:kern w:val="0"/>
                <w:szCs w:val="21"/>
              </w:rPr>
            </w:pPr>
          </w:p>
        </w:tc>
        <w:tc>
          <w:tcPr>
            <w:tcW w:w="2119" w:type="dxa"/>
            <w:gridSpan w:val="3"/>
            <w:noWrap w:val="0"/>
            <w:vAlign w:val="center"/>
          </w:tcPr>
          <w:p>
            <w:pPr>
              <w:tabs>
                <w:tab w:val="left" w:pos="1240"/>
              </w:tabs>
              <w:autoSpaceDE w:val="0"/>
              <w:autoSpaceDN w:val="0"/>
              <w:adjustRightInd w:val="0"/>
              <w:spacing w:before="98" w:line="360" w:lineRule="auto"/>
              <w:jc w:val="center"/>
              <w:rPr>
                <w:rFonts w:ascii="宋体" w:hAnsi="宋体"/>
                <w:kern w:val="0"/>
                <w:szCs w:val="21"/>
              </w:rPr>
            </w:pPr>
            <w:r>
              <w:rPr>
                <w:rFonts w:hint="eastAsia" w:ascii="宋体" w:hAnsi="宋体" w:cs="MingLiU"/>
                <w:kern w:val="0"/>
                <w:szCs w:val="21"/>
              </w:rPr>
              <w:t>技工</w:t>
            </w:r>
          </w:p>
        </w:tc>
        <w:tc>
          <w:tcPr>
            <w:tcW w:w="2082" w:type="dxa"/>
            <w:gridSpan w:val="2"/>
            <w:noWrap w:val="0"/>
            <w:vAlign w:val="center"/>
          </w:tcPr>
          <w:p>
            <w:pPr>
              <w:autoSpaceDE w:val="0"/>
              <w:autoSpaceDN w:val="0"/>
              <w:adjustRightInd w:val="0"/>
              <w:spacing w:line="360" w:lineRule="auto"/>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8" w:hRule="exact"/>
          <w:jc w:val="center"/>
        </w:trPr>
        <w:tc>
          <w:tcPr>
            <w:tcW w:w="1942"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经营范围</w:t>
            </w:r>
          </w:p>
        </w:tc>
        <w:tc>
          <w:tcPr>
            <w:tcW w:w="7697" w:type="dxa"/>
            <w:gridSpan w:val="8"/>
            <w:noWrap w:val="0"/>
            <w:vAlign w:val="center"/>
          </w:tcPr>
          <w:p>
            <w:pPr>
              <w:autoSpaceDE w:val="0"/>
              <w:autoSpaceDN w:val="0"/>
              <w:adjustRightInd w:val="0"/>
              <w:spacing w:line="360" w:lineRule="auto"/>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23" w:hRule="exact"/>
          <w:jc w:val="center"/>
        </w:trPr>
        <w:tc>
          <w:tcPr>
            <w:tcW w:w="1942" w:type="dxa"/>
            <w:noWrap w:val="0"/>
            <w:vAlign w:val="center"/>
          </w:tcPr>
          <w:p>
            <w:pPr>
              <w:autoSpaceDE w:val="0"/>
              <w:autoSpaceDN w:val="0"/>
              <w:adjustRightInd w:val="0"/>
              <w:spacing w:line="360" w:lineRule="auto"/>
              <w:jc w:val="center"/>
              <w:rPr>
                <w:rFonts w:ascii="宋体" w:hAnsi="宋体" w:cs="MingLiU"/>
                <w:kern w:val="0"/>
                <w:szCs w:val="21"/>
              </w:rPr>
            </w:pPr>
            <w:r>
              <w:rPr>
                <w:rFonts w:hint="eastAsia" w:ascii="宋体" w:hAnsi="宋体" w:cs="MingLiU"/>
                <w:kern w:val="0"/>
                <w:szCs w:val="21"/>
              </w:rPr>
              <w:t>资产构成情况及申请人投资参股的关联企业情况</w:t>
            </w:r>
          </w:p>
        </w:tc>
        <w:tc>
          <w:tcPr>
            <w:tcW w:w="7697" w:type="dxa"/>
            <w:gridSpan w:val="8"/>
            <w:noWrap w:val="0"/>
            <w:vAlign w:val="center"/>
          </w:tcPr>
          <w:p>
            <w:pPr>
              <w:autoSpaceDE w:val="0"/>
              <w:autoSpaceDN w:val="0"/>
              <w:adjustRightInd w:val="0"/>
              <w:spacing w:line="360" w:lineRule="auto"/>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autoSpaceDE w:val="0"/>
              <w:autoSpaceDN w:val="0"/>
              <w:adjustRightInd w:val="0"/>
              <w:spacing w:line="360" w:lineRule="auto"/>
              <w:jc w:val="center"/>
              <w:rPr>
                <w:rFonts w:ascii="宋体" w:hAnsi="宋体"/>
                <w:kern w:val="0"/>
                <w:szCs w:val="21"/>
              </w:rPr>
            </w:pPr>
            <w:r>
              <w:rPr>
                <w:rFonts w:hint="eastAsia" w:ascii="宋体" w:hAnsi="宋体" w:cs="MingLiU"/>
                <w:kern w:val="0"/>
                <w:szCs w:val="21"/>
              </w:rPr>
              <w:t>备    注</w:t>
            </w:r>
          </w:p>
        </w:tc>
        <w:tc>
          <w:tcPr>
            <w:tcW w:w="7697" w:type="dxa"/>
            <w:gridSpan w:val="8"/>
            <w:noWrap w:val="0"/>
            <w:vAlign w:val="center"/>
          </w:tcPr>
          <w:p>
            <w:pPr>
              <w:autoSpaceDE w:val="0"/>
              <w:autoSpaceDN w:val="0"/>
              <w:adjustRightInd w:val="0"/>
              <w:spacing w:line="360" w:lineRule="auto"/>
              <w:jc w:val="center"/>
              <w:rPr>
                <w:rFonts w:ascii="宋体" w:hAnsi="宋体"/>
                <w:kern w:val="0"/>
                <w:szCs w:val="21"/>
              </w:rPr>
            </w:pPr>
          </w:p>
        </w:tc>
      </w:tr>
    </w:tbl>
    <w:p>
      <w:pPr>
        <w:spacing w:line="360" w:lineRule="auto"/>
        <w:rPr>
          <w:rFonts w:ascii="宋体" w:hAnsi="宋体"/>
        </w:rPr>
      </w:pPr>
      <w:r>
        <w:rPr>
          <w:rFonts w:hint="eastAsia" w:ascii="宋体" w:hAnsi="宋体"/>
          <w:szCs w:val="21"/>
        </w:rPr>
        <w:t>注：1.企业法人营业执照副本（全本）、施工资质证书副本（全本）、安全生产许可证副本（全本）、基本账户开户许可证。</w:t>
      </w:r>
    </w:p>
    <w:p>
      <w:pPr>
        <w:pStyle w:val="6"/>
        <w:spacing w:before="312" w:beforeLines="100" w:after="468" w:afterLines="150" w:line="360" w:lineRule="auto"/>
        <w:jc w:val="center"/>
        <w:rPr>
          <w:rFonts w:ascii="宋体" w:hAnsi="宋体"/>
          <w:sz w:val="28"/>
          <w:szCs w:val="28"/>
        </w:rPr>
      </w:pPr>
      <w:bookmarkStart w:id="337" w:name="_Toc10076"/>
      <w:bookmarkStart w:id="338" w:name="_Toc485889074"/>
      <w:bookmarkStart w:id="339" w:name="_Toc234382979"/>
      <w:bookmarkStart w:id="340" w:name="_Toc486277940"/>
      <w:r>
        <w:rPr>
          <w:rFonts w:hint="eastAsia" w:ascii="宋体" w:hAnsi="宋体"/>
          <w:sz w:val="28"/>
          <w:szCs w:val="28"/>
        </w:rPr>
        <w:t>（二）投标人企业组织结构框图</w:t>
      </w:r>
      <w:bookmarkEnd w:id="337"/>
      <w:bookmarkEnd w:id="338"/>
      <w:bookmarkEnd w:id="339"/>
      <w:bookmarkEnd w:id="340"/>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6" w:hRule="atLeast"/>
          <w:jc w:val="center"/>
        </w:trPr>
        <w:tc>
          <w:tcPr>
            <w:tcW w:w="9639" w:type="dxa"/>
            <w:noWrap w:val="0"/>
            <w:vAlign w:val="top"/>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3" w:hRule="atLeast"/>
          <w:jc w:val="center"/>
        </w:trPr>
        <w:tc>
          <w:tcPr>
            <w:tcW w:w="9639" w:type="dxa"/>
            <w:noWrap w:val="0"/>
            <w:vAlign w:val="top"/>
          </w:tcPr>
          <w:p>
            <w:pPr>
              <w:spacing w:line="360" w:lineRule="auto"/>
              <w:rPr>
                <w:rFonts w:ascii="宋体" w:hAnsi="宋体" w:cs="宋体"/>
              </w:rPr>
            </w:pPr>
          </w:p>
          <w:p>
            <w:pPr>
              <w:spacing w:line="360" w:lineRule="auto"/>
              <w:rPr>
                <w:rFonts w:ascii="宋体" w:hAnsi="宋体" w:cs="宋体"/>
                <w:szCs w:val="21"/>
              </w:rPr>
            </w:pPr>
            <w:r>
              <w:rPr>
                <w:rFonts w:hint="eastAsia" w:ascii="宋体" w:hAnsi="宋体" w:cs="宋体"/>
                <w:szCs w:val="21"/>
              </w:rPr>
              <w:t>说明</w:t>
            </w:r>
          </w:p>
        </w:tc>
      </w:tr>
    </w:tbl>
    <w:p>
      <w:pPr>
        <w:pStyle w:val="6"/>
        <w:keepNext w:val="0"/>
        <w:keepLines w:val="0"/>
        <w:spacing w:before="312" w:beforeLines="100" w:after="468" w:afterLines="150" w:line="360" w:lineRule="auto"/>
        <w:jc w:val="center"/>
        <w:rPr>
          <w:rFonts w:ascii="宋体" w:hAnsi="宋体"/>
        </w:rPr>
      </w:pPr>
      <w:r>
        <w:rPr>
          <w:rFonts w:ascii="宋体" w:hAnsi="宋体"/>
        </w:rPr>
        <w:br w:type="page"/>
      </w:r>
      <w:bookmarkStart w:id="341" w:name="_Toc485889075"/>
      <w:bookmarkStart w:id="342" w:name="_Toc486277941"/>
      <w:bookmarkStart w:id="343" w:name="_Toc234382980"/>
      <w:bookmarkStart w:id="344" w:name="_Toc8347"/>
      <w:r>
        <w:rPr>
          <w:rFonts w:hint="eastAsia" w:ascii="宋体" w:hAnsi="宋体"/>
          <w:sz w:val="28"/>
          <w:szCs w:val="28"/>
        </w:rPr>
        <w:t>（三）拟委任的项目经理和项目总工资历表</w:t>
      </w:r>
      <w:bookmarkEnd w:id="341"/>
      <w:bookmarkEnd w:id="342"/>
      <w:bookmarkEnd w:id="343"/>
      <w:bookmarkEnd w:id="344"/>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noWrap w:val="0"/>
            <w:vAlign w:val="center"/>
          </w:tcPr>
          <w:p>
            <w:pPr>
              <w:tabs>
                <w:tab w:val="left" w:pos="680"/>
              </w:tabs>
              <w:autoSpaceDE w:val="0"/>
              <w:autoSpaceDN w:val="0"/>
              <w:adjustRightInd w:val="0"/>
              <w:spacing w:before="73" w:line="360" w:lineRule="auto"/>
              <w:jc w:val="center"/>
              <w:rPr>
                <w:rFonts w:ascii="宋体" w:hAnsi="宋体"/>
                <w:kern w:val="0"/>
                <w:szCs w:val="21"/>
              </w:rPr>
            </w:pPr>
            <w:r>
              <w:rPr>
                <w:rFonts w:hint="eastAsia" w:ascii="宋体" w:hAnsi="宋体" w:cs="MingLiU"/>
                <w:kern w:val="0"/>
                <w:szCs w:val="21"/>
              </w:rPr>
              <w:t>姓</w:t>
            </w:r>
            <w:r>
              <w:rPr>
                <w:rFonts w:hint="eastAsia" w:ascii="宋体" w:hAnsi="宋体"/>
                <w:kern w:val="0"/>
                <w:szCs w:val="21"/>
              </w:rPr>
              <w:tab/>
            </w:r>
            <w:r>
              <w:rPr>
                <w:rFonts w:hint="eastAsia" w:ascii="宋体" w:hAnsi="宋体" w:cs="MingLiU"/>
                <w:kern w:val="0"/>
                <w:szCs w:val="21"/>
              </w:rPr>
              <w:t>名</w:t>
            </w:r>
          </w:p>
        </w:tc>
        <w:tc>
          <w:tcPr>
            <w:tcW w:w="1645" w:type="dxa"/>
            <w:noWrap w:val="0"/>
            <w:vAlign w:val="center"/>
          </w:tcPr>
          <w:p>
            <w:pPr>
              <w:autoSpaceDE w:val="0"/>
              <w:autoSpaceDN w:val="0"/>
              <w:adjustRightInd w:val="0"/>
              <w:spacing w:line="360" w:lineRule="auto"/>
              <w:jc w:val="center"/>
              <w:rPr>
                <w:rFonts w:ascii="宋体" w:hAnsi="宋体"/>
                <w:kern w:val="0"/>
                <w:szCs w:val="21"/>
              </w:rPr>
            </w:pPr>
          </w:p>
        </w:tc>
        <w:tc>
          <w:tcPr>
            <w:tcW w:w="1516" w:type="dxa"/>
            <w:noWrap w:val="0"/>
            <w:vAlign w:val="center"/>
          </w:tcPr>
          <w:p>
            <w:pPr>
              <w:autoSpaceDE w:val="0"/>
              <w:autoSpaceDN w:val="0"/>
              <w:adjustRightInd w:val="0"/>
              <w:spacing w:before="73" w:line="360" w:lineRule="auto"/>
              <w:jc w:val="center"/>
              <w:rPr>
                <w:rFonts w:ascii="宋体" w:hAnsi="宋体"/>
                <w:kern w:val="0"/>
                <w:szCs w:val="21"/>
              </w:rPr>
            </w:pPr>
            <w:r>
              <w:rPr>
                <w:rFonts w:hint="eastAsia" w:ascii="宋体" w:hAnsi="宋体" w:cs="MingLiU"/>
                <w:kern w:val="0"/>
                <w:szCs w:val="21"/>
              </w:rPr>
              <w:t>年</w:t>
            </w:r>
            <w:r>
              <w:rPr>
                <w:rFonts w:hint="eastAsia" w:ascii="宋体" w:hAnsi="宋体"/>
                <w:kern w:val="0"/>
                <w:szCs w:val="21"/>
              </w:rPr>
              <w:t xml:space="preserve">  </w:t>
            </w:r>
            <w:r>
              <w:rPr>
                <w:rFonts w:hint="eastAsia" w:ascii="宋体" w:hAnsi="宋体" w:cs="MingLiU"/>
                <w:kern w:val="0"/>
                <w:szCs w:val="21"/>
              </w:rPr>
              <w:t>龄</w:t>
            </w:r>
          </w:p>
        </w:tc>
        <w:tc>
          <w:tcPr>
            <w:tcW w:w="1478" w:type="dxa"/>
            <w:gridSpan w:val="2"/>
            <w:noWrap w:val="0"/>
            <w:vAlign w:val="center"/>
          </w:tcPr>
          <w:p>
            <w:pPr>
              <w:autoSpaceDE w:val="0"/>
              <w:autoSpaceDN w:val="0"/>
              <w:adjustRightInd w:val="0"/>
              <w:spacing w:line="360" w:lineRule="auto"/>
              <w:jc w:val="center"/>
              <w:rPr>
                <w:rFonts w:ascii="宋体" w:hAnsi="宋体"/>
                <w:kern w:val="0"/>
                <w:szCs w:val="21"/>
              </w:rPr>
            </w:pPr>
          </w:p>
        </w:tc>
        <w:tc>
          <w:tcPr>
            <w:tcW w:w="2169" w:type="dxa"/>
            <w:gridSpan w:val="2"/>
            <w:noWrap w:val="0"/>
            <w:vAlign w:val="center"/>
          </w:tcPr>
          <w:p>
            <w:pPr>
              <w:autoSpaceDE w:val="0"/>
              <w:autoSpaceDN w:val="0"/>
              <w:adjustRightInd w:val="0"/>
              <w:spacing w:before="73" w:line="360" w:lineRule="auto"/>
              <w:jc w:val="center"/>
              <w:rPr>
                <w:rFonts w:ascii="宋体" w:hAnsi="宋体"/>
                <w:kern w:val="0"/>
                <w:szCs w:val="21"/>
              </w:rPr>
            </w:pPr>
            <w:r>
              <w:rPr>
                <w:rFonts w:hint="eastAsia" w:ascii="宋体" w:hAnsi="宋体" w:cs="MingLiU"/>
                <w:kern w:val="0"/>
                <w:szCs w:val="21"/>
              </w:rPr>
              <w:t>专  业</w:t>
            </w:r>
          </w:p>
        </w:tc>
        <w:tc>
          <w:tcPr>
            <w:tcW w:w="1477"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noWrap w:val="0"/>
            <w:vAlign w:val="center"/>
          </w:tcPr>
          <w:p>
            <w:pPr>
              <w:tabs>
                <w:tab w:val="left" w:pos="680"/>
              </w:tabs>
              <w:autoSpaceDE w:val="0"/>
              <w:autoSpaceDN w:val="0"/>
              <w:adjustRightInd w:val="0"/>
              <w:spacing w:before="73" w:line="360" w:lineRule="auto"/>
              <w:jc w:val="center"/>
              <w:rPr>
                <w:rFonts w:ascii="宋体" w:hAnsi="宋体"/>
                <w:kern w:val="0"/>
                <w:szCs w:val="21"/>
              </w:rPr>
            </w:pPr>
            <w:r>
              <w:rPr>
                <w:rFonts w:hint="eastAsia" w:ascii="宋体" w:hAnsi="宋体" w:cs="MingLiU"/>
                <w:kern w:val="0"/>
                <w:szCs w:val="21"/>
              </w:rPr>
              <w:t>职</w:t>
            </w:r>
            <w:r>
              <w:rPr>
                <w:rFonts w:hint="eastAsia" w:ascii="宋体" w:hAnsi="宋体"/>
                <w:kern w:val="0"/>
                <w:szCs w:val="21"/>
              </w:rPr>
              <w:tab/>
            </w:r>
            <w:r>
              <w:rPr>
                <w:rFonts w:hint="eastAsia" w:ascii="宋体" w:hAnsi="宋体" w:cs="MingLiU"/>
                <w:kern w:val="0"/>
                <w:szCs w:val="21"/>
              </w:rPr>
              <w:t>称</w:t>
            </w:r>
          </w:p>
        </w:tc>
        <w:tc>
          <w:tcPr>
            <w:tcW w:w="1645" w:type="dxa"/>
            <w:noWrap w:val="0"/>
            <w:vAlign w:val="center"/>
          </w:tcPr>
          <w:p>
            <w:pPr>
              <w:autoSpaceDE w:val="0"/>
              <w:autoSpaceDN w:val="0"/>
              <w:adjustRightInd w:val="0"/>
              <w:spacing w:line="360" w:lineRule="auto"/>
              <w:jc w:val="center"/>
              <w:rPr>
                <w:rFonts w:ascii="宋体" w:hAnsi="宋体"/>
                <w:kern w:val="0"/>
                <w:szCs w:val="21"/>
              </w:rPr>
            </w:pPr>
          </w:p>
        </w:tc>
        <w:tc>
          <w:tcPr>
            <w:tcW w:w="1516" w:type="dxa"/>
            <w:noWrap w:val="0"/>
            <w:vAlign w:val="center"/>
          </w:tcPr>
          <w:p>
            <w:pPr>
              <w:autoSpaceDE w:val="0"/>
              <w:autoSpaceDN w:val="0"/>
              <w:adjustRightInd w:val="0"/>
              <w:spacing w:before="73" w:line="360" w:lineRule="auto"/>
              <w:jc w:val="center"/>
              <w:rPr>
                <w:rFonts w:ascii="宋体" w:hAnsi="宋体" w:cs="MingLiU"/>
                <w:kern w:val="0"/>
                <w:szCs w:val="21"/>
              </w:rPr>
            </w:pPr>
            <w:r>
              <w:rPr>
                <w:rFonts w:hint="eastAsia" w:ascii="宋体" w:hAnsi="宋体" w:cs="MingLiU"/>
                <w:kern w:val="0"/>
                <w:szCs w:val="21"/>
              </w:rPr>
              <w:t>公司单位</w:t>
            </w:r>
          </w:p>
          <w:p>
            <w:pPr>
              <w:autoSpaceDE w:val="0"/>
              <w:autoSpaceDN w:val="0"/>
              <w:adjustRightInd w:val="0"/>
              <w:spacing w:before="73" w:line="360" w:lineRule="auto"/>
              <w:jc w:val="center"/>
              <w:rPr>
                <w:rFonts w:ascii="宋体" w:hAnsi="宋体"/>
                <w:kern w:val="0"/>
                <w:szCs w:val="21"/>
              </w:rPr>
            </w:pPr>
            <w:r>
              <w:rPr>
                <w:rFonts w:hint="eastAsia" w:ascii="宋体" w:hAnsi="宋体" w:cs="MingLiU"/>
                <w:kern w:val="0"/>
                <w:szCs w:val="21"/>
              </w:rPr>
              <w:t>职    务</w:t>
            </w:r>
          </w:p>
        </w:tc>
        <w:tc>
          <w:tcPr>
            <w:tcW w:w="1478" w:type="dxa"/>
            <w:gridSpan w:val="2"/>
            <w:noWrap w:val="0"/>
            <w:vAlign w:val="center"/>
          </w:tcPr>
          <w:p>
            <w:pPr>
              <w:autoSpaceDE w:val="0"/>
              <w:autoSpaceDN w:val="0"/>
              <w:adjustRightInd w:val="0"/>
              <w:spacing w:line="360" w:lineRule="auto"/>
              <w:jc w:val="center"/>
              <w:rPr>
                <w:rFonts w:ascii="宋体" w:hAnsi="宋体"/>
                <w:kern w:val="0"/>
                <w:szCs w:val="21"/>
              </w:rPr>
            </w:pPr>
          </w:p>
        </w:tc>
        <w:tc>
          <w:tcPr>
            <w:tcW w:w="2169" w:type="dxa"/>
            <w:gridSpan w:val="2"/>
            <w:noWrap w:val="0"/>
            <w:vAlign w:val="center"/>
          </w:tcPr>
          <w:p>
            <w:pPr>
              <w:autoSpaceDE w:val="0"/>
              <w:autoSpaceDN w:val="0"/>
              <w:adjustRightInd w:val="0"/>
              <w:spacing w:before="73" w:line="360" w:lineRule="auto"/>
              <w:jc w:val="center"/>
              <w:rPr>
                <w:rFonts w:ascii="宋体" w:hAnsi="宋体" w:cs="MingLiU"/>
                <w:kern w:val="0"/>
                <w:szCs w:val="21"/>
              </w:rPr>
            </w:pPr>
            <w:r>
              <w:rPr>
                <w:rFonts w:hint="eastAsia" w:ascii="宋体" w:hAnsi="宋体" w:cs="MingLiU"/>
                <w:kern w:val="0"/>
                <w:szCs w:val="21"/>
              </w:rPr>
              <w:t>拟在本标段</w:t>
            </w:r>
          </w:p>
          <w:p>
            <w:pPr>
              <w:autoSpaceDE w:val="0"/>
              <w:autoSpaceDN w:val="0"/>
              <w:adjustRightInd w:val="0"/>
              <w:spacing w:before="73" w:line="360" w:lineRule="auto"/>
              <w:jc w:val="center"/>
              <w:rPr>
                <w:rFonts w:ascii="宋体" w:hAnsi="宋体"/>
                <w:kern w:val="0"/>
                <w:szCs w:val="21"/>
              </w:rPr>
            </w:pPr>
            <w:r>
              <w:rPr>
                <w:rFonts w:hint="eastAsia" w:ascii="宋体" w:hAnsi="宋体" w:cs="MingLiU"/>
                <w:kern w:val="0"/>
                <w:szCs w:val="21"/>
              </w:rPr>
              <w:t>工程担任职务</w:t>
            </w:r>
          </w:p>
        </w:tc>
        <w:tc>
          <w:tcPr>
            <w:tcW w:w="1477"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noWrap w:val="0"/>
            <w:vAlign w:val="center"/>
          </w:tcPr>
          <w:p>
            <w:pPr>
              <w:autoSpaceDE w:val="0"/>
              <w:autoSpaceDN w:val="0"/>
              <w:adjustRightInd w:val="0"/>
              <w:spacing w:before="73" w:line="360" w:lineRule="auto"/>
              <w:jc w:val="center"/>
              <w:rPr>
                <w:rFonts w:ascii="宋体" w:hAnsi="宋体"/>
                <w:kern w:val="0"/>
                <w:szCs w:val="21"/>
              </w:rPr>
            </w:pPr>
            <w:r>
              <w:rPr>
                <w:rFonts w:hint="eastAsia" w:ascii="宋体" w:hAnsi="宋体" w:cs="MingLiU"/>
                <w:kern w:val="0"/>
                <w:szCs w:val="21"/>
              </w:rPr>
              <w:t>毕业学校</w:t>
            </w:r>
          </w:p>
        </w:tc>
        <w:tc>
          <w:tcPr>
            <w:tcW w:w="8285" w:type="dxa"/>
            <w:gridSpan w:val="7"/>
            <w:noWrap w:val="0"/>
            <w:vAlign w:val="center"/>
          </w:tcPr>
          <w:p>
            <w:pPr>
              <w:tabs>
                <w:tab w:val="left" w:pos="2820"/>
                <w:tab w:val="left" w:pos="4080"/>
              </w:tabs>
              <w:autoSpaceDE w:val="0"/>
              <w:autoSpaceDN w:val="0"/>
              <w:adjustRightInd w:val="0"/>
              <w:spacing w:before="73" w:line="360" w:lineRule="auto"/>
              <w:ind w:left="-1291" w:leftChars="-615" w:firstLine="1260" w:firstLineChars="600"/>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月毕业于</w:t>
            </w:r>
            <w:r>
              <w:rPr>
                <w:rFonts w:hint="eastAsia" w:ascii="宋体" w:hAnsi="宋体"/>
                <w:kern w:val="0"/>
                <w:szCs w:val="21"/>
                <w:u w:val="single"/>
              </w:rPr>
              <w:t xml:space="preserve">                 </w:t>
            </w:r>
            <w:r>
              <w:rPr>
                <w:rFonts w:hint="eastAsia" w:ascii="宋体" w:hAnsi="宋体"/>
                <w:kern w:val="0"/>
                <w:szCs w:val="21"/>
              </w:rPr>
              <w:t>学校</w:t>
            </w:r>
            <w:r>
              <w:rPr>
                <w:rFonts w:hint="eastAsia" w:ascii="宋体" w:hAnsi="宋体"/>
                <w:kern w:val="0"/>
                <w:szCs w:val="21"/>
                <w:u w:val="single"/>
              </w:rPr>
              <w:t xml:space="preserve">       </w:t>
            </w:r>
            <w:r>
              <w:rPr>
                <w:rFonts w:hint="eastAsia" w:ascii="宋体" w:hAnsi="宋体"/>
                <w:kern w:val="0"/>
                <w:szCs w:val="21"/>
              </w:rPr>
              <w:t>专业，学制</w:t>
            </w:r>
            <w:r>
              <w:rPr>
                <w:rFonts w:hint="eastAsia" w:ascii="宋体" w:hAnsi="宋体"/>
                <w:kern w:val="0"/>
                <w:szCs w:val="21"/>
                <w:u w:val="single"/>
              </w:rPr>
              <w:t xml:space="preserve">      </w:t>
            </w:r>
            <w:r>
              <w:rPr>
                <w:rFonts w:hint="eastAsia" w:ascii="宋体" w:hAnsi="宋体"/>
                <w:kern w:val="0"/>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639" w:type="dxa"/>
            <w:gridSpan w:val="8"/>
            <w:noWrap w:val="0"/>
            <w:vAlign w:val="center"/>
          </w:tcPr>
          <w:p>
            <w:pPr>
              <w:spacing w:line="360" w:lineRule="auto"/>
              <w:jc w:val="center"/>
              <w:rPr>
                <w:rFonts w:ascii="宋体" w:hAnsi="宋体"/>
                <w:szCs w:val="21"/>
              </w:rPr>
            </w:pPr>
            <w:r>
              <w:rPr>
                <w:rFonts w:hint="eastAsia" w:ascii="宋体" w:hAnsi="宋体" w:cs="MingLiU"/>
                <w:kern w:val="0"/>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noWrap w:val="0"/>
            <w:vAlign w:val="center"/>
          </w:tcPr>
          <w:p>
            <w:pPr>
              <w:spacing w:line="360" w:lineRule="auto"/>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p>
            <w:pPr>
              <w:spacing w:line="360" w:lineRule="auto"/>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c>
          <w:tcPr>
            <w:tcW w:w="4023" w:type="dxa"/>
            <w:gridSpan w:val="3"/>
            <w:noWrap w:val="0"/>
            <w:vAlign w:val="center"/>
          </w:tcPr>
          <w:p>
            <w:pPr>
              <w:spacing w:line="360" w:lineRule="auto"/>
              <w:jc w:val="center"/>
              <w:rPr>
                <w:rFonts w:ascii="宋体" w:hAnsi="宋体"/>
                <w:szCs w:val="21"/>
              </w:rPr>
            </w:pPr>
            <w:r>
              <w:rPr>
                <w:rFonts w:hint="eastAsia" w:ascii="宋体" w:hAnsi="宋体" w:cs="MingLiU"/>
                <w:kern w:val="0"/>
                <w:szCs w:val="21"/>
              </w:rPr>
              <w:t>参加过的工程项目名称</w:t>
            </w:r>
          </w:p>
        </w:tc>
        <w:tc>
          <w:tcPr>
            <w:tcW w:w="1392" w:type="dxa"/>
            <w:gridSpan w:val="2"/>
            <w:noWrap w:val="0"/>
            <w:vAlign w:val="center"/>
          </w:tcPr>
          <w:p>
            <w:pPr>
              <w:spacing w:line="360" w:lineRule="auto"/>
              <w:jc w:val="center"/>
              <w:rPr>
                <w:rFonts w:ascii="宋体" w:hAnsi="宋体"/>
                <w:szCs w:val="21"/>
              </w:rPr>
            </w:pPr>
            <w:r>
              <w:rPr>
                <w:rFonts w:hint="eastAsia" w:ascii="宋体" w:hAnsi="宋体" w:cs="MingLiU"/>
                <w:kern w:val="0"/>
                <w:szCs w:val="21"/>
              </w:rPr>
              <w:t>担任何职</w:t>
            </w:r>
          </w:p>
        </w:tc>
        <w:tc>
          <w:tcPr>
            <w:tcW w:w="2870" w:type="dxa"/>
            <w:gridSpan w:val="2"/>
            <w:noWrap w:val="0"/>
            <w:vAlign w:val="center"/>
          </w:tcPr>
          <w:p>
            <w:pPr>
              <w:spacing w:line="360" w:lineRule="auto"/>
              <w:jc w:val="center"/>
              <w:rPr>
                <w:rFonts w:ascii="宋体" w:hAnsi="宋体" w:cs="MingLiU"/>
                <w:kern w:val="0"/>
                <w:szCs w:val="21"/>
              </w:rPr>
            </w:pPr>
            <w:r>
              <w:rPr>
                <w:rFonts w:hint="eastAsia" w:ascii="宋体" w:hAnsi="宋体" w:cs="MingLiU"/>
                <w:kern w:val="0"/>
                <w:szCs w:val="21"/>
              </w:rPr>
              <w:t>发包人及</w:t>
            </w:r>
          </w:p>
          <w:p>
            <w:pPr>
              <w:spacing w:line="360" w:lineRule="auto"/>
              <w:jc w:val="center"/>
              <w:rPr>
                <w:rFonts w:ascii="宋体" w:hAnsi="宋体"/>
                <w:szCs w:val="21"/>
              </w:rPr>
            </w:pPr>
            <w:r>
              <w:rPr>
                <w:rFonts w:hint="eastAsia" w:ascii="宋体" w:hAnsi="宋体" w:cs="MingLiU"/>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pPr>
              <w:spacing w:line="360" w:lineRule="auto"/>
              <w:jc w:val="center"/>
              <w:rPr>
                <w:rFonts w:ascii="宋体" w:hAnsi="宋体"/>
                <w:szCs w:val="21"/>
              </w:rPr>
            </w:pPr>
          </w:p>
        </w:tc>
        <w:tc>
          <w:tcPr>
            <w:tcW w:w="4023" w:type="dxa"/>
            <w:gridSpan w:val="3"/>
            <w:noWrap w:val="0"/>
            <w:vAlign w:val="center"/>
          </w:tcPr>
          <w:p>
            <w:pPr>
              <w:spacing w:line="360" w:lineRule="auto"/>
              <w:jc w:val="center"/>
              <w:rPr>
                <w:rFonts w:ascii="宋体" w:hAnsi="宋体"/>
                <w:szCs w:val="21"/>
              </w:rPr>
            </w:pPr>
          </w:p>
        </w:tc>
        <w:tc>
          <w:tcPr>
            <w:tcW w:w="1392" w:type="dxa"/>
            <w:gridSpan w:val="2"/>
            <w:noWrap w:val="0"/>
            <w:vAlign w:val="center"/>
          </w:tcPr>
          <w:p>
            <w:pPr>
              <w:spacing w:line="360" w:lineRule="auto"/>
              <w:jc w:val="center"/>
              <w:rPr>
                <w:rFonts w:ascii="宋体" w:hAnsi="宋体"/>
                <w:szCs w:val="21"/>
              </w:rPr>
            </w:pPr>
          </w:p>
        </w:tc>
        <w:tc>
          <w:tcPr>
            <w:tcW w:w="2870" w:type="dxa"/>
            <w:gridSpan w:val="2"/>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pPr>
              <w:spacing w:line="360" w:lineRule="auto"/>
              <w:jc w:val="center"/>
              <w:rPr>
                <w:rFonts w:ascii="宋体" w:hAnsi="宋体"/>
                <w:szCs w:val="21"/>
              </w:rPr>
            </w:pPr>
          </w:p>
        </w:tc>
        <w:tc>
          <w:tcPr>
            <w:tcW w:w="4023" w:type="dxa"/>
            <w:gridSpan w:val="3"/>
            <w:noWrap w:val="0"/>
            <w:vAlign w:val="center"/>
          </w:tcPr>
          <w:p>
            <w:pPr>
              <w:spacing w:line="360" w:lineRule="auto"/>
              <w:jc w:val="center"/>
              <w:rPr>
                <w:rFonts w:ascii="宋体" w:hAnsi="宋体"/>
                <w:szCs w:val="21"/>
              </w:rPr>
            </w:pPr>
          </w:p>
        </w:tc>
        <w:tc>
          <w:tcPr>
            <w:tcW w:w="1392" w:type="dxa"/>
            <w:gridSpan w:val="2"/>
            <w:noWrap w:val="0"/>
            <w:vAlign w:val="center"/>
          </w:tcPr>
          <w:p>
            <w:pPr>
              <w:spacing w:line="360" w:lineRule="auto"/>
              <w:jc w:val="center"/>
              <w:rPr>
                <w:rFonts w:ascii="宋体" w:hAnsi="宋体"/>
                <w:szCs w:val="21"/>
              </w:rPr>
            </w:pPr>
          </w:p>
        </w:tc>
        <w:tc>
          <w:tcPr>
            <w:tcW w:w="2870" w:type="dxa"/>
            <w:gridSpan w:val="2"/>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pPr>
              <w:spacing w:line="360" w:lineRule="auto"/>
              <w:jc w:val="center"/>
              <w:rPr>
                <w:rFonts w:ascii="宋体" w:hAnsi="宋体"/>
                <w:szCs w:val="21"/>
              </w:rPr>
            </w:pPr>
          </w:p>
        </w:tc>
        <w:tc>
          <w:tcPr>
            <w:tcW w:w="4023" w:type="dxa"/>
            <w:gridSpan w:val="3"/>
            <w:noWrap w:val="0"/>
            <w:vAlign w:val="center"/>
          </w:tcPr>
          <w:p>
            <w:pPr>
              <w:spacing w:line="360" w:lineRule="auto"/>
              <w:jc w:val="center"/>
              <w:rPr>
                <w:rFonts w:ascii="宋体" w:hAnsi="宋体"/>
                <w:szCs w:val="21"/>
              </w:rPr>
            </w:pPr>
          </w:p>
        </w:tc>
        <w:tc>
          <w:tcPr>
            <w:tcW w:w="1392" w:type="dxa"/>
            <w:gridSpan w:val="2"/>
            <w:noWrap w:val="0"/>
            <w:vAlign w:val="center"/>
          </w:tcPr>
          <w:p>
            <w:pPr>
              <w:spacing w:line="360" w:lineRule="auto"/>
              <w:jc w:val="center"/>
              <w:rPr>
                <w:rFonts w:ascii="宋体" w:hAnsi="宋体"/>
                <w:szCs w:val="21"/>
              </w:rPr>
            </w:pPr>
          </w:p>
        </w:tc>
        <w:tc>
          <w:tcPr>
            <w:tcW w:w="2870" w:type="dxa"/>
            <w:gridSpan w:val="2"/>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pPr>
              <w:spacing w:line="360" w:lineRule="auto"/>
              <w:jc w:val="center"/>
              <w:rPr>
                <w:rFonts w:ascii="宋体" w:hAnsi="宋体"/>
                <w:szCs w:val="21"/>
              </w:rPr>
            </w:pPr>
          </w:p>
        </w:tc>
        <w:tc>
          <w:tcPr>
            <w:tcW w:w="4023" w:type="dxa"/>
            <w:gridSpan w:val="3"/>
            <w:noWrap w:val="0"/>
            <w:vAlign w:val="center"/>
          </w:tcPr>
          <w:p>
            <w:pPr>
              <w:spacing w:line="360" w:lineRule="auto"/>
              <w:jc w:val="center"/>
              <w:rPr>
                <w:rFonts w:ascii="宋体" w:hAnsi="宋体"/>
                <w:szCs w:val="21"/>
              </w:rPr>
            </w:pPr>
          </w:p>
        </w:tc>
        <w:tc>
          <w:tcPr>
            <w:tcW w:w="1392" w:type="dxa"/>
            <w:gridSpan w:val="2"/>
            <w:noWrap w:val="0"/>
            <w:vAlign w:val="center"/>
          </w:tcPr>
          <w:p>
            <w:pPr>
              <w:spacing w:line="360" w:lineRule="auto"/>
              <w:jc w:val="center"/>
              <w:rPr>
                <w:rFonts w:ascii="宋体" w:hAnsi="宋体"/>
                <w:szCs w:val="21"/>
              </w:rPr>
            </w:pPr>
          </w:p>
        </w:tc>
        <w:tc>
          <w:tcPr>
            <w:tcW w:w="2870" w:type="dxa"/>
            <w:gridSpan w:val="2"/>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pPr>
              <w:spacing w:line="360" w:lineRule="auto"/>
              <w:jc w:val="center"/>
              <w:rPr>
                <w:rFonts w:ascii="宋体" w:hAnsi="宋体"/>
                <w:szCs w:val="21"/>
              </w:rPr>
            </w:pPr>
          </w:p>
        </w:tc>
        <w:tc>
          <w:tcPr>
            <w:tcW w:w="4023" w:type="dxa"/>
            <w:gridSpan w:val="3"/>
            <w:noWrap w:val="0"/>
            <w:vAlign w:val="center"/>
          </w:tcPr>
          <w:p>
            <w:pPr>
              <w:spacing w:line="360" w:lineRule="auto"/>
              <w:jc w:val="center"/>
              <w:rPr>
                <w:rFonts w:ascii="宋体" w:hAnsi="宋体"/>
                <w:szCs w:val="21"/>
              </w:rPr>
            </w:pPr>
          </w:p>
        </w:tc>
        <w:tc>
          <w:tcPr>
            <w:tcW w:w="1392" w:type="dxa"/>
            <w:gridSpan w:val="2"/>
            <w:noWrap w:val="0"/>
            <w:vAlign w:val="center"/>
          </w:tcPr>
          <w:p>
            <w:pPr>
              <w:spacing w:line="360" w:lineRule="auto"/>
              <w:jc w:val="center"/>
              <w:rPr>
                <w:rFonts w:ascii="宋体" w:hAnsi="宋体"/>
                <w:szCs w:val="21"/>
              </w:rPr>
            </w:pPr>
          </w:p>
        </w:tc>
        <w:tc>
          <w:tcPr>
            <w:tcW w:w="2870" w:type="dxa"/>
            <w:gridSpan w:val="2"/>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pPr>
              <w:spacing w:line="360" w:lineRule="auto"/>
              <w:jc w:val="center"/>
              <w:rPr>
                <w:rFonts w:ascii="宋体" w:hAnsi="宋体"/>
                <w:szCs w:val="21"/>
              </w:rPr>
            </w:pPr>
          </w:p>
        </w:tc>
        <w:tc>
          <w:tcPr>
            <w:tcW w:w="4023" w:type="dxa"/>
            <w:gridSpan w:val="3"/>
            <w:noWrap w:val="0"/>
            <w:vAlign w:val="center"/>
          </w:tcPr>
          <w:p>
            <w:pPr>
              <w:spacing w:line="360" w:lineRule="auto"/>
              <w:jc w:val="center"/>
              <w:rPr>
                <w:rFonts w:ascii="宋体" w:hAnsi="宋体"/>
                <w:szCs w:val="21"/>
              </w:rPr>
            </w:pPr>
          </w:p>
        </w:tc>
        <w:tc>
          <w:tcPr>
            <w:tcW w:w="1392" w:type="dxa"/>
            <w:gridSpan w:val="2"/>
            <w:noWrap w:val="0"/>
            <w:vAlign w:val="center"/>
          </w:tcPr>
          <w:p>
            <w:pPr>
              <w:spacing w:line="360" w:lineRule="auto"/>
              <w:jc w:val="center"/>
              <w:rPr>
                <w:rFonts w:ascii="宋体" w:hAnsi="宋体"/>
                <w:szCs w:val="21"/>
              </w:rPr>
            </w:pPr>
          </w:p>
        </w:tc>
        <w:tc>
          <w:tcPr>
            <w:tcW w:w="2870" w:type="dxa"/>
            <w:gridSpan w:val="2"/>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pPr>
              <w:spacing w:line="360" w:lineRule="auto"/>
              <w:jc w:val="center"/>
              <w:rPr>
                <w:rFonts w:ascii="宋体" w:hAnsi="宋体"/>
                <w:szCs w:val="21"/>
              </w:rPr>
            </w:pPr>
          </w:p>
        </w:tc>
        <w:tc>
          <w:tcPr>
            <w:tcW w:w="4023" w:type="dxa"/>
            <w:gridSpan w:val="3"/>
            <w:noWrap w:val="0"/>
            <w:vAlign w:val="center"/>
          </w:tcPr>
          <w:p>
            <w:pPr>
              <w:spacing w:line="360" w:lineRule="auto"/>
              <w:jc w:val="center"/>
              <w:rPr>
                <w:rFonts w:ascii="宋体" w:hAnsi="宋体"/>
                <w:szCs w:val="21"/>
              </w:rPr>
            </w:pPr>
          </w:p>
        </w:tc>
        <w:tc>
          <w:tcPr>
            <w:tcW w:w="1392" w:type="dxa"/>
            <w:gridSpan w:val="2"/>
            <w:noWrap w:val="0"/>
            <w:vAlign w:val="center"/>
          </w:tcPr>
          <w:p>
            <w:pPr>
              <w:spacing w:line="360" w:lineRule="auto"/>
              <w:jc w:val="center"/>
              <w:rPr>
                <w:rFonts w:ascii="宋体" w:hAnsi="宋体"/>
                <w:szCs w:val="21"/>
              </w:rPr>
            </w:pPr>
          </w:p>
        </w:tc>
        <w:tc>
          <w:tcPr>
            <w:tcW w:w="2870" w:type="dxa"/>
            <w:gridSpan w:val="2"/>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377" w:type="dxa"/>
            <w:gridSpan w:val="4"/>
            <w:noWrap w:val="0"/>
            <w:vAlign w:val="center"/>
          </w:tcPr>
          <w:p>
            <w:pPr>
              <w:spacing w:line="360" w:lineRule="auto"/>
              <w:jc w:val="center"/>
              <w:rPr>
                <w:rFonts w:ascii="宋体" w:hAnsi="宋体"/>
                <w:szCs w:val="21"/>
              </w:rPr>
            </w:pPr>
            <w:r>
              <w:rPr>
                <w:rFonts w:hint="eastAsia" w:ascii="宋体" w:hAnsi="宋体"/>
                <w:szCs w:val="21"/>
              </w:rPr>
              <w:t>获奖情况</w:t>
            </w:r>
          </w:p>
        </w:tc>
        <w:tc>
          <w:tcPr>
            <w:tcW w:w="1392" w:type="dxa"/>
            <w:gridSpan w:val="2"/>
            <w:noWrap w:val="0"/>
            <w:vAlign w:val="center"/>
          </w:tcPr>
          <w:p>
            <w:pPr>
              <w:spacing w:line="360" w:lineRule="auto"/>
              <w:jc w:val="center"/>
              <w:rPr>
                <w:rFonts w:ascii="宋体" w:hAnsi="宋体"/>
                <w:szCs w:val="21"/>
              </w:rPr>
            </w:pPr>
          </w:p>
        </w:tc>
        <w:tc>
          <w:tcPr>
            <w:tcW w:w="2870" w:type="dxa"/>
            <w:gridSpan w:val="2"/>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restart"/>
            <w:noWrap w:val="0"/>
            <w:vAlign w:val="center"/>
          </w:tcPr>
          <w:p>
            <w:pPr>
              <w:spacing w:line="360" w:lineRule="auto"/>
              <w:jc w:val="center"/>
              <w:rPr>
                <w:rFonts w:ascii="宋体" w:hAnsi="宋体"/>
                <w:szCs w:val="21"/>
              </w:rPr>
            </w:pPr>
            <w:r>
              <w:rPr>
                <w:rFonts w:hint="eastAsia" w:ascii="宋体" w:hAnsi="宋体"/>
                <w:szCs w:val="21"/>
              </w:rPr>
              <w:t>目前任职</w:t>
            </w:r>
          </w:p>
          <w:p>
            <w:pPr>
              <w:spacing w:line="360" w:lineRule="auto"/>
              <w:jc w:val="center"/>
              <w:rPr>
                <w:rFonts w:ascii="宋体" w:hAnsi="宋体"/>
                <w:szCs w:val="21"/>
              </w:rPr>
            </w:pPr>
            <w:r>
              <w:rPr>
                <w:rFonts w:hint="eastAsia" w:ascii="宋体" w:hAnsi="宋体"/>
                <w:szCs w:val="21"/>
              </w:rPr>
              <w:t>项目状况</w:t>
            </w:r>
          </w:p>
        </w:tc>
        <w:tc>
          <w:tcPr>
            <w:tcW w:w="4023" w:type="dxa"/>
            <w:gridSpan w:val="3"/>
            <w:noWrap w:val="0"/>
            <w:vAlign w:val="center"/>
          </w:tcPr>
          <w:p>
            <w:pPr>
              <w:spacing w:line="360" w:lineRule="auto"/>
              <w:jc w:val="center"/>
              <w:rPr>
                <w:rFonts w:ascii="宋体" w:hAnsi="宋体"/>
                <w:szCs w:val="21"/>
              </w:rPr>
            </w:pPr>
            <w:r>
              <w:rPr>
                <w:rFonts w:hint="eastAsia" w:ascii="宋体" w:hAnsi="宋体"/>
                <w:szCs w:val="21"/>
              </w:rPr>
              <w:t>项目名称</w:t>
            </w:r>
          </w:p>
        </w:tc>
        <w:tc>
          <w:tcPr>
            <w:tcW w:w="4262" w:type="dxa"/>
            <w:gridSpan w:val="4"/>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continue"/>
            <w:noWrap w:val="0"/>
            <w:vAlign w:val="center"/>
          </w:tcPr>
          <w:p>
            <w:pPr>
              <w:spacing w:line="360" w:lineRule="auto"/>
              <w:jc w:val="center"/>
              <w:rPr>
                <w:rFonts w:ascii="宋体" w:hAnsi="宋体"/>
                <w:szCs w:val="21"/>
              </w:rPr>
            </w:pPr>
          </w:p>
        </w:tc>
        <w:tc>
          <w:tcPr>
            <w:tcW w:w="4023" w:type="dxa"/>
            <w:gridSpan w:val="3"/>
            <w:noWrap w:val="0"/>
            <w:vAlign w:val="center"/>
          </w:tcPr>
          <w:p>
            <w:pPr>
              <w:spacing w:line="360" w:lineRule="auto"/>
              <w:jc w:val="center"/>
              <w:rPr>
                <w:rFonts w:ascii="宋体" w:hAnsi="宋体"/>
                <w:szCs w:val="21"/>
              </w:rPr>
            </w:pPr>
            <w:r>
              <w:rPr>
                <w:rFonts w:hint="eastAsia" w:ascii="宋体" w:hAnsi="宋体"/>
                <w:szCs w:val="21"/>
              </w:rPr>
              <w:t>担任职位</w:t>
            </w:r>
          </w:p>
        </w:tc>
        <w:tc>
          <w:tcPr>
            <w:tcW w:w="4262" w:type="dxa"/>
            <w:gridSpan w:val="4"/>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continue"/>
            <w:noWrap w:val="0"/>
            <w:vAlign w:val="center"/>
          </w:tcPr>
          <w:p>
            <w:pPr>
              <w:spacing w:line="360" w:lineRule="auto"/>
              <w:jc w:val="center"/>
              <w:rPr>
                <w:rFonts w:ascii="宋体" w:hAnsi="宋体"/>
                <w:szCs w:val="21"/>
              </w:rPr>
            </w:pPr>
          </w:p>
        </w:tc>
        <w:tc>
          <w:tcPr>
            <w:tcW w:w="4023" w:type="dxa"/>
            <w:gridSpan w:val="3"/>
            <w:noWrap w:val="0"/>
            <w:vAlign w:val="center"/>
          </w:tcPr>
          <w:p>
            <w:pPr>
              <w:spacing w:line="360" w:lineRule="auto"/>
              <w:jc w:val="center"/>
              <w:rPr>
                <w:rFonts w:ascii="宋体" w:hAnsi="宋体"/>
                <w:szCs w:val="21"/>
              </w:rPr>
            </w:pPr>
            <w:r>
              <w:rPr>
                <w:rFonts w:hint="eastAsia" w:ascii="宋体" w:hAnsi="宋体"/>
                <w:szCs w:val="21"/>
              </w:rPr>
              <w:t>可以调离日期</w:t>
            </w:r>
          </w:p>
        </w:tc>
        <w:tc>
          <w:tcPr>
            <w:tcW w:w="4262" w:type="dxa"/>
            <w:gridSpan w:val="4"/>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0" w:hRule="atLeast"/>
          <w:jc w:val="center"/>
        </w:trPr>
        <w:tc>
          <w:tcPr>
            <w:tcW w:w="1354" w:type="dxa"/>
            <w:noWrap w:val="0"/>
            <w:vAlign w:val="center"/>
          </w:tcPr>
          <w:p>
            <w:pPr>
              <w:spacing w:line="360" w:lineRule="auto"/>
              <w:jc w:val="center"/>
              <w:rPr>
                <w:rFonts w:ascii="宋体" w:hAnsi="宋体"/>
                <w:szCs w:val="21"/>
              </w:rPr>
            </w:pPr>
            <w:r>
              <w:rPr>
                <w:rFonts w:hint="eastAsia" w:ascii="宋体" w:hAnsi="宋体"/>
                <w:szCs w:val="21"/>
              </w:rPr>
              <w:t>备注</w:t>
            </w:r>
          </w:p>
        </w:tc>
        <w:tc>
          <w:tcPr>
            <w:tcW w:w="8285" w:type="dxa"/>
            <w:gridSpan w:val="7"/>
            <w:noWrap w:val="0"/>
            <w:vAlign w:val="center"/>
          </w:tcPr>
          <w:p>
            <w:pPr>
              <w:spacing w:line="360" w:lineRule="auto"/>
              <w:jc w:val="center"/>
              <w:rPr>
                <w:rFonts w:ascii="宋体" w:hAnsi="宋体"/>
                <w:szCs w:val="21"/>
              </w:rPr>
            </w:pPr>
          </w:p>
        </w:tc>
      </w:tr>
    </w:tbl>
    <w:p>
      <w:pPr>
        <w:spacing w:line="360" w:lineRule="auto"/>
        <w:ind w:left="735" w:hanging="735" w:hangingChars="350"/>
        <w:rPr>
          <w:rFonts w:ascii="宋体" w:hAnsi="宋体"/>
          <w:szCs w:val="21"/>
        </w:rPr>
      </w:pPr>
      <w:r>
        <w:rPr>
          <w:rFonts w:hint="eastAsia" w:ascii="宋体" w:hAnsi="宋体"/>
          <w:szCs w:val="21"/>
        </w:rPr>
        <w:t>注：1、本表后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pPr>
        <w:spacing w:line="360" w:lineRule="auto"/>
        <w:ind w:left="105" w:firstLine="315"/>
        <w:rPr>
          <w:rFonts w:ascii="宋体" w:hAnsi="宋体"/>
          <w:szCs w:val="21"/>
        </w:rPr>
      </w:pPr>
      <w:r>
        <w:rPr>
          <w:rFonts w:hint="eastAsia" w:ascii="宋体" w:hAnsi="宋体"/>
          <w:szCs w:val="21"/>
        </w:rPr>
        <w:t>2、目前未在具体项目上任职的，请在备注栏说明现在负责的工作内容。</w:t>
      </w:r>
      <w:bookmarkStart w:id="345" w:name="_Toc193904176"/>
      <w:bookmarkStart w:id="346" w:name="_Toc234242180"/>
      <w:bookmarkStart w:id="347" w:name="_Toc234382981"/>
    </w:p>
    <w:p>
      <w:pPr>
        <w:spacing w:line="360" w:lineRule="auto"/>
        <w:ind w:left="105" w:firstLine="315"/>
        <w:jc w:val="center"/>
        <w:rPr>
          <w:rFonts w:ascii="宋体" w:hAnsi="宋体"/>
          <w:szCs w:val="21"/>
        </w:rPr>
      </w:pPr>
      <w:r>
        <w:rPr>
          <w:rFonts w:hint="eastAsia" w:ascii="宋体" w:hAnsi="宋体"/>
          <w:sz w:val="28"/>
          <w:szCs w:val="28"/>
        </w:rPr>
        <w:br w:type="page"/>
      </w:r>
      <w:bookmarkStart w:id="348" w:name="_Toc485889076"/>
      <w:r>
        <w:rPr>
          <w:rFonts w:hint="eastAsia" w:ascii="宋体" w:hAnsi="宋体"/>
          <w:b/>
          <w:bCs/>
          <w:kern w:val="44"/>
          <w:sz w:val="28"/>
          <w:szCs w:val="28"/>
        </w:rPr>
        <w:t>（四）近年财务状况表</w:t>
      </w:r>
      <w:bookmarkEnd w:id="345"/>
      <w:bookmarkEnd w:id="346"/>
      <w:bookmarkEnd w:id="347"/>
      <w:bookmarkEnd w:id="348"/>
    </w:p>
    <w:p>
      <w:pPr>
        <w:spacing w:after="120" w:line="360" w:lineRule="auto"/>
        <w:jc w:val="center"/>
        <w:rPr>
          <w:rFonts w:ascii="宋体" w:hAnsi="宋体"/>
          <w:b/>
          <w:sz w:val="24"/>
        </w:rPr>
      </w:pPr>
      <w:r>
        <w:rPr>
          <w:rFonts w:hint="eastAsia" w:ascii="宋体" w:hAnsi="宋体"/>
          <w:b/>
          <w:sz w:val="24"/>
        </w:rPr>
        <w:t>财务状况表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jc w:val="center"/>
              <w:rPr>
                <w:rFonts w:ascii="宋体" w:hAnsi="宋体"/>
                <w:szCs w:val="21"/>
              </w:rPr>
            </w:pPr>
            <w:r>
              <w:rPr>
                <w:rFonts w:hint="eastAsia" w:ascii="宋体" w:hAnsi="宋体"/>
                <w:szCs w:val="21"/>
              </w:rPr>
              <w:t>项目或指标</w:t>
            </w:r>
          </w:p>
        </w:tc>
        <w:tc>
          <w:tcPr>
            <w:tcW w:w="990" w:type="dxa"/>
            <w:noWrap w:val="0"/>
            <w:vAlign w:val="center"/>
          </w:tcPr>
          <w:p>
            <w:pPr>
              <w:spacing w:line="360" w:lineRule="auto"/>
              <w:jc w:val="center"/>
              <w:rPr>
                <w:rFonts w:ascii="宋体" w:hAnsi="宋体"/>
                <w:szCs w:val="21"/>
              </w:rPr>
            </w:pPr>
            <w:r>
              <w:rPr>
                <w:rFonts w:hint="eastAsia" w:ascii="宋体" w:hAnsi="宋体"/>
                <w:szCs w:val="21"/>
              </w:rPr>
              <w:t>单位</w:t>
            </w:r>
          </w:p>
        </w:tc>
        <w:tc>
          <w:tcPr>
            <w:tcW w:w="1258" w:type="dxa"/>
            <w:noWrap w:val="0"/>
            <w:vAlign w:val="center"/>
          </w:tcPr>
          <w:p>
            <w:pPr>
              <w:spacing w:line="360" w:lineRule="auto"/>
              <w:jc w:val="center"/>
              <w:rPr>
                <w:rFonts w:ascii="宋体" w:hAnsi="宋体"/>
                <w:szCs w:val="21"/>
              </w:rPr>
            </w:pPr>
            <w:r>
              <w:rPr>
                <w:rFonts w:hint="eastAsia" w:ascii="宋体" w:hAnsi="宋体"/>
                <w:szCs w:val="21"/>
              </w:rPr>
              <w:t>年</w:t>
            </w:r>
          </w:p>
        </w:tc>
        <w:tc>
          <w:tcPr>
            <w:tcW w:w="1259" w:type="dxa"/>
            <w:noWrap w:val="0"/>
            <w:vAlign w:val="center"/>
          </w:tcPr>
          <w:p>
            <w:pPr>
              <w:spacing w:line="360" w:lineRule="auto"/>
              <w:jc w:val="center"/>
              <w:rPr>
                <w:rFonts w:ascii="宋体" w:hAnsi="宋体"/>
                <w:szCs w:val="21"/>
              </w:rPr>
            </w:pPr>
            <w:r>
              <w:rPr>
                <w:rFonts w:hint="eastAsia" w:ascii="宋体" w:hAnsi="宋体"/>
                <w:szCs w:val="21"/>
              </w:rPr>
              <w:t>年</w:t>
            </w:r>
          </w:p>
        </w:tc>
        <w:tc>
          <w:tcPr>
            <w:tcW w:w="1259" w:type="dxa"/>
            <w:noWrap w:val="0"/>
            <w:vAlign w:val="center"/>
          </w:tcPr>
          <w:p>
            <w:pPr>
              <w:spacing w:line="360" w:lineRule="auto"/>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rPr>
                <w:rFonts w:ascii="宋体" w:hAnsi="宋体"/>
                <w:szCs w:val="21"/>
              </w:rPr>
            </w:pPr>
            <w:r>
              <w:rPr>
                <w:rFonts w:hint="eastAsia" w:ascii="宋体" w:hAnsi="宋体"/>
                <w:szCs w:val="21"/>
              </w:rPr>
              <w:t>一、注册资金</w:t>
            </w:r>
          </w:p>
        </w:tc>
        <w:tc>
          <w:tcPr>
            <w:tcW w:w="990" w:type="dxa"/>
            <w:noWrap w:val="0"/>
            <w:vAlign w:val="center"/>
          </w:tcPr>
          <w:p>
            <w:pPr>
              <w:spacing w:line="360" w:lineRule="auto"/>
              <w:jc w:val="center"/>
              <w:rPr>
                <w:rFonts w:ascii="宋体" w:hAnsi="宋体"/>
                <w:szCs w:val="21"/>
              </w:rPr>
            </w:pPr>
            <w:r>
              <w:rPr>
                <w:rFonts w:hint="eastAsia" w:ascii="宋体" w:hAnsi="宋体"/>
                <w:szCs w:val="21"/>
              </w:rPr>
              <w:t>万元</w:t>
            </w: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rPr>
                <w:rFonts w:ascii="宋体" w:hAnsi="宋体"/>
                <w:szCs w:val="21"/>
              </w:rPr>
            </w:pPr>
            <w:r>
              <w:rPr>
                <w:rFonts w:hint="eastAsia" w:ascii="宋体" w:hAnsi="宋体"/>
                <w:szCs w:val="21"/>
              </w:rPr>
              <w:t>二、净资产</w:t>
            </w:r>
          </w:p>
        </w:tc>
        <w:tc>
          <w:tcPr>
            <w:tcW w:w="990" w:type="dxa"/>
            <w:noWrap w:val="0"/>
            <w:vAlign w:val="center"/>
          </w:tcPr>
          <w:p>
            <w:pPr>
              <w:spacing w:line="360" w:lineRule="auto"/>
              <w:jc w:val="center"/>
              <w:rPr>
                <w:rFonts w:ascii="宋体" w:hAnsi="宋体"/>
                <w:szCs w:val="21"/>
              </w:rPr>
            </w:pPr>
            <w:r>
              <w:rPr>
                <w:rFonts w:hint="eastAsia" w:ascii="宋体" w:hAnsi="宋体"/>
                <w:szCs w:val="21"/>
              </w:rPr>
              <w:t>万元</w:t>
            </w: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rPr>
                <w:rFonts w:ascii="宋体" w:hAnsi="宋体"/>
                <w:szCs w:val="21"/>
              </w:rPr>
            </w:pPr>
            <w:r>
              <w:rPr>
                <w:rFonts w:hint="eastAsia" w:ascii="宋体" w:hAnsi="宋体"/>
                <w:szCs w:val="21"/>
              </w:rPr>
              <w:t>三、总资产</w:t>
            </w:r>
          </w:p>
        </w:tc>
        <w:tc>
          <w:tcPr>
            <w:tcW w:w="990" w:type="dxa"/>
            <w:noWrap w:val="0"/>
            <w:vAlign w:val="center"/>
          </w:tcPr>
          <w:p>
            <w:pPr>
              <w:spacing w:line="360" w:lineRule="auto"/>
              <w:jc w:val="center"/>
              <w:rPr>
                <w:rFonts w:ascii="宋体" w:hAnsi="宋体"/>
                <w:szCs w:val="21"/>
              </w:rPr>
            </w:pPr>
            <w:r>
              <w:rPr>
                <w:rFonts w:hint="eastAsia" w:ascii="宋体" w:hAnsi="宋体"/>
                <w:szCs w:val="21"/>
              </w:rPr>
              <w:t>万元</w:t>
            </w: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rPr>
                <w:rFonts w:ascii="宋体" w:hAnsi="宋体"/>
                <w:szCs w:val="21"/>
              </w:rPr>
            </w:pPr>
            <w:r>
              <w:rPr>
                <w:rFonts w:hint="eastAsia" w:ascii="宋体" w:hAnsi="宋体"/>
                <w:szCs w:val="21"/>
              </w:rPr>
              <w:t>四、固定资产</w:t>
            </w:r>
          </w:p>
        </w:tc>
        <w:tc>
          <w:tcPr>
            <w:tcW w:w="990" w:type="dxa"/>
            <w:noWrap w:val="0"/>
            <w:vAlign w:val="center"/>
          </w:tcPr>
          <w:p>
            <w:pPr>
              <w:spacing w:line="360" w:lineRule="auto"/>
              <w:jc w:val="center"/>
              <w:rPr>
                <w:rFonts w:ascii="宋体" w:hAnsi="宋体"/>
                <w:szCs w:val="21"/>
              </w:rPr>
            </w:pPr>
            <w:r>
              <w:rPr>
                <w:rFonts w:hint="eastAsia" w:ascii="宋体" w:hAnsi="宋体"/>
                <w:szCs w:val="21"/>
              </w:rPr>
              <w:t>万元</w:t>
            </w: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rPr>
                <w:rFonts w:ascii="宋体" w:hAnsi="宋体"/>
                <w:szCs w:val="21"/>
              </w:rPr>
            </w:pPr>
            <w:r>
              <w:rPr>
                <w:rFonts w:hint="eastAsia" w:ascii="宋体" w:hAnsi="宋体"/>
                <w:szCs w:val="21"/>
              </w:rPr>
              <w:t>五、流动资产</w:t>
            </w:r>
          </w:p>
        </w:tc>
        <w:tc>
          <w:tcPr>
            <w:tcW w:w="990" w:type="dxa"/>
            <w:noWrap w:val="0"/>
            <w:vAlign w:val="center"/>
          </w:tcPr>
          <w:p>
            <w:pPr>
              <w:spacing w:line="360" w:lineRule="auto"/>
              <w:jc w:val="center"/>
              <w:rPr>
                <w:rFonts w:ascii="宋体" w:hAnsi="宋体"/>
                <w:szCs w:val="21"/>
              </w:rPr>
            </w:pPr>
            <w:r>
              <w:rPr>
                <w:rFonts w:hint="eastAsia" w:ascii="宋体" w:hAnsi="宋体"/>
                <w:szCs w:val="21"/>
              </w:rPr>
              <w:t>万元</w:t>
            </w: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rPr>
                <w:rFonts w:ascii="宋体" w:hAnsi="宋体"/>
                <w:szCs w:val="21"/>
              </w:rPr>
            </w:pPr>
            <w:r>
              <w:rPr>
                <w:rFonts w:hint="eastAsia" w:ascii="宋体" w:hAnsi="宋体"/>
                <w:szCs w:val="21"/>
              </w:rPr>
              <w:t>六、流动负债</w:t>
            </w:r>
          </w:p>
        </w:tc>
        <w:tc>
          <w:tcPr>
            <w:tcW w:w="990" w:type="dxa"/>
            <w:noWrap w:val="0"/>
            <w:vAlign w:val="center"/>
          </w:tcPr>
          <w:p>
            <w:pPr>
              <w:spacing w:line="360" w:lineRule="auto"/>
              <w:jc w:val="center"/>
              <w:rPr>
                <w:rFonts w:ascii="宋体" w:hAnsi="宋体"/>
                <w:szCs w:val="21"/>
              </w:rPr>
            </w:pPr>
            <w:r>
              <w:rPr>
                <w:rFonts w:hint="eastAsia" w:ascii="宋体" w:hAnsi="宋体"/>
                <w:szCs w:val="21"/>
              </w:rPr>
              <w:t>万元</w:t>
            </w: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rPr>
                <w:rFonts w:ascii="宋体" w:hAnsi="宋体"/>
                <w:szCs w:val="21"/>
              </w:rPr>
            </w:pPr>
            <w:r>
              <w:rPr>
                <w:rFonts w:hint="eastAsia" w:ascii="宋体" w:hAnsi="宋体"/>
                <w:szCs w:val="21"/>
              </w:rPr>
              <w:t>七、负债合计</w:t>
            </w:r>
          </w:p>
        </w:tc>
        <w:tc>
          <w:tcPr>
            <w:tcW w:w="990" w:type="dxa"/>
            <w:noWrap w:val="0"/>
            <w:vAlign w:val="center"/>
          </w:tcPr>
          <w:p>
            <w:pPr>
              <w:spacing w:line="360" w:lineRule="auto"/>
              <w:jc w:val="center"/>
              <w:rPr>
                <w:rFonts w:ascii="宋体" w:hAnsi="宋体"/>
                <w:szCs w:val="21"/>
              </w:rPr>
            </w:pPr>
            <w:r>
              <w:rPr>
                <w:rFonts w:hint="eastAsia" w:ascii="宋体" w:hAnsi="宋体"/>
                <w:szCs w:val="21"/>
              </w:rPr>
              <w:t>万元</w:t>
            </w: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rPr>
                <w:rFonts w:ascii="宋体" w:hAnsi="宋体"/>
                <w:szCs w:val="21"/>
              </w:rPr>
            </w:pPr>
            <w:r>
              <w:rPr>
                <w:rFonts w:hint="eastAsia" w:ascii="宋体" w:hAnsi="宋体"/>
                <w:szCs w:val="21"/>
              </w:rPr>
              <w:t>八、营业收入</w:t>
            </w:r>
          </w:p>
        </w:tc>
        <w:tc>
          <w:tcPr>
            <w:tcW w:w="990" w:type="dxa"/>
            <w:noWrap w:val="0"/>
            <w:vAlign w:val="center"/>
          </w:tcPr>
          <w:p>
            <w:pPr>
              <w:spacing w:line="360" w:lineRule="auto"/>
              <w:jc w:val="center"/>
              <w:rPr>
                <w:rFonts w:ascii="宋体" w:hAnsi="宋体"/>
                <w:szCs w:val="21"/>
              </w:rPr>
            </w:pPr>
            <w:r>
              <w:rPr>
                <w:rFonts w:hint="eastAsia" w:ascii="宋体" w:hAnsi="宋体"/>
                <w:szCs w:val="21"/>
              </w:rPr>
              <w:t>万元</w:t>
            </w: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rPr>
                <w:rFonts w:ascii="宋体" w:hAnsi="宋体"/>
                <w:szCs w:val="21"/>
              </w:rPr>
            </w:pPr>
            <w:r>
              <w:rPr>
                <w:rFonts w:hint="eastAsia" w:ascii="宋体" w:hAnsi="宋体"/>
                <w:szCs w:val="21"/>
              </w:rPr>
              <w:t>九、净利润</w:t>
            </w:r>
          </w:p>
        </w:tc>
        <w:tc>
          <w:tcPr>
            <w:tcW w:w="990" w:type="dxa"/>
            <w:noWrap w:val="0"/>
            <w:vAlign w:val="center"/>
          </w:tcPr>
          <w:p>
            <w:pPr>
              <w:spacing w:line="360" w:lineRule="auto"/>
              <w:jc w:val="center"/>
              <w:rPr>
                <w:rFonts w:ascii="宋体" w:hAnsi="宋体"/>
                <w:szCs w:val="21"/>
              </w:rPr>
            </w:pPr>
            <w:r>
              <w:rPr>
                <w:rFonts w:hint="eastAsia" w:ascii="宋体" w:hAnsi="宋体"/>
                <w:szCs w:val="21"/>
              </w:rPr>
              <w:t>万元</w:t>
            </w: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rPr>
                <w:rFonts w:ascii="宋体" w:hAnsi="宋体"/>
                <w:szCs w:val="21"/>
              </w:rPr>
            </w:pPr>
            <w:r>
              <w:rPr>
                <w:rFonts w:hint="eastAsia" w:ascii="宋体" w:hAnsi="宋体"/>
                <w:szCs w:val="21"/>
              </w:rPr>
              <w:t>十、现金流量净额</w:t>
            </w:r>
          </w:p>
        </w:tc>
        <w:tc>
          <w:tcPr>
            <w:tcW w:w="990" w:type="dxa"/>
            <w:noWrap w:val="0"/>
            <w:vAlign w:val="center"/>
          </w:tcPr>
          <w:p>
            <w:pPr>
              <w:spacing w:line="360" w:lineRule="auto"/>
              <w:jc w:val="center"/>
              <w:rPr>
                <w:rFonts w:ascii="宋体" w:hAnsi="宋体"/>
                <w:szCs w:val="21"/>
              </w:rPr>
            </w:pP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rPr>
                <w:rFonts w:ascii="宋体" w:hAnsi="宋体"/>
                <w:szCs w:val="21"/>
              </w:rPr>
            </w:pPr>
            <w:r>
              <w:rPr>
                <w:rFonts w:hint="eastAsia" w:ascii="宋体" w:hAnsi="宋体"/>
                <w:szCs w:val="21"/>
              </w:rPr>
              <w:t>十一、主要财务指标</w:t>
            </w:r>
          </w:p>
        </w:tc>
        <w:tc>
          <w:tcPr>
            <w:tcW w:w="990" w:type="dxa"/>
            <w:noWrap w:val="0"/>
            <w:vAlign w:val="center"/>
          </w:tcPr>
          <w:p>
            <w:pPr>
              <w:spacing w:line="360" w:lineRule="auto"/>
              <w:jc w:val="center"/>
              <w:rPr>
                <w:rFonts w:ascii="宋体" w:hAnsi="宋体"/>
                <w:szCs w:val="21"/>
              </w:rPr>
            </w:pPr>
            <w:r>
              <w:rPr>
                <w:rFonts w:hint="eastAsia" w:ascii="宋体" w:hAnsi="宋体"/>
                <w:szCs w:val="21"/>
              </w:rPr>
              <w:t>%</w:t>
            </w: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ind w:firstLine="525" w:firstLineChars="250"/>
              <w:rPr>
                <w:rFonts w:ascii="宋体" w:hAnsi="宋体"/>
                <w:szCs w:val="21"/>
              </w:rPr>
            </w:pPr>
            <w:r>
              <w:rPr>
                <w:rFonts w:hint="eastAsia" w:ascii="宋体" w:hAnsi="宋体"/>
                <w:szCs w:val="21"/>
              </w:rPr>
              <w:t>1．净资产收益率</w:t>
            </w:r>
          </w:p>
        </w:tc>
        <w:tc>
          <w:tcPr>
            <w:tcW w:w="990" w:type="dxa"/>
            <w:noWrap w:val="0"/>
            <w:vAlign w:val="center"/>
          </w:tcPr>
          <w:p>
            <w:pPr>
              <w:spacing w:line="360" w:lineRule="auto"/>
              <w:jc w:val="center"/>
              <w:rPr>
                <w:rFonts w:ascii="宋体" w:hAnsi="宋体"/>
                <w:szCs w:val="21"/>
              </w:rPr>
            </w:pPr>
            <w:r>
              <w:rPr>
                <w:rFonts w:hint="eastAsia" w:ascii="宋体" w:hAnsi="宋体"/>
                <w:szCs w:val="21"/>
              </w:rPr>
              <w:t>%</w:t>
            </w: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ind w:firstLine="525" w:firstLineChars="250"/>
              <w:rPr>
                <w:rFonts w:ascii="宋体" w:hAnsi="宋体"/>
                <w:szCs w:val="21"/>
              </w:rPr>
            </w:pPr>
            <w:r>
              <w:rPr>
                <w:rFonts w:hint="eastAsia" w:ascii="宋体" w:hAnsi="宋体"/>
                <w:szCs w:val="21"/>
              </w:rPr>
              <w:t>2．总资产报酬</w:t>
            </w:r>
          </w:p>
        </w:tc>
        <w:tc>
          <w:tcPr>
            <w:tcW w:w="990" w:type="dxa"/>
            <w:noWrap w:val="0"/>
            <w:vAlign w:val="center"/>
          </w:tcPr>
          <w:p>
            <w:pPr>
              <w:spacing w:line="360" w:lineRule="auto"/>
              <w:jc w:val="center"/>
              <w:rPr>
                <w:rFonts w:ascii="宋体" w:hAnsi="宋体"/>
                <w:szCs w:val="21"/>
              </w:rPr>
            </w:pPr>
            <w:r>
              <w:rPr>
                <w:rFonts w:hint="eastAsia" w:ascii="宋体" w:hAnsi="宋体"/>
                <w:szCs w:val="21"/>
              </w:rPr>
              <w:t>%</w:t>
            </w: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ind w:firstLine="525" w:firstLineChars="250"/>
              <w:rPr>
                <w:rFonts w:ascii="宋体" w:hAnsi="宋体"/>
                <w:szCs w:val="21"/>
              </w:rPr>
            </w:pPr>
            <w:r>
              <w:rPr>
                <w:rFonts w:hint="eastAsia" w:ascii="宋体" w:hAnsi="宋体"/>
                <w:szCs w:val="21"/>
              </w:rPr>
              <w:t>3．主营业务利润率</w:t>
            </w:r>
          </w:p>
        </w:tc>
        <w:tc>
          <w:tcPr>
            <w:tcW w:w="990" w:type="dxa"/>
            <w:noWrap w:val="0"/>
            <w:vAlign w:val="center"/>
          </w:tcPr>
          <w:p>
            <w:pPr>
              <w:spacing w:line="360" w:lineRule="auto"/>
              <w:jc w:val="center"/>
              <w:rPr>
                <w:rFonts w:ascii="宋体" w:hAnsi="宋体"/>
                <w:szCs w:val="21"/>
              </w:rPr>
            </w:pPr>
            <w:r>
              <w:rPr>
                <w:rFonts w:hint="eastAsia" w:ascii="宋体" w:hAnsi="宋体"/>
                <w:szCs w:val="21"/>
              </w:rPr>
              <w:t>%</w:t>
            </w: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ind w:firstLine="525" w:firstLineChars="250"/>
              <w:rPr>
                <w:rFonts w:ascii="宋体" w:hAnsi="宋体"/>
                <w:szCs w:val="21"/>
              </w:rPr>
            </w:pPr>
            <w:r>
              <w:rPr>
                <w:rFonts w:hint="eastAsia" w:ascii="宋体" w:hAnsi="宋体"/>
                <w:szCs w:val="21"/>
              </w:rPr>
              <w:t>4．资产负债率</w:t>
            </w:r>
          </w:p>
        </w:tc>
        <w:tc>
          <w:tcPr>
            <w:tcW w:w="990" w:type="dxa"/>
            <w:noWrap w:val="0"/>
            <w:vAlign w:val="center"/>
          </w:tcPr>
          <w:p>
            <w:pPr>
              <w:spacing w:line="360" w:lineRule="auto"/>
              <w:jc w:val="center"/>
              <w:rPr>
                <w:rFonts w:ascii="宋体" w:hAnsi="宋体"/>
                <w:szCs w:val="21"/>
              </w:rPr>
            </w:pPr>
            <w:r>
              <w:rPr>
                <w:rFonts w:hint="eastAsia" w:ascii="宋体" w:hAnsi="宋体"/>
                <w:szCs w:val="21"/>
              </w:rPr>
              <w:t>%</w:t>
            </w: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ind w:firstLine="525" w:firstLineChars="250"/>
              <w:rPr>
                <w:rFonts w:ascii="宋体" w:hAnsi="宋体"/>
                <w:szCs w:val="21"/>
              </w:rPr>
            </w:pPr>
            <w:r>
              <w:rPr>
                <w:rFonts w:hint="eastAsia" w:ascii="宋体" w:hAnsi="宋体"/>
                <w:szCs w:val="21"/>
              </w:rPr>
              <w:t>5、流动比率</w:t>
            </w:r>
          </w:p>
        </w:tc>
        <w:tc>
          <w:tcPr>
            <w:tcW w:w="990" w:type="dxa"/>
            <w:noWrap w:val="0"/>
            <w:vAlign w:val="center"/>
          </w:tcPr>
          <w:p>
            <w:pPr>
              <w:spacing w:line="360" w:lineRule="auto"/>
              <w:jc w:val="center"/>
              <w:rPr>
                <w:rFonts w:ascii="宋体" w:hAnsi="宋体"/>
                <w:szCs w:val="21"/>
              </w:rPr>
            </w:pPr>
            <w:r>
              <w:rPr>
                <w:rFonts w:hint="eastAsia" w:ascii="宋体" w:hAnsi="宋体"/>
                <w:szCs w:val="21"/>
              </w:rPr>
              <w:t>%</w:t>
            </w: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pPr>
              <w:spacing w:line="360" w:lineRule="auto"/>
              <w:ind w:firstLine="525" w:firstLineChars="250"/>
              <w:rPr>
                <w:rFonts w:ascii="宋体" w:hAnsi="宋体"/>
                <w:szCs w:val="21"/>
              </w:rPr>
            </w:pPr>
            <w:r>
              <w:rPr>
                <w:rFonts w:hint="eastAsia" w:ascii="宋体" w:hAnsi="宋体"/>
                <w:szCs w:val="21"/>
              </w:rPr>
              <w:t>6、速动比率</w:t>
            </w:r>
          </w:p>
        </w:tc>
        <w:tc>
          <w:tcPr>
            <w:tcW w:w="990" w:type="dxa"/>
            <w:noWrap w:val="0"/>
            <w:vAlign w:val="center"/>
          </w:tcPr>
          <w:p>
            <w:pPr>
              <w:spacing w:line="360" w:lineRule="auto"/>
              <w:jc w:val="center"/>
              <w:rPr>
                <w:rFonts w:ascii="宋体" w:hAnsi="宋体"/>
                <w:szCs w:val="21"/>
              </w:rPr>
            </w:pPr>
            <w:r>
              <w:rPr>
                <w:rFonts w:hint="eastAsia" w:ascii="宋体" w:hAnsi="宋体"/>
                <w:szCs w:val="21"/>
              </w:rPr>
              <w:t>%</w:t>
            </w:r>
          </w:p>
        </w:tc>
        <w:tc>
          <w:tcPr>
            <w:tcW w:w="1258"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c>
          <w:tcPr>
            <w:tcW w:w="1259" w:type="dxa"/>
            <w:noWrap w:val="0"/>
            <w:vAlign w:val="center"/>
          </w:tcPr>
          <w:p>
            <w:pPr>
              <w:spacing w:line="360" w:lineRule="auto"/>
              <w:jc w:val="center"/>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sz w:val="24"/>
        </w:rPr>
      </w:pPr>
    </w:p>
    <w:p>
      <w:pPr>
        <w:spacing w:line="360" w:lineRule="auto"/>
        <w:jc w:val="center"/>
        <w:rPr>
          <w:rFonts w:ascii="宋体" w:hAnsi="宋体"/>
          <w:sz w:val="24"/>
        </w:rPr>
      </w:pPr>
    </w:p>
    <w:p>
      <w:pPr>
        <w:pStyle w:val="6"/>
        <w:keepNext w:val="0"/>
        <w:keepLines w:val="0"/>
        <w:spacing w:before="312" w:beforeLines="100" w:after="312" w:afterLines="100" w:line="360" w:lineRule="auto"/>
        <w:jc w:val="center"/>
        <w:rPr>
          <w:rFonts w:ascii="宋体" w:hAnsi="宋体"/>
          <w:sz w:val="28"/>
          <w:szCs w:val="28"/>
        </w:rPr>
      </w:pPr>
      <w:bookmarkStart w:id="349" w:name="_Toc485889077"/>
      <w:bookmarkStart w:id="350" w:name="_Toc234242181"/>
      <w:bookmarkStart w:id="351" w:name="_Toc234382982"/>
      <w:bookmarkStart w:id="352" w:name="_Toc30568"/>
      <w:bookmarkStart w:id="353" w:name="_Toc486277942"/>
      <w:r>
        <w:rPr>
          <w:rFonts w:hint="eastAsia" w:ascii="宋体" w:hAnsi="宋体"/>
          <w:sz w:val="28"/>
          <w:szCs w:val="28"/>
        </w:rPr>
        <w:t>（五）近年完成的类似项目汇总表</w:t>
      </w:r>
      <w:bookmarkEnd w:id="349"/>
      <w:bookmarkEnd w:id="350"/>
      <w:bookmarkEnd w:id="351"/>
      <w:bookmarkEnd w:id="352"/>
      <w:bookmarkEnd w:id="353"/>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项目名称</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项目所在地</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发包人名称</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发包人地址</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发包人电话</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合同价格</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开工日期</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交工日期</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承担的工作</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工程质量</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项目经理</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项目总工</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总监理工程师及电话</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项目描述</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备注</w:t>
            </w:r>
          </w:p>
        </w:tc>
        <w:tc>
          <w:tcPr>
            <w:tcW w:w="7029" w:type="dxa"/>
            <w:noWrap w:val="0"/>
            <w:vAlign w:val="center"/>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注：1.本汇总表必须与近年完成的类似项目情况内容相对应。</w:t>
      </w:r>
    </w:p>
    <w:p>
      <w:pPr>
        <w:spacing w:line="360" w:lineRule="auto"/>
        <w:ind w:firstLine="420" w:firstLineChars="200"/>
        <w:rPr>
          <w:rFonts w:ascii="宋体" w:hAnsi="宋体"/>
          <w:szCs w:val="21"/>
        </w:rPr>
      </w:pPr>
      <w:r>
        <w:rPr>
          <w:rFonts w:hint="eastAsia" w:ascii="宋体" w:hAnsi="宋体"/>
          <w:szCs w:val="21"/>
        </w:rPr>
        <w:t>2.当本表内容与所附证据材料不一致时，应以所附证据材料为准。</w:t>
      </w:r>
    </w:p>
    <w:p>
      <w:pPr>
        <w:spacing w:line="360" w:lineRule="auto"/>
        <w:rPr>
          <w:rFonts w:ascii="宋体" w:hAnsi="宋体"/>
          <w:szCs w:val="21"/>
        </w:rPr>
      </w:pPr>
    </w:p>
    <w:p>
      <w:pPr>
        <w:spacing w:line="360" w:lineRule="auto"/>
        <w:rPr>
          <w:rFonts w:ascii="宋体" w:hAnsi="宋体"/>
          <w:szCs w:val="21"/>
        </w:rPr>
      </w:pPr>
    </w:p>
    <w:p>
      <w:pPr>
        <w:pStyle w:val="6"/>
        <w:spacing w:before="312" w:beforeLines="100" w:after="312" w:afterLines="100" w:line="360" w:lineRule="auto"/>
        <w:jc w:val="center"/>
        <w:rPr>
          <w:rFonts w:ascii="宋体" w:hAnsi="宋体"/>
          <w:sz w:val="28"/>
          <w:szCs w:val="28"/>
        </w:rPr>
      </w:pPr>
      <w:bookmarkStart w:id="354" w:name="_Toc7313"/>
      <w:bookmarkStart w:id="355" w:name="_Toc234242182"/>
      <w:bookmarkStart w:id="356" w:name="_Toc193904177"/>
      <w:bookmarkStart w:id="357" w:name="_Toc485889078"/>
      <w:bookmarkStart w:id="358" w:name="_Toc234382983"/>
      <w:bookmarkStart w:id="359" w:name="_Toc486277943"/>
      <w:r>
        <w:rPr>
          <w:rFonts w:hint="eastAsia" w:ascii="宋体" w:hAnsi="宋体"/>
          <w:sz w:val="28"/>
          <w:szCs w:val="28"/>
        </w:rPr>
        <w:t>（六）正在施工和新承接的项目情况表</w:t>
      </w:r>
      <w:bookmarkEnd w:id="354"/>
      <w:bookmarkEnd w:id="355"/>
      <w:bookmarkEnd w:id="356"/>
      <w:bookmarkEnd w:id="357"/>
      <w:bookmarkEnd w:id="358"/>
      <w:bookmarkEnd w:id="359"/>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项目名称</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项目所在地</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发包人名称</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发包人地址</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发包人电话</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签约合同价</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开工日期</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计划交工日期</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承担的工作</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工程质量要求</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项目经理</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项目总工</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总监理工程师及电话</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项目描述</w:t>
            </w:r>
          </w:p>
        </w:tc>
        <w:tc>
          <w:tcPr>
            <w:tcW w:w="7029"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noWrap w:val="0"/>
            <w:vAlign w:val="center"/>
          </w:tcPr>
          <w:p>
            <w:pPr>
              <w:spacing w:line="360" w:lineRule="auto"/>
              <w:jc w:val="center"/>
              <w:rPr>
                <w:rFonts w:ascii="宋体" w:hAnsi="宋体"/>
                <w:szCs w:val="21"/>
              </w:rPr>
            </w:pPr>
            <w:r>
              <w:rPr>
                <w:rFonts w:hint="eastAsia" w:ascii="宋体" w:hAnsi="宋体"/>
                <w:szCs w:val="21"/>
              </w:rPr>
              <w:t>备注</w:t>
            </w:r>
          </w:p>
        </w:tc>
        <w:tc>
          <w:tcPr>
            <w:tcW w:w="7029" w:type="dxa"/>
            <w:noWrap w:val="0"/>
            <w:vAlign w:val="center"/>
          </w:tcPr>
          <w:p>
            <w:pPr>
              <w:spacing w:line="360" w:lineRule="auto"/>
              <w:jc w:val="center"/>
              <w:rPr>
                <w:rFonts w:ascii="宋体" w:hAnsi="宋体"/>
                <w:szCs w:val="21"/>
              </w:rPr>
            </w:pPr>
          </w:p>
        </w:tc>
      </w:tr>
    </w:tbl>
    <w:p>
      <w:pPr>
        <w:autoSpaceDE w:val="0"/>
        <w:autoSpaceDN w:val="0"/>
        <w:adjustRightInd w:val="0"/>
        <w:spacing w:before="4" w:line="360" w:lineRule="auto"/>
        <w:jc w:val="left"/>
        <w:rPr>
          <w:rFonts w:ascii="宋体" w:hAnsi="宋体"/>
          <w:kern w:val="0"/>
          <w:sz w:val="10"/>
          <w:szCs w:val="10"/>
        </w:rPr>
      </w:pPr>
    </w:p>
    <w:p>
      <w:pPr>
        <w:spacing w:line="360" w:lineRule="auto"/>
        <w:rPr>
          <w:rFonts w:ascii="宋体" w:hAnsi="宋体"/>
          <w:sz w:val="24"/>
        </w:rPr>
      </w:pPr>
    </w:p>
    <w:p>
      <w:pPr>
        <w:pStyle w:val="6"/>
        <w:spacing w:before="312" w:beforeLines="100" w:after="312" w:afterLines="100" w:line="360" w:lineRule="auto"/>
        <w:jc w:val="center"/>
        <w:rPr>
          <w:rFonts w:ascii="宋体" w:hAnsi="宋体"/>
          <w:sz w:val="28"/>
          <w:szCs w:val="28"/>
        </w:rPr>
      </w:pPr>
      <w:bookmarkStart w:id="360" w:name="_Toc486277944"/>
      <w:bookmarkStart w:id="361" w:name="_Toc485889079"/>
      <w:bookmarkStart w:id="362" w:name="_Toc7381"/>
      <w:bookmarkStart w:id="363" w:name="_Toc234382984"/>
      <w:r>
        <w:rPr>
          <w:rFonts w:hint="eastAsia" w:ascii="宋体" w:hAnsi="宋体"/>
          <w:sz w:val="28"/>
          <w:szCs w:val="28"/>
        </w:rPr>
        <w:t>（七）近年发生的诉讼及仲裁情况</w:t>
      </w:r>
      <w:bookmarkEnd w:id="360"/>
      <w:bookmarkEnd w:id="361"/>
      <w:bookmarkEnd w:id="362"/>
      <w:bookmarkEnd w:id="363"/>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noWrap w:val="0"/>
            <w:vAlign w:val="center"/>
          </w:tcPr>
          <w:p>
            <w:pPr>
              <w:spacing w:line="360" w:lineRule="auto"/>
              <w:jc w:val="center"/>
              <w:rPr>
                <w:rFonts w:ascii="宋体" w:hAnsi="宋体"/>
                <w:szCs w:val="21"/>
              </w:rPr>
            </w:pPr>
            <w:r>
              <w:rPr>
                <w:rFonts w:hint="eastAsia" w:ascii="宋体" w:hAnsi="宋体"/>
                <w:szCs w:val="21"/>
              </w:rPr>
              <w:t>项目</w:t>
            </w:r>
          </w:p>
        </w:tc>
        <w:tc>
          <w:tcPr>
            <w:tcW w:w="4820" w:type="dxa"/>
            <w:noWrap w:val="0"/>
            <w:vAlign w:val="center"/>
          </w:tcPr>
          <w:p>
            <w:pPr>
              <w:spacing w:line="360" w:lineRule="auto"/>
              <w:jc w:val="center"/>
              <w:rPr>
                <w:rFonts w:ascii="宋体" w:hAnsi="宋体"/>
                <w:szCs w:val="21"/>
              </w:rPr>
            </w:pPr>
            <w:r>
              <w:rPr>
                <w:rFonts w:hint="eastAsia" w:ascii="宋体" w:hAnsi="宋体"/>
                <w:szCs w:val="21"/>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noWrap w:val="0"/>
            <w:vAlign w:val="center"/>
          </w:tcPr>
          <w:p>
            <w:pPr>
              <w:spacing w:line="360" w:lineRule="auto"/>
              <w:jc w:val="center"/>
              <w:rPr>
                <w:rFonts w:ascii="宋体" w:hAnsi="宋体"/>
              </w:rPr>
            </w:pPr>
          </w:p>
        </w:tc>
        <w:tc>
          <w:tcPr>
            <w:tcW w:w="4820"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noWrap w:val="0"/>
            <w:vAlign w:val="center"/>
          </w:tcPr>
          <w:p>
            <w:pPr>
              <w:spacing w:line="360" w:lineRule="auto"/>
              <w:jc w:val="center"/>
              <w:rPr>
                <w:rFonts w:ascii="宋体" w:hAnsi="宋体"/>
              </w:rPr>
            </w:pPr>
          </w:p>
        </w:tc>
        <w:tc>
          <w:tcPr>
            <w:tcW w:w="4820"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noWrap w:val="0"/>
            <w:vAlign w:val="center"/>
          </w:tcPr>
          <w:p>
            <w:pPr>
              <w:spacing w:line="360" w:lineRule="auto"/>
              <w:jc w:val="center"/>
              <w:rPr>
                <w:rFonts w:ascii="宋体" w:hAnsi="宋体"/>
              </w:rPr>
            </w:pPr>
          </w:p>
        </w:tc>
        <w:tc>
          <w:tcPr>
            <w:tcW w:w="4820"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noWrap w:val="0"/>
            <w:vAlign w:val="center"/>
          </w:tcPr>
          <w:p>
            <w:pPr>
              <w:spacing w:line="360" w:lineRule="auto"/>
              <w:jc w:val="center"/>
              <w:rPr>
                <w:rFonts w:ascii="宋体" w:hAnsi="宋体"/>
              </w:rPr>
            </w:pPr>
          </w:p>
        </w:tc>
        <w:tc>
          <w:tcPr>
            <w:tcW w:w="4820"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noWrap w:val="0"/>
            <w:vAlign w:val="center"/>
          </w:tcPr>
          <w:p>
            <w:pPr>
              <w:spacing w:line="360" w:lineRule="auto"/>
              <w:jc w:val="center"/>
              <w:rPr>
                <w:rFonts w:ascii="宋体" w:hAnsi="宋体"/>
              </w:rPr>
            </w:pPr>
          </w:p>
        </w:tc>
        <w:tc>
          <w:tcPr>
            <w:tcW w:w="4820"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noWrap w:val="0"/>
            <w:vAlign w:val="center"/>
          </w:tcPr>
          <w:p>
            <w:pPr>
              <w:spacing w:line="360" w:lineRule="auto"/>
              <w:jc w:val="center"/>
              <w:rPr>
                <w:rFonts w:ascii="宋体" w:hAnsi="宋体"/>
              </w:rPr>
            </w:pPr>
          </w:p>
        </w:tc>
        <w:tc>
          <w:tcPr>
            <w:tcW w:w="4820"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noWrap w:val="0"/>
            <w:vAlign w:val="center"/>
          </w:tcPr>
          <w:p>
            <w:pPr>
              <w:spacing w:line="360" w:lineRule="auto"/>
              <w:jc w:val="center"/>
              <w:rPr>
                <w:rFonts w:ascii="宋体" w:hAnsi="宋体"/>
              </w:rPr>
            </w:pPr>
          </w:p>
        </w:tc>
        <w:tc>
          <w:tcPr>
            <w:tcW w:w="4820" w:type="dxa"/>
            <w:noWrap w:val="0"/>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noWrap w:val="0"/>
            <w:vAlign w:val="center"/>
          </w:tcPr>
          <w:p>
            <w:pPr>
              <w:spacing w:line="360" w:lineRule="auto"/>
              <w:jc w:val="center"/>
              <w:rPr>
                <w:rFonts w:ascii="宋体" w:hAnsi="宋体"/>
              </w:rPr>
            </w:pPr>
          </w:p>
        </w:tc>
        <w:tc>
          <w:tcPr>
            <w:tcW w:w="4820" w:type="dxa"/>
            <w:noWrap w:val="0"/>
            <w:vAlign w:val="center"/>
          </w:tcPr>
          <w:p>
            <w:pPr>
              <w:spacing w:line="360" w:lineRule="auto"/>
              <w:jc w:val="center"/>
              <w:rPr>
                <w:rFonts w:ascii="宋体" w:hAnsi="宋体"/>
              </w:rPr>
            </w:pPr>
          </w:p>
        </w:tc>
      </w:tr>
    </w:tbl>
    <w:p>
      <w:pPr>
        <w:spacing w:line="360" w:lineRule="auto"/>
        <w:rPr>
          <w:rFonts w:ascii="宋体" w:hAnsi="宋体"/>
          <w:sz w:val="24"/>
        </w:rPr>
      </w:pPr>
    </w:p>
    <w:p>
      <w:pPr>
        <w:spacing w:before="120" w:after="120" w:line="360" w:lineRule="auto"/>
        <w:jc w:val="center"/>
        <w:rPr>
          <w:rFonts w:ascii="宋体" w:hAnsi="宋体"/>
          <w:b/>
          <w:bCs/>
          <w:kern w:val="44"/>
          <w:sz w:val="30"/>
          <w:szCs w:val="30"/>
        </w:rPr>
      </w:pPr>
      <w:r>
        <w:rPr>
          <w:rFonts w:ascii="宋体" w:hAnsi="宋体"/>
          <w:b/>
          <w:bCs/>
          <w:kern w:val="44"/>
          <w:sz w:val="30"/>
          <w:szCs w:val="30"/>
        </w:rPr>
        <w:br w:type="page"/>
      </w:r>
      <w:r>
        <w:rPr>
          <w:rFonts w:hint="eastAsia" w:ascii="宋体" w:hAnsi="宋体"/>
          <w:b/>
          <w:bCs/>
          <w:kern w:val="44"/>
          <w:sz w:val="30"/>
          <w:szCs w:val="30"/>
        </w:rPr>
        <w:t>七、主要进场管理人员和技术人员最低要求</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250" w:type="dxa"/>
            <w:noWrap w:val="0"/>
            <w:vAlign w:val="center"/>
          </w:tcPr>
          <w:p>
            <w:pPr>
              <w:spacing w:line="360" w:lineRule="auto"/>
              <w:jc w:val="center"/>
              <w:rPr>
                <w:rFonts w:ascii="宋体" w:hAnsi="宋体"/>
              </w:rPr>
            </w:pPr>
            <w:bookmarkStart w:id="364" w:name="_Toc234382989"/>
            <w:r>
              <w:rPr>
                <w:rFonts w:hint="eastAsia" w:ascii="宋体" w:hAnsi="宋体"/>
              </w:rPr>
              <w:t>人  员</w:t>
            </w:r>
          </w:p>
        </w:tc>
        <w:tc>
          <w:tcPr>
            <w:tcW w:w="1997" w:type="dxa"/>
            <w:noWrap w:val="0"/>
            <w:vAlign w:val="center"/>
          </w:tcPr>
          <w:p>
            <w:pPr>
              <w:spacing w:line="360" w:lineRule="auto"/>
              <w:jc w:val="center"/>
              <w:rPr>
                <w:rFonts w:ascii="宋体" w:hAnsi="宋体"/>
              </w:rPr>
            </w:pPr>
            <w:r>
              <w:rPr>
                <w:rFonts w:hint="eastAsia" w:ascii="宋体" w:hAnsi="宋体"/>
              </w:rPr>
              <w:t>数  量</w:t>
            </w:r>
          </w:p>
        </w:tc>
        <w:tc>
          <w:tcPr>
            <w:tcW w:w="5053" w:type="dxa"/>
            <w:noWrap w:val="0"/>
            <w:vAlign w:val="center"/>
          </w:tcPr>
          <w:p>
            <w:pPr>
              <w:spacing w:line="360" w:lineRule="auto"/>
              <w:jc w:val="center"/>
              <w:rPr>
                <w:rFonts w:ascii="宋体" w:hAnsi="宋体"/>
              </w:rPr>
            </w:pPr>
            <w:r>
              <w:rPr>
                <w:rFonts w:hint="eastAsia" w:ascii="宋体" w:hAnsi="宋体"/>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2250" w:type="dxa"/>
            <w:noWrap w:val="0"/>
            <w:vAlign w:val="center"/>
          </w:tcPr>
          <w:p>
            <w:pPr>
              <w:spacing w:line="360" w:lineRule="auto"/>
              <w:jc w:val="center"/>
              <w:rPr>
                <w:rFonts w:ascii="宋体" w:hAnsi="宋体"/>
              </w:rPr>
            </w:pPr>
            <w:r>
              <w:rPr>
                <w:rFonts w:hint="eastAsia" w:ascii="宋体" w:hAnsi="宋体"/>
              </w:rPr>
              <w:t>项目经理</w:t>
            </w:r>
          </w:p>
        </w:tc>
        <w:tc>
          <w:tcPr>
            <w:tcW w:w="1997" w:type="dxa"/>
            <w:noWrap w:val="0"/>
            <w:vAlign w:val="center"/>
          </w:tcPr>
          <w:p>
            <w:pPr>
              <w:spacing w:line="360" w:lineRule="auto"/>
              <w:jc w:val="center"/>
              <w:rPr>
                <w:rFonts w:ascii="宋体" w:hAnsi="宋体"/>
              </w:rPr>
            </w:pPr>
            <w:r>
              <w:rPr>
                <w:rFonts w:hint="eastAsia" w:ascii="宋体" w:hAnsi="宋体"/>
              </w:rPr>
              <w:t>1</w:t>
            </w:r>
          </w:p>
        </w:tc>
        <w:tc>
          <w:tcPr>
            <w:tcW w:w="5053" w:type="dxa"/>
            <w:noWrap w:val="0"/>
            <w:vAlign w:val="top"/>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50" w:type="dxa"/>
            <w:noWrap w:val="0"/>
            <w:vAlign w:val="center"/>
          </w:tcPr>
          <w:p>
            <w:pPr>
              <w:spacing w:line="360" w:lineRule="auto"/>
              <w:jc w:val="center"/>
              <w:rPr>
                <w:rFonts w:ascii="宋体" w:hAnsi="宋体"/>
              </w:rPr>
            </w:pPr>
            <w:r>
              <w:rPr>
                <w:rFonts w:hint="eastAsia" w:ascii="宋体" w:hAnsi="宋体"/>
              </w:rPr>
              <w:t>项目总工程师</w:t>
            </w:r>
          </w:p>
        </w:tc>
        <w:tc>
          <w:tcPr>
            <w:tcW w:w="1997" w:type="dxa"/>
            <w:noWrap w:val="0"/>
            <w:vAlign w:val="center"/>
          </w:tcPr>
          <w:p>
            <w:pPr>
              <w:spacing w:line="360" w:lineRule="auto"/>
              <w:jc w:val="center"/>
              <w:rPr>
                <w:rFonts w:ascii="宋体" w:hAnsi="宋体"/>
              </w:rPr>
            </w:pPr>
            <w:r>
              <w:rPr>
                <w:rFonts w:hint="eastAsia" w:ascii="宋体" w:hAnsi="宋体"/>
              </w:rPr>
              <w:t>1</w:t>
            </w:r>
          </w:p>
        </w:tc>
        <w:tc>
          <w:tcPr>
            <w:tcW w:w="5053" w:type="dxa"/>
            <w:noWrap w:val="0"/>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noWrap w:val="0"/>
            <w:vAlign w:val="center"/>
          </w:tcPr>
          <w:p>
            <w:pPr>
              <w:spacing w:line="360" w:lineRule="auto"/>
              <w:jc w:val="center"/>
              <w:rPr>
                <w:rFonts w:ascii="宋体" w:hAnsi="宋体"/>
              </w:rPr>
            </w:pPr>
            <w:r>
              <w:rPr>
                <w:rFonts w:hint="eastAsia" w:ascii="宋体" w:hAnsi="宋体"/>
              </w:rPr>
              <w:t>……</w:t>
            </w:r>
          </w:p>
        </w:tc>
        <w:tc>
          <w:tcPr>
            <w:tcW w:w="1997" w:type="dxa"/>
            <w:noWrap w:val="0"/>
            <w:vAlign w:val="center"/>
          </w:tcPr>
          <w:p>
            <w:pPr>
              <w:spacing w:line="360" w:lineRule="auto"/>
              <w:jc w:val="center"/>
              <w:rPr>
                <w:rFonts w:ascii="宋体" w:hAnsi="宋体"/>
              </w:rPr>
            </w:pPr>
            <w:r>
              <w:rPr>
                <w:rFonts w:hint="eastAsia" w:ascii="宋体" w:hAnsi="宋体"/>
              </w:rPr>
              <w:t>……</w:t>
            </w:r>
          </w:p>
        </w:tc>
        <w:tc>
          <w:tcPr>
            <w:tcW w:w="5053" w:type="dxa"/>
            <w:noWrap w:val="0"/>
            <w:vAlign w:val="center"/>
          </w:tcPr>
          <w:p>
            <w:pPr>
              <w:spacing w:line="360" w:lineRule="auto"/>
              <w:rPr>
                <w:rFonts w:ascii="宋体" w:hAnsi="宋体"/>
              </w:rPr>
            </w:pPr>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noWrap w:val="0"/>
            <w:vAlign w:val="center"/>
          </w:tcPr>
          <w:p>
            <w:pPr>
              <w:spacing w:line="360" w:lineRule="auto"/>
              <w:rPr>
                <w:rFonts w:ascii="宋体" w:hAnsi="宋体"/>
              </w:rPr>
            </w:pPr>
          </w:p>
        </w:tc>
        <w:tc>
          <w:tcPr>
            <w:tcW w:w="1997" w:type="dxa"/>
            <w:noWrap w:val="0"/>
            <w:vAlign w:val="center"/>
          </w:tcPr>
          <w:p>
            <w:pPr>
              <w:spacing w:line="360" w:lineRule="auto"/>
              <w:jc w:val="center"/>
              <w:rPr>
                <w:rFonts w:ascii="宋体" w:hAnsi="宋体"/>
              </w:rPr>
            </w:pPr>
          </w:p>
        </w:tc>
        <w:tc>
          <w:tcPr>
            <w:tcW w:w="5053" w:type="dxa"/>
            <w:noWrap w:val="0"/>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noWrap w:val="0"/>
            <w:vAlign w:val="center"/>
          </w:tcPr>
          <w:p>
            <w:pPr>
              <w:spacing w:line="360" w:lineRule="auto"/>
              <w:rPr>
                <w:rFonts w:ascii="宋体" w:hAnsi="宋体"/>
              </w:rPr>
            </w:pPr>
          </w:p>
        </w:tc>
        <w:tc>
          <w:tcPr>
            <w:tcW w:w="1997" w:type="dxa"/>
            <w:noWrap w:val="0"/>
            <w:vAlign w:val="center"/>
          </w:tcPr>
          <w:p>
            <w:pPr>
              <w:spacing w:line="360" w:lineRule="auto"/>
              <w:jc w:val="center"/>
              <w:rPr>
                <w:rFonts w:ascii="宋体" w:hAnsi="宋体"/>
              </w:rPr>
            </w:pPr>
          </w:p>
        </w:tc>
        <w:tc>
          <w:tcPr>
            <w:tcW w:w="5053" w:type="dxa"/>
            <w:noWrap w:val="0"/>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noWrap w:val="0"/>
            <w:vAlign w:val="center"/>
          </w:tcPr>
          <w:p>
            <w:pPr>
              <w:spacing w:line="360" w:lineRule="auto"/>
              <w:rPr>
                <w:rFonts w:ascii="宋体" w:hAnsi="宋体"/>
              </w:rPr>
            </w:pPr>
          </w:p>
        </w:tc>
        <w:tc>
          <w:tcPr>
            <w:tcW w:w="1997" w:type="dxa"/>
            <w:noWrap w:val="0"/>
            <w:vAlign w:val="center"/>
          </w:tcPr>
          <w:p>
            <w:pPr>
              <w:spacing w:line="360" w:lineRule="auto"/>
              <w:jc w:val="center"/>
              <w:rPr>
                <w:rFonts w:ascii="宋体" w:hAnsi="宋体"/>
              </w:rPr>
            </w:pPr>
          </w:p>
        </w:tc>
        <w:tc>
          <w:tcPr>
            <w:tcW w:w="5053" w:type="dxa"/>
            <w:noWrap w:val="0"/>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noWrap w:val="0"/>
            <w:vAlign w:val="center"/>
          </w:tcPr>
          <w:p>
            <w:pPr>
              <w:spacing w:line="360" w:lineRule="auto"/>
              <w:rPr>
                <w:rFonts w:ascii="宋体" w:hAnsi="宋体"/>
              </w:rPr>
            </w:pPr>
          </w:p>
        </w:tc>
        <w:tc>
          <w:tcPr>
            <w:tcW w:w="1997" w:type="dxa"/>
            <w:noWrap w:val="0"/>
            <w:vAlign w:val="center"/>
          </w:tcPr>
          <w:p>
            <w:pPr>
              <w:spacing w:line="360" w:lineRule="auto"/>
              <w:jc w:val="center"/>
              <w:rPr>
                <w:rFonts w:ascii="宋体" w:hAnsi="宋体"/>
              </w:rPr>
            </w:pPr>
          </w:p>
        </w:tc>
        <w:tc>
          <w:tcPr>
            <w:tcW w:w="5053" w:type="dxa"/>
            <w:noWrap w:val="0"/>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noWrap w:val="0"/>
            <w:vAlign w:val="center"/>
          </w:tcPr>
          <w:p>
            <w:pPr>
              <w:spacing w:line="360" w:lineRule="auto"/>
              <w:rPr>
                <w:rFonts w:ascii="宋体" w:hAnsi="宋体"/>
              </w:rPr>
            </w:pPr>
          </w:p>
        </w:tc>
        <w:tc>
          <w:tcPr>
            <w:tcW w:w="1997" w:type="dxa"/>
            <w:noWrap w:val="0"/>
            <w:vAlign w:val="center"/>
          </w:tcPr>
          <w:p>
            <w:pPr>
              <w:spacing w:line="360" w:lineRule="auto"/>
              <w:jc w:val="center"/>
              <w:rPr>
                <w:rFonts w:ascii="宋体" w:hAnsi="宋体"/>
              </w:rPr>
            </w:pPr>
          </w:p>
        </w:tc>
        <w:tc>
          <w:tcPr>
            <w:tcW w:w="5053" w:type="dxa"/>
            <w:noWrap w:val="0"/>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noWrap w:val="0"/>
            <w:vAlign w:val="center"/>
          </w:tcPr>
          <w:p>
            <w:pPr>
              <w:spacing w:line="360" w:lineRule="auto"/>
              <w:rPr>
                <w:rFonts w:ascii="宋体" w:hAnsi="宋体"/>
              </w:rPr>
            </w:pPr>
          </w:p>
        </w:tc>
        <w:tc>
          <w:tcPr>
            <w:tcW w:w="1997" w:type="dxa"/>
            <w:noWrap w:val="0"/>
            <w:vAlign w:val="center"/>
          </w:tcPr>
          <w:p>
            <w:pPr>
              <w:spacing w:line="360" w:lineRule="auto"/>
              <w:jc w:val="center"/>
              <w:rPr>
                <w:rFonts w:ascii="宋体" w:hAnsi="宋体"/>
              </w:rPr>
            </w:pPr>
          </w:p>
        </w:tc>
        <w:tc>
          <w:tcPr>
            <w:tcW w:w="5053" w:type="dxa"/>
            <w:noWrap w:val="0"/>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noWrap w:val="0"/>
            <w:vAlign w:val="center"/>
          </w:tcPr>
          <w:p>
            <w:pPr>
              <w:spacing w:line="360" w:lineRule="auto"/>
              <w:jc w:val="center"/>
              <w:rPr>
                <w:rFonts w:ascii="宋体" w:hAnsi="宋体"/>
              </w:rPr>
            </w:pPr>
          </w:p>
        </w:tc>
        <w:tc>
          <w:tcPr>
            <w:tcW w:w="1997" w:type="dxa"/>
            <w:noWrap w:val="0"/>
            <w:vAlign w:val="center"/>
          </w:tcPr>
          <w:p>
            <w:pPr>
              <w:spacing w:line="360" w:lineRule="auto"/>
              <w:jc w:val="center"/>
              <w:rPr>
                <w:rFonts w:ascii="宋体" w:hAnsi="宋体"/>
              </w:rPr>
            </w:pPr>
          </w:p>
        </w:tc>
        <w:tc>
          <w:tcPr>
            <w:tcW w:w="5053" w:type="dxa"/>
            <w:noWrap w:val="0"/>
            <w:vAlign w:val="center"/>
          </w:tcPr>
          <w:p>
            <w:pPr>
              <w:spacing w:line="360" w:lineRule="auto"/>
              <w:jc w:val="lef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noWrap w:val="0"/>
            <w:vAlign w:val="center"/>
          </w:tcPr>
          <w:p>
            <w:pPr>
              <w:spacing w:line="360" w:lineRule="auto"/>
              <w:jc w:val="center"/>
              <w:rPr>
                <w:rFonts w:ascii="宋体" w:hAnsi="宋体"/>
              </w:rPr>
            </w:pPr>
          </w:p>
        </w:tc>
        <w:tc>
          <w:tcPr>
            <w:tcW w:w="1997" w:type="dxa"/>
            <w:noWrap w:val="0"/>
            <w:vAlign w:val="center"/>
          </w:tcPr>
          <w:p>
            <w:pPr>
              <w:spacing w:line="360" w:lineRule="auto"/>
              <w:jc w:val="center"/>
              <w:rPr>
                <w:rFonts w:ascii="宋体" w:hAnsi="宋体"/>
              </w:rPr>
            </w:pPr>
          </w:p>
        </w:tc>
        <w:tc>
          <w:tcPr>
            <w:tcW w:w="5053" w:type="dxa"/>
            <w:noWrap w:val="0"/>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noWrap w:val="0"/>
            <w:vAlign w:val="center"/>
          </w:tcPr>
          <w:p>
            <w:pPr>
              <w:spacing w:line="360" w:lineRule="auto"/>
              <w:jc w:val="center"/>
              <w:rPr>
                <w:rFonts w:ascii="宋体" w:hAnsi="宋体"/>
              </w:rPr>
            </w:pPr>
          </w:p>
        </w:tc>
        <w:tc>
          <w:tcPr>
            <w:tcW w:w="1997" w:type="dxa"/>
            <w:noWrap w:val="0"/>
            <w:vAlign w:val="center"/>
          </w:tcPr>
          <w:p>
            <w:pPr>
              <w:spacing w:line="360" w:lineRule="auto"/>
              <w:jc w:val="center"/>
              <w:rPr>
                <w:rFonts w:ascii="宋体" w:hAnsi="宋体"/>
              </w:rPr>
            </w:pPr>
          </w:p>
        </w:tc>
        <w:tc>
          <w:tcPr>
            <w:tcW w:w="5053" w:type="dxa"/>
            <w:noWrap w:val="0"/>
            <w:vAlign w:val="center"/>
          </w:tcPr>
          <w:p>
            <w:pPr>
              <w:spacing w:line="360" w:lineRule="auto"/>
              <w:jc w:val="center"/>
              <w:rPr>
                <w:rFonts w:ascii="宋体" w:hAnsi="宋体"/>
              </w:rPr>
            </w:pPr>
          </w:p>
        </w:tc>
      </w:tr>
    </w:tbl>
    <w:p>
      <w:pPr>
        <w:spacing w:line="360" w:lineRule="auto"/>
        <w:ind w:firstLine="210" w:firstLineChars="100"/>
        <w:rPr>
          <w:rFonts w:ascii="宋体" w:hAnsi="宋体"/>
          <w:szCs w:val="21"/>
        </w:rPr>
      </w:pPr>
      <w:r>
        <w:rPr>
          <w:rFonts w:hint="eastAsia" w:ascii="宋体" w:hAnsi="宋体"/>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360" w:lineRule="auto"/>
        <w:jc w:val="right"/>
        <w:rPr>
          <w:rFonts w:ascii="宋体" w:hAnsi="宋体"/>
          <w:szCs w:val="21"/>
        </w:rPr>
      </w:pPr>
      <w:r>
        <w:rPr>
          <w:rFonts w:hint="eastAsia" w:ascii="宋体" w:hAnsi="宋体"/>
          <w:szCs w:val="21"/>
        </w:rPr>
        <w:t xml:space="preserve">                          </w:t>
      </w:r>
      <w:r>
        <w:rPr>
          <w:rFonts w:hint="eastAsia" w:ascii="宋体" w:hAnsi="宋体"/>
          <w:kern w:val="0"/>
          <w:szCs w:val="21"/>
        </w:rPr>
        <w:t>投  标  人：</w:t>
      </w:r>
      <w:r>
        <w:rPr>
          <w:rFonts w:hint="eastAsia" w:ascii="宋体" w:hAnsi="宋体"/>
          <w:szCs w:val="21"/>
          <w:u w:val="single"/>
        </w:rPr>
        <w:t xml:space="preserve">                     </w:t>
      </w:r>
      <w:r>
        <w:rPr>
          <w:rFonts w:hint="eastAsia" w:ascii="宋体" w:hAnsi="宋体"/>
          <w:szCs w:val="21"/>
        </w:rPr>
        <w:t>（盖单位章）</w:t>
      </w:r>
    </w:p>
    <w:p>
      <w:pPr>
        <w:adjustRightInd w:val="0"/>
        <w:snapToGrid w:val="0"/>
        <w:spacing w:line="360" w:lineRule="auto"/>
        <w:jc w:val="center"/>
        <w:rPr>
          <w:rFonts w:ascii="宋体" w:hAnsi="宋体"/>
          <w:szCs w:val="21"/>
        </w:rPr>
      </w:pPr>
      <w:r>
        <w:rPr>
          <w:rFonts w:hint="eastAsia" w:ascii="宋体" w:hAnsi="宋体"/>
          <w:szCs w:val="21"/>
        </w:rPr>
        <w:t xml:space="preserve">                                 </w:t>
      </w:r>
    </w:p>
    <w:p>
      <w:pPr>
        <w:adjustRightInd w:val="0"/>
        <w:snapToGrid w:val="0"/>
        <w:spacing w:line="360" w:lineRule="auto"/>
        <w:jc w:val="right"/>
        <w:rPr>
          <w:rFonts w:ascii="宋体" w:hAnsi="宋体"/>
          <w:sz w:val="28"/>
          <w:szCs w:val="30"/>
          <w:u w:val="single"/>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numPr>
          <w:ilvl w:val="0"/>
          <w:numId w:val="14"/>
        </w:numPr>
        <w:spacing w:before="120" w:after="120" w:line="360" w:lineRule="auto"/>
        <w:jc w:val="center"/>
        <w:rPr>
          <w:rFonts w:hint="eastAsia" w:ascii="宋体" w:hAnsi="宋体"/>
          <w:b/>
          <w:bCs/>
          <w:kern w:val="44"/>
          <w:sz w:val="30"/>
          <w:szCs w:val="30"/>
        </w:rPr>
      </w:pPr>
      <w:r>
        <w:rPr>
          <w:rFonts w:ascii="宋体" w:hAnsi="宋体"/>
          <w:b/>
          <w:bCs/>
          <w:kern w:val="44"/>
          <w:sz w:val="30"/>
          <w:szCs w:val="30"/>
        </w:rPr>
        <w:br w:type="page"/>
      </w:r>
      <w:bookmarkEnd w:id="364"/>
      <w:bookmarkStart w:id="365" w:name="_Toc234382990"/>
      <w:r>
        <w:rPr>
          <w:rFonts w:hint="eastAsia" w:ascii="宋体" w:hAnsi="宋体"/>
          <w:b/>
          <w:bCs/>
          <w:kern w:val="44"/>
          <w:sz w:val="30"/>
          <w:szCs w:val="30"/>
        </w:rPr>
        <w:t>承诺书</w:t>
      </w:r>
    </w:p>
    <w:p>
      <w:pPr>
        <w:spacing w:before="120" w:after="120" w:line="360" w:lineRule="auto"/>
        <w:jc w:val="center"/>
        <w:rPr>
          <w:rFonts w:ascii="宋体" w:hAnsi="宋体"/>
          <w:b/>
          <w:bCs/>
          <w:kern w:val="44"/>
          <w:sz w:val="30"/>
          <w:szCs w:val="30"/>
        </w:rPr>
      </w:pPr>
      <w:r>
        <w:rPr>
          <w:rFonts w:ascii="宋体" w:hAnsi="宋体"/>
          <w:b/>
          <w:bCs/>
          <w:kern w:val="44"/>
          <w:sz w:val="30"/>
          <w:szCs w:val="30"/>
        </w:rPr>
        <w:t>农民工工资支付承诺书</w:t>
      </w:r>
    </w:p>
    <w:p>
      <w:pPr>
        <w:adjustRightInd w:val="0"/>
        <w:snapToGrid w:val="0"/>
        <w:spacing w:after="156" w:afterLines="50" w:line="360" w:lineRule="auto"/>
        <w:ind w:firstLine="315" w:firstLineChars="150"/>
        <w:rPr>
          <w:rFonts w:ascii="宋体" w:hAnsi="宋体"/>
        </w:rPr>
      </w:pPr>
      <w:r>
        <w:rPr>
          <w:rFonts w:hint="eastAsia" w:ascii="宋体" w:hAnsi="宋体"/>
        </w:rPr>
        <w:t>我单位在此郑重承诺：</w:t>
      </w:r>
      <w:r>
        <w:rPr>
          <w:rFonts w:ascii="宋体" w:hAnsi="宋体"/>
        </w:rPr>
        <w:t xml:space="preserve"> </w:t>
      </w:r>
    </w:p>
    <w:p>
      <w:pPr>
        <w:adjustRightInd w:val="0"/>
        <w:snapToGrid w:val="0"/>
        <w:spacing w:after="156" w:afterLines="50" w:line="360" w:lineRule="auto"/>
        <w:ind w:firstLine="315" w:firstLineChars="150"/>
        <w:rPr>
          <w:rFonts w:ascii="宋体" w:hAnsi="宋体"/>
        </w:rPr>
      </w:pPr>
      <w:r>
        <w:rPr>
          <w:rFonts w:ascii="宋体" w:hAnsi="宋体"/>
        </w:rPr>
        <w:t>一、开工前与农民工签定劳动合同</w:t>
      </w:r>
      <w:r>
        <w:rPr>
          <w:rFonts w:ascii="宋体" w:hAnsi="宋体"/>
        </w:rPr>
        <w:br w:type="textWrapping"/>
      </w:r>
      <w:r>
        <w:rPr>
          <w:rFonts w:ascii="宋体" w:hAnsi="宋体"/>
        </w:rPr>
        <w:t>  二、按时支付农民工工资、加班加点工资。</w:t>
      </w:r>
      <w:r>
        <w:rPr>
          <w:rFonts w:ascii="宋体" w:hAnsi="宋体"/>
        </w:rPr>
        <w:br w:type="textWrapping"/>
      </w:r>
      <w:r>
        <w:rPr>
          <w:rFonts w:ascii="宋体" w:hAnsi="宋体"/>
        </w:rPr>
        <w:t> </w:t>
      </w:r>
      <w:r>
        <w:rPr>
          <w:rFonts w:hint="eastAsia" w:ascii="宋体" w:hAnsi="宋体"/>
        </w:rPr>
        <w:t xml:space="preserve"> </w:t>
      </w:r>
      <w:r>
        <w:rPr>
          <w:rFonts w:ascii="宋体" w:hAnsi="宋体"/>
        </w:rPr>
        <w:t>三、支付农民工工资不低于</w:t>
      </w:r>
      <w:r>
        <w:rPr>
          <w:rFonts w:hint="eastAsia" w:ascii="宋体" w:hAnsi="宋体"/>
        </w:rPr>
        <w:t>河南</w:t>
      </w:r>
      <w:r>
        <w:rPr>
          <w:rFonts w:ascii="宋体" w:hAnsi="宋体"/>
        </w:rPr>
        <w:t>省最低工资标准</w:t>
      </w:r>
      <w:r>
        <w:rPr>
          <w:rFonts w:ascii="宋体" w:hAnsi="宋体"/>
          <w:u w:val="single"/>
        </w:rPr>
        <w:t xml:space="preserve">    </w:t>
      </w:r>
      <w:r>
        <w:rPr>
          <w:rFonts w:ascii="宋体" w:hAnsi="宋体"/>
        </w:rPr>
        <w:t>元。</w:t>
      </w:r>
      <w:r>
        <w:rPr>
          <w:rFonts w:ascii="宋体" w:hAnsi="宋体"/>
        </w:rPr>
        <w:br w:type="textWrapping"/>
      </w:r>
      <w:r>
        <w:rPr>
          <w:rFonts w:ascii="宋体" w:hAnsi="宋体"/>
        </w:rPr>
        <w:t> </w:t>
      </w:r>
      <w:r>
        <w:rPr>
          <w:rFonts w:hint="eastAsia" w:ascii="宋体" w:hAnsi="宋体"/>
        </w:rPr>
        <w:t xml:space="preserve"> </w:t>
      </w:r>
      <w:r>
        <w:rPr>
          <w:rFonts w:ascii="宋体" w:hAnsi="宋体"/>
        </w:rPr>
        <w:t>四、不无故拖欠、克扣农民工工资。</w:t>
      </w:r>
      <w:r>
        <w:rPr>
          <w:rFonts w:ascii="宋体" w:hAnsi="宋体"/>
        </w:rPr>
        <w:br w:type="textWrapping"/>
      </w:r>
      <w:r>
        <w:rPr>
          <w:rFonts w:ascii="宋体" w:hAnsi="宋体"/>
        </w:rPr>
        <w:t> </w:t>
      </w:r>
      <w:r>
        <w:rPr>
          <w:rFonts w:hint="eastAsia" w:ascii="宋体" w:hAnsi="宋体"/>
        </w:rPr>
        <w:t xml:space="preserve"> </w:t>
      </w:r>
      <w:r>
        <w:rPr>
          <w:rFonts w:ascii="宋体" w:hAnsi="宋体"/>
        </w:rPr>
        <w:t>五、</w:t>
      </w:r>
      <w:r>
        <w:rPr>
          <w:rFonts w:hint="eastAsia" w:ascii="宋体" w:hAnsi="宋体"/>
        </w:rPr>
        <w:t>坚决不</w:t>
      </w:r>
      <w:r>
        <w:rPr>
          <w:rFonts w:ascii="宋体" w:hAnsi="宋体"/>
        </w:rPr>
        <w:t>侵害农民工劳动报酬的合法权益。</w:t>
      </w:r>
      <w:r>
        <w:rPr>
          <w:rFonts w:ascii="宋体" w:hAnsi="宋体"/>
        </w:rPr>
        <w:br w:type="textWrapping"/>
      </w:r>
      <w:r>
        <w:rPr>
          <w:rFonts w:ascii="宋体" w:hAnsi="宋体"/>
        </w:rPr>
        <w:t> </w:t>
      </w:r>
      <w:r>
        <w:rPr>
          <w:rFonts w:hint="eastAsia" w:ascii="宋体" w:hAnsi="宋体"/>
        </w:rPr>
        <w:t xml:space="preserve"> </w:t>
      </w:r>
      <w:r>
        <w:rPr>
          <w:rFonts w:ascii="宋体" w:hAnsi="宋体"/>
        </w:rPr>
        <w:t>六、若有拖欠、克扣农民工工资、加班加点工资及侵害农民工劳动报酬权益的行为，</w:t>
      </w:r>
      <w:r>
        <w:rPr>
          <w:rFonts w:hint="eastAsia" w:ascii="宋体" w:hAnsi="宋体"/>
        </w:rPr>
        <w:t>经有关部门</w:t>
      </w:r>
      <w:r>
        <w:rPr>
          <w:rFonts w:ascii="宋体" w:hAnsi="宋体"/>
        </w:rPr>
        <w:t>查证属实后，</w:t>
      </w:r>
      <w:r>
        <w:rPr>
          <w:rFonts w:hint="eastAsia" w:ascii="宋体" w:hAnsi="宋体"/>
        </w:rPr>
        <w:t>自愿</w:t>
      </w:r>
      <w:r>
        <w:rPr>
          <w:rFonts w:ascii="宋体" w:hAnsi="宋体"/>
        </w:rPr>
        <w:t>从工资保</w:t>
      </w:r>
      <w:r>
        <w:rPr>
          <w:rFonts w:hint="eastAsia" w:ascii="宋体" w:hAnsi="宋体"/>
        </w:rPr>
        <w:t>障</w:t>
      </w:r>
      <w:r>
        <w:rPr>
          <w:rFonts w:ascii="宋体" w:hAnsi="宋体"/>
        </w:rPr>
        <w:t>金中支付，</w:t>
      </w:r>
      <w:r>
        <w:rPr>
          <w:rFonts w:hint="eastAsia" w:ascii="宋体" w:hAnsi="宋体"/>
        </w:rPr>
        <w:t>且</w:t>
      </w:r>
      <w:r>
        <w:rPr>
          <w:rFonts w:ascii="宋体" w:hAnsi="宋体"/>
        </w:rPr>
        <w:t>在一个星期内补足保</w:t>
      </w:r>
      <w:r>
        <w:rPr>
          <w:rFonts w:hint="eastAsia" w:ascii="宋体" w:hAnsi="宋体"/>
        </w:rPr>
        <w:t>障</w:t>
      </w:r>
      <w:r>
        <w:rPr>
          <w:rFonts w:ascii="宋体" w:hAnsi="宋体"/>
        </w:rPr>
        <w:t>金。</w:t>
      </w:r>
      <w:r>
        <w:rPr>
          <w:rFonts w:ascii="宋体" w:hAnsi="宋体"/>
        </w:rPr>
        <w:br w:type="textWrapping"/>
      </w:r>
    </w:p>
    <w:p>
      <w:pPr>
        <w:adjustRightInd w:val="0"/>
        <w:snapToGrid w:val="0"/>
        <w:spacing w:after="156" w:afterLines="50" w:line="360" w:lineRule="auto"/>
        <w:ind w:firstLine="315" w:firstLineChars="150"/>
        <w:rPr>
          <w:rFonts w:ascii="宋体" w:hAnsi="宋体"/>
        </w:rPr>
      </w:pPr>
    </w:p>
    <w:p>
      <w:pPr>
        <w:adjustRightInd w:val="0"/>
        <w:snapToGrid w:val="0"/>
        <w:spacing w:after="156" w:afterLines="50" w:line="360" w:lineRule="auto"/>
        <w:ind w:firstLine="315" w:firstLineChars="150"/>
        <w:jc w:val="right"/>
        <w:rPr>
          <w:rFonts w:ascii="宋体" w:hAnsi="宋体"/>
          <w:u w:val="single"/>
        </w:rPr>
      </w:pPr>
      <w:r>
        <w:rPr>
          <w:rFonts w:hint="eastAsia" w:ascii="宋体" w:hAnsi="宋体"/>
        </w:rPr>
        <w:t xml:space="preserve"> 承 诺 人：</w:t>
      </w:r>
      <w:r>
        <w:rPr>
          <w:rFonts w:hint="eastAsia" w:ascii="宋体" w:hAnsi="宋体"/>
          <w:u w:val="single"/>
        </w:rPr>
        <w:t xml:space="preserve">    （单位全称）（盖章）</w:t>
      </w:r>
    </w:p>
    <w:p>
      <w:pPr>
        <w:adjustRightInd w:val="0"/>
        <w:snapToGrid w:val="0"/>
        <w:spacing w:after="156" w:afterLines="50" w:line="360" w:lineRule="auto"/>
        <w:ind w:firstLine="4515" w:firstLineChars="2150"/>
        <w:jc w:val="center"/>
        <w:rPr>
          <w:rFonts w:ascii="宋体" w:hAnsi="宋体"/>
          <w:sz w:val="24"/>
          <w:u w:val="single"/>
        </w:rPr>
      </w:pPr>
      <w:r>
        <w:rPr>
          <w:rFonts w:hint="eastAsia" w:ascii="宋体" w:hAnsi="宋体"/>
        </w:rPr>
        <w:t>法定代表人：</w:t>
      </w:r>
      <w:r>
        <w:rPr>
          <w:rFonts w:hint="eastAsia" w:ascii="宋体" w:hAnsi="宋体"/>
          <w:u w:val="single"/>
        </w:rPr>
        <w:t xml:space="preserve">                  </w:t>
      </w:r>
    </w:p>
    <w:p>
      <w:pPr>
        <w:pStyle w:val="6"/>
        <w:keepNext w:val="0"/>
        <w:keepLines w:val="0"/>
        <w:spacing w:before="312" w:beforeLines="100" w:after="468" w:afterLines="150" w:line="360" w:lineRule="auto"/>
        <w:rPr>
          <w:rFonts w:ascii="宋体" w:hAnsi="宋体"/>
          <w:sz w:val="30"/>
          <w:szCs w:val="30"/>
        </w:rPr>
      </w:pPr>
      <w:bookmarkStart w:id="366" w:name="_Toc18302"/>
      <w:bookmarkStart w:id="367" w:name="_Toc486277945"/>
      <w:bookmarkStart w:id="368" w:name="_Toc485889080"/>
    </w:p>
    <w:bookmarkEnd w:id="366"/>
    <w:bookmarkEnd w:id="367"/>
    <w:bookmarkEnd w:id="368"/>
    <w:p>
      <w:pPr>
        <w:spacing w:line="440" w:lineRule="exact"/>
        <w:jc w:val="center"/>
        <w:rPr>
          <w:rFonts w:ascii="黑体" w:hAnsi="宋体" w:eastAsia="黑体"/>
          <w:sz w:val="24"/>
        </w:rPr>
      </w:pPr>
      <w:r>
        <w:rPr>
          <w:rFonts w:hint="eastAsia" w:ascii="黑体" w:hAnsi="宋体" w:eastAsia="黑体"/>
          <w:sz w:val="24"/>
        </w:rPr>
        <w:t>项目经理（项目负责人）无在建承诺书</w:t>
      </w:r>
    </w:p>
    <w:p>
      <w:pPr>
        <w:spacing w:line="440" w:lineRule="exact"/>
        <w:rPr>
          <w:rFonts w:hint="eastAsia"/>
          <w:sz w:val="24"/>
        </w:rPr>
      </w:pPr>
      <w:r>
        <w:rPr>
          <w:rFonts w:hint="eastAsia"/>
          <w:sz w:val="24"/>
        </w:rPr>
        <w:t>————————（招标人名称）：</w:t>
      </w:r>
    </w:p>
    <w:p>
      <w:pPr>
        <w:spacing w:line="440" w:lineRule="exact"/>
        <w:rPr>
          <w:rFonts w:hint="eastAsia"/>
          <w:sz w:val="24"/>
        </w:rPr>
      </w:pPr>
      <w:r>
        <w:rPr>
          <w:rFonts w:hint="eastAsia"/>
          <w:sz w:val="24"/>
        </w:rPr>
        <w:t xml:space="preserve">    我方在此声明，我方拟派往</w:t>
      </w:r>
      <w:r>
        <w:rPr>
          <w:rFonts w:hint="eastAsia"/>
          <w:sz w:val="24"/>
          <w:u w:val="single"/>
        </w:rPr>
        <w:t>（项目名称）标段</w:t>
      </w:r>
      <w:r>
        <w:rPr>
          <w:rFonts w:hint="eastAsia"/>
          <w:sz w:val="24"/>
        </w:rPr>
        <w:t>（以下简称“本工程”）的项目经理（项目负责人）（姓名）现阶段没有担任任何在施建设工程项目的项目负责人。</w:t>
      </w:r>
    </w:p>
    <w:p>
      <w:pPr>
        <w:spacing w:line="440" w:lineRule="exact"/>
        <w:rPr>
          <w:sz w:val="24"/>
        </w:rPr>
      </w:pPr>
      <w:r>
        <w:rPr>
          <w:rFonts w:hint="eastAsia"/>
          <w:sz w:val="24"/>
        </w:rPr>
        <w:t xml:space="preserve">    我方保证上述信息的真实和准确，并愿意承担因我方就此弄虚作假所引起的一切法律后果。</w:t>
      </w:r>
    </w:p>
    <w:p>
      <w:pPr>
        <w:spacing w:line="440" w:lineRule="exact"/>
        <w:rPr>
          <w:sz w:val="24"/>
        </w:rPr>
      </w:pPr>
      <w:r>
        <w:rPr>
          <w:rFonts w:hint="eastAsia"/>
          <w:sz w:val="24"/>
        </w:rPr>
        <w:t xml:space="preserve">    特此承诺</w:t>
      </w:r>
    </w:p>
    <w:p>
      <w:pPr>
        <w:spacing w:line="440" w:lineRule="exact"/>
        <w:rPr>
          <w:sz w:val="24"/>
        </w:rPr>
      </w:pPr>
      <w:r>
        <w:rPr>
          <w:rFonts w:hint="eastAsia"/>
          <w:sz w:val="24"/>
        </w:rPr>
        <w:t xml:space="preserve">                                              投标人：</w:t>
      </w:r>
      <w:r>
        <w:rPr>
          <w:rFonts w:hint="eastAsia"/>
          <w:sz w:val="24"/>
          <w:u w:val="single"/>
        </w:rPr>
        <w:t xml:space="preserve">（盖单位章）             </w:t>
      </w:r>
    </w:p>
    <w:p>
      <w:pPr>
        <w:spacing w:line="440" w:lineRule="exact"/>
        <w:rPr>
          <w:sz w:val="24"/>
        </w:rPr>
      </w:pPr>
      <w:r>
        <w:rPr>
          <w:rFonts w:hint="eastAsia"/>
          <w:sz w:val="24"/>
        </w:rPr>
        <w:t xml:space="preserve">                                          法定代表人或其委托代理人：</w:t>
      </w:r>
      <w:r>
        <w:rPr>
          <w:rFonts w:hint="eastAsia"/>
          <w:sz w:val="24"/>
          <w:u w:val="single"/>
        </w:rPr>
        <w:t xml:space="preserve">（签字） </w:t>
      </w:r>
    </w:p>
    <w:p>
      <w:pPr>
        <w:spacing w:line="440" w:lineRule="exact"/>
        <w:rPr>
          <w:sz w:val="24"/>
        </w:rPr>
      </w:pPr>
      <w:r>
        <w:rPr>
          <w:rFonts w:hint="eastAsia"/>
          <w:sz w:val="24"/>
        </w:rPr>
        <w:t xml:space="preserve">                                          项目经理（项目负责人）：</w:t>
      </w:r>
      <w:r>
        <w:rPr>
          <w:rFonts w:hint="eastAsia"/>
          <w:sz w:val="24"/>
          <w:u w:val="single"/>
        </w:rPr>
        <w:t>（签字）</w:t>
      </w:r>
    </w:p>
    <w:p>
      <w:pPr>
        <w:autoSpaceDE w:val="0"/>
        <w:autoSpaceDN w:val="0"/>
        <w:adjustRightInd w:val="0"/>
        <w:spacing w:line="360" w:lineRule="auto"/>
        <w:jc w:val="center"/>
        <w:rPr>
          <w:rFonts w:ascii="新宋体" w:hAnsi="新宋体" w:eastAsia="新宋体" w:cs="TimesNewRomanPSMT"/>
          <w:b/>
          <w:sz w:val="24"/>
        </w:rPr>
      </w:pPr>
      <w:r>
        <w:rPr>
          <w:rFonts w:hint="eastAsia" w:hAnsi="宋体"/>
          <w:sz w:val="24"/>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autoSpaceDE w:val="0"/>
        <w:autoSpaceDN w:val="0"/>
        <w:adjustRightInd w:val="0"/>
        <w:spacing w:line="380" w:lineRule="exact"/>
        <w:rPr>
          <w:rFonts w:ascii="新宋体" w:hAnsi="新宋体" w:eastAsia="新宋体" w:cs="宋体"/>
          <w:b/>
          <w:sz w:val="24"/>
        </w:rPr>
      </w:pPr>
    </w:p>
    <w:p>
      <w:pPr>
        <w:spacing w:line="360" w:lineRule="auto"/>
        <w:jc w:val="center"/>
        <w:rPr>
          <w:rFonts w:hAnsi="宋体"/>
          <w:b/>
          <w:sz w:val="24"/>
        </w:rPr>
      </w:pPr>
      <w:r>
        <w:rPr>
          <w:rFonts w:hint="eastAsia" w:hAnsi="宋体"/>
          <w:b/>
          <w:sz w:val="24"/>
        </w:rPr>
        <w:t>“不挂靠、不转包、不违法分包”专项承诺书</w:t>
      </w:r>
    </w:p>
    <w:p>
      <w:pPr>
        <w:spacing w:line="360" w:lineRule="auto"/>
        <w:rPr>
          <w:rFonts w:hAnsi="宋体"/>
          <w:sz w:val="24"/>
          <w:u w:val="single"/>
        </w:rPr>
      </w:pPr>
      <w:r>
        <w:rPr>
          <w:rFonts w:hint="eastAsia" w:hAnsi="宋体"/>
          <w:sz w:val="24"/>
        </w:rPr>
        <w:t>致</w:t>
      </w:r>
      <w:r>
        <w:rPr>
          <w:rFonts w:hint="eastAsia" w:hAnsi="宋体"/>
          <w:sz w:val="24"/>
          <w:u w:val="single"/>
        </w:rPr>
        <w:t xml:space="preserve">     （招标人）    </w:t>
      </w:r>
      <w:r>
        <w:rPr>
          <w:rFonts w:hint="eastAsia" w:hAnsi="宋体"/>
          <w:sz w:val="24"/>
        </w:rPr>
        <w:t>：</w:t>
      </w:r>
    </w:p>
    <w:p>
      <w:pPr>
        <w:spacing w:line="360" w:lineRule="auto"/>
        <w:ind w:firstLine="480" w:firstLineChars="200"/>
        <w:rPr>
          <w:rFonts w:hAnsi="宋体" w:cs="Arial"/>
          <w:b/>
          <w:sz w:val="24"/>
          <w:shd w:val="clear" w:color="auto" w:fill="FFFFFF"/>
        </w:rPr>
      </w:pPr>
      <w:r>
        <w:rPr>
          <w:rFonts w:hint="eastAsia" w:hAnsi="宋体"/>
          <w:sz w:val="24"/>
        </w:rPr>
        <w:t>我单位为守法经营的建筑工程施工企业，针对本次（</w:t>
      </w:r>
      <w:r>
        <w:rPr>
          <w:rFonts w:hint="eastAsia" w:hAnsi="宋体"/>
          <w:sz w:val="24"/>
          <w:u w:val="single"/>
        </w:rPr>
        <w:t>项目全称）</w:t>
      </w:r>
      <w:r>
        <w:rPr>
          <w:rFonts w:hint="eastAsia" w:hAnsi="宋体"/>
          <w:sz w:val="24"/>
        </w:rPr>
        <w:t>招标项目，我公司郑重承诺：</w:t>
      </w:r>
      <w:r>
        <w:rPr>
          <w:rFonts w:hAnsi="宋体" w:cs="Arial"/>
          <w:b/>
          <w:sz w:val="24"/>
          <w:shd w:val="clear" w:color="auto" w:fill="FFFFFF"/>
        </w:rPr>
        <w:t>绝不</w:t>
      </w:r>
      <w:r>
        <w:rPr>
          <w:rFonts w:hint="eastAsia" w:hAnsi="宋体" w:cs="Arial"/>
          <w:b/>
          <w:sz w:val="24"/>
          <w:shd w:val="clear" w:color="auto" w:fill="FFFFFF"/>
        </w:rPr>
        <w:t>挂靠、不</w:t>
      </w:r>
      <w:r>
        <w:rPr>
          <w:rFonts w:hAnsi="宋体" w:cs="Arial"/>
          <w:b/>
          <w:sz w:val="24"/>
          <w:shd w:val="clear" w:color="auto" w:fill="FFFFFF"/>
        </w:rPr>
        <w:t>转包</w:t>
      </w:r>
      <w:r>
        <w:rPr>
          <w:rFonts w:hint="eastAsia" w:hAnsi="宋体" w:cs="Arial"/>
          <w:b/>
          <w:sz w:val="24"/>
          <w:shd w:val="clear" w:color="auto" w:fill="FFFFFF"/>
        </w:rPr>
        <w:t>、不违法分包</w:t>
      </w:r>
      <w:r>
        <w:rPr>
          <w:rFonts w:hAnsi="宋体" w:cs="Arial"/>
          <w:b/>
          <w:sz w:val="24"/>
          <w:shd w:val="clear" w:color="auto" w:fill="FFFFFF"/>
        </w:rPr>
        <w:t>。</w:t>
      </w:r>
    </w:p>
    <w:p>
      <w:pPr>
        <w:spacing w:line="360" w:lineRule="auto"/>
        <w:ind w:firstLine="480" w:firstLineChars="200"/>
        <w:rPr>
          <w:rFonts w:hAnsi="宋体"/>
          <w:sz w:val="24"/>
        </w:rPr>
      </w:pPr>
      <w:r>
        <w:rPr>
          <w:rFonts w:hAnsi="宋体" w:cs="Arial"/>
          <w:sz w:val="24"/>
          <w:shd w:val="clear" w:color="auto" w:fill="FFFFFF"/>
        </w:rPr>
        <w:t>若有</w:t>
      </w:r>
      <w:r>
        <w:rPr>
          <w:rFonts w:hint="eastAsia" w:hAnsi="宋体" w:cs="Arial"/>
          <w:sz w:val="24"/>
          <w:shd w:val="clear" w:color="auto" w:fill="FFFFFF"/>
        </w:rPr>
        <w:t>挂靠、</w:t>
      </w:r>
      <w:r>
        <w:rPr>
          <w:rFonts w:hAnsi="宋体" w:cs="Arial"/>
          <w:sz w:val="24"/>
          <w:shd w:val="clear" w:color="auto" w:fill="FFFFFF"/>
        </w:rPr>
        <w:t>转包或</w:t>
      </w:r>
      <w:r>
        <w:rPr>
          <w:rFonts w:hint="eastAsia" w:hAnsi="宋体" w:cs="Arial"/>
          <w:sz w:val="24"/>
          <w:shd w:val="clear" w:color="auto" w:fill="FFFFFF"/>
        </w:rPr>
        <w:t>违法分包</w:t>
      </w:r>
      <w:r>
        <w:rPr>
          <w:rFonts w:hAnsi="宋体" w:cs="Arial"/>
          <w:sz w:val="24"/>
          <w:shd w:val="clear" w:color="auto" w:fill="FFFFFF"/>
        </w:rPr>
        <w:t>行为</w:t>
      </w:r>
      <w:r>
        <w:rPr>
          <w:rFonts w:hint="eastAsia" w:hAnsi="宋体" w:cs="Arial"/>
          <w:sz w:val="24"/>
          <w:shd w:val="clear" w:color="auto" w:fill="FFFFFF"/>
        </w:rPr>
        <w:t>愿意接受以下处罚：</w:t>
      </w:r>
    </w:p>
    <w:p>
      <w:pPr>
        <w:spacing w:line="360" w:lineRule="auto"/>
        <w:ind w:firstLine="482" w:firstLineChars="200"/>
        <w:rPr>
          <w:rFonts w:hAnsi="宋体"/>
          <w:b/>
          <w:sz w:val="24"/>
        </w:rPr>
      </w:pPr>
      <w:r>
        <w:rPr>
          <w:rFonts w:hAnsi="宋体" w:cs="Arial"/>
          <w:b/>
          <w:sz w:val="24"/>
          <w:shd w:val="clear" w:color="auto" w:fill="FFFFFF"/>
        </w:rPr>
        <w:t>1、由招标人向市、省和国家建设等行政主管部门报告，</w:t>
      </w:r>
      <w:r>
        <w:rPr>
          <w:rFonts w:hint="eastAsia" w:hAnsi="宋体" w:cs="Arial"/>
          <w:b/>
          <w:sz w:val="24"/>
          <w:shd w:val="clear" w:color="auto" w:fill="FFFFFF"/>
        </w:rPr>
        <w:t>记入</w:t>
      </w:r>
      <w:r>
        <w:rPr>
          <w:rFonts w:hAnsi="宋体" w:cs="Arial"/>
          <w:b/>
          <w:sz w:val="24"/>
          <w:shd w:val="clear" w:color="auto" w:fill="FFFFFF"/>
        </w:rPr>
        <w:t>不良记录</w:t>
      </w:r>
      <w:r>
        <w:rPr>
          <w:rFonts w:hint="eastAsia" w:hAnsi="宋体" w:cs="Arial"/>
          <w:b/>
          <w:sz w:val="24"/>
          <w:shd w:val="clear" w:color="auto" w:fill="FFFFFF"/>
        </w:rPr>
        <w:t>，并愿意接受任何处理决定</w:t>
      </w:r>
      <w:r>
        <w:rPr>
          <w:rFonts w:hAnsi="宋体" w:cs="Arial"/>
          <w:b/>
          <w:sz w:val="24"/>
          <w:shd w:val="clear" w:color="auto" w:fill="FFFFFF"/>
        </w:rPr>
        <w:t>；</w:t>
      </w:r>
      <w:r>
        <w:rPr>
          <w:rFonts w:hAnsi="宋体" w:cs="Arial"/>
          <w:b/>
          <w:sz w:val="24"/>
        </w:rPr>
        <w:br w:type="textWrapping"/>
      </w:r>
      <w:r>
        <w:rPr>
          <w:rFonts w:hint="eastAsia" w:hAnsi="宋体" w:cs="Arial"/>
          <w:b/>
          <w:sz w:val="24"/>
          <w:shd w:val="clear" w:color="auto" w:fill="FFFFFF"/>
        </w:rPr>
        <w:t xml:space="preserve">    </w:t>
      </w:r>
      <w:r>
        <w:rPr>
          <w:rFonts w:hAnsi="宋体" w:cs="Arial"/>
          <w:b/>
          <w:sz w:val="24"/>
          <w:shd w:val="clear" w:color="auto" w:fill="FFFFFF"/>
        </w:rPr>
        <w:t>2、投标期间没收投标保证金，合同履行期间发包人有权责令其出场、</w:t>
      </w:r>
      <w:r>
        <w:rPr>
          <w:rFonts w:hint="eastAsia" w:hAnsi="宋体" w:cs="Arial"/>
          <w:b/>
          <w:sz w:val="24"/>
          <w:shd w:val="clear" w:color="auto" w:fill="FFFFFF"/>
        </w:rPr>
        <w:t>没收履约担保</w:t>
      </w:r>
      <w:r>
        <w:rPr>
          <w:rFonts w:hAnsi="宋体" w:cs="Arial"/>
          <w:b/>
          <w:sz w:val="24"/>
          <w:shd w:val="clear" w:color="auto" w:fill="FFFFFF"/>
        </w:rPr>
        <w:t>，并有权单方面取消承包人的中标资格，终止合同，有此产生的责任和损失均由承包人负责，发包人有权向承包人索赔</w:t>
      </w:r>
      <w:r>
        <w:rPr>
          <w:rFonts w:hint="eastAsia" w:hAnsi="宋体" w:cs="Arial"/>
          <w:b/>
          <w:sz w:val="24"/>
          <w:shd w:val="clear" w:color="auto" w:fill="FFFFFF"/>
        </w:rPr>
        <w:t>；</w:t>
      </w:r>
      <w:r>
        <w:rPr>
          <w:rFonts w:hAnsi="宋体" w:cs="Arial"/>
          <w:b/>
          <w:sz w:val="24"/>
        </w:rPr>
        <w:br w:type="textWrapping"/>
      </w:r>
      <w:r>
        <w:rPr>
          <w:rFonts w:hint="eastAsia" w:hAnsi="宋体" w:cs="Arial"/>
          <w:b/>
          <w:sz w:val="24"/>
          <w:shd w:val="clear" w:color="auto" w:fill="FFFFFF"/>
        </w:rPr>
        <w:t xml:space="preserve">     </w:t>
      </w:r>
      <w:r>
        <w:rPr>
          <w:rFonts w:hAnsi="宋体" w:cs="Arial"/>
          <w:b/>
          <w:sz w:val="24"/>
          <w:shd w:val="clear" w:color="auto" w:fill="FFFFFF"/>
        </w:rPr>
        <w:t>3、由招标人联系司法机关追究相关法律责任。</w:t>
      </w:r>
    </w:p>
    <w:p>
      <w:pPr>
        <w:spacing w:line="360" w:lineRule="auto"/>
        <w:ind w:firstLine="480" w:firstLineChars="200"/>
        <w:rPr>
          <w:rFonts w:hAnsi="宋体"/>
          <w:sz w:val="24"/>
        </w:rPr>
      </w:pPr>
    </w:p>
    <w:p>
      <w:pPr>
        <w:spacing w:line="360" w:lineRule="auto"/>
        <w:ind w:firstLine="480" w:firstLineChars="200"/>
        <w:jc w:val="right"/>
        <w:rPr>
          <w:rFonts w:hAnsi="宋体"/>
          <w:sz w:val="24"/>
        </w:rPr>
      </w:pPr>
      <w:r>
        <w:rPr>
          <w:rFonts w:hint="eastAsia" w:hAnsi="宋体"/>
          <w:sz w:val="24"/>
        </w:rPr>
        <w:t xml:space="preserve">单位全称： （盖  章） </w:t>
      </w:r>
    </w:p>
    <w:p>
      <w:pPr>
        <w:spacing w:line="360" w:lineRule="auto"/>
        <w:ind w:firstLine="480" w:firstLineChars="200"/>
        <w:jc w:val="right"/>
        <w:rPr>
          <w:rFonts w:hAnsi="宋体"/>
          <w:sz w:val="24"/>
        </w:rPr>
      </w:pPr>
      <w:r>
        <w:rPr>
          <w:rFonts w:hint="eastAsia" w:hAnsi="宋体"/>
          <w:sz w:val="24"/>
        </w:rPr>
        <w:t xml:space="preserve">法定代表人：（签 字） </w:t>
      </w:r>
    </w:p>
    <w:p>
      <w:pPr>
        <w:autoSpaceDE w:val="0"/>
        <w:autoSpaceDN w:val="0"/>
        <w:adjustRightInd w:val="0"/>
        <w:spacing w:line="380" w:lineRule="exact"/>
        <w:rPr>
          <w:rFonts w:hAnsi="宋体"/>
          <w:sz w:val="24"/>
        </w:rPr>
      </w:pPr>
      <w:r>
        <w:rPr>
          <w:rFonts w:hint="eastAsia" w:hAnsi="宋体"/>
          <w:sz w:val="24"/>
        </w:rPr>
        <w:t xml:space="preserve">                                                           年    月    日</w:t>
      </w:r>
    </w:p>
    <w:p>
      <w:pPr>
        <w:autoSpaceDE w:val="0"/>
        <w:autoSpaceDN w:val="0"/>
        <w:adjustRightInd w:val="0"/>
        <w:spacing w:line="380" w:lineRule="exact"/>
        <w:rPr>
          <w:rFonts w:hAnsi="宋体"/>
          <w:sz w:val="24"/>
        </w:rPr>
      </w:pPr>
    </w:p>
    <w:p>
      <w:pPr>
        <w:autoSpaceDE w:val="0"/>
        <w:autoSpaceDN w:val="0"/>
        <w:adjustRightInd w:val="0"/>
        <w:spacing w:line="360" w:lineRule="auto"/>
        <w:ind w:right="215"/>
        <w:jc w:val="center"/>
        <w:rPr>
          <w:rFonts w:hint="eastAsia" w:hAnsi="宋体"/>
          <w:b/>
          <w:sz w:val="24"/>
        </w:rPr>
      </w:pPr>
    </w:p>
    <w:p>
      <w:pPr>
        <w:autoSpaceDE w:val="0"/>
        <w:autoSpaceDN w:val="0"/>
        <w:adjustRightInd w:val="0"/>
        <w:spacing w:line="360" w:lineRule="auto"/>
        <w:ind w:right="215"/>
        <w:jc w:val="center"/>
        <w:rPr>
          <w:rFonts w:hint="eastAsia" w:hAnsi="宋体" w:cs="方正大标宋简体"/>
          <w:b/>
          <w:sz w:val="24"/>
        </w:rPr>
      </w:pPr>
      <w:r>
        <w:rPr>
          <w:rFonts w:hint="eastAsia" w:hAnsi="宋体" w:cs="方正大标宋简体"/>
          <w:b/>
          <w:sz w:val="24"/>
        </w:rPr>
        <w:t>关于施工工地扬尘污染整治的承诺</w:t>
      </w:r>
    </w:p>
    <w:p>
      <w:pPr>
        <w:autoSpaceDE w:val="0"/>
        <w:autoSpaceDN w:val="0"/>
        <w:adjustRightInd w:val="0"/>
        <w:spacing w:line="360" w:lineRule="auto"/>
        <w:ind w:right="215"/>
        <w:jc w:val="center"/>
        <w:rPr>
          <w:rFonts w:hint="eastAsia" w:hAnsi="宋体" w:cs="方正大标宋简体"/>
          <w:b/>
          <w:sz w:val="24"/>
        </w:rPr>
      </w:pPr>
      <w:r>
        <w:rPr>
          <w:rFonts w:hint="eastAsia" w:hAnsi="宋体" w:cs="方正大标宋简体"/>
          <w:b/>
          <w:sz w:val="24"/>
        </w:rPr>
        <w:t>（内容自行编制）</w:t>
      </w:r>
    </w:p>
    <w:p>
      <w:pPr>
        <w:autoSpaceDE w:val="0"/>
        <w:autoSpaceDN w:val="0"/>
        <w:adjustRightInd w:val="0"/>
        <w:spacing w:line="360" w:lineRule="auto"/>
        <w:ind w:right="215"/>
        <w:jc w:val="center"/>
        <w:rPr>
          <w:rFonts w:hint="eastAsia" w:hAnsi="宋体" w:cs="方正大标宋简体"/>
          <w:b/>
          <w:sz w:val="24"/>
        </w:rPr>
      </w:pPr>
    </w:p>
    <w:p>
      <w:pPr>
        <w:spacing w:line="360" w:lineRule="auto"/>
        <w:ind w:firstLine="480" w:firstLineChars="200"/>
        <w:jc w:val="right"/>
        <w:rPr>
          <w:rFonts w:hAnsi="宋体"/>
          <w:sz w:val="24"/>
        </w:rPr>
      </w:pPr>
      <w:r>
        <w:rPr>
          <w:rFonts w:hint="eastAsia" w:hAnsi="宋体"/>
          <w:sz w:val="24"/>
        </w:rPr>
        <w:t xml:space="preserve">单位全称： （盖  章） </w:t>
      </w:r>
    </w:p>
    <w:p>
      <w:pPr>
        <w:spacing w:line="360" w:lineRule="auto"/>
        <w:ind w:firstLine="480" w:firstLineChars="200"/>
        <w:jc w:val="right"/>
        <w:rPr>
          <w:rFonts w:hAnsi="宋体"/>
          <w:sz w:val="24"/>
        </w:rPr>
      </w:pPr>
      <w:r>
        <w:rPr>
          <w:rFonts w:hint="eastAsia" w:hAnsi="宋体"/>
          <w:sz w:val="24"/>
        </w:rPr>
        <w:t xml:space="preserve">法定代表人：（签 字） </w:t>
      </w:r>
    </w:p>
    <w:p>
      <w:pPr>
        <w:autoSpaceDE w:val="0"/>
        <w:autoSpaceDN w:val="0"/>
        <w:adjustRightInd w:val="0"/>
        <w:spacing w:line="360" w:lineRule="auto"/>
        <w:ind w:right="215"/>
        <w:jc w:val="center"/>
        <w:rPr>
          <w:rFonts w:hint="eastAsia" w:hAnsi="宋体"/>
          <w:b/>
          <w:sz w:val="24"/>
        </w:rPr>
      </w:pPr>
      <w:r>
        <w:rPr>
          <w:rFonts w:hint="eastAsia" w:hAnsi="宋体"/>
          <w:sz w:val="24"/>
        </w:rPr>
        <w:t xml:space="preserve">                                                         年    月    日</w:t>
      </w:r>
    </w:p>
    <w:p>
      <w:pPr>
        <w:autoSpaceDE w:val="0"/>
        <w:autoSpaceDN w:val="0"/>
        <w:adjustRightInd w:val="0"/>
        <w:spacing w:line="360" w:lineRule="auto"/>
        <w:ind w:right="215"/>
        <w:jc w:val="center"/>
        <w:rPr>
          <w:rFonts w:hint="eastAsia" w:hAnsi="宋体" w:cs="方正大标宋简体"/>
          <w:b/>
          <w:sz w:val="24"/>
        </w:rPr>
      </w:pPr>
      <w:bookmarkStart w:id="369" w:name="_Toc486277946"/>
      <w:bookmarkStart w:id="370" w:name="_Toc5401"/>
      <w:bookmarkStart w:id="371" w:name="_Toc485889081"/>
      <w:r>
        <w:rPr>
          <w:rFonts w:hint="eastAsia" w:hAnsi="宋体" w:cs="方正大标宋简体"/>
          <w:b/>
          <w:sz w:val="24"/>
        </w:rPr>
        <w:t>使用商品混凝土承诺书</w:t>
      </w:r>
    </w:p>
    <w:p>
      <w:pPr>
        <w:autoSpaceDE w:val="0"/>
        <w:autoSpaceDN w:val="0"/>
        <w:adjustRightInd w:val="0"/>
        <w:spacing w:line="360" w:lineRule="auto"/>
        <w:ind w:right="215"/>
        <w:rPr>
          <w:rFonts w:hint="eastAsia" w:hAnsi="宋体" w:cs="方正大标宋简体"/>
          <w:b/>
          <w:sz w:val="24"/>
        </w:rPr>
      </w:pPr>
      <w:r>
        <w:rPr>
          <w:rFonts w:hint="eastAsia" w:hAnsi="宋体"/>
          <w:sz w:val="24"/>
        </w:rPr>
        <w:t>致</w:t>
      </w:r>
      <w:r>
        <w:rPr>
          <w:rFonts w:hint="eastAsia" w:hAnsi="宋体"/>
          <w:sz w:val="24"/>
          <w:u w:val="single"/>
        </w:rPr>
        <w:t xml:space="preserve">     （招标人）    </w:t>
      </w:r>
      <w:r>
        <w:rPr>
          <w:rFonts w:hint="eastAsia" w:hAnsi="宋体"/>
          <w:sz w:val="24"/>
        </w:rPr>
        <w:t>：</w:t>
      </w:r>
    </w:p>
    <w:p>
      <w:pPr>
        <w:autoSpaceDE w:val="0"/>
        <w:autoSpaceDN w:val="0"/>
        <w:adjustRightInd w:val="0"/>
        <w:spacing w:line="360" w:lineRule="auto"/>
        <w:ind w:right="215" w:firstLine="480" w:firstLineChars="200"/>
        <w:rPr>
          <w:rFonts w:hint="eastAsia" w:hAnsi="宋体"/>
          <w:sz w:val="24"/>
        </w:rPr>
      </w:pPr>
      <w:r>
        <w:rPr>
          <w:rFonts w:hint="eastAsia" w:hAnsi="宋体"/>
          <w:sz w:val="24"/>
        </w:rPr>
        <w:t>若我单位中标，我单位承诺该项目所使用商品混凝土须为有生产资质的单位生产，且该生产单位具有有效期的实验室资质。</w:t>
      </w:r>
    </w:p>
    <w:p>
      <w:pPr>
        <w:spacing w:line="360" w:lineRule="auto"/>
        <w:ind w:firstLine="480" w:firstLineChars="200"/>
        <w:jc w:val="right"/>
        <w:rPr>
          <w:rFonts w:hAnsi="宋体"/>
          <w:sz w:val="24"/>
        </w:rPr>
      </w:pPr>
      <w:r>
        <w:rPr>
          <w:rFonts w:hint="eastAsia" w:hAnsi="宋体"/>
          <w:sz w:val="24"/>
        </w:rPr>
        <w:t xml:space="preserve">单位全称： （盖  章） </w:t>
      </w:r>
    </w:p>
    <w:p>
      <w:pPr>
        <w:spacing w:line="360" w:lineRule="auto"/>
        <w:ind w:firstLine="480" w:firstLineChars="200"/>
        <w:jc w:val="right"/>
        <w:rPr>
          <w:rFonts w:hAnsi="宋体"/>
          <w:sz w:val="24"/>
        </w:rPr>
      </w:pPr>
      <w:r>
        <w:rPr>
          <w:rFonts w:hint="eastAsia" w:hAnsi="宋体"/>
          <w:sz w:val="24"/>
        </w:rPr>
        <w:t xml:space="preserve">法定代表人：（签 字） </w:t>
      </w:r>
    </w:p>
    <w:p>
      <w:pPr>
        <w:autoSpaceDE w:val="0"/>
        <w:autoSpaceDN w:val="0"/>
        <w:adjustRightInd w:val="0"/>
        <w:spacing w:line="360" w:lineRule="auto"/>
        <w:ind w:right="215"/>
        <w:jc w:val="center"/>
        <w:rPr>
          <w:rFonts w:hint="eastAsia" w:hAnsi="宋体"/>
          <w:b/>
          <w:sz w:val="24"/>
        </w:rPr>
      </w:pPr>
      <w:r>
        <w:rPr>
          <w:rFonts w:hint="eastAsia" w:hAnsi="宋体"/>
          <w:sz w:val="24"/>
        </w:rPr>
        <w:t xml:space="preserve">                                                         年    月    日</w:t>
      </w:r>
    </w:p>
    <w:p>
      <w:pPr>
        <w:pStyle w:val="6"/>
        <w:keepNext w:val="0"/>
        <w:keepLines w:val="0"/>
        <w:spacing w:before="312" w:beforeLines="100" w:after="468" w:afterLines="150" w:line="360" w:lineRule="auto"/>
        <w:jc w:val="center"/>
        <w:rPr>
          <w:rFonts w:hint="eastAsia" w:ascii="宋体" w:hAnsi="宋体"/>
          <w:sz w:val="30"/>
          <w:szCs w:val="30"/>
          <w:lang w:eastAsia="zh-CN"/>
        </w:rPr>
      </w:pPr>
    </w:p>
    <w:p>
      <w:pPr>
        <w:pStyle w:val="6"/>
        <w:keepNext w:val="0"/>
        <w:keepLines w:val="0"/>
        <w:spacing w:before="312" w:beforeLines="100" w:after="468" w:afterLines="150" w:line="360" w:lineRule="auto"/>
        <w:jc w:val="center"/>
        <w:rPr>
          <w:rFonts w:ascii="宋体" w:hAnsi="宋体"/>
          <w:sz w:val="30"/>
          <w:szCs w:val="30"/>
        </w:rPr>
      </w:pPr>
      <w:r>
        <w:rPr>
          <w:rFonts w:hint="eastAsia" w:ascii="宋体" w:hAnsi="宋体"/>
          <w:sz w:val="30"/>
          <w:szCs w:val="30"/>
        </w:rPr>
        <w:t>九、其 他 材 料</w:t>
      </w:r>
      <w:bookmarkEnd w:id="365"/>
      <w:bookmarkEnd w:id="369"/>
      <w:bookmarkEnd w:id="370"/>
      <w:bookmarkEnd w:id="371"/>
    </w:p>
    <w:p>
      <w:pPr>
        <w:spacing w:line="360" w:lineRule="auto"/>
        <w:rPr>
          <w:rFonts w:hint="eastAsia" w:ascii="宋体" w:hAnsi="宋体"/>
        </w:rPr>
      </w:pPr>
    </w:p>
    <w:p>
      <w:pPr>
        <w:pStyle w:val="18"/>
        <w:spacing w:line="360" w:lineRule="auto"/>
        <w:ind w:firstLine="400"/>
        <w:rPr>
          <w:rFonts w:hint="eastAsia" w:ascii="宋体" w:hAnsi="宋体"/>
        </w:rPr>
      </w:pPr>
    </w:p>
    <w:p>
      <w:pPr>
        <w:keepNext/>
        <w:keepLines/>
        <w:spacing w:before="156" w:beforeLines="50" w:line="360" w:lineRule="auto"/>
        <w:jc w:val="center"/>
        <w:outlineLvl w:val="0"/>
        <w:rPr>
          <w:rFonts w:ascii="宋体" w:hAnsi="宋体"/>
          <w:b/>
          <w:bCs/>
          <w:sz w:val="36"/>
          <w:szCs w:val="36"/>
        </w:rPr>
      </w:pPr>
      <w:r>
        <w:rPr>
          <w:rFonts w:hint="eastAsia" w:ascii="宋体" w:hAnsi="宋体"/>
          <w:b/>
          <w:bCs/>
          <w:sz w:val="36"/>
          <w:szCs w:val="36"/>
        </w:rPr>
        <w:t>二、投标文件第二个信封（投标报价和工程量清单）格式</w:t>
      </w:r>
    </w:p>
    <w:p>
      <w:pPr>
        <w:spacing w:line="360" w:lineRule="auto"/>
        <w:rPr>
          <w:rFonts w:ascii="宋体" w:hAnsi="宋体"/>
          <w:sz w:val="24"/>
        </w:rPr>
      </w:pPr>
    </w:p>
    <w:p>
      <w:pPr>
        <w:spacing w:line="360" w:lineRule="auto"/>
        <w:ind w:firstLine="420" w:firstLineChars="200"/>
        <w:rPr>
          <w:rFonts w:ascii="宋体" w:hAnsi="宋体"/>
          <w:sz w:val="24"/>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4268470</wp:posOffset>
                </wp:positionH>
                <wp:positionV relativeFrom="paragraph">
                  <wp:posOffset>104140</wp:posOffset>
                </wp:positionV>
                <wp:extent cx="866775" cy="311150"/>
                <wp:effectExtent l="4445" t="5080" r="12700" b="19050"/>
                <wp:wrapNone/>
                <wp:docPr id="4" name="文本框 4"/>
                <wp:cNvGraphicFramePr/>
                <a:graphic xmlns:a="http://schemas.openxmlformats.org/drawingml/2006/main">
                  <a:graphicData uri="http://schemas.microsoft.com/office/word/2010/wordprocessingShape">
                    <wps:wsp>
                      <wps:cNvSpPr txBox="1"/>
                      <wps:spPr>
                        <a:xfrm>
                          <a:off x="0" y="0"/>
                          <a:ext cx="866775" cy="311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w:t>
                            </w:r>
                            <w:r>
                              <w:t>/</w:t>
                            </w:r>
                            <w:r>
                              <w:rPr>
                                <w:rFonts w:hint="eastAsia"/>
                              </w:rPr>
                              <w:t>副本</w:t>
                            </w:r>
                          </w:p>
                        </w:txbxContent>
                      </wps:txbx>
                      <wps:bodyPr upright="1"/>
                    </wps:wsp>
                  </a:graphicData>
                </a:graphic>
              </wp:anchor>
            </w:drawing>
          </mc:Choice>
          <mc:Fallback>
            <w:pict>
              <v:shape id="_x0000_s1026" o:spid="_x0000_s1026" o:spt="202" type="#_x0000_t202" style="position:absolute;left:0pt;margin-left:336.1pt;margin-top:8.2pt;height:24.5pt;width:68.25pt;z-index:251659264;mso-width-relative:page;mso-height-relative:page;" fillcolor="#FFFFFF" filled="t" stroked="t" coordsize="21600,21600" o:gfxdata="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5aFONgAAAAJAQAADwAAAAAAAAABACAAAAAiAAAAZHJzL2Rvd25yZXYueG1s&#10;UEsBAhQAFAAAAAgAh07iQPW4/S34AQAA9QMAAA4AAAAAAAAAAQAgAAAAJwEAAGRycy9lMm9Eb2Mu&#10;eG1sUEsFBgAAAAAGAAYAWQEAAJEFAAAAAA==&#10;">
                <v:fill on="t" focussize="0,0"/>
                <v:stroke color="#000000" joinstyle="miter"/>
                <v:imagedata o:title=""/>
                <o:lock v:ext="edit" aspectratio="f"/>
                <v:textbox>
                  <w:txbxContent>
                    <w:p>
                      <w:r>
                        <w:rPr>
                          <w:rFonts w:hint="eastAsia"/>
                        </w:rPr>
                        <w:t>正本</w:t>
                      </w:r>
                      <w:r>
                        <w:t>/</w:t>
                      </w:r>
                      <w:r>
                        <w:rPr>
                          <w:rFonts w:hint="eastAsia"/>
                        </w:rPr>
                        <w:t>副本</w:t>
                      </w:r>
                    </w:p>
                  </w:txbxContent>
                </v:textbox>
              </v:shape>
            </w:pict>
          </mc:Fallback>
        </mc:AlternateContent>
      </w:r>
    </w:p>
    <w:p>
      <w:pPr>
        <w:spacing w:line="360" w:lineRule="auto"/>
        <w:ind w:firstLine="480" w:firstLineChars="200"/>
        <w:rPr>
          <w:rFonts w:ascii="宋体" w:hAnsi="宋体"/>
          <w:sz w:val="24"/>
        </w:rPr>
      </w:pPr>
    </w:p>
    <w:p>
      <w:pPr>
        <w:spacing w:line="360" w:lineRule="auto"/>
        <w:jc w:val="left"/>
        <w:rPr>
          <w:rFonts w:ascii="宋体" w:hAnsi="宋体"/>
          <w:sz w:val="24"/>
        </w:rPr>
      </w:pPr>
    </w:p>
    <w:p>
      <w:pPr>
        <w:spacing w:line="360" w:lineRule="auto"/>
        <w:jc w:val="center"/>
        <w:rPr>
          <w:rFonts w:ascii="宋体" w:hAnsi="宋体" w:cs="宋体"/>
          <w:b/>
          <w:bCs/>
          <w:sz w:val="44"/>
          <w:szCs w:val="44"/>
        </w:rPr>
      </w:pPr>
      <w:r>
        <w:rPr>
          <w:rFonts w:hint="eastAsia" w:ascii="宋体" w:hAnsi="宋体" w:cs="宋体"/>
          <w:b/>
          <w:bCs/>
          <w:sz w:val="44"/>
          <w:szCs w:val="44"/>
        </w:rPr>
        <w:t>项目名称</w:t>
      </w:r>
    </w:p>
    <w:p>
      <w:pPr>
        <w:spacing w:line="360" w:lineRule="auto"/>
        <w:rPr>
          <w:rFonts w:ascii="宋体" w:hAnsi="宋体"/>
          <w:sz w:val="20"/>
          <w:szCs w:val="20"/>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sz w:val="24"/>
        </w:rPr>
      </w:pPr>
    </w:p>
    <w:p>
      <w:pPr>
        <w:spacing w:line="360" w:lineRule="auto"/>
        <w:jc w:val="center"/>
        <w:rPr>
          <w:rFonts w:ascii="宋体" w:hAnsi="宋体"/>
          <w:b/>
          <w:bCs/>
          <w:sz w:val="84"/>
          <w:szCs w:val="84"/>
        </w:rPr>
      </w:pPr>
      <w:r>
        <w:rPr>
          <w:rFonts w:hint="eastAsia" w:ascii="宋体" w:hAnsi="宋体"/>
          <w:b/>
          <w:bCs/>
          <w:sz w:val="84"/>
          <w:szCs w:val="84"/>
        </w:rPr>
        <w:t>投标文件</w:t>
      </w:r>
    </w:p>
    <w:p>
      <w:pPr>
        <w:spacing w:line="360" w:lineRule="auto"/>
        <w:jc w:val="center"/>
        <w:rPr>
          <w:rFonts w:ascii="宋体" w:hAnsi="宋体"/>
          <w:b/>
          <w:bCs/>
          <w:sz w:val="72"/>
          <w:szCs w:val="72"/>
        </w:rPr>
      </w:pPr>
      <w:r>
        <w:rPr>
          <w:rFonts w:hint="eastAsia" w:ascii="宋体" w:hAnsi="宋体"/>
          <w:b/>
          <w:bCs/>
          <w:sz w:val="72"/>
          <w:szCs w:val="72"/>
        </w:rPr>
        <w:t>第二信封</w:t>
      </w:r>
    </w:p>
    <w:p>
      <w:pPr>
        <w:topLinePunct/>
        <w:spacing w:line="360" w:lineRule="auto"/>
        <w:ind w:firstLine="3036" w:firstLineChars="945"/>
        <w:rPr>
          <w:rFonts w:ascii="宋体" w:hAnsi="宋体" w:cs="仿宋"/>
          <w:b/>
          <w:bCs/>
          <w:color w:val="000000"/>
          <w:sz w:val="32"/>
          <w:szCs w:val="32"/>
        </w:rPr>
      </w:pPr>
      <w:r>
        <w:rPr>
          <w:rFonts w:hint="eastAsia" w:ascii="宋体" w:hAnsi="宋体" w:cs="仿宋"/>
          <w:b/>
          <w:bCs/>
          <w:color w:val="000000"/>
          <w:sz w:val="32"/>
          <w:szCs w:val="32"/>
        </w:rPr>
        <w:t>（投标报价和工程量清单）</w:t>
      </w:r>
    </w:p>
    <w:p>
      <w:pPr>
        <w:spacing w:line="360" w:lineRule="auto"/>
        <w:jc w:val="center"/>
        <w:rPr>
          <w:rFonts w:ascii="宋体" w:hAnsi="宋体"/>
          <w:sz w:val="24"/>
        </w:rPr>
      </w:pPr>
    </w:p>
    <w:p>
      <w:pPr>
        <w:spacing w:line="360" w:lineRule="auto"/>
        <w:jc w:val="center"/>
        <w:rPr>
          <w:rFonts w:hint="eastAsia" w:ascii="宋体" w:hAnsi="宋体"/>
          <w:sz w:val="24"/>
        </w:rPr>
      </w:pPr>
      <w:r>
        <w:rPr>
          <w:rFonts w:hint="eastAsia" w:ascii="宋体" w:hAnsi="宋体"/>
          <w:sz w:val="24"/>
        </w:rPr>
        <w:t>项目编号：</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ind w:firstLine="2783" w:firstLineChars="990"/>
        <w:rPr>
          <w:rFonts w:ascii="宋体" w:hAnsi="宋体" w:cs="宋体"/>
          <w:b/>
          <w:bCs/>
          <w:sz w:val="28"/>
          <w:szCs w:val="28"/>
          <w:u w:val="single"/>
        </w:rPr>
      </w:pPr>
      <w:r>
        <w:rPr>
          <w:rFonts w:hint="eastAsia" w:ascii="宋体" w:hAnsi="宋体" w:cs="宋体"/>
          <w:b/>
          <w:bCs/>
          <w:sz w:val="28"/>
          <w:szCs w:val="28"/>
        </w:rPr>
        <w:t>投标人：   （盖单位公章）</w:t>
      </w:r>
    </w:p>
    <w:p>
      <w:pPr>
        <w:spacing w:line="360" w:lineRule="auto"/>
        <w:ind w:firstLine="2221" w:firstLineChars="790"/>
        <w:rPr>
          <w:rFonts w:ascii="宋体" w:hAnsi="宋体" w:cs="宋体"/>
          <w:b/>
          <w:bCs/>
          <w:sz w:val="28"/>
          <w:szCs w:val="28"/>
        </w:rPr>
      </w:pPr>
      <w:r>
        <w:rPr>
          <w:rFonts w:hint="eastAsia" w:ascii="宋体" w:hAnsi="宋体" w:cs="宋体"/>
          <w:b/>
          <w:bCs/>
          <w:sz w:val="28"/>
          <w:szCs w:val="28"/>
        </w:rPr>
        <w:t>法定代表人或其委托代理人：（签字）</w:t>
      </w:r>
    </w:p>
    <w:p>
      <w:pPr>
        <w:spacing w:line="360" w:lineRule="auto"/>
        <w:jc w:val="center"/>
        <w:rPr>
          <w:rFonts w:ascii="宋体" w:hAnsi="宋体" w:cs="宋体"/>
          <w:b/>
          <w:bCs/>
          <w:sz w:val="28"/>
          <w:szCs w:val="28"/>
        </w:rPr>
      </w:pPr>
      <w:r>
        <w:rPr>
          <w:rFonts w:hint="eastAsia" w:ascii="宋体" w:hAnsi="宋体" w:cs="宋体"/>
          <w:b/>
          <w:bCs/>
          <w:sz w:val="28"/>
          <w:szCs w:val="28"/>
        </w:rPr>
        <w:t>年   月  日</w:t>
      </w:r>
    </w:p>
    <w:p>
      <w:pPr>
        <w:spacing w:line="360" w:lineRule="auto"/>
        <w:jc w:val="center"/>
        <w:rPr>
          <w:rFonts w:ascii="宋体" w:hAnsi="宋体"/>
        </w:rPr>
        <w:sectPr>
          <w:type w:val="continuous"/>
          <w:pgSz w:w="11906" w:h="16838"/>
          <w:pgMar w:top="1440" w:right="1080" w:bottom="1440" w:left="1080" w:header="851" w:footer="992" w:gutter="0"/>
          <w:pgNumType w:fmt="numberInDash"/>
          <w:cols w:space="720" w:num="1"/>
          <w:docGrid w:type="lines" w:linePitch="312" w:charSpace="0"/>
        </w:sectPr>
      </w:pPr>
    </w:p>
    <w:p>
      <w:pPr>
        <w:topLinePunct/>
        <w:spacing w:line="360" w:lineRule="auto"/>
        <w:jc w:val="center"/>
        <w:rPr>
          <w:rFonts w:ascii="宋体" w:hAnsi="宋体" w:cs="宋体"/>
          <w:b/>
          <w:sz w:val="44"/>
          <w:szCs w:val="44"/>
        </w:rPr>
      </w:pPr>
      <w:r>
        <w:rPr>
          <w:rFonts w:hint="eastAsia" w:ascii="宋体" w:hAnsi="宋体" w:cs="宋体"/>
          <w:b/>
          <w:sz w:val="44"/>
          <w:szCs w:val="44"/>
        </w:rPr>
        <w:t>目</w:t>
      </w:r>
      <w:r>
        <w:rPr>
          <w:rFonts w:ascii="宋体" w:hAnsi="宋体" w:cs="宋体"/>
          <w:b/>
          <w:sz w:val="44"/>
          <w:szCs w:val="44"/>
        </w:rPr>
        <w:tab/>
      </w:r>
      <w:r>
        <w:rPr>
          <w:rFonts w:hint="eastAsia" w:ascii="宋体" w:hAnsi="宋体" w:cs="宋体"/>
          <w:b/>
          <w:sz w:val="44"/>
          <w:szCs w:val="44"/>
        </w:rPr>
        <w:t>录</w:t>
      </w:r>
    </w:p>
    <w:p>
      <w:pPr>
        <w:topLinePunct/>
        <w:spacing w:line="360" w:lineRule="auto"/>
        <w:rPr>
          <w:rFonts w:ascii="宋体" w:hAnsi="宋体" w:cs="宋体"/>
          <w:b/>
          <w:bCs/>
          <w:sz w:val="28"/>
          <w:szCs w:val="28"/>
        </w:rPr>
      </w:pPr>
      <w:r>
        <w:rPr>
          <w:rFonts w:hint="eastAsia" w:ascii="宋体" w:hAnsi="宋体" w:cs="宋体"/>
          <w:b/>
          <w:bCs/>
          <w:sz w:val="28"/>
          <w:szCs w:val="28"/>
        </w:rPr>
        <w:t>一、投标函</w:t>
      </w:r>
    </w:p>
    <w:p>
      <w:pPr>
        <w:topLinePunct/>
        <w:spacing w:line="360" w:lineRule="auto"/>
        <w:rPr>
          <w:rFonts w:ascii="宋体" w:hAnsi="宋体" w:cs="宋体"/>
          <w:b/>
          <w:bCs/>
          <w:sz w:val="28"/>
          <w:szCs w:val="28"/>
        </w:rPr>
      </w:pPr>
      <w:r>
        <w:rPr>
          <w:rFonts w:hint="eastAsia" w:ascii="宋体" w:hAnsi="宋体" w:cs="宋体"/>
          <w:b/>
          <w:bCs/>
          <w:sz w:val="28"/>
          <w:szCs w:val="28"/>
        </w:rPr>
        <w:t>二、已标价工程量清单</w:t>
      </w:r>
    </w:p>
    <w:p>
      <w:pPr>
        <w:spacing w:line="360" w:lineRule="auto"/>
        <w:rPr>
          <w:rFonts w:ascii="宋体" w:hAnsi="宋体"/>
        </w:rPr>
        <w:sectPr>
          <w:type w:val="continuous"/>
          <w:pgSz w:w="11906" w:h="16838"/>
          <w:pgMar w:top="1440" w:right="1080" w:bottom="1440" w:left="1080" w:header="851" w:footer="1077" w:gutter="0"/>
          <w:pgNumType w:fmt="numberInDash"/>
          <w:cols w:space="720" w:num="1"/>
          <w:docGrid w:type="lines" w:linePitch="312" w:charSpace="0"/>
        </w:sectPr>
      </w:pPr>
    </w:p>
    <w:p>
      <w:pPr>
        <w:spacing w:line="360" w:lineRule="auto"/>
        <w:jc w:val="center"/>
        <w:rPr>
          <w:rFonts w:ascii="宋体" w:hAnsi="宋体"/>
          <w:b/>
          <w:sz w:val="32"/>
          <w:szCs w:val="32"/>
        </w:rPr>
      </w:pPr>
      <w:r>
        <w:rPr>
          <w:rFonts w:hint="eastAsia" w:ascii="宋体" w:hAnsi="宋体"/>
          <w:b/>
          <w:sz w:val="32"/>
          <w:szCs w:val="32"/>
        </w:rPr>
        <w:t>一、投标函</w:t>
      </w:r>
    </w:p>
    <w:p>
      <w:pPr>
        <w:spacing w:line="360" w:lineRule="auto"/>
        <w:jc w:val="center"/>
        <w:rPr>
          <w:rFonts w:ascii="宋体" w:hAnsi="宋体"/>
        </w:rPr>
      </w:pPr>
      <w:r>
        <w:rPr>
          <w:rFonts w:hint="eastAsia" w:ascii="宋体" w:hAnsi="宋体"/>
        </w:rPr>
        <w:t>投 标 函</w:t>
      </w:r>
    </w:p>
    <w:p>
      <w:pPr>
        <w:spacing w:line="360" w:lineRule="auto"/>
        <w:jc w:val="left"/>
        <w:rPr>
          <w:rFonts w:ascii="宋体" w:hAnsi="宋体"/>
        </w:rPr>
      </w:pPr>
      <w:r>
        <w:rPr>
          <w:rFonts w:hint="eastAsia" w:ascii="宋体" w:hAnsi="宋体"/>
        </w:rPr>
        <w:t>_________________________(招标人名称)：</w:t>
      </w:r>
    </w:p>
    <w:p>
      <w:pPr>
        <w:spacing w:line="360" w:lineRule="auto"/>
        <w:ind w:firstLine="420" w:firstLineChars="200"/>
        <w:jc w:val="left"/>
        <w:rPr>
          <w:rFonts w:ascii="宋体" w:hAnsi="宋体"/>
        </w:rPr>
      </w:pPr>
      <w:r>
        <w:rPr>
          <w:rFonts w:hint="eastAsia" w:ascii="宋体" w:hAnsi="宋体"/>
        </w:rPr>
        <w:t>1．我方已仔细研究________________(项目名称</w:t>
      </w:r>
      <w:r>
        <w:rPr>
          <w:rFonts w:hint="eastAsia" w:ascii="宋体" w:hAnsi="宋体"/>
          <w:u w:val="single"/>
        </w:rPr>
        <w:t xml:space="preserve">   </w:t>
      </w:r>
      <w:r>
        <w:rPr>
          <w:rFonts w:hint="eastAsia" w:ascii="宋体" w:hAnsi="宋体"/>
        </w:rPr>
        <w:t>标段)施工招标文件的全部内容，在考察工程现场后，愿意以人民币(大写)________元(小写：________ )的投标总报价，(或根据招标文件规定修正核实后确定的另一金额)。按合同约定实施和完成承包工程，修补工程中的任何缺陷。</w:t>
      </w:r>
    </w:p>
    <w:p>
      <w:pPr>
        <w:spacing w:line="360" w:lineRule="auto"/>
        <w:ind w:firstLine="420" w:firstLineChars="200"/>
        <w:jc w:val="left"/>
        <w:rPr>
          <w:rFonts w:ascii="宋体" w:hAnsi="宋体"/>
        </w:rPr>
      </w:pPr>
      <w:r>
        <w:rPr>
          <w:rFonts w:hint="eastAsia" w:ascii="宋体" w:hAnsi="宋体"/>
        </w:rPr>
        <w:t>2．在合同协议书正式签署生效之前，本投标函连同你方的中标通知书将构成我们双方之间共同遵守的文件，对双方具有约束力。</w:t>
      </w:r>
    </w:p>
    <w:p>
      <w:pPr>
        <w:spacing w:line="360" w:lineRule="auto"/>
        <w:ind w:firstLine="420" w:firstLineChars="200"/>
        <w:jc w:val="left"/>
        <w:rPr>
          <w:rFonts w:ascii="宋体" w:hAnsi="宋体"/>
        </w:rPr>
      </w:pPr>
      <w:r>
        <w:rPr>
          <w:rFonts w:hint="eastAsia" w:ascii="宋体" w:hAnsi="宋体"/>
        </w:rPr>
        <w:t>3．__________________________________(其他补充说明)。</w:t>
      </w:r>
    </w:p>
    <w:p>
      <w:pPr>
        <w:spacing w:line="360" w:lineRule="auto"/>
        <w:jc w:val="left"/>
        <w:rPr>
          <w:rFonts w:ascii="宋体" w:hAnsi="宋体"/>
        </w:rPr>
      </w:pPr>
    </w:p>
    <w:p>
      <w:pPr>
        <w:spacing w:line="360" w:lineRule="auto"/>
        <w:ind w:left="3543" w:leftChars="1687"/>
        <w:jc w:val="left"/>
        <w:rPr>
          <w:rFonts w:ascii="宋体" w:hAnsi="宋体"/>
        </w:rPr>
      </w:pPr>
      <w:r>
        <w:rPr>
          <w:rFonts w:hint="eastAsia" w:ascii="宋体" w:hAnsi="宋体"/>
        </w:rPr>
        <w:t>投 标 人：___________________(盖单位章)</w:t>
      </w:r>
    </w:p>
    <w:p>
      <w:pPr>
        <w:spacing w:line="360" w:lineRule="auto"/>
        <w:ind w:left="3543" w:leftChars="1687"/>
        <w:jc w:val="left"/>
        <w:rPr>
          <w:rFonts w:ascii="宋体" w:hAnsi="宋体"/>
        </w:rPr>
      </w:pPr>
      <w:r>
        <w:rPr>
          <w:rFonts w:hint="eastAsia" w:ascii="宋体" w:hAnsi="宋体"/>
        </w:rPr>
        <w:t>法定代表人或其委托代人:__________(签字)</w:t>
      </w:r>
    </w:p>
    <w:p>
      <w:pPr>
        <w:spacing w:line="360" w:lineRule="auto"/>
        <w:ind w:left="3543" w:leftChars="1687"/>
        <w:jc w:val="left"/>
        <w:rPr>
          <w:rFonts w:ascii="宋体" w:hAnsi="宋体"/>
        </w:rPr>
      </w:pPr>
      <w:r>
        <w:rPr>
          <w:rFonts w:hint="eastAsia" w:ascii="宋体" w:hAnsi="宋体"/>
        </w:rPr>
        <w:t>地址：________________________________</w:t>
      </w:r>
    </w:p>
    <w:p>
      <w:pPr>
        <w:spacing w:line="360" w:lineRule="auto"/>
        <w:ind w:left="3543" w:leftChars="1687"/>
        <w:jc w:val="left"/>
        <w:rPr>
          <w:rFonts w:ascii="宋体" w:hAnsi="宋体"/>
        </w:rPr>
      </w:pPr>
      <w:r>
        <w:rPr>
          <w:rFonts w:hint="eastAsia" w:ascii="宋体" w:hAnsi="宋体"/>
        </w:rPr>
        <w:t>网址：________________________________</w:t>
      </w:r>
    </w:p>
    <w:p>
      <w:pPr>
        <w:spacing w:line="360" w:lineRule="auto"/>
        <w:ind w:left="3543" w:leftChars="1687"/>
        <w:jc w:val="left"/>
        <w:rPr>
          <w:rFonts w:ascii="宋体" w:hAnsi="宋体"/>
        </w:rPr>
      </w:pPr>
      <w:r>
        <w:rPr>
          <w:rFonts w:hint="eastAsia" w:ascii="宋体" w:hAnsi="宋体"/>
        </w:rPr>
        <w:t>电话：________________________________</w:t>
      </w:r>
    </w:p>
    <w:p>
      <w:pPr>
        <w:spacing w:line="360" w:lineRule="auto"/>
        <w:ind w:left="3543" w:leftChars="1687"/>
        <w:jc w:val="left"/>
        <w:rPr>
          <w:rFonts w:ascii="宋体" w:hAnsi="宋体"/>
        </w:rPr>
      </w:pPr>
      <w:r>
        <w:rPr>
          <w:rFonts w:hint="eastAsia" w:ascii="宋体" w:hAnsi="宋体"/>
        </w:rPr>
        <w:t>传真：________________________________</w:t>
      </w:r>
    </w:p>
    <w:p>
      <w:pPr>
        <w:spacing w:line="360" w:lineRule="auto"/>
        <w:ind w:left="3543" w:leftChars="1687"/>
        <w:jc w:val="left"/>
        <w:rPr>
          <w:rFonts w:ascii="宋体" w:hAnsi="宋体"/>
        </w:rPr>
      </w:pPr>
      <w:r>
        <w:rPr>
          <w:rFonts w:hint="eastAsia" w:ascii="宋体" w:hAnsi="宋体"/>
        </w:rPr>
        <w:t>邮政编码：____________________________</w:t>
      </w:r>
    </w:p>
    <w:p>
      <w:pPr>
        <w:spacing w:line="360" w:lineRule="auto"/>
        <w:ind w:left="3543" w:leftChars="1687"/>
        <w:jc w:val="left"/>
        <w:rPr>
          <w:rFonts w:ascii="宋体" w:hAnsi="宋体"/>
        </w:rPr>
      </w:pPr>
    </w:p>
    <w:p>
      <w:pPr>
        <w:spacing w:line="360" w:lineRule="auto"/>
        <w:ind w:left="3543" w:leftChars="1687" w:firstLine="630" w:firstLineChars="300"/>
        <w:jc w:val="left"/>
        <w:rPr>
          <w:rFonts w:ascii="宋体" w:hAnsi="宋体"/>
        </w:rPr>
      </w:pPr>
      <w:r>
        <w:rPr>
          <w:rFonts w:hint="eastAsia" w:ascii="宋体" w:hAnsi="宋体"/>
        </w:rPr>
        <w:t>________年______月_______日</w:t>
      </w:r>
    </w:p>
    <w:p>
      <w:pPr>
        <w:spacing w:line="360" w:lineRule="auto"/>
        <w:rPr>
          <w:rFonts w:ascii="宋体" w:hAnsi="宋体"/>
          <w:b/>
          <w:sz w:val="32"/>
          <w:szCs w:val="32"/>
        </w:rPr>
      </w:pPr>
      <w:r>
        <w:rPr>
          <w:rFonts w:ascii="宋体" w:hAnsi="宋体"/>
          <w:b/>
          <w:sz w:val="32"/>
          <w:szCs w:val="32"/>
        </w:rPr>
        <w:br w:type="page"/>
      </w:r>
      <w:r>
        <w:rPr>
          <w:rFonts w:hint="eastAsia" w:ascii="宋体" w:hAnsi="宋体"/>
          <w:b/>
          <w:sz w:val="32"/>
          <w:szCs w:val="32"/>
        </w:rPr>
        <w:t>二、已标价工程量清单</w:t>
      </w:r>
    </w:p>
    <w:p>
      <w:pPr>
        <w:spacing w:line="360" w:lineRule="auto"/>
        <w:rPr>
          <w:rFonts w:ascii="宋体" w:hAnsi="宋体"/>
        </w:rPr>
      </w:pPr>
      <w:r>
        <w:rPr>
          <w:rFonts w:hint="eastAsia" w:ascii="宋体" w:hAnsi="宋体"/>
        </w:rPr>
        <w:t>投标人应该按照招标文件第五章“工程量清单”的要求逐项填报工程量清单，包括工程量清单说明、投标报价说明、计日工说明、其他说明及工程量单价分析表。</w:t>
      </w:r>
    </w:p>
    <w:p>
      <w:pPr>
        <w:spacing w:line="360" w:lineRule="auto"/>
        <w:rPr>
          <w:rFonts w:ascii="宋体" w:hAnsi="宋体"/>
        </w:rPr>
      </w:pPr>
    </w:p>
    <w:p>
      <w:pPr>
        <w:spacing w:line="360" w:lineRule="auto"/>
        <w:rPr>
          <w:rFonts w:ascii="宋体" w:hAns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Segoe UI Emoji">
    <w:altName w:val="Segoe UI"/>
    <w:panose1 w:val="00000000000000000000"/>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隶书">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方正大标宋简体">
    <w:altName w:val="微软雅黑"/>
    <w:panose1 w:val="03000509000000000000"/>
    <w:charset w:val="86"/>
    <w:family w:val="script"/>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2976245</wp:posOffset>
              </wp:positionH>
              <wp:positionV relativeFrom="paragraph">
                <wp:posOffset>-535940</wp:posOffset>
              </wp:positionV>
              <wp:extent cx="162560" cy="1123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2560" cy="112395"/>
                      </a:xfrm>
                      <a:prstGeom prst="rect">
                        <a:avLst/>
                      </a:prstGeom>
                      <a:noFill/>
                      <a:ln>
                        <a:noFill/>
                      </a:ln>
                    </wps:spPr>
                    <wps:txbx>
                      <w:txbxContent>
                        <w:p>
                          <w:pPr>
                            <w:pStyle w:val="12"/>
                            <w:ind w:left="2250" w:hanging="1200"/>
                          </w:pPr>
                        </w:p>
                        <w:p/>
                        <w:p>
                          <w:pPr>
                            <w:pStyle w:val="12"/>
                            <w:ind w:left="2250" w:hanging="1200"/>
                            <w:rPr>
                              <w:rFonts w:hint="eastAsia"/>
                            </w:rPr>
                          </w:pPr>
                        </w:p>
                      </w:txbxContent>
                    </wps:txbx>
                    <wps:bodyPr lIns="0" tIns="0" rIns="0" bIns="0" upright="0"/>
                  </wps:wsp>
                </a:graphicData>
              </a:graphic>
            </wp:anchor>
          </w:drawing>
        </mc:Choice>
        <mc:Fallback>
          <w:pict>
            <v:shape id="_x0000_s1026" o:spid="_x0000_s1026" o:spt="202" type="#_x0000_t202" style="position:absolute;left:0pt;margin-left:234.35pt;margin-top:-42.2pt;height:8.85pt;width:12.8pt;mso-position-horizontal-relative:margin;z-index:251658240;mso-width-relative:page;mso-height-relative:page;" filled="f" stroked="f" coordsize="21600,21600" o:gfxdata="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JYAtF2gAAAAsBAAAPAAAAAAAA&#10;AAEAIAAAACIAAABkcnMvZG93bnJldi54bWxQSwECFAAUAAAACACHTuJAakqcGJ4BAAAjAwAADgAA&#10;AAAAAAABACAAAAApAQAAZHJzL2Uyb0RvYy54bWxQSwUGAAAAAAYABgBZAQAAOQUAAAAA&#10;">
              <v:fill on="f" focussize="0,0"/>
              <v:stroke on="f"/>
              <v:imagedata o:title=""/>
              <o:lock v:ext="edit" aspectratio="f"/>
              <v:textbox inset="0mm,0mm,0mm,0mm">
                <w:txbxContent>
                  <w:p>
                    <w:pPr>
                      <w:pStyle w:val="12"/>
                      <w:ind w:left="2250" w:hanging="1200"/>
                    </w:pPr>
                  </w:p>
                  <w:p/>
                  <w:p>
                    <w:pPr>
                      <w:pStyle w:val="12"/>
                      <w:ind w:left="2250" w:hanging="1200"/>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rPr>
          <w:sz w:val="21"/>
          <w:szCs w:val="21"/>
        </w:rPr>
      </w:pPr>
      <w:r>
        <w:rPr>
          <w:rStyle w:val="17"/>
          <w:sz w:val="21"/>
          <w:szCs w:val="21"/>
        </w:rPr>
        <w:footnoteRef/>
      </w:r>
      <w:r>
        <w:rPr>
          <w:rFonts w:hint="eastAsia" w:ascii="宋体" w:hAnsi="宋体"/>
          <w:sz w:val="21"/>
          <w:szCs w:val="21"/>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3927C7"/>
    <w:multiLevelType w:val="singleLevel"/>
    <w:tmpl w:val="D53927C7"/>
    <w:lvl w:ilvl="0" w:tentative="0">
      <w:start w:val="7"/>
      <w:numFmt w:val="decimal"/>
      <w:suff w:val="space"/>
      <w:lvlText w:val="%1、"/>
      <w:lvlJc w:val="left"/>
    </w:lvl>
  </w:abstractNum>
  <w:abstractNum w:abstractNumId="1">
    <w:nsid w:val="008F1703"/>
    <w:multiLevelType w:val="multilevel"/>
    <w:tmpl w:val="008F1703"/>
    <w:lvl w:ilvl="0" w:tentative="0">
      <w:start w:val="4"/>
      <w:numFmt w:val="decimal"/>
      <w:lvlText w:val="3.%1"/>
      <w:lvlJc w:val="left"/>
      <w:pPr>
        <w:tabs>
          <w:tab w:val="left" w:pos="0"/>
        </w:tabs>
        <w:ind w:left="0" w:firstLine="0"/>
      </w:pPr>
      <w:rPr>
        <w:rFonts w:hint="default" w:ascii="Times New Roman" w:hAnsi="Times New Roman" w:cs="Times New Roman"/>
      </w:rPr>
    </w:lvl>
    <w:lvl w:ilvl="1" w:tentative="0">
      <w:start w:val="1"/>
      <w:numFmt w:val="decimal"/>
      <w:lvlText w:val="3.4.%2"/>
      <w:lvlJc w:val="left"/>
      <w:pPr>
        <w:tabs>
          <w:tab w:val="left" w:pos="0"/>
        </w:tabs>
        <w:ind w:left="0" w:firstLine="0"/>
      </w:pPr>
      <w:rPr>
        <w:rFonts w:hint="default" w:ascii="Times New Roman" w:hAnsi="Times New Roman" w:cs="Times New Roman"/>
      </w:rPr>
    </w:lvl>
    <w:lvl w:ilvl="2" w:tentative="0">
      <w:start w:val="1"/>
      <w:numFmt w:val="bullet"/>
      <w:lvlText w:val="_x0002_."/>
      <w:lvlJc w:val="left"/>
      <w:pPr>
        <w:tabs>
          <w:tab w:val="left" w:pos="2160"/>
        </w:tabs>
        <w:ind w:left="2160" w:hanging="360"/>
      </w:pPr>
    </w:lvl>
    <w:lvl w:ilvl="3" w:tentative="0">
      <w:start w:val="1"/>
      <w:numFmt w:val="bullet"/>
      <w:lvlText w:val="_x0003_."/>
      <w:lvlJc w:val="left"/>
      <w:pPr>
        <w:tabs>
          <w:tab w:val="left" w:pos="2880"/>
        </w:tabs>
        <w:ind w:left="2880" w:hanging="360"/>
      </w:pPr>
    </w:lvl>
    <w:lvl w:ilvl="4" w:tentative="0">
      <w:start w:val="1"/>
      <w:numFmt w:val="bullet"/>
      <w:lvlText w:val="_x0004_."/>
      <w:lvlJc w:val="left"/>
      <w:pPr>
        <w:tabs>
          <w:tab w:val="left" w:pos="3600"/>
        </w:tabs>
        <w:ind w:left="3600" w:hanging="360"/>
      </w:pPr>
    </w:lvl>
    <w:lvl w:ilvl="5" w:tentative="0">
      <w:start w:val="1"/>
      <w:numFmt w:val="bullet"/>
      <w:lvlText w:val="_x0005_."/>
      <w:lvlJc w:val="left"/>
      <w:pPr>
        <w:tabs>
          <w:tab w:val="left" w:pos="4320"/>
        </w:tabs>
        <w:ind w:left="4320" w:hanging="360"/>
      </w:pPr>
    </w:lvl>
    <w:lvl w:ilvl="6" w:tentative="0">
      <w:start w:val="1"/>
      <w:numFmt w:val="bullet"/>
      <w:lvlText w:val="_x0006_."/>
      <w:lvlJc w:val="left"/>
      <w:pPr>
        <w:tabs>
          <w:tab w:val="left" w:pos="5040"/>
        </w:tabs>
        <w:ind w:left="5040" w:hanging="360"/>
      </w:pPr>
    </w:lvl>
    <w:lvl w:ilvl="7" w:tentative="0">
      <w:start w:val="1"/>
      <w:numFmt w:val="bullet"/>
      <w:lvlText w:val="_x0007_."/>
      <w:lvlJc w:val="left"/>
      <w:pPr>
        <w:tabs>
          <w:tab w:val="left" w:pos="5760"/>
        </w:tabs>
        <w:ind w:left="5760" w:hanging="360"/>
      </w:pPr>
    </w:lvl>
    <w:lvl w:ilvl="8" w:tentative="0">
      <w:start w:val="1"/>
      <w:numFmt w:val="bullet"/>
      <w:lvlText w:val="_x0008_."/>
      <w:lvlJc w:val="left"/>
      <w:pPr>
        <w:tabs>
          <w:tab w:val="left" w:pos="6480"/>
        </w:tabs>
        <w:ind w:left="6480" w:hanging="360"/>
      </w:pPr>
    </w:lvl>
  </w:abstractNum>
  <w:abstractNum w:abstractNumId="2">
    <w:nsid w:val="0ABD34EC"/>
    <w:multiLevelType w:val="multilevel"/>
    <w:tmpl w:val="0ABD34EC"/>
    <w:lvl w:ilvl="0" w:tentative="0">
      <w:start w:val="1"/>
      <w:numFmt w:val="decimal"/>
      <w:lvlText w:val="%1"/>
      <w:lvlJc w:val="left"/>
      <w:pPr>
        <w:tabs>
          <w:tab w:val="left" w:pos="0"/>
        </w:tabs>
        <w:ind w:left="0" w:firstLine="0"/>
      </w:pPr>
      <w:rPr>
        <w:rFonts w:hint="default" w:ascii="Times New Roman" w:hAnsi="Times New Roman" w:cs="Times New Roman"/>
      </w:rPr>
    </w:lvl>
    <w:lvl w:ilvl="1" w:tentative="0">
      <w:start w:val="3"/>
      <w:numFmt w:val="decimal"/>
      <w:lvlText w:val="3.4.%2"/>
      <w:lvlJc w:val="left"/>
      <w:pPr>
        <w:tabs>
          <w:tab w:val="left" w:pos="0"/>
        </w:tabs>
        <w:ind w:left="0" w:firstLine="0"/>
      </w:pPr>
      <w:rPr>
        <w:rFonts w:hint="default" w:ascii="Times New Roman" w:hAnsi="Times New Roman" w:cs="Times New Roman"/>
      </w:rPr>
    </w:lvl>
    <w:lvl w:ilvl="2" w:tentative="0">
      <w:start w:val="1"/>
      <w:numFmt w:val="bullet"/>
      <w:lvlText w:val="_x0002_."/>
      <w:lvlJc w:val="left"/>
      <w:pPr>
        <w:tabs>
          <w:tab w:val="left" w:pos="2160"/>
        </w:tabs>
        <w:ind w:left="2160" w:hanging="360"/>
      </w:pPr>
    </w:lvl>
    <w:lvl w:ilvl="3" w:tentative="0">
      <w:start w:val="1"/>
      <w:numFmt w:val="bullet"/>
      <w:lvlText w:val="_x0003_."/>
      <w:lvlJc w:val="left"/>
      <w:pPr>
        <w:tabs>
          <w:tab w:val="left" w:pos="2880"/>
        </w:tabs>
        <w:ind w:left="2880" w:hanging="360"/>
      </w:pPr>
    </w:lvl>
    <w:lvl w:ilvl="4" w:tentative="0">
      <w:start w:val="1"/>
      <w:numFmt w:val="bullet"/>
      <w:lvlText w:val="_x0004_."/>
      <w:lvlJc w:val="left"/>
      <w:pPr>
        <w:tabs>
          <w:tab w:val="left" w:pos="3600"/>
        </w:tabs>
        <w:ind w:left="3600" w:hanging="360"/>
      </w:pPr>
    </w:lvl>
    <w:lvl w:ilvl="5" w:tentative="0">
      <w:start w:val="1"/>
      <w:numFmt w:val="bullet"/>
      <w:lvlText w:val="_x0005_."/>
      <w:lvlJc w:val="left"/>
      <w:pPr>
        <w:tabs>
          <w:tab w:val="left" w:pos="4320"/>
        </w:tabs>
        <w:ind w:left="4320" w:hanging="360"/>
      </w:pPr>
    </w:lvl>
    <w:lvl w:ilvl="6" w:tentative="0">
      <w:start w:val="1"/>
      <w:numFmt w:val="bullet"/>
      <w:lvlText w:val="_x0006_."/>
      <w:lvlJc w:val="left"/>
      <w:pPr>
        <w:tabs>
          <w:tab w:val="left" w:pos="5040"/>
        </w:tabs>
        <w:ind w:left="5040" w:hanging="360"/>
      </w:pPr>
    </w:lvl>
    <w:lvl w:ilvl="7" w:tentative="0">
      <w:start w:val="1"/>
      <w:numFmt w:val="bullet"/>
      <w:lvlText w:val="_x0007_."/>
      <w:lvlJc w:val="left"/>
      <w:pPr>
        <w:tabs>
          <w:tab w:val="left" w:pos="5760"/>
        </w:tabs>
        <w:ind w:left="5760" w:hanging="360"/>
      </w:pPr>
    </w:lvl>
    <w:lvl w:ilvl="8" w:tentative="0">
      <w:start w:val="1"/>
      <w:numFmt w:val="bullet"/>
      <w:lvlText w:val="_x0008_."/>
      <w:lvlJc w:val="left"/>
      <w:pPr>
        <w:tabs>
          <w:tab w:val="left" w:pos="6480"/>
        </w:tabs>
        <w:ind w:left="6480" w:hanging="360"/>
      </w:pPr>
    </w:lvl>
  </w:abstractNum>
  <w:abstractNum w:abstractNumId="3">
    <w:nsid w:val="1A6BB47B"/>
    <w:multiLevelType w:val="singleLevel"/>
    <w:tmpl w:val="1A6BB47B"/>
    <w:lvl w:ilvl="0" w:tentative="0">
      <w:start w:val="8"/>
      <w:numFmt w:val="chineseCounting"/>
      <w:suff w:val="nothing"/>
      <w:lvlText w:val="%1、"/>
      <w:lvlJc w:val="left"/>
      <w:rPr>
        <w:rFonts w:hint="eastAsia"/>
      </w:rPr>
    </w:lvl>
  </w:abstractNum>
  <w:abstractNum w:abstractNumId="4">
    <w:nsid w:val="254A490B"/>
    <w:multiLevelType w:val="multilevel"/>
    <w:tmpl w:val="254A490B"/>
    <w:lvl w:ilvl="0" w:tentative="0">
      <w:start w:val="1"/>
      <w:numFmt w:val="decimal"/>
      <w:lvlText w:val="%1"/>
      <w:lvlJc w:val="left"/>
      <w:pPr>
        <w:tabs>
          <w:tab w:val="left" w:pos="0"/>
        </w:tabs>
        <w:ind w:left="0" w:firstLine="0"/>
      </w:pPr>
      <w:rPr>
        <w:rFonts w:hint="default" w:ascii="Times New Roman" w:hAnsi="Times New Roman" w:cs="Times New Roman"/>
      </w:rPr>
    </w:lvl>
    <w:lvl w:ilvl="1" w:tentative="0">
      <w:start w:val="3"/>
      <w:numFmt w:val="decimal"/>
      <w:lvlText w:val="2.2.%2"/>
      <w:lvlJc w:val="left"/>
      <w:pPr>
        <w:tabs>
          <w:tab w:val="left" w:pos="0"/>
        </w:tabs>
        <w:ind w:left="0" w:firstLine="0"/>
      </w:pPr>
      <w:rPr>
        <w:rFonts w:hint="default" w:ascii="Times New Roman" w:hAnsi="Times New Roman" w:cs="Times New Roman"/>
      </w:rPr>
    </w:lvl>
    <w:lvl w:ilvl="2" w:tentative="0">
      <w:start w:val="1"/>
      <w:numFmt w:val="bullet"/>
      <w:lvlText w:val="_x0002_."/>
      <w:lvlJc w:val="left"/>
      <w:pPr>
        <w:tabs>
          <w:tab w:val="left" w:pos="2160"/>
        </w:tabs>
        <w:ind w:left="2160" w:hanging="360"/>
      </w:pPr>
    </w:lvl>
    <w:lvl w:ilvl="3" w:tentative="0">
      <w:start w:val="1"/>
      <w:numFmt w:val="bullet"/>
      <w:lvlText w:val="_x0003_."/>
      <w:lvlJc w:val="left"/>
      <w:pPr>
        <w:tabs>
          <w:tab w:val="left" w:pos="2880"/>
        </w:tabs>
        <w:ind w:left="2880" w:hanging="360"/>
      </w:pPr>
    </w:lvl>
    <w:lvl w:ilvl="4" w:tentative="0">
      <w:start w:val="1"/>
      <w:numFmt w:val="bullet"/>
      <w:lvlText w:val="_x0004_."/>
      <w:lvlJc w:val="left"/>
      <w:pPr>
        <w:tabs>
          <w:tab w:val="left" w:pos="3600"/>
        </w:tabs>
        <w:ind w:left="3600" w:hanging="360"/>
      </w:pPr>
    </w:lvl>
    <w:lvl w:ilvl="5" w:tentative="0">
      <w:start w:val="1"/>
      <w:numFmt w:val="bullet"/>
      <w:lvlText w:val="_x0005_."/>
      <w:lvlJc w:val="left"/>
      <w:pPr>
        <w:tabs>
          <w:tab w:val="left" w:pos="4320"/>
        </w:tabs>
        <w:ind w:left="4320" w:hanging="360"/>
      </w:pPr>
    </w:lvl>
    <w:lvl w:ilvl="6" w:tentative="0">
      <w:start w:val="1"/>
      <w:numFmt w:val="bullet"/>
      <w:lvlText w:val="_x0006_."/>
      <w:lvlJc w:val="left"/>
      <w:pPr>
        <w:tabs>
          <w:tab w:val="left" w:pos="5040"/>
        </w:tabs>
        <w:ind w:left="5040" w:hanging="360"/>
      </w:pPr>
    </w:lvl>
    <w:lvl w:ilvl="7" w:tentative="0">
      <w:start w:val="1"/>
      <w:numFmt w:val="bullet"/>
      <w:lvlText w:val="_x0007_."/>
      <w:lvlJc w:val="left"/>
      <w:pPr>
        <w:tabs>
          <w:tab w:val="left" w:pos="5760"/>
        </w:tabs>
        <w:ind w:left="5760" w:hanging="360"/>
      </w:pPr>
    </w:lvl>
    <w:lvl w:ilvl="8" w:tentative="0">
      <w:start w:val="1"/>
      <w:numFmt w:val="bullet"/>
      <w:lvlText w:val="_x0008_."/>
      <w:lvlJc w:val="left"/>
      <w:pPr>
        <w:tabs>
          <w:tab w:val="left" w:pos="6480"/>
        </w:tabs>
        <w:ind w:left="6480" w:hanging="360"/>
      </w:pPr>
    </w:lvl>
  </w:abstractNum>
  <w:abstractNum w:abstractNumId="5">
    <w:nsid w:val="4AEE4B2E"/>
    <w:multiLevelType w:val="multilevel"/>
    <w:tmpl w:val="4AEE4B2E"/>
    <w:lvl w:ilvl="0" w:tentative="0">
      <w:start w:val="2"/>
      <w:numFmt w:val="decimal"/>
      <w:lvlText w:val="3.%1"/>
      <w:lvlJc w:val="left"/>
      <w:pPr>
        <w:tabs>
          <w:tab w:val="left" w:pos="0"/>
        </w:tabs>
        <w:ind w:left="0" w:firstLine="0"/>
      </w:pPr>
      <w:rPr>
        <w:rFonts w:hint="default" w:ascii="Times New Roman" w:hAnsi="Times New Roman" w:cs="Times New Roman"/>
      </w:rPr>
    </w:lvl>
    <w:lvl w:ilvl="1" w:tentative="0">
      <w:start w:val="1"/>
      <w:numFmt w:val="decimal"/>
      <w:lvlText w:val="3.2.%2"/>
      <w:lvlJc w:val="left"/>
      <w:pPr>
        <w:tabs>
          <w:tab w:val="left" w:pos="0"/>
        </w:tabs>
        <w:ind w:left="0" w:firstLine="0"/>
      </w:pPr>
      <w:rPr>
        <w:rFonts w:hint="default" w:ascii="Times New Roman" w:hAnsi="Times New Roman" w:cs="Times New Roman"/>
      </w:rPr>
    </w:lvl>
    <w:lvl w:ilvl="2" w:tentative="0">
      <w:start w:val="1"/>
      <w:numFmt w:val="bullet"/>
      <w:lvlText w:val="_x0002_."/>
      <w:lvlJc w:val="left"/>
      <w:pPr>
        <w:tabs>
          <w:tab w:val="left" w:pos="2160"/>
        </w:tabs>
        <w:ind w:left="2160" w:hanging="360"/>
      </w:pPr>
    </w:lvl>
    <w:lvl w:ilvl="3" w:tentative="0">
      <w:start w:val="1"/>
      <w:numFmt w:val="bullet"/>
      <w:lvlText w:val="_x0003_."/>
      <w:lvlJc w:val="left"/>
      <w:pPr>
        <w:tabs>
          <w:tab w:val="left" w:pos="2880"/>
        </w:tabs>
        <w:ind w:left="2880" w:hanging="360"/>
      </w:pPr>
    </w:lvl>
    <w:lvl w:ilvl="4" w:tentative="0">
      <w:start w:val="1"/>
      <w:numFmt w:val="bullet"/>
      <w:lvlText w:val="_x0004_."/>
      <w:lvlJc w:val="left"/>
      <w:pPr>
        <w:tabs>
          <w:tab w:val="left" w:pos="3600"/>
        </w:tabs>
        <w:ind w:left="3600" w:hanging="360"/>
      </w:pPr>
    </w:lvl>
    <w:lvl w:ilvl="5" w:tentative="0">
      <w:start w:val="1"/>
      <w:numFmt w:val="bullet"/>
      <w:lvlText w:val="_x0005_."/>
      <w:lvlJc w:val="left"/>
      <w:pPr>
        <w:tabs>
          <w:tab w:val="left" w:pos="4320"/>
        </w:tabs>
        <w:ind w:left="4320" w:hanging="360"/>
      </w:pPr>
    </w:lvl>
    <w:lvl w:ilvl="6" w:tentative="0">
      <w:start w:val="1"/>
      <w:numFmt w:val="bullet"/>
      <w:lvlText w:val="_x0006_."/>
      <w:lvlJc w:val="left"/>
      <w:pPr>
        <w:tabs>
          <w:tab w:val="left" w:pos="5040"/>
        </w:tabs>
        <w:ind w:left="5040" w:hanging="360"/>
      </w:pPr>
    </w:lvl>
    <w:lvl w:ilvl="7" w:tentative="0">
      <w:start w:val="1"/>
      <w:numFmt w:val="bullet"/>
      <w:lvlText w:val="_x0007_."/>
      <w:lvlJc w:val="left"/>
      <w:pPr>
        <w:tabs>
          <w:tab w:val="left" w:pos="5760"/>
        </w:tabs>
        <w:ind w:left="5760" w:hanging="360"/>
      </w:pPr>
    </w:lvl>
    <w:lvl w:ilvl="8" w:tentative="0">
      <w:start w:val="1"/>
      <w:numFmt w:val="bullet"/>
      <w:lvlText w:val="_x0008_."/>
      <w:lvlJc w:val="left"/>
      <w:pPr>
        <w:tabs>
          <w:tab w:val="left" w:pos="6480"/>
        </w:tabs>
        <w:ind w:left="6480" w:hanging="360"/>
      </w:pPr>
    </w:lvl>
  </w:abstractNum>
  <w:abstractNum w:abstractNumId="6">
    <w:nsid w:val="55295B18"/>
    <w:multiLevelType w:val="multilevel"/>
    <w:tmpl w:val="55295B18"/>
    <w:lvl w:ilvl="0" w:tentative="0">
      <w:start w:val="5"/>
      <w:numFmt w:val="decimal"/>
      <w:lvlText w:val="3.%1"/>
      <w:lvlJc w:val="left"/>
      <w:pPr>
        <w:tabs>
          <w:tab w:val="left" w:pos="0"/>
        </w:tabs>
        <w:ind w:left="0" w:firstLine="0"/>
      </w:pPr>
      <w:rPr>
        <w:rFonts w:hint="default" w:ascii="Times New Roman" w:hAnsi="Times New Roman" w:cs="Times New Roman"/>
      </w:rPr>
    </w:lvl>
    <w:lvl w:ilvl="1" w:tentative="0">
      <w:start w:val="1"/>
      <w:numFmt w:val="decimal"/>
      <w:lvlText w:val="3.5.%2"/>
      <w:lvlJc w:val="left"/>
      <w:pPr>
        <w:tabs>
          <w:tab w:val="left" w:pos="0"/>
        </w:tabs>
        <w:ind w:left="0" w:firstLine="0"/>
      </w:pPr>
      <w:rPr>
        <w:rFonts w:hint="default" w:ascii="Times New Roman" w:hAnsi="Times New Roman" w:cs="Times New Roman"/>
      </w:rPr>
    </w:lvl>
    <w:lvl w:ilvl="2" w:tentative="0">
      <w:start w:val="1"/>
      <w:numFmt w:val="bullet"/>
      <w:lvlText w:val="_x0002_."/>
      <w:lvlJc w:val="left"/>
      <w:pPr>
        <w:tabs>
          <w:tab w:val="left" w:pos="2160"/>
        </w:tabs>
        <w:ind w:left="2160" w:hanging="360"/>
      </w:pPr>
    </w:lvl>
    <w:lvl w:ilvl="3" w:tentative="0">
      <w:start w:val="1"/>
      <w:numFmt w:val="bullet"/>
      <w:lvlText w:val="_x0003_."/>
      <w:lvlJc w:val="left"/>
      <w:pPr>
        <w:tabs>
          <w:tab w:val="left" w:pos="2880"/>
        </w:tabs>
        <w:ind w:left="2880" w:hanging="360"/>
      </w:pPr>
    </w:lvl>
    <w:lvl w:ilvl="4" w:tentative="0">
      <w:start w:val="1"/>
      <w:numFmt w:val="bullet"/>
      <w:lvlText w:val="_x0004_."/>
      <w:lvlJc w:val="left"/>
      <w:pPr>
        <w:tabs>
          <w:tab w:val="left" w:pos="3600"/>
        </w:tabs>
        <w:ind w:left="3600" w:hanging="360"/>
      </w:pPr>
    </w:lvl>
    <w:lvl w:ilvl="5" w:tentative="0">
      <w:start w:val="1"/>
      <w:numFmt w:val="bullet"/>
      <w:lvlText w:val="_x0005_."/>
      <w:lvlJc w:val="left"/>
      <w:pPr>
        <w:tabs>
          <w:tab w:val="left" w:pos="4320"/>
        </w:tabs>
        <w:ind w:left="4320" w:hanging="360"/>
      </w:pPr>
    </w:lvl>
    <w:lvl w:ilvl="6" w:tentative="0">
      <w:start w:val="1"/>
      <w:numFmt w:val="bullet"/>
      <w:lvlText w:val="_x0006_."/>
      <w:lvlJc w:val="left"/>
      <w:pPr>
        <w:tabs>
          <w:tab w:val="left" w:pos="5040"/>
        </w:tabs>
        <w:ind w:left="5040" w:hanging="360"/>
      </w:pPr>
    </w:lvl>
    <w:lvl w:ilvl="7" w:tentative="0">
      <w:start w:val="1"/>
      <w:numFmt w:val="bullet"/>
      <w:lvlText w:val="_x0007_."/>
      <w:lvlJc w:val="left"/>
      <w:pPr>
        <w:tabs>
          <w:tab w:val="left" w:pos="5760"/>
        </w:tabs>
        <w:ind w:left="5760" w:hanging="360"/>
      </w:pPr>
    </w:lvl>
    <w:lvl w:ilvl="8" w:tentative="0">
      <w:start w:val="1"/>
      <w:numFmt w:val="bullet"/>
      <w:lvlText w:val="_x0008_."/>
      <w:lvlJc w:val="left"/>
      <w:pPr>
        <w:tabs>
          <w:tab w:val="left" w:pos="6480"/>
        </w:tabs>
        <w:ind w:left="6480" w:hanging="360"/>
      </w:pPr>
    </w:lvl>
  </w:abstractNum>
  <w:abstractNum w:abstractNumId="7">
    <w:nsid w:val="56D32D21"/>
    <w:multiLevelType w:val="multilevel"/>
    <w:tmpl w:val="56D32D21"/>
    <w:lvl w:ilvl="0" w:tentative="0">
      <w:start w:val="6"/>
      <w:numFmt w:val="decimal"/>
      <w:lvlText w:val="3.%1"/>
      <w:lvlJc w:val="left"/>
      <w:pPr>
        <w:tabs>
          <w:tab w:val="left" w:pos="0"/>
        </w:tabs>
        <w:ind w:left="0" w:firstLine="0"/>
      </w:pPr>
      <w:rPr>
        <w:rFonts w:hint="default" w:ascii="Times New Roman" w:hAnsi="Times New Roman" w:cs="Times New Roman"/>
      </w:rPr>
    </w:lvl>
    <w:lvl w:ilvl="1" w:tentative="0">
      <w:start w:val="1"/>
      <w:numFmt w:val="decimal"/>
      <w:lvlText w:val="3.6.%2"/>
      <w:lvlJc w:val="left"/>
      <w:pPr>
        <w:tabs>
          <w:tab w:val="left" w:pos="0"/>
        </w:tabs>
        <w:ind w:left="0" w:firstLine="0"/>
      </w:pPr>
      <w:rPr>
        <w:rFonts w:hint="default" w:ascii="Times New Roman" w:hAnsi="Times New Roman" w:cs="Times New Roman"/>
      </w:rPr>
    </w:lvl>
    <w:lvl w:ilvl="2" w:tentative="0">
      <w:start w:val="1"/>
      <w:numFmt w:val="bullet"/>
      <w:lvlText w:val="_x0002_."/>
      <w:lvlJc w:val="left"/>
      <w:pPr>
        <w:tabs>
          <w:tab w:val="left" w:pos="2160"/>
        </w:tabs>
        <w:ind w:left="2160" w:hanging="360"/>
      </w:pPr>
    </w:lvl>
    <w:lvl w:ilvl="3" w:tentative="0">
      <w:start w:val="1"/>
      <w:numFmt w:val="bullet"/>
      <w:lvlText w:val="_x0003_."/>
      <w:lvlJc w:val="left"/>
      <w:pPr>
        <w:tabs>
          <w:tab w:val="left" w:pos="2880"/>
        </w:tabs>
        <w:ind w:left="2880" w:hanging="360"/>
      </w:pPr>
    </w:lvl>
    <w:lvl w:ilvl="4" w:tentative="0">
      <w:start w:val="1"/>
      <w:numFmt w:val="bullet"/>
      <w:lvlText w:val="_x0004_."/>
      <w:lvlJc w:val="left"/>
      <w:pPr>
        <w:tabs>
          <w:tab w:val="left" w:pos="3600"/>
        </w:tabs>
        <w:ind w:left="3600" w:hanging="360"/>
      </w:pPr>
    </w:lvl>
    <w:lvl w:ilvl="5" w:tentative="0">
      <w:start w:val="1"/>
      <w:numFmt w:val="bullet"/>
      <w:lvlText w:val="_x0005_."/>
      <w:lvlJc w:val="left"/>
      <w:pPr>
        <w:tabs>
          <w:tab w:val="left" w:pos="4320"/>
        </w:tabs>
        <w:ind w:left="4320" w:hanging="360"/>
      </w:pPr>
    </w:lvl>
    <w:lvl w:ilvl="6" w:tentative="0">
      <w:start w:val="1"/>
      <w:numFmt w:val="bullet"/>
      <w:lvlText w:val="_x0006_."/>
      <w:lvlJc w:val="left"/>
      <w:pPr>
        <w:tabs>
          <w:tab w:val="left" w:pos="5040"/>
        </w:tabs>
        <w:ind w:left="5040" w:hanging="360"/>
      </w:pPr>
    </w:lvl>
    <w:lvl w:ilvl="7" w:tentative="0">
      <w:start w:val="1"/>
      <w:numFmt w:val="bullet"/>
      <w:lvlText w:val="_x0007_."/>
      <w:lvlJc w:val="left"/>
      <w:pPr>
        <w:tabs>
          <w:tab w:val="left" w:pos="5760"/>
        </w:tabs>
        <w:ind w:left="5760" w:hanging="360"/>
      </w:pPr>
    </w:lvl>
    <w:lvl w:ilvl="8" w:tentative="0">
      <w:start w:val="1"/>
      <w:numFmt w:val="bullet"/>
      <w:lvlText w:val="_x0008_."/>
      <w:lvlJc w:val="left"/>
      <w:pPr>
        <w:tabs>
          <w:tab w:val="left" w:pos="6480"/>
        </w:tabs>
        <w:ind w:left="6480" w:hanging="360"/>
      </w:pPr>
    </w:lvl>
  </w:abstractNum>
  <w:abstractNum w:abstractNumId="8">
    <w:nsid w:val="580870FA"/>
    <w:multiLevelType w:val="singleLevel"/>
    <w:tmpl w:val="580870FA"/>
    <w:lvl w:ilvl="0" w:tentative="0">
      <w:start w:val="1"/>
      <w:numFmt w:val="decimal"/>
      <w:suff w:val="nothing"/>
      <w:lvlText w:val="%1."/>
      <w:lvlJc w:val="left"/>
    </w:lvl>
  </w:abstractNum>
  <w:abstractNum w:abstractNumId="9">
    <w:nsid w:val="5ABB8B98"/>
    <w:multiLevelType w:val="singleLevel"/>
    <w:tmpl w:val="5ABB8B98"/>
    <w:lvl w:ilvl="0" w:tentative="0">
      <w:start w:val="3"/>
      <w:numFmt w:val="decimal"/>
      <w:suff w:val="space"/>
      <w:lvlText w:val="%1."/>
      <w:lvlJc w:val="left"/>
    </w:lvl>
  </w:abstractNum>
  <w:abstractNum w:abstractNumId="10">
    <w:nsid w:val="5C08E0A9"/>
    <w:multiLevelType w:val="singleLevel"/>
    <w:tmpl w:val="5C08E0A9"/>
    <w:lvl w:ilvl="0" w:tentative="0">
      <w:start w:val="4"/>
      <w:numFmt w:val="decimal"/>
      <w:suff w:val="nothing"/>
      <w:lvlText w:val="%1、"/>
      <w:lvlJc w:val="left"/>
    </w:lvl>
  </w:abstractNum>
  <w:abstractNum w:abstractNumId="11">
    <w:nsid w:val="65F36185"/>
    <w:multiLevelType w:val="multilevel"/>
    <w:tmpl w:val="65F36185"/>
    <w:lvl w:ilvl="0" w:tentative="0">
      <w:start w:val="3"/>
      <w:numFmt w:val="decimal"/>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0"/>
        </w:tabs>
        <w:ind w:left="0" w:firstLine="0"/>
      </w:pPr>
      <w:rPr>
        <w:rFonts w:hint="default" w:ascii="Times New Roman" w:hAnsi="Times New Roman" w:cs="Times New Roman"/>
      </w:rPr>
    </w:lvl>
    <w:lvl w:ilvl="2" w:tentative="0">
      <w:start w:val="1"/>
      <w:numFmt w:val="bullet"/>
      <w:lvlText w:val="_x0002_."/>
      <w:lvlJc w:val="left"/>
      <w:pPr>
        <w:tabs>
          <w:tab w:val="left" w:pos="2160"/>
        </w:tabs>
        <w:ind w:left="2160" w:hanging="360"/>
      </w:pPr>
    </w:lvl>
    <w:lvl w:ilvl="3" w:tentative="0">
      <w:start w:val="1"/>
      <w:numFmt w:val="bullet"/>
      <w:lvlText w:val="_x0003_."/>
      <w:lvlJc w:val="left"/>
      <w:pPr>
        <w:tabs>
          <w:tab w:val="left" w:pos="2880"/>
        </w:tabs>
        <w:ind w:left="2880" w:hanging="360"/>
      </w:pPr>
    </w:lvl>
    <w:lvl w:ilvl="4" w:tentative="0">
      <w:start w:val="1"/>
      <w:numFmt w:val="bullet"/>
      <w:lvlText w:val="_x0004_."/>
      <w:lvlJc w:val="left"/>
      <w:pPr>
        <w:tabs>
          <w:tab w:val="left" w:pos="3600"/>
        </w:tabs>
        <w:ind w:left="3600" w:hanging="360"/>
      </w:pPr>
    </w:lvl>
    <w:lvl w:ilvl="5" w:tentative="0">
      <w:start w:val="1"/>
      <w:numFmt w:val="bullet"/>
      <w:lvlText w:val="_x0005_."/>
      <w:lvlJc w:val="left"/>
      <w:pPr>
        <w:tabs>
          <w:tab w:val="left" w:pos="4320"/>
        </w:tabs>
        <w:ind w:left="4320" w:hanging="360"/>
      </w:pPr>
    </w:lvl>
    <w:lvl w:ilvl="6" w:tentative="0">
      <w:start w:val="1"/>
      <w:numFmt w:val="bullet"/>
      <w:lvlText w:val="_x0006_."/>
      <w:lvlJc w:val="left"/>
      <w:pPr>
        <w:tabs>
          <w:tab w:val="left" w:pos="5040"/>
        </w:tabs>
        <w:ind w:left="5040" w:hanging="360"/>
      </w:pPr>
    </w:lvl>
    <w:lvl w:ilvl="7" w:tentative="0">
      <w:start w:val="1"/>
      <w:numFmt w:val="bullet"/>
      <w:lvlText w:val="_x0007_."/>
      <w:lvlJc w:val="left"/>
      <w:pPr>
        <w:tabs>
          <w:tab w:val="left" w:pos="5760"/>
        </w:tabs>
        <w:ind w:left="5760" w:hanging="360"/>
      </w:pPr>
    </w:lvl>
    <w:lvl w:ilvl="8" w:tentative="0">
      <w:start w:val="1"/>
      <w:numFmt w:val="bullet"/>
      <w:lvlText w:val="_x0008_."/>
      <w:lvlJc w:val="left"/>
      <w:pPr>
        <w:tabs>
          <w:tab w:val="left" w:pos="6480"/>
        </w:tabs>
        <w:ind w:left="6480" w:hanging="360"/>
      </w:pPr>
    </w:lvl>
  </w:abstractNum>
  <w:abstractNum w:abstractNumId="12">
    <w:nsid w:val="6DE66160"/>
    <w:multiLevelType w:val="multilevel"/>
    <w:tmpl w:val="6DE66160"/>
    <w:lvl w:ilvl="0" w:tentative="0">
      <w:start w:val="7"/>
      <w:numFmt w:val="decimal"/>
      <w:lvlText w:val="3.%1"/>
      <w:lvlJc w:val="left"/>
      <w:pPr>
        <w:tabs>
          <w:tab w:val="left" w:pos="0"/>
        </w:tabs>
        <w:ind w:left="0" w:firstLine="0"/>
      </w:pPr>
      <w:rPr>
        <w:rFonts w:hint="default" w:ascii="Times New Roman" w:hAnsi="Times New Roman" w:cs="Times New Roman"/>
      </w:rPr>
    </w:lvl>
    <w:lvl w:ilvl="1" w:tentative="0">
      <w:start w:val="1"/>
      <w:numFmt w:val="decimal"/>
      <w:lvlText w:val="3.7.%2"/>
      <w:lvlJc w:val="left"/>
      <w:pPr>
        <w:tabs>
          <w:tab w:val="left" w:pos="0"/>
        </w:tabs>
        <w:ind w:left="0" w:firstLine="0"/>
      </w:pPr>
      <w:rPr>
        <w:rFonts w:hint="default" w:ascii="Times New Roman" w:hAnsi="Times New Roman" w:cs="Times New Roman"/>
      </w:rPr>
    </w:lvl>
    <w:lvl w:ilvl="2" w:tentative="0">
      <w:start w:val="1"/>
      <w:numFmt w:val="bullet"/>
      <w:lvlText w:val="_x0002_."/>
      <w:lvlJc w:val="left"/>
      <w:pPr>
        <w:tabs>
          <w:tab w:val="left" w:pos="2160"/>
        </w:tabs>
        <w:ind w:left="2160" w:hanging="360"/>
      </w:pPr>
    </w:lvl>
    <w:lvl w:ilvl="3" w:tentative="0">
      <w:start w:val="1"/>
      <w:numFmt w:val="bullet"/>
      <w:lvlText w:val="_x0003_."/>
      <w:lvlJc w:val="left"/>
      <w:pPr>
        <w:tabs>
          <w:tab w:val="left" w:pos="2880"/>
        </w:tabs>
        <w:ind w:left="2880" w:hanging="360"/>
      </w:pPr>
    </w:lvl>
    <w:lvl w:ilvl="4" w:tentative="0">
      <w:start w:val="1"/>
      <w:numFmt w:val="bullet"/>
      <w:lvlText w:val="_x0004_."/>
      <w:lvlJc w:val="left"/>
      <w:pPr>
        <w:tabs>
          <w:tab w:val="left" w:pos="3600"/>
        </w:tabs>
        <w:ind w:left="3600" w:hanging="360"/>
      </w:pPr>
    </w:lvl>
    <w:lvl w:ilvl="5" w:tentative="0">
      <w:start w:val="1"/>
      <w:numFmt w:val="bullet"/>
      <w:lvlText w:val="_x0005_."/>
      <w:lvlJc w:val="left"/>
      <w:pPr>
        <w:tabs>
          <w:tab w:val="left" w:pos="4320"/>
        </w:tabs>
        <w:ind w:left="4320" w:hanging="360"/>
      </w:pPr>
    </w:lvl>
    <w:lvl w:ilvl="6" w:tentative="0">
      <w:start w:val="1"/>
      <w:numFmt w:val="bullet"/>
      <w:lvlText w:val="_x0006_."/>
      <w:lvlJc w:val="left"/>
      <w:pPr>
        <w:tabs>
          <w:tab w:val="left" w:pos="5040"/>
        </w:tabs>
        <w:ind w:left="5040" w:hanging="360"/>
      </w:pPr>
    </w:lvl>
    <w:lvl w:ilvl="7" w:tentative="0">
      <w:start w:val="1"/>
      <w:numFmt w:val="bullet"/>
      <w:lvlText w:val="_x0007_."/>
      <w:lvlJc w:val="left"/>
      <w:pPr>
        <w:tabs>
          <w:tab w:val="left" w:pos="5760"/>
        </w:tabs>
        <w:ind w:left="5760" w:hanging="360"/>
      </w:pPr>
    </w:lvl>
    <w:lvl w:ilvl="8" w:tentative="0">
      <w:start w:val="1"/>
      <w:numFmt w:val="bullet"/>
      <w:lvlText w:val="_x0008_."/>
      <w:lvlJc w:val="left"/>
      <w:pPr>
        <w:tabs>
          <w:tab w:val="left" w:pos="6480"/>
        </w:tabs>
        <w:ind w:left="6480" w:hanging="360"/>
      </w:pPr>
    </w:lvl>
  </w:abstractNum>
  <w:abstractNum w:abstractNumId="13">
    <w:nsid w:val="71C71CFC"/>
    <w:multiLevelType w:val="multilevel"/>
    <w:tmpl w:val="71C71CFC"/>
    <w:lvl w:ilvl="0" w:tentative="0">
      <w:start w:val="9"/>
      <w:numFmt w:val="decimal"/>
      <w:lvlText w:val="3.%1"/>
      <w:lvlJc w:val="left"/>
      <w:pPr>
        <w:tabs>
          <w:tab w:val="left" w:pos="0"/>
        </w:tabs>
        <w:ind w:left="0" w:firstLine="0"/>
      </w:pPr>
      <w:rPr>
        <w:rFonts w:hint="default" w:ascii="Times New Roman" w:hAnsi="Times New Roman" w:cs="Times New Roman"/>
      </w:rPr>
    </w:lvl>
    <w:lvl w:ilvl="1" w:tentative="0">
      <w:start w:val="1"/>
      <w:numFmt w:val="decimal"/>
      <w:lvlText w:val="3.9.%2"/>
      <w:lvlJc w:val="left"/>
      <w:pPr>
        <w:tabs>
          <w:tab w:val="left" w:pos="0"/>
        </w:tabs>
        <w:ind w:left="0" w:firstLine="0"/>
      </w:pPr>
      <w:rPr>
        <w:rFonts w:hint="default" w:ascii="Times New Roman" w:hAnsi="Times New Roman" w:cs="Times New Roman"/>
      </w:rPr>
    </w:lvl>
    <w:lvl w:ilvl="2" w:tentative="0">
      <w:start w:val="1"/>
      <w:numFmt w:val="bullet"/>
      <w:lvlText w:val="_x0002_."/>
      <w:lvlJc w:val="left"/>
      <w:pPr>
        <w:tabs>
          <w:tab w:val="left" w:pos="2160"/>
        </w:tabs>
        <w:ind w:left="2160" w:hanging="360"/>
      </w:pPr>
    </w:lvl>
    <w:lvl w:ilvl="3" w:tentative="0">
      <w:start w:val="1"/>
      <w:numFmt w:val="bullet"/>
      <w:lvlText w:val="_x0003_."/>
      <w:lvlJc w:val="left"/>
      <w:pPr>
        <w:tabs>
          <w:tab w:val="left" w:pos="2880"/>
        </w:tabs>
        <w:ind w:left="2880" w:hanging="360"/>
      </w:pPr>
    </w:lvl>
    <w:lvl w:ilvl="4" w:tentative="0">
      <w:start w:val="1"/>
      <w:numFmt w:val="bullet"/>
      <w:lvlText w:val="_x0004_."/>
      <w:lvlJc w:val="left"/>
      <w:pPr>
        <w:tabs>
          <w:tab w:val="left" w:pos="3600"/>
        </w:tabs>
        <w:ind w:left="3600" w:hanging="360"/>
      </w:pPr>
    </w:lvl>
    <w:lvl w:ilvl="5" w:tentative="0">
      <w:start w:val="1"/>
      <w:numFmt w:val="bullet"/>
      <w:lvlText w:val="_x0005_."/>
      <w:lvlJc w:val="left"/>
      <w:pPr>
        <w:tabs>
          <w:tab w:val="left" w:pos="4320"/>
        </w:tabs>
        <w:ind w:left="4320" w:hanging="360"/>
      </w:pPr>
    </w:lvl>
    <w:lvl w:ilvl="6" w:tentative="0">
      <w:start w:val="1"/>
      <w:numFmt w:val="bullet"/>
      <w:lvlText w:val="_x0006_."/>
      <w:lvlJc w:val="left"/>
      <w:pPr>
        <w:tabs>
          <w:tab w:val="left" w:pos="5040"/>
        </w:tabs>
        <w:ind w:left="5040" w:hanging="360"/>
      </w:pPr>
    </w:lvl>
    <w:lvl w:ilvl="7" w:tentative="0">
      <w:start w:val="1"/>
      <w:numFmt w:val="bullet"/>
      <w:lvlText w:val="_x0007_."/>
      <w:lvlJc w:val="left"/>
      <w:pPr>
        <w:tabs>
          <w:tab w:val="left" w:pos="5760"/>
        </w:tabs>
        <w:ind w:left="5760" w:hanging="360"/>
      </w:pPr>
    </w:lvl>
    <w:lvl w:ilvl="8" w:tentative="0">
      <w:start w:val="1"/>
      <w:numFmt w:val="bullet"/>
      <w:lvlText w:val="_x0008_."/>
      <w:lvlJc w:val="left"/>
      <w:pPr>
        <w:tabs>
          <w:tab w:val="left" w:pos="6480"/>
        </w:tabs>
        <w:ind w:left="6480" w:hanging="360"/>
      </w:pPr>
    </w:lvl>
  </w:abstractNum>
  <w:num w:numId="1">
    <w:abstractNumId w:val="8"/>
  </w:num>
  <w:num w:numId="2">
    <w:abstractNumId w:val="9"/>
  </w:num>
  <w:num w:numId="3">
    <w:abstractNumId w:val="4"/>
    <w:lvlOverride w:ilvl="0">
      <w:startOverride w:val="1"/>
    </w:lvlOverride>
    <w:lvlOverride w:ilvl="1">
      <w:startOverride w:val="3"/>
    </w:lvlOverride>
  </w:num>
  <w:num w:numId="4">
    <w:abstractNumId w:val="11"/>
    <w:lvlOverride w:ilvl="0">
      <w:startOverride w:val="3"/>
    </w:lvlOverride>
    <w:lvlOverride w:ilvl="1">
      <w:startOverride w:val="1"/>
    </w:lvlOverride>
  </w:num>
  <w:num w:numId="5">
    <w:abstractNumId w:val="5"/>
    <w:lvlOverride w:ilvl="0">
      <w:startOverride w:val="2"/>
    </w:lvlOverride>
    <w:lvlOverride w:ilvl="1">
      <w:startOverride w:val="1"/>
    </w:lvlOverride>
  </w:num>
  <w:num w:numId="6">
    <w:abstractNumId w:val="1"/>
    <w:lvlOverride w:ilvl="0">
      <w:startOverride w:val="4"/>
    </w:lvlOverride>
    <w:lvlOverride w:ilvl="1">
      <w:startOverride w:val="1"/>
    </w:lvlOverride>
  </w:num>
  <w:num w:numId="7">
    <w:abstractNumId w:val="2"/>
    <w:lvlOverride w:ilvl="0">
      <w:startOverride w:val="1"/>
    </w:lvlOverride>
    <w:lvlOverride w:ilvl="1">
      <w:startOverride w:val="3"/>
    </w:lvlOverride>
  </w:num>
  <w:num w:numId="8">
    <w:abstractNumId w:val="6"/>
    <w:lvlOverride w:ilvl="0">
      <w:startOverride w:val="5"/>
    </w:lvlOverride>
    <w:lvlOverride w:ilvl="1">
      <w:startOverride w:val="1"/>
    </w:lvlOverride>
  </w:num>
  <w:num w:numId="9">
    <w:abstractNumId w:val="7"/>
    <w:lvlOverride w:ilvl="0">
      <w:startOverride w:val="6"/>
    </w:lvlOverride>
    <w:lvlOverride w:ilvl="1">
      <w:startOverride w:val="1"/>
    </w:lvlOverride>
  </w:num>
  <w:num w:numId="10">
    <w:abstractNumId w:val="12"/>
    <w:lvlOverride w:ilvl="0">
      <w:startOverride w:val="7"/>
    </w:lvlOverride>
    <w:lvlOverride w:ilvl="1">
      <w:startOverride w:val="1"/>
    </w:lvlOverride>
  </w:num>
  <w:num w:numId="11">
    <w:abstractNumId w:val="13"/>
    <w:lvlOverride w:ilvl="0">
      <w:startOverride w:val="9"/>
    </w:lvlOverride>
    <w:lvlOverride w:ilvl="1">
      <w:startOverride w:val="1"/>
    </w:lvlOverride>
  </w:num>
  <w:num w:numId="12">
    <w:abstractNumId w:val="10"/>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251E0"/>
    <w:rsid w:val="3EA470FB"/>
    <w:rsid w:val="602251E0"/>
    <w:rsid w:val="72C04564"/>
    <w:rsid w:val="7E387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rFonts w:ascii="Calibri" w:hAnsi="Calibri" w:cs="Times New Roman"/>
      <w:b/>
      <w:kern w:val="44"/>
      <w:sz w:val="44"/>
    </w:rPr>
  </w:style>
  <w:style w:type="paragraph" w:styleId="7">
    <w:name w:val="heading 2"/>
    <w:basedOn w:val="1"/>
    <w:next w:val="1"/>
    <w:qFormat/>
    <w:uiPriority w:val="99"/>
    <w:pPr>
      <w:keepNext/>
      <w:keepLines/>
      <w:spacing w:before="260" w:after="260" w:line="416" w:lineRule="auto"/>
      <w:outlineLvl w:val="1"/>
    </w:pPr>
    <w:rPr>
      <w:rFonts w:ascii="Arial" w:hAnsi="Arial" w:eastAsia="黑体" w:cs="Times New Roman"/>
      <w:b/>
      <w:bCs/>
      <w:kern w:val="0"/>
      <w:sz w:val="32"/>
      <w:szCs w:val="32"/>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unhideWhenUsed/>
    <w:qFormat/>
    <w:uiPriority w:val="99"/>
    <w:pPr>
      <w:spacing w:after="120"/>
    </w:pPr>
    <w:rPr>
      <w:rFonts w:ascii="Calibri" w:hAnsi="Calibri" w:cs="Times New Roman"/>
      <w:kern w:val="0"/>
      <w:sz w:val="20"/>
    </w:r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8">
    <w:name w:val="Plain Text"/>
    <w:basedOn w:val="1"/>
    <w:qFormat/>
    <w:uiPriority w:val="99"/>
    <w:rPr>
      <w:rFonts w:ascii="宋体" w:hAnsi="Courier New" w:cs="Times New Roman"/>
      <w:kern w:val="0"/>
      <w:sz w:val="20"/>
      <w:szCs w:val="21"/>
    </w:rPr>
  </w:style>
  <w:style w:type="paragraph" w:styleId="9">
    <w:name w:val="footer"/>
    <w:basedOn w:val="1"/>
    <w:unhideWhenUsed/>
    <w:qFormat/>
    <w:uiPriority w:val="99"/>
    <w:pPr>
      <w:tabs>
        <w:tab w:val="center" w:pos="4153"/>
        <w:tab w:val="right" w:pos="8306"/>
      </w:tabs>
      <w:snapToGrid w:val="0"/>
      <w:jc w:val="left"/>
    </w:pPr>
    <w:rPr>
      <w:rFonts w:cs="Times New Roman"/>
      <w:kern w:val="0"/>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1">
    <w:name w:val="footnote text"/>
    <w:basedOn w:val="1"/>
    <w:qFormat/>
    <w:uiPriority w:val="0"/>
    <w:pPr>
      <w:snapToGrid w:val="0"/>
      <w:jc w:val="left"/>
    </w:pPr>
    <w:rPr>
      <w:rFonts w:cs="Times New Roman"/>
      <w:kern w:val="0"/>
      <w:sz w:val="18"/>
      <w:szCs w:val="18"/>
    </w:rPr>
  </w:style>
  <w:style w:type="paragraph" w:styleId="12">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imes New Roman"/>
      <w:kern w:val="0"/>
      <w:sz w:val="24"/>
    </w:rPr>
  </w:style>
  <w:style w:type="paragraph" w:styleId="13">
    <w:name w:val="Title"/>
    <w:basedOn w:val="1"/>
    <w:next w:val="1"/>
    <w:qFormat/>
    <w:uiPriority w:val="0"/>
    <w:pPr>
      <w:spacing w:before="240" w:after="60"/>
      <w:jc w:val="center"/>
      <w:outlineLvl w:val="0"/>
    </w:pPr>
    <w:rPr>
      <w:rFonts w:ascii="Cambria" w:hAnsi="Cambria" w:cs="Times New Roman"/>
      <w:b/>
      <w:bCs/>
      <w:kern w:val="0"/>
      <w:sz w:val="32"/>
      <w:szCs w:val="32"/>
    </w:rPr>
  </w:style>
  <w:style w:type="character" w:styleId="16">
    <w:name w:val="Hyperlink"/>
    <w:qFormat/>
    <w:uiPriority w:val="0"/>
    <w:rPr>
      <w:color w:val="000000"/>
      <w:u w:val="none"/>
    </w:rPr>
  </w:style>
  <w:style w:type="character" w:styleId="17">
    <w:name w:val="footnote reference"/>
    <w:qFormat/>
    <w:uiPriority w:val="0"/>
    <w:rPr>
      <w:vertAlign w:val="superscript"/>
    </w:rPr>
  </w:style>
  <w:style w:type="paragraph" w:customStyle="1" w:styleId="18">
    <w:name w:val="_Style 10"/>
    <w:basedOn w:val="1"/>
    <w:next w:val="19"/>
    <w:qFormat/>
    <w:uiPriority w:val="99"/>
    <w:pPr>
      <w:ind w:firstLine="420" w:firstLineChars="200"/>
    </w:pPr>
    <w:rPr>
      <w:rFonts w:ascii="Calibri" w:hAnsi="Calibri" w:cs="Times New Roman"/>
      <w:kern w:val="0"/>
      <w:sz w:val="20"/>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2020-02-19T04:03:00Z</dcterms:created>
  <dc:creator>Sloth丶柒</dc:creator>
  <cp:lastModifiedBy>Sloth丶柒</cp:lastModifiedBy>
  <dcterms:modified xsi:type="dcterms:W3CDTF">2020-02-19T04:14:11Z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