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b/>
          <w:sz w:val="36"/>
          <w:szCs w:val="36"/>
        </w:rPr>
      </w:pPr>
    </w:p>
    <w:p>
      <w:pPr>
        <w:jc w:val="center"/>
        <w:rPr>
          <w:rFonts w:hint="eastAsia" w:ascii="仿宋" w:hAnsi="仿宋" w:eastAsia="仿宋" w:cs="仿宋"/>
          <w:sz w:val="72"/>
          <w:szCs w:val="72"/>
        </w:rPr>
      </w:pPr>
      <w:r>
        <w:rPr>
          <w:rFonts w:hint="eastAsia" w:ascii="仿宋" w:hAnsi="仿宋" w:eastAsia="仿宋" w:cs="仿宋"/>
          <w:sz w:val="72"/>
          <w:szCs w:val="72"/>
        </w:rPr>
        <w:t>建安区建设工程</w:t>
      </w:r>
    </w:p>
    <w:p>
      <w:pPr>
        <w:jc w:val="both"/>
        <w:rPr>
          <w:rFonts w:hint="eastAsia" w:ascii="仿宋" w:hAnsi="仿宋" w:eastAsia="仿宋" w:cs="仿宋"/>
          <w:sz w:val="84"/>
          <w:szCs w:val="84"/>
        </w:rPr>
      </w:pPr>
    </w:p>
    <w:p>
      <w:pPr>
        <w:pStyle w:val="2"/>
        <w:rPr>
          <w:rFonts w:hint="eastAsia"/>
        </w:rPr>
      </w:pPr>
    </w:p>
    <w:p>
      <w:pPr>
        <w:jc w:val="center"/>
        <w:rPr>
          <w:rFonts w:hint="eastAsia" w:ascii="仿宋" w:hAnsi="仿宋" w:eastAsia="仿宋" w:cs="仿宋"/>
          <w:sz w:val="72"/>
          <w:szCs w:val="72"/>
        </w:rPr>
      </w:pPr>
      <w:r>
        <w:rPr>
          <w:rFonts w:hint="eastAsia" w:ascii="仿宋" w:hAnsi="仿宋" w:eastAsia="仿宋" w:cs="仿宋"/>
          <w:sz w:val="72"/>
          <w:szCs w:val="72"/>
        </w:rPr>
        <w:t>招</w:t>
      </w:r>
    </w:p>
    <w:p>
      <w:pPr>
        <w:jc w:val="center"/>
        <w:rPr>
          <w:rFonts w:hint="eastAsia" w:ascii="仿宋" w:hAnsi="仿宋" w:eastAsia="仿宋" w:cs="仿宋"/>
          <w:sz w:val="72"/>
          <w:szCs w:val="72"/>
        </w:rPr>
      </w:pPr>
      <w:r>
        <w:rPr>
          <w:rFonts w:hint="eastAsia" w:ascii="仿宋" w:hAnsi="仿宋" w:eastAsia="仿宋" w:cs="仿宋"/>
          <w:sz w:val="72"/>
          <w:szCs w:val="72"/>
        </w:rPr>
        <w:t>标</w:t>
      </w:r>
    </w:p>
    <w:p>
      <w:pPr>
        <w:jc w:val="center"/>
        <w:rPr>
          <w:rFonts w:hint="eastAsia" w:ascii="仿宋" w:hAnsi="仿宋" w:eastAsia="仿宋" w:cs="仿宋"/>
          <w:sz w:val="72"/>
          <w:szCs w:val="72"/>
        </w:rPr>
      </w:pPr>
      <w:r>
        <w:rPr>
          <w:rFonts w:hint="eastAsia" w:ascii="仿宋" w:hAnsi="仿宋" w:eastAsia="仿宋" w:cs="仿宋"/>
          <w:sz w:val="72"/>
          <w:szCs w:val="72"/>
        </w:rPr>
        <w:t>文</w:t>
      </w:r>
    </w:p>
    <w:p>
      <w:pPr>
        <w:jc w:val="center"/>
        <w:rPr>
          <w:lang w:eastAsia="zh-CN"/>
        </w:rPr>
      </w:pPr>
      <w:r>
        <w:rPr>
          <w:rFonts w:hint="eastAsia" w:ascii="仿宋" w:hAnsi="仿宋" w:eastAsia="仿宋" w:cs="仿宋"/>
          <w:sz w:val="72"/>
          <w:szCs w:val="72"/>
        </w:rPr>
        <w:t>件</w:t>
      </w:r>
    </w:p>
    <w:p>
      <w:pPr>
        <w:pStyle w:val="2"/>
        <w:ind w:firstLine="0" w:firstLineChars="0"/>
        <w:rPr>
          <w:rFonts w:hint="eastAsia"/>
        </w:rPr>
      </w:pPr>
    </w:p>
    <w:p>
      <w:pPr>
        <w:pStyle w:val="4"/>
        <w:rPr>
          <w:rFonts w:hint="eastAsia"/>
        </w:rPr>
      </w:pP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项目编号：建安建工公字〔20</w:t>
      </w:r>
      <w:r>
        <w:rPr>
          <w:rFonts w:hint="eastAsia" w:ascii="仿宋" w:hAnsi="仿宋" w:eastAsia="仿宋" w:cs="仿宋"/>
          <w:sz w:val="32"/>
          <w:szCs w:val="32"/>
          <w:lang w:val="en-US" w:eastAsia="zh-CN"/>
        </w:rPr>
        <w:t>20</w:t>
      </w:r>
      <w:r>
        <w:rPr>
          <w:rFonts w:hint="eastAsia" w:ascii="仿宋" w:hAnsi="仿宋" w:eastAsia="仿宋" w:cs="仿宋"/>
          <w:sz w:val="32"/>
          <w:szCs w:val="32"/>
        </w:rPr>
        <w:t>〕</w:t>
      </w:r>
      <w:r>
        <w:rPr>
          <w:rFonts w:hint="eastAsia" w:ascii="仿宋" w:hAnsi="仿宋" w:eastAsia="仿宋" w:cs="仿宋"/>
          <w:sz w:val="32"/>
          <w:szCs w:val="32"/>
          <w:lang w:val="en-US" w:eastAsia="zh-CN"/>
        </w:rPr>
        <w:t>13</w:t>
      </w:r>
      <w:r>
        <w:rPr>
          <w:rFonts w:hint="eastAsia" w:ascii="仿宋" w:hAnsi="仿宋" w:eastAsia="仿宋" w:cs="仿宋"/>
          <w:sz w:val="32"/>
          <w:szCs w:val="32"/>
        </w:rPr>
        <w:t>号</w:t>
      </w:r>
    </w:p>
    <w:p>
      <w:pPr>
        <w:ind w:firstLine="640"/>
        <w:jc w:val="both"/>
        <w:rPr>
          <w:rFonts w:hint="default" w:ascii="仿宋" w:hAnsi="仿宋" w:eastAsia="仿宋" w:cs="仿宋"/>
          <w:sz w:val="32"/>
          <w:szCs w:val="32"/>
          <w:lang w:val="en-US" w:eastAsia="zh-CN"/>
        </w:rPr>
      </w:pPr>
      <w:r>
        <w:rPr>
          <w:rFonts w:hint="eastAsia" w:ascii="仿宋" w:hAnsi="仿宋" w:eastAsia="仿宋" w:cs="仿宋"/>
          <w:sz w:val="32"/>
          <w:szCs w:val="32"/>
        </w:rPr>
        <w:t>项目名称：</w:t>
      </w:r>
      <w:r>
        <w:rPr>
          <w:rFonts w:hint="eastAsia" w:ascii="仿宋" w:hAnsi="仿宋" w:eastAsia="仿宋" w:cs="仿宋"/>
          <w:sz w:val="32"/>
          <w:szCs w:val="32"/>
          <w:lang w:val="en-US" w:eastAsia="zh-CN"/>
        </w:rPr>
        <w:t>2020年中、省、市专项扶贫资金项目（4-6标段）</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招 标 人：许昌市建安区交通运输局</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代理机构：</w:t>
      </w:r>
      <w:r>
        <w:rPr>
          <w:rFonts w:hint="eastAsia" w:ascii="仿宋" w:hAnsi="仿宋" w:eastAsia="仿宋" w:cs="仿宋"/>
          <w:sz w:val="32"/>
          <w:szCs w:val="32"/>
          <w:lang w:eastAsia="zh-CN"/>
        </w:rPr>
        <w:t>永明项目管理有限公司</w:t>
      </w:r>
    </w:p>
    <w:p>
      <w:pPr>
        <w:jc w:val="center"/>
        <w:rPr>
          <w:rFonts w:hint="eastAsia" w:ascii="仿宋" w:hAnsi="仿宋" w:eastAsia="仿宋" w:cs="仿宋"/>
          <w:sz w:val="32"/>
          <w:szCs w:val="32"/>
        </w:rPr>
      </w:pPr>
      <w:r>
        <w:rPr>
          <w:rFonts w:hint="eastAsia" w:ascii="仿宋" w:hAnsi="仿宋" w:eastAsia="仿宋" w:cs="仿宋"/>
          <w:sz w:val="32"/>
          <w:szCs w:val="32"/>
        </w:rPr>
        <w:t>二〇二〇年</w:t>
      </w:r>
      <w:r>
        <w:rPr>
          <w:rFonts w:hint="eastAsia" w:ascii="仿宋" w:hAnsi="仿宋" w:eastAsia="仿宋" w:cs="仿宋"/>
          <w:sz w:val="32"/>
          <w:szCs w:val="32"/>
          <w:lang w:eastAsia="zh-CN"/>
        </w:rPr>
        <w:t>一</w:t>
      </w:r>
      <w:r>
        <w:rPr>
          <w:rFonts w:hint="eastAsia" w:ascii="仿宋" w:hAnsi="仿宋" w:eastAsia="仿宋" w:cs="仿宋"/>
          <w:sz w:val="32"/>
          <w:szCs w:val="32"/>
        </w:rPr>
        <w:t xml:space="preserve">月 </w:t>
      </w:r>
    </w:p>
    <w:p>
      <w:pPr>
        <w:spacing w:line="360" w:lineRule="auto"/>
        <w:jc w:val="both"/>
        <w:rPr>
          <w:rFonts w:ascii="宋体" w:hAnsi="宋体"/>
          <w:b/>
          <w:bCs/>
          <w:sz w:val="48"/>
          <w:szCs w:val="48"/>
        </w:rPr>
      </w:pPr>
    </w:p>
    <w:p>
      <w:pPr>
        <w:pStyle w:val="2"/>
        <w:rPr>
          <w:rFonts w:ascii="宋体" w:hAnsi="宋体"/>
          <w:b/>
          <w:bCs/>
          <w:sz w:val="48"/>
          <w:szCs w:val="48"/>
        </w:rPr>
      </w:pPr>
    </w:p>
    <w:p>
      <w:pPr>
        <w:pStyle w:val="4"/>
        <w:rPr>
          <w:rFonts w:ascii="宋体" w:hAnsi="宋体"/>
          <w:b/>
          <w:bCs/>
          <w:sz w:val="48"/>
          <w:szCs w:val="48"/>
        </w:rPr>
      </w:pPr>
    </w:p>
    <w:p>
      <w:pPr>
        <w:pStyle w:val="4"/>
        <w:rPr>
          <w:rFonts w:ascii="宋体" w:hAnsi="宋体"/>
          <w:b/>
          <w:bCs/>
          <w:sz w:val="48"/>
          <w:szCs w:val="48"/>
        </w:rPr>
      </w:pPr>
      <w:bookmarkStart w:id="304" w:name="_GoBack"/>
      <w:bookmarkEnd w:id="304"/>
    </w:p>
    <w:p>
      <w:pPr>
        <w:spacing w:line="360" w:lineRule="auto"/>
        <w:jc w:val="center"/>
        <w:rPr>
          <w:rFonts w:ascii="宋体" w:hAnsi="宋体"/>
          <w:b/>
          <w:bCs/>
          <w:sz w:val="48"/>
          <w:szCs w:val="48"/>
        </w:rPr>
      </w:pPr>
      <w:r>
        <w:rPr>
          <w:rFonts w:hint="eastAsia" w:ascii="宋体" w:hAnsi="宋体"/>
          <w:b/>
          <w:bCs/>
          <w:sz w:val="48"/>
          <w:szCs w:val="48"/>
        </w:rPr>
        <w:t>目  录</w:t>
      </w:r>
    </w:p>
    <w:p>
      <w:pPr>
        <w:spacing w:line="312" w:lineRule="auto"/>
        <w:jc w:val="left"/>
        <w:outlineLvl w:val="0"/>
        <w:rPr>
          <w:rFonts w:asciiTheme="minorEastAsia" w:hAnsiTheme="minorEastAsia" w:eastAsiaTheme="minorEastAsia"/>
          <w:bCs/>
          <w:sz w:val="30"/>
          <w:szCs w:val="30"/>
        </w:rPr>
      </w:pPr>
    </w:p>
    <w:p>
      <w:pPr>
        <w:spacing w:line="312" w:lineRule="auto"/>
        <w:ind w:firstLine="600" w:firstLineChars="200"/>
        <w:jc w:val="left"/>
        <w:outlineLvl w:val="0"/>
        <w:rPr>
          <w:rFonts w:asciiTheme="minorEastAsia" w:hAnsiTheme="minorEastAsia" w:eastAsiaTheme="minorEastAsia"/>
          <w:bCs/>
          <w:sz w:val="30"/>
          <w:szCs w:val="30"/>
        </w:rPr>
      </w:pPr>
      <w:r>
        <w:rPr>
          <w:rFonts w:hint="eastAsia" w:asciiTheme="minorEastAsia" w:hAnsiTheme="minorEastAsia" w:eastAsiaTheme="minorEastAsia"/>
          <w:bCs/>
          <w:sz w:val="30"/>
          <w:szCs w:val="30"/>
        </w:rPr>
        <w:t>第一章   招标公告··································1</w:t>
      </w:r>
    </w:p>
    <w:p>
      <w:pPr>
        <w:spacing w:line="312" w:lineRule="auto"/>
        <w:ind w:firstLine="600" w:firstLineChars="200"/>
        <w:jc w:val="left"/>
        <w:outlineLvl w:val="0"/>
        <w:rPr>
          <w:rFonts w:asciiTheme="minorEastAsia" w:hAnsiTheme="minorEastAsia" w:eastAsiaTheme="minorEastAsia"/>
          <w:bCs/>
          <w:sz w:val="30"/>
          <w:szCs w:val="30"/>
        </w:rPr>
      </w:pPr>
      <w:r>
        <w:rPr>
          <w:rFonts w:hint="eastAsia" w:asciiTheme="minorEastAsia" w:hAnsiTheme="minorEastAsia" w:eastAsiaTheme="minorEastAsia"/>
          <w:bCs/>
          <w:sz w:val="30"/>
          <w:szCs w:val="30"/>
        </w:rPr>
        <w:t>第二章   投标人须知································5</w:t>
      </w:r>
    </w:p>
    <w:p>
      <w:pPr>
        <w:spacing w:line="312" w:lineRule="auto"/>
        <w:ind w:firstLine="600" w:firstLineChars="200"/>
        <w:jc w:val="left"/>
        <w:outlineLvl w:val="0"/>
        <w:rPr>
          <w:rFonts w:asciiTheme="minorEastAsia" w:hAnsiTheme="minorEastAsia" w:eastAsiaTheme="minorEastAsia"/>
          <w:bCs/>
          <w:sz w:val="30"/>
          <w:szCs w:val="30"/>
        </w:rPr>
      </w:pPr>
      <w:r>
        <w:rPr>
          <w:rFonts w:hint="eastAsia" w:asciiTheme="minorEastAsia" w:hAnsiTheme="minorEastAsia" w:eastAsiaTheme="minorEastAsia"/>
          <w:bCs/>
          <w:sz w:val="30"/>
          <w:szCs w:val="30"/>
        </w:rPr>
        <w:t>第三章   评标办法·································36</w:t>
      </w:r>
    </w:p>
    <w:p>
      <w:pPr>
        <w:spacing w:line="312" w:lineRule="auto"/>
        <w:ind w:firstLine="600" w:firstLineChars="200"/>
        <w:jc w:val="left"/>
        <w:outlineLvl w:val="0"/>
        <w:rPr>
          <w:rFonts w:asciiTheme="minorEastAsia" w:hAnsiTheme="minorEastAsia" w:eastAsiaTheme="minorEastAsia"/>
          <w:bCs/>
          <w:sz w:val="30"/>
          <w:szCs w:val="30"/>
        </w:rPr>
      </w:pPr>
      <w:r>
        <w:rPr>
          <w:rFonts w:hint="eastAsia" w:asciiTheme="minorEastAsia" w:hAnsiTheme="minorEastAsia" w:eastAsiaTheme="minorEastAsia"/>
          <w:bCs/>
          <w:sz w:val="30"/>
          <w:szCs w:val="30"/>
        </w:rPr>
        <w:t>第四章   合同条款及格式···························44</w:t>
      </w:r>
    </w:p>
    <w:p>
      <w:pPr>
        <w:spacing w:line="312" w:lineRule="auto"/>
        <w:ind w:firstLine="600" w:firstLineChars="200"/>
        <w:jc w:val="left"/>
        <w:outlineLvl w:val="0"/>
        <w:rPr>
          <w:rFonts w:asciiTheme="minorEastAsia" w:hAnsiTheme="minorEastAsia" w:eastAsiaTheme="minorEastAsia"/>
          <w:bCs/>
          <w:sz w:val="30"/>
          <w:szCs w:val="30"/>
        </w:rPr>
      </w:pPr>
      <w:r>
        <w:rPr>
          <w:rFonts w:hint="eastAsia" w:asciiTheme="minorEastAsia" w:hAnsiTheme="minorEastAsia" w:eastAsiaTheme="minorEastAsia"/>
          <w:bCs/>
          <w:sz w:val="30"/>
          <w:szCs w:val="30"/>
        </w:rPr>
        <w:t>第五章   工程量清单·······························92</w:t>
      </w:r>
    </w:p>
    <w:p>
      <w:pPr>
        <w:spacing w:line="312" w:lineRule="auto"/>
        <w:ind w:firstLine="600" w:firstLineChars="200"/>
        <w:jc w:val="left"/>
        <w:outlineLvl w:val="0"/>
        <w:rPr>
          <w:rFonts w:asciiTheme="minorEastAsia" w:hAnsiTheme="minorEastAsia" w:eastAsiaTheme="minorEastAsia"/>
          <w:bCs/>
          <w:sz w:val="30"/>
          <w:szCs w:val="30"/>
        </w:rPr>
      </w:pPr>
      <w:r>
        <w:rPr>
          <w:rFonts w:hint="eastAsia" w:asciiTheme="minorEastAsia" w:hAnsiTheme="minorEastAsia" w:eastAsiaTheme="minorEastAsia"/>
          <w:bCs/>
          <w:sz w:val="30"/>
          <w:szCs w:val="30"/>
        </w:rPr>
        <w:t>第六章   图纸·····································95</w:t>
      </w:r>
    </w:p>
    <w:p>
      <w:pPr>
        <w:spacing w:line="312" w:lineRule="auto"/>
        <w:ind w:firstLine="600" w:firstLineChars="200"/>
        <w:jc w:val="left"/>
        <w:outlineLvl w:val="0"/>
        <w:rPr>
          <w:rFonts w:asciiTheme="minorEastAsia" w:hAnsiTheme="minorEastAsia" w:eastAsiaTheme="minorEastAsia"/>
          <w:bCs/>
          <w:sz w:val="30"/>
          <w:szCs w:val="30"/>
        </w:rPr>
      </w:pPr>
      <w:r>
        <w:rPr>
          <w:rFonts w:hint="eastAsia" w:asciiTheme="minorEastAsia" w:hAnsiTheme="minorEastAsia" w:eastAsiaTheme="minorEastAsia"/>
          <w:bCs/>
          <w:sz w:val="30"/>
          <w:szCs w:val="30"/>
        </w:rPr>
        <w:t>第七章   技术规范(另册) ··························96</w:t>
      </w:r>
    </w:p>
    <w:p>
      <w:pPr>
        <w:spacing w:line="312" w:lineRule="auto"/>
        <w:ind w:firstLine="600" w:firstLineChars="200"/>
        <w:jc w:val="left"/>
        <w:outlineLvl w:val="0"/>
        <w:rPr>
          <w:rFonts w:asciiTheme="minorEastAsia" w:hAnsiTheme="minorEastAsia" w:eastAsiaTheme="minorEastAsia"/>
          <w:bCs/>
          <w:sz w:val="30"/>
          <w:szCs w:val="30"/>
        </w:rPr>
      </w:pPr>
      <w:r>
        <w:rPr>
          <w:rFonts w:hint="eastAsia" w:asciiTheme="minorEastAsia" w:hAnsiTheme="minorEastAsia" w:eastAsiaTheme="minorEastAsia"/>
          <w:bCs/>
          <w:sz w:val="30"/>
          <w:szCs w:val="30"/>
        </w:rPr>
        <w:t>第八章</w:t>
      </w:r>
      <w:r>
        <w:rPr>
          <w:rFonts w:hint="eastAsia" w:asciiTheme="minorEastAsia" w:hAnsiTheme="minorEastAsia" w:eastAsiaTheme="minorEastAsia"/>
          <w:bCs/>
          <w:sz w:val="30"/>
          <w:szCs w:val="30"/>
        </w:rPr>
        <w:tab/>
      </w:r>
      <w:r>
        <w:rPr>
          <w:rFonts w:hint="eastAsia" w:asciiTheme="minorEastAsia" w:hAnsiTheme="minorEastAsia" w:eastAsiaTheme="minorEastAsia"/>
          <w:bCs/>
          <w:sz w:val="30"/>
          <w:szCs w:val="30"/>
        </w:rPr>
        <w:t xml:space="preserve">  工程量清单计量规则·····························97</w:t>
      </w:r>
    </w:p>
    <w:p>
      <w:pPr>
        <w:spacing w:line="312" w:lineRule="auto"/>
        <w:ind w:firstLine="600" w:firstLineChars="200"/>
        <w:jc w:val="left"/>
        <w:outlineLvl w:val="0"/>
        <w:rPr>
          <w:rFonts w:asciiTheme="minorEastAsia" w:hAnsiTheme="minorEastAsia" w:eastAsiaTheme="minorEastAsia"/>
          <w:bCs/>
          <w:sz w:val="30"/>
          <w:szCs w:val="30"/>
        </w:rPr>
      </w:pPr>
      <w:r>
        <w:rPr>
          <w:rFonts w:hint="eastAsia" w:asciiTheme="minorEastAsia" w:hAnsiTheme="minorEastAsia" w:eastAsiaTheme="minorEastAsia"/>
          <w:bCs/>
          <w:sz w:val="30"/>
          <w:szCs w:val="30"/>
        </w:rPr>
        <w:t>第九章   投标文件格式·····························98</w:t>
      </w:r>
    </w:p>
    <w:p>
      <w:pPr>
        <w:spacing w:line="312" w:lineRule="auto"/>
        <w:jc w:val="left"/>
        <w:outlineLvl w:val="0"/>
        <w:rPr>
          <w:rFonts w:asciiTheme="minorEastAsia" w:hAnsiTheme="minorEastAsia" w:eastAsiaTheme="minorEastAsia"/>
          <w:bCs/>
          <w:sz w:val="30"/>
          <w:szCs w:val="30"/>
        </w:rPr>
      </w:pPr>
    </w:p>
    <w:p>
      <w:pPr>
        <w:pStyle w:val="2"/>
        <w:ind w:firstLine="210"/>
      </w:pPr>
    </w:p>
    <w:p>
      <w:pPr>
        <w:spacing w:line="312" w:lineRule="auto"/>
        <w:jc w:val="center"/>
        <w:outlineLvl w:val="0"/>
        <w:rPr>
          <w:rFonts w:ascii="黑体" w:eastAsia="黑体"/>
          <w:bCs/>
          <w:sz w:val="44"/>
          <w:szCs w:val="44"/>
        </w:rPr>
        <w:sectPr>
          <w:footerReference r:id="rId5" w:type="first"/>
          <w:headerReference r:id="rId3" w:type="default"/>
          <w:footerReference r:id="rId4" w:type="default"/>
          <w:pgSz w:w="11906" w:h="16838"/>
          <w:pgMar w:top="1304" w:right="1134" w:bottom="1304" w:left="1247" w:header="851" w:footer="992" w:gutter="0"/>
          <w:pgNumType w:fmt="decimal"/>
          <w:cols w:space="425" w:num="1"/>
          <w:titlePg/>
          <w:docGrid w:type="lines" w:linePitch="312" w:charSpace="0"/>
        </w:sectPr>
      </w:pPr>
    </w:p>
    <w:p>
      <w:pPr>
        <w:spacing w:line="312" w:lineRule="auto"/>
        <w:jc w:val="center"/>
        <w:outlineLvl w:val="0"/>
        <w:rPr>
          <w:rFonts w:asciiTheme="minorEastAsia" w:hAnsiTheme="minorEastAsia" w:eastAsiaTheme="minorEastAsia"/>
          <w:b/>
          <w:sz w:val="32"/>
          <w:szCs w:val="32"/>
        </w:rPr>
      </w:pPr>
      <w:r>
        <w:rPr>
          <w:rFonts w:hint="eastAsia" w:ascii="黑体" w:eastAsia="黑体"/>
          <w:bCs/>
          <w:sz w:val="44"/>
          <w:szCs w:val="44"/>
        </w:rPr>
        <w:t>第一章  招标公告</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Times New Roman"/>
          <w:b/>
          <w:sz w:val="32"/>
          <w:szCs w:val="32"/>
          <w:lang w:val="zh-CN" w:eastAsia="zh-CN"/>
        </w:rPr>
      </w:pPr>
      <w:r>
        <w:rPr>
          <w:rFonts w:hint="eastAsia" w:ascii="宋体" w:hAnsi="宋体" w:cs="Times New Roman"/>
          <w:b/>
          <w:sz w:val="32"/>
          <w:szCs w:val="32"/>
          <w:lang w:val="zh-CN" w:eastAsia="zh-CN"/>
        </w:rPr>
        <w:t>建安建工公字〔20</w:t>
      </w:r>
      <w:r>
        <w:rPr>
          <w:rFonts w:hint="eastAsia" w:ascii="宋体" w:hAnsi="宋体" w:cs="Times New Roman"/>
          <w:b/>
          <w:sz w:val="32"/>
          <w:szCs w:val="32"/>
          <w:lang w:val="en-US" w:eastAsia="zh-CN"/>
        </w:rPr>
        <w:t>20</w:t>
      </w:r>
      <w:r>
        <w:rPr>
          <w:rFonts w:hint="eastAsia" w:ascii="宋体" w:hAnsi="宋体" w:cs="Times New Roman"/>
          <w:b/>
          <w:sz w:val="32"/>
          <w:szCs w:val="32"/>
          <w:lang w:val="zh-CN" w:eastAsia="zh-CN"/>
        </w:rPr>
        <w:t>〕</w:t>
      </w:r>
      <w:r>
        <w:rPr>
          <w:rFonts w:hint="eastAsia" w:ascii="宋体" w:hAnsi="宋体" w:cs="Times New Roman"/>
          <w:b/>
          <w:sz w:val="32"/>
          <w:szCs w:val="32"/>
          <w:lang w:val="en-US" w:eastAsia="zh-CN"/>
        </w:rPr>
        <w:t>13</w:t>
      </w:r>
      <w:r>
        <w:rPr>
          <w:rFonts w:hint="eastAsia" w:ascii="宋体" w:hAnsi="宋体" w:cs="Times New Roman"/>
          <w:b/>
          <w:sz w:val="32"/>
          <w:szCs w:val="32"/>
          <w:lang w:val="zh-CN" w:eastAsia="zh-CN"/>
        </w:rPr>
        <w:t>号</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Times New Roman"/>
          <w:b/>
          <w:sz w:val="32"/>
          <w:szCs w:val="32"/>
          <w:lang w:val="zh-CN" w:eastAsia="zh-CN"/>
        </w:rPr>
      </w:pPr>
      <w:r>
        <w:rPr>
          <w:rFonts w:hint="eastAsia" w:ascii="宋体" w:hAnsi="宋体" w:cs="Times New Roman"/>
          <w:b/>
          <w:sz w:val="32"/>
          <w:szCs w:val="32"/>
          <w:lang w:val="zh-CN" w:eastAsia="zh-CN"/>
        </w:rPr>
        <w:t>许昌市建安区交通运输局</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Times New Roman"/>
          <w:b/>
          <w:sz w:val="32"/>
          <w:szCs w:val="32"/>
          <w:lang w:val="en-US" w:eastAsia="zh-CN"/>
        </w:rPr>
      </w:pPr>
      <w:r>
        <w:rPr>
          <w:rFonts w:hint="eastAsia" w:ascii="宋体" w:hAnsi="宋体" w:cs="Times New Roman"/>
          <w:b/>
          <w:sz w:val="32"/>
          <w:szCs w:val="32"/>
          <w:lang w:val="en-US" w:eastAsia="zh-CN"/>
        </w:rPr>
        <w:t>2020年中、省、市专项扶贫资金项目（4-6标段）</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Times New Roman"/>
          <w:b/>
          <w:sz w:val="32"/>
          <w:szCs w:val="32"/>
          <w:lang w:val="en-US" w:eastAsia="zh-CN"/>
        </w:rPr>
      </w:pPr>
      <w:r>
        <w:rPr>
          <w:rFonts w:hint="eastAsia" w:ascii="宋体" w:hAnsi="宋体" w:cs="Times New Roman"/>
          <w:b/>
          <w:sz w:val="32"/>
          <w:szCs w:val="32"/>
          <w:lang w:val="en-US" w:eastAsia="zh-CN"/>
        </w:rPr>
        <w:t>公开招标公告</w:t>
      </w:r>
    </w:p>
    <w:p>
      <w:pPr>
        <w:spacing w:line="360" w:lineRule="auto"/>
        <w:rPr>
          <w:rFonts w:ascii="宋体" w:hAnsi="宋体"/>
          <w:b/>
          <w:sz w:val="24"/>
        </w:rPr>
      </w:pPr>
      <w:r>
        <w:rPr>
          <w:rFonts w:hint="eastAsia" w:ascii="宋体" w:hAnsi="宋体"/>
          <w:b/>
          <w:sz w:val="24"/>
        </w:rPr>
        <w:t>一、项目概况</w:t>
      </w:r>
    </w:p>
    <w:p>
      <w:pPr>
        <w:autoSpaceDE w:val="0"/>
        <w:autoSpaceDN w:val="0"/>
        <w:adjustRightInd w:val="0"/>
        <w:spacing w:line="420" w:lineRule="exact"/>
        <w:ind w:firstLine="480" w:firstLineChars="200"/>
        <w:outlineLvl w:val="0"/>
        <w:rPr>
          <w:rFonts w:hint="eastAsia" w:ascii="宋体" w:hAnsi="宋体" w:eastAsia="宋体" w:cs="宋体"/>
          <w:bCs/>
          <w:sz w:val="24"/>
          <w:lang w:eastAsia="zh-CN"/>
        </w:rPr>
      </w:pPr>
      <w:r>
        <w:rPr>
          <w:rFonts w:hint="eastAsia" w:ascii="宋体" w:hAnsi="宋体" w:cs="宋体"/>
          <w:bCs/>
          <w:sz w:val="24"/>
          <w:lang w:val="en-US" w:eastAsia="zh-CN"/>
        </w:rPr>
        <w:t>1.1</w:t>
      </w:r>
      <w:r>
        <w:rPr>
          <w:rFonts w:hint="eastAsia" w:ascii="宋体" w:hAnsi="宋体" w:eastAsia="宋体" w:cs="宋体"/>
          <w:bCs/>
          <w:sz w:val="24"/>
        </w:rPr>
        <w:t>项目编号：建安建工公字〔20</w:t>
      </w:r>
      <w:r>
        <w:rPr>
          <w:rFonts w:hint="eastAsia" w:ascii="宋体" w:hAnsi="宋体" w:eastAsia="宋体" w:cs="宋体"/>
          <w:bCs/>
          <w:sz w:val="24"/>
          <w:lang w:val="en-US" w:eastAsia="zh-CN"/>
        </w:rPr>
        <w:t>20</w:t>
      </w:r>
      <w:r>
        <w:rPr>
          <w:rFonts w:hint="eastAsia" w:ascii="宋体" w:hAnsi="宋体" w:eastAsia="宋体" w:cs="宋体"/>
          <w:bCs/>
          <w:sz w:val="24"/>
        </w:rPr>
        <w:t>〕</w:t>
      </w:r>
      <w:r>
        <w:rPr>
          <w:rFonts w:hint="eastAsia" w:ascii="宋体" w:hAnsi="宋体" w:cs="宋体"/>
          <w:bCs/>
          <w:sz w:val="24"/>
          <w:lang w:val="en-US" w:eastAsia="zh-CN"/>
        </w:rPr>
        <w:t>13</w:t>
      </w:r>
      <w:r>
        <w:rPr>
          <w:rFonts w:hint="eastAsia" w:ascii="宋体" w:hAnsi="宋体" w:eastAsia="宋体" w:cs="宋体"/>
          <w:bCs/>
          <w:sz w:val="24"/>
        </w:rPr>
        <w:t>号</w:t>
      </w:r>
      <w:r>
        <w:rPr>
          <w:rFonts w:hint="eastAsia" w:ascii="宋体" w:hAnsi="宋体" w:cs="宋体"/>
          <w:bCs/>
          <w:sz w:val="24"/>
          <w:lang w:eastAsia="zh-CN"/>
        </w:rPr>
        <w:t>。</w:t>
      </w:r>
    </w:p>
    <w:p>
      <w:pPr>
        <w:autoSpaceDE w:val="0"/>
        <w:autoSpaceDN w:val="0"/>
        <w:adjustRightInd w:val="0"/>
        <w:spacing w:line="420" w:lineRule="exact"/>
        <w:ind w:firstLine="480" w:firstLineChars="200"/>
        <w:outlineLvl w:val="0"/>
        <w:rPr>
          <w:rFonts w:hint="eastAsia" w:ascii="宋体" w:hAnsi="宋体" w:eastAsia="宋体" w:cs="宋体"/>
          <w:bCs/>
          <w:sz w:val="24"/>
        </w:rPr>
      </w:pPr>
      <w:r>
        <w:rPr>
          <w:rFonts w:hint="eastAsia" w:ascii="宋体" w:hAnsi="宋体" w:cs="宋体"/>
          <w:bCs/>
          <w:sz w:val="24"/>
          <w:lang w:val="en-US" w:eastAsia="zh-CN"/>
        </w:rPr>
        <w:t>1.2</w:t>
      </w:r>
      <w:r>
        <w:rPr>
          <w:rFonts w:hint="eastAsia" w:ascii="宋体" w:hAnsi="宋体" w:eastAsia="宋体" w:cs="宋体"/>
          <w:bCs/>
          <w:sz w:val="24"/>
        </w:rPr>
        <w:t>项目概况：本项目建设地点位于建安区</w:t>
      </w:r>
      <w:r>
        <w:rPr>
          <w:rFonts w:hint="eastAsia" w:ascii="宋体" w:hAnsi="宋体" w:eastAsia="宋体" w:cs="宋体"/>
          <w:bCs/>
          <w:sz w:val="24"/>
          <w:lang w:eastAsia="zh-CN"/>
        </w:rPr>
        <w:t>境内</w:t>
      </w:r>
      <w:r>
        <w:rPr>
          <w:rFonts w:hint="eastAsia" w:ascii="宋体" w:hAnsi="宋体" w:eastAsia="宋体" w:cs="宋体"/>
          <w:bCs/>
          <w:sz w:val="24"/>
        </w:rPr>
        <w:t>；工程内容为：</w:t>
      </w:r>
    </w:p>
    <w:p>
      <w:pPr>
        <w:autoSpaceDE w:val="0"/>
        <w:autoSpaceDN w:val="0"/>
        <w:adjustRightInd w:val="0"/>
        <w:spacing w:line="420" w:lineRule="exact"/>
        <w:ind w:firstLine="482" w:firstLineChars="200"/>
        <w:jc w:val="left"/>
        <w:outlineLvl w:val="0"/>
        <w:rPr>
          <w:rFonts w:hint="eastAsia" w:ascii="宋体" w:hAnsi="宋体" w:eastAsia="宋体" w:cs="宋体"/>
          <w:b w:val="0"/>
          <w:bCs/>
          <w:sz w:val="24"/>
          <w:szCs w:val="24"/>
          <w:u w:val="none"/>
          <w:lang w:val="en-US" w:eastAsia="zh-CN"/>
        </w:rPr>
      </w:pPr>
      <w:r>
        <w:rPr>
          <w:rFonts w:hint="eastAsia" w:ascii="宋体" w:hAnsi="宋体" w:eastAsia="宋体" w:cs="宋体"/>
          <w:b/>
          <w:bCs w:val="0"/>
          <w:sz w:val="24"/>
          <w:szCs w:val="24"/>
          <w:u w:val="none"/>
          <w:lang w:eastAsia="zh-CN"/>
        </w:rPr>
        <w:t>四标段</w:t>
      </w:r>
      <w:r>
        <w:rPr>
          <w:rFonts w:hint="eastAsia" w:ascii="宋体" w:hAnsi="宋体" w:eastAsia="宋体" w:cs="宋体"/>
          <w:bCs/>
          <w:sz w:val="24"/>
          <w:szCs w:val="24"/>
          <w:u w:val="none"/>
          <w:lang w:eastAsia="zh-CN"/>
        </w:rPr>
        <w:t>：</w:t>
      </w:r>
      <w:r>
        <w:rPr>
          <w:rFonts w:hint="eastAsia" w:ascii="宋体" w:hAnsi="宋体" w:eastAsia="宋体" w:cs="宋体"/>
          <w:b/>
          <w:bCs w:val="0"/>
          <w:sz w:val="24"/>
          <w:szCs w:val="24"/>
          <w:u w:val="none"/>
          <w:lang w:eastAsia="zh-CN"/>
        </w:rPr>
        <w:t>艾庄乡袁庄村</w:t>
      </w:r>
      <w:r>
        <w:rPr>
          <w:rFonts w:hint="eastAsia" w:ascii="宋体" w:hAnsi="宋体" w:eastAsia="宋体" w:cs="宋体"/>
          <w:b w:val="0"/>
          <w:bCs/>
          <w:sz w:val="24"/>
          <w:szCs w:val="24"/>
          <w:u w:val="none"/>
          <w:lang w:eastAsia="zh-CN"/>
        </w:rPr>
        <w:t>村内道路</w:t>
      </w:r>
      <w:r>
        <w:rPr>
          <w:rFonts w:hint="eastAsia" w:ascii="宋体" w:hAnsi="宋体" w:eastAsia="宋体" w:cs="宋体"/>
          <w:bCs/>
          <w:sz w:val="24"/>
          <w:szCs w:val="24"/>
          <w:u w:val="none"/>
          <w:lang w:eastAsia="zh-CN"/>
        </w:rPr>
        <w:t>建设项目长</w:t>
      </w:r>
      <w:r>
        <w:rPr>
          <w:rFonts w:hint="eastAsia" w:ascii="宋体" w:hAnsi="宋体" w:eastAsia="宋体" w:cs="宋体"/>
          <w:bCs/>
          <w:sz w:val="24"/>
          <w:szCs w:val="24"/>
          <w:u w:val="none"/>
          <w:lang w:val="en-US" w:eastAsia="zh-CN"/>
        </w:rPr>
        <w:t>2914米、设计宽3米、4米、15厘米厚C25水泥混凝土；</w:t>
      </w:r>
      <w:r>
        <w:rPr>
          <w:rFonts w:hint="eastAsia" w:ascii="宋体" w:hAnsi="宋体" w:eastAsia="宋体" w:cs="宋体"/>
          <w:b/>
          <w:bCs w:val="0"/>
          <w:sz w:val="24"/>
          <w:szCs w:val="24"/>
          <w:u w:val="none"/>
          <w:lang w:eastAsia="zh-CN"/>
        </w:rPr>
        <w:t>艾庄乡</w:t>
      </w:r>
      <w:r>
        <w:rPr>
          <w:rFonts w:hint="eastAsia" w:ascii="宋体" w:hAnsi="宋体" w:eastAsia="宋体" w:cs="宋体"/>
          <w:b/>
          <w:bCs w:val="0"/>
          <w:sz w:val="24"/>
          <w:szCs w:val="24"/>
          <w:u w:val="none"/>
          <w:lang w:val="en-US" w:eastAsia="zh-CN"/>
        </w:rPr>
        <w:t>艾庄村</w:t>
      </w:r>
      <w:r>
        <w:rPr>
          <w:rFonts w:hint="eastAsia" w:ascii="宋体" w:hAnsi="宋体" w:eastAsia="宋体" w:cs="宋体"/>
          <w:b w:val="0"/>
          <w:bCs/>
          <w:sz w:val="24"/>
          <w:szCs w:val="24"/>
          <w:u w:val="none"/>
          <w:lang w:eastAsia="zh-CN"/>
        </w:rPr>
        <w:t>村内道路</w:t>
      </w:r>
      <w:r>
        <w:rPr>
          <w:rFonts w:hint="eastAsia" w:ascii="宋体" w:hAnsi="宋体" w:eastAsia="宋体" w:cs="宋体"/>
          <w:bCs/>
          <w:sz w:val="24"/>
          <w:szCs w:val="24"/>
          <w:u w:val="none"/>
          <w:lang w:eastAsia="zh-CN"/>
        </w:rPr>
        <w:t>建设项目长</w:t>
      </w:r>
      <w:r>
        <w:rPr>
          <w:rFonts w:hint="eastAsia" w:ascii="宋体" w:hAnsi="宋体" w:eastAsia="宋体" w:cs="宋体"/>
          <w:bCs/>
          <w:sz w:val="24"/>
          <w:szCs w:val="24"/>
          <w:u w:val="none"/>
          <w:lang w:val="en-US" w:eastAsia="zh-CN"/>
        </w:rPr>
        <w:t>1912米、设计宽3米、15厘米厚C25水泥混凝土</w:t>
      </w:r>
      <w:r>
        <w:rPr>
          <w:rFonts w:hint="eastAsia" w:ascii="宋体" w:hAnsi="宋体" w:eastAsia="宋体" w:cs="宋体"/>
          <w:bCs/>
          <w:sz w:val="24"/>
          <w:szCs w:val="24"/>
          <w:u w:val="none"/>
          <w:lang w:eastAsia="zh-CN"/>
        </w:rPr>
        <w:t>；</w:t>
      </w:r>
      <w:r>
        <w:rPr>
          <w:rFonts w:hint="eastAsia" w:ascii="宋体" w:hAnsi="宋体" w:eastAsia="宋体" w:cs="宋体"/>
          <w:b/>
          <w:bCs w:val="0"/>
          <w:sz w:val="24"/>
          <w:szCs w:val="24"/>
          <w:u w:val="none"/>
          <w:lang w:val="en-US" w:eastAsia="zh-CN"/>
        </w:rPr>
        <w:t>桂村乡小郑村</w:t>
      </w:r>
      <w:r>
        <w:rPr>
          <w:rFonts w:hint="eastAsia" w:ascii="宋体" w:hAnsi="宋体" w:eastAsia="宋体" w:cs="宋体"/>
          <w:b w:val="0"/>
          <w:bCs/>
          <w:sz w:val="24"/>
          <w:szCs w:val="24"/>
          <w:u w:val="none"/>
          <w:lang w:eastAsia="zh-CN"/>
        </w:rPr>
        <w:t>村内道路</w:t>
      </w:r>
      <w:r>
        <w:rPr>
          <w:rFonts w:hint="eastAsia" w:ascii="宋体" w:hAnsi="宋体" w:eastAsia="宋体" w:cs="宋体"/>
          <w:bCs/>
          <w:sz w:val="24"/>
          <w:szCs w:val="24"/>
          <w:u w:val="none"/>
          <w:lang w:eastAsia="zh-CN"/>
        </w:rPr>
        <w:t>建设项目长</w:t>
      </w:r>
      <w:r>
        <w:rPr>
          <w:rFonts w:hint="eastAsia" w:ascii="宋体" w:hAnsi="宋体" w:eastAsia="宋体" w:cs="宋体"/>
          <w:bCs/>
          <w:sz w:val="24"/>
          <w:szCs w:val="24"/>
          <w:u w:val="none"/>
          <w:lang w:val="en-US" w:eastAsia="zh-CN"/>
        </w:rPr>
        <w:t>2681米、设计宽3米、4米、15厘米厚C25水泥混凝土、18厘米厚C25水泥混凝土</w:t>
      </w:r>
      <w:r>
        <w:rPr>
          <w:rFonts w:hint="eastAsia" w:ascii="宋体" w:hAnsi="宋体" w:eastAsia="宋体" w:cs="宋体"/>
          <w:b w:val="0"/>
          <w:bCs/>
          <w:sz w:val="24"/>
          <w:szCs w:val="24"/>
          <w:u w:val="none"/>
          <w:lang w:val="en-US" w:eastAsia="zh-CN"/>
        </w:rPr>
        <w:t>。</w:t>
      </w:r>
    </w:p>
    <w:p>
      <w:pPr>
        <w:autoSpaceDE w:val="0"/>
        <w:autoSpaceDN w:val="0"/>
        <w:adjustRightInd w:val="0"/>
        <w:spacing w:line="420" w:lineRule="exact"/>
        <w:ind w:firstLine="482" w:firstLineChars="200"/>
        <w:jc w:val="left"/>
        <w:outlineLvl w:val="0"/>
        <w:rPr>
          <w:rFonts w:hint="eastAsia" w:ascii="宋体" w:hAnsi="宋体" w:cs="宋体"/>
          <w:b w:val="0"/>
          <w:bCs/>
          <w:sz w:val="24"/>
          <w:szCs w:val="24"/>
          <w:u w:val="none"/>
          <w:lang w:val="en-US" w:eastAsia="zh-CN"/>
        </w:rPr>
      </w:pPr>
      <w:r>
        <w:rPr>
          <w:rFonts w:hint="eastAsia" w:ascii="宋体" w:hAnsi="宋体" w:eastAsia="宋体" w:cs="宋体"/>
          <w:b/>
          <w:bCs w:val="0"/>
          <w:sz w:val="24"/>
          <w:szCs w:val="24"/>
          <w:u w:val="none"/>
          <w:lang w:eastAsia="zh-CN"/>
        </w:rPr>
        <w:t>五标段：</w:t>
      </w:r>
      <w:r>
        <w:rPr>
          <w:rFonts w:hint="eastAsia" w:ascii="宋体" w:hAnsi="宋体" w:cs="宋体"/>
          <w:b/>
          <w:bCs w:val="0"/>
          <w:sz w:val="24"/>
          <w:szCs w:val="24"/>
          <w:u w:val="none"/>
          <w:lang w:eastAsia="zh-CN"/>
        </w:rPr>
        <w:t>陈曹乡</w:t>
      </w:r>
      <w:r>
        <w:rPr>
          <w:rFonts w:hint="eastAsia" w:ascii="宋体" w:hAnsi="宋体" w:eastAsia="宋体" w:cs="宋体"/>
          <w:b/>
          <w:bCs w:val="0"/>
          <w:sz w:val="24"/>
          <w:szCs w:val="24"/>
          <w:u w:val="none"/>
          <w:lang w:eastAsia="zh-CN"/>
        </w:rPr>
        <w:t>万庄村</w:t>
      </w:r>
      <w:r>
        <w:rPr>
          <w:rFonts w:hint="eastAsia" w:ascii="宋体" w:hAnsi="宋体" w:eastAsia="宋体" w:cs="宋体"/>
          <w:b w:val="0"/>
          <w:bCs/>
          <w:sz w:val="24"/>
          <w:szCs w:val="24"/>
          <w:u w:val="none"/>
          <w:lang w:eastAsia="zh-CN"/>
        </w:rPr>
        <w:t>村内道路</w:t>
      </w:r>
      <w:r>
        <w:rPr>
          <w:rFonts w:hint="eastAsia" w:ascii="宋体" w:hAnsi="宋体" w:eastAsia="宋体" w:cs="宋体"/>
          <w:bCs/>
          <w:sz w:val="24"/>
          <w:szCs w:val="24"/>
          <w:u w:val="none"/>
          <w:lang w:eastAsia="zh-CN"/>
        </w:rPr>
        <w:t>建设项目长</w:t>
      </w:r>
      <w:r>
        <w:rPr>
          <w:rFonts w:hint="eastAsia" w:ascii="宋体" w:hAnsi="宋体" w:eastAsia="宋体" w:cs="宋体"/>
          <w:bCs/>
          <w:sz w:val="24"/>
          <w:szCs w:val="24"/>
          <w:u w:val="none"/>
          <w:lang w:val="en-US" w:eastAsia="zh-CN"/>
        </w:rPr>
        <w:t>500米、设计宽4.5米、18厘米厚C25水泥混凝土</w:t>
      </w:r>
      <w:r>
        <w:rPr>
          <w:rFonts w:hint="eastAsia" w:ascii="宋体" w:hAnsi="宋体" w:eastAsia="宋体" w:cs="宋体"/>
          <w:b w:val="0"/>
          <w:bCs/>
          <w:sz w:val="24"/>
          <w:szCs w:val="24"/>
          <w:u w:val="none"/>
          <w:lang w:val="en-US" w:eastAsia="zh-CN"/>
        </w:rPr>
        <w:t>；</w:t>
      </w:r>
      <w:r>
        <w:rPr>
          <w:rFonts w:hint="eastAsia" w:ascii="宋体" w:hAnsi="宋体" w:cs="宋体"/>
          <w:b/>
          <w:bCs w:val="0"/>
          <w:sz w:val="24"/>
          <w:szCs w:val="24"/>
          <w:u w:val="none"/>
          <w:lang w:eastAsia="zh-CN"/>
        </w:rPr>
        <w:t>陈曹乡</w:t>
      </w:r>
      <w:r>
        <w:rPr>
          <w:rFonts w:hint="eastAsia" w:ascii="宋体" w:hAnsi="宋体" w:eastAsia="宋体" w:cs="宋体"/>
          <w:b/>
          <w:bCs w:val="0"/>
          <w:sz w:val="24"/>
          <w:szCs w:val="24"/>
          <w:u w:val="none"/>
          <w:lang w:val="en-US" w:eastAsia="zh-CN"/>
        </w:rPr>
        <w:t>河信村</w:t>
      </w:r>
      <w:r>
        <w:rPr>
          <w:rFonts w:hint="eastAsia" w:ascii="宋体" w:hAnsi="宋体" w:eastAsia="宋体" w:cs="宋体"/>
          <w:b w:val="0"/>
          <w:bCs/>
          <w:sz w:val="24"/>
          <w:szCs w:val="24"/>
          <w:u w:val="none"/>
          <w:lang w:eastAsia="zh-CN"/>
        </w:rPr>
        <w:t>村内道路</w:t>
      </w:r>
      <w:r>
        <w:rPr>
          <w:rFonts w:hint="eastAsia" w:ascii="宋体" w:hAnsi="宋体" w:eastAsia="宋体" w:cs="宋体"/>
          <w:bCs/>
          <w:sz w:val="24"/>
          <w:szCs w:val="24"/>
          <w:u w:val="none"/>
          <w:lang w:eastAsia="zh-CN"/>
        </w:rPr>
        <w:t>建设项目长</w:t>
      </w:r>
      <w:r>
        <w:rPr>
          <w:rFonts w:hint="eastAsia" w:ascii="宋体" w:hAnsi="宋体" w:eastAsia="宋体" w:cs="宋体"/>
          <w:bCs/>
          <w:sz w:val="24"/>
          <w:szCs w:val="24"/>
          <w:u w:val="none"/>
          <w:lang w:val="en-US" w:eastAsia="zh-CN"/>
        </w:rPr>
        <w:t>2820米、设计宽3.5米、15厘米厚C25水泥混凝土</w:t>
      </w:r>
      <w:r>
        <w:rPr>
          <w:rFonts w:hint="eastAsia" w:ascii="宋体" w:hAnsi="宋体" w:eastAsia="宋体" w:cs="宋体"/>
          <w:b w:val="0"/>
          <w:bCs/>
          <w:sz w:val="24"/>
          <w:szCs w:val="24"/>
          <w:u w:val="none"/>
          <w:lang w:val="en-US" w:eastAsia="zh-CN"/>
        </w:rPr>
        <w:t>。</w:t>
      </w:r>
      <w:r>
        <w:rPr>
          <w:rFonts w:hint="eastAsia" w:ascii="宋体" w:hAnsi="宋体" w:cs="宋体"/>
          <w:b w:val="0"/>
          <w:bCs/>
          <w:sz w:val="24"/>
          <w:szCs w:val="24"/>
          <w:u w:val="none"/>
          <w:lang w:val="en-US" w:eastAsia="zh-CN"/>
        </w:rPr>
        <w:t xml:space="preserve">    </w:t>
      </w:r>
    </w:p>
    <w:p>
      <w:pPr>
        <w:autoSpaceDE w:val="0"/>
        <w:autoSpaceDN w:val="0"/>
        <w:adjustRightInd w:val="0"/>
        <w:spacing w:line="420" w:lineRule="exact"/>
        <w:ind w:firstLine="482" w:firstLineChars="200"/>
        <w:jc w:val="left"/>
        <w:outlineLvl w:val="0"/>
        <w:rPr>
          <w:rFonts w:hint="eastAsia" w:ascii="宋体" w:hAnsi="宋体"/>
          <w:sz w:val="24"/>
          <w:szCs w:val="24"/>
          <w:u w:val="none"/>
          <w:lang w:val="en-US" w:eastAsia="zh-CN"/>
        </w:rPr>
      </w:pPr>
      <w:r>
        <w:rPr>
          <w:rFonts w:hint="eastAsia" w:ascii="宋体" w:hAnsi="宋体" w:eastAsia="宋体" w:cs="宋体"/>
          <w:b/>
          <w:bCs w:val="0"/>
          <w:sz w:val="24"/>
          <w:szCs w:val="24"/>
          <w:u w:val="none"/>
          <w:lang w:val="en-US" w:eastAsia="zh-CN"/>
        </w:rPr>
        <w:t>六标段：灵井镇李庄村</w:t>
      </w:r>
      <w:r>
        <w:rPr>
          <w:rFonts w:hint="eastAsia" w:ascii="宋体" w:hAnsi="宋体" w:eastAsia="宋体" w:cs="宋体"/>
          <w:b w:val="0"/>
          <w:bCs/>
          <w:sz w:val="24"/>
          <w:szCs w:val="24"/>
          <w:u w:val="none"/>
          <w:lang w:eastAsia="zh-CN"/>
        </w:rPr>
        <w:t>村内道路</w:t>
      </w:r>
      <w:r>
        <w:rPr>
          <w:rFonts w:hint="eastAsia" w:ascii="宋体" w:hAnsi="宋体" w:eastAsia="宋体" w:cs="宋体"/>
          <w:bCs/>
          <w:sz w:val="24"/>
          <w:szCs w:val="24"/>
          <w:u w:val="none"/>
          <w:lang w:eastAsia="zh-CN"/>
        </w:rPr>
        <w:t>建设项目长</w:t>
      </w:r>
      <w:r>
        <w:rPr>
          <w:rFonts w:hint="eastAsia" w:ascii="宋体" w:hAnsi="宋体" w:eastAsia="宋体" w:cs="宋体"/>
          <w:bCs/>
          <w:sz w:val="24"/>
          <w:szCs w:val="24"/>
          <w:u w:val="none"/>
          <w:lang w:val="en-US" w:eastAsia="zh-CN"/>
        </w:rPr>
        <w:t>1498米、设计宽4米、15厘米厚C25水泥混凝土</w:t>
      </w:r>
      <w:r>
        <w:rPr>
          <w:rFonts w:hint="eastAsia" w:ascii="宋体" w:hAnsi="宋体" w:eastAsia="宋体" w:cs="宋体"/>
          <w:b w:val="0"/>
          <w:bCs/>
          <w:sz w:val="24"/>
          <w:szCs w:val="24"/>
          <w:u w:val="none"/>
          <w:lang w:val="en-US" w:eastAsia="zh-CN"/>
        </w:rPr>
        <w:t>；</w:t>
      </w:r>
      <w:r>
        <w:rPr>
          <w:rFonts w:hint="eastAsia" w:ascii="宋体" w:hAnsi="宋体" w:eastAsia="宋体" w:cs="宋体"/>
          <w:b/>
          <w:bCs w:val="0"/>
          <w:sz w:val="24"/>
          <w:szCs w:val="24"/>
          <w:u w:val="none"/>
          <w:lang w:val="en-US" w:eastAsia="zh-CN"/>
        </w:rPr>
        <w:t>灵井镇韦庄村</w:t>
      </w:r>
      <w:r>
        <w:rPr>
          <w:rFonts w:hint="eastAsia" w:ascii="宋体" w:hAnsi="宋体" w:eastAsia="宋体" w:cs="宋体"/>
          <w:b w:val="0"/>
          <w:bCs/>
          <w:sz w:val="24"/>
          <w:szCs w:val="24"/>
          <w:u w:val="none"/>
          <w:lang w:eastAsia="zh-CN"/>
        </w:rPr>
        <w:t>村内道路</w:t>
      </w:r>
      <w:r>
        <w:rPr>
          <w:rFonts w:hint="eastAsia" w:ascii="宋体" w:hAnsi="宋体" w:eastAsia="宋体" w:cs="宋体"/>
          <w:bCs/>
          <w:sz w:val="24"/>
          <w:szCs w:val="24"/>
          <w:u w:val="none"/>
          <w:lang w:eastAsia="zh-CN"/>
        </w:rPr>
        <w:t>建设项目长</w:t>
      </w:r>
      <w:r>
        <w:rPr>
          <w:rFonts w:hint="eastAsia" w:ascii="宋体" w:hAnsi="宋体" w:eastAsia="宋体" w:cs="宋体"/>
          <w:bCs/>
          <w:sz w:val="24"/>
          <w:szCs w:val="24"/>
          <w:u w:val="none"/>
          <w:lang w:val="en-US" w:eastAsia="zh-CN"/>
        </w:rPr>
        <w:t>1867.5米、设计宽3米、4米、4.5米，15厘米厚C25水泥混凝土、18厘米厚C25水泥混凝土</w:t>
      </w:r>
      <w:r>
        <w:rPr>
          <w:rFonts w:hint="eastAsia" w:ascii="宋体" w:hAnsi="宋体" w:eastAsia="宋体" w:cs="宋体"/>
          <w:b w:val="0"/>
          <w:bCs/>
          <w:sz w:val="24"/>
          <w:szCs w:val="24"/>
          <w:u w:val="none"/>
          <w:lang w:val="en-US" w:eastAsia="zh-CN"/>
        </w:rPr>
        <w:t>。</w:t>
      </w:r>
    </w:p>
    <w:p>
      <w:pPr>
        <w:autoSpaceDE w:val="0"/>
        <w:autoSpaceDN w:val="0"/>
        <w:adjustRightInd w:val="0"/>
        <w:spacing w:line="420" w:lineRule="exact"/>
        <w:ind w:firstLine="480" w:firstLineChars="200"/>
        <w:outlineLvl w:val="0"/>
        <w:rPr>
          <w:rFonts w:hint="eastAsia" w:ascii="宋体" w:hAnsi="宋体" w:eastAsia="宋体" w:cs="宋体"/>
          <w:bCs/>
          <w:sz w:val="24"/>
        </w:rPr>
      </w:pPr>
      <w:r>
        <w:rPr>
          <w:rFonts w:hint="eastAsia" w:ascii="宋体" w:hAnsi="宋体" w:cs="宋体"/>
          <w:bCs/>
          <w:sz w:val="24"/>
          <w:lang w:val="en-US" w:eastAsia="zh-CN"/>
        </w:rPr>
        <w:t>1.3</w:t>
      </w:r>
      <w:r>
        <w:rPr>
          <w:rFonts w:hint="eastAsia" w:ascii="宋体" w:hAnsi="宋体" w:eastAsia="宋体" w:cs="宋体"/>
          <w:bCs/>
          <w:sz w:val="24"/>
        </w:rPr>
        <w:t>招标范围：招标文件、工程量清单、施工图纸、答疑纪要和补充文件（如有）范围内的所有建设内容。</w:t>
      </w:r>
    </w:p>
    <w:p>
      <w:pPr>
        <w:autoSpaceDE w:val="0"/>
        <w:autoSpaceDN w:val="0"/>
        <w:adjustRightInd w:val="0"/>
        <w:spacing w:line="420" w:lineRule="exact"/>
        <w:ind w:firstLine="480" w:firstLineChars="200"/>
        <w:outlineLvl w:val="0"/>
        <w:rPr>
          <w:rFonts w:hint="eastAsia" w:ascii="宋体" w:hAnsi="宋体" w:eastAsia="宋体" w:cs="宋体"/>
          <w:bCs/>
          <w:sz w:val="24"/>
          <w:lang w:val="en-US" w:eastAsia="zh-CN"/>
        </w:rPr>
      </w:pPr>
      <w:r>
        <w:rPr>
          <w:rFonts w:hint="eastAsia" w:ascii="宋体" w:hAnsi="宋体" w:cs="宋体"/>
          <w:bCs/>
          <w:sz w:val="24"/>
          <w:lang w:val="en-US" w:eastAsia="zh-CN"/>
        </w:rPr>
        <w:t>1.4</w:t>
      </w:r>
      <w:r>
        <w:rPr>
          <w:rFonts w:hint="eastAsia" w:ascii="宋体" w:hAnsi="宋体" w:eastAsia="宋体" w:cs="宋体"/>
          <w:bCs/>
          <w:sz w:val="24"/>
        </w:rPr>
        <w:t>资金预算：</w:t>
      </w:r>
      <w:r>
        <w:rPr>
          <w:rFonts w:hint="eastAsia" w:ascii="宋体" w:hAnsi="宋体" w:eastAsia="宋体" w:cs="宋体"/>
          <w:bCs/>
          <w:sz w:val="24"/>
          <w:lang w:eastAsia="zh-CN"/>
        </w:rPr>
        <w:t>四标段：</w:t>
      </w:r>
      <w:r>
        <w:rPr>
          <w:rFonts w:hint="eastAsia" w:ascii="宋体" w:hAnsi="宋体" w:eastAsia="宋体" w:cs="宋体"/>
          <w:bCs/>
          <w:sz w:val="24"/>
          <w:lang w:val="en-US" w:eastAsia="zh-CN"/>
        </w:rPr>
        <w:t>3558925.00</w:t>
      </w:r>
      <w:r>
        <w:rPr>
          <w:rFonts w:hint="eastAsia" w:ascii="宋体" w:hAnsi="宋体" w:eastAsia="宋体" w:cs="宋体"/>
          <w:bCs/>
          <w:sz w:val="24"/>
        </w:rPr>
        <w:t xml:space="preserve">元 </w:t>
      </w:r>
      <w:r>
        <w:rPr>
          <w:rFonts w:hint="eastAsia" w:ascii="宋体" w:hAnsi="宋体" w:eastAsia="宋体" w:cs="宋体"/>
          <w:bCs/>
          <w:sz w:val="24"/>
          <w:lang w:eastAsia="zh-CN"/>
        </w:rPr>
        <w:t>；五标段：</w:t>
      </w:r>
      <w:r>
        <w:rPr>
          <w:rFonts w:hint="eastAsia" w:ascii="宋体" w:hAnsi="宋体" w:eastAsia="宋体" w:cs="宋体"/>
          <w:bCs/>
          <w:sz w:val="24"/>
          <w:lang w:val="en-US" w:eastAsia="zh-CN"/>
        </w:rPr>
        <w:t>1770043</w:t>
      </w:r>
      <w:r>
        <w:rPr>
          <w:rFonts w:hint="eastAsia" w:ascii="宋体" w:hAnsi="宋体" w:eastAsia="宋体" w:cs="宋体"/>
          <w:bCs/>
          <w:sz w:val="24"/>
          <w:lang w:eastAsia="zh-CN"/>
        </w:rPr>
        <w:t>元；六标段：</w:t>
      </w:r>
      <w:r>
        <w:rPr>
          <w:rFonts w:hint="eastAsia" w:ascii="宋体" w:hAnsi="宋体" w:cs="宋体"/>
          <w:bCs/>
          <w:sz w:val="24"/>
          <w:lang w:val="en-US" w:eastAsia="zh-CN"/>
        </w:rPr>
        <w:t>1673703</w:t>
      </w:r>
      <w:r>
        <w:rPr>
          <w:rFonts w:hint="eastAsia" w:ascii="宋体" w:hAnsi="宋体" w:eastAsia="宋体" w:cs="宋体"/>
          <w:bCs/>
          <w:sz w:val="24"/>
          <w:lang w:val="en-US" w:eastAsia="zh-CN"/>
        </w:rPr>
        <w:t>元。</w:t>
      </w:r>
    </w:p>
    <w:p>
      <w:pPr>
        <w:autoSpaceDE w:val="0"/>
        <w:autoSpaceDN w:val="0"/>
        <w:adjustRightInd w:val="0"/>
        <w:spacing w:line="420" w:lineRule="exact"/>
        <w:ind w:firstLine="480" w:firstLineChars="200"/>
        <w:outlineLvl w:val="0"/>
        <w:rPr>
          <w:rFonts w:hint="eastAsia" w:ascii="宋体" w:hAnsi="宋体" w:eastAsia="宋体" w:cs="宋体"/>
          <w:bCs/>
          <w:sz w:val="24"/>
          <w:lang w:val="en-US" w:eastAsia="zh-CN"/>
        </w:rPr>
      </w:pPr>
      <w:r>
        <w:rPr>
          <w:rFonts w:hint="eastAsia" w:ascii="宋体" w:hAnsi="宋体" w:cs="宋体"/>
          <w:bCs/>
          <w:sz w:val="24"/>
          <w:lang w:val="en-US" w:eastAsia="zh-CN"/>
        </w:rPr>
        <w:t>1.5</w:t>
      </w:r>
      <w:r>
        <w:rPr>
          <w:rFonts w:hint="eastAsia" w:ascii="宋体" w:hAnsi="宋体" w:eastAsia="宋体" w:cs="宋体"/>
          <w:bCs/>
          <w:sz w:val="24"/>
        </w:rPr>
        <w:t>计划工期：</w:t>
      </w:r>
      <w:r>
        <w:rPr>
          <w:rFonts w:hint="eastAsia" w:ascii="宋体" w:hAnsi="宋体" w:eastAsia="宋体" w:cs="宋体"/>
          <w:bCs/>
          <w:sz w:val="24"/>
          <w:lang w:val="en-US" w:eastAsia="zh-CN"/>
        </w:rPr>
        <w:t>4-6标段</w:t>
      </w:r>
      <w:r>
        <w:rPr>
          <w:rFonts w:hint="eastAsia" w:ascii="宋体" w:hAnsi="宋体" w:cs="宋体"/>
          <w:bCs/>
          <w:sz w:val="24"/>
          <w:lang w:val="en-US" w:eastAsia="zh-CN"/>
        </w:rPr>
        <w:t>：</w:t>
      </w:r>
      <w:r>
        <w:rPr>
          <w:rFonts w:hint="eastAsia" w:ascii="宋体" w:hAnsi="宋体" w:eastAsia="宋体" w:cs="宋体"/>
          <w:bCs/>
          <w:sz w:val="24"/>
          <w:lang w:val="en-US" w:eastAsia="zh-CN"/>
        </w:rPr>
        <w:t>30日历天/标段</w:t>
      </w:r>
      <w:r>
        <w:rPr>
          <w:rFonts w:hint="eastAsia" w:ascii="宋体" w:hAnsi="宋体" w:cs="宋体"/>
          <w:bCs/>
          <w:sz w:val="24"/>
          <w:lang w:val="en-US" w:eastAsia="zh-CN"/>
        </w:rPr>
        <w:t>。</w:t>
      </w:r>
    </w:p>
    <w:p>
      <w:pPr>
        <w:autoSpaceDE w:val="0"/>
        <w:autoSpaceDN w:val="0"/>
        <w:adjustRightInd w:val="0"/>
        <w:spacing w:line="420" w:lineRule="exact"/>
        <w:ind w:firstLine="480" w:firstLineChars="200"/>
        <w:outlineLvl w:val="0"/>
        <w:rPr>
          <w:rFonts w:hint="eastAsia" w:ascii="宋体" w:hAnsi="宋体" w:eastAsia="宋体" w:cs="宋体"/>
          <w:bCs/>
          <w:sz w:val="24"/>
          <w:lang w:eastAsia="zh-CN"/>
        </w:rPr>
      </w:pPr>
      <w:r>
        <w:rPr>
          <w:rFonts w:hint="eastAsia" w:ascii="宋体" w:hAnsi="宋体" w:cs="宋体"/>
          <w:bCs/>
          <w:sz w:val="24"/>
          <w:lang w:val="en-US" w:eastAsia="zh-CN"/>
        </w:rPr>
        <w:t>1.6</w:t>
      </w:r>
      <w:r>
        <w:rPr>
          <w:rFonts w:hint="eastAsia" w:ascii="宋体" w:hAnsi="宋体" w:eastAsia="宋体" w:cs="宋体"/>
          <w:bCs/>
          <w:sz w:val="24"/>
        </w:rPr>
        <w:t>质量要求：</w:t>
      </w:r>
      <w:r>
        <w:rPr>
          <w:rFonts w:hint="eastAsia" w:ascii="宋体" w:hAnsi="宋体" w:eastAsia="宋体" w:cs="宋体"/>
          <w:bCs/>
          <w:sz w:val="24"/>
          <w:lang w:val="en-US" w:eastAsia="zh-CN"/>
        </w:rPr>
        <w:t>4-6标段均</w:t>
      </w:r>
      <w:r>
        <w:rPr>
          <w:rFonts w:hint="eastAsia" w:ascii="宋体" w:hAnsi="宋体" w:eastAsia="宋体" w:cs="宋体"/>
          <w:bCs/>
          <w:sz w:val="24"/>
        </w:rPr>
        <w:t>合格</w:t>
      </w:r>
      <w:r>
        <w:rPr>
          <w:rFonts w:hint="eastAsia" w:ascii="宋体" w:hAnsi="宋体" w:cs="宋体"/>
          <w:bCs/>
          <w:sz w:val="24"/>
          <w:lang w:eastAsia="zh-CN"/>
        </w:rPr>
        <w:t>。</w:t>
      </w:r>
    </w:p>
    <w:p>
      <w:pPr>
        <w:autoSpaceDE w:val="0"/>
        <w:autoSpaceDN w:val="0"/>
        <w:adjustRightInd w:val="0"/>
        <w:spacing w:line="420" w:lineRule="exact"/>
        <w:ind w:firstLine="480" w:firstLineChars="200"/>
        <w:outlineLvl w:val="0"/>
        <w:rPr>
          <w:rFonts w:hint="eastAsia" w:ascii="宋体" w:hAnsi="宋体" w:eastAsia="宋体" w:cs="宋体"/>
          <w:bCs/>
          <w:sz w:val="24"/>
        </w:rPr>
      </w:pPr>
      <w:r>
        <w:rPr>
          <w:rFonts w:hint="eastAsia" w:ascii="宋体" w:hAnsi="宋体" w:cs="宋体"/>
          <w:bCs/>
          <w:sz w:val="24"/>
          <w:lang w:val="en-US" w:eastAsia="zh-CN"/>
        </w:rPr>
        <w:t>1.7</w:t>
      </w:r>
      <w:r>
        <w:rPr>
          <w:rFonts w:hint="eastAsia" w:ascii="宋体" w:hAnsi="宋体" w:eastAsia="宋体" w:cs="宋体"/>
          <w:bCs/>
          <w:sz w:val="24"/>
        </w:rPr>
        <w:t>不组织勘察施工现场。</w:t>
      </w:r>
    </w:p>
    <w:p>
      <w:pPr>
        <w:spacing w:line="360" w:lineRule="auto"/>
        <w:rPr>
          <w:rFonts w:ascii="宋体" w:hAnsi="宋体"/>
          <w:sz w:val="24"/>
        </w:rPr>
      </w:pPr>
      <w:r>
        <w:rPr>
          <w:rFonts w:hint="eastAsia" w:ascii="宋体" w:hAnsi="宋体"/>
          <w:b/>
          <w:sz w:val="24"/>
        </w:rPr>
        <w:t>二、投标人资格要求</w:t>
      </w:r>
    </w:p>
    <w:p>
      <w:pPr>
        <w:spacing w:line="360" w:lineRule="auto"/>
        <w:ind w:firstLine="480" w:firstLineChars="200"/>
        <w:rPr>
          <w:rFonts w:ascii="宋体" w:hAnsi="宋体"/>
          <w:sz w:val="24"/>
          <w:highlight w:val="yellow"/>
        </w:rPr>
      </w:pPr>
      <w:r>
        <w:rPr>
          <w:rFonts w:hint="eastAsia" w:ascii="宋体" w:hAnsi="宋体"/>
          <w:sz w:val="24"/>
        </w:rPr>
        <w:t>2.1 须具备独立法人资格；</w:t>
      </w:r>
    </w:p>
    <w:p>
      <w:pPr>
        <w:spacing w:line="360" w:lineRule="auto"/>
        <w:ind w:firstLine="480" w:firstLineChars="200"/>
        <w:rPr>
          <w:rFonts w:ascii="宋体" w:hAnsi="宋体"/>
          <w:sz w:val="24"/>
        </w:rPr>
      </w:pPr>
      <w:r>
        <w:rPr>
          <w:rFonts w:hint="eastAsia" w:ascii="宋体" w:hAnsi="宋体"/>
          <w:sz w:val="24"/>
        </w:rPr>
        <w:t>2.2须具备建设行政主管部门颁发的公路工程施工总承包三级及以上资质，并具备有效的安全生产许可证，在人员、设备、资金等方面具有相应的施工能力；</w:t>
      </w:r>
    </w:p>
    <w:p>
      <w:pPr>
        <w:spacing w:line="360" w:lineRule="auto"/>
        <w:ind w:firstLine="480" w:firstLineChars="200"/>
        <w:rPr>
          <w:rFonts w:ascii="宋体" w:hAnsi="宋体"/>
          <w:sz w:val="24"/>
        </w:rPr>
      </w:pPr>
      <w:r>
        <w:rPr>
          <w:rFonts w:hint="eastAsia" w:ascii="宋体" w:hAnsi="宋体"/>
          <w:sz w:val="24"/>
        </w:rPr>
        <w:t>2.3拟派建造师须具备贰级及以上公路工程专业注册建造师执业资格，具备有效的安全生产考核合格证书，且未担任其他在施建设项目的项目经理。拟派项目总工须具备中级及以上相关专业技术职称；</w:t>
      </w:r>
    </w:p>
    <w:p>
      <w:pPr>
        <w:spacing w:line="360" w:lineRule="auto"/>
        <w:ind w:firstLine="480" w:firstLineChars="200"/>
        <w:rPr>
          <w:rFonts w:ascii="宋体" w:hAnsi="宋体"/>
          <w:sz w:val="24"/>
        </w:rPr>
      </w:pPr>
      <w:r>
        <w:rPr>
          <w:rFonts w:hint="eastAsia" w:ascii="宋体" w:hAnsi="宋体"/>
          <w:sz w:val="24"/>
        </w:rPr>
        <w:t>2.4根据《河南省公路建设市场从业单位及人员信用管理办法》第二十一条“对信用考核定级为D级即黑名单的从业单位，”不得参与本项目投标。</w:t>
      </w:r>
    </w:p>
    <w:p>
      <w:pPr>
        <w:autoSpaceDE w:val="0"/>
        <w:autoSpaceDN w:val="0"/>
        <w:adjustRightInd w:val="0"/>
        <w:spacing w:line="420" w:lineRule="exact"/>
        <w:ind w:firstLine="480" w:firstLineChars="200"/>
        <w:jc w:val="both"/>
        <w:outlineLvl w:val="0"/>
        <w:rPr>
          <w:rFonts w:hint="eastAsia" w:ascii="宋体" w:hAnsi="宋体" w:cs="Times New Roman"/>
          <w:sz w:val="24"/>
        </w:rPr>
      </w:pPr>
      <w:r>
        <w:rPr>
          <w:rFonts w:hint="eastAsia" w:ascii="宋体" w:hAnsi="宋体"/>
          <w:sz w:val="24"/>
        </w:rPr>
        <w:t>2</w:t>
      </w:r>
      <w:r>
        <w:rPr>
          <w:rFonts w:hint="eastAsia" w:ascii="宋体" w:hAnsi="宋体" w:cs="Times New Roman"/>
          <w:sz w:val="24"/>
        </w:rPr>
        <w:t>.5投标人未被“信用中国”网站（www.creditchina.gov.cn）列入失信被执行人、重大税收违法案件当事人名单，未被“信用河南”网站（www.xyhn.gov.cn）信用信息栏列入黑名单，以及未被“国家企业信用信息公示系统”网站（www.gsxt.gov.cn）列入经营异常名录或严重失信黑名单等。（招标人、代理机构或评标专家委员会评标现场查询）；信用信息查询记录和证据留存具体方式：经评标专家委员会确认的查询结果网页截图作为查询记录和证据，与其他文件一并保存。</w:t>
      </w:r>
    </w:p>
    <w:p>
      <w:pPr>
        <w:spacing w:line="360" w:lineRule="auto"/>
        <w:ind w:firstLine="480" w:firstLineChars="200"/>
        <w:jc w:val="left"/>
        <w:outlineLvl w:val="0"/>
        <w:rPr>
          <w:rFonts w:ascii="新宋体" w:hAnsi="新宋体" w:eastAsia="新宋体" w:cs="新宋体"/>
          <w:sz w:val="24"/>
          <w:szCs w:val="22"/>
        </w:rPr>
      </w:pPr>
      <w:r>
        <w:rPr>
          <w:rFonts w:hint="eastAsia" w:ascii="新宋体" w:hAnsi="新宋体" w:eastAsia="新宋体" w:cs="新宋体"/>
          <w:sz w:val="24"/>
          <w:szCs w:val="22"/>
        </w:rPr>
        <w:t>2.6本次招标不接受联合体投标。</w:t>
      </w:r>
    </w:p>
    <w:p>
      <w:pPr>
        <w:spacing w:line="312" w:lineRule="auto"/>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三、投标报名方式</w:t>
      </w:r>
    </w:p>
    <w:p>
      <w:pPr>
        <w:spacing w:line="312"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1、持CA数字认证证书，登录【全国公共资源交易平台（河南省·许昌市）】“系统用户注册”入口（http://221.14.6.70:8088/ggzy/eps/public/RegistAllJcxx.html）进行免费注册登记（详见“常见问题解答-诚信库网上注册相关资料下载”）；</w:t>
      </w:r>
    </w:p>
    <w:p>
      <w:pPr>
        <w:spacing w:line="312"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2、在投标截止时间前均可登录【全国公共资源交易平台（河南省·许昌市）】“投标人/供应商登录”入口（http://221.14.6.70:8088/ggzy/）自行下载招标文件等（详见“常见问题解答-交易系统操作手册”）。</w:t>
      </w:r>
    </w:p>
    <w:p>
      <w:pPr>
        <w:spacing w:line="312" w:lineRule="auto"/>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四、招标文件和图纸的获取</w:t>
      </w:r>
    </w:p>
    <w:p>
      <w:pPr>
        <w:autoSpaceDE w:val="0"/>
        <w:autoSpaceDN w:val="0"/>
        <w:adjustRightInd w:val="0"/>
        <w:spacing w:line="312" w:lineRule="auto"/>
        <w:ind w:firstLine="480" w:firstLineChars="200"/>
        <w:jc w:val="left"/>
        <w:outlineLvl w:val="0"/>
        <w:rPr>
          <w:rFonts w:cs="宋体" w:asciiTheme="minorEastAsia" w:hAnsiTheme="minorEastAsia" w:eastAsiaTheme="minorEastAsia"/>
          <w:sz w:val="24"/>
        </w:rPr>
      </w:pPr>
      <w:r>
        <w:rPr>
          <w:rFonts w:hint="eastAsia" w:cs="宋体" w:asciiTheme="minorEastAsia" w:hAnsiTheme="minorEastAsia" w:eastAsiaTheme="minorEastAsia"/>
          <w:sz w:val="24"/>
        </w:rPr>
        <w:t>1、招标文件和工程量清单</w:t>
      </w:r>
      <w:r>
        <w:rPr>
          <w:rFonts w:hint="eastAsia" w:cs="宋体" w:asciiTheme="minorEastAsia" w:hAnsiTheme="minorEastAsia" w:eastAsiaTheme="minorEastAsia"/>
          <w:sz w:val="24"/>
          <w:lang w:eastAsia="zh-CN"/>
        </w:rPr>
        <w:t>及图纸</w:t>
      </w:r>
      <w:r>
        <w:rPr>
          <w:rFonts w:hint="eastAsia" w:cs="宋体" w:asciiTheme="minorEastAsia" w:hAnsiTheme="minorEastAsia" w:eastAsiaTheme="minorEastAsia"/>
          <w:sz w:val="24"/>
        </w:rPr>
        <w:t>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cs="宋体" w:asciiTheme="minorEastAsia" w:hAnsiTheme="minorEastAsia" w:eastAsiaTheme="minorEastAsia"/>
          <w:sz w:val="24"/>
        </w:rPr>
        <w:t>http://ggzy.xuchang.gov.cn/</w:t>
      </w:r>
      <w:r>
        <w:rPr>
          <w:rFonts w:hint="eastAsia" w:cs="宋体" w:asciiTheme="minorEastAsia" w:hAnsiTheme="minorEastAsia" w:eastAsiaTheme="minorEastAsia"/>
          <w:sz w:val="24"/>
        </w:rPr>
        <w:fldChar w:fldCharType="end"/>
      </w:r>
      <w:r>
        <w:rPr>
          <w:rFonts w:hint="eastAsia" w:cs="宋体" w:asciiTheme="minorEastAsia" w:hAnsiTheme="minorEastAsia" w:eastAsiaTheme="minorEastAsia"/>
          <w:sz w:val="24"/>
        </w:rPr>
        <w:t>），通过“投标人/供应商登录” 入口自行下载。</w:t>
      </w:r>
    </w:p>
    <w:p>
      <w:pPr>
        <w:spacing w:line="312"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2、招标文件每套售价300元，于递交投标文件时缴纳给招标代理机构，售后不退。</w:t>
      </w:r>
    </w:p>
    <w:p>
      <w:pPr>
        <w:spacing w:line="312" w:lineRule="auto"/>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五、投标文件的递交</w:t>
      </w:r>
    </w:p>
    <w:p>
      <w:pPr>
        <w:spacing w:line="312"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1、本项目为全流程电子化交易项目，须提交电子投标文件。</w:t>
      </w:r>
    </w:p>
    <w:p>
      <w:pPr>
        <w:spacing w:line="312"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2、投标文件提交的截止时间及开标时间： </w:t>
      </w:r>
      <w:r>
        <w:rPr>
          <w:rFonts w:hint="eastAsia" w:cs="宋体" w:asciiTheme="minorEastAsia" w:hAnsiTheme="minorEastAsia" w:eastAsiaTheme="minorEastAsia"/>
          <w:color w:val="auto"/>
          <w:sz w:val="24"/>
          <w:lang w:val="en-US" w:eastAsia="zh-CN"/>
        </w:rPr>
        <w:t>2020</w:t>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lang w:val="en-US" w:eastAsia="zh-CN"/>
        </w:rPr>
        <w:t>2</w:t>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lang w:val="en-US" w:eastAsia="zh-CN"/>
        </w:rPr>
        <w:t>21</w:t>
      </w:r>
      <w:r>
        <w:rPr>
          <w:rFonts w:hint="eastAsia" w:cs="宋体" w:asciiTheme="minorEastAsia" w:hAnsiTheme="minorEastAsia" w:eastAsiaTheme="minorEastAsia"/>
          <w:color w:val="auto"/>
          <w:sz w:val="24"/>
        </w:rPr>
        <w:t>日</w:t>
      </w:r>
      <w:r>
        <w:rPr>
          <w:rFonts w:hint="eastAsia" w:cs="宋体" w:asciiTheme="minorEastAsia" w:hAnsiTheme="minorEastAsia" w:eastAsiaTheme="minorEastAsia"/>
          <w:color w:val="auto"/>
          <w:sz w:val="24"/>
          <w:lang w:val="en-US" w:eastAsia="zh-CN"/>
        </w:rPr>
        <w:t>09</w:t>
      </w:r>
      <w:r>
        <w:rPr>
          <w:rFonts w:hint="eastAsia" w:cs="宋体" w:asciiTheme="minorEastAsia" w:hAnsiTheme="minorEastAsia" w:eastAsiaTheme="minorEastAsia"/>
          <w:color w:val="auto"/>
          <w:sz w:val="24"/>
        </w:rPr>
        <w:t xml:space="preserve"> 时 </w:t>
      </w:r>
      <w:r>
        <w:rPr>
          <w:rFonts w:hint="eastAsia" w:cs="宋体" w:asciiTheme="minorEastAsia" w:hAnsiTheme="minorEastAsia" w:eastAsiaTheme="minorEastAsia"/>
          <w:color w:val="auto"/>
          <w:sz w:val="24"/>
          <w:lang w:val="en-US" w:eastAsia="zh-CN"/>
        </w:rPr>
        <w:t>30</w:t>
      </w:r>
      <w:r>
        <w:rPr>
          <w:rFonts w:hint="eastAsia" w:cs="宋体" w:asciiTheme="minorEastAsia" w:hAnsiTheme="minorEastAsia" w:eastAsiaTheme="minorEastAsia"/>
          <w:color w:val="auto"/>
          <w:sz w:val="24"/>
        </w:rPr>
        <w:t>分。</w:t>
      </w:r>
    </w:p>
    <w:p>
      <w:pPr>
        <w:spacing w:line="312"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3、电子投标文件的提交：电子投标文件应在投标文件提交截止时间（开标时间）之前成功提交至《全国公共资源交易平台(河南省▪许昌市)》公共资源交易系统，同时提交第一信封、第二信封各2份电子介质</w:t>
      </w:r>
      <w:r>
        <w:rPr>
          <w:rFonts w:hint="eastAsia" w:cs="宋体" w:asciiTheme="minorEastAsia" w:hAnsiTheme="minorEastAsia" w:eastAsiaTheme="minorEastAsia"/>
          <w:sz w:val="24"/>
          <w:lang w:val="en-US" w:eastAsia="zh-CN"/>
        </w:rPr>
        <w:t>U盘</w:t>
      </w:r>
      <w:r>
        <w:rPr>
          <w:rFonts w:hint="eastAsia" w:cs="宋体" w:asciiTheme="minorEastAsia" w:hAnsiTheme="minorEastAsia" w:eastAsiaTheme="minorEastAsia"/>
          <w:sz w:val="24"/>
        </w:rPr>
        <w:t>存储</w:t>
      </w:r>
      <w:r>
        <w:rPr>
          <w:rFonts w:hint="eastAsia" w:cs="宋体" w:asciiTheme="minorEastAsia" w:hAnsiTheme="minorEastAsia" w:eastAsiaTheme="minorEastAsia"/>
          <w:sz w:val="24"/>
          <w:lang w:eastAsia="zh-CN"/>
        </w:rPr>
        <w:t>有</w:t>
      </w:r>
      <w:r>
        <w:rPr>
          <w:rFonts w:hint="eastAsia" w:cs="宋体" w:asciiTheme="minorEastAsia" w:hAnsiTheme="minorEastAsia" w:eastAsiaTheme="minorEastAsia"/>
          <w:sz w:val="24"/>
        </w:rPr>
        <w:t>名称为“备份”的文件。</w:t>
      </w:r>
    </w:p>
    <w:p>
      <w:pPr>
        <w:spacing w:line="312" w:lineRule="auto"/>
        <w:ind w:firstLine="480" w:firstLineChars="200"/>
        <w:jc w:val="lef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4、投标文件提交地点：许昌市建安区新元大道兴业大厦4楼开标</w:t>
      </w:r>
      <w:r>
        <w:rPr>
          <w:rFonts w:hint="eastAsia" w:cs="宋体" w:asciiTheme="minorEastAsia" w:hAnsiTheme="minorEastAsia" w:eastAsiaTheme="minorEastAsia"/>
          <w:color w:val="auto"/>
          <w:sz w:val="24"/>
          <w:lang w:eastAsia="zh-CN"/>
        </w:rPr>
        <w:t>二</w:t>
      </w:r>
      <w:r>
        <w:rPr>
          <w:rFonts w:hint="eastAsia" w:cs="宋体" w:asciiTheme="minorEastAsia" w:hAnsiTheme="minorEastAsia" w:eastAsiaTheme="minorEastAsia"/>
          <w:color w:val="auto"/>
          <w:sz w:val="24"/>
          <w:lang w:val="en-US" w:eastAsia="zh-CN"/>
        </w:rPr>
        <w:t xml:space="preserve"> </w:t>
      </w:r>
      <w:r>
        <w:rPr>
          <w:rFonts w:hint="eastAsia" w:cs="宋体" w:asciiTheme="minorEastAsia" w:hAnsiTheme="minorEastAsia" w:eastAsiaTheme="minorEastAsia"/>
          <w:color w:val="auto"/>
          <w:sz w:val="24"/>
        </w:rPr>
        <w:t>室。</w:t>
      </w:r>
    </w:p>
    <w:p>
      <w:pPr>
        <w:spacing w:line="312" w:lineRule="auto"/>
        <w:ind w:firstLine="720" w:firstLineChars="300"/>
        <w:jc w:val="left"/>
        <w:rPr>
          <w:rFonts w:cs="宋体" w:asciiTheme="minorEastAsia" w:hAnsiTheme="minorEastAsia" w:eastAsiaTheme="minorEastAsia"/>
          <w:sz w:val="24"/>
        </w:rPr>
      </w:pPr>
      <w:r>
        <w:rPr>
          <w:rFonts w:hint="eastAsia" w:cs="宋体" w:asciiTheme="minorEastAsia" w:hAnsiTheme="minorEastAsia" w:eastAsiaTheme="minorEastAsia"/>
          <w:sz w:val="24"/>
        </w:rPr>
        <w:t>5、逾期送达的或者未送达指定地点的投标文件，招标人不予受理。</w:t>
      </w:r>
    </w:p>
    <w:p>
      <w:pPr>
        <w:spacing w:line="312" w:lineRule="auto"/>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六、发布公告的媒介</w:t>
      </w:r>
    </w:p>
    <w:p>
      <w:pPr>
        <w:spacing w:line="312"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本公告同时在《全国公共资源交易平台(河南省▪许昌市)》、《河南省电子招标投标公共服务平台》上发布。</w:t>
      </w:r>
    </w:p>
    <w:p>
      <w:pPr>
        <w:spacing w:line="312" w:lineRule="auto"/>
        <w:rPr>
          <w:rFonts w:asciiTheme="minorEastAsia" w:hAnsiTheme="minorEastAsia" w:eastAsiaTheme="minorEastAsia"/>
          <w:b/>
          <w:sz w:val="24"/>
        </w:rPr>
      </w:pPr>
      <w:r>
        <w:rPr>
          <w:rFonts w:hint="eastAsia" w:asciiTheme="minorEastAsia" w:hAnsiTheme="minorEastAsia" w:eastAsiaTheme="minorEastAsia"/>
          <w:b/>
          <w:sz w:val="24"/>
        </w:rPr>
        <w:t>七、联系方式</w:t>
      </w:r>
    </w:p>
    <w:p>
      <w:pPr>
        <w:spacing w:line="312" w:lineRule="auto"/>
        <w:ind w:firstLine="480" w:firstLineChars="200"/>
        <w:rPr>
          <w:rFonts w:hint="eastAsia" w:cs="Times New Roman" w:asciiTheme="minorEastAsia" w:hAnsiTheme="minorEastAsia" w:eastAsiaTheme="minorEastAsia"/>
          <w:color w:val="000000"/>
          <w:sz w:val="24"/>
        </w:rPr>
      </w:pPr>
      <w:r>
        <w:rPr>
          <w:rFonts w:hint="eastAsia" w:cs="Times New Roman" w:asciiTheme="minorEastAsia" w:hAnsiTheme="minorEastAsia" w:eastAsiaTheme="minorEastAsia"/>
          <w:color w:val="000000"/>
          <w:sz w:val="24"/>
        </w:rPr>
        <w:t>招  标  人：许昌市建安区交通运输局</w:t>
      </w:r>
    </w:p>
    <w:p>
      <w:pPr>
        <w:spacing w:line="312" w:lineRule="auto"/>
        <w:ind w:firstLine="480" w:firstLineChars="200"/>
        <w:rPr>
          <w:rFonts w:hint="eastAsia" w:cs="Times New Roman" w:asciiTheme="minorEastAsia" w:hAnsiTheme="minorEastAsia" w:eastAsiaTheme="minorEastAsia"/>
          <w:color w:val="000000"/>
          <w:sz w:val="24"/>
        </w:rPr>
      </w:pPr>
      <w:r>
        <w:rPr>
          <w:rFonts w:hint="eastAsia" w:cs="Times New Roman" w:asciiTheme="minorEastAsia" w:hAnsiTheme="minorEastAsia" w:eastAsiaTheme="minorEastAsia"/>
          <w:color w:val="000000"/>
          <w:sz w:val="24"/>
        </w:rPr>
        <w:t xml:space="preserve">项目负责人： 黄向远 </w:t>
      </w:r>
    </w:p>
    <w:p>
      <w:pPr>
        <w:spacing w:line="312" w:lineRule="auto"/>
        <w:ind w:firstLine="480" w:firstLineChars="200"/>
        <w:rPr>
          <w:rFonts w:hint="eastAsia" w:cs="Times New Roman" w:asciiTheme="minorEastAsia" w:hAnsiTheme="minorEastAsia" w:eastAsiaTheme="minorEastAsia"/>
          <w:color w:val="000000"/>
          <w:sz w:val="24"/>
        </w:rPr>
      </w:pPr>
      <w:r>
        <w:rPr>
          <w:rFonts w:hint="eastAsia" w:cs="Times New Roman" w:asciiTheme="minorEastAsia" w:hAnsiTheme="minorEastAsia" w:eastAsiaTheme="minorEastAsia"/>
          <w:color w:val="000000"/>
          <w:sz w:val="24"/>
        </w:rPr>
        <w:t xml:space="preserve">电      话：18803743200 </w:t>
      </w:r>
    </w:p>
    <w:p>
      <w:pPr>
        <w:spacing w:line="312" w:lineRule="auto"/>
        <w:ind w:firstLine="480" w:firstLineChars="200"/>
        <w:rPr>
          <w:rFonts w:hint="eastAsia" w:cs="Times New Roman" w:asciiTheme="minorEastAsia" w:hAnsiTheme="minorEastAsia" w:eastAsiaTheme="minorEastAsia"/>
          <w:color w:val="000000"/>
          <w:sz w:val="24"/>
          <w:lang w:eastAsia="zh-CN"/>
        </w:rPr>
      </w:pPr>
      <w:r>
        <w:rPr>
          <w:rFonts w:hint="eastAsia" w:cs="Times New Roman" w:asciiTheme="minorEastAsia" w:hAnsiTheme="minorEastAsia" w:eastAsiaTheme="minorEastAsia"/>
          <w:color w:val="000000"/>
          <w:sz w:val="24"/>
        </w:rPr>
        <w:t>代理  机构：</w:t>
      </w:r>
      <w:r>
        <w:rPr>
          <w:rFonts w:hint="eastAsia" w:cs="Times New Roman" w:asciiTheme="minorEastAsia" w:hAnsiTheme="minorEastAsia" w:eastAsiaTheme="minorEastAsia"/>
          <w:color w:val="000000"/>
          <w:sz w:val="24"/>
          <w:lang w:eastAsia="zh-CN"/>
        </w:rPr>
        <w:t>永明项目管理有限公司</w:t>
      </w:r>
    </w:p>
    <w:p>
      <w:pPr>
        <w:spacing w:line="312" w:lineRule="auto"/>
        <w:ind w:firstLine="480" w:firstLineChars="200"/>
        <w:rPr>
          <w:rFonts w:hint="eastAsia" w:cs="Times New Roman" w:asciiTheme="minorEastAsia" w:hAnsiTheme="minorEastAsia" w:eastAsiaTheme="minorEastAsia"/>
          <w:color w:val="000000"/>
          <w:sz w:val="24"/>
          <w:lang w:eastAsia="zh-CN"/>
        </w:rPr>
      </w:pPr>
      <w:r>
        <w:rPr>
          <w:rFonts w:hint="eastAsia" w:cs="Times New Roman" w:asciiTheme="minorEastAsia" w:hAnsiTheme="minorEastAsia" w:eastAsiaTheme="minorEastAsia"/>
          <w:color w:val="000000"/>
          <w:sz w:val="24"/>
        </w:rPr>
        <w:t>项目负责人：</w:t>
      </w:r>
      <w:r>
        <w:rPr>
          <w:rFonts w:hint="eastAsia" w:cs="Times New Roman" w:asciiTheme="minorEastAsia" w:hAnsiTheme="minorEastAsia" w:eastAsiaTheme="minorEastAsia"/>
          <w:color w:val="000000"/>
          <w:sz w:val="24"/>
          <w:lang w:eastAsia="zh-CN"/>
        </w:rPr>
        <w:t>徐会娇</w:t>
      </w:r>
    </w:p>
    <w:p>
      <w:pPr>
        <w:spacing w:line="312" w:lineRule="auto"/>
        <w:ind w:firstLine="480" w:firstLineChars="200"/>
        <w:rPr>
          <w:rFonts w:hint="default" w:cs="Times New Roman" w:asciiTheme="minorEastAsia" w:hAnsiTheme="minorEastAsia" w:eastAsiaTheme="minorEastAsia"/>
          <w:color w:val="000000"/>
          <w:sz w:val="24"/>
          <w:lang w:val="en-US" w:eastAsia="zh-CN"/>
        </w:rPr>
      </w:pPr>
      <w:r>
        <w:rPr>
          <w:rFonts w:hint="eastAsia" w:cs="Times New Roman" w:asciiTheme="minorEastAsia" w:hAnsiTheme="minorEastAsia" w:eastAsiaTheme="minorEastAsia"/>
          <w:color w:val="000000"/>
          <w:sz w:val="24"/>
        </w:rPr>
        <w:t>电    话：</w:t>
      </w:r>
      <w:r>
        <w:rPr>
          <w:rFonts w:hint="eastAsia" w:cs="Times New Roman" w:asciiTheme="minorEastAsia" w:hAnsiTheme="minorEastAsia" w:eastAsiaTheme="minorEastAsia"/>
          <w:color w:val="000000"/>
          <w:sz w:val="24"/>
          <w:lang w:val="en-US" w:eastAsia="zh-CN"/>
        </w:rPr>
        <w:t>13333991768</w:t>
      </w:r>
    </w:p>
    <w:p>
      <w:pPr>
        <w:spacing w:line="312" w:lineRule="auto"/>
        <w:ind w:firstLine="480" w:firstLineChars="200"/>
        <w:rPr>
          <w:rFonts w:asciiTheme="minorEastAsia" w:hAnsiTheme="minorEastAsia" w:eastAsiaTheme="minorEastAsia"/>
          <w:sz w:val="24"/>
        </w:rPr>
      </w:pPr>
    </w:p>
    <w:p>
      <w:pPr>
        <w:spacing w:line="312" w:lineRule="auto"/>
        <w:ind w:firstLine="480" w:firstLineChars="200"/>
        <w:jc w:val="right"/>
        <w:rPr>
          <w:rFonts w:asciiTheme="minorEastAsia" w:hAnsiTheme="minorEastAsia" w:eastAsiaTheme="minorEastAsia"/>
          <w:color w:val="000000"/>
          <w:sz w:val="24"/>
          <w:lang w:val="zh-CN"/>
        </w:rPr>
      </w:pPr>
      <w:r>
        <w:rPr>
          <w:rFonts w:hint="eastAsia" w:asciiTheme="minorEastAsia" w:hAnsiTheme="minorEastAsia" w:eastAsiaTheme="minorEastAsia"/>
          <w:color w:val="000000"/>
          <w:sz w:val="24"/>
          <w:lang w:val="zh-CN"/>
        </w:rPr>
        <w:t>许昌市建安区交通运输局</w:t>
      </w:r>
    </w:p>
    <w:p>
      <w:pPr>
        <w:wordWrap w:val="0"/>
        <w:spacing w:line="312" w:lineRule="auto"/>
        <w:ind w:right="240" w:firstLine="480" w:firstLineChars="200"/>
        <w:jc w:val="right"/>
        <w:rPr>
          <w:rFonts w:asciiTheme="minorEastAsia" w:hAnsiTheme="minorEastAsia" w:eastAsiaTheme="minorEastAsia"/>
          <w:color w:val="000000"/>
          <w:sz w:val="24"/>
        </w:rPr>
      </w:pPr>
      <w:r>
        <w:rPr>
          <w:rFonts w:hint="eastAsia" w:asciiTheme="minorEastAsia" w:hAnsiTheme="minorEastAsia" w:eastAsiaTheme="minorEastAsia"/>
          <w:color w:val="000000"/>
          <w:sz w:val="24"/>
        </w:rPr>
        <w:t xml:space="preserve">2020年 </w:t>
      </w:r>
      <w:r>
        <w:rPr>
          <w:rFonts w:hint="eastAsia" w:asciiTheme="minorEastAsia" w:hAnsiTheme="minorEastAsia" w:eastAsiaTheme="minorEastAsia"/>
          <w:color w:val="000000"/>
          <w:sz w:val="24"/>
          <w:lang w:val="en-US" w:eastAsia="zh-CN"/>
        </w:rPr>
        <w:t>1</w:t>
      </w:r>
      <w:r>
        <w:rPr>
          <w:rFonts w:hint="eastAsia" w:asciiTheme="minorEastAsia" w:hAnsiTheme="minorEastAsia" w:eastAsiaTheme="minorEastAsia"/>
          <w:color w:val="000000"/>
          <w:sz w:val="24"/>
        </w:rPr>
        <w:t xml:space="preserve"> 月 </w:t>
      </w:r>
      <w:r>
        <w:rPr>
          <w:rFonts w:hint="eastAsia" w:asciiTheme="minorEastAsia" w:hAnsiTheme="minorEastAsia" w:eastAsiaTheme="minorEastAsia"/>
          <w:color w:val="000000"/>
          <w:sz w:val="24"/>
          <w:lang w:val="en-US" w:eastAsia="zh-CN"/>
        </w:rPr>
        <w:t>22</w:t>
      </w:r>
      <w:r>
        <w:rPr>
          <w:rFonts w:hint="eastAsia" w:asciiTheme="minorEastAsia" w:hAnsiTheme="minorEastAsia" w:eastAsiaTheme="minorEastAsia"/>
          <w:color w:val="000000"/>
          <w:sz w:val="24"/>
        </w:rPr>
        <w:t xml:space="preserve"> 日</w:t>
      </w:r>
    </w:p>
    <w:p>
      <w:pPr>
        <w:widowControl/>
        <w:spacing w:line="312" w:lineRule="auto"/>
        <w:rPr>
          <w:rFonts w:hAnsi="宋体"/>
          <w:b/>
          <w:sz w:val="28"/>
          <w:szCs w:val="21"/>
        </w:rPr>
      </w:pPr>
      <w:r>
        <w:rPr>
          <w:rFonts w:hint="eastAsia" w:hAnsi="宋体"/>
          <w:b/>
          <w:sz w:val="28"/>
          <w:szCs w:val="21"/>
        </w:rPr>
        <w:t>温馨提示：</w:t>
      </w:r>
    </w:p>
    <w:p>
      <w:pPr>
        <w:widowControl/>
        <w:spacing w:line="312" w:lineRule="auto"/>
        <w:ind w:firstLine="141" w:firstLineChars="50"/>
        <w:rPr>
          <w:rFonts w:hAnsi="宋体"/>
          <w:b/>
          <w:sz w:val="28"/>
          <w:szCs w:val="21"/>
        </w:rPr>
      </w:pPr>
      <w:r>
        <w:rPr>
          <w:rFonts w:hint="eastAsia" w:hAnsi="宋体"/>
          <w:b/>
          <w:sz w:val="28"/>
          <w:szCs w:val="21"/>
        </w:rPr>
        <w:t>本项目为全流程电子化交易项目，请认真阅读招标文件，并注意以下事项。</w:t>
      </w:r>
    </w:p>
    <w:p>
      <w:pPr>
        <w:widowControl/>
        <w:spacing w:line="312" w:lineRule="auto"/>
        <w:rPr>
          <w:rFonts w:hAnsi="宋体"/>
          <w:b/>
          <w:sz w:val="24"/>
        </w:rPr>
      </w:pPr>
    </w:p>
    <w:p>
      <w:pPr>
        <w:snapToGrid w:val="0"/>
        <w:spacing w:line="540" w:lineRule="exact"/>
        <w:ind w:left="-105" w:leftChars="-50" w:right="-105" w:rightChars="-50" w:firstLine="482" w:firstLineChars="200"/>
        <w:rPr>
          <w:rFonts w:hAnsi="宋体" w:cs="宋体"/>
          <w:b/>
          <w:bCs/>
          <w:sz w:val="24"/>
        </w:rPr>
      </w:pPr>
      <w:r>
        <w:rPr>
          <w:rFonts w:hint="eastAsia" w:hAnsi="宋体" w:cs="宋体"/>
          <w:b/>
          <w:bCs/>
          <w:sz w:val="24"/>
        </w:rPr>
        <w:t>1.投标人应按招标文件规定下载、编制、提交电子投标文件。开、评标现场不接受投标人递交的电子投标文件的其他资料。</w:t>
      </w:r>
    </w:p>
    <w:p>
      <w:pPr>
        <w:snapToGrid w:val="0"/>
        <w:spacing w:line="540" w:lineRule="exact"/>
        <w:ind w:left="-105" w:leftChars="-50" w:right="-105" w:rightChars="-50" w:firstLine="482" w:firstLineChars="200"/>
        <w:rPr>
          <w:rFonts w:hAnsi="宋体" w:cs="宋体"/>
          <w:b/>
          <w:bCs/>
          <w:sz w:val="24"/>
        </w:rPr>
      </w:pPr>
      <w:r>
        <w:rPr>
          <w:rFonts w:hint="eastAsia" w:hAnsi="宋体" w:cs="宋体"/>
          <w:b/>
          <w:bCs/>
          <w:sz w:val="24"/>
        </w:rPr>
        <w:t>2.电子文件下载、制作、提交期间和开标（电子投标文件的解密）环节，投标人须使用CA数字证书。</w:t>
      </w:r>
    </w:p>
    <w:p>
      <w:pPr>
        <w:snapToGrid w:val="0"/>
        <w:spacing w:line="540" w:lineRule="exact"/>
        <w:ind w:left="-105" w:leftChars="-50" w:right="-105" w:rightChars="-50" w:firstLine="482" w:firstLineChars="200"/>
        <w:rPr>
          <w:rFonts w:hAnsi="宋体" w:cs="宋体"/>
          <w:b/>
          <w:bCs/>
          <w:sz w:val="24"/>
        </w:rPr>
      </w:pPr>
      <w:r>
        <w:rPr>
          <w:rFonts w:hint="eastAsia" w:hAnsi="宋体" w:cs="宋体"/>
          <w:b/>
          <w:bCs/>
          <w:sz w:val="24"/>
        </w:rPr>
        <w:t>3.电子投标文件的制作</w:t>
      </w:r>
    </w:p>
    <w:p>
      <w:pPr>
        <w:snapToGrid w:val="0"/>
        <w:spacing w:line="540" w:lineRule="exact"/>
        <w:ind w:left="-105" w:leftChars="-50" w:right="-105" w:rightChars="-50" w:firstLine="480" w:firstLineChars="200"/>
        <w:rPr>
          <w:rFonts w:hAnsi="宋体" w:cs="宋体"/>
          <w:sz w:val="24"/>
        </w:rPr>
      </w:pPr>
      <w:r>
        <w:rPr>
          <w:rFonts w:hint="eastAsia" w:hAnsi="宋体" w:cs="宋体"/>
          <w:sz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rPr>
        <w:t>）下载“许昌投标文件制作系统SEARUN V1.1”，按招标文件要求制作电子投标文件。</w:t>
      </w:r>
    </w:p>
    <w:p>
      <w:pPr>
        <w:snapToGrid w:val="0"/>
        <w:spacing w:line="540" w:lineRule="exact"/>
        <w:ind w:left="-105" w:leftChars="-50" w:right="-105" w:rightChars="-50" w:firstLine="480" w:firstLineChars="200"/>
        <w:rPr>
          <w:rFonts w:hAnsi="宋体" w:cs="宋体"/>
          <w:sz w:val="24"/>
        </w:rPr>
      </w:pPr>
      <w:r>
        <w:rPr>
          <w:rFonts w:hint="eastAsia" w:hAnsi="宋体" w:cs="宋体"/>
          <w:sz w:val="24"/>
        </w:rPr>
        <w:t>电子投标文件的制作，参考《全国公共资源交易平台(河南省▪许昌市)》公共资源交易系统——组件下载——交易系统操作手册（投标人、供应商）。</w:t>
      </w:r>
    </w:p>
    <w:p>
      <w:pPr>
        <w:snapToGrid w:val="0"/>
        <w:spacing w:line="540" w:lineRule="exact"/>
        <w:ind w:left="-105" w:leftChars="-50" w:right="-105" w:rightChars="-50" w:firstLine="480" w:firstLineChars="200"/>
        <w:rPr>
          <w:rFonts w:hAnsi="宋体" w:cs="宋体"/>
          <w:sz w:val="24"/>
        </w:rPr>
      </w:pPr>
      <w:r>
        <w:rPr>
          <w:rFonts w:hint="eastAsia" w:hAnsi="宋体" w:cs="宋体"/>
          <w:sz w:val="24"/>
        </w:rPr>
        <w:t>3.2 投标人须将招标文件要求的资质、业绩、荣誉及相关人员证明材料等资料原件扫描件（或图片）制作到所提交的电子投标文件中。</w:t>
      </w:r>
    </w:p>
    <w:p>
      <w:pPr>
        <w:snapToGrid w:val="0"/>
        <w:spacing w:line="540" w:lineRule="exact"/>
        <w:ind w:left="-105" w:leftChars="-50" w:right="-105" w:rightChars="-50" w:firstLine="480" w:firstLineChars="200"/>
        <w:rPr>
          <w:rFonts w:hAnsi="宋体" w:cs="宋体"/>
          <w:sz w:val="24"/>
        </w:rPr>
      </w:pPr>
      <w:r>
        <w:rPr>
          <w:rFonts w:hint="eastAsia" w:hAnsi="宋体" w:cs="宋体"/>
          <w:sz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05" w:leftChars="-50" w:right="-105" w:rightChars="-50" w:firstLine="480" w:firstLineChars="200"/>
        <w:rPr>
          <w:rFonts w:hAnsi="宋体" w:cs="宋体"/>
          <w:sz w:val="24"/>
        </w:rPr>
      </w:pPr>
      <w:r>
        <w:rPr>
          <w:rFonts w:hint="eastAsia" w:hAnsi="宋体" w:cs="宋体"/>
          <w:sz w:val="24"/>
        </w:rPr>
        <w:t>一个标段对应生成一个文件夹（xxxx项目xx标段）, 其中包含2个文件和1个文件夹。后缀名为“.file”的文件用于电子投标使用，“备份文件夹”使用电子介质存储，供开标现场备用。</w:t>
      </w:r>
    </w:p>
    <w:p>
      <w:pPr>
        <w:snapToGrid w:val="0"/>
        <w:spacing w:line="540" w:lineRule="exact"/>
        <w:ind w:left="-105" w:leftChars="-50" w:right="-105" w:rightChars="-50" w:firstLine="482" w:firstLineChars="200"/>
        <w:rPr>
          <w:rFonts w:hAnsi="宋体" w:cs="宋体"/>
          <w:b/>
          <w:bCs/>
          <w:sz w:val="24"/>
        </w:rPr>
      </w:pPr>
      <w:r>
        <w:rPr>
          <w:rFonts w:hint="eastAsia" w:hAnsi="宋体" w:cs="宋体"/>
          <w:b/>
          <w:bCs/>
          <w:sz w:val="24"/>
        </w:rPr>
        <w:t>4.电子投标文件的提交</w:t>
      </w:r>
    </w:p>
    <w:p>
      <w:pPr>
        <w:snapToGrid w:val="0"/>
        <w:spacing w:line="540" w:lineRule="exact"/>
        <w:ind w:left="-105" w:leftChars="-50" w:right="-105" w:rightChars="-50" w:firstLine="480" w:firstLineChars="200"/>
        <w:rPr>
          <w:rFonts w:hAnsi="宋体" w:cs="宋体"/>
          <w:sz w:val="24"/>
        </w:rPr>
      </w:pPr>
      <w:r>
        <w:rPr>
          <w:rFonts w:hint="eastAsia" w:hAnsi="宋体" w:cs="宋体"/>
          <w:sz w:val="24"/>
        </w:rPr>
        <w:t xml:space="preserve">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rPr>
        <w:t>）。</w:t>
      </w:r>
    </w:p>
    <w:p>
      <w:pPr>
        <w:snapToGrid w:val="0"/>
        <w:spacing w:line="540" w:lineRule="exact"/>
        <w:ind w:left="-105" w:leftChars="-50" w:right="-105" w:rightChars="-50" w:firstLine="480" w:firstLineChars="200"/>
        <w:rPr>
          <w:rFonts w:hAnsi="宋体" w:cs="宋体"/>
          <w:sz w:val="24"/>
        </w:rPr>
      </w:pPr>
      <w:r>
        <w:rPr>
          <w:rFonts w:hint="eastAsia" w:hAnsi="宋体" w:cs="宋体"/>
          <w:sz w:val="24"/>
        </w:rPr>
        <w:t>投标人应充分考虑并预留技术处理和上传数据所需时间。</w:t>
      </w:r>
    </w:p>
    <w:p>
      <w:pPr>
        <w:snapToGrid w:val="0"/>
        <w:spacing w:line="540" w:lineRule="exact"/>
        <w:ind w:left="-105" w:leftChars="-50" w:right="-105" w:rightChars="-50" w:firstLine="480" w:firstLineChars="200"/>
        <w:rPr>
          <w:rFonts w:hAnsi="宋体" w:cs="宋体"/>
          <w:sz w:val="24"/>
        </w:rPr>
      </w:pPr>
      <w:r>
        <w:rPr>
          <w:rFonts w:hint="eastAsia" w:hAnsi="宋体" w:cs="宋体"/>
          <w:sz w:val="24"/>
        </w:rPr>
        <w:t>4.2 投标人对同一项目多个标段进行投标的，电子投标文件应按标段分别提交。</w:t>
      </w:r>
    </w:p>
    <w:p>
      <w:pPr>
        <w:snapToGrid w:val="0"/>
        <w:spacing w:line="540" w:lineRule="exact"/>
        <w:ind w:left="-105" w:leftChars="-50" w:right="-105" w:rightChars="-50" w:firstLine="480" w:firstLineChars="200"/>
        <w:rPr>
          <w:rFonts w:hAnsi="宋体" w:cs="宋体"/>
          <w:sz w:val="24"/>
        </w:rPr>
      </w:pPr>
      <w:r>
        <w:rPr>
          <w:rFonts w:hint="eastAsia" w:hAnsi="宋体" w:cs="宋体"/>
          <w:sz w:val="24"/>
        </w:rPr>
        <w:t>4.3 电子投标文件成功提交后，投标人应打印“投标文件提交回执单”，供开标现场备查。</w:t>
      </w:r>
    </w:p>
    <w:p>
      <w:pPr>
        <w:snapToGrid w:val="0"/>
        <w:spacing w:line="540" w:lineRule="exact"/>
        <w:ind w:left="-105" w:leftChars="-50" w:right="-105" w:rightChars="-50" w:firstLine="482" w:firstLineChars="200"/>
        <w:rPr>
          <w:rFonts w:hAnsi="宋体" w:cs="宋体"/>
          <w:b/>
          <w:bCs/>
          <w:sz w:val="24"/>
        </w:rPr>
      </w:pPr>
      <w:r>
        <w:rPr>
          <w:rFonts w:hint="eastAsia" w:hAnsi="宋体" w:cs="宋体"/>
          <w:b/>
          <w:bCs/>
          <w:sz w:val="24"/>
        </w:rPr>
        <w:t>5.评标依据</w:t>
      </w:r>
    </w:p>
    <w:p>
      <w:pPr>
        <w:snapToGrid w:val="0"/>
        <w:spacing w:line="540" w:lineRule="exact"/>
        <w:ind w:left="-105" w:leftChars="-50" w:right="-105" w:rightChars="-50" w:firstLine="480" w:firstLineChars="200"/>
        <w:rPr>
          <w:rFonts w:hAnsi="宋体" w:cs="宋体"/>
          <w:sz w:val="24"/>
        </w:rPr>
      </w:pPr>
      <w:r>
        <w:rPr>
          <w:rFonts w:hint="eastAsia" w:hAnsi="宋体" w:cs="宋体"/>
          <w:sz w:val="24"/>
        </w:rPr>
        <w:t>5.1采用全流程电子化交易评标时，评标委员会以电子投标文件为依据评标。</w:t>
      </w:r>
    </w:p>
    <w:p>
      <w:pPr>
        <w:snapToGrid w:val="0"/>
        <w:spacing w:line="540" w:lineRule="exact"/>
        <w:ind w:left="-105" w:leftChars="-50" w:right="-105" w:rightChars="-50" w:firstLine="480" w:firstLineChars="200"/>
      </w:pPr>
      <w:r>
        <w:rPr>
          <w:rFonts w:hint="eastAsia" w:hAnsi="宋体" w:cs="宋体"/>
          <w:sz w:val="24"/>
        </w:rPr>
        <w:t>5.2</w:t>
      </w:r>
      <w:r>
        <w:rPr>
          <w:rFonts w:hint="eastAsia"/>
        </w:rPr>
        <w:t xml:space="preserve"> </w:t>
      </w:r>
      <w:r>
        <w:rPr>
          <w:rFonts w:hint="eastAsia" w:hAnsi="宋体" w:cs="宋体"/>
          <w:sz w:val="24"/>
        </w:rPr>
        <w:t>全流程电子化交易系统如因系统异常情况无法完成，将以人工方式进行。评标委员会以电子介质</w:t>
      </w:r>
      <w:r>
        <w:rPr>
          <w:rFonts w:hint="eastAsia" w:cs="宋体" w:asciiTheme="minorEastAsia" w:hAnsiTheme="minorEastAsia" w:eastAsiaTheme="minorEastAsia"/>
          <w:sz w:val="24"/>
          <w:lang w:val="en-US" w:eastAsia="zh-CN"/>
        </w:rPr>
        <w:t>U盘</w:t>
      </w:r>
      <w:r>
        <w:rPr>
          <w:rFonts w:hint="eastAsia" w:hAnsi="宋体" w:cs="宋体"/>
          <w:sz w:val="24"/>
        </w:rPr>
        <w:t>存储的投标文件为依据评标。</w:t>
      </w:r>
      <w:r>
        <w:br w:type="page"/>
      </w:r>
    </w:p>
    <w:p>
      <w:pPr>
        <w:spacing w:line="312" w:lineRule="auto"/>
        <w:jc w:val="center"/>
        <w:outlineLvl w:val="0"/>
        <w:rPr>
          <w:rFonts w:ascii="黑体" w:eastAsia="黑体"/>
          <w:bCs/>
          <w:sz w:val="44"/>
          <w:szCs w:val="44"/>
        </w:rPr>
      </w:pPr>
      <w:r>
        <w:rPr>
          <w:rFonts w:hint="eastAsia" w:ascii="黑体" w:eastAsia="黑体"/>
          <w:bCs/>
          <w:sz w:val="44"/>
          <w:szCs w:val="44"/>
        </w:rPr>
        <w:t>第二章  投标人须知</w:t>
      </w:r>
    </w:p>
    <w:p>
      <w:pPr>
        <w:spacing w:line="360" w:lineRule="auto"/>
        <w:jc w:val="center"/>
        <w:rPr>
          <w:rFonts w:ascii="宋体" w:hAnsi="宋体"/>
          <w:b/>
          <w:sz w:val="24"/>
        </w:rPr>
      </w:pPr>
      <w:bookmarkStart w:id="0" w:name="_Toc234382587"/>
      <w:r>
        <w:rPr>
          <w:rFonts w:hint="eastAsia" w:ascii="黑体" w:eastAsia="黑体"/>
          <w:b/>
          <w:sz w:val="30"/>
          <w:szCs w:val="30"/>
        </w:rPr>
        <w:t>投标人须知前附表</w:t>
      </w:r>
      <w:bookmarkEnd w:id="0"/>
      <w:bookmarkStart w:id="1" w:name="_Hlt111980600"/>
      <w:bookmarkEnd w:id="1"/>
    </w:p>
    <w:tbl>
      <w:tblPr>
        <w:tblStyle w:val="14"/>
        <w:tblW w:w="9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38"/>
        <w:gridCol w:w="2317"/>
        <w:gridCol w:w="6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53" w:type="dxa"/>
            <w:gridSpan w:val="2"/>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条款号</w:t>
            </w:r>
          </w:p>
        </w:tc>
        <w:tc>
          <w:tcPr>
            <w:tcW w:w="231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条 款 名 称</w:t>
            </w:r>
          </w:p>
        </w:tc>
        <w:tc>
          <w:tcPr>
            <w:tcW w:w="6482"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1.1.2</w:t>
            </w:r>
          </w:p>
        </w:tc>
        <w:tc>
          <w:tcPr>
            <w:tcW w:w="2317" w:type="dxa"/>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招标人</w:t>
            </w:r>
          </w:p>
        </w:tc>
        <w:tc>
          <w:tcPr>
            <w:tcW w:w="6482" w:type="dxa"/>
            <w:tcBorders>
              <w:bottom w:val="single" w:color="auto" w:sz="4" w:space="0"/>
            </w:tcBorders>
            <w:vAlign w:val="center"/>
          </w:tcPr>
          <w:p>
            <w:pPr>
              <w:spacing w:line="312" w:lineRule="auto"/>
              <w:rPr>
                <w:rFonts w:hint="eastAsia" w:cs="Times New Roman" w:asciiTheme="minorEastAsia" w:hAnsiTheme="minorEastAsia" w:eastAsiaTheme="minorEastAsia"/>
                <w:color w:val="000000"/>
                <w:sz w:val="24"/>
              </w:rPr>
            </w:pPr>
            <w:r>
              <w:rPr>
                <w:rFonts w:hint="eastAsia" w:cs="Times New Roman" w:asciiTheme="minorEastAsia" w:hAnsiTheme="minorEastAsia" w:eastAsiaTheme="minorEastAsia"/>
                <w:color w:val="000000"/>
                <w:sz w:val="24"/>
              </w:rPr>
              <w:t>招  标  人：许昌市建安区交通运输局</w:t>
            </w:r>
          </w:p>
          <w:p>
            <w:pPr>
              <w:spacing w:line="312" w:lineRule="auto"/>
              <w:rPr>
                <w:rFonts w:hint="eastAsia" w:cs="Times New Roman" w:asciiTheme="minorEastAsia" w:hAnsiTheme="minorEastAsia" w:eastAsiaTheme="minorEastAsia"/>
                <w:color w:val="000000"/>
                <w:sz w:val="24"/>
              </w:rPr>
            </w:pPr>
            <w:r>
              <w:rPr>
                <w:rFonts w:hint="eastAsia" w:cs="Times New Roman" w:asciiTheme="minorEastAsia" w:hAnsiTheme="minorEastAsia" w:eastAsiaTheme="minorEastAsia"/>
                <w:color w:val="000000"/>
                <w:sz w:val="24"/>
              </w:rPr>
              <w:t xml:space="preserve">项目负责人： 黄向远 </w:t>
            </w:r>
          </w:p>
          <w:p>
            <w:pPr>
              <w:spacing w:line="312" w:lineRule="auto"/>
              <w:rPr>
                <w:rFonts w:asciiTheme="minorEastAsia" w:hAnsiTheme="minorEastAsia" w:eastAsiaTheme="minorEastAsia"/>
                <w:sz w:val="24"/>
                <w:u w:val="single"/>
              </w:rPr>
            </w:pPr>
            <w:r>
              <w:rPr>
                <w:rFonts w:hint="eastAsia" w:cs="Times New Roman" w:asciiTheme="minorEastAsia" w:hAnsiTheme="minorEastAsia" w:eastAsiaTheme="minorEastAsia"/>
                <w:color w:val="000000"/>
                <w:sz w:val="24"/>
              </w:rPr>
              <w:t xml:space="preserve">电      话：18803743200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1.1.3</w:t>
            </w:r>
          </w:p>
        </w:tc>
        <w:tc>
          <w:tcPr>
            <w:tcW w:w="2317" w:type="dxa"/>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代理机构</w:t>
            </w:r>
          </w:p>
        </w:tc>
        <w:tc>
          <w:tcPr>
            <w:tcW w:w="6482" w:type="dxa"/>
            <w:tcBorders>
              <w:bottom w:val="single" w:color="auto" w:sz="4" w:space="0"/>
            </w:tcBorders>
            <w:vAlign w:val="center"/>
          </w:tcPr>
          <w:p>
            <w:pPr>
              <w:spacing w:line="312" w:lineRule="auto"/>
              <w:rPr>
                <w:rFonts w:hint="eastAsia" w:cs="Times New Roman" w:asciiTheme="minorEastAsia" w:hAnsiTheme="minorEastAsia" w:eastAsiaTheme="minorEastAsia"/>
                <w:color w:val="000000"/>
                <w:sz w:val="24"/>
                <w:lang w:eastAsia="zh-CN"/>
              </w:rPr>
            </w:pPr>
            <w:r>
              <w:rPr>
                <w:rFonts w:hint="eastAsia" w:cs="Times New Roman" w:asciiTheme="minorEastAsia" w:hAnsiTheme="minorEastAsia" w:eastAsiaTheme="minorEastAsia"/>
                <w:color w:val="000000"/>
                <w:sz w:val="24"/>
              </w:rPr>
              <w:t>代理  机构：</w:t>
            </w:r>
            <w:r>
              <w:rPr>
                <w:rFonts w:hint="eastAsia" w:cs="Times New Roman" w:asciiTheme="minorEastAsia" w:hAnsiTheme="minorEastAsia" w:eastAsiaTheme="minorEastAsia"/>
                <w:color w:val="000000"/>
                <w:sz w:val="24"/>
                <w:lang w:eastAsia="zh-CN"/>
              </w:rPr>
              <w:t>永明项目管理有限公司</w:t>
            </w:r>
          </w:p>
          <w:p>
            <w:pPr>
              <w:spacing w:line="312" w:lineRule="auto"/>
              <w:rPr>
                <w:rFonts w:hint="eastAsia" w:cs="Times New Roman" w:asciiTheme="minorEastAsia" w:hAnsiTheme="minorEastAsia" w:eastAsiaTheme="minorEastAsia"/>
                <w:color w:val="000000"/>
                <w:sz w:val="24"/>
                <w:lang w:eastAsia="zh-CN"/>
              </w:rPr>
            </w:pPr>
            <w:r>
              <w:rPr>
                <w:rFonts w:hint="eastAsia" w:cs="Times New Roman" w:asciiTheme="minorEastAsia" w:hAnsiTheme="minorEastAsia" w:eastAsiaTheme="minorEastAsia"/>
                <w:color w:val="000000"/>
                <w:sz w:val="24"/>
              </w:rPr>
              <w:t>项目负责人：</w:t>
            </w:r>
            <w:r>
              <w:rPr>
                <w:rFonts w:hint="eastAsia" w:cs="Times New Roman" w:asciiTheme="minorEastAsia" w:hAnsiTheme="minorEastAsia" w:eastAsiaTheme="minorEastAsia"/>
                <w:color w:val="000000"/>
                <w:sz w:val="24"/>
                <w:lang w:eastAsia="zh-CN"/>
              </w:rPr>
              <w:t>徐会娇</w:t>
            </w:r>
          </w:p>
          <w:p>
            <w:pPr>
              <w:spacing w:line="312" w:lineRule="auto"/>
              <w:rPr>
                <w:rFonts w:asciiTheme="minorEastAsia" w:hAnsiTheme="minorEastAsia" w:eastAsiaTheme="minorEastAsia"/>
                <w:sz w:val="24"/>
              </w:rPr>
            </w:pPr>
            <w:r>
              <w:rPr>
                <w:rFonts w:hint="eastAsia" w:cs="Times New Roman" w:asciiTheme="minorEastAsia" w:hAnsiTheme="minorEastAsia" w:eastAsiaTheme="minorEastAsia"/>
                <w:color w:val="000000"/>
                <w:sz w:val="24"/>
              </w:rPr>
              <w:t>电    话：</w:t>
            </w:r>
            <w:r>
              <w:rPr>
                <w:rFonts w:hint="eastAsia" w:cs="Times New Roman" w:asciiTheme="minorEastAsia" w:hAnsiTheme="minorEastAsia" w:eastAsiaTheme="minorEastAsia"/>
                <w:color w:val="000000"/>
                <w:sz w:val="24"/>
                <w:lang w:val="en-US" w:eastAsia="zh-CN"/>
              </w:rPr>
              <w:t>13333991768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1.1.4</w:t>
            </w:r>
          </w:p>
        </w:tc>
        <w:tc>
          <w:tcPr>
            <w:tcW w:w="2317" w:type="dxa"/>
            <w:tcBorders>
              <w:right w:val="single" w:color="auto" w:sz="4" w:space="0"/>
            </w:tcBorders>
            <w:vAlign w:val="center"/>
          </w:tcPr>
          <w:p>
            <w:pPr>
              <w:spacing w:line="500" w:lineRule="exact"/>
              <w:jc w:val="center"/>
              <w:rPr>
                <w:rFonts w:hint="eastAsia" w:cs="Times New Roman" w:asciiTheme="minorEastAsia" w:hAnsiTheme="minorEastAsia" w:eastAsiaTheme="minorEastAsia"/>
                <w:sz w:val="24"/>
              </w:rPr>
            </w:pPr>
            <w:r>
              <w:rPr>
                <w:rFonts w:hint="eastAsia" w:cs="Times New Roman" w:asciiTheme="minorEastAsia" w:hAnsiTheme="minorEastAsia" w:eastAsiaTheme="minorEastAsia"/>
                <w:sz w:val="24"/>
              </w:rPr>
              <w:t>项目名称</w:t>
            </w:r>
          </w:p>
        </w:tc>
        <w:tc>
          <w:tcPr>
            <w:tcW w:w="6482" w:type="dxa"/>
            <w:tcBorders>
              <w:left w:val="single" w:color="auto" w:sz="4" w:space="0"/>
              <w:right w:val="single" w:color="auto" w:sz="4" w:space="0"/>
            </w:tcBorders>
            <w:vAlign w:val="center"/>
          </w:tcPr>
          <w:p>
            <w:pPr>
              <w:spacing w:line="240" w:lineRule="auto"/>
              <w:jc w:val="both"/>
              <w:rPr>
                <w:rFonts w:hint="eastAsia" w:cs="Times New Roman" w:asciiTheme="minorEastAsia" w:hAnsiTheme="minorEastAsia" w:eastAsiaTheme="minorEastAsia"/>
                <w:sz w:val="24"/>
              </w:rPr>
            </w:pPr>
            <w:r>
              <w:rPr>
                <w:rFonts w:hint="eastAsia" w:cs="Times New Roman" w:asciiTheme="minorEastAsia" w:hAnsiTheme="minorEastAsia" w:eastAsiaTheme="minorEastAsia"/>
                <w:sz w:val="24"/>
                <w:lang w:val="en-US" w:eastAsia="zh-CN"/>
              </w:rPr>
              <w:t>2020年中、省、市专项扶贫资金项目（4-6标段）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1.1.5</w:t>
            </w:r>
          </w:p>
        </w:tc>
        <w:tc>
          <w:tcPr>
            <w:tcW w:w="2317" w:type="dxa"/>
            <w:tcBorders>
              <w:right w:val="single" w:color="auto" w:sz="4" w:space="0"/>
            </w:tcBorders>
            <w:vAlign w:val="center"/>
          </w:tcPr>
          <w:p>
            <w:pPr>
              <w:spacing w:line="500" w:lineRule="exact"/>
              <w:jc w:val="center"/>
              <w:rPr>
                <w:rFonts w:hint="eastAsia" w:cs="Times New Roman" w:asciiTheme="minorEastAsia" w:hAnsiTheme="minorEastAsia" w:eastAsiaTheme="minorEastAsia"/>
                <w:sz w:val="24"/>
              </w:rPr>
            </w:pPr>
            <w:r>
              <w:rPr>
                <w:rFonts w:hint="eastAsia" w:cs="Times New Roman" w:asciiTheme="minorEastAsia" w:hAnsiTheme="minorEastAsia" w:eastAsiaTheme="minorEastAsia"/>
                <w:sz w:val="24"/>
              </w:rPr>
              <w:t>建设地点</w:t>
            </w:r>
          </w:p>
        </w:tc>
        <w:tc>
          <w:tcPr>
            <w:tcW w:w="6482" w:type="dxa"/>
            <w:tcBorders>
              <w:left w:val="single" w:color="auto" w:sz="4" w:space="0"/>
              <w:right w:val="single" w:color="auto" w:sz="4" w:space="0"/>
            </w:tcBorders>
            <w:vAlign w:val="center"/>
          </w:tcPr>
          <w:p>
            <w:pPr>
              <w:spacing w:line="500" w:lineRule="exact"/>
              <w:jc w:val="both"/>
              <w:rPr>
                <w:rFonts w:hint="eastAsia" w:cs="Times New Roman" w:asciiTheme="minorEastAsia" w:hAnsiTheme="minorEastAsia" w:eastAsiaTheme="minorEastAsia"/>
                <w:sz w:val="24"/>
                <w:lang w:eastAsia="zh-CN"/>
              </w:rPr>
            </w:pPr>
            <w:r>
              <w:rPr>
                <w:rFonts w:hint="eastAsia" w:cs="Times New Roman" w:asciiTheme="minorEastAsia" w:hAnsiTheme="minorEastAsia" w:eastAsiaTheme="minorEastAsia"/>
                <w:sz w:val="24"/>
              </w:rPr>
              <w:t>许昌市建安区</w:t>
            </w:r>
            <w:r>
              <w:rPr>
                <w:rFonts w:hint="eastAsia" w:cs="Times New Roman" w:asciiTheme="minorEastAsia" w:hAnsiTheme="minorEastAsia" w:eastAsiaTheme="minorEastAsia"/>
                <w:sz w:val="24"/>
                <w:lang w:eastAsia="zh-CN"/>
              </w:rPr>
              <w:t>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1.2.1</w:t>
            </w:r>
          </w:p>
        </w:tc>
        <w:tc>
          <w:tcPr>
            <w:tcW w:w="2317" w:type="dxa"/>
            <w:tcBorders>
              <w:right w:val="single" w:color="auto" w:sz="4" w:space="0"/>
            </w:tcBorders>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资金来源</w:t>
            </w:r>
          </w:p>
        </w:tc>
        <w:tc>
          <w:tcPr>
            <w:tcW w:w="6482" w:type="dxa"/>
            <w:tcBorders>
              <w:left w:val="single" w:color="auto" w:sz="4" w:space="0"/>
              <w:bottom w:val="single" w:color="auto" w:sz="4" w:space="0"/>
              <w:right w:val="single" w:color="auto" w:sz="4" w:space="0"/>
            </w:tcBorders>
            <w:vAlign w:val="center"/>
          </w:tcPr>
          <w:p>
            <w:pPr>
              <w:pStyle w:val="27"/>
              <w:snapToGrid w:val="0"/>
              <w:spacing w:line="0" w:lineRule="atLeast"/>
              <w:jc w:val="left"/>
              <w:rPr>
                <w:rFonts w:asciiTheme="minorEastAsia" w:hAnsiTheme="minorEastAsia" w:eastAsiaTheme="minorEastAsia"/>
                <w:sz w:val="24"/>
              </w:rPr>
            </w:pPr>
            <w:r>
              <w:rPr>
                <w:rFonts w:hint="eastAsia" w:asciiTheme="minorEastAsia" w:hAnsiTheme="minorEastAsia" w:eastAsiaTheme="minorEastAsia"/>
                <w:bCs/>
                <w:sz w:val="24"/>
              </w:rPr>
              <w:t>中央、省级、市级</w:t>
            </w:r>
            <w:r>
              <w:rPr>
                <w:rFonts w:hint="eastAsia" w:cs="宋体" w:asciiTheme="minorEastAsia" w:hAnsiTheme="minorEastAsia" w:eastAsiaTheme="minorEastAsia"/>
                <w:bCs/>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1.2.2</w:t>
            </w:r>
          </w:p>
        </w:tc>
        <w:tc>
          <w:tcPr>
            <w:tcW w:w="2317" w:type="dxa"/>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出资比例</w:t>
            </w:r>
          </w:p>
        </w:tc>
        <w:tc>
          <w:tcPr>
            <w:tcW w:w="6482" w:type="dxa"/>
            <w:tcBorders>
              <w:top w:val="single" w:color="auto" w:sz="4" w:space="0"/>
            </w:tcBorders>
            <w:vAlign w:val="center"/>
          </w:tcPr>
          <w:p>
            <w:pPr>
              <w:spacing w:line="500" w:lineRule="exact"/>
              <w:jc w:val="left"/>
              <w:rPr>
                <w:rFonts w:asciiTheme="minorEastAsia" w:hAnsiTheme="minorEastAsia" w:eastAsiaTheme="minorEastAsia"/>
                <w:sz w:val="24"/>
              </w:rPr>
            </w:pPr>
            <w:r>
              <w:rPr>
                <w:rFonts w:hint="eastAsia" w:asciiTheme="minorEastAsia" w:hAnsiTheme="minorEastAsia" w:eastAsiaTheme="minorEastAsia"/>
                <w:bCs/>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1.2.3</w:t>
            </w:r>
          </w:p>
        </w:tc>
        <w:tc>
          <w:tcPr>
            <w:tcW w:w="2317" w:type="dxa"/>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资金落实情况</w:t>
            </w:r>
          </w:p>
        </w:tc>
        <w:tc>
          <w:tcPr>
            <w:tcW w:w="6482" w:type="dxa"/>
            <w:tcBorders>
              <w:top w:val="single" w:color="auto" w:sz="4" w:space="0"/>
            </w:tcBorders>
            <w:vAlign w:val="center"/>
          </w:tcPr>
          <w:p>
            <w:pPr>
              <w:spacing w:line="500" w:lineRule="exact"/>
              <w:jc w:val="left"/>
              <w:rPr>
                <w:rFonts w:asciiTheme="minorEastAsia" w:hAnsiTheme="minorEastAsia" w:eastAsiaTheme="minorEastAsia"/>
                <w:bCs/>
                <w:sz w:val="24"/>
              </w:rPr>
            </w:pPr>
            <w:r>
              <w:rPr>
                <w:rFonts w:hint="eastAsia" w:asciiTheme="minorEastAsia" w:hAnsiTheme="minorEastAsia" w:eastAsiaTheme="minorEastAsia"/>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exac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1.3.1</w:t>
            </w:r>
          </w:p>
        </w:tc>
        <w:tc>
          <w:tcPr>
            <w:tcW w:w="2317" w:type="dxa"/>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招标范围</w:t>
            </w:r>
          </w:p>
        </w:tc>
        <w:tc>
          <w:tcPr>
            <w:tcW w:w="6482" w:type="dxa"/>
            <w:vAlign w:val="center"/>
          </w:tcPr>
          <w:p>
            <w:pPr>
              <w:jc w:val="left"/>
              <w:rPr>
                <w:rFonts w:asciiTheme="minorEastAsia" w:hAnsiTheme="minorEastAsia" w:eastAsiaTheme="minorEastAsia"/>
                <w:sz w:val="24"/>
              </w:rPr>
            </w:pPr>
            <w:r>
              <w:rPr>
                <w:rFonts w:hint="eastAsia" w:asciiTheme="minorEastAsia" w:hAnsiTheme="minorEastAsia" w:eastAsiaTheme="minorEastAsia"/>
                <w:sz w:val="24"/>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53" w:type="dxa"/>
            <w:gridSpan w:val="2"/>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1.3.2</w:t>
            </w:r>
          </w:p>
        </w:tc>
        <w:tc>
          <w:tcPr>
            <w:tcW w:w="2317" w:type="dxa"/>
            <w:vAlign w:val="center"/>
          </w:tcPr>
          <w:p>
            <w:pPr>
              <w:jc w:val="center"/>
              <w:rPr>
                <w:rFonts w:cs="宋体" w:asciiTheme="minorEastAsia" w:hAnsiTheme="minorEastAsia" w:eastAsiaTheme="minorEastAsia"/>
                <w:kern w:val="0"/>
                <w:sz w:val="24"/>
                <w:shd w:val="clear" w:color="auto" w:fill="FFFFFF"/>
              </w:rPr>
            </w:pPr>
            <w:r>
              <w:rPr>
                <w:rFonts w:hint="eastAsia" w:asciiTheme="minorEastAsia" w:hAnsiTheme="minorEastAsia" w:eastAsiaTheme="minorEastAsia"/>
                <w:sz w:val="24"/>
              </w:rPr>
              <w:t>计划工期</w:t>
            </w:r>
          </w:p>
        </w:tc>
        <w:tc>
          <w:tcPr>
            <w:tcW w:w="6482" w:type="dxa"/>
            <w:vAlign w:val="center"/>
          </w:tcPr>
          <w:p>
            <w:pPr>
              <w:jc w:val="left"/>
              <w:rPr>
                <w:rFonts w:hint="eastAsia" w:cs="宋体" w:asciiTheme="minorEastAsia" w:hAnsiTheme="minorEastAsia" w:eastAsiaTheme="minorEastAsia"/>
                <w:color w:val="FF0000"/>
                <w:kern w:val="0"/>
                <w:sz w:val="24"/>
                <w:shd w:val="clear" w:color="auto" w:fill="FFFFFF"/>
                <w:lang w:val="en-US" w:eastAsia="zh-CN"/>
              </w:rPr>
            </w:pPr>
            <w:r>
              <w:rPr>
                <w:rFonts w:hint="eastAsia" w:asciiTheme="minorEastAsia" w:hAnsiTheme="minorEastAsia" w:eastAsiaTheme="minorEastAsia"/>
                <w:sz w:val="24"/>
                <w:lang w:val="en-US" w:eastAsia="zh-CN"/>
              </w:rPr>
              <w:t>4-6标段：30</w:t>
            </w:r>
            <w:r>
              <w:rPr>
                <w:rFonts w:hint="eastAsia" w:asciiTheme="minorEastAsia" w:hAnsiTheme="minorEastAsia" w:eastAsiaTheme="minorEastAsia"/>
                <w:sz w:val="24"/>
              </w:rPr>
              <w:t>日历天</w:t>
            </w:r>
            <w:r>
              <w:rPr>
                <w:rFonts w:hint="eastAsia" w:asciiTheme="minorEastAsia" w:hAnsiTheme="minorEastAsia" w:eastAsiaTheme="minorEastAsia"/>
                <w:sz w:val="24"/>
                <w:lang w:val="en-US" w:eastAsia="zh-CN"/>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1.3.3</w:t>
            </w:r>
          </w:p>
        </w:tc>
        <w:tc>
          <w:tcPr>
            <w:tcW w:w="2317" w:type="dxa"/>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质量要求</w:t>
            </w:r>
          </w:p>
        </w:tc>
        <w:tc>
          <w:tcPr>
            <w:tcW w:w="6482" w:type="dxa"/>
            <w:vAlign w:val="center"/>
          </w:tcPr>
          <w:p>
            <w:pPr>
              <w:tabs>
                <w:tab w:val="right" w:leader="dot" w:pos="8295"/>
              </w:tabs>
              <w:spacing w:line="500" w:lineRule="exact"/>
              <w:jc w:val="left"/>
              <w:rPr>
                <w:rFonts w:asciiTheme="minorEastAsia" w:hAnsiTheme="minorEastAsia" w:eastAsiaTheme="minorEastAsia"/>
                <w:sz w:val="24"/>
                <w:u w:val="single"/>
              </w:rPr>
            </w:pPr>
            <w:r>
              <w:rPr>
                <w:rFonts w:hint="eastAsia" w:asciiTheme="minorEastAsia" w:hAnsiTheme="minorEastAsia" w:eastAsiaTheme="minorEastAsia"/>
                <w:sz w:val="24"/>
              </w:rPr>
              <w:t>合格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174" w:hRule="atLeast"/>
          <w:jc w:val="center"/>
        </w:trPr>
        <w:tc>
          <w:tcPr>
            <w:tcW w:w="1053" w:type="dxa"/>
            <w:gridSpan w:val="2"/>
            <w:tcBorders>
              <w:top w:val="single" w:color="auto" w:sz="4" w:space="0"/>
              <w:left w:val="single" w:color="auto" w:sz="4" w:space="0"/>
            </w:tcBorders>
            <w:vAlign w:val="center"/>
          </w:tcPr>
          <w:p>
            <w:pPr>
              <w:spacing w:line="500" w:lineRule="exact"/>
              <w:jc w:val="center"/>
              <w:rPr>
                <w:rFonts w:asciiTheme="minorEastAsia" w:hAnsiTheme="minorEastAsia" w:eastAsiaTheme="minorEastAsia"/>
                <w:sz w:val="24"/>
                <w:vertAlign w:val="superscript"/>
              </w:rPr>
            </w:pPr>
            <w:r>
              <w:rPr>
                <w:rFonts w:asciiTheme="minorEastAsia" w:hAnsiTheme="minorEastAsia" w:eastAsiaTheme="minorEastAsia"/>
                <w:sz w:val="24"/>
              </w:rPr>
              <w:t>1.4.</w:t>
            </w:r>
            <w:r>
              <w:rPr>
                <w:rFonts w:hint="eastAsia" w:asciiTheme="minorEastAsia" w:hAnsiTheme="minorEastAsia" w:eastAsiaTheme="minorEastAsia"/>
                <w:sz w:val="24"/>
              </w:rPr>
              <w:t>1</w:t>
            </w:r>
          </w:p>
        </w:tc>
        <w:tc>
          <w:tcPr>
            <w:tcW w:w="2317" w:type="dxa"/>
            <w:tcBorders>
              <w:top w:val="single" w:color="auto" w:sz="4" w:space="0"/>
            </w:tcBorders>
            <w:vAlign w:val="center"/>
          </w:tcPr>
          <w:p>
            <w:pPr>
              <w:spacing w:line="500" w:lineRule="exact"/>
              <w:jc w:val="center"/>
              <w:rPr>
                <w:rFonts w:asciiTheme="minorEastAsia" w:hAnsiTheme="minorEastAsia" w:eastAsiaTheme="minorEastAsia"/>
                <w:sz w:val="24"/>
              </w:rPr>
            </w:pPr>
            <w:r>
              <w:rPr>
                <w:rFonts w:asciiTheme="minorEastAsia" w:hAnsiTheme="minorEastAsia" w:eastAsiaTheme="minorEastAsia"/>
                <w:sz w:val="24"/>
              </w:rPr>
              <w:t>投标人资质条件、能力和信誉</w:t>
            </w:r>
          </w:p>
        </w:tc>
        <w:tc>
          <w:tcPr>
            <w:tcW w:w="6482" w:type="dxa"/>
            <w:tcBorders>
              <w:right w:val="single" w:color="auto" w:sz="4" w:space="0"/>
            </w:tcBorders>
            <w:vAlign w:val="center"/>
          </w:tcPr>
          <w:p>
            <w:pPr>
              <w:spacing w:line="360" w:lineRule="auto"/>
              <w:ind w:firstLine="120" w:firstLineChars="50"/>
              <w:jc w:val="left"/>
              <w:rPr>
                <w:rFonts w:asciiTheme="minorEastAsia" w:hAnsiTheme="minorEastAsia" w:eastAsiaTheme="minorEastAsia"/>
                <w:sz w:val="24"/>
              </w:rPr>
            </w:pPr>
            <w:r>
              <w:rPr>
                <w:rFonts w:asciiTheme="minorEastAsia" w:hAnsiTheme="minorEastAsia" w:eastAsiaTheme="minorEastAsia"/>
                <w:sz w:val="24"/>
              </w:rPr>
              <w:t>资质条件：</w:t>
            </w:r>
            <w:r>
              <w:rPr>
                <w:rFonts w:hint="eastAsia" w:asciiTheme="minorEastAsia" w:hAnsiTheme="minorEastAsia" w:eastAsiaTheme="minorEastAsia"/>
                <w:sz w:val="24"/>
              </w:rPr>
              <w:t>见附录1</w:t>
            </w:r>
          </w:p>
          <w:p>
            <w:pPr>
              <w:spacing w:line="360" w:lineRule="auto"/>
              <w:ind w:firstLine="120" w:firstLineChars="50"/>
              <w:jc w:val="left"/>
              <w:rPr>
                <w:rFonts w:asciiTheme="minorEastAsia" w:hAnsiTheme="minorEastAsia" w:eastAsiaTheme="minorEastAsia"/>
                <w:sz w:val="24"/>
              </w:rPr>
            </w:pPr>
            <w:r>
              <w:rPr>
                <w:rFonts w:asciiTheme="minorEastAsia" w:hAnsiTheme="minorEastAsia" w:eastAsiaTheme="minorEastAsia"/>
                <w:sz w:val="24"/>
              </w:rPr>
              <w:t>财务要求：</w:t>
            </w:r>
            <w:r>
              <w:rPr>
                <w:rFonts w:hint="eastAsia" w:asciiTheme="minorEastAsia" w:hAnsiTheme="minorEastAsia" w:eastAsiaTheme="minorEastAsia"/>
                <w:sz w:val="24"/>
              </w:rPr>
              <w:t>见附录2</w:t>
            </w:r>
          </w:p>
          <w:p>
            <w:pPr>
              <w:spacing w:line="360" w:lineRule="auto"/>
              <w:ind w:firstLine="120" w:firstLineChars="50"/>
              <w:jc w:val="left"/>
              <w:rPr>
                <w:rFonts w:asciiTheme="minorEastAsia" w:hAnsiTheme="minorEastAsia" w:eastAsiaTheme="minorEastAsia"/>
                <w:sz w:val="24"/>
              </w:rPr>
            </w:pPr>
            <w:r>
              <w:rPr>
                <w:rFonts w:asciiTheme="minorEastAsia" w:hAnsiTheme="minorEastAsia" w:eastAsiaTheme="minorEastAsia"/>
                <w:sz w:val="24"/>
              </w:rPr>
              <w:t>业绩要求：</w:t>
            </w:r>
            <w:r>
              <w:rPr>
                <w:rFonts w:hint="eastAsia" w:asciiTheme="minorEastAsia" w:hAnsiTheme="minorEastAsia" w:eastAsiaTheme="minorEastAsia"/>
                <w:sz w:val="24"/>
              </w:rPr>
              <w:t>见附录3</w:t>
            </w:r>
          </w:p>
          <w:p>
            <w:pPr>
              <w:spacing w:line="360" w:lineRule="auto"/>
              <w:ind w:firstLine="120" w:firstLineChars="50"/>
              <w:jc w:val="left"/>
              <w:rPr>
                <w:rFonts w:asciiTheme="minorEastAsia" w:hAnsiTheme="minorEastAsia" w:eastAsiaTheme="minorEastAsia"/>
                <w:sz w:val="24"/>
              </w:rPr>
            </w:pPr>
            <w:r>
              <w:rPr>
                <w:rFonts w:hint="eastAsia" w:asciiTheme="minorEastAsia" w:hAnsiTheme="minorEastAsia" w:eastAsiaTheme="minorEastAsia"/>
                <w:sz w:val="24"/>
              </w:rPr>
              <w:t>信誉要求：见附录4</w:t>
            </w:r>
          </w:p>
          <w:p>
            <w:pPr>
              <w:spacing w:line="360" w:lineRule="auto"/>
              <w:ind w:firstLine="120" w:firstLineChars="50"/>
              <w:jc w:val="left"/>
              <w:rPr>
                <w:rFonts w:asciiTheme="minorEastAsia" w:hAnsiTheme="minorEastAsia" w:eastAsiaTheme="minorEastAsia"/>
                <w:sz w:val="24"/>
              </w:rPr>
            </w:pPr>
            <w:r>
              <w:rPr>
                <w:rFonts w:hint="eastAsia" w:asciiTheme="minorEastAsia" w:hAnsiTheme="minorEastAsia" w:eastAsiaTheme="minorEastAsia"/>
                <w:sz w:val="24"/>
              </w:rPr>
              <w:t>项目经理和项目总工资格：见附录5</w:t>
            </w:r>
          </w:p>
          <w:p>
            <w:pPr>
              <w:spacing w:line="360" w:lineRule="auto"/>
              <w:ind w:firstLine="120" w:firstLineChars="50"/>
              <w:jc w:val="left"/>
              <w:rPr>
                <w:rFonts w:asciiTheme="minorEastAsia" w:hAnsiTheme="minorEastAsia" w:eastAsiaTheme="minorEastAsia"/>
                <w:sz w:val="24"/>
              </w:rPr>
            </w:pPr>
            <w:r>
              <w:rPr>
                <w:rFonts w:hint="eastAsia" w:asciiTheme="minorEastAsia" w:hAnsiTheme="minorEastAsia" w:eastAsiaTheme="minorEastAsia"/>
                <w:sz w:val="24"/>
              </w:rPr>
              <w:t>其他要求：见附录6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6" w:hRule="atLeast"/>
          <w:jc w:val="center"/>
        </w:trPr>
        <w:tc>
          <w:tcPr>
            <w:tcW w:w="1053" w:type="dxa"/>
            <w:gridSpan w:val="2"/>
            <w:tcBorders>
              <w:top w:val="single" w:color="auto" w:sz="4" w:space="0"/>
              <w:left w:val="single" w:color="auto" w:sz="4" w:space="0"/>
            </w:tcBorders>
            <w:vAlign w:val="center"/>
          </w:tcPr>
          <w:p>
            <w:pPr>
              <w:autoSpaceDE w:val="0"/>
              <w:autoSpaceDN w:val="0"/>
              <w:adjustRightIn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1.4.2</w:t>
            </w:r>
          </w:p>
        </w:tc>
        <w:tc>
          <w:tcPr>
            <w:tcW w:w="2317" w:type="dxa"/>
            <w:tcBorders>
              <w:top w:val="single" w:color="auto" w:sz="4" w:space="0"/>
            </w:tcBorders>
            <w:vAlign w:val="center"/>
          </w:tcPr>
          <w:p>
            <w:pPr>
              <w:autoSpaceDE w:val="0"/>
              <w:autoSpaceDN w:val="0"/>
              <w:adjustRightIn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是否接受联合体投标</w:t>
            </w:r>
          </w:p>
        </w:tc>
        <w:tc>
          <w:tcPr>
            <w:tcW w:w="6482" w:type="dxa"/>
            <w:tcBorders>
              <w:right w:val="single" w:color="auto" w:sz="4" w:space="0"/>
            </w:tcBorders>
            <w:vAlign w:val="center"/>
          </w:tcPr>
          <w:p>
            <w:pPr>
              <w:autoSpaceDE w:val="0"/>
              <w:autoSpaceDN w:val="0"/>
              <w:adjustRightInd w:val="0"/>
              <w:ind w:firstLine="120" w:firstLineChars="50"/>
              <w:jc w:val="left"/>
              <w:rPr>
                <w:rFonts w:cs="宋体" w:asciiTheme="minorEastAsia" w:hAnsiTheme="minorEastAsia" w:eastAsiaTheme="minorEastAsia"/>
                <w:sz w:val="24"/>
              </w:rPr>
            </w:pPr>
            <w:r>
              <w:rPr>
                <w:rFonts w:hint="eastAsia" w:cs="宋体" w:asciiTheme="minorEastAsia" w:hAnsiTheme="minorEastAsia" w:eastAsiaTheme="minorEastAsia"/>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053" w:type="dxa"/>
            <w:gridSpan w:val="2"/>
            <w:vAlign w:val="center"/>
          </w:tcPr>
          <w:p>
            <w:pPr>
              <w:spacing w:line="276" w:lineRule="auto"/>
              <w:jc w:val="center"/>
              <w:rPr>
                <w:rFonts w:asciiTheme="minorEastAsia" w:hAnsiTheme="minorEastAsia" w:eastAsiaTheme="minorEastAsia"/>
                <w:sz w:val="24"/>
              </w:rPr>
            </w:pPr>
            <w:r>
              <w:rPr>
                <w:rFonts w:hint="eastAsia" w:asciiTheme="minorEastAsia" w:hAnsiTheme="minorEastAsia" w:eastAsiaTheme="minorEastAsia"/>
                <w:sz w:val="24"/>
              </w:rPr>
              <w:t>1.9.1</w:t>
            </w:r>
          </w:p>
        </w:tc>
        <w:tc>
          <w:tcPr>
            <w:tcW w:w="2317" w:type="dxa"/>
            <w:vAlign w:val="center"/>
          </w:tcPr>
          <w:p>
            <w:pPr>
              <w:spacing w:line="276" w:lineRule="auto"/>
              <w:jc w:val="center"/>
              <w:rPr>
                <w:rFonts w:asciiTheme="minorEastAsia" w:hAnsiTheme="minorEastAsia" w:eastAsiaTheme="minorEastAsia"/>
                <w:sz w:val="24"/>
              </w:rPr>
            </w:pPr>
            <w:r>
              <w:rPr>
                <w:rFonts w:hint="eastAsia" w:asciiTheme="minorEastAsia" w:hAnsiTheme="minorEastAsia" w:eastAsiaTheme="minorEastAsia"/>
                <w:sz w:val="24"/>
              </w:rPr>
              <w:t>踏勘现场</w:t>
            </w:r>
          </w:p>
        </w:tc>
        <w:tc>
          <w:tcPr>
            <w:tcW w:w="6482" w:type="dxa"/>
            <w:vAlign w:val="center"/>
          </w:tcPr>
          <w:p>
            <w:pPr>
              <w:spacing w:line="276" w:lineRule="auto"/>
              <w:jc w:val="left"/>
              <w:rPr>
                <w:rFonts w:asciiTheme="minorEastAsia" w:hAnsiTheme="minorEastAsia" w:eastAsiaTheme="minorEastAsia"/>
                <w:sz w:val="24"/>
              </w:rPr>
            </w:pPr>
            <w:r>
              <w:rPr>
                <w:rFonts w:hint="eastAsia" w:asciiTheme="minorEastAsia" w:hAnsiTheme="minorEastAsia" w:eastAsiaTheme="minorEastAsia"/>
                <w:sz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053" w:type="dxa"/>
            <w:gridSpan w:val="2"/>
            <w:vAlign w:val="center"/>
          </w:tcPr>
          <w:p>
            <w:pPr>
              <w:spacing w:line="276" w:lineRule="auto"/>
              <w:jc w:val="center"/>
              <w:rPr>
                <w:rFonts w:asciiTheme="minorEastAsia" w:hAnsiTheme="minorEastAsia" w:eastAsiaTheme="minorEastAsia"/>
                <w:sz w:val="24"/>
              </w:rPr>
            </w:pPr>
            <w:r>
              <w:rPr>
                <w:rFonts w:hint="eastAsia" w:asciiTheme="minorEastAsia" w:hAnsiTheme="minorEastAsia" w:eastAsiaTheme="minorEastAsia"/>
                <w:sz w:val="24"/>
              </w:rPr>
              <w:t>1.10.1</w:t>
            </w:r>
          </w:p>
        </w:tc>
        <w:tc>
          <w:tcPr>
            <w:tcW w:w="2317" w:type="dxa"/>
            <w:vAlign w:val="center"/>
          </w:tcPr>
          <w:p>
            <w:pPr>
              <w:spacing w:line="276" w:lineRule="auto"/>
              <w:jc w:val="center"/>
              <w:rPr>
                <w:rFonts w:asciiTheme="minorEastAsia" w:hAnsiTheme="minorEastAsia" w:eastAsiaTheme="minorEastAsia"/>
                <w:sz w:val="24"/>
              </w:rPr>
            </w:pPr>
            <w:r>
              <w:rPr>
                <w:rFonts w:hint="eastAsia" w:asciiTheme="minorEastAsia" w:hAnsiTheme="minorEastAsia" w:eastAsiaTheme="minorEastAsia"/>
                <w:sz w:val="24"/>
              </w:rPr>
              <w:t>投标预备会</w:t>
            </w:r>
          </w:p>
        </w:tc>
        <w:tc>
          <w:tcPr>
            <w:tcW w:w="6482" w:type="dxa"/>
            <w:vAlign w:val="center"/>
          </w:tcPr>
          <w:p>
            <w:pPr>
              <w:spacing w:line="276" w:lineRule="auto"/>
              <w:jc w:val="left"/>
              <w:rPr>
                <w:rFonts w:asciiTheme="minorEastAsia" w:hAnsiTheme="minorEastAsia" w:eastAsiaTheme="minorEastAsia"/>
                <w:sz w:val="24"/>
              </w:rPr>
            </w:pPr>
            <w:r>
              <w:rPr>
                <w:rFonts w:hint="eastAsia" w:asciiTheme="minorEastAsia" w:hAnsiTheme="minorEastAsia" w:eastAsiaTheme="minorEastAsia"/>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1.10.2</w:t>
            </w:r>
          </w:p>
        </w:tc>
        <w:tc>
          <w:tcPr>
            <w:tcW w:w="2317"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投标人提出问题的截止时间</w:t>
            </w:r>
          </w:p>
        </w:tc>
        <w:tc>
          <w:tcPr>
            <w:tcW w:w="6482" w:type="dxa"/>
            <w:vAlign w:val="center"/>
          </w:tcPr>
          <w:p>
            <w:pPr>
              <w:rPr>
                <w:rFonts w:asciiTheme="minorEastAsia" w:hAnsiTheme="minorEastAsia" w:eastAsiaTheme="minorEastAsia"/>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1.10.3</w:t>
            </w:r>
          </w:p>
        </w:tc>
        <w:tc>
          <w:tcPr>
            <w:tcW w:w="2317"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招标人书面澄清的时间</w:t>
            </w:r>
          </w:p>
        </w:tc>
        <w:tc>
          <w:tcPr>
            <w:tcW w:w="6482" w:type="dxa"/>
            <w:vAlign w:val="center"/>
          </w:tcPr>
          <w:p>
            <w:pPr>
              <w:rPr>
                <w:rFonts w:asciiTheme="minorEastAsia" w:hAnsiTheme="minorEastAsia" w:eastAsiaTheme="minorEastAsia"/>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1.11</w:t>
            </w:r>
          </w:p>
        </w:tc>
        <w:tc>
          <w:tcPr>
            <w:tcW w:w="2317" w:type="dxa"/>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分包</w:t>
            </w:r>
          </w:p>
        </w:tc>
        <w:tc>
          <w:tcPr>
            <w:tcW w:w="6482" w:type="dxa"/>
            <w:vAlign w:val="center"/>
          </w:tcPr>
          <w:p>
            <w:pPr>
              <w:spacing w:line="500" w:lineRule="exact"/>
              <w:jc w:val="left"/>
              <w:rPr>
                <w:rFonts w:asciiTheme="minorEastAsia" w:hAnsiTheme="minorEastAsia" w:eastAsiaTheme="minorEastAsia"/>
                <w:sz w:val="24"/>
              </w:rPr>
            </w:pPr>
            <w:r>
              <w:rPr>
                <w:rFonts w:hint="eastAsia" w:asciiTheme="minorEastAsia" w:hAnsiTheme="minorEastAsia" w:eastAsiaTheme="minorEastAsia"/>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1.12</w:t>
            </w:r>
          </w:p>
        </w:tc>
        <w:tc>
          <w:tcPr>
            <w:tcW w:w="2317" w:type="dxa"/>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偏离</w:t>
            </w:r>
          </w:p>
        </w:tc>
        <w:tc>
          <w:tcPr>
            <w:tcW w:w="6482" w:type="dxa"/>
            <w:vAlign w:val="center"/>
          </w:tcPr>
          <w:p>
            <w:pPr>
              <w:spacing w:line="500" w:lineRule="exact"/>
              <w:jc w:val="left"/>
              <w:rPr>
                <w:rFonts w:asciiTheme="minorEastAsia" w:hAnsiTheme="minorEastAsia" w:eastAsiaTheme="minorEastAsia"/>
                <w:sz w:val="24"/>
              </w:rPr>
            </w:pPr>
            <w:r>
              <w:rPr>
                <w:rFonts w:hint="eastAsia" w:asciiTheme="minorEastAsia" w:hAnsiTheme="minorEastAsia" w:eastAsiaTheme="minorEastAsia"/>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053" w:type="dxa"/>
            <w:gridSpan w:val="2"/>
            <w:vAlign w:val="center"/>
          </w:tcPr>
          <w:p>
            <w:pPr>
              <w:autoSpaceDE w:val="0"/>
              <w:autoSpaceDN w:val="0"/>
              <w:adjustRightIn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2.1</w:t>
            </w:r>
          </w:p>
        </w:tc>
        <w:tc>
          <w:tcPr>
            <w:tcW w:w="2317" w:type="dxa"/>
            <w:vAlign w:val="center"/>
          </w:tcPr>
          <w:p>
            <w:pPr>
              <w:autoSpaceDE w:val="0"/>
              <w:autoSpaceDN w:val="0"/>
              <w:adjustRightIn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招标文件及工程量清单的获取</w:t>
            </w:r>
          </w:p>
        </w:tc>
        <w:tc>
          <w:tcPr>
            <w:tcW w:w="6482" w:type="dxa"/>
            <w:vAlign w:val="center"/>
          </w:tcPr>
          <w:p>
            <w:pPr>
              <w:pStyle w:val="2"/>
              <w:spacing w:after="0"/>
              <w:ind w:firstLine="0" w:firstLineChars="0"/>
              <w:jc w:val="left"/>
              <w:rPr>
                <w:rFonts w:cs="宋体" w:asciiTheme="minorEastAsia" w:hAnsiTheme="minorEastAsia" w:eastAsiaTheme="minorEastAsia"/>
                <w:sz w:val="24"/>
              </w:rPr>
            </w:pPr>
            <w:r>
              <w:rPr>
                <w:rFonts w:hint="eastAsia" w:cs="宋体" w:asciiTheme="minorEastAsia" w:hAnsiTheme="minorEastAsia" w:eastAsiaTheme="minorEastAsia"/>
                <w:sz w:val="24"/>
              </w:rPr>
              <w:t>招标文件、工程量清单的获取：投标人于投标文件递交截止时间前均可登录《全国公共资源交易平台（河南省·许昌市）》（http://ggzy.xuchang.gov.cn/），通过“投标人/供应商登录”后自行下载。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053" w:type="dxa"/>
            <w:gridSpan w:val="2"/>
            <w:vAlign w:val="center"/>
          </w:tcPr>
          <w:p>
            <w:pPr>
              <w:autoSpaceDE w:val="0"/>
              <w:autoSpaceDN w:val="0"/>
              <w:adjustRightIn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2.1.1</w:t>
            </w:r>
          </w:p>
        </w:tc>
        <w:tc>
          <w:tcPr>
            <w:tcW w:w="2317" w:type="dxa"/>
            <w:vAlign w:val="center"/>
          </w:tcPr>
          <w:p>
            <w:pPr>
              <w:autoSpaceDE w:val="0"/>
              <w:autoSpaceDN w:val="0"/>
              <w:adjustRightIn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构成招标文件的其他材料</w:t>
            </w:r>
          </w:p>
        </w:tc>
        <w:tc>
          <w:tcPr>
            <w:tcW w:w="6482" w:type="dxa"/>
            <w:vAlign w:val="center"/>
          </w:tcPr>
          <w:p>
            <w:pPr>
              <w:autoSpaceDE w:val="0"/>
              <w:autoSpaceDN w:val="0"/>
              <w:adjustRightInd w:val="0"/>
              <w:jc w:val="left"/>
              <w:rPr>
                <w:rFonts w:cs="宋体" w:asciiTheme="minorEastAsia" w:hAnsiTheme="minorEastAsia" w:eastAsiaTheme="minorEastAsia"/>
                <w:sz w:val="24"/>
              </w:rPr>
            </w:pPr>
            <w:r>
              <w:rPr>
                <w:rFonts w:hint="eastAsia" w:cs="宋体" w:asciiTheme="minorEastAsia" w:hAnsiTheme="minorEastAsia" w:eastAsiaTheme="minorEastAsia"/>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2.2.1</w:t>
            </w:r>
          </w:p>
        </w:tc>
        <w:tc>
          <w:tcPr>
            <w:tcW w:w="2317" w:type="dxa"/>
            <w:vAlign w:val="center"/>
          </w:tcPr>
          <w:p>
            <w:pPr>
              <w:spacing w:line="276" w:lineRule="auto"/>
              <w:jc w:val="center"/>
              <w:rPr>
                <w:rFonts w:asciiTheme="minorEastAsia" w:hAnsiTheme="minorEastAsia" w:eastAsiaTheme="minorEastAsia"/>
                <w:sz w:val="24"/>
              </w:rPr>
            </w:pPr>
            <w:r>
              <w:rPr>
                <w:rFonts w:hint="eastAsia" w:asciiTheme="minorEastAsia" w:hAnsiTheme="minorEastAsia" w:eastAsiaTheme="minorEastAsia"/>
                <w:sz w:val="24"/>
              </w:rPr>
              <w:t>投标人要求澄清招标文件的截止时间</w:t>
            </w:r>
          </w:p>
        </w:tc>
        <w:tc>
          <w:tcPr>
            <w:tcW w:w="6482" w:type="dxa"/>
            <w:vAlign w:val="center"/>
          </w:tcPr>
          <w:p>
            <w:pPr>
              <w:spacing w:line="276" w:lineRule="auto"/>
              <w:jc w:val="left"/>
              <w:rPr>
                <w:rFonts w:asciiTheme="minorEastAsia" w:hAnsiTheme="minorEastAsia" w:eastAsiaTheme="minorEastAsia"/>
                <w:sz w:val="24"/>
              </w:rPr>
            </w:pPr>
            <w:r>
              <w:rPr>
                <w:rFonts w:hint="eastAsia" w:asciiTheme="minorEastAsia" w:hAnsiTheme="minorEastAsia" w:eastAsiaTheme="minorEastAsia"/>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2.2.2</w:t>
            </w:r>
          </w:p>
        </w:tc>
        <w:tc>
          <w:tcPr>
            <w:tcW w:w="2317" w:type="dxa"/>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投标截止时间</w:t>
            </w:r>
          </w:p>
        </w:tc>
        <w:tc>
          <w:tcPr>
            <w:tcW w:w="6482" w:type="dxa"/>
            <w:vAlign w:val="center"/>
          </w:tcPr>
          <w:p>
            <w:pPr>
              <w:spacing w:line="500" w:lineRule="exact"/>
              <w:jc w:val="left"/>
              <w:rPr>
                <w:rFonts w:asciiTheme="minorEastAsia" w:hAnsiTheme="minorEastAsia" w:eastAsiaTheme="minorEastAsia"/>
                <w:color w:val="FF0000"/>
                <w:sz w:val="24"/>
              </w:rPr>
            </w:pPr>
            <w:r>
              <w:rPr>
                <w:rFonts w:hint="eastAsia" w:ascii="宋体" w:hAnsi="宋体"/>
                <w:color w:val="auto"/>
                <w:sz w:val="24"/>
              </w:rPr>
              <w:t>2020年</w:t>
            </w:r>
            <w:r>
              <w:rPr>
                <w:rFonts w:hint="eastAsia" w:ascii="宋体" w:hAnsi="宋体"/>
                <w:color w:val="auto"/>
                <w:sz w:val="24"/>
                <w:u w:val="single"/>
              </w:rPr>
              <w:t xml:space="preserve"> </w:t>
            </w:r>
            <w:r>
              <w:rPr>
                <w:rFonts w:hint="eastAsia" w:ascii="宋体" w:hAnsi="宋体"/>
                <w:color w:val="auto"/>
                <w:sz w:val="24"/>
                <w:u w:val="single"/>
                <w:lang w:val="en-US" w:eastAsia="zh-CN"/>
              </w:rPr>
              <w:t>2</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u w:val="single"/>
                <w:lang w:val="en-US" w:eastAsia="zh-CN"/>
              </w:rPr>
              <w:t>21</w:t>
            </w:r>
            <w:r>
              <w:rPr>
                <w:rFonts w:hint="eastAsia" w:ascii="宋体" w:hAnsi="宋体"/>
                <w:color w:val="auto"/>
                <w:sz w:val="24"/>
                <w:u w:val="single"/>
              </w:rPr>
              <w:t xml:space="preserve"> </w:t>
            </w:r>
            <w:r>
              <w:rPr>
                <w:rFonts w:hint="eastAsia" w:ascii="宋体" w:hAnsi="宋体"/>
                <w:color w:val="auto"/>
                <w:sz w:val="24"/>
              </w:rPr>
              <w:t>日</w:t>
            </w:r>
            <w:r>
              <w:rPr>
                <w:rFonts w:hint="eastAsia" w:ascii="宋体" w:hAnsi="宋体"/>
                <w:color w:val="auto"/>
                <w:sz w:val="24"/>
                <w:u w:val="single"/>
              </w:rPr>
              <w:t xml:space="preserve"> </w:t>
            </w:r>
            <w:r>
              <w:rPr>
                <w:rFonts w:hint="eastAsia" w:ascii="宋体" w:hAnsi="宋体"/>
                <w:color w:val="auto"/>
                <w:sz w:val="24"/>
                <w:u w:val="single"/>
                <w:lang w:val="en-US" w:eastAsia="zh-CN"/>
              </w:rPr>
              <w:t>09</w:t>
            </w:r>
            <w:r>
              <w:rPr>
                <w:rFonts w:hint="eastAsia" w:ascii="宋体" w:hAnsi="宋体"/>
                <w:color w:val="auto"/>
                <w:sz w:val="24"/>
                <w:u w:val="single"/>
              </w:rPr>
              <w:t xml:space="preserve"> </w:t>
            </w:r>
            <w:r>
              <w:rPr>
                <w:rFonts w:hint="eastAsia" w:ascii="宋体" w:hAnsi="宋体"/>
                <w:color w:val="auto"/>
                <w:sz w:val="24"/>
              </w:rPr>
              <w:t>时</w:t>
            </w:r>
            <w:r>
              <w:rPr>
                <w:rFonts w:hint="eastAsia" w:ascii="宋体" w:hAnsi="宋体"/>
                <w:color w:val="auto"/>
                <w:sz w:val="24"/>
                <w:u w:val="single"/>
              </w:rPr>
              <w:t xml:space="preserve"> </w:t>
            </w:r>
            <w:r>
              <w:rPr>
                <w:rFonts w:hint="eastAsia" w:ascii="宋体" w:hAnsi="宋体"/>
                <w:color w:val="auto"/>
                <w:sz w:val="24"/>
                <w:u w:val="single"/>
                <w:lang w:val="en-US" w:eastAsia="zh-CN"/>
              </w:rPr>
              <w:t>30</w:t>
            </w:r>
            <w:r>
              <w:rPr>
                <w:rFonts w:hint="eastAsia" w:ascii="宋体" w:hAnsi="宋体"/>
                <w:color w:val="auto"/>
                <w:sz w:val="24"/>
                <w:u w:val="single"/>
              </w:rPr>
              <w:t xml:space="preserve"> </w:t>
            </w:r>
            <w:r>
              <w:rPr>
                <w:rFonts w:hint="eastAsia" w:ascii="宋体" w:hAnsi="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2.2.3</w:t>
            </w:r>
          </w:p>
        </w:tc>
        <w:tc>
          <w:tcPr>
            <w:tcW w:w="2317"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投标人确认收到招标文件澄清的时间</w:t>
            </w:r>
          </w:p>
        </w:tc>
        <w:tc>
          <w:tcPr>
            <w:tcW w:w="6482" w:type="dxa"/>
            <w:vAlign w:val="center"/>
          </w:tcPr>
          <w:p>
            <w:pPr>
              <w:autoSpaceDE w:val="0"/>
              <w:autoSpaceDN w:val="0"/>
              <w:adjustRightInd w:val="0"/>
              <w:rPr>
                <w:rFonts w:asciiTheme="minorEastAsia" w:hAnsiTheme="minorEastAsia" w:eastAsiaTheme="minorEastAsia"/>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2.3.2</w:t>
            </w:r>
          </w:p>
        </w:tc>
        <w:tc>
          <w:tcPr>
            <w:tcW w:w="2317"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投标人确认收到招标文件修改的时间</w:t>
            </w:r>
          </w:p>
        </w:tc>
        <w:tc>
          <w:tcPr>
            <w:tcW w:w="6482" w:type="dxa"/>
            <w:vAlign w:val="center"/>
          </w:tcPr>
          <w:p>
            <w:pPr>
              <w:autoSpaceDE w:val="0"/>
              <w:autoSpaceDN w:val="0"/>
              <w:adjustRightInd w:val="0"/>
              <w:rPr>
                <w:rFonts w:asciiTheme="minorEastAsia" w:hAnsiTheme="minorEastAsia" w:eastAsiaTheme="minorEastAsia"/>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053" w:type="dxa"/>
            <w:gridSpan w:val="2"/>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3.1.1</w:t>
            </w:r>
          </w:p>
        </w:tc>
        <w:tc>
          <w:tcPr>
            <w:tcW w:w="2317"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构成投标文件的其他材料</w:t>
            </w:r>
          </w:p>
        </w:tc>
        <w:tc>
          <w:tcPr>
            <w:tcW w:w="6482" w:type="dxa"/>
            <w:vAlign w:val="center"/>
          </w:tcPr>
          <w:p>
            <w:pPr>
              <w:jc w:val="left"/>
              <w:rPr>
                <w:rFonts w:asciiTheme="minorEastAsia" w:hAnsiTheme="minorEastAsia" w:eastAsiaTheme="minorEastAsia"/>
                <w:sz w:val="24"/>
              </w:rPr>
            </w:pPr>
            <w:r>
              <w:rPr>
                <w:rFonts w:hint="eastAsia" w:asciiTheme="minorEastAsia" w:hAnsiTheme="minorEastAsia" w:eastAsiaTheme="minorEastAsia"/>
                <w:sz w:val="24"/>
              </w:rPr>
              <w:t>（1）投标人认为其它需要补充的内容</w:t>
            </w:r>
          </w:p>
          <w:p>
            <w:pPr>
              <w:jc w:val="left"/>
              <w:rPr>
                <w:rFonts w:asciiTheme="minorEastAsia" w:hAnsiTheme="minorEastAsia" w:eastAsiaTheme="minorEastAsia"/>
                <w:b/>
                <w:sz w:val="24"/>
              </w:rPr>
            </w:pPr>
            <w:r>
              <w:rPr>
                <w:rFonts w:hint="eastAsia" w:asciiTheme="minorEastAsia" w:hAnsiTheme="minorEastAsia" w:eastAsiaTheme="minorEastAsia"/>
                <w:sz w:val="24"/>
              </w:rPr>
              <w:t>（2）本项目所发出的补遗书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053" w:type="dxa"/>
            <w:gridSpan w:val="2"/>
            <w:vAlign w:val="center"/>
          </w:tcPr>
          <w:p>
            <w:pPr>
              <w:jc w:val="center"/>
              <w:rPr>
                <w:rFonts w:cs="仿宋" w:asciiTheme="minorEastAsia" w:hAnsiTheme="minorEastAsia" w:eastAsiaTheme="minorEastAsia"/>
                <w:sz w:val="24"/>
              </w:rPr>
            </w:pPr>
            <w:r>
              <w:rPr>
                <w:rFonts w:hint="eastAsia" w:cs="仿宋" w:asciiTheme="minorEastAsia" w:hAnsiTheme="minorEastAsia" w:eastAsiaTheme="minorEastAsia"/>
                <w:sz w:val="24"/>
              </w:rPr>
              <w:t>3.2.1</w:t>
            </w:r>
          </w:p>
        </w:tc>
        <w:tc>
          <w:tcPr>
            <w:tcW w:w="2317" w:type="dxa"/>
            <w:vAlign w:val="center"/>
          </w:tcPr>
          <w:p>
            <w:pPr>
              <w:adjustRightInd w:val="0"/>
              <w:snapToGrid w:val="0"/>
              <w:jc w:val="center"/>
              <w:rPr>
                <w:rFonts w:cs="仿宋" w:asciiTheme="minorEastAsia" w:hAnsiTheme="minorEastAsia" w:eastAsiaTheme="minorEastAsia"/>
                <w:sz w:val="24"/>
              </w:rPr>
            </w:pPr>
            <w:r>
              <w:rPr>
                <w:rFonts w:hint="eastAsia" w:cs="仿宋" w:asciiTheme="minorEastAsia" w:hAnsiTheme="minorEastAsia" w:eastAsiaTheme="minorEastAsia"/>
                <w:sz w:val="24"/>
              </w:rPr>
              <w:t>增值税税金的计算方法</w:t>
            </w:r>
          </w:p>
        </w:tc>
        <w:tc>
          <w:tcPr>
            <w:tcW w:w="6482" w:type="dxa"/>
            <w:vAlign w:val="center"/>
          </w:tcPr>
          <w:p>
            <w:pPr>
              <w:adjustRightInd w:val="0"/>
              <w:snapToGrid w:val="0"/>
              <w:ind w:firstLine="240" w:firstLineChars="100"/>
              <w:jc w:val="left"/>
              <w:rPr>
                <w:rFonts w:cs="仿宋" w:asciiTheme="minorEastAsia" w:hAnsiTheme="minorEastAsia" w:eastAsiaTheme="minorEastAsia"/>
                <w:sz w:val="24"/>
              </w:rPr>
            </w:pPr>
            <w:r>
              <w:rPr>
                <w:rFonts w:hint="eastAsia" w:cs="仿宋" w:asciiTheme="minorEastAsia" w:hAnsiTheme="minorEastAsia" w:eastAsiaTheme="minorEastAsia"/>
                <w:sz w:val="24"/>
              </w:rPr>
              <w:t>一般计税方法计算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1053" w:type="dxa"/>
            <w:gridSpan w:val="2"/>
            <w:tcBorders>
              <w:bottom w:val="single" w:color="auto" w:sz="4" w:space="0"/>
            </w:tcBorders>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3.2.9</w:t>
            </w:r>
          </w:p>
        </w:tc>
        <w:tc>
          <w:tcPr>
            <w:tcW w:w="2317" w:type="dxa"/>
            <w:tcBorders>
              <w:bottom w:val="single" w:color="auto" w:sz="4" w:space="0"/>
            </w:tcBorders>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是否接受调价函</w:t>
            </w:r>
          </w:p>
        </w:tc>
        <w:tc>
          <w:tcPr>
            <w:tcW w:w="6482" w:type="dxa"/>
            <w:tcBorders>
              <w:bottom w:val="single" w:color="auto" w:sz="4" w:space="0"/>
            </w:tcBorders>
            <w:vAlign w:val="center"/>
          </w:tcPr>
          <w:p>
            <w:pPr>
              <w:spacing w:line="500" w:lineRule="exact"/>
              <w:jc w:val="left"/>
              <w:rPr>
                <w:rFonts w:asciiTheme="minorEastAsia" w:hAnsiTheme="minorEastAsia" w:eastAsiaTheme="minorEastAsia"/>
                <w:sz w:val="24"/>
              </w:rPr>
            </w:pPr>
            <w:r>
              <w:rPr>
                <w:rFonts w:hint="eastAsia" w:asciiTheme="minorEastAsia" w:hAnsiTheme="minorEastAsia" w:eastAsiaTheme="minorEastAsia"/>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1053" w:type="dxa"/>
            <w:gridSpan w:val="2"/>
            <w:tcBorders>
              <w:bottom w:val="single" w:color="auto" w:sz="4" w:space="0"/>
            </w:tcBorders>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3.3.1</w:t>
            </w:r>
          </w:p>
        </w:tc>
        <w:tc>
          <w:tcPr>
            <w:tcW w:w="2317" w:type="dxa"/>
            <w:tcBorders>
              <w:bottom w:val="single" w:color="auto" w:sz="4" w:space="0"/>
            </w:tcBorders>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投标有效期</w:t>
            </w:r>
          </w:p>
        </w:tc>
        <w:tc>
          <w:tcPr>
            <w:tcW w:w="6482" w:type="dxa"/>
            <w:tcBorders>
              <w:bottom w:val="single" w:color="auto" w:sz="4" w:space="0"/>
            </w:tcBorders>
            <w:vAlign w:val="center"/>
          </w:tcPr>
          <w:p>
            <w:pPr>
              <w:spacing w:line="500" w:lineRule="exact"/>
              <w:jc w:val="left"/>
              <w:rPr>
                <w:rFonts w:asciiTheme="minorEastAsia" w:hAnsiTheme="minorEastAsia" w:eastAsiaTheme="minorEastAsia"/>
                <w:sz w:val="24"/>
              </w:rPr>
            </w:pPr>
            <w:r>
              <w:rPr>
                <w:rFonts w:hint="eastAsia" w:asciiTheme="minorEastAsia" w:hAnsiTheme="minorEastAsia" w:eastAsiaTheme="minorEastAsia"/>
                <w:sz w:val="24"/>
              </w:rPr>
              <w:t>投标截止时间起60日历天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1053" w:type="dxa"/>
            <w:gridSpan w:val="2"/>
            <w:tcBorders>
              <w:bottom w:val="single" w:color="auto" w:sz="4" w:space="0"/>
            </w:tcBorders>
            <w:vAlign w:val="center"/>
          </w:tcPr>
          <w:p>
            <w:pPr>
              <w:autoSpaceDE w:val="0"/>
              <w:autoSpaceDN w:val="0"/>
              <w:adjustRightInd w:val="0"/>
              <w:spacing w:line="420" w:lineRule="exact"/>
              <w:jc w:val="center"/>
              <w:rPr>
                <w:rFonts w:cs="黑体" w:asciiTheme="minorEastAsia" w:hAnsiTheme="minorEastAsia" w:eastAsiaTheme="minorEastAsia"/>
                <w:sz w:val="24"/>
              </w:rPr>
            </w:pPr>
            <w:r>
              <w:rPr>
                <w:rFonts w:cs="TimesNewRomanPSMT" w:asciiTheme="minorEastAsia" w:hAnsiTheme="minorEastAsia" w:eastAsiaTheme="minorEastAsia"/>
                <w:sz w:val="24"/>
              </w:rPr>
              <w:t>3.4.1</w:t>
            </w:r>
          </w:p>
        </w:tc>
        <w:tc>
          <w:tcPr>
            <w:tcW w:w="2317" w:type="dxa"/>
            <w:tcBorders>
              <w:bottom w:val="single" w:color="auto" w:sz="4" w:space="0"/>
            </w:tcBorders>
            <w:vAlign w:val="center"/>
          </w:tcPr>
          <w:p>
            <w:pPr>
              <w:autoSpaceDE w:val="0"/>
              <w:autoSpaceDN w:val="0"/>
              <w:adjustRightInd w:val="0"/>
              <w:spacing w:line="340" w:lineRule="exact"/>
              <w:jc w:val="center"/>
              <w:rPr>
                <w:rFonts w:cs="黑体" w:asciiTheme="minorEastAsia" w:hAnsiTheme="minorEastAsia" w:eastAsiaTheme="minorEastAsia"/>
                <w:sz w:val="24"/>
              </w:rPr>
            </w:pPr>
            <w:r>
              <w:rPr>
                <w:rFonts w:hint="eastAsia" w:cs="仿宋_GB2312" w:asciiTheme="minorEastAsia" w:hAnsiTheme="minorEastAsia" w:eastAsiaTheme="minorEastAsia"/>
                <w:sz w:val="24"/>
              </w:rPr>
              <w:t>投标保证金</w:t>
            </w:r>
          </w:p>
        </w:tc>
        <w:tc>
          <w:tcPr>
            <w:tcW w:w="6482" w:type="dxa"/>
            <w:tcBorders>
              <w:bottom w:val="single" w:color="auto" w:sz="4" w:space="0"/>
            </w:tcBorders>
            <w:vAlign w:val="center"/>
          </w:tcPr>
          <w:p>
            <w:pPr>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见附件一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jc w:val="center"/>
        </w:trPr>
        <w:tc>
          <w:tcPr>
            <w:tcW w:w="1053" w:type="dxa"/>
            <w:gridSpan w:val="2"/>
            <w:tcBorders>
              <w:bottom w:val="single" w:color="auto" w:sz="4" w:space="0"/>
            </w:tcBorders>
            <w:vAlign w:val="center"/>
          </w:tcPr>
          <w:p>
            <w:pPr>
              <w:autoSpaceDE w:val="0"/>
              <w:autoSpaceDN w:val="0"/>
              <w:adjustRightIn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3.5.2</w:t>
            </w:r>
          </w:p>
        </w:tc>
        <w:tc>
          <w:tcPr>
            <w:tcW w:w="2317" w:type="dxa"/>
            <w:tcBorders>
              <w:bottom w:val="single" w:color="auto" w:sz="4" w:space="0"/>
            </w:tcBorders>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近年财务状况的年份要求</w:t>
            </w:r>
          </w:p>
        </w:tc>
        <w:tc>
          <w:tcPr>
            <w:tcW w:w="6482" w:type="dxa"/>
            <w:tcBorders>
              <w:bottom w:val="single" w:color="auto" w:sz="4" w:space="0"/>
            </w:tcBorders>
            <w:vAlign w:val="center"/>
          </w:tcPr>
          <w:p>
            <w:pPr>
              <w:autoSpaceDE w:val="0"/>
              <w:autoSpaceDN w:val="0"/>
              <w:adjustRightInd w:val="0"/>
              <w:jc w:val="left"/>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近年，指201</w:t>
            </w:r>
            <w:r>
              <w:rPr>
                <w:rFonts w:hint="eastAsia" w:cs="宋体" w:asciiTheme="minorEastAsia" w:hAnsiTheme="minorEastAsia" w:eastAsiaTheme="minorEastAsia"/>
                <w:sz w:val="24"/>
              </w:rPr>
              <w:t>6</w:t>
            </w:r>
            <w:r>
              <w:rPr>
                <w:rFonts w:hint="eastAsia" w:cs="宋体" w:asciiTheme="minorEastAsia" w:hAnsiTheme="minorEastAsia" w:eastAsiaTheme="minorEastAsia"/>
                <w:sz w:val="24"/>
                <w:lang w:val="zh-CN"/>
              </w:rPr>
              <w:t>、201</w:t>
            </w:r>
            <w:r>
              <w:rPr>
                <w:rFonts w:hint="eastAsia" w:cs="宋体" w:asciiTheme="minorEastAsia" w:hAnsiTheme="minorEastAsia" w:eastAsiaTheme="minorEastAsia"/>
                <w:sz w:val="24"/>
              </w:rPr>
              <w:t>7</w:t>
            </w:r>
            <w:r>
              <w:rPr>
                <w:rFonts w:hint="eastAsia" w:cs="宋体" w:asciiTheme="minorEastAsia" w:hAnsiTheme="minorEastAsia" w:eastAsiaTheme="minorEastAsia"/>
                <w:sz w:val="24"/>
                <w:lang w:val="zh-CN"/>
              </w:rPr>
              <w:t>、201</w:t>
            </w:r>
            <w:r>
              <w:rPr>
                <w:rFonts w:hint="eastAsia" w:cs="宋体" w:asciiTheme="minorEastAsia" w:hAnsiTheme="minorEastAsia" w:eastAsiaTheme="minorEastAsia"/>
                <w:sz w:val="24"/>
              </w:rPr>
              <w:t>8</w:t>
            </w:r>
            <w:r>
              <w:rPr>
                <w:rFonts w:hint="eastAsia" w:cs="宋体" w:asciiTheme="minorEastAsia" w:hAnsiTheme="minorEastAsia" w:eastAsiaTheme="minorEastAsia"/>
                <w:sz w:val="24"/>
                <w:lang w:val="zh-CN"/>
              </w:rPr>
              <w:t>年（若公司成立未满三年，须提供成立当年至今的财务报告）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1053" w:type="dxa"/>
            <w:gridSpan w:val="2"/>
            <w:tcBorders>
              <w:bottom w:val="single" w:color="auto" w:sz="4" w:space="0"/>
            </w:tcBorders>
            <w:vAlign w:val="center"/>
          </w:tcPr>
          <w:p>
            <w:pPr>
              <w:autoSpaceDE w:val="0"/>
              <w:autoSpaceDN w:val="0"/>
              <w:adjustRightIn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3.5.3</w:t>
            </w:r>
          </w:p>
        </w:tc>
        <w:tc>
          <w:tcPr>
            <w:tcW w:w="2317" w:type="dxa"/>
            <w:tcBorders>
              <w:bottom w:val="single" w:color="auto" w:sz="4" w:space="0"/>
            </w:tcBorders>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近年完成的类似项目的年份要求</w:t>
            </w:r>
          </w:p>
        </w:tc>
        <w:tc>
          <w:tcPr>
            <w:tcW w:w="6482" w:type="dxa"/>
            <w:tcBorders>
              <w:bottom w:val="single" w:color="auto" w:sz="4" w:space="0"/>
            </w:tcBorders>
            <w:vAlign w:val="center"/>
          </w:tcPr>
          <w:p>
            <w:pPr>
              <w:autoSpaceDE w:val="0"/>
              <w:autoSpaceDN w:val="0"/>
              <w:adjustRightInd w:val="0"/>
              <w:jc w:val="left"/>
              <w:rPr>
                <w:rFonts w:cs="宋体" w:asciiTheme="minorEastAsia" w:hAnsiTheme="minorEastAsia" w:eastAsiaTheme="minorEastAsia"/>
                <w:sz w:val="24"/>
              </w:rPr>
            </w:pPr>
            <w:r>
              <w:rPr>
                <w:rFonts w:hint="eastAsia" w:cs="宋体" w:asciiTheme="minorEastAsia" w:hAnsiTheme="minorEastAsia" w:eastAsiaTheme="minorEastAsia"/>
                <w:sz w:val="24"/>
              </w:rPr>
              <w:t>近年，指2017年1月1日至今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exact"/>
          <w:jc w:val="center"/>
        </w:trPr>
        <w:tc>
          <w:tcPr>
            <w:tcW w:w="1053" w:type="dxa"/>
            <w:gridSpan w:val="2"/>
            <w:tcBorders>
              <w:bottom w:val="single" w:color="auto" w:sz="4" w:space="0"/>
            </w:tcBorders>
            <w:vAlign w:val="center"/>
          </w:tcPr>
          <w:p>
            <w:pPr>
              <w:autoSpaceDE w:val="0"/>
              <w:autoSpaceDN w:val="0"/>
              <w:adjustRightInd w:val="0"/>
              <w:jc w:val="center"/>
              <w:rPr>
                <w:rFonts w:cs="宋体" w:asciiTheme="minorEastAsia" w:hAnsiTheme="minorEastAsia" w:eastAsiaTheme="minorEastAsia"/>
                <w:sz w:val="24"/>
              </w:rPr>
            </w:pPr>
            <w:r>
              <w:rPr>
                <w:rFonts w:hint="eastAsia" w:cs="宋体" w:asciiTheme="minorEastAsia" w:hAnsiTheme="minorEastAsia" w:eastAsiaTheme="minorEastAsia"/>
                <w:sz w:val="24"/>
              </w:rPr>
              <w:t>3.5.5</w:t>
            </w:r>
          </w:p>
        </w:tc>
        <w:tc>
          <w:tcPr>
            <w:tcW w:w="2317" w:type="dxa"/>
            <w:tcBorders>
              <w:bottom w:val="single" w:color="auto" w:sz="4" w:space="0"/>
            </w:tcBorders>
            <w:vAlign w:val="center"/>
          </w:tcPr>
          <w:p>
            <w:pPr>
              <w:autoSpaceDE w:val="0"/>
              <w:autoSpaceDN w:val="0"/>
              <w:adjustRightInd w:val="0"/>
              <w:jc w:val="center"/>
              <w:rPr>
                <w:rFonts w:cs="宋体" w:asciiTheme="minorEastAsia" w:hAnsiTheme="minorEastAsia" w:eastAsiaTheme="minorEastAsia"/>
                <w:spacing w:val="-4"/>
                <w:sz w:val="24"/>
              </w:rPr>
            </w:pPr>
            <w:r>
              <w:rPr>
                <w:rFonts w:hint="eastAsia" w:cs="宋体" w:asciiTheme="minorEastAsia" w:hAnsiTheme="minorEastAsia" w:eastAsiaTheme="minorEastAsia"/>
                <w:spacing w:val="-4"/>
                <w:sz w:val="24"/>
              </w:rPr>
              <w:t>近年发生的诉讼及仲裁情况的年份要求</w:t>
            </w:r>
          </w:p>
        </w:tc>
        <w:tc>
          <w:tcPr>
            <w:tcW w:w="6482" w:type="dxa"/>
            <w:tcBorders>
              <w:bottom w:val="single" w:color="auto" w:sz="4" w:space="0"/>
            </w:tcBorders>
            <w:vAlign w:val="center"/>
          </w:tcPr>
          <w:p>
            <w:pPr>
              <w:autoSpaceDE w:val="0"/>
              <w:autoSpaceDN w:val="0"/>
              <w:adjustRightInd w:val="0"/>
              <w:jc w:val="left"/>
              <w:rPr>
                <w:rFonts w:cs="宋体" w:asciiTheme="minorEastAsia" w:hAnsiTheme="minorEastAsia" w:eastAsiaTheme="minorEastAsia"/>
                <w:sz w:val="24"/>
              </w:rPr>
            </w:pPr>
            <w:r>
              <w:rPr>
                <w:rFonts w:hint="eastAsia" w:cs="宋体" w:asciiTheme="minorEastAsia" w:hAnsiTheme="minorEastAsia" w:eastAsiaTheme="minorEastAsia"/>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053" w:type="dxa"/>
            <w:gridSpan w:val="2"/>
            <w:tcBorders>
              <w:top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3.6.1</w:t>
            </w:r>
          </w:p>
        </w:tc>
        <w:tc>
          <w:tcPr>
            <w:tcW w:w="2317" w:type="dxa"/>
            <w:tcBorders>
              <w:top w:val="single" w:color="auto" w:sz="4" w:space="0"/>
            </w:tcBorders>
            <w:vAlign w:val="center"/>
          </w:tcPr>
          <w:p>
            <w:pPr>
              <w:ind w:left="5" w:leftChars="-67" w:right="-107" w:rightChars="-51" w:hanging="146" w:hangingChars="61"/>
              <w:jc w:val="center"/>
              <w:rPr>
                <w:rFonts w:asciiTheme="minorEastAsia" w:hAnsiTheme="minorEastAsia" w:eastAsiaTheme="minorEastAsia"/>
                <w:sz w:val="24"/>
              </w:rPr>
            </w:pPr>
            <w:r>
              <w:rPr>
                <w:rFonts w:hint="eastAsia" w:asciiTheme="minorEastAsia" w:hAnsiTheme="minorEastAsia" w:eastAsiaTheme="minorEastAsia"/>
                <w:sz w:val="24"/>
              </w:rPr>
              <w:t>是否允许递交备选投标方案</w:t>
            </w:r>
          </w:p>
        </w:tc>
        <w:tc>
          <w:tcPr>
            <w:tcW w:w="6482" w:type="dxa"/>
            <w:tcBorders>
              <w:top w:val="single" w:color="auto" w:sz="4" w:space="0"/>
            </w:tcBorders>
            <w:vAlign w:val="center"/>
          </w:tcPr>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exact"/>
          <w:jc w:val="center"/>
        </w:trPr>
        <w:tc>
          <w:tcPr>
            <w:tcW w:w="1053" w:type="dxa"/>
            <w:gridSpan w:val="2"/>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3.7.3</w:t>
            </w:r>
          </w:p>
        </w:tc>
        <w:tc>
          <w:tcPr>
            <w:tcW w:w="231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签字或盖章要求</w:t>
            </w:r>
          </w:p>
        </w:tc>
        <w:tc>
          <w:tcPr>
            <w:tcW w:w="6482" w:type="dxa"/>
            <w:vAlign w:val="center"/>
          </w:tcPr>
          <w:p>
            <w:pPr>
              <w:jc w:val="left"/>
              <w:rPr>
                <w:rFonts w:asciiTheme="minorEastAsia" w:hAnsiTheme="minorEastAsia" w:eastAsiaTheme="minorEastAsia"/>
                <w:sz w:val="24"/>
              </w:rPr>
            </w:pPr>
            <w:r>
              <w:rPr>
                <w:rFonts w:hint="eastAsia" w:asciiTheme="minorEastAsia" w:hAnsiTheme="minorEastAsia" w:eastAsiaTheme="minorEastAsia"/>
                <w:sz w:val="24"/>
                <w:szCs w:val="28"/>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1053" w:type="dxa"/>
            <w:gridSpan w:val="2"/>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3.7.4</w:t>
            </w:r>
          </w:p>
        </w:tc>
        <w:tc>
          <w:tcPr>
            <w:tcW w:w="231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投标文件份数</w:t>
            </w:r>
          </w:p>
        </w:tc>
        <w:tc>
          <w:tcPr>
            <w:tcW w:w="6482" w:type="dxa"/>
            <w:vAlign w:val="center"/>
          </w:tcPr>
          <w:p>
            <w:pPr>
              <w:spacing w:line="360" w:lineRule="auto"/>
              <w:jc w:val="left"/>
              <w:rPr>
                <w:rFonts w:asciiTheme="minorEastAsia" w:hAnsiTheme="minorEastAsia" w:eastAsiaTheme="minorEastAsia"/>
                <w:sz w:val="24"/>
                <w:szCs w:val="28"/>
              </w:rPr>
            </w:pPr>
            <w:r>
              <w:rPr>
                <w:rFonts w:hint="eastAsia" w:asciiTheme="minorEastAsia" w:hAnsiTheme="minorEastAsia" w:eastAsiaTheme="minorEastAsia"/>
                <w:sz w:val="24"/>
                <w:szCs w:val="28"/>
              </w:rPr>
              <w:t>1、电子投标文件</w:t>
            </w:r>
          </w:p>
          <w:p>
            <w:pPr>
              <w:spacing w:line="360" w:lineRule="auto"/>
              <w:jc w:val="left"/>
              <w:rPr>
                <w:rFonts w:asciiTheme="minorEastAsia" w:hAnsiTheme="minorEastAsia" w:eastAsiaTheme="minorEastAsia"/>
                <w:sz w:val="24"/>
                <w:szCs w:val="28"/>
              </w:rPr>
            </w:pPr>
            <w:r>
              <w:rPr>
                <w:rFonts w:hint="eastAsia" w:asciiTheme="minorEastAsia" w:hAnsiTheme="minorEastAsia" w:eastAsiaTheme="minorEastAsia"/>
                <w:sz w:val="24"/>
                <w:szCs w:val="28"/>
              </w:rPr>
              <w:t>（1）成功上传至【全国公共资源交易平台（河南省·许昌市）】公共资源交易系统电子投标文件1份（文件格式为：XX公司XXX项目编号.file）。</w:t>
            </w:r>
          </w:p>
          <w:p>
            <w:pPr>
              <w:spacing w:line="360" w:lineRule="auto"/>
              <w:jc w:val="left"/>
              <w:rPr>
                <w:rFonts w:asciiTheme="minorEastAsia" w:hAnsiTheme="minorEastAsia" w:eastAsiaTheme="minorEastAsia"/>
                <w:sz w:val="24"/>
                <w:szCs w:val="28"/>
              </w:rPr>
            </w:pPr>
            <w:r>
              <w:rPr>
                <w:rFonts w:hint="eastAsia" w:asciiTheme="minorEastAsia" w:hAnsiTheme="minorEastAsia" w:eastAsiaTheme="minorEastAsia"/>
                <w:sz w:val="24"/>
                <w:szCs w:val="28"/>
              </w:rPr>
              <w:t>（2）存储有投标文件的电子介质（第一信封，第二信封各2份）；第一信封电子介质</w:t>
            </w:r>
            <w:r>
              <w:rPr>
                <w:rFonts w:hint="eastAsia" w:cs="宋体" w:asciiTheme="minorEastAsia" w:hAnsiTheme="minorEastAsia" w:eastAsiaTheme="minorEastAsia"/>
                <w:sz w:val="24"/>
                <w:lang w:val="en-US" w:eastAsia="zh-CN"/>
              </w:rPr>
              <w:t>U盘</w:t>
            </w:r>
            <w:r>
              <w:rPr>
                <w:rFonts w:hint="eastAsia" w:asciiTheme="minorEastAsia" w:hAnsiTheme="minorEastAsia" w:eastAsiaTheme="minorEastAsia"/>
                <w:sz w:val="24"/>
                <w:szCs w:val="28"/>
              </w:rPr>
              <w:t>中存储有非报价部分PDF文件和bin文件；第二信封电子介质</w:t>
            </w:r>
            <w:r>
              <w:rPr>
                <w:rFonts w:hint="eastAsia" w:cs="宋体" w:asciiTheme="minorEastAsia" w:hAnsiTheme="minorEastAsia" w:eastAsiaTheme="minorEastAsia"/>
                <w:sz w:val="24"/>
                <w:lang w:val="en-US" w:eastAsia="zh-CN"/>
              </w:rPr>
              <w:t>U盘</w:t>
            </w:r>
            <w:r>
              <w:rPr>
                <w:rFonts w:hint="eastAsia" w:asciiTheme="minorEastAsia" w:hAnsiTheme="minorEastAsia" w:eastAsiaTheme="minorEastAsia"/>
                <w:sz w:val="24"/>
                <w:szCs w:val="28"/>
              </w:rPr>
              <w:t>中存储有报价部分PDF文件。</w:t>
            </w:r>
          </w:p>
          <w:p>
            <w:pPr>
              <w:spacing w:line="360" w:lineRule="auto"/>
              <w:jc w:val="left"/>
              <w:rPr>
                <w:rFonts w:asciiTheme="minorEastAsia" w:hAnsiTheme="minorEastAsia" w:eastAsiaTheme="minorEastAsia"/>
                <w:sz w:val="24"/>
                <w:szCs w:val="28"/>
              </w:rPr>
            </w:pPr>
            <w:r>
              <w:rPr>
                <w:rFonts w:hint="eastAsia" w:asciiTheme="minorEastAsia" w:hAnsiTheme="minorEastAsia" w:eastAsiaTheme="minorEastAsia"/>
                <w:b/>
                <w:bCs/>
                <w:sz w:val="24"/>
                <w:szCs w:val="28"/>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exact"/>
          <w:jc w:val="center"/>
        </w:trPr>
        <w:tc>
          <w:tcPr>
            <w:tcW w:w="1053" w:type="dxa"/>
            <w:gridSpan w:val="2"/>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3.7.5</w:t>
            </w:r>
          </w:p>
        </w:tc>
        <w:tc>
          <w:tcPr>
            <w:tcW w:w="2317" w:type="dxa"/>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密封标记的其他要求</w:t>
            </w:r>
          </w:p>
        </w:tc>
        <w:tc>
          <w:tcPr>
            <w:tcW w:w="6482" w:type="dxa"/>
            <w:vAlign w:val="center"/>
          </w:tcPr>
          <w:p>
            <w:pPr>
              <w:jc w:val="left"/>
              <w:rPr>
                <w:rFonts w:asciiTheme="minorEastAsia" w:hAnsiTheme="minorEastAsia" w:eastAsiaTheme="minorEastAsia"/>
                <w:sz w:val="24"/>
                <w:highlight w:val="yellow"/>
              </w:rPr>
            </w:pPr>
            <w:r>
              <w:rPr>
                <w:rFonts w:hint="eastAsia" w:asciiTheme="minorEastAsia" w:hAnsiTheme="minorEastAsia" w:eastAsiaTheme="minorEastAsia"/>
                <w:sz w:val="24"/>
                <w:szCs w:val="28"/>
              </w:rPr>
              <w:t>使用电子介质存储的投标文件第一信封和第二信封各2份</w:t>
            </w:r>
            <w:r>
              <w:rPr>
                <w:rFonts w:hint="eastAsia" w:asciiTheme="minorEastAsia" w:hAnsiTheme="minorEastAsia" w:eastAsiaTheme="minorEastAsia"/>
                <w:sz w:val="24"/>
                <w:szCs w:val="28"/>
                <w:lang w:eastAsia="zh-CN"/>
              </w:rPr>
              <w:t>，分开</w:t>
            </w:r>
            <w:r>
              <w:rPr>
                <w:rFonts w:hint="eastAsia" w:asciiTheme="minorEastAsia" w:hAnsiTheme="minorEastAsia" w:eastAsiaTheme="minorEastAsia"/>
                <w:sz w:val="24"/>
                <w:szCs w:val="28"/>
              </w:rPr>
              <w:t>单独密封、盖章。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44" w:hRule="atLeast"/>
          <w:jc w:val="center"/>
        </w:trPr>
        <w:tc>
          <w:tcPr>
            <w:tcW w:w="1053" w:type="dxa"/>
            <w:gridSpan w:val="2"/>
            <w:tcBorders>
              <w:lef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4.1.2</w:t>
            </w:r>
          </w:p>
        </w:tc>
        <w:tc>
          <w:tcPr>
            <w:tcW w:w="2317"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封套上</w:t>
            </w:r>
            <w:r>
              <w:rPr>
                <w:rFonts w:hint="eastAsia" w:ascii="宋体" w:hAnsi="宋体"/>
                <w:sz w:val="24"/>
              </w:rPr>
              <w:t>应载明的信息</w:t>
            </w:r>
          </w:p>
        </w:tc>
        <w:tc>
          <w:tcPr>
            <w:tcW w:w="6482" w:type="dxa"/>
            <w:tcBorders>
              <w:right w:val="single" w:color="auto" w:sz="4" w:space="0"/>
            </w:tcBorders>
            <w:vAlign w:val="center"/>
          </w:tcPr>
          <w:p>
            <w:pPr>
              <w:spacing w:line="276" w:lineRule="auto"/>
              <w:ind w:left="113" w:right="113"/>
              <w:jc w:val="left"/>
              <w:rPr>
                <w:rFonts w:asciiTheme="minorEastAsia" w:hAnsiTheme="minorEastAsia" w:eastAsiaTheme="minorEastAsia"/>
                <w:sz w:val="24"/>
              </w:rPr>
            </w:pPr>
            <w:r>
              <w:rPr>
                <w:rFonts w:hint="eastAsia" w:asciiTheme="minorEastAsia" w:hAnsiTheme="minorEastAsia" w:eastAsiaTheme="minorEastAsia"/>
                <w:sz w:val="24"/>
              </w:rPr>
              <w:t>投标文件第一个信封（商务及技术文件）封套：</w:t>
            </w:r>
          </w:p>
          <w:p>
            <w:pPr>
              <w:spacing w:line="276" w:lineRule="auto"/>
              <w:ind w:left="113" w:right="113"/>
              <w:jc w:val="left"/>
              <w:rPr>
                <w:rFonts w:asciiTheme="minorEastAsia" w:hAnsiTheme="minorEastAsia" w:eastAsiaTheme="minorEastAsia"/>
                <w:sz w:val="24"/>
              </w:rPr>
            </w:pPr>
            <w:r>
              <w:rPr>
                <w:rFonts w:hint="eastAsia" w:asciiTheme="minorEastAsia" w:hAnsiTheme="minorEastAsia" w:eastAsiaTheme="minorEastAsia"/>
                <w:sz w:val="24"/>
              </w:rPr>
              <w:t>招标人名称：</w:t>
            </w:r>
          </w:p>
          <w:p>
            <w:pPr>
              <w:spacing w:line="276" w:lineRule="auto"/>
              <w:ind w:left="113" w:right="113"/>
              <w:jc w:val="left"/>
              <w:rPr>
                <w:rFonts w:asciiTheme="minorEastAsia" w:hAnsiTheme="minorEastAsia" w:eastAsiaTheme="minorEastAsia"/>
                <w:sz w:val="24"/>
              </w:rPr>
            </w:pPr>
            <w:r>
              <w:rPr>
                <w:rFonts w:hint="eastAsia" w:asciiTheme="minorEastAsia" w:hAnsiTheme="minorEastAsia" w:eastAsiaTheme="minorEastAsia"/>
                <w:sz w:val="24"/>
              </w:rPr>
              <w:t>招标人地址：</w:t>
            </w:r>
          </w:p>
          <w:p>
            <w:pPr>
              <w:spacing w:line="276" w:lineRule="auto"/>
              <w:ind w:left="113" w:right="113"/>
              <w:jc w:val="left"/>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仿宋" w:hAnsi="仿宋" w:eastAsia="仿宋" w:cs="仿宋"/>
                <w:sz w:val="24"/>
                <w:u w:val="single" w:color="000000"/>
              </w:rPr>
              <w:t xml:space="preserve">         </w:t>
            </w:r>
            <w:r>
              <w:rPr>
                <w:rFonts w:hint="eastAsia" w:asciiTheme="minorEastAsia" w:hAnsiTheme="minorEastAsia" w:eastAsiaTheme="minorEastAsia"/>
                <w:sz w:val="24"/>
              </w:rPr>
              <w:t>（项目名称）施工招标第一个信封</w:t>
            </w:r>
          </w:p>
          <w:p>
            <w:pPr>
              <w:spacing w:line="276" w:lineRule="auto"/>
              <w:ind w:left="113" w:right="113"/>
              <w:jc w:val="left"/>
              <w:rPr>
                <w:rFonts w:asciiTheme="minorEastAsia" w:hAnsiTheme="minorEastAsia" w:eastAsiaTheme="minorEastAsia"/>
                <w:sz w:val="24"/>
              </w:rPr>
            </w:pPr>
            <w:r>
              <w:rPr>
                <w:rFonts w:hint="eastAsia" w:asciiTheme="minorEastAsia" w:hAnsiTheme="minorEastAsia" w:eastAsiaTheme="minorEastAsia"/>
                <w:sz w:val="24"/>
              </w:rPr>
              <w:t>（商务及技术文件）投标文件</w:t>
            </w:r>
          </w:p>
          <w:p>
            <w:pPr>
              <w:spacing w:line="276" w:lineRule="auto"/>
              <w:ind w:left="113" w:right="113"/>
              <w:jc w:val="left"/>
              <w:rPr>
                <w:rFonts w:asciiTheme="minorEastAsia" w:hAnsiTheme="minorEastAsia" w:eastAsiaTheme="minorEastAsia"/>
                <w:sz w:val="24"/>
              </w:rPr>
            </w:pPr>
            <w:r>
              <w:rPr>
                <w:rFonts w:hint="eastAsia" w:asciiTheme="minorEastAsia" w:hAnsiTheme="minorEastAsia" w:eastAsiaTheme="minorEastAsia"/>
                <w:sz w:val="24"/>
              </w:rPr>
              <w:t>招标项目编号：</w:t>
            </w:r>
          </w:p>
          <w:p>
            <w:pPr>
              <w:spacing w:line="276" w:lineRule="auto"/>
              <w:ind w:left="113" w:right="113"/>
              <w:jc w:val="left"/>
              <w:rPr>
                <w:rFonts w:asciiTheme="minorEastAsia" w:hAnsiTheme="minorEastAsia" w:eastAsiaTheme="minorEastAsia"/>
                <w:sz w:val="24"/>
              </w:rPr>
            </w:pPr>
            <w:r>
              <w:rPr>
                <w:rFonts w:hint="eastAsia" w:asciiTheme="minorEastAsia" w:hAnsiTheme="minorEastAsia" w:eastAsiaTheme="minorEastAsia"/>
                <w:sz w:val="24"/>
              </w:rPr>
              <w:t>在    年   月  日  时  分前不得开启</w:t>
            </w:r>
          </w:p>
          <w:p>
            <w:pPr>
              <w:spacing w:line="276" w:lineRule="auto"/>
              <w:ind w:left="113" w:right="113"/>
              <w:jc w:val="left"/>
              <w:rPr>
                <w:rFonts w:asciiTheme="minorEastAsia" w:hAnsiTheme="minorEastAsia" w:eastAsiaTheme="minorEastAsia"/>
                <w:sz w:val="24"/>
              </w:rPr>
            </w:pPr>
            <w:r>
              <w:rPr>
                <w:rFonts w:hint="eastAsia" w:asciiTheme="minorEastAsia" w:hAnsiTheme="minorEastAsia" w:eastAsiaTheme="minorEastAsia"/>
                <w:sz w:val="24"/>
              </w:rPr>
              <w:t>投标人名称：</w:t>
            </w:r>
          </w:p>
          <w:p>
            <w:pPr>
              <w:spacing w:line="276" w:lineRule="auto"/>
              <w:ind w:left="113" w:right="113"/>
              <w:jc w:val="left"/>
              <w:rPr>
                <w:rFonts w:asciiTheme="minorEastAsia" w:hAnsiTheme="minorEastAsia" w:eastAsiaTheme="minorEastAsia"/>
                <w:sz w:val="24"/>
              </w:rPr>
            </w:pPr>
            <w:r>
              <w:rPr>
                <w:rFonts w:hint="eastAsia" w:asciiTheme="minorEastAsia" w:hAnsiTheme="minorEastAsia" w:eastAsiaTheme="minorEastAsia"/>
                <w:sz w:val="24"/>
              </w:rPr>
              <w:t>投标人地址：</w:t>
            </w:r>
          </w:p>
          <w:p>
            <w:pPr>
              <w:spacing w:line="276" w:lineRule="auto"/>
              <w:ind w:left="113" w:right="113"/>
              <w:jc w:val="left"/>
              <w:rPr>
                <w:rFonts w:asciiTheme="minorEastAsia" w:hAnsiTheme="minorEastAsia" w:eastAsiaTheme="minorEastAsia"/>
                <w:sz w:val="24"/>
              </w:rPr>
            </w:pPr>
            <w:r>
              <w:rPr>
                <w:rFonts w:hint="eastAsia" w:asciiTheme="minorEastAsia" w:hAnsiTheme="minorEastAsia" w:eastAsiaTheme="minorEastAsia"/>
                <w:sz w:val="24"/>
              </w:rPr>
              <w:t>投标文件第二个信封（投标报价和工程量清单）封套：</w:t>
            </w:r>
          </w:p>
          <w:p>
            <w:pPr>
              <w:spacing w:line="276" w:lineRule="auto"/>
              <w:ind w:left="113" w:right="113"/>
              <w:jc w:val="left"/>
              <w:rPr>
                <w:rFonts w:asciiTheme="minorEastAsia" w:hAnsiTheme="minorEastAsia" w:eastAsiaTheme="minorEastAsia"/>
                <w:sz w:val="24"/>
              </w:rPr>
            </w:pPr>
            <w:r>
              <w:rPr>
                <w:rFonts w:hint="eastAsia" w:asciiTheme="minorEastAsia" w:hAnsiTheme="minorEastAsia" w:eastAsiaTheme="minorEastAsia"/>
                <w:sz w:val="24"/>
              </w:rPr>
              <w:t>招标人名称：</w:t>
            </w:r>
          </w:p>
          <w:p>
            <w:pPr>
              <w:spacing w:line="276" w:lineRule="auto"/>
              <w:ind w:left="113" w:right="113"/>
              <w:jc w:val="left"/>
              <w:rPr>
                <w:rFonts w:asciiTheme="minorEastAsia" w:hAnsiTheme="minorEastAsia" w:eastAsiaTheme="minorEastAsia"/>
                <w:sz w:val="24"/>
              </w:rPr>
            </w:pPr>
            <w:r>
              <w:rPr>
                <w:rFonts w:hint="eastAsia" w:asciiTheme="minorEastAsia" w:hAnsiTheme="minorEastAsia" w:eastAsiaTheme="minorEastAsia"/>
                <w:sz w:val="24"/>
              </w:rPr>
              <w:t>招标人地址：</w:t>
            </w:r>
          </w:p>
          <w:p>
            <w:pPr>
              <w:spacing w:line="276" w:lineRule="auto"/>
              <w:ind w:left="113" w:right="113"/>
              <w:jc w:val="left"/>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仿宋" w:hAnsi="仿宋" w:eastAsia="仿宋" w:cs="仿宋"/>
                <w:sz w:val="24"/>
                <w:u w:val="single" w:color="000000"/>
              </w:rPr>
              <w:t xml:space="preserve">         </w:t>
            </w:r>
            <w:r>
              <w:rPr>
                <w:rFonts w:hint="eastAsia" w:asciiTheme="minorEastAsia" w:hAnsiTheme="minorEastAsia" w:eastAsiaTheme="minorEastAsia"/>
                <w:sz w:val="24"/>
              </w:rPr>
              <w:t xml:space="preserve"> （项目名称）施工招标第二个信封</w:t>
            </w:r>
          </w:p>
          <w:p>
            <w:pPr>
              <w:spacing w:line="276" w:lineRule="auto"/>
              <w:ind w:left="113" w:right="113"/>
              <w:jc w:val="left"/>
              <w:rPr>
                <w:rFonts w:asciiTheme="minorEastAsia" w:hAnsiTheme="minorEastAsia" w:eastAsiaTheme="minorEastAsia"/>
                <w:sz w:val="24"/>
              </w:rPr>
            </w:pPr>
            <w:r>
              <w:rPr>
                <w:rFonts w:hint="eastAsia" w:asciiTheme="minorEastAsia" w:hAnsiTheme="minorEastAsia" w:eastAsiaTheme="minorEastAsia"/>
                <w:sz w:val="24"/>
              </w:rPr>
              <w:t>（报价文件）投标文件</w:t>
            </w:r>
          </w:p>
          <w:p>
            <w:pPr>
              <w:spacing w:line="276" w:lineRule="auto"/>
              <w:ind w:left="113" w:right="113"/>
              <w:jc w:val="left"/>
              <w:rPr>
                <w:rFonts w:asciiTheme="minorEastAsia" w:hAnsiTheme="minorEastAsia" w:eastAsiaTheme="minorEastAsia"/>
                <w:sz w:val="24"/>
              </w:rPr>
            </w:pPr>
            <w:r>
              <w:rPr>
                <w:rFonts w:hint="eastAsia" w:asciiTheme="minorEastAsia" w:hAnsiTheme="minorEastAsia" w:eastAsiaTheme="minorEastAsia"/>
                <w:sz w:val="24"/>
              </w:rPr>
              <w:t>招标项目编号：</w:t>
            </w:r>
          </w:p>
          <w:p>
            <w:pPr>
              <w:spacing w:line="276" w:lineRule="auto"/>
              <w:ind w:left="113" w:right="113"/>
              <w:jc w:val="left"/>
              <w:rPr>
                <w:rFonts w:asciiTheme="minorEastAsia" w:hAnsiTheme="minorEastAsia" w:eastAsiaTheme="minorEastAsia"/>
                <w:sz w:val="24"/>
              </w:rPr>
            </w:pPr>
            <w:r>
              <w:rPr>
                <w:rFonts w:hint="eastAsia" w:asciiTheme="minorEastAsia" w:hAnsiTheme="minorEastAsia" w:eastAsiaTheme="minorEastAsia"/>
                <w:sz w:val="24"/>
              </w:rPr>
              <w:t>在第一信封（商务文件和技术文件）评审结果公布前不得开启。</w:t>
            </w:r>
          </w:p>
          <w:p>
            <w:pPr>
              <w:spacing w:line="276" w:lineRule="auto"/>
              <w:ind w:left="113" w:right="113"/>
              <w:jc w:val="left"/>
              <w:rPr>
                <w:rFonts w:asciiTheme="minorEastAsia" w:hAnsiTheme="minorEastAsia" w:eastAsiaTheme="minorEastAsia"/>
                <w:sz w:val="24"/>
              </w:rPr>
            </w:pPr>
            <w:r>
              <w:rPr>
                <w:rFonts w:hint="eastAsia" w:asciiTheme="minorEastAsia" w:hAnsiTheme="minorEastAsia" w:eastAsiaTheme="minorEastAsia"/>
                <w:sz w:val="24"/>
              </w:rPr>
              <w:t>投标人名称：</w:t>
            </w:r>
          </w:p>
          <w:p>
            <w:pPr>
              <w:spacing w:line="276" w:lineRule="auto"/>
              <w:ind w:left="113" w:right="113"/>
              <w:jc w:val="left"/>
              <w:rPr>
                <w:rFonts w:asciiTheme="minorEastAsia" w:hAnsiTheme="minorEastAsia" w:eastAsiaTheme="minorEastAsia"/>
                <w:sz w:val="24"/>
              </w:rPr>
            </w:pPr>
            <w:r>
              <w:rPr>
                <w:rFonts w:hint="eastAsia" w:asciiTheme="minorEastAsia" w:hAnsiTheme="minorEastAsia" w:eastAsiaTheme="minorEastAsia"/>
                <w:sz w:val="24"/>
              </w:rPr>
              <w:t>投标人地址：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jc w:val="center"/>
        </w:trPr>
        <w:tc>
          <w:tcPr>
            <w:tcW w:w="1053" w:type="dxa"/>
            <w:gridSpan w:val="2"/>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4.2.2</w:t>
            </w:r>
          </w:p>
        </w:tc>
        <w:tc>
          <w:tcPr>
            <w:tcW w:w="2317"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递交投标文件</w:t>
            </w:r>
          </w:p>
          <w:p>
            <w:pPr>
              <w:jc w:val="center"/>
              <w:rPr>
                <w:rFonts w:asciiTheme="minorEastAsia" w:hAnsiTheme="minorEastAsia" w:eastAsiaTheme="minorEastAsia"/>
                <w:sz w:val="24"/>
              </w:rPr>
            </w:pPr>
            <w:r>
              <w:rPr>
                <w:rFonts w:hint="eastAsia" w:asciiTheme="minorEastAsia" w:hAnsiTheme="minorEastAsia" w:eastAsiaTheme="minorEastAsia"/>
                <w:sz w:val="24"/>
              </w:rPr>
              <w:t>地点</w:t>
            </w:r>
          </w:p>
        </w:tc>
        <w:tc>
          <w:tcPr>
            <w:tcW w:w="6482" w:type="dxa"/>
            <w:vAlign w:val="center"/>
          </w:tcPr>
          <w:p>
            <w:pPr>
              <w:spacing w:line="360" w:lineRule="auto"/>
              <w:jc w:val="left"/>
              <w:rPr>
                <w:rFonts w:asciiTheme="minorEastAsia" w:hAnsiTheme="minorEastAsia" w:eastAsiaTheme="minorEastAsia"/>
                <w:b/>
                <w:color w:val="FF0000"/>
                <w:sz w:val="24"/>
                <w:highlight w:val="yellow"/>
              </w:rPr>
            </w:pPr>
            <w:r>
              <w:rPr>
                <w:rFonts w:hint="eastAsia" w:cs="Times New Roman" w:asciiTheme="minorEastAsia" w:hAnsiTheme="minorEastAsia" w:eastAsiaTheme="minorEastAsia"/>
                <w:sz w:val="24"/>
              </w:rPr>
              <w:t>许昌市建安区兴业大厦四楼开标</w:t>
            </w:r>
            <w:r>
              <w:rPr>
                <w:rFonts w:hint="eastAsia" w:cs="Times New Roman" w:asciiTheme="minorEastAsia" w:hAnsiTheme="minorEastAsia" w:eastAsiaTheme="minorEastAsia"/>
                <w:sz w:val="24"/>
                <w:lang w:val="en-US" w:eastAsia="zh-CN"/>
              </w:rPr>
              <w:t>二</w:t>
            </w:r>
            <w:r>
              <w:rPr>
                <w:rFonts w:hint="eastAsia" w:cs="Times New Roman" w:asciiTheme="minorEastAsia" w:hAnsiTheme="minorEastAsia" w:eastAsiaTheme="minorEastAsia"/>
                <w:sz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53" w:type="dxa"/>
            <w:gridSpan w:val="2"/>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4.2.3</w:t>
            </w:r>
          </w:p>
        </w:tc>
        <w:tc>
          <w:tcPr>
            <w:tcW w:w="231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是否退还投标文件</w:t>
            </w:r>
          </w:p>
        </w:tc>
        <w:tc>
          <w:tcPr>
            <w:tcW w:w="6482" w:type="dxa"/>
            <w:vAlign w:val="center"/>
          </w:tcPr>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1053" w:type="dxa"/>
            <w:gridSpan w:val="2"/>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5.1</w:t>
            </w:r>
          </w:p>
        </w:tc>
        <w:tc>
          <w:tcPr>
            <w:tcW w:w="231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开标时间和地点</w:t>
            </w:r>
          </w:p>
        </w:tc>
        <w:tc>
          <w:tcPr>
            <w:tcW w:w="6482" w:type="dxa"/>
            <w:vAlign w:val="center"/>
          </w:tcPr>
          <w:p>
            <w:pPr>
              <w:spacing w:line="360" w:lineRule="auto"/>
              <w:jc w:val="left"/>
              <w:rPr>
                <w:rFonts w:asciiTheme="minorEastAsia" w:hAnsiTheme="minorEastAsia" w:eastAsiaTheme="minorEastAsia"/>
                <w:sz w:val="24"/>
                <w:lang w:bidi="zh-CN"/>
              </w:rPr>
            </w:pPr>
            <w:r>
              <w:rPr>
                <w:rFonts w:hint="eastAsia" w:asciiTheme="minorEastAsia" w:hAnsiTheme="minorEastAsia" w:eastAsiaTheme="minorEastAsia"/>
                <w:sz w:val="24"/>
                <w:lang w:bidi="zh-CN"/>
              </w:rPr>
              <w:t>投标文件第一个信封（商务及技术文件）</w:t>
            </w:r>
          </w:p>
          <w:p>
            <w:pPr>
              <w:spacing w:line="360" w:lineRule="auto"/>
              <w:jc w:val="left"/>
              <w:rPr>
                <w:rFonts w:asciiTheme="minorEastAsia" w:hAnsiTheme="minorEastAsia" w:eastAsiaTheme="minorEastAsia"/>
                <w:sz w:val="24"/>
                <w:lang w:bidi="zh-CN"/>
              </w:rPr>
            </w:pPr>
            <w:r>
              <w:rPr>
                <w:rFonts w:hint="eastAsia" w:asciiTheme="minorEastAsia" w:hAnsiTheme="minorEastAsia" w:eastAsiaTheme="minorEastAsia"/>
                <w:sz w:val="24"/>
                <w:lang w:bidi="zh-CN"/>
              </w:rPr>
              <w:t>开标时间： 同投标截止时间</w:t>
            </w:r>
          </w:p>
          <w:p>
            <w:pPr>
              <w:spacing w:line="360" w:lineRule="auto"/>
              <w:jc w:val="left"/>
              <w:rPr>
                <w:rFonts w:asciiTheme="minorEastAsia" w:hAnsiTheme="minorEastAsia" w:eastAsiaTheme="minorEastAsia"/>
                <w:sz w:val="24"/>
                <w:lang w:bidi="zh-CN"/>
              </w:rPr>
            </w:pPr>
            <w:r>
              <w:rPr>
                <w:rFonts w:hint="eastAsia" w:asciiTheme="minorEastAsia" w:hAnsiTheme="minorEastAsia" w:eastAsiaTheme="minorEastAsia"/>
                <w:sz w:val="24"/>
                <w:lang w:bidi="zh-CN"/>
              </w:rPr>
              <w:t>投标文件第一个信封（商务及技术文件）</w:t>
            </w:r>
          </w:p>
          <w:p>
            <w:pPr>
              <w:spacing w:line="360" w:lineRule="auto"/>
              <w:jc w:val="left"/>
              <w:rPr>
                <w:rFonts w:asciiTheme="minorEastAsia" w:hAnsiTheme="minorEastAsia" w:eastAsiaTheme="minorEastAsia"/>
                <w:sz w:val="24"/>
                <w:lang w:bidi="zh-CN"/>
              </w:rPr>
            </w:pPr>
            <w:r>
              <w:rPr>
                <w:rFonts w:hint="eastAsia" w:asciiTheme="minorEastAsia" w:hAnsiTheme="minorEastAsia" w:eastAsiaTheme="minorEastAsia"/>
                <w:sz w:val="24"/>
                <w:lang w:bidi="zh-CN"/>
              </w:rPr>
              <w:t>开标地点： 同递交投标文件地点</w:t>
            </w:r>
          </w:p>
          <w:p>
            <w:pPr>
              <w:spacing w:line="360" w:lineRule="auto"/>
              <w:jc w:val="left"/>
              <w:rPr>
                <w:rFonts w:asciiTheme="minorEastAsia" w:hAnsiTheme="minorEastAsia" w:eastAsiaTheme="minorEastAsia"/>
                <w:sz w:val="24"/>
                <w:lang w:bidi="zh-CN"/>
              </w:rPr>
            </w:pPr>
            <w:r>
              <w:rPr>
                <w:rFonts w:hint="eastAsia" w:asciiTheme="minorEastAsia" w:hAnsiTheme="minorEastAsia" w:eastAsiaTheme="minorEastAsia"/>
                <w:sz w:val="24"/>
                <w:lang w:bidi="zh-CN"/>
              </w:rPr>
              <w:t>投标文件第二个信封（</w:t>
            </w:r>
            <w:r>
              <w:rPr>
                <w:rFonts w:hint="eastAsia" w:asciiTheme="minorEastAsia" w:hAnsiTheme="minorEastAsia" w:eastAsiaTheme="minorEastAsia"/>
                <w:sz w:val="24"/>
              </w:rPr>
              <w:t>投标报价和工程量清单</w:t>
            </w:r>
            <w:r>
              <w:rPr>
                <w:rFonts w:hint="eastAsia" w:asciiTheme="minorEastAsia" w:hAnsiTheme="minorEastAsia" w:eastAsiaTheme="minorEastAsia"/>
                <w:sz w:val="24"/>
                <w:lang w:bidi="zh-CN"/>
              </w:rPr>
              <w:t>）</w:t>
            </w:r>
          </w:p>
          <w:p>
            <w:pPr>
              <w:spacing w:line="360" w:lineRule="auto"/>
              <w:jc w:val="left"/>
              <w:rPr>
                <w:rFonts w:asciiTheme="minorEastAsia" w:hAnsiTheme="minorEastAsia" w:eastAsiaTheme="minorEastAsia"/>
                <w:sz w:val="24"/>
                <w:lang w:bidi="zh-CN"/>
              </w:rPr>
            </w:pPr>
            <w:r>
              <w:rPr>
                <w:rFonts w:hint="eastAsia" w:asciiTheme="minorEastAsia" w:hAnsiTheme="minorEastAsia" w:eastAsiaTheme="minorEastAsia"/>
                <w:sz w:val="24"/>
                <w:lang w:bidi="zh-CN"/>
              </w:rPr>
              <w:t>开标时间：商务及技术文件评审结束后</w:t>
            </w:r>
          </w:p>
          <w:p>
            <w:pPr>
              <w:spacing w:line="360" w:lineRule="auto"/>
              <w:jc w:val="left"/>
              <w:rPr>
                <w:rFonts w:asciiTheme="minorEastAsia" w:hAnsiTheme="minorEastAsia" w:eastAsiaTheme="minorEastAsia"/>
                <w:sz w:val="24"/>
                <w:lang w:bidi="zh-CN"/>
              </w:rPr>
            </w:pPr>
            <w:r>
              <w:rPr>
                <w:rFonts w:hint="eastAsia" w:asciiTheme="minorEastAsia" w:hAnsiTheme="minorEastAsia" w:eastAsiaTheme="minorEastAsia"/>
                <w:sz w:val="24"/>
                <w:lang w:bidi="zh-CN"/>
              </w:rPr>
              <w:t>投标文件第二个信封（</w:t>
            </w:r>
            <w:r>
              <w:rPr>
                <w:rFonts w:hint="eastAsia" w:asciiTheme="minorEastAsia" w:hAnsiTheme="minorEastAsia" w:eastAsiaTheme="minorEastAsia"/>
                <w:sz w:val="24"/>
              </w:rPr>
              <w:t>投标报价和工程量清单</w:t>
            </w:r>
            <w:r>
              <w:rPr>
                <w:rFonts w:hint="eastAsia" w:asciiTheme="minorEastAsia" w:hAnsiTheme="minorEastAsia" w:eastAsiaTheme="minorEastAsia"/>
                <w:sz w:val="24"/>
                <w:lang w:bidi="zh-CN"/>
              </w:rPr>
              <w:t>）</w:t>
            </w:r>
          </w:p>
          <w:p>
            <w:pPr>
              <w:spacing w:line="360" w:lineRule="auto"/>
              <w:jc w:val="left"/>
              <w:rPr>
                <w:rFonts w:asciiTheme="minorEastAsia" w:hAnsiTheme="minorEastAsia" w:eastAsiaTheme="minorEastAsia"/>
                <w:sz w:val="24"/>
                <w:lang w:bidi="zh-CN"/>
              </w:rPr>
            </w:pPr>
            <w:r>
              <w:rPr>
                <w:rFonts w:hint="eastAsia" w:asciiTheme="minorEastAsia" w:hAnsiTheme="minorEastAsia" w:eastAsiaTheme="minorEastAsia"/>
                <w:sz w:val="24"/>
                <w:lang w:bidi="zh-CN"/>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1053" w:type="dxa"/>
            <w:gridSpan w:val="2"/>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5.2</w:t>
            </w:r>
          </w:p>
        </w:tc>
        <w:tc>
          <w:tcPr>
            <w:tcW w:w="2317" w:type="dxa"/>
            <w:vAlign w:val="center"/>
          </w:tcPr>
          <w:p>
            <w:pPr>
              <w:spacing w:line="276" w:lineRule="auto"/>
              <w:jc w:val="center"/>
              <w:rPr>
                <w:rFonts w:asciiTheme="minorEastAsia" w:hAnsiTheme="minorEastAsia" w:eastAsiaTheme="minorEastAsia"/>
                <w:sz w:val="24"/>
              </w:rPr>
            </w:pPr>
            <w:r>
              <w:rPr>
                <w:rFonts w:hint="eastAsia" w:asciiTheme="minorEastAsia" w:hAnsiTheme="minorEastAsia" w:eastAsiaTheme="minorEastAsia"/>
                <w:sz w:val="24"/>
                <w:lang w:bidi="zh-CN"/>
              </w:rPr>
              <w:t>开标程序</w:t>
            </w:r>
          </w:p>
        </w:tc>
        <w:tc>
          <w:tcPr>
            <w:tcW w:w="6482" w:type="dxa"/>
            <w:vAlign w:val="center"/>
          </w:tcPr>
          <w:p>
            <w:pPr>
              <w:spacing w:line="276" w:lineRule="auto"/>
              <w:ind w:right="113"/>
              <w:jc w:val="left"/>
              <w:rPr>
                <w:rFonts w:asciiTheme="minorEastAsia" w:hAnsiTheme="minorEastAsia" w:eastAsiaTheme="minorEastAsia"/>
                <w:b/>
                <w:sz w:val="24"/>
              </w:rPr>
            </w:pPr>
            <w:r>
              <w:rPr>
                <w:rFonts w:hint="eastAsia" w:asciiTheme="minorEastAsia" w:hAnsiTheme="minorEastAsia" w:eastAsiaTheme="minorEastAsia"/>
                <w:b/>
                <w:sz w:val="24"/>
              </w:rPr>
              <w:t>密封情况检查：由投标人代表检查其投标文件是否密封完好。</w:t>
            </w:r>
          </w:p>
          <w:p>
            <w:pPr>
              <w:spacing w:line="276" w:lineRule="auto"/>
              <w:ind w:right="113"/>
              <w:jc w:val="left"/>
              <w:rPr>
                <w:rFonts w:asciiTheme="minorEastAsia" w:hAnsiTheme="minorEastAsia" w:eastAsiaTheme="minorEastAsia"/>
                <w:b/>
                <w:sz w:val="24"/>
              </w:rPr>
            </w:pPr>
            <w:r>
              <w:rPr>
                <w:rFonts w:hint="eastAsia" w:asciiTheme="minorEastAsia" w:hAnsiTheme="minorEastAsia" w:eastAsiaTheme="minorEastAsia"/>
                <w:b/>
                <w:sz w:val="24"/>
              </w:rPr>
              <w:t>开标顺序：按送达投标文件顺序的逆顺序开标。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3" w:type="dxa"/>
            <w:gridSpan w:val="2"/>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6.1.1</w:t>
            </w:r>
          </w:p>
        </w:tc>
        <w:tc>
          <w:tcPr>
            <w:tcW w:w="2317" w:type="dxa"/>
            <w:vAlign w:val="center"/>
          </w:tcPr>
          <w:p>
            <w:pPr>
              <w:ind w:left="113" w:right="113"/>
              <w:jc w:val="center"/>
              <w:rPr>
                <w:rFonts w:asciiTheme="minorEastAsia" w:hAnsiTheme="minorEastAsia" w:eastAsiaTheme="minorEastAsia"/>
                <w:sz w:val="24"/>
              </w:rPr>
            </w:pPr>
            <w:r>
              <w:rPr>
                <w:rFonts w:hint="eastAsia" w:asciiTheme="minorEastAsia" w:hAnsiTheme="minorEastAsia" w:eastAsiaTheme="minorEastAsia"/>
                <w:sz w:val="24"/>
              </w:rPr>
              <w:t>评标委员会</w:t>
            </w:r>
          </w:p>
          <w:p>
            <w:pPr>
              <w:ind w:left="113" w:right="113"/>
              <w:jc w:val="center"/>
              <w:rPr>
                <w:rFonts w:asciiTheme="minorEastAsia" w:hAnsiTheme="minorEastAsia" w:eastAsiaTheme="minorEastAsia"/>
                <w:sz w:val="24"/>
              </w:rPr>
            </w:pPr>
            <w:r>
              <w:rPr>
                <w:rFonts w:hint="eastAsia" w:asciiTheme="minorEastAsia" w:hAnsiTheme="minorEastAsia" w:eastAsiaTheme="minorEastAsia"/>
                <w:sz w:val="24"/>
              </w:rPr>
              <w:t>的组建</w:t>
            </w:r>
          </w:p>
        </w:tc>
        <w:tc>
          <w:tcPr>
            <w:tcW w:w="6482" w:type="dxa"/>
            <w:vAlign w:val="center"/>
          </w:tcPr>
          <w:p>
            <w:pPr>
              <w:spacing w:line="276" w:lineRule="auto"/>
              <w:ind w:right="113"/>
              <w:jc w:val="left"/>
              <w:rPr>
                <w:rFonts w:asciiTheme="minorEastAsia" w:hAnsiTheme="minorEastAsia" w:eastAsiaTheme="minorEastAsia"/>
                <w:sz w:val="24"/>
                <w:lang w:bidi="zh-CN"/>
              </w:rPr>
            </w:pPr>
            <w:r>
              <w:rPr>
                <w:rFonts w:hint="eastAsia" w:asciiTheme="minorEastAsia" w:hAnsiTheme="minorEastAsia" w:eastAsiaTheme="minorEastAsia"/>
                <w:sz w:val="24"/>
                <w:lang w:bidi="zh-CN"/>
              </w:rPr>
              <w:t>评标委员会构成：</w:t>
            </w:r>
            <w:r>
              <w:rPr>
                <w:rFonts w:hint="eastAsia" w:asciiTheme="minorEastAsia" w:hAnsiTheme="minorEastAsia" w:eastAsiaTheme="minorEastAsia"/>
                <w:sz w:val="24"/>
                <w:u w:val="single"/>
              </w:rPr>
              <w:t>5</w:t>
            </w:r>
            <w:r>
              <w:rPr>
                <w:rFonts w:hint="eastAsia" w:asciiTheme="minorEastAsia" w:hAnsiTheme="minorEastAsia" w:eastAsiaTheme="minorEastAsia"/>
                <w:sz w:val="24"/>
                <w:lang w:bidi="zh-CN"/>
              </w:rPr>
              <w:t>人，其中招标人代表</w:t>
            </w:r>
            <w:r>
              <w:rPr>
                <w:rFonts w:hint="eastAsia" w:asciiTheme="minorEastAsia" w:hAnsiTheme="minorEastAsia" w:eastAsiaTheme="minorEastAsia"/>
                <w:sz w:val="24"/>
                <w:u w:val="single"/>
              </w:rPr>
              <w:t>1</w:t>
            </w:r>
            <w:r>
              <w:rPr>
                <w:rFonts w:hint="eastAsia" w:asciiTheme="minorEastAsia" w:hAnsiTheme="minorEastAsia" w:eastAsiaTheme="minorEastAsia"/>
                <w:sz w:val="24"/>
                <w:lang w:bidi="zh-CN"/>
              </w:rPr>
              <w:t>人，专家</w:t>
            </w:r>
            <w:r>
              <w:rPr>
                <w:rFonts w:hint="eastAsia" w:asciiTheme="minorEastAsia" w:hAnsiTheme="minorEastAsia" w:eastAsiaTheme="minorEastAsia"/>
                <w:sz w:val="24"/>
                <w:u w:val="single"/>
              </w:rPr>
              <w:t>4</w:t>
            </w:r>
            <w:r>
              <w:rPr>
                <w:rFonts w:hint="eastAsia" w:asciiTheme="minorEastAsia" w:hAnsiTheme="minorEastAsia" w:eastAsiaTheme="minorEastAsia"/>
                <w:sz w:val="24"/>
                <w:lang w:bidi="zh-CN"/>
              </w:rPr>
              <w:t>人；</w:t>
            </w:r>
          </w:p>
          <w:p>
            <w:pPr>
              <w:spacing w:line="276" w:lineRule="auto"/>
              <w:ind w:right="113"/>
              <w:jc w:val="left"/>
              <w:rPr>
                <w:rFonts w:asciiTheme="minorEastAsia" w:hAnsiTheme="minorEastAsia" w:eastAsiaTheme="minorEastAsia"/>
                <w:sz w:val="24"/>
              </w:rPr>
            </w:pPr>
            <w:r>
              <w:rPr>
                <w:rFonts w:hint="eastAsia" w:asciiTheme="minorEastAsia" w:hAnsiTheme="minorEastAsia" w:eastAsiaTheme="minorEastAsia"/>
                <w:sz w:val="24"/>
                <w:lang w:bidi="zh-CN"/>
              </w:rPr>
              <w:t>评标专家确定方式：专家将从河南省综合评标专家库随机抽取产生。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53" w:type="dxa"/>
            <w:gridSpan w:val="2"/>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6.3.1</w:t>
            </w:r>
          </w:p>
        </w:tc>
        <w:tc>
          <w:tcPr>
            <w:tcW w:w="2317" w:type="dxa"/>
            <w:vAlign w:val="center"/>
          </w:tcPr>
          <w:p>
            <w:pPr>
              <w:ind w:left="113" w:right="113"/>
              <w:jc w:val="center"/>
              <w:rPr>
                <w:rFonts w:asciiTheme="minorEastAsia" w:hAnsiTheme="minorEastAsia" w:eastAsiaTheme="minorEastAsia"/>
                <w:sz w:val="24"/>
              </w:rPr>
            </w:pPr>
            <w:r>
              <w:rPr>
                <w:rFonts w:hint="eastAsia" w:asciiTheme="minorEastAsia" w:hAnsiTheme="minorEastAsia" w:eastAsiaTheme="minorEastAsia"/>
                <w:sz w:val="24"/>
              </w:rPr>
              <w:t>评标办法</w:t>
            </w:r>
          </w:p>
        </w:tc>
        <w:tc>
          <w:tcPr>
            <w:tcW w:w="6482" w:type="dxa"/>
            <w:vAlign w:val="center"/>
          </w:tcPr>
          <w:p>
            <w:pPr>
              <w:ind w:right="113"/>
              <w:jc w:val="left"/>
              <w:rPr>
                <w:rFonts w:asciiTheme="minorEastAsia" w:hAnsiTheme="minorEastAsia" w:eastAsiaTheme="minorEastAsia"/>
                <w:sz w:val="24"/>
              </w:rPr>
            </w:pPr>
            <w:r>
              <w:rPr>
                <w:rFonts w:hint="eastAsia" w:asciiTheme="minorEastAsia" w:hAnsiTheme="minorEastAsia" w:eastAsiaTheme="minorEastAsia"/>
                <w:sz w:val="24"/>
              </w:rPr>
              <w:t>技术评分最低标价法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exact"/>
          <w:jc w:val="center"/>
        </w:trPr>
        <w:tc>
          <w:tcPr>
            <w:tcW w:w="1053" w:type="dxa"/>
            <w:gridSpan w:val="2"/>
            <w:vAlign w:val="center"/>
          </w:tcPr>
          <w:p>
            <w:pPr>
              <w:adjustRightInd w:val="0"/>
              <w:snapToGrid w:val="0"/>
              <w:spacing w:line="360" w:lineRule="auto"/>
              <w:ind w:left="105" w:leftChars="50" w:right="105" w:rightChars="50"/>
              <w:jc w:val="center"/>
              <w:outlineLvl w:val="2"/>
              <w:rPr>
                <w:rFonts w:asciiTheme="minorEastAsia" w:hAnsiTheme="minorEastAsia" w:eastAsiaTheme="minorEastAsia"/>
                <w:sz w:val="24"/>
              </w:rPr>
            </w:pPr>
            <w:r>
              <w:rPr>
                <w:rFonts w:hint="eastAsia" w:asciiTheme="minorEastAsia" w:hAnsiTheme="minorEastAsia" w:eastAsiaTheme="minorEastAsia"/>
                <w:sz w:val="24"/>
              </w:rPr>
              <w:t>6.3.2</w:t>
            </w:r>
          </w:p>
        </w:tc>
        <w:tc>
          <w:tcPr>
            <w:tcW w:w="2317" w:type="dxa"/>
            <w:vAlign w:val="center"/>
          </w:tcPr>
          <w:p>
            <w:pPr>
              <w:adjustRightInd w:val="0"/>
              <w:snapToGrid w:val="0"/>
              <w:ind w:right="105" w:rightChars="50"/>
              <w:jc w:val="center"/>
              <w:outlineLvl w:val="2"/>
              <w:rPr>
                <w:rFonts w:asciiTheme="minorEastAsia" w:hAnsiTheme="minorEastAsia" w:eastAsiaTheme="minorEastAsia"/>
                <w:sz w:val="24"/>
              </w:rPr>
            </w:pPr>
            <w:r>
              <w:rPr>
                <w:rFonts w:hint="eastAsia" w:asciiTheme="minorEastAsia" w:hAnsiTheme="minorEastAsia" w:eastAsiaTheme="minorEastAsia"/>
                <w:sz w:val="24"/>
              </w:rPr>
              <w:t>评标委员会推荐中标候选人的人数</w:t>
            </w:r>
          </w:p>
        </w:tc>
        <w:tc>
          <w:tcPr>
            <w:tcW w:w="6482" w:type="dxa"/>
            <w:vAlign w:val="center"/>
          </w:tcPr>
          <w:p>
            <w:pPr>
              <w:adjustRightInd w:val="0"/>
              <w:snapToGrid w:val="0"/>
              <w:spacing w:line="360" w:lineRule="auto"/>
              <w:ind w:left="105" w:leftChars="50" w:right="105" w:rightChars="50"/>
              <w:jc w:val="left"/>
              <w:outlineLvl w:val="2"/>
              <w:rPr>
                <w:rFonts w:asciiTheme="minorEastAsia" w:hAnsiTheme="minorEastAsia" w:eastAsiaTheme="minorEastAsia"/>
                <w:sz w:val="24"/>
              </w:rPr>
            </w:pPr>
            <w:r>
              <w:rPr>
                <w:rFonts w:hint="eastAsia" w:asciiTheme="minorEastAsia" w:hAnsiTheme="minorEastAsia" w:eastAsiaTheme="minorEastAsia"/>
                <w:sz w:val="24"/>
                <w:u w:val="single"/>
              </w:rPr>
              <w:t xml:space="preserve">1-3 </w:t>
            </w:r>
            <w:r>
              <w:rPr>
                <w:rFonts w:hint="eastAsia" w:asciiTheme="minorEastAsia" w:hAnsiTheme="minorEastAsia" w:eastAsiaTheme="minorEastAsia"/>
                <w:sz w:val="24"/>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5" w:hRule="exact"/>
          <w:jc w:val="center"/>
        </w:trPr>
        <w:tc>
          <w:tcPr>
            <w:tcW w:w="1053" w:type="dxa"/>
            <w:gridSpan w:val="2"/>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6.4</w:t>
            </w:r>
          </w:p>
        </w:tc>
        <w:tc>
          <w:tcPr>
            <w:tcW w:w="2317" w:type="dxa"/>
            <w:vAlign w:val="center"/>
          </w:tcPr>
          <w:p>
            <w:pPr>
              <w:ind w:left="113" w:right="113"/>
              <w:jc w:val="center"/>
              <w:rPr>
                <w:rFonts w:asciiTheme="minorEastAsia" w:hAnsiTheme="minorEastAsia" w:eastAsiaTheme="minorEastAsia"/>
                <w:sz w:val="24"/>
              </w:rPr>
            </w:pPr>
            <w:r>
              <w:rPr>
                <w:rFonts w:hint="eastAsia" w:asciiTheme="minorEastAsia" w:hAnsiTheme="minorEastAsia" w:eastAsiaTheme="minorEastAsia"/>
                <w:sz w:val="24"/>
              </w:rPr>
              <w:t>招标控制价</w:t>
            </w:r>
          </w:p>
        </w:tc>
        <w:tc>
          <w:tcPr>
            <w:tcW w:w="6482" w:type="dxa"/>
            <w:vAlign w:val="center"/>
          </w:tcPr>
          <w:p>
            <w:pPr>
              <w:spacing w:line="360" w:lineRule="auto"/>
              <w:ind w:right="113" w:firstLine="241" w:firstLineChars="100"/>
              <w:jc w:val="left"/>
              <w:rPr>
                <w:rFonts w:hint="eastAsia" w:cs="Times New Roman" w:asciiTheme="minorEastAsia" w:hAnsiTheme="minorEastAsia" w:eastAsiaTheme="minorEastAsia"/>
                <w:b/>
                <w:bCs/>
                <w:sz w:val="24"/>
              </w:rPr>
            </w:pPr>
            <w:r>
              <w:rPr>
                <w:rFonts w:hint="eastAsia" w:cs="Times New Roman" w:asciiTheme="minorEastAsia" w:hAnsiTheme="minorEastAsia" w:eastAsiaTheme="minorEastAsia"/>
                <w:b/>
                <w:bCs/>
                <w:sz w:val="24"/>
              </w:rPr>
              <w:t>招标控制价：</w:t>
            </w:r>
          </w:p>
          <w:p>
            <w:pPr>
              <w:spacing w:line="360" w:lineRule="auto"/>
              <w:ind w:left="113" w:right="113"/>
              <w:jc w:val="left"/>
              <w:rPr>
                <w:rFonts w:hint="eastAsia" w:cs="Times New Roman" w:asciiTheme="minorEastAsia" w:hAnsiTheme="minorEastAsia" w:eastAsiaTheme="minorEastAsia"/>
                <w:sz w:val="24"/>
                <w:lang w:eastAsia="zh-CN"/>
              </w:rPr>
            </w:pPr>
            <w:r>
              <w:rPr>
                <w:rFonts w:hint="eastAsia" w:cs="Times New Roman" w:asciiTheme="minorEastAsia" w:hAnsiTheme="minorEastAsia" w:eastAsiaTheme="minorEastAsia"/>
                <w:sz w:val="24"/>
                <w:lang w:eastAsia="zh-CN"/>
              </w:rPr>
              <w:t>四</w:t>
            </w:r>
            <w:r>
              <w:rPr>
                <w:rFonts w:hint="eastAsia" w:cs="Times New Roman" w:asciiTheme="minorEastAsia" w:hAnsiTheme="minorEastAsia" w:eastAsiaTheme="minorEastAsia"/>
                <w:sz w:val="24"/>
              </w:rPr>
              <w:t>标段：大写</w:t>
            </w:r>
            <w:r>
              <w:rPr>
                <w:rFonts w:hint="eastAsia" w:cs="Times New Roman" w:asciiTheme="minorEastAsia" w:hAnsiTheme="minorEastAsia" w:eastAsiaTheme="minorEastAsia"/>
                <w:sz w:val="24"/>
                <w:lang w:eastAsia="zh-CN"/>
              </w:rPr>
              <w:t>叁佰伍拾伍万捌仟玖佰贰拾伍元整</w:t>
            </w:r>
          </w:p>
          <w:p>
            <w:pPr>
              <w:spacing w:line="360" w:lineRule="auto"/>
              <w:ind w:left="113" w:right="113"/>
              <w:jc w:val="left"/>
              <w:rPr>
                <w:rFonts w:hint="eastAsia" w:cs="Times New Roman" w:asciiTheme="minorEastAsia" w:hAnsiTheme="minorEastAsia" w:eastAsiaTheme="minorEastAsia"/>
                <w:sz w:val="24"/>
              </w:rPr>
            </w:pPr>
            <w:r>
              <w:rPr>
                <w:rFonts w:hint="eastAsia" w:cs="Times New Roman" w:asciiTheme="minorEastAsia" w:hAnsiTheme="minorEastAsia" w:eastAsiaTheme="minorEastAsia"/>
                <w:sz w:val="24"/>
              </w:rPr>
              <w:t>（小写：</w:t>
            </w:r>
            <w:r>
              <w:rPr>
                <w:rFonts w:hint="eastAsia" w:cs="Times New Roman" w:asciiTheme="minorEastAsia" w:hAnsiTheme="minorEastAsia" w:eastAsiaTheme="minorEastAsia"/>
                <w:sz w:val="24"/>
                <w:lang w:val="en-US" w:eastAsia="zh-CN"/>
              </w:rPr>
              <w:t>3558925.00</w:t>
            </w:r>
            <w:r>
              <w:rPr>
                <w:rFonts w:hint="eastAsia" w:cs="Times New Roman" w:asciiTheme="minorEastAsia" w:hAnsiTheme="minorEastAsia" w:eastAsiaTheme="minorEastAsia"/>
                <w:sz w:val="24"/>
              </w:rPr>
              <w:t xml:space="preserve"> 元  ）  </w:t>
            </w:r>
          </w:p>
          <w:p>
            <w:pPr>
              <w:spacing w:line="360" w:lineRule="auto"/>
              <w:ind w:left="113" w:right="113"/>
              <w:jc w:val="left"/>
              <w:rPr>
                <w:rFonts w:hint="eastAsia" w:cs="Times New Roman" w:asciiTheme="minorEastAsia" w:hAnsiTheme="minorEastAsia" w:eastAsiaTheme="minorEastAsia"/>
                <w:sz w:val="24"/>
                <w:lang w:eastAsia="zh-CN"/>
              </w:rPr>
            </w:pPr>
            <w:r>
              <w:rPr>
                <w:rFonts w:hint="eastAsia" w:cs="Times New Roman" w:asciiTheme="minorEastAsia" w:hAnsiTheme="minorEastAsia" w:eastAsiaTheme="minorEastAsia"/>
                <w:sz w:val="24"/>
                <w:lang w:eastAsia="zh-CN"/>
              </w:rPr>
              <w:t>五</w:t>
            </w:r>
            <w:r>
              <w:rPr>
                <w:rFonts w:hint="eastAsia" w:cs="Times New Roman" w:asciiTheme="minorEastAsia" w:hAnsiTheme="minorEastAsia" w:eastAsiaTheme="minorEastAsia"/>
                <w:sz w:val="24"/>
              </w:rPr>
              <w:t>标段：</w:t>
            </w:r>
            <w:r>
              <w:rPr>
                <w:rFonts w:hint="eastAsia" w:cs="Times New Roman" w:asciiTheme="minorEastAsia" w:hAnsiTheme="minorEastAsia" w:eastAsiaTheme="minorEastAsia"/>
                <w:sz w:val="24"/>
                <w:lang w:eastAsia="zh-CN"/>
              </w:rPr>
              <w:t>壹佰柒拾柒万零肆拾叁元整</w:t>
            </w:r>
          </w:p>
          <w:p>
            <w:pPr>
              <w:spacing w:line="360" w:lineRule="auto"/>
              <w:ind w:left="113" w:right="113"/>
              <w:jc w:val="left"/>
              <w:rPr>
                <w:rFonts w:hint="eastAsia" w:cs="Times New Roman" w:asciiTheme="minorEastAsia" w:hAnsiTheme="minorEastAsia" w:eastAsiaTheme="minorEastAsia"/>
                <w:sz w:val="24"/>
              </w:rPr>
            </w:pPr>
            <w:r>
              <w:rPr>
                <w:rFonts w:hint="eastAsia" w:cs="Times New Roman" w:asciiTheme="minorEastAsia" w:hAnsiTheme="minorEastAsia" w:eastAsiaTheme="minorEastAsia"/>
                <w:sz w:val="24"/>
              </w:rPr>
              <w:t>（小写：</w:t>
            </w:r>
            <w:r>
              <w:rPr>
                <w:rFonts w:hint="eastAsia" w:cs="Times New Roman" w:asciiTheme="minorEastAsia" w:hAnsiTheme="minorEastAsia" w:eastAsiaTheme="minorEastAsia"/>
                <w:sz w:val="24"/>
                <w:lang w:val="en-US" w:eastAsia="zh-CN"/>
              </w:rPr>
              <w:t>1770043</w:t>
            </w:r>
            <w:r>
              <w:rPr>
                <w:rFonts w:hint="eastAsia" w:cs="Times New Roman" w:asciiTheme="minorEastAsia" w:hAnsiTheme="minorEastAsia" w:eastAsiaTheme="minorEastAsia"/>
                <w:sz w:val="24"/>
              </w:rPr>
              <w:t>元） </w:t>
            </w:r>
          </w:p>
          <w:p>
            <w:pPr>
              <w:spacing w:line="360" w:lineRule="auto"/>
              <w:ind w:left="113" w:right="113"/>
              <w:jc w:val="left"/>
              <w:rPr>
                <w:rFonts w:hint="eastAsia" w:cs="Times New Roman" w:asciiTheme="minorEastAsia" w:hAnsiTheme="minorEastAsia" w:eastAsiaTheme="minorEastAsia"/>
                <w:sz w:val="24"/>
                <w:lang w:eastAsia="zh-CN"/>
              </w:rPr>
            </w:pPr>
            <w:r>
              <w:rPr>
                <w:rFonts w:hint="eastAsia" w:cs="Times New Roman" w:asciiTheme="minorEastAsia" w:hAnsiTheme="minorEastAsia" w:eastAsiaTheme="minorEastAsia"/>
                <w:sz w:val="24"/>
                <w:lang w:eastAsia="zh-CN"/>
              </w:rPr>
              <w:t>六</w:t>
            </w:r>
            <w:r>
              <w:rPr>
                <w:rFonts w:hint="eastAsia" w:cs="Times New Roman" w:asciiTheme="minorEastAsia" w:hAnsiTheme="minorEastAsia" w:eastAsiaTheme="minorEastAsia"/>
                <w:sz w:val="24"/>
              </w:rPr>
              <w:t>标段：</w:t>
            </w:r>
            <w:r>
              <w:rPr>
                <w:rFonts w:hint="eastAsia" w:cs="Times New Roman" w:asciiTheme="minorEastAsia" w:hAnsiTheme="minorEastAsia" w:eastAsiaTheme="minorEastAsia"/>
                <w:sz w:val="24"/>
                <w:lang w:eastAsia="zh-CN"/>
              </w:rPr>
              <w:t>壹佰陆拾柒万叁仟柒佰零叁元整</w:t>
            </w:r>
          </w:p>
          <w:p>
            <w:pPr>
              <w:spacing w:line="360" w:lineRule="auto"/>
              <w:ind w:left="113" w:right="113"/>
              <w:jc w:val="left"/>
              <w:rPr>
                <w:rFonts w:hint="eastAsia" w:cs="Times New Roman" w:asciiTheme="minorEastAsia" w:hAnsiTheme="minorEastAsia" w:eastAsiaTheme="minorEastAsia"/>
                <w:sz w:val="24"/>
              </w:rPr>
            </w:pPr>
            <w:r>
              <w:rPr>
                <w:rFonts w:hint="eastAsia" w:cs="Times New Roman" w:asciiTheme="minorEastAsia" w:hAnsiTheme="minorEastAsia" w:eastAsiaTheme="minorEastAsia"/>
                <w:sz w:val="24"/>
              </w:rPr>
              <w:t>（小写：</w:t>
            </w:r>
            <w:r>
              <w:rPr>
                <w:rFonts w:hint="eastAsia" w:cs="Times New Roman" w:asciiTheme="minorEastAsia" w:hAnsiTheme="minorEastAsia" w:eastAsiaTheme="minorEastAsia"/>
                <w:sz w:val="24"/>
                <w:lang w:val="en-US" w:eastAsia="zh-CN"/>
              </w:rPr>
              <w:t>1673703</w:t>
            </w:r>
            <w:r>
              <w:rPr>
                <w:rFonts w:hint="eastAsia" w:cs="Times New Roman" w:asciiTheme="minorEastAsia" w:hAnsiTheme="minorEastAsia" w:eastAsiaTheme="minorEastAsia"/>
                <w:sz w:val="24"/>
              </w:rPr>
              <w:t>元）</w:t>
            </w:r>
          </w:p>
          <w:p>
            <w:pPr>
              <w:spacing w:line="360" w:lineRule="auto"/>
              <w:ind w:left="113" w:right="113"/>
              <w:jc w:val="left"/>
              <w:rPr>
                <w:rFonts w:hint="eastAsia" w:cs="Times New Roman" w:asciiTheme="minorEastAsia" w:hAnsiTheme="minorEastAsia" w:eastAsiaTheme="minorEastAsia"/>
                <w:sz w:val="24"/>
              </w:rPr>
            </w:pPr>
            <w:r>
              <w:rPr>
                <w:rFonts w:hint="eastAsia" w:cs="Times New Roman" w:asciiTheme="minorEastAsia" w:hAnsiTheme="minorEastAsia" w:eastAsiaTheme="minorEastAsia"/>
                <w:sz w:val="24"/>
              </w:rPr>
              <w:t>凡投标人的投标报价超出“招标控制价”（不含等于“招标控制价”）的，该投标人的投标文件应作废标处理。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exact"/>
          <w:jc w:val="center"/>
        </w:trPr>
        <w:tc>
          <w:tcPr>
            <w:tcW w:w="1053" w:type="dxa"/>
            <w:gridSpan w:val="2"/>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6.5</w:t>
            </w:r>
          </w:p>
        </w:tc>
        <w:tc>
          <w:tcPr>
            <w:tcW w:w="2317" w:type="dxa"/>
            <w:vAlign w:val="center"/>
          </w:tcPr>
          <w:p>
            <w:pPr>
              <w:ind w:left="237"/>
              <w:jc w:val="center"/>
              <w:rPr>
                <w:rFonts w:asciiTheme="minorEastAsia" w:hAnsiTheme="minorEastAsia" w:eastAsiaTheme="minorEastAsia"/>
                <w:sz w:val="24"/>
              </w:rPr>
            </w:pPr>
            <w:r>
              <w:rPr>
                <w:rFonts w:hint="eastAsia" w:cs="仿宋_GB2312" w:asciiTheme="minorEastAsia" w:hAnsiTheme="minorEastAsia" w:eastAsiaTheme="minorEastAsia"/>
                <w:kern w:val="0"/>
                <w:sz w:val="24"/>
              </w:rPr>
              <w:t>投标文件的拒收</w:t>
            </w:r>
          </w:p>
        </w:tc>
        <w:tc>
          <w:tcPr>
            <w:tcW w:w="6482" w:type="dxa"/>
            <w:vAlign w:val="center"/>
          </w:tcPr>
          <w:p>
            <w:pPr>
              <w:spacing w:line="340" w:lineRule="exact"/>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1、逾期送达的或者未送达指定地点的电子介质存储的投标文件；</w:t>
            </w:r>
          </w:p>
          <w:p>
            <w:pPr>
              <w:spacing w:line="340" w:lineRule="exact"/>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2、电子介质存储的投标文件未按招标文件要求密封的；</w:t>
            </w:r>
          </w:p>
          <w:p>
            <w:pPr>
              <w:spacing w:line="340" w:lineRule="exact"/>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3、未按招标文件要求缴纳投标保证金的；</w:t>
            </w:r>
          </w:p>
          <w:p>
            <w:pPr>
              <w:spacing w:line="340" w:lineRule="exact"/>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4、开标时法人或授权委托人（持有效的授权委托书）未携带本人身份证原件到开标现场并签到的；</w:t>
            </w:r>
          </w:p>
          <w:p>
            <w:pPr>
              <w:spacing w:line="340" w:lineRule="exact"/>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53" w:type="dxa"/>
            <w:gridSpan w:val="2"/>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7.1</w:t>
            </w:r>
          </w:p>
        </w:tc>
        <w:tc>
          <w:tcPr>
            <w:tcW w:w="2317" w:type="dxa"/>
            <w:vAlign w:val="center"/>
          </w:tcPr>
          <w:p>
            <w:pPr>
              <w:spacing w:line="276" w:lineRule="auto"/>
              <w:ind w:left="-107" w:leftChars="-51" w:right="-107" w:rightChars="-51"/>
              <w:jc w:val="center"/>
              <w:rPr>
                <w:rFonts w:asciiTheme="minorEastAsia" w:hAnsiTheme="minorEastAsia" w:eastAsiaTheme="minorEastAsia"/>
                <w:sz w:val="24"/>
              </w:rPr>
            </w:pPr>
            <w:r>
              <w:rPr>
                <w:rFonts w:hint="eastAsia" w:asciiTheme="minorEastAsia" w:hAnsiTheme="minorEastAsia" w:eastAsiaTheme="minorEastAsia"/>
                <w:sz w:val="24"/>
              </w:rPr>
              <w:t>是否授权评标委员会确定中标人</w:t>
            </w:r>
          </w:p>
        </w:tc>
        <w:tc>
          <w:tcPr>
            <w:tcW w:w="6482" w:type="dxa"/>
            <w:vAlign w:val="center"/>
          </w:tcPr>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否，推荐的中标候选人数为1-3名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53" w:type="dxa"/>
            <w:gridSpan w:val="2"/>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7.4.2</w:t>
            </w:r>
          </w:p>
        </w:tc>
        <w:tc>
          <w:tcPr>
            <w:tcW w:w="2317"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履约保证金</w:t>
            </w:r>
          </w:p>
        </w:tc>
        <w:tc>
          <w:tcPr>
            <w:tcW w:w="6482" w:type="dxa"/>
            <w:vAlign w:val="center"/>
          </w:tcPr>
          <w:p>
            <w:pPr>
              <w:spacing w:line="360" w:lineRule="auto"/>
              <w:jc w:val="left"/>
              <w:rPr>
                <w:rFonts w:cs="宋体" w:asciiTheme="minorEastAsia" w:hAnsiTheme="minorEastAsia" w:eastAsiaTheme="minorEastAsia"/>
                <w:b/>
                <w:sz w:val="24"/>
              </w:rPr>
            </w:pPr>
            <w:r>
              <w:rPr>
                <w:rFonts w:hint="eastAsia" w:cs="宋体" w:asciiTheme="minorEastAsia" w:hAnsiTheme="minorEastAsia" w:eastAsiaTheme="minorEastAsia"/>
                <w:b/>
                <w:sz w:val="24"/>
              </w:rPr>
              <w:t>不超过中标合同金额的10%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5" w:hRule="atLeast"/>
          <w:jc w:val="center"/>
        </w:trPr>
        <w:tc>
          <w:tcPr>
            <w:tcW w:w="9852" w:type="dxa"/>
            <w:gridSpan w:val="4"/>
            <w:tcBorders>
              <w:left w:val="single" w:color="auto" w:sz="4" w:space="0"/>
              <w:right w:val="single" w:color="auto" w:sz="4" w:space="0"/>
            </w:tcBorders>
            <w:vAlign w:val="center"/>
          </w:tcPr>
          <w:p>
            <w:pPr>
              <w:ind w:left="113" w:right="113"/>
              <w:jc w:val="left"/>
              <w:rPr>
                <w:rFonts w:asciiTheme="minorEastAsia" w:hAnsiTheme="minorEastAsia" w:eastAsiaTheme="minorEastAsia"/>
                <w:sz w:val="24"/>
              </w:rPr>
            </w:pPr>
            <w:r>
              <w:rPr>
                <w:rFonts w:hint="eastAsia" w:asciiTheme="minorEastAsia" w:hAnsiTheme="minorEastAsia" w:eastAsiaTheme="minorEastAsia"/>
                <w:sz w:val="24"/>
              </w:rPr>
              <w:t>10.需要补充的其他内容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86" w:hRule="atLeast"/>
          <w:jc w:val="center"/>
        </w:trPr>
        <w:tc>
          <w:tcPr>
            <w:tcW w:w="1015" w:type="dxa"/>
            <w:tcBorders>
              <w:left w:val="single" w:color="auto" w:sz="4" w:space="0"/>
            </w:tcBorders>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10.1</w:t>
            </w:r>
          </w:p>
        </w:tc>
        <w:tc>
          <w:tcPr>
            <w:tcW w:w="8837" w:type="dxa"/>
            <w:gridSpan w:val="3"/>
            <w:tcBorders>
              <w:right w:val="single" w:color="auto" w:sz="4" w:space="0"/>
            </w:tcBorders>
            <w:vAlign w:val="center"/>
          </w:tcPr>
          <w:p>
            <w:pPr>
              <w:ind w:left="113" w:right="113"/>
              <w:jc w:val="left"/>
              <w:rPr>
                <w:rFonts w:asciiTheme="minorEastAsia" w:hAnsiTheme="minorEastAsia" w:eastAsiaTheme="minorEastAsia"/>
                <w:b/>
                <w:sz w:val="24"/>
              </w:rPr>
            </w:pPr>
            <w:r>
              <w:rPr>
                <w:rFonts w:hint="eastAsia" w:asciiTheme="minorEastAsia" w:hAnsiTheme="minorEastAsia" w:eastAsiaTheme="minorEastAsia"/>
                <w:b/>
                <w:sz w:val="24"/>
              </w:rPr>
              <w:t>按照交通运输部〔2015〕24号令，采用技术评分最低标价法。</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50" w:hRule="atLeast"/>
          <w:jc w:val="center"/>
        </w:trPr>
        <w:tc>
          <w:tcPr>
            <w:tcW w:w="1015" w:type="dxa"/>
            <w:tcBorders>
              <w:left w:val="single" w:color="auto" w:sz="4" w:space="0"/>
              <w:bottom w:val="single" w:color="auto" w:sz="4" w:space="0"/>
            </w:tcBorders>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10.2</w:t>
            </w:r>
          </w:p>
        </w:tc>
        <w:tc>
          <w:tcPr>
            <w:tcW w:w="8837" w:type="dxa"/>
            <w:gridSpan w:val="3"/>
            <w:tcBorders>
              <w:bottom w:val="single" w:color="auto" w:sz="4" w:space="0"/>
              <w:right w:val="single" w:color="auto" w:sz="4" w:space="0"/>
            </w:tcBorders>
            <w:vAlign w:val="center"/>
          </w:tcPr>
          <w:p>
            <w:pPr>
              <w:ind w:left="113" w:right="113"/>
              <w:jc w:val="left"/>
              <w:rPr>
                <w:rFonts w:asciiTheme="minorEastAsia" w:hAnsiTheme="minorEastAsia" w:eastAsiaTheme="minorEastAsia"/>
                <w:sz w:val="24"/>
              </w:rPr>
            </w:pPr>
            <w:r>
              <w:rPr>
                <w:rFonts w:hint="eastAsia" w:asciiTheme="minorEastAsia" w:hAnsiTheme="minorEastAsia" w:eastAsiaTheme="minorEastAsia"/>
                <w:b/>
                <w:sz w:val="24"/>
              </w:rPr>
              <w:t>清单单价报价要求参照合同项目专用合同条款。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29" w:hRule="atLeast"/>
          <w:jc w:val="center"/>
        </w:trPr>
        <w:tc>
          <w:tcPr>
            <w:tcW w:w="1015" w:type="dxa"/>
            <w:tcBorders>
              <w:left w:val="single" w:color="auto" w:sz="4" w:space="0"/>
            </w:tcBorders>
            <w:vAlign w:val="center"/>
          </w:tcPr>
          <w:p>
            <w:pPr>
              <w:ind w:left="113" w:right="113"/>
              <w:jc w:val="center"/>
              <w:rPr>
                <w:rFonts w:asciiTheme="minorEastAsia" w:hAnsiTheme="minorEastAsia" w:eastAsiaTheme="minorEastAsia"/>
                <w:sz w:val="24"/>
              </w:rPr>
            </w:pPr>
            <w:r>
              <w:rPr>
                <w:rFonts w:hint="eastAsia" w:asciiTheme="minorEastAsia" w:hAnsiTheme="minorEastAsia" w:eastAsiaTheme="minorEastAsia"/>
                <w:b/>
                <w:sz w:val="24"/>
              </w:rPr>
              <w:t>10.3</w:t>
            </w:r>
          </w:p>
        </w:tc>
        <w:tc>
          <w:tcPr>
            <w:tcW w:w="8837" w:type="dxa"/>
            <w:gridSpan w:val="3"/>
            <w:tcBorders>
              <w:right w:val="single" w:color="auto" w:sz="4" w:space="0"/>
            </w:tcBorders>
            <w:vAlign w:val="center"/>
          </w:tcPr>
          <w:p>
            <w:pPr>
              <w:ind w:left="113" w:right="113"/>
              <w:jc w:val="left"/>
              <w:rPr>
                <w:rFonts w:asciiTheme="minorEastAsia" w:hAnsiTheme="minorEastAsia" w:eastAsiaTheme="minorEastAsia"/>
                <w:sz w:val="24"/>
              </w:rPr>
            </w:pPr>
            <w:r>
              <w:rPr>
                <w:rFonts w:hint="eastAsia" w:asciiTheme="minorEastAsia" w:hAnsiTheme="minorEastAsia" w:eastAsiaTheme="minorEastAsia"/>
                <w:b/>
                <w:sz w:val="24"/>
              </w:rPr>
              <w:t>投标人在投标截止时间前应随时关注《全国公共资源交易平台（河南省·许昌市）》发出的有关本工程的答疑、修改等相关内容。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9" w:hRule="atLeast"/>
          <w:jc w:val="center"/>
        </w:trPr>
        <w:tc>
          <w:tcPr>
            <w:tcW w:w="1015" w:type="dxa"/>
            <w:tcBorders>
              <w:left w:val="single" w:color="auto" w:sz="4" w:space="0"/>
            </w:tcBorders>
            <w:vAlign w:val="center"/>
          </w:tcPr>
          <w:p>
            <w:pPr>
              <w:ind w:left="113" w:right="113"/>
              <w:jc w:val="center"/>
              <w:rPr>
                <w:rFonts w:asciiTheme="minorEastAsia" w:hAnsiTheme="minorEastAsia" w:eastAsiaTheme="minorEastAsia"/>
                <w:sz w:val="24"/>
              </w:rPr>
            </w:pPr>
            <w:r>
              <w:rPr>
                <w:rFonts w:hint="eastAsia" w:asciiTheme="minorEastAsia" w:hAnsiTheme="minorEastAsia" w:eastAsiaTheme="minorEastAsia"/>
                <w:b/>
                <w:sz w:val="24"/>
              </w:rPr>
              <w:t>10.4</w:t>
            </w:r>
          </w:p>
        </w:tc>
        <w:tc>
          <w:tcPr>
            <w:tcW w:w="8837" w:type="dxa"/>
            <w:gridSpan w:val="3"/>
            <w:tcBorders>
              <w:right w:val="single" w:color="auto" w:sz="4" w:space="0"/>
            </w:tcBorders>
            <w:vAlign w:val="center"/>
          </w:tcPr>
          <w:p>
            <w:pPr>
              <w:ind w:left="113" w:right="113"/>
              <w:jc w:val="left"/>
              <w:rPr>
                <w:rFonts w:asciiTheme="minorEastAsia" w:hAnsiTheme="minorEastAsia" w:eastAsiaTheme="minorEastAsia"/>
                <w:b/>
                <w:sz w:val="24"/>
              </w:rPr>
            </w:pPr>
            <w:r>
              <w:rPr>
                <w:rFonts w:hint="eastAsia" w:asciiTheme="minorEastAsia" w:hAnsiTheme="minorEastAsia" w:eastAsiaTheme="minorEastAsia"/>
                <w:b/>
                <w:bCs/>
                <w:sz w:val="24"/>
              </w:rPr>
              <w:t>投标文件第一个信封(商务及技术文件)不得出现有关投标报价的内容，否则评标委员会将对投标文件第一个信封(商务及技术文件)作废标处理。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7" w:hRule="atLeast"/>
          <w:jc w:val="center"/>
        </w:trPr>
        <w:tc>
          <w:tcPr>
            <w:tcW w:w="1015" w:type="dxa"/>
            <w:tcBorders>
              <w:left w:val="single" w:color="auto" w:sz="4" w:space="0"/>
            </w:tcBorders>
            <w:vAlign w:val="center"/>
          </w:tcPr>
          <w:p>
            <w:pPr>
              <w:ind w:left="113" w:right="113"/>
              <w:jc w:val="center"/>
              <w:rPr>
                <w:rFonts w:asciiTheme="minorEastAsia" w:hAnsiTheme="minorEastAsia" w:eastAsiaTheme="minorEastAsia"/>
                <w:b/>
                <w:sz w:val="24"/>
              </w:rPr>
            </w:pPr>
            <w:r>
              <w:rPr>
                <w:rFonts w:hint="eastAsia" w:asciiTheme="minorEastAsia" w:hAnsiTheme="minorEastAsia" w:eastAsiaTheme="minorEastAsia"/>
                <w:b/>
                <w:sz w:val="24"/>
              </w:rPr>
              <w:t>10.5</w:t>
            </w:r>
          </w:p>
        </w:tc>
        <w:tc>
          <w:tcPr>
            <w:tcW w:w="8837" w:type="dxa"/>
            <w:gridSpan w:val="3"/>
            <w:tcBorders>
              <w:right w:val="single" w:color="auto" w:sz="4" w:space="0"/>
            </w:tcBorders>
            <w:vAlign w:val="center"/>
          </w:tcPr>
          <w:p>
            <w:pPr>
              <w:ind w:left="113" w:right="113"/>
              <w:jc w:val="left"/>
              <w:rPr>
                <w:rFonts w:asciiTheme="minorEastAsia" w:hAnsiTheme="minorEastAsia" w:eastAsiaTheme="minorEastAsia"/>
                <w:b/>
                <w:sz w:val="24"/>
              </w:rPr>
            </w:pPr>
            <w:r>
              <w:rPr>
                <w:rFonts w:hint="eastAsia" w:asciiTheme="minorEastAsia" w:hAnsiTheme="minorEastAsia" w:eastAsiaTheme="minorEastAsia"/>
                <w:b/>
                <w:sz w:val="24"/>
              </w:rPr>
              <w:t>类似工程是指指2017年1月1日以来承建过的公路工程。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18" w:hRule="atLeast"/>
          <w:jc w:val="center"/>
        </w:trPr>
        <w:tc>
          <w:tcPr>
            <w:tcW w:w="1015" w:type="dxa"/>
            <w:tcBorders>
              <w:left w:val="single" w:color="auto" w:sz="4" w:space="0"/>
            </w:tcBorders>
            <w:vAlign w:val="center"/>
          </w:tcPr>
          <w:p>
            <w:pPr>
              <w:ind w:left="113" w:right="113"/>
              <w:jc w:val="center"/>
              <w:rPr>
                <w:rFonts w:asciiTheme="minorEastAsia" w:hAnsiTheme="minorEastAsia" w:eastAsiaTheme="minorEastAsia"/>
                <w:b/>
                <w:sz w:val="24"/>
              </w:rPr>
            </w:pPr>
            <w:r>
              <w:rPr>
                <w:rFonts w:hint="eastAsia" w:asciiTheme="minorEastAsia" w:hAnsiTheme="minorEastAsia" w:eastAsiaTheme="minorEastAsia"/>
                <w:b/>
                <w:sz w:val="24"/>
              </w:rPr>
              <w:t>10.6</w:t>
            </w:r>
          </w:p>
        </w:tc>
        <w:tc>
          <w:tcPr>
            <w:tcW w:w="8837" w:type="dxa"/>
            <w:gridSpan w:val="3"/>
            <w:tcBorders>
              <w:right w:val="single" w:color="auto" w:sz="4" w:space="0"/>
            </w:tcBorders>
            <w:vAlign w:val="center"/>
          </w:tcPr>
          <w:p>
            <w:pPr>
              <w:ind w:left="113" w:right="113"/>
              <w:jc w:val="left"/>
              <w:rPr>
                <w:rFonts w:asciiTheme="minorEastAsia" w:hAnsiTheme="minorEastAsia" w:eastAsiaTheme="minorEastAsia"/>
                <w:b/>
                <w:sz w:val="24"/>
              </w:rPr>
            </w:pPr>
            <w:r>
              <w:rPr>
                <w:rFonts w:hint="eastAsia" w:cs="仿宋" w:asciiTheme="minorEastAsia" w:hAnsiTheme="minorEastAsia" w:eastAsiaTheme="minorEastAsia"/>
                <w:b/>
                <w:bCs/>
                <w:sz w:val="24"/>
              </w:rPr>
              <w:t>潜在投标人如对招标文件有异议，请在规定时间内在《全国公共资源交易平台（河南省·许昌市）》上提出，以其他方式递交的异议不予接受。</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18" w:hRule="atLeast"/>
          <w:jc w:val="center"/>
        </w:trPr>
        <w:tc>
          <w:tcPr>
            <w:tcW w:w="1015" w:type="dxa"/>
            <w:tcBorders>
              <w:left w:val="single" w:color="auto" w:sz="4" w:space="0"/>
            </w:tcBorders>
            <w:vAlign w:val="center"/>
          </w:tcPr>
          <w:p>
            <w:pPr>
              <w:ind w:left="113" w:right="113"/>
              <w:jc w:val="center"/>
              <w:rPr>
                <w:rFonts w:asciiTheme="minorEastAsia" w:hAnsiTheme="minorEastAsia" w:eastAsiaTheme="minorEastAsia"/>
                <w:b/>
                <w:sz w:val="24"/>
              </w:rPr>
            </w:pPr>
            <w:r>
              <w:rPr>
                <w:rFonts w:hint="eastAsia" w:asciiTheme="minorEastAsia" w:hAnsiTheme="minorEastAsia" w:eastAsiaTheme="minorEastAsia"/>
                <w:b/>
                <w:sz w:val="24"/>
              </w:rPr>
              <w:t>10.7</w:t>
            </w:r>
          </w:p>
        </w:tc>
        <w:tc>
          <w:tcPr>
            <w:tcW w:w="8837" w:type="dxa"/>
            <w:gridSpan w:val="3"/>
            <w:tcBorders>
              <w:right w:val="single" w:color="auto" w:sz="4" w:space="0"/>
            </w:tcBorders>
            <w:vAlign w:val="center"/>
          </w:tcPr>
          <w:p>
            <w:pPr>
              <w:autoSpaceDE w:val="0"/>
              <w:autoSpaceDN w:val="0"/>
              <w:jc w:val="left"/>
              <w:outlineLvl w:val="0"/>
              <w:rPr>
                <w:rFonts w:asciiTheme="minorEastAsia" w:hAnsiTheme="minorEastAsia" w:eastAsiaTheme="minorEastAsia"/>
                <w:b/>
                <w:sz w:val="24"/>
              </w:rPr>
            </w:pPr>
            <w:r>
              <w:rPr>
                <w:rFonts w:hint="eastAsia" w:asciiTheme="minorEastAsia" w:hAnsiTheme="minorEastAsia" w:eastAsiaTheme="minorEastAsia"/>
                <w:b/>
                <w:sz w:val="24"/>
              </w:rPr>
              <w:t>特别提示</w:t>
            </w:r>
          </w:p>
          <w:p>
            <w:pPr>
              <w:spacing w:line="240" w:lineRule="auto"/>
              <w:jc w:val="left"/>
              <w:rPr>
                <w:rFonts w:asciiTheme="minorEastAsia" w:hAnsiTheme="minorEastAsia" w:eastAsiaTheme="minorEastAsia"/>
                <w:sz w:val="24"/>
              </w:rPr>
            </w:pPr>
            <w:r>
              <w:rPr>
                <w:rFonts w:hint="eastAsia" w:asciiTheme="minorEastAsia" w:hAnsiTheme="minorEastAsia" w:eastAsiaTheme="minorEastAsia"/>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spacing w:line="240" w:lineRule="auto"/>
              <w:jc w:val="left"/>
              <w:rPr>
                <w:rFonts w:asciiTheme="minorEastAsia" w:hAnsiTheme="minorEastAsia" w:eastAsiaTheme="minorEastAsia"/>
                <w:sz w:val="24"/>
              </w:rPr>
            </w:pPr>
            <w:r>
              <w:rPr>
                <w:rFonts w:hint="eastAsia" w:asciiTheme="minorEastAsia" w:hAnsiTheme="minorEastAsia" w:eastAsiaTheme="minorEastAsia"/>
                <w:sz w:val="24"/>
              </w:rPr>
              <w:t>2、潜在投标人如对招标文件有异议，请在规定时间内在《全国公共资源交易平台（河南省·许昌市）》公共资源交易系统中提出，以其他方式递交的异议不予接受。</w:t>
            </w:r>
          </w:p>
          <w:p>
            <w:pPr>
              <w:spacing w:line="240" w:lineRule="auto"/>
              <w:jc w:val="left"/>
              <w:rPr>
                <w:rFonts w:asciiTheme="minorEastAsia" w:hAnsiTheme="minorEastAsia" w:eastAsiaTheme="minorEastAsia"/>
                <w:sz w:val="24"/>
              </w:rPr>
            </w:pPr>
            <w:r>
              <w:rPr>
                <w:rFonts w:hint="eastAsia" w:asciiTheme="minorEastAsia" w:hAnsiTheme="minorEastAsia" w:eastAsiaTheme="minorEastAsia"/>
                <w:sz w:val="24"/>
              </w:rPr>
              <w:t>3、投标人在投标截止时间前应随时关注《全国公共资源交易平台（河南省·许昌市）》公共资源交易系统发出的有关本项目的答疑、修改等相关内容。</w:t>
            </w:r>
          </w:p>
          <w:p>
            <w:pPr>
              <w:spacing w:line="240" w:lineRule="auto"/>
              <w:jc w:val="left"/>
              <w:rPr>
                <w:rFonts w:asciiTheme="minorEastAsia" w:hAnsiTheme="minorEastAsia" w:eastAsiaTheme="minorEastAsia"/>
                <w:sz w:val="24"/>
              </w:rPr>
            </w:pPr>
            <w:r>
              <w:rPr>
                <w:rFonts w:hint="eastAsia" w:asciiTheme="minorEastAsia" w:hAnsiTheme="minorEastAsia" w:eastAsiaTheme="minorEastAsia"/>
                <w:sz w:val="24"/>
              </w:rPr>
              <w:t>4、本项目试行全流程电子化交易，如因交易系统异常情况无法完成，将以人工方式进行。</w:t>
            </w:r>
          </w:p>
          <w:p>
            <w:pPr>
              <w:spacing w:line="240" w:lineRule="auto"/>
              <w:jc w:val="left"/>
              <w:rPr>
                <w:rFonts w:asciiTheme="minorEastAsia" w:hAnsiTheme="minorEastAsia" w:eastAsiaTheme="minorEastAsia"/>
                <w:sz w:val="24"/>
              </w:rPr>
            </w:pPr>
            <w:r>
              <w:rPr>
                <w:rFonts w:hint="eastAsia" w:asciiTheme="minorEastAsia" w:hAnsiTheme="minorEastAsia" w:eastAsiaTheme="minorEastAsia"/>
                <w:sz w:val="24"/>
              </w:rPr>
              <w:t>5、投标文件依据最终的招标文件进行编制。如果招标文件发生变更，投标人应以招标人最终发出的电子招标文件为准，编制投标文件，务请投标人随时关注项目变更信息。</w:t>
            </w:r>
          </w:p>
          <w:p>
            <w:pPr>
              <w:spacing w:line="240" w:lineRule="auto"/>
              <w:jc w:val="left"/>
              <w:rPr>
                <w:rFonts w:asciiTheme="minorEastAsia" w:hAnsiTheme="minorEastAsia" w:eastAsiaTheme="minorEastAsia"/>
                <w:sz w:val="24"/>
              </w:rPr>
            </w:pPr>
            <w:r>
              <w:rPr>
                <w:rFonts w:hint="eastAsia" w:asciiTheme="minorEastAsia" w:hAnsiTheme="minorEastAsia" w:eastAsiaTheme="minorEastAsia"/>
                <w:sz w:val="24"/>
              </w:rPr>
              <w:t>6、投标人电子投标文件成功提交后，应打印“投标文件提交回执单”，供开标现场备查。</w:t>
            </w:r>
          </w:p>
          <w:p>
            <w:pPr>
              <w:spacing w:line="240" w:lineRule="auto"/>
              <w:jc w:val="left"/>
              <w:rPr>
                <w:rFonts w:asciiTheme="minorEastAsia" w:hAnsiTheme="minorEastAsia" w:eastAsiaTheme="minorEastAsia"/>
                <w:sz w:val="24"/>
              </w:rPr>
            </w:pPr>
            <w:r>
              <w:rPr>
                <w:rFonts w:hint="eastAsia" w:asciiTheme="minorEastAsia" w:hAnsiTheme="minorEastAsia" w:eastAsiaTheme="minorEastAsia"/>
                <w:sz w:val="24"/>
              </w:rPr>
              <w:t>7、商务标投标文件制作注意事项：</w:t>
            </w:r>
          </w:p>
          <w:p>
            <w:pPr>
              <w:spacing w:line="240" w:lineRule="auto"/>
              <w:jc w:val="left"/>
              <w:rPr>
                <w:rFonts w:asciiTheme="minorEastAsia" w:hAnsiTheme="minorEastAsia" w:eastAsiaTheme="minorEastAsia"/>
                <w:sz w:val="24"/>
              </w:rPr>
            </w:pPr>
            <w:r>
              <w:rPr>
                <w:rFonts w:hint="eastAsia" w:asciiTheme="minorEastAsia" w:hAnsiTheme="minorEastAsia" w:eastAsiaTheme="minorEastAsia"/>
                <w:sz w:val="24"/>
              </w:rPr>
              <w:t>7.1 投标人登录《全国公共资源交易平台（河南省·许昌市）》公共资源交易系统下载“许昌投标文件制作系统SEARUN V1.1” 和操作手册（工程项目），按招标文件要求制作商务标投标文件。</w:t>
            </w:r>
          </w:p>
          <w:p>
            <w:pPr>
              <w:spacing w:line="240" w:lineRule="auto"/>
              <w:jc w:val="left"/>
              <w:rPr>
                <w:rFonts w:cs="仿宋" w:asciiTheme="minorEastAsia" w:hAnsiTheme="minorEastAsia" w:eastAsiaTheme="minorEastAsia"/>
                <w:b/>
                <w:bCs/>
                <w:sz w:val="24"/>
              </w:rPr>
            </w:pPr>
            <w:r>
              <w:rPr>
                <w:rFonts w:hint="eastAsia" w:asciiTheme="minorEastAsia" w:hAnsiTheme="minorEastAsia" w:eastAsiaTheme="minorEastAsia"/>
                <w:sz w:val="24"/>
              </w:rPr>
              <w:t>7.2 商务标投标文件制作技术咨询：0374-2961598。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18" w:hRule="atLeast"/>
          <w:jc w:val="center"/>
        </w:trPr>
        <w:tc>
          <w:tcPr>
            <w:tcW w:w="1015" w:type="dxa"/>
            <w:tcBorders>
              <w:left w:val="single" w:color="auto" w:sz="4" w:space="0"/>
            </w:tcBorders>
            <w:vAlign w:val="center"/>
          </w:tcPr>
          <w:p>
            <w:pPr>
              <w:ind w:left="113" w:right="113"/>
              <w:jc w:val="center"/>
              <w:rPr>
                <w:rFonts w:asciiTheme="minorEastAsia" w:hAnsiTheme="minorEastAsia" w:eastAsiaTheme="minorEastAsia"/>
                <w:b/>
                <w:sz w:val="24"/>
              </w:rPr>
            </w:pPr>
            <w:r>
              <w:rPr>
                <w:rFonts w:hint="eastAsia" w:asciiTheme="minorEastAsia" w:hAnsiTheme="minorEastAsia" w:eastAsiaTheme="minorEastAsia"/>
                <w:b/>
                <w:sz w:val="24"/>
              </w:rPr>
              <w:t>10.8</w:t>
            </w:r>
          </w:p>
        </w:tc>
        <w:tc>
          <w:tcPr>
            <w:tcW w:w="8837" w:type="dxa"/>
            <w:gridSpan w:val="3"/>
            <w:tcBorders>
              <w:right w:val="single" w:color="auto" w:sz="4" w:space="0"/>
            </w:tcBorders>
            <w:vAlign w:val="center"/>
          </w:tcPr>
          <w:p>
            <w:pPr>
              <w:spacing w:line="360" w:lineRule="auto"/>
              <w:jc w:val="left"/>
              <w:rPr>
                <w:rFonts w:asciiTheme="minorEastAsia" w:hAnsiTheme="minorEastAsia" w:eastAsiaTheme="minorEastAsia"/>
                <w:b/>
                <w:bCs/>
                <w:sz w:val="24"/>
              </w:rPr>
            </w:pPr>
            <w:r>
              <w:rPr>
                <w:rFonts w:hint="eastAsia" w:asciiTheme="minorEastAsia" w:hAnsiTheme="minorEastAsia" w:eastAsiaTheme="minorEastAsia"/>
                <w:b/>
                <w:bCs/>
                <w:sz w:val="24"/>
              </w:rPr>
              <w:t>注意事项</w:t>
            </w:r>
          </w:p>
          <w:p>
            <w:pPr>
              <w:spacing w:line="360" w:lineRule="auto"/>
              <w:jc w:val="left"/>
              <w:rPr>
                <w:rFonts w:hint="eastAsia" w:cs="Times New Roman" w:asciiTheme="minorEastAsia" w:hAnsiTheme="minorEastAsia" w:eastAsiaTheme="minorEastAsia"/>
                <w:b/>
                <w:bCs/>
                <w:sz w:val="24"/>
                <w:lang w:val="zh-CN"/>
              </w:rPr>
            </w:pPr>
            <w:r>
              <w:rPr>
                <w:rFonts w:hint="eastAsia" w:cs="Times New Roman" w:asciiTheme="minorEastAsia" w:hAnsiTheme="minorEastAsia" w:eastAsiaTheme="minorEastAsia"/>
                <w:b/>
                <w:bCs/>
                <w:sz w:val="24"/>
                <w:lang w:val="zh-CN"/>
              </w:rPr>
              <w:t>按照《关于推进全流程电子化交易和在线监管工作有关问题的通知》（许公管办[2019]3号）规定：不同</w:t>
            </w:r>
            <w:r>
              <w:rPr>
                <w:rFonts w:hint="eastAsia" w:cs="Times New Roman" w:asciiTheme="minorEastAsia" w:hAnsiTheme="minorEastAsia" w:eastAsiaTheme="minorEastAsia"/>
                <w:b/>
                <w:bCs/>
                <w:sz w:val="24"/>
              </w:rPr>
              <w:t>投标人电子投标文件记录的</w:t>
            </w:r>
            <w:r>
              <w:rPr>
                <w:rFonts w:hint="eastAsia" w:cs="Times New Roman" w:asciiTheme="minorEastAsia" w:hAnsiTheme="minorEastAsia" w:eastAsiaTheme="minorEastAsia"/>
                <w:b/>
                <w:bCs/>
                <w:sz w:val="24"/>
                <w:lang w:val="zh-CN"/>
              </w:rPr>
              <w:t>网卡MAC地址、CPU序号、硬盘序列号</w:t>
            </w:r>
            <w:r>
              <w:rPr>
                <w:rFonts w:hint="eastAsia" w:cs="Times New Roman" w:asciiTheme="minorEastAsia" w:hAnsiTheme="minorEastAsia" w:eastAsiaTheme="minorEastAsia"/>
                <w:b/>
                <w:bCs/>
                <w:sz w:val="24"/>
              </w:rPr>
              <w:t>等硬件特征码均相同</w:t>
            </w:r>
            <w:r>
              <w:rPr>
                <w:rFonts w:hint="eastAsia" w:cs="Times New Roman" w:asciiTheme="minorEastAsia" w:hAnsiTheme="minorEastAsia" w:eastAsiaTheme="minorEastAsia"/>
                <w:b/>
                <w:bCs/>
                <w:sz w:val="24"/>
                <w:lang w:val="zh-CN"/>
              </w:rPr>
              <w:t>时，视为‘不同投标人的投标文件由同一单位或者个人编制’或‘不同投标人委托同一单位或者个人办理响应事宜’，其投标无效。</w:t>
            </w:r>
          </w:p>
          <w:p>
            <w:pPr>
              <w:spacing w:line="360" w:lineRule="auto"/>
              <w:jc w:val="left"/>
              <w:rPr>
                <w:rFonts w:asciiTheme="minorEastAsia" w:hAnsiTheme="minorEastAsia" w:eastAsiaTheme="minorEastAsia"/>
                <w:sz w:val="24"/>
              </w:rPr>
            </w:pPr>
            <w:r>
              <w:rPr>
                <w:rFonts w:hint="eastAsia" w:cs="Times New Roman" w:asciiTheme="minorEastAsia" w:hAnsiTheme="minorEastAsia" w:eastAsiaTheme="minorEastAsia"/>
                <w:b/>
                <w:bCs/>
                <w:sz w:val="24"/>
                <w:lang w:val="zh-CN"/>
              </w:rPr>
              <w:t>评审专家应严格按照要求查看“硬件特征码” 相关信息并进行评审，在评审报告中显示“不同投标人电子投标文件制作硬件特征码”是否雷同的分析及判定结果</w:t>
            </w:r>
            <w:r>
              <w:rPr>
                <w:rFonts w:hint="eastAsia" w:cs="Times New Roman" w:asciiTheme="minorEastAsia" w:hAnsiTheme="minorEastAsia" w:eastAsiaTheme="minorEastAsia"/>
                <w:b/>
                <w:bCs/>
                <w:sz w:val="24"/>
              </w:rPr>
              <w:t>。</w:t>
            </w:r>
          </w:p>
        </w:tc>
      </w:tr>
    </w:tbl>
    <w:p>
      <w:pPr>
        <w:spacing w:line="312" w:lineRule="auto"/>
        <w:jc w:val="center"/>
        <w:outlineLvl w:val="0"/>
        <w:rPr>
          <w:rFonts w:asciiTheme="minorEastAsia" w:hAnsiTheme="minorEastAsia" w:eastAsiaTheme="minorEastAsia"/>
          <w:bCs/>
          <w:sz w:val="24"/>
        </w:rPr>
      </w:pPr>
    </w:p>
    <w:p>
      <w:pPr>
        <w:pStyle w:val="2"/>
        <w:ind w:firstLine="210"/>
      </w:pPr>
      <w:r>
        <w:br w:type="page"/>
      </w:r>
    </w:p>
    <w:p>
      <w:pPr>
        <w:pStyle w:val="6"/>
        <w:spacing w:before="240" w:after="240" w:line="240" w:lineRule="auto"/>
        <w:jc w:val="center"/>
        <w:rPr>
          <w:rFonts w:ascii="黑体" w:eastAsia="黑体"/>
          <w:sz w:val="30"/>
          <w:szCs w:val="30"/>
          <w:vertAlign w:val="superscript"/>
        </w:rPr>
      </w:pPr>
      <w:bookmarkStart w:id="2" w:name="_Toc31404"/>
      <w:bookmarkStart w:id="3" w:name="_Toc486277862"/>
      <w:bookmarkStart w:id="4" w:name="_Toc485889001"/>
      <w:r>
        <w:rPr>
          <w:rFonts w:hint="eastAsia" w:ascii="黑体" w:eastAsia="黑体"/>
          <w:sz w:val="30"/>
          <w:szCs w:val="30"/>
        </w:rPr>
        <w:t>附录1   资格审查条件(资质最低条件)</w:t>
      </w:r>
      <w:bookmarkEnd w:id="2"/>
      <w:bookmarkEnd w:id="3"/>
      <w:bookmarkEnd w:id="4"/>
    </w:p>
    <w:tbl>
      <w:tblPr>
        <w:tblStyle w:val="14"/>
        <w:tblW w:w="90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9072" w:type="dxa"/>
            <w:vAlign w:val="center"/>
          </w:tcPr>
          <w:p>
            <w:pPr>
              <w:jc w:val="center"/>
              <w:rPr>
                <w:rFonts w:ascii="宋体" w:hAnsi="宋体"/>
                <w:sz w:val="24"/>
              </w:rPr>
            </w:pPr>
            <w:r>
              <w:rPr>
                <w:rFonts w:hint="eastAsia" w:ascii="宋体" w:hAnsi="宋体"/>
                <w:sz w:val="24"/>
              </w:rPr>
              <w:t>施工企业资质等级要求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782" w:hRule="atLeast"/>
          <w:jc w:val="center"/>
        </w:trPr>
        <w:tc>
          <w:tcPr>
            <w:tcW w:w="9072" w:type="dxa"/>
            <w:vAlign w:val="center"/>
          </w:tcPr>
          <w:p>
            <w:pPr>
              <w:spacing w:line="360" w:lineRule="auto"/>
              <w:ind w:firstLine="480" w:firstLineChars="200"/>
              <w:rPr>
                <w:rFonts w:ascii="宋体" w:hAnsi="宋体"/>
                <w:sz w:val="24"/>
                <w:highlight w:val="yellow"/>
              </w:rPr>
            </w:pPr>
            <w:r>
              <w:rPr>
                <w:rFonts w:hint="eastAsia" w:ascii="宋体" w:hAnsi="宋体"/>
                <w:sz w:val="24"/>
                <w:lang w:val="en-US" w:eastAsia="zh-CN"/>
              </w:rPr>
              <w:t>1.</w:t>
            </w:r>
            <w:r>
              <w:rPr>
                <w:rFonts w:hint="eastAsia" w:ascii="宋体" w:hAnsi="宋体"/>
                <w:sz w:val="24"/>
              </w:rPr>
              <w:t xml:space="preserve"> 须具备独立法人资格；</w:t>
            </w:r>
          </w:p>
          <w:p>
            <w:pPr>
              <w:spacing w:line="360" w:lineRule="auto"/>
              <w:ind w:firstLine="480" w:firstLineChars="200"/>
              <w:rPr>
                <w:rFonts w:ascii="宋体" w:hAnsi="宋体"/>
                <w:sz w:val="24"/>
              </w:rPr>
            </w:pPr>
            <w:r>
              <w:rPr>
                <w:rFonts w:hint="eastAsia" w:ascii="宋体" w:hAnsi="宋体"/>
                <w:sz w:val="24"/>
                <w:lang w:val="en-US" w:eastAsia="zh-CN"/>
              </w:rPr>
              <w:t>2.</w:t>
            </w:r>
            <w:r>
              <w:rPr>
                <w:rFonts w:hint="eastAsia" w:ascii="宋体" w:hAnsi="宋体"/>
                <w:sz w:val="24"/>
              </w:rPr>
              <w:t>须具备建设行政主管部门颁发的公路工程施工总承包三级及以上资质，并具备有效的安全生产许可证，在人员、设备、资金等方面具有相应的施工能力；</w:t>
            </w:r>
          </w:p>
          <w:p>
            <w:pPr>
              <w:spacing w:line="360" w:lineRule="auto"/>
              <w:ind w:firstLine="480" w:firstLineChars="200"/>
              <w:rPr>
                <w:rFonts w:ascii="宋体" w:hAnsi="宋体"/>
                <w:sz w:val="24"/>
              </w:rPr>
            </w:pPr>
            <w:r>
              <w:rPr>
                <w:rFonts w:hint="eastAsia" w:ascii="宋体" w:hAnsi="宋体"/>
                <w:sz w:val="24"/>
              </w:rPr>
              <w:t>2.拟派建造师须具备贰级及以上公路工程专业注册建造师执业资格，具备有效的安全生产考核合格证书，且未担任其他在施建设项目的项目经理。拟派项目总工须具备中级及以上相关专业技术职称；</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tc>
      </w:tr>
    </w:tbl>
    <w:p>
      <w:pPr>
        <w:spacing w:before="120" w:after="120"/>
        <w:jc w:val="center"/>
        <w:rPr>
          <w:rFonts w:ascii="黑体" w:eastAsia="黑体"/>
          <w:b/>
          <w:bCs/>
          <w:kern w:val="44"/>
          <w:sz w:val="30"/>
          <w:szCs w:val="30"/>
        </w:rPr>
      </w:pPr>
    </w:p>
    <w:p>
      <w:pPr>
        <w:spacing w:before="120" w:after="120"/>
        <w:jc w:val="center"/>
        <w:rPr>
          <w:rFonts w:hint="eastAsia" w:ascii="黑体" w:eastAsia="黑体"/>
          <w:b/>
          <w:bCs/>
          <w:kern w:val="44"/>
          <w:sz w:val="30"/>
          <w:szCs w:val="30"/>
        </w:rPr>
      </w:pPr>
    </w:p>
    <w:p>
      <w:pPr>
        <w:spacing w:before="120" w:after="120"/>
        <w:jc w:val="center"/>
        <w:rPr>
          <w:rFonts w:ascii="隶书" w:hAnsi="宋体" w:eastAsia="隶书"/>
          <w:sz w:val="24"/>
          <w:vertAlign w:val="superscript"/>
        </w:rPr>
      </w:pPr>
      <w:r>
        <w:rPr>
          <w:rFonts w:hint="eastAsia" w:ascii="黑体" w:eastAsia="黑体"/>
          <w:b/>
          <w:bCs/>
          <w:kern w:val="44"/>
          <w:sz w:val="30"/>
          <w:szCs w:val="30"/>
        </w:rPr>
        <w:t>附录2   资格审查条件(财务最低要求)</w:t>
      </w:r>
    </w:p>
    <w:tbl>
      <w:tblPr>
        <w:tblStyle w:val="14"/>
        <w:tblW w:w="92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9239" w:type="dxa"/>
            <w:vAlign w:val="center"/>
          </w:tcPr>
          <w:p>
            <w:pPr>
              <w:jc w:val="center"/>
              <w:rPr>
                <w:rFonts w:ascii="宋体" w:hAnsi="宋体"/>
                <w:sz w:val="24"/>
              </w:rPr>
            </w:pPr>
            <w:r>
              <w:rPr>
                <w:rFonts w:hint="eastAsia" w:ascii="宋体" w:hAnsi="宋体"/>
                <w:sz w:val="24"/>
              </w:rPr>
              <w:t>财 务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902" w:hRule="atLeast"/>
          <w:jc w:val="center"/>
        </w:trPr>
        <w:tc>
          <w:tcPr>
            <w:tcW w:w="9239" w:type="dxa"/>
            <w:vAlign w:val="center"/>
          </w:tcPr>
          <w:p>
            <w:pPr>
              <w:spacing w:line="480" w:lineRule="exact"/>
              <w:ind w:firstLine="480" w:firstLineChars="200"/>
              <w:rPr>
                <w:rFonts w:ascii="宋体" w:hAnsi="宋体"/>
                <w:sz w:val="24"/>
                <w:highlight w:val="yellow"/>
              </w:rPr>
            </w:pPr>
            <w:r>
              <w:rPr>
                <w:rFonts w:hint="eastAsia" w:ascii="宋体" w:hAnsi="宋体"/>
                <w:sz w:val="24"/>
              </w:rPr>
              <w:t>投标人应提交最近三年内（</w:t>
            </w:r>
            <w:r>
              <w:rPr>
                <w:rFonts w:hint="eastAsia" w:ascii="宋体" w:hAnsi="宋体" w:cs="仿宋_GB2312"/>
                <w:sz w:val="24"/>
              </w:rPr>
              <w:t>2016年1月1日以来</w:t>
            </w:r>
            <w:r>
              <w:rPr>
                <w:rFonts w:hint="eastAsia" w:ascii="宋体" w:hAnsi="宋体"/>
                <w:sz w:val="24"/>
              </w:rPr>
              <w:t>）(</w:t>
            </w:r>
            <w:r>
              <w:rPr>
                <w:rFonts w:hint="eastAsia" w:hAnsi="宋体"/>
                <w:bCs/>
                <w:sz w:val="24"/>
              </w:rPr>
              <w:t>若公司成立未满三年，须提供成立当年至今的财务报告</w:t>
            </w:r>
            <w:r>
              <w:rPr>
                <w:rFonts w:hint="eastAsia" w:ascii="宋体" w:hAnsi="宋体"/>
                <w:sz w:val="24"/>
              </w:rPr>
              <w:t>)经审计的资产负债表、利润表、现金流量表。证明投标人的财务状况良好，财务无亏损，没有被接管、冻结、破产状态；必要时，业主将向投标人的开户银行进行查询。</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tc>
      </w:tr>
    </w:tbl>
    <w:p>
      <w:pPr>
        <w:rPr>
          <w:rFonts w:ascii="宋体" w:hAnsi="宋体"/>
          <w:sz w:val="24"/>
        </w:rPr>
      </w:pPr>
    </w:p>
    <w:p>
      <w:pPr>
        <w:spacing w:before="120" w:after="120"/>
        <w:jc w:val="center"/>
        <w:rPr>
          <w:rFonts w:hint="eastAsia" w:ascii="黑体" w:eastAsia="黑体"/>
          <w:b/>
          <w:bCs/>
          <w:kern w:val="44"/>
          <w:sz w:val="30"/>
          <w:szCs w:val="30"/>
        </w:rPr>
      </w:pPr>
    </w:p>
    <w:p>
      <w:pPr>
        <w:spacing w:before="120" w:after="120"/>
        <w:jc w:val="center"/>
        <w:rPr>
          <w:rFonts w:ascii="黑体" w:eastAsia="黑体"/>
          <w:b/>
          <w:bCs/>
          <w:kern w:val="44"/>
          <w:sz w:val="30"/>
          <w:szCs w:val="30"/>
        </w:rPr>
      </w:pPr>
      <w:r>
        <w:rPr>
          <w:rFonts w:hint="eastAsia" w:ascii="黑体" w:eastAsia="黑体"/>
          <w:b/>
          <w:bCs/>
          <w:kern w:val="44"/>
          <w:sz w:val="30"/>
          <w:szCs w:val="30"/>
        </w:rPr>
        <w:t>附录3   资格审查条件(信誉最低要求)</w:t>
      </w:r>
    </w:p>
    <w:tbl>
      <w:tblPr>
        <w:tblStyle w:val="14"/>
        <w:tblW w:w="92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9239" w:type="dxa"/>
            <w:vAlign w:val="center"/>
          </w:tcPr>
          <w:p>
            <w:pPr>
              <w:jc w:val="center"/>
              <w:rPr>
                <w:rFonts w:ascii="宋体" w:hAnsi="宋体"/>
                <w:sz w:val="24"/>
              </w:rPr>
            </w:pPr>
            <w:r>
              <w:rPr>
                <w:rFonts w:hint="eastAsia" w:ascii="宋体" w:hAnsi="宋体"/>
                <w:sz w:val="24"/>
              </w:rPr>
              <w:t>信 誉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9239" w:type="dxa"/>
            <w:vAlign w:val="center"/>
          </w:tcPr>
          <w:p>
            <w:pPr>
              <w:spacing w:line="312" w:lineRule="auto"/>
              <w:ind w:firstLine="480" w:firstLineChars="200"/>
              <w:rPr>
                <w:rFonts w:asciiTheme="minorEastAsia" w:hAnsiTheme="minorEastAsia" w:eastAsiaTheme="minorEastAsia"/>
                <w:sz w:val="24"/>
              </w:rPr>
            </w:pPr>
          </w:p>
          <w:p>
            <w:pPr>
              <w:spacing w:line="360" w:lineRule="auto"/>
              <w:ind w:firstLine="480" w:firstLineChars="200"/>
              <w:rPr>
                <w:rFonts w:hint="eastAsia" w:ascii="宋体" w:hAnsi="宋体" w:cs="Times New Roman"/>
                <w:sz w:val="24"/>
              </w:rPr>
            </w:pPr>
            <w:r>
              <w:rPr>
                <w:rFonts w:hint="eastAsia" w:ascii="宋体" w:hAnsi="宋体"/>
                <w:sz w:val="24"/>
              </w:rPr>
              <w:t>根据《河南省公路建设市场从业单位及人员信用管理办法》第二十一条“对信用考核定级为D级即黑名单的从业单位，”不得参与本项目投标。</w:t>
            </w:r>
          </w:p>
          <w:p>
            <w:pPr>
              <w:autoSpaceDE w:val="0"/>
              <w:autoSpaceDN w:val="0"/>
              <w:adjustRightInd w:val="0"/>
              <w:spacing w:line="420" w:lineRule="exact"/>
              <w:ind w:firstLine="480" w:firstLineChars="200"/>
              <w:jc w:val="both"/>
              <w:outlineLvl w:val="0"/>
              <w:rPr>
                <w:rFonts w:ascii="宋体" w:hAnsi="宋体"/>
                <w:sz w:val="24"/>
              </w:rPr>
            </w:pPr>
            <w:r>
              <w:rPr>
                <w:rFonts w:hint="eastAsia" w:ascii="宋体" w:hAnsi="宋体" w:cs="Times New Roman"/>
                <w:sz w:val="24"/>
              </w:rPr>
              <w:t>投标人未被“信用中国”网站（www.creditchina.gov.cn）列入失信被执行人、重大税收违法案件当事人名单，未被“信用河南”网站（www.xyhn.gov.cn）信用信息栏列入黑名单，以及未被“国家企业信用信息公示系统”网站（www.gsxt.gov.cn）列入经营异常名录或严重失信黑名单等。</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tc>
      </w:tr>
    </w:tbl>
    <w:p>
      <w:pPr>
        <w:rPr>
          <w:rFonts w:ascii="宋体" w:hAnsi="宋体"/>
          <w:sz w:val="24"/>
        </w:rPr>
      </w:pPr>
    </w:p>
    <w:p>
      <w:pPr>
        <w:spacing w:before="120" w:after="120"/>
        <w:jc w:val="center"/>
        <w:rPr>
          <w:rFonts w:ascii="隶书" w:hAnsi="宋体" w:eastAsia="隶书"/>
          <w:sz w:val="24"/>
          <w:vertAlign w:val="superscript"/>
        </w:rPr>
      </w:pPr>
      <w:r>
        <w:rPr>
          <w:rFonts w:ascii="黑体" w:eastAsia="黑体"/>
          <w:b/>
          <w:bCs/>
          <w:kern w:val="44"/>
          <w:sz w:val="30"/>
          <w:szCs w:val="30"/>
        </w:rPr>
        <w:br w:type="page"/>
      </w:r>
      <w:r>
        <w:rPr>
          <w:rFonts w:hint="eastAsia" w:ascii="黑体" w:eastAsia="黑体"/>
          <w:b/>
          <w:bCs/>
          <w:kern w:val="44"/>
          <w:sz w:val="30"/>
          <w:szCs w:val="30"/>
        </w:rPr>
        <w:t>附录4   资格审查条件(项目经理和项目总工最低要求)</w:t>
      </w:r>
    </w:p>
    <w:tbl>
      <w:tblPr>
        <w:tblStyle w:val="14"/>
        <w:tblW w:w="92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1984"/>
        <w:gridCol w:w="50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exact"/>
          <w:jc w:val="center"/>
        </w:trPr>
        <w:tc>
          <w:tcPr>
            <w:tcW w:w="2235" w:type="dxa"/>
            <w:vAlign w:val="center"/>
          </w:tcPr>
          <w:p>
            <w:pPr>
              <w:jc w:val="center"/>
              <w:rPr>
                <w:rFonts w:ascii="宋体" w:hAnsi="宋体"/>
                <w:sz w:val="24"/>
              </w:rPr>
            </w:pPr>
            <w:r>
              <w:rPr>
                <w:rFonts w:hint="eastAsia" w:ascii="宋体" w:hAnsi="宋体"/>
                <w:sz w:val="24"/>
              </w:rPr>
              <w:t>人  员</w:t>
            </w:r>
          </w:p>
        </w:tc>
        <w:tc>
          <w:tcPr>
            <w:tcW w:w="1984" w:type="dxa"/>
            <w:vAlign w:val="center"/>
          </w:tcPr>
          <w:p>
            <w:pPr>
              <w:jc w:val="center"/>
              <w:rPr>
                <w:rFonts w:ascii="宋体" w:hAnsi="宋体"/>
                <w:sz w:val="24"/>
              </w:rPr>
            </w:pPr>
            <w:r>
              <w:rPr>
                <w:rFonts w:hint="eastAsia" w:ascii="宋体" w:hAnsi="宋体"/>
                <w:sz w:val="24"/>
              </w:rPr>
              <w:t>数  量</w:t>
            </w:r>
          </w:p>
        </w:tc>
        <w:tc>
          <w:tcPr>
            <w:tcW w:w="5020" w:type="dxa"/>
            <w:vAlign w:val="center"/>
          </w:tcPr>
          <w:p>
            <w:pPr>
              <w:jc w:val="center"/>
              <w:rPr>
                <w:rFonts w:ascii="宋体" w:hAnsi="宋体"/>
                <w:sz w:val="24"/>
              </w:rPr>
            </w:pPr>
            <w:r>
              <w:rPr>
                <w:rFonts w:hint="eastAsia" w:ascii="宋体" w:hAnsi="宋体"/>
                <w:sz w:val="24"/>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4" w:hRule="atLeast"/>
          <w:jc w:val="center"/>
        </w:trPr>
        <w:tc>
          <w:tcPr>
            <w:tcW w:w="2235" w:type="dxa"/>
            <w:vAlign w:val="center"/>
          </w:tcPr>
          <w:p>
            <w:pPr>
              <w:jc w:val="center"/>
              <w:rPr>
                <w:rFonts w:ascii="宋体" w:hAnsi="宋体"/>
                <w:sz w:val="24"/>
              </w:rPr>
            </w:pPr>
            <w:r>
              <w:rPr>
                <w:rFonts w:hint="eastAsia" w:ascii="宋体" w:hAnsi="宋体"/>
                <w:sz w:val="24"/>
              </w:rPr>
              <w:t>项目经理</w:t>
            </w:r>
          </w:p>
        </w:tc>
        <w:tc>
          <w:tcPr>
            <w:tcW w:w="1984" w:type="dxa"/>
            <w:vAlign w:val="center"/>
          </w:tcPr>
          <w:p>
            <w:pPr>
              <w:jc w:val="center"/>
              <w:rPr>
                <w:rFonts w:ascii="宋体" w:hAnsi="宋体"/>
                <w:sz w:val="24"/>
              </w:rPr>
            </w:pPr>
            <w:r>
              <w:rPr>
                <w:rFonts w:hint="eastAsia" w:ascii="宋体" w:hAnsi="宋体"/>
                <w:sz w:val="24"/>
              </w:rPr>
              <w:t>1</w:t>
            </w:r>
          </w:p>
        </w:tc>
        <w:tc>
          <w:tcPr>
            <w:tcW w:w="5020" w:type="dxa"/>
            <w:vAlign w:val="center"/>
          </w:tcPr>
          <w:p>
            <w:pPr>
              <w:rPr>
                <w:szCs w:val="21"/>
              </w:rPr>
            </w:pPr>
            <w:r>
              <w:rPr>
                <w:rFonts w:hint="eastAsia"/>
                <w:szCs w:val="21"/>
              </w:rPr>
              <w:t>具备贰级及以上公路工程专业注册建造师执业资格，具备有效的安全生产考核合格证书，且未担任其他在施建设项目的项目经理。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21" w:hRule="atLeast"/>
          <w:jc w:val="center"/>
        </w:trPr>
        <w:tc>
          <w:tcPr>
            <w:tcW w:w="2235" w:type="dxa"/>
            <w:vAlign w:val="center"/>
          </w:tcPr>
          <w:p>
            <w:pPr>
              <w:jc w:val="center"/>
              <w:rPr>
                <w:rFonts w:ascii="宋体" w:hAnsi="宋体"/>
                <w:sz w:val="24"/>
              </w:rPr>
            </w:pPr>
            <w:r>
              <w:rPr>
                <w:rFonts w:hint="eastAsia" w:ascii="宋体" w:hAnsi="宋体"/>
                <w:sz w:val="24"/>
              </w:rPr>
              <w:t>项目总工程师</w:t>
            </w:r>
          </w:p>
        </w:tc>
        <w:tc>
          <w:tcPr>
            <w:tcW w:w="1984" w:type="dxa"/>
            <w:vAlign w:val="center"/>
          </w:tcPr>
          <w:p>
            <w:pPr>
              <w:jc w:val="center"/>
              <w:rPr>
                <w:rFonts w:ascii="宋体" w:hAnsi="宋体"/>
                <w:sz w:val="24"/>
              </w:rPr>
            </w:pPr>
            <w:r>
              <w:rPr>
                <w:rFonts w:hint="eastAsia" w:ascii="宋体" w:hAnsi="宋体"/>
                <w:sz w:val="24"/>
              </w:rPr>
              <w:t>1</w:t>
            </w:r>
          </w:p>
        </w:tc>
        <w:tc>
          <w:tcPr>
            <w:tcW w:w="5020" w:type="dxa"/>
          </w:tcPr>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rFonts w:hint="eastAsia"/>
                <w:sz w:val="24"/>
                <w:szCs w:val="21"/>
              </w:rPr>
              <w:t>中级及以上相关专业技术职称。</w:t>
            </w:r>
          </w:p>
        </w:tc>
      </w:tr>
    </w:tbl>
    <w:p>
      <w:pPr>
        <w:rPr>
          <w:rFonts w:ascii="宋体" w:hAnsi="宋体"/>
          <w:sz w:val="24"/>
        </w:rPr>
      </w:pPr>
    </w:p>
    <w:p>
      <w:pPr>
        <w:spacing w:before="120" w:after="120"/>
        <w:jc w:val="center"/>
        <w:rPr>
          <w:rFonts w:ascii="隶书" w:hAnsi="宋体" w:eastAsia="隶书"/>
          <w:sz w:val="24"/>
          <w:vertAlign w:val="superscript"/>
        </w:rPr>
      </w:pPr>
      <w:r>
        <w:rPr>
          <w:rFonts w:ascii="黑体" w:eastAsia="黑体"/>
          <w:b/>
          <w:bCs/>
          <w:kern w:val="44"/>
          <w:sz w:val="30"/>
          <w:szCs w:val="30"/>
        </w:rPr>
        <w:br w:type="page"/>
      </w:r>
      <w:r>
        <w:rPr>
          <w:rFonts w:hint="eastAsia" w:ascii="黑体" w:eastAsia="黑体"/>
          <w:b/>
          <w:bCs/>
          <w:kern w:val="44"/>
          <w:sz w:val="30"/>
          <w:szCs w:val="30"/>
        </w:rPr>
        <w:t>附录5  资格审查条件(其他主要管理人员和技术人员最低要求)</w:t>
      </w:r>
    </w:p>
    <w:tbl>
      <w:tblPr>
        <w:tblStyle w:val="14"/>
        <w:tblW w:w="930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50"/>
        <w:gridCol w:w="1997"/>
        <w:gridCol w:w="50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6" w:hRule="atLeast"/>
        </w:trPr>
        <w:tc>
          <w:tcPr>
            <w:tcW w:w="2250" w:type="dxa"/>
            <w:vAlign w:val="center"/>
          </w:tcPr>
          <w:p>
            <w:pPr>
              <w:jc w:val="center"/>
              <w:rPr>
                <w:rFonts w:ascii="宋体" w:hAnsi="宋体"/>
                <w:sz w:val="24"/>
              </w:rPr>
            </w:pPr>
            <w:r>
              <w:rPr>
                <w:rFonts w:hint="eastAsia" w:ascii="宋体" w:hAnsi="宋体"/>
                <w:sz w:val="24"/>
              </w:rPr>
              <w:t>人  员</w:t>
            </w:r>
          </w:p>
        </w:tc>
        <w:tc>
          <w:tcPr>
            <w:tcW w:w="1997" w:type="dxa"/>
            <w:vAlign w:val="center"/>
          </w:tcPr>
          <w:p>
            <w:pPr>
              <w:jc w:val="center"/>
              <w:rPr>
                <w:rFonts w:ascii="宋体" w:hAnsi="宋体"/>
                <w:sz w:val="24"/>
              </w:rPr>
            </w:pPr>
            <w:r>
              <w:rPr>
                <w:rFonts w:hint="eastAsia" w:ascii="宋体" w:hAnsi="宋体"/>
                <w:sz w:val="24"/>
              </w:rPr>
              <w:t>数  量</w:t>
            </w:r>
          </w:p>
        </w:tc>
        <w:tc>
          <w:tcPr>
            <w:tcW w:w="5053" w:type="dxa"/>
            <w:vAlign w:val="center"/>
          </w:tcPr>
          <w:p>
            <w:pPr>
              <w:jc w:val="center"/>
              <w:rPr>
                <w:rFonts w:ascii="宋体" w:hAnsi="宋体"/>
                <w:sz w:val="24"/>
              </w:rPr>
            </w:pPr>
            <w:r>
              <w:rPr>
                <w:rFonts w:hint="eastAsia" w:ascii="宋体" w:hAnsi="宋体"/>
                <w:sz w:val="24"/>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3" w:hRule="atLeast"/>
        </w:trPr>
        <w:tc>
          <w:tcPr>
            <w:tcW w:w="2250" w:type="dxa"/>
            <w:vAlign w:val="center"/>
          </w:tcPr>
          <w:p>
            <w:pPr>
              <w:jc w:val="center"/>
              <w:rPr>
                <w:szCs w:val="21"/>
              </w:rPr>
            </w:pPr>
            <w:r>
              <w:rPr>
                <w:szCs w:val="21"/>
              </w:rPr>
              <w:t>财务负责人</w:t>
            </w:r>
          </w:p>
        </w:tc>
        <w:tc>
          <w:tcPr>
            <w:tcW w:w="1997" w:type="dxa"/>
            <w:vAlign w:val="center"/>
          </w:tcPr>
          <w:p>
            <w:pPr>
              <w:jc w:val="center"/>
              <w:rPr>
                <w:szCs w:val="21"/>
              </w:rPr>
            </w:pPr>
            <w:r>
              <w:rPr>
                <w:szCs w:val="21"/>
              </w:rPr>
              <w:t>1</w:t>
            </w:r>
          </w:p>
        </w:tc>
        <w:tc>
          <w:tcPr>
            <w:tcW w:w="5053" w:type="dxa"/>
            <w:vAlign w:val="center"/>
          </w:tcPr>
          <w:p>
            <w:pPr>
              <w:rPr>
                <w:szCs w:val="21"/>
              </w:rPr>
            </w:pPr>
            <w:r>
              <w:rPr>
                <w:szCs w:val="21"/>
              </w:rPr>
              <w:t>会计师，工程经验</w:t>
            </w:r>
            <w:r>
              <w:rPr>
                <w:rFonts w:hint="eastAsia"/>
                <w:szCs w:val="21"/>
              </w:rPr>
              <w:t>3</w:t>
            </w:r>
            <w:r>
              <w:rPr>
                <w:szCs w:val="21"/>
              </w:rPr>
              <w:t>年以上，从事类似工作</w:t>
            </w:r>
            <w:r>
              <w:rPr>
                <w:rFonts w:hint="eastAsia"/>
                <w:szCs w:val="21"/>
              </w:rPr>
              <w:t>2</w:t>
            </w:r>
            <w:r>
              <w:rPr>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250" w:type="dxa"/>
            <w:vAlign w:val="center"/>
          </w:tcPr>
          <w:p>
            <w:pPr>
              <w:jc w:val="center"/>
              <w:rPr>
                <w:szCs w:val="21"/>
              </w:rPr>
            </w:pPr>
            <w:r>
              <w:rPr>
                <w:szCs w:val="21"/>
              </w:rPr>
              <w:t>质检工程师</w:t>
            </w:r>
          </w:p>
        </w:tc>
        <w:tc>
          <w:tcPr>
            <w:tcW w:w="1997" w:type="dxa"/>
            <w:vAlign w:val="center"/>
          </w:tcPr>
          <w:p>
            <w:pPr>
              <w:jc w:val="center"/>
              <w:rPr>
                <w:szCs w:val="21"/>
              </w:rPr>
            </w:pPr>
            <w:r>
              <w:rPr>
                <w:szCs w:val="21"/>
              </w:rPr>
              <w:t>1</w:t>
            </w:r>
          </w:p>
        </w:tc>
        <w:tc>
          <w:tcPr>
            <w:tcW w:w="5053" w:type="dxa"/>
            <w:vAlign w:val="center"/>
          </w:tcPr>
          <w:p>
            <w:pPr>
              <w:rPr>
                <w:szCs w:val="21"/>
              </w:rPr>
            </w:pPr>
            <w:r>
              <w:rPr>
                <w:szCs w:val="21"/>
              </w:rPr>
              <w:t>工程师，工程经验</w:t>
            </w:r>
            <w:r>
              <w:rPr>
                <w:rFonts w:hint="eastAsia"/>
                <w:szCs w:val="21"/>
              </w:rPr>
              <w:t>3</w:t>
            </w:r>
            <w:r>
              <w:rPr>
                <w:szCs w:val="21"/>
              </w:rPr>
              <w:t>年以上，从事类似工程</w:t>
            </w:r>
            <w:r>
              <w:rPr>
                <w:rFonts w:hint="eastAsia"/>
                <w:szCs w:val="21"/>
              </w:rPr>
              <w:t>2</w:t>
            </w:r>
            <w:r>
              <w:rPr>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szCs w:val="21"/>
              </w:rPr>
            </w:pPr>
            <w:r>
              <w:rPr>
                <w:szCs w:val="21"/>
              </w:rPr>
              <w:t>路基</w:t>
            </w:r>
            <w:r>
              <w:rPr>
                <w:rFonts w:hint="eastAsia"/>
                <w:szCs w:val="21"/>
              </w:rPr>
              <w:t>、路面</w:t>
            </w:r>
            <w:r>
              <w:rPr>
                <w:szCs w:val="21"/>
              </w:rPr>
              <w:t>工程师</w:t>
            </w:r>
          </w:p>
        </w:tc>
        <w:tc>
          <w:tcPr>
            <w:tcW w:w="1997" w:type="dxa"/>
            <w:vAlign w:val="center"/>
          </w:tcPr>
          <w:p>
            <w:pPr>
              <w:jc w:val="center"/>
              <w:rPr>
                <w:szCs w:val="21"/>
              </w:rPr>
            </w:pPr>
            <w:r>
              <w:rPr>
                <w:szCs w:val="21"/>
              </w:rPr>
              <w:t>1</w:t>
            </w:r>
          </w:p>
        </w:tc>
        <w:tc>
          <w:tcPr>
            <w:tcW w:w="5053" w:type="dxa"/>
            <w:vAlign w:val="center"/>
          </w:tcPr>
          <w:p>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szCs w:val="21"/>
              </w:rPr>
            </w:pPr>
            <w:r>
              <w:rPr>
                <w:szCs w:val="21"/>
              </w:rPr>
              <w:t>测量工程师</w:t>
            </w:r>
          </w:p>
        </w:tc>
        <w:tc>
          <w:tcPr>
            <w:tcW w:w="1997" w:type="dxa"/>
            <w:vAlign w:val="center"/>
          </w:tcPr>
          <w:p>
            <w:pPr>
              <w:jc w:val="center"/>
              <w:rPr>
                <w:szCs w:val="21"/>
              </w:rPr>
            </w:pPr>
            <w:r>
              <w:rPr>
                <w:szCs w:val="21"/>
              </w:rPr>
              <w:t>1</w:t>
            </w:r>
          </w:p>
        </w:tc>
        <w:tc>
          <w:tcPr>
            <w:tcW w:w="5053" w:type="dxa"/>
            <w:vAlign w:val="center"/>
          </w:tcPr>
          <w:p>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1" w:hRule="atLeast"/>
        </w:trPr>
        <w:tc>
          <w:tcPr>
            <w:tcW w:w="2250" w:type="dxa"/>
            <w:vAlign w:val="center"/>
          </w:tcPr>
          <w:p>
            <w:pPr>
              <w:jc w:val="center"/>
              <w:rPr>
                <w:szCs w:val="21"/>
              </w:rPr>
            </w:pPr>
            <w:r>
              <w:rPr>
                <w:szCs w:val="21"/>
              </w:rPr>
              <w:t>试验负责人</w:t>
            </w:r>
          </w:p>
        </w:tc>
        <w:tc>
          <w:tcPr>
            <w:tcW w:w="1997" w:type="dxa"/>
            <w:vAlign w:val="center"/>
          </w:tcPr>
          <w:p>
            <w:pPr>
              <w:jc w:val="center"/>
              <w:rPr>
                <w:szCs w:val="21"/>
              </w:rPr>
            </w:pPr>
            <w:r>
              <w:rPr>
                <w:szCs w:val="21"/>
              </w:rPr>
              <w:t>1</w:t>
            </w:r>
          </w:p>
        </w:tc>
        <w:tc>
          <w:tcPr>
            <w:tcW w:w="5053" w:type="dxa"/>
            <w:vAlign w:val="center"/>
          </w:tcPr>
          <w:p>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年以上，具有交通运输部颁发的试验检测工程师资格证。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szCs w:val="21"/>
              </w:rPr>
            </w:pPr>
            <w:r>
              <w:rPr>
                <w:szCs w:val="21"/>
              </w:rPr>
              <w:t>机械工程师</w:t>
            </w:r>
          </w:p>
        </w:tc>
        <w:tc>
          <w:tcPr>
            <w:tcW w:w="1997" w:type="dxa"/>
            <w:vAlign w:val="center"/>
          </w:tcPr>
          <w:p>
            <w:pPr>
              <w:jc w:val="center"/>
              <w:rPr>
                <w:szCs w:val="21"/>
              </w:rPr>
            </w:pPr>
            <w:r>
              <w:rPr>
                <w:szCs w:val="21"/>
              </w:rPr>
              <w:t>1</w:t>
            </w:r>
          </w:p>
        </w:tc>
        <w:tc>
          <w:tcPr>
            <w:tcW w:w="5053" w:type="dxa"/>
            <w:vAlign w:val="center"/>
          </w:tcPr>
          <w:p>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0" w:hRule="atLeast"/>
        </w:trPr>
        <w:tc>
          <w:tcPr>
            <w:tcW w:w="2250" w:type="dxa"/>
            <w:vAlign w:val="center"/>
          </w:tcPr>
          <w:p>
            <w:pPr>
              <w:jc w:val="center"/>
              <w:rPr>
                <w:szCs w:val="21"/>
              </w:rPr>
            </w:pPr>
            <w:r>
              <w:rPr>
                <w:szCs w:val="21"/>
              </w:rPr>
              <w:t>专职安全员</w:t>
            </w:r>
          </w:p>
        </w:tc>
        <w:tc>
          <w:tcPr>
            <w:tcW w:w="1997" w:type="dxa"/>
            <w:vAlign w:val="center"/>
          </w:tcPr>
          <w:p>
            <w:pPr>
              <w:jc w:val="center"/>
              <w:rPr>
                <w:szCs w:val="21"/>
              </w:rPr>
            </w:pPr>
            <w:r>
              <w:rPr>
                <w:rFonts w:hint="eastAsia"/>
                <w:szCs w:val="21"/>
              </w:rPr>
              <w:t>1</w:t>
            </w:r>
          </w:p>
        </w:tc>
        <w:tc>
          <w:tcPr>
            <w:tcW w:w="5053" w:type="dxa"/>
            <w:vAlign w:val="center"/>
          </w:tcPr>
          <w:p>
            <w:pPr>
              <w:rPr>
                <w:szCs w:val="21"/>
              </w:rPr>
            </w:pPr>
            <w:r>
              <w:rPr>
                <w:szCs w:val="21"/>
              </w:rPr>
              <w:t>从事类似工作3年以上</w:t>
            </w:r>
            <w:r>
              <w:rPr>
                <w:szCs w:val="21"/>
                <w:lang w:val="zh-CN"/>
              </w:rPr>
              <w:t>，</w:t>
            </w:r>
            <w:r>
              <w:rPr>
                <w:szCs w:val="21"/>
              </w:rPr>
              <w:t>具</w:t>
            </w:r>
            <w:r>
              <w:rPr>
                <w:rFonts w:hint="eastAsia"/>
                <w:szCs w:val="21"/>
              </w:rPr>
              <w:t>有有效</w:t>
            </w:r>
            <w:r>
              <w:rPr>
                <w:szCs w:val="21"/>
              </w:rPr>
              <w:t>的安全生产考核合格证。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spacing w:line="400" w:lineRule="exact"/>
              <w:jc w:val="left"/>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rFonts w:ascii="宋体" w:hAnsi="宋体"/>
                <w:sz w:val="24"/>
              </w:rPr>
            </w:pPr>
          </w:p>
        </w:tc>
        <w:tc>
          <w:tcPr>
            <w:tcW w:w="1997" w:type="dxa"/>
            <w:vAlign w:val="center"/>
          </w:tcPr>
          <w:p>
            <w:pPr>
              <w:jc w:val="center"/>
              <w:rPr>
                <w:rFonts w:ascii="宋体" w:hAnsi="宋体"/>
                <w:sz w:val="24"/>
              </w:rPr>
            </w:pPr>
          </w:p>
        </w:tc>
        <w:tc>
          <w:tcPr>
            <w:tcW w:w="5053" w:type="dxa"/>
            <w:vAlign w:val="center"/>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rFonts w:ascii="宋体" w:hAnsi="宋体"/>
                <w:sz w:val="24"/>
              </w:rPr>
            </w:pPr>
          </w:p>
        </w:tc>
        <w:tc>
          <w:tcPr>
            <w:tcW w:w="1997" w:type="dxa"/>
            <w:vAlign w:val="center"/>
          </w:tcPr>
          <w:p>
            <w:pPr>
              <w:jc w:val="center"/>
              <w:rPr>
                <w:rFonts w:ascii="宋体" w:hAnsi="宋体"/>
                <w:sz w:val="24"/>
              </w:rPr>
            </w:pPr>
          </w:p>
        </w:tc>
        <w:tc>
          <w:tcPr>
            <w:tcW w:w="5053" w:type="dxa"/>
            <w:vAlign w:val="center"/>
          </w:tcPr>
          <w:p>
            <w:pPr>
              <w:rPr>
                <w:rFonts w:ascii="宋体" w:hAnsi="宋体"/>
                <w:sz w:val="24"/>
              </w:rPr>
            </w:pPr>
          </w:p>
        </w:tc>
      </w:tr>
    </w:tbl>
    <w:p>
      <w:pPr>
        <w:rPr>
          <w:rFonts w:ascii="宋体" w:hAnsi="宋体"/>
          <w:sz w:val="24"/>
        </w:rPr>
      </w:pPr>
      <w:r>
        <w:rPr>
          <w:rFonts w:hint="eastAsia" w:ascii="宋体" w:hAnsi="宋体"/>
          <w:sz w:val="24"/>
        </w:rPr>
        <w:t>只需做出承诺，不再提供相关证明原件及复印件。</w:t>
      </w:r>
    </w:p>
    <w:p>
      <w:pPr>
        <w:widowControl/>
        <w:spacing w:line="360" w:lineRule="auto"/>
        <w:ind w:right="714"/>
        <w:jc w:val="center"/>
        <w:rPr>
          <w:rFonts w:asciiTheme="minorEastAsia" w:hAnsiTheme="minorEastAsia" w:eastAsiaTheme="minorEastAsia"/>
          <w:bCs/>
          <w:sz w:val="24"/>
        </w:rPr>
      </w:pPr>
      <w:r>
        <w:rPr>
          <w:rFonts w:asciiTheme="minorEastAsia" w:hAnsiTheme="minorEastAsia" w:eastAsiaTheme="minorEastAsia"/>
          <w:bCs/>
          <w:sz w:val="24"/>
        </w:rPr>
        <w:br w:type="page"/>
      </w:r>
    </w:p>
    <w:p>
      <w:pPr>
        <w:pStyle w:val="6"/>
        <w:keepNext w:val="0"/>
        <w:keepLines w:val="0"/>
        <w:adjustRightInd w:val="0"/>
        <w:snapToGrid w:val="0"/>
        <w:spacing w:beforeLines="50" w:after="0" w:line="400" w:lineRule="exact"/>
        <w:rPr>
          <w:rFonts w:ascii="宋体" w:hAnsi="宋体"/>
          <w:sz w:val="24"/>
          <w:szCs w:val="24"/>
        </w:rPr>
      </w:pPr>
      <w:bookmarkStart w:id="5" w:name="_Toc486277863"/>
      <w:bookmarkStart w:id="6" w:name="_Toc485889002"/>
      <w:bookmarkStart w:id="7" w:name="_Toc2209"/>
      <w:r>
        <w:rPr>
          <w:rFonts w:ascii="宋体" w:hAnsi="宋体"/>
          <w:sz w:val="24"/>
          <w:szCs w:val="24"/>
        </w:rPr>
        <w:t>1. 总则</w:t>
      </w:r>
      <w:bookmarkEnd w:id="5"/>
      <w:bookmarkEnd w:id="6"/>
      <w:bookmarkEnd w:id="7"/>
    </w:p>
    <w:p>
      <w:pPr>
        <w:pStyle w:val="6"/>
        <w:keepNext w:val="0"/>
        <w:keepLines w:val="0"/>
        <w:adjustRightInd w:val="0"/>
        <w:snapToGrid w:val="0"/>
        <w:spacing w:beforeLines="50" w:after="0" w:line="400" w:lineRule="exact"/>
        <w:rPr>
          <w:rFonts w:ascii="宋体" w:hAnsi="宋体"/>
          <w:sz w:val="24"/>
          <w:szCs w:val="24"/>
        </w:rPr>
      </w:pPr>
      <w:bookmarkStart w:id="8" w:name="_Toc485889003"/>
      <w:bookmarkStart w:id="9" w:name="_Toc234382590"/>
      <w:bookmarkStart w:id="10" w:name="_Toc29730"/>
      <w:bookmarkStart w:id="11" w:name="_Toc486277864"/>
      <w:r>
        <w:rPr>
          <w:rFonts w:ascii="宋体" w:hAnsi="宋体"/>
          <w:sz w:val="24"/>
          <w:szCs w:val="24"/>
        </w:rPr>
        <w:t>1.1 项目概况</w:t>
      </w:r>
      <w:bookmarkEnd w:id="8"/>
      <w:bookmarkEnd w:id="9"/>
      <w:bookmarkEnd w:id="10"/>
      <w:bookmarkEnd w:id="11"/>
    </w:p>
    <w:p>
      <w:pPr>
        <w:adjustRightInd w:val="0"/>
        <w:snapToGrid w:val="0"/>
        <w:spacing w:line="400" w:lineRule="exact"/>
        <w:ind w:firstLine="480"/>
        <w:rPr>
          <w:rFonts w:ascii="宋体" w:hAnsi="宋体"/>
          <w:sz w:val="24"/>
        </w:rPr>
      </w:pPr>
      <w:bookmarkStart w:id="12" w:name="_Toc234382591"/>
      <w:r>
        <w:rPr>
          <w:rFonts w:hint="eastAsia" w:ascii="宋体" w:hAnsi="宋体"/>
          <w:sz w:val="24"/>
        </w:rPr>
        <w:t>1.1.1根据《中华人民共和国招标投标法》等有关法律、法规和规章的规定，本招标项目已具备招标条件，现对本工程施工进行招标，</w:t>
      </w:r>
      <w:r>
        <w:rPr>
          <w:rFonts w:hint="eastAsia" w:ascii="宋体" w:hAnsi="宋体" w:cs="宋体"/>
          <w:sz w:val="24"/>
        </w:rPr>
        <w:t>择优选定投标人。</w:t>
      </w:r>
    </w:p>
    <w:p>
      <w:pPr>
        <w:adjustRightInd w:val="0"/>
        <w:snapToGrid w:val="0"/>
        <w:spacing w:line="400" w:lineRule="exact"/>
        <w:ind w:firstLine="480"/>
        <w:rPr>
          <w:rFonts w:ascii="宋体" w:hAnsi="宋体"/>
          <w:sz w:val="24"/>
        </w:rPr>
      </w:pPr>
      <w:r>
        <w:rPr>
          <w:rFonts w:hint="eastAsia" w:ascii="宋体" w:hAnsi="宋体"/>
          <w:sz w:val="24"/>
        </w:rPr>
        <w:t>1.1.2 本招标项目招标人：见投标人须知前附表。</w:t>
      </w:r>
    </w:p>
    <w:p>
      <w:pPr>
        <w:adjustRightInd w:val="0"/>
        <w:snapToGrid w:val="0"/>
        <w:spacing w:line="400" w:lineRule="exact"/>
        <w:ind w:firstLine="480"/>
        <w:rPr>
          <w:rFonts w:ascii="宋体" w:hAnsi="宋体"/>
          <w:sz w:val="24"/>
        </w:rPr>
      </w:pPr>
      <w:r>
        <w:rPr>
          <w:rFonts w:hint="eastAsia" w:ascii="宋体" w:hAnsi="宋体"/>
          <w:sz w:val="24"/>
        </w:rPr>
        <w:t>1.1.3 本招标项目代理机构：见投标人须知前附表。</w:t>
      </w:r>
    </w:p>
    <w:p>
      <w:pPr>
        <w:adjustRightInd w:val="0"/>
        <w:snapToGrid w:val="0"/>
        <w:spacing w:line="400" w:lineRule="exact"/>
        <w:ind w:firstLine="480"/>
        <w:rPr>
          <w:rFonts w:ascii="宋体" w:hAnsi="宋体"/>
          <w:sz w:val="24"/>
        </w:rPr>
      </w:pPr>
      <w:r>
        <w:rPr>
          <w:rFonts w:hint="eastAsia" w:ascii="宋体" w:hAnsi="宋体"/>
          <w:sz w:val="24"/>
        </w:rPr>
        <w:t>1.1.4 本招标项目名称：见投标人须知前附表。</w:t>
      </w:r>
    </w:p>
    <w:p>
      <w:pPr>
        <w:adjustRightInd w:val="0"/>
        <w:snapToGrid w:val="0"/>
        <w:spacing w:line="400" w:lineRule="exact"/>
        <w:ind w:firstLine="480"/>
        <w:rPr>
          <w:rFonts w:ascii="宋体" w:hAnsi="宋体"/>
          <w:sz w:val="24"/>
        </w:rPr>
      </w:pPr>
      <w:r>
        <w:rPr>
          <w:rFonts w:hint="eastAsia" w:ascii="宋体" w:hAnsi="宋体"/>
          <w:sz w:val="24"/>
        </w:rPr>
        <w:t>1.1.5 本招标项目建设地点：见投标人须知前附表。</w:t>
      </w:r>
    </w:p>
    <w:p>
      <w:pPr>
        <w:pStyle w:val="6"/>
        <w:keepNext w:val="0"/>
        <w:keepLines w:val="0"/>
        <w:adjustRightInd w:val="0"/>
        <w:snapToGrid w:val="0"/>
        <w:spacing w:beforeLines="50" w:after="0" w:line="400" w:lineRule="exact"/>
        <w:rPr>
          <w:rFonts w:ascii="宋体" w:hAnsi="宋体"/>
          <w:sz w:val="24"/>
          <w:szCs w:val="24"/>
        </w:rPr>
      </w:pPr>
      <w:bookmarkStart w:id="13" w:name="_Toc485889004"/>
      <w:bookmarkStart w:id="14" w:name="_Toc486277865"/>
      <w:bookmarkStart w:id="15" w:name="_Toc14323"/>
      <w:r>
        <w:rPr>
          <w:rFonts w:ascii="宋体" w:hAnsi="宋体"/>
          <w:sz w:val="24"/>
          <w:szCs w:val="24"/>
        </w:rPr>
        <w:t>1.</w:t>
      </w:r>
      <w:r>
        <w:rPr>
          <w:rFonts w:hint="eastAsia" w:ascii="宋体" w:hAnsi="宋体"/>
          <w:sz w:val="24"/>
          <w:szCs w:val="24"/>
        </w:rPr>
        <w:t>2</w:t>
      </w:r>
      <w:r>
        <w:rPr>
          <w:rFonts w:ascii="宋体" w:hAnsi="宋体"/>
          <w:sz w:val="24"/>
          <w:szCs w:val="24"/>
        </w:rPr>
        <w:t>资金来源和落实情况</w:t>
      </w:r>
      <w:bookmarkEnd w:id="12"/>
      <w:bookmarkEnd w:id="13"/>
      <w:bookmarkEnd w:id="14"/>
      <w:bookmarkEnd w:id="15"/>
    </w:p>
    <w:p>
      <w:pPr>
        <w:adjustRightInd w:val="0"/>
        <w:snapToGrid w:val="0"/>
        <w:spacing w:line="400" w:lineRule="exact"/>
        <w:ind w:firstLine="480"/>
        <w:rPr>
          <w:rFonts w:ascii="宋体" w:hAnsi="宋体"/>
          <w:sz w:val="24"/>
        </w:rPr>
      </w:pPr>
      <w:r>
        <w:rPr>
          <w:rFonts w:hint="eastAsia" w:ascii="宋体" w:hAnsi="宋体"/>
          <w:sz w:val="24"/>
        </w:rPr>
        <w:t>1.2.1 本招标项目的资金来源：见投标人须知前附表。</w:t>
      </w:r>
    </w:p>
    <w:p>
      <w:pPr>
        <w:adjustRightInd w:val="0"/>
        <w:snapToGrid w:val="0"/>
        <w:spacing w:line="400" w:lineRule="exact"/>
        <w:ind w:firstLine="480"/>
        <w:rPr>
          <w:rFonts w:ascii="宋体" w:hAnsi="宋体"/>
          <w:sz w:val="24"/>
        </w:rPr>
      </w:pPr>
      <w:r>
        <w:rPr>
          <w:rFonts w:hint="eastAsia" w:ascii="宋体" w:hAnsi="宋体"/>
          <w:sz w:val="24"/>
        </w:rPr>
        <w:t>1.2.2 本招标项目的出资比例：见投标人须知前附表。</w:t>
      </w:r>
    </w:p>
    <w:p>
      <w:pPr>
        <w:adjustRightInd w:val="0"/>
        <w:snapToGrid w:val="0"/>
        <w:spacing w:line="400" w:lineRule="exact"/>
        <w:ind w:firstLine="480" w:firstLineChars="200"/>
        <w:rPr>
          <w:rFonts w:ascii="宋体" w:hAnsi="宋体"/>
          <w:sz w:val="24"/>
        </w:rPr>
      </w:pPr>
      <w:r>
        <w:rPr>
          <w:rFonts w:hint="eastAsia" w:ascii="宋体" w:hAnsi="宋体"/>
          <w:sz w:val="24"/>
        </w:rPr>
        <w:t>1.2.3 本招标项目的资金落实情况：见投标人须知前附表。</w:t>
      </w:r>
    </w:p>
    <w:p>
      <w:pPr>
        <w:pStyle w:val="6"/>
        <w:keepNext w:val="0"/>
        <w:keepLines w:val="0"/>
        <w:adjustRightInd w:val="0"/>
        <w:snapToGrid w:val="0"/>
        <w:spacing w:beforeLines="50" w:after="0" w:line="400" w:lineRule="exact"/>
        <w:rPr>
          <w:rFonts w:ascii="宋体" w:hAnsi="宋体"/>
          <w:sz w:val="24"/>
          <w:szCs w:val="24"/>
        </w:rPr>
      </w:pPr>
      <w:bookmarkStart w:id="16" w:name="_Toc486277866"/>
      <w:bookmarkStart w:id="17" w:name="_Toc485889005"/>
      <w:bookmarkStart w:id="18" w:name="_Toc234382592"/>
      <w:bookmarkStart w:id="19" w:name="_Toc17973"/>
      <w:r>
        <w:rPr>
          <w:rFonts w:ascii="宋体" w:hAnsi="宋体"/>
          <w:sz w:val="24"/>
          <w:szCs w:val="24"/>
        </w:rPr>
        <w:t>1.3 招标范围、计划工期和质量要求</w:t>
      </w:r>
      <w:bookmarkEnd w:id="16"/>
      <w:bookmarkEnd w:id="17"/>
      <w:bookmarkEnd w:id="18"/>
      <w:bookmarkEnd w:id="19"/>
    </w:p>
    <w:p>
      <w:pPr>
        <w:adjustRightInd w:val="0"/>
        <w:snapToGrid w:val="0"/>
        <w:spacing w:line="400" w:lineRule="exact"/>
        <w:ind w:firstLine="480" w:firstLineChars="200"/>
        <w:rPr>
          <w:rFonts w:ascii="宋体" w:hAnsi="宋体"/>
          <w:sz w:val="24"/>
        </w:rPr>
      </w:pPr>
      <w:r>
        <w:rPr>
          <w:rFonts w:ascii="宋体" w:hAnsi="宋体"/>
          <w:sz w:val="24"/>
        </w:rPr>
        <w:t>1.3.1 本次招标范围：见投标人须知前附表。</w:t>
      </w:r>
    </w:p>
    <w:p>
      <w:pPr>
        <w:adjustRightInd w:val="0"/>
        <w:snapToGrid w:val="0"/>
        <w:spacing w:line="400" w:lineRule="exact"/>
        <w:ind w:firstLine="480" w:firstLineChars="200"/>
        <w:rPr>
          <w:rFonts w:ascii="宋体" w:hAnsi="宋体"/>
          <w:sz w:val="24"/>
        </w:rPr>
      </w:pPr>
      <w:r>
        <w:rPr>
          <w:rFonts w:ascii="宋体" w:hAnsi="宋体"/>
          <w:sz w:val="24"/>
        </w:rPr>
        <w:t>1.3.2 本</w:t>
      </w:r>
      <w:r>
        <w:rPr>
          <w:rFonts w:hint="eastAsia" w:ascii="宋体" w:hAnsi="宋体"/>
          <w:sz w:val="24"/>
        </w:rPr>
        <w:t>招标项目</w:t>
      </w:r>
      <w:r>
        <w:rPr>
          <w:rFonts w:ascii="宋体" w:hAnsi="宋体"/>
          <w:sz w:val="24"/>
        </w:rPr>
        <w:t>的计划工期：见投标人须知前附表。</w:t>
      </w:r>
    </w:p>
    <w:p>
      <w:pPr>
        <w:adjustRightInd w:val="0"/>
        <w:snapToGrid w:val="0"/>
        <w:spacing w:line="400" w:lineRule="exact"/>
        <w:ind w:firstLine="480" w:firstLineChars="200"/>
        <w:rPr>
          <w:rFonts w:ascii="宋体" w:hAnsi="宋体"/>
          <w:sz w:val="24"/>
        </w:rPr>
      </w:pPr>
      <w:r>
        <w:rPr>
          <w:rFonts w:ascii="宋体" w:hAnsi="宋体"/>
          <w:sz w:val="24"/>
        </w:rPr>
        <w:t>1.3.3 本</w:t>
      </w:r>
      <w:r>
        <w:rPr>
          <w:rFonts w:hint="eastAsia" w:ascii="宋体" w:hAnsi="宋体"/>
          <w:sz w:val="24"/>
        </w:rPr>
        <w:t>招标项目</w:t>
      </w:r>
      <w:r>
        <w:rPr>
          <w:rFonts w:ascii="宋体" w:hAnsi="宋体"/>
          <w:sz w:val="24"/>
        </w:rPr>
        <w:t>的质量要求：见投标人须知前附表。</w:t>
      </w:r>
    </w:p>
    <w:p>
      <w:pPr>
        <w:pStyle w:val="6"/>
        <w:keepNext w:val="0"/>
        <w:keepLines w:val="0"/>
        <w:adjustRightInd w:val="0"/>
        <w:snapToGrid w:val="0"/>
        <w:spacing w:beforeLines="50" w:after="0" w:line="400" w:lineRule="exact"/>
        <w:rPr>
          <w:rFonts w:ascii="宋体" w:hAnsi="宋体"/>
          <w:sz w:val="24"/>
          <w:szCs w:val="24"/>
        </w:rPr>
      </w:pPr>
      <w:bookmarkStart w:id="20" w:name="_Toc234382594"/>
      <w:bookmarkStart w:id="21" w:name="_Toc2109"/>
      <w:bookmarkStart w:id="22" w:name="_Toc486277867"/>
      <w:bookmarkStart w:id="23" w:name="_Toc485889006"/>
      <w:r>
        <w:rPr>
          <w:rFonts w:ascii="宋体" w:hAnsi="宋体"/>
          <w:sz w:val="24"/>
          <w:szCs w:val="24"/>
        </w:rPr>
        <w:t>1.4 投标人资格要求（适用于未进行资格预审的）</w:t>
      </w:r>
      <w:bookmarkEnd w:id="20"/>
      <w:bookmarkEnd w:id="21"/>
      <w:bookmarkEnd w:id="22"/>
      <w:bookmarkEnd w:id="23"/>
    </w:p>
    <w:p>
      <w:pPr>
        <w:adjustRightInd w:val="0"/>
        <w:snapToGrid w:val="0"/>
        <w:spacing w:line="400" w:lineRule="exact"/>
        <w:ind w:firstLine="480" w:firstLineChars="200"/>
        <w:rPr>
          <w:rFonts w:ascii="宋体" w:hAnsi="宋体"/>
          <w:sz w:val="24"/>
        </w:rPr>
      </w:pPr>
      <w:r>
        <w:rPr>
          <w:rFonts w:ascii="宋体" w:hAnsi="宋体"/>
          <w:sz w:val="24"/>
        </w:rPr>
        <w:t>1.4.1 投标人应具备承担本</w:t>
      </w:r>
      <w:r>
        <w:rPr>
          <w:rFonts w:hint="eastAsia" w:ascii="宋体" w:hAnsi="宋体"/>
          <w:sz w:val="24"/>
        </w:rPr>
        <w:t>项目</w:t>
      </w:r>
      <w:r>
        <w:rPr>
          <w:rFonts w:ascii="宋体" w:hAnsi="宋体"/>
          <w:sz w:val="24"/>
        </w:rPr>
        <w:t>施工的资质条件、能力和信誉。</w:t>
      </w:r>
    </w:p>
    <w:p>
      <w:pPr>
        <w:adjustRightInd w:val="0"/>
        <w:snapToGrid w:val="0"/>
        <w:spacing w:line="400" w:lineRule="exact"/>
        <w:ind w:firstLine="480" w:firstLineChars="200"/>
        <w:rPr>
          <w:rFonts w:ascii="宋体" w:hAnsi="宋体"/>
          <w:sz w:val="24"/>
        </w:rPr>
      </w:pPr>
      <w:r>
        <w:rPr>
          <w:rFonts w:ascii="宋体" w:hAnsi="宋体"/>
          <w:sz w:val="24"/>
        </w:rPr>
        <w:t>（1）资质条件：见投标人须知前附表；</w:t>
      </w:r>
    </w:p>
    <w:p>
      <w:pPr>
        <w:adjustRightInd w:val="0"/>
        <w:snapToGrid w:val="0"/>
        <w:spacing w:line="400" w:lineRule="exact"/>
        <w:ind w:firstLine="480" w:firstLineChars="200"/>
        <w:rPr>
          <w:rFonts w:ascii="宋体" w:hAnsi="宋体"/>
          <w:sz w:val="24"/>
        </w:rPr>
      </w:pPr>
      <w:r>
        <w:rPr>
          <w:rFonts w:ascii="宋体" w:hAnsi="宋体"/>
          <w:sz w:val="24"/>
        </w:rPr>
        <w:t>（2）财务要求：见投标人须知前附表；</w:t>
      </w:r>
    </w:p>
    <w:p>
      <w:pPr>
        <w:adjustRightInd w:val="0"/>
        <w:snapToGrid w:val="0"/>
        <w:spacing w:line="400" w:lineRule="exact"/>
        <w:ind w:firstLine="480" w:firstLineChars="200"/>
        <w:rPr>
          <w:rFonts w:ascii="宋体" w:hAnsi="宋体"/>
          <w:sz w:val="24"/>
        </w:rPr>
      </w:pPr>
      <w:r>
        <w:rPr>
          <w:rFonts w:ascii="宋体" w:hAnsi="宋体"/>
          <w:sz w:val="24"/>
        </w:rPr>
        <w:t>（3）业绩要求：见投标人须知前附表；</w:t>
      </w:r>
    </w:p>
    <w:p>
      <w:pPr>
        <w:adjustRightInd w:val="0"/>
        <w:snapToGrid w:val="0"/>
        <w:spacing w:line="400" w:lineRule="exact"/>
        <w:ind w:firstLine="480" w:firstLineChars="200"/>
        <w:rPr>
          <w:rFonts w:ascii="宋体" w:hAnsi="宋体"/>
          <w:sz w:val="24"/>
        </w:rPr>
      </w:pPr>
      <w:r>
        <w:rPr>
          <w:rFonts w:ascii="宋体" w:hAnsi="宋体"/>
          <w:sz w:val="24"/>
        </w:rPr>
        <w:t>（4）信誉要求：见投标人须知前附表;</w:t>
      </w:r>
    </w:p>
    <w:p>
      <w:pPr>
        <w:adjustRightInd w:val="0"/>
        <w:snapToGrid w:val="0"/>
        <w:spacing w:line="400" w:lineRule="exact"/>
        <w:ind w:firstLine="480" w:firstLineChars="200"/>
        <w:rPr>
          <w:rFonts w:ascii="宋体" w:hAnsi="宋体"/>
          <w:sz w:val="24"/>
        </w:rPr>
      </w:pPr>
      <w:r>
        <w:rPr>
          <w:rFonts w:ascii="宋体" w:hAnsi="宋体"/>
          <w:sz w:val="24"/>
        </w:rPr>
        <w:t>（5）项目经理</w:t>
      </w:r>
      <w:r>
        <w:rPr>
          <w:rFonts w:hint="eastAsia" w:asciiTheme="minorEastAsia" w:hAnsiTheme="minorEastAsia" w:eastAsiaTheme="minorEastAsia"/>
          <w:sz w:val="24"/>
        </w:rPr>
        <w:t>和项目总工</w:t>
      </w:r>
      <w:r>
        <w:rPr>
          <w:rFonts w:ascii="宋体" w:hAnsi="宋体"/>
          <w:sz w:val="24"/>
        </w:rPr>
        <w:t>资格：见投标人须知前附表；</w:t>
      </w:r>
    </w:p>
    <w:p>
      <w:pPr>
        <w:adjustRightInd w:val="0"/>
        <w:snapToGrid w:val="0"/>
        <w:spacing w:line="400" w:lineRule="exact"/>
        <w:ind w:firstLine="480" w:firstLineChars="200"/>
        <w:rPr>
          <w:rFonts w:ascii="宋体" w:hAnsi="宋体"/>
          <w:sz w:val="24"/>
        </w:rPr>
      </w:pPr>
      <w:r>
        <w:rPr>
          <w:rFonts w:ascii="宋体" w:hAnsi="宋体"/>
          <w:sz w:val="24"/>
        </w:rPr>
        <w:t>（6）</w:t>
      </w:r>
      <w:r>
        <w:rPr>
          <w:rFonts w:hint="eastAsia" w:ascii="宋体" w:hAnsi="宋体"/>
          <w:sz w:val="24"/>
        </w:rPr>
        <w:t>其他</w:t>
      </w:r>
      <w:r>
        <w:rPr>
          <w:rFonts w:ascii="宋体" w:hAnsi="宋体"/>
          <w:sz w:val="24"/>
        </w:rPr>
        <w:t>要求：见投标人须知前附表。</w:t>
      </w:r>
    </w:p>
    <w:p>
      <w:pPr>
        <w:adjustRightInd w:val="0"/>
        <w:snapToGrid w:val="0"/>
        <w:spacing w:line="400" w:lineRule="exact"/>
        <w:ind w:firstLine="480" w:firstLineChars="200"/>
        <w:rPr>
          <w:rFonts w:ascii="宋体" w:hAnsi="宋体"/>
          <w:sz w:val="24"/>
        </w:rPr>
      </w:pPr>
      <w:r>
        <w:rPr>
          <w:rFonts w:ascii="宋体" w:hAnsi="宋体"/>
          <w:sz w:val="24"/>
        </w:rPr>
        <w:t xml:space="preserve">1.4.2 </w:t>
      </w:r>
      <w:r>
        <w:rPr>
          <w:rFonts w:hint="eastAsia" w:ascii="宋体" w:hAnsi="宋体"/>
          <w:sz w:val="24"/>
        </w:rPr>
        <w:t>本次招标不</w:t>
      </w:r>
      <w:r>
        <w:rPr>
          <w:rFonts w:ascii="宋体" w:hAnsi="宋体"/>
          <w:sz w:val="24"/>
        </w:rPr>
        <w:t>接受联合体</w:t>
      </w:r>
      <w:r>
        <w:rPr>
          <w:rFonts w:hint="eastAsia" w:ascii="宋体" w:hAnsi="宋体"/>
          <w:sz w:val="24"/>
        </w:rPr>
        <w:t>。</w:t>
      </w:r>
    </w:p>
    <w:p>
      <w:pPr>
        <w:adjustRightInd w:val="0"/>
        <w:snapToGrid w:val="0"/>
        <w:spacing w:line="400" w:lineRule="exact"/>
        <w:ind w:firstLine="480" w:firstLineChars="200"/>
        <w:rPr>
          <w:rFonts w:ascii="宋体" w:hAnsi="宋体"/>
          <w:sz w:val="24"/>
        </w:rPr>
      </w:pPr>
      <w:r>
        <w:rPr>
          <w:rFonts w:ascii="宋体" w:hAnsi="宋体"/>
          <w:sz w:val="24"/>
        </w:rPr>
        <w:t>1.4.3 投标人不得存在下列情形之一：</w:t>
      </w:r>
    </w:p>
    <w:p>
      <w:pPr>
        <w:adjustRightInd w:val="0"/>
        <w:snapToGrid w:val="0"/>
        <w:spacing w:line="400" w:lineRule="exact"/>
        <w:ind w:firstLine="480" w:firstLineChars="200"/>
        <w:rPr>
          <w:rFonts w:ascii="宋体" w:hAnsi="宋体"/>
          <w:sz w:val="24"/>
        </w:rPr>
      </w:pPr>
      <w:r>
        <w:rPr>
          <w:rFonts w:ascii="宋体" w:hAnsi="宋体"/>
          <w:sz w:val="24"/>
        </w:rPr>
        <w:t>（1）为招标人不具有独立法人资格的附属机构（单位）；</w:t>
      </w:r>
    </w:p>
    <w:p>
      <w:pPr>
        <w:adjustRightInd w:val="0"/>
        <w:snapToGrid w:val="0"/>
        <w:spacing w:line="400" w:lineRule="exact"/>
        <w:ind w:firstLine="480" w:firstLineChars="200"/>
        <w:rPr>
          <w:rFonts w:ascii="宋体" w:hAnsi="宋体"/>
          <w:sz w:val="24"/>
        </w:rPr>
      </w:pPr>
      <w:r>
        <w:rPr>
          <w:rFonts w:ascii="宋体" w:hAnsi="宋体"/>
          <w:sz w:val="24"/>
        </w:rPr>
        <w:t>（2）为本标段前期准备提供设计或咨询服务的，但设计施工总承包的除外；</w:t>
      </w:r>
    </w:p>
    <w:p>
      <w:pPr>
        <w:adjustRightInd w:val="0"/>
        <w:snapToGrid w:val="0"/>
        <w:spacing w:line="400" w:lineRule="exact"/>
        <w:ind w:firstLine="480" w:firstLineChars="200"/>
        <w:rPr>
          <w:rFonts w:ascii="宋体" w:hAnsi="宋体"/>
          <w:sz w:val="24"/>
        </w:rPr>
      </w:pPr>
      <w:r>
        <w:rPr>
          <w:rFonts w:ascii="宋体" w:hAnsi="宋体"/>
          <w:sz w:val="24"/>
        </w:rPr>
        <w:t>（3）为本标段的监理人；</w:t>
      </w:r>
    </w:p>
    <w:p>
      <w:pPr>
        <w:adjustRightInd w:val="0"/>
        <w:snapToGrid w:val="0"/>
        <w:spacing w:line="400" w:lineRule="exact"/>
        <w:ind w:firstLine="480" w:firstLineChars="200"/>
        <w:rPr>
          <w:rFonts w:ascii="宋体" w:hAnsi="宋体"/>
          <w:sz w:val="24"/>
        </w:rPr>
      </w:pPr>
      <w:r>
        <w:rPr>
          <w:rFonts w:ascii="宋体" w:hAnsi="宋体"/>
          <w:sz w:val="24"/>
        </w:rPr>
        <w:t>（4）为本标段的代建人；</w:t>
      </w:r>
    </w:p>
    <w:p>
      <w:pPr>
        <w:adjustRightInd w:val="0"/>
        <w:snapToGrid w:val="0"/>
        <w:spacing w:line="400" w:lineRule="exact"/>
        <w:ind w:firstLine="480" w:firstLineChars="200"/>
        <w:rPr>
          <w:rFonts w:ascii="宋体" w:hAnsi="宋体"/>
          <w:sz w:val="24"/>
        </w:rPr>
      </w:pPr>
      <w:r>
        <w:rPr>
          <w:rFonts w:ascii="宋体" w:hAnsi="宋体"/>
          <w:sz w:val="24"/>
        </w:rPr>
        <w:t>（5）为本标段提供招标代理服务的；</w:t>
      </w:r>
    </w:p>
    <w:p>
      <w:pPr>
        <w:adjustRightInd w:val="0"/>
        <w:snapToGrid w:val="0"/>
        <w:spacing w:line="400" w:lineRule="exact"/>
        <w:ind w:firstLine="480" w:firstLineChars="200"/>
        <w:rPr>
          <w:rFonts w:ascii="宋体" w:hAnsi="宋体"/>
          <w:sz w:val="24"/>
        </w:rPr>
      </w:pPr>
      <w:r>
        <w:rPr>
          <w:rFonts w:ascii="宋体" w:hAnsi="宋体"/>
          <w:sz w:val="24"/>
        </w:rPr>
        <w:t>（6）与本标段的监理人或代建人或招标代理机构同为一个法定代表人的；</w:t>
      </w:r>
    </w:p>
    <w:p>
      <w:pPr>
        <w:adjustRightInd w:val="0"/>
        <w:snapToGrid w:val="0"/>
        <w:spacing w:line="400" w:lineRule="exact"/>
        <w:ind w:firstLine="480" w:firstLineChars="200"/>
        <w:rPr>
          <w:rFonts w:ascii="宋体" w:hAnsi="宋体"/>
          <w:sz w:val="24"/>
        </w:rPr>
      </w:pPr>
      <w:r>
        <w:rPr>
          <w:rFonts w:ascii="宋体" w:hAnsi="宋体"/>
          <w:sz w:val="24"/>
        </w:rPr>
        <w:t>（7）与本标段的监理人或代建人或招标代理机构相互控股或参股的；</w:t>
      </w:r>
    </w:p>
    <w:p>
      <w:pPr>
        <w:adjustRightInd w:val="0"/>
        <w:snapToGrid w:val="0"/>
        <w:spacing w:line="400" w:lineRule="exact"/>
        <w:ind w:firstLine="480" w:firstLineChars="200"/>
        <w:rPr>
          <w:rFonts w:ascii="宋体" w:hAnsi="宋体"/>
          <w:sz w:val="24"/>
        </w:rPr>
      </w:pPr>
      <w:r>
        <w:rPr>
          <w:rFonts w:ascii="宋体" w:hAnsi="宋体"/>
          <w:sz w:val="24"/>
        </w:rPr>
        <w:t>（8）与本标段的监理人或代建人或招标代理机构相互任职或工作的；</w:t>
      </w:r>
    </w:p>
    <w:p>
      <w:pPr>
        <w:adjustRightInd w:val="0"/>
        <w:snapToGrid w:val="0"/>
        <w:spacing w:line="400" w:lineRule="exact"/>
        <w:ind w:firstLine="480" w:firstLineChars="200"/>
        <w:rPr>
          <w:rFonts w:ascii="宋体" w:hAnsi="宋体"/>
          <w:sz w:val="24"/>
        </w:rPr>
      </w:pPr>
      <w:r>
        <w:rPr>
          <w:rFonts w:ascii="宋体" w:hAnsi="宋体"/>
          <w:sz w:val="24"/>
        </w:rPr>
        <w:t>（9）被责令停业的；</w:t>
      </w:r>
    </w:p>
    <w:p>
      <w:pPr>
        <w:adjustRightInd w:val="0"/>
        <w:snapToGrid w:val="0"/>
        <w:spacing w:line="400" w:lineRule="exact"/>
        <w:ind w:firstLine="480" w:firstLineChars="200"/>
        <w:rPr>
          <w:rFonts w:ascii="宋体" w:hAnsi="宋体"/>
          <w:sz w:val="24"/>
        </w:rPr>
      </w:pPr>
      <w:r>
        <w:rPr>
          <w:rFonts w:ascii="宋体" w:hAnsi="宋体"/>
          <w:sz w:val="24"/>
        </w:rPr>
        <w:t>（10）被暂停或取消投标资格的；</w:t>
      </w:r>
    </w:p>
    <w:p>
      <w:pPr>
        <w:adjustRightInd w:val="0"/>
        <w:snapToGrid w:val="0"/>
        <w:spacing w:line="400" w:lineRule="exact"/>
        <w:ind w:firstLine="480" w:firstLineChars="200"/>
        <w:rPr>
          <w:rFonts w:ascii="宋体" w:hAnsi="宋体"/>
          <w:sz w:val="24"/>
        </w:rPr>
      </w:pPr>
      <w:r>
        <w:rPr>
          <w:rFonts w:ascii="宋体" w:hAnsi="宋体"/>
          <w:sz w:val="24"/>
        </w:rPr>
        <w:t>（11）财产被接管或冻结的；</w:t>
      </w:r>
    </w:p>
    <w:p>
      <w:pPr>
        <w:adjustRightInd w:val="0"/>
        <w:snapToGrid w:val="0"/>
        <w:spacing w:line="400" w:lineRule="exact"/>
        <w:ind w:firstLine="480" w:firstLineChars="200"/>
        <w:rPr>
          <w:rFonts w:ascii="宋体" w:hAnsi="宋体"/>
          <w:sz w:val="24"/>
        </w:rPr>
      </w:pPr>
      <w:r>
        <w:rPr>
          <w:rFonts w:ascii="宋体" w:hAnsi="宋体"/>
          <w:sz w:val="24"/>
        </w:rPr>
        <w:t>（12）在最近三年内有骗取中标或严重违约或重大工程质量问题的</w:t>
      </w:r>
      <w:r>
        <w:rPr>
          <w:rFonts w:hint="eastAsia" w:ascii="宋体" w:hAnsi="宋体"/>
          <w:sz w:val="24"/>
        </w:rPr>
        <w:t>；</w:t>
      </w:r>
    </w:p>
    <w:p>
      <w:pPr>
        <w:adjustRightInd w:val="0"/>
        <w:snapToGrid w:val="0"/>
        <w:spacing w:line="400" w:lineRule="exact"/>
        <w:ind w:firstLine="480" w:firstLineChars="200"/>
        <w:rPr>
          <w:rFonts w:ascii="宋体" w:hAnsi="宋体"/>
          <w:sz w:val="24"/>
        </w:rPr>
      </w:pPr>
      <w:r>
        <w:rPr>
          <w:rFonts w:hint="eastAsia" w:ascii="宋体" w:hAnsi="宋体"/>
          <w:sz w:val="24"/>
        </w:rPr>
        <w:t>（13）涉及正在诉讼的案件，或涉及正在诉讼的案件但经审查委员会认定不会对承担本项目造成重大影响；</w:t>
      </w:r>
    </w:p>
    <w:p>
      <w:pPr>
        <w:adjustRightInd w:val="0"/>
        <w:snapToGrid w:val="0"/>
        <w:spacing w:line="400" w:lineRule="exact"/>
        <w:ind w:firstLine="480" w:firstLineChars="200"/>
        <w:rPr>
          <w:rFonts w:ascii="宋体" w:hAnsi="宋体"/>
          <w:sz w:val="24"/>
        </w:rPr>
      </w:pPr>
      <w:r>
        <w:rPr>
          <w:rFonts w:hint="eastAsia" w:ascii="宋体" w:hAnsi="宋体"/>
          <w:sz w:val="24"/>
        </w:rPr>
        <w:t>（14）被省级及以上交通主管部门取消项目所在地的投标资格或禁止进入该区域公路建设市场且处于有效期内；</w:t>
      </w:r>
    </w:p>
    <w:p>
      <w:pPr>
        <w:adjustRightInd w:val="0"/>
        <w:snapToGrid w:val="0"/>
        <w:spacing w:line="400" w:lineRule="exact"/>
        <w:ind w:firstLine="480" w:firstLineChars="200"/>
        <w:rPr>
          <w:rFonts w:ascii="宋体" w:hAnsi="宋体"/>
          <w:sz w:val="24"/>
        </w:rPr>
      </w:pPr>
      <w:r>
        <w:rPr>
          <w:rFonts w:hint="eastAsia" w:ascii="宋体" w:hAnsi="宋体"/>
          <w:sz w:val="24"/>
        </w:rPr>
        <w:t>（15）为投资参股本项目的法人单位。</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1.4.4 投标人（包括联合体各成员）不得存在下列不良状况或不良信用记录：</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（1）被省级及以上交通运输主管部门取消招标项目所在地的投标资格且处于有效期内；</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（2）</w:t>
      </w:r>
      <w:r>
        <w:rPr>
          <w:rFonts w:hint="eastAsia" w:asciiTheme="minorEastAsia" w:hAnsiTheme="minorEastAsia" w:eastAsiaTheme="minorEastAsia"/>
          <w:sz w:val="24"/>
        </w:rPr>
        <w:t>根据《河南省公路建设市场从业单位及人员信用管理办法》第二十一条信用考核定级为D级即黑名单。</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（3）被责令停业，暂扣或吊销执照，或吊销资质证书；</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（4）进入清算程序，或被宣告破产，或其他丧失履约能力的情形；</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（5）在国家企业信用信息公示系统中被列入经营异常名录或严重失信黑名单；</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（6）在“信用中国”和“信用河南”网站中被列入黑名单；</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（7）法律法规或投标人须知前附表规定的其他情形。</w:t>
      </w:r>
    </w:p>
    <w:p>
      <w:pPr>
        <w:pStyle w:val="6"/>
        <w:keepNext w:val="0"/>
        <w:keepLines w:val="0"/>
        <w:adjustRightInd w:val="0"/>
        <w:snapToGrid w:val="0"/>
        <w:spacing w:beforeLines="50" w:after="0" w:line="400" w:lineRule="exact"/>
        <w:rPr>
          <w:rFonts w:ascii="宋体" w:hAnsi="宋体"/>
          <w:sz w:val="24"/>
          <w:szCs w:val="24"/>
        </w:rPr>
      </w:pPr>
      <w:bookmarkStart w:id="24" w:name="_Toc485889007"/>
      <w:bookmarkStart w:id="25" w:name="_Toc234382595"/>
      <w:bookmarkStart w:id="26" w:name="_Toc486277868"/>
      <w:bookmarkStart w:id="27" w:name="_Toc19946"/>
      <w:r>
        <w:rPr>
          <w:rFonts w:ascii="宋体" w:hAnsi="宋体"/>
          <w:sz w:val="24"/>
          <w:szCs w:val="24"/>
        </w:rPr>
        <w:t>1.5 费用承担</w:t>
      </w:r>
      <w:bookmarkEnd w:id="24"/>
      <w:bookmarkEnd w:id="25"/>
      <w:bookmarkEnd w:id="26"/>
      <w:bookmarkEnd w:id="27"/>
    </w:p>
    <w:p>
      <w:pPr>
        <w:adjustRightInd w:val="0"/>
        <w:snapToGrid w:val="0"/>
        <w:spacing w:line="400" w:lineRule="exact"/>
        <w:ind w:firstLine="480" w:firstLineChars="200"/>
        <w:rPr>
          <w:rFonts w:ascii="宋体" w:hAnsi="宋体"/>
          <w:sz w:val="24"/>
        </w:rPr>
      </w:pPr>
      <w:r>
        <w:rPr>
          <w:rFonts w:ascii="宋体" w:hAnsi="宋体"/>
          <w:sz w:val="24"/>
        </w:rPr>
        <w:t>投标人准备和参加投标活动发生的费用自理。</w:t>
      </w:r>
    </w:p>
    <w:p>
      <w:pPr>
        <w:pStyle w:val="6"/>
        <w:keepNext w:val="0"/>
        <w:keepLines w:val="0"/>
        <w:adjustRightInd w:val="0"/>
        <w:snapToGrid w:val="0"/>
        <w:spacing w:beforeLines="50" w:after="0" w:line="400" w:lineRule="exact"/>
        <w:rPr>
          <w:rFonts w:ascii="宋体" w:hAnsi="宋体"/>
          <w:sz w:val="24"/>
          <w:szCs w:val="24"/>
        </w:rPr>
      </w:pPr>
      <w:bookmarkStart w:id="28" w:name="_Toc486277869"/>
      <w:bookmarkStart w:id="29" w:name="_Toc8968"/>
      <w:bookmarkStart w:id="30" w:name="_Toc234382596"/>
      <w:bookmarkStart w:id="31" w:name="_Toc485889008"/>
      <w:r>
        <w:rPr>
          <w:rFonts w:ascii="宋体" w:hAnsi="宋体"/>
          <w:sz w:val="24"/>
          <w:szCs w:val="24"/>
        </w:rPr>
        <w:t>1.6 保密</w:t>
      </w:r>
      <w:bookmarkEnd w:id="28"/>
      <w:bookmarkEnd w:id="29"/>
      <w:bookmarkEnd w:id="30"/>
      <w:bookmarkEnd w:id="31"/>
    </w:p>
    <w:p>
      <w:pPr>
        <w:adjustRightInd w:val="0"/>
        <w:snapToGrid w:val="0"/>
        <w:spacing w:line="400" w:lineRule="exact"/>
        <w:ind w:firstLine="480" w:firstLineChars="200"/>
        <w:rPr>
          <w:rFonts w:ascii="宋体" w:hAnsi="宋体"/>
          <w:sz w:val="24"/>
        </w:rPr>
      </w:pPr>
      <w:r>
        <w:rPr>
          <w:rFonts w:ascii="宋体" w:hAnsi="宋体"/>
          <w:sz w:val="24"/>
        </w:rPr>
        <w:t>参与招标投标活动的各方应对招标文件和投标文件中的商业和技术等秘密保密，违者应对由此造成的后果承担法律责任。</w:t>
      </w:r>
    </w:p>
    <w:p>
      <w:pPr>
        <w:pStyle w:val="6"/>
        <w:keepNext w:val="0"/>
        <w:keepLines w:val="0"/>
        <w:adjustRightInd w:val="0"/>
        <w:snapToGrid w:val="0"/>
        <w:spacing w:beforeLines="50" w:after="0" w:line="400" w:lineRule="exact"/>
        <w:rPr>
          <w:rFonts w:ascii="宋体" w:hAnsi="宋体"/>
          <w:sz w:val="24"/>
          <w:szCs w:val="24"/>
        </w:rPr>
      </w:pPr>
      <w:bookmarkStart w:id="32" w:name="_Toc486277870"/>
      <w:bookmarkStart w:id="33" w:name="_Toc485889009"/>
      <w:bookmarkStart w:id="34" w:name="_Toc5358"/>
      <w:bookmarkStart w:id="35" w:name="_Toc234382597"/>
      <w:r>
        <w:rPr>
          <w:rFonts w:ascii="宋体" w:hAnsi="宋体"/>
          <w:sz w:val="24"/>
          <w:szCs w:val="24"/>
        </w:rPr>
        <w:t>1.7 语言文字</w:t>
      </w:r>
      <w:bookmarkEnd w:id="32"/>
      <w:bookmarkEnd w:id="33"/>
      <w:bookmarkEnd w:id="34"/>
      <w:bookmarkEnd w:id="35"/>
    </w:p>
    <w:p>
      <w:pPr>
        <w:adjustRightInd w:val="0"/>
        <w:snapToGrid w:val="0"/>
        <w:spacing w:line="400" w:lineRule="exact"/>
        <w:ind w:firstLine="480" w:firstLineChars="200"/>
        <w:rPr>
          <w:rFonts w:ascii="宋体" w:hAnsi="宋体"/>
          <w:sz w:val="24"/>
        </w:rPr>
      </w:pPr>
      <w:r>
        <w:rPr>
          <w:rFonts w:ascii="宋体" w:hAnsi="宋体"/>
          <w:sz w:val="24"/>
        </w:rPr>
        <w:t>除专用术语外，与招标投标有关的语言均使用中文。必要时专用术语应附有中文注释。</w:t>
      </w:r>
    </w:p>
    <w:p>
      <w:pPr>
        <w:pStyle w:val="6"/>
        <w:keepNext w:val="0"/>
        <w:keepLines w:val="0"/>
        <w:adjustRightInd w:val="0"/>
        <w:snapToGrid w:val="0"/>
        <w:spacing w:beforeLines="50" w:after="0" w:line="400" w:lineRule="exact"/>
        <w:rPr>
          <w:rFonts w:ascii="宋体" w:hAnsi="宋体"/>
          <w:sz w:val="24"/>
          <w:szCs w:val="24"/>
        </w:rPr>
      </w:pPr>
      <w:bookmarkStart w:id="36" w:name="_Toc486277871"/>
      <w:bookmarkStart w:id="37" w:name="_Toc485889010"/>
      <w:bookmarkStart w:id="38" w:name="_Toc234382598"/>
      <w:bookmarkStart w:id="39" w:name="_Toc105"/>
      <w:r>
        <w:rPr>
          <w:rFonts w:ascii="宋体" w:hAnsi="宋体"/>
          <w:sz w:val="24"/>
          <w:szCs w:val="24"/>
        </w:rPr>
        <w:t>1.8 计量单位</w:t>
      </w:r>
      <w:bookmarkEnd w:id="36"/>
      <w:bookmarkEnd w:id="37"/>
      <w:bookmarkEnd w:id="38"/>
      <w:bookmarkEnd w:id="39"/>
    </w:p>
    <w:p>
      <w:pPr>
        <w:adjustRightInd w:val="0"/>
        <w:snapToGrid w:val="0"/>
        <w:spacing w:line="400" w:lineRule="exact"/>
        <w:ind w:firstLine="480" w:firstLineChars="200"/>
        <w:rPr>
          <w:rFonts w:ascii="宋体" w:hAnsi="宋体"/>
          <w:sz w:val="24"/>
        </w:rPr>
      </w:pPr>
      <w:r>
        <w:rPr>
          <w:rFonts w:ascii="宋体" w:hAnsi="宋体"/>
          <w:sz w:val="24"/>
        </w:rPr>
        <w:t>所有计量均采用中华人民共和国法定计量单位。</w:t>
      </w:r>
    </w:p>
    <w:p>
      <w:pPr>
        <w:pStyle w:val="6"/>
        <w:keepNext w:val="0"/>
        <w:keepLines w:val="0"/>
        <w:adjustRightInd w:val="0"/>
        <w:snapToGrid w:val="0"/>
        <w:spacing w:beforeLines="50" w:after="0" w:line="400" w:lineRule="exact"/>
        <w:rPr>
          <w:rFonts w:ascii="宋体" w:hAnsi="宋体"/>
          <w:sz w:val="24"/>
          <w:szCs w:val="24"/>
        </w:rPr>
      </w:pPr>
      <w:bookmarkStart w:id="40" w:name="_Toc234382599"/>
      <w:bookmarkStart w:id="41" w:name="_Toc485889011"/>
      <w:bookmarkStart w:id="42" w:name="_Toc486277872"/>
      <w:bookmarkStart w:id="43" w:name="_Toc31645"/>
      <w:r>
        <w:rPr>
          <w:rFonts w:ascii="宋体" w:hAnsi="宋体"/>
          <w:sz w:val="24"/>
          <w:szCs w:val="24"/>
        </w:rPr>
        <w:t>1.9 踏勘现场</w:t>
      </w:r>
      <w:bookmarkEnd w:id="40"/>
      <w:bookmarkEnd w:id="41"/>
      <w:bookmarkEnd w:id="42"/>
      <w:bookmarkEnd w:id="43"/>
    </w:p>
    <w:p>
      <w:pPr>
        <w:adjustRightInd w:val="0"/>
        <w:snapToGrid w:val="0"/>
        <w:spacing w:line="400" w:lineRule="exact"/>
        <w:ind w:firstLine="480" w:firstLineChars="200"/>
        <w:rPr>
          <w:rFonts w:ascii="宋体" w:hAnsi="宋体"/>
          <w:sz w:val="24"/>
        </w:rPr>
      </w:pPr>
      <w:r>
        <w:rPr>
          <w:rFonts w:ascii="宋体" w:hAnsi="宋体"/>
          <w:sz w:val="24"/>
        </w:rPr>
        <w:t>1.9.1 投标人须知前附表规定组织踏勘现场的，招标人按投标人须知前附表规定的时间、地点组织投标人踏勘项目现场。</w:t>
      </w:r>
    </w:p>
    <w:p>
      <w:pPr>
        <w:adjustRightInd w:val="0"/>
        <w:snapToGrid w:val="0"/>
        <w:spacing w:line="400" w:lineRule="exact"/>
        <w:ind w:firstLine="480" w:firstLineChars="200"/>
        <w:rPr>
          <w:rFonts w:ascii="宋体" w:hAnsi="宋体"/>
          <w:sz w:val="24"/>
        </w:rPr>
      </w:pPr>
      <w:r>
        <w:rPr>
          <w:rFonts w:ascii="宋体" w:hAnsi="宋体"/>
          <w:sz w:val="24"/>
        </w:rPr>
        <w:t>1.9.2 投标人踏勘现场发生的费用自理。</w:t>
      </w:r>
    </w:p>
    <w:p>
      <w:pPr>
        <w:adjustRightInd w:val="0"/>
        <w:snapToGrid w:val="0"/>
        <w:spacing w:line="400" w:lineRule="exact"/>
        <w:ind w:firstLine="480" w:firstLineChars="200"/>
        <w:rPr>
          <w:rFonts w:ascii="宋体" w:hAnsi="宋体"/>
          <w:sz w:val="24"/>
        </w:rPr>
      </w:pPr>
      <w:r>
        <w:rPr>
          <w:rFonts w:ascii="宋体" w:hAnsi="宋体"/>
          <w:sz w:val="24"/>
        </w:rPr>
        <w:t>1.9.3 除招标人的原因外，投标人自行负责在踏勘现场中所发生的人员伤亡和财产损失。</w:t>
      </w:r>
    </w:p>
    <w:p>
      <w:pPr>
        <w:adjustRightInd w:val="0"/>
        <w:snapToGrid w:val="0"/>
        <w:spacing w:line="400" w:lineRule="exact"/>
        <w:ind w:firstLine="480" w:firstLineChars="200"/>
        <w:rPr>
          <w:rFonts w:ascii="宋体" w:hAnsi="宋体"/>
          <w:sz w:val="24"/>
        </w:rPr>
      </w:pPr>
      <w:r>
        <w:rPr>
          <w:rFonts w:ascii="宋体" w:hAnsi="宋体"/>
          <w:sz w:val="24"/>
        </w:rPr>
        <w:t>1.9.4 招标人在踏勘现场中介绍的工程场地和相关的周边环境情况，供投标人在编制投标文件时参考，招标人不对投标人据此作出的判断和决策负责。</w:t>
      </w:r>
    </w:p>
    <w:p>
      <w:pPr>
        <w:adjustRightInd w:val="0"/>
        <w:snapToGrid w:val="0"/>
        <w:spacing w:line="400" w:lineRule="exact"/>
        <w:ind w:firstLine="480" w:firstLineChars="200"/>
        <w:rPr>
          <w:rFonts w:ascii="宋体" w:hAnsi="宋体"/>
          <w:sz w:val="24"/>
        </w:rPr>
      </w:pPr>
      <w:r>
        <w:rPr>
          <w:rFonts w:hint="eastAsia" w:ascii="宋体" w:hAnsi="宋体"/>
          <w:sz w:val="24"/>
        </w:rPr>
        <w:t>1.9.5 招标人提供的本合同工程的水文、地质、气象和料场分布、取土场、弃土场位置等参考资料，并不构成合同文件的组成部分，投标人应对自己对上述资料的解释、推论和应用负责，招标人不对投标人据此作出的判断和决策承担任何责任。</w:t>
      </w:r>
    </w:p>
    <w:p>
      <w:pPr>
        <w:pStyle w:val="6"/>
        <w:keepNext w:val="0"/>
        <w:keepLines w:val="0"/>
        <w:adjustRightInd w:val="0"/>
        <w:snapToGrid w:val="0"/>
        <w:spacing w:beforeLines="50" w:after="0" w:line="400" w:lineRule="exact"/>
        <w:rPr>
          <w:rFonts w:ascii="宋体" w:hAnsi="宋体"/>
          <w:sz w:val="24"/>
          <w:szCs w:val="24"/>
        </w:rPr>
      </w:pPr>
      <w:bookmarkStart w:id="44" w:name="_Toc234382600"/>
      <w:bookmarkStart w:id="45" w:name="_Toc3462"/>
      <w:bookmarkStart w:id="46" w:name="_Toc486277873"/>
      <w:bookmarkStart w:id="47" w:name="_Toc485889012"/>
      <w:r>
        <w:rPr>
          <w:rFonts w:ascii="宋体" w:hAnsi="宋体"/>
          <w:sz w:val="24"/>
          <w:szCs w:val="24"/>
        </w:rPr>
        <w:t>1.10 投标预备会</w:t>
      </w:r>
      <w:bookmarkEnd w:id="44"/>
      <w:r>
        <w:rPr>
          <w:rFonts w:hint="eastAsia" w:ascii="宋体" w:hAnsi="宋体"/>
          <w:sz w:val="24"/>
          <w:szCs w:val="24"/>
        </w:rPr>
        <w:t>（不召开）</w:t>
      </w:r>
      <w:bookmarkEnd w:id="45"/>
      <w:bookmarkEnd w:id="46"/>
      <w:bookmarkEnd w:id="47"/>
    </w:p>
    <w:p>
      <w:pPr>
        <w:spacing w:line="360" w:lineRule="auto"/>
        <w:ind w:firstLine="470" w:firstLineChars="196"/>
        <w:rPr>
          <w:rFonts w:asciiTheme="minorEastAsia" w:hAnsiTheme="minorEastAsia" w:eastAsiaTheme="minorEastAsia"/>
          <w:color w:val="000000"/>
          <w:sz w:val="24"/>
        </w:rPr>
      </w:pPr>
      <w:bookmarkStart w:id="48" w:name="_Toc486277874"/>
      <w:bookmarkStart w:id="49" w:name="_Toc485889013"/>
      <w:bookmarkStart w:id="50" w:name="_Toc22514"/>
      <w:bookmarkStart w:id="51" w:name="_Toc234382601"/>
      <w:r>
        <w:rPr>
          <w:rFonts w:hint="eastAsia" w:asciiTheme="minorEastAsia" w:hAnsiTheme="minorEastAsia" w:eastAsiaTheme="minorEastAsia"/>
          <w:color w:val="000000"/>
          <w:sz w:val="24"/>
        </w:rPr>
        <w:t xml:space="preserve">1.10.1 </w:t>
      </w:r>
      <w:r>
        <w:rPr>
          <w:rFonts w:hint="eastAsia" w:asciiTheme="minorEastAsia" w:hAnsiTheme="minorEastAsia" w:eastAsiaTheme="minorEastAsia"/>
          <w:spacing w:val="-11"/>
          <w:sz w:val="24"/>
        </w:rPr>
        <w:t>第一章“招标公告”或“投标邀请书”规定召开投标预备会的，招标人按规定的时间和地点召开投标预备会，澄清投标人提出的问题。</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1.10.2 投标人应在投标人须知前附表规定的时间前，将问题在公共资源交易系统电子平台上提出。</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1.10.3 招标人在投标人须知前附表规定的时间内，将对投标人所提问题的澄清，</w:t>
      </w:r>
      <w:r>
        <w:rPr>
          <w:rFonts w:hint="eastAsia" w:asciiTheme="minorEastAsia" w:hAnsiTheme="minorEastAsia" w:eastAsiaTheme="minorEastAsia"/>
          <w:spacing w:val="-6"/>
          <w:sz w:val="24"/>
        </w:rPr>
        <w:t xml:space="preserve">以本章第 </w:t>
      </w:r>
      <w:r>
        <w:rPr>
          <w:rFonts w:hint="eastAsia" w:asciiTheme="minorEastAsia" w:hAnsiTheme="minorEastAsia" w:eastAsiaTheme="minorEastAsia"/>
          <w:sz w:val="24"/>
        </w:rPr>
        <w:t>2.2 款规定的形式通知所有购买招标文件的投标人。该澄清内容为招标文件的组成部分</w:t>
      </w:r>
    </w:p>
    <w:p>
      <w:pPr>
        <w:pStyle w:val="6"/>
        <w:keepNext w:val="0"/>
        <w:keepLines w:val="0"/>
        <w:adjustRightInd w:val="0"/>
        <w:snapToGrid w:val="0"/>
        <w:spacing w:beforeLines="50" w:after="0" w:line="400" w:lineRule="exact"/>
        <w:rPr>
          <w:rFonts w:ascii="宋体" w:hAnsi="宋体"/>
          <w:sz w:val="24"/>
          <w:szCs w:val="24"/>
        </w:rPr>
      </w:pPr>
      <w:r>
        <w:rPr>
          <w:rFonts w:ascii="宋体" w:hAnsi="宋体"/>
          <w:sz w:val="24"/>
          <w:szCs w:val="24"/>
        </w:rPr>
        <w:t>1.11 分包</w:t>
      </w:r>
      <w:bookmarkEnd w:id="48"/>
      <w:bookmarkEnd w:id="49"/>
      <w:bookmarkEnd w:id="50"/>
      <w:bookmarkEnd w:id="51"/>
    </w:p>
    <w:p>
      <w:pPr>
        <w:adjustRightInd w:val="0"/>
        <w:snapToGrid w:val="0"/>
        <w:spacing w:line="400" w:lineRule="exact"/>
        <w:ind w:firstLine="480" w:firstLineChars="200"/>
        <w:rPr>
          <w:rFonts w:ascii="宋体" w:hAnsi="宋体"/>
          <w:sz w:val="24"/>
        </w:rPr>
      </w:pPr>
      <w:r>
        <w:rPr>
          <w:rFonts w:hint="eastAsia" w:ascii="宋体" w:hAnsi="宋体"/>
          <w:sz w:val="24"/>
        </w:rPr>
        <w:t xml:space="preserve">本项目严禁转包和违规分包，且不得再次分包。投标人拟在中标后将中标项目的部分非主体、非关键性工作进行分包的，应符合以下规定： </w:t>
      </w:r>
    </w:p>
    <w:p>
      <w:pPr>
        <w:adjustRightInd w:val="0"/>
        <w:snapToGrid w:val="0"/>
        <w:spacing w:line="400" w:lineRule="exact"/>
        <w:ind w:firstLine="480" w:firstLineChars="200"/>
        <w:rPr>
          <w:rFonts w:ascii="宋体" w:hAnsi="宋体"/>
          <w:sz w:val="24"/>
        </w:rPr>
      </w:pPr>
      <w:r>
        <w:rPr>
          <w:rFonts w:hint="eastAsia" w:ascii="宋体" w:hAnsi="宋体"/>
          <w:sz w:val="24"/>
        </w:rPr>
        <w:t>分包内容要求：允许分包的工程范围仅限于非关键性工程或者适合专业化队伍施工的专业工程；</w:t>
      </w:r>
    </w:p>
    <w:p>
      <w:pPr>
        <w:adjustRightInd w:val="0"/>
        <w:snapToGrid w:val="0"/>
        <w:spacing w:line="400" w:lineRule="exact"/>
        <w:ind w:firstLine="480" w:firstLineChars="200"/>
        <w:rPr>
          <w:rFonts w:ascii="宋体" w:hAnsi="宋体"/>
          <w:sz w:val="24"/>
        </w:rPr>
      </w:pPr>
      <w:r>
        <w:rPr>
          <w:rFonts w:hint="eastAsia" w:ascii="宋体" w:hAnsi="宋体"/>
          <w:sz w:val="24"/>
        </w:rPr>
        <w:t>分包金额要求：专业工程分包的工程量累计不得超过总工程量的30%；</w:t>
      </w:r>
    </w:p>
    <w:p>
      <w:pPr>
        <w:adjustRightInd w:val="0"/>
        <w:snapToGrid w:val="0"/>
        <w:spacing w:line="400" w:lineRule="exact"/>
        <w:ind w:firstLine="480" w:firstLineChars="200"/>
        <w:rPr>
          <w:rFonts w:ascii="宋体" w:hAnsi="宋体"/>
          <w:sz w:val="24"/>
        </w:rPr>
      </w:pPr>
      <w:r>
        <w:rPr>
          <w:rFonts w:hint="eastAsia" w:ascii="宋体" w:hAnsi="宋体"/>
          <w:sz w:val="24"/>
        </w:rPr>
        <w:t>接受分包的第三人资质要求：分包人的资格能力应与其分包工程的标准和规模相适应，具备相应的专业承包资质或劳务分包资质；</w:t>
      </w:r>
    </w:p>
    <w:p>
      <w:pPr>
        <w:adjustRightInd w:val="0"/>
        <w:snapToGrid w:val="0"/>
        <w:spacing w:line="400" w:lineRule="exact"/>
        <w:ind w:firstLine="480" w:firstLineChars="200"/>
        <w:rPr>
          <w:rFonts w:ascii="宋体" w:hAnsi="宋体"/>
          <w:sz w:val="24"/>
        </w:rPr>
      </w:pPr>
      <w:r>
        <w:rPr>
          <w:rFonts w:hint="eastAsia" w:ascii="宋体" w:hAnsi="宋体"/>
          <w:sz w:val="24"/>
        </w:rPr>
        <w:t>其他要求；投标人如有分包计划，应按第八章“投标文件格式”的要求填写“拟分包项目调查表”，且投标人中标后的分包应满足合同条款第4.3款的相关要求。</w:t>
      </w:r>
    </w:p>
    <w:p>
      <w:pPr>
        <w:pStyle w:val="6"/>
        <w:keepNext w:val="0"/>
        <w:keepLines w:val="0"/>
        <w:adjustRightInd w:val="0"/>
        <w:snapToGrid w:val="0"/>
        <w:spacing w:beforeLines="50" w:after="0" w:line="400" w:lineRule="exact"/>
        <w:rPr>
          <w:rFonts w:ascii="宋体" w:hAnsi="宋体"/>
          <w:sz w:val="24"/>
          <w:szCs w:val="24"/>
          <w:vertAlign w:val="superscript"/>
        </w:rPr>
      </w:pPr>
      <w:bookmarkStart w:id="52" w:name="_Toc234382602"/>
      <w:bookmarkStart w:id="53" w:name="_Toc485889014"/>
      <w:bookmarkStart w:id="54" w:name="_Toc6184"/>
      <w:bookmarkStart w:id="55" w:name="_Toc486277875"/>
      <w:r>
        <w:rPr>
          <w:rFonts w:ascii="宋体" w:hAnsi="宋体"/>
          <w:sz w:val="24"/>
          <w:szCs w:val="24"/>
        </w:rPr>
        <w:t>1.12 偏离</w:t>
      </w:r>
      <w:bookmarkEnd w:id="52"/>
      <w:bookmarkEnd w:id="53"/>
      <w:bookmarkEnd w:id="54"/>
      <w:bookmarkEnd w:id="55"/>
    </w:p>
    <w:p>
      <w:pPr>
        <w:adjustRightInd w:val="0"/>
        <w:snapToGrid w:val="0"/>
        <w:spacing w:line="400" w:lineRule="exact"/>
        <w:ind w:firstLine="480" w:firstLineChars="200"/>
        <w:rPr>
          <w:rFonts w:ascii="宋体" w:hAnsi="宋体"/>
          <w:sz w:val="24"/>
        </w:rPr>
      </w:pPr>
      <w:r>
        <w:rPr>
          <w:rFonts w:ascii="宋体" w:hAnsi="宋体"/>
          <w:sz w:val="24"/>
        </w:rPr>
        <w:t>投标人须知前附表允许投标文件偏离招标文件某些要求的，偏离应当符合招标文件规定的偏离范围和幅度。</w:t>
      </w:r>
    </w:p>
    <w:p>
      <w:pPr>
        <w:adjustRightInd w:val="0"/>
        <w:snapToGrid w:val="0"/>
        <w:spacing w:line="400" w:lineRule="exact"/>
        <w:ind w:firstLine="480" w:firstLineChars="200"/>
        <w:rPr>
          <w:rFonts w:ascii="宋体" w:hAnsi="宋体"/>
          <w:sz w:val="24"/>
        </w:rPr>
      </w:pPr>
      <w:r>
        <w:rPr>
          <w:rFonts w:hint="eastAsia" w:ascii="宋体" w:hAnsi="宋体"/>
          <w:sz w:val="24"/>
        </w:rPr>
        <w:t>偏离即偏差，偏差分重大偏差和细微偏差。</w:t>
      </w:r>
    </w:p>
    <w:p>
      <w:pPr>
        <w:adjustRightInd w:val="0"/>
        <w:snapToGrid w:val="0"/>
        <w:spacing w:line="400" w:lineRule="exact"/>
        <w:ind w:firstLine="480" w:firstLineChars="200"/>
        <w:rPr>
          <w:rFonts w:ascii="宋体" w:hAnsi="宋体"/>
          <w:sz w:val="24"/>
        </w:rPr>
      </w:pPr>
      <w:r>
        <w:rPr>
          <w:rFonts w:hint="eastAsia" w:ascii="宋体" w:hAnsi="宋体"/>
          <w:sz w:val="24"/>
        </w:rPr>
        <w:t>1.12.1 投标文件不符合第三章“评标办法”第2.1款所列的初步评审标准以及按照第三章“评标办法”第3.1.3项和第3.1.4项的规定对投标价进行算术性错误修正及其他错误修正后，最终投标报价超过投标控制价上限（如有）的，属于重大偏差，视为对招标文件未作出实质性响应，按废标处理。</w:t>
      </w:r>
    </w:p>
    <w:p>
      <w:pPr>
        <w:adjustRightInd w:val="0"/>
        <w:snapToGrid w:val="0"/>
        <w:spacing w:line="400" w:lineRule="exact"/>
        <w:ind w:firstLine="480" w:firstLineChars="200"/>
        <w:rPr>
          <w:rFonts w:ascii="宋体" w:hAnsi="宋体"/>
          <w:sz w:val="24"/>
        </w:rPr>
      </w:pPr>
      <w:r>
        <w:rPr>
          <w:rFonts w:hint="eastAsia" w:ascii="宋体" w:hAnsi="宋体"/>
          <w:sz w:val="24"/>
        </w:rPr>
        <w:t>1.12.2 投标文件中的下列偏差为细微偏差：</w:t>
      </w:r>
    </w:p>
    <w:p>
      <w:pPr>
        <w:adjustRightInd w:val="0"/>
        <w:snapToGrid w:val="0"/>
        <w:spacing w:line="400" w:lineRule="exact"/>
        <w:ind w:firstLine="480" w:firstLineChars="200"/>
        <w:rPr>
          <w:rFonts w:ascii="宋体" w:hAnsi="宋体"/>
          <w:sz w:val="24"/>
        </w:rPr>
      </w:pPr>
      <w:r>
        <w:rPr>
          <w:rFonts w:hint="eastAsia" w:ascii="宋体" w:hAnsi="宋体"/>
          <w:sz w:val="24"/>
        </w:rPr>
        <w:t>（1）在按照第三章“评标办法”第3.1.3项和第3.1.4项的规定对投标价进行算术性错误修正及其他错误修正后，最终投标报价未超过投标控制价上限（如有）的情况下，出现第三章“评标办法”第3.1.3项所列的投标报价的算术性错误和第三章“评标办法”第3.1.4项所列的投标报价的其他错误；</w:t>
      </w:r>
    </w:p>
    <w:p>
      <w:pPr>
        <w:adjustRightInd w:val="0"/>
        <w:snapToGrid w:val="0"/>
        <w:spacing w:line="400" w:lineRule="exact"/>
        <w:ind w:firstLine="480" w:firstLineChars="200"/>
        <w:rPr>
          <w:rFonts w:ascii="宋体" w:hAnsi="宋体"/>
          <w:sz w:val="24"/>
        </w:rPr>
      </w:pPr>
      <w:r>
        <w:rPr>
          <w:rFonts w:hint="eastAsia" w:ascii="宋体" w:hAnsi="宋体"/>
          <w:sz w:val="24"/>
        </w:rPr>
        <w:t>（2）施工组织设计（含关键工程技术方案）和项目管理机构不够完善。</w:t>
      </w:r>
    </w:p>
    <w:p>
      <w:pPr>
        <w:adjustRightInd w:val="0"/>
        <w:snapToGrid w:val="0"/>
        <w:spacing w:line="400" w:lineRule="exact"/>
        <w:ind w:firstLine="480" w:firstLineChars="200"/>
        <w:rPr>
          <w:rFonts w:ascii="宋体" w:hAnsi="宋体"/>
          <w:sz w:val="24"/>
        </w:rPr>
      </w:pPr>
      <w:r>
        <w:rPr>
          <w:rFonts w:hint="eastAsia" w:ascii="宋体" w:hAnsi="宋体"/>
          <w:sz w:val="24"/>
        </w:rPr>
        <w:t>1.12.3 评标委员会对投标文件中的细微偏差按如下规定处理：</w:t>
      </w:r>
    </w:p>
    <w:p>
      <w:pPr>
        <w:adjustRightInd w:val="0"/>
        <w:snapToGrid w:val="0"/>
        <w:spacing w:line="400" w:lineRule="exact"/>
        <w:ind w:firstLine="480" w:firstLineChars="200"/>
        <w:rPr>
          <w:rFonts w:ascii="宋体" w:hAnsi="宋体"/>
          <w:sz w:val="24"/>
        </w:rPr>
      </w:pPr>
      <w:r>
        <w:rPr>
          <w:rFonts w:hint="eastAsia" w:ascii="宋体" w:hAnsi="宋体"/>
          <w:sz w:val="24"/>
        </w:rPr>
        <w:t>（1）对于本章第1.12.2项（1）目所述的细微偏差，按照第三章“评标办法”第3.1.3项和第3.1.4项的规定予以修正并要求投标人进行澄清；</w:t>
      </w:r>
    </w:p>
    <w:p>
      <w:pPr>
        <w:adjustRightInd w:val="0"/>
        <w:snapToGrid w:val="0"/>
        <w:spacing w:line="400" w:lineRule="exact"/>
        <w:ind w:firstLine="480" w:firstLineChars="200"/>
        <w:rPr>
          <w:rFonts w:ascii="宋体" w:hAnsi="宋体"/>
          <w:sz w:val="24"/>
        </w:rPr>
      </w:pPr>
      <w:r>
        <w:rPr>
          <w:rFonts w:hint="eastAsia" w:ascii="宋体" w:hAnsi="宋体"/>
          <w:sz w:val="24"/>
        </w:rPr>
        <w:t>（2）对于本章第1.12.2项（2）目所述的细微偏差，如果采用合理低价法或经评审的最低投标价法评标，应要求投标人对细微偏差进行澄清，只有投标人的澄清文件被评标委员会接受，投标人才能参加评标价的最终评比。如果采用综合评估法评标，评标委员会可在相关评分因素的评分中酌情扣分，但最多不得超过各评分因素权重分值的40%。</w:t>
      </w:r>
    </w:p>
    <w:p>
      <w:pPr>
        <w:pStyle w:val="6"/>
        <w:keepNext w:val="0"/>
        <w:keepLines w:val="0"/>
        <w:adjustRightInd w:val="0"/>
        <w:snapToGrid w:val="0"/>
        <w:spacing w:beforeLines="50" w:after="0" w:line="400" w:lineRule="exact"/>
        <w:rPr>
          <w:rFonts w:ascii="宋体" w:hAnsi="宋体"/>
          <w:sz w:val="24"/>
          <w:szCs w:val="24"/>
        </w:rPr>
      </w:pPr>
      <w:bookmarkStart w:id="56" w:name="_Toc234382603"/>
      <w:bookmarkStart w:id="57" w:name="_Toc485889015"/>
      <w:bookmarkStart w:id="58" w:name="_Toc486277876"/>
      <w:bookmarkStart w:id="59" w:name="_Toc22855"/>
      <w:r>
        <w:rPr>
          <w:rFonts w:ascii="宋体" w:hAnsi="宋体"/>
          <w:sz w:val="24"/>
          <w:szCs w:val="24"/>
        </w:rPr>
        <w:t>2. 招标文件</w:t>
      </w:r>
      <w:bookmarkEnd w:id="56"/>
      <w:bookmarkEnd w:id="57"/>
      <w:bookmarkEnd w:id="58"/>
      <w:bookmarkEnd w:id="59"/>
    </w:p>
    <w:p>
      <w:pPr>
        <w:pStyle w:val="6"/>
        <w:keepNext w:val="0"/>
        <w:keepLines w:val="0"/>
        <w:adjustRightInd w:val="0"/>
        <w:snapToGrid w:val="0"/>
        <w:spacing w:beforeLines="50" w:after="0" w:line="400" w:lineRule="exact"/>
        <w:rPr>
          <w:rFonts w:ascii="宋体" w:hAnsi="宋体"/>
          <w:sz w:val="24"/>
          <w:szCs w:val="24"/>
        </w:rPr>
      </w:pPr>
      <w:bookmarkStart w:id="60" w:name="_Toc486277877"/>
      <w:bookmarkStart w:id="61" w:name="_Toc485889016"/>
      <w:bookmarkStart w:id="62" w:name="_Toc12310"/>
      <w:bookmarkStart w:id="63" w:name="_Toc234382604"/>
      <w:r>
        <w:rPr>
          <w:rFonts w:ascii="宋体" w:hAnsi="宋体"/>
          <w:sz w:val="24"/>
          <w:szCs w:val="24"/>
        </w:rPr>
        <w:t>2.1 招标文件的组成</w:t>
      </w:r>
      <w:bookmarkEnd w:id="60"/>
      <w:bookmarkEnd w:id="61"/>
      <w:bookmarkEnd w:id="62"/>
      <w:bookmarkEnd w:id="63"/>
    </w:p>
    <w:p>
      <w:pPr>
        <w:adjustRightInd w:val="0"/>
        <w:snapToGrid w:val="0"/>
        <w:spacing w:line="400" w:lineRule="exact"/>
        <w:ind w:firstLine="480" w:firstLineChars="200"/>
        <w:rPr>
          <w:rFonts w:ascii="宋体" w:hAnsi="宋体"/>
          <w:sz w:val="24"/>
        </w:rPr>
      </w:pPr>
      <w:r>
        <w:rPr>
          <w:rFonts w:ascii="宋体" w:hAnsi="宋体"/>
          <w:sz w:val="24"/>
        </w:rPr>
        <w:t>本招标文件包括：</w:t>
      </w:r>
    </w:p>
    <w:p>
      <w:pPr>
        <w:adjustRightInd w:val="0"/>
        <w:snapToGrid w:val="0"/>
        <w:spacing w:line="400" w:lineRule="exact"/>
        <w:ind w:firstLine="480" w:firstLineChars="200"/>
        <w:rPr>
          <w:rFonts w:ascii="宋体" w:hAnsi="宋体"/>
          <w:sz w:val="24"/>
        </w:rPr>
      </w:pPr>
      <w:r>
        <w:rPr>
          <w:rFonts w:ascii="宋体" w:hAnsi="宋体"/>
          <w:sz w:val="24"/>
        </w:rPr>
        <w:t>（1）招标公告；</w:t>
      </w:r>
    </w:p>
    <w:p>
      <w:pPr>
        <w:adjustRightInd w:val="0"/>
        <w:snapToGrid w:val="0"/>
        <w:spacing w:line="400" w:lineRule="exact"/>
        <w:ind w:firstLine="480" w:firstLineChars="200"/>
        <w:rPr>
          <w:rFonts w:ascii="宋体" w:hAnsi="宋体"/>
          <w:sz w:val="24"/>
        </w:rPr>
      </w:pPr>
      <w:r>
        <w:rPr>
          <w:rFonts w:ascii="宋体" w:hAnsi="宋体"/>
          <w:sz w:val="24"/>
        </w:rPr>
        <w:t>（2）投标人须知；</w:t>
      </w:r>
    </w:p>
    <w:p>
      <w:pPr>
        <w:adjustRightInd w:val="0"/>
        <w:snapToGrid w:val="0"/>
        <w:spacing w:line="400" w:lineRule="exact"/>
        <w:ind w:firstLine="480" w:firstLineChars="200"/>
        <w:rPr>
          <w:rFonts w:ascii="宋体" w:hAnsi="宋体"/>
          <w:sz w:val="24"/>
        </w:rPr>
      </w:pPr>
      <w:r>
        <w:rPr>
          <w:rFonts w:ascii="宋体" w:hAnsi="宋体"/>
          <w:sz w:val="24"/>
        </w:rPr>
        <w:t>（3）评标办法；</w:t>
      </w:r>
    </w:p>
    <w:p>
      <w:pPr>
        <w:adjustRightInd w:val="0"/>
        <w:snapToGrid w:val="0"/>
        <w:spacing w:line="400" w:lineRule="exact"/>
        <w:ind w:firstLine="480" w:firstLineChars="200"/>
        <w:rPr>
          <w:rFonts w:ascii="宋体" w:hAnsi="宋体"/>
          <w:sz w:val="24"/>
        </w:rPr>
      </w:pPr>
      <w:r>
        <w:rPr>
          <w:rFonts w:ascii="宋体" w:hAnsi="宋体"/>
          <w:sz w:val="24"/>
        </w:rPr>
        <w:t>（4）合同条款及格式；</w:t>
      </w:r>
    </w:p>
    <w:p>
      <w:pPr>
        <w:adjustRightInd w:val="0"/>
        <w:snapToGrid w:val="0"/>
        <w:spacing w:line="400" w:lineRule="exact"/>
        <w:ind w:firstLine="480" w:firstLineChars="200"/>
        <w:rPr>
          <w:rFonts w:ascii="宋体" w:hAnsi="宋体"/>
          <w:sz w:val="24"/>
        </w:rPr>
      </w:pPr>
      <w:r>
        <w:rPr>
          <w:rFonts w:ascii="宋体" w:hAnsi="宋体"/>
          <w:sz w:val="24"/>
        </w:rPr>
        <w:t>（5）工程量清单；</w:t>
      </w:r>
    </w:p>
    <w:p>
      <w:pPr>
        <w:adjustRightInd w:val="0"/>
        <w:snapToGrid w:val="0"/>
        <w:spacing w:line="400" w:lineRule="exact"/>
        <w:ind w:firstLine="480" w:firstLineChars="200"/>
        <w:rPr>
          <w:rFonts w:ascii="宋体" w:hAnsi="宋体"/>
          <w:sz w:val="24"/>
        </w:rPr>
      </w:pPr>
      <w:r>
        <w:rPr>
          <w:rFonts w:ascii="宋体" w:hAnsi="宋体"/>
          <w:sz w:val="24"/>
        </w:rPr>
        <w:t>（6）图纸；</w:t>
      </w:r>
    </w:p>
    <w:p>
      <w:pPr>
        <w:adjustRightInd w:val="0"/>
        <w:snapToGrid w:val="0"/>
        <w:spacing w:line="400" w:lineRule="exact"/>
        <w:ind w:firstLine="480" w:firstLineChars="200"/>
        <w:rPr>
          <w:rFonts w:ascii="宋体" w:hAnsi="宋体"/>
          <w:sz w:val="24"/>
        </w:rPr>
      </w:pPr>
      <w:r>
        <w:rPr>
          <w:rFonts w:ascii="宋体" w:hAnsi="宋体"/>
          <w:sz w:val="24"/>
        </w:rPr>
        <w:t>（7）技术</w:t>
      </w:r>
      <w:r>
        <w:rPr>
          <w:rFonts w:hint="eastAsia" w:ascii="宋体" w:hAnsi="宋体"/>
          <w:sz w:val="24"/>
        </w:rPr>
        <w:t>规范(另册)</w:t>
      </w:r>
      <w:r>
        <w:rPr>
          <w:rFonts w:ascii="宋体" w:hAnsi="宋体"/>
          <w:sz w:val="24"/>
        </w:rPr>
        <w:t>；</w:t>
      </w:r>
    </w:p>
    <w:p>
      <w:pPr>
        <w:adjustRightInd w:val="0"/>
        <w:snapToGrid w:val="0"/>
        <w:spacing w:line="400" w:lineRule="exact"/>
        <w:ind w:firstLine="480" w:firstLineChars="200"/>
        <w:rPr>
          <w:rFonts w:ascii="宋体" w:hAnsi="宋体"/>
          <w:sz w:val="24"/>
        </w:rPr>
      </w:pPr>
      <w:r>
        <w:rPr>
          <w:rFonts w:hint="eastAsia" w:ascii="宋体" w:hAnsi="宋体"/>
          <w:sz w:val="24"/>
        </w:rPr>
        <w:t>（8）工程量清单计量规则；</w:t>
      </w:r>
    </w:p>
    <w:p>
      <w:pPr>
        <w:adjustRightInd w:val="0"/>
        <w:snapToGrid w:val="0"/>
        <w:spacing w:line="400" w:lineRule="exact"/>
        <w:ind w:firstLine="480" w:firstLineChars="200"/>
        <w:rPr>
          <w:rFonts w:ascii="宋体" w:hAnsi="宋体"/>
          <w:sz w:val="24"/>
        </w:rPr>
      </w:pPr>
      <w:r>
        <w:rPr>
          <w:rFonts w:hint="eastAsia" w:ascii="宋体" w:hAnsi="宋体"/>
          <w:sz w:val="24"/>
        </w:rPr>
        <w:t>（9）投标文件格式；</w:t>
      </w:r>
    </w:p>
    <w:p>
      <w:pPr>
        <w:adjustRightInd w:val="0"/>
        <w:snapToGrid w:val="0"/>
        <w:spacing w:line="400" w:lineRule="exact"/>
        <w:ind w:firstLine="480" w:firstLineChars="200"/>
        <w:rPr>
          <w:rFonts w:ascii="宋体" w:hAnsi="宋体"/>
          <w:sz w:val="24"/>
        </w:rPr>
      </w:pPr>
      <w:r>
        <w:rPr>
          <w:rFonts w:hint="eastAsia" w:ascii="宋体" w:hAnsi="宋体"/>
          <w:sz w:val="24"/>
        </w:rPr>
        <w:t>（10）投标人须知前附表规定的其他资料。</w:t>
      </w:r>
    </w:p>
    <w:p>
      <w:pPr>
        <w:adjustRightInd w:val="0"/>
        <w:snapToGrid w:val="0"/>
        <w:spacing w:line="400" w:lineRule="exact"/>
        <w:ind w:firstLine="480" w:firstLineChars="200"/>
        <w:rPr>
          <w:rFonts w:ascii="宋体" w:hAnsi="宋体"/>
          <w:sz w:val="24"/>
        </w:rPr>
      </w:pPr>
      <w:r>
        <w:rPr>
          <w:rFonts w:ascii="宋体" w:hAnsi="宋体"/>
          <w:sz w:val="24"/>
        </w:rPr>
        <w:t>根据本章第1.10款、第2.2款和第2.3款对招标文件所作的澄清、修改，构成招标文件的组成部分。</w:t>
      </w:r>
    </w:p>
    <w:p>
      <w:pPr>
        <w:adjustRightInd w:val="0"/>
        <w:snapToGrid w:val="0"/>
        <w:spacing w:line="400" w:lineRule="exact"/>
        <w:ind w:firstLine="480" w:firstLineChars="200"/>
        <w:rPr>
          <w:rFonts w:ascii="宋体" w:hAnsi="宋体"/>
          <w:sz w:val="24"/>
        </w:rPr>
      </w:pPr>
      <w:r>
        <w:rPr>
          <w:rFonts w:hint="eastAsia" w:ascii="宋体" w:hAnsi="宋体"/>
          <w:sz w:val="24"/>
        </w:rPr>
        <w:t>当招标文件、招标文件的澄清或修改等在同一内容的表述上不一致时，以最后发出的书面文件为准。</w:t>
      </w:r>
    </w:p>
    <w:p>
      <w:pPr>
        <w:pStyle w:val="6"/>
        <w:keepNext w:val="0"/>
        <w:keepLines w:val="0"/>
        <w:adjustRightInd w:val="0"/>
        <w:snapToGrid w:val="0"/>
        <w:spacing w:beforeLines="50" w:after="0" w:line="400" w:lineRule="exact"/>
        <w:rPr>
          <w:rFonts w:ascii="宋体" w:hAnsi="宋体"/>
          <w:sz w:val="24"/>
          <w:szCs w:val="24"/>
        </w:rPr>
      </w:pPr>
      <w:bookmarkStart w:id="64" w:name="_Toc16084"/>
      <w:bookmarkStart w:id="65" w:name="_Toc234382605"/>
      <w:bookmarkStart w:id="66" w:name="_Toc486277878"/>
      <w:bookmarkStart w:id="67" w:name="_Toc485889017"/>
      <w:r>
        <w:rPr>
          <w:rFonts w:ascii="宋体" w:hAnsi="宋体"/>
          <w:sz w:val="24"/>
          <w:szCs w:val="24"/>
        </w:rPr>
        <w:t>2.2 招标文件的澄清</w:t>
      </w:r>
      <w:bookmarkEnd w:id="64"/>
      <w:bookmarkEnd w:id="65"/>
      <w:bookmarkEnd w:id="66"/>
      <w:bookmarkEnd w:id="67"/>
    </w:p>
    <w:p>
      <w:pPr>
        <w:adjustRightInd w:val="0"/>
        <w:snapToGrid w:val="0"/>
        <w:spacing w:line="400" w:lineRule="exact"/>
        <w:ind w:firstLine="480" w:firstLineChars="200"/>
        <w:rPr>
          <w:rFonts w:ascii="宋体" w:hAnsi="宋体" w:cs="宋体"/>
          <w:kern w:val="0"/>
          <w:sz w:val="24"/>
        </w:rPr>
      </w:pPr>
      <w:bookmarkStart w:id="68" w:name="_Toc234382606"/>
      <w:r>
        <w:rPr>
          <w:rFonts w:hint="eastAsia" w:ascii="宋体" w:hAnsi="宋体" w:cs="宋体"/>
          <w:kern w:val="0"/>
          <w:sz w:val="24"/>
        </w:rPr>
        <w:t>2.2.1投标人应仔细阅读和检查招标文件的全部内容。如发现缺页或附件不全，</w:t>
      </w:r>
      <w:r>
        <w:rPr>
          <w:rFonts w:hint="eastAsia" w:ascii="宋体" w:hAnsi="宋体"/>
          <w:sz w:val="24"/>
        </w:rPr>
        <w:t>通过公共资源交易系统电子平台发出</w:t>
      </w:r>
      <w:r>
        <w:rPr>
          <w:rFonts w:hint="eastAsia" w:ascii="宋体" w:hAnsi="宋体" w:cs="宋体"/>
          <w:kern w:val="0"/>
          <w:sz w:val="24"/>
        </w:rPr>
        <w:t>，以便补齐。如有疑问，应在投标人须知前附表规定的时间要求招标人对招标文件予以澄清。</w:t>
      </w:r>
      <w:r>
        <w:rPr>
          <w:rFonts w:hint="eastAsia" w:ascii="宋体" w:hAnsi="宋体" w:cs="宋体"/>
          <w:b/>
          <w:kern w:val="0"/>
          <w:sz w:val="24"/>
        </w:rPr>
        <w:t>如未提出异议，视为全面接受</w:t>
      </w:r>
      <w:r>
        <w:rPr>
          <w:rFonts w:hint="eastAsia" w:ascii="宋体" w:hAnsi="宋体" w:cs="宋体"/>
          <w:kern w:val="0"/>
          <w:sz w:val="24"/>
        </w:rPr>
        <w:t>。</w:t>
      </w:r>
    </w:p>
    <w:p>
      <w:pPr>
        <w:adjustRightInd w:val="0"/>
        <w:snapToGrid w:val="0"/>
        <w:spacing w:line="400" w:lineRule="exact"/>
        <w:ind w:firstLine="480" w:firstLineChars="200"/>
        <w:rPr>
          <w:rFonts w:ascii="宋体" w:hAnsi="宋体"/>
          <w:sz w:val="24"/>
        </w:rPr>
      </w:pPr>
      <w:r>
        <w:rPr>
          <w:rFonts w:ascii="宋体" w:hAnsi="宋体"/>
          <w:sz w:val="24"/>
        </w:rPr>
        <w:t xml:space="preserve">2.2.2 </w:t>
      </w:r>
      <w:r>
        <w:rPr>
          <w:rFonts w:hint="eastAsia" w:ascii="宋体" w:hAnsi="宋体"/>
          <w:sz w:val="24"/>
        </w:rPr>
        <w:t>招标文件的澄清将在投标人须知前附表规定的投标截止时间15天前通过公共资源交易系统电子平台发出，但不指明澄清问题的来源。如果澄清发出的时间距投标截止时间不足15天，相应延长投标截止时间。</w:t>
      </w:r>
    </w:p>
    <w:p>
      <w:pPr>
        <w:adjustRightInd w:val="0"/>
        <w:snapToGrid w:val="0"/>
        <w:spacing w:line="400" w:lineRule="exact"/>
        <w:ind w:firstLine="480" w:firstLineChars="200"/>
        <w:rPr>
          <w:rFonts w:ascii="宋体" w:hAnsi="宋体"/>
          <w:sz w:val="24"/>
        </w:rPr>
      </w:pPr>
      <w:r>
        <w:rPr>
          <w:rFonts w:ascii="宋体" w:hAnsi="宋体"/>
          <w:sz w:val="24"/>
        </w:rPr>
        <w:t xml:space="preserve">2.2.3 </w:t>
      </w:r>
      <w:r>
        <w:rPr>
          <w:rFonts w:hint="eastAsia" w:ascii="宋体" w:hAnsi="宋体"/>
          <w:sz w:val="24"/>
        </w:rPr>
        <w:t>所有澄清、答疑全部以公共资源交易系统电子平台发出的为准，不再接受书面形式的递交。</w:t>
      </w:r>
    </w:p>
    <w:p>
      <w:pPr>
        <w:pStyle w:val="6"/>
        <w:keepNext w:val="0"/>
        <w:keepLines w:val="0"/>
        <w:adjustRightInd w:val="0"/>
        <w:snapToGrid w:val="0"/>
        <w:spacing w:beforeLines="50" w:after="0" w:line="400" w:lineRule="exact"/>
        <w:rPr>
          <w:rFonts w:ascii="宋体" w:hAnsi="宋体"/>
          <w:sz w:val="24"/>
          <w:szCs w:val="24"/>
        </w:rPr>
      </w:pPr>
      <w:bookmarkStart w:id="69" w:name="_Toc486277879"/>
      <w:bookmarkStart w:id="70" w:name="_Toc485889018"/>
      <w:bookmarkStart w:id="71" w:name="_Toc29706"/>
      <w:r>
        <w:rPr>
          <w:rFonts w:ascii="宋体" w:hAnsi="宋体"/>
          <w:sz w:val="24"/>
          <w:szCs w:val="24"/>
        </w:rPr>
        <w:t>2.3 招标文件的修改</w:t>
      </w:r>
      <w:bookmarkEnd w:id="68"/>
      <w:bookmarkEnd w:id="69"/>
      <w:bookmarkEnd w:id="70"/>
      <w:bookmarkEnd w:id="71"/>
    </w:p>
    <w:p>
      <w:pPr>
        <w:adjustRightInd w:val="0"/>
        <w:snapToGrid w:val="0"/>
        <w:spacing w:line="400" w:lineRule="exact"/>
        <w:ind w:firstLine="480" w:firstLineChars="200"/>
        <w:rPr>
          <w:rFonts w:ascii="宋体" w:hAnsi="宋体"/>
          <w:sz w:val="24"/>
        </w:rPr>
      </w:pPr>
      <w:bookmarkStart w:id="72" w:name="_Toc234382607"/>
      <w:r>
        <w:rPr>
          <w:rFonts w:ascii="宋体" w:hAnsi="宋体"/>
          <w:sz w:val="24"/>
        </w:rPr>
        <w:t xml:space="preserve">2.3.1 </w:t>
      </w:r>
      <w:r>
        <w:rPr>
          <w:rFonts w:hint="eastAsia" w:ascii="宋体" w:hAnsi="宋体"/>
          <w:sz w:val="24"/>
        </w:rPr>
        <w:t>在投标截止时间</w:t>
      </w:r>
      <w:r>
        <w:rPr>
          <w:rFonts w:ascii="宋体" w:hAnsi="宋体"/>
          <w:sz w:val="24"/>
        </w:rPr>
        <w:t>15</w:t>
      </w:r>
      <w:r>
        <w:rPr>
          <w:rFonts w:hint="eastAsia" w:ascii="宋体" w:hAnsi="宋体"/>
          <w:sz w:val="24"/>
        </w:rPr>
        <w:t>天前，招标人可以通过全国公共资源交易平台（河南省·许昌市）修改招标文件，如果修改招标文件的时间距投标截止时间不足</w:t>
      </w:r>
      <w:r>
        <w:rPr>
          <w:rFonts w:ascii="宋体" w:hAnsi="宋体"/>
          <w:sz w:val="24"/>
        </w:rPr>
        <w:t xml:space="preserve">15 </w:t>
      </w:r>
      <w:r>
        <w:rPr>
          <w:rFonts w:hint="eastAsia" w:ascii="宋体" w:hAnsi="宋体"/>
          <w:sz w:val="24"/>
        </w:rPr>
        <w:t>天，相应延长投标截止时间。</w:t>
      </w:r>
      <w:bookmarkStart w:id="73" w:name="_Toc485889019"/>
      <w:bookmarkStart w:id="74" w:name="_Toc486277880"/>
    </w:p>
    <w:p>
      <w:pPr>
        <w:adjustRightInd w:val="0"/>
        <w:snapToGrid w:val="0"/>
        <w:spacing w:line="400" w:lineRule="exact"/>
        <w:ind w:firstLine="480" w:firstLineChars="200"/>
        <w:rPr>
          <w:rFonts w:ascii="宋体" w:hAnsi="宋体"/>
          <w:sz w:val="24"/>
        </w:rPr>
      </w:pPr>
      <w:r>
        <w:rPr>
          <w:rFonts w:hint="eastAsia" w:ascii="宋体" w:hAnsi="宋体"/>
          <w:sz w:val="24"/>
        </w:rPr>
        <w:t>2.3.2 当招标文件（含评标、定标办法）、补充通知、答疑纪要，内容相互矛盾时，以最后发出的通知（或纪要）为准。</w:t>
      </w:r>
      <w:bookmarkEnd w:id="73"/>
      <w:bookmarkEnd w:id="74"/>
    </w:p>
    <w:p>
      <w:pPr>
        <w:pStyle w:val="6"/>
        <w:keepNext w:val="0"/>
        <w:keepLines w:val="0"/>
        <w:adjustRightInd w:val="0"/>
        <w:snapToGrid w:val="0"/>
        <w:spacing w:beforeLines="50" w:after="0" w:line="400" w:lineRule="exact"/>
        <w:rPr>
          <w:rFonts w:ascii="宋体" w:hAnsi="宋体"/>
          <w:sz w:val="24"/>
          <w:szCs w:val="24"/>
        </w:rPr>
      </w:pPr>
      <w:bookmarkStart w:id="75" w:name="_Toc8003"/>
      <w:bookmarkStart w:id="76" w:name="_Toc485889020"/>
      <w:bookmarkStart w:id="77" w:name="_Toc486277881"/>
      <w:r>
        <w:rPr>
          <w:rFonts w:ascii="宋体" w:hAnsi="宋体"/>
          <w:sz w:val="24"/>
          <w:szCs w:val="24"/>
        </w:rPr>
        <w:t>3. 投标文件</w:t>
      </w:r>
      <w:bookmarkEnd w:id="72"/>
      <w:bookmarkEnd w:id="75"/>
      <w:bookmarkEnd w:id="76"/>
      <w:bookmarkEnd w:id="77"/>
    </w:p>
    <w:p>
      <w:pPr>
        <w:pStyle w:val="6"/>
        <w:keepNext w:val="0"/>
        <w:keepLines w:val="0"/>
        <w:adjustRightInd w:val="0"/>
        <w:snapToGrid w:val="0"/>
        <w:spacing w:beforeLines="50" w:after="0" w:line="400" w:lineRule="exact"/>
        <w:rPr>
          <w:rFonts w:ascii="宋体" w:hAnsi="宋体"/>
          <w:sz w:val="24"/>
          <w:szCs w:val="24"/>
        </w:rPr>
      </w:pPr>
      <w:bookmarkStart w:id="78" w:name="_Toc485889021"/>
      <w:bookmarkStart w:id="79" w:name="_Toc486277882"/>
      <w:bookmarkStart w:id="80" w:name="_Toc12156"/>
      <w:bookmarkStart w:id="81" w:name="_Toc234382608"/>
      <w:r>
        <w:rPr>
          <w:rFonts w:ascii="宋体" w:hAnsi="宋体"/>
          <w:sz w:val="24"/>
          <w:szCs w:val="24"/>
        </w:rPr>
        <w:t>3.1 投标文件的组成</w:t>
      </w:r>
      <w:bookmarkEnd w:id="78"/>
      <w:bookmarkEnd w:id="79"/>
      <w:bookmarkEnd w:id="80"/>
      <w:bookmarkEnd w:id="81"/>
    </w:p>
    <w:p>
      <w:pPr>
        <w:adjustRightInd w:val="0"/>
        <w:snapToGrid w:val="0"/>
        <w:spacing w:line="400" w:lineRule="exact"/>
        <w:ind w:firstLine="480" w:firstLineChars="200"/>
        <w:rPr>
          <w:rFonts w:ascii="宋体" w:hAnsi="宋体"/>
          <w:sz w:val="24"/>
        </w:rPr>
      </w:pPr>
      <w:r>
        <w:rPr>
          <w:rFonts w:ascii="宋体" w:hAnsi="宋体"/>
          <w:sz w:val="24"/>
        </w:rPr>
        <w:t>3.1.1 投标文件应包括下列内容：</w:t>
      </w:r>
    </w:p>
    <w:p>
      <w:pPr>
        <w:adjustRightInd w:val="0"/>
        <w:snapToGrid w:val="0"/>
        <w:spacing w:line="400" w:lineRule="exact"/>
        <w:ind w:firstLine="480" w:firstLineChars="200"/>
        <w:rPr>
          <w:rFonts w:ascii="宋体" w:hAnsi="宋体"/>
          <w:sz w:val="24"/>
        </w:rPr>
      </w:pPr>
      <w:r>
        <w:rPr>
          <w:rFonts w:hint="eastAsia" w:ascii="宋体" w:hAnsi="宋体"/>
          <w:sz w:val="24"/>
        </w:rPr>
        <w:t>第一个信封（商务及技术文件）：</w:t>
      </w:r>
    </w:p>
    <w:p>
      <w:pPr>
        <w:adjustRightInd w:val="0"/>
        <w:snapToGrid w:val="0"/>
        <w:spacing w:line="400" w:lineRule="exact"/>
        <w:ind w:firstLine="480" w:firstLineChars="200"/>
        <w:rPr>
          <w:rFonts w:ascii="宋体" w:hAnsi="宋体"/>
          <w:sz w:val="24"/>
        </w:rPr>
      </w:pPr>
      <w:r>
        <w:rPr>
          <w:rFonts w:ascii="宋体" w:hAnsi="宋体"/>
          <w:sz w:val="24"/>
        </w:rPr>
        <w:t>（1）投标函及投标函附录；</w:t>
      </w:r>
    </w:p>
    <w:p>
      <w:pPr>
        <w:adjustRightInd w:val="0"/>
        <w:snapToGrid w:val="0"/>
        <w:spacing w:line="400" w:lineRule="exact"/>
        <w:ind w:firstLine="480" w:firstLineChars="200"/>
        <w:rPr>
          <w:rFonts w:ascii="宋体" w:hAnsi="宋体"/>
          <w:sz w:val="24"/>
        </w:rPr>
      </w:pPr>
      <w:r>
        <w:rPr>
          <w:rFonts w:ascii="宋体" w:hAnsi="宋体"/>
          <w:sz w:val="24"/>
        </w:rPr>
        <w:t>（2）法定代表人身份证明</w:t>
      </w:r>
      <w:r>
        <w:rPr>
          <w:rFonts w:hint="eastAsia" w:ascii="宋体" w:hAnsi="宋体"/>
          <w:sz w:val="24"/>
        </w:rPr>
        <w:t>及</w:t>
      </w:r>
      <w:r>
        <w:rPr>
          <w:rFonts w:ascii="宋体" w:hAnsi="宋体"/>
          <w:sz w:val="24"/>
        </w:rPr>
        <w:t>授权委托书</w:t>
      </w:r>
      <w:r>
        <w:rPr>
          <w:rFonts w:hint="eastAsia" w:ascii="宋体" w:hAnsi="宋体"/>
          <w:sz w:val="24"/>
        </w:rPr>
        <w:t>；</w:t>
      </w:r>
    </w:p>
    <w:p>
      <w:pPr>
        <w:adjustRightInd w:val="0"/>
        <w:snapToGrid w:val="0"/>
        <w:spacing w:line="400" w:lineRule="exact"/>
        <w:ind w:firstLine="480" w:firstLineChars="200"/>
        <w:rPr>
          <w:rFonts w:ascii="宋体" w:hAnsi="宋体"/>
          <w:sz w:val="24"/>
        </w:rPr>
      </w:pPr>
      <w:r>
        <w:rPr>
          <w:rFonts w:ascii="宋体" w:hAnsi="宋体"/>
          <w:sz w:val="24"/>
        </w:rPr>
        <w:t>（</w:t>
      </w:r>
      <w:r>
        <w:rPr>
          <w:rFonts w:hint="eastAsia" w:ascii="宋体" w:hAnsi="宋体"/>
          <w:sz w:val="24"/>
        </w:rPr>
        <w:t>3</w:t>
      </w:r>
      <w:r>
        <w:rPr>
          <w:rFonts w:ascii="宋体" w:hAnsi="宋体"/>
          <w:sz w:val="24"/>
        </w:rPr>
        <w:t>）投标保证金；</w:t>
      </w:r>
    </w:p>
    <w:p>
      <w:pPr>
        <w:adjustRightInd w:val="0"/>
        <w:snapToGrid w:val="0"/>
        <w:spacing w:line="400" w:lineRule="exact"/>
        <w:ind w:firstLine="480" w:firstLineChars="200"/>
        <w:rPr>
          <w:rFonts w:ascii="宋体" w:hAnsi="宋体"/>
          <w:sz w:val="24"/>
        </w:rPr>
      </w:pPr>
      <w:r>
        <w:rPr>
          <w:rFonts w:ascii="宋体" w:hAnsi="宋体"/>
          <w:sz w:val="24"/>
        </w:rPr>
        <w:t>（</w:t>
      </w:r>
      <w:r>
        <w:rPr>
          <w:rFonts w:hint="eastAsia" w:ascii="宋体" w:hAnsi="宋体"/>
          <w:sz w:val="24"/>
        </w:rPr>
        <w:t>4</w:t>
      </w:r>
      <w:r>
        <w:rPr>
          <w:rFonts w:ascii="宋体" w:hAnsi="宋体"/>
          <w:sz w:val="24"/>
        </w:rPr>
        <w:t>）施工组织设计；</w:t>
      </w:r>
    </w:p>
    <w:p>
      <w:pPr>
        <w:adjustRightInd w:val="0"/>
        <w:snapToGrid w:val="0"/>
        <w:spacing w:line="400" w:lineRule="exact"/>
        <w:ind w:firstLine="480" w:firstLineChars="200"/>
        <w:rPr>
          <w:rFonts w:ascii="宋体" w:hAnsi="宋体"/>
          <w:sz w:val="24"/>
        </w:rPr>
      </w:pPr>
      <w:r>
        <w:rPr>
          <w:rFonts w:ascii="宋体" w:hAnsi="宋体"/>
          <w:sz w:val="24"/>
        </w:rPr>
        <w:t>（</w:t>
      </w:r>
      <w:r>
        <w:rPr>
          <w:rFonts w:hint="eastAsia" w:ascii="宋体" w:hAnsi="宋体"/>
          <w:sz w:val="24"/>
        </w:rPr>
        <w:t>5</w:t>
      </w:r>
      <w:r>
        <w:rPr>
          <w:rFonts w:ascii="宋体" w:hAnsi="宋体"/>
          <w:sz w:val="24"/>
        </w:rPr>
        <w:t>）项目管理机构；</w:t>
      </w:r>
    </w:p>
    <w:p>
      <w:pPr>
        <w:adjustRightInd w:val="0"/>
        <w:snapToGrid w:val="0"/>
        <w:spacing w:line="400" w:lineRule="exact"/>
        <w:ind w:firstLine="480" w:firstLineChars="200"/>
        <w:rPr>
          <w:rFonts w:ascii="宋体" w:hAnsi="宋体"/>
          <w:sz w:val="24"/>
        </w:rPr>
      </w:pPr>
      <w:r>
        <w:rPr>
          <w:rFonts w:ascii="宋体" w:hAnsi="宋体"/>
          <w:sz w:val="24"/>
        </w:rPr>
        <w:t>（</w:t>
      </w:r>
      <w:r>
        <w:rPr>
          <w:rFonts w:hint="eastAsia" w:ascii="宋体" w:hAnsi="宋体"/>
          <w:sz w:val="24"/>
        </w:rPr>
        <w:t>6</w:t>
      </w:r>
      <w:r>
        <w:rPr>
          <w:rFonts w:ascii="宋体" w:hAnsi="宋体"/>
          <w:sz w:val="24"/>
        </w:rPr>
        <w:t>）资格审查资料；</w:t>
      </w:r>
    </w:p>
    <w:p>
      <w:pPr>
        <w:adjustRightInd w:val="0"/>
        <w:snapToGrid w:val="0"/>
        <w:spacing w:line="400" w:lineRule="exact"/>
        <w:ind w:firstLine="480" w:firstLineChars="200"/>
        <w:rPr>
          <w:rFonts w:ascii="宋体" w:hAnsi="宋体"/>
          <w:sz w:val="24"/>
        </w:rPr>
      </w:pPr>
      <w:r>
        <w:rPr>
          <w:rFonts w:ascii="宋体" w:hAnsi="宋体"/>
          <w:sz w:val="24"/>
        </w:rPr>
        <w:t>（</w:t>
      </w:r>
      <w:r>
        <w:rPr>
          <w:rFonts w:hint="eastAsia" w:ascii="宋体" w:hAnsi="宋体"/>
          <w:sz w:val="24"/>
        </w:rPr>
        <w:t>7</w:t>
      </w:r>
      <w:r>
        <w:rPr>
          <w:rFonts w:ascii="宋体" w:hAnsi="宋体"/>
          <w:sz w:val="24"/>
        </w:rPr>
        <w:t>）</w:t>
      </w:r>
      <w:r>
        <w:rPr>
          <w:rFonts w:hint="eastAsia" w:ascii="宋体" w:hAnsi="宋体"/>
          <w:sz w:val="24"/>
        </w:rPr>
        <w:t>主要进场管理人员和技术人员最低要求；</w:t>
      </w:r>
    </w:p>
    <w:p>
      <w:pPr>
        <w:adjustRightInd w:val="0"/>
        <w:snapToGrid w:val="0"/>
        <w:spacing w:line="400" w:lineRule="exact"/>
        <w:ind w:firstLine="480" w:firstLineChars="200"/>
        <w:rPr>
          <w:rFonts w:ascii="宋体" w:hAnsi="宋体"/>
          <w:sz w:val="24"/>
        </w:rPr>
      </w:pPr>
      <w:r>
        <w:rPr>
          <w:rFonts w:hint="eastAsia" w:ascii="宋体" w:hAnsi="宋体"/>
          <w:sz w:val="24"/>
        </w:rPr>
        <w:t>（8）农民工工资支付承诺书；</w:t>
      </w:r>
    </w:p>
    <w:p>
      <w:pPr>
        <w:adjustRightInd w:val="0"/>
        <w:snapToGrid w:val="0"/>
        <w:spacing w:line="400" w:lineRule="exact"/>
        <w:ind w:firstLine="480" w:firstLineChars="200"/>
        <w:rPr>
          <w:rFonts w:ascii="宋体" w:hAnsi="宋体"/>
          <w:sz w:val="24"/>
        </w:rPr>
      </w:pPr>
      <w:r>
        <w:rPr>
          <w:rFonts w:hint="eastAsia" w:ascii="宋体" w:hAnsi="宋体"/>
          <w:sz w:val="24"/>
        </w:rPr>
        <w:t>（9）扬尘治理专项承诺书；</w:t>
      </w:r>
    </w:p>
    <w:p>
      <w:pPr>
        <w:adjustRightInd w:val="0"/>
        <w:snapToGrid w:val="0"/>
        <w:spacing w:line="400" w:lineRule="exact"/>
        <w:ind w:firstLine="480" w:firstLineChars="200"/>
        <w:rPr>
          <w:rFonts w:ascii="宋体" w:hAnsi="宋体"/>
          <w:sz w:val="24"/>
        </w:rPr>
      </w:pPr>
      <w:r>
        <w:rPr>
          <w:rFonts w:hint="eastAsia" w:ascii="宋体" w:hAnsi="宋体"/>
          <w:sz w:val="24"/>
        </w:rPr>
        <w:t>（10）其他材料。</w:t>
      </w:r>
    </w:p>
    <w:p>
      <w:pPr>
        <w:adjustRightInd w:val="0"/>
        <w:snapToGrid w:val="0"/>
        <w:spacing w:line="400" w:lineRule="exact"/>
        <w:ind w:firstLine="480" w:firstLineChars="200"/>
        <w:rPr>
          <w:rFonts w:ascii="宋体" w:hAnsi="宋体"/>
          <w:sz w:val="24"/>
        </w:rPr>
      </w:pPr>
      <w:r>
        <w:rPr>
          <w:rFonts w:hint="eastAsia" w:ascii="宋体" w:hAnsi="宋体"/>
          <w:sz w:val="24"/>
        </w:rPr>
        <w:t>第二个信封（投标报价和工程量清单）</w:t>
      </w:r>
    </w:p>
    <w:p>
      <w:pPr>
        <w:adjustRightInd w:val="0"/>
        <w:snapToGrid w:val="0"/>
        <w:spacing w:line="400" w:lineRule="exact"/>
        <w:ind w:firstLine="480" w:firstLineChars="200"/>
        <w:rPr>
          <w:rFonts w:ascii="宋体" w:hAnsi="宋体"/>
          <w:sz w:val="24"/>
        </w:rPr>
      </w:pPr>
      <w:r>
        <w:rPr>
          <w:rFonts w:hint="eastAsia" w:ascii="宋体" w:hAnsi="宋体"/>
          <w:sz w:val="24"/>
        </w:rPr>
        <w:t>（1）投标函；</w:t>
      </w:r>
    </w:p>
    <w:p>
      <w:pPr>
        <w:adjustRightInd w:val="0"/>
        <w:snapToGrid w:val="0"/>
        <w:spacing w:line="400" w:lineRule="exact"/>
        <w:ind w:firstLine="480" w:firstLineChars="200"/>
        <w:rPr>
          <w:rFonts w:ascii="宋体" w:hAnsi="宋体"/>
          <w:sz w:val="24"/>
        </w:rPr>
      </w:pPr>
      <w:r>
        <w:rPr>
          <w:rFonts w:hint="eastAsia" w:ascii="宋体" w:hAnsi="宋体"/>
          <w:sz w:val="24"/>
        </w:rPr>
        <w:t>（2）已标价工程量清单；</w:t>
      </w:r>
    </w:p>
    <w:p>
      <w:pPr>
        <w:adjustRightInd w:val="0"/>
        <w:snapToGrid w:val="0"/>
        <w:spacing w:line="400" w:lineRule="exact"/>
        <w:ind w:firstLine="480" w:firstLineChars="200"/>
        <w:rPr>
          <w:rFonts w:ascii="宋体" w:hAnsi="宋体"/>
          <w:sz w:val="24"/>
        </w:rPr>
      </w:pPr>
      <w:r>
        <w:rPr>
          <w:rFonts w:ascii="宋体" w:hAnsi="宋体"/>
          <w:sz w:val="24"/>
        </w:rPr>
        <w:t>（</w:t>
      </w:r>
      <w:r>
        <w:rPr>
          <w:rFonts w:hint="eastAsia" w:ascii="宋体" w:hAnsi="宋体"/>
          <w:sz w:val="24"/>
        </w:rPr>
        <w:t>3</w:t>
      </w:r>
      <w:r>
        <w:rPr>
          <w:rFonts w:ascii="宋体" w:hAnsi="宋体"/>
          <w:sz w:val="24"/>
        </w:rPr>
        <w:t>）</w:t>
      </w:r>
      <w:r>
        <w:rPr>
          <w:rFonts w:hint="eastAsia" w:ascii="宋体" w:hAnsi="宋体"/>
          <w:sz w:val="24"/>
        </w:rPr>
        <w:t>拟分包项目情况表；</w:t>
      </w:r>
    </w:p>
    <w:p>
      <w:pPr>
        <w:adjustRightInd w:val="0"/>
        <w:snapToGrid w:val="0"/>
        <w:spacing w:line="400" w:lineRule="exact"/>
        <w:ind w:firstLine="480" w:firstLineChars="200"/>
        <w:rPr>
          <w:rFonts w:ascii="宋体" w:hAnsi="宋体"/>
          <w:sz w:val="24"/>
        </w:rPr>
      </w:pPr>
      <w:r>
        <w:rPr>
          <w:rFonts w:hint="eastAsia" w:ascii="宋体" w:hAnsi="宋体"/>
          <w:sz w:val="24"/>
        </w:rPr>
        <w:t>（4）合同用款估算表。</w:t>
      </w:r>
    </w:p>
    <w:p>
      <w:pPr>
        <w:ind w:left="120" w:leftChars="57" w:firstLine="360" w:firstLineChars="150"/>
        <w:rPr>
          <w:rFonts w:cs="仿宋" w:asciiTheme="minorEastAsia" w:hAnsiTheme="minorEastAsia" w:eastAsiaTheme="minorEastAsia"/>
        </w:rPr>
      </w:pPr>
      <w:r>
        <w:rPr>
          <w:rFonts w:hint="eastAsia" w:cs="仿宋" w:asciiTheme="minorEastAsia" w:hAnsiTheme="minorEastAsia" w:eastAsiaTheme="minorEastAsia"/>
          <w:sz w:val="24"/>
        </w:rPr>
        <w:t>3.1.2投标人在评标过程中作出的符合法律法规和招标文件规定的澄清确认，构成投标文件的组成部分。</w:t>
      </w:r>
    </w:p>
    <w:p>
      <w:pPr>
        <w:pStyle w:val="6"/>
        <w:keepNext w:val="0"/>
        <w:keepLines w:val="0"/>
        <w:adjustRightInd w:val="0"/>
        <w:snapToGrid w:val="0"/>
        <w:spacing w:beforeLines="50" w:after="0" w:line="400" w:lineRule="exact"/>
        <w:rPr>
          <w:rFonts w:ascii="宋体" w:hAnsi="宋体"/>
          <w:sz w:val="24"/>
          <w:szCs w:val="24"/>
        </w:rPr>
      </w:pPr>
      <w:bookmarkStart w:id="82" w:name="_Toc486277883"/>
      <w:bookmarkStart w:id="83" w:name="_Toc12761"/>
      <w:bookmarkStart w:id="84" w:name="_Toc234382609"/>
      <w:bookmarkStart w:id="85" w:name="_Toc485889022"/>
      <w:r>
        <w:rPr>
          <w:rFonts w:ascii="宋体" w:hAnsi="宋体"/>
          <w:sz w:val="24"/>
          <w:szCs w:val="24"/>
        </w:rPr>
        <w:t>3.2 投标报价</w:t>
      </w:r>
      <w:bookmarkEnd w:id="82"/>
      <w:bookmarkEnd w:id="83"/>
      <w:bookmarkEnd w:id="84"/>
      <w:bookmarkEnd w:id="85"/>
    </w:p>
    <w:p>
      <w:pPr>
        <w:adjustRightInd w:val="0"/>
        <w:snapToGrid w:val="0"/>
        <w:spacing w:line="400" w:lineRule="exact"/>
        <w:ind w:firstLine="480" w:firstLineChars="200"/>
        <w:rPr>
          <w:rFonts w:ascii="宋体" w:hAnsi="宋体"/>
          <w:sz w:val="24"/>
        </w:rPr>
      </w:pPr>
      <w:r>
        <w:rPr>
          <w:rFonts w:ascii="宋体" w:hAnsi="宋体"/>
          <w:sz w:val="24"/>
        </w:rPr>
        <w:t>3.2.1</w:t>
      </w:r>
      <w:r>
        <w:rPr>
          <w:rFonts w:hint="eastAsia" w:cs="仿宋" w:asciiTheme="minorEastAsia" w:hAnsiTheme="minorEastAsia" w:eastAsiaTheme="minorEastAsia"/>
          <w:sz w:val="24"/>
        </w:rPr>
        <w:t>投标报价应包括国家规定的增值税税金，除投标人须知前附表另有规定外，增值税税金按一般计税方法计算。</w:t>
      </w:r>
      <w:r>
        <w:rPr>
          <w:rFonts w:ascii="宋体" w:hAnsi="宋体"/>
          <w:sz w:val="24"/>
        </w:rPr>
        <w:t>投标人应按第五章“工程量清单”的要求填写相应表格。</w:t>
      </w:r>
    </w:p>
    <w:p>
      <w:pPr>
        <w:adjustRightInd w:val="0"/>
        <w:snapToGrid w:val="0"/>
        <w:spacing w:line="400" w:lineRule="exact"/>
        <w:ind w:firstLine="480" w:firstLineChars="200"/>
        <w:rPr>
          <w:rFonts w:ascii="宋体" w:hAnsi="宋体"/>
          <w:sz w:val="24"/>
        </w:rPr>
      </w:pPr>
      <w:r>
        <w:rPr>
          <w:rFonts w:hint="eastAsia" w:ascii="宋体" w:hAnsi="宋体"/>
          <w:sz w:val="24"/>
        </w:rPr>
        <w:t>投标人应按投标人须知前附表规定的方式填写工程量清单。</w:t>
      </w:r>
    </w:p>
    <w:p>
      <w:pPr>
        <w:adjustRightInd w:val="0"/>
        <w:snapToGrid w:val="0"/>
        <w:spacing w:line="400" w:lineRule="exact"/>
        <w:ind w:firstLine="480" w:firstLineChars="200"/>
        <w:rPr>
          <w:rFonts w:ascii="宋体" w:hAnsi="宋体"/>
          <w:sz w:val="24"/>
        </w:rPr>
      </w:pPr>
      <w:r>
        <w:rPr>
          <w:rFonts w:hint="eastAsia" w:ascii="宋体" w:hAnsi="宋体"/>
          <w:sz w:val="24"/>
        </w:rPr>
        <w:t>本项目招标由招标人提供书面工程量清单，由投标人按照招标人提供的工程量清单填写本合同各工程子目的单价、合价和总额价。评标委员会将按照第三章“评标办法”第3.1.3项和第3.1.4项的规定对投标价进行算术性错误修正及其他错误修正。</w:t>
      </w:r>
    </w:p>
    <w:p>
      <w:pPr>
        <w:adjustRightInd w:val="0"/>
        <w:snapToGrid w:val="0"/>
        <w:spacing w:line="400" w:lineRule="exact"/>
        <w:ind w:firstLine="480" w:firstLineChars="200"/>
        <w:rPr>
          <w:rFonts w:ascii="宋体" w:hAnsi="宋体"/>
          <w:sz w:val="24"/>
        </w:rPr>
      </w:pPr>
      <w:r>
        <w:rPr>
          <w:rFonts w:ascii="宋体" w:hAnsi="宋体"/>
          <w:sz w:val="24"/>
        </w:rPr>
        <w:t>3.2.2 投标人在投标截止时间前修改投标函中的投标总报价，应同时修改第五章“工程量清单”中的相应报价。此修改须符合本章第 4.3 款的有关要求。</w:t>
      </w:r>
    </w:p>
    <w:p>
      <w:pPr>
        <w:adjustRightInd w:val="0"/>
        <w:snapToGrid w:val="0"/>
        <w:spacing w:line="400" w:lineRule="exact"/>
        <w:ind w:firstLine="480" w:firstLineChars="200"/>
        <w:rPr>
          <w:rFonts w:ascii="宋体" w:hAnsi="宋体"/>
          <w:sz w:val="24"/>
        </w:rPr>
      </w:pPr>
      <w:r>
        <w:rPr>
          <w:rFonts w:hint="eastAsia" w:ascii="宋体" w:hAnsi="宋体"/>
          <w:sz w:val="24"/>
        </w:rPr>
        <w:t>3.2.3 投标人如果发现工程量清单中的数量与图纸中数量不一致时，应立即通知招标人核查，除非招标人以书面方式予以更正，否则，应以工程量清单中列出的数量为准。</w:t>
      </w:r>
    </w:p>
    <w:p>
      <w:pPr>
        <w:adjustRightInd w:val="0"/>
        <w:snapToGrid w:val="0"/>
        <w:spacing w:line="400" w:lineRule="exact"/>
        <w:ind w:firstLine="480" w:firstLineChars="200"/>
        <w:rPr>
          <w:rFonts w:ascii="宋体" w:hAnsi="宋体"/>
          <w:sz w:val="24"/>
        </w:rPr>
      </w:pPr>
      <w:r>
        <w:rPr>
          <w:rFonts w:hint="eastAsia" w:ascii="宋体" w:hAnsi="宋体"/>
          <w:sz w:val="24"/>
        </w:rPr>
        <w:t>3.2.4投标人应根据《公路水运工程安全生产监督管理办法》，在投标总价中计入安全生产费用，安全生产费用应符合合同条款第9.2.5项的规定。工程量清单100章内列有上述安全生产费的支付子目，由投标人按招标文件的规定填写总额价。</w:t>
      </w:r>
    </w:p>
    <w:p>
      <w:pPr>
        <w:adjustRightInd w:val="0"/>
        <w:snapToGrid w:val="0"/>
        <w:spacing w:line="400" w:lineRule="exact"/>
        <w:ind w:firstLine="480" w:firstLineChars="200"/>
        <w:rPr>
          <w:rFonts w:ascii="宋体" w:hAnsi="宋体"/>
          <w:sz w:val="24"/>
        </w:rPr>
      </w:pPr>
      <w:r>
        <w:rPr>
          <w:rFonts w:hint="eastAsia" w:ascii="宋体" w:hAnsi="宋体"/>
          <w:sz w:val="24"/>
        </w:rPr>
        <w:t>3.2.5 除投标人须知前附表另有规定外，招标人不接受调价函。若招标人接受调价函，则应在招标文件中给出调价函的格式。投标人若有调价函则应遵循如下规定：</w:t>
      </w:r>
    </w:p>
    <w:p>
      <w:pPr>
        <w:adjustRightInd w:val="0"/>
        <w:snapToGrid w:val="0"/>
        <w:spacing w:line="400" w:lineRule="exact"/>
        <w:ind w:firstLine="480" w:firstLineChars="200"/>
        <w:rPr>
          <w:rFonts w:ascii="宋体" w:hAnsi="宋体"/>
          <w:sz w:val="24"/>
        </w:rPr>
      </w:pPr>
      <w:r>
        <w:rPr>
          <w:rFonts w:hint="eastAsia" w:ascii="宋体" w:hAnsi="宋体"/>
          <w:sz w:val="24"/>
        </w:rPr>
        <w:t>（1）调价函必须采用招标文件规定的格式；调价函应说明调价后的最终报价，并以最终报价为准，而且投标人只能有一次调价的机会。</w:t>
      </w:r>
    </w:p>
    <w:p>
      <w:pPr>
        <w:adjustRightInd w:val="0"/>
        <w:snapToGrid w:val="0"/>
        <w:spacing w:line="400" w:lineRule="exact"/>
        <w:ind w:firstLine="480" w:firstLineChars="200"/>
        <w:rPr>
          <w:rFonts w:ascii="宋体" w:hAnsi="宋体"/>
          <w:sz w:val="24"/>
        </w:rPr>
      </w:pPr>
      <w:r>
        <w:rPr>
          <w:rFonts w:hint="eastAsia" w:ascii="宋体" w:hAnsi="宋体"/>
          <w:sz w:val="24"/>
        </w:rPr>
        <w:t>（2）工程量清单中招标人指定的报价不允许调价。</w:t>
      </w:r>
    </w:p>
    <w:p>
      <w:pPr>
        <w:adjustRightInd w:val="0"/>
        <w:snapToGrid w:val="0"/>
        <w:spacing w:line="400" w:lineRule="exact"/>
        <w:ind w:firstLine="480" w:firstLineChars="200"/>
        <w:rPr>
          <w:rFonts w:ascii="宋体" w:hAnsi="宋体"/>
          <w:sz w:val="24"/>
        </w:rPr>
      </w:pPr>
      <w:r>
        <w:rPr>
          <w:rFonts w:hint="eastAsia" w:ascii="宋体" w:hAnsi="宋体"/>
          <w:sz w:val="24"/>
        </w:rPr>
        <w:t>（3）调价函必须附有调价后的工程量清单；调价函必须粘贴或机械装订在投标文件正本首页，与投标文件一起密封提交。</w:t>
      </w:r>
    </w:p>
    <w:p>
      <w:pPr>
        <w:adjustRightInd w:val="0"/>
        <w:snapToGrid w:val="0"/>
        <w:spacing w:line="400" w:lineRule="exact"/>
        <w:ind w:firstLine="480" w:firstLineChars="200"/>
        <w:rPr>
          <w:rFonts w:ascii="宋体" w:hAnsi="宋体"/>
          <w:sz w:val="24"/>
        </w:rPr>
      </w:pPr>
      <w:r>
        <w:rPr>
          <w:rFonts w:hint="eastAsia" w:ascii="宋体" w:hAnsi="宋体"/>
          <w:sz w:val="24"/>
        </w:rPr>
        <w:t>若投标人未提交调价后的工程量清单，或调价函未装在投标文件正本首页，调价函均视为无效，仍以原报价作为最终报价，若投标人提交的调价函多于一个，或对不允许调价的内容进行了调价，或调价函有附加条件，投标文件作为废标处理。</w:t>
      </w:r>
    </w:p>
    <w:p>
      <w:pPr>
        <w:adjustRightInd w:val="0"/>
        <w:snapToGrid w:val="0"/>
        <w:spacing w:line="400" w:lineRule="exact"/>
        <w:ind w:firstLine="480" w:firstLineChars="200"/>
        <w:rPr>
          <w:rFonts w:ascii="宋体" w:hAnsi="宋体"/>
          <w:sz w:val="24"/>
        </w:rPr>
      </w:pPr>
      <w:r>
        <w:rPr>
          <w:rFonts w:hint="eastAsia" w:ascii="宋体" w:hAnsi="宋体"/>
          <w:sz w:val="24"/>
        </w:rPr>
        <w:t>（4）若招标人接受调价函，投标人调价后的工程量清单和有效调价函的大写金额报价应保持一致，如果报价金额出现差异时，则以有效调价函的大写金额报价为准。</w:t>
      </w:r>
    </w:p>
    <w:p>
      <w:pPr>
        <w:adjustRightInd w:val="0"/>
        <w:snapToGrid w:val="0"/>
        <w:spacing w:line="400" w:lineRule="exact"/>
        <w:ind w:firstLine="480" w:firstLineChars="200"/>
        <w:rPr>
          <w:rFonts w:ascii="宋体" w:hAnsi="宋体"/>
          <w:sz w:val="24"/>
        </w:rPr>
      </w:pPr>
      <w:r>
        <w:rPr>
          <w:rFonts w:hint="eastAsia" w:ascii="宋体" w:hAnsi="宋体"/>
          <w:sz w:val="24"/>
        </w:rPr>
        <w:t>3.2.6 在合同实施期间，投标人填写的单价、合价和总额价是否由于物价波动进行价格调整按照合同条款第16.1款的规定处理。如果按照合同条款第16.1.1项的规定采用价格调整公式进行价格调整，由招标人根据项目实际情况测算确定价格调整公式中的变值权重范围，并在投标函附录价格指数和权重表中约定范围；投标人在次范围内填写各可调因子的权种，合同实施期间将按此权种进行调价。</w:t>
      </w:r>
    </w:p>
    <w:p>
      <w:pPr>
        <w:pStyle w:val="6"/>
        <w:keepNext w:val="0"/>
        <w:keepLines w:val="0"/>
        <w:adjustRightInd w:val="0"/>
        <w:snapToGrid w:val="0"/>
        <w:spacing w:beforeLines="50" w:after="0" w:line="400" w:lineRule="exact"/>
        <w:rPr>
          <w:rFonts w:ascii="宋体" w:hAnsi="宋体"/>
          <w:sz w:val="24"/>
          <w:szCs w:val="24"/>
        </w:rPr>
      </w:pPr>
      <w:bookmarkStart w:id="86" w:name="_Toc486277884"/>
      <w:bookmarkStart w:id="87" w:name="_Toc485889023"/>
      <w:bookmarkStart w:id="88" w:name="_Toc6040"/>
      <w:bookmarkStart w:id="89" w:name="_Toc234382610"/>
      <w:r>
        <w:rPr>
          <w:rFonts w:ascii="宋体" w:hAnsi="宋体"/>
          <w:sz w:val="24"/>
          <w:szCs w:val="24"/>
        </w:rPr>
        <w:t>3.3 投标有效期</w:t>
      </w:r>
      <w:bookmarkEnd w:id="86"/>
      <w:bookmarkEnd w:id="87"/>
      <w:bookmarkEnd w:id="88"/>
      <w:bookmarkEnd w:id="89"/>
    </w:p>
    <w:p>
      <w:pPr>
        <w:adjustRightInd w:val="0"/>
        <w:snapToGrid w:val="0"/>
        <w:spacing w:line="400" w:lineRule="exact"/>
        <w:ind w:firstLine="464" w:firstLineChars="200"/>
        <w:rPr>
          <w:rFonts w:ascii="宋体" w:hAnsi="宋体"/>
          <w:spacing w:val="-4"/>
          <w:sz w:val="24"/>
        </w:rPr>
      </w:pPr>
      <w:r>
        <w:rPr>
          <w:rFonts w:ascii="宋体" w:hAnsi="宋体"/>
          <w:spacing w:val="-4"/>
          <w:sz w:val="24"/>
        </w:rPr>
        <w:t>3.3.1 在投标人须知前附表规定的投标有效期内，投标人不得要求撤销或修改其投标文件。</w:t>
      </w:r>
    </w:p>
    <w:p>
      <w:pPr>
        <w:adjustRightInd w:val="0"/>
        <w:snapToGrid w:val="0"/>
        <w:spacing w:line="400" w:lineRule="exact"/>
        <w:ind w:firstLine="480" w:firstLineChars="200"/>
        <w:rPr>
          <w:rFonts w:ascii="宋体" w:hAnsi="宋体"/>
          <w:sz w:val="24"/>
        </w:rPr>
      </w:pPr>
      <w:r>
        <w:rPr>
          <w:rFonts w:ascii="宋体" w:hAnsi="宋体"/>
          <w:sz w:val="24"/>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numPr>
          <w:ilvl w:val="0"/>
          <w:numId w:val="0"/>
        </w:numPr>
        <w:tabs>
          <w:tab w:val="left" w:pos="540"/>
        </w:tabs>
        <w:spacing w:line="360" w:lineRule="auto"/>
        <w:ind w:left="9" w:leftChars="0"/>
        <w:jc w:val="both"/>
        <w:rPr>
          <w:rFonts w:hint="eastAsia" w:ascii="新宋体" w:hAnsi="新宋体" w:eastAsia="新宋体" w:cs="新宋体"/>
          <w:b/>
          <w:sz w:val="24"/>
        </w:rPr>
      </w:pPr>
      <w:bookmarkStart w:id="90" w:name="_Toc234382613"/>
      <w:bookmarkStart w:id="91" w:name="_Toc486277886"/>
      <w:bookmarkStart w:id="92" w:name="_Toc10524"/>
      <w:bookmarkStart w:id="93" w:name="_Toc485889025"/>
      <w:r>
        <w:rPr>
          <w:rFonts w:hint="eastAsia" w:ascii="新宋体" w:hAnsi="新宋体" w:eastAsia="新宋体" w:cs="新宋体"/>
          <w:b/>
          <w:sz w:val="24"/>
          <w:lang w:val="en-US" w:eastAsia="zh-CN"/>
        </w:rPr>
        <w:t>3.4</w:t>
      </w:r>
      <w:r>
        <w:rPr>
          <w:rFonts w:hint="eastAsia" w:ascii="新宋体" w:hAnsi="新宋体" w:eastAsia="新宋体" w:cs="新宋体"/>
          <w:b/>
          <w:sz w:val="24"/>
        </w:rPr>
        <w:t>投标保证金及履约保证金</w:t>
      </w:r>
    </w:p>
    <w:p>
      <w:pPr>
        <w:numPr>
          <w:ilvl w:val="0"/>
          <w:numId w:val="0"/>
        </w:numPr>
        <w:tabs>
          <w:tab w:val="left" w:pos="540"/>
        </w:tabs>
        <w:spacing w:line="360" w:lineRule="auto"/>
        <w:ind w:left="9" w:leftChars="0"/>
        <w:jc w:val="both"/>
        <w:rPr>
          <w:rFonts w:hint="eastAsia" w:ascii="新宋体" w:hAnsi="新宋体" w:eastAsia="新宋体" w:cs="新宋体"/>
          <w:b/>
          <w:sz w:val="24"/>
        </w:rPr>
      </w:pPr>
      <w:r>
        <w:rPr>
          <w:rFonts w:hint="eastAsia" w:ascii="新宋体" w:hAnsi="新宋体" w:eastAsia="新宋体" w:cs="新宋体"/>
          <w:b/>
          <w:sz w:val="24"/>
        </w:rPr>
        <w:t>3.4.1投标保证金</w:t>
      </w:r>
    </w:p>
    <w:p>
      <w:pPr>
        <w:tabs>
          <w:tab w:val="left" w:pos="1260"/>
        </w:tabs>
        <w:autoSpaceDE w:val="0"/>
        <w:autoSpaceDN w:val="0"/>
        <w:adjustRightInd w:val="0"/>
        <w:spacing w:line="460" w:lineRule="exact"/>
        <w:ind w:firstLine="480" w:firstLineChars="200"/>
        <w:jc w:val="left"/>
        <w:rPr>
          <w:rFonts w:hint="eastAsia" w:ascii="新宋体" w:hAnsi="新宋体" w:eastAsia="新宋体" w:cs="新宋体"/>
          <w:sz w:val="24"/>
          <w:szCs w:val="22"/>
        </w:rPr>
      </w:pPr>
      <w:r>
        <w:rPr>
          <w:rFonts w:hint="eastAsia" w:ascii="新宋体" w:hAnsi="新宋体" w:eastAsia="新宋体" w:cs="新宋体"/>
          <w:sz w:val="24"/>
          <w:szCs w:val="22"/>
        </w:rPr>
        <w:t>1、投标保证金的相关规定</w:t>
      </w:r>
    </w:p>
    <w:p>
      <w:pPr>
        <w:tabs>
          <w:tab w:val="left" w:pos="1260"/>
        </w:tabs>
        <w:autoSpaceDE w:val="0"/>
        <w:autoSpaceDN w:val="0"/>
        <w:adjustRightInd w:val="0"/>
        <w:spacing w:line="460" w:lineRule="exact"/>
        <w:ind w:firstLine="482" w:firstLineChars="200"/>
        <w:jc w:val="left"/>
        <w:rPr>
          <w:rFonts w:hint="eastAsia" w:ascii="新宋体" w:hAnsi="新宋体" w:eastAsia="新宋体" w:cs="新宋体"/>
          <w:b/>
          <w:bCs/>
          <w:sz w:val="24"/>
          <w:szCs w:val="22"/>
        </w:rPr>
      </w:pPr>
      <w:r>
        <w:rPr>
          <w:rFonts w:hint="eastAsia" w:ascii="新宋体" w:hAnsi="新宋体" w:eastAsia="新宋体" w:cs="新宋体"/>
          <w:b/>
          <w:bCs/>
          <w:sz w:val="24"/>
          <w:szCs w:val="22"/>
        </w:rPr>
        <w:t>（1）中标公告发出后，5个工作日内退还非中标人投标保证金及银行同期活期存款利息。</w:t>
      </w:r>
    </w:p>
    <w:p>
      <w:pPr>
        <w:tabs>
          <w:tab w:val="left" w:pos="1260"/>
        </w:tabs>
        <w:autoSpaceDE w:val="0"/>
        <w:autoSpaceDN w:val="0"/>
        <w:adjustRightInd w:val="0"/>
        <w:spacing w:line="460" w:lineRule="exact"/>
        <w:ind w:firstLine="480" w:firstLineChars="200"/>
        <w:jc w:val="left"/>
        <w:rPr>
          <w:rFonts w:hint="eastAsia" w:ascii="新宋体" w:hAnsi="新宋体" w:eastAsia="新宋体" w:cs="新宋体"/>
          <w:sz w:val="24"/>
          <w:szCs w:val="22"/>
        </w:rPr>
      </w:pPr>
      <w:r>
        <w:rPr>
          <w:rFonts w:hint="eastAsia" w:ascii="新宋体" w:hAnsi="新宋体" w:eastAsia="新宋体" w:cs="新宋体"/>
          <w:sz w:val="24"/>
          <w:szCs w:val="22"/>
        </w:rPr>
        <w:t>（2）在法定期限内签订书面合同，中标人执投标保证金退还申请表（单位加盖行政公章）及合同原件、履约保证金转账凭证到中心业务部室办理退款手续，中心在5个工作日内向中标人退还投标保证金及银行同期活期存款利息。）</w:t>
      </w:r>
    </w:p>
    <w:p>
      <w:pPr>
        <w:tabs>
          <w:tab w:val="left" w:pos="1260"/>
        </w:tabs>
        <w:autoSpaceDE w:val="0"/>
        <w:autoSpaceDN w:val="0"/>
        <w:adjustRightInd w:val="0"/>
        <w:spacing w:line="460" w:lineRule="exact"/>
        <w:ind w:firstLine="480" w:firstLineChars="200"/>
        <w:jc w:val="left"/>
        <w:rPr>
          <w:rFonts w:hint="eastAsia" w:ascii="新宋体" w:hAnsi="新宋体" w:eastAsia="新宋体" w:cs="新宋体"/>
          <w:sz w:val="24"/>
          <w:szCs w:val="22"/>
        </w:rPr>
      </w:pPr>
      <w:r>
        <w:rPr>
          <w:rFonts w:hint="eastAsia" w:ascii="新宋体" w:hAnsi="新宋体" w:eastAsia="新宋体" w:cs="新宋体"/>
          <w:sz w:val="24"/>
          <w:szCs w:val="22"/>
        </w:rPr>
        <w:t>（3）项目废标或招标人终止招标的，在此后5个工作日内退还投标保证金及银行同期活期存款利息。</w:t>
      </w:r>
    </w:p>
    <w:p>
      <w:pPr>
        <w:tabs>
          <w:tab w:val="left" w:pos="1260"/>
        </w:tabs>
        <w:autoSpaceDE w:val="0"/>
        <w:autoSpaceDN w:val="0"/>
        <w:adjustRightInd w:val="0"/>
        <w:spacing w:line="460" w:lineRule="exact"/>
        <w:ind w:firstLine="480" w:firstLineChars="200"/>
        <w:jc w:val="left"/>
        <w:rPr>
          <w:rFonts w:hint="eastAsia" w:ascii="新宋体" w:hAnsi="新宋体" w:eastAsia="新宋体" w:cs="新宋体"/>
          <w:sz w:val="24"/>
          <w:szCs w:val="22"/>
        </w:rPr>
      </w:pPr>
      <w:r>
        <w:rPr>
          <w:rFonts w:hint="eastAsia" w:ascii="新宋体" w:hAnsi="新宋体" w:eastAsia="新宋体" w:cs="新宋体"/>
          <w:sz w:val="24"/>
          <w:szCs w:val="22"/>
        </w:rPr>
        <w:t>（4）投标活动中出现质疑、投诉的，中标候选人、质疑人和被质疑人、投诉人和被投诉人的投标保证金暂停退还。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int="eastAsia" w:ascii="新宋体" w:hAnsi="新宋体" w:eastAsia="新宋体" w:cs="新宋体"/>
          <w:sz w:val="24"/>
          <w:szCs w:val="22"/>
        </w:rPr>
      </w:pPr>
      <w:r>
        <w:rPr>
          <w:rFonts w:hint="eastAsia" w:ascii="新宋体" w:hAnsi="新宋体" w:eastAsia="新宋体" w:cs="新宋体"/>
          <w:sz w:val="24"/>
          <w:szCs w:val="22"/>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60" w:lineRule="exact"/>
        <w:ind w:firstLine="480" w:firstLineChars="200"/>
        <w:jc w:val="left"/>
        <w:rPr>
          <w:rFonts w:hint="eastAsia" w:ascii="新宋体" w:hAnsi="新宋体" w:eastAsia="新宋体" w:cs="新宋体"/>
          <w:sz w:val="24"/>
          <w:szCs w:val="22"/>
        </w:rPr>
      </w:pPr>
      <w:r>
        <w:rPr>
          <w:rFonts w:hint="eastAsia" w:ascii="新宋体" w:hAnsi="新宋体" w:eastAsia="新宋体" w:cs="新宋体"/>
          <w:sz w:val="24"/>
          <w:szCs w:val="22"/>
        </w:rPr>
        <w:t>（6）退还投标保证金，除另有规定外，一般以转账方式一次性退还至投标保证金的原提交账户。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hint="eastAsia" w:ascii="新宋体" w:hAnsi="新宋体" w:eastAsia="新宋体" w:cs="新宋体"/>
          <w:sz w:val="24"/>
          <w:szCs w:val="22"/>
        </w:rPr>
      </w:pPr>
      <w:r>
        <w:rPr>
          <w:rFonts w:hint="eastAsia" w:ascii="新宋体" w:hAnsi="新宋体" w:eastAsia="新宋体" w:cs="新宋体"/>
          <w:sz w:val="24"/>
          <w:szCs w:val="22"/>
        </w:rPr>
        <w:t>2、投标人有下列情形之一的，不予退还投标保证金：</w:t>
      </w:r>
    </w:p>
    <w:p>
      <w:pPr>
        <w:tabs>
          <w:tab w:val="left" w:pos="1260"/>
        </w:tabs>
        <w:autoSpaceDE w:val="0"/>
        <w:autoSpaceDN w:val="0"/>
        <w:adjustRightInd w:val="0"/>
        <w:spacing w:line="460" w:lineRule="exact"/>
        <w:ind w:firstLine="480" w:firstLineChars="200"/>
        <w:jc w:val="left"/>
        <w:rPr>
          <w:rFonts w:hint="eastAsia" w:ascii="新宋体" w:hAnsi="新宋体" w:eastAsia="新宋体" w:cs="新宋体"/>
          <w:sz w:val="24"/>
          <w:szCs w:val="22"/>
        </w:rPr>
      </w:pPr>
      <w:r>
        <w:rPr>
          <w:rFonts w:hint="eastAsia" w:ascii="新宋体" w:hAnsi="新宋体" w:eastAsia="新宋体" w:cs="新宋体"/>
          <w:sz w:val="24"/>
          <w:szCs w:val="22"/>
        </w:rPr>
        <w:t xml:space="preserve">（一）在招标文件要求提交投标文件的截止时间后至投标文件有效期满前撤回投标的； </w:t>
      </w:r>
    </w:p>
    <w:p>
      <w:pPr>
        <w:tabs>
          <w:tab w:val="left" w:pos="1260"/>
        </w:tabs>
        <w:autoSpaceDE w:val="0"/>
        <w:autoSpaceDN w:val="0"/>
        <w:adjustRightInd w:val="0"/>
        <w:spacing w:line="460" w:lineRule="exact"/>
        <w:ind w:firstLine="480" w:firstLineChars="200"/>
        <w:jc w:val="left"/>
        <w:rPr>
          <w:rFonts w:hint="eastAsia" w:ascii="新宋体" w:hAnsi="新宋体" w:eastAsia="新宋体" w:cs="新宋体"/>
          <w:sz w:val="24"/>
          <w:szCs w:val="22"/>
        </w:rPr>
      </w:pPr>
      <w:r>
        <w:rPr>
          <w:rFonts w:hint="eastAsia" w:ascii="新宋体" w:hAnsi="新宋体" w:eastAsia="新宋体" w:cs="新宋体"/>
          <w:sz w:val="24"/>
          <w:szCs w:val="22"/>
        </w:rPr>
        <w:t xml:space="preserve">（二）中标通知书发出后，中标人无故放弃中标项目或无正当理由在规定时间内不与招标人签订合同或未按招标文件规定提交履约担保的；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480" w:firstLineChars="200"/>
        <w:jc w:val="left"/>
        <w:rPr>
          <w:rFonts w:hint="eastAsia" w:ascii="新宋体" w:hAnsi="新宋体" w:eastAsia="新宋体" w:cs="新宋体"/>
          <w:sz w:val="24"/>
          <w:szCs w:val="22"/>
        </w:rPr>
      </w:pPr>
      <w:r>
        <w:rPr>
          <w:rFonts w:hint="eastAsia" w:ascii="新宋体" w:hAnsi="新宋体" w:eastAsia="新宋体" w:cs="新宋体"/>
          <w:sz w:val="24"/>
          <w:szCs w:val="22"/>
        </w:rPr>
        <w:t xml:space="preserve">（三）将中标项目转让给他人，或者在投标文件中未说明，且未经招标人同意，将中标项目分包给他人的；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480" w:firstLineChars="200"/>
        <w:jc w:val="left"/>
        <w:rPr>
          <w:rFonts w:hint="eastAsia" w:ascii="新宋体" w:hAnsi="新宋体" w:eastAsia="新宋体" w:cs="新宋体"/>
          <w:sz w:val="24"/>
          <w:szCs w:val="22"/>
        </w:rPr>
      </w:pPr>
      <w:r>
        <w:rPr>
          <w:rFonts w:hint="eastAsia" w:ascii="新宋体" w:hAnsi="新宋体" w:eastAsia="新宋体" w:cs="新宋体"/>
          <w:sz w:val="24"/>
          <w:szCs w:val="22"/>
        </w:rPr>
        <w:t xml:space="preserve">（四）投标人在招投标活动中弄虚作假、围标串标，骗取中标并经招投标行政监督部门调查核实的； </w:t>
      </w:r>
    </w:p>
    <w:p>
      <w:pPr>
        <w:tabs>
          <w:tab w:val="left" w:pos="1260"/>
        </w:tabs>
        <w:autoSpaceDE w:val="0"/>
        <w:autoSpaceDN w:val="0"/>
        <w:adjustRightInd w:val="0"/>
        <w:spacing w:line="460" w:lineRule="exact"/>
        <w:ind w:firstLine="480" w:firstLineChars="200"/>
        <w:jc w:val="left"/>
        <w:rPr>
          <w:rFonts w:hint="eastAsia" w:ascii="新宋体" w:hAnsi="新宋体" w:eastAsia="新宋体" w:cs="新宋体"/>
          <w:sz w:val="24"/>
          <w:szCs w:val="22"/>
        </w:rPr>
      </w:pPr>
      <w:r>
        <w:rPr>
          <w:rFonts w:hint="eastAsia" w:ascii="新宋体" w:hAnsi="新宋体" w:eastAsia="新宋体" w:cs="新宋体"/>
          <w:sz w:val="24"/>
          <w:szCs w:val="22"/>
        </w:rPr>
        <w:t>（五）拒绝履行合同义务的；</w:t>
      </w:r>
    </w:p>
    <w:p>
      <w:pPr>
        <w:tabs>
          <w:tab w:val="left" w:pos="1260"/>
        </w:tabs>
        <w:autoSpaceDE w:val="0"/>
        <w:autoSpaceDN w:val="0"/>
        <w:adjustRightInd w:val="0"/>
        <w:spacing w:line="460" w:lineRule="exact"/>
        <w:ind w:firstLine="480" w:firstLineChars="200"/>
        <w:jc w:val="left"/>
        <w:rPr>
          <w:rFonts w:hint="eastAsia" w:ascii="新宋体" w:hAnsi="新宋体" w:eastAsia="新宋体" w:cs="新宋体"/>
          <w:sz w:val="24"/>
          <w:szCs w:val="22"/>
        </w:rPr>
      </w:pPr>
      <w:r>
        <w:rPr>
          <w:rFonts w:hint="eastAsia" w:ascii="新宋体" w:hAnsi="新宋体" w:eastAsia="新宋体" w:cs="新宋体"/>
          <w:sz w:val="24"/>
          <w:szCs w:val="22"/>
        </w:rPr>
        <w:t>（六）相关法律、法规规定不予退还的其它情形。</w:t>
      </w:r>
    </w:p>
    <w:p>
      <w:pPr>
        <w:tabs>
          <w:tab w:val="left" w:pos="1260"/>
        </w:tabs>
        <w:autoSpaceDE w:val="0"/>
        <w:autoSpaceDN w:val="0"/>
        <w:adjustRightInd w:val="0"/>
        <w:spacing w:line="460" w:lineRule="exact"/>
        <w:ind w:firstLine="480" w:firstLineChars="200"/>
        <w:jc w:val="left"/>
        <w:rPr>
          <w:rFonts w:hint="eastAsia" w:ascii="新宋体" w:hAnsi="新宋体" w:eastAsia="新宋体" w:cs="新宋体"/>
          <w:sz w:val="24"/>
          <w:szCs w:val="22"/>
        </w:rPr>
      </w:pPr>
      <w:r>
        <w:rPr>
          <w:rFonts w:hint="eastAsia" w:ascii="新宋体" w:hAnsi="新宋体" w:eastAsia="新宋体" w:cs="新宋体"/>
          <w:sz w:val="24"/>
          <w:szCs w:val="22"/>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spacing w:line="300" w:lineRule="exact"/>
        <w:ind w:firstLine="354" w:firstLineChars="147"/>
        <w:rPr>
          <w:rFonts w:hint="eastAsia" w:ascii="新宋体" w:hAnsi="新宋体" w:eastAsia="新宋体" w:cs="新宋体"/>
          <w:b/>
          <w:sz w:val="24"/>
        </w:rPr>
      </w:pPr>
      <w:r>
        <w:rPr>
          <w:rFonts w:hint="eastAsia" w:ascii="新宋体" w:hAnsi="新宋体" w:eastAsia="新宋体" w:cs="新宋体"/>
          <w:b/>
          <w:sz w:val="24"/>
        </w:rPr>
        <w:t>3.4.2</w:t>
      </w:r>
      <w:r>
        <w:rPr>
          <w:rFonts w:hint="eastAsia" w:ascii="新宋体" w:hAnsi="新宋体" w:eastAsia="新宋体" w:cs="新宋体"/>
          <w:b/>
          <w:sz w:val="24"/>
        </w:rPr>
        <w:tab/>
      </w:r>
      <w:r>
        <w:rPr>
          <w:rFonts w:hint="eastAsia" w:ascii="新宋体" w:hAnsi="新宋体" w:eastAsia="新宋体" w:cs="新宋体"/>
          <w:b/>
          <w:sz w:val="24"/>
        </w:rPr>
        <w:t>履约保证金</w:t>
      </w:r>
    </w:p>
    <w:p>
      <w:pPr>
        <w:tabs>
          <w:tab w:val="left" w:pos="1260"/>
        </w:tabs>
        <w:autoSpaceDE w:val="0"/>
        <w:autoSpaceDN w:val="0"/>
        <w:adjustRightInd w:val="0"/>
        <w:spacing w:line="460" w:lineRule="exact"/>
        <w:ind w:firstLine="480" w:firstLineChars="200"/>
        <w:jc w:val="left"/>
        <w:rPr>
          <w:rFonts w:hint="eastAsia" w:ascii="新宋体" w:hAnsi="新宋体" w:eastAsia="新宋体" w:cs="新宋体"/>
          <w:sz w:val="24"/>
          <w:szCs w:val="22"/>
        </w:rPr>
      </w:pPr>
      <w:r>
        <w:rPr>
          <w:rFonts w:hint="eastAsia" w:ascii="新宋体" w:hAnsi="新宋体" w:eastAsia="新宋体" w:cs="新宋体"/>
          <w:sz w:val="24"/>
          <w:szCs w:val="22"/>
        </w:rPr>
        <w:t>一、履约保证金提交方式及注意事项</w:t>
      </w:r>
      <w:r>
        <w:rPr>
          <w:rFonts w:hint="eastAsia" w:ascii="新宋体" w:hAnsi="新宋体" w:eastAsia="新宋体" w:cs="新宋体"/>
          <w:sz w:val="24"/>
          <w:szCs w:val="22"/>
        </w:rPr>
        <w:br w:type="textWrapping"/>
      </w:r>
      <w:r>
        <w:rPr>
          <w:rFonts w:hint="eastAsia" w:ascii="新宋体" w:hAnsi="新宋体" w:eastAsia="新宋体" w:cs="新宋体"/>
          <w:sz w:val="24"/>
          <w:szCs w:val="22"/>
        </w:rPr>
        <w:t>1、以网银、银行转账支票、银行电汇、银行保函方式提交。</w:t>
      </w:r>
      <w:r>
        <w:rPr>
          <w:rFonts w:hint="eastAsia" w:ascii="新宋体" w:hAnsi="新宋体" w:eastAsia="新宋体" w:cs="新宋体"/>
          <w:sz w:val="24"/>
          <w:szCs w:val="22"/>
        </w:rPr>
        <w:br w:type="textWrapping"/>
      </w:r>
      <w:r>
        <w:rPr>
          <w:rFonts w:hint="eastAsia" w:ascii="新宋体" w:hAnsi="新宋体" w:eastAsia="新宋体" w:cs="新宋体"/>
          <w:sz w:val="24"/>
          <w:szCs w:val="22"/>
        </w:rPr>
        <w:t>2、现金支票和现金不得作为履约保证金提交方式。</w:t>
      </w:r>
      <w:r>
        <w:rPr>
          <w:rFonts w:hint="eastAsia" w:ascii="新宋体" w:hAnsi="新宋体" w:eastAsia="新宋体" w:cs="新宋体"/>
          <w:sz w:val="24"/>
          <w:szCs w:val="22"/>
        </w:rPr>
        <w:br w:type="textWrapping"/>
      </w:r>
      <w:r>
        <w:rPr>
          <w:rFonts w:hint="eastAsia" w:ascii="新宋体" w:hAnsi="新宋体" w:eastAsia="新宋体" w:cs="新宋体"/>
          <w:sz w:val="24"/>
          <w:szCs w:val="22"/>
        </w:rPr>
        <w:t>3、中标人必须通过其公司账户按照规定的方式提交，其名称应与中标单位的名称一致。</w:t>
      </w:r>
      <w:r>
        <w:rPr>
          <w:rFonts w:hint="eastAsia" w:ascii="新宋体" w:hAnsi="新宋体" w:eastAsia="新宋体" w:cs="新宋体"/>
          <w:sz w:val="24"/>
          <w:szCs w:val="22"/>
        </w:rPr>
        <w:br w:type="textWrapping"/>
      </w:r>
      <w:r>
        <w:rPr>
          <w:rFonts w:hint="eastAsia" w:ascii="新宋体" w:hAnsi="新宋体" w:eastAsia="新宋体" w:cs="新宋体"/>
          <w:sz w:val="24"/>
          <w:szCs w:val="22"/>
        </w:rPr>
        <w:t>4、中标人在缴纳履约保证金时，必须在附言、备注和用途栏注明“项目编号及标段”，否则可能造成延迟退还。</w:t>
      </w:r>
    </w:p>
    <w:p>
      <w:pPr>
        <w:tabs>
          <w:tab w:val="left" w:pos="1260"/>
        </w:tabs>
        <w:autoSpaceDE w:val="0"/>
        <w:autoSpaceDN w:val="0"/>
        <w:adjustRightInd w:val="0"/>
        <w:spacing w:line="460" w:lineRule="exact"/>
        <w:ind w:firstLine="480" w:firstLineChars="200"/>
        <w:jc w:val="left"/>
        <w:rPr>
          <w:rFonts w:hint="eastAsia" w:ascii="新宋体" w:hAnsi="新宋体" w:eastAsia="新宋体" w:cs="新宋体"/>
          <w:sz w:val="24"/>
          <w:szCs w:val="22"/>
        </w:rPr>
      </w:pPr>
      <w:r>
        <w:rPr>
          <w:rFonts w:hint="eastAsia" w:ascii="新宋体" w:hAnsi="新宋体" w:eastAsia="新宋体" w:cs="新宋体"/>
          <w:sz w:val="24"/>
          <w:szCs w:val="22"/>
        </w:rPr>
        <w:t>二、履约保证金提交比例和数额</w:t>
      </w:r>
      <w:r>
        <w:rPr>
          <w:rFonts w:hint="eastAsia" w:ascii="新宋体" w:hAnsi="新宋体" w:eastAsia="新宋体" w:cs="新宋体"/>
          <w:sz w:val="24"/>
          <w:szCs w:val="22"/>
        </w:rPr>
        <w:br w:type="textWrapping"/>
      </w:r>
      <w:r>
        <w:rPr>
          <w:rFonts w:hint="eastAsia" w:ascii="新宋体" w:hAnsi="新宋体" w:eastAsia="新宋体" w:cs="新宋体"/>
          <w:sz w:val="24"/>
          <w:szCs w:val="22"/>
        </w:rPr>
        <w:t>履约保证金数额不得超过中标合同金额的10%。</w:t>
      </w:r>
      <w:r>
        <w:rPr>
          <w:rFonts w:hint="eastAsia" w:ascii="新宋体" w:hAnsi="新宋体" w:eastAsia="新宋体" w:cs="新宋体"/>
          <w:sz w:val="24"/>
          <w:szCs w:val="22"/>
        </w:rPr>
        <w:br w:type="textWrapping"/>
      </w:r>
      <w:r>
        <w:rPr>
          <w:rFonts w:hint="eastAsia" w:ascii="新宋体" w:hAnsi="新宋体" w:eastAsia="新宋体" w:cs="新宋体"/>
          <w:sz w:val="24"/>
          <w:szCs w:val="22"/>
        </w:rPr>
        <w:t>三、履约保证金的退还</w:t>
      </w:r>
      <w:r>
        <w:rPr>
          <w:rFonts w:hint="eastAsia" w:ascii="新宋体" w:hAnsi="新宋体" w:eastAsia="新宋体" w:cs="新宋体"/>
          <w:sz w:val="24"/>
          <w:szCs w:val="22"/>
        </w:rPr>
        <w:br w:type="textWrapping"/>
      </w:r>
      <w:r>
        <w:rPr>
          <w:rFonts w:hint="eastAsia" w:ascii="新宋体" w:hAnsi="新宋体" w:eastAsia="新宋体" w:cs="新宋体"/>
          <w:sz w:val="24"/>
          <w:szCs w:val="22"/>
        </w:rPr>
        <w:t>1、项目完工后，由招标人出具《履约保证金退还通知单》，中心财务凭《履约保证金退还通知单》在五个工作日内退还履约保证金及银行同期活期存款利息至中标人账户。</w:t>
      </w:r>
      <w:r>
        <w:rPr>
          <w:rFonts w:hint="eastAsia" w:ascii="新宋体" w:hAnsi="新宋体" w:eastAsia="新宋体" w:cs="新宋体"/>
          <w:sz w:val="24"/>
          <w:szCs w:val="22"/>
        </w:rPr>
        <w:br w:type="textWrapping"/>
      </w:r>
      <w:r>
        <w:rPr>
          <w:rFonts w:hint="eastAsia" w:ascii="新宋体" w:hAnsi="新宋体" w:eastAsia="新宋体" w:cs="新宋体"/>
          <w:sz w:val="24"/>
          <w:szCs w:val="22"/>
        </w:rPr>
        <w:t>2、中标人因发生质疑、投诉、举报或有关部门立案调查的，中心依据相关行政监督部门的意见暂停退还或没收其履约保证金，待行政监督部门对相关情况处置后，按照有关规定办理。</w:t>
      </w:r>
    </w:p>
    <w:p>
      <w:pPr>
        <w:pStyle w:val="6"/>
        <w:keepNext w:val="0"/>
        <w:keepLines w:val="0"/>
        <w:adjustRightInd w:val="0"/>
        <w:snapToGrid w:val="0"/>
        <w:spacing w:beforeLines="50" w:after="0" w:line="400" w:lineRule="exact"/>
        <w:rPr>
          <w:rFonts w:ascii="宋体" w:hAnsi="宋体"/>
          <w:sz w:val="24"/>
          <w:szCs w:val="24"/>
        </w:rPr>
      </w:pPr>
      <w:r>
        <w:rPr>
          <w:rFonts w:ascii="宋体" w:hAnsi="宋体"/>
          <w:sz w:val="24"/>
          <w:szCs w:val="24"/>
        </w:rPr>
        <w:t>3.5 资格审查资料</w:t>
      </w:r>
      <w:bookmarkEnd w:id="90"/>
      <w:bookmarkEnd w:id="91"/>
      <w:bookmarkEnd w:id="92"/>
      <w:bookmarkEnd w:id="93"/>
    </w:p>
    <w:p>
      <w:pPr>
        <w:adjustRightInd w:val="0"/>
        <w:snapToGrid w:val="0"/>
        <w:spacing w:line="400" w:lineRule="exact"/>
        <w:ind w:firstLine="480" w:firstLineChars="200"/>
        <w:rPr>
          <w:rFonts w:ascii="宋体" w:hAnsi="宋体"/>
          <w:sz w:val="24"/>
        </w:rPr>
      </w:pPr>
      <w:r>
        <w:rPr>
          <w:rFonts w:ascii="宋体" w:hAnsi="宋体"/>
          <w:sz w:val="24"/>
        </w:rPr>
        <w:t>3.5.1 “投标人基本情况表”应附</w:t>
      </w:r>
      <w:r>
        <w:rPr>
          <w:rFonts w:hint="eastAsia" w:ascii="宋体" w:hAnsi="宋体"/>
          <w:sz w:val="24"/>
        </w:rPr>
        <w:t>企业法人</w:t>
      </w:r>
      <w:r>
        <w:rPr>
          <w:rFonts w:ascii="宋体" w:hAnsi="宋体"/>
          <w:sz w:val="24"/>
        </w:rPr>
        <w:t>营业执照副本</w:t>
      </w:r>
      <w:r>
        <w:rPr>
          <w:rFonts w:hint="eastAsia" w:ascii="宋体" w:hAnsi="宋体"/>
          <w:sz w:val="24"/>
        </w:rPr>
        <w:t>、施工资质证书副本、安全生产许可证副本、基本账户开户许可证的原件扫描件（或图片）件并加盖单位章</w:t>
      </w:r>
      <w:r>
        <w:rPr>
          <w:rFonts w:ascii="宋体" w:hAnsi="宋体"/>
          <w:sz w:val="24"/>
        </w:rPr>
        <w:t>。</w:t>
      </w:r>
    </w:p>
    <w:p>
      <w:pPr>
        <w:adjustRightInd w:val="0"/>
        <w:snapToGrid w:val="0"/>
        <w:spacing w:line="400" w:lineRule="exact"/>
        <w:ind w:firstLine="480" w:firstLineChars="200"/>
        <w:rPr>
          <w:rFonts w:ascii="宋体" w:hAnsi="宋体"/>
          <w:color w:val="FF0000"/>
          <w:sz w:val="24"/>
        </w:rPr>
      </w:pPr>
      <w:r>
        <w:rPr>
          <w:rFonts w:ascii="宋体" w:hAnsi="宋体"/>
          <w:sz w:val="24"/>
        </w:rPr>
        <w:t>3.5.2 “近年财务状况表”应附经会计师事务所或审计机构审计的财务会计报表，包括</w:t>
      </w:r>
      <w:r>
        <w:rPr>
          <w:rFonts w:hint="eastAsia" w:ascii="宋体" w:hAnsi="宋体"/>
          <w:sz w:val="24"/>
        </w:rPr>
        <w:t>资产负债表、利润表、现金流量表、所有者权益变动表及其附注</w:t>
      </w:r>
      <w:r>
        <w:rPr>
          <w:rFonts w:ascii="宋体" w:hAnsi="宋体"/>
          <w:sz w:val="24"/>
        </w:rPr>
        <w:t>的</w:t>
      </w:r>
      <w:r>
        <w:rPr>
          <w:rFonts w:hint="eastAsia" w:ascii="宋体" w:hAnsi="宋体"/>
          <w:sz w:val="24"/>
        </w:rPr>
        <w:t>原件扫描件（或图片）</w:t>
      </w:r>
      <w:r>
        <w:rPr>
          <w:rFonts w:ascii="宋体" w:hAnsi="宋体"/>
          <w:sz w:val="24"/>
        </w:rPr>
        <w:t>，具体年份要求见投标人须知前附表。</w:t>
      </w:r>
    </w:p>
    <w:p>
      <w:pPr>
        <w:adjustRightInd w:val="0"/>
        <w:snapToGrid w:val="0"/>
        <w:spacing w:line="400" w:lineRule="exact"/>
        <w:ind w:firstLine="480" w:firstLineChars="200"/>
        <w:rPr>
          <w:rFonts w:ascii="宋体" w:hAnsi="宋体"/>
          <w:sz w:val="24"/>
        </w:rPr>
      </w:pPr>
      <w:r>
        <w:rPr>
          <w:rFonts w:ascii="宋体" w:hAnsi="宋体"/>
          <w:sz w:val="24"/>
        </w:rPr>
        <w:t>3.5.</w:t>
      </w:r>
      <w:r>
        <w:rPr>
          <w:rFonts w:hint="eastAsia" w:ascii="宋体" w:hAnsi="宋体"/>
          <w:sz w:val="24"/>
        </w:rPr>
        <w:t>3</w:t>
      </w:r>
      <w:r>
        <w:rPr>
          <w:rFonts w:ascii="宋体" w:hAnsi="宋体"/>
          <w:sz w:val="24"/>
        </w:rPr>
        <w:t xml:space="preserve"> “正在施工和新承接的项目情况表”应附中标通知书和合同协议书</w:t>
      </w:r>
      <w:r>
        <w:rPr>
          <w:rFonts w:hint="eastAsia" w:ascii="宋体" w:hAnsi="宋体"/>
          <w:sz w:val="24"/>
        </w:rPr>
        <w:t>的原件扫描件（或图片）</w:t>
      </w:r>
      <w:r>
        <w:rPr>
          <w:rFonts w:ascii="宋体" w:hAnsi="宋体"/>
          <w:sz w:val="24"/>
        </w:rPr>
        <w:t>。每张表格只填写一个项目，并标明序号。</w:t>
      </w:r>
    </w:p>
    <w:p>
      <w:pPr>
        <w:adjustRightInd w:val="0"/>
        <w:snapToGrid w:val="0"/>
        <w:spacing w:line="400" w:lineRule="exact"/>
        <w:ind w:firstLine="480" w:firstLineChars="200"/>
        <w:rPr>
          <w:rFonts w:ascii="宋体" w:hAnsi="宋体"/>
          <w:sz w:val="24"/>
        </w:rPr>
      </w:pPr>
      <w:r>
        <w:rPr>
          <w:rFonts w:hint="eastAsia" w:ascii="宋体" w:hAnsi="宋体"/>
          <w:sz w:val="24"/>
        </w:rPr>
        <w:t>3.5.4“拟委任的项目经理和项目总工资历表”应附项目经理和项目总工的身份证、职称资格证书以及资格审查条件所要求的其他相关证书（如建造师注册证书、安全生产考核合格证书等）的原件扫描件（或图片），并应提供其担任类似项目的项目经理和项目总工的相关业绩证明材料的原件扫描件（或图片）。</w:t>
      </w:r>
    </w:p>
    <w:p>
      <w:pPr>
        <w:adjustRightInd w:val="0"/>
        <w:snapToGrid w:val="0"/>
        <w:spacing w:line="400" w:lineRule="exact"/>
        <w:ind w:firstLine="480" w:firstLineChars="200"/>
        <w:rPr>
          <w:rFonts w:ascii="宋体" w:hAnsi="宋体"/>
          <w:sz w:val="24"/>
        </w:rPr>
      </w:pPr>
      <w:r>
        <w:rPr>
          <w:rFonts w:hint="eastAsia" w:cs="仿宋" w:asciiTheme="minorEastAsia" w:hAnsiTheme="minorEastAsia" w:eastAsiaTheme="minorEastAsia"/>
          <w:bCs/>
          <w:sz w:val="24"/>
        </w:rPr>
        <w:t>如项目经理或项目总工目前仍在其他项目上任职，则投标人应提供由该项目发包人出具的、承诺上述人员能够从该项目撤离的书面证明材料的</w:t>
      </w:r>
      <w:r>
        <w:rPr>
          <w:rFonts w:hint="eastAsia" w:ascii="宋体" w:hAnsi="宋体"/>
          <w:sz w:val="24"/>
        </w:rPr>
        <w:t>原件扫描件（或图片）</w:t>
      </w:r>
      <w:r>
        <w:rPr>
          <w:rFonts w:hint="eastAsia" w:cs="仿宋" w:asciiTheme="minorEastAsia" w:hAnsiTheme="minorEastAsia" w:eastAsiaTheme="minorEastAsia"/>
          <w:bCs/>
          <w:sz w:val="24"/>
        </w:rPr>
        <w:t>。</w:t>
      </w:r>
    </w:p>
    <w:p>
      <w:pPr>
        <w:adjustRightInd w:val="0"/>
        <w:snapToGrid w:val="0"/>
        <w:spacing w:line="400" w:lineRule="exact"/>
        <w:ind w:firstLine="480" w:firstLineChars="200"/>
        <w:rPr>
          <w:rFonts w:ascii="宋体" w:hAnsi="宋体"/>
          <w:sz w:val="24"/>
        </w:rPr>
      </w:pPr>
      <w:r>
        <w:rPr>
          <w:rFonts w:hint="eastAsia" w:cs="仿宋" w:asciiTheme="minorEastAsia" w:hAnsiTheme="minorEastAsia" w:eastAsiaTheme="minorEastAsia"/>
          <w:bCs/>
          <w:sz w:val="24"/>
        </w:rPr>
        <w:t>3.5.5</w:t>
      </w:r>
      <w:r>
        <w:rPr>
          <w:rFonts w:cs="仿宋" w:asciiTheme="minorEastAsia" w:hAnsiTheme="minorEastAsia" w:eastAsiaTheme="minorEastAsia"/>
          <w:bCs/>
          <w:sz w:val="24"/>
        </w:rPr>
        <w:t>“投标人的信誉情况表”应附投标人在国家企业信用信息公示系统中未被列入</w:t>
      </w:r>
      <w:r>
        <w:rPr>
          <w:rFonts w:hint="eastAsia" w:cs="仿宋" w:asciiTheme="minorEastAsia" w:hAnsiTheme="minorEastAsia" w:eastAsiaTheme="minorEastAsia"/>
          <w:bCs/>
          <w:sz w:val="24"/>
        </w:rPr>
        <w:t>经营异常名录或</w:t>
      </w:r>
      <w:r>
        <w:rPr>
          <w:rFonts w:cs="仿宋" w:asciiTheme="minorEastAsia" w:hAnsiTheme="minorEastAsia" w:eastAsiaTheme="minorEastAsia"/>
          <w:bCs/>
          <w:sz w:val="24"/>
        </w:rPr>
        <w:t>严重失信</w:t>
      </w:r>
      <w:r>
        <w:rPr>
          <w:rFonts w:hint="eastAsia" w:cs="仿宋" w:asciiTheme="minorEastAsia" w:hAnsiTheme="minorEastAsia" w:eastAsiaTheme="minorEastAsia"/>
          <w:bCs/>
          <w:sz w:val="24"/>
        </w:rPr>
        <w:t>黑</w:t>
      </w:r>
      <w:r>
        <w:rPr>
          <w:rFonts w:cs="仿宋" w:asciiTheme="minorEastAsia" w:hAnsiTheme="minorEastAsia" w:eastAsiaTheme="minorEastAsia"/>
          <w:bCs/>
          <w:sz w:val="24"/>
        </w:rPr>
        <w:t>名单</w:t>
      </w:r>
      <w:r>
        <w:rPr>
          <w:rFonts w:hint="eastAsia" w:cs="仿宋" w:asciiTheme="minorEastAsia" w:hAnsiTheme="minorEastAsia" w:eastAsiaTheme="minorEastAsia"/>
          <w:bCs/>
          <w:sz w:val="24"/>
        </w:rPr>
        <w:t>、未在“信用中国”</w:t>
      </w:r>
      <w:r>
        <w:rPr>
          <w:rFonts w:hint="eastAsia" w:asciiTheme="minorEastAsia" w:hAnsiTheme="minorEastAsia" w:eastAsiaTheme="minorEastAsia"/>
          <w:sz w:val="24"/>
        </w:rPr>
        <w:t>和“信用河南”</w:t>
      </w:r>
      <w:r>
        <w:rPr>
          <w:rFonts w:hint="eastAsia" w:cs="仿宋" w:asciiTheme="minorEastAsia" w:hAnsiTheme="minorEastAsia" w:eastAsiaTheme="minorEastAsia"/>
          <w:bCs/>
          <w:sz w:val="24"/>
        </w:rPr>
        <w:t>网站信用信息栏列入黑名单的网页截图。</w:t>
      </w:r>
    </w:p>
    <w:p>
      <w:pPr>
        <w:adjustRightInd w:val="0"/>
        <w:snapToGrid w:val="0"/>
        <w:spacing w:line="400" w:lineRule="exact"/>
        <w:ind w:firstLine="480" w:firstLineChars="200"/>
        <w:rPr>
          <w:rFonts w:ascii="宋体" w:hAnsi="宋体"/>
          <w:sz w:val="24"/>
        </w:rPr>
      </w:pPr>
      <w:r>
        <w:rPr>
          <w:rFonts w:ascii="宋体" w:hAnsi="宋体"/>
          <w:sz w:val="24"/>
        </w:rPr>
        <w:t>3.5</w:t>
      </w:r>
      <w:r>
        <w:rPr>
          <w:rFonts w:hint="eastAsia" w:ascii="宋体" w:hAnsi="宋体"/>
          <w:sz w:val="24"/>
        </w:rPr>
        <w:t>.6</w:t>
      </w:r>
      <w:r>
        <w:rPr>
          <w:rFonts w:ascii="宋体" w:hAnsi="宋体"/>
          <w:sz w:val="24"/>
        </w:rPr>
        <w:t xml:space="preserve"> “近年发生的诉讼及仲裁情况”应说明相关情况，并附法院或仲裁机构作出的判决、裁决等有关法律文书</w:t>
      </w:r>
      <w:r>
        <w:rPr>
          <w:rFonts w:hint="eastAsia" w:ascii="宋体" w:hAnsi="宋体"/>
          <w:sz w:val="24"/>
        </w:rPr>
        <w:t>的原件扫描件（或图片）</w:t>
      </w:r>
      <w:r>
        <w:rPr>
          <w:rFonts w:ascii="宋体" w:hAnsi="宋体"/>
          <w:sz w:val="24"/>
        </w:rPr>
        <w:t>应说明相关情况，并附法院或仲裁机构作出的判决、裁决等有关法律文书</w:t>
      </w:r>
      <w:r>
        <w:rPr>
          <w:rFonts w:hint="eastAsia" w:ascii="宋体" w:hAnsi="宋体"/>
          <w:sz w:val="24"/>
        </w:rPr>
        <w:t>的原件扫描件（或图片）</w:t>
      </w:r>
      <w:r>
        <w:rPr>
          <w:rFonts w:ascii="宋体" w:hAnsi="宋体"/>
          <w:sz w:val="24"/>
        </w:rPr>
        <w:t>，具体年份要求见投标人须知前附表。</w:t>
      </w:r>
    </w:p>
    <w:p>
      <w:pPr>
        <w:adjustRightInd w:val="0"/>
        <w:snapToGrid w:val="0"/>
        <w:spacing w:line="400" w:lineRule="exact"/>
        <w:ind w:firstLine="480" w:firstLineChars="200"/>
        <w:rPr>
          <w:rFonts w:ascii="宋体" w:hAnsi="宋体"/>
          <w:sz w:val="24"/>
        </w:rPr>
      </w:pPr>
      <w:r>
        <w:rPr>
          <w:rFonts w:ascii="宋体" w:hAnsi="宋体"/>
          <w:sz w:val="24"/>
        </w:rPr>
        <w:t>3.5.</w:t>
      </w:r>
      <w:r>
        <w:rPr>
          <w:rFonts w:hint="eastAsia" w:ascii="宋体" w:hAnsi="宋体"/>
          <w:sz w:val="24"/>
        </w:rPr>
        <w:t>7</w:t>
      </w:r>
      <w:r>
        <w:rPr>
          <w:rFonts w:ascii="宋体" w:hAnsi="宋体"/>
          <w:sz w:val="24"/>
        </w:rPr>
        <w:t xml:space="preserve"> 投标人须知前附表规定接受联合体投标的，本章第3.5.1项至第3.5.5项规定的表格和资料应包括联合体各方相关情况。</w:t>
      </w:r>
    </w:p>
    <w:p>
      <w:pPr>
        <w:adjustRightInd w:val="0"/>
        <w:snapToGrid w:val="0"/>
        <w:spacing w:line="400" w:lineRule="exact"/>
        <w:ind w:firstLine="480" w:firstLineChars="200"/>
        <w:rPr>
          <w:rFonts w:ascii="宋体" w:hAnsi="宋体"/>
          <w:sz w:val="24"/>
        </w:rPr>
      </w:pPr>
      <w:r>
        <w:rPr>
          <w:rFonts w:hint="eastAsia" w:ascii="宋体" w:hAnsi="宋体"/>
          <w:sz w:val="24"/>
        </w:rPr>
        <w:t>3.5.8 投标人在投标文件中填报的项目经理和项目总工不允许更换。</w:t>
      </w:r>
    </w:p>
    <w:p>
      <w:pPr>
        <w:adjustRightInd w:val="0"/>
        <w:snapToGrid w:val="0"/>
        <w:spacing w:line="400" w:lineRule="exact"/>
        <w:ind w:firstLine="480" w:firstLineChars="200"/>
        <w:rPr>
          <w:rFonts w:ascii="宋体" w:hAnsi="宋体"/>
          <w:sz w:val="24"/>
        </w:rPr>
      </w:pPr>
      <w:r>
        <w:rPr>
          <w:rFonts w:hint="eastAsia" w:ascii="宋体" w:hAnsi="宋体"/>
          <w:sz w:val="24"/>
        </w:rPr>
        <w:t>3.5.9招标人将进一步核查投标人在投标文件中提供的材料，若在评标期间发现投标人提供了虚假资料，招标人有权对投标人的投标文件作废标处理，并没收其投标担保；若在评标结果公示期间发现作为中标候选人的投标人提供了虚假资料，招标人有权取消其中标资格并没收其投标担保；若在合同实施期间发现投标人提供了虚假资料，招标人有权从工程支付款或履约保证金中扣除不超过10%签约合同价的金额作为违约金。同时招标人将投标人以上弄虚作假行为上报省级交通主管部门，作为不良记录纳入公路建设市场信用信息管理系统。</w:t>
      </w:r>
    </w:p>
    <w:p>
      <w:pPr>
        <w:pStyle w:val="6"/>
        <w:keepNext w:val="0"/>
        <w:keepLines w:val="0"/>
        <w:adjustRightInd w:val="0"/>
        <w:snapToGrid w:val="0"/>
        <w:spacing w:beforeLines="50" w:after="0" w:line="400" w:lineRule="exact"/>
        <w:rPr>
          <w:rFonts w:hint="eastAsia" w:ascii="宋体" w:hAnsi="宋体" w:eastAsia="宋体"/>
          <w:sz w:val="24"/>
          <w:szCs w:val="24"/>
          <w:lang w:eastAsia="zh-CN"/>
        </w:rPr>
      </w:pPr>
      <w:bookmarkStart w:id="94" w:name="_Toc485889026"/>
      <w:bookmarkStart w:id="95" w:name="_Toc486277887"/>
      <w:bookmarkStart w:id="96" w:name="_Toc234382614"/>
      <w:bookmarkStart w:id="97" w:name="_Toc15460"/>
      <w:r>
        <w:rPr>
          <w:rFonts w:hint="eastAsia" w:ascii="宋体" w:hAnsi="宋体"/>
          <w:sz w:val="24"/>
          <w:szCs w:val="24"/>
          <w:lang w:eastAsia="zh-CN"/>
        </w:rPr>
        <w:t>具体审查内容详见评标办法。</w:t>
      </w:r>
    </w:p>
    <w:p>
      <w:pPr>
        <w:pStyle w:val="6"/>
        <w:keepNext w:val="0"/>
        <w:keepLines w:val="0"/>
        <w:adjustRightInd w:val="0"/>
        <w:snapToGrid w:val="0"/>
        <w:spacing w:beforeLines="50" w:after="0" w:line="400" w:lineRule="exact"/>
        <w:rPr>
          <w:rFonts w:ascii="宋体" w:hAnsi="宋体"/>
          <w:sz w:val="24"/>
          <w:szCs w:val="24"/>
        </w:rPr>
      </w:pPr>
      <w:r>
        <w:rPr>
          <w:rFonts w:ascii="宋体" w:hAnsi="宋体"/>
          <w:sz w:val="24"/>
          <w:szCs w:val="24"/>
        </w:rPr>
        <w:t>3.6 备选投标方案</w:t>
      </w:r>
      <w:bookmarkEnd w:id="94"/>
      <w:bookmarkEnd w:id="95"/>
      <w:bookmarkEnd w:id="96"/>
      <w:bookmarkEnd w:id="97"/>
    </w:p>
    <w:p>
      <w:pPr>
        <w:adjustRightInd w:val="0"/>
        <w:snapToGrid w:val="0"/>
        <w:spacing w:line="400" w:lineRule="exact"/>
        <w:ind w:firstLine="480" w:firstLineChars="200"/>
        <w:rPr>
          <w:rFonts w:ascii="宋体" w:hAnsi="宋体"/>
          <w:sz w:val="24"/>
        </w:rPr>
      </w:pPr>
      <w:r>
        <w:rPr>
          <w:rFonts w:ascii="宋体" w:hAnsi="宋体"/>
          <w:sz w:val="24"/>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6"/>
        <w:keepNext w:val="0"/>
        <w:keepLines w:val="0"/>
        <w:adjustRightInd w:val="0"/>
        <w:snapToGrid w:val="0"/>
        <w:spacing w:beforeLines="50" w:after="0" w:line="400" w:lineRule="exact"/>
        <w:rPr>
          <w:rFonts w:ascii="宋体" w:hAnsi="宋体"/>
          <w:sz w:val="24"/>
          <w:szCs w:val="24"/>
        </w:rPr>
      </w:pPr>
      <w:bookmarkStart w:id="98" w:name="_Toc485889027"/>
      <w:bookmarkStart w:id="99" w:name="_Toc30194"/>
      <w:bookmarkStart w:id="100" w:name="_Toc234382615"/>
      <w:bookmarkStart w:id="101" w:name="_Toc486277888"/>
      <w:r>
        <w:rPr>
          <w:rFonts w:ascii="宋体" w:hAnsi="宋体"/>
          <w:sz w:val="24"/>
          <w:szCs w:val="24"/>
        </w:rPr>
        <w:t>3.7 投标文件的编制</w:t>
      </w:r>
      <w:bookmarkEnd w:id="98"/>
      <w:bookmarkEnd w:id="99"/>
      <w:bookmarkEnd w:id="100"/>
      <w:bookmarkEnd w:id="101"/>
    </w:p>
    <w:p>
      <w:pPr>
        <w:adjustRightInd w:val="0"/>
        <w:snapToGrid w:val="0"/>
        <w:spacing w:line="400" w:lineRule="exact"/>
        <w:ind w:firstLine="480" w:firstLineChars="200"/>
        <w:rPr>
          <w:rFonts w:ascii="宋体" w:hAnsi="宋体"/>
          <w:sz w:val="24"/>
        </w:rPr>
      </w:pPr>
      <w:bookmarkStart w:id="102" w:name="_Toc486277889"/>
      <w:bookmarkStart w:id="103" w:name="_Toc485889028"/>
      <w:bookmarkStart w:id="104" w:name="_Toc3142"/>
      <w:bookmarkStart w:id="105" w:name="_Toc234382616"/>
      <w:r>
        <w:rPr>
          <w:rFonts w:hint="eastAsia" w:ascii="宋体" w:hAnsi="宋体"/>
          <w:sz w:val="24"/>
        </w:rPr>
        <w:t>3.7.1投标文件应按第八章“投标文件格式”进行编写，如有必要，可以增加附页，作为投标文件的组成部分。其中，投标函附录在满足招标文件实质性要求的基础上，可以提出比招标文件要求更有利于招标人的承诺。投标人编制的投标文件应当满足招标文件规定的基本格式要求。</w:t>
      </w:r>
    </w:p>
    <w:p>
      <w:pPr>
        <w:adjustRightInd w:val="0"/>
        <w:snapToGrid w:val="0"/>
        <w:spacing w:line="400" w:lineRule="exact"/>
        <w:ind w:firstLine="480" w:firstLineChars="200"/>
        <w:rPr>
          <w:rFonts w:ascii="宋体" w:hAnsi="宋体"/>
          <w:sz w:val="24"/>
        </w:rPr>
      </w:pPr>
      <w:r>
        <w:rPr>
          <w:rFonts w:hint="eastAsia" w:ascii="宋体" w:hAnsi="宋体"/>
          <w:sz w:val="24"/>
        </w:rPr>
        <w:t>3.7.2 投标文件应当对招标文件有关工期、投标有效期、质量要求、技术标准和要求、招标范围等实质性内容作出响应。</w:t>
      </w:r>
    </w:p>
    <w:p>
      <w:pPr>
        <w:pStyle w:val="6"/>
        <w:adjustRightInd w:val="0"/>
        <w:snapToGrid w:val="0"/>
        <w:spacing w:beforeLines="50" w:line="280" w:lineRule="exact"/>
        <w:rPr>
          <w:rFonts w:ascii="宋体" w:hAnsi="宋体"/>
          <w:b w:val="0"/>
          <w:bCs w:val="0"/>
          <w:kern w:val="2"/>
          <w:sz w:val="24"/>
          <w:szCs w:val="24"/>
        </w:rPr>
      </w:pPr>
      <w:r>
        <w:rPr>
          <w:rFonts w:hint="eastAsia" w:ascii="宋体" w:hAnsi="宋体"/>
          <w:b w:val="0"/>
          <w:bCs w:val="0"/>
          <w:kern w:val="2"/>
          <w:sz w:val="24"/>
          <w:szCs w:val="24"/>
        </w:rPr>
        <w:t>3.7.4 投标人登录许昌公共资源交易系统下载“许昌投标文件制作系统SEARUN V1.1”，按招标文件要求制作电子投标文件。</w:t>
      </w:r>
    </w:p>
    <w:p>
      <w:pPr>
        <w:pStyle w:val="6"/>
        <w:adjustRightInd w:val="0"/>
        <w:snapToGrid w:val="0"/>
        <w:spacing w:beforeLines="50" w:line="280" w:lineRule="exact"/>
        <w:rPr>
          <w:rFonts w:ascii="宋体" w:hAnsi="宋体"/>
          <w:sz w:val="24"/>
          <w:szCs w:val="24"/>
        </w:rPr>
      </w:pPr>
      <w:r>
        <w:rPr>
          <w:rFonts w:hint="eastAsia" w:ascii="宋体" w:hAnsi="宋体"/>
          <w:b w:val="0"/>
          <w:bCs w:val="0"/>
          <w:kern w:val="2"/>
          <w:sz w:val="24"/>
          <w:szCs w:val="24"/>
        </w:rPr>
        <w:t>3.7.5 使用电子介质存储的投标文件第一信封、第二信封各2份（详见投标人须知前附表）。</w:t>
      </w:r>
      <w:r>
        <w:rPr>
          <w:rFonts w:ascii="宋体" w:hAnsi="宋体"/>
          <w:sz w:val="24"/>
          <w:szCs w:val="24"/>
        </w:rPr>
        <w:t>4. 投标</w:t>
      </w:r>
      <w:bookmarkEnd w:id="102"/>
      <w:bookmarkEnd w:id="103"/>
      <w:bookmarkEnd w:id="104"/>
      <w:bookmarkEnd w:id="105"/>
    </w:p>
    <w:p>
      <w:pPr>
        <w:adjustRightInd w:val="0"/>
        <w:snapToGrid w:val="0"/>
        <w:spacing w:line="400" w:lineRule="exact"/>
        <w:rPr>
          <w:rFonts w:ascii="宋体" w:hAnsi="宋体"/>
          <w:b/>
          <w:bCs/>
          <w:sz w:val="24"/>
        </w:rPr>
      </w:pPr>
      <w:bookmarkStart w:id="106" w:name="_Toc234382617"/>
      <w:bookmarkStart w:id="107" w:name="_Toc26813"/>
      <w:bookmarkStart w:id="108" w:name="_Toc486277890"/>
      <w:bookmarkStart w:id="109" w:name="_Toc485889029"/>
      <w:r>
        <w:rPr>
          <w:rFonts w:hint="eastAsia" w:ascii="宋体" w:hAnsi="宋体"/>
          <w:b/>
          <w:bCs/>
          <w:sz w:val="24"/>
        </w:rPr>
        <w:t>4.1 投标文件的密封和标记</w:t>
      </w:r>
      <w:bookmarkEnd w:id="106"/>
      <w:bookmarkEnd w:id="107"/>
      <w:bookmarkEnd w:id="108"/>
      <w:bookmarkEnd w:id="109"/>
      <w:bookmarkStart w:id="110" w:name="_Toc486277891"/>
      <w:bookmarkStart w:id="111" w:name="_Toc31665"/>
      <w:bookmarkStart w:id="112" w:name="_Toc234382618"/>
      <w:bookmarkStart w:id="113" w:name="_Toc485889030"/>
      <w:r>
        <w:rPr>
          <w:rFonts w:hint="eastAsia" w:ascii="宋体" w:hAnsi="宋体"/>
          <w:b/>
          <w:bCs/>
          <w:sz w:val="24"/>
        </w:rPr>
        <w:t>（具体要求详见投标人须知前附表）</w:t>
      </w:r>
    </w:p>
    <w:p>
      <w:pPr>
        <w:adjustRightInd w:val="0"/>
        <w:snapToGrid w:val="0"/>
        <w:spacing w:line="400" w:lineRule="exact"/>
        <w:rPr>
          <w:rFonts w:ascii="宋体" w:hAnsi="宋体"/>
          <w:b/>
          <w:bCs/>
          <w:sz w:val="24"/>
        </w:rPr>
      </w:pPr>
      <w:r>
        <w:rPr>
          <w:rFonts w:hint="eastAsia" w:ascii="宋体" w:hAnsi="宋体"/>
          <w:b/>
          <w:bCs/>
          <w:sz w:val="24"/>
        </w:rPr>
        <w:t>4.2 投标文件的递交</w:t>
      </w:r>
      <w:bookmarkEnd w:id="110"/>
      <w:bookmarkEnd w:id="111"/>
      <w:bookmarkEnd w:id="112"/>
      <w:bookmarkEnd w:id="113"/>
    </w:p>
    <w:p>
      <w:pPr>
        <w:adjustRightInd w:val="0"/>
        <w:snapToGrid w:val="0"/>
        <w:spacing w:line="400" w:lineRule="exact"/>
        <w:ind w:firstLine="480" w:firstLineChars="200"/>
        <w:rPr>
          <w:rFonts w:ascii="宋体" w:hAnsi="宋体"/>
          <w:sz w:val="24"/>
        </w:rPr>
      </w:pPr>
      <w:bookmarkStart w:id="114" w:name="_Toc234382619"/>
      <w:bookmarkStart w:id="115" w:name="_Toc485889031"/>
      <w:bookmarkStart w:id="116" w:name="_Toc486277892"/>
      <w:bookmarkStart w:id="117" w:name="_Toc30135"/>
      <w:r>
        <w:rPr>
          <w:rFonts w:hint="eastAsia" w:ascii="宋体" w:hAnsi="宋体"/>
          <w:sz w:val="24"/>
        </w:rPr>
        <w:t>4.2.1、本项目为全流程电子化交易项目，</w:t>
      </w:r>
      <w:r>
        <w:rPr>
          <w:rFonts w:hint="eastAsia" w:ascii="宋体" w:hAnsi="宋体"/>
          <w:sz w:val="24"/>
          <w:lang w:eastAsia="zh-CN"/>
        </w:rPr>
        <w:t>需</w:t>
      </w:r>
      <w:r>
        <w:rPr>
          <w:rFonts w:hint="eastAsia" w:cs="宋体" w:asciiTheme="minorEastAsia" w:hAnsiTheme="minorEastAsia" w:eastAsiaTheme="minorEastAsia"/>
          <w:sz w:val="24"/>
        </w:rPr>
        <w:t>提交第一信封、第二信封各2份电子介质</w:t>
      </w:r>
      <w:r>
        <w:rPr>
          <w:rFonts w:hint="eastAsia" w:cs="宋体" w:asciiTheme="minorEastAsia" w:hAnsiTheme="minorEastAsia" w:eastAsiaTheme="minorEastAsia"/>
          <w:sz w:val="24"/>
          <w:lang w:val="en-US" w:eastAsia="zh-CN"/>
        </w:rPr>
        <w:t>U盘</w:t>
      </w:r>
      <w:r>
        <w:rPr>
          <w:rFonts w:hint="eastAsia" w:cs="宋体" w:asciiTheme="minorEastAsia" w:hAnsiTheme="minorEastAsia" w:eastAsiaTheme="minorEastAsia"/>
          <w:sz w:val="24"/>
        </w:rPr>
        <w:t>存储</w:t>
      </w:r>
      <w:r>
        <w:rPr>
          <w:rFonts w:hint="eastAsia" w:cs="宋体" w:asciiTheme="minorEastAsia" w:hAnsiTheme="minorEastAsia" w:eastAsiaTheme="minorEastAsia"/>
          <w:sz w:val="24"/>
          <w:lang w:eastAsia="zh-CN"/>
        </w:rPr>
        <w:t>有</w:t>
      </w:r>
      <w:r>
        <w:rPr>
          <w:rFonts w:hint="eastAsia" w:cs="宋体" w:asciiTheme="minorEastAsia" w:hAnsiTheme="minorEastAsia" w:eastAsiaTheme="minorEastAsia"/>
          <w:sz w:val="24"/>
        </w:rPr>
        <w:t>名称为“备份”的文件</w:t>
      </w:r>
      <w:r>
        <w:rPr>
          <w:rFonts w:hint="eastAsia" w:ascii="宋体" w:hAnsi="宋体"/>
          <w:sz w:val="24"/>
        </w:rPr>
        <w:t>。</w:t>
      </w:r>
    </w:p>
    <w:p>
      <w:pPr>
        <w:adjustRightInd w:val="0"/>
        <w:snapToGrid w:val="0"/>
        <w:spacing w:line="400" w:lineRule="exact"/>
        <w:ind w:firstLine="480" w:firstLineChars="200"/>
        <w:rPr>
          <w:rFonts w:ascii="宋体" w:hAnsi="宋体"/>
          <w:sz w:val="24"/>
        </w:rPr>
      </w:pPr>
      <w:r>
        <w:rPr>
          <w:rFonts w:hint="eastAsia" w:ascii="宋体" w:hAnsi="宋体"/>
          <w:sz w:val="24"/>
        </w:rPr>
        <w:t>4.2.2、投标文件提交截止时间及开标时间：见投标人须知前附表。</w:t>
      </w:r>
    </w:p>
    <w:p>
      <w:pPr>
        <w:adjustRightInd w:val="0"/>
        <w:snapToGrid w:val="0"/>
        <w:spacing w:line="400" w:lineRule="exact"/>
        <w:ind w:firstLine="480" w:firstLineChars="200"/>
        <w:rPr>
          <w:rFonts w:ascii="宋体" w:hAnsi="宋体"/>
          <w:sz w:val="24"/>
        </w:rPr>
      </w:pPr>
      <w:r>
        <w:rPr>
          <w:rFonts w:hint="eastAsia" w:ascii="宋体" w:hAnsi="宋体"/>
          <w:sz w:val="24"/>
        </w:rPr>
        <w:t>4.2.3、电子投标文件的提交：电子投标文件应在投标文件提交截止时间（开标时间）之前成功提交至《全国公共资源交易平台(河南省▪许昌市)》公共资源交易系统，同时</w:t>
      </w:r>
      <w:r>
        <w:rPr>
          <w:rFonts w:hint="eastAsia" w:cs="宋体" w:asciiTheme="minorEastAsia" w:hAnsiTheme="minorEastAsia" w:eastAsiaTheme="minorEastAsia"/>
          <w:sz w:val="24"/>
        </w:rPr>
        <w:t>提交第一信封、第二信封各2份电子介质</w:t>
      </w:r>
      <w:r>
        <w:rPr>
          <w:rFonts w:hint="eastAsia" w:cs="宋体" w:asciiTheme="minorEastAsia" w:hAnsiTheme="minorEastAsia" w:eastAsiaTheme="minorEastAsia"/>
          <w:sz w:val="24"/>
          <w:lang w:val="en-US" w:eastAsia="zh-CN"/>
        </w:rPr>
        <w:t>U盘</w:t>
      </w:r>
      <w:r>
        <w:rPr>
          <w:rFonts w:hint="eastAsia" w:cs="宋体" w:asciiTheme="minorEastAsia" w:hAnsiTheme="minorEastAsia" w:eastAsiaTheme="minorEastAsia"/>
          <w:sz w:val="24"/>
        </w:rPr>
        <w:t>存储</w:t>
      </w:r>
      <w:r>
        <w:rPr>
          <w:rFonts w:hint="eastAsia" w:cs="宋体" w:asciiTheme="minorEastAsia" w:hAnsiTheme="minorEastAsia" w:eastAsiaTheme="minorEastAsia"/>
          <w:sz w:val="24"/>
          <w:lang w:eastAsia="zh-CN"/>
        </w:rPr>
        <w:t>有</w:t>
      </w:r>
      <w:r>
        <w:rPr>
          <w:rFonts w:hint="eastAsia" w:cs="宋体" w:asciiTheme="minorEastAsia" w:hAnsiTheme="minorEastAsia" w:eastAsiaTheme="minorEastAsia"/>
          <w:sz w:val="24"/>
        </w:rPr>
        <w:t>名称为“备份”的文件</w:t>
      </w:r>
      <w:r>
        <w:rPr>
          <w:rFonts w:hint="eastAsia" w:ascii="宋体" w:hAnsi="宋体"/>
          <w:sz w:val="24"/>
        </w:rPr>
        <w:t>。</w:t>
      </w:r>
    </w:p>
    <w:p>
      <w:pPr>
        <w:adjustRightInd w:val="0"/>
        <w:snapToGrid w:val="0"/>
        <w:spacing w:line="400" w:lineRule="exact"/>
        <w:ind w:firstLine="480" w:firstLineChars="200"/>
        <w:rPr>
          <w:rFonts w:ascii="宋体" w:hAnsi="宋体"/>
          <w:sz w:val="24"/>
        </w:rPr>
      </w:pPr>
      <w:r>
        <w:rPr>
          <w:rFonts w:hint="eastAsia" w:ascii="宋体" w:hAnsi="宋体"/>
          <w:sz w:val="24"/>
        </w:rPr>
        <w:t>4.2.4、逾期送达的或者未送达指定地点的电子介质存储的投标文件，招标人不予受理。</w:t>
      </w:r>
    </w:p>
    <w:p>
      <w:pPr>
        <w:pStyle w:val="6"/>
        <w:keepNext w:val="0"/>
        <w:keepLines w:val="0"/>
        <w:adjustRightInd w:val="0"/>
        <w:snapToGrid w:val="0"/>
        <w:spacing w:beforeLines="50" w:after="0" w:line="400" w:lineRule="exact"/>
        <w:rPr>
          <w:rFonts w:ascii="宋体" w:hAnsi="宋体"/>
          <w:sz w:val="24"/>
          <w:szCs w:val="24"/>
        </w:rPr>
      </w:pPr>
      <w:r>
        <w:rPr>
          <w:rFonts w:ascii="宋体" w:hAnsi="宋体"/>
          <w:sz w:val="24"/>
          <w:szCs w:val="24"/>
        </w:rPr>
        <w:t>4.3 投标文件的修改与撤回</w:t>
      </w:r>
      <w:bookmarkEnd w:id="114"/>
      <w:bookmarkEnd w:id="115"/>
      <w:bookmarkEnd w:id="116"/>
      <w:bookmarkEnd w:id="117"/>
    </w:p>
    <w:p>
      <w:pPr>
        <w:adjustRightInd w:val="0"/>
        <w:snapToGrid w:val="0"/>
        <w:spacing w:line="400" w:lineRule="exact"/>
        <w:ind w:firstLine="480" w:firstLineChars="200"/>
        <w:rPr>
          <w:rFonts w:ascii="宋体" w:hAnsi="宋体"/>
          <w:sz w:val="24"/>
        </w:rPr>
      </w:pPr>
      <w:bookmarkStart w:id="118" w:name="_Toc486277893"/>
      <w:bookmarkStart w:id="119" w:name="_Toc234382620"/>
      <w:bookmarkStart w:id="120" w:name="_Toc11058"/>
      <w:bookmarkStart w:id="121" w:name="_Toc485889032"/>
      <w:r>
        <w:rPr>
          <w:rFonts w:hint="eastAsia" w:ascii="宋体" w:hAnsi="宋体"/>
          <w:sz w:val="24"/>
        </w:rPr>
        <w:t>4.3.1 在本章第4.2.2项规定的投标截止时间前，投标人可以修改或撤回已递交的投标文件，但应以书面形式通知招标人。</w:t>
      </w:r>
    </w:p>
    <w:p>
      <w:pPr>
        <w:adjustRightInd w:val="0"/>
        <w:snapToGrid w:val="0"/>
        <w:spacing w:line="400" w:lineRule="exact"/>
        <w:ind w:firstLine="480" w:firstLineChars="200"/>
        <w:rPr>
          <w:rFonts w:ascii="宋体" w:hAnsi="宋体"/>
          <w:sz w:val="24"/>
        </w:rPr>
      </w:pPr>
      <w:r>
        <w:rPr>
          <w:rFonts w:hint="eastAsia" w:ascii="宋体" w:hAnsi="宋体"/>
          <w:sz w:val="24"/>
        </w:rPr>
        <w:t>4.3.2 投标人修改或撤回已递交投标文件的书面通知应按照本章投标人须知前附表第3.7.3项的要求签字或盖章。招标人收到书面通知后，向投标人出具签收凭证。</w:t>
      </w:r>
    </w:p>
    <w:p>
      <w:pPr>
        <w:adjustRightInd w:val="0"/>
        <w:snapToGrid w:val="0"/>
        <w:spacing w:line="400" w:lineRule="exact"/>
        <w:ind w:firstLine="480" w:firstLineChars="200"/>
        <w:rPr>
          <w:rFonts w:ascii="宋体" w:hAnsi="宋体"/>
          <w:sz w:val="24"/>
        </w:rPr>
      </w:pPr>
      <w:r>
        <w:rPr>
          <w:rFonts w:hint="eastAsia" w:ascii="宋体" w:hAnsi="宋体"/>
          <w:sz w:val="24"/>
        </w:rPr>
        <w:t>4.3.3 修改的内容为投标文件的组成部分。修改的投标文件应按照本章第3条、第4条规定进行编制、密封、标记和递交，并标明“修改”字样。</w:t>
      </w:r>
    </w:p>
    <w:p>
      <w:pPr>
        <w:adjustRightInd w:val="0"/>
        <w:snapToGrid w:val="0"/>
        <w:spacing w:line="400" w:lineRule="exact"/>
        <w:ind w:firstLine="480" w:firstLineChars="200"/>
        <w:rPr>
          <w:rFonts w:ascii="宋体" w:hAnsi="宋体"/>
          <w:sz w:val="24"/>
        </w:rPr>
      </w:pPr>
      <w:r>
        <w:rPr>
          <w:rFonts w:hint="eastAsia" w:ascii="宋体" w:hAnsi="宋体"/>
          <w:sz w:val="24"/>
        </w:rPr>
        <w:t>4.3.4 投标人应当在投标截止时间前完成电子投标文件的提交，可以补充、修改或撤回。投标截止时间前未完成电子投标文件提交、取得“投标文件提交回执单”的，视为撤回投标文件。</w:t>
      </w:r>
    </w:p>
    <w:p>
      <w:pPr>
        <w:pStyle w:val="6"/>
        <w:keepNext w:val="0"/>
        <w:keepLines w:val="0"/>
        <w:adjustRightInd w:val="0"/>
        <w:snapToGrid w:val="0"/>
        <w:spacing w:beforeLines="50" w:after="0" w:line="400" w:lineRule="exact"/>
        <w:rPr>
          <w:rFonts w:ascii="宋体" w:hAnsi="宋体"/>
          <w:sz w:val="24"/>
          <w:szCs w:val="24"/>
        </w:rPr>
      </w:pPr>
      <w:r>
        <w:rPr>
          <w:rFonts w:ascii="宋体" w:hAnsi="宋体"/>
          <w:sz w:val="24"/>
          <w:szCs w:val="24"/>
        </w:rPr>
        <w:t>5. 开标</w:t>
      </w:r>
      <w:bookmarkEnd w:id="118"/>
      <w:bookmarkEnd w:id="119"/>
      <w:bookmarkEnd w:id="120"/>
      <w:bookmarkEnd w:id="121"/>
    </w:p>
    <w:p>
      <w:pPr>
        <w:pStyle w:val="6"/>
        <w:keepNext w:val="0"/>
        <w:keepLines w:val="0"/>
        <w:adjustRightInd w:val="0"/>
        <w:snapToGrid w:val="0"/>
        <w:spacing w:beforeLines="50" w:after="0" w:line="400" w:lineRule="exact"/>
        <w:rPr>
          <w:rFonts w:ascii="宋体" w:hAnsi="宋体"/>
          <w:sz w:val="24"/>
          <w:szCs w:val="24"/>
        </w:rPr>
      </w:pPr>
      <w:bookmarkStart w:id="122" w:name="_Toc11150"/>
      <w:bookmarkStart w:id="123" w:name="_Toc234382622"/>
      <w:bookmarkStart w:id="124" w:name="_Toc486277894"/>
      <w:bookmarkStart w:id="125" w:name="_Toc485889033"/>
      <w:r>
        <w:rPr>
          <w:rFonts w:ascii="宋体" w:hAnsi="宋体"/>
          <w:sz w:val="24"/>
          <w:szCs w:val="24"/>
        </w:rPr>
        <w:t>5.1 开标时间和地点</w:t>
      </w:r>
      <w:bookmarkEnd w:id="122"/>
      <w:bookmarkEnd w:id="123"/>
      <w:bookmarkEnd w:id="124"/>
      <w:bookmarkEnd w:id="125"/>
    </w:p>
    <w:p>
      <w:pPr>
        <w:adjustRightInd w:val="0"/>
        <w:snapToGrid w:val="0"/>
        <w:spacing w:line="400" w:lineRule="exact"/>
        <w:ind w:firstLine="480" w:firstLineChars="200"/>
        <w:rPr>
          <w:rFonts w:ascii="宋体" w:hAnsi="宋体"/>
          <w:sz w:val="24"/>
        </w:rPr>
      </w:pPr>
      <w:r>
        <w:rPr>
          <w:rFonts w:ascii="宋体" w:hAnsi="宋体"/>
          <w:sz w:val="24"/>
        </w:rPr>
        <w:t>招标人在投标人须知前附表第 2.2.2 项规定的投标截止时间（开标时间）和投标人须知</w:t>
      </w:r>
      <w:r>
        <w:rPr>
          <w:rFonts w:hint="eastAsia" w:asciiTheme="minorEastAsia" w:hAnsiTheme="minorEastAsia" w:eastAsiaTheme="minorEastAsia" w:cstheme="minorEastAsia"/>
          <w:sz w:val="24"/>
        </w:rPr>
        <w:t>前附表</w:t>
      </w:r>
      <w:r>
        <w:rPr>
          <w:rFonts w:ascii="宋体" w:hAnsi="宋体"/>
          <w:sz w:val="24"/>
        </w:rPr>
        <w:t>规定的地点</w:t>
      </w:r>
      <w:r>
        <w:rPr>
          <w:rFonts w:hint="eastAsia" w:ascii="宋体" w:hAnsi="宋体"/>
          <w:sz w:val="24"/>
        </w:rPr>
        <w:t>对收到的投标文件第一个信封（商务及技术文件）</w:t>
      </w:r>
      <w:r>
        <w:rPr>
          <w:rFonts w:ascii="宋体" w:hAnsi="宋体"/>
          <w:sz w:val="24"/>
        </w:rPr>
        <w:t>公开开标，并邀请所有投标人的法定代表人或其委托代理人准时参加。</w:t>
      </w:r>
    </w:p>
    <w:p>
      <w:pPr>
        <w:adjustRightInd w:val="0"/>
        <w:snapToGrid w:val="0"/>
        <w:spacing w:line="400" w:lineRule="exact"/>
        <w:ind w:firstLine="480" w:firstLineChars="200"/>
        <w:rPr>
          <w:rFonts w:ascii="宋体" w:hAnsi="宋体"/>
          <w:sz w:val="24"/>
        </w:rPr>
      </w:pPr>
      <w:r>
        <w:rPr>
          <w:rFonts w:hint="eastAsia" w:ascii="宋体" w:hAnsi="宋体"/>
          <w:sz w:val="24"/>
        </w:rPr>
        <w:t>招标人在投标人须知前附表规定的时间和地点对投标文件第二个信封（投标报价和工程量清单）进行开标，并邀请所有投标人的法定代表人或其委托代理人准时参加，投标人若未派法定代表人或委托代理人出席开标活动，视为该投标人默认开标结果。</w:t>
      </w:r>
    </w:p>
    <w:p>
      <w:pPr>
        <w:pStyle w:val="6"/>
        <w:keepNext w:val="0"/>
        <w:keepLines w:val="0"/>
        <w:adjustRightInd w:val="0"/>
        <w:snapToGrid w:val="0"/>
        <w:spacing w:beforeLines="50" w:after="0" w:line="400" w:lineRule="exact"/>
        <w:rPr>
          <w:rFonts w:ascii="宋体" w:hAnsi="宋体"/>
          <w:sz w:val="24"/>
          <w:szCs w:val="24"/>
        </w:rPr>
      </w:pPr>
      <w:bookmarkStart w:id="126" w:name="_Toc486277895"/>
      <w:bookmarkStart w:id="127" w:name="_Toc485889034"/>
      <w:bookmarkStart w:id="128" w:name="_Toc26054"/>
      <w:bookmarkStart w:id="129" w:name="_Toc234382624"/>
      <w:r>
        <w:rPr>
          <w:rFonts w:ascii="宋体" w:hAnsi="宋体"/>
          <w:sz w:val="24"/>
          <w:szCs w:val="24"/>
        </w:rPr>
        <w:t>5.2 开标程序</w:t>
      </w:r>
      <w:bookmarkEnd w:id="126"/>
      <w:bookmarkEnd w:id="127"/>
      <w:bookmarkEnd w:id="128"/>
      <w:bookmarkEnd w:id="129"/>
    </w:p>
    <w:p>
      <w:pPr>
        <w:adjustRightInd w:val="0"/>
        <w:snapToGrid w:val="0"/>
        <w:spacing w:line="400" w:lineRule="exact"/>
        <w:ind w:firstLine="480" w:firstLineChars="200"/>
        <w:rPr>
          <w:rFonts w:ascii="宋体" w:hAnsi="宋体"/>
          <w:sz w:val="24"/>
        </w:rPr>
      </w:pPr>
      <w:bookmarkStart w:id="130" w:name="_Toc486277896"/>
      <w:bookmarkStart w:id="131" w:name="_Toc485889035"/>
      <w:bookmarkStart w:id="132" w:name="_Toc27685"/>
      <w:bookmarkStart w:id="133" w:name="_Toc234382625"/>
      <w:r>
        <w:rPr>
          <w:rFonts w:hint="eastAsia" w:ascii="宋体" w:hAnsi="宋体"/>
          <w:sz w:val="24"/>
        </w:rPr>
        <w:t>5.2.1主持人按下列程序进行开标对投标文件第一个信封（商务及技术文件）进行开标：</w:t>
      </w:r>
    </w:p>
    <w:p>
      <w:pPr>
        <w:adjustRightInd w:val="0"/>
        <w:snapToGrid w:val="0"/>
        <w:spacing w:line="400" w:lineRule="exact"/>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）宣布投标截止时间，并公布招标人、代理机构、监督部门名称；</w:t>
      </w:r>
    </w:p>
    <w:p>
      <w:pPr>
        <w:adjustRightInd w:val="0"/>
        <w:snapToGrid w:val="0"/>
        <w:spacing w:line="400" w:lineRule="exact"/>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）宣布开标纪律；</w:t>
      </w:r>
    </w:p>
    <w:p>
      <w:pPr>
        <w:adjustRightInd w:val="0"/>
        <w:snapToGrid w:val="0"/>
        <w:spacing w:line="400" w:lineRule="exact"/>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）公布在投标截止时间前递交投标文件的投标人名称和投标保证金缴纳情况，检查各投标文件的密封情况。</w:t>
      </w:r>
    </w:p>
    <w:p>
      <w:pPr>
        <w:adjustRightInd w:val="0"/>
        <w:snapToGrid w:val="0"/>
        <w:spacing w:line="400" w:lineRule="exact"/>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）电子投标文件解密</w:t>
      </w:r>
    </w:p>
    <w:p>
      <w:pPr>
        <w:adjustRightInd w:val="0"/>
        <w:snapToGrid w:val="0"/>
        <w:spacing w:line="400" w:lineRule="exact"/>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）宣布唱标顺序，按已定顺序唱标，唱标内容为：投标人名称、质量目标、工期及其他内容，并记录；</w:t>
      </w:r>
    </w:p>
    <w:p>
      <w:pPr>
        <w:adjustRightInd w:val="0"/>
        <w:snapToGrid w:val="0"/>
        <w:spacing w:line="400" w:lineRule="exact"/>
        <w:ind w:firstLine="480" w:firstLineChars="200"/>
        <w:rPr>
          <w:rFonts w:ascii="宋体" w:hAnsi="宋体"/>
          <w:sz w:val="24"/>
        </w:rPr>
      </w:pPr>
      <w:r>
        <w:rPr>
          <w:rFonts w:hint="eastAsia" w:ascii="宋体" w:hAnsi="宋体"/>
          <w:sz w:val="24"/>
        </w:rPr>
        <w:t>（6）投标人代表、招标人代表、监标人、记录人等有关人员在开标记录上签字确认；</w:t>
      </w:r>
    </w:p>
    <w:p>
      <w:pPr>
        <w:adjustRightInd w:val="0"/>
        <w:snapToGrid w:val="0"/>
        <w:spacing w:line="400" w:lineRule="exact"/>
        <w:ind w:firstLine="480" w:firstLineChars="200"/>
        <w:rPr>
          <w:rFonts w:ascii="宋体" w:hAnsi="宋体"/>
          <w:sz w:val="24"/>
        </w:rPr>
      </w:pPr>
      <w:r>
        <w:rPr>
          <w:rFonts w:hint="eastAsia" w:ascii="宋体" w:hAnsi="宋体"/>
          <w:sz w:val="24"/>
        </w:rPr>
        <w:t>（7）开标结束。</w:t>
      </w:r>
    </w:p>
    <w:p>
      <w:pPr>
        <w:adjustRightInd w:val="0"/>
        <w:snapToGrid w:val="0"/>
        <w:spacing w:line="400" w:lineRule="exact"/>
        <w:ind w:firstLine="480" w:firstLineChars="200"/>
        <w:rPr>
          <w:rFonts w:ascii="宋体" w:hAnsi="宋体"/>
          <w:sz w:val="24"/>
        </w:rPr>
      </w:pPr>
      <w:r>
        <w:rPr>
          <w:rFonts w:hint="eastAsia" w:ascii="宋体" w:hAnsi="宋体"/>
          <w:sz w:val="24"/>
        </w:rPr>
        <w:t>若宣读的内容与投标文件不符时，投标人有权在开标现场提出异议，经监标人当场核查确认之后，可重新宣读其投标文件。若投标人现场未提出异议，则认为投标人已确认招标人宣读的内容。</w:t>
      </w:r>
    </w:p>
    <w:p>
      <w:pPr>
        <w:adjustRightInd w:val="0"/>
        <w:snapToGrid w:val="0"/>
        <w:spacing w:line="400" w:lineRule="exact"/>
        <w:ind w:firstLine="480" w:firstLineChars="200"/>
        <w:rPr>
          <w:rFonts w:ascii="宋体" w:hAnsi="宋体"/>
          <w:sz w:val="24"/>
        </w:rPr>
      </w:pPr>
      <w:r>
        <w:rPr>
          <w:rFonts w:ascii="宋体" w:hAnsi="宋体"/>
          <w:sz w:val="24"/>
        </w:rPr>
        <w:t>5.2.</w:t>
      </w:r>
      <w:r>
        <w:rPr>
          <w:rFonts w:hint="eastAsia" w:ascii="宋体" w:hAnsi="宋体"/>
          <w:sz w:val="24"/>
        </w:rPr>
        <w:t>2招标人将按照本章第</w:t>
      </w:r>
      <w:r>
        <w:rPr>
          <w:rFonts w:ascii="宋体" w:hAnsi="宋体"/>
          <w:sz w:val="24"/>
        </w:rPr>
        <w:t>5.1</w:t>
      </w:r>
      <w:r>
        <w:rPr>
          <w:rFonts w:hint="eastAsia" w:ascii="宋体" w:hAnsi="宋体"/>
          <w:sz w:val="24"/>
        </w:rPr>
        <w:t>款规定的时间和地点对投标文件第二个信封（投标报价和工程量清单）进行开标。主持人按下列程序进行开标：</w:t>
      </w:r>
    </w:p>
    <w:p>
      <w:pPr>
        <w:adjustRightInd w:val="0"/>
        <w:snapToGrid w:val="0"/>
        <w:spacing w:line="400" w:lineRule="exact"/>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）宣布招标人、代理机构、监督部门名称；</w:t>
      </w:r>
    </w:p>
    <w:p>
      <w:pPr>
        <w:adjustRightInd w:val="0"/>
        <w:snapToGrid w:val="0"/>
        <w:spacing w:line="400" w:lineRule="exact"/>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）宣布开标纪律；</w:t>
      </w:r>
    </w:p>
    <w:p>
      <w:pPr>
        <w:adjustRightInd w:val="0"/>
        <w:snapToGrid w:val="0"/>
        <w:spacing w:line="400" w:lineRule="exact"/>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）检查各投标文件的密封情况。</w:t>
      </w:r>
    </w:p>
    <w:p>
      <w:pPr>
        <w:adjustRightInd w:val="0"/>
        <w:snapToGrid w:val="0"/>
        <w:spacing w:line="400" w:lineRule="exact"/>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）电子投标文件解密</w:t>
      </w:r>
    </w:p>
    <w:p>
      <w:pPr>
        <w:adjustRightInd w:val="0"/>
        <w:snapToGrid w:val="0"/>
        <w:spacing w:line="400" w:lineRule="exact"/>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）宣布唱标顺序，按已定顺序唱标，唱标内容为：投标人名称、投标报价，并记录；</w:t>
      </w:r>
    </w:p>
    <w:p>
      <w:pPr>
        <w:adjustRightInd w:val="0"/>
        <w:snapToGrid w:val="0"/>
        <w:spacing w:line="400" w:lineRule="exact"/>
        <w:ind w:firstLine="480" w:firstLineChars="200"/>
        <w:rPr>
          <w:rFonts w:ascii="宋体" w:hAnsi="宋体"/>
          <w:sz w:val="24"/>
        </w:rPr>
      </w:pPr>
      <w:r>
        <w:rPr>
          <w:rFonts w:hint="eastAsia" w:ascii="宋体" w:hAnsi="宋体"/>
          <w:sz w:val="24"/>
        </w:rPr>
        <w:t>（6）投标人代表、招标人代表、监标人、记录人等有关人员在开标记录上签字确认；</w:t>
      </w:r>
    </w:p>
    <w:p>
      <w:pPr>
        <w:adjustRightInd w:val="0"/>
        <w:snapToGrid w:val="0"/>
        <w:spacing w:line="400" w:lineRule="exact"/>
        <w:ind w:firstLine="480" w:firstLineChars="200"/>
        <w:rPr>
          <w:rFonts w:ascii="宋体" w:hAnsi="宋体"/>
          <w:sz w:val="24"/>
        </w:rPr>
      </w:pPr>
      <w:r>
        <w:rPr>
          <w:rFonts w:hint="eastAsia" w:ascii="宋体" w:hAnsi="宋体"/>
          <w:sz w:val="24"/>
        </w:rPr>
        <w:t>（7）开标结束。</w:t>
      </w:r>
    </w:p>
    <w:p>
      <w:pPr>
        <w:adjustRightInd w:val="0"/>
        <w:snapToGrid w:val="0"/>
        <w:spacing w:line="400" w:lineRule="exact"/>
        <w:ind w:firstLine="480" w:firstLineChars="200"/>
        <w:rPr>
          <w:rFonts w:ascii="宋体" w:hAnsi="宋体"/>
          <w:sz w:val="24"/>
        </w:rPr>
      </w:pPr>
      <w:r>
        <w:rPr>
          <w:rFonts w:ascii="宋体" w:hAnsi="宋体"/>
          <w:sz w:val="24"/>
        </w:rPr>
        <w:t>5.2.</w:t>
      </w:r>
      <w:r>
        <w:rPr>
          <w:rFonts w:hint="eastAsia" w:ascii="宋体" w:hAnsi="宋体"/>
          <w:sz w:val="24"/>
        </w:rPr>
        <w:t>2.1第二个信封（投标报价和工程量清单）开标过程中，若招标人发现投标文件出现以下任一情况，经监标人确认并当场宣布为废标：</w:t>
      </w:r>
    </w:p>
    <w:p>
      <w:pPr>
        <w:adjustRightInd w:val="0"/>
        <w:snapToGrid w:val="0"/>
        <w:spacing w:line="400" w:lineRule="exact"/>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）未在投标函上填写投标总价；</w:t>
      </w:r>
    </w:p>
    <w:p>
      <w:pPr>
        <w:adjustRightInd w:val="0"/>
        <w:snapToGrid w:val="0"/>
        <w:spacing w:line="400" w:lineRule="exact"/>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）投标报价或调价函中的报价超出招标人公布的投标控制价上限。</w:t>
      </w:r>
    </w:p>
    <w:p>
      <w:pPr>
        <w:adjustRightInd w:val="0"/>
        <w:snapToGrid w:val="0"/>
        <w:spacing w:line="400" w:lineRule="exact"/>
        <w:ind w:firstLine="480" w:firstLineChars="200"/>
        <w:rPr>
          <w:rFonts w:ascii="宋体" w:hAnsi="宋体"/>
          <w:sz w:val="24"/>
        </w:rPr>
      </w:pPr>
      <w:r>
        <w:rPr>
          <w:rFonts w:hint="eastAsia" w:ascii="宋体" w:hAnsi="宋体"/>
          <w:sz w:val="24"/>
        </w:rPr>
        <w:t>若招标人宣读的内容与投标文件不符时，投标人有权在开标现场提出异议，经监标人当场核查确认之后，可重新宣读其投标文件。若投标人现场未提出异议，则认为投标人已确认招标人宣读的内容。</w:t>
      </w:r>
    </w:p>
    <w:p>
      <w:pPr>
        <w:adjustRightInd w:val="0"/>
        <w:snapToGrid w:val="0"/>
        <w:spacing w:line="400" w:lineRule="exact"/>
        <w:ind w:firstLine="480" w:firstLineChars="200"/>
        <w:rPr>
          <w:rFonts w:ascii="宋体" w:hAnsi="宋体"/>
          <w:sz w:val="24"/>
        </w:rPr>
      </w:pPr>
      <w:r>
        <w:rPr>
          <w:rFonts w:ascii="宋体" w:hAnsi="宋体"/>
          <w:sz w:val="24"/>
        </w:rPr>
        <w:t>5.2.</w:t>
      </w:r>
      <w:r>
        <w:rPr>
          <w:rFonts w:hint="eastAsia" w:ascii="宋体" w:hAnsi="宋体"/>
          <w:sz w:val="24"/>
        </w:rPr>
        <w:t>3电子投标文件的解密</w:t>
      </w:r>
    </w:p>
    <w:p>
      <w:pPr>
        <w:adjustRightInd w:val="0"/>
        <w:snapToGrid w:val="0"/>
        <w:spacing w:line="400" w:lineRule="exact"/>
        <w:ind w:firstLine="480" w:firstLineChars="200"/>
        <w:rPr>
          <w:rFonts w:ascii="宋体" w:hAnsi="宋体"/>
          <w:sz w:val="24"/>
        </w:rPr>
      </w:pPr>
      <w:r>
        <w:rPr>
          <w:rFonts w:ascii="宋体" w:hAnsi="宋体"/>
          <w:sz w:val="24"/>
        </w:rPr>
        <w:t>5.2.</w:t>
      </w:r>
      <w:r>
        <w:rPr>
          <w:rFonts w:hint="eastAsia" w:ascii="宋体" w:hAnsi="宋体"/>
          <w:sz w:val="24"/>
        </w:rPr>
        <w:t>3</w:t>
      </w:r>
      <w:r>
        <w:rPr>
          <w:rFonts w:ascii="宋体" w:hAnsi="宋体"/>
          <w:sz w:val="24"/>
        </w:rPr>
        <w:t>.1</w:t>
      </w:r>
      <w:r>
        <w:rPr>
          <w:rFonts w:hint="eastAsia" w:ascii="宋体" w:hAnsi="宋体"/>
          <w:sz w:val="24"/>
        </w:rPr>
        <w:t>本项目为全流程电子化交易项目，电子投标文件采用双重加密。在投标截止时间到达后，分标段进行解密。</w:t>
      </w:r>
    </w:p>
    <w:p>
      <w:pPr>
        <w:adjustRightInd w:val="0"/>
        <w:snapToGrid w:val="0"/>
        <w:spacing w:line="400" w:lineRule="exact"/>
        <w:ind w:firstLine="480" w:firstLineChars="200"/>
        <w:rPr>
          <w:rFonts w:ascii="宋体" w:hAnsi="宋体"/>
          <w:sz w:val="24"/>
        </w:rPr>
      </w:pPr>
      <w:r>
        <w:rPr>
          <w:rFonts w:ascii="宋体" w:hAnsi="宋体"/>
          <w:sz w:val="24"/>
        </w:rPr>
        <w:t>(1)</w:t>
      </w:r>
      <w:r>
        <w:rPr>
          <w:rFonts w:hint="eastAsia" w:ascii="宋体" w:hAnsi="宋体"/>
          <w:sz w:val="24"/>
        </w:rPr>
        <w:t>投标人解密：投标人使用本单位</w:t>
      </w:r>
      <w:r>
        <w:rPr>
          <w:rFonts w:ascii="宋体" w:hAnsi="宋体"/>
          <w:sz w:val="24"/>
        </w:rPr>
        <w:t>CA</w:t>
      </w:r>
      <w:r>
        <w:rPr>
          <w:rFonts w:hint="eastAsia" w:ascii="宋体" w:hAnsi="宋体"/>
          <w:sz w:val="24"/>
        </w:rPr>
        <w:t>数字证书远程或现场进行解密。需现场使用一体机进行解密的，请在代理机构引导下进行。</w:t>
      </w:r>
    </w:p>
    <w:p>
      <w:pPr>
        <w:adjustRightInd w:val="0"/>
        <w:snapToGrid w:val="0"/>
        <w:spacing w:line="400" w:lineRule="exact"/>
        <w:ind w:firstLine="480" w:firstLineChars="200"/>
        <w:rPr>
          <w:rFonts w:ascii="宋体" w:hAnsi="宋体"/>
          <w:sz w:val="24"/>
        </w:rPr>
      </w:pPr>
      <w:r>
        <w:rPr>
          <w:rFonts w:ascii="宋体" w:hAnsi="宋体"/>
          <w:sz w:val="24"/>
        </w:rPr>
        <w:t>(2)</w:t>
      </w:r>
      <w:r>
        <w:rPr>
          <w:rFonts w:hint="eastAsia" w:ascii="宋体" w:hAnsi="宋体"/>
          <w:sz w:val="24"/>
        </w:rPr>
        <w:t>代理机构解密：代理机构按电子投标文件到达交易系统的先后顺序，使用本单位</w:t>
      </w:r>
      <w:r>
        <w:rPr>
          <w:rFonts w:ascii="宋体" w:hAnsi="宋体"/>
          <w:sz w:val="24"/>
        </w:rPr>
        <w:t>CA</w:t>
      </w:r>
      <w:r>
        <w:rPr>
          <w:rFonts w:hint="eastAsia" w:ascii="宋体" w:hAnsi="宋体"/>
          <w:sz w:val="24"/>
        </w:rPr>
        <w:t>数字证书进行再次解密。</w:t>
      </w:r>
    </w:p>
    <w:p>
      <w:pPr>
        <w:adjustRightInd w:val="0"/>
        <w:snapToGrid w:val="0"/>
        <w:spacing w:line="400" w:lineRule="exact"/>
        <w:ind w:firstLine="480" w:firstLineChars="200"/>
        <w:rPr>
          <w:rFonts w:ascii="宋体" w:hAnsi="宋体"/>
          <w:sz w:val="24"/>
        </w:rPr>
      </w:pPr>
      <w:r>
        <w:rPr>
          <w:rFonts w:ascii="宋体" w:hAnsi="宋体"/>
          <w:sz w:val="24"/>
        </w:rPr>
        <w:t>5.2.</w:t>
      </w:r>
      <w:r>
        <w:rPr>
          <w:rFonts w:hint="eastAsia" w:ascii="宋体" w:hAnsi="宋体"/>
          <w:sz w:val="24"/>
        </w:rPr>
        <w:t>3</w:t>
      </w:r>
      <w:r>
        <w:rPr>
          <w:rFonts w:ascii="宋体" w:hAnsi="宋体"/>
          <w:sz w:val="24"/>
        </w:rPr>
        <w:t>.2</w:t>
      </w:r>
      <w:r>
        <w:rPr>
          <w:rFonts w:hint="eastAsia" w:ascii="宋体" w:hAnsi="宋体"/>
          <w:sz w:val="24"/>
        </w:rPr>
        <w:t>电子投标文件解密异常情况处理</w:t>
      </w:r>
    </w:p>
    <w:p>
      <w:pPr>
        <w:adjustRightInd w:val="0"/>
        <w:snapToGrid w:val="0"/>
        <w:spacing w:line="400" w:lineRule="exact"/>
        <w:ind w:firstLine="480" w:firstLineChars="200"/>
        <w:rPr>
          <w:rFonts w:ascii="宋体" w:hAnsi="宋体"/>
          <w:sz w:val="24"/>
        </w:rPr>
      </w:pPr>
      <w:r>
        <w:rPr>
          <w:rFonts w:hint="eastAsia" w:ascii="宋体" w:hAnsi="宋体"/>
          <w:sz w:val="24"/>
        </w:rPr>
        <w:t>（1）因电子交易系统异常无法解密电子投标文件的，使用电子介质存储文件，以人工方式进行</w:t>
      </w:r>
    </w:p>
    <w:p>
      <w:pPr>
        <w:adjustRightInd w:val="0"/>
        <w:snapToGrid w:val="0"/>
        <w:spacing w:line="400" w:lineRule="exact"/>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6"/>
        <w:keepNext w:val="0"/>
        <w:keepLines w:val="0"/>
        <w:adjustRightInd w:val="0"/>
        <w:snapToGrid w:val="0"/>
        <w:spacing w:beforeLines="50" w:after="0" w:line="400" w:lineRule="exact"/>
        <w:rPr>
          <w:rFonts w:ascii="宋体" w:hAnsi="宋体"/>
          <w:sz w:val="24"/>
          <w:szCs w:val="24"/>
        </w:rPr>
      </w:pPr>
      <w:r>
        <w:rPr>
          <w:rFonts w:ascii="宋体" w:hAnsi="宋体"/>
          <w:sz w:val="24"/>
          <w:szCs w:val="24"/>
        </w:rPr>
        <w:t>6. 评标</w:t>
      </w:r>
      <w:bookmarkEnd w:id="130"/>
      <w:bookmarkEnd w:id="131"/>
      <w:bookmarkEnd w:id="132"/>
      <w:bookmarkEnd w:id="133"/>
    </w:p>
    <w:p>
      <w:pPr>
        <w:pStyle w:val="6"/>
        <w:keepNext w:val="0"/>
        <w:keepLines w:val="0"/>
        <w:adjustRightInd w:val="0"/>
        <w:snapToGrid w:val="0"/>
        <w:spacing w:beforeLines="50" w:after="0" w:line="400" w:lineRule="exact"/>
        <w:rPr>
          <w:rFonts w:ascii="宋体" w:hAnsi="宋体"/>
          <w:sz w:val="24"/>
          <w:szCs w:val="24"/>
        </w:rPr>
      </w:pPr>
      <w:bookmarkStart w:id="134" w:name="_Toc17693"/>
      <w:bookmarkStart w:id="135" w:name="_Toc234382626"/>
      <w:bookmarkStart w:id="136" w:name="_Toc485889036"/>
      <w:bookmarkStart w:id="137" w:name="_Toc486277897"/>
      <w:r>
        <w:rPr>
          <w:rFonts w:ascii="宋体" w:hAnsi="宋体"/>
          <w:sz w:val="24"/>
          <w:szCs w:val="24"/>
        </w:rPr>
        <w:t>6.1 评标委员会</w:t>
      </w:r>
      <w:bookmarkEnd w:id="134"/>
      <w:bookmarkEnd w:id="135"/>
      <w:bookmarkEnd w:id="136"/>
      <w:bookmarkEnd w:id="137"/>
    </w:p>
    <w:p>
      <w:pPr>
        <w:adjustRightInd w:val="0"/>
        <w:snapToGrid w:val="0"/>
        <w:spacing w:line="400" w:lineRule="exact"/>
        <w:ind w:firstLine="480" w:firstLineChars="200"/>
        <w:rPr>
          <w:rFonts w:ascii="宋体" w:hAnsi="宋体"/>
          <w:sz w:val="24"/>
        </w:rPr>
      </w:pPr>
      <w:r>
        <w:rPr>
          <w:rFonts w:ascii="宋体" w:hAnsi="宋体"/>
          <w:sz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adjustRightInd w:val="0"/>
        <w:snapToGrid w:val="0"/>
        <w:spacing w:line="400" w:lineRule="exact"/>
        <w:ind w:firstLine="480" w:firstLineChars="200"/>
        <w:rPr>
          <w:rFonts w:ascii="宋体" w:hAnsi="宋体"/>
          <w:sz w:val="24"/>
        </w:rPr>
      </w:pPr>
      <w:r>
        <w:rPr>
          <w:rFonts w:ascii="宋体" w:hAnsi="宋体"/>
          <w:sz w:val="24"/>
        </w:rPr>
        <w:t>6.1.2 评标委员会成员有下列情形之一的，应当回避：</w:t>
      </w:r>
    </w:p>
    <w:p>
      <w:pPr>
        <w:adjustRightInd w:val="0"/>
        <w:snapToGrid w:val="0"/>
        <w:spacing w:line="400" w:lineRule="exact"/>
        <w:ind w:firstLine="480" w:firstLineChars="200"/>
        <w:rPr>
          <w:rFonts w:ascii="宋体" w:hAnsi="宋体"/>
          <w:sz w:val="24"/>
        </w:rPr>
      </w:pPr>
      <w:r>
        <w:rPr>
          <w:rFonts w:ascii="宋体" w:hAnsi="宋体"/>
          <w:sz w:val="24"/>
        </w:rPr>
        <w:t>（1）招标人或投标人的主要负责人的近亲属；</w:t>
      </w:r>
    </w:p>
    <w:p>
      <w:pPr>
        <w:adjustRightInd w:val="0"/>
        <w:snapToGrid w:val="0"/>
        <w:spacing w:line="400" w:lineRule="exact"/>
        <w:ind w:firstLine="480" w:firstLineChars="200"/>
        <w:rPr>
          <w:rFonts w:ascii="宋体" w:hAnsi="宋体"/>
          <w:sz w:val="24"/>
        </w:rPr>
      </w:pPr>
      <w:r>
        <w:rPr>
          <w:rFonts w:ascii="宋体" w:hAnsi="宋体"/>
          <w:sz w:val="24"/>
        </w:rPr>
        <w:t>（2）项目主管部门或者行政监督部门的人员；</w:t>
      </w:r>
    </w:p>
    <w:p>
      <w:pPr>
        <w:adjustRightInd w:val="0"/>
        <w:snapToGrid w:val="0"/>
        <w:spacing w:line="400" w:lineRule="exact"/>
        <w:ind w:firstLine="480" w:firstLineChars="200"/>
        <w:rPr>
          <w:rFonts w:ascii="宋体" w:hAnsi="宋体"/>
          <w:sz w:val="24"/>
        </w:rPr>
      </w:pPr>
      <w:r>
        <w:rPr>
          <w:rFonts w:ascii="宋体" w:hAnsi="宋体"/>
          <w:sz w:val="24"/>
        </w:rPr>
        <w:t>（3）与投标人有经济利益关系，可能影响对投标公正评审的；</w:t>
      </w:r>
    </w:p>
    <w:p>
      <w:pPr>
        <w:adjustRightInd w:val="0"/>
        <w:snapToGrid w:val="0"/>
        <w:spacing w:line="400" w:lineRule="exact"/>
        <w:ind w:firstLine="480" w:firstLineChars="200"/>
        <w:rPr>
          <w:rFonts w:ascii="宋体" w:hAnsi="宋体"/>
          <w:sz w:val="24"/>
        </w:rPr>
      </w:pPr>
      <w:r>
        <w:rPr>
          <w:rFonts w:ascii="宋体" w:hAnsi="宋体"/>
          <w:sz w:val="24"/>
        </w:rPr>
        <w:t>（4）曾因在招标、评标以及其他与招标投标有关活动中从事违法行为而受过行政处罚或刑事处罚的。</w:t>
      </w:r>
    </w:p>
    <w:p>
      <w:pPr>
        <w:pStyle w:val="6"/>
        <w:keepNext w:val="0"/>
        <w:keepLines w:val="0"/>
        <w:adjustRightInd w:val="0"/>
        <w:snapToGrid w:val="0"/>
        <w:spacing w:beforeLines="50" w:after="0" w:line="400" w:lineRule="exact"/>
        <w:rPr>
          <w:rFonts w:ascii="宋体" w:hAnsi="宋体"/>
          <w:sz w:val="24"/>
          <w:szCs w:val="24"/>
        </w:rPr>
      </w:pPr>
      <w:bookmarkStart w:id="138" w:name="_Toc5222"/>
      <w:bookmarkStart w:id="139" w:name="_Toc234382627"/>
      <w:bookmarkStart w:id="140" w:name="_Toc485889037"/>
      <w:bookmarkStart w:id="141" w:name="_Toc486277898"/>
      <w:r>
        <w:rPr>
          <w:rFonts w:ascii="宋体" w:hAnsi="宋体"/>
          <w:sz w:val="24"/>
          <w:szCs w:val="24"/>
        </w:rPr>
        <w:t>6.2 评标原则</w:t>
      </w:r>
      <w:bookmarkEnd w:id="138"/>
      <w:bookmarkEnd w:id="139"/>
      <w:bookmarkEnd w:id="140"/>
      <w:bookmarkEnd w:id="141"/>
      <w:r>
        <w:rPr>
          <w:rFonts w:hint="eastAsia" w:ascii="宋体" w:hAnsi="宋体"/>
          <w:sz w:val="24"/>
          <w:szCs w:val="24"/>
        </w:rPr>
        <w:t>：</w:t>
      </w:r>
      <w:r>
        <w:rPr>
          <w:rFonts w:ascii="宋体" w:hAnsi="宋体"/>
          <w:sz w:val="24"/>
        </w:rPr>
        <w:t>评标活动遵循公平、公正、科学和择优的原则。</w:t>
      </w:r>
    </w:p>
    <w:p>
      <w:pPr>
        <w:pStyle w:val="6"/>
        <w:keepNext w:val="0"/>
        <w:keepLines w:val="0"/>
        <w:adjustRightInd w:val="0"/>
        <w:snapToGrid w:val="0"/>
        <w:spacing w:beforeLines="50" w:after="0" w:line="400" w:lineRule="exact"/>
        <w:rPr>
          <w:rFonts w:ascii="宋体" w:hAnsi="宋体"/>
          <w:sz w:val="24"/>
          <w:szCs w:val="24"/>
        </w:rPr>
      </w:pPr>
      <w:bookmarkStart w:id="142" w:name="_Toc485889038"/>
      <w:bookmarkStart w:id="143" w:name="_Toc234382628"/>
      <w:bookmarkStart w:id="144" w:name="_Toc486277899"/>
      <w:bookmarkStart w:id="145" w:name="_Toc31911"/>
      <w:r>
        <w:rPr>
          <w:rFonts w:ascii="宋体" w:hAnsi="宋体"/>
          <w:sz w:val="24"/>
          <w:szCs w:val="24"/>
        </w:rPr>
        <w:t>6.3 评标</w:t>
      </w:r>
      <w:bookmarkEnd w:id="142"/>
      <w:bookmarkEnd w:id="143"/>
      <w:bookmarkEnd w:id="144"/>
      <w:bookmarkEnd w:id="145"/>
    </w:p>
    <w:p>
      <w:pPr>
        <w:adjustRightInd w:val="0"/>
        <w:snapToGrid w:val="0"/>
        <w:spacing w:line="400" w:lineRule="exact"/>
        <w:ind w:firstLine="480" w:firstLineChars="200"/>
        <w:rPr>
          <w:rFonts w:ascii="宋体" w:hAnsi="宋体"/>
          <w:sz w:val="24"/>
        </w:rPr>
      </w:pPr>
      <w:r>
        <w:rPr>
          <w:rFonts w:ascii="宋体" w:hAnsi="宋体"/>
          <w:sz w:val="24"/>
        </w:rPr>
        <w:t>评标委员会按照第三章“评标办法”规定的方法、评审因素、标准和程序对投标文件进行评审。第三章“评标办法”没有规定的方法、评审因素和标准，不作为评标依据。</w:t>
      </w:r>
    </w:p>
    <w:p>
      <w:pPr>
        <w:pStyle w:val="6"/>
        <w:keepNext w:val="0"/>
        <w:keepLines w:val="0"/>
        <w:adjustRightInd w:val="0"/>
        <w:snapToGrid w:val="0"/>
        <w:spacing w:beforeLines="50" w:after="0" w:line="400" w:lineRule="exact"/>
        <w:rPr>
          <w:rFonts w:ascii="宋体" w:hAnsi="宋体"/>
          <w:sz w:val="24"/>
          <w:szCs w:val="24"/>
        </w:rPr>
      </w:pPr>
      <w:bookmarkStart w:id="146" w:name="_Toc21378"/>
      <w:bookmarkStart w:id="147" w:name="_Toc234382629"/>
      <w:bookmarkStart w:id="148" w:name="_Toc485889039"/>
      <w:bookmarkStart w:id="149" w:name="_Toc486277900"/>
      <w:r>
        <w:rPr>
          <w:rFonts w:ascii="宋体" w:hAnsi="宋体"/>
          <w:sz w:val="24"/>
          <w:szCs w:val="24"/>
        </w:rPr>
        <w:t>7. 合同授予</w:t>
      </w:r>
      <w:bookmarkEnd w:id="146"/>
      <w:bookmarkEnd w:id="147"/>
      <w:bookmarkEnd w:id="148"/>
      <w:bookmarkEnd w:id="149"/>
    </w:p>
    <w:p>
      <w:pPr>
        <w:pStyle w:val="6"/>
        <w:keepNext w:val="0"/>
        <w:keepLines w:val="0"/>
        <w:adjustRightInd w:val="0"/>
        <w:snapToGrid w:val="0"/>
        <w:spacing w:beforeLines="50" w:after="0" w:line="400" w:lineRule="exact"/>
        <w:rPr>
          <w:rFonts w:ascii="宋体" w:hAnsi="宋体"/>
          <w:sz w:val="24"/>
          <w:szCs w:val="24"/>
        </w:rPr>
      </w:pPr>
      <w:bookmarkStart w:id="150" w:name="_Toc10828"/>
      <w:bookmarkStart w:id="151" w:name="_Toc234382630"/>
      <w:bookmarkStart w:id="152" w:name="_Toc486277901"/>
      <w:bookmarkStart w:id="153" w:name="_Toc485889040"/>
      <w:r>
        <w:rPr>
          <w:rFonts w:ascii="宋体" w:hAnsi="宋体"/>
          <w:sz w:val="24"/>
          <w:szCs w:val="24"/>
        </w:rPr>
        <w:t>7.1 定标方式</w:t>
      </w:r>
      <w:bookmarkEnd w:id="150"/>
      <w:bookmarkEnd w:id="151"/>
      <w:bookmarkEnd w:id="152"/>
      <w:bookmarkEnd w:id="153"/>
    </w:p>
    <w:p>
      <w:pPr>
        <w:adjustRightInd w:val="0"/>
        <w:snapToGrid w:val="0"/>
        <w:spacing w:line="400" w:lineRule="exact"/>
        <w:ind w:firstLine="480" w:firstLineChars="200"/>
        <w:rPr>
          <w:rFonts w:ascii="宋体" w:hAnsi="宋体"/>
          <w:sz w:val="24"/>
        </w:rPr>
      </w:pPr>
      <w:r>
        <w:rPr>
          <w:rFonts w:ascii="宋体" w:hAnsi="宋体"/>
          <w:sz w:val="24"/>
        </w:rPr>
        <w:t>除投标人须知前附表规定评标委员会直接确定中标人外，招标人依据评标委员会推荐的中标候选人确定中标人，评标委员会推荐中标候选人的人数见投标人须知前附表。</w:t>
      </w:r>
    </w:p>
    <w:p>
      <w:pPr>
        <w:pStyle w:val="6"/>
        <w:keepNext w:val="0"/>
        <w:keepLines w:val="0"/>
        <w:adjustRightInd w:val="0"/>
        <w:snapToGrid w:val="0"/>
        <w:spacing w:beforeLines="50" w:after="0" w:line="400" w:lineRule="exact"/>
        <w:rPr>
          <w:rFonts w:ascii="宋体" w:hAnsi="宋体"/>
          <w:sz w:val="24"/>
          <w:szCs w:val="24"/>
        </w:rPr>
      </w:pPr>
      <w:bookmarkStart w:id="154" w:name="_Toc485889041"/>
      <w:bookmarkStart w:id="155" w:name="_Toc486277902"/>
      <w:bookmarkStart w:id="156" w:name="_Toc234382631"/>
      <w:bookmarkStart w:id="157" w:name="_Toc13648"/>
      <w:r>
        <w:rPr>
          <w:rFonts w:ascii="宋体" w:hAnsi="宋体"/>
          <w:sz w:val="24"/>
          <w:szCs w:val="24"/>
        </w:rPr>
        <w:t>7.2 中标通知</w:t>
      </w:r>
      <w:bookmarkEnd w:id="154"/>
      <w:bookmarkEnd w:id="155"/>
      <w:bookmarkEnd w:id="156"/>
      <w:bookmarkEnd w:id="157"/>
    </w:p>
    <w:p>
      <w:pPr>
        <w:adjustRightInd w:val="0"/>
        <w:snapToGrid w:val="0"/>
        <w:spacing w:line="400" w:lineRule="exact"/>
        <w:ind w:firstLine="480" w:firstLineChars="200"/>
        <w:rPr>
          <w:rFonts w:ascii="宋体" w:hAnsi="宋体"/>
          <w:sz w:val="24"/>
        </w:rPr>
      </w:pPr>
      <w:r>
        <w:rPr>
          <w:rFonts w:ascii="宋体" w:hAnsi="宋体"/>
          <w:sz w:val="24"/>
        </w:rPr>
        <w:t>在本章第 3.3 款规定的投标有效期内，招标人以书面形式向中标人发出中标通知书，同时将中标结果通知未中标的投标人。</w:t>
      </w:r>
    </w:p>
    <w:p>
      <w:pPr>
        <w:pStyle w:val="6"/>
        <w:keepNext w:val="0"/>
        <w:keepLines w:val="0"/>
        <w:adjustRightInd w:val="0"/>
        <w:snapToGrid w:val="0"/>
        <w:spacing w:beforeLines="50" w:after="0" w:line="400" w:lineRule="exact"/>
        <w:rPr>
          <w:rFonts w:ascii="宋体" w:hAnsi="宋体"/>
          <w:sz w:val="24"/>
          <w:szCs w:val="24"/>
        </w:rPr>
      </w:pPr>
      <w:bookmarkStart w:id="158" w:name="_Toc486277903"/>
      <w:bookmarkStart w:id="159" w:name="_Toc485889042"/>
      <w:bookmarkStart w:id="160" w:name="_Toc16842"/>
      <w:bookmarkStart w:id="161" w:name="_Toc234382633"/>
      <w:r>
        <w:rPr>
          <w:rFonts w:ascii="宋体" w:hAnsi="宋体"/>
          <w:sz w:val="24"/>
          <w:szCs w:val="24"/>
        </w:rPr>
        <w:t>7.</w:t>
      </w:r>
      <w:r>
        <w:rPr>
          <w:rFonts w:hint="eastAsia" w:ascii="宋体" w:hAnsi="宋体"/>
          <w:sz w:val="24"/>
          <w:szCs w:val="24"/>
        </w:rPr>
        <w:t>3</w:t>
      </w:r>
      <w:r>
        <w:rPr>
          <w:rFonts w:ascii="宋体" w:hAnsi="宋体"/>
          <w:sz w:val="24"/>
          <w:szCs w:val="24"/>
        </w:rPr>
        <w:t>签订合同</w:t>
      </w:r>
      <w:bookmarkEnd w:id="158"/>
      <w:bookmarkEnd w:id="159"/>
      <w:bookmarkEnd w:id="160"/>
      <w:bookmarkEnd w:id="161"/>
    </w:p>
    <w:p>
      <w:pPr>
        <w:adjustRightInd w:val="0"/>
        <w:snapToGrid w:val="0"/>
        <w:spacing w:line="400" w:lineRule="exact"/>
        <w:ind w:firstLine="456" w:firstLineChars="200"/>
        <w:rPr>
          <w:rFonts w:ascii="宋体" w:hAnsi="宋体"/>
          <w:spacing w:val="-6"/>
          <w:sz w:val="24"/>
        </w:rPr>
      </w:pPr>
      <w:r>
        <w:rPr>
          <w:rFonts w:ascii="宋体" w:hAnsi="宋体"/>
          <w:spacing w:val="-6"/>
          <w:sz w:val="24"/>
        </w:rPr>
        <w:t>7.</w:t>
      </w:r>
      <w:r>
        <w:rPr>
          <w:rFonts w:hint="eastAsia" w:ascii="宋体" w:hAnsi="宋体"/>
          <w:spacing w:val="-6"/>
          <w:sz w:val="24"/>
        </w:rPr>
        <w:t>3</w:t>
      </w:r>
      <w:r>
        <w:rPr>
          <w:rFonts w:ascii="宋体" w:hAnsi="宋体"/>
          <w:spacing w:val="-6"/>
          <w:sz w:val="24"/>
        </w:rPr>
        <w:t>.1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djustRightInd w:val="0"/>
        <w:snapToGrid w:val="0"/>
        <w:spacing w:line="400" w:lineRule="exact"/>
        <w:ind w:firstLine="480" w:firstLineChars="200"/>
        <w:rPr>
          <w:rFonts w:ascii="宋体" w:hAnsi="宋体"/>
          <w:sz w:val="24"/>
        </w:rPr>
      </w:pPr>
      <w:r>
        <w:rPr>
          <w:rFonts w:ascii="宋体" w:hAnsi="宋体"/>
          <w:sz w:val="24"/>
        </w:rPr>
        <w:t>7.</w:t>
      </w:r>
      <w:r>
        <w:rPr>
          <w:rFonts w:hint="eastAsia" w:ascii="宋体" w:hAnsi="宋体"/>
          <w:sz w:val="24"/>
        </w:rPr>
        <w:t>3</w:t>
      </w:r>
      <w:r>
        <w:rPr>
          <w:rFonts w:ascii="宋体" w:hAnsi="宋体"/>
          <w:sz w:val="24"/>
        </w:rPr>
        <w:t>.2 发出中标通知书后，招标人无正当理由拒签合同的，招标人向中标人退还投标保证金；给中标人造成损失的，还应当赔偿损失。</w:t>
      </w:r>
    </w:p>
    <w:p>
      <w:pPr>
        <w:adjustRightInd w:val="0"/>
        <w:snapToGrid w:val="0"/>
        <w:spacing w:line="400" w:lineRule="exact"/>
        <w:ind w:firstLine="480" w:firstLineChars="200"/>
        <w:rPr>
          <w:rFonts w:ascii="宋体" w:hAnsi="宋体"/>
          <w:sz w:val="24"/>
        </w:rPr>
      </w:pPr>
      <w:r>
        <w:rPr>
          <w:rFonts w:hint="eastAsia" w:ascii="宋体" w:hAnsi="宋体"/>
          <w:sz w:val="24"/>
        </w:rPr>
        <w:t>7.3.3 签约合同价的确定原则如下：</w:t>
      </w:r>
    </w:p>
    <w:p>
      <w:pPr>
        <w:adjustRightInd w:val="0"/>
        <w:snapToGrid w:val="0"/>
        <w:spacing w:line="400" w:lineRule="exact"/>
        <w:ind w:firstLine="480" w:firstLineChars="200"/>
        <w:rPr>
          <w:rFonts w:ascii="宋体" w:hAnsi="宋体"/>
          <w:sz w:val="24"/>
        </w:rPr>
      </w:pPr>
      <w:r>
        <w:rPr>
          <w:rFonts w:hint="eastAsia" w:ascii="宋体" w:hAnsi="宋体"/>
          <w:sz w:val="24"/>
        </w:rPr>
        <w:t>（1）按照评标办法规定对投标报价进行修正后，若休整后的最终投标报价小于开标时的投标函文字报价，则签订合同时以修正后的最终投标为准；</w:t>
      </w:r>
    </w:p>
    <w:p>
      <w:pPr>
        <w:adjustRightInd w:val="0"/>
        <w:snapToGrid w:val="0"/>
        <w:spacing w:line="400" w:lineRule="exact"/>
        <w:ind w:firstLine="480" w:firstLineChars="200"/>
        <w:rPr>
          <w:rFonts w:ascii="宋体" w:hAnsi="宋体"/>
          <w:sz w:val="24"/>
        </w:rPr>
      </w:pPr>
      <w:r>
        <w:rPr>
          <w:rFonts w:hint="eastAsia" w:ascii="宋体" w:hAnsi="宋体"/>
          <w:sz w:val="24"/>
        </w:rPr>
        <w:t>（2）按照评标办法规定对投标报价进行修正后，若修正后的最终投标报价大于开标时的投标函文字报价，则签订合同时以开标时的投标函文字报价为准，同时按比例修正相应子目的单价或合价。</w:t>
      </w:r>
    </w:p>
    <w:p>
      <w:pPr>
        <w:adjustRightInd w:val="0"/>
        <w:snapToGrid w:val="0"/>
        <w:spacing w:line="400" w:lineRule="exact"/>
        <w:ind w:firstLine="480" w:firstLineChars="200"/>
        <w:rPr>
          <w:rFonts w:ascii="宋体" w:hAnsi="宋体"/>
          <w:sz w:val="24"/>
        </w:rPr>
      </w:pPr>
      <w:r>
        <w:rPr>
          <w:rFonts w:hint="eastAsia" w:ascii="宋体" w:hAnsi="宋体"/>
          <w:sz w:val="24"/>
        </w:rPr>
        <w:t>7.3.4 合同协议书经双方法定代表人或其授权的代理人签署并加盖单位章后生效。若为联合体投标，则联合体各成员的法定代表人或其授权的代理人都应在合同协议书上签署并加盖单位章。发包人和中标人在签订合同协议书的同时需按照本招标文件规定的格式和要求签订廉政合同及安全生产合同，明确双方在廉政建设安全生产方面的权利和义务以及应承担的违约责任。</w:t>
      </w:r>
    </w:p>
    <w:p>
      <w:pPr>
        <w:adjustRightInd w:val="0"/>
        <w:snapToGrid w:val="0"/>
        <w:spacing w:line="400" w:lineRule="exact"/>
        <w:ind w:firstLine="480" w:firstLineChars="200"/>
        <w:rPr>
          <w:rFonts w:ascii="仿宋" w:hAnsi="仿宋" w:eastAsia="仿宋" w:cs="宋体"/>
          <w:color w:val="000000"/>
          <w:sz w:val="30"/>
          <w:szCs w:val="30"/>
        </w:rPr>
      </w:pPr>
      <w:r>
        <w:rPr>
          <w:rFonts w:hint="eastAsia" w:ascii="宋体" w:hAnsi="宋体"/>
          <w:sz w:val="24"/>
        </w:rPr>
        <w:t>7.3.5 如果根据本章第3.5.10项（适用于未进行资格预审的）、第7.3.2项或第7.4.1项规定，招标人取消了中标人的中标资格，在此情况下，招标人可将合同授予下一个中标候选人，或者按规定重新组织招标。</w:t>
      </w:r>
      <w:bookmarkStart w:id="162" w:name="_Toc234382634"/>
      <w:bookmarkStart w:id="163" w:name="_Toc485889043"/>
      <w:bookmarkStart w:id="164" w:name="_Toc16570"/>
      <w:bookmarkStart w:id="165" w:name="_Toc486277904"/>
    </w:p>
    <w:p>
      <w:pPr>
        <w:ind w:firstLine="2880" w:firstLineChars="800"/>
        <w:rPr>
          <w:rFonts w:hint="eastAsia" w:ascii="宋体" w:hAnsi="宋体" w:eastAsia="宋体" w:cs="宋体"/>
          <w:sz w:val="36"/>
          <w:szCs w:val="36"/>
        </w:rPr>
      </w:pPr>
      <w:r>
        <w:rPr>
          <w:rFonts w:hint="eastAsia" w:ascii="仿宋_GB2312" w:hAnsi="宋体" w:eastAsia="仿宋_GB2312"/>
          <w:color w:val="000000"/>
          <w:sz w:val="36"/>
          <w:szCs w:val="36"/>
        </w:rPr>
        <w:br w:type="page"/>
      </w:r>
      <w:r>
        <w:rPr>
          <w:rFonts w:hint="eastAsia" w:ascii="宋体" w:hAnsi="宋体" w:eastAsia="宋体" w:cs="宋体"/>
          <w:sz w:val="36"/>
          <w:szCs w:val="36"/>
        </w:rPr>
        <w:t>履约保证金退还通知单</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5" w:hRule="exact"/>
          <w:jc w:val="center"/>
        </w:trPr>
        <w:tc>
          <w:tcPr>
            <w:tcW w:w="2086" w:type="dxa"/>
            <w:noWrap/>
            <w:vAlign w:val="center"/>
          </w:tcPr>
          <w:p>
            <w:pPr>
              <w:spacing w:line="360" w:lineRule="exact"/>
              <w:jc w:val="center"/>
              <w:rPr>
                <w:rFonts w:hint="eastAsia" w:ascii="宋体" w:hAnsi="宋体" w:eastAsia="宋体" w:cs="宋体"/>
                <w:sz w:val="24"/>
              </w:rPr>
            </w:pPr>
            <w:r>
              <w:rPr>
                <w:rFonts w:hint="eastAsia" w:ascii="宋体" w:hAnsi="宋体" w:eastAsia="宋体" w:cs="宋体"/>
                <w:sz w:val="24"/>
              </w:rPr>
              <w:t>项目编号</w:t>
            </w:r>
          </w:p>
        </w:tc>
        <w:tc>
          <w:tcPr>
            <w:tcW w:w="4140" w:type="dxa"/>
            <w:gridSpan w:val="2"/>
            <w:noWrap/>
            <w:vAlign w:val="center"/>
          </w:tcPr>
          <w:p>
            <w:pPr>
              <w:spacing w:line="360" w:lineRule="exact"/>
              <w:jc w:val="center"/>
              <w:rPr>
                <w:rFonts w:hint="eastAsia" w:ascii="宋体" w:hAnsi="宋体" w:eastAsia="宋体" w:cs="宋体"/>
                <w:sz w:val="24"/>
              </w:rPr>
            </w:pPr>
          </w:p>
        </w:tc>
        <w:tc>
          <w:tcPr>
            <w:tcW w:w="1440" w:type="dxa"/>
            <w:gridSpan w:val="2"/>
            <w:noWrap/>
            <w:vAlign w:val="center"/>
          </w:tcPr>
          <w:p>
            <w:pPr>
              <w:spacing w:line="360" w:lineRule="exact"/>
              <w:jc w:val="center"/>
              <w:rPr>
                <w:rFonts w:hint="eastAsia" w:ascii="宋体" w:hAnsi="宋体" w:eastAsia="宋体" w:cs="宋体"/>
                <w:sz w:val="24"/>
              </w:rPr>
            </w:pPr>
            <w:r>
              <w:rPr>
                <w:rFonts w:hint="eastAsia" w:ascii="宋体" w:hAnsi="宋体" w:eastAsia="宋体" w:cs="宋体"/>
                <w:sz w:val="24"/>
              </w:rPr>
              <w:t>是否完工</w:t>
            </w:r>
          </w:p>
        </w:tc>
        <w:tc>
          <w:tcPr>
            <w:tcW w:w="2162" w:type="dxa"/>
            <w:noWrap/>
            <w:vAlign w:val="center"/>
          </w:tcPr>
          <w:p>
            <w:pPr>
              <w:spacing w:line="360" w:lineRule="exact"/>
              <w:ind w:firstLine="240" w:firstLineChars="100"/>
              <w:rPr>
                <w:rFonts w:hint="eastAsia" w:ascii="宋体" w:hAnsi="宋体" w:eastAsia="宋体" w:cs="宋体"/>
                <w:sz w:val="24"/>
              </w:rPr>
            </w:pPr>
            <w:r>
              <w:rPr>
                <w:rFonts w:hint="eastAsia" w:ascii="宋体" w:hAnsi="宋体" w:eastAsia="宋体" w:cs="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086" w:type="dxa"/>
            <w:noWrap/>
            <w:vAlign w:val="center"/>
          </w:tcPr>
          <w:p>
            <w:pPr>
              <w:spacing w:line="360" w:lineRule="exact"/>
              <w:jc w:val="center"/>
              <w:rPr>
                <w:rFonts w:hint="eastAsia" w:ascii="宋体" w:hAnsi="宋体" w:eastAsia="宋体" w:cs="宋体"/>
                <w:sz w:val="24"/>
              </w:rPr>
            </w:pPr>
            <w:r>
              <w:rPr>
                <w:rFonts w:hint="eastAsia" w:ascii="宋体" w:hAnsi="宋体" w:eastAsia="宋体" w:cs="宋体"/>
                <w:sz w:val="24"/>
              </w:rPr>
              <w:t>中标企业名称</w:t>
            </w:r>
          </w:p>
        </w:tc>
        <w:tc>
          <w:tcPr>
            <w:tcW w:w="7742" w:type="dxa"/>
            <w:gridSpan w:val="5"/>
            <w:noWrap/>
            <w:vAlign w:val="center"/>
          </w:tcPr>
          <w:p>
            <w:pPr>
              <w:spacing w:line="36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exact"/>
          <w:jc w:val="center"/>
        </w:trPr>
        <w:tc>
          <w:tcPr>
            <w:tcW w:w="2086" w:type="dxa"/>
            <w:noWrap/>
            <w:vAlign w:val="center"/>
          </w:tcPr>
          <w:p>
            <w:pPr>
              <w:spacing w:line="360" w:lineRule="exact"/>
              <w:ind w:firstLine="480" w:firstLineChars="200"/>
              <w:rPr>
                <w:rFonts w:hint="eastAsia" w:ascii="宋体" w:hAnsi="宋体" w:eastAsia="宋体" w:cs="宋体"/>
                <w:sz w:val="24"/>
              </w:rPr>
            </w:pPr>
            <w:r>
              <w:rPr>
                <w:rFonts w:hint="eastAsia" w:ascii="宋体" w:hAnsi="宋体" w:eastAsia="宋体" w:cs="宋体"/>
                <w:sz w:val="24"/>
              </w:rPr>
              <w:t>开户银行</w:t>
            </w:r>
          </w:p>
        </w:tc>
        <w:tc>
          <w:tcPr>
            <w:tcW w:w="3780" w:type="dxa"/>
            <w:noWrap/>
            <w:vAlign w:val="center"/>
          </w:tcPr>
          <w:p>
            <w:pPr>
              <w:rPr>
                <w:rFonts w:hint="eastAsia" w:ascii="宋体" w:hAnsi="宋体" w:eastAsia="宋体" w:cs="宋体"/>
                <w:sz w:val="24"/>
              </w:rPr>
            </w:pPr>
          </w:p>
        </w:tc>
        <w:tc>
          <w:tcPr>
            <w:tcW w:w="722" w:type="dxa"/>
            <w:gridSpan w:val="2"/>
            <w:noWrap/>
            <w:vAlign w:val="center"/>
          </w:tcPr>
          <w:p>
            <w:pPr>
              <w:spacing w:line="360" w:lineRule="exact"/>
              <w:rPr>
                <w:rFonts w:hint="eastAsia" w:ascii="宋体" w:hAnsi="宋体" w:eastAsia="宋体" w:cs="宋体"/>
                <w:sz w:val="24"/>
              </w:rPr>
            </w:pPr>
            <w:r>
              <w:rPr>
                <w:rFonts w:hint="eastAsia" w:ascii="宋体" w:hAnsi="宋体" w:eastAsia="宋体" w:cs="宋体"/>
                <w:sz w:val="24"/>
              </w:rPr>
              <w:t>账号</w:t>
            </w:r>
          </w:p>
        </w:tc>
        <w:tc>
          <w:tcPr>
            <w:tcW w:w="3240" w:type="dxa"/>
            <w:gridSpan w:val="2"/>
            <w:noWrap/>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086" w:type="dxa"/>
            <w:tcBorders>
              <w:bottom w:val="single" w:color="auto" w:sz="4" w:space="0"/>
            </w:tcBorders>
            <w:noWrap/>
            <w:vAlign w:val="center"/>
          </w:tcPr>
          <w:p>
            <w:pPr>
              <w:spacing w:line="360" w:lineRule="exact"/>
              <w:ind w:firstLine="480" w:firstLineChars="200"/>
              <w:rPr>
                <w:rFonts w:hint="eastAsia" w:ascii="宋体" w:hAnsi="宋体" w:eastAsia="宋体" w:cs="宋体"/>
                <w:sz w:val="24"/>
              </w:rPr>
            </w:pPr>
            <w:r>
              <w:rPr>
                <w:rFonts w:hint="eastAsia" w:ascii="宋体" w:hAnsi="宋体" w:eastAsia="宋体" w:cs="宋体"/>
                <w:sz w:val="24"/>
              </w:rPr>
              <w:t>金额</w:t>
            </w:r>
          </w:p>
        </w:tc>
        <w:tc>
          <w:tcPr>
            <w:tcW w:w="7742" w:type="dxa"/>
            <w:gridSpan w:val="5"/>
            <w:noWrap/>
            <w:vAlign w:val="center"/>
          </w:tcPr>
          <w:p>
            <w:pPr>
              <w:spacing w:line="360" w:lineRule="exact"/>
              <w:rPr>
                <w:rFonts w:hint="eastAsia" w:ascii="宋体" w:hAnsi="宋体" w:eastAsia="宋体" w:cs="宋体"/>
                <w:sz w:val="24"/>
              </w:rPr>
            </w:pPr>
            <w:r>
              <w:rPr>
                <w:rFonts w:hint="eastAsia" w:ascii="宋体" w:hAnsi="宋体" w:eastAsia="宋体" w:cs="宋体"/>
                <w:sz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828" w:type="dxa"/>
            <w:gridSpan w:val="6"/>
            <w:tcBorders>
              <w:top w:val="nil"/>
            </w:tcBorders>
            <w:noWrap/>
            <w:vAlign w:val="center"/>
          </w:tcPr>
          <w:p>
            <w:pPr>
              <w:spacing w:line="360" w:lineRule="exact"/>
              <w:jc w:val="center"/>
              <w:rPr>
                <w:rFonts w:hint="eastAsia" w:ascii="宋体" w:hAnsi="宋体" w:eastAsia="宋体" w:cs="宋体"/>
                <w:sz w:val="24"/>
              </w:rPr>
            </w:pPr>
            <w:r>
              <w:rPr>
                <w:rFonts w:hint="eastAsia" w:ascii="宋体" w:hAnsi="宋体" w:eastAsia="宋体" w:cs="宋体"/>
                <w:sz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9" w:hRule="atLeast"/>
          <w:jc w:val="center"/>
        </w:trPr>
        <w:tc>
          <w:tcPr>
            <w:tcW w:w="9828" w:type="dxa"/>
            <w:gridSpan w:val="6"/>
            <w:noWrap/>
            <w:vAlign w:val="top"/>
          </w:tcPr>
          <w:p>
            <w:pPr>
              <w:jc w:val="center"/>
              <w:rPr>
                <w:rFonts w:hint="eastAsia" w:ascii="宋体" w:hAnsi="宋体" w:eastAsia="宋体" w:cs="宋体"/>
                <w:sz w:val="24"/>
              </w:rPr>
            </w:pPr>
          </w:p>
          <w:p>
            <w:pPr>
              <w:jc w:val="center"/>
              <w:rPr>
                <w:rFonts w:hint="eastAsia" w:ascii="宋体" w:hAnsi="宋体" w:eastAsia="宋体" w:cs="宋体"/>
                <w:sz w:val="24"/>
              </w:rPr>
            </w:pPr>
          </w:p>
          <w:p>
            <w:pPr>
              <w:ind w:firstLine="840" w:firstLineChars="350"/>
              <w:rPr>
                <w:rFonts w:hint="eastAsia" w:ascii="宋体" w:hAnsi="宋体" w:eastAsia="宋体" w:cs="宋体"/>
                <w:sz w:val="24"/>
              </w:rPr>
            </w:pPr>
            <w:r>
              <w:rPr>
                <w:rFonts w:hint="eastAsia" w:ascii="宋体" w:hAnsi="宋体" w:eastAsia="宋体" w:cs="宋体"/>
                <w:sz w:val="24"/>
              </w:rPr>
              <w:t>主要负责人签字 ：                           盖  章：</w:t>
            </w:r>
          </w:p>
          <w:p>
            <w:pPr>
              <w:jc w:val="center"/>
              <w:rPr>
                <w:rFonts w:hint="eastAsia" w:ascii="宋体" w:hAnsi="宋体" w:eastAsia="宋体" w:cs="宋体"/>
                <w:sz w:val="24"/>
              </w:rPr>
            </w:pPr>
          </w:p>
          <w:p>
            <w:pPr>
              <w:ind w:right="480" w:firstLine="5880" w:firstLineChars="2450"/>
              <w:rPr>
                <w:rFonts w:hint="eastAsia" w:ascii="宋体" w:hAnsi="宋体" w:eastAsia="宋体" w:cs="宋体"/>
                <w:sz w:val="24"/>
              </w:rPr>
            </w:pPr>
            <w:r>
              <w:rPr>
                <w:rFonts w:hint="eastAsia" w:ascii="宋体" w:hAnsi="宋体" w:eastAsia="宋体" w:cs="宋体"/>
                <w:sz w:val="24"/>
              </w:rPr>
              <w:t>年   月   日</w:t>
            </w:r>
          </w:p>
        </w:tc>
      </w:tr>
    </w:tbl>
    <w:p>
      <w:pPr>
        <w:pStyle w:val="6"/>
        <w:keepNext w:val="0"/>
        <w:keepLines w:val="0"/>
        <w:adjustRightInd w:val="0"/>
        <w:snapToGrid w:val="0"/>
        <w:spacing w:beforeLines="50" w:after="0" w:line="400" w:lineRule="exact"/>
        <w:rPr>
          <w:rFonts w:ascii="宋体" w:hAnsi="宋体"/>
          <w:sz w:val="24"/>
          <w:szCs w:val="24"/>
        </w:rPr>
      </w:pPr>
      <w:r>
        <w:rPr>
          <w:rFonts w:ascii="宋体" w:hAnsi="宋体"/>
          <w:sz w:val="24"/>
          <w:szCs w:val="24"/>
        </w:rPr>
        <w:t>8. 重新招标和不再招标</w:t>
      </w:r>
      <w:bookmarkEnd w:id="162"/>
      <w:bookmarkEnd w:id="163"/>
      <w:bookmarkEnd w:id="164"/>
      <w:bookmarkEnd w:id="165"/>
    </w:p>
    <w:p>
      <w:pPr>
        <w:pStyle w:val="6"/>
        <w:keepNext w:val="0"/>
        <w:keepLines w:val="0"/>
        <w:adjustRightInd w:val="0"/>
        <w:snapToGrid w:val="0"/>
        <w:spacing w:beforeLines="50" w:after="0" w:line="400" w:lineRule="exact"/>
        <w:rPr>
          <w:rFonts w:ascii="宋体" w:hAnsi="宋体"/>
          <w:sz w:val="24"/>
          <w:szCs w:val="24"/>
        </w:rPr>
      </w:pPr>
      <w:bookmarkStart w:id="166" w:name="_Toc486277905"/>
      <w:bookmarkStart w:id="167" w:name="_Toc4100"/>
      <w:bookmarkStart w:id="168" w:name="_Toc234382635"/>
      <w:bookmarkStart w:id="169" w:name="_Toc485889044"/>
      <w:r>
        <w:rPr>
          <w:rFonts w:ascii="宋体" w:hAnsi="宋体"/>
          <w:sz w:val="24"/>
          <w:szCs w:val="24"/>
        </w:rPr>
        <w:t>8.1 重新招标</w:t>
      </w:r>
      <w:bookmarkEnd w:id="166"/>
      <w:bookmarkEnd w:id="167"/>
      <w:bookmarkEnd w:id="168"/>
      <w:bookmarkEnd w:id="169"/>
    </w:p>
    <w:p>
      <w:pPr>
        <w:adjustRightInd w:val="0"/>
        <w:snapToGrid w:val="0"/>
        <w:spacing w:line="400" w:lineRule="exact"/>
        <w:ind w:firstLine="480" w:firstLineChars="200"/>
        <w:rPr>
          <w:rFonts w:ascii="宋体" w:hAnsi="宋体"/>
          <w:sz w:val="24"/>
        </w:rPr>
      </w:pPr>
      <w:r>
        <w:rPr>
          <w:rFonts w:ascii="宋体" w:hAnsi="宋体"/>
          <w:sz w:val="24"/>
        </w:rPr>
        <w:t>有下列情形之一的，招标人将重新招标：</w:t>
      </w:r>
    </w:p>
    <w:p>
      <w:pPr>
        <w:adjustRightInd w:val="0"/>
        <w:snapToGrid w:val="0"/>
        <w:spacing w:line="400" w:lineRule="exact"/>
        <w:ind w:firstLine="480" w:firstLineChars="200"/>
        <w:rPr>
          <w:rFonts w:ascii="宋体" w:hAnsi="宋体"/>
          <w:sz w:val="24"/>
        </w:rPr>
      </w:pPr>
      <w:r>
        <w:rPr>
          <w:rFonts w:ascii="宋体" w:hAnsi="宋体"/>
          <w:sz w:val="24"/>
        </w:rPr>
        <w:t>（1）投标截止时间止，投标人少于3个的；</w:t>
      </w:r>
    </w:p>
    <w:p>
      <w:pPr>
        <w:adjustRightInd w:val="0"/>
        <w:snapToGrid w:val="0"/>
        <w:spacing w:line="400" w:lineRule="exact"/>
        <w:ind w:firstLine="480" w:firstLineChars="200"/>
        <w:rPr>
          <w:rFonts w:ascii="宋体" w:hAnsi="宋体"/>
          <w:sz w:val="24"/>
        </w:rPr>
      </w:pPr>
      <w:r>
        <w:rPr>
          <w:rFonts w:ascii="宋体" w:hAnsi="宋体"/>
          <w:sz w:val="24"/>
        </w:rPr>
        <w:t>（2）经评标委员会评审后否决所有投标的</w:t>
      </w:r>
      <w:r>
        <w:rPr>
          <w:rFonts w:hint="eastAsia" w:ascii="宋体" w:hAnsi="宋体"/>
          <w:sz w:val="24"/>
        </w:rPr>
        <w:t>；</w:t>
      </w:r>
    </w:p>
    <w:p>
      <w:pPr>
        <w:adjustRightInd w:val="0"/>
        <w:snapToGrid w:val="0"/>
        <w:spacing w:line="400" w:lineRule="exact"/>
        <w:ind w:firstLine="480" w:firstLineChars="200"/>
        <w:rPr>
          <w:rFonts w:ascii="宋体" w:hAnsi="宋体"/>
          <w:sz w:val="24"/>
        </w:rPr>
      </w:pPr>
      <w:r>
        <w:rPr>
          <w:rFonts w:hint="eastAsia" w:ascii="宋体" w:hAnsi="宋体"/>
          <w:sz w:val="24"/>
        </w:rPr>
        <w:t>（3）中标候选人均未与招标人签订合同的；</w:t>
      </w:r>
    </w:p>
    <w:p>
      <w:pPr>
        <w:adjustRightInd w:val="0"/>
        <w:snapToGrid w:val="0"/>
        <w:spacing w:line="400" w:lineRule="exact"/>
        <w:ind w:firstLine="480" w:firstLineChars="200"/>
        <w:rPr>
          <w:rFonts w:ascii="宋体" w:hAnsi="宋体"/>
          <w:sz w:val="24"/>
        </w:rPr>
      </w:pPr>
      <w:r>
        <w:rPr>
          <w:rFonts w:hint="eastAsia" w:ascii="宋体" w:hAnsi="宋体"/>
          <w:sz w:val="24"/>
        </w:rPr>
        <w:t>（4）法律规定的其他情形。</w:t>
      </w:r>
    </w:p>
    <w:p>
      <w:pPr>
        <w:pStyle w:val="6"/>
        <w:keepNext w:val="0"/>
        <w:keepLines w:val="0"/>
        <w:adjustRightInd w:val="0"/>
        <w:snapToGrid w:val="0"/>
        <w:spacing w:beforeLines="50" w:after="0" w:line="400" w:lineRule="exact"/>
        <w:rPr>
          <w:rFonts w:ascii="宋体" w:hAnsi="宋体"/>
          <w:sz w:val="24"/>
          <w:szCs w:val="24"/>
        </w:rPr>
      </w:pPr>
      <w:bookmarkStart w:id="170" w:name="_Toc234382636"/>
      <w:bookmarkStart w:id="171" w:name="_Toc485889045"/>
      <w:bookmarkStart w:id="172" w:name="_Toc486277906"/>
      <w:bookmarkStart w:id="173" w:name="_Toc21063"/>
      <w:r>
        <w:rPr>
          <w:rFonts w:ascii="宋体" w:hAnsi="宋体"/>
          <w:sz w:val="24"/>
          <w:szCs w:val="24"/>
        </w:rPr>
        <w:t>8.2 不再招标</w:t>
      </w:r>
      <w:bookmarkEnd w:id="170"/>
      <w:bookmarkEnd w:id="171"/>
      <w:bookmarkEnd w:id="172"/>
      <w:bookmarkEnd w:id="173"/>
    </w:p>
    <w:p>
      <w:pPr>
        <w:adjustRightInd w:val="0"/>
        <w:snapToGrid w:val="0"/>
        <w:spacing w:line="400" w:lineRule="exact"/>
        <w:ind w:firstLine="480" w:firstLineChars="200"/>
        <w:rPr>
          <w:rFonts w:ascii="宋体" w:hAnsi="宋体"/>
          <w:sz w:val="24"/>
        </w:rPr>
      </w:pPr>
      <w:r>
        <w:rPr>
          <w:rFonts w:ascii="宋体" w:hAnsi="宋体"/>
          <w:sz w:val="24"/>
        </w:rPr>
        <w:t>重新招标后投标人仍少于3 个或者所有投标被否决的，属于必须审批或核准的工程建设项目，经原审批或核准部门批准后不再进行招标。</w:t>
      </w:r>
    </w:p>
    <w:p>
      <w:pPr>
        <w:pStyle w:val="6"/>
        <w:keepNext w:val="0"/>
        <w:keepLines w:val="0"/>
        <w:adjustRightInd w:val="0"/>
        <w:snapToGrid w:val="0"/>
        <w:spacing w:beforeLines="50" w:after="0" w:line="400" w:lineRule="exact"/>
        <w:rPr>
          <w:rFonts w:ascii="宋体" w:hAnsi="宋体"/>
          <w:sz w:val="24"/>
          <w:szCs w:val="24"/>
        </w:rPr>
      </w:pPr>
      <w:bookmarkStart w:id="174" w:name="_Toc234382637"/>
      <w:bookmarkStart w:id="175" w:name="_Toc486277907"/>
      <w:bookmarkStart w:id="176" w:name="_Toc485889046"/>
      <w:bookmarkStart w:id="177" w:name="_Toc32202"/>
      <w:r>
        <w:rPr>
          <w:rFonts w:ascii="宋体" w:hAnsi="宋体"/>
          <w:sz w:val="24"/>
          <w:szCs w:val="24"/>
        </w:rPr>
        <w:t>9. 纪律和监督</w:t>
      </w:r>
      <w:bookmarkEnd w:id="174"/>
      <w:bookmarkEnd w:id="175"/>
      <w:bookmarkEnd w:id="176"/>
      <w:bookmarkEnd w:id="177"/>
    </w:p>
    <w:p>
      <w:pPr>
        <w:pStyle w:val="6"/>
        <w:keepNext w:val="0"/>
        <w:keepLines w:val="0"/>
        <w:adjustRightInd w:val="0"/>
        <w:snapToGrid w:val="0"/>
        <w:spacing w:beforeLines="50" w:after="0" w:line="400" w:lineRule="exact"/>
        <w:rPr>
          <w:rFonts w:ascii="宋体" w:hAnsi="宋体"/>
          <w:sz w:val="24"/>
          <w:szCs w:val="24"/>
        </w:rPr>
      </w:pPr>
      <w:bookmarkStart w:id="178" w:name="_Toc234382638"/>
      <w:bookmarkStart w:id="179" w:name="_Toc486277908"/>
      <w:bookmarkStart w:id="180" w:name="_Toc23625"/>
      <w:bookmarkStart w:id="181" w:name="_Toc485889047"/>
      <w:r>
        <w:rPr>
          <w:rFonts w:ascii="宋体" w:hAnsi="宋体"/>
          <w:sz w:val="24"/>
          <w:szCs w:val="24"/>
        </w:rPr>
        <w:t>9.1 对招标人的纪律要求</w:t>
      </w:r>
      <w:bookmarkEnd w:id="178"/>
      <w:bookmarkEnd w:id="179"/>
      <w:bookmarkEnd w:id="180"/>
      <w:bookmarkEnd w:id="181"/>
    </w:p>
    <w:p>
      <w:pPr>
        <w:adjustRightInd w:val="0"/>
        <w:snapToGrid w:val="0"/>
        <w:spacing w:line="400" w:lineRule="exact"/>
        <w:ind w:firstLine="480" w:firstLineChars="200"/>
        <w:rPr>
          <w:rFonts w:ascii="宋体" w:hAnsi="宋体"/>
          <w:sz w:val="24"/>
        </w:rPr>
      </w:pPr>
      <w:r>
        <w:rPr>
          <w:rFonts w:ascii="宋体" w:hAnsi="宋体"/>
          <w:sz w:val="24"/>
        </w:rPr>
        <w:t>招标人不得泄漏招标投标活动中应当保密的情况和资料，不得与投标人串通损害国家利益、社会公共利益或者他人合法权益。</w:t>
      </w:r>
    </w:p>
    <w:p>
      <w:pPr>
        <w:pStyle w:val="6"/>
        <w:keepNext w:val="0"/>
        <w:keepLines w:val="0"/>
        <w:adjustRightInd w:val="0"/>
        <w:snapToGrid w:val="0"/>
        <w:spacing w:beforeLines="50" w:after="0" w:line="400" w:lineRule="exact"/>
        <w:rPr>
          <w:rFonts w:ascii="宋体" w:hAnsi="宋体"/>
          <w:sz w:val="24"/>
          <w:szCs w:val="24"/>
        </w:rPr>
      </w:pPr>
      <w:bookmarkStart w:id="182" w:name="_Toc13796"/>
      <w:bookmarkStart w:id="183" w:name="_Toc486277909"/>
      <w:bookmarkStart w:id="184" w:name="_Toc485889048"/>
      <w:bookmarkStart w:id="185" w:name="_Toc234382639"/>
      <w:r>
        <w:rPr>
          <w:rFonts w:ascii="宋体" w:hAnsi="宋体"/>
          <w:sz w:val="24"/>
          <w:szCs w:val="24"/>
        </w:rPr>
        <w:t>9.2 对投标人的纪律要求</w:t>
      </w:r>
      <w:bookmarkEnd w:id="182"/>
      <w:bookmarkEnd w:id="183"/>
      <w:bookmarkEnd w:id="184"/>
      <w:bookmarkEnd w:id="185"/>
    </w:p>
    <w:p>
      <w:pPr>
        <w:adjustRightInd w:val="0"/>
        <w:snapToGrid w:val="0"/>
        <w:spacing w:line="400" w:lineRule="exact"/>
        <w:ind w:firstLine="480" w:firstLineChars="200"/>
        <w:rPr>
          <w:rFonts w:ascii="宋体" w:hAnsi="宋体"/>
          <w:sz w:val="24"/>
        </w:rPr>
      </w:pPr>
      <w:r>
        <w:rPr>
          <w:rFonts w:ascii="宋体" w:hAnsi="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6"/>
        <w:keepNext w:val="0"/>
        <w:keepLines w:val="0"/>
        <w:adjustRightInd w:val="0"/>
        <w:snapToGrid w:val="0"/>
        <w:spacing w:beforeLines="50" w:after="0" w:line="400" w:lineRule="exact"/>
        <w:rPr>
          <w:rFonts w:ascii="宋体" w:hAnsi="宋体"/>
          <w:sz w:val="24"/>
          <w:szCs w:val="24"/>
        </w:rPr>
      </w:pPr>
      <w:bookmarkStart w:id="186" w:name="_Toc486277910"/>
      <w:bookmarkStart w:id="187" w:name="_Toc16702"/>
      <w:bookmarkStart w:id="188" w:name="_Toc234382640"/>
      <w:bookmarkStart w:id="189" w:name="_Toc485889049"/>
      <w:r>
        <w:rPr>
          <w:rFonts w:ascii="宋体" w:hAnsi="宋体"/>
          <w:sz w:val="24"/>
          <w:szCs w:val="24"/>
        </w:rPr>
        <w:t>9.3 对评标委员会成员的纪律要求</w:t>
      </w:r>
      <w:bookmarkEnd w:id="186"/>
      <w:bookmarkEnd w:id="187"/>
      <w:bookmarkEnd w:id="188"/>
      <w:bookmarkEnd w:id="189"/>
    </w:p>
    <w:p>
      <w:pPr>
        <w:adjustRightInd w:val="0"/>
        <w:snapToGrid w:val="0"/>
        <w:spacing w:line="400" w:lineRule="exact"/>
        <w:ind w:firstLine="480" w:firstLineChars="200"/>
        <w:rPr>
          <w:rFonts w:ascii="宋体" w:hAnsi="宋体"/>
          <w:sz w:val="24"/>
        </w:rPr>
      </w:pPr>
      <w:r>
        <w:rPr>
          <w:rFonts w:ascii="宋体" w:hAnsi="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6"/>
        <w:keepNext w:val="0"/>
        <w:keepLines w:val="0"/>
        <w:adjustRightInd w:val="0"/>
        <w:snapToGrid w:val="0"/>
        <w:spacing w:beforeLines="50" w:after="0" w:line="400" w:lineRule="exact"/>
        <w:rPr>
          <w:rFonts w:ascii="宋体" w:hAnsi="宋体"/>
          <w:sz w:val="24"/>
          <w:szCs w:val="24"/>
        </w:rPr>
      </w:pPr>
      <w:bookmarkStart w:id="190" w:name="_Toc234382641"/>
      <w:bookmarkStart w:id="191" w:name="_Toc486277911"/>
      <w:bookmarkStart w:id="192" w:name="_Toc12383"/>
      <w:bookmarkStart w:id="193" w:name="_Toc485889050"/>
      <w:r>
        <w:rPr>
          <w:rFonts w:ascii="宋体" w:hAnsi="宋体"/>
          <w:sz w:val="24"/>
          <w:szCs w:val="24"/>
        </w:rPr>
        <w:t>9.4 对与评标活动有关的工作人员的纪律要求</w:t>
      </w:r>
      <w:bookmarkEnd w:id="190"/>
      <w:bookmarkEnd w:id="191"/>
      <w:bookmarkEnd w:id="192"/>
      <w:bookmarkEnd w:id="193"/>
    </w:p>
    <w:p>
      <w:pPr>
        <w:adjustRightInd w:val="0"/>
        <w:snapToGrid w:val="0"/>
        <w:spacing w:line="400" w:lineRule="exact"/>
        <w:ind w:firstLine="480" w:firstLineChars="200"/>
        <w:rPr>
          <w:rFonts w:ascii="宋体" w:hAnsi="宋体"/>
          <w:sz w:val="24"/>
        </w:rPr>
      </w:pPr>
      <w:r>
        <w:rPr>
          <w:rFonts w:ascii="宋体" w:hAnsi="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6"/>
        <w:keepNext w:val="0"/>
        <w:keepLines w:val="0"/>
        <w:adjustRightInd w:val="0"/>
        <w:snapToGrid w:val="0"/>
        <w:spacing w:beforeLines="50" w:after="0" w:line="400" w:lineRule="exact"/>
        <w:rPr>
          <w:rFonts w:ascii="宋体" w:hAnsi="宋体"/>
          <w:sz w:val="24"/>
          <w:szCs w:val="24"/>
        </w:rPr>
      </w:pPr>
      <w:bookmarkStart w:id="194" w:name="_Toc486277912"/>
      <w:bookmarkStart w:id="195" w:name="_Toc485889051"/>
      <w:bookmarkStart w:id="196" w:name="_Toc25179"/>
      <w:bookmarkStart w:id="197" w:name="_Toc234382642"/>
      <w:r>
        <w:rPr>
          <w:rFonts w:ascii="宋体" w:hAnsi="宋体"/>
          <w:sz w:val="24"/>
          <w:szCs w:val="24"/>
        </w:rPr>
        <w:t>9.5 投诉</w:t>
      </w:r>
      <w:bookmarkEnd w:id="194"/>
      <w:bookmarkEnd w:id="195"/>
      <w:bookmarkEnd w:id="196"/>
      <w:bookmarkEnd w:id="197"/>
    </w:p>
    <w:p>
      <w:pPr>
        <w:adjustRightInd w:val="0"/>
        <w:snapToGrid w:val="0"/>
        <w:spacing w:line="400" w:lineRule="exact"/>
        <w:ind w:firstLine="480" w:firstLineChars="200"/>
        <w:rPr>
          <w:rFonts w:ascii="宋体" w:hAnsi="宋体"/>
          <w:sz w:val="24"/>
        </w:rPr>
      </w:pPr>
      <w:r>
        <w:rPr>
          <w:rFonts w:ascii="宋体" w:hAnsi="宋体"/>
          <w:sz w:val="24"/>
        </w:rPr>
        <w:t>投标人和其他利害关系人认为本次招标活动违反法律、法规和规章规定的，有权向有关行政监督部门投诉。</w:t>
      </w:r>
    </w:p>
    <w:p>
      <w:pPr>
        <w:pStyle w:val="6"/>
        <w:keepNext w:val="0"/>
        <w:keepLines w:val="0"/>
        <w:adjustRightInd w:val="0"/>
        <w:snapToGrid w:val="0"/>
        <w:spacing w:beforeLines="50" w:after="0" w:line="400" w:lineRule="exact"/>
        <w:rPr>
          <w:rFonts w:ascii="宋体" w:hAnsi="宋体"/>
          <w:sz w:val="24"/>
          <w:szCs w:val="24"/>
        </w:rPr>
      </w:pPr>
      <w:bookmarkStart w:id="198" w:name="_Toc30072"/>
      <w:bookmarkStart w:id="199" w:name="_Toc234382643"/>
      <w:bookmarkStart w:id="200" w:name="_Toc485889052"/>
      <w:bookmarkStart w:id="201" w:name="_Toc486277913"/>
      <w:r>
        <w:rPr>
          <w:rFonts w:ascii="宋体" w:hAnsi="宋体"/>
          <w:sz w:val="24"/>
          <w:szCs w:val="24"/>
        </w:rPr>
        <w:t>10. 需要补充的其他内容</w:t>
      </w:r>
      <w:bookmarkEnd w:id="198"/>
      <w:bookmarkEnd w:id="199"/>
      <w:bookmarkEnd w:id="200"/>
      <w:bookmarkEnd w:id="201"/>
    </w:p>
    <w:p>
      <w:pPr>
        <w:adjustRightInd w:val="0"/>
        <w:snapToGrid w:val="0"/>
        <w:spacing w:line="400" w:lineRule="exact"/>
        <w:ind w:firstLine="480" w:firstLineChars="200"/>
        <w:rPr>
          <w:rFonts w:ascii="宋体" w:hAnsi="宋体"/>
          <w:sz w:val="24"/>
        </w:rPr>
      </w:pPr>
      <w:r>
        <w:rPr>
          <w:rFonts w:ascii="宋体" w:hAnsi="宋体"/>
          <w:sz w:val="24"/>
        </w:rPr>
        <w:t>需要补充的其他内容：见投标人须知前附表。</w:t>
      </w:r>
    </w:p>
    <w:p>
      <w:pPr>
        <w:widowControl/>
        <w:spacing w:line="360" w:lineRule="auto"/>
        <w:ind w:right="714"/>
        <w:jc w:val="center"/>
        <w:rPr>
          <w:rFonts w:ascii="宋体" w:hAnsi="宋体"/>
          <w:sz w:val="24"/>
        </w:rPr>
      </w:pPr>
      <w:bookmarkStart w:id="202" w:name="_Toc234382644"/>
      <w:r>
        <w:rPr>
          <w:rFonts w:ascii="宋体" w:hAnsi="宋体"/>
          <w:sz w:val="24"/>
        </w:rPr>
        <w:br w:type="page"/>
      </w:r>
    </w:p>
    <w:bookmarkEnd w:id="202"/>
    <w:p>
      <w:pPr>
        <w:adjustRightInd w:val="0"/>
        <w:snapToGrid w:val="0"/>
        <w:spacing w:line="400" w:lineRule="exact"/>
        <w:rPr>
          <w:rFonts w:hint="eastAsia" w:ascii="黑体" w:hAnsi="黑体" w:eastAsia="黑体"/>
          <w:b/>
          <w:bCs/>
          <w:sz w:val="32"/>
          <w:szCs w:val="32"/>
        </w:rPr>
      </w:pPr>
    </w:p>
    <w:p>
      <w:pPr>
        <w:adjustRightInd w:val="0"/>
        <w:snapToGrid w:val="0"/>
        <w:spacing w:line="400" w:lineRule="exact"/>
        <w:rPr>
          <w:rFonts w:ascii="黑体" w:hAnsi="黑体" w:eastAsia="黑体"/>
          <w:b/>
          <w:bCs/>
          <w:sz w:val="32"/>
          <w:szCs w:val="32"/>
        </w:rPr>
      </w:pPr>
      <w:r>
        <w:rPr>
          <w:rFonts w:hint="eastAsia" w:ascii="黑体" w:hAnsi="黑体" w:eastAsia="黑体"/>
          <w:b/>
          <w:bCs/>
          <w:sz w:val="32"/>
          <w:szCs w:val="32"/>
        </w:rPr>
        <w:t>附件一：投标保证金</w:t>
      </w:r>
    </w:p>
    <w:tbl>
      <w:tblPr>
        <w:tblStyle w:val="14"/>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hint="eastAsia" w:ascii="仿宋_GB2312" w:hAnsi="宋体" w:eastAsia="仿宋_GB2312" w:cs="宋体"/>
                <w:sz w:val="24"/>
                <w:szCs w:val="22"/>
              </w:rPr>
            </w:pPr>
            <w:r>
              <w:rPr>
                <w:rFonts w:hint="eastAsia" w:ascii="仿宋_GB2312" w:hAnsi="宋体" w:eastAsia="仿宋_GB2312" w:cs="宋体"/>
                <w:sz w:val="24"/>
                <w:szCs w:val="22"/>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hint="eastAsia" w:ascii="仿宋_GB2312" w:hAnsi="宋体" w:eastAsia="仿宋_GB2312" w:cs="宋体"/>
                <w:sz w:val="24"/>
                <w:szCs w:val="22"/>
              </w:rPr>
            </w:pPr>
            <w:r>
              <w:rPr>
                <w:rFonts w:hint="eastAsia" w:ascii="仿宋_GB2312" w:hAnsi="宋体" w:eastAsia="仿宋_GB2312" w:cs="宋体"/>
                <w:sz w:val="24"/>
                <w:szCs w:val="22"/>
                <w:lang w:eastAsia="zh-CN"/>
              </w:rPr>
              <w:t>建安建工公字〔20</w:t>
            </w:r>
            <w:r>
              <w:rPr>
                <w:rFonts w:hint="eastAsia" w:ascii="仿宋_GB2312" w:hAnsi="宋体" w:eastAsia="仿宋_GB2312" w:cs="宋体"/>
                <w:sz w:val="24"/>
                <w:szCs w:val="22"/>
                <w:lang w:val="en-US" w:eastAsia="zh-CN"/>
              </w:rPr>
              <w:t>20</w:t>
            </w:r>
            <w:r>
              <w:rPr>
                <w:rFonts w:hint="eastAsia" w:ascii="仿宋_GB2312" w:hAnsi="宋体" w:eastAsia="仿宋_GB2312" w:cs="宋体"/>
                <w:sz w:val="24"/>
                <w:szCs w:val="22"/>
                <w:lang w:eastAsia="zh-CN"/>
              </w:rPr>
              <w:t>〕</w:t>
            </w:r>
            <w:r>
              <w:rPr>
                <w:rFonts w:hint="eastAsia" w:ascii="仿宋_GB2312" w:hAnsi="宋体" w:eastAsia="仿宋_GB2312" w:cs="宋体"/>
                <w:sz w:val="24"/>
                <w:szCs w:val="22"/>
                <w:lang w:val="en-US" w:eastAsia="zh-CN"/>
              </w:rPr>
              <w:t xml:space="preserve">13 </w:t>
            </w:r>
            <w:r>
              <w:rPr>
                <w:rFonts w:hint="eastAsia" w:ascii="仿宋_GB2312" w:hAnsi="宋体" w:eastAsia="仿宋_GB2312" w:cs="宋体"/>
                <w:sz w:val="24"/>
                <w:szCs w:val="22"/>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rPr>
                <w:rFonts w:ascii="仿宋_GB2312" w:hAnsi="宋体" w:eastAsia="仿宋_GB2312" w:cs="宋体"/>
                <w:sz w:val="24"/>
                <w:szCs w:val="22"/>
              </w:rPr>
            </w:pPr>
            <w:r>
              <w:rPr>
                <w:rFonts w:hint="eastAsia" w:ascii="仿宋_GB2312" w:hAnsi="宋体" w:eastAsia="仿宋_GB2312" w:cs="宋体"/>
                <w:sz w:val="24"/>
                <w:szCs w:val="22"/>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napToGrid w:val="0"/>
              <w:spacing w:line="500" w:lineRule="exact"/>
              <w:ind w:firstLine="720" w:firstLineChars="300"/>
              <w:rPr>
                <w:rFonts w:hint="eastAsia" w:ascii="仿宋_GB2312" w:hAnsi="宋体" w:eastAsia="仿宋_GB2312" w:cs="宋体"/>
                <w:sz w:val="24"/>
                <w:szCs w:val="22"/>
                <w:lang w:eastAsia="zh-CN"/>
              </w:rPr>
            </w:pPr>
            <w:r>
              <w:rPr>
                <w:rFonts w:hint="eastAsia" w:ascii="仿宋_GB2312" w:hAnsi="宋体" w:eastAsia="仿宋_GB2312" w:cs="宋体"/>
                <w:sz w:val="24"/>
                <w:szCs w:val="22"/>
                <w:lang w:eastAsia="zh-CN"/>
              </w:rPr>
              <w:t>2020年中、省、市专项扶贫资金项目（4-6标段）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rPr>
                <w:rFonts w:ascii="仿宋_GB2312" w:hAnsi="宋体" w:eastAsia="仿宋_GB2312" w:cs="宋体"/>
                <w:sz w:val="24"/>
                <w:szCs w:val="22"/>
              </w:rPr>
            </w:pPr>
            <w:r>
              <w:rPr>
                <w:rFonts w:hint="eastAsia" w:ascii="仿宋_GB2312" w:hAnsi="宋体" w:eastAsia="仿宋_GB2312" w:cs="宋体"/>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pStyle w:val="2"/>
              <w:ind w:firstLine="2400" w:firstLineChars="1000"/>
              <w:jc w:val="left"/>
              <w:rPr>
                <w:rFonts w:hint="eastAsia" w:ascii="仿宋_GB2312" w:hAnsi="宋体" w:eastAsia="仿宋_GB2312" w:cs="宋体"/>
                <w:kern w:val="2"/>
                <w:sz w:val="24"/>
                <w:szCs w:val="22"/>
                <w:lang w:val="en-US" w:eastAsia="zh-CN" w:bidi="ar-SA"/>
              </w:rPr>
            </w:pPr>
            <w:r>
              <w:rPr>
                <w:rFonts w:hint="eastAsia" w:ascii="仿宋_GB2312" w:hAnsi="宋体" w:eastAsia="仿宋_GB2312" w:cs="宋体"/>
                <w:kern w:val="2"/>
                <w:sz w:val="24"/>
                <w:szCs w:val="22"/>
                <w:lang w:val="en-US" w:eastAsia="zh-CN" w:bidi="ar-SA"/>
              </w:rPr>
              <w:t>/</w:t>
            </w:r>
          </w:p>
          <w:p>
            <w:pPr>
              <w:tabs>
                <w:tab w:val="center" w:pos="3867"/>
              </w:tabs>
              <w:spacing w:line="312" w:lineRule="auto"/>
              <w:ind w:firstLine="960" w:firstLineChars="400"/>
              <w:jc w:val="left"/>
              <w:rPr>
                <w:rFonts w:hint="eastAsia" w:ascii="仿宋_GB2312" w:hAnsi="宋体" w:eastAsia="仿宋_GB2312" w:cs="宋体"/>
                <w:kern w:val="2"/>
                <w:sz w:val="24"/>
                <w:szCs w:val="22"/>
                <w:lang w:val="en-US" w:eastAsia="zh-CN" w:bidi="ar-SA"/>
              </w:rPr>
            </w:pPr>
            <w:r>
              <w:rPr>
                <w:rFonts w:hint="eastAsia" w:ascii="仿宋_GB2312" w:hAnsi="宋体" w:eastAsia="仿宋_GB2312" w:cs="宋体"/>
                <w:kern w:val="2"/>
                <w:sz w:val="24"/>
                <w:szCs w:val="22"/>
                <w:lang w:val="en-US" w:eastAsia="zh-CN" w:bidi="ar-SA"/>
              </w:rPr>
              <w:t xml:space="preserve"> </w:t>
            </w:r>
          </w:p>
          <w:p>
            <w:pPr>
              <w:adjustRightInd w:val="0"/>
              <w:snapToGrid w:val="0"/>
              <w:spacing w:line="500" w:lineRule="exact"/>
              <w:ind w:firstLine="960" w:firstLineChars="400"/>
              <w:rPr>
                <w:rFonts w:hint="eastAsia" w:ascii="仿宋_GB2312" w:hAnsi="宋体" w:eastAsia="仿宋_GB2312" w:cs="宋体"/>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rPr>
                <w:rFonts w:ascii="仿宋_GB2312" w:hAnsi="宋体" w:eastAsia="仿宋_GB2312" w:cs="宋体"/>
                <w:sz w:val="24"/>
              </w:rPr>
            </w:pPr>
            <w:r>
              <w:rPr>
                <w:rFonts w:hint="eastAsia" w:ascii="仿宋_GB2312" w:hAnsi="宋体" w:eastAsia="仿宋_GB2312" w:cs="宋体"/>
                <w:sz w:val="24"/>
              </w:rPr>
              <w:t>投标保证金</w:t>
            </w:r>
          </w:p>
          <w:p>
            <w:pPr>
              <w:adjustRightInd w:val="0"/>
              <w:snapToGrid w:val="0"/>
              <w:spacing w:line="500" w:lineRule="exact"/>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rPr>
                <w:rFonts w:hint="eastAsia" w:ascii="仿宋_GB2312" w:hAnsi="宋体" w:eastAsia="仿宋_GB2312" w:cs="宋体"/>
                <w:sz w:val="24"/>
                <w:szCs w:val="22"/>
              </w:rPr>
            </w:pPr>
            <w:r>
              <w:rPr>
                <w:rFonts w:hint="eastAsia" w:ascii="仿宋_GB2312" w:hAnsi="宋体" w:eastAsia="仿宋_GB2312" w:cs="宋体"/>
                <w:sz w:val="24"/>
                <w:szCs w:val="22"/>
              </w:rPr>
              <w:t>金额：</w:t>
            </w:r>
            <w:r>
              <w:rPr>
                <w:rFonts w:hint="eastAsia" w:ascii="仿宋_GB2312" w:hAnsi="宋体" w:eastAsia="仿宋_GB2312" w:cs="宋体"/>
                <w:sz w:val="24"/>
                <w:szCs w:val="22"/>
                <w:lang w:eastAsia="zh-CN"/>
              </w:rPr>
              <w:t>四标段：</w:t>
            </w:r>
            <w:r>
              <w:rPr>
                <w:rFonts w:hint="eastAsia" w:ascii="仿宋_GB2312" w:hAnsi="宋体" w:eastAsia="仿宋_GB2312" w:cs="宋体"/>
                <w:sz w:val="24"/>
                <w:szCs w:val="22"/>
              </w:rPr>
              <w:t>人民币</w:t>
            </w:r>
            <w:r>
              <w:rPr>
                <w:rFonts w:hint="eastAsia" w:ascii="仿宋_GB2312" w:hAnsi="宋体" w:eastAsia="仿宋_GB2312" w:cs="宋体"/>
                <w:sz w:val="24"/>
                <w:szCs w:val="22"/>
                <w:lang w:eastAsia="zh-CN"/>
              </w:rPr>
              <w:t>柒</w:t>
            </w:r>
            <w:r>
              <w:rPr>
                <w:rFonts w:hint="eastAsia" w:ascii="仿宋_GB2312" w:hAnsi="宋体" w:eastAsia="仿宋_GB2312" w:cs="宋体"/>
                <w:sz w:val="24"/>
                <w:szCs w:val="22"/>
              </w:rPr>
              <w:t>万元整（</w:t>
            </w:r>
            <w:r>
              <w:rPr>
                <w:rFonts w:hint="eastAsia" w:ascii="仿宋_GB2312" w:hAnsi="宋体" w:eastAsia="仿宋_GB2312" w:cs="宋体"/>
                <w:sz w:val="24"/>
                <w:szCs w:val="22"/>
                <w:lang w:val="en-US" w:eastAsia="zh-CN"/>
              </w:rPr>
              <w:t>7</w:t>
            </w:r>
            <w:r>
              <w:rPr>
                <w:rFonts w:hint="eastAsia" w:ascii="仿宋_GB2312" w:hAnsi="宋体" w:eastAsia="仿宋_GB2312" w:cs="宋体"/>
                <w:sz w:val="24"/>
                <w:szCs w:val="22"/>
              </w:rPr>
              <w:t>0000.00元）</w:t>
            </w:r>
          </w:p>
          <w:p>
            <w:pPr>
              <w:adjustRightInd w:val="0"/>
              <w:snapToGrid w:val="0"/>
              <w:spacing w:line="500" w:lineRule="exact"/>
              <w:rPr>
                <w:rFonts w:hint="eastAsia" w:ascii="仿宋_GB2312" w:hAnsi="宋体" w:eastAsia="仿宋_GB2312" w:cs="宋体"/>
                <w:sz w:val="24"/>
                <w:szCs w:val="22"/>
                <w:lang w:eastAsia="zh-CN"/>
              </w:rPr>
            </w:pPr>
            <w:r>
              <w:rPr>
                <w:rFonts w:hint="eastAsia" w:ascii="仿宋_GB2312" w:hAnsi="宋体" w:eastAsia="仿宋_GB2312" w:cs="宋体"/>
                <w:sz w:val="24"/>
                <w:szCs w:val="22"/>
                <w:lang w:val="en-US" w:eastAsia="zh-CN"/>
              </w:rPr>
              <w:t xml:space="preserve">   </w:t>
            </w:r>
            <w:r>
              <w:rPr>
                <w:rFonts w:hint="eastAsia" w:ascii="仿宋_GB2312" w:hAnsi="宋体" w:eastAsia="仿宋_GB2312" w:cs="宋体"/>
                <w:sz w:val="24"/>
                <w:szCs w:val="22"/>
                <w:lang w:eastAsia="zh-CN"/>
              </w:rPr>
              <w:t>五标段：</w:t>
            </w:r>
            <w:r>
              <w:rPr>
                <w:rFonts w:hint="eastAsia" w:ascii="仿宋_GB2312" w:hAnsi="宋体" w:eastAsia="仿宋_GB2312" w:cs="宋体"/>
                <w:sz w:val="24"/>
                <w:szCs w:val="22"/>
              </w:rPr>
              <w:t>人民币</w:t>
            </w:r>
            <w:r>
              <w:rPr>
                <w:rFonts w:hint="eastAsia" w:ascii="仿宋_GB2312" w:hAnsi="宋体" w:eastAsia="仿宋_GB2312" w:cs="宋体"/>
                <w:sz w:val="24"/>
                <w:szCs w:val="22"/>
                <w:lang w:eastAsia="zh-CN"/>
              </w:rPr>
              <w:t>叁</w:t>
            </w:r>
            <w:r>
              <w:rPr>
                <w:rFonts w:hint="eastAsia" w:ascii="仿宋_GB2312" w:hAnsi="宋体" w:eastAsia="仿宋_GB2312" w:cs="宋体"/>
                <w:sz w:val="24"/>
                <w:szCs w:val="22"/>
              </w:rPr>
              <w:t>万元整（</w:t>
            </w:r>
            <w:r>
              <w:rPr>
                <w:rFonts w:hint="eastAsia" w:ascii="仿宋_GB2312" w:hAnsi="宋体" w:eastAsia="仿宋_GB2312" w:cs="宋体"/>
                <w:sz w:val="24"/>
                <w:szCs w:val="22"/>
                <w:lang w:val="en-US" w:eastAsia="zh-CN"/>
              </w:rPr>
              <w:t>3</w:t>
            </w:r>
            <w:r>
              <w:rPr>
                <w:rFonts w:hint="eastAsia" w:ascii="仿宋_GB2312" w:hAnsi="宋体" w:eastAsia="仿宋_GB2312" w:cs="宋体"/>
                <w:sz w:val="24"/>
                <w:szCs w:val="22"/>
              </w:rPr>
              <w:t>0000.00元）</w:t>
            </w:r>
          </w:p>
          <w:p>
            <w:pPr>
              <w:adjustRightInd w:val="0"/>
              <w:snapToGrid w:val="0"/>
              <w:spacing w:line="500" w:lineRule="exact"/>
              <w:rPr>
                <w:rFonts w:hint="eastAsia"/>
                <w:lang w:val="en-US" w:eastAsia="zh-CN"/>
              </w:rPr>
            </w:pPr>
            <w:r>
              <w:rPr>
                <w:rFonts w:hint="eastAsia" w:ascii="仿宋_GB2312" w:hAnsi="宋体" w:eastAsia="仿宋_GB2312" w:cs="宋体"/>
                <w:sz w:val="24"/>
                <w:szCs w:val="22"/>
                <w:lang w:val="en-US" w:eastAsia="zh-CN"/>
              </w:rPr>
              <w:t xml:space="preserve">   </w:t>
            </w:r>
            <w:r>
              <w:rPr>
                <w:rFonts w:hint="eastAsia" w:ascii="仿宋_GB2312" w:hAnsi="宋体" w:eastAsia="仿宋_GB2312" w:cs="宋体"/>
                <w:sz w:val="24"/>
                <w:szCs w:val="22"/>
                <w:lang w:eastAsia="zh-CN"/>
              </w:rPr>
              <w:t>六标段：</w:t>
            </w:r>
            <w:r>
              <w:rPr>
                <w:rFonts w:hint="eastAsia" w:ascii="仿宋_GB2312" w:hAnsi="宋体" w:eastAsia="仿宋_GB2312" w:cs="宋体"/>
                <w:sz w:val="24"/>
                <w:szCs w:val="22"/>
              </w:rPr>
              <w:t>人民币</w:t>
            </w:r>
            <w:r>
              <w:rPr>
                <w:rFonts w:hint="eastAsia" w:ascii="仿宋_GB2312" w:hAnsi="宋体" w:eastAsia="仿宋_GB2312" w:cs="宋体"/>
                <w:sz w:val="24"/>
                <w:szCs w:val="22"/>
                <w:lang w:eastAsia="zh-CN"/>
              </w:rPr>
              <w:t>叁</w:t>
            </w:r>
            <w:r>
              <w:rPr>
                <w:rFonts w:hint="eastAsia" w:ascii="仿宋_GB2312" w:hAnsi="宋体" w:eastAsia="仿宋_GB2312" w:cs="宋体"/>
                <w:sz w:val="24"/>
                <w:szCs w:val="22"/>
              </w:rPr>
              <w:t>万元整（</w:t>
            </w:r>
            <w:r>
              <w:rPr>
                <w:rFonts w:hint="eastAsia" w:ascii="仿宋_GB2312" w:hAnsi="宋体" w:eastAsia="仿宋_GB2312" w:cs="宋体"/>
                <w:sz w:val="24"/>
                <w:szCs w:val="22"/>
                <w:lang w:val="en-US" w:eastAsia="zh-CN"/>
              </w:rPr>
              <w:t>3</w:t>
            </w:r>
            <w:r>
              <w:rPr>
                <w:rFonts w:hint="eastAsia" w:ascii="仿宋_GB2312" w:hAnsi="宋体" w:eastAsia="仿宋_GB2312" w:cs="宋体"/>
                <w:sz w:val="24"/>
                <w:szCs w:val="22"/>
              </w:rPr>
              <w:t>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1、投标保证金的递交方式：银行转帐、银行电汇（均需从投标人的基本账户汇出），不接受以现金方式缴纳的投标保证金。凡以现金方式缴纳投标保证金而影响其投标结果的，由投标人自行负责。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18"/>
                <w:rFonts w:hint="eastAsia" w:ascii="仿宋_GB2312" w:hAnsi="宋体" w:eastAsia="仿宋_GB2312" w:cs="宋体"/>
                <w:sz w:val="24"/>
              </w:rPr>
              <w:t>http://221.14.6.70:8088/ggzy</w:t>
            </w:r>
            <w:r>
              <w:rPr>
                <w:rStyle w:val="18"/>
                <w:rFonts w:hint="eastAsia" w:ascii="仿宋_GB2312" w:hAnsi="宋体" w:eastAsia="仿宋_GB2312" w:cs="宋体"/>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adjustRightInd w:val="0"/>
              <w:snapToGrid w:val="0"/>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napToGri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adjustRightInd w:val="0"/>
        <w:snapToGrid w:val="0"/>
        <w:jc w:val="both"/>
        <w:rPr>
          <w:rFonts w:ascii="方正小标宋简体" w:hAnsi="宋体" w:eastAsia="方正小标宋简体" w:cs="宋体"/>
          <w:sz w:val="36"/>
          <w:szCs w:val="36"/>
        </w:rPr>
      </w:pPr>
    </w:p>
    <w:p>
      <w:pPr>
        <w:jc w:val="center"/>
        <w:rPr>
          <w:rFonts w:hint="eastAsia" w:ascii="宋体" w:hAnsi="宋体" w:eastAsia="宋体" w:cs="宋体"/>
          <w:sz w:val="36"/>
          <w:szCs w:val="36"/>
          <w:lang w:eastAsia="zh-CN"/>
        </w:rPr>
      </w:pPr>
      <w:r>
        <w:rPr>
          <w:rFonts w:hint="eastAsia" w:ascii="宋体" w:hAnsi="宋体" w:eastAsia="宋体" w:cs="宋体"/>
          <w:sz w:val="36"/>
          <w:szCs w:val="36"/>
        </w:rPr>
        <w:t>投标保证金退还申请</w:t>
      </w:r>
      <w:r>
        <w:rPr>
          <w:rFonts w:hint="eastAsia" w:ascii="宋体" w:hAnsi="宋体" w:cs="宋体"/>
          <w:sz w:val="36"/>
          <w:szCs w:val="36"/>
          <w:lang w:eastAsia="zh-CN"/>
        </w:rPr>
        <w:t>表</w:t>
      </w:r>
    </w:p>
    <w:tbl>
      <w:tblPr>
        <w:tblStyle w:val="14"/>
        <w:tblpPr w:leftFromText="180" w:rightFromText="180" w:vertAnchor="text" w:horzAnchor="margin" w:tblpXSpec="center" w:tblpY="55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rPr>
            </w:pPr>
            <w:r>
              <w:rPr>
                <w:rFonts w:hint="eastAsia" w:ascii="宋体" w:hAnsi="宋体" w:eastAsia="宋体" w:cs="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rPr>
            </w:pP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rPr>
            </w:pPr>
            <w:r>
              <w:rPr>
                <w:rFonts w:hint="eastAsia" w:ascii="宋体" w:hAnsi="宋体" w:eastAsia="宋体" w:cs="宋体"/>
                <w:sz w:val="24"/>
              </w:rPr>
              <w:t>是否中标</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ind w:firstLine="240" w:firstLineChars="100"/>
              <w:rPr>
                <w:rFonts w:hint="eastAsia" w:ascii="宋体" w:hAnsi="宋体" w:eastAsia="宋体" w:cs="宋体"/>
                <w:sz w:val="24"/>
              </w:rPr>
            </w:pPr>
            <w:r>
              <w:rPr>
                <w:rFonts w:hint="eastAsia" w:ascii="宋体" w:hAnsi="宋体" w:eastAsia="宋体" w:cs="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rPr>
            </w:pPr>
            <w:r>
              <w:rPr>
                <w:rFonts w:hint="eastAsia" w:ascii="宋体" w:hAnsi="宋体" w:eastAsia="宋体" w:cs="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noWrap w:val="0"/>
            <w:vAlign w:val="center"/>
          </w:tcPr>
          <w:p>
            <w:pPr>
              <w:ind w:firstLine="480" w:firstLineChars="200"/>
              <w:rPr>
                <w:rFonts w:hint="eastAsia" w:ascii="宋体" w:hAnsi="宋体" w:eastAsia="宋体" w:cs="宋体"/>
                <w:sz w:val="24"/>
              </w:rPr>
            </w:pPr>
            <w:r>
              <w:rPr>
                <w:rFonts w:hint="eastAsia" w:ascii="宋体" w:hAnsi="宋体" w:eastAsia="宋体" w:cs="宋体"/>
                <w:sz w:val="24"/>
              </w:rPr>
              <w:t>开户银行</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rPr>
            </w:pPr>
          </w:p>
        </w:tc>
        <w:tc>
          <w:tcPr>
            <w:tcW w:w="722"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rPr>
            </w:pPr>
            <w:r>
              <w:rPr>
                <w:rFonts w:hint="eastAsia" w:ascii="宋体" w:hAnsi="宋体" w:eastAsia="宋体" w:cs="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noWrap w:val="0"/>
            <w:vAlign w:val="center"/>
          </w:tcPr>
          <w:p>
            <w:pPr>
              <w:ind w:firstLine="480" w:firstLineChars="200"/>
              <w:rPr>
                <w:rFonts w:hint="eastAsia" w:ascii="宋体" w:hAnsi="宋体" w:eastAsia="宋体" w:cs="宋体"/>
                <w:sz w:val="24"/>
              </w:rPr>
            </w:pPr>
            <w:r>
              <w:rPr>
                <w:rFonts w:hint="eastAsia" w:ascii="宋体" w:hAnsi="宋体" w:eastAsia="宋体" w:cs="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rPr>
            </w:pPr>
            <w:r>
              <w:rPr>
                <w:rFonts w:hint="eastAsia" w:ascii="宋体" w:hAnsi="宋体" w:eastAsia="宋体" w:cs="宋体"/>
                <w:sz w:val="24"/>
              </w:rPr>
              <w:t>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rPr>
            </w:pPr>
            <w:r>
              <w:rPr>
                <w:rFonts w:hint="eastAsia" w:ascii="宋体" w:hAnsi="宋体" w:eastAsia="宋体" w:cs="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noWrap w:val="0"/>
            <w:vAlign w:val="top"/>
          </w:tcPr>
          <w:p>
            <w:pPr>
              <w:wordWrap w:val="0"/>
              <w:jc w:val="right"/>
              <w:rPr>
                <w:rFonts w:hint="eastAsia" w:ascii="宋体" w:hAnsi="宋体" w:eastAsia="宋体" w:cs="宋体"/>
                <w:sz w:val="24"/>
              </w:rPr>
            </w:pPr>
          </w:p>
          <w:p>
            <w:pPr>
              <w:ind w:firstLine="5880" w:firstLineChars="2450"/>
              <w:rPr>
                <w:rFonts w:hint="eastAsia" w:ascii="宋体" w:hAnsi="宋体" w:eastAsia="宋体" w:cs="宋体"/>
                <w:sz w:val="24"/>
              </w:rPr>
            </w:pPr>
          </w:p>
          <w:p>
            <w:pPr>
              <w:ind w:firstLine="5880" w:firstLineChars="2450"/>
              <w:rPr>
                <w:rFonts w:hint="eastAsia" w:ascii="宋体" w:hAnsi="宋体" w:eastAsia="宋体" w:cs="宋体"/>
                <w:sz w:val="24"/>
              </w:rPr>
            </w:pPr>
          </w:p>
          <w:p>
            <w:pPr>
              <w:ind w:firstLine="5880" w:firstLineChars="2450"/>
              <w:rPr>
                <w:rFonts w:hint="eastAsia" w:ascii="宋体" w:hAnsi="宋体" w:eastAsia="宋体" w:cs="宋体"/>
                <w:sz w:val="24"/>
              </w:rPr>
            </w:pPr>
            <w:r>
              <w:rPr>
                <w:rFonts w:hint="eastAsia" w:ascii="宋体" w:hAnsi="宋体" w:eastAsia="宋体" w:cs="宋体"/>
                <w:sz w:val="24"/>
              </w:rPr>
              <w:t>年   月   日</w:t>
            </w:r>
          </w:p>
        </w:tc>
      </w:tr>
    </w:tbl>
    <w:p>
      <w:pPr>
        <w:snapToGrid w:val="0"/>
        <w:rPr>
          <w:rFonts w:hint="eastAsia" w:ascii="宋体" w:hAnsi="宋体" w:eastAsia="宋体" w:cs="宋体"/>
          <w:spacing w:val="-3"/>
          <w:sz w:val="24"/>
        </w:rPr>
      </w:pPr>
    </w:p>
    <w:p>
      <w:pPr>
        <w:rPr>
          <w:rFonts w:hint="eastAsia" w:ascii="宋体" w:hAnsi="宋体" w:eastAsia="宋体" w:cs="宋体"/>
          <w:sz w:val="28"/>
          <w:szCs w:val="28"/>
        </w:rPr>
      </w:pPr>
      <w:r>
        <w:rPr>
          <w:rFonts w:hint="eastAsia" w:ascii="宋体" w:hAnsi="宋体" w:eastAsia="宋体" w:cs="宋体"/>
          <w:sz w:val="24"/>
        </w:rPr>
        <w:t>备注：中标单位使用此表退还保证金时，此表格大小及格式不得改变</w:t>
      </w:r>
      <w:r>
        <w:rPr>
          <w:rFonts w:hint="eastAsia" w:ascii="宋体" w:hAnsi="宋体" w:eastAsia="宋体" w:cs="宋体"/>
          <w:sz w:val="28"/>
          <w:szCs w:val="28"/>
        </w:rPr>
        <w:t>。</w:t>
      </w:r>
    </w:p>
    <w:p>
      <w:pPr>
        <w:adjustRightInd w:val="0"/>
        <w:snapToGrid w:val="0"/>
        <w:jc w:val="center"/>
        <w:rPr>
          <w:rFonts w:hint="eastAsia" w:ascii="方正小标宋简体" w:hAnsi="宋体" w:eastAsia="方正小标宋简体" w:cs="宋体"/>
          <w:sz w:val="36"/>
          <w:szCs w:val="36"/>
        </w:rPr>
      </w:pPr>
    </w:p>
    <w:p>
      <w:pPr>
        <w:adjustRightInd w:val="0"/>
        <w:snapToGrid w:val="0"/>
        <w:jc w:val="center"/>
        <w:rPr>
          <w:rFonts w:hint="eastAsia" w:ascii="方正小标宋简体" w:hAnsi="宋体" w:eastAsia="方正小标宋简体" w:cs="宋体"/>
          <w:sz w:val="36"/>
          <w:szCs w:val="36"/>
        </w:rPr>
      </w:pPr>
    </w:p>
    <w:p>
      <w:pPr>
        <w:rPr>
          <w:rFonts w:ascii="黑体" w:hAnsi="宋体" w:eastAsia="黑体"/>
          <w:b/>
          <w:sz w:val="32"/>
          <w:szCs w:val="32"/>
        </w:rPr>
      </w:pPr>
      <w:bookmarkStart w:id="203" w:name="_Toc234382646"/>
    </w:p>
    <w:p>
      <w:pPr>
        <w:rPr>
          <w:rFonts w:ascii="黑体" w:hAnsi="宋体" w:eastAsia="黑体"/>
          <w:b/>
          <w:sz w:val="32"/>
          <w:szCs w:val="32"/>
        </w:rPr>
      </w:pPr>
      <w:r>
        <w:rPr>
          <w:rFonts w:ascii="黑体" w:hAnsi="宋体" w:eastAsia="黑体"/>
          <w:b/>
          <w:sz w:val="32"/>
          <w:szCs w:val="32"/>
        </w:rPr>
        <w:t>附</w:t>
      </w:r>
      <w:r>
        <w:rPr>
          <w:rFonts w:hint="eastAsia" w:ascii="黑体" w:hAnsi="宋体" w:eastAsia="黑体"/>
          <w:b/>
          <w:sz w:val="32"/>
          <w:szCs w:val="32"/>
        </w:rPr>
        <w:t>件二</w:t>
      </w:r>
      <w:r>
        <w:rPr>
          <w:rFonts w:ascii="黑体" w:hAnsi="宋体" w:eastAsia="黑体"/>
          <w:b/>
          <w:sz w:val="32"/>
          <w:szCs w:val="32"/>
        </w:rPr>
        <w:t>：问题澄清通知</w:t>
      </w:r>
      <w:bookmarkEnd w:id="203"/>
    </w:p>
    <w:p>
      <w:pPr>
        <w:rPr>
          <w:rFonts w:ascii="宋体" w:hAnsi="宋体"/>
          <w:sz w:val="24"/>
        </w:rPr>
      </w:pPr>
    </w:p>
    <w:p>
      <w:pPr>
        <w:jc w:val="center"/>
        <w:rPr>
          <w:rFonts w:ascii="黑体" w:hAnsi="宋体" w:eastAsia="黑体"/>
          <w:b/>
          <w:bCs/>
          <w:kern w:val="44"/>
          <w:sz w:val="28"/>
          <w:szCs w:val="28"/>
        </w:rPr>
      </w:pPr>
      <w:r>
        <w:rPr>
          <w:rFonts w:hint="eastAsia" w:ascii="黑体" w:hAnsi="宋体" w:eastAsia="黑体"/>
          <w:b/>
          <w:bCs/>
          <w:kern w:val="44"/>
          <w:sz w:val="28"/>
          <w:szCs w:val="28"/>
        </w:rPr>
        <w:t>问题澄清通知</w:t>
      </w:r>
    </w:p>
    <w:p>
      <w:pPr>
        <w:rPr>
          <w:rFonts w:ascii="宋体" w:hAnsi="宋体"/>
          <w:sz w:val="24"/>
        </w:rPr>
      </w:pPr>
    </w:p>
    <w:p>
      <w:pPr>
        <w:jc w:val="center"/>
        <w:rPr>
          <w:rFonts w:ascii="宋体" w:hAnsi="宋体"/>
          <w:sz w:val="24"/>
        </w:rPr>
      </w:pPr>
      <w:r>
        <w:rPr>
          <w:rFonts w:ascii="宋体" w:hAnsi="宋体"/>
          <w:sz w:val="24"/>
        </w:rPr>
        <w:t>编号：</w:t>
      </w:r>
    </w:p>
    <w:p>
      <w:pPr>
        <w:rPr>
          <w:rFonts w:ascii="宋体" w:hAnsi="宋体"/>
          <w:sz w:val="24"/>
        </w:rPr>
      </w:pPr>
    </w:p>
    <w:p>
      <w:pPr>
        <w:rPr>
          <w:rFonts w:ascii="宋体" w:hAnsi="宋体"/>
          <w:sz w:val="24"/>
        </w:rPr>
      </w:pPr>
      <w:r>
        <w:rPr>
          <w:rFonts w:ascii="宋体" w:hAnsi="宋体"/>
          <w:sz w:val="24"/>
          <w:u w:val="single"/>
        </w:rPr>
        <w:tab/>
      </w:r>
      <w:r>
        <w:rPr>
          <w:rFonts w:ascii="宋体" w:hAnsi="宋体"/>
          <w:sz w:val="24"/>
          <w:u w:val="single"/>
        </w:rPr>
        <w:t>（投标人名称）</w:t>
      </w:r>
      <w:r>
        <w:rPr>
          <w:rFonts w:ascii="宋体" w:hAnsi="宋体"/>
          <w:sz w:val="24"/>
        </w:rPr>
        <w:t>：</w:t>
      </w:r>
    </w:p>
    <w:p>
      <w:pPr>
        <w:rPr>
          <w:rFonts w:ascii="宋体" w:hAnsi="宋体"/>
          <w:sz w:val="24"/>
        </w:rPr>
      </w:pPr>
    </w:p>
    <w:p>
      <w:pPr>
        <w:spacing w:line="400" w:lineRule="exact"/>
        <w:ind w:firstLine="480" w:firstLineChars="200"/>
        <w:rPr>
          <w:rFonts w:ascii="宋体" w:hAnsi="宋体"/>
          <w:sz w:val="24"/>
        </w:rPr>
      </w:pPr>
      <w:r>
        <w:rPr>
          <w:rFonts w:ascii="宋体" w:hAnsi="宋体"/>
          <w:sz w:val="24"/>
          <w:u w:val="single"/>
        </w:rPr>
        <w:t>（项目名称）</w:t>
      </w:r>
      <w:r>
        <w:rPr>
          <w:rFonts w:ascii="宋体" w:hAnsi="宋体"/>
          <w:sz w:val="24"/>
        </w:rPr>
        <w:t>施工招标的评标委员会，对你方的投标文件进行了仔细的审查，现需你方对下列问题以书面形式予以澄清：</w:t>
      </w:r>
    </w:p>
    <w:p>
      <w:pPr>
        <w:rPr>
          <w:rFonts w:ascii="宋体" w:hAnsi="宋体"/>
          <w:sz w:val="24"/>
        </w:rPr>
      </w:pPr>
    </w:p>
    <w:p>
      <w:pPr>
        <w:spacing w:line="400" w:lineRule="exact"/>
        <w:ind w:firstLine="480" w:firstLineChars="200"/>
        <w:rPr>
          <w:rFonts w:ascii="宋体" w:hAnsi="宋体"/>
          <w:sz w:val="24"/>
        </w:rPr>
      </w:pPr>
      <w:r>
        <w:rPr>
          <w:rFonts w:ascii="宋体" w:hAnsi="宋体"/>
          <w:sz w:val="24"/>
        </w:rPr>
        <w:t xml:space="preserve">1. </w:t>
      </w: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r>
        <w:rPr>
          <w:rFonts w:ascii="宋体" w:hAnsi="宋体"/>
          <w:sz w:val="24"/>
        </w:rPr>
        <w:t xml:space="preserve">2. </w:t>
      </w:r>
    </w:p>
    <w:p>
      <w:pPr>
        <w:rPr>
          <w:rFonts w:ascii="宋体" w:hAnsi="宋体"/>
          <w:sz w:val="24"/>
        </w:rPr>
      </w:pPr>
    </w:p>
    <w:p>
      <w:pPr>
        <w:rPr>
          <w:rFonts w:ascii="宋体" w:hAnsi="宋体"/>
          <w:sz w:val="24"/>
        </w:rPr>
      </w:pPr>
      <w:r>
        <w:rPr>
          <w:rFonts w:ascii="宋体" w:hAnsi="宋体"/>
          <w:sz w:val="24"/>
        </w:rPr>
        <w:t>......</w:t>
      </w:r>
    </w:p>
    <w:p>
      <w:pPr>
        <w:rPr>
          <w:rFonts w:ascii="宋体" w:hAnsi="宋体"/>
          <w:sz w:val="24"/>
        </w:rPr>
      </w:pPr>
    </w:p>
    <w:p>
      <w:pPr>
        <w:spacing w:line="400" w:lineRule="exact"/>
        <w:ind w:firstLine="480" w:firstLineChars="200"/>
        <w:rPr>
          <w:rFonts w:ascii="宋体" w:hAnsi="宋体"/>
          <w:sz w:val="24"/>
          <w:u w:val="single"/>
        </w:rPr>
      </w:pPr>
      <w:r>
        <w:rPr>
          <w:rFonts w:ascii="宋体" w:hAnsi="宋体"/>
          <w:sz w:val="24"/>
        </w:rPr>
        <w:t>请将上述问题的澄清于年月日时前递交至</w:t>
      </w:r>
      <w:r>
        <w:rPr>
          <w:rFonts w:ascii="宋体" w:hAnsi="宋体"/>
          <w:sz w:val="24"/>
          <w:u w:val="single"/>
        </w:rPr>
        <w:t>（详细地址）</w:t>
      </w:r>
      <w:r>
        <w:rPr>
          <w:rFonts w:ascii="宋体" w:hAnsi="宋体"/>
          <w:sz w:val="24"/>
        </w:rPr>
        <w:t>或传真至</w:t>
      </w:r>
    </w:p>
    <w:p>
      <w:pPr>
        <w:spacing w:line="400" w:lineRule="exact"/>
        <w:rPr>
          <w:rFonts w:ascii="宋体" w:hAnsi="宋体"/>
          <w:sz w:val="24"/>
        </w:rPr>
      </w:pPr>
      <w:r>
        <w:rPr>
          <w:rFonts w:ascii="宋体" w:hAnsi="宋体"/>
          <w:sz w:val="24"/>
        </w:rPr>
        <w:t>（传真号码）。采用传真方式的，应在年月日时前将原件递交至（详细地址）。</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wordWrap w:val="0"/>
        <w:spacing w:line="360" w:lineRule="auto"/>
        <w:jc w:val="right"/>
        <w:rPr>
          <w:rFonts w:ascii="宋体" w:hAnsi="宋体"/>
          <w:sz w:val="24"/>
          <w:u w:val="single"/>
        </w:rPr>
      </w:pPr>
      <w:r>
        <w:rPr>
          <w:rFonts w:hint="eastAsia" w:ascii="宋体" w:hAnsi="宋体"/>
          <w:sz w:val="24"/>
          <w:u w:val="single"/>
        </w:rPr>
        <w:t xml:space="preserve">     （项目名称）  施工招标评标委员会</w:t>
      </w:r>
    </w:p>
    <w:p>
      <w:pPr>
        <w:wordWrap w:val="0"/>
        <w:spacing w:line="360" w:lineRule="auto"/>
        <w:jc w:val="right"/>
        <w:rPr>
          <w:rFonts w:ascii="宋体" w:hAnsi="宋体"/>
          <w:sz w:val="24"/>
        </w:rPr>
      </w:pPr>
      <w:r>
        <w:rPr>
          <w:rFonts w:hint="eastAsia" w:ascii="宋体" w:hAnsi="宋体"/>
          <w:sz w:val="24"/>
        </w:rPr>
        <w:t>招标人</w:t>
      </w:r>
      <w:r>
        <w:rPr>
          <w:rFonts w:ascii="宋体" w:hAnsi="宋体"/>
          <w:sz w:val="24"/>
        </w:rPr>
        <w:t>：（</w:t>
      </w:r>
      <w:r>
        <w:rPr>
          <w:rFonts w:hint="eastAsia" w:ascii="宋体" w:hAnsi="宋体"/>
          <w:sz w:val="24"/>
        </w:rPr>
        <w:t>盖单位章</w:t>
      </w:r>
      <w:r>
        <w:rPr>
          <w:rFonts w:ascii="宋体" w:hAnsi="宋体"/>
          <w:sz w:val="24"/>
        </w:rPr>
        <w:t>）</w:t>
      </w:r>
    </w:p>
    <w:p>
      <w:pPr>
        <w:wordWrap w:val="0"/>
        <w:spacing w:line="360" w:lineRule="auto"/>
        <w:jc w:val="right"/>
        <w:rPr>
          <w:rFonts w:ascii="宋体" w:hAnsi="宋体"/>
          <w:sz w:val="24"/>
        </w:rPr>
      </w:pPr>
      <w:r>
        <w:rPr>
          <w:rFonts w:ascii="宋体" w:hAnsi="宋体"/>
          <w:sz w:val="24"/>
        </w:rPr>
        <w:t>年月日</w:t>
      </w:r>
    </w:p>
    <w:p>
      <w:pPr>
        <w:rPr>
          <w:rFonts w:ascii="黑体" w:hAnsi="宋体" w:eastAsia="黑体"/>
          <w:b/>
          <w:sz w:val="32"/>
          <w:szCs w:val="32"/>
        </w:rPr>
      </w:pPr>
      <w:r>
        <w:rPr>
          <w:rFonts w:ascii="宋体" w:hAnsi="宋体"/>
          <w:sz w:val="24"/>
        </w:rPr>
        <w:br w:type="page"/>
      </w:r>
      <w:bookmarkStart w:id="204" w:name="_Toc234382647"/>
      <w:r>
        <w:rPr>
          <w:rFonts w:ascii="黑体" w:hAnsi="宋体" w:eastAsia="黑体"/>
          <w:b/>
          <w:sz w:val="32"/>
          <w:szCs w:val="32"/>
        </w:rPr>
        <w:t>附</w:t>
      </w:r>
      <w:r>
        <w:rPr>
          <w:rFonts w:hint="eastAsia" w:ascii="黑体" w:hAnsi="宋体" w:eastAsia="黑体"/>
          <w:b/>
          <w:sz w:val="32"/>
          <w:szCs w:val="32"/>
        </w:rPr>
        <w:t>件三</w:t>
      </w:r>
      <w:r>
        <w:rPr>
          <w:rFonts w:ascii="黑体" w:hAnsi="宋体" w:eastAsia="黑体"/>
          <w:b/>
          <w:sz w:val="32"/>
          <w:szCs w:val="32"/>
        </w:rPr>
        <w:t>：问题的澄清</w:t>
      </w:r>
      <w:bookmarkEnd w:id="204"/>
    </w:p>
    <w:p>
      <w:pPr>
        <w:rPr>
          <w:rFonts w:ascii="宋体" w:hAnsi="宋体"/>
          <w:sz w:val="24"/>
        </w:rPr>
      </w:pPr>
    </w:p>
    <w:p>
      <w:pPr>
        <w:jc w:val="center"/>
        <w:rPr>
          <w:rFonts w:ascii="黑体" w:hAnsi="宋体" w:eastAsia="黑体"/>
          <w:b/>
          <w:bCs/>
          <w:kern w:val="44"/>
          <w:sz w:val="28"/>
          <w:szCs w:val="28"/>
        </w:rPr>
      </w:pPr>
      <w:r>
        <w:rPr>
          <w:rFonts w:ascii="黑体" w:hAnsi="宋体" w:eastAsia="黑体"/>
          <w:b/>
          <w:bCs/>
          <w:kern w:val="44"/>
          <w:sz w:val="28"/>
          <w:szCs w:val="28"/>
        </w:rPr>
        <w:t>问题的澄清</w:t>
      </w:r>
    </w:p>
    <w:p>
      <w:pPr>
        <w:rPr>
          <w:rFonts w:ascii="宋体" w:hAnsi="宋体"/>
          <w:sz w:val="24"/>
        </w:rPr>
      </w:pPr>
    </w:p>
    <w:p>
      <w:pPr>
        <w:jc w:val="center"/>
        <w:rPr>
          <w:rFonts w:ascii="宋体" w:hAnsi="宋体"/>
          <w:sz w:val="24"/>
        </w:rPr>
      </w:pPr>
      <w:r>
        <w:rPr>
          <w:rFonts w:ascii="宋体" w:hAnsi="宋体"/>
          <w:sz w:val="24"/>
        </w:rPr>
        <w:t>编号：</w:t>
      </w:r>
    </w:p>
    <w:p>
      <w:pPr>
        <w:spacing w:line="400" w:lineRule="exact"/>
        <w:ind w:firstLine="480" w:firstLineChars="200"/>
        <w:rPr>
          <w:rFonts w:ascii="宋体" w:hAnsi="宋体"/>
          <w:sz w:val="24"/>
        </w:rPr>
      </w:pPr>
      <w:r>
        <w:rPr>
          <w:rFonts w:ascii="宋体" w:hAnsi="宋体"/>
          <w:sz w:val="24"/>
          <w:u w:val="single"/>
        </w:rPr>
        <w:t>（项目名称）</w:t>
      </w:r>
      <w:r>
        <w:rPr>
          <w:rFonts w:ascii="宋体" w:hAnsi="宋体"/>
          <w:sz w:val="24"/>
        </w:rPr>
        <w:t xml:space="preserve">施工招标评标委员会： </w:t>
      </w: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r>
        <w:rPr>
          <w:rFonts w:ascii="宋体" w:hAnsi="宋体"/>
          <w:sz w:val="24"/>
        </w:rPr>
        <w:t>问题澄清通知（编号：）已收悉，现澄清如下：</w:t>
      </w: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r>
        <w:rPr>
          <w:rFonts w:ascii="宋体" w:hAnsi="宋体"/>
          <w:sz w:val="24"/>
        </w:rPr>
        <w:t xml:space="preserve">1. </w:t>
      </w: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r>
        <w:rPr>
          <w:rFonts w:ascii="宋体" w:hAnsi="宋体"/>
          <w:sz w:val="24"/>
        </w:rPr>
        <w:t xml:space="preserve">2. </w:t>
      </w:r>
    </w:p>
    <w:p>
      <w:pPr>
        <w:rPr>
          <w:rFonts w:ascii="宋体" w:hAnsi="宋体"/>
          <w:sz w:val="24"/>
        </w:rPr>
      </w:pPr>
    </w:p>
    <w:p>
      <w:pPr>
        <w:rPr>
          <w:rFonts w:ascii="宋体" w:hAnsi="宋体"/>
          <w:sz w:val="24"/>
        </w:rPr>
      </w:pPr>
      <w:r>
        <w:rPr>
          <w:rFonts w:ascii="宋体" w:hAnsi="宋体"/>
          <w:sz w:val="24"/>
        </w:rPr>
        <w:t>.....</w:t>
      </w:r>
    </w:p>
    <w:p>
      <w:pPr>
        <w:pStyle w:val="2"/>
        <w:ind w:firstLine="210"/>
      </w:pPr>
    </w:p>
    <w:p>
      <w:pPr>
        <w:pStyle w:val="2"/>
        <w:ind w:firstLine="210"/>
      </w:pPr>
    </w:p>
    <w:p>
      <w:pPr>
        <w:pStyle w:val="2"/>
        <w:ind w:firstLine="210"/>
      </w:pPr>
    </w:p>
    <w:p>
      <w:pPr>
        <w:pStyle w:val="2"/>
        <w:ind w:firstLine="210"/>
      </w:pPr>
    </w:p>
    <w:p>
      <w:pPr>
        <w:spacing w:line="360" w:lineRule="auto"/>
        <w:jc w:val="center"/>
        <w:rPr>
          <w:rFonts w:ascii="宋体" w:hAnsi="宋体"/>
          <w:sz w:val="24"/>
        </w:rPr>
      </w:pPr>
      <w:r>
        <w:rPr>
          <w:rFonts w:ascii="宋体" w:hAnsi="宋体"/>
          <w:sz w:val="24"/>
        </w:rPr>
        <w:t>投标人：（盖单位章）</w:t>
      </w:r>
    </w:p>
    <w:p>
      <w:pPr>
        <w:spacing w:line="360" w:lineRule="auto"/>
        <w:jc w:val="center"/>
        <w:rPr>
          <w:rFonts w:ascii="宋体" w:hAnsi="宋体"/>
          <w:sz w:val="24"/>
        </w:rPr>
      </w:pPr>
      <w:r>
        <w:rPr>
          <w:rFonts w:ascii="宋体" w:hAnsi="宋体"/>
          <w:sz w:val="24"/>
        </w:rPr>
        <w:t>法定代表人或其委托代理人：（签字）</w:t>
      </w:r>
    </w:p>
    <w:p>
      <w:pPr>
        <w:spacing w:line="360" w:lineRule="auto"/>
        <w:jc w:val="center"/>
        <w:rPr>
          <w:rFonts w:ascii="宋体" w:hAnsi="宋体"/>
          <w:sz w:val="24"/>
        </w:rPr>
      </w:pPr>
      <w:r>
        <w:rPr>
          <w:rFonts w:ascii="宋体" w:hAnsi="宋体"/>
          <w:sz w:val="24"/>
        </w:rPr>
        <w:t>年月日</w:t>
      </w: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jc w:val="left"/>
        <w:rPr>
          <w:rFonts w:ascii="新宋体" w:hAnsi="新宋体" w:eastAsia="新宋体" w:cs="新宋体"/>
          <w:b/>
          <w:bCs/>
          <w:sz w:val="28"/>
          <w:szCs w:val="28"/>
        </w:rPr>
      </w:pPr>
      <w:r>
        <w:rPr>
          <w:rFonts w:ascii="宋体" w:hAnsi="宋体"/>
          <w:sz w:val="24"/>
        </w:rPr>
        <w:br w:type="page"/>
      </w:r>
      <w:r>
        <w:rPr>
          <w:rFonts w:hint="eastAsia" w:ascii="新宋体" w:hAnsi="新宋体" w:eastAsia="新宋体" w:cs="新宋体"/>
          <w:b/>
          <w:bCs/>
          <w:sz w:val="28"/>
          <w:szCs w:val="28"/>
        </w:rPr>
        <w:t>适用于所有标段</w:t>
      </w:r>
    </w:p>
    <w:p>
      <w:pPr>
        <w:spacing w:line="312" w:lineRule="auto"/>
        <w:jc w:val="center"/>
        <w:outlineLvl w:val="0"/>
        <w:rPr>
          <w:rFonts w:ascii="黑体" w:hAnsi="宋体" w:eastAsia="黑体"/>
          <w:bCs/>
          <w:sz w:val="44"/>
          <w:szCs w:val="44"/>
        </w:rPr>
      </w:pPr>
      <w:r>
        <w:rPr>
          <w:rFonts w:hint="eastAsia" w:ascii="黑体" w:eastAsia="黑体"/>
          <w:bCs/>
          <w:sz w:val="44"/>
          <w:szCs w:val="44"/>
        </w:rPr>
        <w:t>第三章  评标办法</w:t>
      </w:r>
    </w:p>
    <w:p>
      <w:pPr>
        <w:jc w:val="center"/>
        <w:outlineLvl w:val="0"/>
        <w:rPr>
          <w:rFonts w:ascii="宋体" w:hAnsi="宋体"/>
          <w:sz w:val="44"/>
          <w:szCs w:val="44"/>
        </w:rPr>
      </w:pPr>
      <w:bookmarkStart w:id="205" w:name="_Toc28682"/>
      <w:r>
        <w:rPr>
          <w:rFonts w:hint="eastAsia" w:ascii="宋体" w:hAnsi="宋体"/>
          <w:sz w:val="44"/>
          <w:szCs w:val="44"/>
        </w:rPr>
        <w:t>评标办法(技术评分最低标价法)</w:t>
      </w:r>
      <w:bookmarkEnd w:id="205"/>
    </w:p>
    <w:p>
      <w:pPr>
        <w:rPr>
          <w:rFonts w:ascii="新宋体" w:hAnsi="新宋体" w:eastAsia="新宋体" w:cs="新宋体"/>
          <w:sz w:val="24"/>
        </w:rPr>
      </w:pPr>
    </w:p>
    <w:p>
      <w:pPr>
        <w:ind w:firstLine="480" w:firstLineChars="200"/>
        <w:rPr>
          <w:rFonts w:ascii="宋体" w:hAnsi="宋体"/>
          <w:sz w:val="30"/>
          <w:szCs w:val="30"/>
        </w:rPr>
      </w:pPr>
      <w:r>
        <w:rPr>
          <w:rFonts w:hint="eastAsia" w:ascii="新宋体" w:hAnsi="新宋体" w:eastAsia="新宋体" w:cs="新宋体"/>
          <w:sz w:val="24"/>
        </w:rPr>
        <w:t>评标依据公路工程建设项目招标投标管理办法（中华人民共和国交通运输部令2015年第24号）。评标应遵循公正、公平、择优的原则严格按照招标文件进行。</w:t>
      </w:r>
    </w:p>
    <w:p>
      <w:pPr>
        <w:jc w:val="center"/>
        <w:rPr>
          <w:rFonts w:ascii="宋体" w:hAnsi="宋体"/>
          <w:sz w:val="24"/>
        </w:rPr>
      </w:pPr>
    </w:p>
    <w:p>
      <w:pPr>
        <w:spacing w:line="360" w:lineRule="auto"/>
        <w:jc w:val="center"/>
        <w:rPr>
          <w:rFonts w:ascii="宋体" w:hAnsi="宋体"/>
          <w:sz w:val="24"/>
        </w:rPr>
      </w:pPr>
      <w:r>
        <w:rPr>
          <w:rFonts w:hint="eastAsia" w:ascii="宋体" w:hAnsi="宋体"/>
          <w:sz w:val="24"/>
        </w:rPr>
        <w:t>评标办法前附表</w:t>
      </w:r>
    </w:p>
    <w:tbl>
      <w:tblPr>
        <w:tblStyle w:val="14"/>
        <w:tblW w:w="98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9"/>
        <w:gridCol w:w="1214"/>
        <w:gridCol w:w="7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1219" w:type="dxa"/>
            <w:tcBorders>
              <w:right w:val="single" w:color="auto" w:sz="4" w:space="0"/>
            </w:tcBorders>
            <w:vAlign w:val="center"/>
          </w:tcPr>
          <w:p>
            <w:pPr>
              <w:rPr>
                <w:rFonts w:ascii="宋体" w:hAnsi="宋体"/>
                <w:b/>
                <w:szCs w:val="21"/>
              </w:rPr>
            </w:pPr>
            <w:r>
              <w:rPr>
                <w:rFonts w:hint="eastAsia" w:ascii="宋体" w:hAnsi="宋体"/>
                <w:b/>
                <w:szCs w:val="21"/>
              </w:rPr>
              <w:t>条款号</w:t>
            </w:r>
          </w:p>
        </w:tc>
        <w:tc>
          <w:tcPr>
            <w:tcW w:w="1214" w:type="dxa"/>
            <w:tcBorders>
              <w:left w:val="single" w:color="auto" w:sz="4" w:space="0"/>
            </w:tcBorders>
            <w:vAlign w:val="center"/>
          </w:tcPr>
          <w:p>
            <w:pPr>
              <w:rPr>
                <w:rFonts w:ascii="宋体" w:hAnsi="宋体"/>
                <w:b/>
                <w:szCs w:val="21"/>
              </w:rPr>
            </w:pPr>
            <w:r>
              <w:rPr>
                <w:rFonts w:hint="eastAsia" w:ascii="宋体" w:hAnsi="宋体"/>
                <w:b/>
                <w:szCs w:val="21"/>
              </w:rPr>
              <w:t>条款内容</w:t>
            </w:r>
          </w:p>
        </w:tc>
        <w:tc>
          <w:tcPr>
            <w:tcW w:w="7380" w:type="dxa"/>
            <w:vAlign w:val="center"/>
          </w:tcPr>
          <w:p>
            <w:pPr>
              <w:rPr>
                <w:rFonts w:ascii="宋体" w:hAnsi="宋体"/>
                <w:b/>
                <w:szCs w:val="21"/>
              </w:rPr>
            </w:pPr>
            <w:r>
              <w:rPr>
                <w:rFonts w:hint="eastAsia" w:ascii="宋体" w:hAnsi="宋体"/>
                <w:b/>
                <w:szCs w:val="21"/>
              </w:rPr>
              <w:t>评审因素与标准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8" w:hRule="atLeast"/>
          <w:jc w:val="center"/>
        </w:trPr>
        <w:tc>
          <w:tcPr>
            <w:tcW w:w="1219"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2.1.1</w:t>
            </w:r>
          </w:p>
          <w:p>
            <w:pPr>
              <w:jc w:val="center"/>
              <w:rPr>
                <w:rFonts w:ascii="宋体" w:hAnsi="宋体"/>
                <w:szCs w:val="21"/>
              </w:rPr>
            </w:pPr>
          </w:p>
        </w:tc>
        <w:tc>
          <w:tcPr>
            <w:tcW w:w="1214" w:type="dxa"/>
            <w:tcBorders>
              <w:top w:val="single" w:color="auto" w:sz="4" w:space="0"/>
              <w:bottom w:val="single" w:color="auto" w:sz="4" w:space="0"/>
            </w:tcBorders>
            <w:vAlign w:val="center"/>
          </w:tcPr>
          <w:p>
            <w:pPr>
              <w:rPr>
                <w:rFonts w:ascii="宋体" w:hAnsi="宋体"/>
                <w:szCs w:val="21"/>
              </w:rPr>
            </w:pPr>
            <w:r>
              <w:rPr>
                <w:rFonts w:hint="eastAsia" w:ascii="宋体" w:hAnsi="宋体"/>
                <w:szCs w:val="21"/>
              </w:rPr>
              <w:t>形式评审与</w:t>
            </w:r>
          </w:p>
          <w:p>
            <w:pPr>
              <w:rPr>
                <w:rFonts w:ascii="宋体" w:hAnsi="宋体"/>
                <w:szCs w:val="21"/>
              </w:rPr>
            </w:pPr>
            <w:r>
              <w:rPr>
                <w:rFonts w:hint="eastAsia" w:ascii="宋体" w:hAnsi="宋体"/>
                <w:szCs w:val="21"/>
              </w:rPr>
              <w:t>响应性评审</w:t>
            </w:r>
          </w:p>
          <w:p>
            <w:pPr>
              <w:rPr>
                <w:rFonts w:ascii="宋体" w:hAnsi="宋体"/>
                <w:szCs w:val="21"/>
              </w:rPr>
            </w:pPr>
            <w:r>
              <w:rPr>
                <w:rFonts w:hint="eastAsia" w:ascii="宋体" w:hAnsi="宋体"/>
                <w:szCs w:val="21"/>
              </w:rPr>
              <w:t>标准</w:t>
            </w:r>
          </w:p>
        </w:tc>
        <w:tc>
          <w:tcPr>
            <w:tcW w:w="7380" w:type="dxa"/>
            <w:tcBorders>
              <w:top w:val="single" w:color="auto" w:sz="4" w:space="0"/>
              <w:bottom w:val="single" w:color="auto" w:sz="4" w:space="0"/>
            </w:tcBorders>
            <w:vAlign w:val="center"/>
          </w:tcPr>
          <w:p>
            <w:pPr>
              <w:spacing w:line="400" w:lineRule="exact"/>
              <w:jc w:val="left"/>
              <w:rPr>
                <w:rFonts w:ascii="宋体" w:hAnsi="宋体"/>
                <w:b/>
                <w:szCs w:val="21"/>
              </w:rPr>
            </w:pPr>
            <w:r>
              <w:rPr>
                <w:rFonts w:hint="eastAsia" w:ascii="宋体" w:hAnsi="宋体"/>
                <w:b/>
                <w:szCs w:val="21"/>
              </w:rPr>
              <w:t>第一个信封（商务及技术文件）评审标准：</w:t>
            </w:r>
          </w:p>
          <w:p>
            <w:pPr>
              <w:spacing w:line="400" w:lineRule="exact"/>
              <w:ind w:firstLine="420" w:firstLineChars="200"/>
              <w:jc w:val="left"/>
              <w:rPr>
                <w:rFonts w:ascii="宋体" w:hAnsi="宋体"/>
                <w:szCs w:val="21"/>
              </w:rPr>
            </w:pPr>
            <w:r>
              <w:rPr>
                <w:rFonts w:hint="eastAsia" w:ascii="宋体" w:hAnsi="宋体"/>
                <w:szCs w:val="21"/>
              </w:rPr>
              <w:t>(1)投标文件按照招标文件规定的格式、内容填写，字迹清晰可辨：</w:t>
            </w:r>
          </w:p>
          <w:p>
            <w:pPr>
              <w:spacing w:line="400" w:lineRule="exact"/>
              <w:ind w:firstLine="420" w:firstLineChars="200"/>
              <w:jc w:val="left"/>
              <w:rPr>
                <w:rFonts w:ascii="宋体" w:hAnsi="宋体"/>
                <w:szCs w:val="21"/>
              </w:rPr>
            </w:pPr>
            <w:r>
              <w:rPr>
                <w:rFonts w:hint="eastAsia" w:ascii="宋体" w:hAnsi="宋体"/>
                <w:szCs w:val="21"/>
              </w:rPr>
              <w:t>a.投标函按招标文件规定填报了工期、工程质量目标及安全目标；</w:t>
            </w:r>
          </w:p>
          <w:p>
            <w:pPr>
              <w:spacing w:line="400" w:lineRule="exact"/>
              <w:ind w:firstLine="420" w:firstLineChars="200"/>
              <w:jc w:val="left"/>
              <w:rPr>
                <w:rFonts w:ascii="宋体" w:hAnsi="宋体"/>
                <w:szCs w:val="21"/>
              </w:rPr>
            </w:pPr>
            <w:r>
              <w:rPr>
                <w:rFonts w:hint="eastAsia" w:ascii="宋体" w:hAnsi="宋体"/>
                <w:szCs w:val="21"/>
              </w:rPr>
              <w:t>b.投标函附录的所有数据均符合招标文件规定；</w:t>
            </w:r>
          </w:p>
          <w:p>
            <w:pPr>
              <w:spacing w:line="400" w:lineRule="exact"/>
              <w:ind w:firstLine="420" w:firstLineChars="200"/>
              <w:jc w:val="left"/>
              <w:rPr>
                <w:rFonts w:ascii="宋体" w:hAnsi="宋体"/>
                <w:szCs w:val="21"/>
              </w:rPr>
            </w:pPr>
            <w:r>
              <w:rPr>
                <w:rFonts w:hint="eastAsia" w:ascii="宋体" w:hAnsi="宋体"/>
                <w:szCs w:val="21"/>
              </w:rPr>
              <w:t>c.承诺函文字与招标文件规定一致，未进行修改和删减；</w:t>
            </w:r>
          </w:p>
          <w:p>
            <w:pPr>
              <w:spacing w:line="400" w:lineRule="exact"/>
              <w:ind w:firstLine="420" w:firstLineChars="200"/>
              <w:jc w:val="left"/>
              <w:rPr>
                <w:rFonts w:ascii="宋体" w:hAnsi="宋体"/>
                <w:szCs w:val="21"/>
              </w:rPr>
            </w:pPr>
            <w:r>
              <w:rPr>
                <w:rFonts w:hint="eastAsia" w:ascii="宋体" w:hAnsi="宋体"/>
                <w:szCs w:val="21"/>
              </w:rPr>
              <w:t>d.按照招标文件规定的格式、内容编制了施工组织设计及项目管理机构相关图表；</w:t>
            </w:r>
          </w:p>
          <w:p>
            <w:pPr>
              <w:spacing w:line="400" w:lineRule="exact"/>
              <w:ind w:firstLine="420" w:firstLineChars="200"/>
              <w:jc w:val="left"/>
              <w:rPr>
                <w:rFonts w:ascii="宋体" w:hAnsi="宋体"/>
                <w:szCs w:val="21"/>
              </w:rPr>
            </w:pPr>
            <w:r>
              <w:rPr>
                <w:rFonts w:hint="eastAsia" w:ascii="宋体" w:hAnsi="宋体"/>
                <w:szCs w:val="21"/>
              </w:rPr>
              <w:t>e.投标文件组成齐全完整，内容均按规定填写。</w:t>
            </w:r>
          </w:p>
          <w:p>
            <w:pPr>
              <w:spacing w:line="400" w:lineRule="exact"/>
              <w:ind w:firstLine="420" w:firstLineChars="200"/>
              <w:jc w:val="left"/>
              <w:rPr>
                <w:rFonts w:ascii="宋体" w:hAnsi="宋体"/>
                <w:szCs w:val="21"/>
              </w:rPr>
            </w:pPr>
            <w:r>
              <w:rPr>
                <w:rFonts w:hint="eastAsia" w:ascii="宋体" w:hAnsi="宋体"/>
                <w:szCs w:val="21"/>
              </w:rPr>
              <w:t>(2) 投标文件上法定代表人或其授权代理人的签字、投标人的单位章盖章齐全，符合招标文件规定。</w:t>
            </w:r>
          </w:p>
          <w:p>
            <w:pPr>
              <w:spacing w:line="400" w:lineRule="exact"/>
              <w:ind w:firstLine="420" w:firstLineChars="200"/>
              <w:jc w:val="left"/>
              <w:rPr>
                <w:rFonts w:ascii="宋体" w:hAnsi="宋体"/>
                <w:szCs w:val="21"/>
              </w:rPr>
            </w:pPr>
            <w:r>
              <w:rPr>
                <w:rFonts w:hint="eastAsia" w:ascii="宋体" w:hAnsi="宋体"/>
                <w:szCs w:val="21"/>
              </w:rPr>
              <w:t>(3) 投标人按照招标文件的规定提供了投标保证金</w:t>
            </w:r>
          </w:p>
          <w:p>
            <w:pPr>
              <w:spacing w:line="400" w:lineRule="exact"/>
              <w:ind w:firstLine="420" w:firstLineChars="200"/>
              <w:jc w:val="left"/>
              <w:rPr>
                <w:rFonts w:ascii="宋体" w:hAnsi="宋体"/>
                <w:szCs w:val="21"/>
              </w:rPr>
            </w:pPr>
            <w:r>
              <w:rPr>
                <w:rFonts w:hint="eastAsia" w:ascii="宋体" w:hAnsi="宋体"/>
                <w:szCs w:val="21"/>
              </w:rPr>
              <w:t>(4)投标文件中未出现有关投标报价的内容。</w:t>
            </w:r>
          </w:p>
          <w:p>
            <w:pPr>
              <w:spacing w:line="400" w:lineRule="exact"/>
              <w:ind w:firstLine="420" w:firstLineChars="200"/>
              <w:jc w:val="left"/>
              <w:rPr>
                <w:rFonts w:ascii="宋体" w:hAnsi="宋体"/>
                <w:szCs w:val="21"/>
              </w:rPr>
            </w:pPr>
            <w:r>
              <w:rPr>
                <w:rFonts w:hint="eastAsia" w:ascii="宋体" w:hAnsi="宋体"/>
                <w:szCs w:val="21"/>
              </w:rPr>
              <w:t>(5)投标文件载明的招标项目完成期限未超过招标文件规定的时限。</w:t>
            </w:r>
          </w:p>
          <w:p>
            <w:pPr>
              <w:spacing w:line="400" w:lineRule="exact"/>
              <w:ind w:firstLine="420" w:firstLineChars="200"/>
              <w:jc w:val="left"/>
              <w:rPr>
                <w:rFonts w:ascii="宋体" w:hAnsi="宋体"/>
                <w:szCs w:val="21"/>
              </w:rPr>
            </w:pPr>
            <w:r>
              <w:rPr>
                <w:rFonts w:hint="eastAsia" w:ascii="宋体" w:hAnsi="宋体"/>
                <w:szCs w:val="21"/>
              </w:rPr>
              <w:t>(6)投标文件对招标文件的实质性要求和条件作出响应。</w:t>
            </w:r>
          </w:p>
          <w:p>
            <w:pPr>
              <w:spacing w:line="400" w:lineRule="exact"/>
              <w:ind w:firstLine="420" w:firstLineChars="200"/>
              <w:jc w:val="left"/>
              <w:rPr>
                <w:rFonts w:ascii="宋体" w:hAnsi="宋体"/>
                <w:szCs w:val="21"/>
              </w:rPr>
            </w:pPr>
            <w:r>
              <w:rPr>
                <w:rFonts w:hint="eastAsia" w:ascii="宋体" w:hAnsi="宋体"/>
                <w:szCs w:val="21"/>
              </w:rPr>
              <w:t>(7)权利义务符合招标文件规定：</w:t>
            </w:r>
          </w:p>
          <w:p>
            <w:pPr>
              <w:spacing w:line="400" w:lineRule="exact"/>
              <w:ind w:firstLine="420" w:firstLineChars="200"/>
              <w:jc w:val="left"/>
              <w:rPr>
                <w:rFonts w:ascii="宋体" w:hAnsi="宋体"/>
                <w:szCs w:val="21"/>
              </w:rPr>
            </w:pPr>
            <w:r>
              <w:rPr>
                <w:rFonts w:hint="eastAsia" w:ascii="宋体" w:hAnsi="宋体"/>
                <w:szCs w:val="21"/>
              </w:rPr>
              <w:t>a.投标人应接受招标文件规定的风险划分原则，未提出新的风险划分办法；</w:t>
            </w:r>
          </w:p>
          <w:p>
            <w:pPr>
              <w:spacing w:line="400" w:lineRule="exact"/>
              <w:ind w:firstLine="420" w:firstLineChars="200"/>
              <w:jc w:val="left"/>
              <w:rPr>
                <w:rFonts w:ascii="宋体" w:hAnsi="宋体"/>
                <w:szCs w:val="21"/>
              </w:rPr>
            </w:pPr>
            <w:r>
              <w:rPr>
                <w:rFonts w:hint="eastAsia" w:ascii="宋体" w:hAnsi="宋体"/>
                <w:szCs w:val="21"/>
              </w:rPr>
              <w:t>b.投标人未增加发包人的责任范围，或减少投标人义务；</w:t>
            </w:r>
          </w:p>
          <w:p>
            <w:pPr>
              <w:spacing w:line="400" w:lineRule="exact"/>
              <w:ind w:firstLine="420" w:firstLineChars="200"/>
              <w:jc w:val="left"/>
              <w:rPr>
                <w:rFonts w:ascii="宋体" w:hAnsi="宋体"/>
                <w:szCs w:val="21"/>
              </w:rPr>
            </w:pPr>
            <w:r>
              <w:rPr>
                <w:rFonts w:hint="eastAsia" w:ascii="宋体" w:hAnsi="宋体"/>
                <w:szCs w:val="21"/>
              </w:rPr>
              <w:t>c.投标人未提出不同的工程验收、计量、支付办法；</w:t>
            </w:r>
          </w:p>
          <w:p>
            <w:pPr>
              <w:spacing w:line="400" w:lineRule="exact"/>
              <w:ind w:firstLine="420" w:firstLineChars="200"/>
              <w:jc w:val="left"/>
              <w:rPr>
                <w:rFonts w:ascii="宋体" w:hAnsi="宋体"/>
                <w:szCs w:val="21"/>
              </w:rPr>
            </w:pPr>
            <w:r>
              <w:rPr>
                <w:rFonts w:hint="eastAsia" w:ascii="宋体" w:hAnsi="宋体"/>
                <w:szCs w:val="21"/>
              </w:rPr>
              <w:t>d.投标人对合同纠纷、事故处理办法未提出异议；</w:t>
            </w:r>
          </w:p>
          <w:p>
            <w:pPr>
              <w:spacing w:line="400" w:lineRule="exact"/>
              <w:ind w:firstLine="420" w:firstLineChars="200"/>
              <w:jc w:val="left"/>
              <w:rPr>
                <w:rFonts w:ascii="宋体" w:hAnsi="宋体"/>
                <w:szCs w:val="21"/>
              </w:rPr>
            </w:pPr>
            <w:r>
              <w:rPr>
                <w:rFonts w:hint="eastAsia" w:ascii="宋体" w:hAnsi="宋体"/>
                <w:szCs w:val="21"/>
              </w:rPr>
              <w:t>e.投标人在投标活动中无欺诈行为；</w:t>
            </w:r>
          </w:p>
          <w:p>
            <w:pPr>
              <w:spacing w:line="400" w:lineRule="exact"/>
              <w:ind w:firstLine="420" w:firstLineChars="200"/>
              <w:jc w:val="left"/>
              <w:rPr>
                <w:rFonts w:ascii="宋体" w:hAnsi="宋体"/>
                <w:szCs w:val="21"/>
              </w:rPr>
            </w:pPr>
            <w:r>
              <w:rPr>
                <w:rFonts w:hint="eastAsia" w:ascii="宋体" w:hAnsi="宋体"/>
                <w:szCs w:val="21"/>
              </w:rPr>
              <w:t>f.投标人未对合同条款有重要保留。</w:t>
            </w:r>
          </w:p>
          <w:p>
            <w:pPr>
              <w:spacing w:line="400" w:lineRule="exact"/>
              <w:ind w:firstLine="420" w:firstLineChars="200"/>
              <w:jc w:val="left"/>
              <w:rPr>
                <w:rFonts w:ascii="宋体" w:hAnsi="宋体"/>
                <w:szCs w:val="21"/>
              </w:rPr>
            </w:pPr>
            <w:r>
              <w:rPr>
                <w:rFonts w:hint="eastAsia" w:ascii="宋体" w:hAnsi="宋体"/>
                <w:szCs w:val="21"/>
              </w:rPr>
              <w:t>(9)投标文件份数符合招标文件第二章“投标人须知”第3.7.4 项规定。</w:t>
            </w:r>
          </w:p>
          <w:p>
            <w:pPr>
              <w:spacing w:line="400" w:lineRule="exact"/>
              <w:jc w:val="left"/>
              <w:rPr>
                <w:rFonts w:ascii="宋体" w:hAnsi="宋体"/>
                <w:b/>
                <w:szCs w:val="21"/>
              </w:rPr>
            </w:pPr>
            <w:r>
              <w:rPr>
                <w:rFonts w:hint="eastAsia" w:ascii="宋体" w:hAnsi="宋体"/>
                <w:b/>
                <w:szCs w:val="21"/>
              </w:rPr>
              <w:t>第二个信封（报价文件）评审标准：</w:t>
            </w:r>
          </w:p>
          <w:p>
            <w:pPr>
              <w:spacing w:line="400" w:lineRule="exact"/>
              <w:ind w:firstLine="420" w:firstLineChars="200"/>
              <w:jc w:val="left"/>
              <w:rPr>
                <w:rFonts w:ascii="宋体" w:hAnsi="宋体"/>
                <w:szCs w:val="21"/>
              </w:rPr>
            </w:pPr>
            <w:r>
              <w:rPr>
                <w:rFonts w:hint="eastAsia" w:ascii="宋体" w:hAnsi="宋体"/>
                <w:szCs w:val="21"/>
              </w:rPr>
              <w:t>(1)投标文件按照招标文件规定的格式、内容填写，字迹清晰可辨，内容齐全完整：</w:t>
            </w:r>
          </w:p>
          <w:p>
            <w:pPr>
              <w:spacing w:line="400" w:lineRule="exact"/>
              <w:ind w:firstLine="420" w:firstLineChars="200"/>
              <w:jc w:val="left"/>
              <w:rPr>
                <w:rFonts w:ascii="宋体" w:hAnsi="宋体"/>
                <w:szCs w:val="21"/>
              </w:rPr>
            </w:pPr>
            <w:r>
              <w:rPr>
                <w:rFonts w:hint="eastAsia" w:ascii="宋体" w:hAnsi="宋体"/>
                <w:szCs w:val="21"/>
              </w:rPr>
              <w:t>a.投标函按招标文件规定填报了投标价（包括大写金额和小写金额），且投标价未超过招标文件设定的最高投标限价（如有）；</w:t>
            </w:r>
          </w:p>
          <w:p>
            <w:pPr>
              <w:spacing w:line="400" w:lineRule="exact"/>
              <w:ind w:firstLine="420" w:firstLineChars="200"/>
              <w:jc w:val="left"/>
              <w:rPr>
                <w:rFonts w:ascii="宋体" w:hAnsi="宋体"/>
                <w:szCs w:val="21"/>
              </w:rPr>
            </w:pPr>
            <w:r>
              <w:rPr>
                <w:rFonts w:hint="eastAsia" w:ascii="宋体" w:hAnsi="宋体"/>
                <w:szCs w:val="21"/>
              </w:rPr>
              <w:t>b.已标价工程量清单说明文字与招标文件规定一致，未进行修改和删减。</w:t>
            </w:r>
          </w:p>
          <w:p>
            <w:pPr>
              <w:spacing w:line="400" w:lineRule="exact"/>
              <w:ind w:firstLine="420" w:firstLineChars="200"/>
              <w:jc w:val="left"/>
              <w:rPr>
                <w:rFonts w:ascii="宋体" w:hAnsi="宋体"/>
                <w:szCs w:val="21"/>
              </w:rPr>
            </w:pPr>
            <w:r>
              <w:rPr>
                <w:rFonts w:hint="eastAsia" w:ascii="宋体" w:hAnsi="宋体"/>
                <w:szCs w:val="21"/>
              </w:rPr>
              <w:t>(2)投标文件上法定代表人或其授权代理人的签字、投标人的单位章盖章齐全，符合招标文件规定。</w:t>
            </w:r>
          </w:p>
          <w:p>
            <w:pPr>
              <w:spacing w:line="400" w:lineRule="exact"/>
              <w:ind w:firstLine="420" w:firstLineChars="200"/>
              <w:jc w:val="left"/>
              <w:rPr>
                <w:rFonts w:ascii="宋体" w:hAnsi="宋体"/>
                <w:szCs w:val="21"/>
              </w:rPr>
            </w:pPr>
            <w:r>
              <w:rPr>
                <w:rFonts w:hint="eastAsia" w:ascii="宋体" w:hAnsi="宋体"/>
                <w:szCs w:val="21"/>
              </w:rPr>
              <w:t>(3)同一投标人未提交两个以上不同的投标报价，但招标文件要求提交备选投标的除外。</w:t>
            </w:r>
          </w:p>
          <w:p>
            <w:pPr>
              <w:spacing w:line="400" w:lineRule="exact"/>
              <w:ind w:firstLine="420" w:firstLineChars="200"/>
              <w:jc w:val="left"/>
              <w:rPr>
                <w:rFonts w:ascii="宋体" w:hAnsi="宋体"/>
                <w:szCs w:val="21"/>
              </w:rPr>
            </w:pPr>
            <w:r>
              <w:rPr>
                <w:rFonts w:hint="eastAsia" w:ascii="宋体" w:hAnsi="宋体"/>
                <w:szCs w:val="21"/>
              </w:rPr>
              <w:t>(4)投标人若填写工程量固化清单，填写完毕的工程量固化清单未对工程量固化清单电子文件中的数据、格式和运算定义进行修改。</w:t>
            </w:r>
          </w:p>
          <w:p>
            <w:pPr>
              <w:spacing w:line="400" w:lineRule="exact"/>
              <w:ind w:firstLine="420" w:firstLineChars="200"/>
              <w:jc w:val="left"/>
              <w:rPr>
                <w:rFonts w:ascii="宋体" w:hAnsi="宋体"/>
                <w:b/>
                <w:szCs w:val="21"/>
              </w:rPr>
            </w:pPr>
            <w:r>
              <w:rPr>
                <w:rFonts w:hint="eastAsia" w:ascii="宋体" w:hAnsi="宋体"/>
                <w:szCs w:val="21"/>
              </w:rPr>
              <w:t>(5)投标文件正、副本份数符合招标文件第二章“投标人须知”第3.7.4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8" w:hRule="atLeast"/>
          <w:jc w:val="center"/>
        </w:trPr>
        <w:tc>
          <w:tcPr>
            <w:tcW w:w="1219" w:type="dxa"/>
            <w:tcBorders>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2.1.2</w:t>
            </w:r>
          </w:p>
        </w:tc>
        <w:tc>
          <w:tcPr>
            <w:tcW w:w="1214" w:type="dxa"/>
            <w:tcBorders>
              <w:left w:val="single" w:color="auto" w:sz="4" w:space="0"/>
              <w:bottom w:val="single" w:color="auto" w:sz="4" w:space="0"/>
            </w:tcBorders>
            <w:vAlign w:val="center"/>
          </w:tcPr>
          <w:p>
            <w:pPr>
              <w:rPr>
                <w:rFonts w:ascii="宋体" w:hAnsi="宋体"/>
                <w:szCs w:val="21"/>
              </w:rPr>
            </w:pPr>
            <w:r>
              <w:rPr>
                <w:rFonts w:hint="eastAsia" w:ascii="宋体" w:hAnsi="宋体"/>
                <w:szCs w:val="21"/>
              </w:rPr>
              <w:t>资格评审标准</w:t>
            </w:r>
          </w:p>
        </w:tc>
        <w:tc>
          <w:tcPr>
            <w:tcW w:w="7380" w:type="dxa"/>
            <w:tcBorders>
              <w:bottom w:val="single" w:color="auto" w:sz="4" w:space="0"/>
            </w:tcBorders>
            <w:vAlign w:val="center"/>
          </w:tcPr>
          <w:p>
            <w:pPr>
              <w:spacing w:line="400" w:lineRule="exact"/>
              <w:ind w:firstLine="420" w:firstLineChars="200"/>
              <w:rPr>
                <w:rFonts w:ascii="宋体" w:hAnsi="宋体"/>
                <w:szCs w:val="21"/>
              </w:rPr>
            </w:pPr>
            <w:r>
              <w:rPr>
                <w:rFonts w:hint="eastAsia" w:ascii="宋体" w:hAnsi="宋体"/>
                <w:szCs w:val="21"/>
              </w:rPr>
              <w:t>(1)投标人具备有效的营业执照、资质证书和安全生产许可证和基本账户开户许可证；</w:t>
            </w:r>
          </w:p>
          <w:p>
            <w:pPr>
              <w:spacing w:line="400" w:lineRule="exact"/>
              <w:ind w:firstLine="420" w:firstLineChars="200"/>
              <w:rPr>
                <w:rFonts w:ascii="宋体" w:hAnsi="宋体"/>
                <w:szCs w:val="21"/>
              </w:rPr>
            </w:pPr>
            <w:r>
              <w:rPr>
                <w:rFonts w:hint="eastAsia" w:ascii="宋体" w:hAnsi="宋体"/>
                <w:szCs w:val="21"/>
              </w:rPr>
              <w:t>(2)投标人的资质等级符合招标文件规定；</w:t>
            </w:r>
          </w:p>
          <w:p>
            <w:pPr>
              <w:spacing w:line="400" w:lineRule="exact"/>
              <w:ind w:firstLine="420" w:firstLineChars="200"/>
              <w:rPr>
                <w:rFonts w:ascii="宋体" w:hAnsi="宋体"/>
                <w:szCs w:val="21"/>
              </w:rPr>
            </w:pPr>
            <w:r>
              <w:rPr>
                <w:rFonts w:hint="eastAsia" w:ascii="宋体" w:hAnsi="宋体"/>
                <w:szCs w:val="21"/>
              </w:rPr>
              <w:t>(3)投标人的财务状况符合招标文件规定；</w:t>
            </w:r>
          </w:p>
          <w:p>
            <w:pPr>
              <w:spacing w:line="400" w:lineRule="exact"/>
              <w:ind w:firstLine="420" w:firstLineChars="200"/>
              <w:rPr>
                <w:rFonts w:ascii="宋体" w:hAnsi="宋体"/>
                <w:szCs w:val="21"/>
              </w:rPr>
            </w:pPr>
            <w:r>
              <w:rPr>
                <w:rFonts w:hint="eastAsia" w:ascii="宋体" w:hAnsi="宋体"/>
                <w:szCs w:val="21"/>
              </w:rPr>
              <w:t>(4)投标人的类似项目业绩符合招标文件规定；</w:t>
            </w:r>
          </w:p>
          <w:p>
            <w:pPr>
              <w:spacing w:line="400" w:lineRule="exact"/>
              <w:ind w:firstLine="420" w:firstLineChars="200"/>
              <w:rPr>
                <w:rFonts w:ascii="宋体" w:hAnsi="宋体"/>
                <w:szCs w:val="21"/>
              </w:rPr>
            </w:pPr>
            <w:r>
              <w:rPr>
                <w:rFonts w:hint="eastAsia" w:ascii="宋体" w:hAnsi="宋体"/>
                <w:szCs w:val="21"/>
              </w:rPr>
              <w:t>(5)投标人的信誉符合招标文件规定；</w:t>
            </w:r>
          </w:p>
          <w:p>
            <w:pPr>
              <w:spacing w:line="400" w:lineRule="exact"/>
              <w:ind w:firstLine="420" w:firstLineChars="200"/>
              <w:rPr>
                <w:rFonts w:ascii="宋体" w:hAnsi="宋体"/>
                <w:szCs w:val="21"/>
              </w:rPr>
            </w:pPr>
            <w:r>
              <w:rPr>
                <w:rFonts w:hint="eastAsia" w:ascii="宋体" w:hAnsi="宋体"/>
                <w:szCs w:val="21"/>
              </w:rPr>
              <w:t>(6)投标人的项目经理资格符合招标文件规定；</w:t>
            </w:r>
          </w:p>
          <w:p>
            <w:pPr>
              <w:spacing w:line="400" w:lineRule="exact"/>
              <w:ind w:firstLine="420" w:firstLineChars="200"/>
              <w:rPr>
                <w:rFonts w:ascii="宋体" w:hAnsi="宋体"/>
                <w:szCs w:val="21"/>
              </w:rPr>
            </w:pPr>
            <w:r>
              <w:rPr>
                <w:rFonts w:hint="eastAsia" w:ascii="宋体" w:hAnsi="宋体"/>
                <w:szCs w:val="21"/>
              </w:rPr>
              <w:t>(7)投标人的其他要求符合招标文件规定；</w:t>
            </w:r>
          </w:p>
          <w:p>
            <w:pPr>
              <w:spacing w:line="400" w:lineRule="exact"/>
              <w:ind w:firstLine="420" w:firstLineChars="200"/>
              <w:rPr>
                <w:rFonts w:ascii="宋体" w:hAnsi="宋体"/>
                <w:szCs w:val="21"/>
              </w:rPr>
            </w:pPr>
            <w:r>
              <w:rPr>
                <w:rFonts w:hint="eastAsia" w:ascii="宋体" w:hAnsi="宋体"/>
                <w:szCs w:val="21"/>
              </w:rPr>
              <w:t>(8)投标人不存在第二章“投标人须知”第1.4.3项规定的任何一种情形；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7" w:hRule="atLeast"/>
          <w:jc w:val="center"/>
        </w:trPr>
        <w:tc>
          <w:tcPr>
            <w:tcW w:w="1219"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2.2.1</w:t>
            </w:r>
          </w:p>
        </w:tc>
        <w:tc>
          <w:tcPr>
            <w:tcW w:w="1214" w:type="dxa"/>
            <w:tcBorders>
              <w:top w:val="single" w:color="auto" w:sz="4" w:space="0"/>
              <w:bottom w:val="single" w:color="auto" w:sz="4" w:space="0"/>
            </w:tcBorders>
            <w:vAlign w:val="center"/>
          </w:tcPr>
          <w:p>
            <w:pPr>
              <w:rPr>
                <w:rFonts w:ascii="宋体" w:hAnsi="宋体"/>
                <w:szCs w:val="21"/>
              </w:rPr>
            </w:pPr>
            <w:r>
              <w:rPr>
                <w:rFonts w:hint="eastAsia" w:ascii="宋体" w:hAnsi="宋体"/>
                <w:szCs w:val="21"/>
              </w:rPr>
              <w:t>第一个信封</w:t>
            </w:r>
          </w:p>
          <w:p>
            <w:pPr>
              <w:rPr>
                <w:rFonts w:ascii="宋体" w:hAnsi="宋体"/>
                <w:szCs w:val="21"/>
              </w:rPr>
            </w:pPr>
            <w:r>
              <w:rPr>
                <w:rFonts w:hint="eastAsia" w:ascii="宋体" w:hAnsi="宋体"/>
                <w:szCs w:val="21"/>
              </w:rPr>
              <w:t>评分分值构成(总分100分)</w:t>
            </w:r>
          </w:p>
        </w:tc>
        <w:tc>
          <w:tcPr>
            <w:tcW w:w="7380" w:type="dxa"/>
            <w:tcBorders>
              <w:top w:val="single" w:color="auto" w:sz="4" w:space="0"/>
              <w:bottom w:val="single" w:color="auto" w:sz="4" w:space="0"/>
            </w:tcBorders>
            <w:vAlign w:val="center"/>
          </w:tcPr>
          <w:p>
            <w:pPr>
              <w:spacing w:line="400" w:lineRule="exact"/>
              <w:ind w:firstLine="420" w:firstLineChars="200"/>
              <w:jc w:val="left"/>
              <w:rPr>
                <w:rFonts w:ascii="宋体" w:hAnsi="宋体"/>
                <w:szCs w:val="21"/>
              </w:rPr>
            </w:pPr>
            <w:r>
              <w:rPr>
                <w:rFonts w:hint="eastAsia" w:ascii="宋体" w:hAnsi="宋体"/>
                <w:szCs w:val="21"/>
              </w:rPr>
              <w:t>施工组织设计40分</w:t>
            </w:r>
          </w:p>
          <w:p>
            <w:pPr>
              <w:spacing w:line="400" w:lineRule="exact"/>
              <w:ind w:firstLine="420" w:firstLineChars="200"/>
              <w:jc w:val="left"/>
              <w:rPr>
                <w:rFonts w:ascii="宋体" w:hAnsi="宋体"/>
                <w:szCs w:val="21"/>
              </w:rPr>
            </w:pPr>
            <w:r>
              <w:rPr>
                <w:rFonts w:hint="eastAsia" w:ascii="宋体" w:hAnsi="宋体"/>
                <w:szCs w:val="21"/>
              </w:rPr>
              <w:t>项目管理机构20分</w:t>
            </w:r>
          </w:p>
          <w:p>
            <w:pPr>
              <w:spacing w:line="400" w:lineRule="exact"/>
              <w:ind w:firstLine="420" w:firstLineChars="200"/>
              <w:jc w:val="left"/>
              <w:rPr>
                <w:rFonts w:ascii="宋体" w:hAnsi="宋体"/>
                <w:szCs w:val="21"/>
              </w:rPr>
            </w:pPr>
            <w:r>
              <w:rPr>
                <w:rFonts w:hint="eastAsia" w:ascii="宋体" w:hAnsi="宋体"/>
                <w:szCs w:val="21"/>
              </w:rPr>
              <w:t>技术能力25分</w:t>
            </w:r>
          </w:p>
          <w:p>
            <w:pPr>
              <w:spacing w:line="400" w:lineRule="exact"/>
              <w:ind w:firstLine="420" w:firstLineChars="200"/>
              <w:jc w:val="left"/>
              <w:rPr>
                <w:rFonts w:ascii="宋体" w:hAnsi="宋体"/>
                <w:szCs w:val="21"/>
              </w:rPr>
            </w:pPr>
            <w:r>
              <w:rPr>
                <w:rFonts w:hint="eastAsia" w:ascii="宋体" w:hAnsi="宋体"/>
                <w:szCs w:val="21"/>
              </w:rPr>
              <w:t>履约信誉15分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7" w:hRule="atLeast"/>
          <w:jc w:val="center"/>
        </w:trPr>
        <w:tc>
          <w:tcPr>
            <w:tcW w:w="1219"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3.2.1</w:t>
            </w:r>
          </w:p>
        </w:tc>
        <w:tc>
          <w:tcPr>
            <w:tcW w:w="1214" w:type="dxa"/>
            <w:tcBorders>
              <w:top w:val="single" w:color="auto" w:sz="4" w:space="0"/>
              <w:bottom w:val="single" w:color="auto" w:sz="4" w:space="0"/>
            </w:tcBorders>
            <w:vAlign w:val="center"/>
          </w:tcPr>
          <w:p>
            <w:pPr>
              <w:rPr>
                <w:rFonts w:ascii="宋体" w:hAnsi="宋体"/>
                <w:szCs w:val="21"/>
              </w:rPr>
            </w:pPr>
            <w:r>
              <w:rPr>
                <w:rFonts w:hint="eastAsia" w:ascii="宋体" w:hAnsi="宋体"/>
                <w:szCs w:val="21"/>
              </w:rPr>
              <w:t>通过第一个信封详细评审的投标人数量</w:t>
            </w:r>
          </w:p>
        </w:tc>
        <w:tc>
          <w:tcPr>
            <w:tcW w:w="7380" w:type="dxa"/>
            <w:tcBorders>
              <w:top w:val="single" w:color="auto" w:sz="4" w:space="0"/>
              <w:bottom w:val="single" w:color="auto" w:sz="4" w:space="0"/>
            </w:tcBorders>
            <w:vAlign w:val="center"/>
          </w:tcPr>
          <w:p>
            <w:pPr>
              <w:spacing w:line="400" w:lineRule="exact"/>
              <w:ind w:firstLine="420" w:firstLineChars="200"/>
              <w:jc w:val="left"/>
              <w:rPr>
                <w:rFonts w:ascii="宋体" w:hAnsi="宋体"/>
                <w:szCs w:val="21"/>
              </w:rPr>
            </w:pPr>
            <w:r>
              <w:rPr>
                <w:rFonts w:hint="eastAsia" w:ascii="宋体" w:hAnsi="宋体"/>
                <w:szCs w:val="21"/>
              </w:rPr>
              <w:t>按照投标人的商务和技术得分由高到低排序，选择前三名通过详细评审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jc w:val="center"/>
        </w:trPr>
        <w:tc>
          <w:tcPr>
            <w:tcW w:w="1219" w:type="dxa"/>
            <w:tcBorders>
              <w:right w:val="single" w:color="auto" w:sz="4" w:space="0"/>
            </w:tcBorders>
            <w:vAlign w:val="center"/>
          </w:tcPr>
          <w:p>
            <w:pPr>
              <w:rPr>
                <w:rFonts w:ascii="宋体" w:hAnsi="宋体"/>
                <w:b/>
                <w:szCs w:val="21"/>
              </w:rPr>
            </w:pPr>
            <w:r>
              <w:rPr>
                <w:rFonts w:hint="eastAsia" w:ascii="宋体" w:hAnsi="宋体"/>
                <w:b/>
                <w:szCs w:val="21"/>
              </w:rPr>
              <w:t>条款号</w:t>
            </w:r>
          </w:p>
        </w:tc>
        <w:tc>
          <w:tcPr>
            <w:tcW w:w="1214" w:type="dxa"/>
            <w:tcBorders>
              <w:left w:val="single" w:color="auto" w:sz="4" w:space="0"/>
            </w:tcBorders>
            <w:vAlign w:val="center"/>
          </w:tcPr>
          <w:p>
            <w:pPr>
              <w:rPr>
                <w:rFonts w:ascii="宋体" w:hAnsi="宋体"/>
                <w:b/>
                <w:szCs w:val="21"/>
              </w:rPr>
            </w:pPr>
            <w:r>
              <w:rPr>
                <w:rFonts w:hint="eastAsia" w:ascii="宋体" w:hAnsi="宋体"/>
                <w:b/>
                <w:szCs w:val="21"/>
              </w:rPr>
              <w:t>条款内容</w:t>
            </w:r>
          </w:p>
        </w:tc>
        <w:tc>
          <w:tcPr>
            <w:tcW w:w="7380" w:type="dxa"/>
            <w:vAlign w:val="center"/>
          </w:tcPr>
          <w:p>
            <w:pPr>
              <w:rPr>
                <w:rFonts w:ascii="宋体" w:hAnsi="宋体"/>
                <w:b/>
                <w:szCs w:val="21"/>
              </w:rPr>
            </w:pPr>
            <w:r>
              <w:rPr>
                <w:rFonts w:hint="eastAsia" w:ascii="宋体" w:hAnsi="宋体"/>
                <w:b/>
                <w:szCs w:val="21"/>
              </w:rPr>
              <w:t>评审因素与标准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1" w:hRule="atLeast"/>
          <w:jc w:val="center"/>
        </w:trPr>
        <w:tc>
          <w:tcPr>
            <w:tcW w:w="1219"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2.2.2</w:t>
            </w:r>
          </w:p>
        </w:tc>
        <w:tc>
          <w:tcPr>
            <w:tcW w:w="1214" w:type="dxa"/>
            <w:tcBorders>
              <w:top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施工组织设计（0-40分）</w:t>
            </w:r>
          </w:p>
        </w:tc>
        <w:tc>
          <w:tcPr>
            <w:tcW w:w="7380" w:type="dxa"/>
            <w:tcBorders>
              <w:top w:val="single" w:color="auto" w:sz="4" w:space="0"/>
              <w:left w:val="single" w:color="auto" w:sz="4" w:space="0"/>
              <w:bottom w:val="single" w:color="auto" w:sz="4" w:space="0"/>
            </w:tcBorders>
            <w:vAlign w:val="center"/>
          </w:tcPr>
          <w:p>
            <w:pPr>
              <w:spacing w:line="400" w:lineRule="exact"/>
              <w:rPr>
                <w:rFonts w:ascii="宋体" w:hAnsi="宋体"/>
                <w:szCs w:val="21"/>
              </w:rPr>
            </w:pPr>
            <w:r>
              <w:rPr>
                <w:rFonts w:hint="eastAsia" w:ascii="宋体" w:hAnsi="宋体"/>
                <w:szCs w:val="21"/>
              </w:rPr>
              <w:t>1、投标人应按以下要点编制施工组织设计（文字宜精炼、内容具有针对性，总体控制在30000字以内）；</w:t>
            </w:r>
          </w:p>
          <w:p>
            <w:pPr>
              <w:spacing w:line="400" w:lineRule="exact"/>
              <w:rPr>
                <w:rFonts w:ascii="宋体" w:hAnsi="宋体"/>
                <w:szCs w:val="21"/>
              </w:rPr>
            </w:pPr>
            <w:r>
              <w:rPr>
                <w:rFonts w:hint="eastAsia" w:ascii="宋体" w:hAnsi="宋体"/>
                <w:szCs w:val="21"/>
              </w:rPr>
              <w:t>（1）总体施工组织布置及规划                   0-2分</w:t>
            </w:r>
          </w:p>
          <w:p>
            <w:pPr>
              <w:spacing w:line="400" w:lineRule="exact"/>
              <w:rPr>
                <w:rFonts w:ascii="宋体" w:hAnsi="宋体"/>
                <w:szCs w:val="21"/>
              </w:rPr>
            </w:pPr>
            <w:r>
              <w:rPr>
                <w:rFonts w:hint="eastAsia" w:ascii="宋体" w:hAnsi="宋体"/>
                <w:szCs w:val="21"/>
              </w:rPr>
              <w:t>（2）主要工程项目的施工方案、方法与技术措施（尤其对重点、关键和难点工程的施工方案、方法及其措施）                  0-5分</w:t>
            </w:r>
          </w:p>
          <w:p>
            <w:pPr>
              <w:spacing w:line="400" w:lineRule="exact"/>
              <w:rPr>
                <w:rFonts w:ascii="宋体" w:hAnsi="宋体"/>
                <w:szCs w:val="21"/>
              </w:rPr>
            </w:pPr>
            <w:r>
              <w:rPr>
                <w:rFonts w:hint="eastAsia" w:ascii="宋体" w:hAnsi="宋体"/>
                <w:szCs w:val="21"/>
              </w:rPr>
              <w:t>（3）工期的保证体系及保证措施                 0-2分</w:t>
            </w:r>
          </w:p>
          <w:p>
            <w:pPr>
              <w:spacing w:line="400" w:lineRule="exact"/>
              <w:rPr>
                <w:rFonts w:ascii="宋体" w:hAnsi="宋体"/>
                <w:szCs w:val="21"/>
              </w:rPr>
            </w:pPr>
            <w:r>
              <w:rPr>
                <w:rFonts w:hint="eastAsia" w:ascii="宋体" w:hAnsi="宋体"/>
                <w:szCs w:val="21"/>
              </w:rPr>
              <w:t>（4）工程质量管理体系及保证措施               0-3分</w:t>
            </w:r>
          </w:p>
          <w:p>
            <w:pPr>
              <w:spacing w:line="400" w:lineRule="exact"/>
              <w:rPr>
                <w:rFonts w:ascii="宋体" w:hAnsi="宋体"/>
                <w:szCs w:val="21"/>
              </w:rPr>
            </w:pPr>
            <w:r>
              <w:rPr>
                <w:rFonts w:hint="eastAsia" w:ascii="宋体" w:hAnsi="宋体"/>
                <w:szCs w:val="21"/>
              </w:rPr>
              <w:t>（5）安全生产管理体系及保证措施               0-3分</w:t>
            </w:r>
          </w:p>
          <w:p>
            <w:pPr>
              <w:spacing w:line="400" w:lineRule="exact"/>
              <w:rPr>
                <w:rFonts w:ascii="宋体" w:hAnsi="宋体"/>
                <w:szCs w:val="21"/>
              </w:rPr>
            </w:pPr>
            <w:r>
              <w:rPr>
                <w:rFonts w:hint="eastAsia" w:ascii="宋体" w:hAnsi="宋体"/>
                <w:szCs w:val="21"/>
              </w:rPr>
              <w:t xml:space="preserve">（6）环境保护、水土保持保证体系及保证措施（含扬尘治理措施）                                                                  </w:t>
            </w:r>
          </w:p>
          <w:p>
            <w:pPr>
              <w:spacing w:line="400" w:lineRule="exact"/>
              <w:rPr>
                <w:rFonts w:ascii="宋体" w:hAnsi="宋体"/>
                <w:szCs w:val="21"/>
              </w:rPr>
            </w:pPr>
            <w:r>
              <w:rPr>
                <w:rFonts w:hint="eastAsia" w:ascii="宋体" w:hAnsi="宋体"/>
                <w:szCs w:val="21"/>
              </w:rPr>
              <w:t xml:space="preserve">                                              0-3分</w:t>
            </w:r>
          </w:p>
          <w:p>
            <w:pPr>
              <w:spacing w:line="400" w:lineRule="exact"/>
              <w:rPr>
                <w:rFonts w:ascii="宋体" w:hAnsi="宋体"/>
                <w:szCs w:val="21"/>
              </w:rPr>
            </w:pPr>
            <w:r>
              <w:rPr>
                <w:rFonts w:hint="eastAsia" w:ascii="宋体" w:hAnsi="宋体"/>
                <w:szCs w:val="21"/>
              </w:rPr>
              <w:t>（7）文明施工、文物保护保证体系及保证措施     0-2分</w:t>
            </w:r>
          </w:p>
          <w:p>
            <w:pPr>
              <w:spacing w:line="400" w:lineRule="exact"/>
              <w:rPr>
                <w:rFonts w:ascii="宋体" w:hAnsi="宋体"/>
                <w:szCs w:val="21"/>
              </w:rPr>
            </w:pPr>
            <w:r>
              <w:rPr>
                <w:rFonts w:hint="eastAsia" w:ascii="宋体" w:hAnsi="宋体"/>
                <w:szCs w:val="21"/>
              </w:rPr>
              <w:t>（8）项目风险预测与防范，事故应急预案         0-2分</w:t>
            </w:r>
          </w:p>
          <w:p>
            <w:pPr>
              <w:spacing w:line="400" w:lineRule="exact"/>
              <w:rPr>
                <w:rFonts w:ascii="宋体" w:hAnsi="宋体"/>
                <w:szCs w:val="21"/>
              </w:rPr>
            </w:pPr>
            <w:r>
              <w:rPr>
                <w:rFonts w:hint="eastAsia" w:ascii="宋体" w:hAnsi="宋体"/>
                <w:szCs w:val="21"/>
              </w:rPr>
              <w:t>2、施工组织设计除采用文字表述外可附下列图表，图表及格式要求附后。</w:t>
            </w:r>
          </w:p>
          <w:p>
            <w:pPr>
              <w:spacing w:line="400" w:lineRule="exact"/>
              <w:rPr>
                <w:rFonts w:ascii="宋体" w:hAnsi="宋体"/>
                <w:szCs w:val="21"/>
              </w:rPr>
            </w:pPr>
            <w:r>
              <w:rPr>
                <w:rFonts w:hint="eastAsia" w:ascii="宋体" w:hAnsi="宋体"/>
                <w:szCs w:val="21"/>
              </w:rPr>
              <w:t xml:space="preserve">   附表一  施工总体计划表                     0-2分</w:t>
            </w:r>
          </w:p>
          <w:p>
            <w:pPr>
              <w:spacing w:line="400" w:lineRule="exact"/>
              <w:rPr>
                <w:rFonts w:ascii="宋体" w:hAnsi="宋体"/>
                <w:szCs w:val="21"/>
              </w:rPr>
            </w:pPr>
            <w:r>
              <w:rPr>
                <w:rFonts w:hint="eastAsia" w:ascii="宋体" w:hAnsi="宋体"/>
                <w:szCs w:val="21"/>
              </w:rPr>
              <w:t xml:space="preserve">   附表二  分项工程进度率计划（斜率图）       0-2分 </w:t>
            </w:r>
          </w:p>
          <w:p>
            <w:pPr>
              <w:spacing w:line="400" w:lineRule="exact"/>
              <w:rPr>
                <w:rFonts w:ascii="宋体" w:hAnsi="宋体"/>
                <w:szCs w:val="21"/>
              </w:rPr>
            </w:pPr>
            <w:r>
              <w:rPr>
                <w:rFonts w:hint="eastAsia" w:ascii="宋体" w:hAnsi="宋体"/>
                <w:szCs w:val="21"/>
              </w:rPr>
              <w:t xml:space="preserve">   附表三  工程管理曲线                       0-2分</w:t>
            </w:r>
          </w:p>
          <w:p>
            <w:pPr>
              <w:spacing w:line="400" w:lineRule="exact"/>
              <w:rPr>
                <w:rFonts w:ascii="宋体" w:hAnsi="宋体"/>
                <w:szCs w:val="21"/>
              </w:rPr>
            </w:pPr>
            <w:r>
              <w:rPr>
                <w:rFonts w:hint="eastAsia" w:ascii="宋体" w:hAnsi="宋体"/>
                <w:szCs w:val="21"/>
              </w:rPr>
              <w:t xml:space="preserve">   附表四  分项工程生产率和施工周期表         0-2分</w:t>
            </w:r>
          </w:p>
          <w:p>
            <w:pPr>
              <w:spacing w:line="400" w:lineRule="exact"/>
              <w:rPr>
                <w:rFonts w:ascii="宋体" w:hAnsi="宋体"/>
                <w:szCs w:val="21"/>
              </w:rPr>
            </w:pPr>
            <w:r>
              <w:rPr>
                <w:rFonts w:hint="eastAsia" w:ascii="宋体" w:hAnsi="宋体"/>
                <w:szCs w:val="21"/>
              </w:rPr>
              <w:t xml:space="preserve">   附表五  施工总平面图                       0-2分</w:t>
            </w:r>
          </w:p>
          <w:p>
            <w:pPr>
              <w:spacing w:line="400" w:lineRule="exact"/>
              <w:rPr>
                <w:rFonts w:ascii="宋体" w:hAnsi="宋体"/>
                <w:szCs w:val="21"/>
              </w:rPr>
            </w:pPr>
            <w:r>
              <w:rPr>
                <w:rFonts w:hint="eastAsia" w:ascii="宋体" w:hAnsi="宋体"/>
                <w:szCs w:val="21"/>
              </w:rPr>
              <w:t xml:space="preserve">   附表六  劳动力计划表                       0-2分</w:t>
            </w:r>
          </w:p>
          <w:p>
            <w:pPr>
              <w:spacing w:line="400" w:lineRule="exact"/>
              <w:ind w:firstLine="315" w:firstLineChars="150"/>
              <w:rPr>
                <w:rFonts w:ascii="宋体" w:hAnsi="宋体"/>
                <w:szCs w:val="21"/>
              </w:rPr>
            </w:pPr>
            <w:r>
              <w:rPr>
                <w:rFonts w:hint="eastAsia" w:ascii="宋体" w:hAnsi="宋体"/>
                <w:szCs w:val="21"/>
              </w:rPr>
              <w:t>附表七  临时用地计划表                     0-2分</w:t>
            </w:r>
          </w:p>
          <w:p>
            <w:pPr>
              <w:spacing w:line="400" w:lineRule="exact"/>
              <w:ind w:firstLine="315" w:firstLineChars="150"/>
              <w:rPr>
                <w:rFonts w:ascii="宋体" w:hAnsi="宋体"/>
                <w:szCs w:val="21"/>
              </w:rPr>
            </w:pPr>
            <w:r>
              <w:rPr>
                <w:rFonts w:hint="eastAsia" w:ascii="宋体" w:hAnsi="宋体"/>
                <w:szCs w:val="21"/>
              </w:rPr>
              <w:t>附表八  外供电力需求计划表                 0-2分</w:t>
            </w:r>
          </w:p>
          <w:p>
            <w:pPr>
              <w:spacing w:line="400" w:lineRule="exact"/>
              <w:rPr>
                <w:rFonts w:ascii="宋体" w:hAnsi="宋体"/>
                <w:szCs w:val="21"/>
              </w:rPr>
            </w:pPr>
            <w:r>
              <w:rPr>
                <w:rFonts w:hint="eastAsia" w:ascii="宋体" w:hAnsi="宋体"/>
                <w:szCs w:val="21"/>
              </w:rPr>
              <w:t xml:space="preserve">   附表九  合同用款估算表                     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jc w:val="center"/>
        </w:trPr>
        <w:tc>
          <w:tcPr>
            <w:tcW w:w="1219" w:type="dxa"/>
            <w:tcBorders>
              <w:top w:val="single" w:color="auto" w:sz="4" w:space="0"/>
            </w:tcBorders>
            <w:vAlign w:val="center"/>
          </w:tcPr>
          <w:p>
            <w:pPr>
              <w:jc w:val="center"/>
              <w:rPr>
                <w:rFonts w:ascii="宋体" w:hAnsi="宋体"/>
                <w:szCs w:val="21"/>
              </w:rPr>
            </w:pPr>
            <w:r>
              <w:rPr>
                <w:rFonts w:hint="eastAsia" w:ascii="宋体" w:hAnsi="宋体"/>
                <w:szCs w:val="21"/>
              </w:rPr>
              <w:t>2.2.3</w:t>
            </w:r>
          </w:p>
        </w:tc>
        <w:tc>
          <w:tcPr>
            <w:tcW w:w="1214" w:type="dxa"/>
            <w:tcBorders>
              <w:top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项目管理机构（0-20分）</w:t>
            </w:r>
          </w:p>
        </w:tc>
        <w:tc>
          <w:tcPr>
            <w:tcW w:w="7380" w:type="dxa"/>
            <w:tcBorders>
              <w:top w:val="single" w:color="auto" w:sz="4" w:space="0"/>
              <w:left w:val="single" w:color="auto" w:sz="4" w:space="0"/>
            </w:tcBorders>
            <w:vAlign w:val="center"/>
          </w:tcPr>
          <w:p>
            <w:pPr>
              <w:spacing w:line="400" w:lineRule="exact"/>
              <w:rPr>
                <w:rFonts w:ascii="宋体" w:hAnsi="宋体"/>
                <w:szCs w:val="21"/>
              </w:rPr>
            </w:pPr>
            <w:r>
              <w:rPr>
                <w:rFonts w:hint="eastAsia" w:ascii="宋体" w:hAnsi="宋体"/>
                <w:szCs w:val="21"/>
              </w:rPr>
              <w:t>1.拟派项目总工中级职称者得5分，高级职称者得10分；【须提供证书原件扫描件（或图片）】</w:t>
            </w:r>
          </w:p>
          <w:p>
            <w:pPr>
              <w:spacing w:line="400" w:lineRule="exact"/>
              <w:rPr>
                <w:rFonts w:ascii="宋体" w:hAnsi="宋体"/>
                <w:szCs w:val="21"/>
              </w:rPr>
            </w:pPr>
            <w:r>
              <w:rPr>
                <w:rFonts w:hint="eastAsia" w:ascii="宋体" w:hAnsi="宋体"/>
                <w:szCs w:val="21"/>
              </w:rPr>
              <w:t>2.拟派项目班子中主要进场人员证件齐全者得10分，缺一项扣2分，扣完为止。【须提供证书原件扫描件（或图片）】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19"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2.2.4</w:t>
            </w:r>
          </w:p>
        </w:tc>
        <w:tc>
          <w:tcPr>
            <w:tcW w:w="1214" w:type="dxa"/>
            <w:tcBorders>
              <w:top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技术能力</w:t>
            </w:r>
          </w:p>
          <w:p>
            <w:pPr>
              <w:rPr>
                <w:rFonts w:ascii="宋体" w:hAnsi="宋体"/>
                <w:szCs w:val="21"/>
              </w:rPr>
            </w:pPr>
            <w:r>
              <w:rPr>
                <w:rFonts w:hint="eastAsia" w:ascii="宋体" w:hAnsi="宋体"/>
                <w:szCs w:val="21"/>
              </w:rPr>
              <w:t>（0-25分）</w:t>
            </w:r>
          </w:p>
        </w:tc>
        <w:tc>
          <w:tcPr>
            <w:tcW w:w="7380" w:type="dxa"/>
            <w:tcBorders>
              <w:top w:val="single" w:color="auto" w:sz="4" w:space="0"/>
              <w:left w:val="single" w:color="auto" w:sz="4" w:space="0"/>
              <w:bottom w:val="single" w:color="auto" w:sz="4" w:space="0"/>
            </w:tcBorders>
            <w:vAlign w:val="center"/>
          </w:tcPr>
          <w:p>
            <w:pPr>
              <w:spacing w:line="400" w:lineRule="exact"/>
              <w:rPr>
                <w:rFonts w:ascii="宋体" w:hAnsi="宋体"/>
                <w:szCs w:val="21"/>
              </w:rPr>
            </w:pPr>
            <w:r>
              <w:rPr>
                <w:rFonts w:hint="eastAsia" w:ascii="宋体" w:hAnsi="宋体"/>
                <w:szCs w:val="21"/>
              </w:rPr>
              <w:t>1、企业业绩（15分）</w:t>
            </w:r>
          </w:p>
          <w:p>
            <w:pPr>
              <w:spacing w:line="400" w:lineRule="exact"/>
              <w:ind w:firstLine="420" w:firstLineChars="200"/>
              <w:rPr>
                <w:rFonts w:ascii="宋体" w:hAnsi="宋体"/>
                <w:szCs w:val="21"/>
              </w:rPr>
            </w:pPr>
            <w:r>
              <w:rPr>
                <w:rFonts w:hint="eastAsia" w:ascii="宋体" w:hAnsi="宋体"/>
                <w:szCs w:val="21"/>
              </w:rPr>
              <w:t xml:space="preserve"> 企业近年来承建过类似项目者每项得5分，本项最高得15分【须提供合同原件、中标通知书原件、工程接收证书（工程竣工验收证书）的原件扫描件（或图片）和中标公示网页版】。</w:t>
            </w:r>
          </w:p>
          <w:p>
            <w:pPr>
              <w:spacing w:line="400" w:lineRule="exact"/>
              <w:rPr>
                <w:rFonts w:ascii="宋体" w:hAnsi="宋体"/>
                <w:szCs w:val="21"/>
              </w:rPr>
            </w:pPr>
            <w:r>
              <w:rPr>
                <w:rFonts w:hint="eastAsia" w:ascii="宋体" w:hAnsi="宋体"/>
                <w:szCs w:val="21"/>
              </w:rPr>
              <w:t>2、项目经理业绩（10分）</w:t>
            </w:r>
          </w:p>
          <w:p>
            <w:pPr>
              <w:adjustRightInd w:val="0"/>
              <w:snapToGrid w:val="0"/>
              <w:spacing w:line="480" w:lineRule="exact"/>
              <w:ind w:firstLine="480"/>
              <w:rPr>
                <w:rFonts w:ascii="宋体" w:hAnsi="宋体"/>
                <w:b/>
                <w:bCs/>
                <w:szCs w:val="21"/>
              </w:rPr>
            </w:pPr>
            <w:r>
              <w:rPr>
                <w:rFonts w:hint="eastAsia" w:ascii="宋体" w:hAnsi="宋体"/>
                <w:szCs w:val="21"/>
              </w:rPr>
              <w:t>近年来拟派建造师承建过类似项目者每项得5分，本项最高得10分【须提供合同原件、中标通知书原件、工程接收证书（工程竣工验收证书）的原件扫描件（或图片）和中标公示网页版】，若上述资料不显示项目经理姓名，还须同时提供建设单位出具的相关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jc w:val="center"/>
        </w:trPr>
        <w:tc>
          <w:tcPr>
            <w:tcW w:w="9813" w:type="dxa"/>
            <w:gridSpan w:val="3"/>
            <w:tcBorders>
              <w:top w:val="single" w:color="auto" w:sz="4" w:space="0"/>
              <w:bottom w:val="single" w:color="auto" w:sz="4" w:space="0"/>
            </w:tcBorders>
            <w:vAlign w:val="center"/>
          </w:tcPr>
          <w:p>
            <w:pPr>
              <w:numPr>
                <w:ilvl w:val="0"/>
                <w:numId w:val="1"/>
              </w:numPr>
              <w:adjustRightInd w:val="0"/>
              <w:snapToGrid w:val="0"/>
              <w:spacing w:line="480" w:lineRule="exact"/>
              <w:rPr>
                <w:rFonts w:ascii="新宋体" w:hAnsi="新宋体" w:eastAsia="新宋体"/>
                <w:b/>
                <w:szCs w:val="21"/>
              </w:rPr>
            </w:pPr>
            <w:r>
              <w:rPr>
                <w:rFonts w:hint="eastAsia" w:ascii="新宋体" w:hAnsi="新宋体" w:eastAsia="新宋体"/>
                <w:b/>
                <w:szCs w:val="21"/>
              </w:rPr>
              <w:t>业绩合同以合同签订日期为准，获奖证书以发证日期为准，企业业绩和项目经理业绩不重复计分；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jc w:val="center"/>
        </w:trPr>
        <w:tc>
          <w:tcPr>
            <w:tcW w:w="1219"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2.2.5</w:t>
            </w:r>
          </w:p>
        </w:tc>
        <w:tc>
          <w:tcPr>
            <w:tcW w:w="1214" w:type="dxa"/>
            <w:tcBorders>
              <w:top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履约信誉（0-15分）</w:t>
            </w:r>
          </w:p>
        </w:tc>
        <w:tc>
          <w:tcPr>
            <w:tcW w:w="7380" w:type="dxa"/>
            <w:tcBorders>
              <w:top w:val="single" w:color="auto" w:sz="4" w:space="0"/>
              <w:left w:val="single" w:color="auto" w:sz="4" w:space="0"/>
              <w:bottom w:val="single" w:color="auto" w:sz="4" w:space="0"/>
            </w:tcBorders>
            <w:vAlign w:val="center"/>
          </w:tcPr>
          <w:p>
            <w:pPr>
              <w:spacing w:line="360" w:lineRule="auto"/>
              <w:rPr>
                <w:rFonts w:hint="eastAsia" w:ascii="宋体" w:hAnsi="宋体" w:eastAsia="宋体" w:cs="Times New Roman"/>
                <w:szCs w:val="21"/>
              </w:rPr>
            </w:pPr>
            <w:r>
              <w:rPr>
                <w:rFonts w:hint="eastAsia" w:ascii="宋体" w:hAnsi="宋体" w:eastAsia="宋体" w:cs="Times New Roman"/>
                <w:szCs w:val="21"/>
              </w:rPr>
              <w:t>1、企业信用（4分）</w:t>
            </w:r>
          </w:p>
          <w:p>
            <w:pPr>
              <w:spacing w:line="360" w:lineRule="auto"/>
              <w:rPr>
                <w:rFonts w:hint="eastAsia" w:ascii="宋体" w:hAnsi="宋体" w:eastAsia="宋体" w:cs="Times New Roman"/>
                <w:szCs w:val="21"/>
              </w:rPr>
            </w:pPr>
            <w:r>
              <w:rPr>
                <w:rFonts w:hint="eastAsia" w:ascii="宋体" w:hAnsi="宋体" w:eastAsia="宋体" w:cs="Times New Roman"/>
                <w:szCs w:val="21"/>
              </w:rPr>
              <w:t>1</w:t>
            </w:r>
            <w:r>
              <w:rPr>
                <w:rFonts w:hint="eastAsia" w:ascii="宋体" w:hAnsi="宋体" w:eastAsia="宋体" w:cs="Times New Roman"/>
                <w:szCs w:val="21"/>
                <w:lang w:val="en-US" w:eastAsia="zh-CN"/>
              </w:rPr>
              <w:t>.1</w:t>
            </w:r>
            <w:r>
              <w:rPr>
                <w:rFonts w:hint="eastAsia" w:ascii="宋体" w:hAnsi="宋体" w:eastAsia="宋体" w:cs="Times New Roman"/>
                <w:szCs w:val="21"/>
              </w:rPr>
              <w:t>、提供企业所在地税务主管部门出具的纳税情况证明，纳税情况良好得2分。</w:t>
            </w:r>
          </w:p>
          <w:p>
            <w:pPr>
              <w:spacing w:line="360" w:lineRule="auto"/>
              <w:rPr>
                <w:rFonts w:hint="eastAsia" w:ascii="宋体" w:hAnsi="宋体" w:eastAsia="宋体" w:cs="Times New Roman"/>
                <w:szCs w:val="21"/>
              </w:rPr>
            </w:pPr>
            <w:r>
              <w:rPr>
                <w:rFonts w:hint="eastAsia" w:ascii="宋体" w:hAnsi="宋体" w:eastAsia="宋体" w:cs="Times New Roman"/>
                <w:szCs w:val="21"/>
                <w:lang w:val="en-US" w:eastAsia="zh-CN"/>
              </w:rPr>
              <w:t>1.2</w:t>
            </w:r>
            <w:r>
              <w:rPr>
                <w:rFonts w:hint="eastAsia" w:ascii="宋体" w:hAnsi="宋体" w:eastAsia="宋体" w:cs="Times New Roman"/>
                <w:szCs w:val="21"/>
              </w:rPr>
              <w:t>、投标人提供2016年1月以来信用评级机构出具的有效的企业信用等级证书原件扫描件</w:t>
            </w:r>
            <w:r>
              <w:rPr>
                <w:rFonts w:hint="eastAsia" w:ascii="宋体" w:hAnsi="宋体" w:eastAsia="宋体" w:cs="Times New Roman"/>
                <w:szCs w:val="21"/>
                <w:lang w:eastAsia="zh-CN"/>
              </w:rPr>
              <w:t>或图片</w:t>
            </w:r>
            <w:r>
              <w:rPr>
                <w:rFonts w:hint="eastAsia" w:ascii="宋体" w:hAnsi="宋体" w:eastAsia="宋体" w:cs="Times New Roman"/>
                <w:szCs w:val="21"/>
              </w:rPr>
              <w:t>，等级为AAA级的得2分。</w:t>
            </w:r>
          </w:p>
          <w:p>
            <w:pPr>
              <w:spacing w:line="360" w:lineRule="auto"/>
              <w:rPr>
                <w:rFonts w:hint="eastAsia" w:ascii="宋体" w:hAnsi="宋体" w:eastAsia="宋体" w:cs="Times New Roman"/>
                <w:szCs w:val="21"/>
              </w:rPr>
            </w:pPr>
            <w:r>
              <w:rPr>
                <w:rFonts w:hint="eastAsia" w:ascii="宋体" w:hAnsi="宋体" w:eastAsia="宋体" w:cs="Times New Roman"/>
                <w:szCs w:val="21"/>
              </w:rPr>
              <w:t>2、服务承诺（含扬尘治理等内容）（11分）</w:t>
            </w:r>
          </w:p>
          <w:p>
            <w:pPr>
              <w:spacing w:line="360" w:lineRule="auto"/>
              <w:rPr>
                <w:rFonts w:ascii="宋体" w:hAnsi="宋体"/>
                <w:szCs w:val="21"/>
              </w:rPr>
            </w:pPr>
            <w:r>
              <w:rPr>
                <w:rFonts w:hint="eastAsia" w:ascii="宋体" w:hAnsi="宋体" w:eastAsia="宋体" w:cs="Times New Roman"/>
                <w:szCs w:val="21"/>
              </w:rPr>
              <w:t xml:space="preserve"> 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酌情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jc w:val="center"/>
        </w:trPr>
        <w:tc>
          <w:tcPr>
            <w:tcW w:w="9813" w:type="dxa"/>
            <w:gridSpan w:val="3"/>
            <w:tcBorders>
              <w:top w:val="single" w:color="auto" w:sz="4" w:space="0"/>
              <w:bottom w:val="single" w:color="auto" w:sz="4" w:space="0"/>
            </w:tcBorders>
            <w:vAlign w:val="center"/>
          </w:tcPr>
          <w:p>
            <w:pPr>
              <w:ind w:firstLine="420" w:firstLineChars="200"/>
              <w:rPr>
                <w:rFonts w:ascii="宋体" w:hAnsi="宋体"/>
                <w:szCs w:val="21"/>
              </w:rPr>
            </w:pPr>
          </w:p>
          <w:p>
            <w:pPr>
              <w:ind w:firstLine="420" w:firstLineChars="200"/>
              <w:rPr>
                <w:rFonts w:ascii="宋体" w:hAnsi="宋体"/>
                <w:szCs w:val="21"/>
              </w:rPr>
            </w:pPr>
            <w:r>
              <w:rPr>
                <w:rFonts w:hint="eastAsia" w:ascii="宋体" w:hAnsi="宋体"/>
                <w:szCs w:val="21"/>
              </w:rPr>
              <w:t>需要补充的其他内容：</w:t>
            </w:r>
          </w:p>
          <w:p>
            <w:pPr>
              <w:ind w:firstLine="420" w:firstLineChars="200"/>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jc w:val="center"/>
        </w:trPr>
        <w:tc>
          <w:tcPr>
            <w:tcW w:w="9813" w:type="dxa"/>
            <w:gridSpan w:val="3"/>
            <w:tcBorders>
              <w:top w:val="single" w:color="auto" w:sz="4" w:space="0"/>
            </w:tcBorders>
            <w:vAlign w:val="center"/>
          </w:tcPr>
          <w:p>
            <w:pPr>
              <w:spacing w:line="340" w:lineRule="exact"/>
            </w:pPr>
            <w:r>
              <w:rPr>
                <w:rFonts w:hint="eastAsia"/>
              </w:rPr>
              <w:t>评标程序如下：</w:t>
            </w:r>
          </w:p>
          <w:p>
            <w:pPr>
              <w:spacing w:line="340" w:lineRule="exact"/>
            </w:pPr>
            <w:r>
              <w:rPr>
                <w:rFonts w:hint="eastAsia"/>
              </w:rPr>
              <w:t>1、招标人按照第二章“投标人须知”第5.</w:t>
            </w:r>
            <w:r>
              <w:rPr>
                <w:rFonts w:hint="eastAsia"/>
                <w:lang w:val="en-US" w:eastAsia="zh-CN"/>
              </w:rPr>
              <w:t>1</w:t>
            </w:r>
            <w:r>
              <w:rPr>
                <w:rFonts w:hint="eastAsia"/>
              </w:rPr>
              <w:t>-5.2项的规定对投标文件第一信封（商务及技术文件）进行开标。</w:t>
            </w:r>
          </w:p>
          <w:p>
            <w:pPr>
              <w:spacing w:line="340" w:lineRule="exact"/>
            </w:pPr>
            <w:r>
              <w:rPr>
                <w:rFonts w:hint="eastAsia"/>
              </w:rPr>
              <w:t>2、评标委员会首先对投标文件第一信封（商务及技术）进行评审，确定通过投标文件第一信封（商务及技术文件）评审的投标人名单，并对通过评审的投标文件第一信封（商务及技术文件）进行综合评分。各投标人得分以评标委员会各成员的打分平均值确定。各项打分保留小数点后两位，小数点后第三位“四舍五入”。</w:t>
            </w:r>
          </w:p>
          <w:p>
            <w:pPr>
              <w:spacing w:line="340" w:lineRule="exact"/>
            </w:pPr>
            <w:r>
              <w:rPr>
                <w:rFonts w:hint="eastAsia"/>
              </w:rPr>
              <w:t>3、招标人按照第二章“投标人须知”第5.</w:t>
            </w:r>
            <w:r>
              <w:rPr>
                <w:rFonts w:hint="eastAsia"/>
                <w:lang w:val="en-US" w:eastAsia="zh-CN"/>
              </w:rPr>
              <w:t>1</w:t>
            </w:r>
            <w:r>
              <w:rPr>
                <w:rFonts w:hint="eastAsia"/>
              </w:rPr>
              <w:t>-5.2项的规定对投标文件第一信封（商务及技术文件）评审得分前 3 名的投标文件第二个信封（投标文件）进行开启。</w:t>
            </w:r>
          </w:p>
          <w:p>
            <w:pPr>
              <w:spacing w:line="340" w:lineRule="exact"/>
            </w:pPr>
            <w:r>
              <w:rPr>
                <w:rFonts w:hint="eastAsia"/>
              </w:rPr>
              <w:t>4、评标委员会对已开标的投标文件第二个信封（投标报价和工程量清单）进行评审，按照投标报价由低到高顺序，推荐1-3名中标候选人。当报价相等时，以技术标得分高低进行排序；若技术标得分相等时，可以通过公开随机抽取方式确定中标候选人的排序。</w:t>
            </w:r>
          </w:p>
          <w:p>
            <w:pPr>
              <w:spacing w:line="340" w:lineRule="exact"/>
              <w:rPr>
                <w:rFonts w:hint="eastAsia"/>
              </w:rPr>
            </w:pPr>
            <w:r>
              <w:rPr>
                <w:rFonts w:hint="eastAsia"/>
              </w:rPr>
              <w:t>5、本评标办法里涉及到的证书、证件、业绩及相关文件，评标现场不再提供原件，需在投标文件中附原件扫描件（或图片），否则该项得分应作0分处理。</w:t>
            </w:r>
          </w:p>
          <w:p>
            <w:pPr>
              <w:spacing w:line="340" w:lineRule="exact"/>
              <w:rPr>
                <w:rFonts w:hint="eastAsia" w:ascii="Times New Roman" w:hAnsi="Times New Roman" w:eastAsia="宋体" w:cs="Times New Roman"/>
                <w:b/>
                <w:bCs/>
                <w:lang w:eastAsia="zh-CN"/>
              </w:rPr>
            </w:pPr>
            <w:r>
              <w:rPr>
                <w:rFonts w:hint="eastAsia" w:ascii="Times New Roman" w:hAnsi="Times New Roman" w:eastAsia="宋体" w:cs="Times New Roman"/>
                <w:b/>
                <w:bCs/>
                <w:lang w:eastAsia="zh-CN"/>
              </w:rPr>
              <w:t>注：</w:t>
            </w:r>
          </w:p>
          <w:p>
            <w:pPr>
              <w:spacing w:line="340" w:lineRule="exact"/>
              <w:rPr>
                <w:rFonts w:hint="eastAsia"/>
                <w:lang w:eastAsia="zh-CN"/>
              </w:rPr>
            </w:pPr>
            <w:r>
              <w:rPr>
                <w:rFonts w:hint="eastAsia" w:ascii="Times New Roman" w:hAnsi="Times New Roman" w:eastAsia="宋体" w:cs="Times New Roman"/>
                <w:b/>
                <w:bCs/>
              </w:rPr>
              <w:t>不同投标人电子投标文件制作硬件特征码（网卡MAC地址、CPU序号、硬盘序列号等）雷同时，视为‘不同投标人的投标文件由同一单位或者个人编制’或‘不同投标人委托同一单位或者个人办理投标事宜’，其‘投标无效’的条款；评标专家应严格按照招标文件要求查看“硬件特征码”相关信息并进行评审，在评标报告中显示“不同投标人电子投标文件制作硬件特征码”是否雷同的分析及判定结果。</w:t>
            </w:r>
          </w:p>
        </w:tc>
      </w:tr>
    </w:tbl>
    <w:p>
      <w:pPr>
        <w:adjustRightInd w:val="0"/>
        <w:snapToGrid w:val="0"/>
        <w:spacing w:line="480" w:lineRule="exact"/>
        <w:ind w:firstLine="420" w:firstLineChars="200"/>
        <w:rPr>
          <w:rFonts w:hint="eastAsia" w:ascii="宋体" w:hAnsi="宋体"/>
          <w:szCs w:val="21"/>
        </w:rPr>
      </w:pPr>
      <w:r>
        <w:rPr>
          <w:rFonts w:hint="eastAsia" w:ascii="宋体" w:hAnsi="宋体"/>
          <w:szCs w:val="21"/>
          <w:lang w:val="en-US" w:eastAsia="zh-CN"/>
        </w:rPr>
        <w:t>1、</w:t>
      </w:r>
      <w:r>
        <w:rPr>
          <w:rFonts w:hint="eastAsia" w:ascii="宋体" w:hAnsi="宋体"/>
          <w:szCs w:val="21"/>
        </w:rPr>
        <w:t>评标方法</w:t>
      </w:r>
    </w:p>
    <w:p>
      <w:pPr>
        <w:adjustRightInd w:val="0"/>
        <w:snapToGrid w:val="0"/>
        <w:spacing w:line="480" w:lineRule="exact"/>
        <w:ind w:firstLine="420" w:firstLineChars="200"/>
        <w:rPr>
          <w:rFonts w:hint="eastAsia" w:ascii="宋体" w:hAnsi="宋体"/>
          <w:szCs w:val="21"/>
        </w:rPr>
      </w:pPr>
      <w:r>
        <w:rPr>
          <w:rFonts w:hint="eastAsia" w:ascii="宋体" w:hAnsi="宋体"/>
          <w:szCs w:val="21"/>
        </w:rPr>
        <w:t>本次评标采用技术评分最低标价法。评标委员会对满足招标文件实质性要求的投标文件的施工组织设计、主要人员、技术能力等因素进行评分，按照得分由高到低排序，对排名在招标文件规定数量以内的投标人的报价文件进行评审，按照评标价由低到高的顺序推荐中标候选人，或根据招标人授权直接确定中标人，但投标报价低于其成本的除外。评标价相等时，评标委员会应按照评标办法前附表规定的优先次序推荐中标候选人或确定中标人。</w:t>
      </w:r>
    </w:p>
    <w:p>
      <w:pPr>
        <w:adjustRightInd w:val="0"/>
        <w:snapToGrid w:val="0"/>
        <w:spacing w:line="480" w:lineRule="exact"/>
        <w:ind w:firstLine="420" w:firstLineChars="200"/>
        <w:rPr>
          <w:rFonts w:hint="eastAsia" w:ascii="宋体" w:hAnsi="宋体"/>
          <w:szCs w:val="21"/>
        </w:rPr>
      </w:pPr>
      <w:bookmarkStart w:id="206" w:name="_bookmark111"/>
      <w:bookmarkEnd w:id="206"/>
      <w:r>
        <w:rPr>
          <w:rFonts w:hint="eastAsia" w:ascii="宋体" w:hAnsi="宋体"/>
          <w:szCs w:val="21"/>
          <w:lang w:val="en-US" w:eastAsia="zh-CN"/>
        </w:rPr>
        <w:t>2、</w:t>
      </w:r>
      <w:r>
        <w:rPr>
          <w:rFonts w:hint="eastAsia" w:ascii="宋体" w:hAnsi="宋体"/>
          <w:szCs w:val="21"/>
        </w:rPr>
        <w:t>评审标准</w:t>
      </w:r>
    </w:p>
    <w:p>
      <w:pPr>
        <w:adjustRightInd w:val="0"/>
        <w:snapToGrid w:val="0"/>
        <w:spacing w:line="480" w:lineRule="exact"/>
        <w:ind w:firstLine="420" w:firstLineChars="200"/>
        <w:rPr>
          <w:rFonts w:hint="eastAsia" w:ascii="宋体" w:hAnsi="宋体"/>
          <w:szCs w:val="21"/>
        </w:rPr>
      </w:pPr>
      <w:bookmarkStart w:id="207" w:name="_bookmark112"/>
      <w:bookmarkEnd w:id="207"/>
      <w:r>
        <w:rPr>
          <w:rFonts w:hint="eastAsia" w:ascii="宋体" w:hAnsi="宋体"/>
          <w:szCs w:val="21"/>
          <w:lang w:val="en-US" w:eastAsia="zh-CN"/>
        </w:rPr>
        <w:t>2.1</w:t>
      </w:r>
      <w:r>
        <w:rPr>
          <w:rFonts w:hint="eastAsia" w:ascii="宋体" w:hAnsi="宋体"/>
          <w:szCs w:val="21"/>
        </w:rPr>
        <w:t>初步评审标准</w:t>
      </w:r>
    </w:p>
    <w:p>
      <w:pPr>
        <w:adjustRightInd w:val="0"/>
        <w:snapToGrid w:val="0"/>
        <w:spacing w:line="480" w:lineRule="exact"/>
        <w:ind w:firstLine="420" w:firstLineChars="200"/>
        <w:rPr>
          <w:rFonts w:hint="eastAsia" w:ascii="宋体" w:hAnsi="宋体"/>
          <w:szCs w:val="21"/>
        </w:rPr>
      </w:pPr>
      <w:r>
        <w:rPr>
          <w:rFonts w:hint="eastAsia" w:ascii="宋体" w:hAnsi="宋体"/>
          <w:szCs w:val="21"/>
        </w:rPr>
        <w:t>2.1.1形式评审标准：见评标办法前附表</w:t>
      </w:r>
    </w:p>
    <w:p>
      <w:pPr>
        <w:adjustRightInd w:val="0"/>
        <w:snapToGrid w:val="0"/>
        <w:spacing w:line="480" w:lineRule="exact"/>
        <w:ind w:firstLine="420" w:firstLineChars="200"/>
        <w:rPr>
          <w:rFonts w:hint="eastAsia" w:ascii="宋体" w:hAnsi="宋体"/>
          <w:szCs w:val="21"/>
        </w:rPr>
      </w:pPr>
      <w:r>
        <w:rPr>
          <w:rFonts w:hint="eastAsia" w:ascii="宋体" w:hAnsi="宋体"/>
          <w:szCs w:val="21"/>
        </w:rPr>
        <w:t>2.1.2资格评审标准：见评标办法前附表</w:t>
      </w:r>
    </w:p>
    <w:p>
      <w:pPr>
        <w:adjustRightInd w:val="0"/>
        <w:snapToGrid w:val="0"/>
        <w:spacing w:line="480" w:lineRule="exact"/>
        <w:ind w:firstLine="420" w:firstLineChars="200"/>
        <w:rPr>
          <w:rFonts w:hint="eastAsia" w:ascii="宋体" w:hAnsi="宋体"/>
          <w:szCs w:val="21"/>
        </w:rPr>
      </w:pPr>
      <w:r>
        <w:rPr>
          <w:rFonts w:hint="eastAsia" w:ascii="宋体" w:hAnsi="宋体"/>
          <w:szCs w:val="21"/>
        </w:rPr>
        <w:t>2.1.3响应性评审标准：见评标办法前附表</w:t>
      </w:r>
    </w:p>
    <w:p>
      <w:pPr>
        <w:adjustRightInd w:val="0"/>
        <w:snapToGrid w:val="0"/>
        <w:spacing w:line="480" w:lineRule="exact"/>
        <w:ind w:firstLine="420" w:firstLineChars="200"/>
        <w:rPr>
          <w:rFonts w:hint="eastAsia" w:ascii="宋体" w:hAnsi="宋体"/>
          <w:szCs w:val="21"/>
        </w:rPr>
      </w:pPr>
      <w:bookmarkStart w:id="208" w:name="_bookmark113"/>
      <w:bookmarkEnd w:id="208"/>
      <w:r>
        <w:rPr>
          <w:rFonts w:hint="eastAsia" w:ascii="宋体" w:hAnsi="宋体"/>
          <w:szCs w:val="21"/>
          <w:lang w:val="en-US" w:eastAsia="zh-CN"/>
        </w:rPr>
        <w:t>2.2</w:t>
      </w:r>
      <w:r>
        <w:rPr>
          <w:rFonts w:hint="eastAsia" w:ascii="宋体" w:hAnsi="宋体"/>
          <w:szCs w:val="21"/>
        </w:rPr>
        <w:t>分值构成与评分标准</w:t>
      </w:r>
    </w:p>
    <w:p>
      <w:pPr>
        <w:adjustRightInd w:val="0"/>
        <w:snapToGrid w:val="0"/>
        <w:spacing w:line="480" w:lineRule="exact"/>
        <w:ind w:firstLine="420" w:firstLineChars="200"/>
        <w:rPr>
          <w:rFonts w:hint="eastAsia" w:ascii="宋体" w:hAnsi="宋体"/>
          <w:szCs w:val="21"/>
        </w:rPr>
      </w:pPr>
      <w:r>
        <w:rPr>
          <w:rFonts w:hint="eastAsia" w:ascii="宋体" w:hAnsi="宋体"/>
          <w:szCs w:val="21"/>
          <w:lang w:val="en-US" w:eastAsia="zh-CN"/>
        </w:rPr>
        <w:t>2.2.1</w:t>
      </w:r>
      <w:r>
        <w:rPr>
          <w:rFonts w:hint="eastAsia" w:ascii="宋体" w:hAnsi="宋体"/>
          <w:szCs w:val="21"/>
        </w:rPr>
        <w:t>第一个信封评分分值构成</w:t>
      </w:r>
    </w:p>
    <w:p>
      <w:pPr>
        <w:adjustRightInd w:val="0"/>
        <w:snapToGrid w:val="0"/>
        <w:spacing w:line="480" w:lineRule="exact"/>
        <w:ind w:firstLine="420" w:firstLineChars="200"/>
        <w:rPr>
          <w:rFonts w:hint="eastAsia" w:ascii="宋体" w:hAnsi="宋体"/>
          <w:szCs w:val="21"/>
        </w:rPr>
      </w:pPr>
      <w:r>
        <w:rPr>
          <w:rFonts w:hint="eastAsia" w:ascii="宋体" w:hAnsi="宋体"/>
          <w:szCs w:val="21"/>
        </w:rPr>
        <w:t>（1）施工组织设计：见评标办法前附表；</w:t>
      </w:r>
    </w:p>
    <w:p>
      <w:pPr>
        <w:adjustRightInd w:val="0"/>
        <w:snapToGrid w:val="0"/>
        <w:spacing w:line="480" w:lineRule="exact"/>
        <w:ind w:firstLine="420" w:firstLineChars="200"/>
        <w:rPr>
          <w:rFonts w:hint="eastAsia" w:ascii="宋体" w:hAnsi="宋体"/>
          <w:szCs w:val="21"/>
        </w:rPr>
      </w:pPr>
      <w:r>
        <w:rPr>
          <w:rFonts w:hint="eastAsia" w:ascii="宋体" w:hAnsi="宋体"/>
          <w:szCs w:val="21"/>
        </w:rPr>
        <w:t>（2）主要人员：见评标办法前附表；</w:t>
      </w:r>
    </w:p>
    <w:p>
      <w:pPr>
        <w:adjustRightInd w:val="0"/>
        <w:snapToGrid w:val="0"/>
        <w:spacing w:line="480" w:lineRule="exact"/>
        <w:ind w:firstLine="420" w:firstLineChars="200"/>
        <w:rPr>
          <w:rFonts w:hint="eastAsia" w:ascii="宋体" w:hAnsi="宋体"/>
          <w:szCs w:val="21"/>
        </w:rPr>
      </w:pPr>
      <w:r>
        <w:rPr>
          <w:rFonts w:hint="eastAsia" w:ascii="宋体" w:hAnsi="宋体"/>
          <w:szCs w:val="21"/>
        </w:rPr>
        <w:t>（3）其他评分因素：见评标办法前附表。</w:t>
      </w:r>
    </w:p>
    <w:p>
      <w:pPr>
        <w:adjustRightInd w:val="0"/>
        <w:snapToGrid w:val="0"/>
        <w:spacing w:line="480" w:lineRule="exact"/>
        <w:ind w:firstLine="420" w:firstLineChars="200"/>
        <w:rPr>
          <w:rFonts w:hint="eastAsia" w:ascii="宋体" w:hAnsi="宋体"/>
          <w:szCs w:val="21"/>
        </w:rPr>
      </w:pPr>
      <w:r>
        <w:rPr>
          <w:rFonts w:hint="eastAsia" w:ascii="宋体" w:hAnsi="宋体"/>
          <w:szCs w:val="21"/>
          <w:lang w:val="en-US" w:eastAsia="zh-CN"/>
        </w:rPr>
        <w:t>2.2.2</w:t>
      </w:r>
      <w:r>
        <w:rPr>
          <w:rFonts w:hint="eastAsia" w:ascii="宋体" w:hAnsi="宋体"/>
          <w:szCs w:val="21"/>
        </w:rPr>
        <w:t>第一个信封评分评分标准</w:t>
      </w:r>
    </w:p>
    <w:p>
      <w:pPr>
        <w:adjustRightInd w:val="0"/>
        <w:snapToGrid w:val="0"/>
        <w:spacing w:line="480" w:lineRule="exact"/>
        <w:ind w:firstLine="420" w:firstLineChars="200"/>
        <w:rPr>
          <w:rFonts w:hint="eastAsia" w:ascii="宋体" w:hAnsi="宋体"/>
          <w:szCs w:val="21"/>
        </w:rPr>
      </w:pPr>
      <w:r>
        <w:rPr>
          <w:rFonts w:hint="eastAsia" w:ascii="宋体" w:hAnsi="宋体"/>
          <w:szCs w:val="21"/>
        </w:rPr>
        <w:t>（1）施工组织设计评分标准：见评标办法前附表；</w:t>
      </w:r>
    </w:p>
    <w:p>
      <w:pPr>
        <w:adjustRightInd w:val="0"/>
        <w:snapToGrid w:val="0"/>
        <w:spacing w:line="480" w:lineRule="exact"/>
        <w:ind w:firstLine="420" w:firstLineChars="200"/>
        <w:rPr>
          <w:rFonts w:hint="eastAsia" w:ascii="宋体" w:hAnsi="宋体"/>
          <w:szCs w:val="21"/>
        </w:rPr>
      </w:pPr>
      <w:r>
        <w:rPr>
          <w:rFonts w:hint="eastAsia" w:ascii="宋体" w:hAnsi="宋体"/>
          <w:szCs w:val="21"/>
        </w:rPr>
        <w:t>（2）主要人员评分标准：见评标办法前附表；</w:t>
      </w:r>
    </w:p>
    <w:p>
      <w:pPr>
        <w:adjustRightInd w:val="0"/>
        <w:snapToGrid w:val="0"/>
        <w:spacing w:line="480" w:lineRule="exact"/>
        <w:ind w:firstLine="420" w:firstLineChars="200"/>
        <w:rPr>
          <w:rFonts w:hint="eastAsia" w:ascii="宋体" w:hAnsi="宋体"/>
          <w:szCs w:val="21"/>
        </w:rPr>
      </w:pPr>
      <w:r>
        <w:rPr>
          <w:rFonts w:hint="eastAsia" w:ascii="宋体" w:hAnsi="宋体"/>
          <w:szCs w:val="21"/>
        </w:rPr>
        <w:t>（3）其他因素评分标准：见评标办法前附表。</w:t>
      </w:r>
    </w:p>
    <w:p>
      <w:pPr>
        <w:adjustRightInd w:val="0"/>
        <w:snapToGrid w:val="0"/>
        <w:spacing w:line="480" w:lineRule="exact"/>
        <w:ind w:firstLine="420" w:firstLineChars="200"/>
        <w:rPr>
          <w:rFonts w:hint="eastAsia" w:ascii="宋体" w:hAnsi="宋体"/>
          <w:szCs w:val="21"/>
        </w:rPr>
      </w:pPr>
      <w:r>
        <w:rPr>
          <w:rFonts w:hint="eastAsia" w:ascii="宋体" w:hAnsi="宋体"/>
          <w:szCs w:val="21"/>
          <w:lang w:val="en-US" w:eastAsia="zh-CN"/>
        </w:rPr>
        <w:t>2.2.3</w:t>
      </w:r>
      <w:r>
        <w:rPr>
          <w:rFonts w:hint="eastAsia" w:ascii="宋体" w:hAnsi="宋体"/>
          <w:szCs w:val="21"/>
        </w:rPr>
        <w:t>第二个信封详细评审标准：见评标办法前附表。</w:t>
      </w:r>
    </w:p>
    <w:p>
      <w:pPr>
        <w:adjustRightInd w:val="0"/>
        <w:snapToGrid w:val="0"/>
        <w:spacing w:line="480" w:lineRule="exact"/>
        <w:ind w:firstLine="420" w:firstLineChars="200"/>
        <w:rPr>
          <w:rFonts w:hint="eastAsia" w:ascii="宋体" w:hAnsi="宋体"/>
          <w:szCs w:val="21"/>
        </w:rPr>
      </w:pPr>
      <w:bookmarkStart w:id="209" w:name="_bookmark114"/>
      <w:bookmarkEnd w:id="209"/>
      <w:r>
        <w:rPr>
          <w:rFonts w:hint="eastAsia" w:ascii="宋体" w:hAnsi="宋体"/>
          <w:szCs w:val="21"/>
          <w:lang w:val="en-US" w:eastAsia="zh-CN"/>
        </w:rPr>
        <w:t>3.</w:t>
      </w:r>
      <w:r>
        <w:rPr>
          <w:rFonts w:hint="eastAsia" w:ascii="宋体" w:hAnsi="宋体"/>
          <w:szCs w:val="21"/>
        </w:rPr>
        <w:t>评标程序</w:t>
      </w:r>
    </w:p>
    <w:p>
      <w:pPr>
        <w:adjustRightInd w:val="0"/>
        <w:snapToGrid w:val="0"/>
        <w:spacing w:line="480" w:lineRule="exact"/>
        <w:ind w:firstLine="420" w:firstLineChars="200"/>
        <w:rPr>
          <w:rFonts w:hint="eastAsia" w:ascii="宋体" w:hAnsi="宋体"/>
          <w:szCs w:val="21"/>
        </w:rPr>
      </w:pPr>
      <w:bookmarkStart w:id="210" w:name="_bookmark115"/>
      <w:bookmarkEnd w:id="210"/>
      <w:r>
        <w:rPr>
          <w:rFonts w:hint="eastAsia" w:ascii="宋体" w:hAnsi="宋体"/>
          <w:szCs w:val="21"/>
          <w:lang w:val="en-US" w:eastAsia="zh-CN"/>
        </w:rPr>
        <w:t>3.1</w:t>
      </w:r>
      <w:r>
        <w:rPr>
          <w:rFonts w:hint="eastAsia" w:ascii="宋体" w:hAnsi="宋体"/>
          <w:szCs w:val="21"/>
        </w:rPr>
        <w:t>第一个信封初步评审</w:t>
      </w:r>
    </w:p>
    <w:p>
      <w:pPr>
        <w:adjustRightInd w:val="0"/>
        <w:snapToGrid w:val="0"/>
        <w:spacing w:line="480" w:lineRule="exact"/>
        <w:ind w:firstLine="420" w:firstLineChars="200"/>
        <w:rPr>
          <w:rFonts w:hint="eastAsia" w:ascii="宋体" w:hAnsi="宋体"/>
          <w:szCs w:val="21"/>
        </w:rPr>
      </w:pPr>
      <w:r>
        <w:rPr>
          <w:rFonts w:hint="eastAsia" w:ascii="宋体" w:hAnsi="宋体"/>
          <w:szCs w:val="21"/>
          <w:lang w:val="en-US"/>
        </w:rPr>
        <w:t>3.1.1</w:t>
      </w:r>
      <w:r>
        <w:rPr>
          <w:rFonts w:hint="eastAsia" w:ascii="宋体" w:hAnsi="宋体"/>
          <w:szCs w:val="21"/>
        </w:rPr>
        <w:t>评标委员会可以要求投标人提交第二章“投标人须知”第 3.5.1 项至第 3.5.</w:t>
      </w:r>
      <w:r>
        <w:rPr>
          <w:rFonts w:hint="eastAsia" w:ascii="宋体" w:hAnsi="宋体"/>
          <w:szCs w:val="21"/>
          <w:lang w:val="en-US" w:eastAsia="zh-CN"/>
        </w:rPr>
        <w:t>9</w:t>
      </w:r>
      <w:r>
        <w:rPr>
          <w:rFonts w:hint="eastAsia" w:ascii="宋体" w:hAnsi="宋体"/>
          <w:szCs w:val="21"/>
        </w:rPr>
        <w:t>项规定的有关证明和证件</w:t>
      </w:r>
      <w:r>
        <w:rPr>
          <w:rFonts w:hint="eastAsia" w:ascii="宋体" w:hAnsi="宋体"/>
          <w:szCs w:val="21"/>
          <w:lang w:eastAsia="zh-CN"/>
        </w:rPr>
        <w:t>的原件扫描件或图片</w:t>
      </w:r>
      <w:r>
        <w:rPr>
          <w:rFonts w:hint="eastAsia" w:ascii="宋体" w:hAnsi="宋体"/>
          <w:szCs w:val="21"/>
        </w:rPr>
        <w:t xml:space="preserve">以便核验。评标委员会依据本章第 2.1 </w:t>
      </w:r>
      <w:r>
        <w:rPr>
          <w:rFonts w:hint="eastAsia" w:ascii="宋体" w:hAnsi="宋体"/>
          <w:szCs w:val="21"/>
          <w:lang w:val="en-US" w:eastAsia="zh-CN"/>
        </w:rPr>
        <w:t>.1及2.1.2</w:t>
      </w:r>
      <w:r>
        <w:rPr>
          <w:rFonts w:hint="eastAsia" w:ascii="宋体" w:hAnsi="宋体"/>
          <w:szCs w:val="21"/>
        </w:rPr>
        <w:t>款规定的标准对投标文件第一个信封（商务及技术文件）进行初步评审。有一项不符合评审标准的，评标委员会应否决其投标。</w:t>
      </w:r>
    </w:p>
    <w:p>
      <w:pPr>
        <w:adjustRightInd w:val="0"/>
        <w:snapToGrid w:val="0"/>
        <w:spacing w:line="480" w:lineRule="exact"/>
        <w:ind w:firstLine="420" w:firstLineChars="200"/>
        <w:rPr>
          <w:rFonts w:hint="eastAsia" w:ascii="宋体" w:hAnsi="宋体"/>
          <w:szCs w:val="21"/>
        </w:rPr>
      </w:pPr>
      <w:bookmarkStart w:id="211" w:name="_bookmark116"/>
      <w:bookmarkEnd w:id="211"/>
      <w:r>
        <w:rPr>
          <w:rFonts w:hint="eastAsia" w:ascii="宋体" w:hAnsi="宋体"/>
          <w:szCs w:val="21"/>
          <w:lang w:val="en-US" w:eastAsia="zh-CN"/>
        </w:rPr>
        <w:t>3.2</w:t>
      </w:r>
      <w:r>
        <w:rPr>
          <w:rFonts w:hint="eastAsia" w:ascii="宋体" w:hAnsi="宋体"/>
          <w:szCs w:val="21"/>
        </w:rPr>
        <w:t>第一个信封详细评审</w:t>
      </w:r>
    </w:p>
    <w:p>
      <w:pPr>
        <w:adjustRightInd w:val="0"/>
        <w:snapToGrid w:val="0"/>
        <w:spacing w:line="480" w:lineRule="exact"/>
        <w:ind w:firstLine="420" w:firstLineChars="200"/>
        <w:rPr>
          <w:rFonts w:hint="eastAsia" w:ascii="宋体" w:hAnsi="宋体"/>
          <w:szCs w:val="21"/>
        </w:rPr>
      </w:pPr>
      <w:r>
        <w:rPr>
          <w:rFonts w:hint="eastAsia" w:ascii="宋体" w:hAnsi="宋体"/>
          <w:szCs w:val="21"/>
          <w:lang w:val="en-US" w:eastAsia="zh-CN"/>
        </w:rPr>
        <w:t>3.2.1</w:t>
      </w:r>
      <w:r>
        <w:rPr>
          <w:rFonts w:hint="eastAsia" w:ascii="宋体" w:hAnsi="宋体"/>
          <w:szCs w:val="21"/>
        </w:rPr>
        <w:t>评标委员会按本章第 2.2 款规定的量化因素和分值进行打分，并计算出各投标人的商务和技术得分。</w:t>
      </w:r>
    </w:p>
    <w:p>
      <w:pPr>
        <w:adjustRightInd w:val="0"/>
        <w:snapToGrid w:val="0"/>
        <w:spacing w:line="480" w:lineRule="exact"/>
        <w:ind w:firstLine="420" w:firstLineChars="200"/>
        <w:rPr>
          <w:rFonts w:hint="eastAsia" w:ascii="宋体" w:hAnsi="宋体"/>
          <w:szCs w:val="21"/>
        </w:rPr>
      </w:pPr>
      <w:r>
        <w:rPr>
          <w:rFonts w:hint="eastAsia" w:ascii="宋体" w:hAnsi="宋体"/>
          <w:szCs w:val="21"/>
        </w:rPr>
        <w:t>（1）按本章第 2.2.2 项规定的评审因素和分值对施工组织设计部分计算出得分；</w:t>
      </w:r>
    </w:p>
    <w:p>
      <w:pPr>
        <w:adjustRightInd w:val="0"/>
        <w:snapToGrid w:val="0"/>
        <w:spacing w:line="480" w:lineRule="exact"/>
        <w:ind w:firstLine="420" w:firstLineChars="200"/>
        <w:rPr>
          <w:rFonts w:hint="eastAsia" w:ascii="宋体" w:hAnsi="宋体"/>
          <w:szCs w:val="21"/>
        </w:rPr>
      </w:pPr>
      <w:r>
        <w:rPr>
          <w:rFonts w:hint="eastAsia" w:ascii="宋体" w:hAnsi="宋体"/>
          <w:szCs w:val="21"/>
        </w:rPr>
        <w:t>（2）按本章第 2.2.</w:t>
      </w:r>
      <w:r>
        <w:rPr>
          <w:rFonts w:hint="eastAsia" w:ascii="宋体" w:hAnsi="宋体"/>
          <w:szCs w:val="21"/>
          <w:lang w:val="en-US" w:eastAsia="zh-CN"/>
        </w:rPr>
        <w:t>3</w:t>
      </w:r>
      <w:r>
        <w:rPr>
          <w:rFonts w:hint="eastAsia" w:ascii="宋体" w:hAnsi="宋体"/>
          <w:szCs w:val="21"/>
        </w:rPr>
        <w:t xml:space="preserve"> </w:t>
      </w:r>
      <w:r>
        <w:rPr>
          <w:rFonts w:hint="eastAsia" w:ascii="宋体" w:hAnsi="宋体"/>
          <w:szCs w:val="21"/>
          <w:lang w:eastAsia="zh-CN"/>
        </w:rPr>
        <w:t>及</w:t>
      </w:r>
      <w:r>
        <w:rPr>
          <w:rFonts w:hint="eastAsia" w:ascii="宋体" w:hAnsi="宋体"/>
          <w:szCs w:val="21"/>
          <w:lang w:val="en-US" w:eastAsia="zh-CN"/>
        </w:rPr>
        <w:t>2.2.4</w:t>
      </w:r>
      <w:r>
        <w:rPr>
          <w:rFonts w:hint="eastAsia" w:ascii="宋体" w:hAnsi="宋体"/>
          <w:szCs w:val="21"/>
        </w:rPr>
        <w:t>项规定的评审因素和分值对主要人员部分计算出得分 ；</w:t>
      </w:r>
    </w:p>
    <w:p>
      <w:pPr>
        <w:adjustRightInd w:val="0"/>
        <w:snapToGrid w:val="0"/>
        <w:spacing w:line="480" w:lineRule="exact"/>
        <w:ind w:firstLine="420" w:firstLineChars="200"/>
        <w:rPr>
          <w:rFonts w:hint="eastAsia" w:ascii="宋体" w:hAnsi="宋体"/>
          <w:szCs w:val="21"/>
        </w:rPr>
      </w:pPr>
      <w:r>
        <w:rPr>
          <w:rFonts w:hint="eastAsia" w:ascii="宋体" w:hAnsi="宋体"/>
          <w:szCs w:val="21"/>
        </w:rPr>
        <w:t>（3）按本章第 2.2.</w:t>
      </w:r>
      <w:r>
        <w:rPr>
          <w:rFonts w:hint="eastAsia" w:ascii="宋体" w:hAnsi="宋体"/>
          <w:szCs w:val="21"/>
          <w:lang w:val="en-US" w:eastAsia="zh-CN"/>
        </w:rPr>
        <w:t>5</w:t>
      </w:r>
      <w:r>
        <w:rPr>
          <w:rFonts w:hint="eastAsia" w:ascii="宋体" w:hAnsi="宋体"/>
          <w:szCs w:val="21"/>
        </w:rPr>
        <w:t xml:space="preserve"> 项规定的评审因素和分值对其他部分计算出得分 。</w:t>
      </w:r>
    </w:p>
    <w:p>
      <w:pPr>
        <w:adjustRightInd w:val="0"/>
        <w:snapToGrid w:val="0"/>
        <w:spacing w:line="480" w:lineRule="exact"/>
        <w:ind w:firstLine="420" w:firstLineChars="200"/>
        <w:rPr>
          <w:rFonts w:hint="eastAsia" w:ascii="宋体" w:hAnsi="宋体"/>
          <w:szCs w:val="21"/>
        </w:rPr>
      </w:pPr>
      <w:r>
        <w:rPr>
          <w:rFonts w:hint="eastAsia" w:ascii="宋体" w:hAnsi="宋体"/>
          <w:szCs w:val="21"/>
          <w:lang w:val="en-US" w:eastAsia="zh-CN"/>
        </w:rPr>
        <w:t>3.2.2</w:t>
      </w:r>
      <w:r>
        <w:rPr>
          <w:rFonts w:hint="eastAsia" w:ascii="宋体" w:hAnsi="宋体"/>
          <w:szCs w:val="21"/>
        </w:rPr>
        <w:t>投标人的商务和技术得分分值计算保留小数点后两位，小数点后第三位“四舍五入”。</w:t>
      </w:r>
    </w:p>
    <w:p>
      <w:pPr>
        <w:adjustRightInd w:val="0"/>
        <w:snapToGrid w:val="0"/>
        <w:spacing w:line="480" w:lineRule="exact"/>
        <w:ind w:firstLine="420" w:firstLineChars="200"/>
        <w:rPr>
          <w:rFonts w:hint="eastAsia" w:ascii="宋体" w:hAnsi="宋体"/>
          <w:szCs w:val="21"/>
        </w:rPr>
      </w:pPr>
      <w:r>
        <w:rPr>
          <w:rFonts w:hint="eastAsia" w:ascii="宋体" w:hAnsi="宋体"/>
          <w:szCs w:val="21"/>
          <w:lang w:val="en-US" w:eastAsia="zh-CN"/>
        </w:rPr>
        <w:t>3.2.3</w:t>
      </w:r>
      <w:r>
        <w:rPr>
          <w:rFonts w:hint="eastAsia" w:ascii="宋体" w:hAnsi="宋体"/>
          <w:szCs w:val="21"/>
        </w:rPr>
        <w:t>投标人的商务和技术得分。</w:t>
      </w:r>
    </w:p>
    <w:p>
      <w:pPr>
        <w:adjustRightInd w:val="0"/>
        <w:snapToGrid w:val="0"/>
        <w:spacing w:line="480" w:lineRule="exact"/>
        <w:ind w:firstLine="420" w:firstLineChars="200"/>
        <w:rPr>
          <w:rFonts w:hint="eastAsia" w:ascii="宋体" w:hAnsi="宋体"/>
          <w:szCs w:val="21"/>
        </w:rPr>
      </w:pPr>
      <w:r>
        <w:rPr>
          <w:rFonts w:hint="eastAsia" w:ascii="宋体" w:hAnsi="宋体"/>
          <w:szCs w:val="21"/>
          <w:lang w:val="en-US" w:eastAsia="zh-CN"/>
        </w:rPr>
        <w:t>3.2.4</w:t>
      </w:r>
      <w:r>
        <w:rPr>
          <w:rFonts w:hint="eastAsia" w:ascii="宋体" w:hAnsi="宋体"/>
          <w:szCs w:val="21"/>
        </w:rPr>
        <w:t>评标委员会按照投标人的商务和技术得分由高到低排序，排名在评标办法前附表规定数量以内的投标人，其投标文件第一个信封（商务及技术文件）通过详细评审。</w:t>
      </w:r>
    </w:p>
    <w:p>
      <w:pPr>
        <w:adjustRightInd w:val="0"/>
        <w:snapToGrid w:val="0"/>
        <w:spacing w:line="480" w:lineRule="exact"/>
        <w:ind w:firstLine="420" w:firstLineChars="200"/>
        <w:rPr>
          <w:rFonts w:hint="eastAsia" w:ascii="宋体" w:hAnsi="宋体"/>
          <w:szCs w:val="21"/>
        </w:rPr>
      </w:pPr>
      <w:r>
        <w:rPr>
          <w:rFonts w:hint="eastAsia" w:ascii="宋体" w:hAnsi="宋体"/>
          <w:szCs w:val="21"/>
          <w:lang w:val="en-US" w:eastAsia="zh-CN"/>
        </w:rPr>
        <w:t>3.2.5</w:t>
      </w:r>
      <w:r>
        <w:rPr>
          <w:rFonts w:hint="eastAsia" w:ascii="宋体" w:hAnsi="宋体"/>
          <w:szCs w:val="21"/>
        </w:rPr>
        <w:t>通过投标文件第一个信封（商务及技术文件）初步评审的投标人不少于 3 个且未超过评标办法前附表规定数量的，均通过投标文件第一个信封（商务及技术文件）详细评审，不再对投标人的商务和技术文件进行评分。</w:t>
      </w:r>
    </w:p>
    <w:p>
      <w:pPr>
        <w:adjustRightInd w:val="0"/>
        <w:snapToGrid w:val="0"/>
        <w:spacing w:line="480" w:lineRule="exact"/>
        <w:ind w:firstLine="420" w:firstLineChars="200"/>
        <w:rPr>
          <w:rFonts w:hint="eastAsia" w:ascii="宋体" w:hAnsi="宋体"/>
          <w:szCs w:val="21"/>
        </w:rPr>
      </w:pPr>
      <w:bookmarkStart w:id="212" w:name="_bookmark117"/>
      <w:bookmarkEnd w:id="212"/>
      <w:r>
        <w:rPr>
          <w:rFonts w:hint="eastAsia" w:ascii="宋体" w:hAnsi="宋体"/>
          <w:szCs w:val="21"/>
          <w:lang w:val="en-US" w:eastAsia="zh-CN"/>
        </w:rPr>
        <w:t>3.3</w:t>
      </w:r>
      <w:r>
        <w:rPr>
          <w:rFonts w:hint="eastAsia" w:ascii="宋体" w:hAnsi="宋体"/>
          <w:szCs w:val="21"/>
        </w:rPr>
        <w:t>第二个信封开标</w:t>
      </w:r>
    </w:p>
    <w:p>
      <w:pPr>
        <w:adjustRightInd w:val="0"/>
        <w:snapToGrid w:val="0"/>
        <w:spacing w:line="480" w:lineRule="exact"/>
        <w:ind w:firstLine="420" w:firstLineChars="200"/>
        <w:rPr>
          <w:rFonts w:hint="eastAsia" w:ascii="宋体" w:hAnsi="宋体"/>
          <w:szCs w:val="21"/>
        </w:rPr>
      </w:pPr>
      <w:r>
        <w:rPr>
          <w:rFonts w:hint="eastAsia" w:ascii="宋体" w:hAnsi="宋体"/>
          <w:szCs w:val="21"/>
        </w:rPr>
        <w:t>第一个信封（商务及技术文件）评审结束后，招标人将按照第二章“投标人须知” 第 5.1 款规定的时间和地点对通过投标文件第一个信封（商务及技术文件）评审的投标文件第二个信封（报价文件）进行开标。</w:t>
      </w:r>
    </w:p>
    <w:p>
      <w:pPr>
        <w:adjustRightInd w:val="0"/>
        <w:snapToGrid w:val="0"/>
        <w:spacing w:line="480" w:lineRule="exact"/>
        <w:ind w:firstLine="420" w:firstLineChars="200"/>
        <w:rPr>
          <w:rFonts w:hint="eastAsia" w:ascii="宋体" w:hAnsi="宋体"/>
          <w:szCs w:val="21"/>
        </w:rPr>
      </w:pPr>
      <w:bookmarkStart w:id="213" w:name="_bookmark118"/>
      <w:bookmarkEnd w:id="213"/>
      <w:r>
        <w:rPr>
          <w:rFonts w:hint="eastAsia" w:ascii="宋体" w:hAnsi="宋体"/>
          <w:szCs w:val="21"/>
          <w:lang w:val="en-US" w:eastAsia="zh-CN"/>
        </w:rPr>
        <w:t>3.4</w:t>
      </w:r>
      <w:r>
        <w:rPr>
          <w:rFonts w:hint="eastAsia" w:ascii="宋体" w:hAnsi="宋体"/>
          <w:szCs w:val="21"/>
        </w:rPr>
        <w:t>第二个信封初步评审</w:t>
      </w:r>
    </w:p>
    <w:p>
      <w:pPr>
        <w:adjustRightInd w:val="0"/>
        <w:snapToGrid w:val="0"/>
        <w:spacing w:line="480" w:lineRule="exact"/>
        <w:ind w:firstLine="420" w:firstLineChars="200"/>
        <w:rPr>
          <w:rFonts w:hint="eastAsia" w:ascii="宋体" w:hAnsi="宋体"/>
          <w:szCs w:val="21"/>
        </w:rPr>
      </w:pPr>
      <w:r>
        <w:rPr>
          <w:rFonts w:hint="eastAsia" w:ascii="宋体" w:hAnsi="宋体"/>
          <w:szCs w:val="21"/>
          <w:lang w:val="en-US" w:eastAsia="zh-CN"/>
        </w:rPr>
        <w:t>3.4.1</w:t>
      </w:r>
      <w:r>
        <w:rPr>
          <w:rFonts w:hint="eastAsia" w:ascii="宋体" w:hAnsi="宋体"/>
          <w:szCs w:val="21"/>
        </w:rPr>
        <w:t>评标委员会依据本章第 2.1.1 项、第 2.1.</w:t>
      </w:r>
      <w:r>
        <w:rPr>
          <w:rFonts w:hint="eastAsia" w:ascii="宋体" w:hAnsi="宋体"/>
          <w:szCs w:val="21"/>
          <w:lang w:val="en-US" w:eastAsia="zh-CN"/>
        </w:rPr>
        <w:t>2</w:t>
      </w:r>
      <w:r>
        <w:rPr>
          <w:rFonts w:hint="eastAsia" w:ascii="宋体" w:hAnsi="宋体"/>
          <w:szCs w:val="21"/>
        </w:rPr>
        <w:t>项规定的评审标准对投标文件第二个信封（报价文件）进行初步评审。有一项不符合评审标准的，评标委员会应否决其投标。</w:t>
      </w:r>
    </w:p>
    <w:p>
      <w:pPr>
        <w:adjustRightInd w:val="0"/>
        <w:snapToGrid w:val="0"/>
        <w:spacing w:line="480" w:lineRule="exact"/>
        <w:ind w:firstLine="420" w:firstLineChars="200"/>
        <w:rPr>
          <w:rFonts w:hint="eastAsia" w:ascii="宋体" w:hAnsi="宋体"/>
          <w:szCs w:val="21"/>
        </w:rPr>
      </w:pPr>
      <w:r>
        <w:rPr>
          <w:rFonts w:hint="eastAsia" w:ascii="宋体" w:hAnsi="宋体"/>
          <w:szCs w:val="21"/>
          <w:lang w:val="en-US" w:eastAsia="zh-CN"/>
        </w:rPr>
        <w:t>3.5</w:t>
      </w:r>
      <w:r>
        <w:rPr>
          <w:rFonts w:hint="eastAsia" w:ascii="宋体" w:hAnsi="宋体"/>
          <w:szCs w:val="21"/>
        </w:rPr>
        <w:t>第二个信封详细评审</w:t>
      </w:r>
    </w:p>
    <w:p>
      <w:pPr>
        <w:adjustRightInd w:val="0"/>
        <w:snapToGrid w:val="0"/>
        <w:spacing w:line="48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3.5.1 评标委员会按本章第2.2款规定的量化因素和分值进行打分并计算出评标得分，按得分由高到低顺序取前三名进入第二信封（投标报价和工程量清单）评审，并按投标报价由低到高顺序推荐中标候选人。 </w:t>
      </w:r>
    </w:p>
    <w:p>
      <w:pPr>
        <w:adjustRightInd w:val="0"/>
        <w:snapToGrid w:val="0"/>
        <w:spacing w:line="48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3.5.2 评标得分计算保留小数点后两位，小数点后第三位“四舍五入”。 </w:t>
      </w:r>
    </w:p>
    <w:p>
      <w:pPr>
        <w:adjustRightInd w:val="0"/>
        <w:snapToGrid w:val="0"/>
        <w:spacing w:line="48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3.5.3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 </w:t>
      </w:r>
    </w:p>
    <w:p>
      <w:pPr>
        <w:adjustRightInd w:val="0"/>
        <w:snapToGrid w:val="0"/>
        <w:spacing w:line="480" w:lineRule="exact"/>
        <w:ind w:firstLine="420" w:firstLineChars="200"/>
        <w:rPr>
          <w:rFonts w:hint="eastAsia" w:ascii="宋体" w:hAnsi="宋体"/>
          <w:szCs w:val="21"/>
        </w:rPr>
      </w:pPr>
      <w:r>
        <w:rPr>
          <w:rFonts w:hint="eastAsia" w:ascii="宋体" w:hAnsi="宋体"/>
          <w:szCs w:val="21"/>
          <w:lang w:val="en-US" w:eastAsia="zh-CN"/>
        </w:rPr>
        <w:t>3.6</w:t>
      </w:r>
      <w:r>
        <w:rPr>
          <w:rFonts w:hint="eastAsia" w:ascii="宋体" w:hAnsi="宋体"/>
          <w:szCs w:val="21"/>
        </w:rPr>
        <w:t>投标文件相关信息的核查</w:t>
      </w:r>
    </w:p>
    <w:p>
      <w:pPr>
        <w:adjustRightInd w:val="0"/>
        <w:snapToGrid w:val="0"/>
        <w:spacing w:line="480" w:lineRule="exact"/>
        <w:ind w:firstLine="420" w:firstLineChars="200"/>
        <w:rPr>
          <w:rFonts w:hint="eastAsia" w:ascii="宋体" w:hAnsi="宋体"/>
          <w:szCs w:val="21"/>
        </w:rPr>
      </w:pPr>
      <w:r>
        <w:rPr>
          <w:rFonts w:hint="eastAsia" w:ascii="宋体" w:hAnsi="宋体"/>
          <w:szCs w:val="21"/>
          <w:lang w:val="en-US" w:eastAsia="zh-CN"/>
        </w:rPr>
        <w:t>3.6.2</w:t>
      </w:r>
      <w:r>
        <w:rPr>
          <w:rFonts w:hint="eastAsia" w:ascii="宋体" w:hAnsi="宋体"/>
          <w:szCs w:val="21"/>
        </w:rPr>
        <w:t>评标委员会应对在评标过程中发现的投标人与投标人之间、投标人与招标人之间存在的串通投标的情形进行评审和认定。投标人存在串通投标、弄虚作假、行贿等违法行为的，评标委员会应否决其投标。</w:t>
      </w:r>
    </w:p>
    <w:p>
      <w:pPr>
        <w:adjustRightInd w:val="0"/>
        <w:snapToGrid w:val="0"/>
        <w:spacing w:line="480" w:lineRule="exact"/>
        <w:ind w:firstLine="420" w:firstLineChars="200"/>
        <w:rPr>
          <w:rFonts w:hint="eastAsia" w:ascii="宋体" w:hAnsi="宋体"/>
          <w:szCs w:val="21"/>
        </w:rPr>
      </w:pPr>
      <w:r>
        <w:rPr>
          <w:rFonts w:hint="eastAsia" w:ascii="宋体" w:hAnsi="宋体"/>
          <w:szCs w:val="21"/>
        </w:rPr>
        <w:t>（1）有下列情形之一的，属于投标人相互串通投标：</w:t>
      </w:r>
    </w:p>
    <w:p>
      <w:pPr>
        <w:adjustRightInd w:val="0"/>
        <w:snapToGrid w:val="0"/>
        <w:spacing w:line="480" w:lineRule="exact"/>
        <w:ind w:firstLine="420" w:firstLineChars="200"/>
        <w:rPr>
          <w:rFonts w:hint="eastAsia" w:ascii="宋体" w:hAnsi="宋体"/>
          <w:szCs w:val="21"/>
        </w:rPr>
      </w:pPr>
      <w:r>
        <w:rPr>
          <w:rFonts w:hint="eastAsia" w:ascii="宋体" w:hAnsi="宋体"/>
          <w:szCs w:val="21"/>
        </w:rPr>
        <w:t>a.投标人之间协商投标报价等投标文件的实质性内容；</w:t>
      </w:r>
    </w:p>
    <w:p>
      <w:pPr>
        <w:adjustRightInd w:val="0"/>
        <w:snapToGrid w:val="0"/>
        <w:spacing w:line="480" w:lineRule="exact"/>
        <w:ind w:firstLine="420" w:firstLineChars="200"/>
        <w:rPr>
          <w:rFonts w:hint="eastAsia" w:ascii="宋体" w:hAnsi="宋体"/>
          <w:szCs w:val="21"/>
        </w:rPr>
      </w:pPr>
      <w:r>
        <w:rPr>
          <w:rFonts w:hint="eastAsia" w:ascii="宋体" w:hAnsi="宋体"/>
          <w:szCs w:val="21"/>
        </w:rPr>
        <w:t>b.投标人之间约定中标人；</w:t>
      </w:r>
    </w:p>
    <w:p>
      <w:pPr>
        <w:adjustRightInd w:val="0"/>
        <w:snapToGrid w:val="0"/>
        <w:spacing w:line="480" w:lineRule="exact"/>
        <w:ind w:firstLine="420" w:firstLineChars="200"/>
        <w:rPr>
          <w:rFonts w:hint="eastAsia" w:ascii="宋体" w:hAnsi="宋体"/>
          <w:szCs w:val="21"/>
        </w:rPr>
      </w:pPr>
      <w:r>
        <w:rPr>
          <w:rFonts w:hint="eastAsia" w:ascii="宋体" w:hAnsi="宋体"/>
          <w:szCs w:val="21"/>
        </w:rPr>
        <w:t>c.投标人之间约定部分投标人放弃投标或中标；</w:t>
      </w:r>
    </w:p>
    <w:p>
      <w:pPr>
        <w:adjustRightInd w:val="0"/>
        <w:snapToGrid w:val="0"/>
        <w:spacing w:line="480" w:lineRule="exact"/>
        <w:ind w:firstLine="420" w:firstLineChars="200"/>
        <w:rPr>
          <w:rFonts w:hint="eastAsia" w:ascii="宋体" w:hAnsi="宋体"/>
          <w:szCs w:val="21"/>
        </w:rPr>
      </w:pPr>
      <w:r>
        <w:rPr>
          <w:rFonts w:hint="eastAsia" w:ascii="宋体" w:hAnsi="宋体"/>
          <w:szCs w:val="21"/>
        </w:rPr>
        <w:t>d.属于同一集团、协会、商会等组织成员的投标人按照该组织要求协同投标；</w:t>
      </w:r>
    </w:p>
    <w:p>
      <w:pPr>
        <w:adjustRightInd w:val="0"/>
        <w:snapToGrid w:val="0"/>
        <w:spacing w:line="480" w:lineRule="exact"/>
        <w:ind w:firstLine="420" w:firstLineChars="200"/>
        <w:rPr>
          <w:rFonts w:hint="eastAsia" w:ascii="宋体" w:hAnsi="宋体"/>
          <w:szCs w:val="21"/>
        </w:rPr>
      </w:pPr>
      <w:r>
        <w:rPr>
          <w:rFonts w:hint="eastAsia" w:ascii="宋体" w:hAnsi="宋体"/>
          <w:szCs w:val="21"/>
        </w:rPr>
        <w:t>e.投标人之间为谋取中标或排斥特定投标人而采取的其他联合行动。</w:t>
      </w:r>
    </w:p>
    <w:p>
      <w:pPr>
        <w:adjustRightInd w:val="0"/>
        <w:snapToGrid w:val="0"/>
        <w:spacing w:line="480" w:lineRule="exact"/>
        <w:ind w:firstLine="420" w:firstLineChars="200"/>
        <w:rPr>
          <w:rFonts w:hint="eastAsia" w:ascii="宋体" w:hAnsi="宋体"/>
          <w:szCs w:val="21"/>
        </w:rPr>
      </w:pPr>
      <w:r>
        <w:rPr>
          <w:rFonts w:hint="eastAsia" w:ascii="宋体" w:hAnsi="宋体"/>
          <w:szCs w:val="21"/>
        </w:rPr>
        <w:t>（2）有下列情形之一的，视为投标人相互串通投标：</w:t>
      </w:r>
    </w:p>
    <w:p>
      <w:pPr>
        <w:adjustRightInd w:val="0"/>
        <w:snapToGrid w:val="0"/>
        <w:spacing w:line="480" w:lineRule="exact"/>
        <w:ind w:firstLine="420" w:firstLineChars="200"/>
        <w:rPr>
          <w:rFonts w:hint="eastAsia" w:ascii="宋体" w:hAnsi="宋体"/>
          <w:szCs w:val="21"/>
        </w:rPr>
      </w:pPr>
      <w:r>
        <w:rPr>
          <w:rFonts w:hint="eastAsia" w:ascii="宋体" w:hAnsi="宋体"/>
          <w:szCs w:val="21"/>
        </w:rPr>
        <w:t>a.不同投标人的投标文件由同一单位或个人编制；</w:t>
      </w:r>
    </w:p>
    <w:p>
      <w:pPr>
        <w:adjustRightInd w:val="0"/>
        <w:snapToGrid w:val="0"/>
        <w:spacing w:line="480" w:lineRule="exact"/>
        <w:ind w:firstLine="420" w:firstLineChars="200"/>
        <w:rPr>
          <w:rFonts w:hint="eastAsia" w:ascii="宋体" w:hAnsi="宋体"/>
          <w:szCs w:val="21"/>
        </w:rPr>
      </w:pPr>
      <w:r>
        <w:rPr>
          <w:rFonts w:hint="eastAsia" w:ascii="宋体" w:hAnsi="宋体"/>
          <w:szCs w:val="21"/>
        </w:rPr>
        <w:t>b.不同投标人委托同一单位或个人办理投标事宜；</w:t>
      </w:r>
    </w:p>
    <w:p>
      <w:pPr>
        <w:adjustRightInd w:val="0"/>
        <w:snapToGrid w:val="0"/>
        <w:spacing w:line="480" w:lineRule="exact"/>
        <w:ind w:firstLine="420" w:firstLineChars="200"/>
        <w:rPr>
          <w:rFonts w:hint="eastAsia" w:ascii="宋体" w:hAnsi="宋体"/>
          <w:szCs w:val="21"/>
        </w:rPr>
      </w:pPr>
      <w:r>
        <w:rPr>
          <w:rFonts w:hint="eastAsia" w:ascii="宋体" w:hAnsi="宋体"/>
          <w:szCs w:val="21"/>
        </w:rPr>
        <w:t>c.不同投标人的投标文件载明的项目管理成员为同一人；</w:t>
      </w:r>
    </w:p>
    <w:p>
      <w:pPr>
        <w:adjustRightInd w:val="0"/>
        <w:snapToGrid w:val="0"/>
        <w:spacing w:line="480" w:lineRule="exact"/>
        <w:ind w:firstLine="420" w:firstLineChars="200"/>
        <w:rPr>
          <w:rFonts w:hint="eastAsia" w:ascii="宋体" w:hAnsi="宋体"/>
          <w:szCs w:val="21"/>
        </w:rPr>
      </w:pPr>
      <w:r>
        <w:rPr>
          <w:rFonts w:hint="eastAsia" w:ascii="宋体" w:hAnsi="宋体"/>
          <w:szCs w:val="21"/>
        </w:rPr>
        <w:t>d.不同投标人的投标文件异常一致或投标报价呈规律性差异；</w:t>
      </w:r>
    </w:p>
    <w:p>
      <w:pPr>
        <w:adjustRightInd w:val="0"/>
        <w:snapToGrid w:val="0"/>
        <w:spacing w:line="480" w:lineRule="exact"/>
        <w:ind w:firstLine="420" w:firstLineChars="200"/>
        <w:rPr>
          <w:rFonts w:hint="eastAsia" w:ascii="宋体" w:hAnsi="宋体"/>
          <w:szCs w:val="21"/>
        </w:rPr>
      </w:pPr>
      <w:r>
        <w:rPr>
          <w:rFonts w:hint="eastAsia" w:ascii="宋体" w:hAnsi="宋体"/>
          <w:szCs w:val="21"/>
        </w:rPr>
        <w:t>e.不同投标人的投标文件相互混装；</w:t>
      </w:r>
    </w:p>
    <w:p>
      <w:pPr>
        <w:adjustRightInd w:val="0"/>
        <w:snapToGrid w:val="0"/>
        <w:spacing w:line="480" w:lineRule="exact"/>
        <w:ind w:firstLine="420" w:firstLineChars="200"/>
        <w:rPr>
          <w:rFonts w:hint="eastAsia" w:ascii="宋体" w:hAnsi="宋体"/>
          <w:szCs w:val="21"/>
        </w:rPr>
      </w:pPr>
      <w:r>
        <w:rPr>
          <w:rFonts w:hint="eastAsia" w:ascii="宋体" w:hAnsi="宋体"/>
          <w:szCs w:val="21"/>
        </w:rPr>
        <w:t>f.不同投标人的投标保证金从同一单位或个人的账户转出。</w:t>
      </w:r>
    </w:p>
    <w:p>
      <w:pPr>
        <w:adjustRightInd w:val="0"/>
        <w:snapToGrid w:val="0"/>
        <w:spacing w:line="480" w:lineRule="exact"/>
        <w:ind w:firstLine="420" w:firstLineChars="200"/>
        <w:rPr>
          <w:rFonts w:hint="eastAsia" w:ascii="宋体" w:hAnsi="宋体"/>
          <w:szCs w:val="21"/>
        </w:rPr>
      </w:pPr>
      <w:r>
        <w:rPr>
          <w:rFonts w:hint="eastAsia" w:ascii="宋体" w:hAnsi="宋体"/>
          <w:szCs w:val="21"/>
        </w:rPr>
        <w:t>（3）有下列情形之一的，属于招标人与投标人串通投标：</w:t>
      </w:r>
    </w:p>
    <w:p>
      <w:pPr>
        <w:adjustRightInd w:val="0"/>
        <w:snapToGrid w:val="0"/>
        <w:spacing w:line="480" w:lineRule="exact"/>
        <w:ind w:firstLine="420" w:firstLineChars="200"/>
        <w:rPr>
          <w:rFonts w:hint="eastAsia" w:ascii="宋体" w:hAnsi="宋体"/>
          <w:szCs w:val="21"/>
        </w:rPr>
      </w:pPr>
      <w:r>
        <w:rPr>
          <w:rFonts w:hint="eastAsia" w:ascii="宋体" w:hAnsi="宋体"/>
          <w:szCs w:val="21"/>
        </w:rPr>
        <w:t>a.招标人在开标前开启投标文件并将有关信息泄露给其他投标人;</w:t>
      </w:r>
    </w:p>
    <w:p>
      <w:pPr>
        <w:adjustRightInd w:val="0"/>
        <w:snapToGrid w:val="0"/>
        <w:spacing w:line="480" w:lineRule="exact"/>
        <w:ind w:firstLine="420" w:firstLineChars="200"/>
        <w:rPr>
          <w:rFonts w:hint="eastAsia" w:ascii="宋体" w:hAnsi="宋体"/>
          <w:szCs w:val="21"/>
        </w:rPr>
      </w:pPr>
      <w:r>
        <w:rPr>
          <w:rFonts w:hint="eastAsia" w:ascii="宋体" w:hAnsi="宋体"/>
          <w:szCs w:val="21"/>
        </w:rPr>
        <w:t xml:space="preserve"> b.招标人直接或间接向投标人泄露标底、评标委员会成员等信息；</w:t>
      </w:r>
    </w:p>
    <w:p>
      <w:pPr>
        <w:adjustRightInd w:val="0"/>
        <w:snapToGrid w:val="0"/>
        <w:spacing w:line="480" w:lineRule="exact"/>
        <w:ind w:firstLine="420" w:firstLineChars="200"/>
        <w:rPr>
          <w:rFonts w:hint="eastAsia" w:ascii="宋体" w:hAnsi="宋体"/>
          <w:szCs w:val="21"/>
        </w:rPr>
      </w:pPr>
      <w:r>
        <w:rPr>
          <w:rFonts w:hint="eastAsia" w:ascii="宋体" w:hAnsi="宋体"/>
          <w:szCs w:val="21"/>
        </w:rPr>
        <w:t>c.招标人明示或暗示投标人压低或抬高投标报价；</w:t>
      </w:r>
    </w:p>
    <w:p>
      <w:pPr>
        <w:adjustRightInd w:val="0"/>
        <w:snapToGrid w:val="0"/>
        <w:spacing w:line="480" w:lineRule="exact"/>
        <w:ind w:firstLine="420" w:firstLineChars="200"/>
        <w:rPr>
          <w:rFonts w:hint="eastAsia" w:ascii="宋体" w:hAnsi="宋体"/>
          <w:szCs w:val="21"/>
        </w:rPr>
      </w:pPr>
      <w:r>
        <w:rPr>
          <w:rFonts w:hint="eastAsia" w:ascii="宋体" w:hAnsi="宋体"/>
          <w:szCs w:val="21"/>
        </w:rPr>
        <w:t>d.招标人授意投标人撤换、修改投标文件；</w:t>
      </w:r>
    </w:p>
    <w:p>
      <w:pPr>
        <w:adjustRightInd w:val="0"/>
        <w:snapToGrid w:val="0"/>
        <w:spacing w:line="480" w:lineRule="exact"/>
        <w:ind w:firstLine="420" w:firstLineChars="200"/>
        <w:rPr>
          <w:rFonts w:hint="eastAsia" w:ascii="宋体" w:hAnsi="宋体"/>
          <w:szCs w:val="21"/>
        </w:rPr>
      </w:pPr>
      <w:r>
        <w:rPr>
          <w:rFonts w:hint="eastAsia" w:ascii="宋体" w:hAnsi="宋体"/>
          <w:szCs w:val="21"/>
        </w:rPr>
        <w:t>e.招标人明示或暗示投标人为特定投标人中标提供方便；</w:t>
      </w:r>
    </w:p>
    <w:p>
      <w:pPr>
        <w:adjustRightInd w:val="0"/>
        <w:snapToGrid w:val="0"/>
        <w:spacing w:line="480" w:lineRule="exact"/>
        <w:ind w:firstLine="420" w:firstLineChars="200"/>
        <w:rPr>
          <w:rFonts w:hint="eastAsia" w:ascii="宋体" w:hAnsi="宋体"/>
          <w:szCs w:val="21"/>
        </w:rPr>
      </w:pPr>
      <w:r>
        <w:rPr>
          <w:rFonts w:hint="eastAsia" w:ascii="宋体" w:hAnsi="宋体"/>
          <w:szCs w:val="21"/>
        </w:rPr>
        <w:t>f.招标人与投标人为谋求特定投标人中标而采取的其他串通行为。</w:t>
      </w:r>
    </w:p>
    <w:p>
      <w:pPr>
        <w:adjustRightInd w:val="0"/>
        <w:snapToGrid w:val="0"/>
        <w:spacing w:line="480" w:lineRule="exact"/>
        <w:ind w:firstLine="420" w:firstLineChars="200"/>
        <w:rPr>
          <w:rFonts w:hint="eastAsia" w:ascii="宋体" w:hAnsi="宋体"/>
          <w:szCs w:val="21"/>
        </w:rPr>
      </w:pPr>
      <w:r>
        <w:rPr>
          <w:rFonts w:hint="eastAsia" w:ascii="宋体" w:hAnsi="宋体"/>
          <w:szCs w:val="21"/>
        </w:rPr>
        <w:t>（4）投标人有下列情形之一的，属于弄虚作假的行为：</w:t>
      </w:r>
    </w:p>
    <w:p>
      <w:pPr>
        <w:adjustRightInd w:val="0"/>
        <w:snapToGrid w:val="0"/>
        <w:spacing w:line="480" w:lineRule="exact"/>
        <w:ind w:firstLine="420" w:firstLineChars="200"/>
        <w:rPr>
          <w:rFonts w:hint="eastAsia" w:ascii="宋体" w:hAnsi="宋体"/>
          <w:szCs w:val="21"/>
        </w:rPr>
      </w:pPr>
      <w:r>
        <w:rPr>
          <w:rFonts w:hint="eastAsia" w:ascii="宋体" w:hAnsi="宋体"/>
          <w:szCs w:val="21"/>
        </w:rPr>
        <w:t>a.使用通过受让或租借等方式获取的资格、资质证书投标；</w:t>
      </w:r>
    </w:p>
    <w:p>
      <w:pPr>
        <w:adjustRightInd w:val="0"/>
        <w:snapToGrid w:val="0"/>
        <w:spacing w:line="480" w:lineRule="exact"/>
        <w:ind w:firstLine="420" w:firstLineChars="200"/>
        <w:rPr>
          <w:rFonts w:hint="eastAsia" w:ascii="宋体" w:hAnsi="宋体"/>
          <w:szCs w:val="21"/>
        </w:rPr>
      </w:pPr>
      <w:r>
        <w:rPr>
          <w:rFonts w:hint="eastAsia" w:ascii="宋体" w:hAnsi="宋体"/>
          <w:szCs w:val="21"/>
        </w:rPr>
        <w:t>b.使用伪造、变造的许可证件；</w:t>
      </w:r>
    </w:p>
    <w:p>
      <w:pPr>
        <w:adjustRightInd w:val="0"/>
        <w:snapToGrid w:val="0"/>
        <w:spacing w:line="480" w:lineRule="exact"/>
        <w:ind w:firstLine="420" w:firstLineChars="200"/>
        <w:rPr>
          <w:rFonts w:hint="eastAsia" w:ascii="宋体" w:hAnsi="宋体"/>
          <w:szCs w:val="21"/>
        </w:rPr>
      </w:pPr>
      <w:r>
        <w:rPr>
          <w:rFonts w:hint="eastAsia" w:ascii="宋体" w:hAnsi="宋体"/>
          <w:szCs w:val="21"/>
        </w:rPr>
        <w:t>c.提供虚假的财务状况或业绩；</w:t>
      </w:r>
    </w:p>
    <w:p>
      <w:pPr>
        <w:adjustRightInd w:val="0"/>
        <w:snapToGrid w:val="0"/>
        <w:spacing w:line="480" w:lineRule="exact"/>
        <w:ind w:firstLine="420" w:firstLineChars="200"/>
        <w:rPr>
          <w:rFonts w:hint="eastAsia" w:ascii="宋体" w:hAnsi="宋体"/>
          <w:szCs w:val="21"/>
        </w:rPr>
      </w:pPr>
      <w:r>
        <w:rPr>
          <w:rFonts w:hint="eastAsia" w:ascii="宋体" w:hAnsi="宋体"/>
          <w:szCs w:val="21"/>
        </w:rPr>
        <w:t>d.提供虚假的项目负责人或主要技术人员简历、劳动关系证明；</w:t>
      </w:r>
    </w:p>
    <w:p>
      <w:pPr>
        <w:adjustRightInd w:val="0"/>
        <w:snapToGrid w:val="0"/>
        <w:spacing w:line="480" w:lineRule="exact"/>
        <w:ind w:firstLine="420" w:firstLineChars="200"/>
        <w:rPr>
          <w:rFonts w:hint="eastAsia" w:ascii="宋体" w:hAnsi="宋体"/>
          <w:szCs w:val="21"/>
        </w:rPr>
      </w:pPr>
      <w:r>
        <w:rPr>
          <w:rFonts w:hint="eastAsia" w:ascii="宋体" w:hAnsi="宋体"/>
          <w:szCs w:val="21"/>
        </w:rPr>
        <w:t>e.提供虚假的信用状况；</w:t>
      </w:r>
    </w:p>
    <w:p>
      <w:pPr>
        <w:adjustRightInd w:val="0"/>
        <w:snapToGrid w:val="0"/>
        <w:spacing w:line="480" w:lineRule="exact"/>
        <w:ind w:firstLine="420" w:firstLineChars="200"/>
        <w:rPr>
          <w:rFonts w:hint="eastAsia" w:ascii="宋体" w:hAnsi="宋体"/>
          <w:szCs w:val="21"/>
        </w:rPr>
      </w:pPr>
      <w:r>
        <w:rPr>
          <w:rFonts w:hint="eastAsia" w:ascii="宋体" w:hAnsi="宋体"/>
          <w:szCs w:val="21"/>
        </w:rPr>
        <w:t>f.其他弄虚作假的行为。</w:t>
      </w:r>
    </w:p>
    <w:p>
      <w:pPr>
        <w:adjustRightInd w:val="0"/>
        <w:snapToGrid w:val="0"/>
        <w:spacing w:line="480" w:lineRule="exact"/>
        <w:ind w:firstLine="420" w:firstLineChars="200"/>
        <w:rPr>
          <w:rFonts w:hint="eastAsia" w:ascii="宋体" w:hAnsi="宋体"/>
          <w:szCs w:val="21"/>
        </w:rPr>
      </w:pPr>
      <w:r>
        <w:rPr>
          <w:rFonts w:hint="eastAsia" w:ascii="宋体" w:hAnsi="宋体"/>
          <w:szCs w:val="21"/>
          <w:lang w:val="en-US" w:eastAsia="zh-CN"/>
        </w:rPr>
        <w:t>3.7</w:t>
      </w:r>
      <w:r>
        <w:rPr>
          <w:rFonts w:hint="eastAsia" w:ascii="宋体" w:hAnsi="宋体"/>
          <w:szCs w:val="21"/>
        </w:rPr>
        <w:t>投标文件的澄清和说明</w:t>
      </w:r>
    </w:p>
    <w:p>
      <w:pPr>
        <w:adjustRightInd w:val="0"/>
        <w:snapToGrid w:val="0"/>
        <w:spacing w:line="480" w:lineRule="exact"/>
        <w:ind w:firstLine="420" w:firstLineChars="200"/>
        <w:rPr>
          <w:rFonts w:hint="eastAsia" w:ascii="宋体" w:hAnsi="宋体"/>
          <w:szCs w:val="21"/>
        </w:rPr>
      </w:pPr>
      <w:r>
        <w:rPr>
          <w:rFonts w:hint="eastAsia" w:ascii="宋体" w:hAnsi="宋体"/>
          <w:szCs w:val="21"/>
          <w:lang w:val="en-US" w:eastAsia="zh-CN"/>
        </w:rPr>
        <w:t>3.7.1</w:t>
      </w:r>
      <w:r>
        <w:rPr>
          <w:rFonts w:hint="eastAsia" w:ascii="宋体" w:hAnsi="宋体"/>
          <w:szCs w:val="21"/>
        </w:rPr>
        <w:t>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adjustRightInd w:val="0"/>
        <w:snapToGrid w:val="0"/>
        <w:spacing w:line="480" w:lineRule="exact"/>
        <w:ind w:firstLine="420" w:firstLineChars="200"/>
        <w:rPr>
          <w:rFonts w:hint="eastAsia" w:ascii="宋体" w:hAnsi="宋体"/>
          <w:szCs w:val="21"/>
        </w:rPr>
      </w:pPr>
      <w:r>
        <w:rPr>
          <w:rFonts w:hint="eastAsia" w:ascii="宋体" w:hAnsi="宋体"/>
          <w:szCs w:val="21"/>
          <w:lang w:val="en-US" w:eastAsia="zh-CN"/>
        </w:rPr>
        <w:t>3.7.2</w:t>
      </w:r>
      <w:r>
        <w:rPr>
          <w:rFonts w:hint="eastAsia" w:ascii="宋体" w:hAnsi="宋体"/>
          <w:szCs w:val="21"/>
        </w:rPr>
        <w:t>澄清和说明不得超出投标文件的范围或改变投标文件的实质性内容（算术性错误的修正除外）。投标人的书面澄清、说明属于投标文件的组成部分。</w:t>
      </w:r>
    </w:p>
    <w:p>
      <w:pPr>
        <w:adjustRightInd w:val="0"/>
        <w:snapToGrid w:val="0"/>
        <w:spacing w:line="480" w:lineRule="exact"/>
        <w:ind w:firstLine="420" w:firstLineChars="200"/>
        <w:rPr>
          <w:rFonts w:hint="eastAsia" w:ascii="宋体" w:hAnsi="宋体"/>
          <w:szCs w:val="21"/>
        </w:rPr>
      </w:pPr>
      <w:r>
        <w:rPr>
          <w:rFonts w:hint="eastAsia" w:ascii="宋体" w:hAnsi="宋体"/>
          <w:szCs w:val="21"/>
          <w:lang w:val="en-US" w:eastAsia="zh-CN"/>
        </w:rPr>
        <w:t>3.7.3</w:t>
      </w:r>
      <w:r>
        <w:rPr>
          <w:rFonts w:hint="eastAsia" w:ascii="宋体" w:hAnsi="宋体"/>
          <w:szCs w:val="21"/>
        </w:rPr>
        <w:t>评标委员会不得暗示或诱导投标人作出澄清、说明，对投标人提交的澄清、说明有疑问的，可以要求投标人进一步澄清或说明，直至满足评标委员会的要求。</w:t>
      </w:r>
    </w:p>
    <w:p>
      <w:pPr>
        <w:adjustRightInd w:val="0"/>
        <w:snapToGrid w:val="0"/>
        <w:spacing w:line="480" w:lineRule="exact"/>
        <w:ind w:firstLine="420" w:firstLineChars="200"/>
        <w:rPr>
          <w:rFonts w:hint="eastAsia" w:ascii="宋体" w:hAnsi="宋体"/>
          <w:szCs w:val="21"/>
        </w:rPr>
      </w:pPr>
      <w:r>
        <w:rPr>
          <w:rFonts w:hint="eastAsia" w:ascii="宋体" w:hAnsi="宋体"/>
          <w:szCs w:val="21"/>
          <w:lang w:val="en-US" w:eastAsia="zh-CN"/>
        </w:rPr>
        <w:t>3.7.4</w:t>
      </w:r>
      <w:r>
        <w:rPr>
          <w:rFonts w:hint="eastAsia" w:ascii="宋体" w:hAnsi="宋体"/>
          <w:szCs w:val="21"/>
        </w:rPr>
        <w:t>凡超出招标文件规定的或给发包人带来未曾要求的利益的变化、偏差或其他因素在评标时不予考虑。</w:t>
      </w:r>
    </w:p>
    <w:p>
      <w:pPr>
        <w:adjustRightInd w:val="0"/>
        <w:snapToGrid w:val="0"/>
        <w:spacing w:line="480" w:lineRule="exact"/>
        <w:ind w:firstLine="420" w:firstLineChars="200"/>
        <w:rPr>
          <w:rFonts w:hint="eastAsia" w:ascii="宋体" w:hAnsi="宋体"/>
          <w:szCs w:val="21"/>
        </w:rPr>
      </w:pPr>
      <w:bookmarkStart w:id="214" w:name="_bookmark122"/>
      <w:bookmarkEnd w:id="214"/>
      <w:r>
        <w:rPr>
          <w:rFonts w:hint="eastAsia" w:ascii="宋体" w:hAnsi="宋体"/>
          <w:szCs w:val="21"/>
          <w:lang w:val="en-US" w:eastAsia="zh-CN"/>
        </w:rPr>
        <w:t>3.8</w:t>
      </w:r>
      <w:r>
        <w:rPr>
          <w:rFonts w:hint="eastAsia" w:ascii="宋体" w:hAnsi="宋体"/>
          <w:szCs w:val="21"/>
        </w:rPr>
        <w:t>不得否决投标的情形</w:t>
      </w:r>
    </w:p>
    <w:p>
      <w:pPr>
        <w:adjustRightInd w:val="0"/>
        <w:snapToGrid w:val="0"/>
        <w:spacing w:line="480" w:lineRule="exact"/>
        <w:ind w:firstLine="420" w:firstLineChars="200"/>
        <w:rPr>
          <w:rFonts w:hint="eastAsia" w:ascii="宋体" w:hAnsi="宋体"/>
          <w:szCs w:val="21"/>
        </w:rPr>
      </w:pPr>
      <w:r>
        <w:rPr>
          <w:rFonts w:hint="eastAsia" w:ascii="宋体" w:hAnsi="宋体"/>
          <w:szCs w:val="21"/>
        </w:rPr>
        <w:t>投标文件存在第二章“投标人须知”第 1.12项所列情形的，均视为细微偏差，</w:t>
      </w:r>
    </w:p>
    <w:p>
      <w:pPr>
        <w:adjustRightInd w:val="0"/>
        <w:snapToGrid w:val="0"/>
        <w:spacing w:line="480" w:lineRule="exact"/>
        <w:ind w:firstLine="420" w:firstLineChars="200"/>
        <w:rPr>
          <w:rFonts w:hint="eastAsia" w:ascii="宋体" w:hAnsi="宋体"/>
          <w:szCs w:val="21"/>
        </w:rPr>
      </w:pPr>
      <w:r>
        <w:rPr>
          <w:rFonts w:hint="eastAsia" w:ascii="宋体" w:hAnsi="宋体"/>
          <w:szCs w:val="21"/>
        </w:rPr>
        <w:t xml:space="preserve">评标委员会不得否决投标人的投标，应按照第二章“投标人须知”第 </w:t>
      </w:r>
      <w:r>
        <w:rPr>
          <w:rFonts w:hint="eastAsia" w:ascii="宋体" w:hAnsi="宋体"/>
          <w:szCs w:val="21"/>
          <w:lang w:val="en-US" w:eastAsia="zh-CN"/>
        </w:rPr>
        <w:t>2.2.1</w:t>
      </w:r>
      <w:r>
        <w:rPr>
          <w:rFonts w:hint="eastAsia" w:ascii="宋体" w:hAnsi="宋体"/>
          <w:szCs w:val="21"/>
        </w:rPr>
        <w:t xml:space="preserve"> 项规定的原则处理。</w:t>
      </w:r>
    </w:p>
    <w:p>
      <w:pPr>
        <w:adjustRightInd w:val="0"/>
        <w:snapToGrid w:val="0"/>
        <w:spacing w:line="480" w:lineRule="exact"/>
        <w:ind w:firstLine="420" w:firstLineChars="200"/>
        <w:rPr>
          <w:rFonts w:hint="eastAsia" w:ascii="宋体" w:hAnsi="宋体"/>
          <w:szCs w:val="21"/>
        </w:rPr>
      </w:pPr>
      <w:bookmarkStart w:id="215" w:name="_bookmark123"/>
      <w:bookmarkEnd w:id="215"/>
      <w:r>
        <w:rPr>
          <w:rFonts w:hint="eastAsia" w:ascii="宋体" w:hAnsi="宋体"/>
          <w:szCs w:val="21"/>
          <w:lang w:val="en-US" w:eastAsia="zh-CN"/>
        </w:rPr>
        <w:t>3.9</w:t>
      </w:r>
      <w:r>
        <w:rPr>
          <w:rFonts w:hint="eastAsia" w:ascii="宋体" w:hAnsi="宋体"/>
          <w:szCs w:val="21"/>
        </w:rPr>
        <w:t>评标结果</w:t>
      </w:r>
    </w:p>
    <w:p>
      <w:pPr>
        <w:adjustRightInd w:val="0"/>
        <w:snapToGrid w:val="0"/>
        <w:spacing w:line="480" w:lineRule="exact"/>
        <w:ind w:firstLine="420" w:firstLineChars="200"/>
        <w:rPr>
          <w:rFonts w:hint="eastAsia" w:ascii="宋体" w:hAnsi="宋体"/>
          <w:szCs w:val="21"/>
        </w:rPr>
      </w:pPr>
      <w:r>
        <w:rPr>
          <w:rFonts w:hint="eastAsia" w:ascii="宋体" w:hAnsi="宋体"/>
          <w:szCs w:val="21"/>
          <w:lang w:val="en-US" w:eastAsia="zh-CN"/>
        </w:rPr>
        <w:t>3.9.1</w:t>
      </w:r>
      <w:r>
        <w:rPr>
          <w:rFonts w:hint="eastAsia" w:ascii="宋体" w:hAnsi="宋体"/>
          <w:szCs w:val="21"/>
        </w:rPr>
        <w:t>除第二章“投标人须知”前附表授权直接确定中标人外，评标委员会按照评标价由低到高的顺序推荐中标候选人，并标明排序。</w:t>
      </w:r>
    </w:p>
    <w:p>
      <w:pPr>
        <w:adjustRightInd w:val="0"/>
        <w:snapToGrid w:val="0"/>
        <w:spacing w:line="480" w:lineRule="exact"/>
        <w:ind w:firstLine="420" w:firstLineChars="200"/>
        <w:sectPr>
          <w:pgSz w:w="11910" w:h="16850"/>
          <w:pgMar w:top="1480" w:right="1200" w:bottom="1040" w:left="1220" w:header="876" w:footer="853" w:gutter="0"/>
          <w:cols w:space="720" w:num="1"/>
        </w:sectPr>
      </w:pPr>
      <w:r>
        <w:rPr>
          <w:rFonts w:hint="eastAsia" w:ascii="宋体" w:hAnsi="宋体"/>
          <w:szCs w:val="21"/>
          <w:lang w:val="en-US" w:eastAsia="zh-CN"/>
        </w:rPr>
        <w:t>3.9.2</w:t>
      </w:r>
      <w:r>
        <w:rPr>
          <w:rFonts w:hint="eastAsia" w:ascii="宋体" w:hAnsi="宋体"/>
          <w:szCs w:val="21"/>
        </w:rPr>
        <w:t>评标委员会完成评标后，应向招标人提交书</w:t>
      </w:r>
      <w:r>
        <w:rPr>
          <w:sz w:val="24"/>
          <w:szCs w:val="24"/>
        </w:rPr>
        <w:t>面评标报告。</w:t>
      </w:r>
    </w:p>
    <w:p>
      <w:pPr>
        <w:spacing w:line="500" w:lineRule="exact"/>
        <w:rPr>
          <w:rFonts w:hint="eastAsia" w:ascii="宋体" w:hAnsi="宋体"/>
          <w:b/>
          <w:sz w:val="24"/>
        </w:rPr>
      </w:pPr>
    </w:p>
    <w:p>
      <w:pPr>
        <w:spacing w:line="500" w:lineRule="exact"/>
        <w:rPr>
          <w:rFonts w:hint="eastAsia" w:ascii="宋体" w:hAnsi="宋体"/>
          <w:b/>
          <w:sz w:val="24"/>
        </w:rPr>
      </w:pPr>
    </w:p>
    <w:p>
      <w:pPr>
        <w:adjustRightInd w:val="0"/>
        <w:snapToGrid w:val="0"/>
        <w:spacing w:line="360" w:lineRule="auto"/>
        <w:jc w:val="center"/>
        <w:outlineLvl w:val="0"/>
        <w:rPr>
          <w:rFonts w:ascii="黑体" w:eastAsia="黑体"/>
          <w:sz w:val="44"/>
          <w:szCs w:val="44"/>
        </w:rPr>
      </w:pPr>
      <w:r>
        <w:rPr>
          <w:rFonts w:hint="eastAsia" w:ascii="黑体" w:eastAsia="黑体"/>
          <w:sz w:val="44"/>
          <w:szCs w:val="44"/>
        </w:rPr>
        <w:t>第四章 合同条款及格式</w:t>
      </w:r>
    </w:p>
    <w:p>
      <w:pPr>
        <w:adjustRightInd w:val="0"/>
        <w:snapToGrid w:val="0"/>
        <w:spacing w:line="360" w:lineRule="auto"/>
        <w:jc w:val="center"/>
        <w:outlineLvl w:val="0"/>
        <w:rPr>
          <w:rFonts w:ascii="黑体" w:eastAsia="黑体"/>
          <w:bCs/>
          <w:sz w:val="36"/>
          <w:szCs w:val="36"/>
        </w:rPr>
      </w:pPr>
      <w:bookmarkStart w:id="216" w:name="_Toc9501"/>
      <w:r>
        <w:rPr>
          <w:rFonts w:hint="eastAsia" w:ascii="黑体" w:eastAsia="黑体"/>
          <w:bCs/>
          <w:sz w:val="36"/>
          <w:szCs w:val="36"/>
        </w:rPr>
        <w:t>第一节 通用合同条款</w:t>
      </w:r>
      <w:bookmarkEnd w:id="216"/>
    </w:p>
    <w:p>
      <w:pPr>
        <w:adjustRightInd w:val="0"/>
        <w:snapToGrid w:val="0"/>
        <w:spacing w:line="360" w:lineRule="auto"/>
        <w:jc w:val="center"/>
        <w:rPr>
          <w:rFonts w:ascii="仿宋_GB2312" w:eastAsia="仿宋_GB2312"/>
          <w:sz w:val="24"/>
        </w:rPr>
      </w:pPr>
    </w:p>
    <w:p>
      <w:pPr>
        <w:adjustRightInd w:val="0"/>
        <w:snapToGrid w:val="0"/>
        <w:spacing w:line="360" w:lineRule="auto"/>
        <w:jc w:val="center"/>
        <w:rPr>
          <w:rFonts w:ascii="黑体" w:eastAsia="黑体"/>
          <w:b/>
          <w:sz w:val="44"/>
          <w:szCs w:val="44"/>
        </w:rPr>
      </w:pPr>
      <w:r>
        <w:rPr>
          <w:rFonts w:hint="eastAsia" w:ascii="仿宋_GB2312" w:eastAsia="仿宋_GB2312"/>
          <w:sz w:val="24"/>
        </w:rPr>
        <w:t>参见中华人民共和国《标准施工招标文件》（2007年版）</w:t>
      </w: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widowControl/>
        <w:jc w:val="left"/>
      </w:pPr>
      <w:r>
        <w:rPr>
          <w:rFonts w:ascii="宋体" w:hAnsi="宋体" w:cs="宋体"/>
          <w:kern w:val="0"/>
          <w:sz w:val="24"/>
        </w:rPr>
        <w:pict>
          <v:rect id="AutoShape 1" o:spid="_x0000_s1035" o:spt="1" style="height:24.3pt;width:24.3pt;" filled="f" stroked="f" coordsize="21600,21600">
            <v:path/>
            <v:fill on="f" focussize="0,0"/>
            <v:stroke on="f"/>
            <v:imagedata o:title=""/>
            <o:lock v:ext="edit" aspectratio="t"/>
            <w10:wrap type="none"/>
            <w10:anchorlock/>
          </v:rect>
        </w:pict>
      </w: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tabs>
          <w:tab w:val="left" w:pos="4500"/>
        </w:tabs>
        <w:spacing w:line="520" w:lineRule="exact"/>
        <w:rPr>
          <w:rFonts w:ascii="黑体" w:hAnsi="宋体" w:eastAsia="黑体"/>
          <w:b/>
          <w:bCs/>
          <w:sz w:val="52"/>
          <w:szCs w:val="52"/>
        </w:rPr>
      </w:pPr>
    </w:p>
    <w:p>
      <w:pPr>
        <w:pageBreakBefore/>
        <w:tabs>
          <w:tab w:val="left" w:pos="4500"/>
        </w:tabs>
        <w:spacing w:line="520" w:lineRule="exact"/>
        <w:jc w:val="center"/>
        <w:rPr>
          <w:rFonts w:ascii="黑体" w:eastAsia="黑体"/>
          <w:bCs/>
          <w:sz w:val="36"/>
          <w:szCs w:val="36"/>
        </w:rPr>
      </w:pPr>
      <w:r>
        <w:rPr>
          <w:rFonts w:hint="eastAsia" w:ascii="黑体" w:eastAsia="黑体"/>
          <w:bCs/>
          <w:sz w:val="36"/>
          <w:szCs w:val="36"/>
        </w:rPr>
        <w:t>第二节 专用合同条款</w:t>
      </w:r>
    </w:p>
    <w:p>
      <w:pPr>
        <w:tabs>
          <w:tab w:val="left" w:pos="4500"/>
        </w:tabs>
        <w:spacing w:line="520" w:lineRule="exact"/>
        <w:rPr>
          <w:rFonts w:hAnsi="宋体"/>
          <w:bCs/>
          <w:sz w:val="24"/>
          <w:szCs w:val="28"/>
        </w:rPr>
      </w:pPr>
    </w:p>
    <w:p>
      <w:pPr>
        <w:adjustRightInd w:val="0"/>
        <w:snapToGrid w:val="0"/>
        <w:spacing w:beforeLines="100" w:afterLines="100" w:line="360" w:lineRule="auto"/>
        <w:jc w:val="center"/>
        <w:rPr>
          <w:rFonts w:eastAsia="黑体"/>
          <w:sz w:val="32"/>
          <w:szCs w:val="32"/>
        </w:rPr>
      </w:pPr>
      <w:bookmarkStart w:id="217" w:name="_Toc132601562"/>
      <w:r>
        <w:rPr>
          <w:rFonts w:eastAsia="黑体"/>
          <w:sz w:val="32"/>
          <w:szCs w:val="32"/>
        </w:rPr>
        <w:t>A．公路行业标准专用合同条款</w:t>
      </w:r>
    </w:p>
    <w:p>
      <w:pPr>
        <w:adjustRightInd w:val="0"/>
        <w:snapToGrid w:val="0"/>
        <w:spacing w:line="360" w:lineRule="auto"/>
        <w:rPr>
          <w:rFonts w:eastAsia="黑体"/>
          <w:sz w:val="24"/>
        </w:rPr>
      </w:pPr>
      <w:r>
        <w:rPr>
          <w:rFonts w:eastAsia="黑体"/>
          <w:sz w:val="24"/>
        </w:rPr>
        <w:t>1．一般约定</w:t>
      </w:r>
    </w:p>
    <w:p>
      <w:pPr>
        <w:adjustRightInd w:val="0"/>
        <w:snapToGrid w:val="0"/>
        <w:spacing w:line="360" w:lineRule="auto"/>
        <w:rPr>
          <w:rFonts w:eastAsia="黑体"/>
          <w:sz w:val="24"/>
        </w:rPr>
      </w:pPr>
      <w:r>
        <w:rPr>
          <w:rFonts w:eastAsia="黑体"/>
          <w:sz w:val="24"/>
        </w:rPr>
        <w:t>1.1词语定义</w:t>
      </w:r>
    </w:p>
    <w:p>
      <w:pPr>
        <w:adjustRightInd w:val="0"/>
        <w:snapToGrid w:val="0"/>
        <w:spacing w:line="360" w:lineRule="auto"/>
        <w:ind w:firstLine="480" w:firstLineChars="200"/>
        <w:rPr>
          <w:rFonts w:eastAsia="黑体"/>
          <w:sz w:val="24"/>
        </w:rPr>
      </w:pPr>
      <w:r>
        <w:rPr>
          <w:rFonts w:eastAsia="黑体"/>
          <w:sz w:val="24"/>
        </w:rPr>
        <w:t>1.1.1合同</w:t>
      </w:r>
    </w:p>
    <w:p>
      <w:pPr>
        <w:adjustRightInd w:val="0"/>
        <w:snapToGrid w:val="0"/>
        <w:spacing w:line="360" w:lineRule="auto"/>
        <w:ind w:firstLine="720" w:firstLineChars="300"/>
        <w:rPr>
          <w:sz w:val="24"/>
        </w:rPr>
      </w:pPr>
      <w:r>
        <w:rPr>
          <w:sz w:val="24"/>
        </w:rPr>
        <w:t>1.1.1.6技术规范：为本合同所约定的</w:t>
      </w:r>
      <w:r>
        <w:rPr>
          <w:rFonts w:ascii="宋体" w:hAnsi="宋体"/>
          <w:sz w:val="24"/>
        </w:rPr>
        <w:t>技</w:t>
      </w:r>
      <w:r>
        <w:rPr>
          <w:sz w:val="24"/>
        </w:rPr>
        <w:t>术标准和要求。</w:t>
      </w:r>
    </w:p>
    <w:p>
      <w:pPr>
        <w:adjustRightInd w:val="0"/>
        <w:snapToGrid w:val="0"/>
        <w:spacing w:line="360" w:lineRule="auto"/>
        <w:ind w:firstLine="720" w:firstLineChars="300"/>
        <w:rPr>
          <w:sz w:val="24"/>
        </w:rPr>
      </w:pPr>
      <w:r>
        <w:rPr>
          <w:sz w:val="24"/>
        </w:rPr>
        <w:t>1.1.1.8已标价工程量清单：指构成合同文件组成部分的已标明价格、经算术性修正且承包人已确认的最终的工程量清单。</w:t>
      </w:r>
    </w:p>
    <w:p>
      <w:pPr>
        <w:adjustRightInd w:val="0"/>
        <w:snapToGrid w:val="0"/>
        <w:spacing w:line="360" w:lineRule="auto"/>
        <w:ind w:firstLine="480" w:firstLineChars="200"/>
        <w:rPr>
          <w:sz w:val="24"/>
        </w:rPr>
      </w:pPr>
      <w:r>
        <w:rPr>
          <w:sz w:val="24"/>
        </w:rPr>
        <w:t>本项增加第1</w:t>
      </w:r>
      <w:r>
        <w:rPr>
          <w:rFonts w:hint="eastAsia"/>
          <w:sz w:val="24"/>
        </w:rPr>
        <w:t>.</w:t>
      </w:r>
      <w:r>
        <w:rPr>
          <w:sz w:val="24"/>
        </w:rPr>
        <w:t>1</w:t>
      </w:r>
      <w:r>
        <w:rPr>
          <w:rFonts w:hint="eastAsia"/>
          <w:sz w:val="24"/>
        </w:rPr>
        <w:t>.</w:t>
      </w:r>
      <w:r>
        <w:rPr>
          <w:sz w:val="24"/>
        </w:rPr>
        <w:t>1</w:t>
      </w:r>
      <w:r>
        <w:rPr>
          <w:rFonts w:hint="eastAsia"/>
          <w:sz w:val="24"/>
        </w:rPr>
        <w:t>.</w:t>
      </w:r>
      <w:r>
        <w:rPr>
          <w:sz w:val="24"/>
        </w:rPr>
        <w:t>10目：</w:t>
      </w:r>
    </w:p>
    <w:p>
      <w:pPr>
        <w:adjustRightInd w:val="0"/>
        <w:snapToGrid w:val="0"/>
        <w:spacing w:line="360" w:lineRule="auto"/>
        <w:ind w:firstLine="720" w:firstLineChars="300"/>
        <w:rPr>
          <w:sz w:val="24"/>
        </w:rPr>
      </w:pPr>
      <w:r>
        <w:rPr>
          <w:sz w:val="24"/>
        </w:rPr>
        <w:t>1.1.1.10补遗书：指发出招标文件之后由招标人向已取得招标文件的投标人发出的、编号的补充或修改书，是招标文件的组成部分。</w:t>
      </w:r>
    </w:p>
    <w:p>
      <w:pPr>
        <w:adjustRightInd w:val="0"/>
        <w:snapToGrid w:val="0"/>
        <w:spacing w:line="360" w:lineRule="auto"/>
        <w:ind w:firstLine="480" w:firstLineChars="200"/>
        <w:rPr>
          <w:rFonts w:eastAsia="黑体"/>
          <w:sz w:val="24"/>
        </w:rPr>
      </w:pPr>
      <w:r>
        <w:rPr>
          <w:rFonts w:eastAsia="黑体"/>
          <w:sz w:val="24"/>
        </w:rPr>
        <w:t>1.1.2合同当事人和人员</w:t>
      </w:r>
    </w:p>
    <w:p>
      <w:pPr>
        <w:adjustRightInd w:val="0"/>
        <w:snapToGrid w:val="0"/>
        <w:spacing w:line="360" w:lineRule="auto"/>
        <w:ind w:firstLine="720" w:firstLineChars="300"/>
        <w:rPr>
          <w:sz w:val="24"/>
          <w:u w:val="single"/>
        </w:rPr>
      </w:pPr>
      <w:r>
        <w:rPr>
          <w:sz w:val="24"/>
        </w:rPr>
        <w:t>1</w:t>
      </w:r>
      <w:r>
        <w:rPr>
          <w:rFonts w:hint="eastAsia"/>
          <w:sz w:val="24"/>
        </w:rPr>
        <w:t>.</w:t>
      </w:r>
      <w:r>
        <w:rPr>
          <w:sz w:val="24"/>
        </w:rPr>
        <w:t>1.2.2发包人：</w:t>
      </w:r>
      <w:r>
        <w:rPr>
          <w:rFonts w:hint="eastAsia"/>
          <w:sz w:val="24"/>
          <w:u w:val="single"/>
        </w:rPr>
        <w:t>（在项目专用条款数据表中予以规定）</w:t>
      </w:r>
    </w:p>
    <w:p>
      <w:pPr>
        <w:adjustRightInd w:val="0"/>
        <w:snapToGrid w:val="0"/>
        <w:spacing w:line="360" w:lineRule="auto"/>
        <w:ind w:firstLine="720" w:firstLineChars="300"/>
        <w:rPr>
          <w:sz w:val="24"/>
        </w:rPr>
      </w:pPr>
      <w:r>
        <w:rPr>
          <w:rFonts w:hint="eastAsia"/>
          <w:sz w:val="24"/>
        </w:rPr>
        <w:t>1.1</w:t>
      </w:r>
      <w:r>
        <w:rPr>
          <w:sz w:val="24"/>
        </w:rPr>
        <w:t>.2.6监理人</w:t>
      </w:r>
      <w:r>
        <w:rPr>
          <w:rFonts w:hint="eastAsia"/>
          <w:sz w:val="24"/>
        </w:rPr>
        <w:t>：</w:t>
      </w:r>
      <w:r>
        <w:rPr>
          <w:rFonts w:hint="eastAsia"/>
          <w:sz w:val="24"/>
          <w:u w:val="single"/>
        </w:rPr>
        <w:t>（在项目专用条款数据表中予以规定）</w:t>
      </w:r>
    </w:p>
    <w:p>
      <w:pPr>
        <w:adjustRightInd w:val="0"/>
        <w:snapToGrid w:val="0"/>
        <w:spacing w:line="360" w:lineRule="auto"/>
        <w:ind w:firstLine="720" w:firstLineChars="300"/>
        <w:rPr>
          <w:sz w:val="24"/>
        </w:rPr>
      </w:pPr>
      <w:r>
        <w:rPr>
          <w:sz w:val="24"/>
        </w:rPr>
        <w:t>本项增加第1</w:t>
      </w:r>
      <w:r>
        <w:rPr>
          <w:rFonts w:hint="eastAsia"/>
          <w:sz w:val="24"/>
        </w:rPr>
        <w:t>.</w:t>
      </w:r>
      <w:r>
        <w:rPr>
          <w:sz w:val="24"/>
        </w:rPr>
        <w:t>1.2.8目：</w:t>
      </w:r>
    </w:p>
    <w:p>
      <w:pPr>
        <w:adjustRightInd w:val="0"/>
        <w:snapToGrid w:val="0"/>
        <w:spacing w:line="360" w:lineRule="auto"/>
        <w:ind w:firstLine="720" w:firstLineChars="300"/>
        <w:rPr>
          <w:sz w:val="24"/>
        </w:rPr>
      </w:pPr>
      <w:r>
        <w:rPr>
          <w:sz w:val="24"/>
        </w:rPr>
        <w:t>1.1.2.8技术负责人：指由承包人书面委派常驻现场负责管理本合同工程的总工程师或技术总负责人。</w:t>
      </w:r>
    </w:p>
    <w:p>
      <w:pPr>
        <w:adjustRightInd w:val="0"/>
        <w:snapToGrid w:val="0"/>
        <w:spacing w:line="360" w:lineRule="auto"/>
        <w:ind w:firstLine="480" w:firstLineChars="200"/>
        <w:rPr>
          <w:rFonts w:eastAsia="黑体"/>
          <w:sz w:val="24"/>
        </w:rPr>
      </w:pPr>
      <w:r>
        <w:rPr>
          <w:rFonts w:eastAsia="黑体"/>
          <w:sz w:val="24"/>
        </w:rPr>
        <w:t>1</w:t>
      </w:r>
      <w:r>
        <w:rPr>
          <w:rFonts w:hint="eastAsia" w:eastAsia="黑体"/>
          <w:sz w:val="24"/>
        </w:rPr>
        <w:t>.</w:t>
      </w:r>
      <w:r>
        <w:rPr>
          <w:rFonts w:eastAsia="黑体"/>
          <w:sz w:val="24"/>
        </w:rPr>
        <w:t>1</w:t>
      </w:r>
      <w:r>
        <w:rPr>
          <w:rFonts w:hint="eastAsia" w:eastAsia="黑体"/>
          <w:sz w:val="24"/>
        </w:rPr>
        <w:t>.</w:t>
      </w:r>
      <w:r>
        <w:rPr>
          <w:rFonts w:eastAsia="黑体"/>
          <w:sz w:val="24"/>
        </w:rPr>
        <w:t>3工程和设备</w:t>
      </w:r>
    </w:p>
    <w:p>
      <w:pPr>
        <w:adjustRightInd w:val="0"/>
        <w:snapToGrid w:val="0"/>
        <w:spacing w:line="360" w:lineRule="auto"/>
        <w:ind w:firstLine="720" w:firstLineChars="300"/>
        <w:rPr>
          <w:sz w:val="24"/>
        </w:rPr>
      </w:pPr>
      <w:r>
        <w:rPr>
          <w:sz w:val="24"/>
        </w:rPr>
        <w:t>1.1.3.4单位工程：指在建设项目中，根据签订的合同，具有独立施工条件的工程。</w:t>
      </w:r>
    </w:p>
    <w:p>
      <w:pPr>
        <w:adjustRightInd w:val="0"/>
        <w:snapToGrid w:val="0"/>
        <w:spacing w:line="360" w:lineRule="auto"/>
        <w:ind w:firstLine="720" w:firstLineChars="300"/>
        <w:rPr>
          <w:sz w:val="24"/>
        </w:rPr>
      </w:pPr>
      <w:r>
        <w:rPr>
          <w:sz w:val="24"/>
        </w:rPr>
        <w:t>1.1.3.10永久占地：指为实施本合同工程而需要的一切永久占用的土地，包括公路两侧路权范围内的用地。</w:t>
      </w:r>
    </w:p>
    <w:p>
      <w:pPr>
        <w:adjustRightInd w:val="0"/>
        <w:snapToGrid w:val="0"/>
        <w:spacing w:line="360" w:lineRule="auto"/>
        <w:ind w:firstLine="720" w:firstLineChars="300"/>
        <w:rPr>
          <w:sz w:val="24"/>
        </w:rPr>
      </w:pPr>
      <w:r>
        <w:rPr>
          <w:sz w:val="24"/>
        </w:rPr>
        <w:t>1.1.3.11临时占地：指为实施本合同工程而需要的一切临时占用的土地，包括施工所用的临时支线、便道、便桥和现场的临时出入通道，以及生产（办公）、生活等临时设施用地等。</w:t>
      </w:r>
    </w:p>
    <w:p>
      <w:pPr>
        <w:adjustRightInd w:val="0"/>
        <w:snapToGrid w:val="0"/>
        <w:spacing w:line="360" w:lineRule="auto"/>
        <w:ind w:firstLine="720" w:firstLineChars="300"/>
        <w:rPr>
          <w:sz w:val="24"/>
        </w:rPr>
      </w:pPr>
      <w:r>
        <w:rPr>
          <w:sz w:val="24"/>
        </w:rPr>
        <w:t>本项增加第1．1.3．12、1．1.3．13目：</w:t>
      </w:r>
    </w:p>
    <w:p>
      <w:pPr>
        <w:adjustRightInd w:val="0"/>
        <w:snapToGrid w:val="0"/>
        <w:spacing w:line="360" w:lineRule="auto"/>
        <w:ind w:firstLine="720" w:firstLineChars="300"/>
        <w:rPr>
          <w:sz w:val="24"/>
        </w:rPr>
      </w:pPr>
      <w:r>
        <w:rPr>
          <w:sz w:val="24"/>
        </w:rPr>
        <w:t>1</w:t>
      </w:r>
      <w:r>
        <w:rPr>
          <w:rFonts w:hint="eastAsia"/>
          <w:sz w:val="24"/>
        </w:rPr>
        <w:t>.</w:t>
      </w:r>
      <w:r>
        <w:rPr>
          <w:sz w:val="24"/>
        </w:rPr>
        <w:t>1.3.12分部工程：指在单位工程中，按结构部位、路段长度及施工特点或施工任务划分的若干个工程。</w:t>
      </w:r>
    </w:p>
    <w:p>
      <w:pPr>
        <w:adjustRightInd w:val="0"/>
        <w:snapToGrid w:val="0"/>
        <w:spacing w:line="360" w:lineRule="auto"/>
        <w:ind w:firstLine="720" w:firstLineChars="300"/>
        <w:rPr>
          <w:sz w:val="24"/>
        </w:rPr>
      </w:pPr>
      <w:r>
        <w:rPr>
          <w:sz w:val="24"/>
        </w:rPr>
        <w:t>1.1.3.13分项工程：指在分部工程中，按不同的施工方法、材料、工序及路段长度等划分的若干个工程。</w:t>
      </w:r>
    </w:p>
    <w:p>
      <w:pPr>
        <w:adjustRightInd w:val="0"/>
        <w:snapToGrid w:val="0"/>
        <w:spacing w:line="360" w:lineRule="auto"/>
        <w:ind w:firstLine="480" w:firstLineChars="200"/>
        <w:rPr>
          <w:rFonts w:eastAsia="黑体"/>
          <w:sz w:val="24"/>
        </w:rPr>
      </w:pPr>
      <w:r>
        <w:rPr>
          <w:rFonts w:eastAsia="黑体"/>
          <w:sz w:val="24"/>
        </w:rPr>
        <w:t>1.1.4日期</w:t>
      </w:r>
    </w:p>
    <w:p>
      <w:pPr>
        <w:adjustRightInd w:val="0"/>
        <w:snapToGrid w:val="0"/>
        <w:spacing w:line="360" w:lineRule="auto"/>
        <w:ind w:firstLine="720" w:firstLineChars="300"/>
        <w:rPr>
          <w:sz w:val="24"/>
        </w:rPr>
      </w:pPr>
      <w:r>
        <w:rPr>
          <w:sz w:val="24"/>
        </w:rPr>
        <w:t>1.1.4.5缺陷责任期：自实际竣工日期起计算</w:t>
      </w:r>
      <w:r>
        <w:rPr>
          <w:rFonts w:hint="eastAsia"/>
          <w:sz w:val="24"/>
        </w:rPr>
        <w:t>1</w:t>
      </w:r>
      <w:r>
        <w:rPr>
          <w:sz w:val="24"/>
        </w:rPr>
        <w:t>年。</w:t>
      </w:r>
    </w:p>
    <w:p>
      <w:pPr>
        <w:adjustRightInd w:val="0"/>
        <w:snapToGrid w:val="0"/>
        <w:spacing w:line="360" w:lineRule="auto"/>
        <w:ind w:firstLine="480" w:firstLineChars="200"/>
        <w:rPr>
          <w:rFonts w:eastAsia="黑体"/>
          <w:sz w:val="24"/>
        </w:rPr>
      </w:pPr>
      <w:r>
        <w:rPr>
          <w:rFonts w:eastAsia="黑体"/>
          <w:sz w:val="24"/>
        </w:rPr>
        <w:t>1</w:t>
      </w:r>
      <w:r>
        <w:rPr>
          <w:rFonts w:hint="eastAsia" w:eastAsia="黑体"/>
          <w:sz w:val="24"/>
        </w:rPr>
        <w:t>.</w:t>
      </w:r>
      <w:r>
        <w:rPr>
          <w:rFonts w:eastAsia="黑体"/>
          <w:sz w:val="24"/>
        </w:rPr>
        <w:t>1.6其他</w:t>
      </w:r>
    </w:p>
    <w:p>
      <w:pPr>
        <w:adjustRightInd w:val="0"/>
        <w:snapToGrid w:val="0"/>
        <w:spacing w:line="360" w:lineRule="auto"/>
        <w:ind w:firstLine="720" w:firstLineChars="300"/>
        <w:rPr>
          <w:sz w:val="24"/>
        </w:rPr>
      </w:pPr>
      <w:r>
        <w:rPr>
          <w:sz w:val="24"/>
        </w:rPr>
        <w:t>本项增加第1．1.6.2至1．1.6.5目：</w:t>
      </w:r>
    </w:p>
    <w:p>
      <w:pPr>
        <w:adjustRightInd w:val="0"/>
        <w:snapToGrid w:val="0"/>
        <w:spacing w:line="360" w:lineRule="auto"/>
        <w:ind w:firstLine="720" w:firstLineChars="300"/>
        <w:rPr>
          <w:sz w:val="24"/>
        </w:rPr>
      </w:pPr>
      <w:r>
        <w:rPr>
          <w:sz w:val="24"/>
        </w:rPr>
        <w:t>1.1.6.2转包：凡承包人违反法律和不履行合同规定的责任和义务，将中标工程全部委托、或以专业分包的名义将中标工程肢解后全部委托给其它施工企业施工的行为。</w:t>
      </w:r>
    </w:p>
    <w:p>
      <w:pPr>
        <w:adjustRightInd w:val="0"/>
        <w:snapToGrid w:val="0"/>
        <w:spacing w:line="360" w:lineRule="auto"/>
        <w:ind w:firstLine="720" w:firstLineChars="300"/>
        <w:rPr>
          <w:sz w:val="24"/>
        </w:rPr>
      </w:pPr>
      <w:r>
        <w:rPr>
          <w:sz w:val="24"/>
        </w:rPr>
        <w:t>1.1.6.3专业分包：凡承包人与分包人签有专业分包合同，分包人承担承包人委托的分部工程或分项工程、或适合专业化队伍施工的其它工程，整体结算，并能独立控制工程质量、施工进度、材料采购、生产安全的施工行为。</w:t>
      </w:r>
    </w:p>
    <w:p>
      <w:pPr>
        <w:adjustRightInd w:val="0"/>
        <w:snapToGrid w:val="0"/>
        <w:spacing w:line="360" w:lineRule="auto"/>
        <w:ind w:firstLine="720" w:firstLineChars="300"/>
        <w:rPr>
          <w:sz w:val="24"/>
        </w:rPr>
      </w:pPr>
      <w:r>
        <w:rPr>
          <w:sz w:val="24"/>
        </w:rPr>
        <w:t>1.1.6.4劳务分包：凡承包人与具有劳务资质的劳务企业签订劳务分包合同，由劳务企业提供劳务人员及机具、由承包人统一组织施工，统一控制工程质量、施工进度、材料采购、生产安全的施工行为。．</w:t>
      </w:r>
    </w:p>
    <w:p>
      <w:pPr>
        <w:adjustRightInd w:val="0"/>
        <w:snapToGrid w:val="0"/>
        <w:spacing w:line="360" w:lineRule="auto"/>
        <w:ind w:firstLine="720" w:firstLineChars="300"/>
        <w:rPr>
          <w:sz w:val="24"/>
        </w:rPr>
      </w:pPr>
      <w:r>
        <w:rPr>
          <w:sz w:val="24"/>
        </w:rPr>
        <w:t>1.1.6.5聘用职工：凡承包人与具有相应劳动能力的自然人签订劳动合同，由承包人统一组织管理，从事分项工程施工或配套工程施工的行为。</w:t>
      </w:r>
    </w:p>
    <w:p>
      <w:pPr>
        <w:adjustRightInd w:val="0"/>
        <w:snapToGrid w:val="0"/>
        <w:spacing w:beforeLines="100" w:line="360" w:lineRule="auto"/>
        <w:rPr>
          <w:rFonts w:eastAsia="黑体"/>
          <w:sz w:val="24"/>
        </w:rPr>
      </w:pPr>
      <w:r>
        <w:rPr>
          <w:rFonts w:eastAsia="黑体"/>
          <w:sz w:val="24"/>
        </w:rPr>
        <w:t>1.4合同文件的优先顺序</w:t>
      </w:r>
    </w:p>
    <w:p>
      <w:pPr>
        <w:adjustRightInd w:val="0"/>
        <w:snapToGrid w:val="0"/>
        <w:spacing w:line="360" w:lineRule="auto"/>
        <w:ind w:firstLine="480" w:firstLineChars="200"/>
        <w:rPr>
          <w:sz w:val="24"/>
        </w:rPr>
      </w:pPr>
      <w:r>
        <w:rPr>
          <w:sz w:val="24"/>
        </w:rPr>
        <w:t>本款约定为：</w:t>
      </w:r>
    </w:p>
    <w:p>
      <w:pPr>
        <w:adjustRightInd w:val="0"/>
        <w:snapToGrid w:val="0"/>
        <w:spacing w:line="360" w:lineRule="auto"/>
        <w:ind w:firstLine="480" w:firstLineChars="200"/>
        <w:rPr>
          <w:sz w:val="24"/>
        </w:rPr>
      </w:pPr>
      <w:r>
        <w:rPr>
          <w:sz w:val="24"/>
        </w:rPr>
        <w:t>组成合同的各项文件应互相解释，互为说明。除项目专用合同条款另有约定外，解释合同文件的优先顺序如下：</w:t>
      </w:r>
    </w:p>
    <w:p>
      <w:pPr>
        <w:adjustRightInd w:val="0"/>
        <w:snapToGrid w:val="0"/>
        <w:spacing w:line="360" w:lineRule="auto"/>
        <w:ind w:firstLine="480" w:firstLineChars="200"/>
        <w:rPr>
          <w:sz w:val="24"/>
        </w:rPr>
      </w:pPr>
      <w:r>
        <w:rPr>
          <w:sz w:val="24"/>
        </w:rPr>
        <w:t>（1</w:t>
      </w:r>
      <w:r>
        <w:rPr>
          <w:rFonts w:hint="eastAsia"/>
          <w:sz w:val="24"/>
        </w:rPr>
        <w:t>）</w:t>
      </w:r>
      <w:r>
        <w:rPr>
          <w:sz w:val="24"/>
        </w:rPr>
        <w:t>合同协议书及各种合同附件（含评标期间和合同谈判过程中的澄清文件和补充资料）；</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中标通知书；</w:t>
      </w:r>
    </w:p>
    <w:p>
      <w:pPr>
        <w:adjustRightInd w:val="0"/>
        <w:snapToGrid w:val="0"/>
        <w:spacing w:line="360" w:lineRule="auto"/>
        <w:ind w:firstLine="480" w:firstLineChars="200"/>
        <w:rPr>
          <w:sz w:val="24"/>
        </w:rPr>
      </w:pPr>
      <w:r>
        <w:rPr>
          <w:sz w:val="24"/>
        </w:rPr>
        <w:t>（3</w:t>
      </w:r>
      <w:r>
        <w:rPr>
          <w:rFonts w:hint="eastAsia"/>
          <w:sz w:val="24"/>
        </w:rPr>
        <w:t>）</w:t>
      </w:r>
      <w:r>
        <w:rPr>
          <w:sz w:val="24"/>
        </w:rPr>
        <w:t>补遗书；</w:t>
      </w:r>
    </w:p>
    <w:p>
      <w:pPr>
        <w:adjustRightInd w:val="0"/>
        <w:snapToGrid w:val="0"/>
        <w:spacing w:line="360" w:lineRule="auto"/>
        <w:ind w:firstLine="480" w:firstLineChars="200"/>
        <w:rPr>
          <w:sz w:val="24"/>
        </w:rPr>
      </w:pPr>
      <w:r>
        <w:rPr>
          <w:rFonts w:hint="eastAsia"/>
          <w:sz w:val="24"/>
        </w:rPr>
        <w:t>（</w:t>
      </w:r>
      <w:r>
        <w:rPr>
          <w:sz w:val="24"/>
        </w:rPr>
        <w:t>4</w:t>
      </w:r>
      <w:r>
        <w:rPr>
          <w:rFonts w:hint="eastAsia"/>
          <w:sz w:val="24"/>
        </w:rPr>
        <w:t>）</w:t>
      </w:r>
      <w:r>
        <w:rPr>
          <w:sz w:val="24"/>
        </w:rPr>
        <w:t>投标函及投标函附录；</w:t>
      </w:r>
    </w:p>
    <w:p>
      <w:pPr>
        <w:adjustRightInd w:val="0"/>
        <w:snapToGrid w:val="0"/>
        <w:spacing w:line="360" w:lineRule="auto"/>
        <w:ind w:firstLine="480" w:firstLineChars="200"/>
        <w:rPr>
          <w:sz w:val="24"/>
        </w:rPr>
      </w:pPr>
      <w:r>
        <w:rPr>
          <w:rFonts w:hint="eastAsia"/>
          <w:sz w:val="24"/>
        </w:rPr>
        <w:t>（</w:t>
      </w:r>
      <w:r>
        <w:rPr>
          <w:sz w:val="24"/>
        </w:rPr>
        <w:t>5</w:t>
      </w:r>
      <w:r>
        <w:rPr>
          <w:rFonts w:hint="eastAsia"/>
          <w:sz w:val="24"/>
        </w:rPr>
        <w:t>）</w:t>
      </w:r>
      <w:r>
        <w:rPr>
          <w:sz w:val="24"/>
        </w:rPr>
        <w:t>项目专用合同条款；</w:t>
      </w:r>
    </w:p>
    <w:p>
      <w:pPr>
        <w:adjustRightInd w:val="0"/>
        <w:snapToGrid w:val="0"/>
        <w:spacing w:line="360" w:lineRule="auto"/>
        <w:ind w:firstLine="480" w:firstLineChars="200"/>
        <w:rPr>
          <w:sz w:val="24"/>
        </w:rPr>
      </w:pPr>
      <w:r>
        <w:rPr>
          <w:rFonts w:hint="eastAsia"/>
          <w:sz w:val="24"/>
        </w:rPr>
        <w:t>（</w:t>
      </w:r>
      <w:r>
        <w:rPr>
          <w:sz w:val="24"/>
        </w:rPr>
        <w:t>6</w:t>
      </w:r>
      <w:r>
        <w:rPr>
          <w:rFonts w:hint="eastAsia"/>
          <w:sz w:val="24"/>
        </w:rPr>
        <w:t>）</w:t>
      </w:r>
      <w:r>
        <w:rPr>
          <w:sz w:val="24"/>
        </w:rPr>
        <w:t>公路行业标准专用合同条款；</w:t>
      </w:r>
    </w:p>
    <w:p>
      <w:pPr>
        <w:adjustRightInd w:val="0"/>
        <w:snapToGrid w:val="0"/>
        <w:spacing w:line="360" w:lineRule="auto"/>
        <w:ind w:firstLine="480" w:firstLineChars="200"/>
        <w:rPr>
          <w:sz w:val="24"/>
        </w:rPr>
      </w:pPr>
      <w:r>
        <w:rPr>
          <w:rFonts w:hint="eastAsia"/>
          <w:sz w:val="24"/>
        </w:rPr>
        <w:t>（</w:t>
      </w:r>
      <w:r>
        <w:rPr>
          <w:sz w:val="24"/>
        </w:rPr>
        <w:t>7</w:t>
      </w:r>
      <w:r>
        <w:rPr>
          <w:rFonts w:hint="eastAsia"/>
          <w:sz w:val="24"/>
        </w:rPr>
        <w:t>）</w:t>
      </w:r>
      <w:r>
        <w:rPr>
          <w:sz w:val="24"/>
        </w:rPr>
        <w:t>通用合同条款；</w:t>
      </w:r>
    </w:p>
    <w:p>
      <w:pPr>
        <w:adjustRightInd w:val="0"/>
        <w:snapToGrid w:val="0"/>
        <w:spacing w:line="360" w:lineRule="auto"/>
        <w:ind w:firstLine="480" w:firstLineChars="200"/>
        <w:rPr>
          <w:sz w:val="24"/>
        </w:rPr>
      </w:pPr>
      <w:r>
        <w:rPr>
          <w:sz w:val="24"/>
        </w:rPr>
        <w:t>（8）技术规范；</w:t>
      </w:r>
    </w:p>
    <w:p>
      <w:pPr>
        <w:adjustRightInd w:val="0"/>
        <w:snapToGrid w:val="0"/>
        <w:spacing w:line="360" w:lineRule="auto"/>
        <w:ind w:firstLine="480" w:firstLineChars="200"/>
        <w:rPr>
          <w:sz w:val="24"/>
        </w:rPr>
      </w:pPr>
      <w:r>
        <w:rPr>
          <w:sz w:val="24"/>
        </w:rPr>
        <w:t>（9）图纸；</w:t>
      </w:r>
    </w:p>
    <w:p>
      <w:pPr>
        <w:adjustRightInd w:val="0"/>
        <w:snapToGrid w:val="0"/>
        <w:spacing w:line="360" w:lineRule="auto"/>
        <w:ind w:firstLine="480" w:firstLineChars="200"/>
        <w:rPr>
          <w:sz w:val="24"/>
        </w:rPr>
      </w:pPr>
      <w:r>
        <w:rPr>
          <w:sz w:val="24"/>
        </w:rPr>
        <w:t>（10）已标价工程量清单；</w:t>
      </w:r>
    </w:p>
    <w:p>
      <w:pPr>
        <w:adjustRightInd w:val="0"/>
        <w:snapToGrid w:val="0"/>
        <w:spacing w:line="360" w:lineRule="auto"/>
        <w:ind w:firstLine="480" w:firstLineChars="200"/>
        <w:rPr>
          <w:sz w:val="24"/>
        </w:rPr>
      </w:pPr>
      <w:r>
        <w:rPr>
          <w:rFonts w:hint="eastAsia"/>
          <w:sz w:val="24"/>
        </w:rPr>
        <w:t>（</w:t>
      </w:r>
      <w:r>
        <w:rPr>
          <w:sz w:val="24"/>
        </w:rPr>
        <w:t>11</w:t>
      </w:r>
      <w:r>
        <w:rPr>
          <w:rFonts w:hint="eastAsia"/>
          <w:sz w:val="24"/>
        </w:rPr>
        <w:t>）</w:t>
      </w:r>
      <w:r>
        <w:rPr>
          <w:sz w:val="24"/>
        </w:rPr>
        <w:t>资格预审申请文件中有关人员、设备投入的承诺</w:t>
      </w:r>
      <w:r>
        <w:rPr>
          <w:rFonts w:hint="eastAsia"/>
          <w:sz w:val="24"/>
        </w:rPr>
        <w:t>和目标承诺书；</w:t>
      </w:r>
    </w:p>
    <w:p>
      <w:pPr>
        <w:adjustRightInd w:val="0"/>
        <w:snapToGrid w:val="0"/>
        <w:spacing w:line="360" w:lineRule="auto"/>
        <w:ind w:firstLine="480" w:firstLineChars="200"/>
        <w:rPr>
          <w:sz w:val="24"/>
        </w:rPr>
      </w:pPr>
      <w:r>
        <w:rPr>
          <w:rFonts w:hint="eastAsia"/>
          <w:sz w:val="24"/>
        </w:rPr>
        <w:t>（12）根据承诺提供的详细人员、设备清单；</w:t>
      </w:r>
    </w:p>
    <w:p>
      <w:pPr>
        <w:adjustRightInd w:val="0"/>
        <w:snapToGrid w:val="0"/>
        <w:spacing w:line="360" w:lineRule="auto"/>
        <w:ind w:firstLine="480" w:firstLineChars="200"/>
        <w:rPr>
          <w:sz w:val="24"/>
        </w:rPr>
      </w:pPr>
      <w:r>
        <w:rPr>
          <w:sz w:val="24"/>
        </w:rPr>
        <w:t>（1</w:t>
      </w:r>
      <w:r>
        <w:rPr>
          <w:rFonts w:hint="eastAsia"/>
          <w:sz w:val="24"/>
        </w:rPr>
        <w:t>3</w:t>
      </w:r>
      <w:r>
        <w:rPr>
          <w:sz w:val="24"/>
        </w:rPr>
        <w:t>）其他合同文件。</w:t>
      </w:r>
    </w:p>
    <w:p>
      <w:pPr>
        <w:adjustRightInd w:val="0"/>
        <w:snapToGrid w:val="0"/>
        <w:spacing w:beforeLines="100" w:line="360" w:lineRule="auto"/>
        <w:rPr>
          <w:rFonts w:eastAsia="黑体"/>
          <w:sz w:val="24"/>
        </w:rPr>
      </w:pPr>
      <w:r>
        <w:rPr>
          <w:rFonts w:eastAsia="黑体"/>
          <w:sz w:val="24"/>
        </w:rPr>
        <w:t>1.5合同协议书</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制备本合同文件的费用由发包人承担。在合同协议书签订并生效之前，投标函和中标通知书将约束双方。</w:t>
      </w:r>
    </w:p>
    <w:p>
      <w:pPr>
        <w:adjustRightInd w:val="0"/>
        <w:snapToGrid w:val="0"/>
        <w:spacing w:beforeLines="100" w:line="360" w:lineRule="auto"/>
        <w:rPr>
          <w:rFonts w:eastAsia="黑体"/>
          <w:sz w:val="24"/>
        </w:rPr>
      </w:pPr>
      <w:r>
        <w:rPr>
          <w:rFonts w:eastAsia="黑体"/>
          <w:sz w:val="24"/>
        </w:rPr>
        <w:t>1.6图纸和承包人文件</w:t>
      </w:r>
    </w:p>
    <w:p>
      <w:pPr>
        <w:adjustRightInd w:val="0"/>
        <w:snapToGrid w:val="0"/>
        <w:spacing w:line="360" w:lineRule="auto"/>
        <w:ind w:firstLine="480" w:firstLineChars="200"/>
        <w:rPr>
          <w:rFonts w:eastAsia="黑体"/>
          <w:sz w:val="24"/>
        </w:rPr>
      </w:pPr>
      <w:r>
        <w:rPr>
          <w:rFonts w:eastAsia="黑体"/>
          <w:sz w:val="24"/>
        </w:rPr>
        <w:t>1.6.1图纸的提供</w:t>
      </w:r>
    </w:p>
    <w:p>
      <w:pPr>
        <w:adjustRightInd w:val="0"/>
        <w:snapToGrid w:val="0"/>
        <w:spacing w:line="360" w:lineRule="auto"/>
        <w:ind w:firstLine="480" w:firstLineChars="200"/>
        <w:rPr>
          <w:sz w:val="24"/>
        </w:rPr>
      </w:pPr>
      <w:r>
        <w:rPr>
          <w:rFonts w:hint="eastAsia"/>
          <w:sz w:val="24"/>
        </w:rPr>
        <w:t>本项细化为：</w:t>
      </w:r>
    </w:p>
    <w:p>
      <w:pPr>
        <w:adjustRightInd w:val="0"/>
        <w:snapToGrid w:val="0"/>
        <w:spacing w:line="360" w:lineRule="auto"/>
        <w:ind w:firstLine="480" w:firstLineChars="200"/>
        <w:rPr>
          <w:sz w:val="24"/>
        </w:rPr>
      </w:pPr>
      <w:r>
        <w:rPr>
          <w:sz w:val="24"/>
        </w:rPr>
        <w:t>监理人应在发出中标通知书之后42天内，向承包人免费提供由发包人或其委托的设计单位设计的施工图纸、技术规范和其他技术资料2份，并向承包人进行技术交底。承包人需要更多份数时，应自费复制。由于发包人未按时提供图纸造成工期延误的，按第11.3款的约定办理。</w:t>
      </w:r>
    </w:p>
    <w:p>
      <w:pPr>
        <w:adjustRightInd w:val="0"/>
        <w:snapToGrid w:val="0"/>
        <w:spacing w:line="360" w:lineRule="auto"/>
        <w:ind w:firstLine="480" w:firstLineChars="200"/>
        <w:rPr>
          <w:rFonts w:eastAsia="黑体"/>
          <w:sz w:val="24"/>
        </w:rPr>
      </w:pPr>
      <w:r>
        <w:rPr>
          <w:rFonts w:eastAsia="黑体"/>
          <w:sz w:val="24"/>
        </w:rPr>
        <w:t>1.6.2承包人提供的文件</w:t>
      </w:r>
    </w:p>
    <w:p>
      <w:pPr>
        <w:adjustRightInd w:val="0"/>
        <w:snapToGrid w:val="0"/>
        <w:spacing w:line="360" w:lineRule="auto"/>
        <w:ind w:firstLine="480" w:firstLineChars="200"/>
        <w:rPr>
          <w:sz w:val="24"/>
        </w:rPr>
      </w:pPr>
      <w:r>
        <w:rPr>
          <w:sz w:val="24"/>
        </w:rPr>
        <w:t>本项细化为：</w:t>
      </w:r>
    </w:p>
    <w:p>
      <w:pPr>
        <w:adjustRightInd w:val="0"/>
        <w:snapToGrid w:val="0"/>
        <w:spacing w:line="360" w:lineRule="auto"/>
        <w:ind w:firstLine="480" w:firstLineChars="200"/>
        <w:rPr>
          <w:sz w:val="24"/>
        </w:rPr>
      </w:pPr>
      <w:r>
        <w:rPr>
          <w:sz w:val="24"/>
        </w:rPr>
        <w:t>为使1.6.1款所述的施工图纸适合于经施工测量后的纵、横断面或现场具体地形或因尺寸与位置变化而引起局部变更，或因合同要求与施工需要，承包人应免费向监理人提交该部分工程的施工图纸3份，并附必要的计算书、技术资料、或施工工艺图、设备安装图及安装设备的使用和维护手册各2份供监理人批准。此类图纸应按监理人规定的格式和图幅绘制。监理人在收到由承包人绘制的上述工程、工艺图纸、计算书和有关技术资料后14天内应予批准或提出修改要求，承包人应按监理人提出的要求做出修改，重新向监理人提交，监理人应在7天内批准或提出进一步的修改意见。</w:t>
      </w:r>
    </w:p>
    <w:p>
      <w:pPr>
        <w:adjustRightInd w:val="0"/>
        <w:snapToGrid w:val="0"/>
        <w:spacing w:line="360" w:lineRule="auto"/>
        <w:ind w:firstLine="480" w:firstLineChars="200"/>
        <w:rPr>
          <w:rFonts w:eastAsia="黑体"/>
          <w:sz w:val="24"/>
        </w:rPr>
      </w:pPr>
      <w:r>
        <w:rPr>
          <w:rFonts w:eastAsia="黑体"/>
          <w:sz w:val="24"/>
        </w:rPr>
        <w:t>1.6.3图纸的修改</w:t>
      </w:r>
    </w:p>
    <w:p>
      <w:pPr>
        <w:adjustRightInd w:val="0"/>
        <w:snapToGrid w:val="0"/>
        <w:spacing w:line="360" w:lineRule="auto"/>
        <w:ind w:firstLine="480" w:firstLineChars="200"/>
        <w:rPr>
          <w:sz w:val="24"/>
        </w:rPr>
      </w:pPr>
      <w:r>
        <w:rPr>
          <w:sz w:val="24"/>
        </w:rPr>
        <w:t>本项细化为：</w:t>
      </w:r>
    </w:p>
    <w:p>
      <w:pPr>
        <w:adjustRightInd w:val="0"/>
        <w:snapToGrid w:val="0"/>
        <w:spacing w:line="360" w:lineRule="auto"/>
        <w:ind w:firstLine="480" w:firstLineChars="200"/>
        <w:rPr>
          <w:sz w:val="24"/>
        </w:rPr>
      </w:pPr>
      <w:r>
        <w:rPr>
          <w:sz w:val="24"/>
        </w:rPr>
        <w:t>图纸需要修改和补充的，应由监理人取得发包人同意后，在该工程或工程相应部位施工前天（在项目专用条款数据表中予以规定）签发图纸修改图给承包人。承包人应按修改后的图纸施工。</w:t>
      </w:r>
    </w:p>
    <w:p>
      <w:pPr>
        <w:adjustRightInd w:val="0"/>
        <w:snapToGrid w:val="0"/>
        <w:spacing w:line="360" w:lineRule="auto"/>
        <w:ind w:firstLine="480" w:firstLineChars="200"/>
        <w:rPr>
          <w:rFonts w:eastAsia="黑体"/>
          <w:sz w:val="24"/>
        </w:rPr>
      </w:pPr>
      <w:r>
        <w:rPr>
          <w:rFonts w:eastAsia="黑体"/>
          <w:sz w:val="24"/>
        </w:rPr>
        <w:t>1.6.4图纸的错误</w:t>
      </w:r>
    </w:p>
    <w:p>
      <w:pPr>
        <w:adjustRightInd w:val="0"/>
        <w:snapToGrid w:val="0"/>
        <w:spacing w:line="360" w:lineRule="auto"/>
        <w:ind w:firstLine="480" w:firstLineChars="200"/>
        <w:rPr>
          <w:sz w:val="24"/>
        </w:rPr>
      </w:pPr>
      <w:r>
        <w:rPr>
          <w:sz w:val="24"/>
        </w:rPr>
        <w:t>本项细化为：</w:t>
      </w:r>
    </w:p>
    <w:p>
      <w:pPr>
        <w:adjustRightInd w:val="0"/>
        <w:snapToGrid w:val="0"/>
        <w:spacing w:line="360" w:lineRule="auto"/>
        <w:ind w:firstLine="480" w:firstLineChars="200"/>
        <w:rPr>
          <w:sz w:val="24"/>
        </w:rPr>
      </w:pPr>
      <w:r>
        <w:rPr>
          <w:sz w:val="24"/>
        </w:rPr>
        <w:t>当承包人在查阅合同文件或在本合同工程实施过程中，发现有关的工程设计、技术规范、图纸或其他资料中的任何差错、遗漏或缺陷后，应及时通知监理人。监理人接到该通知后，应立即就此做出决定，并通知承包人和发包人。</w:t>
      </w:r>
    </w:p>
    <w:p>
      <w:pPr>
        <w:adjustRightInd w:val="0"/>
        <w:snapToGrid w:val="0"/>
        <w:spacing w:beforeLines="100" w:line="360" w:lineRule="auto"/>
        <w:rPr>
          <w:rFonts w:eastAsia="黑体"/>
          <w:sz w:val="24"/>
        </w:rPr>
      </w:pPr>
      <w:r>
        <w:rPr>
          <w:rFonts w:eastAsia="黑体"/>
          <w:sz w:val="24"/>
        </w:rPr>
        <w:t>1.7联络</w:t>
      </w:r>
    </w:p>
    <w:p>
      <w:pPr>
        <w:adjustRightInd w:val="0"/>
        <w:snapToGrid w:val="0"/>
        <w:spacing w:line="360" w:lineRule="auto"/>
        <w:ind w:firstLine="480" w:firstLineChars="200"/>
        <w:rPr>
          <w:rFonts w:eastAsia="黑体"/>
          <w:sz w:val="24"/>
        </w:rPr>
      </w:pPr>
      <w:r>
        <w:rPr>
          <w:rFonts w:eastAsia="黑体"/>
          <w:sz w:val="24"/>
        </w:rPr>
        <w:t>1.7.2来往函件送达的期限：</w:t>
      </w:r>
      <w:r>
        <w:rPr>
          <w:rFonts w:hint="eastAsia" w:eastAsia="黑体"/>
          <w:sz w:val="24"/>
          <w:u w:val="single"/>
        </w:rPr>
        <w:t>（见项目专用合同条款）</w:t>
      </w:r>
    </w:p>
    <w:p>
      <w:pPr>
        <w:adjustRightInd w:val="0"/>
        <w:snapToGrid w:val="0"/>
        <w:spacing w:beforeLines="100" w:line="360" w:lineRule="auto"/>
        <w:rPr>
          <w:rFonts w:eastAsia="黑体"/>
          <w:sz w:val="24"/>
        </w:rPr>
      </w:pPr>
      <w:r>
        <w:rPr>
          <w:rFonts w:eastAsia="黑体"/>
          <w:sz w:val="24"/>
        </w:rPr>
        <w:t>1.9严禁贿赔</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在合同执行过程中，发包人和承包人应严格履行《廉政合同》约定的双方在廉政建设方面的权利和义务以及应承担的违约责任。承包人如果用行贿、送礼或其他不正当手段企图影响或己经影响了发包人或监理人员行为和（或）欲获得或己获得超出合同规定以外的额外费用，则发包人除应按有关法纪严肃处理当事人（含发包人人员和监理人员）外，因承包人的上述行为造成的工程损害、发包人的经济损失等，承包人应负一切责任，并予赔偿。情节严重者，发包人有权终止承包人在本合同项下的承包，因而本合同条款第22.1款的各项规定将随之适用。</w:t>
      </w:r>
    </w:p>
    <w:p>
      <w:pPr>
        <w:adjustRightInd w:val="0"/>
        <w:snapToGrid w:val="0"/>
        <w:spacing w:beforeLines="100" w:line="360" w:lineRule="auto"/>
        <w:rPr>
          <w:rFonts w:eastAsia="黑体"/>
          <w:sz w:val="24"/>
        </w:rPr>
      </w:pPr>
      <w:r>
        <w:rPr>
          <w:rFonts w:eastAsia="黑体"/>
          <w:sz w:val="24"/>
        </w:rPr>
        <w:t>2</w:t>
      </w:r>
      <w:r>
        <w:rPr>
          <w:rFonts w:hint="eastAsia" w:eastAsia="黑体"/>
          <w:sz w:val="24"/>
        </w:rPr>
        <w:t>．</w:t>
      </w:r>
      <w:r>
        <w:rPr>
          <w:rFonts w:eastAsia="黑体"/>
          <w:sz w:val="24"/>
        </w:rPr>
        <w:t>发包人义务</w:t>
      </w:r>
    </w:p>
    <w:p>
      <w:pPr>
        <w:adjustRightInd w:val="0"/>
        <w:snapToGrid w:val="0"/>
        <w:spacing w:line="360" w:lineRule="auto"/>
        <w:rPr>
          <w:rFonts w:eastAsia="黑体"/>
          <w:sz w:val="24"/>
        </w:rPr>
      </w:pPr>
      <w:r>
        <w:rPr>
          <w:rFonts w:eastAsia="黑体"/>
          <w:sz w:val="24"/>
        </w:rPr>
        <w:t>2.3提供施工场地</w:t>
      </w:r>
    </w:p>
    <w:p>
      <w:pPr>
        <w:adjustRightInd w:val="0"/>
        <w:snapToGrid w:val="0"/>
        <w:spacing w:line="360" w:lineRule="auto"/>
        <w:ind w:firstLine="480" w:firstLineChars="200"/>
        <w:rPr>
          <w:sz w:val="24"/>
        </w:rPr>
      </w:pPr>
      <w:r>
        <w:rPr>
          <w:sz w:val="24"/>
        </w:rPr>
        <w:t>本款约定为：</w:t>
      </w:r>
    </w:p>
    <w:p>
      <w:pPr>
        <w:adjustRightInd w:val="0"/>
        <w:snapToGrid w:val="0"/>
        <w:spacing w:line="360" w:lineRule="auto"/>
        <w:ind w:firstLine="480" w:firstLineChars="200"/>
        <w:rPr>
          <w:sz w:val="24"/>
        </w:rPr>
      </w:pPr>
      <w:r>
        <w:rPr>
          <w:sz w:val="24"/>
        </w:rPr>
        <w:t>2.3.1提供永久占地</w:t>
      </w:r>
    </w:p>
    <w:p>
      <w:pPr>
        <w:adjustRightInd w:val="0"/>
        <w:snapToGrid w:val="0"/>
        <w:spacing w:line="360" w:lineRule="auto"/>
        <w:ind w:firstLine="480" w:firstLineChars="200"/>
        <w:rPr>
          <w:sz w:val="24"/>
        </w:rPr>
      </w:pPr>
      <w:r>
        <w:rPr>
          <w:sz w:val="24"/>
        </w:rPr>
        <w:t>（1</w:t>
      </w:r>
      <w:r>
        <w:rPr>
          <w:rFonts w:hint="eastAsia"/>
          <w:sz w:val="24"/>
        </w:rPr>
        <w:t>）</w:t>
      </w:r>
      <w:r>
        <w:rPr>
          <w:sz w:val="24"/>
        </w:rPr>
        <w:t>承包人在按第10条规定提交施工进度计划的同时，应向监理人提交一份按施工先后次序所需的永久占地计划。监理人应在收到此计划后的14天内审核并转报发包人核备。发包人应在监理人发出本工程或分部工程开工令之前，对承包人开工所需的永久占地办妥征用手续和青苗、树木、房屋建筑、管线设施等的拆迁赔偿手续，通知承包人使用，以使承包人能够及时开工；此后按承包人提交并经监理人同意的合同进度计划的安排，分期（也可以一次）将施工所需的其余永久占地办妥征用以及拆迁赔偿手续，通知承包人使用，以使承包人能够连续不间断地施工。永久占地的征用以及与之有关的拆迁赔偿手续均由发包人负责办理并承担其费用。如果由于承包人施工考虑不周或措施不当等原因而造成的超计划占地或拆迁等所发生的征用和赔偿费用，应由承包人承担，但是，由于监理人按第15.3款作出的变更而引起的超占除外。</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如果由于发包人未能按照本项规定办妥永久占地征用手续，影响承包人及时使用，由此导致费用增加和（或）工期延误由发包人承担。</w:t>
      </w:r>
    </w:p>
    <w:p>
      <w:pPr>
        <w:adjustRightInd w:val="0"/>
        <w:snapToGrid w:val="0"/>
        <w:spacing w:line="360" w:lineRule="auto"/>
        <w:ind w:firstLine="480" w:firstLineChars="200"/>
        <w:rPr>
          <w:sz w:val="24"/>
        </w:rPr>
      </w:pPr>
      <w:r>
        <w:rPr>
          <w:rFonts w:hint="eastAsia"/>
          <w:sz w:val="24"/>
        </w:rPr>
        <w:t>（</w:t>
      </w:r>
      <w:r>
        <w:rPr>
          <w:sz w:val="24"/>
        </w:rPr>
        <w:t>3</w:t>
      </w:r>
      <w:r>
        <w:rPr>
          <w:rFonts w:hint="eastAsia"/>
          <w:sz w:val="24"/>
        </w:rPr>
        <w:t>）</w:t>
      </w:r>
      <w:r>
        <w:rPr>
          <w:sz w:val="24"/>
        </w:rPr>
        <w:t>如果由于承包人未能按照本项规定提交占地计划，因而影响发包人办理永久占地征用手续而导致延误工期或增加费用，则应由承包人自行负责。</w:t>
      </w:r>
    </w:p>
    <w:p>
      <w:pPr>
        <w:adjustRightInd w:val="0"/>
        <w:snapToGrid w:val="0"/>
        <w:spacing w:line="360" w:lineRule="auto"/>
        <w:ind w:firstLine="480" w:firstLineChars="200"/>
        <w:rPr>
          <w:sz w:val="24"/>
        </w:rPr>
      </w:pPr>
      <w:r>
        <w:rPr>
          <w:sz w:val="24"/>
        </w:rPr>
        <w:t>2.3.2提供临时占地</w:t>
      </w:r>
    </w:p>
    <w:p>
      <w:pPr>
        <w:adjustRightInd w:val="0"/>
        <w:snapToGrid w:val="0"/>
        <w:spacing w:line="360" w:lineRule="auto"/>
        <w:ind w:firstLine="480" w:firstLineChars="200"/>
        <w:rPr>
          <w:sz w:val="24"/>
        </w:rPr>
      </w:pPr>
      <w:r>
        <w:rPr>
          <w:sz w:val="24"/>
        </w:rPr>
        <w:t>临时工程用地范围包括承包人驻地的办公室、食堂、宿舍、道路和机械设备停放场、材料堆放场地、弃土场、预制场、拌和场、仓库、进场临时道路、临时便道、便桥等。承包人在递交投标文件的同时，应本着少占耕地的原则，按招标文件规定的格式填写一份《临时用地计划表》，中标后应在此表范围内按实际需要与先后次序，提出具体计划报监理人同意，并报发包人。表中应标明承包人的临时工程用地位置、数量和使用期限。租地费用列入工程量清单100章中由承包人报价。临时用地最长使用期为＿年，用地费承包人应按每亩元计（在项目专用条款数据表中予以规定）。临时用地中如有地面附着物（电力、电信、房屋、坟墓除外），其拆迁补偿费用计入工程量清单各有关项目单价内，不另支付。</w:t>
      </w:r>
    </w:p>
    <w:p>
      <w:pPr>
        <w:adjustRightInd w:val="0"/>
        <w:snapToGrid w:val="0"/>
        <w:spacing w:line="360" w:lineRule="auto"/>
        <w:ind w:firstLine="480" w:firstLineChars="200"/>
        <w:rPr>
          <w:sz w:val="24"/>
        </w:rPr>
      </w:pPr>
      <w:r>
        <w:rPr>
          <w:sz w:val="24"/>
        </w:rPr>
        <w:t>临时用地由承包人向当地政府土地管理部门申请，并办理租用手续，承包人按有关规定直接支付其费用，发包人对此将予以协调。临时用地退还前，承包人应自费恢复到临时用地使用前的状况。如因承包人撤离后未按要求对临时用地进行恢复或虽进行了恢复但未达到使用标准的，将申发包人委托第三方对其恢复，所发生的费用将从应付给承包人的任何款项内扣除。超出《临时用地计划表》的临时用地由承包人自行办理并自付费用。</w:t>
      </w:r>
    </w:p>
    <w:p>
      <w:pPr>
        <w:adjustRightInd w:val="0"/>
        <w:snapToGrid w:val="0"/>
        <w:spacing w:beforeLines="100" w:line="360" w:lineRule="auto"/>
        <w:rPr>
          <w:rFonts w:eastAsia="黑体"/>
          <w:sz w:val="24"/>
        </w:rPr>
      </w:pPr>
      <w:r>
        <w:rPr>
          <w:rFonts w:eastAsia="黑体"/>
          <w:sz w:val="24"/>
        </w:rPr>
        <w:t>2.8其他义务</w:t>
      </w:r>
    </w:p>
    <w:p>
      <w:pPr>
        <w:adjustRightInd w:val="0"/>
        <w:snapToGrid w:val="0"/>
        <w:spacing w:line="360" w:lineRule="auto"/>
        <w:ind w:firstLine="480" w:firstLineChars="200"/>
        <w:rPr>
          <w:sz w:val="24"/>
          <w:u w:val="single"/>
        </w:rPr>
      </w:pPr>
      <w:r>
        <w:rPr>
          <w:sz w:val="24"/>
        </w:rPr>
        <w:t>发包人应履行的其他义务</w:t>
      </w:r>
      <w:r>
        <w:rPr>
          <w:rFonts w:hint="eastAsia"/>
          <w:sz w:val="24"/>
        </w:rPr>
        <w:t>：</w:t>
      </w:r>
      <w:r>
        <w:rPr>
          <w:rFonts w:hint="eastAsia"/>
          <w:sz w:val="24"/>
          <w:u w:val="single"/>
        </w:rPr>
        <w:t>（见项目专用合同条款）</w:t>
      </w:r>
    </w:p>
    <w:p>
      <w:pPr>
        <w:adjustRightInd w:val="0"/>
        <w:snapToGrid w:val="0"/>
        <w:spacing w:beforeLines="100" w:line="360" w:lineRule="auto"/>
        <w:rPr>
          <w:rFonts w:eastAsia="黑体"/>
          <w:sz w:val="24"/>
        </w:rPr>
      </w:pPr>
      <w:r>
        <w:rPr>
          <w:rFonts w:eastAsia="黑体"/>
          <w:sz w:val="24"/>
        </w:rPr>
        <w:t>3</w:t>
      </w:r>
      <w:r>
        <w:rPr>
          <w:rFonts w:hint="eastAsia" w:eastAsia="黑体"/>
          <w:sz w:val="24"/>
        </w:rPr>
        <w:t>．</w:t>
      </w:r>
      <w:r>
        <w:rPr>
          <w:rFonts w:eastAsia="黑体"/>
          <w:sz w:val="24"/>
        </w:rPr>
        <w:t>监理人</w:t>
      </w:r>
    </w:p>
    <w:p>
      <w:pPr>
        <w:adjustRightInd w:val="0"/>
        <w:snapToGrid w:val="0"/>
        <w:spacing w:line="360" w:lineRule="auto"/>
        <w:rPr>
          <w:rFonts w:eastAsia="黑体"/>
          <w:sz w:val="24"/>
        </w:rPr>
      </w:pPr>
      <w:r>
        <w:rPr>
          <w:rFonts w:eastAsia="黑体"/>
          <w:sz w:val="24"/>
        </w:rPr>
        <w:t>3.1监理人的职责和权力</w:t>
      </w:r>
    </w:p>
    <w:p>
      <w:pPr>
        <w:adjustRightInd w:val="0"/>
        <w:snapToGrid w:val="0"/>
        <w:spacing w:line="360" w:lineRule="auto"/>
        <w:ind w:firstLine="480" w:firstLineChars="200"/>
        <w:rPr>
          <w:sz w:val="24"/>
        </w:rPr>
      </w:pPr>
      <w:r>
        <w:rPr>
          <w:sz w:val="24"/>
        </w:rPr>
        <w:t>3.1</w:t>
      </w:r>
      <w:r>
        <w:rPr>
          <w:rFonts w:hint="eastAsia"/>
          <w:sz w:val="24"/>
        </w:rPr>
        <w:t>.</w:t>
      </w:r>
      <w:r>
        <w:rPr>
          <w:sz w:val="24"/>
        </w:rPr>
        <w:t>1项补充：</w:t>
      </w:r>
    </w:p>
    <w:p>
      <w:pPr>
        <w:adjustRightInd w:val="0"/>
        <w:snapToGrid w:val="0"/>
        <w:spacing w:line="360" w:lineRule="auto"/>
        <w:ind w:firstLine="480" w:firstLineChars="200"/>
        <w:rPr>
          <w:sz w:val="24"/>
        </w:rPr>
      </w:pPr>
      <w:r>
        <w:rPr>
          <w:sz w:val="24"/>
        </w:rPr>
        <w:t>监理人在行使下列权力前需要经发包人事先批准：</w:t>
      </w:r>
    </w:p>
    <w:p>
      <w:pPr>
        <w:adjustRightInd w:val="0"/>
        <w:snapToGrid w:val="0"/>
        <w:spacing w:line="360" w:lineRule="auto"/>
        <w:ind w:firstLine="480" w:firstLineChars="200"/>
        <w:rPr>
          <w:sz w:val="24"/>
        </w:rPr>
      </w:pPr>
      <w:r>
        <w:rPr>
          <w:sz w:val="24"/>
        </w:rPr>
        <w:t>（1</w:t>
      </w:r>
      <w:r>
        <w:rPr>
          <w:rFonts w:hint="eastAsia"/>
          <w:sz w:val="24"/>
        </w:rPr>
        <w:t>）</w:t>
      </w:r>
      <w:r>
        <w:rPr>
          <w:sz w:val="24"/>
        </w:rPr>
        <w:t>根据第4.3款，同意分包本工程的某非主体和关键性工作；</w:t>
      </w:r>
    </w:p>
    <w:p>
      <w:pPr>
        <w:adjustRightInd w:val="0"/>
        <w:snapToGrid w:val="0"/>
        <w:spacing w:line="360" w:lineRule="auto"/>
        <w:ind w:firstLine="480" w:firstLineChars="200"/>
        <w:rPr>
          <w:sz w:val="24"/>
        </w:rPr>
      </w:pPr>
      <w:r>
        <w:rPr>
          <w:sz w:val="24"/>
        </w:rPr>
        <w:t>（2）确定第4.11款下产生的费用增加额；</w:t>
      </w:r>
    </w:p>
    <w:p>
      <w:pPr>
        <w:adjustRightInd w:val="0"/>
        <w:snapToGrid w:val="0"/>
        <w:spacing w:line="360" w:lineRule="auto"/>
        <w:ind w:firstLine="480" w:firstLineChars="200"/>
        <w:rPr>
          <w:sz w:val="24"/>
        </w:rPr>
      </w:pPr>
      <w:r>
        <w:rPr>
          <w:rFonts w:hint="eastAsia"/>
          <w:sz w:val="24"/>
        </w:rPr>
        <w:t>（</w:t>
      </w:r>
      <w:r>
        <w:rPr>
          <w:sz w:val="24"/>
        </w:rPr>
        <w:t>3）根据第11</w:t>
      </w:r>
      <w:r>
        <w:rPr>
          <w:rFonts w:hint="eastAsia"/>
          <w:sz w:val="24"/>
        </w:rPr>
        <w:t>.</w:t>
      </w:r>
      <w:r>
        <w:rPr>
          <w:sz w:val="24"/>
        </w:rPr>
        <w:t>1款、12.3款、12.4款发布开工通知、暂停施工指示或复工通矢日；</w:t>
      </w:r>
    </w:p>
    <w:p>
      <w:pPr>
        <w:adjustRightInd w:val="0"/>
        <w:snapToGrid w:val="0"/>
        <w:spacing w:line="360" w:lineRule="auto"/>
        <w:ind w:firstLine="480" w:firstLineChars="200"/>
        <w:rPr>
          <w:sz w:val="24"/>
        </w:rPr>
      </w:pPr>
      <w:r>
        <w:rPr>
          <w:rFonts w:hint="eastAsia"/>
          <w:sz w:val="24"/>
        </w:rPr>
        <w:t>（</w:t>
      </w:r>
      <w:r>
        <w:rPr>
          <w:sz w:val="24"/>
        </w:rPr>
        <w:t>4</w:t>
      </w:r>
      <w:r>
        <w:rPr>
          <w:rFonts w:hint="eastAsia"/>
          <w:sz w:val="24"/>
        </w:rPr>
        <w:t>）</w:t>
      </w:r>
      <w:r>
        <w:rPr>
          <w:sz w:val="24"/>
        </w:rPr>
        <w:t>决定第11.3款、11.4款下的工期延长；</w:t>
      </w:r>
    </w:p>
    <w:p>
      <w:pPr>
        <w:adjustRightInd w:val="0"/>
        <w:snapToGrid w:val="0"/>
        <w:spacing w:line="360" w:lineRule="auto"/>
        <w:ind w:firstLine="480" w:firstLineChars="200"/>
        <w:rPr>
          <w:sz w:val="24"/>
        </w:rPr>
      </w:pPr>
      <w:r>
        <w:rPr>
          <w:sz w:val="24"/>
        </w:rPr>
        <w:t>（5</w:t>
      </w:r>
      <w:r>
        <w:rPr>
          <w:rFonts w:hint="eastAsia"/>
          <w:sz w:val="24"/>
        </w:rPr>
        <w:t>）</w:t>
      </w:r>
      <w:r>
        <w:rPr>
          <w:sz w:val="24"/>
        </w:rPr>
        <w:t>审查批准技术规范或设计的变更；</w:t>
      </w:r>
    </w:p>
    <w:p>
      <w:pPr>
        <w:adjustRightInd w:val="0"/>
        <w:snapToGrid w:val="0"/>
        <w:spacing w:line="360" w:lineRule="auto"/>
        <w:ind w:firstLine="480" w:firstLineChars="200"/>
        <w:rPr>
          <w:sz w:val="24"/>
        </w:rPr>
      </w:pPr>
      <w:r>
        <w:rPr>
          <w:rFonts w:hint="eastAsia"/>
          <w:sz w:val="24"/>
        </w:rPr>
        <w:t>（</w:t>
      </w:r>
      <w:r>
        <w:rPr>
          <w:sz w:val="24"/>
        </w:rPr>
        <w:t>6</w:t>
      </w:r>
      <w:r>
        <w:rPr>
          <w:rFonts w:hint="eastAsia"/>
          <w:sz w:val="24"/>
        </w:rPr>
        <w:t>）</w:t>
      </w:r>
      <w:r>
        <w:rPr>
          <w:sz w:val="24"/>
        </w:rPr>
        <w:t>根据第15.3款发出的变更指令，其单项工程变更涉及的金额超过了该单项工程原合同价的％或累计变更超过了原总合同价的％（在项目专用条款数据表中予以规定）；</w:t>
      </w:r>
    </w:p>
    <w:p>
      <w:pPr>
        <w:adjustRightInd w:val="0"/>
        <w:snapToGrid w:val="0"/>
        <w:spacing w:line="360" w:lineRule="auto"/>
        <w:ind w:firstLine="480" w:firstLineChars="200"/>
        <w:rPr>
          <w:sz w:val="24"/>
        </w:rPr>
      </w:pPr>
      <w:r>
        <w:rPr>
          <w:sz w:val="24"/>
        </w:rPr>
        <w:t>（7）确定第23.1款项下的索赔额；</w:t>
      </w:r>
    </w:p>
    <w:p>
      <w:pPr>
        <w:adjustRightInd w:val="0"/>
        <w:snapToGrid w:val="0"/>
        <w:spacing w:line="360" w:lineRule="auto"/>
        <w:ind w:firstLine="480" w:firstLineChars="200"/>
        <w:rPr>
          <w:sz w:val="24"/>
        </w:rPr>
      </w:pPr>
      <w:r>
        <w:rPr>
          <w:sz w:val="24"/>
        </w:rPr>
        <w:t>（8</w:t>
      </w:r>
      <w:r>
        <w:rPr>
          <w:rFonts w:hint="eastAsia"/>
          <w:sz w:val="24"/>
        </w:rPr>
        <w:t>）</w:t>
      </w:r>
      <w:r>
        <w:rPr>
          <w:sz w:val="24"/>
        </w:rPr>
        <w:t>按照第15.6款决定有关暂列金额的使用；</w:t>
      </w:r>
    </w:p>
    <w:p>
      <w:pPr>
        <w:adjustRightInd w:val="0"/>
        <w:snapToGrid w:val="0"/>
        <w:spacing w:line="360" w:lineRule="auto"/>
        <w:ind w:firstLine="480" w:firstLineChars="200"/>
        <w:rPr>
          <w:sz w:val="24"/>
        </w:rPr>
      </w:pPr>
      <w:r>
        <w:rPr>
          <w:sz w:val="24"/>
        </w:rPr>
        <w:t>（9</w:t>
      </w:r>
      <w:r>
        <w:rPr>
          <w:rFonts w:hint="eastAsia"/>
          <w:sz w:val="24"/>
        </w:rPr>
        <w:t>）</w:t>
      </w:r>
      <w:r>
        <w:rPr>
          <w:sz w:val="24"/>
        </w:rPr>
        <w:t>确定第15.8款项下的暂估价金额；</w:t>
      </w:r>
    </w:p>
    <w:p>
      <w:pPr>
        <w:adjustRightInd w:val="0"/>
        <w:snapToGrid w:val="0"/>
        <w:spacing w:line="360" w:lineRule="auto"/>
        <w:ind w:firstLine="480" w:firstLineChars="200"/>
        <w:rPr>
          <w:sz w:val="24"/>
        </w:rPr>
      </w:pPr>
      <w:r>
        <w:rPr>
          <w:sz w:val="24"/>
        </w:rPr>
        <w:t>（10</w:t>
      </w:r>
      <w:r>
        <w:rPr>
          <w:rFonts w:hint="eastAsia"/>
          <w:sz w:val="24"/>
        </w:rPr>
        <w:t>）</w:t>
      </w:r>
      <w:r>
        <w:rPr>
          <w:sz w:val="24"/>
        </w:rPr>
        <w:t>确定第15.4款下变更工作的单价。</w:t>
      </w:r>
    </w:p>
    <w:p>
      <w:pPr>
        <w:adjustRightInd w:val="0"/>
        <w:snapToGrid w:val="0"/>
        <w:spacing w:line="360" w:lineRule="auto"/>
        <w:ind w:firstLine="480" w:firstLineChars="200"/>
        <w:rPr>
          <w:sz w:val="24"/>
        </w:rPr>
      </w:pPr>
      <w:r>
        <w:rPr>
          <w:sz w:val="24"/>
        </w:rPr>
        <w:t>如果发生紧急情况，监理人认为将造成人员伤亡，或危及本工程或邻近的财产需立即采取行动，监理人有权在未征得发包人的批准的情况下发布处理紧急情况所必需的指令，承包人应予执行。监理人应按第3.5款商定或确定因上述指令产生的合同价格的增加额。</w:t>
      </w:r>
    </w:p>
    <w:p>
      <w:pPr>
        <w:adjustRightInd w:val="0"/>
        <w:snapToGrid w:val="0"/>
        <w:spacing w:beforeLines="100" w:line="360" w:lineRule="auto"/>
        <w:rPr>
          <w:rFonts w:eastAsia="黑体"/>
          <w:sz w:val="24"/>
        </w:rPr>
      </w:pPr>
      <w:r>
        <w:rPr>
          <w:rFonts w:eastAsia="黑体"/>
          <w:sz w:val="24"/>
        </w:rPr>
        <w:t>3.5商定或确定</w:t>
      </w:r>
    </w:p>
    <w:p>
      <w:pPr>
        <w:adjustRightInd w:val="0"/>
        <w:snapToGrid w:val="0"/>
        <w:spacing w:line="360" w:lineRule="auto"/>
        <w:ind w:firstLine="480" w:firstLineChars="200"/>
        <w:rPr>
          <w:rFonts w:eastAsia="黑体"/>
          <w:sz w:val="24"/>
        </w:rPr>
      </w:pPr>
      <w:r>
        <w:rPr>
          <w:rFonts w:eastAsia="黑体"/>
          <w:sz w:val="24"/>
        </w:rPr>
        <w:t>3.5</w:t>
      </w:r>
      <w:r>
        <w:rPr>
          <w:rFonts w:hint="eastAsia" w:eastAsia="黑体"/>
          <w:sz w:val="24"/>
        </w:rPr>
        <w:t>.</w:t>
      </w:r>
      <w:r>
        <w:rPr>
          <w:rFonts w:eastAsia="黑体"/>
          <w:sz w:val="24"/>
        </w:rPr>
        <w:t>1项补充：</w:t>
      </w:r>
    </w:p>
    <w:p>
      <w:pPr>
        <w:adjustRightInd w:val="0"/>
        <w:snapToGrid w:val="0"/>
        <w:spacing w:line="360" w:lineRule="auto"/>
        <w:ind w:firstLine="480" w:firstLineChars="200"/>
        <w:rPr>
          <w:sz w:val="24"/>
        </w:rPr>
      </w:pPr>
      <w:r>
        <w:rPr>
          <w:sz w:val="24"/>
        </w:rPr>
        <w:t>如果这项商定或确定导致费用增加和（或）工期延长，或者涉及确定变更工程的价格，则总监理工程师在发出通知前，应征得发包人的同意。</w:t>
      </w:r>
    </w:p>
    <w:p>
      <w:pPr>
        <w:adjustRightInd w:val="0"/>
        <w:snapToGrid w:val="0"/>
        <w:spacing w:beforeLines="100" w:line="360" w:lineRule="auto"/>
        <w:rPr>
          <w:rFonts w:eastAsia="黑体"/>
          <w:sz w:val="24"/>
        </w:rPr>
      </w:pPr>
      <w:r>
        <w:rPr>
          <w:rFonts w:eastAsia="黑体"/>
          <w:sz w:val="24"/>
        </w:rPr>
        <w:t>4</w:t>
      </w:r>
      <w:r>
        <w:rPr>
          <w:rFonts w:hint="eastAsia" w:eastAsia="黑体"/>
          <w:sz w:val="24"/>
        </w:rPr>
        <w:t>．</w:t>
      </w:r>
      <w:r>
        <w:rPr>
          <w:rFonts w:eastAsia="黑体"/>
          <w:sz w:val="24"/>
        </w:rPr>
        <w:t>承包人</w:t>
      </w:r>
    </w:p>
    <w:p>
      <w:pPr>
        <w:adjustRightInd w:val="0"/>
        <w:snapToGrid w:val="0"/>
        <w:spacing w:line="360" w:lineRule="auto"/>
        <w:rPr>
          <w:rFonts w:eastAsia="黑体"/>
          <w:sz w:val="24"/>
        </w:rPr>
      </w:pPr>
      <w:r>
        <w:rPr>
          <w:rFonts w:eastAsia="黑体"/>
          <w:sz w:val="24"/>
        </w:rPr>
        <w:t>4.1承包人的一般义务</w:t>
      </w:r>
    </w:p>
    <w:p>
      <w:pPr>
        <w:adjustRightInd w:val="0"/>
        <w:snapToGrid w:val="0"/>
        <w:spacing w:line="360" w:lineRule="auto"/>
        <w:ind w:firstLine="480" w:firstLineChars="200"/>
        <w:rPr>
          <w:rFonts w:eastAsia="黑体"/>
          <w:sz w:val="24"/>
        </w:rPr>
      </w:pPr>
      <w:r>
        <w:rPr>
          <w:rFonts w:eastAsia="黑体"/>
          <w:sz w:val="24"/>
        </w:rPr>
        <w:t>4</w:t>
      </w:r>
      <w:r>
        <w:rPr>
          <w:rFonts w:hint="eastAsia" w:eastAsia="黑体"/>
          <w:sz w:val="24"/>
        </w:rPr>
        <w:t>.</w:t>
      </w:r>
      <w:r>
        <w:rPr>
          <w:rFonts w:eastAsia="黑体"/>
          <w:sz w:val="24"/>
        </w:rPr>
        <w:t>1.2依法纳税</w:t>
      </w:r>
    </w:p>
    <w:p>
      <w:pPr>
        <w:adjustRightInd w:val="0"/>
        <w:snapToGrid w:val="0"/>
        <w:spacing w:line="360" w:lineRule="auto"/>
        <w:ind w:firstLine="480" w:firstLineChars="200"/>
        <w:rPr>
          <w:sz w:val="24"/>
        </w:rPr>
      </w:pPr>
      <w:r>
        <w:rPr>
          <w:sz w:val="24"/>
        </w:rPr>
        <w:t>本项细化为：</w:t>
      </w:r>
    </w:p>
    <w:p>
      <w:pPr>
        <w:adjustRightInd w:val="0"/>
        <w:snapToGrid w:val="0"/>
        <w:spacing w:line="360" w:lineRule="auto"/>
        <w:ind w:firstLine="480" w:firstLineChars="200"/>
        <w:rPr>
          <w:sz w:val="24"/>
        </w:rPr>
      </w:pPr>
      <w:r>
        <w:rPr>
          <w:sz w:val="24"/>
        </w:rPr>
        <w:t>承包人应按有关法律规定纳税。应缴纳的税费应按项目专用合同条款的约定：</w:t>
      </w:r>
    </w:p>
    <w:p>
      <w:pPr>
        <w:adjustRightInd w:val="0"/>
        <w:snapToGrid w:val="0"/>
        <w:spacing w:line="360" w:lineRule="auto"/>
        <w:ind w:firstLine="480" w:firstLineChars="200"/>
        <w:rPr>
          <w:sz w:val="24"/>
        </w:rPr>
      </w:pPr>
      <w:r>
        <w:rPr>
          <w:rFonts w:hint="eastAsia"/>
          <w:sz w:val="24"/>
        </w:rPr>
        <w:t>（</w:t>
      </w:r>
      <w:r>
        <w:rPr>
          <w:sz w:val="24"/>
        </w:rPr>
        <w:t>1</w:t>
      </w:r>
      <w:r>
        <w:rPr>
          <w:rFonts w:hint="eastAsia"/>
          <w:sz w:val="24"/>
        </w:rPr>
        <w:t>）</w:t>
      </w:r>
      <w:r>
        <w:rPr>
          <w:sz w:val="24"/>
        </w:rPr>
        <w:t>包括在工程量清单第100章相应的支付子目中；或</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分摊在工程量清单各工程子目的单价或总额价内。</w:t>
      </w:r>
    </w:p>
    <w:p>
      <w:pPr>
        <w:adjustRightInd w:val="0"/>
        <w:snapToGrid w:val="0"/>
        <w:spacing w:line="360" w:lineRule="auto"/>
        <w:ind w:firstLine="480" w:firstLineChars="200"/>
        <w:rPr>
          <w:rFonts w:eastAsia="黑体"/>
          <w:sz w:val="24"/>
        </w:rPr>
      </w:pPr>
      <w:r>
        <w:rPr>
          <w:rFonts w:eastAsia="黑体"/>
          <w:sz w:val="24"/>
        </w:rPr>
        <w:t>4.1.8为他人提供方便</w:t>
      </w:r>
    </w:p>
    <w:p>
      <w:pPr>
        <w:adjustRightInd w:val="0"/>
        <w:snapToGrid w:val="0"/>
        <w:spacing w:line="360" w:lineRule="auto"/>
        <w:ind w:firstLine="480" w:firstLineChars="200"/>
        <w:rPr>
          <w:sz w:val="24"/>
        </w:rPr>
      </w:pPr>
      <w:r>
        <w:rPr>
          <w:sz w:val="24"/>
        </w:rPr>
        <w:t>承包人为他人提供条件的内容：</w:t>
      </w:r>
      <w:r>
        <w:rPr>
          <w:rFonts w:hint="eastAsia" w:ascii="宋体" w:hAnsi="宋体"/>
          <w:sz w:val="24"/>
          <w:u w:val="single"/>
        </w:rPr>
        <w:t xml:space="preserve">  （见项目专用合同条款）  </w:t>
      </w:r>
    </w:p>
    <w:p>
      <w:pPr>
        <w:adjustRightInd w:val="0"/>
        <w:snapToGrid w:val="0"/>
        <w:spacing w:line="360" w:lineRule="auto"/>
        <w:ind w:firstLine="480" w:firstLineChars="200"/>
        <w:rPr>
          <w:rFonts w:eastAsia="黑体"/>
          <w:sz w:val="24"/>
          <w:u w:val="single"/>
        </w:rPr>
      </w:pPr>
      <w:r>
        <w:rPr>
          <w:sz w:val="24"/>
        </w:rPr>
        <w:t>承包人为他人提供条件可能发生费用的处理方法：</w:t>
      </w:r>
      <w:r>
        <w:rPr>
          <w:rFonts w:hint="eastAsia" w:ascii="宋体" w:hAnsi="宋体"/>
          <w:sz w:val="24"/>
          <w:u w:val="single"/>
        </w:rPr>
        <w:t xml:space="preserve">  （见项目专用合同条款）</w:t>
      </w:r>
    </w:p>
    <w:p>
      <w:pPr>
        <w:adjustRightInd w:val="0"/>
        <w:snapToGrid w:val="0"/>
        <w:spacing w:line="360" w:lineRule="auto"/>
        <w:ind w:firstLine="480" w:firstLineChars="200"/>
        <w:rPr>
          <w:rFonts w:eastAsia="黑体"/>
          <w:sz w:val="24"/>
        </w:rPr>
      </w:pPr>
      <w:r>
        <w:rPr>
          <w:rFonts w:eastAsia="黑体"/>
          <w:sz w:val="24"/>
        </w:rPr>
        <w:t>4.1.9工程的维护和照管</w:t>
      </w:r>
    </w:p>
    <w:p>
      <w:pPr>
        <w:adjustRightInd w:val="0"/>
        <w:snapToGrid w:val="0"/>
        <w:spacing w:line="360" w:lineRule="auto"/>
        <w:ind w:firstLine="480" w:firstLineChars="200"/>
        <w:rPr>
          <w:sz w:val="24"/>
        </w:rPr>
      </w:pPr>
      <w:r>
        <w:rPr>
          <w:sz w:val="24"/>
        </w:rPr>
        <w:t>本项细化为：</w:t>
      </w:r>
    </w:p>
    <w:p>
      <w:pPr>
        <w:adjustRightInd w:val="0"/>
        <w:snapToGrid w:val="0"/>
        <w:spacing w:line="360" w:lineRule="auto"/>
        <w:ind w:firstLine="480" w:firstLineChars="200"/>
        <w:rPr>
          <w:sz w:val="24"/>
        </w:rPr>
      </w:pPr>
      <w:r>
        <w:rPr>
          <w:sz w:val="24"/>
        </w:rPr>
        <w:t>（1</w:t>
      </w:r>
      <w:r>
        <w:rPr>
          <w:rFonts w:hint="eastAsia"/>
          <w:sz w:val="24"/>
        </w:rPr>
        <w:t>）</w:t>
      </w:r>
      <w:r>
        <w:rPr>
          <w:sz w:val="24"/>
        </w:rPr>
        <w:t>工程接收证书颁发前，承包人应负责照管和维护工程及将用于或安装在本工程中的材料、设备。工程接收证书颁发时尚有部分未竣工工程的，承包人还应负责该未竣工工程、材料、设备的照管和维护工作，直至竣工后移交给发包人为止。</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在承包人负责照管与维护期间，如果本工程或材料、设备等发生损失或损害，除不可抗力原因之外，承包人均应自费弥补，并达到合同要求。承包人还应对按19条规定而实施作业的过程中由承包人造成的对工程的任何损失或损害负责。</w:t>
      </w:r>
    </w:p>
    <w:p>
      <w:pPr>
        <w:adjustRightInd w:val="0"/>
        <w:snapToGrid w:val="0"/>
        <w:spacing w:line="360" w:lineRule="auto"/>
        <w:ind w:firstLine="480" w:firstLineChars="200"/>
        <w:rPr>
          <w:rFonts w:eastAsia="黑体"/>
          <w:sz w:val="24"/>
        </w:rPr>
      </w:pPr>
      <w:r>
        <w:rPr>
          <w:rFonts w:eastAsia="黑体"/>
          <w:sz w:val="24"/>
        </w:rPr>
        <w:t>4.1</w:t>
      </w:r>
      <w:r>
        <w:rPr>
          <w:rFonts w:hint="eastAsia" w:eastAsia="黑体"/>
          <w:sz w:val="24"/>
        </w:rPr>
        <w:t>.</w:t>
      </w:r>
      <w:r>
        <w:rPr>
          <w:rFonts w:eastAsia="黑体"/>
          <w:sz w:val="24"/>
        </w:rPr>
        <w:t>10其他义务</w:t>
      </w:r>
    </w:p>
    <w:p>
      <w:pPr>
        <w:adjustRightInd w:val="0"/>
        <w:snapToGrid w:val="0"/>
        <w:spacing w:line="360" w:lineRule="auto"/>
        <w:ind w:firstLine="480" w:firstLineChars="200"/>
        <w:rPr>
          <w:sz w:val="24"/>
        </w:rPr>
      </w:pPr>
      <w:r>
        <w:rPr>
          <w:sz w:val="24"/>
        </w:rPr>
        <w:t>本项细化为：</w:t>
      </w:r>
    </w:p>
    <w:p>
      <w:pPr>
        <w:adjustRightInd w:val="0"/>
        <w:snapToGrid w:val="0"/>
        <w:spacing w:line="360" w:lineRule="auto"/>
        <w:ind w:firstLine="480" w:firstLineChars="200"/>
        <w:rPr>
          <w:sz w:val="24"/>
        </w:rPr>
      </w:pPr>
      <w:r>
        <w:rPr>
          <w:sz w:val="24"/>
        </w:rPr>
        <w:t>（1</w:t>
      </w:r>
      <w:r>
        <w:rPr>
          <w:rFonts w:hint="eastAsia"/>
          <w:sz w:val="24"/>
        </w:rPr>
        <w:t>）</w:t>
      </w:r>
      <w:r>
        <w:rPr>
          <w:sz w:val="24"/>
        </w:rPr>
        <w:t>承包人应向发包人授权进行本合同工程开户银行工程资金的查询。发包人支付的预付款、工程进度款应为本工程的专款专用资金，不得转移或用于其他工程。发包人的进度支付款将转入承包人指定并经发包人批准的银行所设的专门帐户，发包人及其派出机构有权不定期对承包人工程资金使用情况进行检查，发现问题及时责令承包人限期改正，否则，将终止月支付，直至承包人改正为止。</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除项目专用条款另有规定外，承包人应承担并支付为获得本合同工程所需的石料、砂、砾石、粘土或其他当地材料等所发生的料场使用费及其他开支或补偿费。发包人应尽可能协助承包人办理料场租用手续及解决使用过程中的有关问题。</w:t>
      </w:r>
    </w:p>
    <w:p>
      <w:pPr>
        <w:adjustRightInd w:val="0"/>
        <w:snapToGrid w:val="0"/>
        <w:spacing w:line="360" w:lineRule="auto"/>
        <w:ind w:firstLine="480" w:firstLineChars="200"/>
        <w:rPr>
          <w:sz w:val="24"/>
        </w:rPr>
      </w:pPr>
      <w:r>
        <w:rPr>
          <w:rFonts w:hint="eastAsia"/>
          <w:sz w:val="24"/>
        </w:rPr>
        <w:t>（</w:t>
      </w:r>
      <w:r>
        <w:rPr>
          <w:sz w:val="24"/>
        </w:rPr>
        <w:t>3</w:t>
      </w:r>
      <w:r>
        <w:rPr>
          <w:rFonts w:hint="eastAsia"/>
          <w:sz w:val="24"/>
        </w:rPr>
        <w:t>）</w:t>
      </w:r>
      <w:r>
        <w:rPr>
          <w:sz w:val="24"/>
        </w:rPr>
        <w:t>承包人应严格遵守国家有关解决拖欠工程款和民工工资的法律、法规，及时支付工程中的材料、设备货款及民工工资等费用。承包人不得以任何借口拖欠材料、设备货款及民工工资等费用，如果出现此种现象，经查实后，一律通报批评并责令承包人自行组织资金迅速偿还欠款，在必要时，发包人有权从应付给承包人的工程款中代为支付其拖欠的材料、设备货款及民工工资。对恶意拖欠和拒不按计划支付的，记入信用档案。</w:t>
      </w:r>
    </w:p>
    <w:p>
      <w:pPr>
        <w:adjustRightInd w:val="0"/>
        <w:snapToGrid w:val="0"/>
        <w:spacing w:line="360" w:lineRule="auto"/>
        <w:ind w:firstLine="480" w:firstLineChars="200"/>
        <w:rPr>
          <w:sz w:val="24"/>
        </w:rPr>
      </w:pPr>
      <w:r>
        <w:rPr>
          <w:rFonts w:hint="eastAsia"/>
          <w:sz w:val="24"/>
        </w:rPr>
        <w:t>（</w:t>
      </w:r>
      <w:r>
        <w:rPr>
          <w:sz w:val="24"/>
        </w:rPr>
        <w:t>4</w:t>
      </w:r>
      <w:r>
        <w:rPr>
          <w:rFonts w:hint="eastAsia"/>
          <w:sz w:val="24"/>
        </w:rPr>
        <w:t>）</w:t>
      </w:r>
      <w:r>
        <w:rPr>
          <w:sz w:val="24"/>
        </w:rPr>
        <w:t>承包人的项目经理部是民工工资支付行为的主体，承包人的项目经理或授权的项目副经理是民工工资支付的责任人。项目经理部要建立全体民工花名册和工资支付表，确保将工资直接发放给民工本人，或委托银行发放民工工资，严禁发放给“包工头”或其他不具备用工主体资格的组织和个人。</w:t>
      </w:r>
    </w:p>
    <w:p>
      <w:pPr>
        <w:adjustRightInd w:val="0"/>
        <w:snapToGrid w:val="0"/>
        <w:spacing w:line="360" w:lineRule="auto"/>
        <w:ind w:firstLine="480" w:firstLineChars="200"/>
        <w:rPr>
          <w:sz w:val="24"/>
        </w:rPr>
      </w:pPr>
      <w:r>
        <w:rPr>
          <w:rFonts w:hint="eastAsia"/>
          <w:sz w:val="24"/>
        </w:rPr>
        <w:t>工</w:t>
      </w:r>
      <w:r>
        <w:rPr>
          <w:sz w:val="24"/>
        </w:rPr>
        <w:t>资支付表应如实记录支付单位、支付时间、支付对象、支付数额、支付对象的身份证号和签字等工资支付情况。民工花名册和工资支付表报监理人备查。</w:t>
      </w:r>
    </w:p>
    <w:p>
      <w:pPr>
        <w:adjustRightInd w:val="0"/>
        <w:snapToGrid w:val="0"/>
        <w:spacing w:line="360" w:lineRule="auto"/>
        <w:ind w:firstLine="480" w:firstLineChars="200"/>
        <w:rPr>
          <w:sz w:val="24"/>
        </w:rPr>
      </w:pPr>
      <w:r>
        <w:rPr>
          <w:rFonts w:hint="eastAsia"/>
          <w:sz w:val="24"/>
        </w:rPr>
        <w:t>（</w:t>
      </w:r>
      <w:r>
        <w:rPr>
          <w:sz w:val="24"/>
        </w:rPr>
        <w:t>5</w:t>
      </w:r>
      <w:r>
        <w:rPr>
          <w:rFonts w:hint="eastAsia"/>
          <w:sz w:val="24"/>
        </w:rPr>
        <w:t>）</w:t>
      </w:r>
      <w:r>
        <w:rPr>
          <w:sz w:val="24"/>
        </w:rPr>
        <w:t>承包人应履行项目专用合同条款约定的其他义务。</w:t>
      </w:r>
    </w:p>
    <w:p>
      <w:pPr>
        <w:adjustRightInd w:val="0"/>
        <w:snapToGrid w:val="0"/>
        <w:spacing w:beforeLines="100" w:line="360" w:lineRule="auto"/>
        <w:rPr>
          <w:rFonts w:eastAsia="黑体"/>
          <w:sz w:val="24"/>
        </w:rPr>
      </w:pPr>
      <w:r>
        <w:rPr>
          <w:rFonts w:eastAsia="黑体"/>
          <w:sz w:val="24"/>
        </w:rPr>
        <w:t>4.2履约担保</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（1</w:t>
      </w:r>
      <w:r>
        <w:rPr>
          <w:rFonts w:hint="eastAsia"/>
          <w:sz w:val="24"/>
        </w:rPr>
        <w:t>）</w:t>
      </w:r>
      <w:r>
        <w:rPr>
          <w:sz w:val="24"/>
        </w:rPr>
        <w:t>承包人应在签订合同协议书之前向发包人提交履约担保，同时通知监理人。担保金额在投标函附录中写明。履约担保应按项目专用合同条款的规定，采用银行保函或现金形式。保函应采用招标文件所附的或发包人事先同意的格式，由承包人在符合规定的银行开具（银行级别在项目专用条款数据中说明），并保证其有效。保函的正本由发包人保存。执行本条各项要求所需的费用由承包人承担。</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联合体的履约担保应由联合体牵头人提交，其金额应达到投标函附录中规定的金额。</w:t>
      </w:r>
    </w:p>
    <w:p>
      <w:pPr>
        <w:adjustRightInd w:val="0"/>
        <w:snapToGrid w:val="0"/>
        <w:spacing w:beforeLines="100" w:line="360" w:lineRule="auto"/>
        <w:rPr>
          <w:rFonts w:eastAsia="黑体"/>
          <w:sz w:val="24"/>
        </w:rPr>
      </w:pPr>
      <w:r>
        <w:rPr>
          <w:rFonts w:eastAsia="黑体"/>
          <w:sz w:val="24"/>
        </w:rPr>
        <w:t>4.3分包</w:t>
      </w:r>
    </w:p>
    <w:p>
      <w:pPr>
        <w:adjustRightInd w:val="0"/>
        <w:snapToGrid w:val="0"/>
        <w:spacing w:line="360" w:lineRule="auto"/>
        <w:ind w:firstLine="480" w:firstLineChars="200"/>
        <w:rPr>
          <w:rFonts w:eastAsia="黑体"/>
          <w:sz w:val="24"/>
        </w:rPr>
      </w:pPr>
      <w:r>
        <w:rPr>
          <w:rFonts w:eastAsia="黑体"/>
          <w:sz w:val="24"/>
        </w:rPr>
        <w:t>4.3.2项细化为：</w:t>
      </w:r>
    </w:p>
    <w:p>
      <w:pPr>
        <w:adjustRightInd w:val="0"/>
        <w:snapToGrid w:val="0"/>
        <w:spacing w:line="360" w:lineRule="auto"/>
        <w:ind w:firstLine="480" w:firstLineChars="200"/>
        <w:rPr>
          <w:sz w:val="24"/>
        </w:rPr>
      </w:pPr>
      <w:r>
        <w:rPr>
          <w:sz w:val="24"/>
        </w:rPr>
        <w:t>承包人不得将工程主体、关键性工作分包给第三人。经发包人同意，承包人可将工程的其他部分或工作分包给第三人。分包包括专业分包和劳务分包。</w:t>
      </w:r>
    </w:p>
    <w:p>
      <w:pPr>
        <w:adjustRightInd w:val="0"/>
        <w:snapToGrid w:val="0"/>
        <w:spacing w:line="360" w:lineRule="auto"/>
        <w:ind w:firstLine="480" w:firstLineChars="200"/>
        <w:rPr>
          <w:rFonts w:eastAsia="黑体"/>
          <w:sz w:val="24"/>
        </w:rPr>
      </w:pPr>
      <w:r>
        <w:rPr>
          <w:rFonts w:eastAsia="黑体"/>
          <w:sz w:val="24"/>
        </w:rPr>
        <w:t>4.3.3项至4.3.5项细化为：</w:t>
      </w:r>
    </w:p>
    <w:p>
      <w:pPr>
        <w:adjustRightInd w:val="0"/>
        <w:snapToGrid w:val="0"/>
        <w:spacing w:line="360" w:lineRule="auto"/>
        <w:ind w:firstLine="480" w:firstLineChars="200"/>
        <w:rPr>
          <w:rFonts w:eastAsia="黑体"/>
          <w:sz w:val="24"/>
        </w:rPr>
      </w:pPr>
      <w:r>
        <w:rPr>
          <w:rFonts w:eastAsia="黑体"/>
          <w:sz w:val="24"/>
        </w:rPr>
        <w:t>4.3.3专业分包</w:t>
      </w:r>
    </w:p>
    <w:p>
      <w:pPr>
        <w:adjustRightInd w:val="0"/>
        <w:snapToGrid w:val="0"/>
        <w:spacing w:line="360" w:lineRule="auto"/>
        <w:ind w:firstLine="480" w:firstLineChars="200"/>
        <w:rPr>
          <w:sz w:val="24"/>
        </w:rPr>
      </w:pPr>
      <w:r>
        <w:rPr>
          <w:sz w:val="24"/>
        </w:rPr>
        <w:t>在工程施工过程中，承包人如有专业分包计划，则必须遵守以下规定：</w:t>
      </w:r>
    </w:p>
    <w:p>
      <w:pPr>
        <w:adjustRightInd w:val="0"/>
        <w:snapToGrid w:val="0"/>
        <w:spacing w:line="360" w:lineRule="auto"/>
        <w:ind w:firstLine="480" w:firstLineChars="200"/>
        <w:rPr>
          <w:sz w:val="24"/>
        </w:rPr>
      </w:pPr>
      <w:r>
        <w:rPr>
          <w:sz w:val="24"/>
        </w:rPr>
        <w:t>（1</w:t>
      </w:r>
      <w:r>
        <w:rPr>
          <w:rFonts w:hint="eastAsia"/>
          <w:sz w:val="24"/>
        </w:rPr>
        <w:t>）</w:t>
      </w:r>
      <w:r>
        <w:rPr>
          <w:sz w:val="24"/>
        </w:rPr>
        <w:t>允许专业分包的工程范围仅限于分部工程或分项工程、适合专业化队伍施工的工程，专业分包的工程量不得超过总工程量的30%</w:t>
      </w:r>
      <w:r>
        <w:rPr>
          <w:rFonts w:hint="eastAsia"/>
          <w:sz w:val="24"/>
        </w:rPr>
        <w:t>；</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专业分包人的资格能力（含安全生产能力）应与其分包工程的标准和规模相适应，具备相应的专业承包资质；</w:t>
      </w:r>
    </w:p>
    <w:p>
      <w:pPr>
        <w:adjustRightInd w:val="0"/>
        <w:snapToGrid w:val="0"/>
        <w:spacing w:line="360" w:lineRule="auto"/>
        <w:ind w:firstLine="480" w:firstLineChars="200"/>
        <w:rPr>
          <w:sz w:val="24"/>
        </w:rPr>
      </w:pPr>
      <w:r>
        <w:rPr>
          <w:sz w:val="24"/>
        </w:rPr>
        <w:t>（3</w:t>
      </w:r>
      <w:r>
        <w:rPr>
          <w:rFonts w:hint="eastAsia"/>
          <w:sz w:val="24"/>
        </w:rPr>
        <w:t>）</w:t>
      </w:r>
      <w:r>
        <w:rPr>
          <w:sz w:val="24"/>
        </w:rPr>
        <w:t>专业分包工程不得再次分包或转包；</w:t>
      </w:r>
    </w:p>
    <w:p>
      <w:pPr>
        <w:adjustRightInd w:val="0"/>
        <w:snapToGrid w:val="0"/>
        <w:spacing w:line="360" w:lineRule="auto"/>
        <w:ind w:firstLine="480" w:firstLineChars="200"/>
        <w:rPr>
          <w:sz w:val="24"/>
        </w:rPr>
      </w:pPr>
      <w:r>
        <w:rPr>
          <w:sz w:val="24"/>
        </w:rPr>
        <w:t>（4）承包人应对专业分包工程的工程质量及专业分包人职工的行为、违约和疏忽承担责任；</w:t>
      </w:r>
    </w:p>
    <w:p>
      <w:pPr>
        <w:adjustRightInd w:val="0"/>
        <w:snapToGrid w:val="0"/>
        <w:spacing w:line="360" w:lineRule="auto"/>
        <w:ind w:firstLine="480" w:firstLineChars="200"/>
        <w:rPr>
          <w:sz w:val="24"/>
        </w:rPr>
      </w:pPr>
      <w:r>
        <w:rPr>
          <w:sz w:val="24"/>
        </w:rPr>
        <w:t>（5</w:t>
      </w:r>
      <w:r>
        <w:rPr>
          <w:rFonts w:hint="eastAsia"/>
          <w:sz w:val="24"/>
        </w:rPr>
        <w:t>）</w:t>
      </w:r>
      <w:r>
        <w:rPr>
          <w:sz w:val="24"/>
        </w:rPr>
        <w:t>承包人和专业分包人应当依法签订专业分包合同，并按照合同履行约定的义务。专业分包合同必须明确约定工程款支付条款、结算方式以及保证按期支付的相应措施，确保工程款的支付：</w:t>
      </w:r>
    </w:p>
    <w:p>
      <w:pPr>
        <w:adjustRightInd w:val="0"/>
        <w:snapToGrid w:val="0"/>
        <w:spacing w:line="360" w:lineRule="auto"/>
        <w:ind w:firstLine="480" w:firstLineChars="200"/>
        <w:rPr>
          <w:sz w:val="24"/>
        </w:rPr>
      </w:pPr>
      <w:r>
        <w:rPr>
          <w:sz w:val="24"/>
        </w:rPr>
        <w:t>（6</w:t>
      </w:r>
      <w:r>
        <w:rPr>
          <w:rFonts w:hint="eastAsia"/>
          <w:sz w:val="24"/>
        </w:rPr>
        <w:t>）</w:t>
      </w:r>
      <w:r>
        <w:rPr>
          <w:sz w:val="24"/>
        </w:rPr>
        <w:t>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pPr>
        <w:adjustRightInd w:val="0"/>
        <w:snapToGrid w:val="0"/>
        <w:spacing w:line="360" w:lineRule="auto"/>
        <w:ind w:firstLine="480" w:firstLineChars="200"/>
        <w:rPr>
          <w:sz w:val="24"/>
        </w:rPr>
      </w:pPr>
      <w:r>
        <w:rPr>
          <w:sz w:val="24"/>
        </w:rPr>
        <w:t>（7</w:t>
      </w:r>
      <w:r>
        <w:rPr>
          <w:rFonts w:hint="eastAsia"/>
          <w:sz w:val="24"/>
        </w:rPr>
        <w:t>）</w:t>
      </w:r>
      <w:r>
        <w:rPr>
          <w:sz w:val="24"/>
        </w:rPr>
        <w:t>所有专</w:t>
      </w:r>
      <w:r>
        <w:rPr>
          <w:rFonts w:hint="eastAsia"/>
          <w:sz w:val="24"/>
        </w:rPr>
        <w:t>业</w:t>
      </w:r>
      <w:r>
        <w:rPr>
          <w:sz w:val="24"/>
        </w:rPr>
        <w:t>分包计划，专业分包合同（或专业分包协议）和专业分包工程量清单和单价须报监理人审批，并报发包人核备。监理人审批专业分包并不解除合同规定的承包人的任何责任或义务。发包人对承包人与分包人之间的法律与经济纠纷不承担任何责任和义务。</w:t>
      </w:r>
    </w:p>
    <w:p>
      <w:pPr>
        <w:adjustRightInd w:val="0"/>
        <w:snapToGrid w:val="0"/>
        <w:spacing w:line="360" w:lineRule="auto"/>
        <w:ind w:firstLine="480" w:firstLineChars="200"/>
        <w:rPr>
          <w:sz w:val="24"/>
        </w:rPr>
      </w:pPr>
      <w:r>
        <w:rPr>
          <w:sz w:val="24"/>
        </w:rPr>
        <w:t>违反上述规定之一者属违规分包。</w:t>
      </w:r>
    </w:p>
    <w:p>
      <w:pPr>
        <w:adjustRightInd w:val="0"/>
        <w:snapToGrid w:val="0"/>
        <w:spacing w:line="360" w:lineRule="auto"/>
        <w:ind w:firstLine="480" w:firstLineChars="200"/>
        <w:rPr>
          <w:rFonts w:eastAsia="黑体"/>
          <w:sz w:val="24"/>
        </w:rPr>
      </w:pPr>
      <w:r>
        <w:rPr>
          <w:rFonts w:eastAsia="黑体"/>
          <w:sz w:val="24"/>
        </w:rPr>
        <w:t>4.3.4劳务分包</w:t>
      </w:r>
    </w:p>
    <w:p>
      <w:pPr>
        <w:adjustRightInd w:val="0"/>
        <w:snapToGrid w:val="0"/>
        <w:spacing w:line="360" w:lineRule="auto"/>
        <w:ind w:firstLine="480" w:firstLineChars="200"/>
        <w:rPr>
          <w:sz w:val="24"/>
        </w:rPr>
      </w:pPr>
      <w:r>
        <w:rPr>
          <w:sz w:val="24"/>
        </w:rPr>
        <w:t>在工程施工过程中，承包人如有劳务分包计划，则必须遵守以下规定：</w:t>
      </w:r>
    </w:p>
    <w:p>
      <w:pPr>
        <w:adjustRightInd w:val="0"/>
        <w:snapToGrid w:val="0"/>
        <w:spacing w:line="360" w:lineRule="auto"/>
        <w:ind w:firstLine="480" w:firstLineChars="200"/>
        <w:rPr>
          <w:sz w:val="24"/>
        </w:rPr>
      </w:pPr>
      <w:r>
        <w:rPr>
          <w:sz w:val="24"/>
        </w:rPr>
        <w:t>（1</w:t>
      </w:r>
      <w:r>
        <w:rPr>
          <w:rFonts w:hint="eastAsia"/>
          <w:sz w:val="24"/>
        </w:rPr>
        <w:t>）</w:t>
      </w:r>
      <w:r>
        <w:rPr>
          <w:sz w:val="24"/>
        </w:rPr>
        <w:t>承包人可以将劳务作业发包给具有劳务资质的劳务分包人。劳务分包应当依法签订劳务合同，劳务合同必须由承包人或其授权的代表与劳务分包人直接签订，不得由他人代签。承包人的工程项目部、项目经理、施工作业班组等不具备用工主体资格，不能与劳务分包人签订劳务合同。劳务合同要报项目所在地劳动保障部门和监理人备查；</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承包人雇用的劳务作业应加入到承包人的施工班组统一管理。有关施工质量、施工安全、施工进度、环境保护、技术方案、试验检测、材料保管与供应、机械设备等都必须由承包人管理与调配，不得以包代管；</w:t>
      </w:r>
    </w:p>
    <w:p>
      <w:pPr>
        <w:adjustRightInd w:val="0"/>
        <w:snapToGrid w:val="0"/>
        <w:spacing w:line="360" w:lineRule="auto"/>
        <w:ind w:firstLine="480" w:firstLineChars="200"/>
        <w:rPr>
          <w:sz w:val="24"/>
        </w:rPr>
      </w:pPr>
      <w:r>
        <w:rPr>
          <w:sz w:val="24"/>
        </w:rPr>
        <w:t>（3</w:t>
      </w:r>
      <w:r>
        <w:rPr>
          <w:rFonts w:hint="eastAsia"/>
          <w:sz w:val="24"/>
        </w:rPr>
        <w:t>）</w:t>
      </w:r>
      <w:r>
        <w:rPr>
          <w:sz w:val="24"/>
        </w:rPr>
        <w:t>承包人应当对劳务分包人员进行安全培训和管理，劳务分包人不得将其分包的劳务作业再次分包或转包；</w:t>
      </w:r>
    </w:p>
    <w:p>
      <w:pPr>
        <w:adjustRightInd w:val="0"/>
        <w:snapToGrid w:val="0"/>
        <w:spacing w:line="360" w:lineRule="auto"/>
        <w:ind w:firstLine="480" w:firstLineChars="200"/>
        <w:rPr>
          <w:sz w:val="24"/>
        </w:rPr>
      </w:pPr>
      <w:r>
        <w:rPr>
          <w:sz w:val="24"/>
        </w:rPr>
        <w:t>（4）承包人应对劳务分包人职工的行为、违约和疏忽所造成的后果负完全连带责任。</w:t>
      </w:r>
    </w:p>
    <w:p>
      <w:pPr>
        <w:adjustRightInd w:val="0"/>
        <w:snapToGrid w:val="0"/>
        <w:spacing w:line="360" w:lineRule="auto"/>
        <w:ind w:firstLine="480" w:firstLineChars="200"/>
        <w:rPr>
          <w:sz w:val="24"/>
        </w:rPr>
      </w:pPr>
      <w:r>
        <w:rPr>
          <w:sz w:val="24"/>
        </w:rPr>
        <w:t>违反上述规定之一者属违规分包。</w:t>
      </w:r>
    </w:p>
    <w:p>
      <w:pPr>
        <w:adjustRightInd w:val="0"/>
        <w:snapToGrid w:val="0"/>
        <w:spacing w:beforeLines="100" w:line="360" w:lineRule="auto"/>
        <w:rPr>
          <w:rFonts w:eastAsia="黑体"/>
          <w:sz w:val="24"/>
        </w:rPr>
      </w:pPr>
      <w:r>
        <w:rPr>
          <w:rFonts w:eastAsia="黑体"/>
          <w:sz w:val="24"/>
        </w:rPr>
        <w:t>4.4联合体</w:t>
      </w:r>
    </w:p>
    <w:p>
      <w:pPr>
        <w:adjustRightInd w:val="0"/>
        <w:snapToGrid w:val="0"/>
        <w:spacing w:line="360" w:lineRule="auto"/>
        <w:ind w:firstLine="480" w:firstLineChars="200"/>
        <w:rPr>
          <w:sz w:val="24"/>
        </w:rPr>
      </w:pPr>
      <w:r>
        <w:rPr>
          <w:sz w:val="24"/>
        </w:rPr>
        <w:t>本款增加第4.4.4项：</w:t>
      </w:r>
    </w:p>
    <w:p>
      <w:pPr>
        <w:adjustRightInd w:val="0"/>
        <w:snapToGrid w:val="0"/>
        <w:spacing w:line="360" w:lineRule="auto"/>
        <w:ind w:firstLine="480" w:firstLineChars="200"/>
        <w:rPr>
          <w:sz w:val="24"/>
        </w:rPr>
      </w:pPr>
      <w:r>
        <w:rPr>
          <w:sz w:val="24"/>
        </w:rPr>
        <w:t>4.4.4未经发包人事先同意，联合体的组成与结构不得变动。</w:t>
      </w:r>
    </w:p>
    <w:p>
      <w:pPr>
        <w:adjustRightInd w:val="0"/>
        <w:snapToGrid w:val="0"/>
        <w:spacing w:beforeLines="100" w:line="360" w:lineRule="auto"/>
        <w:rPr>
          <w:rFonts w:eastAsia="黑体"/>
          <w:sz w:val="24"/>
        </w:rPr>
      </w:pPr>
      <w:r>
        <w:rPr>
          <w:rFonts w:eastAsia="黑体"/>
          <w:sz w:val="24"/>
        </w:rPr>
        <w:t>4.6承包人人员的管理</w:t>
      </w:r>
    </w:p>
    <w:p>
      <w:pPr>
        <w:adjustRightInd w:val="0"/>
        <w:snapToGrid w:val="0"/>
        <w:spacing w:line="360" w:lineRule="auto"/>
        <w:ind w:firstLine="480" w:firstLineChars="200"/>
        <w:rPr>
          <w:rFonts w:eastAsia="黑体"/>
          <w:sz w:val="24"/>
        </w:rPr>
      </w:pPr>
      <w:r>
        <w:rPr>
          <w:rFonts w:eastAsia="黑体"/>
          <w:sz w:val="24"/>
        </w:rPr>
        <w:t>4.6.3项细化为：</w:t>
      </w:r>
    </w:p>
    <w:p>
      <w:pPr>
        <w:adjustRightInd w:val="0"/>
        <w:snapToGrid w:val="0"/>
        <w:spacing w:line="360" w:lineRule="auto"/>
        <w:ind w:firstLine="480" w:firstLineChars="200"/>
        <w:rPr>
          <w:sz w:val="24"/>
        </w:rPr>
      </w:pPr>
      <w:r>
        <w:rPr>
          <w:sz w:val="24"/>
        </w:rPr>
        <w:t>承包人安排在施工场地的主要管理人员和技术骨干应与投标文件（如承包人未奎投标阶段对人员进行新增或更新，则以资格预审申请文件为准）所承诺的名单</w:t>
      </w:r>
      <w:r>
        <w:rPr>
          <w:rFonts w:hint="eastAsia"/>
          <w:sz w:val="24"/>
        </w:rPr>
        <w:t>一致，</w:t>
      </w:r>
      <w:r>
        <w:rPr>
          <w:sz w:val="24"/>
        </w:rPr>
        <w:t>并保持相对稳定。未经监理人批准，上述人员不应无故不到位或被替换；若确</w:t>
      </w:r>
      <w:r>
        <w:rPr>
          <w:rFonts w:hint="eastAsia"/>
          <w:sz w:val="24"/>
        </w:rPr>
        <w:t>实无</w:t>
      </w:r>
      <w:r>
        <w:rPr>
          <w:sz w:val="24"/>
        </w:rPr>
        <w:t>法到位或需替换，需经监理人审核并报发包人批准后，用同等资质和</w:t>
      </w:r>
      <w:r>
        <w:rPr>
          <w:rFonts w:hint="eastAsia"/>
          <w:sz w:val="24"/>
        </w:rPr>
        <w:t>经历的人</w:t>
      </w:r>
      <w:r>
        <w:rPr>
          <w:sz w:val="24"/>
        </w:rPr>
        <w:t>员替换。</w:t>
      </w:r>
    </w:p>
    <w:p>
      <w:pPr>
        <w:adjustRightInd w:val="0"/>
        <w:snapToGrid w:val="0"/>
        <w:spacing w:line="360" w:lineRule="auto"/>
        <w:ind w:firstLine="480" w:firstLineChars="200"/>
        <w:rPr>
          <w:sz w:val="24"/>
        </w:rPr>
      </w:pPr>
      <w:r>
        <w:rPr>
          <w:sz w:val="24"/>
        </w:rPr>
        <w:t>本款增加第4.6.5项：</w:t>
      </w:r>
    </w:p>
    <w:p>
      <w:pPr>
        <w:adjustRightInd w:val="0"/>
        <w:snapToGrid w:val="0"/>
        <w:spacing w:line="360" w:lineRule="auto"/>
        <w:ind w:firstLine="480" w:firstLineChars="200"/>
        <w:rPr>
          <w:sz w:val="24"/>
        </w:rPr>
      </w:pPr>
      <w:r>
        <w:rPr>
          <w:sz w:val="24"/>
        </w:rPr>
        <w:t>4.6.5尽管承包人</w:t>
      </w:r>
      <w:r>
        <w:rPr>
          <w:rFonts w:hint="eastAsia"/>
          <w:sz w:val="24"/>
        </w:rPr>
        <w:t>已</w:t>
      </w:r>
      <w:r>
        <w:rPr>
          <w:sz w:val="24"/>
        </w:rPr>
        <w:t>按投标文件（如承包人未在投标阶段对人员进行新增或更新，则以</w:t>
      </w:r>
      <w:r>
        <w:rPr>
          <w:rFonts w:hint="eastAsia"/>
          <w:sz w:val="24"/>
        </w:rPr>
        <w:t>资</w:t>
      </w:r>
      <w:r>
        <w:rPr>
          <w:sz w:val="24"/>
        </w:rPr>
        <w:t>格预</w:t>
      </w:r>
      <w:r>
        <w:rPr>
          <w:rFonts w:hint="eastAsia"/>
          <w:sz w:val="24"/>
        </w:rPr>
        <w:t>审</w:t>
      </w:r>
      <w:r>
        <w:rPr>
          <w:sz w:val="24"/>
        </w:rPr>
        <w:t>申请文件为准）中所</w:t>
      </w:r>
      <w:r>
        <w:rPr>
          <w:rFonts w:hint="eastAsia"/>
          <w:sz w:val="24"/>
        </w:rPr>
        <w:t>列</w:t>
      </w:r>
      <w:r>
        <w:rPr>
          <w:sz w:val="24"/>
        </w:rPr>
        <w:t>的数量派遣了上述各类人员，但若监</w:t>
      </w:r>
      <w:r>
        <w:rPr>
          <w:rFonts w:hint="eastAsia"/>
          <w:sz w:val="24"/>
        </w:rPr>
        <w:t>理人</w:t>
      </w:r>
      <w:r>
        <w:rPr>
          <w:sz w:val="24"/>
        </w:rPr>
        <w:t>认为这些人员仍不足以适应现场施工的需要且不能保证工程质量时，监理人有权要参承包人继续增派或雇用这类人员，并书面通知承包人和抄送发包人。承包人</w:t>
      </w:r>
      <w:r>
        <w:rPr>
          <w:rFonts w:hint="eastAsia"/>
          <w:sz w:val="24"/>
        </w:rPr>
        <w:t>在接到</w:t>
      </w:r>
      <w:r>
        <w:rPr>
          <w:sz w:val="24"/>
        </w:rPr>
        <w:t>上述通</w:t>
      </w:r>
      <w:r>
        <w:rPr>
          <w:rFonts w:hint="eastAsia"/>
          <w:sz w:val="24"/>
        </w:rPr>
        <w:t>知</w:t>
      </w:r>
      <w:r>
        <w:rPr>
          <w:sz w:val="24"/>
        </w:rPr>
        <w:t>后应立即执行监理人的上述指示，不得无故拖延，监理人应考虑承包</w:t>
      </w:r>
      <w:r>
        <w:rPr>
          <w:rFonts w:hint="eastAsia"/>
          <w:sz w:val="24"/>
        </w:rPr>
        <w:t>人</w:t>
      </w:r>
      <w:r>
        <w:rPr>
          <w:sz w:val="24"/>
        </w:rPr>
        <w:t>因此增加的费用。</w:t>
      </w:r>
    </w:p>
    <w:p>
      <w:pPr>
        <w:adjustRightInd w:val="0"/>
        <w:snapToGrid w:val="0"/>
        <w:spacing w:beforeLines="100" w:line="360" w:lineRule="auto"/>
        <w:rPr>
          <w:rFonts w:eastAsia="黑体"/>
          <w:sz w:val="24"/>
        </w:rPr>
      </w:pPr>
      <w:r>
        <w:rPr>
          <w:rFonts w:eastAsia="黑体"/>
          <w:sz w:val="24"/>
        </w:rPr>
        <w:t>4.7撤换承包人项目经理和其他人员</w:t>
      </w:r>
    </w:p>
    <w:p>
      <w:pPr>
        <w:adjustRightInd w:val="0"/>
        <w:snapToGrid w:val="0"/>
        <w:spacing w:line="360" w:lineRule="auto"/>
        <w:ind w:firstLine="480" w:firstLineChars="200"/>
        <w:rPr>
          <w:sz w:val="24"/>
        </w:rPr>
      </w:pPr>
      <w:r>
        <w:rPr>
          <w:sz w:val="24"/>
        </w:rPr>
        <w:t>本款细化为：</w:t>
      </w:r>
    </w:p>
    <w:p>
      <w:pPr>
        <w:adjustRightInd w:val="0"/>
        <w:snapToGrid w:val="0"/>
        <w:spacing w:line="360" w:lineRule="auto"/>
        <w:ind w:firstLine="480" w:firstLineChars="200"/>
        <w:rPr>
          <w:sz w:val="24"/>
        </w:rPr>
      </w:pPr>
      <w:r>
        <w:rPr>
          <w:sz w:val="24"/>
        </w:rPr>
        <w:t>承包人应对其项目经理和其他人员进行有效管理。监理人要求撤换不能胜任本职工作、行为不端或玩忽职守的承包人项目经理和其他人员的，承包人应予以撤</w:t>
      </w:r>
      <w:r>
        <w:rPr>
          <w:rFonts w:hint="eastAsia"/>
          <w:sz w:val="24"/>
        </w:rPr>
        <w:t>换，</w:t>
      </w:r>
      <w:r>
        <w:rPr>
          <w:sz w:val="24"/>
        </w:rPr>
        <w:t>同时委派经发包人与监理人同意的新的项目经理和其他人员。</w:t>
      </w:r>
    </w:p>
    <w:p>
      <w:pPr>
        <w:adjustRightInd w:val="0"/>
        <w:snapToGrid w:val="0"/>
        <w:spacing w:beforeLines="100" w:line="360" w:lineRule="auto"/>
        <w:rPr>
          <w:rFonts w:eastAsia="黑体"/>
          <w:sz w:val="24"/>
        </w:rPr>
      </w:pPr>
      <w:r>
        <w:rPr>
          <w:rFonts w:eastAsia="黑体"/>
          <w:sz w:val="24"/>
        </w:rPr>
        <w:t>4.8保障承包人人员的合法权益</w:t>
      </w:r>
    </w:p>
    <w:p>
      <w:pPr>
        <w:adjustRightInd w:val="0"/>
        <w:snapToGrid w:val="0"/>
        <w:spacing w:line="360" w:lineRule="auto"/>
        <w:ind w:firstLine="480" w:firstLineChars="200"/>
        <w:rPr>
          <w:sz w:val="24"/>
        </w:rPr>
      </w:pPr>
      <w:r>
        <w:rPr>
          <w:sz w:val="24"/>
        </w:rPr>
        <w:t>本款增加第4.8.7项：</w:t>
      </w:r>
    </w:p>
    <w:p>
      <w:pPr>
        <w:adjustRightInd w:val="0"/>
        <w:snapToGrid w:val="0"/>
        <w:spacing w:line="360" w:lineRule="auto"/>
        <w:ind w:firstLine="480" w:firstLineChars="200"/>
        <w:rPr>
          <w:sz w:val="24"/>
        </w:rPr>
      </w:pPr>
      <w:r>
        <w:rPr>
          <w:sz w:val="24"/>
        </w:rPr>
        <w:t>4.8.7承包人应自费采取必须的卫生防护措施，经常保持现场及其驻地整洁和</w:t>
      </w:r>
      <w:r>
        <w:rPr>
          <w:rFonts w:hint="eastAsia"/>
          <w:sz w:val="24"/>
        </w:rPr>
        <w:t>卫</w:t>
      </w:r>
      <w:r>
        <w:rPr>
          <w:sz w:val="24"/>
        </w:rPr>
        <w:t>生，以保护职员和工人的健康，并应与当地卫生部门合作，根据要求在整个合同</w:t>
      </w:r>
      <w:r>
        <w:rPr>
          <w:rFonts w:hint="eastAsia"/>
          <w:sz w:val="24"/>
        </w:rPr>
        <w:t>执</w:t>
      </w:r>
      <w:r>
        <w:rPr>
          <w:sz w:val="24"/>
        </w:rPr>
        <w:t>行期间配备医务人员，防止传染病和准备常用的急救药物。在炎热的高温条件下施工时，承包人应注意采取防暑降温措施。</w:t>
      </w:r>
    </w:p>
    <w:p>
      <w:pPr>
        <w:adjustRightInd w:val="0"/>
        <w:snapToGrid w:val="0"/>
        <w:spacing w:beforeLines="100" w:line="360" w:lineRule="auto"/>
        <w:rPr>
          <w:rFonts w:eastAsia="黑体"/>
          <w:sz w:val="24"/>
        </w:rPr>
      </w:pPr>
      <w:r>
        <w:rPr>
          <w:rFonts w:eastAsia="黑体"/>
          <w:sz w:val="24"/>
        </w:rPr>
        <w:t>4.10承包人现场查勘</w:t>
      </w:r>
    </w:p>
    <w:p>
      <w:pPr>
        <w:adjustRightInd w:val="0"/>
        <w:snapToGrid w:val="0"/>
        <w:spacing w:line="360" w:lineRule="auto"/>
        <w:ind w:firstLine="480" w:firstLineChars="200"/>
        <w:rPr>
          <w:sz w:val="24"/>
        </w:rPr>
      </w:pPr>
      <w:r>
        <w:rPr>
          <w:sz w:val="24"/>
        </w:rPr>
        <w:t>4.10.1项补充：</w:t>
      </w:r>
    </w:p>
    <w:p>
      <w:pPr>
        <w:adjustRightInd w:val="0"/>
        <w:snapToGrid w:val="0"/>
        <w:spacing w:line="360" w:lineRule="auto"/>
        <w:ind w:firstLine="480" w:firstLineChars="200"/>
        <w:rPr>
          <w:sz w:val="24"/>
        </w:rPr>
      </w:pPr>
      <w:r>
        <w:rPr>
          <w:sz w:val="24"/>
        </w:rPr>
        <w:t>发包人提供的本合同工程的水文、地质、气象和料场分布、取土场、弃土场位置等资料均属于参考资料，并不构成合同文件的组成部分，承包人应对他自己就上述资料的解释、推论和应用负责，发包人不承担任何责任。</w:t>
      </w:r>
    </w:p>
    <w:p>
      <w:pPr>
        <w:adjustRightInd w:val="0"/>
        <w:snapToGrid w:val="0"/>
        <w:spacing w:beforeLines="100" w:line="360" w:lineRule="auto"/>
        <w:rPr>
          <w:rFonts w:eastAsia="黑体"/>
          <w:sz w:val="24"/>
        </w:rPr>
      </w:pPr>
      <w:r>
        <w:rPr>
          <w:rFonts w:eastAsia="黑体"/>
          <w:sz w:val="24"/>
        </w:rPr>
        <w:t>4.11不利物质条件</w:t>
      </w:r>
    </w:p>
    <w:p>
      <w:pPr>
        <w:adjustRightInd w:val="0"/>
        <w:snapToGrid w:val="0"/>
        <w:spacing w:line="360" w:lineRule="auto"/>
        <w:ind w:firstLine="480" w:firstLineChars="200"/>
        <w:rPr>
          <w:sz w:val="24"/>
        </w:rPr>
      </w:pPr>
      <w:r>
        <w:rPr>
          <w:sz w:val="24"/>
        </w:rPr>
        <w:t>4.11.1不利物质条件的范围：</w:t>
      </w:r>
      <w:r>
        <w:rPr>
          <w:sz w:val="24"/>
          <w:u w:val="single"/>
        </w:rPr>
        <w:t>（见项目专用合同条</w:t>
      </w:r>
      <w:r>
        <w:rPr>
          <w:rFonts w:hint="eastAsia"/>
          <w:sz w:val="24"/>
          <w:u w:val="single"/>
        </w:rPr>
        <w:t>款）</w:t>
      </w:r>
    </w:p>
    <w:p>
      <w:pPr>
        <w:adjustRightInd w:val="0"/>
        <w:snapToGrid w:val="0"/>
        <w:spacing w:line="360" w:lineRule="auto"/>
        <w:ind w:firstLine="480" w:firstLineChars="200"/>
        <w:rPr>
          <w:sz w:val="24"/>
        </w:rPr>
      </w:pPr>
      <w:r>
        <w:rPr>
          <w:sz w:val="24"/>
        </w:rPr>
        <w:t>本款增加第4.11.3项：</w:t>
      </w:r>
    </w:p>
    <w:p>
      <w:pPr>
        <w:adjustRightInd w:val="0"/>
        <w:snapToGrid w:val="0"/>
        <w:spacing w:line="360" w:lineRule="auto"/>
        <w:ind w:firstLine="480" w:firstLineChars="200"/>
        <w:rPr>
          <w:sz w:val="24"/>
        </w:rPr>
      </w:pPr>
      <w:r>
        <w:rPr>
          <w:sz w:val="24"/>
        </w:rPr>
        <w:t>4.11.3可预见的不利物质条件</w:t>
      </w:r>
    </w:p>
    <w:p>
      <w:pPr>
        <w:adjustRightInd w:val="0"/>
        <w:snapToGrid w:val="0"/>
        <w:spacing w:line="360" w:lineRule="auto"/>
        <w:ind w:firstLine="480" w:firstLineChars="200"/>
        <w:rPr>
          <w:sz w:val="24"/>
        </w:rPr>
      </w:pPr>
      <w:r>
        <w:rPr>
          <w:sz w:val="24"/>
        </w:rPr>
        <w:t>（1</w:t>
      </w:r>
      <w:r>
        <w:rPr>
          <w:rFonts w:hint="eastAsia"/>
          <w:sz w:val="24"/>
        </w:rPr>
        <w:t>）</w:t>
      </w:r>
      <w:r>
        <w:rPr>
          <w:sz w:val="24"/>
        </w:rPr>
        <w:t>对于合同中己经明确指出的不利物质条件无论承包人是否有其经历和经验均视为承包人在接受合同时已预见其影响，并已在签约合同价中计入其影响而可能发生的一切费用。</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对于合同未明确指出，但是在不利物质条件发生之前，监理人已经指示承包人有可能发生，但承包人未能及时采取有效措施，而导致的损失和后果均由承包人承担。</w:t>
      </w:r>
    </w:p>
    <w:p>
      <w:pPr>
        <w:adjustRightInd w:val="0"/>
        <w:snapToGrid w:val="0"/>
        <w:spacing w:line="360" w:lineRule="auto"/>
        <w:ind w:firstLine="480" w:firstLineChars="200"/>
        <w:rPr>
          <w:sz w:val="24"/>
        </w:rPr>
      </w:pPr>
      <w:r>
        <w:rPr>
          <w:sz w:val="24"/>
        </w:rPr>
        <w:t>（3</w:t>
      </w:r>
      <w:r>
        <w:rPr>
          <w:rFonts w:hint="eastAsia"/>
          <w:sz w:val="24"/>
        </w:rPr>
        <w:t>）</w:t>
      </w:r>
      <w:r>
        <w:rPr>
          <w:sz w:val="24"/>
        </w:rPr>
        <w:t>对于在没有监理人具体指令情况下，承包人已经及时采取了合理而恰当的措施，并事后为监理人接受，监理人应适当考虑承包人因此增加的费用和（或）工期延误。</w:t>
      </w:r>
    </w:p>
    <w:p>
      <w:pPr>
        <w:adjustRightInd w:val="0"/>
        <w:snapToGrid w:val="0"/>
        <w:spacing w:line="360" w:lineRule="auto"/>
        <w:ind w:firstLine="480" w:firstLineChars="200"/>
        <w:rPr>
          <w:sz w:val="24"/>
        </w:rPr>
      </w:pPr>
    </w:p>
    <w:p>
      <w:pPr>
        <w:adjustRightInd w:val="0"/>
        <w:snapToGrid w:val="0"/>
        <w:spacing w:line="360" w:lineRule="auto"/>
        <w:rPr>
          <w:sz w:val="24"/>
        </w:rPr>
      </w:pPr>
      <w:r>
        <w:rPr>
          <w:sz w:val="24"/>
        </w:rPr>
        <w:t>增加第4.12款：</w:t>
      </w:r>
    </w:p>
    <w:p>
      <w:pPr>
        <w:adjustRightInd w:val="0"/>
        <w:snapToGrid w:val="0"/>
        <w:spacing w:line="360" w:lineRule="auto"/>
        <w:rPr>
          <w:rFonts w:eastAsia="黑体"/>
          <w:sz w:val="24"/>
        </w:rPr>
      </w:pPr>
      <w:r>
        <w:rPr>
          <w:rFonts w:eastAsia="黑体"/>
          <w:sz w:val="24"/>
        </w:rPr>
        <w:t>4.12投标文件的完备性</w:t>
      </w:r>
    </w:p>
    <w:p>
      <w:pPr>
        <w:adjustRightInd w:val="0"/>
        <w:snapToGrid w:val="0"/>
        <w:spacing w:line="360" w:lineRule="auto"/>
        <w:ind w:firstLine="480" w:firstLineChars="200"/>
        <w:rPr>
          <w:sz w:val="24"/>
        </w:rPr>
      </w:pPr>
      <w:r>
        <w:rPr>
          <w:sz w:val="24"/>
        </w:rPr>
        <w:t>合同双方一致认为，承包人在递交投标文件前，对本合同工程的投标文件和已标价工程量清单中开列的单价和总额价</w:t>
      </w:r>
      <w:r>
        <w:rPr>
          <w:rFonts w:hint="eastAsia"/>
          <w:sz w:val="24"/>
        </w:rPr>
        <w:t>已</w:t>
      </w:r>
      <w:r>
        <w:rPr>
          <w:sz w:val="24"/>
        </w:rPr>
        <w:t>查明是正确的和完备的。投标的单价和总额价应已包括了合同中规定的承包人的全部义务（包括提供货物、材料、设备、服务的义务，并包括了暂列金额和暂估价范围内的额外工作的义务）以及为实施和完成本合同工程和其缺陷修复所必需的一切工作和条件。</w:t>
      </w:r>
    </w:p>
    <w:p>
      <w:pPr>
        <w:adjustRightInd w:val="0"/>
        <w:snapToGrid w:val="0"/>
        <w:spacing w:beforeLines="100" w:line="360" w:lineRule="auto"/>
        <w:rPr>
          <w:rFonts w:eastAsia="黑体"/>
          <w:sz w:val="24"/>
        </w:rPr>
      </w:pPr>
      <w:r>
        <w:rPr>
          <w:rFonts w:eastAsia="黑体"/>
          <w:sz w:val="24"/>
        </w:rPr>
        <w:t>5</w:t>
      </w:r>
      <w:r>
        <w:rPr>
          <w:rFonts w:hint="eastAsia" w:eastAsia="黑体"/>
          <w:sz w:val="24"/>
        </w:rPr>
        <w:t>．</w:t>
      </w:r>
      <w:r>
        <w:rPr>
          <w:rFonts w:eastAsia="黑体"/>
          <w:sz w:val="24"/>
        </w:rPr>
        <w:t>材料和工程设备</w:t>
      </w:r>
    </w:p>
    <w:p>
      <w:pPr>
        <w:adjustRightInd w:val="0"/>
        <w:snapToGrid w:val="0"/>
        <w:spacing w:line="360" w:lineRule="auto"/>
        <w:rPr>
          <w:rFonts w:eastAsia="黑体"/>
          <w:sz w:val="24"/>
        </w:rPr>
      </w:pPr>
      <w:r>
        <w:rPr>
          <w:rFonts w:eastAsia="黑体"/>
          <w:sz w:val="24"/>
        </w:rPr>
        <w:t>5.2发包人提供的材料和工程设备</w:t>
      </w:r>
    </w:p>
    <w:p>
      <w:pPr>
        <w:adjustRightInd w:val="0"/>
        <w:snapToGrid w:val="0"/>
        <w:spacing w:line="360" w:lineRule="auto"/>
        <w:ind w:firstLine="480" w:firstLineChars="200"/>
        <w:rPr>
          <w:sz w:val="24"/>
        </w:rPr>
      </w:pPr>
      <w:r>
        <w:rPr>
          <w:sz w:val="24"/>
        </w:rPr>
        <w:t>5.2.3项补充：</w:t>
      </w:r>
    </w:p>
    <w:p>
      <w:pPr>
        <w:adjustRightInd w:val="0"/>
        <w:snapToGrid w:val="0"/>
        <w:spacing w:line="360" w:lineRule="auto"/>
        <w:ind w:firstLine="480" w:firstLineChars="200"/>
        <w:rPr>
          <w:sz w:val="24"/>
        </w:rPr>
      </w:pPr>
      <w:r>
        <w:rPr>
          <w:sz w:val="24"/>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发生丢失、损坏或进度拖延，由承包人承担相应责任。</w:t>
      </w:r>
    </w:p>
    <w:p>
      <w:pPr>
        <w:adjustRightInd w:val="0"/>
        <w:snapToGrid w:val="0"/>
        <w:spacing w:beforeLines="100" w:line="360" w:lineRule="auto"/>
        <w:rPr>
          <w:rFonts w:eastAsia="黑体"/>
          <w:sz w:val="24"/>
        </w:rPr>
      </w:pPr>
      <w:r>
        <w:rPr>
          <w:rFonts w:eastAsia="黑体"/>
          <w:sz w:val="24"/>
        </w:rPr>
        <w:t>6</w:t>
      </w:r>
      <w:r>
        <w:rPr>
          <w:rFonts w:hint="eastAsia" w:eastAsia="黑体"/>
          <w:sz w:val="24"/>
        </w:rPr>
        <w:t>．</w:t>
      </w:r>
      <w:r>
        <w:rPr>
          <w:rFonts w:eastAsia="黑体"/>
          <w:sz w:val="24"/>
        </w:rPr>
        <w:t>施工设备和临时设施</w:t>
      </w:r>
    </w:p>
    <w:p>
      <w:pPr>
        <w:adjustRightInd w:val="0"/>
        <w:snapToGrid w:val="0"/>
        <w:spacing w:line="360" w:lineRule="auto"/>
        <w:rPr>
          <w:rFonts w:eastAsia="黑体"/>
          <w:sz w:val="24"/>
        </w:rPr>
      </w:pPr>
      <w:r>
        <w:rPr>
          <w:rFonts w:eastAsia="黑体"/>
          <w:sz w:val="24"/>
        </w:rPr>
        <w:t>6.2发包人提供的施工设备和临时设施</w:t>
      </w:r>
    </w:p>
    <w:p>
      <w:pPr>
        <w:adjustRightInd w:val="0"/>
        <w:snapToGrid w:val="0"/>
        <w:spacing w:line="360" w:lineRule="auto"/>
        <w:ind w:firstLine="480" w:firstLineChars="200"/>
        <w:rPr>
          <w:sz w:val="24"/>
        </w:rPr>
      </w:pPr>
      <w:r>
        <w:rPr>
          <w:sz w:val="24"/>
        </w:rPr>
        <w:t>发包人是否提供施工设备或临时设施：</w:t>
      </w:r>
      <w:r>
        <w:rPr>
          <w:sz w:val="24"/>
          <w:u w:val="single"/>
        </w:rPr>
        <w:t>（见项目专用合同条</w:t>
      </w:r>
      <w:r>
        <w:rPr>
          <w:rFonts w:hint="eastAsia"/>
          <w:sz w:val="24"/>
          <w:u w:val="single"/>
        </w:rPr>
        <w:t>款）</w:t>
      </w:r>
    </w:p>
    <w:p>
      <w:pPr>
        <w:adjustRightInd w:val="0"/>
        <w:snapToGrid w:val="0"/>
        <w:spacing w:line="360" w:lineRule="auto"/>
        <w:ind w:firstLine="480" w:firstLineChars="200"/>
        <w:rPr>
          <w:sz w:val="24"/>
        </w:rPr>
      </w:pPr>
      <w:r>
        <w:rPr>
          <w:sz w:val="24"/>
        </w:rPr>
        <w:t>（如发包人负责提供部分施工设备或临时设施，请在项目专用合同条款中约定提供的具体内容、提供时间、所需费用等）。</w:t>
      </w:r>
    </w:p>
    <w:p>
      <w:pPr>
        <w:adjustRightInd w:val="0"/>
        <w:snapToGrid w:val="0"/>
        <w:spacing w:beforeLines="100" w:line="360" w:lineRule="auto"/>
        <w:rPr>
          <w:rFonts w:eastAsia="黑体"/>
          <w:sz w:val="24"/>
        </w:rPr>
      </w:pPr>
      <w:r>
        <w:rPr>
          <w:rFonts w:eastAsia="黑体"/>
          <w:sz w:val="24"/>
        </w:rPr>
        <w:t>6.3要求承包人增加或更换施工设备</w:t>
      </w:r>
    </w:p>
    <w:p>
      <w:pPr>
        <w:adjustRightInd w:val="0"/>
        <w:snapToGrid w:val="0"/>
        <w:spacing w:line="360" w:lineRule="auto"/>
        <w:ind w:firstLine="480" w:firstLineChars="200"/>
        <w:rPr>
          <w:sz w:val="24"/>
        </w:rPr>
      </w:pPr>
      <w:r>
        <w:rPr>
          <w:sz w:val="24"/>
        </w:rPr>
        <w:t>本款细化为：</w:t>
      </w:r>
    </w:p>
    <w:p>
      <w:pPr>
        <w:adjustRightInd w:val="0"/>
        <w:snapToGrid w:val="0"/>
        <w:spacing w:line="360" w:lineRule="auto"/>
        <w:ind w:firstLine="480" w:firstLineChars="200"/>
        <w:rPr>
          <w:sz w:val="24"/>
        </w:rPr>
      </w:pPr>
      <w:r>
        <w:rPr>
          <w:sz w:val="24"/>
        </w:rPr>
        <w:t>承包人必须使投标文件（如承包人未在投标阶段对施工设备进行新增或更新，则以资格预审申请文件为准）承诺的施工设备按时到达现场，不得拖延、缺</w:t>
      </w:r>
      <w:r>
        <w:rPr>
          <w:rFonts w:hint="eastAsia"/>
          <w:sz w:val="24"/>
        </w:rPr>
        <w:t>少</w:t>
      </w:r>
      <w:r>
        <w:rPr>
          <w:sz w:val="24"/>
        </w:rPr>
        <w:t>或任意更换。尽管承包人已按投标文件的承诺提供了上述设备，但监理人认为仍不能合同进度计划和（或）质量要求时，监理人有权要求承包人增加或更换施工设备，承包人应及时增加或更换，由此增加的费用和（或）工期延误由承包人承担。</w:t>
      </w:r>
    </w:p>
    <w:p>
      <w:pPr>
        <w:adjustRightInd w:val="0"/>
        <w:snapToGrid w:val="0"/>
        <w:spacing w:beforeLines="100" w:line="360" w:lineRule="auto"/>
        <w:rPr>
          <w:rFonts w:eastAsia="黑体"/>
          <w:sz w:val="24"/>
        </w:rPr>
      </w:pPr>
      <w:r>
        <w:rPr>
          <w:rFonts w:eastAsia="黑体"/>
          <w:sz w:val="24"/>
        </w:rPr>
        <w:t>7．交通运输</w:t>
      </w:r>
    </w:p>
    <w:p>
      <w:pPr>
        <w:adjustRightInd w:val="0"/>
        <w:snapToGrid w:val="0"/>
        <w:spacing w:line="360" w:lineRule="auto"/>
        <w:rPr>
          <w:rFonts w:eastAsia="黑体"/>
          <w:sz w:val="24"/>
        </w:rPr>
      </w:pPr>
      <w:r>
        <w:rPr>
          <w:rFonts w:eastAsia="黑体"/>
          <w:sz w:val="24"/>
        </w:rPr>
        <w:t>7.1道路通行权和场外设施</w:t>
      </w:r>
    </w:p>
    <w:p>
      <w:pPr>
        <w:adjustRightInd w:val="0"/>
        <w:snapToGrid w:val="0"/>
        <w:spacing w:line="360" w:lineRule="auto"/>
        <w:ind w:firstLine="480" w:firstLineChars="200"/>
        <w:rPr>
          <w:sz w:val="24"/>
        </w:rPr>
      </w:pPr>
      <w:r>
        <w:rPr>
          <w:sz w:val="24"/>
        </w:rPr>
        <w:t>本款约定为：</w:t>
      </w:r>
    </w:p>
    <w:p>
      <w:pPr>
        <w:adjustRightInd w:val="0"/>
        <w:snapToGrid w:val="0"/>
        <w:spacing w:line="360" w:lineRule="auto"/>
        <w:ind w:firstLine="480" w:firstLineChars="200"/>
        <w:rPr>
          <w:sz w:val="24"/>
        </w:rPr>
      </w:pPr>
      <w:r>
        <w:rPr>
          <w:sz w:val="24"/>
        </w:rPr>
        <w:t>道路通行权由承包人办理并承担费用，需要发包人协调时，发包人应协助承包人办理相关手续。</w:t>
      </w:r>
    </w:p>
    <w:p>
      <w:pPr>
        <w:adjustRightInd w:val="0"/>
        <w:snapToGrid w:val="0"/>
        <w:spacing w:beforeLines="100" w:line="360" w:lineRule="auto"/>
        <w:rPr>
          <w:rFonts w:eastAsia="黑体"/>
          <w:sz w:val="24"/>
        </w:rPr>
      </w:pPr>
      <w:r>
        <w:rPr>
          <w:rFonts w:eastAsia="黑体"/>
          <w:sz w:val="24"/>
        </w:rPr>
        <w:t>8</w:t>
      </w:r>
      <w:r>
        <w:rPr>
          <w:rFonts w:hint="eastAsia" w:eastAsia="黑体"/>
          <w:sz w:val="24"/>
        </w:rPr>
        <w:t>．</w:t>
      </w:r>
      <w:r>
        <w:rPr>
          <w:rFonts w:eastAsia="黑体"/>
          <w:sz w:val="24"/>
        </w:rPr>
        <w:t>测量放线</w:t>
      </w:r>
    </w:p>
    <w:p>
      <w:pPr>
        <w:adjustRightInd w:val="0"/>
        <w:snapToGrid w:val="0"/>
        <w:spacing w:line="360" w:lineRule="auto"/>
        <w:rPr>
          <w:rFonts w:eastAsia="黑体"/>
          <w:sz w:val="24"/>
        </w:rPr>
      </w:pPr>
      <w:r>
        <w:rPr>
          <w:rFonts w:eastAsia="黑体"/>
          <w:sz w:val="24"/>
        </w:rPr>
        <w:t>8.1施工控制网</w:t>
      </w:r>
    </w:p>
    <w:p>
      <w:pPr>
        <w:adjustRightInd w:val="0"/>
        <w:snapToGrid w:val="0"/>
        <w:spacing w:line="360" w:lineRule="auto"/>
        <w:ind w:firstLine="480" w:firstLineChars="200"/>
        <w:rPr>
          <w:sz w:val="24"/>
        </w:rPr>
      </w:pPr>
      <w:r>
        <w:rPr>
          <w:sz w:val="24"/>
        </w:rPr>
        <w:t>8.1．1项约定为：</w:t>
      </w:r>
    </w:p>
    <w:p>
      <w:pPr>
        <w:adjustRightInd w:val="0"/>
        <w:snapToGrid w:val="0"/>
        <w:spacing w:line="360" w:lineRule="auto"/>
        <w:ind w:firstLine="480" w:firstLineChars="200"/>
        <w:rPr>
          <w:sz w:val="24"/>
        </w:rPr>
      </w:pPr>
      <w:r>
        <w:rPr>
          <w:sz w:val="24"/>
        </w:rPr>
        <w:t>发包人向承包人提供测量基准点、基准线和水准点及其书面资料的时间</w:t>
      </w:r>
      <w:r>
        <w:rPr>
          <w:rFonts w:hint="eastAsia"/>
          <w:sz w:val="24"/>
        </w:rPr>
        <w:t>：</w:t>
      </w:r>
      <w:r>
        <w:rPr>
          <w:sz w:val="24"/>
          <w:u w:val="single"/>
        </w:rPr>
        <w:t>（见项目专用合同条</w:t>
      </w:r>
      <w:r>
        <w:rPr>
          <w:rFonts w:hint="eastAsia"/>
          <w:sz w:val="24"/>
          <w:u w:val="single"/>
        </w:rPr>
        <w:t>款）</w:t>
      </w:r>
      <w:r>
        <w:rPr>
          <w:sz w:val="24"/>
        </w:rPr>
        <w:t>。承包人向监理人报送施工控制网资料的时间：</w:t>
      </w:r>
      <w:r>
        <w:rPr>
          <w:sz w:val="24"/>
          <w:u w:val="single"/>
        </w:rPr>
        <w:t>（见项目专用合同条</w:t>
      </w:r>
      <w:r>
        <w:rPr>
          <w:rFonts w:hint="eastAsia"/>
          <w:sz w:val="24"/>
          <w:u w:val="single"/>
        </w:rPr>
        <w:t>款）</w:t>
      </w:r>
      <w:r>
        <w:rPr>
          <w:sz w:val="24"/>
        </w:rPr>
        <w:t>。</w:t>
      </w:r>
    </w:p>
    <w:p>
      <w:pPr>
        <w:adjustRightInd w:val="0"/>
        <w:snapToGrid w:val="0"/>
        <w:spacing w:line="360" w:lineRule="auto"/>
        <w:ind w:firstLine="480" w:firstLineChars="200"/>
        <w:rPr>
          <w:sz w:val="24"/>
        </w:rPr>
      </w:pPr>
      <w:r>
        <w:rPr>
          <w:sz w:val="24"/>
        </w:rPr>
        <w:t>承包人应对发包人提供的测量基准点、基准线和水准点进行复测，并将有关复测资料报监理人批准后，方可用于工程施工定线与放样。</w:t>
      </w:r>
    </w:p>
    <w:p>
      <w:pPr>
        <w:adjustRightInd w:val="0"/>
        <w:snapToGrid w:val="0"/>
        <w:spacing w:beforeLines="100" w:line="360" w:lineRule="auto"/>
        <w:rPr>
          <w:rFonts w:eastAsia="黑体"/>
          <w:sz w:val="24"/>
        </w:rPr>
      </w:pPr>
      <w:r>
        <w:rPr>
          <w:rFonts w:eastAsia="黑体"/>
          <w:sz w:val="24"/>
        </w:rPr>
        <w:t>8.2施工测量</w:t>
      </w:r>
    </w:p>
    <w:p>
      <w:pPr>
        <w:adjustRightInd w:val="0"/>
        <w:snapToGrid w:val="0"/>
        <w:spacing w:line="360" w:lineRule="auto"/>
        <w:ind w:firstLine="480" w:firstLineChars="200"/>
        <w:rPr>
          <w:sz w:val="24"/>
        </w:rPr>
      </w:pPr>
      <w:r>
        <w:rPr>
          <w:sz w:val="24"/>
        </w:rPr>
        <w:t>8.2.1项补充：</w:t>
      </w:r>
    </w:p>
    <w:p>
      <w:pPr>
        <w:adjustRightInd w:val="0"/>
        <w:snapToGrid w:val="0"/>
        <w:spacing w:line="360" w:lineRule="auto"/>
        <w:ind w:firstLine="480" w:firstLineChars="200"/>
        <w:rPr>
          <w:sz w:val="24"/>
        </w:rPr>
      </w:pPr>
      <w:r>
        <w:rPr>
          <w:sz w:val="24"/>
        </w:rPr>
        <w:t>承包人应负责施工测量放线工作的准确性。</w:t>
      </w:r>
    </w:p>
    <w:p>
      <w:pPr>
        <w:adjustRightInd w:val="0"/>
        <w:snapToGrid w:val="0"/>
        <w:spacing w:beforeLines="100" w:line="360" w:lineRule="auto"/>
        <w:rPr>
          <w:rFonts w:eastAsia="黑体"/>
          <w:sz w:val="24"/>
        </w:rPr>
      </w:pPr>
      <w:r>
        <w:rPr>
          <w:rFonts w:eastAsia="黑体"/>
          <w:sz w:val="24"/>
        </w:rPr>
        <w:t>8.3基准资料错误的责任</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承包人应对发包人提供的基准资料进行核实，发现错误，应及时通知监理人和发包人，否则应承担相应责任。</w:t>
      </w:r>
    </w:p>
    <w:p>
      <w:pPr>
        <w:adjustRightInd w:val="0"/>
        <w:snapToGrid w:val="0"/>
        <w:spacing w:beforeLines="100" w:line="360" w:lineRule="auto"/>
        <w:rPr>
          <w:rFonts w:eastAsia="黑体"/>
          <w:sz w:val="24"/>
        </w:rPr>
      </w:pPr>
      <w:r>
        <w:rPr>
          <w:rFonts w:eastAsia="黑体"/>
          <w:sz w:val="24"/>
        </w:rPr>
        <w:t>8.4监理人使用施工控制网</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经监理人批准，其他相关承包人也可免费使用施工控制网。</w:t>
      </w:r>
    </w:p>
    <w:p>
      <w:pPr>
        <w:adjustRightInd w:val="0"/>
        <w:snapToGrid w:val="0"/>
        <w:spacing w:beforeLines="100" w:line="360" w:lineRule="auto"/>
        <w:rPr>
          <w:rFonts w:eastAsia="黑体"/>
          <w:sz w:val="24"/>
        </w:rPr>
      </w:pPr>
      <w:r>
        <w:rPr>
          <w:rFonts w:eastAsia="黑体"/>
          <w:sz w:val="24"/>
        </w:rPr>
        <w:t>9</w:t>
      </w:r>
      <w:r>
        <w:rPr>
          <w:rFonts w:hint="eastAsia" w:eastAsia="黑体"/>
          <w:sz w:val="24"/>
        </w:rPr>
        <w:t>．</w:t>
      </w:r>
      <w:r>
        <w:rPr>
          <w:rFonts w:eastAsia="黑体"/>
          <w:sz w:val="24"/>
        </w:rPr>
        <w:t>施工安全、治安保卫和环境保护</w:t>
      </w:r>
    </w:p>
    <w:p>
      <w:pPr>
        <w:adjustRightInd w:val="0"/>
        <w:snapToGrid w:val="0"/>
        <w:spacing w:line="360" w:lineRule="auto"/>
        <w:rPr>
          <w:rFonts w:eastAsia="黑体"/>
          <w:sz w:val="24"/>
        </w:rPr>
      </w:pPr>
      <w:r>
        <w:rPr>
          <w:rFonts w:eastAsia="黑体"/>
          <w:sz w:val="24"/>
        </w:rPr>
        <w:t>9.1发包人的施工安全责任</w:t>
      </w:r>
    </w:p>
    <w:p>
      <w:pPr>
        <w:adjustRightInd w:val="0"/>
        <w:snapToGrid w:val="0"/>
        <w:spacing w:line="360" w:lineRule="auto"/>
        <w:ind w:firstLine="480" w:firstLineChars="200"/>
        <w:rPr>
          <w:sz w:val="24"/>
        </w:rPr>
      </w:pPr>
      <w:r>
        <w:rPr>
          <w:sz w:val="24"/>
        </w:rPr>
        <w:t>9.1.3项补充：</w:t>
      </w:r>
    </w:p>
    <w:p>
      <w:pPr>
        <w:adjustRightInd w:val="0"/>
        <w:snapToGrid w:val="0"/>
        <w:spacing w:line="360" w:lineRule="auto"/>
        <w:ind w:firstLine="480" w:firstLineChars="200"/>
        <w:rPr>
          <w:sz w:val="24"/>
        </w:rPr>
      </w:pPr>
      <w:r>
        <w:rPr>
          <w:sz w:val="24"/>
        </w:rPr>
        <w:t>如果承包人或其雇员也对上述人身伤亡或财产损失负有部分责任时，承包人也应承担相应赔偿责任。</w:t>
      </w:r>
    </w:p>
    <w:p>
      <w:pPr>
        <w:adjustRightInd w:val="0"/>
        <w:snapToGrid w:val="0"/>
        <w:spacing w:beforeLines="100" w:line="360" w:lineRule="auto"/>
        <w:rPr>
          <w:rFonts w:eastAsia="黑体"/>
          <w:sz w:val="24"/>
        </w:rPr>
      </w:pPr>
      <w:r>
        <w:rPr>
          <w:rFonts w:eastAsia="黑体"/>
          <w:sz w:val="24"/>
        </w:rPr>
        <w:t>9.2承包人的施工安全责任</w:t>
      </w:r>
    </w:p>
    <w:p>
      <w:pPr>
        <w:adjustRightInd w:val="0"/>
        <w:snapToGrid w:val="0"/>
        <w:spacing w:line="360" w:lineRule="auto"/>
        <w:ind w:firstLine="480" w:firstLineChars="200"/>
        <w:rPr>
          <w:sz w:val="24"/>
        </w:rPr>
      </w:pPr>
      <w:r>
        <w:rPr>
          <w:sz w:val="24"/>
        </w:rPr>
        <w:t>9.2.1项细化为：</w:t>
      </w:r>
    </w:p>
    <w:p>
      <w:pPr>
        <w:adjustRightInd w:val="0"/>
        <w:snapToGrid w:val="0"/>
        <w:spacing w:line="360" w:lineRule="auto"/>
        <w:ind w:firstLine="480" w:firstLineChars="200"/>
        <w:rPr>
          <w:sz w:val="24"/>
        </w:rPr>
      </w:pPr>
      <w:r>
        <w:rPr>
          <w:sz w:val="24"/>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pPr>
        <w:adjustRightInd w:val="0"/>
        <w:snapToGrid w:val="0"/>
        <w:spacing w:line="360" w:lineRule="auto"/>
        <w:ind w:firstLine="480" w:firstLineChars="200"/>
        <w:rPr>
          <w:sz w:val="24"/>
        </w:rPr>
      </w:pPr>
      <w:r>
        <w:rPr>
          <w:sz w:val="24"/>
        </w:rPr>
        <w:t>承包人应根据本工程的实际安全施工要求，编制本工程的实施性施工安全组织设计，报监理人和发包人批准。该施组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技术负责人签字并报监理人和发包人批准后实施，由专职安全生产管理人员进行现场监督。</w:t>
      </w:r>
    </w:p>
    <w:p>
      <w:pPr>
        <w:adjustRightInd w:val="0"/>
        <w:snapToGrid w:val="0"/>
        <w:spacing w:line="360" w:lineRule="auto"/>
        <w:ind w:firstLine="480" w:firstLineChars="200"/>
        <w:rPr>
          <w:sz w:val="24"/>
        </w:rPr>
      </w:pPr>
      <w:r>
        <w:rPr>
          <w:sz w:val="24"/>
        </w:rPr>
        <w:t>本项目需要编制专项施工方案的工程包括但不限于以下内容：</w:t>
      </w:r>
    </w:p>
    <w:p>
      <w:pPr>
        <w:adjustRightInd w:val="0"/>
        <w:snapToGrid w:val="0"/>
        <w:spacing w:line="360" w:lineRule="auto"/>
        <w:ind w:firstLine="480" w:firstLineChars="200"/>
        <w:rPr>
          <w:sz w:val="24"/>
        </w:rPr>
      </w:pPr>
      <w:r>
        <w:rPr>
          <w:rFonts w:hint="eastAsia"/>
          <w:sz w:val="24"/>
        </w:rPr>
        <w:t>（</w:t>
      </w:r>
      <w:r>
        <w:rPr>
          <w:sz w:val="24"/>
        </w:rPr>
        <w:t>1</w:t>
      </w:r>
      <w:r>
        <w:rPr>
          <w:rFonts w:hint="eastAsia"/>
          <w:sz w:val="24"/>
        </w:rPr>
        <w:t>）</w:t>
      </w:r>
      <w:r>
        <w:rPr>
          <w:sz w:val="24"/>
        </w:rPr>
        <w:t>不良地质条件下有潜在危险性的土方、石方开挖；</w:t>
      </w:r>
    </w:p>
    <w:p>
      <w:pPr>
        <w:adjustRightInd w:val="0"/>
        <w:snapToGrid w:val="0"/>
        <w:spacing w:line="360" w:lineRule="auto"/>
        <w:ind w:firstLine="480" w:firstLineChars="200"/>
        <w:rPr>
          <w:sz w:val="24"/>
        </w:rPr>
      </w:pPr>
      <w:r>
        <w:rPr>
          <w:rFonts w:hint="eastAsia"/>
          <w:sz w:val="24"/>
        </w:rPr>
        <w:t>（</w:t>
      </w:r>
      <w:r>
        <w:rPr>
          <w:sz w:val="24"/>
        </w:rPr>
        <w:t>2）滑坡和高边坡处理；</w:t>
      </w:r>
    </w:p>
    <w:p>
      <w:pPr>
        <w:adjustRightInd w:val="0"/>
        <w:snapToGrid w:val="0"/>
        <w:spacing w:line="360" w:lineRule="auto"/>
        <w:ind w:firstLine="480" w:firstLineChars="200"/>
        <w:rPr>
          <w:sz w:val="24"/>
        </w:rPr>
      </w:pPr>
      <w:r>
        <w:rPr>
          <w:rFonts w:hint="eastAsia"/>
          <w:sz w:val="24"/>
        </w:rPr>
        <w:t>（</w:t>
      </w:r>
      <w:r>
        <w:rPr>
          <w:sz w:val="24"/>
        </w:rPr>
        <w:t>3</w:t>
      </w:r>
      <w:r>
        <w:rPr>
          <w:rFonts w:hint="eastAsia"/>
          <w:sz w:val="24"/>
        </w:rPr>
        <w:t>）</w:t>
      </w:r>
      <w:r>
        <w:rPr>
          <w:sz w:val="24"/>
        </w:rPr>
        <w:t>桩基础、挡墙基础、深水基础及围堰工程；</w:t>
      </w:r>
    </w:p>
    <w:p>
      <w:pPr>
        <w:adjustRightInd w:val="0"/>
        <w:snapToGrid w:val="0"/>
        <w:spacing w:line="360" w:lineRule="auto"/>
        <w:ind w:firstLine="480" w:firstLineChars="200"/>
        <w:rPr>
          <w:sz w:val="24"/>
        </w:rPr>
      </w:pPr>
      <w:r>
        <w:rPr>
          <w:rFonts w:hint="eastAsia"/>
          <w:sz w:val="24"/>
        </w:rPr>
        <w:t>（</w:t>
      </w:r>
      <w:r>
        <w:rPr>
          <w:sz w:val="24"/>
        </w:rPr>
        <w:t>4）桥梁工程中的梁、拱、柱等构件施工等；</w:t>
      </w:r>
    </w:p>
    <w:p>
      <w:pPr>
        <w:adjustRightInd w:val="0"/>
        <w:snapToGrid w:val="0"/>
        <w:spacing w:line="360" w:lineRule="auto"/>
        <w:ind w:firstLine="480" w:firstLineChars="200"/>
        <w:rPr>
          <w:sz w:val="24"/>
        </w:rPr>
      </w:pPr>
      <w:r>
        <w:rPr>
          <w:rFonts w:hint="eastAsia"/>
          <w:sz w:val="24"/>
        </w:rPr>
        <w:t>（</w:t>
      </w:r>
      <w:r>
        <w:rPr>
          <w:sz w:val="24"/>
        </w:rPr>
        <w:t>5）隧道工程中的不良地质隧道、高瓦斯隧道等；</w:t>
      </w:r>
    </w:p>
    <w:p>
      <w:pPr>
        <w:adjustRightInd w:val="0"/>
        <w:snapToGrid w:val="0"/>
        <w:spacing w:line="360" w:lineRule="auto"/>
        <w:ind w:firstLine="480" w:firstLineChars="200"/>
        <w:rPr>
          <w:sz w:val="24"/>
        </w:rPr>
      </w:pPr>
      <w:r>
        <w:rPr>
          <w:rFonts w:hint="eastAsia"/>
          <w:sz w:val="24"/>
        </w:rPr>
        <w:t>（</w:t>
      </w:r>
      <w:r>
        <w:rPr>
          <w:sz w:val="24"/>
        </w:rPr>
        <w:t>6</w:t>
      </w:r>
      <w:r>
        <w:rPr>
          <w:rFonts w:hint="eastAsia"/>
          <w:sz w:val="24"/>
        </w:rPr>
        <w:t>）水</w:t>
      </w:r>
      <w:r>
        <w:rPr>
          <w:sz w:val="24"/>
        </w:rPr>
        <w:t>上工程中的打桩船作业、施工船作业、外海孤岛作业、边通航边施工作业等；</w:t>
      </w:r>
    </w:p>
    <w:p>
      <w:pPr>
        <w:adjustRightInd w:val="0"/>
        <w:snapToGrid w:val="0"/>
        <w:spacing w:line="360" w:lineRule="auto"/>
        <w:ind w:firstLine="480" w:firstLineChars="200"/>
        <w:rPr>
          <w:sz w:val="24"/>
        </w:rPr>
      </w:pPr>
      <w:r>
        <w:rPr>
          <w:sz w:val="24"/>
        </w:rPr>
        <w:t>（7）水下工程中的水下焊接、混凝土浇注、爆破工程等；</w:t>
      </w:r>
    </w:p>
    <w:p>
      <w:pPr>
        <w:adjustRightInd w:val="0"/>
        <w:snapToGrid w:val="0"/>
        <w:spacing w:line="360" w:lineRule="auto"/>
        <w:ind w:firstLine="480" w:firstLineChars="200"/>
        <w:rPr>
          <w:sz w:val="24"/>
        </w:rPr>
      </w:pPr>
      <w:r>
        <w:rPr>
          <w:rFonts w:hint="eastAsia"/>
          <w:sz w:val="24"/>
        </w:rPr>
        <w:t>（</w:t>
      </w:r>
      <w:r>
        <w:rPr>
          <w:sz w:val="24"/>
        </w:rPr>
        <w:t>8</w:t>
      </w:r>
      <w:r>
        <w:rPr>
          <w:rFonts w:hint="eastAsia"/>
          <w:sz w:val="24"/>
        </w:rPr>
        <w:t>）</w:t>
      </w:r>
      <w:r>
        <w:rPr>
          <w:sz w:val="24"/>
        </w:rPr>
        <w:t>爆破工程；</w:t>
      </w:r>
    </w:p>
    <w:p>
      <w:pPr>
        <w:adjustRightInd w:val="0"/>
        <w:snapToGrid w:val="0"/>
        <w:spacing w:line="360" w:lineRule="auto"/>
        <w:ind w:firstLine="480" w:firstLineChars="200"/>
        <w:rPr>
          <w:sz w:val="24"/>
        </w:rPr>
      </w:pPr>
      <w:r>
        <w:rPr>
          <w:rFonts w:hint="eastAsia"/>
          <w:sz w:val="24"/>
        </w:rPr>
        <w:t>（</w:t>
      </w:r>
      <w:r>
        <w:rPr>
          <w:sz w:val="24"/>
        </w:rPr>
        <w:t>9）大型临时工程中的大型支架、模板、便桥的架设与拆除；桥梁、码头的加固与拆除；</w:t>
      </w:r>
    </w:p>
    <w:p>
      <w:pPr>
        <w:adjustRightInd w:val="0"/>
        <w:snapToGrid w:val="0"/>
        <w:spacing w:line="360" w:lineRule="auto"/>
        <w:ind w:firstLine="480" w:firstLineChars="200"/>
        <w:rPr>
          <w:sz w:val="24"/>
        </w:rPr>
      </w:pPr>
      <w:r>
        <w:rPr>
          <w:rFonts w:hint="eastAsia"/>
          <w:sz w:val="24"/>
        </w:rPr>
        <w:t>（10）</w:t>
      </w:r>
      <w:r>
        <w:rPr>
          <w:sz w:val="24"/>
        </w:rPr>
        <w:t>其他危险性较大的工程。</w:t>
      </w:r>
    </w:p>
    <w:p>
      <w:pPr>
        <w:adjustRightInd w:val="0"/>
        <w:snapToGrid w:val="0"/>
        <w:spacing w:line="360" w:lineRule="auto"/>
        <w:ind w:firstLine="480" w:firstLineChars="200"/>
        <w:rPr>
          <w:sz w:val="24"/>
        </w:rPr>
      </w:pPr>
      <w:r>
        <w:rPr>
          <w:sz w:val="24"/>
        </w:rPr>
        <w:t>监理人和发包人在检查中．发现有安全问题或有违反安全管理规章制度的情况时，可视其情节轻重，分别给予承包人通报批评、警告、责令停工等处罚，也可并处项目专用合同条款规定的违约金。</w:t>
      </w:r>
    </w:p>
    <w:p>
      <w:pPr>
        <w:adjustRightInd w:val="0"/>
        <w:snapToGrid w:val="0"/>
        <w:spacing w:line="360" w:lineRule="auto"/>
        <w:ind w:firstLine="480" w:firstLineChars="200"/>
        <w:rPr>
          <w:sz w:val="24"/>
        </w:rPr>
      </w:pPr>
      <w:r>
        <w:rPr>
          <w:sz w:val="24"/>
        </w:rPr>
        <w:t>本款增加第9.2.8至9.2.11项：</w:t>
      </w:r>
    </w:p>
    <w:p>
      <w:pPr>
        <w:adjustRightInd w:val="0"/>
        <w:snapToGrid w:val="0"/>
        <w:spacing w:line="360" w:lineRule="auto"/>
        <w:ind w:firstLine="480" w:firstLineChars="200"/>
        <w:rPr>
          <w:sz w:val="24"/>
        </w:rPr>
      </w:pPr>
      <w:r>
        <w:rPr>
          <w:sz w:val="24"/>
        </w:rPr>
        <w:t>9.2.8承包人应充分关注和保障所有在现场工作的人员的安全，采取有效措施，使现场和本合同工程的实施保持有条不紊，以免使上述人员的安全受到威胁：</w:t>
      </w:r>
    </w:p>
    <w:p>
      <w:pPr>
        <w:adjustRightInd w:val="0"/>
        <w:snapToGrid w:val="0"/>
        <w:spacing w:line="360" w:lineRule="auto"/>
        <w:ind w:firstLine="480" w:firstLineChars="200"/>
        <w:rPr>
          <w:sz w:val="24"/>
        </w:rPr>
      </w:pPr>
      <w:r>
        <w:rPr>
          <w:sz w:val="24"/>
        </w:rPr>
        <w:t>（1</w:t>
      </w:r>
      <w:r>
        <w:rPr>
          <w:rFonts w:hint="eastAsia"/>
          <w:sz w:val="24"/>
        </w:rPr>
        <w:t>）</w:t>
      </w:r>
      <w:r>
        <w:rPr>
          <w:sz w:val="24"/>
        </w:rPr>
        <w:t>按《公路水运工程安全生产监督管理办法》规定的最低数量和资质条件配备专职安全生产管理人员；</w:t>
      </w:r>
    </w:p>
    <w:p>
      <w:pPr>
        <w:adjustRightInd w:val="0"/>
        <w:snapToGrid w:val="0"/>
        <w:spacing w:line="360" w:lineRule="auto"/>
        <w:ind w:firstLine="480" w:firstLineChars="200"/>
        <w:rPr>
          <w:sz w:val="24"/>
        </w:rPr>
      </w:pPr>
      <w:r>
        <w:rPr>
          <w:rFonts w:hint="eastAsia"/>
          <w:sz w:val="24"/>
        </w:rPr>
        <w:t>（</w:t>
      </w:r>
      <w:r>
        <w:rPr>
          <w:sz w:val="24"/>
        </w:rPr>
        <w:t>2）特殊工种（电工、电梯工、起重工、电焊工、车船驾驶员、爆破工、潜水工、瓦斯检验员等）应经过专业培训，并持有专业主管部门签发的合格证上岗；</w:t>
      </w:r>
    </w:p>
    <w:p>
      <w:pPr>
        <w:adjustRightInd w:val="0"/>
        <w:snapToGrid w:val="0"/>
        <w:spacing w:line="360" w:lineRule="auto"/>
        <w:ind w:firstLine="480" w:firstLineChars="200"/>
        <w:rPr>
          <w:sz w:val="24"/>
        </w:rPr>
      </w:pPr>
      <w:r>
        <w:rPr>
          <w:sz w:val="24"/>
        </w:rPr>
        <w:t>（3</w:t>
      </w:r>
      <w:r>
        <w:rPr>
          <w:rFonts w:hint="eastAsia"/>
          <w:sz w:val="24"/>
        </w:rPr>
        <w:t>）</w:t>
      </w:r>
      <w:r>
        <w:rPr>
          <w:sz w:val="24"/>
        </w:rPr>
        <w:t>对于易燃易爆的材料除应专门妥善保管之外，还应配备有足够的消防设备，所有施工人员都应熟悉消防设备的性能和使用方法；</w:t>
      </w:r>
    </w:p>
    <w:p>
      <w:pPr>
        <w:adjustRightInd w:val="0"/>
        <w:snapToGrid w:val="0"/>
        <w:spacing w:line="360" w:lineRule="auto"/>
        <w:ind w:firstLine="480" w:firstLineChars="200"/>
        <w:rPr>
          <w:sz w:val="24"/>
        </w:rPr>
      </w:pPr>
      <w:r>
        <w:rPr>
          <w:rFonts w:hint="eastAsia"/>
          <w:sz w:val="24"/>
        </w:rPr>
        <w:t>（</w:t>
      </w:r>
      <w:r>
        <w:rPr>
          <w:sz w:val="24"/>
        </w:rPr>
        <w:t>4</w:t>
      </w:r>
      <w:r>
        <w:rPr>
          <w:rFonts w:hint="eastAsia"/>
          <w:sz w:val="24"/>
        </w:rPr>
        <w:t>）</w:t>
      </w:r>
      <w:r>
        <w:rPr>
          <w:sz w:val="24"/>
        </w:rPr>
        <w:t>所有施工机具设备和高空作业设备均应定期检查，并有安全员的签字记录；</w:t>
      </w:r>
    </w:p>
    <w:p>
      <w:pPr>
        <w:adjustRightInd w:val="0"/>
        <w:snapToGrid w:val="0"/>
        <w:spacing w:line="360" w:lineRule="auto"/>
        <w:ind w:firstLine="480" w:firstLineChars="200"/>
        <w:rPr>
          <w:sz w:val="24"/>
        </w:rPr>
      </w:pPr>
      <w:r>
        <w:rPr>
          <w:sz w:val="24"/>
        </w:rPr>
        <w:t>（5</w:t>
      </w:r>
      <w:r>
        <w:rPr>
          <w:rFonts w:hint="eastAsia"/>
          <w:sz w:val="24"/>
        </w:rPr>
        <w:t>）</w:t>
      </w:r>
      <w:r>
        <w:rPr>
          <w:sz w:val="24"/>
        </w:rPr>
        <w:t>根据本合同各单位工程的施工特点，严格执行《公路水运工程安全生产监督管理办法》、《公路工程施工安全技术规程》与《公路筑养路机械操作规程》的具体规定。</w:t>
      </w:r>
    </w:p>
    <w:p>
      <w:pPr>
        <w:adjustRightInd w:val="0"/>
        <w:snapToGrid w:val="0"/>
        <w:spacing w:line="360" w:lineRule="auto"/>
        <w:ind w:firstLine="480" w:firstLineChars="200"/>
        <w:rPr>
          <w:sz w:val="24"/>
        </w:rPr>
      </w:pPr>
      <w:r>
        <w:rPr>
          <w:sz w:val="24"/>
        </w:rPr>
        <w:t>9.2.9为了保护本合同工程免遭损坏，或为了现场附近和过往群众的安全与方便，在确有必要的时候和地方，或当监理人或有关主管部门要求时，承包人应自费提供照明、警卫、护栅、警告标志等安全防护设施。</w:t>
      </w:r>
    </w:p>
    <w:p>
      <w:pPr>
        <w:adjustRightInd w:val="0"/>
        <w:snapToGrid w:val="0"/>
        <w:spacing w:line="360" w:lineRule="auto"/>
        <w:ind w:firstLine="480" w:firstLineChars="200"/>
        <w:rPr>
          <w:sz w:val="24"/>
        </w:rPr>
      </w:pPr>
      <w:r>
        <w:rPr>
          <w:sz w:val="24"/>
        </w:rPr>
        <w:t>9.2.10在通航水域施工时，承包人应与地方当局取得联系，设置必要的导航标志，及时发布航行通告，确保施工水域安全。</w:t>
      </w:r>
    </w:p>
    <w:p>
      <w:pPr>
        <w:adjustRightInd w:val="0"/>
        <w:snapToGrid w:val="0"/>
        <w:spacing w:line="360" w:lineRule="auto"/>
        <w:ind w:firstLine="480" w:firstLineChars="200"/>
        <w:rPr>
          <w:sz w:val="24"/>
        </w:rPr>
      </w:pPr>
      <w:r>
        <w:rPr>
          <w:sz w:val="24"/>
        </w:rPr>
        <w:t>9.2.11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adjustRightInd w:val="0"/>
        <w:snapToGrid w:val="0"/>
        <w:spacing w:beforeLines="100" w:line="360" w:lineRule="auto"/>
        <w:rPr>
          <w:rFonts w:eastAsia="黑体"/>
          <w:sz w:val="24"/>
        </w:rPr>
      </w:pPr>
      <w:r>
        <w:rPr>
          <w:rFonts w:eastAsia="黑体"/>
          <w:sz w:val="24"/>
        </w:rPr>
        <w:t>9.4环境保护</w:t>
      </w:r>
    </w:p>
    <w:p>
      <w:pPr>
        <w:adjustRightInd w:val="0"/>
        <w:snapToGrid w:val="0"/>
        <w:spacing w:line="360" w:lineRule="auto"/>
        <w:ind w:firstLine="480" w:firstLineChars="200"/>
        <w:rPr>
          <w:sz w:val="24"/>
        </w:rPr>
      </w:pPr>
      <w:r>
        <w:rPr>
          <w:sz w:val="24"/>
        </w:rPr>
        <w:t>本款增加第9.4.7至9.4.9项：</w:t>
      </w:r>
    </w:p>
    <w:p>
      <w:pPr>
        <w:adjustRightInd w:val="0"/>
        <w:snapToGrid w:val="0"/>
        <w:spacing w:line="360" w:lineRule="auto"/>
        <w:ind w:firstLine="480" w:firstLineChars="200"/>
        <w:rPr>
          <w:sz w:val="24"/>
        </w:rPr>
      </w:pPr>
      <w:r>
        <w:rPr>
          <w:sz w:val="24"/>
        </w:rPr>
        <w:t>9.4.7承包人应切实执行技术规范中有关环境保护方面的条款和规定。</w:t>
      </w:r>
    </w:p>
    <w:p>
      <w:pPr>
        <w:adjustRightInd w:val="0"/>
        <w:snapToGrid w:val="0"/>
        <w:spacing w:line="360" w:lineRule="auto"/>
        <w:ind w:firstLine="480" w:firstLineChars="200"/>
        <w:rPr>
          <w:sz w:val="24"/>
        </w:rPr>
      </w:pPr>
      <w:r>
        <w:rPr>
          <w:rFonts w:hint="eastAsia"/>
          <w:sz w:val="24"/>
        </w:rPr>
        <w:t>（</w:t>
      </w:r>
      <w:r>
        <w:rPr>
          <w:sz w:val="24"/>
        </w:rPr>
        <w:t>1</w:t>
      </w:r>
      <w:r>
        <w:rPr>
          <w:rFonts w:hint="eastAsia"/>
          <w:sz w:val="24"/>
        </w:rPr>
        <w:t>）</w:t>
      </w:r>
      <w:r>
        <w:rPr>
          <w:sz w:val="24"/>
        </w:rPr>
        <w:t>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150m以内的施工现场，施工时间应加以控制。</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对于公路施工中粉尘污染的主要污染源—灰土拌和、施工车辆和筑路机械运行及运输产生的扬尘，应采取有效措施减轻施工现场的大气污染，保护人民健康，如：</w:t>
      </w:r>
    </w:p>
    <w:p>
      <w:pPr>
        <w:adjustRightInd w:val="0"/>
        <w:snapToGrid w:val="0"/>
        <w:spacing w:line="360" w:lineRule="auto"/>
        <w:ind w:firstLine="480" w:firstLineChars="200"/>
        <w:rPr>
          <w:sz w:val="24"/>
        </w:rPr>
      </w:pPr>
      <w:r>
        <w:rPr>
          <w:sz w:val="24"/>
        </w:rPr>
        <w:t>a</w:t>
      </w:r>
      <w:r>
        <w:rPr>
          <w:rFonts w:hint="eastAsia"/>
          <w:sz w:val="24"/>
        </w:rPr>
        <w:t>．</w:t>
      </w:r>
      <w:r>
        <w:rPr>
          <w:sz w:val="24"/>
        </w:rPr>
        <w:t>拌和设备应有较好的密封，或有防尘设备。</w:t>
      </w:r>
    </w:p>
    <w:p>
      <w:pPr>
        <w:adjustRightInd w:val="0"/>
        <w:snapToGrid w:val="0"/>
        <w:spacing w:line="360" w:lineRule="auto"/>
        <w:ind w:firstLine="480" w:firstLineChars="200"/>
        <w:rPr>
          <w:sz w:val="24"/>
        </w:rPr>
      </w:pPr>
      <w:r>
        <w:rPr>
          <w:sz w:val="24"/>
        </w:rPr>
        <w:t>b</w:t>
      </w:r>
      <w:r>
        <w:rPr>
          <w:rFonts w:hint="eastAsia"/>
          <w:sz w:val="24"/>
        </w:rPr>
        <w:t>．</w:t>
      </w:r>
      <w:r>
        <w:rPr>
          <w:sz w:val="24"/>
        </w:rPr>
        <w:t>施工通道、沥青混凝土拌和站及灰土拌和站应经常进行洒水降尘。</w:t>
      </w:r>
    </w:p>
    <w:p>
      <w:pPr>
        <w:adjustRightInd w:val="0"/>
        <w:snapToGrid w:val="0"/>
        <w:spacing w:line="360" w:lineRule="auto"/>
        <w:ind w:firstLine="480" w:firstLineChars="200"/>
        <w:rPr>
          <w:sz w:val="24"/>
        </w:rPr>
      </w:pPr>
      <w:r>
        <w:rPr>
          <w:sz w:val="24"/>
        </w:rPr>
        <w:t>c．路面施工应注意保持水份，以免扬尘。</w:t>
      </w:r>
    </w:p>
    <w:p>
      <w:pPr>
        <w:adjustRightInd w:val="0"/>
        <w:snapToGrid w:val="0"/>
        <w:spacing w:line="360" w:lineRule="auto"/>
        <w:ind w:firstLine="480" w:firstLineChars="200"/>
        <w:rPr>
          <w:sz w:val="24"/>
        </w:rPr>
      </w:pPr>
      <w:r>
        <w:rPr>
          <w:sz w:val="24"/>
        </w:rPr>
        <w:t>d</w:t>
      </w:r>
      <w:r>
        <w:rPr>
          <w:rFonts w:hint="eastAsia"/>
          <w:sz w:val="24"/>
        </w:rPr>
        <w:t>．</w:t>
      </w:r>
      <w:r>
        <w:rPr>
          <w:sz w:val="24"/>
        </w:rPr>
        <w:t>隧道出渣和桥梁钻孔灌注桩施工时排除的泥浆要进行妥善处理，严禁向河流或农田排放。</w:t>
      </w:r>
    </w:p>
    <w:p>
      <w:pPr>
        <w:adjustRightInd w:val="0"/>
        <w:snapToGrid w:val="0"/>
        <w:spacing w:line="360" w:lineRule="auto"/>
        <w:ind w:firstLine="480" w:firstLineChars="200"/>
        <w:rPr>
          <w:sz w:val="24"/>
        </w:rPr>
      </w:pPr>
      <w:r>
        <w:rPr>
          <w:sz w:val="24"/>
        </w:rPr>
        <w:t>（3</w:t>
      </w:r>
      <w:r>
        <w:rPr>
          <w:rFonts w:hint="eastAsia"/>
          <w:sz w:val="24"/>
        </w:rPr>
        <w:t>）</w:t>
      </w:r>
      <w:r>
        <w:rPr>
          <w:sz w:val="24"/>
        </w:rPr>
        <w:t>采取可靠措施保证原有交通的正常通行，维持沿线村镇的居民饮水、农田灌溉、生产生活用电及通讯等管线的正常使用。</w:t>
      </w:r>
    </w:p>
    <w:p>
      <w:pPr>
        <w:adjustRightInd w:val="0"/>
        <w:snapToGrid w:val="0"/>
        <w:spacing w:line="360" w:lineRule="auto"/>
        <w:ind w:firstLine="480" w:firstLineChars="200"/>
        <w:rPr>
          <w:sz w:val="24"/>
        </w:rPr>
      </w:pPr>
      <w:r>
        <w:rPr>
          <w:sz w:val="24"/>
        </w:rPr>
        <w:t>9.4.8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adjustRightInd w:val="0"/>
        <w:snapToGrid w:val="0"/>
        <w:spacing w:line="360" w:lineRule="auto"/>
        <w:ind w:firstLine="480" w:firstLineChars="200"/>
        <w:rPr>
          <w:sz w:val="24"/>
        </w:rPr>
      </w:pPr>
      <w:r>
        <w:rPr>
          <w:sz w:val="24"/>
        </w:rPr>
        <w:t>9.4.9在施工期间，承包人应随时保持现场整洁，施工设备和材料、工程设备应整齐妥善存放和贮存，废料与垃圾及不再需要的临时设施应及时从现场清除、拆除并运走。</w:t>
      </w:r>
    </w:p>
    <w:p>
      <w:pPr>
        <w:adjustRightInd w:val="0"/>
        <w:snapToGrid w:val="0"/>
        <w:spacing w:beforeLines="100" w:line="360" w:lineRule="auto"/>
        <w:rPr>
          <w:rFonts w:eastAsia="黑体"/>
          <w:sz w:val="24"/>
        </w:rPr>
      </w:pPr>
      <w:r>
        <w:rPr>
          <w:rFonts w:eastAsia="黑体"/>
          <w:sz w:val="24"/>
        </w:rPr>
        <w:t>10</w:t>
      </w:r>
      <w:r>
        <w:rPr>
          <w:rFonts w:hint="eastAsia" w:eastAsia="黑体"/>
          <w:sz w:val="24"/>
        </w:rPr>
        <w:t>．</w:t>
      </w:r>
      <w:r>
        <w:rPr>
          <w:rFonts w:eastAsia="黑体"/>
          <w:sz w:val="24"/>
        </w:rPr>
        <w:t>进度计划</w:t>
      </w:r>
    </w:p>
    <w:p>
      <w:pPr>
        <w:adjustRightInd w:val="0"/>
        <w:snapToGrid w:val="0"/>
        <w:spacing w:line="360" w:lineRule="auto"/>
        <w:rPr>
          <w:rFonts w:eastAsia="黑体"/>
          <w:sz w:val="24"/>
        </w:rPr>
      </w:pPr>
      <w:r>
        <w:rPr>
          <w:rFonts w:eastAsia="黑体"/>
          <w:sz w:val="24"/>
        </w:rPr>
        <w:t>10.1合同进度计划</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承包人编制施工方案的内容：</w:t>
      </w:r>
      <w:r>
        <w:rPr>
          <w:sz w:val="24"/>
          <w:u w:val="single"/>
        </w:rPr>
        <w:t>（见项目专用合同条款）</w:t>
      </w:r>
    </w:p>
    <w:p>
      <w:pPr>
        <w:adjustRightInd w:val="0"/>
        <w:snapToGrid w:val="0"/>
        <w:spacing w:line="360" w:lineRule="auto"/>
        <w:ind w:firstLine="480" w:firstLineChars="200"/>
        <w:rPr>
          <w:sz w:val="24"/>
        </w:rPr>
      </w:pPr>
      <w:r>
        <w:rPr>
          <w:sz w:val="24"/>
        </w:rPr>
        <w:t>承包人向监理人报送施工进度计划和施工方案说明的期限：</w:t>
      </w:r>
      <w:r>
        <w:rPr>
          <w:rFonts w:hint="eastAsia"/>
          <w:sz w:val="24"/>
          <w:u w:val="single"/>
        </w:rPr>
        <w:t>签订合同协议书后</w:t>
      </w:r>
      <w:r>
        <w:rPr>
          <w:sz w:val="24"/>
          <w:u w:val="single"/>
        </w:rPr>
        <w:t>28天之内</w:t>
      </w:r>
      <w:r>
        <w:rPr>
          <w:sz w:val="24"/>
        </w:rPr>
        <w:t>。</w:t>
      </w:r>
    </w:p>
    <w:p>
      <w:pPr>
        <w:adjustRightInd w:val="0"/>
        <w:snapToGrid w:val="0"/>
        <w:spacing w:line="360" w:lineRule="auto"/>
        <w:ind w:firstLine="480" w:firstLineChars="200"/>
        <w:rPr>
          <w:sz w:val="24"/>
        </w:rPr>
      </w:pPr>
      <w:r>
        <w:rPr>
          <w:sz w:val="24"/>
        </w:rPr>
        <w:t>监理人应在</w:t>
      </w:r>
      <w:r>
        <w:rPr>
          <w:rFonts w:hint="eastAsia"/>
          <w:sz w:val="24"/>
          <w:u w:val="single"/>
        </w:rPr>
        <w:t>14</w:t>
      </w:r>
      <w:r>
        <w:rPr>
          <w:sz w:val="24"/>
        </w:rPr>
        <w:t>天内对承包人施工进度计划和施工方案说明予以批复或提出修改意见。</w:t>
      </w:r>
    </w:p>
    <w:p>
      <w:pPr>
        <w:adjustRightInd w:val="0"/>
        <w:snapToGrid w:val="0"/>
        <w:spacing w:line="360" w:lineRule="auto"/>
        <w:ind w:firstLine="480" w:firstLineChars="200"/>
        <w:rPr>
          <w:sz w:val="24"/>
        </w:rPr>
      </w:pPr>
      <w:r>
        <w:rPr>
          <w:sz w:val="24"/>
        </w:rPr>
        <w:t>合同进度计划应按照关键线路网络图和主要工作横道图两种形式分别编绘，并应包括每月预计完成的工作量和形象进度。</w:t>
      </w:r>
    </w:p>
    <w:p>
      <w:pPr>
        <w:adjustRightInd w:val="0"/>
        <w:snapToGrid w:val="0"/>
        <w:spacing w:beforeLines="100" w:line="360" w:lineRule="auto"/>
        <w:rPr>
          <w:rFonts w:eastAsia="黑体"/>
          <w:sz w:val="24"/>
        </w:rPr>
      </w:pPr>
      <w:r>
        <w:rPr>
          <w:rFonts w:eastAsia="黑体"/>
          <w:sz w:val="24"/>
        </w:rPr>
        <w:t>10.2合同进度计划的修订</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承包人提交合同进度计划修订申请报告，并附有关措施和相关资料的期限：</w:t>
      </w:r>
      <w:r>
        <w:rPr>
          <w:sz w:val="24"/>
          <w:u w:val="single"/>
        </w:rPr>
        <w:t>实际进度发生滞后的当月25日前</w:t>
      </w:r>
      <w:r>
        <w:rPr>
          <w:sz w:val="24"/>
        </w:rPr>
        <w:t>。</w:t>
      </w:r>
    </w:p>
    <w:p>
      <w:pPr>
        <w:adjustRightInd w:val="0"/>
        <w:snapToGrid w:val="0"/>
        <w:spacing w:line="360" w:lineRule="auto"/>
        <w:ind w:firstLine="480" w:firstLineChars="200"/>
        <w:rPr>
          <w:sz w:val="24"/>
        </w:rPr>
      </w:pPr>
      <w:r>
        <w:rPr>
          <w:sz w:val="24"/>
        </w:rPr>
        <w:t>监理人批复修订合同进度计划的期限：</w:t>
      </w:r>
      <w:r>
        <w:rPr>
          <w:rFonts w:hint="eastAsia"/>
          <w:sz w:val="24"/>
          <w:u w:val="single"/>
        </w:rPr>
        <w:t>收到修订合同进度计划后14天内</w:t>
      </w:r>
      <w:r>
        <w:rPr>
          <w:sz w:val="24"/>
        </w:rPr>
        <w:t>。</w:t>
      </w:r>
    </w:p>
    <w:p>
      <w:pPr>
        <w:adjustRightInd w:val="0"/>
        <w:snapToGrid w:val="0"/>
        <w:spacing w:line="360" w:lineRule="auto"/>
        <w:rPr>
          <w:sz w:val="24"/>
        </w:rPr>
      </w:pPr>
      <w:r>
        <w:rPr>
          <w:sz w:val="24"/>
        </w:rPr>
        <w:t>增加第10.3、10.4款：</w:t>
      </w:r>
    </w:p>
    <w:p>
      <w:pPr>
        <w:adjustRightInd w:val="0"/>
        <w:snapToGrid w:val="0"/>
        <w:spacing w:beforeLines="100" w:line="360" w:lineRule="auto"/>
        <w:rPr>
          <w:rFonts w:eastAsia="黑体"/>
          <w:sz w:val="24"/>
        </w:rPr>
      </w:pPr>
      <w:r>
        <w:rPr>
          <w:rFonts w:eastAsia="黑体"/>
          <w:sz w:val="24"/>
        </w:rPr>
        <w:t>10.3年度施工计划</w:t>
      </w:r>
    </w:p>
    <w:p>
      <w:pPr>
        <w:adjustRightInd w:val="0"/>
        <w:snapToGrid w:val="0"/>
        <w:spacing w:line="360" w:lineRule="auto"/>
        <w:ind w:firstLine="480" w:firstLineChars="200"/>
        <w:rPr>
          <w:sz w:val="24"/>
        </w:rPr>
      </w:pPr>
      <w:r>
        <w:rPr>
          <w:sz w:val="24"/>
        </w:rPr>
        <w:t>承包人应在每年11月底前，根据已同意的合同进度计划或其修订的计划，向监理人提交2份格式和内容符合监理人合理规定的下一年度的施工计划，以供审查。该计划应包括本年度估计完成的和下一年度预计完成的分项工程数量和工作量，以及为实施此计划将采取的措施。</w:t>
      </w:r>
    </w:p>
    <w:p>
      <w:pPr>
        <w:adjustRightInd w:val="0"/>
        <w:snapToGrid w:val="0"/>
        <w:spacing w:beforeLines="100" w:line="360" w:lineRule="auto"/>
        <w:rPr>
          <w:rFonts w:eastAsia="黑体"/>
          <w:sz w:val="24"/>
        </w:rPr>
      </w:pPr>
      <w:r>
        <w:rPr>
          <w:rFonts w:eastAsia="黑体"/>
          <w:sz w:val="24"/>
        </w:rPr>
        <w:t>10.4合同用款计划</w:t>
      </w:r>
    </w:p>
    <w:p>
      <w:pPr>
        <w:adjustRightInd w:val="0"/>
        <w:snapToGrid w:val="0"/>
        <w:spacing w:line="360" w:lineRule="auto"/>
        <w:ind w:firstLine="480" w:firstLineChars="200"/>
        <w:rPr>
          <w:sz w:val="24"/>
        </w:rPr>
      </w:pPr>
      <w:r>
        <w:rPr>
          <w:sz w:val="24"/>
        </w:rPr>
        <w:t>承包人应在签订本合同协议书后28天之内，按招标文件中规定的格式，向监理人提交2份按合同规定承包人有权得到支付的详细的季度合同用款计划，以备监理人查阅。如果监理人提出要求，承包人还应按季度提交修订的合同用款计划。</w:t>
      </w:r>
    </w:p>
    <w:p>
      <w:pPr>
        <w:adjustRightInd w:val="0"/>
        <w:snapToGrid w:val="0"/>
        <w:spacing w:beforeLines="100" w:line="360" w:lineRule="auto"/>
        <w:rPr>
          <w:rFonts w:eastAsia="黑体"/>
          <w:sz w:val="24"/>
        </w:rPr>
      </w:pPr>
      <w:r>
        <w:rPr>
          <w:rFonts w:eastAsia="黑体"/>
          <w:sz w:val="24"/>
        </w:rPr>
        <w:t>11．开工和竣工</w:t>
      </w:r>
    </w:p>
    <w:p>
      <w:pPr>
        <w:adjustRightInd w:val="0"/>
        <w:snapToGrid w:val="0"/>
        <w:spacing w:line="360" w:lineRule="auto"/>
        <w:rPr>
          <w:rFonts w:eastAsia="黑体"/>
          <w:sz w:val="24"/>
        </w:rPr>
      </w:pPr>
      <w:r>
        <w:rPr>
          <w:rFonts w:eastAsia="黑体"/>
          <w:sz w:val="24"/>
        </w:rPr>
        <w:t>11.1开工</w:t>
      </w:r>
    </w:p>
    <w:p>
      <w:pPr>
        <w:adjustRightInd w:val="0"/>
        <w:snapToGrid w:val="0"/>
        <w:spacing w:line="360" w:lineRule="auto"/>
        <w:ind w:firstLine="480" w:firstLineChars="200"/>
        <w:rPr>
          <w:sz w:val="24"/>
        </w:rPr>
      </w:pPr>
      <w:r>
        <w:rPr>
          <w:sz w:val="24"/>
        </w:rPr>
        <w:t>11</w:t>
      </w:r>
      <w:r>
        <w:rPr>
          <w:rFonts w:hint="eastAsia"/>
          <w:sz w:val="24"/>
        </w:rPr>
        <w:t>.</w:t>
      </w:r>
      <w:r>
        <w:rPr>
          <w:sz w:val="24"/>
        </w:rPr>
        <w:t>1.2项补充：</w:t>
      </w:r>
    </w:p>
    <w:p>
      <w:pPr>
        <w:adjustRightInd w:val="0"/>
        <w:snapToGrid w:val="0"/>
        <w:spacing w:line="360" w:lineRule="auto"/>
        <w:ind w:firstLine="480" w:firstLineChars="200"/>
        <w:rPr>
          <w:sz w:val="24"/>
        </w:rPr>
      </w:pPr>
      <w:r>
        <w:rPr>
          <w:sz w:val="24"/>
        </w:rPr>
        <w:t>承包人应在分部工程开工前14天向监理人提交分部工程开工报告，若承包人的开工准备、工作计划和质量控制方法是可接受的且已获得批准，则经监理人书面同意，分部工程才能开工。</w:t>
      </w:r>
    </w:p>
    <w:p>
      <w:pPr>
        <w:adjustRightInd w:val="0"/>
        <w:snapToGrid w:val="0"/>
        <w:spacing w:beforeLines="100" w:line="360" w:lineRule="auto"/>
        <w:rPr>
          <w:rFonts w:eastAsia="黑体"/>
          <w:sz w:val="24"/>
        </w:rPr>
      </w:pPr>
      <w:r>
        <w:rPr>
          <w:rFonts w:eastAsia="黑体"/>
          <w:sz w:val="24"/>
        </w:rPr>
        <w:t>11.3发包人的工期延误</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即使由于上述原因造成工期延误，如果受影响的工程并非处在工程施工进度网络计划的关键线路上，承包人亦无权要求延长总工期。</w:t>
      </w:r>
    </w:p>
    <w:p>
      <w:pPr>
        <w:adjustRightInd w:val="0"/>
        <w:snapToGrid w:val="0"/>
        <w:spacing w:beforeLines="100" w:line="360" w:lineRule="auto"/>
        <w:rPr>
          <w:rFonts w:eastAsia="黑体"/>
          <w:sz w:val="24"/>
        </w:rPr>
      </w:pPr>
      <w:r>
        <w:rPr>
          <w:rFonts w:eastAsia="黑体"/>
          <w:sz w:val="24"/>
        </w:rPr>
        <w:t>11.4异常恶劣的气候条件</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异常恶劣的气候条件包括：台风、龙卷风、暴雨（雪）、大风（沙尘暴）、冰雹和项目专用合同条款可能规定的其他气候条件。</w:t>
      </w:r>
    </w:p>
    <w:p>
      <w:pPr>
        <w:adjustRightInd w:val="0"/>
        <w:snapToGrid w:val="0"/>
        <w:spacing w:beforeLines="100" w:line="360" w:lineRule="auto"/>
        <w:rPr>
          <w:rFonts w:eastAsia="黑体"/>
          <w:sz w:val="24"/>
        </w:rPr>
      </w:pPr>
      <w:r>
        <w:rPr>
          <w:rFonts w:eastAsia="黑体"/>
          <w:sz w:val="24"/>
        </w:rPr>
        <w:t>11.5承包人的工期延误</w:t>
      </w:r>
    </w:p>
    <w:p>
      <w:pPr>
        <w:adjustRightInd w:val="0"/>
        <w:snapToGrid w:val="0"/>
        <w:spacing w:line="360" w:lineRule="auto"/>
        <w:ind w:firstLine="480" w:firstLineChars="200"/>
        <w:rPr>
          <w:sz w:val="24"/>
        </w:rPr>
      </w:pPr>
      <w:r>
        <w:rPr>
          <w:sz w:val="24"/>
        </w:rPr>
        <w:t>本款细化为：</w:t>
      </w:r>
    </w:p>
    <w:p>
      <w:pPr>
        <w:adjustRightInd w:val="0"/>
        <w:snapToGrid w:val="0"/>
        <w:spacing w:line="360" w:lineRule="auto"/>
        <w:ind w:firstLine="480" w:firstLineChars="200"/>
        <w:rPr>
          <w:sz w:val="24"/>
        </w:rPr>
      </w:pPr>
      <w:r>
        <w:rPr>
          <w:sz w:val="24"/>
        </w:rPr>
        <w:t>（1</w:t>
      </w:r>
      <w:r>
        <w:rPr>
          <w:rFonts w:hint="eastAsia"/>
          <w:sz w:val="24"/>
        </w:rPr>
        <w:t>）</w:t>
      </w:r>
      <w:r>
        <w:rPr>
          <w:sz w:val="24"/>
        </w:rPr>
        <w:t>承包人应严格执行监理人批准的合同进度计划，对工作量计划和形象进度计划分别控制。除11.3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竣工。承包人应采取措施加快进度，并承担加快进度所增加的费用。</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如果承包人在接到监理人通知后的14天内，未能采取加快工程进度的措施，致使实际工程进度进一步滞后，或承包人虽采取了一些措施，仍无法按预计工期竣工时，监理人应立即通知发包人。发包人在向承包人发出书面警告通知14天后，发包人可按22.1款终止对承包人的雇用，也可将本合同工程中的一部分工作交由其他承包人或特殊分包人完成。在不解除本合同规定的承包人责任和义务的同时，承包人应承担因此所增加的一切费用。</w:t>
      </w:r>
    </w:p>
    <w:p>
      <w:pPr>
        <w:adjustRightInd w:val="0"/>
        <w:snapToGrid w:val="0"/>
        <w:spacing w:line="360" w:lineRule="auto"/>
        <w:ind w:firstLine="480" w:firstLineChars="200"/>
        <w:rPr>
          <w:sz w:val="24"/>
        </w:rPr>
      </w:pPr>
      <w:r>
        <w:rPr>
          <w:sz w:val="24"/>
        </w:rPr>
        <w:t>（3</w:t>
      </w:r>
      <w:r>
        <w:rPr>
          <w:rFonts w:hint="eastAsia"/>
          <w:sz w:val="24"/>
        </w:rPr>
        <w:t>）</w:t>
      </w:r>
      <w:r>
        <w:rPr>
          <w:sz w:val="24"/>
        </w:rPr>
        <w:t>由于承包人原因造成工期延误，承包人应支付逾期竣工违约金。逾期竣工违约金的计算方法为：每逾期一天支付＿元人民币（在项目专用合同条款中约定），时间自预定的竣工日期起到工程接收证书中写明的实际竣工日期止（扣除已批准的延长工期），按天计算。逾期竣工违约金累计金额最高不超过签约合同价的</w:t>
      </w:r>
      <w:r>
        <w:rPr>
          <w:rFonts w:hint="eastAsia"/>
          <w:sz w:val="24"/>
        </w:rPr>
        <w:t>10</w:t>
      </w:r>
      <w:r>
        <w:rPr>
          <w:sz w:val="24"/>
        </w:rPr>
        <w:t>％。发包人可以从应付或到期应付给承包人的任何款项中或采用其他方法扣除此违约金。</w:t>
      </w:r>
    </w:p>
    <w:p>
      <w:pPr>
        <w:adjustRightInd w:val="0"/>
        <w:snapToGrid w:val="0"/>
        <w:spacing w:line="360" w:lineRule="auto"/>
        <w:ind w:firstLine="480" w:firstLineChars="200"/>
        <w:rPr>
          <w:sz w:val="24"/>
        </w:rPr>
      </w:pPr>
      <w:r>
        <w:rPr>
          <w:rFonts w:hint="eastAsia"/>
          <w:sz w:val="24"/>
        </w:rPr>
        <w:t>（</w:t>
      </w:r>
      <w:r>
        <w:rPr>
          <w:sz w:val="24"/>
        </w:rPr>
        <w:t>4</w:t>
      </w:r>
      <w:r>
        <w:rPr>
          <w:rFonts w:hint="eastAsia"/>
          <w:sz w:val="24"/>
        </w:rPr>
        <w:t>）</w:t>
      </w:r>
      <w:r>
        <w:rPr>
          <w:sz w:val="24"/>
        </w:rPr>
        <w:t>承包人支付逾期竣工违约金，不免除承包人完成工程及修补缺陷的义务。</w:t>
      </w:r>
    </w:p>
    <w:p>
      <w:pPr>
        <w:adjustRightInd w:val="0"/>
        <w:snapToGrid w:val="0"/>
        <w:spacing w:line="360" w:lineRule="auto"/>
        <w:ind w:firstLine="480" w:firstLineChars="200"/>
        <w:rPr>
          <w:sz w:val="24"/>
        </w:rPr>
      </w:pPr>
      <w:r>
        <w:rPr>
          <w:rFonts w:hint="eastAsia"/>
          <w:sz w:val="24"/>
        </w:rPr>
        <w:t>（</w:t>
      </w:r>
      <w:r>
        <w:rPr>
          <w:sz w:val="24"/>
        </w:rPr>
        <w:t>5</w:t>
      </w:r>
      <w:r>
        <w:rPr>
          <w:rFonts w:hint="eastAsia"/>
          <w:sz w:val="24"/>
        </w:rPr>
        <w:t>）</w:t>
      </w:r>
      <w:r>
        <w:rPr>
          <w:sz w:val="24"/>
        </w:rPr>
        <w:t>如果在合同工程完工之前，己对合同工程内按时完工的单位工程签发了工程接收证书，则合同工程的逾期竣工违约金，应按</w:t>
      </w:r>
      <w:r>
        <w:rPr>
          <w:rFonts w:hint="eastAsia"/>
          <w:sz w:val="24"/>
        </w:rPr>
        <w:t>已</w:t>
      </w:r>
      <w:r>
        <w:rPr>
          <w:sz w:val="24"/>
        </w:rPr>
        <w:t>签发工程接收证书的单位工程的价值占合同工程价值的比例予以减少，但本规定不应影响逾期竣工违约金的规定限额。</w:t>
      </w:r>
    </w:p>
    <w:p>
      <w:pPr>
        <w:adjustRightInd w:val="0"/>
        <w:snapToGrid w:val="0"/>
        <w:spacing w:beforeLines="100" w:line="360" w:lineRule="auto"/>
        <w:rPr>
          <w:rFonts w:eastAsia="黑体"/>
          <w:sz w:val="24"/>
        </w:rPr>
      </w:pPr>
      <w:r>
        <w:rPr>
          <w:rFonts w:eastAsia="黑体"/>
          <w:sz w:val="24"/>
        </w:rPr>
        <w:t>11.6工期提前</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64" w:firstLineChars="200"/>
        <w:rPr>
          <w:spacing w:val="-4"/>
          <w:sz w:val="24"/>
        </w:rPr>
      </w:pPr>
      <w:r>
        <w:rPr>
          <w:spacing w:val="-4"/>
          <w:sz w:val="24"/>
        </w:rPr>
        <w:t>如果承包人提前竣工，发包人支付奖金的计算方法为：每提前一天支付元人民币（在项目专用合同条款中约定），时间自工程接收证书中写明的实际竣工日期起至预定的竣工日期止，按天计算。但奖金最高限额不超过签约合同价的％（在项目专用合同条款中约定）。</w:t>
      </w:r>
    </w:p>
    <w:p>
      <w:pPr>
        <w:adjustRightInd w:val="0"/>
        <w:snapToGrid w:val="0"/>
        <w:spacing w:line="360" w:lineRule="auto"/>
        <w:rPr>
          <w:sz w:val="24"/>
        </w:rPr>
      </w:pPr>
      <w:r>
        <w:rPr>
          <w:sz w:val="24"/>
        </w:rPr>
        <w:t>增加第11.7款：</w:t>
      </w:r>
    </w:p>
    <w:p>
      <w:pPr>
        <w:adjustRightInd w:val="0"/>
        <w:snapToGrid w:val="0"/>
        <w:spacing w:beforeLines="100" w:line="360" w:lineRule="auto"/>
        <w:rPr>
          <w:rFonts w:eastAsia="黑体"/>
          <w:sz w:val="24"/>
        </w:rPr>
      </w:pPr>
      <w:r>
        <w:rPr>
          <w:rFonts w:eastAsia="黑体"/>
          <w:sz w:val="24"/>
        </w:rPr>
        <w:t>11.7</w:t>
      </w:r>
      <w:r>
        <w:rPr>
          <w:rFonts w:hint="eastAsia" w:eastAsia="黑体"/>
          <w:sz w:val="24"/>
        </w:rPr>
        <w:t>工</w:t>
      </w:r>
      <w:r>
        <w:rPr>
          <w:rFonts w:eastAsia="黑体"/>
          <w:sz w:val="24"/>
        </w:rPr>
        <w:t>作时</w:t>
      </w:r>
      <w:r>
        <w:rPr>
          <w:rFonts w:hint="eastAsia" w:eastAsia="黑体"/>
          <w:sz w:val="24"/>
        </w:rPr>
        <w:t>间</w:t>
      </w:r>
      <w:r>
        <w:rPr>
          <w:rFonts w:eastAsia="黑体"/>
          <w:sz w:val="24"/>
        </w:rPr>
        <w:t>的限制</w:t>
      </w:r>
    </w:p>
    <w:p>
      <w:pPr>
        <w:adjustRightInd w:val="0"/>
        <w:snapToGrid w:val="0"/>
        <w:spacing w:line="360" w:lineRule="auto"/>
        <w:ind w:firstLine="480" w:firstLineChars="200"/>
        <w:rPr>
          <w:sz w:val="24"/>
        </w:rPr>
      </w:pPr>
      <w:r>
        <w:rPr>
          <w:sz w:val="24"/>
        </w:rPr>
        <w:t>承包人在夜间或国家规定的节假日进行永久工程的施工，应向监理人报告，以便监理人履行监理职责和义务。</w:t>
      </w:r>
    </w:p>
    <w:p>
      <w:pPr>
        <w:adjustRightInd w:val="0"/>
        <w:snapToGrid w:val="0"/>
        <w:spacing w:line="360" w:lineRule="auto"/>
        <w:ind w:firstLine="480" w:firstLineChars="200"/>
        <w:rPr>
          <w:sz w:val="24"/>
        </w:rPr>
      </w:pPr>
      <w:r>
        <w:rPr>
          <w:sz w:val="24"/>
        </w:rPr>
        <w:t>但是，为了抢救生命或保护财产，或为了工程的安全、质量而不可避免地短暂作业，则不必事先向监理人报告。但承包人应在事后立即向监理人报告。</w:t>
      </w:r>
    </w:p>
    <w:p>
      <w:pPr>
        <w:adjustRightInd w:val="0"/>
        <w:snapToGrid w:val="0"/>
        <w:spacing w:line="360" w:lineRule="auto"/>
        <w:ind w:firstLine="480" w:firstLineChars="200"/>
        <w:rPr>
          <w:sz w:val="24"/>
        </w:rPr>
      </w:pPr>
      <w:r>
        <w:rPr>
          <w:sz w:val="24"/>
        </w:rPr>
        <w:t>本款规定不适用于习惯上或施工本身要求实行连续生产的作业。</w:t>
      </w:r>
    </w:p>
    <w:p>
      <w:pPr>
        <w:adjustRightInd w:val="0"/>
        <w:snapToGrid w:val="0"/>
        <w:spacing w:beforeLines="100" w:line="360" w:lineRule="auto"/>
        <w:rPr>
          <w:rFonts w:eastAsia="黑体"/>
          <w:sz w:val="24"/>
        </w:rPr>
      </w:pPr>
      <w:r>
        <w:rPr>
          <w:rFonts w:eastAsia="黑体"/>
          <w:sz w:val="24"/>
        </w:rPr>
        <w:t>12</w:t>
      </w:r>
      <w:r>
        <w:rPr>
          <w:rFonts w:hint="eastAsia" w:eastAsia="黑体"/>
          <w:sz w:val="24"/>
        </w:rPr>
        <w:t>．</w:t>
      </w:r>
      <w:r>
        <w:rPr>
          <w:rFonts w:eastAsia="黑体"/>
          <w:sz w:val="24"/>
        </w:rPr>
        <w:t>暂停施工</w:t>
      </w:r>
    </w:p>
    <w:p>
      <w:pPr>
        <w:adjustRightInd w:val="0"/>
        <w:snapToGrid w:val="0"/>
        <w:spacing w:line="360" w:lineRule="auto"/>
        <w:ind w:firstLine="480" w:firstLineChars="200"/>
        <w:rPr>
          <w:sz w:val="24"/>
        </w:rPr>
      </w:pPr>
      <w:r>
        <w:rPr>
          <w:sz w:val="24"/>
        </w:rPr>
        <w:t>12.1承包人暂停施工的责任</w:t>
      </w:r>
    </w:p>
    <w:p>
      <w:pPr>
        <w:adjustRightInd w:val="0"/>
        <w:snapToGrid w:val="0"/>
        <w:spacing w:line="360" w:lineRule="auto"/>
        <w:ind w:firstLine="480" w:firstLineChars="200"/>
        <w:rPr>
          <w:sz w:val="24"/>
        </w:rPr>
      </w:pPr>
      <w:r>
        <w:rPr>
          <w:sz w:val="24"/>
        </w:rPr>
        <w:t>12.1（5</w:t>
      </w:r>
      <w:r>
        <w:rPr>
          <w:rFonts w:hint="eastAsia"/>
          <w:sz w:val="24"/>
        </w:rPr>
        <w:t>）</w:t>
      </w:r>
      <w:r>
        <w:rPr>
          <w:sz w:val="24"/>
        </w:rPr>
        <w:t>项补充：</w:t>
      </w:r>
    </w:p>
    <w:p>
      <w:pPr>
        <w:adjustRightInd w:val="0"/>
        <w:snapToGrid w:val="0"/>
        <w:spacing w:line="360" w:lineRule="auto"/>
        <w:ind w:firstLine="480" w:firstLineChars="200"/>
        <w:rPr>
          <w:sz w:val="24"/>
        </w:rPr>
      </w:pPr>
      <w:r>
        <w:rPr>
          <w:sz w:val="24"/>
        </w:rPr>
        <w:t>（5</w:t>
      </w:r>
      <w:r>
        <w:rPr>
          <w:rFonts w:hint="eastAsia"/>
          <w:sz w:val="24"/>
        </w:rPr>
        <w:t>）</w:t>
      </w:r>
      <w:r>
        <w:rPr>
          <w:sz w:val="24"/>
        </w:rPr>
        <w:t>现场气候条件导致的必要停工（第11.4款规定的异常恶劣的气候条件除外）；</w:t>
      </w:r>
    </w:p>
    <w:p>
      <w:pPr>
        <w:adjustRightInd w:val="0"/>
        <w:snapToGrid w:val="0"/>
        <w:spacing w:line="360" w:lineRule="auto"/>
        <w:ind w:firstLine="480" w:firstLineChars="200"/>
        <w:rPr>
          <w:sz w:val="24"/>
        </w:rPr>
      </w:pPr>
      <w:r>
        <w:rPr>
          <w:rFonts w:hint="eastAsia"/>
          <w:sz w:val="24"/>
        </w:rPr>
        <w:t>（</w:t>
      </w:r>
      <w:r>
        <w:rPr>
          <w:sz w:val="24"/>
        </w:rPr>
        <w:t>6</w:t>
      </w:r>
      <w:r>
        <w:rPr>
          <w:rFonts w:hint="eastAsia"/>
          <w:sz w:val="24"/>
        </w:rPr>
        <w:t>）</w:t>
      </w:r>
      <w:r>
        <w:rPr>
          <w:sz w:val="24"/>
        </w:rPr>
        <w:t>项目专用合同条款约定由承包人承担的其他暂停施工。</w:t>
      </w:r>
    </w:p>
    <w:p>
      <w:pPr>
        <w:adjustRightInd w:val="0"/>
        <w:snapToGrid w:val="0"/>
        <w:spacing w:beforeLines="100" w:line="360" w:lineRule="auto"/>
        <w:rPr>
          <w:rFonts w:eastAsia="黑体"/>
          <w:sz w:val="24"/>
        </w:rPr>
      </w:pPr>
      <w:r>
        <w:rPr>
          <w:rFonts w:eastAsia="黑体"/>
          <w:sz w:val="24"/>
        </w:rPr>
        <w:t>13．工程质量</w:t>
      </w:r>
    </w:p>
    <w:p>
      <w:pPr>
        <w:adjustRightInd w:val="0"/>
        <w:snapToGrid w:val="0"/>
        <w:spacing w:line="360" w:lineRule="auto"/>
        <w:rPr>
          <w:rFonts w:eastAsia="黑体"/>
          <w:sz w:val="24"/>
        </w:rPr>
      </w:pPr>
      <w:r>
        <w:rPr>
          <w:rFonts w:eastAsia="黑体"/>
          <w:sz w:val="24"/>
        </w:rPr>
        <w:t>13.1工程质量要求</w:t>
      </w:r>
    </w:p>
    <w:p>
      <w:pPr>
        <w:adjustRightInd w:val="0"/>
        <w:snapToGrid w:val="0"/>
        <w:spacing w:line="360" w:lineRule="auto"/>
        <w:ind w:firstLine="480" w:firstLineChars="200"/>
        <w:rPr>
          <w:sz w:val="24"/>
        </w:rPr>
      </w:pPr>
      <w:r>
        <w:rPr>
          <w:sz w:val="24"/>
        </w:rPr>
        <w:t>13.1</w:t>
      </w:r>
      <w:r>
        <w:rPr>
          <w:rFonts w:hint="eastAsia"/>
          <w:sz w:val="24"/>
        </w:rPr>
        <w:t>.</w:t>
      </w:r>
      <w:r>
        <w:rPr>
          <w:sz w:val="24"/>
        </w:rPr>
        <w:t>1项约定为：</w:t>
      </w:r>
    </w:p>
    <w:p>
      <w:pPr>
        <w:adjustRightInd w:val="0"/>
        <w:snapToGrid w:val="0"/>
        <w:spacing w:line="360" w:lineRule="auto"/>
        <w:ind w:firstLine="480" w:firstLineChars="200"/>
        <w:rPr>
          <w:sz w:val="24"/>
        </w:rPr>
      </w:pPr>
      <w:r>
        <w:rPr>
          <w:sz w:val="24"/>
        </w:rPr>
        <w:t>工程质量验收按技术规范及交通部《公路工程质量验收评定标准》执行。本款增加第13．1.4至13．1.6项：</w:t>
      </w:r>
    </w:p>
    <w:p>
      <w:pPr>
        <w:adjustRightInd w:val="0"/>
        <w:snapToGrid w:val="0"/>
        <w:spacing w:line="360" w:lineRule="auto"/>
        <w:ind w:firstLine="480" w:firstLineChars="200"/>
        <w:rPr>
          <w:sz w:val="24"/>
        </w:rPr>
      </w:pPr>
      <w:r>
        <w:rPr>
          <w:sz w:val="24"/>
        </w:rPr>
        <w:t>13.1.4承包人对工程质量终身负责。</w:t>
      </w:r>
    </w:p>
    <w:p>
      <w:pPr>
        <w:adjustRightInd w:val="0"/>
        <w:snapToGrid w:val="0"/>
        <w:spacing w:line="360" w:lineRule="auto"/>
        <w:ind w:firstLine="480" w:firstLineChars="200"/>
        <w:rPr>
          <w:sz w:val="24"/>
        </w:rPr>
      </w:pPr>
      <w:r>
        <w:rPr>
          <w:sz w:val="24"/>
        </w:rPr>
        <w:t>13</w:t>
      </w:r>
      <w:r>
        <w:rPr>
          <w:rFonts w:hint="eastAsia"/>
          <w:sz w:val="24"/>
        </w:rPr>
        <w:t>.</w:t>
      </w:r>
      <w:r>
        <w:rPr>
          <w:sz w:val="24"/>
        </w:rPr>
        <w:t>1.5发包人应对工程质量、安全和环境保护、水土保持等建设全过程进行管理，对检查中发现的技术、质量和其他问题，应责令承包人返工或整改；对存在的隐患，有权责令承包人予以解决。</w:t>
      </w:r>
    </w:p>
    <w:p>
      <w:pPr>
        <w:adjustRightInd w:val="0"/>
        <w:snapToGrid w:val="0"/>
        <w:spacing w:line="360" w:lineRule="auto"/>
        <w:ind w:firstLine="480" w:firstLineChars="200"/>
        <w:rPr>
          <w:sz w:val="24"/>
        </w:rPr>
      </w:pPr>
      <w:r>
        <w:rPr>
          <w:sz w:val="24"/>
        </w:rPr>
        <w:t>13.1.6发包人对存在质量问题或质量隐患的工程有权直接发布或授权监理人发布停工令、复工令。</w:t>
      </w:r>
    </w:p>
    <w:p>
      <w:pPr>
        <w:adjustRightInd w:val="0"/>
        <w:snapToGrid w:val="0"/>
        <w:spacing w:beforeLines="100" w:line="360" w:lineRule="auto"/>
        <w:rPr>
          <w:rFonts w:eastAsia="黑体"/>
          <w:sz w:val="24"/>
        </w:rPr>
      </w:pPr>
      <w:r>
        <w:rPr>
          <w:rFonts w:eastAsia="黑体"/>
          <w:sz w:val="24"/>
        </w:rPr>
        <w:t>13.2承包人的质量管理</w:t>
      </w:r>
    </w:p>
    <w:p>
      <w:pPr>
        <w:adjustRightInd w:val="0"/>
        <w:snapToGrid w:val="0"/>
        <w:spacing w:line="360" w:lineRule="auto"/>
        <w:ind w:firstLine="480" w:firstLineChars="200"/>
        <w:rPr>
          <w:sz w:val="24"/>
        </w:rPr>
      </w:pPr>
      <w:r>
        <w:rPr>
          <w:sz w:val="24"/>
        </w:rPr>
        <w:t>13.2.1项补充：</w:t>
      </w:r>
    </w:p>
    <w:p>
      <w:pPr>
        <w:adjustRightInd w:val="0"/>
        <w:snapToGrid w:val="0"/>
        <w:spacing w:line="360" w:lineRule="auto"/>
        <w:ind w:firstLine="480" w:firstLineChars="200"/>
        <w:rPr>
          <w:sz w:val="24"/>
        </w:rPr>
      </w:pPr>
      <w:r>
        <w:rPr>
          <w:sz w:val="24"/>
        </w:rPr>
        <w:t>承包人提交工程质量保证措施文件的期限：</w:t>
      </w:r>
      <w:r>
        <w:rPr>
          <w:sz w:val="24"/>
          <w:u w:val="single"/>
        </w:rPr>
        <w:t>签订合同协议书后28天之内</w:t>
      </w:r>
      <w:r>
        <w:rPr>
          <w:sz w:val="24"/>
        </w:rPr>
        <w:t>。</w:t>
      </w:r>
    </w:p>
    <w:p>
      <w:pPr>
        <w:adjustRightInd w:val="0"/>
        <w:snapToGrid w:val="0"/>
        <w:spacing w:line="360" w:lineRule="auto"/>
        <w:ind w:firstLine="480" w:firstLineChars="200"/>
        <w:rPr>
          <w:sz w:val="24"/>
        </w:rPr>
      </w:pPr>
      <w:r>
        <w:rPr>
          <w:sz w:val="24"/>
        </w:rPr>
        <w:t>本款增加第13.2.3至13.2.5项：</w:t>
      </w:r>
    </w:p>
    <w:p>
      <w:pPr>
        <w:adjustRightInd w:val="0"/>
        <w:snapToGrid w:val="0"/>
        <w:spacing w:line="360" w:lineRule="auto"/>
        <w:ind w:firstLine="480" w:firstLineChars="200"/>
        <w:rPr>
          <w:sz w:val="24"/>
        </w:rPr>
      </w:pPr>
      <w:r>
        <w:rPr>
          <w:sz w:val="24"/>
        </w:rPr>
        <w:t>13.2.3承包人应加强质量监控，确保规范规定的检验、抽检频率，现场质检的原始资料必须真实、准确、可靠，不得追记，接受质量检查时必须出示原始资料。</w:t>
      </w:r>
    </w:p>
    <w:p>
      <w:pPr>
        <w:adjustRightInd w:val="0"/>
        <w:snapToGrid w:val="0"/>
        <w:spacing w:line="360" w:lineRule="auto"/>
        <w:ind w:firstLine="480" w:firstLineChars="200"/>
        <w:rPr>
          <w:sz w:val="24"/>
        </w:rPr>
      </w:pPr>
      <w:r>
        <w:rPr>
          <w:sz w:val="24"/>
        </w:rPr>
        <w:t>13.2.4承包人必须完善检验手段，根据技术规范的规定配齐检测和试验仪器、仪表，并应及时校正确保其精度；根据合同要求加强工地试验室的管理；加强标准计量基础工作和材料检验工作，不得违规计量，不合格材料严禁用于本工程。</w:t>
      </w:r>
    </w:p>
    <w:p>
      <w:pPr>
        <w:adjustRightInd w:val="0"/>
        <w:snapToGrid w:val="0"/>
        <w:spacing w:line="360" w:lineRule="auto"/>
        <w:ind w:firstLine="480" w:firstLineChars="200"/>
        <w:rPr>
          <w:sz w:val="24"/>
        </w:rPr>
      </w:pPr>
      <w:r>
        <w:rPr>
          <w:sz w:val="24"/>
        </w:rPr>
        <w:t>13.2.5承包人应建立质量奖罚制度，对质量事故要严肃处理，坚持三不放过：事故原因不明不放过，不分清责任不放过，没有改进措施不放过。</w:t>
      </w:r>
    </w:p>
    <w:p>
      <w:pPr>
        <w:adjustRightInd w:val="0"/>
        <w:snapToGrid w:val="0"/>
        <w:spacing w:beforeLines="100" w:line="360" w:lineRule="auto"/>
        <w:rPr>
          <w:rFonts w:eastAsia="黑体"/>
          <w:sz w:val="24"/>
        </w:rPr>
      </w:pPr>
      <w:r>
        <w:rPr>
          <w:rFonts w:eastAsia="黑体"/>
          <w:sz w:val="24"/>
        </w:rPr>
        <w:t>13.4监理人的质量检查</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监理人及其委派的检验人员，应能进入工程现场，以及材料或工程设备的制造、加工或制配的车间和场所，包括不属于承包人的车间或场所进行检查，承包人应为此提供便利和协助。</w:t>
      </w:r>
    </w:p>
    <w:p>
      <w:pPr>
        <w:adjustRightInd w:val="0"/>
        <w:snapToGrid w:val="0"/>
        <w:spacing w:line="360" w:lineRule="auto"/>
        <w:ind w:firstLine="480" w:firstLineChars="200"/>
        <w:rPr>
          <w:sz w:val="24"/>
        </w:rPr>
      </w:pPr>
      <w:r>
        <w:rPr>
          <w:sz w:val="24"/>
        </w:rPr>
        <w:t>监理人可以将材料或工程设备的检查和检验委托给一家独立的检验单位。该独立检验单位的检验结果应视为监理人完成的。监理人应将这种委托的通知书不少于7天前交给承包人。</w:t>
      </w:r>
    </w:p>
    <w:p>
      <w:pPr>
        <w:adjustRightInd w:val="0"/>
        <w:snapToGrid w:val="0"/>
        <w:spacing w:beforeLines="100" w:line="360" w:lineRule="auto"/>
        <w:rPr>
          <w:rFonts w:eastAsia="黑体"/>
          <w:sz w:val="24"/>
        </w:rPr>
      </w:pPr>
      <w:r>
        <w:rPr>
          <w:rFonts w:eastAsia="黑体"/>
          <w:sz w:val="24"/>
        </w:rPr>
        <w:t>13.5工程隐蔽部位覆盖前的检查</w:t>
      </w:r>
    </w:p>
    <w:p>
      <w:pPr>
        <w:adjustRightInd w:val="0"/>
        <w:snapToGrid w:val="0"/>
        <w:spacing w:line="360" w:lineRule="auto"/>
        <w:ind w:firstLine="480" w:firstLineChars="200"/>
        <w:rPr>
          <w:sz w:val="24"/>
        </w:rPr>
      </w:pPr>
      <w:r>
        <w:rPr>
          <w:sz w:val="24"/>
        </w:rPr>
        <w:t>13.5.1通知监理人检查</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没有监理人的批准，任何工程均不得覆盖或掩蔽。当监理人有指令时，承包人应对重要隐蔽工程进行拍摄或照相并应保证监理人有充分的机会对将要覆盖或掩蔽的工程进行检查和量测，特别是在基础以上的任一部分工程修筑之前，对该基础进行检查。</w:t>
      </w:r>
    </w:p>
    <w:p>
      <w:pPr>
        <w:adjustRightInd w:val="0"/>
        <w:snapToGrid w:val="0"/>
        <w:spacing w:beforeLines="100" w:line="360" w:lineRule="auto"/>
        <w:rPr>
          <w:rFonts w:eastAsia="黑体"/>
          <w:sz w:val="24"/>
        </w:rPr>
      </w:pPr>
      <w:r>
        <w:rPr>
          <w:rFonts w:eastAsia="黑体"/>
          <w:sz w:val="24"/>
        </w:rPr>
        <w:t>13.6清除不合格工程</w:t>
      </w:r>
    </w:p>
    <w:p>
      <w:pPr>
        <w:adjustRightInd w:val="0"/>
        <w:snapToGrid w:val="0"/>
        <w:spacing w:line="360" w:lineRule="auto"/>
        <w:ind w:firstLine="480" w:firstLineChars="200"/>
        <w:rPr>
          <w:sz w:val="24"/>
        </w:rPr>
      </w:pPr>
      <w:r>
        <w:rPr>
          <w:sz w:val="24"/>
        </w:rPr>
        <w:t>13.6.1项细化为：</w:t>
      </w:r>
    </w:p>
    <w:p>
      <w:pPr>
        <w:adjustRightInd w:val="0"/>
        <w:snapToGrid w:val="0"/>
        <w:spacing w:line="360" w:lineRule="auto"/>
        <w:ind w:firstLine="480" w:firstLineChars="200"/>
        <w:rPr>
          <w:sz w:val="24"/>
        </w:rPr>
      </w:pPr>
      <w:r>
        <w:rPr>
          <w:sz w:val="24"/>
        </w:rPr>
        <w:t>（1</w:t>
      </w:r>
      <w:r>
        <w:rPr>
          <w:rFonts w:hint="eastAsia"/>
          <w:sz w:val="24"/>
        </w:rPr>
        <w:t>）</w:t>
      </w:r>
      <w:r>
        <w:rPr>
          <w:sz w:val="24"/>
        </w:rPr>
        <w:t>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如果承包人未在规定时间内执行监理人的指示，发包人有权雇用他人执行，并向其支付有关费用。所有由此造成的或伴随产生的费用，由承包人负责承担。</w:t>
      </w:r>
    </w:p>
    <w:p>
      <w:pPr>
        <w:adjustRightInd w:val="0"/>
        <w:snapToGrid w:val="0"/>
        <w:spacing w:beforeLines="100" w:line="360" w:lineRule="auto"/>
        <w:rPr>
          <w:rFonts w:eastAsia="黑体"/>
          <w:sz w:val="24"/>
        </w:rPr>
      </w:pPr>
      <w:r>
        <w:rPr>
          <w:rFonts w:eastAsia="黑体"/>
          <w:sz w:val="24"/>
        </w:rPr>
        <w:t>14</w:t>
      </w:r>
      <w:r>
        <w:rPr>
          <w:rFonts w:hint="eastAsia" w:eastAsia="黑体"/>
          <w:sz w:val="24"/>
        </w:rPr>
        <w:t>．</w:t>
      </w:r>
      <w:r>
        <w:rPr>
          <w:rFonts w:eastAsia="黑体"/>
          <w:sz w:val="24"/>
        </w:rPr>
        <w:t>试验和检验</w:t>
      </w:r>
    </w:p>
    <w:p>
      <w:pPr>
        <w:adjustRightInd w:val="0"/>
        <w:snapToGrid w:val="0"/>
        <w:spacing w:line="360" w:lineRule="auto"/>
        <w:rPr>
          <w:sz w:val="24"/>
        </w:rPr>
      </w:pPr>
      <w:r>
        <w:rPr>
          <w:rFonts w:hAnsi="宋体"/>
          <w:sz w:val="24"/>
        </w:rPr>
        <w:t>增加第</w:t>
      </w:r>
      <w:r>
        <w:rPr>
          <w:sz w:val="24"/>
        </w:rPr>
        <w:t>14.4</w:t>
      </w:r>
      <w:r>
        <w:rPr>
          <w:rFonts w:hAnsi="宋体"/>
          <w:sz w:val="24"/>
        </w:rPr>
        <w:t>款：</w:t>
      </w:r>
    </w:p>
    <w:p>
      <w:pPr>
        <w:adjustRightInd w:val="0"/>
        <w:snapToGrid w:val="0"/>
        <w:spacing w:line="360" w:lineRule="auto"/>
        <w:rPr>
          <w:rFonts w:eastAsia="黑体"/>
          <w:sz w:val="24"/>
        </w:rPr>
      </w:pPr>
      <w:r>
        <w:rPr>
          <w:rFonts w:eastAsia="黑体"/>
          <w:sz w:val="24"/>
        </w:rPr>
        <w:t>14.4试验和检验费用</w:t>
      </w:r>
    </w:p>
    <w:p>
      <w:pPr>
        <w:adjustRightInd w:val="0"/>
        <w:snapToGrid w:val="0"/>
        <w:spacing w:line="360" w:lineRule="auto"/>
        <w:ind w:firstLine="480" w:firstLineChars="200"/>
        <w:rPr>
          <w:sz w:val="24"/>
        </w:rPr>
      </w:pPr>
      <w:r>
        <w:rPr>
          <w:sz w:val="24"/>
        </w:rPr>
        <w:t>（1</w:t>
      </w:r>
      <w:r>
        <w:rPr>
          <w:rFonts w:hint="eastAsia"/>
          <w:sz w:val="24"/>
        </w:rPr>
        <w:t>）</w:t>
      </w:r>
      <w:r>
        <w:rPr>
          <w:sz w:val="24"/>
        </w:rPr>
        <w:t>承包人应负责提供进行试验和检验所需的全部样品，并承担其费用。</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在合同中明确规定的或在合同中列有可供报价的检（试）验子目或专项检（试）验子目，其试验和检验的费用由承包人负担。</w:t>
      </w:r>
    </w:p>
    <w:p>
      <w:pPr>
        <w:adjustRightInd w:val="0"/>
        <w:snapToGrid w:val="0"/>
        <w:spacing w:line="360" w:lineRule="auto"/>
        <w:ind w:firstLine="480" w:firstLineChars="200"/>
        <w:rPr>
          <w:sz w:val="24"/>
        </w:rPr>
      </w:pPr>
      <w:r>
        <w:rPr>
          <w:rFonts w:hint="eastAsia"/>
          <w:sz w:val="24"/>
        </w:rPr>
        <w:t>（</w:t>
      </w:r>
      <w:r>
        <w:rPr>
          <w:sz w:val="24"/>
        </w:rPr>
        <w:t>3</w:t>
      </w:r>
      <w:r>
        <w:rPr>
          <w:rFonts w:hint="eastAsia"/>
          <w:sz w:val="24"/>
        </w:rPr>
        <w:t>）</w:t>
      </w:r>
      <w:r>
        <w:rPr>
          <w:sz w:val="24"/>
        </w:rPr>
        <w:t>如果监理人所要求做的检（试）验为合同未规定的或没有如上列出子目的，或是在该材料或工程设备的制造、加工、制配场地以外的场所进行的，则检验结束后，如表明操作工艺或材料、工程设备未能符合合同规定，其费用应由承包人承担，否则，由发包人另行支付。</w:t>
      </w:r>
    </w:p>
    <w:p>
      <w:pPr>
        <w:adjustRightInd w:val="0"/>
        <w:snapToGrid w:val="0"/>
        <w:spacing w:beforeLines="100" w:line="360" w:lineRule="auto"/>
        <w:rPr>
          <w:rFonts w:eastAsia="黑体"/>
          <w:sz w:val="24"/>
        </w:rPr>
      </w:pPr>
      <w:r>
        <w:rPr>
          <w:rFonts w:eastAsia="黑体"/>
          <w:sz w:val="24"/>
        </w:rPr>
        <w:t>15</w:t>
      </w:r>
      <w:r>
        <w:rPr>
          <w:rFonts w:hint="eastAsia" w:eastAsia="黑体"/>
          <w:sz w:val="24"/>
        </w:rPr>
        <w:t>．</w:t>
      </w:r>
      <w:r>
        <w:rPr>
          <w:rFonts w:eastAsia="黑体"/>
          <w:sz w:val="24"/>
        </w:rPr>
        <w:t>变更</w:t>
      </w:r>
    </w:p>
    <w:p>
      <w:pPr>
        <w:adjustRightInd w:val="0"/>
        <w:snapToGrid w:val="0"/>
        <w:spacing w:line="360" w:lineRule="auto"/>
        <w:rPr>
          <w:rFonts w:eastAsia="黑体"/>
          <w:sz w:val="24"/>
        </w:rPr>
      </w:pPr>
      <w:r>
        <w:rPr>
          <w:rFonts w:eastAsia="黑体"/>
          <w:sz w:val="24"/>
        </w:rPr>
        <w:t>15.1变更的范围和内容</w:t>
      </w:r>
    </w:p>
    <w:p>
      <w:pPr>
        <w:adjustRightInd w:val="0"/>
        <w:snapToGrid w:val="0"/>
        <w:spacing w:line="360" w:lineRule="auto"/>
        <w:ind w:firstLine="480" w:firstLineChars="200"/>
        <w:rPr>
          <w:sz w:val="24"/>
        </w:rPr>
      </w:pPr>
      <w:r>
        <w:rPr>
          <w:sz w:val="24"/>
        </w:rPr>
        <w:t>15.1（1）项细化为：</w:t>
      </w:r>
    </w:p>
    <w:p>
      <w:pPr>
        <w:adjustRightInd w:val="0"/>
        <w:snapToGrid w:val="0"/>
        <w:spacing w:line="360" w:lineRule="auto"/>
        <w:ind w:firstLine="480" w:firstLineChars="200"/>
        <w:rPr>
          <w:sz w:val="24"/>
        </w:rPr>
      </w:pPr>
      <w:r>
        <w:rPr>
          <w:sz w:val="24"/>
        </w:rPr>
        <w:t>（1</w:t>
      </w:r>
      <w:r>
        <w:rPr>
          <w:rFonts w:hint="eastAsia"/>
          <w:sz w:val="24"/>
        </w:rPr>
        <w:t>）</w:t>
      </w:r>
      <w:r>
        <w:rPr>
          <w:sz w:val="24"/>
        </w:rPr>
        <w:t>取消合同中任何一项工作，但被取消的工作不能转由发包人或其他人实施，由于承包人违约造成的情况除外；</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设计变更程序应执行交通部《公路工程设计变更管理办法》的相关规定。</w:t>
      </w:r>
    </w:p>
    <w:p>
      <w:pPr>
        <w:adjustRightInd w:val="0"/>
        <w:snapToGrid w:val="0"/>
        <w:spacing w:beforeLines="100" w:line="360" w:lineRule="auto"/>
        <w:rPr>
          <w:rFonts w:eastAsia="黑体"/>
          <w:sz w:val="24"/>
        </w:rPr>
      </w:pPr>
      <w:r>
        <w:rPr>
          <w:rFonts w:eastAsia="黑体"/>
          <w:sz w:val="24"/>
        </w:rPr>
        <w:t>15.4变更的估价原则</w:t>
      </w:r>
    </w:p>
    <w:p>
      <w:pPr>
        <w:adjustRightInd w:val="0"/>
        <w:snapToGrid w:val="0"/>
        <w:spacing w:line="360" w:lineRule="auto"/>
        <w:ind w:firstLine="480" w:firstLineChars="200"/>
        <w:rPr>
          <w:sz w:val="24"/>
        </w:rPr>
      </w:pPr>
      <w:r>
        <w:rPr>
          <w:sz w:val="24"/>
        </w:rPr>
        <w:t>本款细化为：</w:t>
      </w:r>
    </w:p>
    <w:p>
      <w:pPr>
        <w:adjustRightInd w:val="0"/>
        <w:snapToGrid w:val="0"/>
        <w:spacing w:line="360" w:lineRule="auto"/>
        <w:ind w:firstLine="480" w:firstLineChars="200"/>
        <w:rPr>
          <w:sz w:val="24"/>
        </w:rPr>
      </w:pPr>
      <w:r>
        <w:rPr>
          <w:sz w:val="24"/>
        </w:rPr>
        <w:t>除项目专用合同条款另有约定外，因变更引起的价格调整按照本款约定处理。</w:t>
      </w:r>
    </w:p>
    <w:p>
      <w:pPr>
        <w:adjustRightInd w:val="0"/>
        <w:snapToGrid w:val="0"/>
        <w:spacing w:line="360" w:lineRule="auto"/>
        <w:ind w:firstLine="480" w:firstLineChars="200"/>
        <w:rPr>
          <w:sz w:val="24"/>
        </w:rPr>
      </w:pPr>
      <w:r>
        <w:rPr>
          <w:sz w:val="24"/>
        </w:rPr>
        <w:t>15.4.1如果取消某项工作，则该项工作的总额价不予支付；</w:t>
      </w:r>
    </w:p>
    <w:p>
      <w:pPr>
        <w:adjustRightInd w:val="0"/>
        <w:snapToGrid w:val="0"/>
        <w:spacing w:line="360" w:lineRule="auto"/>
        <w:ind w:firstLine="480" w:firstLineChars="200"/>
        <w:rPr>
          <w:sz w:val="24"/>
        </w:rPr>
      </w:pPr>
      <w:r>
        <w:rPr>
          <w:sz w:val="24"/>
        </w:rPr>
        <w:t>15.4.2已标价工程量清单中有适用于变更工作的子目的，采用该子目的单价。</w:t>
      </w:r>
    </w:p>
    <w:p>
      <w:pPr>
        <w:adjustRightInd w:val="0"/>
        <w:snapToGrid w:val="0"/>
        <w:spacing w:line="360" w:lineRule="auto"/>
        <w:ind w:firstLine="480" w:firstLineChars="200"/>
        <w:rPr>
          <w:sz w:val="24"/>
        </w:rPr>
      </w:pPr>
      <w:r>
        <w:rPr>
          <w:sz w:val="24"/>
        </w:rPr>
        <w:t>15.4.3已标价工程量清单中无适用于变更工作的子目，但有类似子目的，可在合理范围内参照类似子目的单价，由监理人按第3.5款商定或确定变更工作的单价。</w:t>
      </w:r>
    </w:p>
    <w:p>
      <w:pPr>
        <w:adjustRightInd w:val="0"/>
        <w:snapToGrid w:val="0"/>
        <w:spacing w:line="360" w:lineRule="auto"/>
        <w:ind w:firstLine="480" w:firstLineChars="200"/>
        <w:rPr>
          <w:sz w:val="24"/>
        </w:rPr>
      </w:pPr>
      <w:r>
        <w:rPr>
          <w:sz w:val="24"/>
        </w:rPr>
        <w:t>15.4.4已标价工程量清单中无适用或类似子目的单价，可在综合考虑承包人在投标时所提供的单价分析表和单价组成表的基础上，由监理人按第3.5款商定或确定变更工作的单价：</w:t>
      </w:r>
    </w:p>
    <w:p>
      <w:pPr>
        <w:adjustRightInd w:val="0"/>
        <w:snapToGrid w:val="0"/>
        <w:spacing w:line="360" w:lineRule="auto"/>
        <w:ind w:firstLine="480" w:firstLineChars="200"/>
        <w:rPr>
          <w:sz w:val="24"/>
        </w:rPr>
      </w:pPr>
      <w:r>
        <w:rPr>
          <w:sz w:val="24"/>
        </w:rPr>
        <w:t>15.4.5如果本工程的变更指示是因承包人过错、承包人违反合同或承包人责任造成的，则这种违约引起的任何额外费用应由承包人承担。</w:t>
      </w:r>
    </w:p>
    <w:p>
      <w:pPr>
        <w:adjustRightInd w:val="0"/>
        <w:snapToGrid w:val="0"/>
        <w:spacing w:beforeLines="100" w:line="360" w:lineRule="auto"/>
        <w:rPr>
          <w:rFonts w:eastAsia="黑体"/>
          <w:sz w:val="24"/>
        </w:rPr>
      </w:pPr>
      <w:r>
        <w:rPr>
          <w:rFonts w:eastAsia="黑体"/>
          <w:sz w:val="24"/>
        </w:rPr>
        <w:t>15.5承包人的合理化建议</w:t>
      </w:r>
    </w:p>
    <w:p>
      <w:pPr>
        <w:adjustRightInd w:val="0"/>
        <w:snapToGrid w:val="0"/>
        <w:spacing w:line="360" w:lineRule="auto"/>
        <w:ind w:firstLine="480" w:firstLineChars="200"/>
        <w:rPr>
          <w:sz w:val="24"/>
        </w:rPr>
      </w:pPr>
      <w:r>
        <w:rPr>
          <w:sz w:val="24"/>
        </w:rPr>
        <w:t>15.5.2项约定为：</w:t>
      </w:r>
    </w:p>
    <w:p>
      <w:pPr>
        <w:adjustRightInd w:val="0"/>
        <w:snapToGrid w:val="0"/>
        <w:spacing w:line="360" w:lineRule="auto"/>
        <w:ind w:firstLine="480" w:firstLineChars="200"/>
        <w:rPr>
          <w:sz w:val="24"/>
        </w:rPr>
      </w:pPr>
      <w:r>
        <w:rPr>
          <w:sz w:val="24"/>
        </w:rPr>
        <w:t>承包人提出的合理化建议缩短了工期，发包人按专用合同条款第11.6款的规定给予奖励。</w:t>
      </w:r>
    </w:p>
    <w:p>
      <w:pPr>
        <w:adjustRightInd w:val="0"/>
        <w:snapToGrid w:val="0"/>
        <w:spacing w:line="360" w:lineRule="auto"/>
        <w:ind w:firstLine="480" w:firstLineChars="200"/>
        <w:rPr>
          <w:sz w:val="24"/>
        </w:rPr>
      </w:pPr>
      <w:r>
        <w:rPr>
          <w:sz w:val="24"/>
        </w:rPr>
        <w:t>承包人提出的合理化建议降低了合同价格或者提高了工程经济效益的，发包人按所节约成本或增加收益的</w:t>
      </w:r>
      <w:r>
        <w:rPr>
          <w:rFonts w:hint="eastAsia"/>
          <w:sz w:val="24"/>
        </w:rPr>
        <w:t>%</w:t>
      </w:r>
      <w:r>
        <w:rPr>
          <w:sz w:val="24"/>
        </w:rPr>
        <w:t>（在项目专用条款数据表中约定）给予奖励。</w:t>
      </w:r>
    </w:p>
    <w:p>
      <w:pPr>
        <w:adjustRightInd w:val="0"/>
        <w:snapToGrid w:val="0"/>
        <w:spacing w:line="360" w:lineRule="auto"/>
        <w:ind w:firstLine="480" w:firstLineChars="200"/>
        <w:rPr>
          <w:sz w:val="24"/>
        </w:rPr>
      </w:pPr>
      <w:r>
        <w:rPr>
          <w:sz w:val="24"/>
        </w:rPr>
        <w:t>15.6暂列金额</w:t>
      </w:r>
    </w:p>
    <w:p>
      <w:pPr>
        <w:adjustRightInd w:val="0"/>
        <w:snapToGrid w:val="0"/>
        <w:spacing w:line="360" w:lineRule="auto"/>
        <w:ind w:firstLine="480" w:firstLineChars="200"/>
        <w:rPr>
          <w:sz w:val="24"/>
        </w:rPr>
      </w:pPr>
      <w:r>
        <w:rPr>
          <w:sz w:val="24"/>
        </w:rPr>
        <w:t>本款细化为：</w:t>
      </w:r>
    </w:p>
    <w:p>
      <w:pPr>
        <w:adjustRightInd w:val="0"/>
        <w:snapToGrid w:val="0"/>
        <w:spacing w:line="360" w:lineRule="auto"/>
        <w:ind w:firstLine="480" w:firstLineChars="200"/>
        <w:rPr>
          <w:sz w:val="24"/>
        </w:rPr>
      </w:pPr>
      <w:r>
        <w:rPr>
          <w:sz w:val="24"/>
        </w:rPr>
        <w:t>15.6.1暂列金额应由监理人报发包人批准后指令全部或部分地使用，或者根本不予动用。承包人有权得到的暂列金额仅限于监理人根据本款规定决定实施的，合同范围以外的工程施工、材料、工程设备、服务的提供等方面的金额。</w:t>
      </w:r>
    </w:p>
    <w:p>
      <w:pPr>
        <w:adjustRightInd w:val="0"/>
        <w:snapToGrid w:val="0"/>
        <w:spacing w:line="360" w:lineRule="auto"/>
        <w:ind w:firstLine="480" w:firstLineChars="200"/>
        <w:rPr>
          <w:sz w:val="24"/>
        </w:rPr>
      </w:pPr>
      <w:r>
        <w:rPr>
          <w:sz w:val="24"/>
        </w:rPr>
        <w:t>15.6.2对于经发包人批准的每一笔暂列金额，监理人有权向承包人发出实施工程或提供材料、工程设备或服务的指令。这些指令应由承包人完成，监理人应根据第15.4款约定的变更估价原则和第15.7款的规定，对合同价格进行相应调整。</w:t>
      </w:r>
    </w:p>
    <w:p>
      <w:pPr>
        <w:adjustRightInd w:val="0"/>
        <w:snapToGrid w:val="0"/>
        <w:spacing w:line="360" w:lineRule="auto"/>
        <w:ind w:firstLine="480" w:firstLineChars="200"/>
        <w:rPr>
          <w:sz w:val="24"/>
        </w:rPr>
      </w:pPr>
      <w:r>
        <w:rPr>
          <w:sz w:val="24"/>
        </w:rPr>
        <w:t>15.6.3当监理人提出要求时，承包人应提供有关暂列金额支出的所有报价单、发票、凭证和账单或收据，除非该工作是根据已标价工程量清单列明的单价或总额价进行的估价。</w:t>
      </w:r>
    </w:p>
    <w:p>
      <w:pPr>
        <w:adjustRightInd w:val="0"/>
        <w:snapToGrid w:val="0"/>
        <w:spacing w:beforeLines="100" w:line="360" w:lineRule="auto"/>
        <w:rPr>
          <w:rFonts w:eastAsia="黑体"/>
          <w:sz w:val="24"/>
        </w:rPr>
      </w:pPr>
      <w:r>
        <w:rPr>
          <w:rFonts w:eastAsia="黑体"/>
          <w:sz w:val="24"/>
        </w:rPr>
        <w:t>15.8暂估价</w:t>
      </w:r>
    </w:p>
    <w:p>
      <w:pPr>
        <w:adjustRightInd w:val="0"/>
        <w:snapToGrid w:val="0"/>
        <w:spacing w:line="360" w:lineRule="auto"/>
        <w:ind w:firstLine="480" w:firstLineChars="200"/>
        <w:rPr>
          <w:sz w:val="24"/>
        </w:rPr>
      </w:pPr>
      <w:r>
        <w:rPr>
          <w:sz w:val="24"/>
        </w:rPr>
        <w:t>15.8.1项补充：</w:t>
      </w:r>
    </w:p>
    <w:p>
      <w:pPr>
        <w:adjustRightInd w:val="0"/>
        <w:snapToGrid w:val="0"/>
        <w:spacing w:line="360" w:lineRule="auto"/>
        <w:ind w:firstLine="480" w:firstLineChars="200"/>
        <w:rPr>
          <w:sz w:val="24"/>
        </w:rPr>
      </w:pPr>
      <w:r>
        <w:rPr>
          <w:sz w:val="24"/>
        </w:rPr>
        <w:t>按照本项规定由发包人和承包人以共同招标的方式选择的分包人或供应商，视为发包人的特殊分包人或供应商，发包人、承包人、特殊分包人（或供应商）三方之间的权利义务关系约定如下：</w:t>
      </w:r>
    </w:p>
    <w:p>
      <w:pPr>
        <w:adjustRightInd w:val="0"/>
        <w:snapToGrid w:val="0"/>
        <w:spacing w:line="360" w:lineRule="auto"/>
        <w:ind w:firstLine="480" w:firstLineChars="200"/>
        <w:rPr>
          <w:sz w:val="24"/>
        </w:rPr>
      </w:pPr>
      <w:r>
        <w:rPr>
          <w:sz w:val="24"/>
        </w:rPr>
        <w:t>（1</w:t>
      </w:r>
      <w:r>
        <w:rPr>
          <w:rFonts w:hint="eastAsia"/>
          <w:sz w:val="24"/>
        </w:rPr>
        <w:t>）</w:t>
      </w:r>
      <w:r>
        <w:rPr>
          <w:sz w:val="24"/>
        </w:rPr>
        <w:t>承包人应与特殊分包人或供应商签订分包合同。</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有关特殊分包的合同中，特殊分包人（或供应商）应独立地承担其合同责任和义务，不使承包人对发包人承担的合同责任和义务受到损害，也不使承包人承担因特殊分包人（或供应商）未能履行责任、义务而引起的索赔、赔偿、诉讼费用及其他开支。承包人对于特殊分包人（或供应商）及其职工的过失而造成的损失不承担任何责任；此外，特殊分包人（或供应商）对承包人的临时工程不能随意使用。</w:t>
      </w:r>
    </w:p>
    <w:p>
      <w:pPr>
        <w:adjustRightInd w:val="0"/>
        <w:snapToGrid w:val="0"/>
        <w:spacing w:line="360" w:lineRule="auto"/>
        <w:ind w:firstLine="480" w:firstLineChars="200"/>
        <w:rPr>
          <w:sz w:val="24"/>
        </w:rPr>
      </w:pPr>
      <w:r>
        <w:rPr>
          <w:sz w:val="24"/>
        </w:rPr>
        <w:t>如果特殊分包合同中含有与上述规定有悖的条款，承包人有权拒绝与此特殊分包人（或供应商）签订合同。</w:t>
      </w:r>
    </w:p>
    <w:p>
      <w:pPr>
        <w:adjustRightInd w:val="0"/>
        <w:snapToGrid w:val="0"/>
        <w:spacing w:line="360" w:lineRule="auto"/>
        <w:ind w:firstLine="480" w:firstLineChars="200"/>
        <w:rPr>
          <w:sz w:val="24"/>
        </w:rPr>
      </w:pPr>
      <w:r>
        <w:rPr>
          <w:sz w:val="24"/>
        </w:rPr>
        <w:t>（3</w:t>
      </w:r>
      <w:r>
        <w:rPr>
          <w:rFonts w:hint="eastAsia"/>
          <w:sz w:val="24"/>
        </w:rPr>
        <w:t>）</w:t>
      </w:r>
      <w:r>
        <w:rPr>
          <w:sz w:val="24"/>
        </w:rPr>
        <w:t>如果要求特殊分包人为本工程或工程中设备提供设计或规范，则这种要求应在特殊的分包合同中写明，并明确：对于提供上述设计与编制规范的特殊分包人的设计错误或失职及引起的一切索赔、诉讼、赔偿，承包人概不负责。</w:t>
      </w:r>
    </w:p>
    <w:p>
      <w:pPr>
        <w:adjustRightInd w:val="0"/>
        <w:snapToGrid w:val="0"/>
        <w:spacing w:line="360" w:lineRule="auto"/>
        <w:ind w:firstLine="480" w:firstLineChars="200"/>
        <w:rPr>
          <w:sz w:val="24"/>
        </w:rPr>
      </w:pPr>
      <w:r>
        <w:rPr>
          <w:rFonts w:hint="eastAsia"/>
          <w:sz w:val="24"/>
        </w:rPr>
        <w:t>（</w:t>
      </w:r>
      <w:r>
        <w:rPr>
          <w:sz w:val="24"/>
        </w:rPr>
        <w:t>4</w:t>
      </w:r>
      <w:r>
        <w:rPr>
          <w:rFonts w:hint="eastAsia"/>
          <w:sz w:val="24"/>
        </w:rPr>
        <w:t>）</w:t>
      </w:r>
      <w:r>
        <w:rPr>
          <w:sz w:val="24"/>
        </w:rPr>
        <w:t>对于特殊分包人或供应商已完成的工程或已提供的货物、材料、设备，承包人应有权得到下述款项：</w:t>
      </w:r>
    </w:p>
    <w:p>
      <w:pPr>
        <w:adjustRightInd w:val="0"/>
        <w:snapToGrid w:val="0"/>
        <w:spacing w:line="360" w:lineRule="auto"/>
        <w:ind w:firstLine="480" w:firstLineChars="200"/>
        <w:rPr>
          <w:sz w:val="24"/>
        </w:rPr>
      </w:pPr>
      <w:r>
        <w:rPr>
          <w:sz w:val="24"/>
        </w:rPr>
        <w:t>a</w:t>
      </w:r>
      <w:r>
        <w:rPr>
          <w:rFonts w:hint="eastAsia"/>
          <w:sz w:val="24"/>
        </w:rPr>
        <w:t>．</w:t>
      </w:r>
      <w:r>
        <w:rPr>
          <w:sz w:val="24"/>
        </w:rPr>
        <w:t>按照监理人的指令，并根据特殊分包合同的约定，由承包人己支付或应支付的实际价款；</w:t>
      </w:r>
    </w:p>
    <w:p>
      <w:pPr>
        <w:adjustRightInd w:val="0"/>
        <w:snapToGrid w:val="0"/>
        <w:spacing w:line="360" w:lineRule="auto"/>
        <w:ind w:firstLine="480" w:firstLineChars="200"/>
        <w:rPr>
          <w:sz w:val="24"/>
        </w:rPr>
      </w:pPr>
      <w:r>
        <w:rPr>
          <w:sz w:val="24"/>
        </w:rPr>
        <w:t>b</w:t>
      </w:r>
      <w:r>
        <w:rPr>
          <w:rFonts w:hint="eastAsia"/>
          <w:sz w:val="24"/>
        </w:rPr>
        <w:t>．</w:t>
      </w:r>
      <w:r>
        <w:rPr>
          <w:sz w:val="24"/>
        </w:rPr>
        <w:t>承包人向特殊分包人已提供的劳务费用，以及承包人对特殊分包人应收取的手续费、利润提成，其金额应按已支付或应支付给特殊分包人的实际价款的某一百分率计算。该百分率在特殊分包合同中由承包人与特殊分包人协商确定，并经监理人和发包人认可。</w:t>
      </w:r>
    </w:p>
    <w:p>
      <w:pPr>
        <w:adjustRightInd w:val="0"/>
        <w:snapToGrid w:val="0"/>
        <w:spacing w:line="360" w:lineRule="auto"/>
        <w:ind w:firstLine="480" w:firstLineChars="200"/>
        <w:rPr>
          <w:sz w:val="24"/>
        </w:rPr>
      </w:pPr>
      <w:r>
        <w:rPr>
          <w:rFonts w:hint="eastAsia"/>
          <w:sz w:val="24"/>
        </w:rPr>
        <w:t>（</w:t>
      </w:r>
      <w:r>
        <w:rPr>
          <w:sz w:val="24"/>
        </w:rPr>
        <w:t>5</w:t>
      </w:r>
      <w:r>
        <w:rPr>
          <w:rFonts w:hint="eastAsia"/>
          <w:sz w:val="24"/>
        </w:rPr>
        <w:t>）</w:t>
      </w:r>
      <w:r>
        <w:rPr>
          <w:sz w:val="24"/>
        </w:rPr>
        <w:t>对于特殊分包人或供应商己完成的工程或已提供的货物、材料或设备款额的支付，监理人在签发进度付款证书之前应要求承包人提供证明，确认先期的付款证书中包含的该特殊分包人的有关费用已由承包人支付；如果承包人未提供这样的证明，发包人亨权根据监理人签发的证书，直接向特殊分包人支付分包合同内规定而承包人未支付的一切款项（扣除质量保证金），并从应付给承包人的款项中将上述款额扣回。监理人在发给承包人下一期的进度付款证书时，应从该证书的支付款额中扣除已由发包人直接支付的款额。</w:t>
      </w:r>
    </w:p>
    <w:p>
      <w:pPr>
        <w:adjustRightInd w:val="0"/>
        <w:snapToGrid w:val="0"/>
        <w:spacing w:beforeLines="100" w:line="360" w:lineRule="auto"/>
        <w:rPr>
          <w:rFonts w:eastAsia="黑体"/>
          <w:sz w:val="24"/>
        </w:rPr>
      </w:pPr>
      <w:r>
        <w:rPr>
          <w:rFonts w:eastAsia="黑体"/>
          <w:sz w:val="24"/>
        </w:rPr>
        <w:t>16</w:t>
      </w:r>
      <w:r>
        <w:rPr>
          <w:rFonts w:hint="eastAsia" w:eastAsia="黑体"/>
          <w:sz w:val="24"/>
        </w:rPr>
        <w:t>．</w:t>
      </w:r>
      <w:r>
        <w:rPr>
          <w:rFonts w:eastAsia="黑体"/>
          <w:sz w:val="24"/>
        </w:rPr>
        <w:t>价格调整</w:t>
      </w:r>
    </w:p>
    <w:p>
      <w:pPr>
        <w:adjustRightInd w:val="0"/>
        <w:snapToGrid w:val="0"/>
        <w:spacing w:line="360" w:lineRule="auto"/>
        <w:rPr>
          <w:rFonts w:eastAsia="黑体"/>
          <w:sz w:val="24"/>
        </w:rPr>
      </w:pPr>
      <w:r>
        <w:rPr>
          <w:rFonts w:eastAsia="黑体"/>
          <w:sz w:val="24"/>
        </w:rPr>
        <w:t>16.1物价波动引起的价格调整</w:t>
      </w:r>
    </w:p>
    <w:p>
      <w:pPr>
        <w:adjustRightInd w:val="0"/>
        <w:snapToGrid w:val="0"/>
        <w:spacing w:line="360" w:lineRule="auto"/>
        <w:ind w:firstLine="480" w:firstLineChars="200"/>
        <w:rPr>
          <w:sz w:val="24"/>
        </w:rPr>
      </w:pPr>
      <w:r>
        <w:rPr>
          <w:sz w:val="24"/>
        </w:rPr>
        <w:t>本款约定为：</w:t>
      </w:r>
    </w:p>
    <w:p>
      <w:pPr>
        <w:adjustRightInd w:val="0"/>
        <w:snapToGrid w:val="0"/>
        <w:spacing w:line="360" w:lineRule="auto"/>
        <w:ind w:firstLine="480" w:firstLineChars="200"/>
        <w:rPr>
          <w:sz w:val="24"/>
        </w:rPr>
      </w:pPr>
      <w:r>
        <w:rPr>
          <w:sz w:val="24"/>
        </w:rPr>
        <w:t>（1</w:t>
      </w:r>
      <w:r>
        <w:rPr>
          <w:rFonts w:hint="eastAsia"/>
          <w:sz w:val="24"/>
        </w:rPr>
        <w:t>）</w:t>
      </w:r>
      <w:r>
        <w:rPr>
          <w:sz w:val="24"/>
        </w:rPr>
        <w:t>因物价波动引起的价格调整按照</w:t>
      </w:r>
      <w:r>
        <w:rPr>
          <w:rFonts w:hint="eastAsia"/>
          <w:sz w:val="24"/>
          <w:u w:val="single"/>
        </w:rPr>
        <w:t>第16.1.1或16.1.2项</w:t>
      </w:r>
      <w:r>
        <w:rPr>
          <w:sz w:val="24"/>
        </w:rPr>
        <w:t>约定的原则处理；或者</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承包人在合同在执行期间（包括工期拖延期间）人工、材料和设备价格的上涨而引起工程施工成本增加</w:t>
      </w:r>
      <w:r>
        <w:rPr>
          <w:rFonts w:hint="eastAsia"/>
          <w:sz w:val="24"/>
        </w:rPr>
        <w:t>或减少</w:t>
      </w:r>
      <w:r>
        <w:rPr>
          <w:sz w:val="24"/>
        </w:rPr>
        <w:t>的风险，</w:t>
      </w:r>
      <w:r>
        <w:rPr>
          <w:rFonts w:hint="eastAsia"/>
          <w:sz w:val="24"/>
        </w:rPr>
        <w:t>由业主和承包商协商解决</w:t>
      </w:r>
      <w:r>
        <w:rPr>
          <w:sz w:val="24"/>
        </w:rPr>
        <w:t>。</w:t>
      </w:r>
    </w:p>
    <w:p>
      <w:pPr>
        <w:adjustRightInd w:val="0"/>
        <w:snapToGrid w:val="0"/>
        <w:spacing w:line="360" w:lineRule="auto"/>
        <w:ind w:firstLine="480" w:firstLineChars="200"/>
        <w:rPr>
          <w:sz w:val="24"/>
        </w:rPr>
      </w:pPr>
      <w:r>
        <w:rPr>
          <w:sz w:val="24"/>
        </w:rPr>
        <w:t>16.1.1采用价格指数调整价格差额</w:t>
      </w:r>
    </w:p>
    <w:p>
      <w:pPr>
        <w:adjustRightInd w:val="0"/>
        <w:snapToGrid w:val="0"/>
        <w:spacing w:line="360" w:lineRule="auto"/>
        <w:ind w:firstLine="480" w:firstLineChars="200"/>
        <w:rPr>
          <w:sz w:val="24"/>
        </w:rPr>
      </w:pPr>
      <w:r>
        <w:rPr>
          <w:sz w:val="24"/>
        </w:rPr>
        <w:t>16.1</w:t>
      </w:r>
      <w:r>
        <w:rPr>
          <w:rFonts w:hint="eastAsia"/>
          <w:sz w:val="24"/>
        </w:rPr>
        <w:t>.</w:t>
      </w:r>
      <w:r>
        <w:rPr>
          <w:sz w:val="24"/>
        </w:rPr>
        <w:t>1</w:t>
      </w:r>
      <w:r>
        <w:rPr>
          <w:rFonts w:hint="eastAsia"/>
          <w:sz w:val="24"/>
        </w:rPr>
        <w:t>.</w:t>
      </w:r>
      <w:r>
        <w:rPr>
          <w:sz w:val="24"/>
        </w:rPr>
        <w:t>1价格调整公式</w:t>
      </w:r>
    </w:p>
    <w:p>
      <w:pPr>
        <w:adjustRightInd w:val="0"/>
        <w:snapToGrid w:val="0"/>
        <w:spacing w:line="360" w:lineRule="auto"/>
        <w:ind w:firstLine="480" w:firstLineChars="200"/>
        <w:rPr>
          <w:sz w:val="24"/>
        </w:rPr>
      </w:pPr>
      <w:r>
        <w:rPr>
          <w:sz w:val="24"/>
        </w:rPr>
        <w:t>本目细化为：</w:t>
      </w:r>
    </w:p>
    <w:p>
      <w:pPr>
        <w:adjustRightInd w:val="0"/>
        <w:snapToGrid w:val="0"/>
        <w:spacing w:line="360" w:lineRule="auto"/>
        <w:ind w:firstLine="480" w:firstLineChars="200"/>
        <w:rPr>
          <w:sz w:val="24"/>
        </w:rPr>
      </w:pPr>
      <w:r>
        <w:rPr>
          <w:sz w:val="24"/>
        </w:rPr>
        <w:t>因人工、材料和设备等价格波动影响合同价格时，根据投标函附录中的价格指数和权重表约定的数据，按以下公式计算差额并调整合同价格。</w:t>
      </w:r>
    </w:p>
    <w:p>
      <w:pPr>
        <w:adjustRightInd w:val="0"/>
        <w:snapToGrid w:val="0"/>
        <w:spacing w:line="312" w:lineRule="auto"/>
        <w:ind w:firstLine="340" w:firstLineChars="100"/>
        <w:rPr>
          <w:rFonts w:ascii="黑体" w:eastAsia="黑体"/>
          <w:sz w:val="40"/>
        </w:rPr>
      </w:pPr>
      <w:r>
        <w:rPr>
          <w:rFonts w:hint="eastAsia" w:ascii="黑体" w:eastAsia="黑体"/>
          <w:sz w:val="34"/>
        </w:rPr>
        <w:t>△</w:t>
      </w:r>
      <w:r>
        <w:rPr>
          <w:rFonts w:eastAsia="黑体"/>
          <w:i/>
          <w:sz w:val="34"/>
        </w:rPr>
        <w:t>P</w:t>
      </w:r>
      <w:r>
        <w:rPr>
          <w:rFonts w:hint="eastAsia" w:ascii="黑体" w:eastAsia="黑体"/>
          <w:sz w:val="40"/>
        </w:rPr>
        <w:t>=</w:t>
      </w:r>
      <w:r>
        <w:rPr>
          <w:rFonts w:eastAsia="黑体"/>
          <w:i/>
          <w:sz w:val="32"/>
        </w:rPr>
        <w:t>P</w:t>
      </w:r>
      <w:r>
        <w:rPr>
          <w:rFonts w:eastAsia="黑体"/>
          <w:sz w:val="32"/>
          <w:vertAlign w:val="subscript"/>
        </w:rPr>
        <w:t>0</w:t>
      </w:r>
      <w:r>
        <w:rPr>
          <w:rFonts w:ascii="黑体" w:eastAsia="黑体"/>
          <w:position w:val="-34"/>
          <w:sz w:val="40"/>
        </w:rPr>
        <w:object>
          <v:shape id="_x0000_i1025" o:spt="75" type="#_x0000_t75" style="height:39.75pt;width:277.5pt;" o:ole="t" filled="f" o:preferrelative="t" stroked="f" coordsize="21600,21600">
            <v:path/>
            <v:fill on="f" focussize="0,0"/>
            <v:stroke on="f" joinstyle="miter"/>
            <v:imagedata r:id="rId15" o:title=""/>
            <o:lock v:ext="edit" aspectratio="t"/>
            <w10:wrap type="none"/>
            <w10:anchorlock/>
          </v:shape>
          <o:OLEObject Type="Embed" ProgID="Equations" ShapeID="_x0000_i1025" DrawAspect="Content" ObjectID="_1468075725" r:id="rId14">
            <o:LockedField>false</o:LockedField>
          </o:OLEObject>
        </w:object>
      </w:r>
    </w:p>
    <w:p>
      <w:pPr>
        <w:adjustRightInd w:val="0"/>
        <w:snapToGrid w:val="0"/>
        <w:spacing w:line="360" w:lineRule="auto"/>
        <w:ind w:firstLine="480" w:firstLineChars="200"/>
        <w:rPr>
          <w:sz w:val="24"/>
        </w:rPr>
      </w:pPr>
      <w:r>
        <w:rPr>
          <w:sz w:val="24"/>
        </w:rPr>
        <w:t>式中：</w:t>
      </w:r>
      <w:r>
        <w:rPr>
          <w:rFonts w:hint="eastAsia" w:ascii="黑体" w:eastAsia="黑体"/>
          <w:sz w:val="28"/>
          <w:szCs w:val="28"/>
        </w:rPr>
        <w:t>△</w:t>
      </w:r>
      <w:r>
        <w:rPr>
          <w:rFonts w:eastAsia="黑体"/>
          <w:i/>
          <w:sz w:val="28"/>
          <w:szCs w:val="28"/>
        </w:rPr>
        <w:t>P</w:t>
      </w:r>
      <w:r>
        <w:rPr>
          <w:sz w:val="24"/>
        </w:rPr>
        <w:t>一需调整的价格差额；</w:t>
      </w:r>
    </w:p>
    <w:p>
      <w:pPr>
        <w:adjustRightInd w:val="0"/>
        <w:snapToGrid w:val="0"/>
        <w:spacing w:line="360" w:lineRule="auto"/>
        <w:ind w:firstLine="480" w:firstLineChars="200"/>
        <w:rPr>
          <w:sz w:val="24"/>
        </w:rPr>
      </w:pPr>
      <w:r>
        <w:rPr>
          <w:sz w:val="24"/>
        </w:rPr>
        <w:t>P。一第17.3.3项、第17.5.2项和第17.6.2项约定的付款证书中承包人应得到的</w:t>
      </w:r>
      <w:r>
        <w:rPr>
          <w:rFonts w:hint="eastAsia"/>
          <w:sz w:val="24"/>
        </w:rPr>
        <w:t>已</w:t>
      </w:r>
      <w:r>
        <w:rPr>
          <w:sz w:val="24"/>
        </w:rPr>
        <w:t>完成工程量的金额。此项金额应不包括价格调整、不计质量保证金的扣留和支付、预付款的支付和扣回。第15条约定的变更及其他金额己按现行价格计价的，也不计在内；</w:t>
      </w:r>
    </w:p>
    <w:p>
      <w:pPr>
        <w:adjustRightInd w:val="0"/>
        <w:snapToGrid w:val="0"/>
        <w:spacing w:line="360" w:lineRule="auto"/>
        <w:ind w:firstLine="480" w:firstLineChars="200"/>
        <w:rPr>
          <w:sz w:val="24"/>
        </w:rPr>
      </w:pPr>
      <w:r>
        <w:rPr>
          <w:sz w:val="24"/>
        </w:rPr>
        <w:t>A</w:t>
      </w:r>
      <w:r>
        <w:rPr>
          <w:rFonts w:hint="eastAsia"/>
          <w:sz w:val="24"/>
        </w:rPr>
        <w:t>--</w:t>
      </w:r>
      <w:r>
        <w:rPr>
          <w:sz w:val="24"/>
        </w:rPr>
        <w:t>定值权重（即不调部分的权重）；</w:t>
      </w:r>
    </w:p>
    <w:p>
      <w:pPr>
        <w:adjustRightInd w:val="0"/>
        <w:snapToGrid w:val="0"/>
        <w:spacing w:line="360" w:lineRule="auto"/>
        <w:ind w:firstLine="480" w:firstLineChars="200"/>
        <w:rPr>
          <w:sz w:val="24"/>
        </w:rPr>
      </w:pPr>
      <w:r>
        <w:rPr>
          <w:sz w:val="24"/>
        </w:rPr>
        <w:t>B</w:t>
      </w:r>
      <w:r>
        <w:rPr>
          <w:sz w:val="24"/>
          <w:vertAlign w:val="subscript"/>
        </w:rPr>
        <w:t>1</w:t>
      </w:r>
      <w:r>
        <w:rPr>
          <w:rFonts w:hint="eastAsia"/>
          <w:sz w:val="24"/>
        </w:rPr>
        <w:t>；</w:t>
      </w:r>
      <w:r>
        <w:rPr>
          <w:sz w:val="24"/>
        </w:rPr>
        <w:t>B</w:t>
      </w:r>
      <w:r>
        <w:rPr>
          <w:rFonts w:hint="eastAsia"/>
          <w:sz w:val="24"/>
          <w:vertAlign w:val="subscript"/>
        </w:rPr>
        <w:t>2</w:t>
      </w:r>
      <w:r>
        <w:rPr>
          <w:rFonts w:hint="eastAsia"/>
          <w:sz w:val="24"/>
        </w:rPr>
        <w:t>；</w:t>
      </w:r>
      <w:r>
        <w:rPr>
          <w:sz w:val="24"/>
        </w:rPr>
        <w:t>B</w:t>
      </w:r>
      <w:r>
        <w:rPr>
          <w:rFonts w:hint="eastAsia"/>
          <w:sz w:val="24"/>
          <w:vertAlign w:val="subscript"/>
        </w:rPr>
        <w:t>3</w:t>
      </w:r>
      <w:r>
        <w:rPr>
          <w:sz w:val="24"/>
        </w:rPr>
        <w:t>...... B</w:t>
      </w:r>
      <w:r>
        <w:rPr>
          <w:rFonts w:hint="eastAsia"/>
          <w:sz w:val="24"/>
          <w:vertAlign w:val="subscript"/>
        </w:rPr>
        <w:t>n</w:t>
      </w:r>
      <w:r>
        <w:rPr>
          <w:rFonts w:hint="eastAsia"/>
          <w:sz w:val="24"/>
        </w:rPr>
        <w:t>--</w:t>
      </w:r>
      <w:r>
        <w:rPr>
          <w:sz w:val="24"/>
        </w:rPr>
        <w:t>各可调因子的变值权重（即可调部分的权重）为各可调因子在投标函投标总报价中所占的比例；</w:t>
      </w:r>
    </w:p>
    <w:p>
      <w:pPr>
        <w:adjustRightInd w:val="0"/>
        <w:snapToGrid w:val="0"/>
        <w:spacing w:line="360" w:lineRule="auto"/>
        <w:ind w:firstLine="480" w:firstLineChars="200"/>
        <w:rPr>
          <w:sz w:val="24"/>
        </w:rPr>
      </w:pPr>
      <w:r>
        <w:rPr>
          <w:sz w:val="24"/>
        </w:rPr>
        <w:t>A=1</w:t>
      </w:r>
      <w:r>
        <w:rPr>
          <w:rFonts w:hint="eastAsia"/>
          <w:sz w:val="24"/>
        </w:rPr>
        <w:t>－</w:t>
      </w:r>
      <w:r>
        <w:rPr>
          <w:sz w:val="24"/>
        </w:rPr>
        <w:t>（B</w:t>
      </w:r>
      <w:r>
        <w:rPr>
          <w:sz w:val="24"/>
          <w:vertAlign w:val="subscript"/>
        </w:rPr>
        <w:t>1</w:t>
      </w:r>
      <w:r>
        <w:rPr>
          <w:sz w:val="24"/>
        </w:rPr>
        <w:t>＋B</w:t>
      </w:r>
      <w:r>
        <w:rPr>
          <w:rFonts w:hint="eastAsia"/>
          <w:sz w:val="24"/>
          <w:vertAlign w:val="subscript"/>
        </w:rPr>
        <w:t>2</w:t>
      </w:r>
      <w:r>
        <w:rPr>
          <w:sz w:val="24"/>
        </w:rPr>
        <w:t>＋B</w:t>
      </w:r>
      <w:r>
        <w:rPr>
          <w:rFonts w:hint="eastAsia"/>
          <w:sz w:val="24"/>
          <w:vertAlign w:val="subscript"/>
        </w:rPr>
        <w:t>3</w:t>
      </w:r>
      <w:r>
        <w:rPr>
          <w:sz w:val="24"/>
        </w:rPr>
        <w:t>＋……＋B</w:t>
      </w:r>
      <w:r>
        <w:rPr>
          <w:rFonts w:hint="eastAsia"/>
          <w:sz w:val="24"/>
          <w:vertAlign w:val="subscript"/>
        </w:rPr>
        <w:t>n</w:t>
      </w:r>
      <w:r>
        <w:rPr>
          <w:sz w:val="24"/>
        </w:rPr>
        <w:t>）；</w:t>
      </w:r>
    </w:p>
    <w:p>
      <w:pPr>
        <w:adjustRightInd w:val="0"/>
        <w:snapToGrid w:val="0"/>
        <w:spacing w:line="360" w:lineRule="auto"/>
        <w:ind w:firstLine="480" w:firstLineChars="200"/>
        <w:rPr>
          <w:sz w:val="24"/>
        </w:rPr>
      </w:pPr>
      <w:r>
        <w:rPr>
          <w:sz w:val="24"/>
        </w:rPr>
        <w:t>F</w:t>
      </w:r>
      <w:r>
        <w:rPr>
          <w:sz w:val="24"/>
          <w:vertAlign w:val="subscript"/>
        </w:rPr>
        <w:t>tl</w:t>
      </w:r>
      <w:r>
        <w:rPr>
          <w:rFonts w:hint="eastAsia"/>
          <w:sz w:val="24"/>
        </w:rPr>
        <w:t>；</w:t>
      </w:r>
      <w:r>
        <w:rPr>
          <w:sz w:val="24"/>
        </w:rPr>
        <w:t>F</w:t>
      </w:r>
      <w:r>
        <w:rPr>
          <w:sz w:val="24"/>
          <w:vertAlign w:val="subscript"/>
        </w:rPr>
        <w:t>t2</w:t>
      </w:r>
      <w:r>
        <w:rPr>
          <w:rFonts w:hint="eastAsia"/>
          <w:sz w:val="24"/>
        </w:rPr>
        <w:t>；</w:t>
      </w:r>
      <w:r>
        <w:rPr>
          <w:sz w:val="24"/>
        </w:rPr>
        <w:t>F</w:t>
      </w:r>
      <w:r>
        <w:rPr>
          <w:sz w:val="24"/>
          <w:vertAlign w:val="subscript"/>
        </w:rPr>
        <w:t>t3</w:t>
      </w:r>
      <w:r>
        <w:rPr>
          <w:sz w:val="24"/>
        </w:rPr>
        <w:t>...... F</w:t>
      </w:r>
      <w:r>
        <w:rPr>
          <w:sz w:val="24"/>
          <w:vertAlign w:val="subscript"/>
        </w:rPr>
        <w:t>tn</w:t>
      </w:r>
      <w:r>
        <w:rPr>
          <w:rFonts w:hint="eastAsia"/>
          <w:sz w:val="24"/>
        </w:rPr>
        <w:t>--</w:t>
      </w:r>
      <w:r>
        <w:rPr>
          <w:sz w:val="24"/>
        </w:rPr>
        <w:t>各可调因子的现行价格指数，指第17.3.3项、第17.5.2项和第17.6.2项约定的付款证书相关周期最后一天的前42天的各可调因子的价格指数；</w:t>
      </w:r>
    </w:p>
    <w:p>
      <w:pPr>
        <w:adjustRightInd w:val="0"/>
        <w:snapToGrid w:val="0"/>
        <w:spacing w:line="360" w:lineRule="auto"/>
        <w:ind w:firstLine="480" w:firstLineChars="200"/>
        <w:rPr>
          <w:sz w:val="24"/>
        </w:rPr>
      </w:pPr>
      <w:r>
        <w:rPr>
          <w:sz w:val="24"/>
        </w:rPr>
        <w:t>F</w:t>
      </w:r>
      <w:r>
        <w:rPr>
          <w:sz w:val="24"/>
          <w:vertAlign w:val="subscript"/>
        </w:rPr>
        <w:t>ol</w:t>
      </w:r>
      <w:r>
        <w:rPr>
          <w:sz w:val="24"/>
        </w:rPr>
        <w:t>；F</w:t>
      </w:r>
      <w:r>
        <w:rPr>
          <w:sz w:val="24"/>
          <w:vertAlign w:val="subscript"/>
        </w:rPr>
        <w:t>o</w:t>
      </w:r>
      <w:r>
        <w:rPr>
          <w:rFonts w:hint="eastAsia"/>
          <w:sz w:val="24"/>
          <w:vertAlign w:val="subscript"/>
        </w:rPr>
        <w:t>2</w:t>
      </w:r>
      <w:r>
        <w:rPr>
          <w:sz w:val="24"/>
        </w:rPr>
        <w:t>；F</w:t>
      </w:r>
      <w:r>
        <w:rPr>
          <w:sz w:val="24"/>
          <w:vertAlign w:val="subscript"/>
        </w:rPr>
        <w:t>o3</w:t>
      </w:r>
      <w:r>
        <w:rPr>
          <w:sz w:val="24"/>
        </w:rPr>
        <w:t>...... F</w:t>
      </w:r>
      <w:r>
        <w:rPr>
          <w:sz w:val="24"/>
          <w:vertAlign w:val="subscript"/>
        </w:rPr>
        <w:t>on</w:t>
      </w:r>
      <w:r>
        <w:rPr>
          <w:rFonts w:hint="eastAsia"/>
          <w:sz w:val="24"/>
        </w:rPr>
        <w:t>--</w:t>
      </w:r>
      <w:r>
        <w:rPr>
          <w:sz w:val="24"/>
        </w:rPr>
        <w:t>各可调因子的基本价格指数，指基准日期的各可调因子的价格指数。</w:t>
      </w:r>
    </w:p>
    <w:p>
      <w:pPr>
        <w:adjustRightInd w:val="0"/>
        <w:snapToGrid w:val="0"/>
        <w:spacing w:line="360" w:lineRule="auto"/>
        <w:ind w:firstLine="480" w:firstLineChars="200"/>
        <w:rPr>
          <w:sz w:val="24"/>
        </w:rPr>
      </w:pPr>
      <w:r>
        <w:rPr>
          <w:sz w:val="24"/>
        </w:rPr>
        <w:t>在采用价格调整公式进行调价时，还应遵守以下规定：</w:t>
      </w:r>
    </w:p>
    <w:p>
      <w:pPr>
        <w:adjustRightInd w:val="0"/>
        <w:snapToGrid w:val="0"/>
        <w:spacing w:line="360" w:lineRule="auto"/>
        <w:ind w:firstLine="480" w:firstLineChars="200"/>
        <w:rPr>
          <w:sz w:val="24"/>
        </w:rPr>
      </w:pPr>
      <w:r>
        <w:rPr>
          <w:sz w:val="24"/>
        </w:rPr>
        <w:t>（1</w:t>
      </w:r>
      <w:r>
        <w:rPr>
          <w:rFonts w:hint="eastAsia"/>
          <w:sz w:val="24"/>
        </w:rPr>
        <w:t>）</w:t>
      </w:r>
      <w:r>
        <w:rPr>
          <w:sz w:val="24"/>
        </w:rPr>
        <w:t>合同价格在投标所在年份不作调整，此后每年按价格调整公式调整一次。</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价格调整公式中的各可调因子、定值权重，以及基本价格指数及其来源由发包人在投标函附录价格指数和权重表中约定。价格指数应首先采用国家或省、自治区、直辖市价格部门或统计部门提供的价格指数，缺乏上述价格指数时，可采用上述部门提供的价格代替。</w:t>
      </w:r>
    </w:p>
    <w:p>
      <w:pPr>
        <w:adjustRightInd w:val="0"/>
        <w:snapToGrid w:val="0"/>
        <w:spacing w:line="360" w:lineRule="auto"/>
        <w:ind w:firstLine="480" w:firstLineChars="200"/>
        <w:rPr>
          <w:sz w:val="24"/>
        </w:rPr>
      </w:pPr>
      <w:r>
        <w:rPr>
          <w:rFonts w:hint="eastAsia"/>
          <w:sz w:val="24"/>
        </w:rPr>
        <w:t>（</w:t>
      </w:r>
      <w:r>
        <w:rPr>
          <w:sz w:val="24"/>
        </w:rPr>
        <w:t>3</w:t>
      </w:r>
      <w:r>
        <w:rPr>
          <w:rFonts w:hint="eastAsia"/>
          <w:sz w:val="24"/>
        </w:rPr>
        <w:t>）</w:t>
      </w:r>
      <w:r>
        <w:rPr>
          <w:sz w:val="24"/>
        </w:rPr>
        <w:t>价格调整公式中的变值权重，由发包人根据项目实际情况测算确定范围，并在招标文件发出前填写；承包人应在投标时在此范围内填写各可调因子的权重，合同实施期间将按此权重进行调价。</w:t>
      </w:r>
    </w:p>
    <w:p>
      <w:pPr>
        <w:adjustRightInd w:val="0"/>
        <w:snapToGrid w:val="0"/>
        <w:spacing w:line="360" w:lineRule="auto"/>
        <w:ind w:firstLine="480" w:firstLineChars="200"/>
        <w:rPr>
          <w:sz w:val="24"/>
        </w:rPr>
      </w:pPr>
      <w:r>
        <w:rPr>
          <w:sz w:val="24"/>
        </w:rPr>
        <w:t>16.1.1.4承包人工期延误后的价格调整</w:t>
      </w:r>
    </w:p>
    <w:p>
      <w:pPr>
        <w:adjustRightInd w:val="0"/>
        <w:snapToGrid w:val="0"/>
        <w:spacing w:line="360" w:lineRule="auto"/>
        <w:ind w:firstLine="480" w:firstLineChars="200"/>
        <w:rPr>
          <w:sz w:val="24"/>
        </w:rPr>
      </w:pPr>
      <w:r>
        <w:rPr>
          <w:sz w:val="24"/>
        </w:rPr>
        <w:t>本目补充：</w:t>
      </w:r>
    </w:p>
    <w:p>
      <w:pPr>
        <w:adjustRightInd w:val="0"/>
        <w:snapToGrid w:val="0"/>
        <w:spacing w:line="360" w:lineRule="auto"/>
        <w:ind w:firstLine="480" w:firstLineChars="200"/>
        <w:rPr>
          <w:sz w:val="24"/>
        </w:rPr>
      </w:pPr>
      <w:r>
        <w:rPr>
          <w:sz w:val="24"/>
        </w:rPr>
        <w:t>但是，对于符合合同条款第11.3款和11．4款规定的合理工期延误，在约定竣工日期到期以后施工的工程，其价格调整计算应采用实际竣工日期所在年份的价格指数作为现行价格指数。</w:t>
      </w:r>
    </w:p>
    <w:p>
      <w:pPr>
        <w:adjustRightInd w:val="0"/>
        <w:snapToGrid w:val="0"/>
        <w:spacing w:beforeLines="100" w:line="360" w:lineRule="auto"/>
        <w:rPr>
          <w:rFonts w:eastAsia="黑体"/>
          <w:sz w:val="24"/>
        </w:rPr>
      </w:pPr>
      <w:r>
        <w:rPr>
          <w:rFonts w:eastAsia="黑体"/>
          <w:sz w:val="24"/>
        </w:rPr>
        <w:t>17</w:t>
      </w:r>
      <w:r>
        <w:rPr>
          <w:rFonts w:hint="eastAsia" w:eastAsia="黑体"/>
          <w:sz w:val="24"/>
        </w:rPr>
        <w:t>．</w:t>
      </w:r>
      <w:r>
        <w:rPr>
          <w:rFonts w:eastAsia="黑体"/>
          <w:sz w:val="24"/>
        </w:rPr>
        <w:t>计量与支付</w:t>
      </w:r>
    </w:p>
    <w:p>
      <w:pPr>
        <w:adjustRightInd w:val="0"/>
        <w:snapToGrid w:val="0"/>
        <w:spacing w:line="360" w:lineRule="auto"/>
        <w:rPr>
          <w:rFonts w:eastAsia="黑体"/>
          <w:sz w:val="24"/>
        </w:rPr>
      </w:pPr>
      <w:r>
        <w:rPr>
          <w:rFonts w:eastAsia="黑体"/>
          <w:sz w:val="24"/>
        </w:rPr>
        <w:t>17</w:t>
      </w:r>
      <w:r>
        <w:rPr>
          <w:rFonts w:hint="eastAsia" w:eastAsia="黑体"/>
          <w:sz w:val="24"/>
        </w:rPr>
        <w:t>.</w:t>
      </w:r>
      <w:r>
        <w:rPr>
          <w:rFonts w:eastAsia="黑体"/>
          <w:sz w:val="24"/>
        </w:rPr>
        <w:t>1计量</w:t>
      </w:r>
    </w:p>
    <w:p>
      <w:pPr>
        <w:adjustRightInd w:val="0"/>
        <w:snapToGrid w:val="0"/>
        <w:spacing w:line="360" w:lineRule="auto"/>
        <w:ind w:firstLine="480" w:firstLineChars="200"/>
        <w:rPr>
          <w:sz w:val="24"/>
        </w:rPr>
      </w:pPr>
      <w:r>
        <w:rPr>
          <w:sz w:val="24"/>
        </w:rPr>
        <w:t>17.1.2计量方法</w:t>
      </w:r>
    </w:p>
    <w:p>
      <w:pPr>
        <w:adjustRightInd w:val="0"/>
        <w:snapToGrid w:val="0"/>
        <w:spacing w:line="360" w:lineRule="auto"/>
        <w:ind w:firstLine="480" w:firstLineChars="200"/>
        <w:rPr>
          <w:sz w:val="24"/>
        </w:rPr>
      </w:pPr>
      <w:r>
        <w:rPr>
          <w:sz w:val="24"/>
        </w:rPr>
        <w:t>本项约定为：</w:t>
      </w:r>
    </w:p>
    <w:p>
      <w:pPr>
        <w:adjustRightInd w:val="0"/>
        <w:snapToGrid w:val="0"/>
        <w:spacing w:line="360" w:lineRule="auto"/>
        <w:ind w:firstLine="480" w:firstLineChars="200"/>
        <w:rPr>
          <w:sz w:val="24"/>
        </w:rPr>
      </w:pPr>
      <w:r>
        <w:rPr>
          <w:sz w:val="24"/>
        </w:rPr>
        <w:t>工程的计量应以净值为准，除非本合同另有约定。工程量清单中各个子目的具体计量方法按本合同文件技术标准与要求中的规定执行。</w:t>
      </w:r>
    </w:p>
    <w:p>
      <w:pPr>
        <w:adjustRightInd w:val="0"/>
        <w:snapToGrid w:val="0"/>
        <w:spacing w:line="360" w:lineRule="auto"/>
        <w:ind w:firstLine="480" w:firstLineChars="200"/>
        <w:rPr>
          <w:sz w:val="24"/>
        </w:rPr>
      </w:pPr>
      <w:r>
        <w:rPr>
          <w:sz w:val="24"/>
        </w:rPr>
        <w:t>17.1.4单价子目的计量</w:t>
      </w:r>
    </w:p>
    <w:p>
      <w:pPr>
        <w:adjustRightInd w:val="0"/>
        <w:snapToGrid w:val="0"/>
        <w:spacing w:line="360" w:lineRule="auto"/>
        <w:ind w:firstLine="480" w:firstLineChars="200"/>
        <w:rPr>
          <w:sz w:val="24"/>
        </w:rPr>
      </w:pPr>
      <w:r>
        <w:rPr>
          <w:sz w:val="24"/>
        </w:rPr>
        <w:t>本目补充：</w:t>
      </w:r>
    </w:p>
    <w:p>
      <w:pPr>
        <w:adjustRightInd w:val="0"/>
        <w:snapToGrid w:val="0"/>
        <w:spacing w:line="360" w:lineRule="auto"/>
        <w:ind w:firstLine="480" w:firstLineChars="200"/>
        <w:rPr>
          <w:sz w:val="24"/>
        </w:rPr>
      </w:pPr>
      <w:r>
        <w:rPr>
          <w:rFonts w:hint="eastAsia"/>
          <w:sz w:val="24"/>
        </w:rPr>
        <w:t>（</w:t>
      </w:r>
      <w:r>
        <w:rPr>
          <w:sz w:val="24"/>
        </w:rPr>
        <w:t>7</w:t>
      </w:r>
      <w:r>
        <w:rPr>
          <w:rFonts w:hint="eastAsia"/>
          <w:sz w:val="24"/>
        </w:rPr>
        <w:t>）</w:t>
      </w:r>
      <w:r>
        <w:rPr>
          <w:sz w:val="24"/>
        </w:rPr>
        <w:t>承包人未在已标价工程量清单中填入单价或总额价的工程子目，将被认为其己包含在本合同的其他子目的单价和总额价中，发包人将不另行支付。</w:t>
      </w:r>
    </w:p>
    <w:p>
      <w:pPr>
        <w:adjustRightInd w:val="0"/>
        <w:snapToGrid w:val="0"/>
        <w:spacing w:line="360" w:lineRule="auto"/>
        <w:ind w:firstLine="480" w:firstLineChars="200"/>
        <w:rPr>
          <w:sz w:val="24"/>
        </w:rPr>
      </w:pPr>
      <w:r>
        <w:rPr>
          <w:rFonts w:hint="eastAsia"/>
          <w:sz w:val="24"/>
        </w:rPr>
        <w:t>17.1.6 路面养护期计量方法</w:t>
      </w:r>
    </w:p>
    <w:p>
      <w:pPr>
        <w:adjustRightInd w:val="0"/>
        <w:snapToGrid w:val="0"/>
        <w:spacing w:line="360" w:lineRule="auto"/>
        <w:ind w:firstLine="480" w:firstLineChars="200"/>
        <w:rPr>
          <w:sz w:val="24"/>
        </w:rPr>
      </w:pPr>
      <w:r>
        <w:rPr>
          <w:rFonts w:hint="eastAsia"/>
          <w:sz w:val="24"/>
        </w:rPr>
        <w:t>（一）路面养护所有工作内容包含在综合报价中，不单独计量支付。</w:t>
      </w:r>
    </w:p>
    <w:p>
      <w:pPr>
        <w:adjustRightInd w:val="0"/>
        <w:snapToGrid w:val="0"/>
        <w:spacing w:line="360" w:lineRule="auto"/>
        <w:ind w:firstLine="480" w:firstLineChars="200"/>
        <w:rPr>
          <w:sz w:val="24"/>
        </w:rPr>
      </w:pPr>
      <w:r>
        <w:rPr>
          <w:rFonts w:hint="eastAsia"/>
          <w:sz w:val="24"/>
        </w:rPr>
        <w:t>（二</w:t>
      </w:r>
      <w:r>
        <w:rPr>
          <w:sz w:val="24"/>
        </w:rPr>
        <w:t>）</w:t>
      </w:r>
      <w:r>
        <w:rPr>
          <w:rFonts w:hint="eastAsia"/>
          <w:sz w:val="24"/>
        </w:rPr>
        <w:t>招标人将通过国际平整度指数（IRI）指标和综合养护指数（包括路面状况和日常管理状况）对承包人的养护施工行为进行控制（即“双控”）。自承包人进场之日起，每十二个月为一养护年度，每六个月为一计量周期。</w:t>
      </w:r>
    </w:p>
    <w:p>
      <w:pPr>
        <w:adjustRightInd w:val="0"/>
        <w:snapToGrid w:val="0"/>
        <w:spacing w:line="360" w:lineRule="auto"/>
        <w:ind w:firstLine="480" w:firstLineChars="200"/>
        <w:rPr>
          <w:sz w:val="24"/>
        </w:rPr>
      </w:pPr>
      <w:r>
        <w:rPr>
          <w:rFonts w:hint="eastAsia"/>
          <w:sz w:val="24"/>
        </w:rPr>
        <w:t>（1）除了合同另有规定外，所有计量单位均为公制；</w:t>
      </w:r>
    </w:p>
    <w:p>
      <w:pPr>
        <w:adjustRightInd w:val="0"/>
        <w:snapToGrid w:val="0"/>
        <w:spacing w:line="360" w:lineRule="auto"/>
        <w:ind w:firstLine="480" w:firstLineChars="200"/>
        <w:rPr>
          <w:sz w:val="24"/>
        </w:rPr>
      </w:pPr>
      <w:r>
        <w:rPr>
          <w:rFonts w:hint="eastAsia"/>
          <w:sz w:val="24"/>
        </w:rPr>
        <w:t>（2）工程的计量按计量周期进行支付，业主将按照合同规定对承包人标段的养护工作进行检评，检查评分标准及养护指标评定按照业主和监理工程师根据合同文件制订的细则执行；</w:t>
      </w:r>
    </w:p>
    <w:p>
      <w:pPr>
        <w:adjustRightInd w:val="0"/>
        <w:snapToGrid w:val="0"/>
        <w:spacing w:line="360" w:lineRule="auto"/>
        <w:ind w:firstLine="480" w:firstLineChars="200"/>
        <w:rPr>
          <w:sz w:val="24"/>
        </w:rPr>
      </w:pPr>
      <w:r>
        <w:rPr>
          <w:rFonts w:hint="eastAsia"/>
          <w:sz w:val="24"/>
        </w:rPr>
        <w:t>（3）每次计量支付基数为年度养护费用的百分比值，分别按照养护年度第一次计量40%，第二次计量60%；</w:t>
      </w:r>
    </w:p>
    <w:p>
      <w:pPr>
        <w:adjustRightInd w:val="0"/>
        <w:snapToGrid w:val="0"/>
        <w:spacing w:line="360" w:lineRule="auto"/>
        <w:ind w:firstLine="480" w:firstLineChars="200"/>
        <w:rPr>
          <w:sz w:val="24"/>
        </w:rPr>
      </w:pPr>
      <w:r>
        <w:rPr>
          <w:rFonts w:hint="eastAsia"/>
          <w:sz w:val="24"/>
        </w:rPr>
        <w:t>（4）按照有关规定，IRI指数每年检测两次，每次检测的IRI指数指标值作为本期和上期计量的控制指标，具体如下：（应该根据实际情况测算和预测，以下举例说明）</w:t>
      </w:r>
    </w:p>
    <w:p>
      <w:pPr>
        <w:adjustRightInd w:val="0"/>
        <w:snapToGrid w:val="0"/>
        <w:spacing w:line="360" w:lineRule="auto"/>
        <w:ind w:firstLine="480" w:firstLineChars="200"/>
        <w:rPr>
          <w:sz w:val="24"/>
        </w:rPr>
      </w:pPr>
      <w:r>
        <w:rPr>
          <w:rFonts w:hint="eastAsia"/>
          <w:sz w:val="24"/>
        </w:rPr>
        <w:t>第一养护年度，IRI指数须达到：IRI≤1.3</w:t>
      </w:r>
    </w:p>
    <w:p>
      <w:pPr>
        <w:adjustRightInd w:val="0"/>
        <w:snapToGrid w:val="0"/>
        <w:spacing w:line="360" w:lineRule="auto"/>
        <w:ind w:firstLine="480" w:firstLineChars="200"/>
        <w:rPr>
          <w:sz w:val="24"/>
        </w:rPr>
      </w:pPr>
      <w:r>
        <w:rPr>
          <w:rFonts w:hint="eastAsia"/>
          <w:sz w:val="24"/>
        </w:rPr>
        <w:t>a.当1.3＜IRI≤1.4时，扣除该期计量的10%；</w:t>
      </w:r>
    </w:p>
    <w:p>
      <w:pPr>
        <w:adjustRightInd w:val="0"/>
        <w:snapToGrid w:val="0"/>
        <w:spacing w:line="360" w:lineRule="auto"/>
        <w:ind w:firstLine="480" w:firstLineChars="200"/>
        <w:rPr>
          <w:sz w:val="24"/>
        </w:rPr>
      </w:pPr>
      <w:r>
        <w:rPr>
          <w:rFonts w:hint="eastAsia"/>
          <w:sz w:val="24"/>
        </w:rPr>
        <w:t>b.当1.4＜IRI≤1.5时，以1.4为基数，再扣除该期计量的10%，责令承包人更换技术和质量负责人，并向其公司通报；</w:t>
      </w:r>
    </w:p>
    <w:p>
      <w:pPr>
        <w:adjustRightInd w:val="0"/>
        <w:snapToGrid w:val="0"/>
        <w:spacing w:line="360" w:lineRule="auto"/>
        <w:ind w:firstLine="480" w:firstLineChars="200"/>
        <w:rPr>
          <w:sz w:val="24"/>
        </w:rPr>
      </w:pPr>
      <w:r>
        <w:rPr>
          <w:rFonts w:hint="eastAsia"/>
          <w:sz w:val="24"/>
        </w:rPr>
        <w:t>c.当IRI＞1.5时，将视为承包人违约，扣除该期计量，解除合同，并追究承包人的违约责任。</w:t>
      </w:r>
    </w:p>
    <w:p>
      <w:pPr>
        <w:adjustRightInd w:val="0"/>
        <w:snapToGrid w:val="0"/>
        <w:spacing w:line="360" w:lineRule="auto"/>
        <w:ind w:firstLine="480" w:firstLineChars="200"/>
        <w:rPr>
          <w:sz w:val="24"/>
        </w:rPr>
      </w:pPr>
      <w:r>
        <w:rPr>
          <w:rFonts w:hint="eastAsia"/>
          <w:sz w:val="24"/>
        </w:rPr>
        <w:t>第二养护年度，IRI指数须≤1.4</w:t>
      </w:r>
    </w:p>
    <w:p>
      <w:pPr>
        <w:adjustRightInd w:val="0"/>
        <w:snapToGrid w:val="0"/>
        <w:spacing w:line="360" w:lineRule="auto"/>
        <w:ind w:firstLine="480" w:firstLineChars="200"/>
        <w:rPr>
          <w:sz w:val="24"/>
        </w:rPr>
      </w:pPr>
      <w:r>
        <w:rPr>
          <w:rFonts w:hint="eastAsia"/>
          <w:sz w:val="24"/>
        </w:rPr>
        <w:t>a.当1.4＜IRI≤1.5时，扣除该期计量的10%；</w:t>
      </w:r>
    </w:p>
    <w:p>
      <w:pPr>
        <w:adjustRightInd w:val="0"/>
        <w:snapToGrid w:val="0"/>
        <w:spacing w:line="360" w:lineRule="auto"/>
        <w:ind w:firstLine="480" w:firstLineChars="200"/>
        <w:rPr>
          <w:sz w:val="24"/>
        </w:rPr>
      </w:pPr>
      <w:r>
        <w:rPr>
          <w:rFonts w:hint="eastAsia"/>
          <w:sz w:val="24"/>
        </w:rPr>
        <w:t>b.当1.5＜IRI≤1.6时，以1.5为基数，再扣除该期计量的10%，责令承包人更换技术和质量负责人，并向其公司通报；</w:t>
      </w:r>
    </w:p>
    <w:p>
      <w:pPr>
        <w:adjustRightInd w:val="0"/>
        <w:snapToGrid w:val="0"/>
        <w:spacing w:line="360" w:lineRule="auto"/>
        <w:ind w:firstLine="480" w:firstLineChars="200"/>
        <w:rPr>
          <w:sz w:val="24"/>
        </w:rPr>
      </w:pPr>
      <w:r>
        <w:rPr>
          <w:rFonts w:hint="eastAsia"/>
          <w:sz w:val="24"/>
        </w:rPr>
        <w:t>c.当IRI＞1.6时，将视为承包人违约，扣除该期计量，解除合同，并追究承包人的违约责任。</w:t>
      </w:r>
    </w:p>
    <w:p>
      <w:pPr>
        <w:adjustRightInd w:val="0"/>
        <w:snapToGrid w:val="0"/>
        <w:spacing w:line="360" w:lineRule="auto"/>
        <w:ind w:firstLine="480" w:firstLineChars="200"/>
        <w:rPr>
          <w:sz w:val="24"/>
        </w:rPr>
      </w:pPr>
      <w:r>
        <w:rPr>
          <w:rFonts w:hint="eastAsia"/>
          <w:sz w:val="24"/>
        </w:rPr>
        <w:t>第三养护年度，IRI指数须达到：IRI≤1.5</w:t>
      </w:r>
    </w:p>
    <w:p>
      <w:pPr>
        <w:adjustRightInd w:val="0"/>
        <w:snapToGrid w:val="0"/>
        <w:spacing w:line="360" w:lineRule="auto"/>
        <w:ind w:firstLine="480" w:firstLineChars="200"/>
        <w:rPr>
          <w:sz w:val="24"/>
        </w:rPr>
      </w:pPr>
      <w:r>
        <w:rPr>
          <w:rFonts w:hint="eastAsia"/>
          <w:sz w:val="24"/>
        </w:rPr>
        <w:t>a.当1.5＜IRI≤1.6时，扣除该期计量的10%；</w:t>
      </w:r>
    </w:p>
    <w:p>
      <w:pPr>
        <w:adjustRightInd w:val="0"/>
        <w:snapToGrid w:val="0"/>
        <w:spacing w:line="360" w:lineRule="auto"/>
        <w:ind w:firstLine="480" w:firstLineChars="200"/>
        <w:rPr>
          <w:sz w:val="24"/>
        </w:rPr>
      </w:pPr>
      <w:r>
        <w:rPr>
          <w:rFonts w:hint="eastAsia"/>
          <w:sz w:val="24"/>
        </w:rPr>
        <w:t>b.当1.6＜IRI≤1.7时，以1.6为基数，再扣除该期计量的10%，责令承包人更换技术和质量负责人，并向其公司通报；</w:t>
      </w:r>
    </w:p>
    <w:p>
      <w:pPr>
        <w:adjustRightInd w:val="0"/>
        <w:snapToGrid w:val="0"/>
        <w:spacing w:line="360" w:lineRule="auto"/>
        <w:ind w:firstLine="480" w:firstLineChars="200"/>
        <w:rPr>
          <w:sz w:val="24"/>
        </w:rPr>
      </w:pPr>
      <w:r>
        <w:rPr>
          <w:rFonts w:hint="eastAsia"/>
          <w:sz w:val="24"/>
        </w:rPr>
        <w:t>c.当IRI＞1.7时，将视为承包人违约，扣除该期计量，解除合同，并追究承包人的违约责任。</w:t>
      </w:r>
    </w:p>
    <w:p>
      <w:pPr>
        <w:spacing w:line="360" w:lineRule="auto"/>
        <w:ind w:firstLine="470" w:firstLineChars="196"/>
        <w:rPr>
          <w:sz w:val="24"/>
        </w:rPr>
      </w:pPr>
      <w:r>
        <w:rPr>
          <w:rFonts w:hint="eastAsia"/>
          <w:sz w:val="24"/>
        </w:rPr>
        <w:t>每次检测IRI值小于规定值的，给予全额计量。</w:t>
      </w:r>
    </w:p>
    <w:p>
      <w:pPr>
        <w:spacing w:line="360" w:lineRule="auto"/>
        <w:ind w:firstLine="470" w:firstLineChars="196"/>
        <w:rPr>
          <w:sz w:val="24"/>
        </w:rPr>
      </w:pPr>
      <w:r>
        <w:rPr>
          <w:rFonts w:hint="eastAsia"/>
          <w:sz w:val="24"/>
        </w:rPr>
        <w:t>（5）在一个计量周期内，每一季度综合养护指数值均不低于96分的，给予全额计量；一个计量周期内，两次季度平均综合养护指数值低于96分的：</w:t>
      </w:r>
    </w:p>
    <w:p>
      <w:pPr>
        <w:spacing w:line="360" w:lineRule="auto"/>
        <w:ind w:firstLine="470" w:firstLineChars="196"/>
        <w:rPr>
          <w:sz w:val="24"/>
        </w:rPr>
      </w:pPr>
      <w:r>
        <w:rPr>
          <w:rFonts w:hint="eastAsia"/>
          <w:sz w:val="24"/>
        </w:rPr>
        <w:t>当96.0＞综合养护指数值≥94.0时，每降低0.5分，扣除当期计量的5％；</w:t>
      </w:r>
    </w:p>
    <w:p>
      <w:pPr>
        <w:spacing w:line="360" w:lineRule="auto"/>
        <w:ind w:firstLine="470" w:firstLineChars="196"/>
        <w:rPr>
          <w:sz w:val="24"/>
        </w:rPr>
      </w:pPr>
      <w:r>
        <w:rPr>
          <w:rFonts w:hint="eastAsia"/>
          <w:sz w:val="24"/>
        </w:rPr>
        <w:t>当94.0＞综合养护指数值≥92.0时，以94分为基数，每降低0.5分，再扣除当期计量的10％，并要求承包商在规定的时间内更换项目经理和技术负责人；</w:t>
      </w:r>
    </w:p>
    <w:p>
      <w:pPr>
        <w:spacing w:line="360" w:lineRule="auto"/>
        <w:ind w:firstLine="470" w:firstLineChars="196"/>
        <w:rPr>
          <w:sz w:val="24"/>
        </w:rPr>
      </w:pPr>
      <w:r>
        <w:rPr>
          <w:rFonts w:hint="eastAsia"/>
          <w:sz w:val="24"/>
        </w:rPr>
        <w:t>当任一季度综合养护指数值≤92时，将视为承包商违约，业主将扣除承包商本期所有计量，并予以解除合同。</w:t>
      </w:r>
    </w:p>
    <w:p>
      <w:pPr>
        <w:spacing w:line="360" w:lineRule="auto"/>
        <w:ind w:firstLine="470" w:firstLineChars="196"/>
        <w:rPr>
          <w:sz w:val="24"/>
        </w:rPr>
      </w:pPr>
      <w:r>
        <w:rPr>
          <w:rFonts w:hint="eastAsia"/>
          <w:sz w:val="24"/>
        </w:rPr>
        <w:t>（6）以上国际平整度指数（IRI</w:t>
      </w:r>
      <w:r>
        <w:rPr>
          <w:sz w:val="24"/>
        </w:rPr>
        <w:t>）</w:t>
      </w:r>
      <w:r>
        <w:rPr>
          <w:rFonts w:hint="eastAsia"/>
          <w:sz w:val="24"/>
        </w:rPr>
        <w:t>和综合养护指数实行双控，任一指标低于规定值，均按照上述要求处罚，并且实行以上处罚时不免除合同规定的其它处罚。</w:t>
      </w:r>
    </w:p>
    <w:p>
      <w:pPr>
        <w:spacing w:line="360" w:lineRule="auto"/>
        <w:ind w:firstLine="470" w:firstLineChars="196"/>
        <w:rPr>
          <w:sz w:val="24"/>
        </w:rPr>
      </w:pPr>
      <w:r>
        <w:rPr>
          <w:rFonts w:hint="eastAsia"/>
          <w:sz w:val="24"/>
        </w:rPr>
        <w:t>（7</w:t>
      </w:r>
      <w:r>
        <w:rPr>
          <w:sz w:val="24"/>
        </w:rPr>
        <w:t>）</w:t>
      </w:r>
      <w:r>
        <w:rPr>
          <w:rFonts w:hint="eastAsia"/>
          <w:sz w:val="24"/>
        </w:rPr>
        <w:t>以上国际平整度指数（IRI）以检测单位检测的数据为准，综合养护指数以业主和监理工程师按照合同规定汇总计算的数值为准。</w:t>
      </w:r>
    </w:p>
    <w:p>
      <w:pPr>
        <w:adjustRightInd w:val="0"/>
        <w:snapToGrid w:val="0"/>
        <w:spacing w:beforeLines="100" w:line="360" w:lineRule="auto"/>
        <w:rPr>
          <w:rFonts w:eastAsia="黑体"/>
          <w:sz w:val="24"/>
        </w:rPr>
      </w:pPr>
      <w:r>
        <w:rPr>
          <w:rFonts w:eastAsia="黑体"/>
          <w:sz w:val="24"/>
        </w:rPr>
        <w:t>17.2预付款</w:t>
      </w:r>
    </w:p>
    <w:p>
      <w:pPr>
        <w:adjustRightInd w:val="0"/>
        <w:snapToGrid w:val="0"/>
        <w:spacing w:line="360" w:lineRule="auto"/>
        <w:ind w:firstLine="480" w:firstLineChars="200"/>
        <w:rPr>
          <w:sz w:val="24"/>
        </w:rPr>
      </w:pPr>
      <w:r>
        <w:rPr>
          <w:sz w:val="24"/>
        </w:rPr>
        <w:t>17.2.1预付款</w:t>
      </w:r>
    </w:p>
    <w:p>
      <w:pPr>
        <w:adjustRightInd w:val="0"/>
        <w:snapToGrid w:val="0"/>
        <w:spacing w:line="360" w:lineRule="auto"/>
        <w:ind w:firstLine="480" w:firstLineChars="200"/>
        <w:rPr>
          <w:sz w:val="24"/>
        </w:rPr>
      </w:pPr>
      <w:r>
        <w:rPr>
          <w:sz w:val="24"/>
        </w:rPr>
        <w:t>本项约定的预付款包括开工预付款和材料、设备预付款。具体额度和预付办法如下：</w:t>
      </w:r>
    </w:p>
    <w:p>
      <w:pPr>
        <w:adjustRightInd w:val="0"/>
        <w:snapToGrid w:val="0"/>
        <w:spacing w:line="360" w:lineRule="auto"/>
        <w:ind w:firstLine="480" w:firstLineChars="200"/>
        <w:rPr>
          <w:sz w:val="24"/>
        </w:rPr>
      </w:pPr>
      <w:r>
        <w:rPr>
          <w:rFonts w:hint="eastAsia"/>
          <w:sz w:val="24"/>
        </w:rPr>
        <w:t>（</w:t>
      </w:r>
      <w:r>
        <w:rPr>
          <w:sz w:val="24"/>
        </w:rPr>
        <w:t>1</w:t>
      </w:r>
      <w:r>
        <w:rPr>
          <w:rFonts w:hint="eastAsia"/>
          <w:sz w:val="24"/>
        </w:rPr>
        <w:t>）</w:t>
      </w:r>
      <w:r>
        <w:rPr>
          <w:sz w:val="24"/>
        </w:rPr>
        <w:t>开工预付款的额度为签约合同价的</w:t>
      </w:r>
      <w:r>
        <w:rPr>
          <w:rFonts w:hint="eastAsia"/>
          <w:sz w:val="24"/>
          <w:u w:val="single"/>
        </w:rPr>
        <w:t xml:space="preserve"> 10 </w:t>
      </w:r>
      <w:r>
        <w:rPr>
          <w:sz w:val="24"/>
        </w:rPr>
        <w:t>％（在项目专用合同条款中约定）。在承包人签订了合同协议书并提交了开工预付款保函后，监理人应在当期进度付款证书中向承包人支付开工预付款的70%的价款；在投标文件载明的主要设备进场后，再支付预付款30%。</w:t>
      </w:r>
    </w:p>
    <w:p>
      <w:pPr>
        <w:adjustRightInd w:val="0"/>
        <w:snapToGrid w:val="0"/>
        <w:spacing w:line="360" w:lineRule="auto"/>
        <w:ind w:firstLine="480" w:firstLineChars="200"/>
        <w:rPr>
          <w:sz w:val="24"/>
        </w:rPr>
      </w:pPr>
      <w:r>
        <w:rPr>
          <w:sz w:val="24"/>
        </w:rPr>
        <w:t>承包人不得将该预付款用于与本工程无关的支出，监理人有权监督承包人对该项费用的使用，如经查实承包人滥用开工预付款，发包人有权立即通过向银行发出通知收回开工预付款保函的方式，将该款收回。</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材料、设备预付款的额度为项目专用合同条款中所列主要材料、设备单据费用（进口的材料、设备为到岸价，国内采购的为出厂价或销售价，地方材料为堆场价）的</w:t>
      </w:r>
      <w:r>
        <w:rPr>
          <w:rFonts w:hint="eastAsia"/>
          <w:sz w:val="24"/>
          <w:u w:val="single"/>
        </w:rPr>
        <w:t xml:space="preserve"> 10  </w:t>
      </w:r>
      <w:r>
        <w:rPr>
          <w:sz w:val="24"/>
        </w:rPr>
        <w:t>％（在项目专用条款数据表中约定）。其预付条件为：</w:t>
      </w:r>
    </w:p>
    <w:p>
      <w:pPr>
        <w:adjustRightInd w:val="0"/>
        <w:snapToGrid w:val="0"/>
        <w:spacing w:line="360" w:lineRule="auto"/>
        <w:ind w:firstLine="480" w:firstLineChars="200"/>
        <w:rPr>
          <w:sz w:val="24"/>
        </w:rPr>
      </w:pPr>
      <w:r>
        <w:rPr>
          <w:sz w:val="24"/>
        </w:rPr>
        <w:t>a</w:t>
      </w:r>
      <w:r>
        <w:rPr>
          <w:rFonts w:hint="eastAsia"/>
          <w:sz w:val="24"/>
        </w:rPr>
        <w:t>．</w:t>
      </w:r>
      <w:r>
        <w:rPr>
          <w:sz w:val="24"/>
        </w:rPr>
        <w:t>材料、设备符合规范要求并经监理人认可；</w:t>
      </w:r>
    </w:p>
    <w:p>
      <w:pPr>
        <w:adjustRightInd w:val="0"/>
        <w:snapToGrid w:val="0"/>
        <w:spacing w:line="360" w:lineRule="auto"/>
        <w:ind w:firstLine="480" w:firstLineChars="200"/>
        <w:rPr>
          <w:sz w:val="24"/>
        </w:rPr>
      </w:pPr>
      <w:r>
        <w:rPr>
          <w:sz w:val="24"/>
        </w:rPr>
        <w:t>b</w:t>
      </w:r>
      <w:r>
        <w:rPr>
          <w:rFonts w:hint="eastAsia"/>
          <w:sz w:val="24"/>
        </w:rPr>
        <w:t>．</w:t>
      </w:r>
      <w:r>
        <w:rPr>
          <w:sz w:val="24"/>
        </w:rPr>
        <w:t>承包人已出具材料、设备费用凭证或支付单据；以及</w:t>
      </w:r>
    </w:p>
    <w:p>
      <w:pPr>
        <w:adjustRightInd w:val="0"/>
        <w:snapToGrid w:val="0"/>
        <w:spacing w:line="360" w:lineRule="auto"/>
        <w:ind w:firstLine="480" w:firstLineChars="200"/>
        <w:rPr>
          <w:sz w:val="24"/>
        </w:rPr>
      </w:pPr>
      <w:r>
        <w:rPr>
          <w:sz w:val="24"/>
        </w:rPr>
        <w:t>c</w:t>
      </w:r>
      <w:r>
        <w:rPr>
          <w:rFonts w:hint="eastAsia"/>
          <w:sz w:val="24"/>
        </w:rPr>
        <w:t>．</w:t>
      </w:r>
      <w:r>
        <w:rPr>
          <w:sz w:val="24"/>
        </w:rPr>
        <w:t>材料、设备已在现场交货，且存储良好，监理人认为材料、设备的存储方法符合要求。</w:t>
      </w:r>
    </w:p>
    <w:p>
      <w:pPr>
        <w:adjustRightInd w:val="0"/>
        <w:snapToGrid w:val="0"/>
        <w:spacing w:line="360" w:lineRule="auto"/>
        <w:ind w:firstLine="480" w:firstLineChars="200"/>
        <w:rPr>
          <w:sz w:val="24"/>
        </w:rPr>
      </w:pPr>
      <w:r>
        <w:rPr>
          <w:sz w:val="24"/>
        </w:rPr>
        <w:t>则监理人应将此项金额作为材料、设备预付款计入下一次的进度付款证书中。在预计竣工前3个月，将不再支付材料、设备预付款。</w:t>
      </w:r>
    </w:p>
    <w:p>
      <w:pPr>
        <w:adjustRightInd w:val="0"/>
        <w:snapToGrid w:val="0"/>
        <w:spacing w:line="360" w:lineRule="auto"/>
        <w:ind w:firstLine="480" w:firstLineChars="200"/>
        <w:rPr>
          <w:sz w:val="24"/>
        </w:rPr>
      </w:pPr>
      <w:r>
        <w:rPr>
          <w:sz w:val="24"/>
        </w:rPr>
        <w:t>17.2.2预付款保函</w:t>
      </w:r>
    </w:p>
    <w:p>
      <w:pPr>
        <w:adjustRightInd w:val="0"/>
        <w:snapToGrid w:val="0"/>
        <w:spacing w:line="360" w:lineRule="auto"/>
        <w:ind w:firstLine="480" w:firstLineChars="200"/>
        <w:rPr>
          <w:sz w:val="24"/>
        </w:rPr>
      </w:pPr>
      <w:r>
        <w:rPr>
          <w:sz w:val="24"/>
        </w:rPr>
        <w:t>本项细化为：</w:t>
      </w:r>
    </w:p>
    <w:p>
      <w:pPr>
        <w:adjustRightInd w:val="0"/>
        <w:snapToGrid w:val="0"/>
        <w:spacing w:line="360" w:lineRule="auto"/>
        <w:ind w:firstLine="480" w:firstLineChars="200"/>
        <w:rPr>
          <w:sz w:val="24"/>
        </w:rPr>
      </w:pPr>
      <w:r>
        <w:rPr>
          <w:sz w:val="24"/>
        </w:rPr>
        <w:t>除项目专用合同条款另有约定外，承包人应在收到开工预付款前向发包人提交开工预付款保函，开工预付款保函的担保金额应与开工预付款金额相同。出具保函的银行须与前述第4.2款的要求相同，所需费用由承包人承担。银行保函的正本由发包人保存，该保函在发包人将开工预付款全部扣回之前一直有效，担保金额可根据开工预付款扣回的金额相应递减。</w:t>
      </w:r>
    </w:p>
    <w:p>
      <w:pPr>
        <w:adjustRightInd w:val="0"/>
        <w:snapToGrid w:val="0"/>
        <w:spacing w:line="360" w:lineRule="auto"/>
        <w:ind w:firstLine="480" w:firstLineChars="200"/>
        <w:rPr>
          <w:sz w:val="24"/>
        </w:rPr>
      </w:pPr>
      <w:r>
        <w:rPr>
          <w:sz w:val="24"/>
        </w:rPr>
        <w:t>17:2.3预付款的扣回与还清本项约定为：</w:t>
      </w:r>
    </w:p>
    <w:p>
      <w:pPr>
        <w:adjustRightInd w:val="0"/>
        <w:snapToGrid w:val="0"/>
        <w:spacing w:line="360" w:lineRule="auto"/>
        <w:ind w:firstLine="480" w:firstLineChars="200"/>
        <w:rPr>
          <w:sz w:val="24"/>
        </w:rPr>
      </w:pPr>
      <w:r>
        <w:rPr>
          <w:sz w:val="24"/>
        </w:rPr>
        <w:t>（1</w:t>
      </w:r>
      <w:r>
        <w:rPr>
          <w:rFonts w:hint="eastAsia"/>
          <w:sz w:val="24"/>
        </w:rPr>
        <w:t>）</w:t>
      </w:r>
      <w:r>
        <w:rPr>
          <w:sz w:val="24"/>
        </w:rPr>
        <w:t>开工预付款在进度付款证书的累计金额未达到合同价格的30%之前不予扣回，在达到合同价格30%之后，开始按工程进度以固定比例（即每完成合同价格的1％，扣回开工预付款的2%）分期从各月的进度付款证书中扣回，全部金额在进度付款证书的累计金额达到合同价格的80%时扣完。</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当材料、设备已用于或安装在永久工程之中时，材料、设备预付款应从进度付款证书中扣回，扣回期不超过3个月。己经支付材料、设备预付款的材料、设备的所有权应属于发包人，工程竣工时所有剩余的材料、设备的所有权应属承包人。</w:t>
      </w:r>
    </w:p>
    <w:p>
      <w:pPr>
        <w:adjustRightInd w:val="0"/>
        <w:snapToGrid w:val="0"/>
        <w:spacing w:beforeLines="100" w:line="360" w:lineRule="auto"/>
        <w:rPr>
          <w:rFonts w:eastAsia="黑体"/>
          <w:sz w:val="24"/>
        </w:rPr>
      </w:pPr>
      <w:r>
        <w:rPr>
          <w:rFonts w:eastAsia="黑体"/>
          <w:sz w:val="24"/>
        </w:rPr>
        <w:t>17.3工程进度付款</w:t>
      </w:r>
    </w:p>
    <w:p>
      <w:pPr>
        <w:adjustRightInd w:val="0"/>
        <w:snapToGrid w:val="0"/>
        <w:spacing w:line="360" w:lineRule="auto"/>
        <w:ind w:firstLine="480" w:firstLineChars="200"/>
        <w:rPr>
          <w:sz w:val="24"/>
        </w:rPr>
      </w:pPr>
      <w:r>
        <w:rPr>
          <w:sz w:val="24"/>
        </w:rPr>
        <w:t>17.3.2进度付款申请单</w:t>
      </w:r>
    </w:p>
    <w:p>
      <w:pPr>
        <w:adjustRightInd w:val="0"/>
        <w:snapToGrid w:val="0"/>
        <w:spacing w:line="360" w:lineRule="auto"/>
        <w:ind w:firstLine="480" w:firstLineChars="200"/>
        <w:rPr>
          <w:sz w:val="24"/>
        </w:rPr>
      </w:pPr>
      <w:r>
        <w:rPr>
          <w:sz w:val="24"/>
        </w:rPr>
        <w:t>本项约定为：</w:t>
      </w:r>
    </w:p>
    <w:p>
      <w:pPr>
        <w:adjustRightInd w:val="0"/>
        <w:snapToGrid w:val="0"/>
        <w:spacing w:line="360" w:lineRule="auto"/>
        <w:ind w:firstLine="480" w:firstLineChars="200"/>
        <w:rPr>
          <w:sz w:val="24"/>
        </w:rPr>
      </w:pPr>
      <w:r>
        <w:rPr>
          <w:sz w:val="24"/>
        </w:rPr>
        <w:t>承包人在每个付款周期末，向监理人提交进度付款申请单的份数：份（在项目专用条款数据表中约定）。</w:t>
      </w:r>
    </w:p>
    <w:p>
      <w:pPr>
        <w:adjustRightInd w:val="0"/>
        <w:snapToGrid w:val="0"/>
        <w:spacing w:line="360" w:lineRule="auto"/>
        <w:ind w:firstLine="480" w:firstLineChars="200"/>
        <w:rPr>
          <w:sz w:val="24"/>
        </w:rPr>
      </w:pPr>
      <w:r>
        <w:rPr>
          <w:sz w:val="24"/>
        </w:rPr>
        <w:t>本项（6）目细化为：</w:t>
      </w:r>
    </w:p>
    <w:p>
      <w:pPr>
        <w:adjustRightInd w:val="0"/>
        <w:snapToGrid w:val="0"/>
        <w:spacing w:line="360" w:lineRule="auto"/>
        <w:ind w:firstLine="480" w:firstLineChars="200"/>
        <w:rPr>
          <w:sz w:val="24"/>
        </w:rPr>
      </w:pPr>
      <w:r>
        <w:rPr>
          <w:sz w:val="24"/>
        </w:rPr>
        <w:t>（6）根据第16条应增加和扣减的价格调整金额；</w:t>
      </w:r>
    </w:p>
    <w:p>
      <w:pPr>
        <w:adjustRightInd w:val="0"/>
        <w:snapToGrid w:val="0"/>
        <w:spacing w:line="360" w:lineRule="auto"/>
        <w:ind w:firstLine="480" w:firstLineChars="200"/>
        <w:rPr>
          <w:sz w:val="24"/>
        </w:rPr>
      </w:pPr>
      <w:r>
        <w:rPr>
          <w:rFonts w:hint="eastAsia"/>
          <w:sz w:val="24"/>
        </w:rPr>
        <w:t>（</w:t>
      </w:r>
      <w:r>
        <w:rPr>
          <w:sz w:val="24"/>
        </w:rPr>
        <w:t>7）根据合同应增加和扣减的其他金额。</w:t>
      </w:r>
    </w:p>
    <w:p>
      <w:pPr>
        <w:adjustRightInd w:val="0"/>
        <w:snapToGrid w:val="0"/>
        <w:spacing w:line="360" w:lineRule="auto"/>
        <w:ind w:firstLine="480" w:firstLineChars="200"/>
        <w:rPr>
          <w:sz w:val="24"/>
        </w:rPr>
      </w:pPr>
      <w:r>
        <w:rPr>
          <w:sz w:val="24"/>
        </w:rPr>
        <w:t>17.3.3进度付款证书和支付时间</w:t>
      </w:r>
    </w:p>
    <w:p>
      <w:pPr>
        <w:adjustRightInd w:val="0"/>
        <w:snapToGrid w:val="0"/>
        <w:spacing w:line="360" w:lineRule="auto"/>
        <w:ind w:firstLine="480" w:firstLineChars="200"/>
        <w:rPr>
          <w:sz w:val="24"/>
        </w:rPr>
      </w:pPr>
      <w:r>
        <w:rPr>
          <w:sz w:val="24"/>
        </w:rPr>
        <w:t>本项（1</w:t>
      </w:r>
      <w:r>
        <w:rPr>
          <w:rFonts w:hint="eastAsia"/>
          <w:sz w:val="24"/>
        </w:rPr>
        <w:t>）</w:t>
      </w:r>
      <w:r>
        <w:rPr>
          <w:sz w:val="24"/>
        </w:rPr>
        <w:t>目补充：</w:t>
      </w:r>
    </w:p>
    <w:p>
      <w:pPr>
        <w:adjustRightInd w:val="0"/>
        <w:snapToGrid w:val="0"/>
        <w:spacing w:line="360" w:lineRule="auto"/>
        <w:ind w:firstLine="480" w:firstLineChars="200"/>
        <w:rPr>
          <w:sz w:val="24"/>
        </w:rPr>
      </w:pPr>
      <w:r>
        <w:rPr>
          <w:sz w:val="24"/>
        </w:rPr>
        <w:t>如果该付款周期应结算的价款经扣留和扣回后的款额少于项目专用合同条款中列明的进度付款证书的最低金额，则该付款周期监理人可不核证支付，上述款额将按付款周期结转，直至累计应支付的款额达到项目专用合同条款中列明的进度付款证书的最低金额为止。</w:t>
      </w:r>
    </w:p>
    <w:p>
      <w:pPr>
        <w:adjustRightInd w:val="0"/>
        <w:snapToGrid w:val="0"/>
        <w:spacing w:line="360" w:lineRule="auto"/>
        <w:ind w:firstLine="480" w:firstLineChars="200"/>
        <w:rPr>
          <w:sz w:val="24"/>
        </w:rPr>
      </w:pPr>
      <w:r>
        <w:rPr>
          <w:sz w:val="24"/>
        </w:rPr>
        <w:t>本项</w:t>
      </w:r>
      <w:r>
        <w:rPr>
          <w:rFonts w:hint="eastAsia"/>
          <w:sz w:val="24"/>
        </w:rPr>
        <w:t>（</w:t>
      </w:r>
      <w:r>
        <w:rPr>
          <w:sz w:val="24"/>
        </w:rPr>
        <w:t>2</w:t>
      </w:r>
      <w:r>
        <w:rPr>
          <w:rFonts w:hint="eastAsia"/>
          <w:sz w:val="24"/>
        </w:rPr>
        <w:t>）</w:t>
      </w:r>
      <w:r>
        <w:rPr>
          <w:sz w:val="24"/>
        </w:rPr>
        <w:t>目约定为：</w:t>
      </w:r>
    </w:p>
    <w:p>
      <w:pPr>
        <w:adjustRightInd w:val="0"/>
        <w:snapToGrid w:val="0"/>
        <w:spacing w:line="360" w:lineRule="auto"/>
        <w:ind w:firstLine="480" w:firstLineChars="200"/>
        <w:rPr>
          <w:sz w:val="24"/>
        </w:rPr>
      </w:pPr>
      <w:r>
        <w:rPr>
          <w:sz w:val="24"/>
        </w:rPr>
        <w:t>发包人不按期支付的，按</w:t>
      </w:r>
      <w:r>
        <w:rPr>
          <w:rFonts w:hint="eastAsia" w:ascii="宋体" w:hAnsi="宋体"/>
          <w:sz w:val="24"/>
        </w:rPr>
        <w:t>‰天（</w:t>
      </w:r>
      <w:r>
        <w:rPr>
          <w:sz w:val="24"/>
        </w:rPr>
        <w:t>在项目专用条款数据表中约定）的利率向承包人支付逾期付款违约金。违约金计算基数为发包人的全部未付款额，时间从应付而未付该款额之日算起（不计复利）。</w:t>
      </w:r>
    </w:p>
    <w:p>
      <w:pPr>
        <w:adjustRightInd w:val="0"/>
        <w:snapToGrid w:val="0"/>
        <w:spacing w:line="360" w:lineRule="auto"/>
        <w:ind w:firstLine="480" w:firstLineChars="200"/>
        <w:rPr>
          <w:sz w:val="24"/>
        </w:rPr>
      </w:pPr>
      <w:r>
        <w:rPr>
          <w:sz w:val="24"/>
        </w:rPr>
        <w:t>本项</w:t>
      </w:r>
      <w:r>
        <w:rPr>
          <w:rFonts w:hint="eastAsia"/>
          <w:sz w:val="24"/>
        </w:rPr>
        <w:t>（</w:t>
      </w:r>
      <w:r>
        <w:rPr>
          <w:sz w:val="24"/>
        </w:rPr>
        <w:t>4</w:t>
      </w:r>
      <w:r>
        <w:rPr>
          <w:rFonts w:hint="eastAsia"/>
          <w:sz w:val="24"/>
        </w:rPr>
        <w:t>）</w:t>
      </w:r>
      <w:r>
        <w:rPr>
          <w:sz w:val="24"/>
        </w:rPr>
        <w:t>目约定为：</w:t>
      </w:r>
    </w:p>
    <w:p>
      <w:pPr>
        <w:adjustRightInd w:val="0"/>
        <w:snapToGrid w:val="0"/>
        <w:spacing w:line="360" w:lineRule="auto"/>
        <w:ind w:firstLine="480" w:firstLineChars="200"/>
        <w:rPr>
          <w:sz w:val="24"/>
        </w:rPr>
      </w:pPr>
      <w:r>
        <w:rPr>
          <w:sz w:val="24"/>
        </w:rPr>
        <w:t>进度付款涉及政府投资资金的，按照以下规定办理：</w:t>
      </w:r>
      <w:r>
        <w:rPr>
          <w:rFonts w:hint="eastAsia"/>
          <w:sz w:val="24"/>
          <w:u w:val="single"/>
        </w:rPr>
        <w:t>（见项目专用合同条款</w:t>
      </w:r>
      <w:r>
        <w:rPr>
          <w:sz w:val="24"/>
          <w:u w:val="single"/>
        </w:rPr>
        <w:t>）</w:t>
      </w:r>
    </w:p>
    <w:p>
      <w:pPr>
        <w:adjustRightInd w:val="0"/>
        <w:snapToGrid w:val="0"/>
        <w:spacing w:beforeLines="100" w:line="360" w:lineRule="auto"/>
        <w:rPr>
          <w:rFonts w:eastAsia="黑体"/>
          <w:sz w:val="24"/>
        </w:rPr>
      </w:pPr>
      <w:r>
        <w:rPr>
          <w:rFonts w:eastAsia="黑体"/>
          <w:sz w:val="24"/>
        </w:rPr>
        <w:t>17.4质量保证金</w:t>
      </w:r>
    </w:p>
    <w:p>
      <w:pPr>
        <w:adjustRightInd w:val="0"/>
        <w:snapToGrid w:val="0"/>
        <w:spacing w:line="360" w:lineRule="auto"/>
        <w:ind w:firstLine="480" w:firstLineChars="200"/>
        <w:rPr>
          <w:rFonts w:eastAsia="黑体"/>
          <w:sz w:val="24"/>
        </w:rPr>
      </w:pPr>
      <w:r>
        <w:rPr>
          <w:rFonts w:eastAsia="黑体"/>
          <w:sz w:val="24"/>
        </w:rPr>
        <w:t>17.4.1项细化为：</w:t>
      </w:r>
    </w:p>
    <w:p>
      <w:pPr>
        <w:adjustRightInd w:val="0"/>
        <w:snapToGrid w:val="0"/>
        <w:spacing w:line="360" w:lineRule="auto"/>
        <w:ind w:firstLine="480" w:firstLineChars="200"/>
        <w:rPr>
          <w:sz w:val="24"/>
        </w:rPr>
      </w:pPr>
      <w:r>
        <w:rPr>
          <w:sz w:val="24"/>
        </w:rPr>
        <w:t>监理人应从第一个付款周期开始，在发包人的进度付款中，按10％或项目专用合同条款规定的其它比例扣留质量保证金，直至扣留的质量保证金总额达到合同价格的5%为止。质量保证金的计算额度不包括预付款的支付以及扣回的金额。</w:t>
      </w:r>
    </w:p>
    <w:p>
      <w:pPr>
        <w:adjustRightInd w:val="0"/>
        <w:snapToGrid w:val="0"/>
        <w:spacing w:beforeLines="100" w:line="360" w:lineRule="auto"/>
        <w:rPr>
          <w:rFonts w:eastAsia="黑体"/>
          <w:sz w:val="24"/>
        </w:rPr>
      </w:pPr>
      <w:r>
        <w:rPr>
          <w:rFonts w:eastAsia="黑体"/>
          <w:sz w:val="24"/>
        </w:rPr>
        <w:t>17.5竣工结算</w:t>
      </w:r>
    </w:p>
    <w:p>
      <w:pPr>
        <w:adjustRightInd w:val="0"/>
        <w:snapToGrid w:val="0"/>
        <w:spacing w:line="360" w:lineRule="auto"/>
        <w:ind w:firstLine="480" w:firstLineChars="200"/>
        <w:rPr>
          <w:rFonts w:eastAsia="黑体"/>
          <w:sz w:val="24"/>
        </w:rPr>
      </w:pPr>
      <w:r>
        <w:rPr>
          <w:rFonts w:eastAsia="黑体"/>
          <w:sz w:val="24"/>
        </w:rPr>
        <w:t>17.5.1竣工付款申请单</w:t>
      </w:r>
    </w:p>
    <w:p>
      <w:pPr>
        <w:adjustRightInd w:val="0"/>
        <w:snapToGrid w:val="0"/>
        <w:spacing w:line="360" w:lineRule="auto"/>
        <w:ind w:firstLine="480" w:firstLineChars="200"/>
        <w:rPr>
          <w:sz w:val="24"/>
        </w:rPr>
      </w:pPr>
      <w:r>
        <w:rPr>
          <w:sz w:val="24"/>
        </w:rPr>
        <w:t>本项（1</w:t>
      </w:r>
      <w:r>
        <w:rPr>
          <w:rFonts w:hint="eastAsia"/>
          <w:sz w:val="24"/>
        </w:rPr>
        <w:t>）</w:t>
      </w:r>
      <w:r>
        <w:rPr>
          <w:sz w:val="24"/>
        </w:rPr>
        <w:t>目约定：</w:t>
      </w:r>
    </w:p>
    <w:p>
      <w:pPr>
        <w:adjustRightInd w:val="0"/>
        <w:snapToGrid w:val="0"/>
        <w:spacing w:line="360" w:lineRule="auto"/>
        <w:ind w:firstLine="480" w:firstLineChars="200"/>
        <w:rPr>
          <w:sz w:val="24"/>
        </w:rPr>
      </w:pPr>
      <w:r>
        <w:rPr>
          <w:sz w:val="24"/>
        </w:rPr>
        <w:t>承包人向监理人提交竣工付款申请单（包括相关证明材料）的份数：份（在项目专用条款数据表中约定）；期限：</w:t>
      </w:r>
      <w:r>
        <w:rPr>
          <w:sz w:val="24"/>
          <w:u w:val="single"/>
        </w:rPr>
        <w:t>工程接收证书签发后42天内</w:t>
      </w:r>
      <w:r>
        <w:rPr>
          <w:rFonts w:hint="eastAsia"/>
          <w:sz w:val="24"/>
        </w:rPr>
        <w:t>。</w:t>
      </w:r>
    </w:p>
    <w:p>
      <w:pPr>
        <w:adjustRightInd w:val="0"/>
        <w:snapToGrid w:val="0"/>
        <w:spacing w:beforeLines="100" w:line="360" w:lineRule="auto"/>
        <w:rPr>
          <w:rFonts w:eastAsia="黑体"/>
          <w:sz w:val="24"/>
        </w:rPr>
      </w:pPr>
      <w:r>
        <w:rPr>
          <w:rFonts w:eastAsia="黑体"/>
          <w:sz w:val="24"/>
        </w:rPr>
        <w:t>17.6最终结清</w:t>
      </w:r>
    </w:p>
    <w:p>
      <w:pPr>
        <w:adjustRightInd w:val="0"/>
        <w:snapToGrid w:val="0"/>
        <w:spacing w:line="360" w:lineRule="auto"/>
        <w:ind w:firstLine="480" w:firstLineChars="200"/>
        <w:rPr>
          <w:rFonts w:eastAsia="黑体"/>
          <w:sz w:val="24"/>
        </w:rPr>
      </w:pPr>
      <w:r>
        <w:rPr>
          <w:rFonts w:eastAsia="黑体"/>
          <w:sz w:val="24"/>
        </w:rPr>
        <w:t>17.6.1最终结清申请单</w:t>
      </w:r>
    </w:p>
    <w:p>
      <w:pPr>
        <w:adjustRightInd w:val="0"/>
        <w:snapToGrid w:val="0"/>
        <w:spacing w:line="360" w:lineRule="auto"/>
        <w:ind w:firstLine="480" w:firstLineChars="200"/>
        <w:rPr>
          <w:sz w:val="24"/>
        </w:rPr>
      </w:pPr>
      <w:r>
        <w:rPr>
          <w:sz w:val="24"/>
        </w:rPr>
        <w:t>本项（1</w:t>
      </w:r>
      <w:r>
        <w:rPr>
          <w:rFonts w:hint="eastAsia"/>
          <w:sz w:val="24"/>
        </w:rPr>
        <w:t>）</w:t>
      </w:r>
      <w:r>
        <w:rPr>
          <w:sz w:val="24"/>
        </w:rPr>
        <w:t>目约定：</w:t>
      </w:r>
    </w:p>
    <w:p>
      <w:pPr>
        <w:adjustRightInd w:val="0"/>
        <w:snapToGrid w:val="0"/>
        <w:spacing w:line="360" w:lineRule="auto"/>
        <w:ind w:firstLine="480" w:firstLineChars="200"/>
        <w:rPr>
          <w:sz w:val="24"/>
        </w:rPr>
      </w:pPr>
      <w:r>
        <w:rPr>
          <w:sz w:val="24"/>
        </w:rPr>
        <w:t>承包人向监理人提交最终结清申请单（包括相关证明材料）的份数：份（在项目专用条款数据表中约定）；期限：</w:t>
      </w:r>
      <w:r>
        <w:rPr>
          <w:sz w:val="24"/>
          <w:u w:val="single"/>
        </w:rPr>
        <w:t>缺陷责任期终止证书签发后28天内</w:t>
      </w:r>
      <w:r>
        <w:rPr>
          <w:sz w:val="24"/>
        </w:rPr>
        <w:t>。</w:t>
      </w:r>
    </w:p>
    <w:p>
      <w:pPr>
        <w:adjustRightInd w:val="0"/>
        <w:snapToGrid w:val="0"/>
        <w:spacing w:line="360" w:lineRule="auto"/>
        <w:ind w:firstLine="480" w:firstLineChars="200"/>
        <w:rPr>
          <w:sz w:val="24"/>
        </w:rPr>
      </w:pPr>
      <w:r>
        <w:rPr>
          <w:sz w:val="24"/>
        </w:rPr>
        <w:t>最终结清申请单中的总金额应认为是代表了根据合同规定应付给承包人的全部款项的最后结算。</w:t>
      </w:r>
    </w:p>
    <w:p>
      <w:pPr>
        <w:adjustRightInd w:val="0"/>
        <w:snapToGrid w:val="0"/>
        <w:spacing w:beforeLines="100" w:line="360" w:lineRule="auto"/>
        <w:rPr>
          <w:rFonts w:eastAsia="黑体"/>
          <w:sz w:val="24"/>
        </w:rPr>
      </w:pPr>
      <w:r>
        <w:rPr>
          <w:rFonts w:eastAsia="黑体"/>
          <w:sz w:val="24"/>
        </w:rPr>
        <w:t>18．竣工验收</w:t>
      </w:r>
    </w:p>
    <w:p>
      <w:pPr>
        <w:adjustRightInd w:val="0"/>
        <w:snapToGrid w:val="0"/>
        <w:spacing w:line="360" w:lineRule="auto"/>
        <w:rPr>
          <w:rFonts w:eastAsia="黑体"/>
          <w:sz w:val="24"/>
        </w:rPr>
      </w:pPr>
      <w:r>
        <w:rPr>
          <w:rFonts w:eastAsia="黑体"/>
          <w:sz w:val="24"/>
        </w:rPr>
        <w:t>18.1竣工验收的含义</w:t>
      </w:r>
    </w:p>
    <w:p>
      <w:pPr>
        <w:adjustRightInd w:val="0"/>
        <w:snapToGrid w:val="0"/>
        <w:spacing w:line="360" w:lineRule="auto"/>
        <w:ind w:firstLine="480" w:firstLineChars="200"/>
        <w:rPr>
          <w:sz w:val="24"/>
        </w:rPr>
      </w:pPr>
      <w:r>
        <w:rPr>
          <w:sz w:val="24"/>
        </w:rPr>
        <w:t>本款增加第18.1.4项：</w:t>
      </w:r>
    </w:p>
    <w:p>
      <w:pPr>
        <w:adjustRightInd w:val="0"/>
        <w:snapToGrid w:val="0"/>
        <w:spacing w:line="360" w:lineRule="auto"/>
        <w:ind w:firstLine="480" w:firstLineChars="200"/>
        <w:rPr>
          <w:sz w:val="24"/>
        </w:rPr>
      </w:pPr>
      <w:r>
        <w:rPr>
          <w:sz w:val="24"/>
        </w:rPr>
        <w:t>18.1.4国家验收（包括竣工验收）按交通部《公路工程竣（交）工验收办法》等相关规定执行。本合同规定的竣工验收即交通部《公路工程竣（交）工验收办法》中指明的交工验收；国家验收即交通部《公路工程竣（交）工验收办法》中指明的竣工验收。</w:t>
      </w:r>
    </w:p>
    <w:p>
      <w:pPr>
        <w:adjustRightInd w:val="0"/>
        <w:snapToGrid w:val="0"/>
        <w:spacing w:beforeLines="100" w:line="360" w:lineRule="auto"/>
        <w:rPr>
          <w:rFonts w:eastAsia="黑体"/>
          <w:sz w:val="24"/>
        </w:rPr>
      </w:pPr>
      <w:r>
        <w:rPr>
          <w:rFonts w:eastAsia="黑体"/>
          <w:sz w:val="24"/>
        </w:rPr>
        <w:t>18.3验收</w:t>
      </w:r>
    </w:p>
    <w:p>
      <w:pPr>
        <w:adjustRightInd w:val="0"/>
        <w:snapToGrid w:val="0"/>
        <w:spacing w:line="360" w:lineRule="auto"/>
        <w:ind w:firstLine="480" w:firstLineChars="200"/>
        <w:rPr>
          <w:rFonts w:eastAsia="黑体"/>
          <w:sz w:val="24"/>
        </w:rPr>
      </w:pPr>
      <w:r>
        <w:rPr>
          <w:rFonts w:eastAsia="黑体"/>
          <w:sz w:val="24"/>
        </w:rPr>
        <w:t>18.3.2项补充：</w:t>
      </w:r>
    </w:p>
    <w:p>
      <w:pPr>
        <w:adjustRightInd w:val="0"/>
        <w:snapToGrid w:val="0"/>
        <w:spacing w:line="360" w:lineRule="auto"/>
        <w:ind w:firstLine="480" w:firstLineChars="200"/>
        <w:rPr>
          <w:sz w:val="24"/>
        </w:rPr>
      </w:pPr>
      <w:r>
        <w:rPr>
          <w:sz w:val="24"/>
        </w:rPr>
        <w:t>竣工验收由发包人主持，由发包人、监理人、质监、设计、施工、运营、管理养护等有关部门代表组成竣工验收委员会，对本项目的工程质量进行评定，并写出竣工验收报告报交通主管部门备案。承包人应按发包人的要求提交竣工资料，完成竣工验收准备工作。</w:t>
      </w:r>
    </w:p>
    <w:p>
      <w:pPr>
        <w:adjustRightInd w:val="0"/>
        <w:snapToGrid w:val="0"/>
        <w:spacing w:line="360" w:lineRule="auto"/>
        <w:ind w:firstLine="480" w:firstLineChars="200"/>
        <w:rPr>
          <w:sz w:val="24"/>
        </w:rPr>
      </w:pPr>
      <w:r>
        <w:rPr>
          <w:sz w:val="24"/>
        </w:rPr>
        <w:t>18.3.5项约定为：</w:t>
      </w:r>
    </w:p>
    <w:p>
      <w:pPr>
        <w:adjustRightInd w:val="0"/>
        <w:snapToGrid w:val="0"/>
        <w:spacing w:line="360" w:lineRule="auto"/>
        <w:ind w:firstLine="480" w:firstLineChars="200"/>
        <w:rPr>
          <w:sz w:val="24"/>
        </w:rPr>
      </w:pPr>
      <w:r>
        <w:rPr>
          <w:sz w:val="24"/>
        </w:rPr>
        <w:t>经验收合格工程的实际竣工日期，以最终提交竣工验收申请报告的日期为准，并在工程接收证书中写明。</w:t>
      </w:r>
    </w:p>
    <w:p>
      <w:pPr>
        <w:adjustRightInd w:val="0"/>
        <w:snapToGrid w:val="0"/>
        <w:spacing w:line="360" w:lineRule="auto"/>
        <w:ind w:firstLine="480" w:firstLineChars="200"/>
        <w:rPr>
          <w:sz w:val="24"/>
        </w:rPr>
      </w:pPr>
      <w:r>
        <w:rPr>
          <w:sz w:val="24"/>
        </w:rPr>
        <w:t>本款增加第18.3.7项：</w:t>
      </w:r>
    </w:p>
    <w:p>
      <w:pPr>
        <w:adjustRightInd w:val="0"/>
        <w:snapToGrid w:val="0"/>
        <w:spacing w:line="360" w:lineRule="auto"/>
        <w:ind w:firstLine="480" w:firstLineChars="200"/>
        <w:rPr>
          <w:sz w:val="24"/>
        </w:rPr>
      </w:pPr>
      <w:r>
        <w:rPr>
          <w:sz w:val="24"/>
        </w:rPr>
        <w:t>组织办理竣工验收和签发工程接收证书的费用由发包人承担。但按照18.3.4项规定达不到合格标准的竣工验收费用由承包人承担。</w:t>
      </w:r>
    </w:p>
    <w:p>
      <w:pPr>
        <w:adjustRightInd w:val="0"/>
        <w:snapToGrid w:val="0"/>
        <w:spacing w:beforeLines="100" w:line="360" w:lineRule="auto"/>
        <w:rPr>
          <w:rFonts w:eastAsia="黑体"/>
          <w:sz w:val="24"/>
        </w:rPr>
      </w:pPr>
      <w:r>
        <w:rPr>
          <w:rFonts w:eastAsia="黑体"/>
          <w:sz w:val="24"/>
        </w:rPr>
        <w:t>18.5施工期运行</w:t>
      </w:r>
    </w:p>
    <w:p>
      <w:pPr>
        <w:adjustRightInd w:val="0"/>
        <w:snapToGrid w:val="0"/>
        <w:spacing w:line="360" w:lineRule="auto"/>
        <w:ind w:firstLine="480" w:firstLineChars="200"/>
        <w:rPr>
          <w:sz w:val="24"/>
        </w:rPr>
      </w:pPr>
      <w:r>
        <w:rPr>
          <w:sz w:val="24"/>
        </w:rPr>
        <w:t>18.5.1项约定：</w:t>
      </w:r>
    </w:p>
    <w:p>
      <w:pPr>
        <w:adjustRightInd w:val="0"/>
        <w:snapToGrid w:val="0"/>
        <w:spacing w:line="360" w:lineRule="auto"/>
        <w:ind w:firstLine="480" w:firstLineChars="200"/>
        <w:rPr>
          <w:sz w:val="24"/>
          <w:u w:val="single"/>
        </w:rPr>
      </w:pPr>
      <w:r>
        <w:rPr>
          <w:sz w:val="24"/>
        </w:rPr>
        <w:t>单位工程或工程设备是否需投入施工期运行：</w:t>
      </w:r>
      <w:r>
        <w:rPr>
          <w:rFonts w:hint="eastAsia"/>
          <w:sz w:val="24"/>
          <w:u w:val="single"/>
        </w:rPr>
        <w:t>（见项目专用合同条款）</w:t>
      </w:r>
    </w:p>
    <w:p>
      <w:pPr>
        <w:adjustRightInd w:val="0"/>
        <w:snapToGrid w:val="0"/>
        <w:spacing w:beforeLines="100" w:line="360" w:lineRule="auto"/>
        <w:rPr>
          <w:rFonts w:eastAsia="黑体"/>
          <w:sz w:val="24"/>
        </w:rPr>
      </w:pPr>
      <w:r>
        <w:rPr>
          <w:rFonts w:hint="eastAsia" w:eastAsia="黑体"/>
          <w:sz w:val="24"/>
        </w:rPr>
        <w:t>18.6试运行</w:t>
      </w:r>
    </w:p>
    <w:p>
      <w:pPr>
        <w:adjustRightInd w:val="0"/>
        <w:snapToGrid w:val="0"/>
        <w:spacing w:line="360" w:lineRule="auto"/>
        <w:ind w:firstLine="480" w:firstLineChars="200"/>
        <w:rPr>
          <w:sz w:val="24"/>
        </w:rPr>
      </w:pPr>
      <w:r>
        <w:rPr>
          <w:sz w:val="24"/>
        </w:rPr>
        <w:t>18.6.1项约定：</w:t>
      </w:r>
    </w:p>
    <w:p>
      <w:pPr>
        <w:adjustRightInd w:val="0"/>
        <w:snapToGrid w:val="0"/>
        <w:spacing w:line="360" w:lineRule="auto"/>
        <w:ind w:firstLine="480" w:firstLineChars="200"/>
        <w:rPr>
          <w:sz w:val="24"/>
          <w:u w:val="single"/>
        </w:rPr>
      </w:pPr>
      <w:r>
        <w:rPr>
          <w:sz w:val="24"/>
        </w:rPr>
        <w:t>本工程及工程设备是否进行试运行：</w:t>
      </w:r>
      <w:r>
        <w:rPr>
          <w:rFonts w:hint="eastAsia"/>
          <w:sz w:val="24"/>
          <w:u w:val="single"/>
        </w:rPr>
        <w:t>（见项目专用合同条款）</w:t>
      </w:r>
    </w:p>
    <w:p>
      <w:pPr>
        <w:adjustRightInd w:val="0"/>
        <w:snapToGrid w:val="0"/>
        <w:spacing w:line="360" w:lineRule="auto"/>
        <w:ind w:firstLine="480" w:firstLineChars="200"/>
        <w:rPr>
          <w:sz w:val="24"/>
        </w:rPr>
      </w:pPr>
      <w:r>
        <w:rPr>
          <w:sz w:val="24"/>
        </w:rPr>
        <w:t>试运行的内容：</w:t>
      </w:r>
      <w:r>
        <w:rPr>
          <w:rFonts w:hint="eastAsia"/>
          <w:sz w:val="24"/>
          <w:u w:val="single"/>
        </w:rPr>
        <w:t>（见项目专用合同条款）</w:t>
      </w:r>
    </w:p>
    <w:p>
      <w:pPr>
        <w:adjustRightInd w:val="0"/>
        <w:snapToGrid w:val="0"/>
        <w:spacing w:line="360" w:lineRule="auto"/>
        <w:ind w:firstLine="480" w:firstLineChars="200"/>
        <w:rPr>
          <w:sz w:val="24"/>
        </w:rPr>
      </w:pPr>
      <w:r>
        <w:rPr>
          <w:sz w:val="24"/>
        </w:rPr>
        <w:t>试运行的费用约定：</w:t>
      </w:r>
      <w:r>
        <w:rPr>
          <w:rFonts w:hint="eastAsia"/>
          <w:sz w:val="24"/>
          <w:u w:val="single"/>
        </w:rPr>
        <w:t>（见项目专用合同条款）</w:t>
      </w:r>
    </w:p>
    <w:p>
      <w:pPr>
        <w:adjustRightInd w:val="0"/>
        <w:snapToGrid w:val="0"/>
        <w:spacing w:beforeLines="100" w:line="360" w:lineRule="auto"/>
        <w:rPr>
          <w:rFonts w:eastAsia="黑体"/>
          <w:sz w:val="24"/>
        </w:rPr>
      </w:pPr>
      <w:r>
        <w:rPr>
          <w:rFonts w:eastAsia="黑体"/>
          <w:sz w:val="24"/>
        </w:rPr>
        <w:t>本条增加第18.9款：</w:t>
      </w:r>
    </w:p>
    <w:p>
      <w:pPr>
        <w:adjustRightInd w:val="0"/>
        <w:snapToGrid w:val="0"/>
        <w:spacing w:line="360" w:lineRule="auto"/>
        <w:rPr>
          <w:rFonts w:eastAsia="黑体"/>
          <w:sz w:val="24"/>
        </w:rPr>
      </w:pPr>
      <w:r>
        <w:rPr>
          <w:rFonts w:eastAsia="黑体"/>
          <w:sz w:val="24"/>
        </w:rPr>
        <w:t>18.9竣工文件</w:t>
      </w:r>
    </w:p>
    <w:p>
      <w:pPr>
        <w:adjustRightInd w:val="0"/>
        <w:snapToGrid w:val="0"/>
        <w:spacing w:line="360" w:lineRule="auto"/>
        <w:ind w:firstLine="480" w:firstLineChars="200"/>
        <w:rPr>
          <w:sz w:val="24"/>
        </w:rPr>
      </w:pPr>
      <w:r>
        <w:rPr>
          <w:sz w:val="24"/>
        </w:rPr>
        <w:t>承包人应按照交通部《公路工程竣（交）工验收办法》的规定编制竣工图表和施工文件。各分部（项）工程的竣工图须在有关工程完工后在发包人规定的时间内提交监理人审查，全部工程完工后，在全部工程的工程接收证书签发之前，承包人须向发包人提交6整套监理人认为完整、合格的竣工文件。在缺陷责任期内承包人应补充竣工资料，并在签发缺陷责任期终止证书之前提交。</w:t>
      </w:r>
    </w:p>
    <w:p>
      <w:pPr>
        <w:adjustRightInd w:val="0"/>
        <w:snapToGrid w:val="0"/>
        <w:spacing w:beforeLines="100" w:line="360" w:lineRule="auto"/>
        <w:rPr>
          <w:rFonts w:eastAsia="黑体"/>
          <w:sz w:val="24"/>
        </w:rPr>
      </w:pPr>
      <w:r>
        <w:rPr>
          <w:rFonts w:eastAsia="黑体"/>
          <w:sz w:val="24"/>
        </w:rPr>
        <w:t>19</w:t>
      </w:r>
      <w:r>
        <w:rPr>
          <w:rFonts w:hint="eastAsia" w:eastAsia="黑体"/>
          <w:sz w:val="24"/>
        </w:rPr>
        <w:t>．</w:t>
      </w:r>
      <w:r>
        <w:rPr>
          <w:rFonts w:eastAsia="黑体"/>
          <w:sz w:val="24"/>
        </w:rPr>
        <w:t>缺陷责任与保修责任</w:t>
      </w:r>
    </w:p>
    <w:p>
      <w:pPr>
        <w:adjustRightInd w:val="0"/>
        <w:snapToGrid w:val="0"/>
        <w:spacing w:line="360" w:lineRule="auto"/>
        <w:rPr>
          <w:rFonts w:eastAsia="黑体"/>
          <w:sz w:val="24"/>
        </w:rPr>
      </w:pPr>
      <w:r>
        <w:rPr>
          <w:rFonts w:eastAsia="黑体"/>
          <w:sz w:val="24"/>
        </w:rPr>
        <w:t>19.2缺陷责任</w:t>
      </w:r>
    </w:p>
    <w:p>
      <w:pPr>
        <w:adjustRightInd w:val="0"/>
        <w:snapToGrid w:val="0"/>
        <w:spacing w:line="360" w:lineRule="auto"/>
        <w:ind w:firstLine="480" w:firstLineChars="200"/>
        <w:rPr>
          <w:sz w:val="24"/>
        </w:rPr>
      </w:pPr>
      <w:r>
        <w:rPr>
          <w:sz w:val="24"/>
        </w:rPr>
        <w:t>19.2.2项补充：</w:t>
      </w:r>
    </w:p>
    <w:p>
      <w:pPr>
        <w:adjustRightInd w:val="0"/>
        <w:snapToGrid w:val="0"/>
        <w:spacing w:line="360" w:lineRule="auto"/>
        <w:ind w:firstLine="480" w:firstLineChars="200"/>
        <w:rPr>
          <w:sz w:val="24"/>
        </w:rPr>
      </w:pPr>
      <w:r>
        <w:rPr>
          <w:sz w:val="24"/>
        </w:rPr>
        <w:t>在缺陷责任期内，承包人应尽快完成在工程接收证书中写明的未完成工作，并完成对本工程缺陷的修复或监理人指令的修补工作。</w:t>
      </w:r>
    </w:p>
    <w:p>
      <w:pPr>
        <w:adjustRightInd w:val="0"/>
        <w:snapToGrid w:val="0"/>
        <w:spacing w:line="360" w:lineRule="auto"/>
        <w:ind w:firstLine="480" w:firstLineChars="200"/>
        <w:rPr>
          <w:sz w:val="24"/>
        </w:rPr>
      </w:pPr>
      <w:r>
        <w:rPr>
          <w:sz w:val="24"/>
        </w:rPr>
        <w:t>19.2.3项补充：</w:t>
      </w:r>
    </w:p>
    <w:p>
      <w:pPr>
        <w:adjustRightInd w:val="0"/>
        <w:snapToGrid w:val="0"/>
        <w:spacing w:line="360" w:lineRule="auto"/>
        <w:ind w:firstLine="480" w:firstLineChars="200"/>
        <w:rPr>
          <w:sz w:val="24"/>
        </w:rPr>
      </w:pPr>
      <w:r>
        <w:rPr>
          <w:sz w:val="24"/>
        </w:rPr>
        <w:t>在缺陷责任期内，下述原因造成的缺陷修复和查验费用应由承包人自行负责：</w:t>
      </w:r>
    </w:p>
    <w:p>
      <w:pPr>
        <w:adjustRightInd w:val="0"/>
        <w:snapToGrid w:val="0"/>
        <w:spacing w:line="360" w:lineRule="auto"/>
        <w:ind w:firstLine="480" w:firstLineChars="200"/>
        <w:rPr>
          <w:sz w:val="24"/>
        </w:rPr>
      </w:pPr>
      <w:r>
        <w:rPr>
          <w:sz w:val="24"/>
        </w:rPr>
        <w:t>（1</w:t>
      </w:r>
      <w:r>
        <w:rPr>
          <w:rFonts w:hint="eastAsia"/>
          <w:sz w:val="24"/>
        </w:rPr>
        <w:t>）</w:t>
      </w:r>
      <w:r>
        <w:rPr>
          <w:sz w:val="24"/>
        </w:rPr>
        <w:t>承包人所用的材料、设备或操作工艺不符合合同要求；或</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承包人的疏忽或未遵守合同中对承包人规定的义务。</w:t>
      </w:r>
    </w:p>
    <w:p>
      <w:pPr>
        <w:adjustRightInd w:val="0"/>
        <w:snapToGrid w:val="0"/>
        <w:spacing w:beforeLines="100" w:line="360" w:lineRule="auto"/>
        <w:rPr>
          <w:rFonts w:eastAsia="黑体"/>
          <w:sz w:val="24"/>
        </w:rPr>
      </w:pPr>
      <w:r>
        <w:rPr>
          <w:rFonts w:eastAsia="黑体"/>
          <w:sz w:val="24"/>
        </w:rPr>
        <w:t>19.3缺陷责任期的延长</w:t>
      </w:r>
    </w:p>
    <w:p>
      <w:pPr>
        <w:adjustRightInd w:val="0"/>
        <w:snapToGrid w:val="0"/>
        <w:spacing w:line="360" w:lineRule="auto"/>
        <w:ind w:firstLine="480" w:firstLineChars="200"/>
        <w:rPr>
          <w:sz w:val="24"/>
        </w:rPr>
      </w:pPr>
      <w:r>
        <w:rPr>
          <w:sz w:val="24"/>
        </w:rPr>
        <w:t>本款细化为：</w:t>
      </w:r>
    </w:p>
    <w:p>
      <w:pPr>
        <w:adjustRightInd w:val="0"/>
        <w:snapToGrid w:val="0"/>
        <w:spacing w:line="360" w:lineRule="auto"/>
        <w:ind w:firstLine="480" w:firstLineChars="200"/>
        <w:rPr>
          <w:sz w:val="24"/>
        </w:rPr>
      </w:pPr>
      <w:r>
        <w:rPr>
          <w:sz w:val="24"/>
        </w:rPr>
        <w:t>由于承包人原因造成某项缺陷或损坏使某项工程或工程设备不能按原定目标使用而需要再次检查、检验和修复的，发包人有权要求承包人相应延长缺陷责任期，但缺陷责任期最长不超过2年，自该工程或工程设备修复之日起算。</w:t>
      </w:r>
    </w:p>
    <w:p>
      <w:pPr>
        <w:adjustRightInd w:val="0"/>
        <w:snapToGrid w:val="0"/>
        <w:spacing w:beforeLines="100" w:line="360" w:lineRule="auto"/>
        <w:rPr>
          <w:rFonts w:eastAsia="黑体"/>
          <w:sz w:val="24"/>
        </w:rPr>
      </w:pPr>
      <w:r>
        <w:rPr>
          <w:rFonts w:eastAsia="黑体"/>
          <w:sz w:val="24"/>
        </w:rPr>
        <w:t>19.5承包人的进入权</w:t>
      </w:r>
    </w:p>
    <w:p>
      <w:pPr>
        <w:adjustRightInd w:val="0"/>
        <w:snapToGrid w:val="0"/>
        <w:spacing w:line="360" w:lineRule="auto"/>
        <w:ind w:firstLine="480" w:firstLineChars="200"/>
        <w:rPr>
          <w:sz w:val="24"/>
        </w:rPr>
      </w:pPr>
      <w:r>
        <w:rPr>
          <w:sz w:val="24"/>
        </w:rPr>
        <w:t>本款补充：</w:t>
      </w:r>
    </w:p>
    <w:p>
      <w:pPr>
        <w:adjustRightInd w:val="0"/>
        <w:snapToGrid w:val="0"/>
        <w:spacing w:line="360" w:lineRule="auto"/>
        <w:ind w:firstLine="480" w:firstLineChars="200"/>
        <w:rPr>
          <w:sz w:val="24"/>
        </w:rPr>
      </w:pPr>
      <w:r>
        <w:rPr>
          <w:sz w:val="24"/>
        </w:rPr>
        <w:t>承包人在缺陷修复施工过程中，应服从管养单位的有关安全管理规定，由于承包人自身原因造成的人员伤亡、．设备和材料的损毁及罚款等责任由承包人自负。</w:t>
      </w:r>
    </w:p>
    <w:p>
      <w:pPr>
        <w:adjustRightInd w:val="0"/>
        <w:snapToGrid w:val="0"/>
        <w:spacing w:beforeLines="100" w:line="360" w:lineRule="auto"/>
        <w:rPr>
          <w:rFonts w:eastAsia="黑体"/>
          <w:sz w:val="24"/>
        </w:rPr>
      </w:pPr>
      <w:r>
        <w:rPr>
          <w:rFonts w:eastAsia="黑体"/>
          <w:sz w:val="24"/>
        </w:rPr>
        <w:t>19.7保修责任</w:t>
      </w:r>
    </w:p>
    <w:p>
      <w:pPr>
        <w:adjustRightInd w:val="0"/>
        <w:snapToGrid w:val="0"/>
        <w:spacing w:line="360" w:lineRule="auto"/>
        <w:ind w:firstLine="480" w:firstLineChars="200"/>
        <w:rPr>
          <w:sz w:val="24"/>
        </w:rPr>
      </w:pPr>
      <w:r>
        <w:rPr>
          <w:sz w:val="24"/>
        </w:rPr>
        <w:t>本款细化为：</w:t>
      </w:r>
    </w:p>
    <w:p>
      <w:pPr>
        <w:adjustRightInd w:val="0"/>
        <w:snapToGrid w:val="0"/>
        <w:spacing w:line="360" w:lineRule="auto"/>
        <w:ind w:firstLine="480" w:firstLineChars="200"/>
        <w:rPr>
          <w:sz w:val="24"/>
        </w:rPr>
      </w:pPr>
      <w:r>
        <w:rPr>
          <w:sz w:val="24"/>
        </w:rPr>
        <w:t>（1</w:t>
      </w:r>
      <w:r>
        <w:rPr>
          <w:rFonts w:hint="eastAsia"/>
          <w:sz w:val="24"/>
        </w:rPr>
        <w:t>）</w:t>
      </w:r>
      <w:r>
        <w:rPr>
          <w:sz w:val="24"/>
        </w:rPr>
        <w:t>在缺陷责任期结束后，监理人签发缺陷责任期终止证书之日，工程进入五年的保修期，承包人可不在工地留有办事人员和机械设备，但必须随时与发包人保持联系，在保修期内承包人应对由于施工质量原因造成的损坏自费进行修复。若承包人不履行保修义务和责任，则承包人应承担由于违约造成的法律后果。</w:t>
      </w:r>
    </w:p>
    <w:p>
      <w:pPr>
        <w:adjustRightInd w:val="0"/>
        <w:snapToGrid w:val="0"/>
        <w:spacing w:line="360" w:lineRule="auto"/>
        <w:ind w:firstLine="480" w:firstLineChars="200"/>
        <w:rPr>
          <w:sz w:val="24"/>
        </w:rPr>
      </w:pPr>
      <w:r>
        <w:rPr>
          <w:sz w:val="24"/>
        </w:rPr>
        <w:t>（2</w:t>
      </w:r>
      <w:r>
        <w:rPr>
          <w:rFonts w:hint="eastAsia"/>
          <w:sz w:val="24"/>
        </w:rPr>
        <w:t>）</w:t>
      </w:r>
      <w:r>
        <w:rPr>
          <w:sz w:val="24"/>
        </w:rPr>
        <w:t>在全部工程竣工验收前，已经发包人提前验收的单位工程，其保修期的起算日期相应提前。</w:t>
      </w:r>
    </w:p>
    <w:p>
      <w:pPr>
        <w:adjustRightInd w:val="0"/>
        <w:snapToGrid w:val="0"/>
        <w:spacing w:line="360" w:lineRule="auto"/>
        <w:ind w:firstLine="480" w:firstLineChars="200"/>
        <w:rPr>
          <w:sz w:val="24"/>
        </w:rPr>
      </w:pPr>
      <w:r>
        <w:rPr>
          <w:rFonts w:hint="eastAsia"/>
          <w:sz w:val="24"/>
        </w:rPr>
        <w:t>（</w:t>
      </w:r>
      <w:r>
        <w:rPr>
          <w:sz w:val="24"/>
        </w:rPr>
        <w:t>3</w:t>
      </w:r>
      <w:r>
        <w:rPr>
          <w:rFonts w:hint="eastAsia"/>
          <w:sz w:val="24"/>
        </w:rPr>
        <w:t>）</w:t>
      </w:r>
      <w:r>
        <w:rPr>
          <w:sz w:val="24"/>
        </w:rPr>
        <w:t>工程保修期终止后28天内，监理人签发保修期终止证书。</w:t>
      </w:r>
    </w:p>
    <w:p>
      <w:pPr>
        <w:adjustRightInd w:val="0"/>
        <w:snapToGrid w:val="0"/>
        <w:spacing w:line="360" w:lineRule="auto"/>
        <w:ind w:firstLine="480" w:firstLineChars="200"/>
        <w:rPr>
          <w:sz w:val="24"/>
        </w:rPr>
      </w:pPr>
    </w:p>
    <w:p>
      <w:pPr>
        <w:adjustRightInd w:val="0"/>
        <w:snapToGrid w:val="0"/>
        <w:spacing w:beforeLines="100" w:line="360" w:lineRule="auto"/>
        <w:rPr>
          <w:rFonts w:eastAsia="黑体"/>
          <w:sz w:val="24"/>
        </w:rPr>
      </w:pPr>
      <w:r>
        <w:rPr>
          <w:rFonts w:eastAsia="黑体"/>
          <w:sz w:val="24"/>
        </w:rPr>
        <w:t>19.</w:t>
      </w:r>
      <w:r>
        <w:rPr>
          <w:rFonts w:hint="eastAsia" w:eastAsia="黑体"/>
          <w:sz w:val="24"/>
        </w:rPr>
        <w:t>8路面保修</w:t>
      </w:r>
    </w:p>
    <w:p>
      <w:pPr>
        <w:adjustRightInd w:val="0"/>
        <w:snapToGrid w:val="0"/>
        <w:spacing w:line="360" w:lineRule="auto"/>
        <w:ind w:firstLine="480" w:firstLineChars="200"/>
        <w:rPr>
          <w:sz w:val="24"/>
        </w:rPr>
      </w:pPr>
      <w:r>
        <w:rPr>
          <w:rFonts w:hint="eastAsia"/>
          <w:sz w:val="24"/>
        </w:rPr>
        <w:t>路面工程招标在缺陷责任期（通车后两年）结束之后，再增加三年路面养护期，由原路面施工单位进行除日常保洁外的路面养护。</w:t>
      </w:r>
    </w:p>
    <w:p>
      <w:pPr>
        <w:adjustRightInd w:val="0"/>
        <w:snapToGrid w:val="0"/>
        <w:spacing w:beforeLines="100" w:line="360" w:lineRule="auto"/>
        <w:rPr>
          <w:rFonts w:eastAsia="黑体"/>
          <w:sz w:val="24"/>
        </w:rPr>
      </w:pPr>
      <w:r>
        <w:rPr>
          <w:rFonts w:eastAsia="黑体"/>
          <w:sz w:val="24"/>
        </w:rPr>
        <w:t>20</w:t>
      </w:r>
      <w:r>
        <w:rPr>
          <w:rFonts w:hint="eastAsia" w:eastAsia="黑体"/>
          <w:sz w:val="24"/>
        </w:rPr>
        <w:t>．</w:t>
      </w:r>
      <w:r>
        <w:rPr>
          <w:rFonts w:eastAsia="黑体"/>
          <w:sz w:val="24"/>
        </w:rPr>
        <w:t>保险</w:t>
      </w:r>
    </w:p>
    <w:p>
      <w:pPr>
        <w:adjustRightInd w:val="0"/>
        <w:snapToGrid w:val="0"/>
        <w:spacing w:line="360" w:lineRule="auto"/>
        <w:rPr>
          <w:rFonts w:eastAsia="黑体"/>
          <w:sz w:val="24"/>
        </w:rPr>
      </w:pPr>
      <w:r>
        <w:rPr>
          <w:rFonts w:eastAsia="黑体"/>
          <w:sz w:val="24"/>
        </w:rPr>
        <w:t>20.1工程保险</w:t>
      </w:r>
    </w:p>
    <w:p>
      <w:pPr>
        <w:adjustRightInd w:val="0"/>
        <w:snapToGrid w:val="0"/>
        <w:spacing w:line="360" w:lineRule="auto"/>
        <w:ind w:firstLine="480" w:firstLineChars="200"/>
        <w:rPr>
          <w:sz w:val="24"/>
        </w:rPr>
      </w:pPr>
      <w:r>
        <w:rPr>
          <w:sz w:val="24"/>
        </w:rPr>
        <w:t>本款约定为：</w:t>
      </w:r>
    </w:p>
    <w:p>
      <w:pPr>
        <w:adjustRightInd w:val="0"/>
        <w:snapToGrid w:val="0"/>
        <w:spacing w:line="360" w:lineRule="auto"/>
        <w:ind w:firstLine="480" w:firstLineChars="200"/>
        <w:rPr>
          <w:sz w:val="24"/>
        </w:rPr>
      </w:pPr>
      <w:r>
        <w:rPr>
          <w:sz w:val="24"/>
        </w:rPr>
        <w:t>建筑工程一切险的投保内容：为永久工程、临时工程和设备及</w:t>
      </w:r>
      <w:r>
        <w:rPr>
          <w:rFonts w:hint="eastAsia"/>
          <w:sz w:val="24"/>
        </w:rPr>
        <w:t>已</w:t>
      </w:r>
      <w:r>
        <w:rPr>
          <w:sz w:val="24"/>
        </w:rPr>
        <w:t>运至施工工地用于永久工程的材料和设备所投的保险。</w:t>
      </w:r>
    </w:p>
    <w:p>
      <w:pPr>
        <w:adjustRightInd w:val="0"/>
        <w:snapToGrid w:val="0"/>
        <w:spacing w:line="360" w:lineRule="auto"/>
        <w:ind w:firstLine="480" w:firstLineChars="200"/>
        <w:rPr>
          <w:sz w:val="24"/>
        </w:rPr>
      </w:pPr>
      <w:r>
        <w:rPr>
          <w:sz w:val="24"/>
        </w:rPr>
        <w:t>保险金额：工程量清单第100章（不含建筑工程一切险及第三者责任险的保险费）至700章的合计金额。</w:t>
      </w:r>
    </w:p>
    <w:p>
      <w:pPr>
        <w:adjustRightInd w:val="0"/>
        <w:snapToGrid w:val="0"/>
        <w:spacing w:line="360" w:lineRule="auto"/>
        <w:ind w:firstLine="480" w:firstLineChars="200"/>
        <w:rPr>
          <w:sz w:val="24"/>
        </w:rPr>
      </w:pPr>
      <w:r>
        <w:rPr>
          <w:sz w:val="24"/>
        </w:rPr>
        <w:t>保险费率：</w:t>
      </w:r>
      <w:r>
        <w:rPr>
          <w:rFonts w:hint="eastAsia"/>
          <w:sz w:val="24"/>
        </w:rPr>
        <w:t>%</w:t>
      </w:r>
      <w:r>
        <w:rPr>
          <w:sz w:val="24"/>
        </w:rPr>
        <w:t>（在项目专用条款数据中约定）</w:t>
      </w:r>
    </w:p>
    <w:p>
      <w:pPr>
        <w:adjustRightInd w:val="0"/>
        <w:snapToGrid w:val="0"/>
        <w:spacing w:line="360" w:lineRule="auto"/>
        <w:ind w:firstLine="480" w:firstLineChars="200"/>
        <w:rPr>
          <w:sz w:val="24"/>
        </w:rPr>
      </w:pPr>
      <w:r>
        <w:rPr>
          <w:sz w:val="24"/>
        </w:rPr>
        <w:t>保险期限：开工日起直至本合同工程签发缺陷责任期终止证书止（即合同工期＋缺陷责任期）</w:t>
      </w:r>
    </w:p>
    <w:p>
      <w:pPr>
        <w:adjustRightInd w:val="0"/>
        <w:snapToGrid w:val="0"/>
        <w:spacing w:line="360" w:lineRule="auto"/>
        <w:ind w:firstLine="480" w:firstLineChars="200"/>
        <w:rPr>
          <w:sz w:val="24"/>
        </w:rPr>
      </w:pPr>
      <w:r>
        <w:rPr>
          <w:sz w:val="24"/>
        </w:rPr>
        <w:t>承包人应以发包人和承包人的共同名义投保建筑工程一切险。建筑工程一切险的保险费由承包人报价时列入工程量清单100章内。发包人在接到保险单后，将按照保险单的费用直接向承包人支付。</w:t>
      </w:r>
    </w:p>
    <w:p>
      <w:pPr>
        <w:adjustRightInd w:val="0"/>
        <w:snapToGrid w:val="0"/>
        <w:spacing w:beforeLines="100" w:line="360" w:lineRule="auto"/>
        <w:rPr>
          <w:rFonts w:eastAsia="黑体"/>
          <w:sz w:val="24"/>
        </w:rPr>
      </w:pPr>
      <w:r>
        <w:rPr>
          <w:rFonts w:eastAsia="黑体"/>
          <w:sz w:val="24"/>
        </w:rPr>
        <w:t>20.4第三者责任险</w:t>
      </w:r>
    </w:p>
    <w:p>
      <w:pPr>
        <w:adjustRightInd w:val="0"/>
        <w:snapToGrid w:val="0"/>
        <w:spacing w:line="360" w:lineRule="auto"/>
        <w:ind w:firstLine="480" w:firstLineChars="200"/>
        <w:rPr>
          <w:sz w:val="24"/>
        </w:rPr>
      </w:pPr>
      <w:r>
        <w:rPr>
          <w:sz w:val="24"/>
        </w:rPr>
        <w:t>20.4.2项约定为：</w:t>
      </w:r>
    </w:p>
    <w:p>
      <w:pPr>
        <w:adjustRightInd w:val="0"/>
        <w:snapToGrid w:val="0"/>
        <w:spacing w:line="360" w:lineRule="auto"/>
        <w:ind w:firstLine="480" w:firstLineChars="200"/>
        <w:rPr>
          <w:sz w:val="24"/>
        </w:rPr>
      </w:pPr>
      <w:r>
        <w:rPr>
          <w:sz w:val="24"/>
        </w:rPr>
        <w:t>第三者责任险的最低保险金额：万元人民币，事故次数不限（不计免赔额）</w:t>
      </w:r>
    </w:p>
    <w:p>
      <w:pPr>
        <w:adjustRightInd w:val="0"/>
        <w:snapToGrid w:val="0"/>
        <w:spacing w:line="360" w:lineRule="auto"/>
        <w:ind w:firstLine="480" w:firstLineChars="200"/>
        <w:rPr>
          <w:sz w:val="24"/>
        </w:rPr>
      </w:pPr>
      <w:r>
        <w:rPr>
          <w:sz w:val="24"/>
        </w:rPr>
        <w:t>保险费率：％。（在项目专用合同条款中约定）</w:t>
      </w:r>
    </w:p>
    <w:p>
      <w:pPr>
        <w:adjustRightInd w:val="0"/>
        <w:snapToGrid w:val="0"/>
        <w:spacing w:line="360" w:lineRule="auto"/>
        <w:ind w:firstLine="480" w:firstLineChars="200"/>
        <w:rPr>
          <w:sz w:val="24"/>
        </w:rPr>
      </w:pPr>
      <w:r>
        <w:rPr>
          <w:sz w:val="24"/>
        </w:rPr>
        <w:t>承包人应以发包人和承包人的共同名义投保第三者责任险。第三者责任险的保险费由承包人报价时列入工程量清单100章内。发包人在接到保险单后，将按照保险单的费用直接向承包人支付。</w:t>
      </w:r>
    </w:p>
    <w:p>
      <w:pPr>
        <w:adjustRightInd w:val="0"/>
        <w:snapToGrid w:val="0"/>
        <w:spacing w:beforeLines="100" w:line="360" w:lineRule="auto"/>
        <w:rPr>
          <w:rFonts w:eastAsia="黑体"/>
          <w:sz w:val="24"/>
        </w:rPr>
      </w:pPr>
      <w:r>
        <w:rPr>
          <w:rFonts w:eastAsia="黑体"/>
          <w:sz w:val="24"/>
        </w:rPr>
        <w:t>20.5其他保险</w:t>
      </w:r>
    </w:p>
    <w:p>
      <w:pPr>
        <w:adjustRightInd w:val="0"/>
        <w:snapToGrid w:val="0"/>
        <w:spacing w:line="360" w:lineRule="auto"/>
        <w:ind w:firstLine="480" w:firstLineChars="200"/>
        <w:rPr>
          <w:sz w:val="24"/>
        </w:rPr>
      </w:pPr>
      <w:r>
        <w:rPr>
          <w:sz w:val="24"/>
        </w:rPr>
        <w:t>本款细化为：</w:t>
      </w:r>
    </w:p>
    <w:p>
      <w:pPr>
        <w:adjustRightInd w:val="0"/>
        <w:snapToGrid w:val="0"/>
        <w:spacing w:line="360" w:lineRule="auto"/>
        <w:ind w:firstLine="480" w:firstLineChars="200"/>
        <w:rPr>
          <w:sz w:val="24"/>
        </w:rPr>
      </w:pPr>
      <w:r>
        <w:rPr>
          <w:sz w:val="24"/>
        </w:rPr>
        <w:t>承包人应为其施工设备等办理保险，其投保金额应足以现场重置。办理本款保险的一切费用均由承包人承担，并包括在工程量清单的单价及总额价中，发包人不单独支付。</w:t>
      </w:r>
    </w:p>
    <w:p>
      <w:pPr>
        <w:adjustRightInd w:val="0"/>
        <w:snapToGrid w:val="0"/>
        <w:spacing w:beforeLines="100" w:line="360" w:lineRule="auto"/>
        <w:rPr>
          <w:rFonts w:eastAsia="黑体"/>
          <w:sz w:val="24"/>
        </w:rPr>
      </w:pPr>
      <w:r>
        <w:rPr>
          <w:rFonts w:eastAsia="黑体"/>
          <w:sz w:val="24"/>
        </w:rPr>
        <w:t>20.6对各项保险的一般要求</w:t>
      </w:r>
    </w:p>
    <w:p>
      <w:pPr>
        <w:adjustRightInd w:val="0"/>
        <w:snapToGrid w:val="0"/>
        <w:spacing w:line="360" w:lineRule="auto"/>
        <w:ind w:firstLine="480" w:firstLineChars="200"/>
        <w:rPr>
          <w:sz w:val="24"/>
        </w:rPr>
      </w:pPr>
      <w:r>
        <w:rPr>
          <w:sz w:val="24"/>
        </w:rPr>
        <w:t>20.6.1保险凭证</w:t>
      </w:r>
    </w:p>
    <w:p>
      <w:pPr>
        <w:adjustRightInd w:val="0"/>
        <w:snapToGrid w:val="0"/>
        <w:spacing w:line="360" w:lineRule="auto"/>
        <w:ind w:firstLine="480" w:firstLineChars="200"/>
        <w:rPr>
          <w:sz w:val="24"/>
        </w:rPr>
      </w:pPr>
      <w:r>
        <w:rPr>
          <w:sz w:val="24"/>
        </w:rPr>
        <w:t>本项约定为：</w:t>
      </w:r>
    </w:p>
    <w:p>
      <w:pPr>
        <w:adjustRightInd w:val="0"/>
        <w:snapToGrid w:val="0"/>
        <w:spacing w:line="360" w:lineRule="auto"/>
        <w:ind w:firstLine="480" w:firstLineChars="200"/>
        <w:rPr>
          <w:sz w:val="24"/>
        </w:rPr>
      </w:pPr>
      <w:r>
        <w:rPr>
          <w:sz w:val="24"/>
        </w:rPr>
        <w:t>承包人向发包人提交各项保险生效的证据和保险单副本的期限：</w:t>
      </w:r>
      <w:r>
        <w:rPr>
          <w:rFonts w:hint="eastAsia"/>
          <w:sz w:val="24"/>
          <w:u w:val="single"/>
        </w:rPr>
        <w:t>开工后56天内</w:t>
      </w:r>
      <w:r>
        <w:rPr>
          <w:sz w:val="24"/>
        </w:rPr>
        <w:t>。</w:t>
      </w:r>
    </w:p>
    <w:p>
      <w:pPr>
        <w:adjustRightInd w:val="0"/>
        <w:snapToGrid w:val="0"/>
        <w:spacing w:line="360" w:lineRule="auto"/>
        <w:ind w:firstLine="480" w:firstLineChars="200"/>
        <w:rPr>
          <w:sz w:val="24"/>
        </w:rPr>
      </w:pPr>
      <w:r>
        <w:rPr>
          <w:sz w:val="24"/>
        </w:rPr>
        <w:t>20.6.3持续保险</w:t>
      </w:r>
    </w:p>
    <w:p>
      <w:pPr>
        <w:adjustRightInd w:val="0"/>
        <w:snapToGrid w:val="0"/>
        <w:spacing w:line="360" w:lineRule="auto"/>
        <w:ind w:firstLine="480" w:firstLineChars="200"/>
        <w:rPr>
          <w:sz w:val="24"/>
        </w:rPr>
      </w:pPr>
      <w:r>
        <w:rPr>
          <w:sz w:val="24"/>
        </w:rPr>
        <w:t>本项补充：</w:t>
      </w:r>
    </w:p>
    <w:p>
      <w:pPr>
        <w:adjustRightInd w:val="0"/>
        <w:snapToGrid w:val="0"/>
        <w:spacing w:line="360" w:lineRule="auto"/>
        <w:ind w:firstLine="480" w:firstLineChars="200"/>
        <w:rPr>
          <w:sz w:val="24"/>
        </w:rPr>
      </w:pPr>
      <w:r>
        <w:rPr>
          <w:sz w:val="24"/>
        </w:rPr>
        <w:t>在整个合同期内，承包人应按合同条款保证足够的保险额。</w:t>
      </w:r>
    </w:p>
    <w:p>
      <w:pPr>
        <w:adjustRightInd w:val="0"/>
        <w:snapToGrid w:val="0"/>
        <w:spacing w:line="360" w:lineRule="auto"/>
        <w:ind w:firstLine="480" w:firstLineChars="200"/>
        <w:rPr>
          <w:sz w:val="24"/>
        </w:rPr>
      </w:pPr>
      <w:r>
        <w:rPr>
          <w:sz w:val="24"/>
        </w:rPr>
        <w:t>20.6.4保险</w:t>
      </w:r>
      <w:r>
        <w:rPr>
          <w:rFonts w:hint="eastAsia"/>
          <w:sz w:val="24"/>
        </w:rPr>
        <w:t>金</w:t>
      </w:r>
      <w:r>
        <w:rPr>
          <w:sz w:val="24"/>
        </w:rPr>
        <w:t>不足的补偿</w:t>
      </w:r>
    </w:p>
    <w:p>
      <w:pPr>
        <w:adjustRightInd w:val="0"/>
        <w:snapToGrid w:val="0"/>
        <w:spacing w:line="360" w:lineRule="auto"/>
        <w:ind w:firstLine="480" w:firstLineChars="200"/>
        <w:rPr>
          <w:sz w:val="24"/>
        </w:rPr>
      </w:pPr>
      <w:r>
        <w:rPr>
          <w:sz w:val="24"/>
        </w:rPr>
        <w:t>本项细化为：</w:t>
      </w:r>
    </w:p>
    <w:p>
      <w:pPr>
        <w:adjustRightInd w:val="0"/>
        <w:snapToGrid w:val="0"/>
        <w:spacing w:line="360" w:lineRule="auto"/>
        <w:ind w:firstLine="480" w:firstLineChars="200"/>
        <w:rPr>
          <w:sz w:val="24"/>
        </w:rPr>
      </w:pPr>
      <w:r>
        <w:rPr>
          <w:sz w:val="24"/>
        </w:rPr>
        <w:t>保险金不足以补偿损失的（包括免赔额和超过赔偿限额的部分），应由承包人和（或）发包人按合同约定负责补偿。</w:t>
      </w:r>
    </w:p>
    <w:p>
      <w:pPr>
        <w:adjustRightInd w:val="0"/>
        <w:snapToGrid w:val="0"/>
        <w:spacing w:line="360" w:lineRule="auto"/>
        <w:ind w:firstLine="480" w:firstLineChars="200"/>
        <w:rPr>
          <w:sz w:val="24"/>
        </w:rPr>
      </w:pPr>
      <w:r>
        <w:rPr>
          <w:sz w:val="24"/>
        </w:rPr>
        <w:t>20.6.5未按约定投保的补救</w:t>
      </w:r>
    </w:p>
    <w:p>
      <w:pPr>
        <w:adjustRightInd w:val="0"/>
        <w:snapToGrid w:val="0"/>
        <w:spacing w:line="360" w:lineRule="auto"/>
        <w:ind w:firstLine="480" w:firstLineChars="200"/>
        <w:rPr>
          <w:sz w:val="24"/>
        </w:rPr>
      </w:pPr>
      <w:r>
        <w:rPr>
          <w:sz w:val="24"/>
        </w:rPr>
        <w:t>本项（2）目细化为：</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pPr>
        <w:adjustRightInd w:val="0"/>
        <w:snapToGrid w:val="0"/>
        <w:spacing w:beforeLines="100" w:line="360" w:lineRule="auto"/>
        <w:rPr>
          <w:rFonts w:eastAsia="黑体"/>
          <w:sz w:val="24"/>
        </w:rPr>
      </w:pPr>
      <w:r>
        <w:rPr>
          <w:rFonts w:eastAsia="黑体"/>
          <w:sz w:val="24"/>
        </w:rPr>
        <w:t>21．不可抗力</w:t>
      </w:r>
    </w:p>
    <w:p>
      <w:pPr>
        <w:adjustRightInd w:val="0"/>
        <w:snapToGrid w:val="0"/>
        <w:spacing w:line="360" w:lineRule="auto"/>
        <w:rPr>
          <w:rFonts w:eastAsia="黑体"/>
          <w:sz w:val="24"/>
        </w:rPr>
      </w:pPr>
      <w:r>
        <w:rPr>
          <w:rFonts w:eastAsia="黑体"/>
          <w:sz w:val="24"/>
        </w:rPr>
        <w:t>21.1不可抗力的确认</w:t>
      </w:r>
    </w:p>
    <w:p>
      <w:pPr>
        <w:adjustRightInd w:val="0"/>
        <w:snapToGrid w:val="0"/>
        <w:spacing w:line="360" w:lineRule="auto"/>
        <w:ind w:firstLine="480" w:firstLineChars="200"/>
        <w:rPr>
          <w:sz w:val="24"/>
        </w:rPr>
      </w:pPr>
      <w:r>
        <w:rPr>
          <w:sz w:val="24"/>
        </w:rPr>
        <w:t>21</w:t>
      </w:r>
      <w:r>
        <w:rPr>
          <w:rFonts w:hint="eastAsia"/>
          <w:sz w:val="24"/>
        </w:rPr>
        <w:t>.</w:t>
      </w:r>
      <w:r>
        <w:rPr>
          <w:sz w:val="24"/>
        </w:rPr>
        <w:t>1</w:t>
      </w:r>
      <w:r>
        <w:rPr>
          <w:rFonts w:hint="eastAsia"/>
          <w:sz w:val="24"/>
        </w:rPr>
        <w:t>.</w:t>
      </w:r>
      <w:r>
        <w:rPr>
          <w:sz w:val="24"/>
        </w:rPr>
        <w:t>1项细化为：</w:t>
      </w:r>
    </w:p>
    <w:p>
      <w:pPr>
        <w:adjustRightInd w:val="0"/>
        <w:snapToGrid w:val="0"/>
        <w:spacing w:line="360" w:lineRule="auto"/>
        <w:ind w:firstLine="480" w:firstLineChars="200"/>
        <w:rPr>
          <w:sz w:val="24"/>
        </w:rPr>
      </w:pPr>
      <w:r>
        <w:rPr>
          <w:sz w:val="24"/>
        </w:rPr>
        <w:t>不可抗力是指承包人和发包人在订立合同时不可预见，在工程施工过程中不可避免发生并不能克服的自然灾害和社会性突发事件。包括但不限于：</w:t>
      </w:r>
    </w:p>
    <w:p>
      <w:pPr>
        <w:adjustRightInd w:val="0"/>
        <w:snapToGrid w:val="0"/>
        <w:spacing w:line="360" w:lineRule="auto"/>
        <w:ind w:firstLine="480" w:firstLineChars="200"/>
        <w:rPr>
          <w:sz w:val="24"/>
        </w:rPr>
      </w:pPr>
      <w:r>
        <w:rPr>
          <w:rFonts w:hint="eastAsia"/>
          <w:sz w:val="24"/>
        </w:rPr>
        <w:t>（</w:t>
      </w:r>
      <w:r>
        <w:rPr>
          <w:sz w:val="24"/>
        </w:rPr>
        <w:t>1</w:t>
      </w:r>
      <w:r>
        <w:rPr>
          <w:rFonts w:hint="eastAsia"/>
          <w:sz w:val="24"/>
        </w:rPr>
        <w:t>）</w:t>
      </w:r>
      <w:r>
        <w:rPr>
          <w:sz w:val="24"/>
        </w:rPr>
        <w:t>地震、海啸、火山爆发、泥石流、暴雨（雪）、台风、龙卷风、水灾等自然灾害；</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战争、骚乱、暴动，但纯属承包人或其分包人派遣与雇用的人员由于本合同工程施工原因引起者除外；</w:t>
      </w:r>
    </w:p>
    <w:p>
      <w:pPr>
        <w:adjustRightInd w:val="0"/>
        <w:snapToGrid w:val="0"/>
        <w:spacing w:line="360" w:lineRule="auto"/>
        <w:ind w:firstLine="480" w:firstLineChars="200"/>
        <w:rPr>
          <w:sz w:val="24"/>
        </w:rPr>
      </w:pPr>
      <w:r>
        <w:rPr>
          <w:sz w:val="24"/>
        </w:rPr>
        <w:t>（3）核反应、辐射或放射性污染；</w:t>
      </w:r>
    </w:p>
    <w:p>
      <w:pPr>
        <w:adjustRightInd w:val="0"/>
        <w:snapToGrid w:val="0"/>
        <w:spacing w:line="360" w:lineRule="auto"/>
        <w:ind w:firstLine="480" w:firstLineChars="200"/>
        <w:rPr>
          <w:sz w:val="24"/>
        </w:rPr>
      </w:pPr>
      <w:r>
        <w:rPr>
          <w:rFonts w:hint="eastAsia"/>
          <w:sz w:val="24"/>
        </w:rPr>
        <w:t>（</w:t>
      </w:r>
      <w:r>
        <w:rPr>
          <w:sz w:val="24"/>
        </w:rPr>
        <w:t>4</w:t>
      </w:r>
      <w:r>
        <w:rPr>
          <w:rFonts w:hint="eastAsia"/>
          <w:sz w:val="24"/>
        </w:rPr>
        <w:t>）</w:t>
      </w:r>
      <w:r>
        <w:rPr>
          <w:sz w:val="24"/>
        </w:rPr>
        <w:t>空中飞行物体坠落或非发包人或承包人责任造成的爆炸、火灾；</w:t>
      </w:r>
    </w:p>
    <w:p>
      <w:pPr>
        <w:adjustRightInd w:val="0"/>
        <w:snapToGrid w:val="0"/>
        <w:spacing w:line="360" w:lineRule="auto"/>
        <w:ind w:firstLine="480" w:firstLineChars="200"/>
        <w:rPr>
          <w:sz w:val="24"/>
        </w:rPr>
      </w:pPr>
      <w:r>
        <w:rPr>
          <w:sz w:val="24"/>
        </w:rPr>
        <w:t>（5</w:t>
      </w:r>
      <w:r>
        <w:rPr>
          <w:rFonts w:hint="eastAsia"/>
          <w:sz w:val="24"/>
        </w:rPr>
        <w:t>）</w:t>
      </w:r>
      <w:r>
        <w:rPr>
          <w:sz w:val="24"/>
        </w:rPr>
        <w:t>瘟疫；</w:t>
      </w:r>
    </w:p>
    <w:p>
      <w:pPr>
        <w:adjustRightInd w:val="0"/>
        <w:snapToGrid w:val="0"/>
        <w:spacing w:line="360" w:lineRule="auto"/>
        <w:ind w:firstLine="480" w:firstLineChars="200"/>
        <w:rPr>
          <w:sz w:val="24"/>
        </w:rPr>
      </w:pPr>
      <w:r>
        <w:rPr>
          <w:rFonts w:hint="eastAsia"/>
          <w:sz w:val="24"/>
        </w:rPr>
        <w:t>（</w:t>
      </w:r>
      <w:r>
        <w:rPr>
          <w:sz w:val="24"/>
        </w:rPr>
        <w:t>6</w:t>
      </w:r>
      <w:r>
        <w:rPr>
          <w:rFonts w:hint="eastAsia"/>
          <w:sz w:val="24"/>
        </w:rPr>
        <w:t>）</w:t>
      </w:r>
      <w:r>
        <w:rPr>
          <w:sz w:val="24"/>
        </w:rPr>
        <w:t>项目专用合同条款约定的其他情形。</w:t>
      </w:r>
    </w:p>
    <w:p>
      <w:pPr>
        <w:adjustRightInd w:val="0"/>
        <w:snapToGrid w:val="0"/>
        <w:spacing w:beforeLines="100" w:line="360" w:lineRule="auto"/>
        <w:rPr>
          <w:rFonts w:eastAsia="黑体"/>
          <w:sz w:val="24"/>
        </w:rPr>
      </w:pPr>
      <w:r>
        <w:rPr>
          <w:rFonts w:eastAsia="黑体"/>
          <w:sz w:val="24"/>
        </w:rPr>
        <w:t>21.3不可抗力后果及其处理</w:t>
      </w:r>
    </w:p>
    <w:p>
      <w:pPr>
        <w:adjustRightInd w:val="0"/>
        <w:snapToGrid w:val="0"/>
        <w:spacing w:line="360" w:lineRule="auto"/>
        <w:ind w:firstLine="480" w:firstLineChars="200"/>
        <w:rPr>
          <w:sz w:val="24"/>
        </w:rPr>
      </w:pPr>
      <w:r>
        <w:rPr>
          <w:sz w:val="24"/>
        </w:rPr>
        <w:t>21.3.4因不可抗力解除合同本项细化为：</w:t>
      </w:r>
    </w:p>
    <w:p>
      <w:pPr>
        <w:adjustRightInd w:val="0"/>
        <w:snapToGrid w:val="0"/>
        <w:spacing w:line="360" w:lineRule="auto"/>
        <w:ind w:firstLine="480" w:firstLineChars="200"/>
        <w:rPr>
          <w:sz w:val="24"/>
        </w:rPr>
      </w:pPr>
      <w:r>
        <w:rPr>
          <w:sz w:val="24"/>
        </w:rPr>
        <w:t>合同一方当事人因不可抗力不能履行合同的，应当及时通知对方解除合同。合同解除后，承包人应按照第22.2.5项约定撤离施工场地。己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但由于解除合同应赔偿的承包人损失不予考虑。</w:t>
      </w:r>
    </w:p>
    <w:p>
      <w:pPr>
        <w:adjustRightInd w:val="0"/>
        <w:snapToGrid w:val="0"/>
        <w:spacing w:beforeLines="100" w:line="360" w:lineRule="auto"/>
        <w:rPr>
          <w:rFonts w:eastAsia="黑体"/>
          <w:sz w:val="24"/>
        </w:rPr>
      </w:pPr>
      <w:r>
        <w:rPr>
          <w:rFonts w:eastAsia="黑体"/>
          <w:sz w:val="24"/>
        </w:rPr>
        <w:t>22</w:t>
      </w:r>
      <w:r>
        <w:rPr>
          <w:rFonts w:hint="eastAsia" w:eastAsia="黑体"/>
          <w:sz w:val="24"/>
        </w:rPr>
        <w:t>．</w:t>
      </w:r>
      <w:r>
        <w:rPr>
          <w:rFonts w:eastAsia="黑体"/>
          <w:sz w:val="24"/>
        </w:rPr>
        <w:t>违约</w:t>
      </w:r>
    </w:p>
    <w:p>
      <w:pPr>
        <w:adjustRightInd w:val="0"/>
        <w:snapToGrid w:val="0"/>
        <w:spacing w:line="360" w:lineRule="auto"/>
        <w:rPr>
          <w:rFonts w:eastAsia="黑体"/>
          <w:sz w:val="24"/>
        </w:rPr>
      </w:pPr>
      <w:r>
        <w:rPr>
          <w:rFonts w:eastAsia="黑体"/>
          <w:sz w:val="24"/>
        </w:rPr>
        <w:t>22.1承包人违约</w:t>
      </w:r>
    </w:p>
    <w:p>
      <w:pPr>
        <w:adjustRightInd w:val="0"/>
        <w:snapToGrid w:val="0"/>
        <w:spacing w:line="360" w:lineRule="auto"/>
        <w:ind w:firstLine="480" w:firstLineChars="200"/>
        <w:rPr>
          <w:sz w:val="24"/>
        </w:rPr>
      </w:pPr>
      <w:r>
        <w:rPr>
          <w:sz w:val="24"/>
        </w:rPr>
        <w:t>22.1.1承包人违约的情形</w:t>
      </w:r>
    </w:p>
    <w:p>
      <w:pPr>
        <w:adjustRightInd w:val="0"/>
        <w:snapToGrid w:val="0"/>
        <w:spacing w:line="360" w:lineRule="auto"/>
        <w:ind w:firstLine="480" w:firstLineChars="200"/>
        <w:rPr>
          <w:sz w:val="24"/>
        </w:rPr>
      </w:pPr>
      <w:r>
        <w:rPr>
          <w:sz w:val="24"/>
        </w:rPr>
        <w:t>本项</w:t>
      </w:r>
      <w:r>
        <w:rPr>
          <w:rFonts w:hint="eastAsia"/>
          <w:sz w:val="24"/>
        </w:rPr>
        <w:t>（</w:t>
      </w:r>
      <w:r>
        <w:rPr>
          <w:sz w:val="24"/>
        </w:rPr>
        <w:t>2</w:t>
      </w:r>
      <w:r>
        <w:rPr>
          <w:rFonts w:hint="eastAsia"/>
          <w:sz w:val="24"/>
        </w:rPr>
        <w:t>）</w:t>
      </w:r>
      <w:r>
        <w:rPr>
          <w:sz w:val="24"/>
        </w:rPr>
        <w:t>目细化为：</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承包人违反第5.3款或第6.4款的约定，未经监理人批准，私自将已按合同约定进入施工场地的施工设备、临时设施、材料或工程设备撤离施工场地；</w:t>
      </w:r>
    </w:p>
    <w:p>
      <w:pPr>
        <w:adjustRightInd w:val="0"/>
        <w:snapToGrid w:val="0"/>
        <w:spacing w:line="360" w:lineRule="auto"/>
        <w:ind w:firstLine="480" w:firstLineChars="200"/>
        <w:rPr>
          <w:sz w:val="24"/>
        </w:rPr>
      </w:pPr>
      <w:r>
        <w:rPr>
          <w:sz w:val="24"/>
        </w:rPr>
        <w:t>本项</w:t>
      </w:r>
      <w:r>
        <w:rPr>
          <w:rFonts w:hint="eastAsia"/>
          <w:sz w:val="24"/>
        </w:rPr>
        <w:t>（</w:t>
      </w:r>
      <w:r>
        <w:rPr>
          <w:sz w:val="24"/>
        </w:rPr>
        <w:t>7</w:t>
      </w:r>
      <w:r>
        <w:rPr>
          <w:rFonts w:hint="eastAsia"/>
          <w:sz w:val="24"/>
        </w:rPr>
        <w:t>）</w:t>
      </w:r>
      <w:r>
        <w:rPr>
          <w:sz w:val="24"/>
        </w:rPr>
        <w:t>目细化为：</w:t>
      </w:r>
    </w:p>
    <w:p>
      <w:pPr>
        <w:adjustRightInd w:val="0"/>
        <w:snapToGrid w:val="0"/>
        <w:spacing w:line="360" w:lineRule="auto"/>
        <w:ind w:firstLine="480" w:firstLineChars="200"/>
        <w:rPr>
          <w:sz w:val="24"/>
        </w:rPr>
      </w:pPr>
      <w:r>
        <w:rPr>
          <w:sz w:val="24"/>
        </w:rPr>
        <w:t>（7</w:t>
      </w:r>
      <w:r>
        <w:rPr>
          <w:rFonts w:hint="eastAsia"/>
          <w:sz w:val="24"/>
        </w:rPr>
        <w:t>）</w:t>
      </w:r>
      <w:r>
        <w:rPr>
          <w:sz w:val="24"/>
        </w:rPr>
        <w:t>承包人未能按期开工；</w:t>
      </w:r>
    </w:p>
    <w:p>
      <w:pPr>
        <w:adjustRightInd w:val="0"/>
        <w:snapToGrid w:val="0"/>
        <w:spacing w:line="360" w:lineRule="auto"/>
        <w:ind w:firstLine="480" w:firstLineChars="200"/>
        <w:rPr>
          <w:sz w:val="24"/>
        </w:rPr>
      </w:pPr>
      <w:r>
        <w:rPr>
          <w:sz w:val="24"/>
        </w:rPr>
        <w:t>（8</w:t>
      </w:r>
      <w:r>
        <w:rPr>
          <w:rFonts w:hint="eastAsia"/>
          <w:sz w:val="24"/>
        </w:rPr>
        <w:t>）</w:t>
      </w:r>
      <w:r>
        <w:rPr>
          <w:sz w:val="24"/>
        </w:rPr>
        <w:t>承包人违反第4.6款关于按投标文件及时配备称职的主要管理人员与技术骨干的规定，或违反第6.3款承包人承诺配备的关键施工设备；</w:t>
      </w:r>
    </w:p>
    <w:p>
      <w:pPr>
        <w:adjustRightInd w:val="0"/>
        <w:snapToGrid w:val="0"/>
        <w:spacing w:line="360" w:lineRule="auto"/>
        <w:ind w:firstLine="480" w:firstLineChars="200"/>
        <w:rPr>
          <w:sz w:val="24"/>
        </w:rPr>
      </w:pPr>
      <w:r>
        <w:rPr>
          <w:rFonts w:hint="eastAsia"/>
          <w:sz w:val="24"/>
        </w:rPr>
        <w:t>（</w:t>
      </w:r>
      <w:r>
        <w:rPr>
          <w:sz w:val="24"/>
        </w:rPr>
        <w:t>9</w:t>
      </w:r>
      <w:r>
        <w:rPr>
          <w:rFonts w:hint="eastAsia"/>
          <w:sz w:val="24"/>
        </w:rPr>
        <w:t>）</w:t>
      </w:r>
      <w:r>
        <w:rPr>
          <w:sz w:val="24"/>
        </w:rPr>
        <w:t>承包人不按合同约定履行义务的其他情况。</w:t>
      </w:r>
    </w:p>
    <w:p>
      <w:pPr>
        <w:adjustRightInd w:val="0"/>
        <w:snapToGrid w:val="0"/>
        <w:spacing w:line="360" w:lineRule="auto"/>
        <w:ind w:firstLine="480" w:firstLineChars="200"/>
        <w:rPr>
          <w:sz w:val="24"/>
        </w:rPr>
      </w:pPr>
      <w:r>
        <w:rPr>
          <w:sz w:val="24"/>
        </w:rPr>
        <w:t>22.1.2对承包人违约的处理</w:t>
      </w:r>
    </w:p>
    <w:p>
      <w:pPr>
        <w:adjustRightInd w:val="0"/>
        <w:snapToGrid w:val="0"/>
        <w:spacing w:line="360" w:lineRule="auto"/>
        <w:ind w:firstLine="480" w:firstLineChars="200"/>
        <w:rPr>
          <w:sz w:val="24"/>
        </w:rPr>
      </w:pPr>
      <w:r>
        <w:rPr>
          <w:sz w:val="24"/>
        </w:rPr>
        <w:t>本项补充：</w:t>
      </w:r>
    </w:p>
    <w:p>
      <w:pPr>
        <w:adjustRightInd w:val="0"/>
        <w:snapToGrid w:val="0"/>
        <w:spacing w:line="360" w:lineRule="auto"/>
        <w:ind w:firstLine="480" w:firstLineChars="200"/>
        <w:rPr>
          <w:sz w:val="24"/>
        </w:rPr>
      </w:pPr>
      <w:r>
        <w:rPr>
          <w:sz w:val="24"/>
        </w:rPr>
        <w:t>承包人发生第22.1.1项约定的违约情况时，无论发包人是否解除合同，发包人均有权向承包人课以项目专用合同条款中规定的违约金。</w:t>
      </w:r>
    </w:p>
    <w:p>
      <w:pPr>
        <w:adjustRightInd w:val="0"/>
        <w:snapToGrid w:val="0"/>
        <w:spacing w:beforeLines="100" w:line="360" w:lineRule="auto"/>
        <w:rPr>
          <w:rFonts w:eastAsia="黑体"/>
          <w:sz w:val="24"/>
        </w:rPr>
      </w:pPr>
      <w:r>
        <w:rPr>
          <w:rFonts w:eastAsia="黑体"/>
          <w:sz w:val="24"/>
        </w:rPr>
        <w:t>22.2发包人违约</w:t>
      </w:r>
    </w:p>
    <w:p>
      <w:pPr>
        <w:adjustRightInd w:val="0"/>
        <w:snapToGrid w:val="0"/>
        <w:spacing w:line="360" w:lineRule="auto"/>
        <w:ind w:firstLine="480" w:firstLineChars="200"/>
        <w:rPr>
          <w:sz w:val="24"/>
        </w:rPr>
      </w:pPr>
      <w:r>
        <w:rPr>
          <w:sz w:val="24"/>
        </w:rPr>
        <w:t>22.2.4解除合同后的付款</w:t>
      </w:r>
    </w:p>
    <w:p>
      <w:pPr>
        <w:adjustRightInd w:val="0"/>
        <w:snapToGrid w:val="0"/>
        <w:spacing w:line="360" w:lineRule="auto"/>
        <w:ind w:firstLine="480" w:firstLineChars="200"/>
        <w:rPr>
          <w:sz w:val="24"/>
        </w:rPr>
      </w:pPr>
      <w:r>
        <w:rPr>
          <w:sz w:val="24"/>
        </w:rPr>
        <w:t>本项</w:t>
      </w:r>
      <w:r>
        <w:rPr>
          <w:rFonts w:hint="eastAsia"/>
          <w:sz w:val="24"/>
        </w:rPr>
        <w:t>（</w:t>
      </w:r>
      <w:r>
        <w:rPr>
          <w:sz w:val="24"/>
        </w:rPr>
        <w:t>2</w:t>
      </w:r>
      <w:r>
        <w:rPr>
          <w:rFonts w:hint="eastAsia"/>
          <w:sz w:val="24"/>
        </w:rPr>
        <w:t>）</w:t>
      </w:r>
      <w:r>
        <w:rPr>
          <w:sz w:val="24"/>
        </w:rPr>
        <w:t>目细化为：</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承包人为该工程施工订购并已付款的材料、工程设备和其他物品的金额。发包人付款后，该材料、工程设备和其他物品归发包人所有；</w:t>
      </w:r>
    </w:p>
    <w:p>
      <w:pPr>
        <w:adjustRightInd w:val="0"/>
        <w:snapToGrid w:val="0"/>
        <w:spacing w:beforeLines="100" w:line="360" w:lineRule="auto"/>
        <w:rPr>
          <w:rFonts w:eastAsia="黑体"/>
          <w:sz w:val="24"/>
        </w:rPr>
      </w:pPr>
      <w:r>
        <w:rPr>
          <w:rFonts w:eastAsia="黑体"/>
          <w:sz w:val="24"/>
        </w:rPr>
        <w:t>23</w:t>
      </w:r>
      <w:r>
        <w:rPr>
          <w:rFonts w:hint="eastAsia" w:eastAsia="黑体"/>
          <w:sz w:val="24"/>
        </w:rPr>
        <w:t>．</w:t>
      </w:r>
      <w:r>
        <w:rPr>
          <w:rFonts w:eastAsia="黑体"/>
          <w:sz w:val="24"/>
        </w:rPr>
        <w:t>索赔</w:t>
      </w:r>
    </w:p>
    <w:p>
      <w:pPr>
        <w:adjustRightInd w:val="0"/>
        <w:snapToGrid w:val="0"/>
        <w:spacing w:line="360" w:lineRule="auto"/>
        <w:rPr>
          <w:rFonts w:eastAsia="黑体"/>
          <w:sz w:val="24"/>
        </w:rPr>
      </w:pPr>
      <w:r>
        <w:rPr>
          <w:rFonts w:eastAsia="黑体"/>
          <w:sz w:val="24"/>
        </w:rPr>
        <w:t>23.1承包人索赔的提出</w:t>
      </w:r>
    </w:p>
    <w:p>
      <w:pPr>
        <w:adjustRightInd w:val="0"/>
        <w:snapToGrid w:val="0"/>
        <w:spacing w:line="360" w:lineRule="auto"/>
        <w:ind w:firstLine="480" w:firstLineChars="200"/>
        <w:rPr>
          <w:sz w:val="24"/>
        </w:rPr>
      </w:pPr>
      <w:r>
        <w:rPr>
          <w:sz w:val="24"/>
        </w:rPr>
        <w:t>本款</w:t>
      </w:r>
      <w:r>
        <w:rPr>
          <w:rFonts w:hint="eastAsia"/>
          <w:sz w:val="24"/>
        </w:rPr>
        <w:t>（</w:t>
      </w:r>
      <w:r>
        <w:rPr>
          <w:sz w:val="24"/>
        </w:rPr>
        <w:t>4）项细化为：</w:t>
      </w:r>
    </w:p>
    <w:p>
      <w:pPr>
        <w:adjustRightInd w:val="0"/>
        <w:snapToGrid w:val="0"/>
        <w:spacing w:line="360" w:lineRule="auto"/>
        <w:ind w:firstLine="480" w:firstLineChars="200"/>
        <w:rPr>
          <w:sz w:val="24"/>
        </w:rPr>
      </w:pPr>
      <w:r>
        <w:rPr>
          <w:rFonts w:hint="eastAsia"/>
          <w:sz w:val="24"/>
        </w:rPr>
        <w:t>（</w:t>
      </w:r>
      <w:r>
        <w:rPr>
          <w:sz w:val="24"/>
        </w:rPr>
        <w:t>4</w:t>
      </w:r>
      <w:r>
        <w:rPr>
          <w:rFonts w:hint="eastAsia"/>
          <w:sz w:val="24"/>
        </w:rPr>
        <w:t>）</w:t>
      </w:r>
      <w:r>
        <w:rPr>
          <w:sz w:val="24"/>
        </w:rPr>
        <w:t>在索赔事件影响结束后的28天内，承包人应向监理人递交最终索赔通知’书，说明最终要求索赔的追加付款金额和（或）延长的工期，并附必要的记录和证明材料。</w:t>
      </w:r>
    </w:p>
    <w:p>
      <w:pPr>
        <w:adjustRightInd w:val="0"/>
        <w:snapToGrid w:val="0"/>
        <w:spacing w:line="360" w:lineRule="auto"/>
        <w:rPr>
          <w:rFonts w:eastAsia="黑体"/>
          <w:sz w:val="24"/>
        </w:rPr>
      </w:pPr>
      <w:r>
        <w:rPr>
          <w:rFonts w:eastAsia="黑体"/>
          <w:sz w:val="24"/>
        </w:rPr>
        <w:t>23.2承包人索赔处理程序</w:t>
      </w:r>
    </w:p>
    <w:p>
      <w:pPr>
        <w:adjustRightInd w:val="0"/>
        <w:snapToGrid w:val="0"/>
        <w:spacing w:line="360" w:lineRule="auto"/>
        <w:ind w:firstLine="480" w:firstLineChars="200"/>
        <w:rPr>
          <w:sz w:val="24"/>
        </w:rPr>
      </w:pPr>
      <w:r>
        <w:rPr>
          <w:sz w:val="24"/>
        </w:rPr>
        <w:t>本款（2</w:t>
      </w:r>
      <w:r>
        <w:rPr>
          <w:rFonts w:hint="eastAsia"/>
          <w:sz w:val="24"/>
        </w:rPr>
        <w:t>）</w:t>
      </w:r>
      <w:r>
        <w:rPr>
          <w:sz w:val="24"/>
        </w:rPr>
        <w:t>项细化为：</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监理人应按第3.5款商定或确定追加的付款和（或）延长的工期，并在收到上述索赔通知书或有关索赔的进一步证明材料后的42天内，将索赔处理结果报发包人批准后答复承包人。如果承包人提出的索赔要求未能遵守第23.1 （2）至（4）项的规定，则承包人只限于索赔由监理人按当时记录予以核实的那部分款额和（或）工期延长天数。</w:t>
      </w:r>
    </w:p>
    <w:p>
      <w:pPr>
        <w:adjustRightInd w:val="0"/>
        <w:snapToGrid w:val="0"/>
        <w:spacing w:beforeLines="100" w:line="360" w:lineRule="auto"/>
        <w:rPr>
          <w:rFonts w:eastAsia="黑体"/>
          <w:sz w:val="24"/>
        </w:rPr>
      </w:pPr>
      <w:r>
        <w:rPr>
          <w:rFonts w:eastAsia="黑体"/>
          <w:sz w:val="24"/>
        </w:rPr>
        <w:t>24</w:t>
      </w:r>
      <w:r>
        <w:rPr>
          <w:rFonts w:hint="eastAsia" w:eastAsia="黑体"/>
          <w:sz w:val="24"/>
        </w:rPr>
        <w:t>．</w:t>
      </w:r>
      <w:r>
        <w:rPr>
          <w:rFonts w:eastAsia="黑体"/>
          <w:sz w:val="24"/>
        </w:rPr>
        <w:t>争议的解决</w:t>
      </w:r>
    </w:p>
    <w:p>
      <w:pPr>
        <w:adjustRightInd w:val="0"/>
        <w:snapToGrid w:val="0"/>
        <w:spacing w:line="360" w:lineRule="auto"/>
        <w:rPr>
          <w:rFonts w:eastAsia="黑体"/>
          <w:sz w:val="24"/>
        </w:rPr>
      </w:pPr>
      <w:r>
        <w:rPr>
          <w:rFonts w:eastAsia="黑体"/>
          <w:sz w:val="24"/>
        </w:rPr>
        <w:t>24.1争议的解决方式</w:t>
      </w:r>
    </w:p>
    <w:p>
      <w:pPr>
        <w:adjustRightInd w:val="0"/>
        <w:snapToGrid w:val="0"/>
        <w:spacing w:line="360" w:lineRule="auto"/>
        <w:ind w:firstLine="480" w:firstLineChars="200"/>
        <w:rPr>
          <w:sz w:val="24"/>
        </w:rPr>
      </w:pPr>
      <w:r>
        <w:rPr>
          <w:sz w:val="24"/>
        </w:rPr>
        <w:t>本款约定为：</w:t>
      </w:r>
    </w:p>
    <w:p>
      <w:pPr>
        <w:adjustRightInd w:val="0"/>
        <w:snapToGrid w:val="0"/>
        <w:spacing w:line="360" w:lineRule="auto"/>
        <w:ind w:firstLine="480" w:firstLineChars="200"/>
        <w:rPr>
          <w:sz w:val="24"/>
        </w:rPr>
      </w:pPr>
      <w:r>
        <w:rPr>
          <w:sz w:val="24"/>
        </w:rPr>
        <w:t>争议的最终解决方式：</w:t>
      </w:r>
      <w:r>
        <w:rPr>
          <w:rFonts w:hint="eastAsia"/>
          <w:sz w:val="24"/>
          <w:u w:val="single"/>
        </w:rPr>
        <w:t>仲裁或诉讼</w:t>
      </w:r>
      <w:r>
        <w:rPr>
          <w:sz w:val="24"/>
        </w:rPr>
        <w:t>（在项目专用条款数据中约定）</w:t>
      </w:r>
    </w:p>
    <w:p>
      <w:pPr>
        <w:adjustRightInd w:val="0"/>
        <w:snapToGrid w:val="0"/>
        <w:spacing w:line="360" w:lineRule="auto"/>
        <w:ind w:firstLine="480" w:firstLineChars="200"/>
        <w:rPr>
          <w:sz w:val="24"/>
        </w:rPr>
      </w:pPr>
      <w:r>
        <w:rPr>
          <w:sz w:val="24"/>
        </w:rPr>
        <w:t>如采用仲裁，仲裁委员会名称：</w:t>
      </w:r>
      <w:r>
        <w:rPr>
          <w:sz w:val="24"/>
          <w:u w:val="single"/>
        </w:rPr>
        <w:t>（在项目专用条款数据中约定）</w:t>
      </w:r>
    </w:p>
    <w:p>
      <w:pPr>
        <w:adjustRightInd w:val="0"/>
        <w:snapToGrid w:val="0"/>
        <w:spacing w:beforeLines="100" w:line="360" w:lineRule="auto"/>
        <w:rPr>
          <w:rFonts w:eastAsia="黑体"/>
          <w:sz w:val="24"/>
        </w:rPr>
      </w:pPr>
      <w:r>
        <w:rPr>
          <w:rFonts w:eastAsia="黑体"/>
          <w:sz w:val="24"/>
        </w:rPr>
        <w:t>24.3争议评审</w:t>
      </w:r>
    </w:p>
    <w:p>
      <w:pPr>
        <w:adjustRightInd w:val="0"/>
        <w:snapToGrid w:val="0"/>
        <w:spacing w:line="360" w:lineRule="auto"/>
        <w:ind w:firstLine="480" w:firstLineChars="200"/>
        <w:rPr>
          <w:sz w:val="24"/>
        </w:rPr>
      </w:pPr>
      <w:r>
        <w:rPr>
          <w:sz w:val="24"/>
        </w:rPr>
        <w:t>24.3</w:t>
      </w:r>
      <w:r>
        <w:rPr>
          <w:rFonts w:hint="eastAsia"/>
          <w:sz w:val="24"/>
        </w:rPr>
        <w:t>.</w:t>
      </w:r>
      <w:r>
        <w:rPr>
          <w:sz w:val="24"/>
        </w:rPr>
        <w:t>1项补充：</w:t>
      </w:r>
    </w:p>
    <w:p>
      <w:pPr>
        <w:adjustRightInd w:val="0"/>
        <w:snapToGrid w:val="0"/>
        <w:spacing w:line="360" w:lineRule="auto"/>
        <w:ind w:firstLine="480" w:firstLineChars="200"/>
        <w:rPr>
          <w:sz w:val="24"/>
        </w:rPr>
      </w:pPr>
      <w:r>
        <w:rPr>
          <w:sz w:val="24"/>
        </w:rPr>
        <w:t>争议评审组由3人或5人组成，专家的聘请方法可由发包人和承包人共同协商确定，亦可请政府主管部门推荐或通过行业合同争议调解机构聘请，并经双方认同。争议评审组成员应与合同双方均无利害关系。争议评审组的各项费用由发包人和承包人平均分担。</w:t>
      </w:r>
    </w:p>
    <w:p>
      <w:pPr>
        <w:adjustRightInd w:val="0"/>
        <w:snapToGrid w:val="0"/>
        <w:spacing w:beforeLines="100" w:line="360" w:lineRule="auto"/>
        <w:rPr>
          <w:rFonts w:eastAsia="黑体"/>
          <w:sz w:val="24"/>
        </w:rPr>
      </w:pPr>
      <w:r>
        <w:rPr>
          <w:rFonts w:eastAsia="黑体"/>
          <w:sz w:val="24"/>
        </w:rPr>
        <w:t>本条增加第24.4</w:t>
      </w:r>
      <w:r>
        <w:rPr>
          <w:rFonts w:hint="eastAsia" w:eastAsia="黑体"/>
          <w:sz w:val="24"/>
        </w:rPr>
        <w:t>、</w:t>
      </w:r>
      <w:r>
        <w:rPr>
          <w:rFonts w:eastAsia="黑体"/>
          <w:sz w:val="24"/>
        </w:rPr>
        <w:t>24.5款（适用于采用仲裁方式最终解决争议的项目）：</w:t>
      </w:r>
    </w:p>
    <w:p>
      <w:pPr>
        <w:adjustRightInd w:val="0"/>
        <w:snapToGrid w:val="0"/>
        <w:spacing w:line="360" w:lineRule="auto"/>
        <w:rPr>
          <w:rFonts w:eastAsia="黑体"/>
          <w:sz w:val="24"/>
        </w:rPr>
      </w:pPr>
      <w:r>
        <w:rPr>
          <w:rFonts w:eastAsia="黑体"/>
          <w:sz w:val="24"/>
        </w:rPr>
        <w:t>24.4仲裁</w:t>
      </w:r>
    </w:p>
    <w:p>
      <w:pPr>
        <w:adjustRightInd w:val="0"/>
        <w:snapToGrid w:val="0"/>
        <w:spacing w:line="360" w:lineRule="auto"/>
        <w:ind w:firstLine="480" w:firstLineChars="200"/>
        <w:rPr>
          <w:sz w:val="24"/>
        </w:rPr>
      </w:pPr>
      <w:r>
        <w:rPr>
          <w:sz w:val="24"/>
        </w:rPr>
        <w:t>（1</w:t>
      </w:r>
      <w:r>
        <w:rPr>
          <w:rFonts w:hint="eastAsia"/>
          <w:sz w:val="24"/>
        </w:rPr>
        <w:t>）</w:t>
      </w:r>
      <w:r>
        <w:rPr>
          <w:sz w:val="24"/>
        </w:rPr>
        <w:t>对于未能友好解决或通过争议评审解决的争议，发包人或承包人任一方均有权提交给第24.1款约定的仲裁委员会仲裁。</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仲裁可在竣工之前或之后进行，但发包人、监理人和承包人各自的义务不得因在工程实施期间进行仲裁而有所改变。如果仲裁是在终止合同的情况下进行，则对合同工程应采取保护措施，措施费由败诉方承担。</w:t>
      </w:r>
    </w:p>
    <w:p>
      <w:pPr>
        <w:adjustRightInd w:val="0"/>
        <w:snapToGrid w:val="0"/>
        <w:spacing w:line="360" w:lineRule="auto"/>
        <w:ind w:firstLine="480" w:firstLineChars="200"/>
        <w:rPr>
          <w:sz w:val="24"/>
        </w:rPr>
      </w:pPr>
      <w:r>
        <w:rPr>
          <w:sz w:val="24"/>
        </w:rPr>
        <w:t>（3</w:t>
      </w:r>
      <w:r>
        <w:rPr>
          <w:rFonts w:hint="eastAsia"/>
          <w:sz w:val="24"/>
        </w:rPr>
        <w:t>）</w:t>
      </w:r>
      <w:r>
        <w:rPr>
          <w:sz w:val="24"/>
        </w:rPr>
        <w:t>仲裁裁决是终局性的并对发包人和承包人双方具有约束力。</w:t>
      </w:r>
    </w:p>
    <w:p>
      <w:pPr>
        <w:adjustRightInd w:val="0"/>
        <w:snapToGrid w:val="0"/>
        <w:spacing w:line="360" w:lineRule="auto"/>
        <w:ind w:firstLine="480" w:firstLineChars="200"/>
        <w:rPr>
          <w:sz w:val="24"/>
        </w:rPr>
      </w:pPr>
      <w:r>
        <w:rPr>
          <w:rFonts w:hint="eastAsia"/>
          <w:sz w:val="24"/>
        </w:rPr>
        <w:t>（</w:t>
      </w:r>
      <w:r>
        <w:rPr>
          <w:sz w:val="24"/>
        </w:rPr>
        <w:t>4</w:t>
      </w:r>
      <w:r>
        <w:rPr>
          <w:rFonts w:hint="eastAsia"/>
          <w:sz w:val="24"/>
        </w:rPr>
        <w:t>）</w:t>
      </w:r>
      <w:r>
        <w:rPr>
          <w:sz w:val="24"/>
        </w:rPr>
        <w:t>全部仲裁费用应由败诉方承担；或按仲裁委员会裁决的比例分担。</w:t>
      </w:r>
    </w:p>
    <w:p>
      <w:pPr>
        <w:adjustRightInd w:val="0"/>
        <w:snapToGrid w:val="0"/>
        <w:spacing w:beforeLines="100" w:line="360" w:lineRule="auto"/>
        <w:rPr>
          <w:rFonts w:eastAsia="黑体"/>
          <w:sz w:val="24"/>
        </w:rPr>
      </w:pPr>
      <w:r>
        <w:rPr>
          <w:rFonts w:eastAsia="黑体"/>
          <w:sz w:val="24"/>
        </w:rPr>
        <w:t>24.5诉讼</w:t>
      </w:r>
    </w:p>
    <w:p>
      <w:pPr>
        <w:adjustRightInd w:val="0"/>
        <w:snapToGrid w:val="0"/>
        <w:spacing w:line="360" w:lineRule="auto"/>
        <w:ind w:firstLine="480" w:firstLineChars="200"/>
        <w:rPr>
          <w:sz w:val="24"/>
        </w:rPr>
      </w:pPr>
      <w:r>
        <w:rPr>
          <w:sz w:val="24"/>
        </w:rPr>
        <w:t>（1</w:t>
      </w:r>
      <w:r>
        <w:rPr>
          <w:rFonts w:hint="eastAsia"/>
          <w:sz w:val="24"/>
        </w:rPr>
        <w:t>）</w:t>
      </w:r>
      <w:r>
        <w:rPr>
          <w:sz w:val="24"/>
        </w:rPr>
        <w:t>任何一方不履行仲裁机构的裁决的，对方可以向有管辖权的人民法院申请执行。受申请的人民法院应当执行。</w:t>
      </w:r>
    </w:p>
    <w:p>
      <w:pPr>
        <w:adjustRightInd w:val="0"/>
        <w:snapToGrid w:val="0"/>
        <w:spacing w:line="360" w:lineRule="auto"/>
        <w:ind w:firstLine="480" w:firstLineChars="200"/>
        <w:rPr>
          <w:rFonts w:ascii="黑体" w:eastAsia="黑体"/>
          <w:bCs/>
          <w:sz w:val="36"/>
          <w:szCs w:val="36"/>
        </w:rPr>
      </w:pPr>
      <w:r>
        <w:rPr>
          <w:rFonts w:hint="eastAsia"/>
          <w:sz w:val="24"/>
        </w:rPr>
        <w:t>（</w:t>
      </w:r>
      <w:r>
        <w:rPr>
          <w:sz w:val="24"/>
        </w:rPr>
        <w:t>2</w:t>
      </w:r>
      <w:r>
        <w:rPr>
          <w:rFonts w:hint="eastAsia"/>
          <w:sz w:val="24"/>
        </w:rPr>
        <w:t>）</w:t>
      </w:r>
      <w:r>
        <w:rPr>
          <w:sz w:val="24"/>
        </w:rPr>
        <w:t>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一书面仲裁协议重新申请仲裁，也可以向人民法院起诉。</w:t>
      </w:r>
    </w:p>
    <w:p>
      <w:pPr>
        <w:tabs>
          <w:tab w:val="left" w:pos="4500"/>
        </w:tabs>
        <w:spacing w:line="520" w:lineRule="exact"/>
        <w:jc w:val="center"/>
        <w:rPr>
          <w:rFonts w:ascii="黑体" w:eastAsia="黑体"/>
          <w:bCs/>
          <w:sz w:val="36"/>
          <w:szCs w:val="36"/>
        </w:rPr>
      </w:pPr>
    </w:p>
    <w:p>
      <w:pPr>
        <w:tabs>
          <w:tab w:val="left" w:pos="4500"/>
        </w:tabs>
        <w:spacing w:line="520" w:lineRule="exact"/>
        <w:jc w:val="center"/>
        <w:rPr>
          <w:rFonts w:ascii="黑体" w:eastAsia="黑体"/>
          <w:bCs/>
          <w:sz w:val="36"/>
          <w:szCs w:val="36"/>
        </w:rPr>
      </w:pPr>
    </w:p>
    <w:p>
      <w:pPr>
        <w:tabs>
          <w:tab w:val="left" w:pos="4500"/>
        </w:tabs>
        <w:spacing w:line="520" w:lineRule="exact"/>
        <w:jc w:val="center"/>
        <w:rPr>
          <w:rFonts w:ascii="黑体" w:eastAsia="黑体"/>
          <w:bCs/>
          <w:sz w:val="36"/>
          <w:szCs w:val="36"/>
        </w:rPr>
      </w:pPr>
      <w:r>
        <w:rPr>
          <w:rFonts w:hint="eastAsia" w:ascii="黑体" w:eastAsia="黑体"/>
          <w:bCs/>
          <w:sz w:val="36"/>
          <w:szCs w:val="36"/>
        </w:rPr>
        <w:t>B.项目专用合同条款</w:t>
      </w:r>
    </w:p>
    <w:p>
      <w:pPr>
        <w:tabs>
          <w:tab w:val="left" w:pos="4500"/>
        </w:tabs>
        <w:spacing w:line="520" w:lineRule="exact"/>
        <w:ind w:firstLine="480" w:firstLineChars="200"/>
        <w:rPr>
          <w:rFonts w:ascii="宋体" w:hAnsi="宋体"/>
          <w:sz w:val="24"/>
        </w:rPr>
      </w:pPr>
      <w:r>
        <w:rPr>
          <w:rFonts w:hint="eastAsia"/>
          <w:sz w:val="24"/>
        </w:rPr>
        <w:t>1.1 项目清单单价杜绝不平衡报价。</w:t>
      </w:r>
      <w:r>
        <w:rPr>
          <w:rFonts w:hint="eastAsia" w:ascii="宋体" w:hAnsi="宋体"/>
          <w:sz w:val="24"/>
        </w:rPr>
        <w:t>清单单价报价范围应在调整后的招标人清单报价的105％（含105％）至85％（含85％）之间，不在该范围的投标人清单报价作为废标处理。</w:t>
      </w:r>
    </w:p>
    <w:p>
      <w:pPr>
        <w:spacing w:line="360" w:lineRule="auto"/>
        <w:ind w:firstLine="480" w:firstLineChars="200"/>
        <w:rPr>
          <w:rFonts w:ascii="宋体" w:hAnsi="宋体"/>
          <w:sz w:val="24"/>
        </w:rPr>
      </w:pPr>
      <w:r>
        <w:rPr>
          <w:rFonts w:hint="eastAsia" w:ascii="宋体" w:hAnsi="宋体"/>
          <w:sz w:val="24"/>
        </w:rPr>
        <w:t>1.2施工过程中，对于施工质量差、进度严重滞后的施工单位，发包人可以将其驱逐出场，或者强行分割其承包工程。</w:t>
      </w:r>
    </w:p>
    <w:p>
      <w:pPr>
        <w:spacing w:line="360" w:lineRule="auto"/>
        <w:ind w:firstLine="480" w:firstLineChars="200"/>
        <w:rPr>
          <w:rFonts w:ascii="宋体" w:hAnsi="宋体"/>
          <w:sz w:val="24"/>
        </w:rPr>
      </w:pPr>
      <w:r>
        <w:rPr>
          <w:rFonts w:hint="eastAsia" w:ascii="宋体" w:hAnsi="宋体"/>
          <w:sz w:val="24"/>
        </w:rPr>
        <w:t>1.3本工程质量目标要求竣工为合格工程，经验收标段工程不合格的质量保证金不予支付，同时在许昌交通建设市场给予通报批评，并上报省</w:t>
      </w:r>
      <w:r>
        <w:rPr>
          <w:rFonts w:ascii="宋体" w:hAnsi="宋体"/>
          <w:sz w:val="24"/>
        </w:rPr>
        <w:t>交通运输</w:t>
      </w:r>
      <w:r>
        <w:rPr>
          <w:rFonts w:hint="eastAsia" w:ascii="宋体" w:hAnsi="宋体"/>
          <w:sz w:val="24"/>
        </w:rPr>
        <w:t>厅</w:t>
      </w:r>
      <w:r>
        <w:rPr>
          <w:rFonts w:ascii="宋体" w:hAnsi="宋体"/>
          <w:sz w:val="24"/>
        </w:rPr>
        <w:t>建议降低</w:t>
      </w:r>
      <w:r>
        <w:rPr>
          <w:rFonts w:hint="eastAsia" w:ascii="宋体" w:hAnsi="宋体"/>
          <w:sz w:val="24"/>
        </w:rPr>
        <w:t>施工单位信用等级评价。</w:t>
      </w:r>
    </w:p>
    <w:p>
      <w:pPr>
        <w:adjustRightInd w:val="0"/>
        <w:snapToGrid w:val="0"/>
        <w:spacing w:line="360" w:lineRule="auto"/>
        <w:ind w:firstLine="480" w:firstLineChars="200"/>
        <w:rPr>
          <w:rFonts w:ascii="宋体" w:hAnsi="宋体"/>
          <w:sz w:val="24"/>
        </w:rPr>
      </w:pPr>
      <w:r>
        <w:rPr>
          <w:rFonts w:hint="eastAsia" w:ascii="宋体" w:hAnsi="宋体"/>
          <w:sz w:val="24"/>
        </w:rPr>
        <w:t>2.1价格调整：</w:t>
      </w:r>
    </w:p>
    <w:p>
      <w:pPr>
        <w:adjustRightInd w:val="0"/>
        <w:snapToGrid w:val="0"/>
        <w:spacing w:line="360" w:lineRule="auto"/>
        <w:ind w:firstLine="480" w:firstLineChars="200"/>
        <w:rPr>
          <w:rFonts w:ascii="宋体" w:hAnsi="宋体"/>
          <w:sz w:val="24"/>
        </w:rPr>
      </w:pPr>
      <w:r>
        <w:rPr>
          <w:rFonts w:hint="eastAsia" w:ascii="宋体" w:hAnsi="宋体"/>
          <w:sz w:val="24"/>
        </w:rPr>
        <w:t>因本项目要求工期短，合同期内不调价。因施工单位原因造成工期延误的，在延误期间价格变化引起的增加费用由施工单位承担。</w:t>
      </w:r>
    </w:p>
    <w:p>
      <w:pPr>
        <w:spacing w:line="360" w:lineRule="auto"/>
        <w:ind w:firstLine="480" w:firstLineChars="200"/>
        <w:rPr>
          <w:sz w:val="24"/>
        </w:rPr>
      </w:pPr>
      <w:r>
        <w:rPr>
          <w:rFonts w:hint="eastAsia" w:ascii="宋体" w:hAnsi="宋体"/>
          <w:sz w:val="24"/>
        </w:rPr>
        <w:t>3.1承包人安排在施工场地的主要管理人员和技术骨干应与投标文件（如承包人未在投标阶段对人员进行新增或更新，则以资格预审申请文件为准）所承诺的名单一致，并保持相对稳定，原则上不充许更换，如确需要更换人员，更换比例不得超出投标文件人员承诺书中人员总数的30%。合同签订时进场人员（拟投入关键人员承诺书所列人员）如需更换，更换人员须经监理、发包人审查同意后方可更换，同时给予处罚，承包人的主要人员（项目经理、项目副经理、项目总工程师、试验负责人、质检工程师）每更换一人次处罚10万元；合同中的其他人员（拟投入关键人员承诺书所列人员）每更换一人次处罚5万元。承包人的主要人员（项目经理、项目副经理、项目总工程师、试验负责人、质检工程师）一旦擅自更换，发包人对承包人处罚20万元/每人次；合同中的其他人员（拟投入关键人员承诺书所列人员）一旦擅自更换，发包人对承包人处罚5万元/每人次；同时要求承包人按合同承诺人员到位，并按照发包人下发的履约评价实施细则扣分。未经监理人批准，上述人员不应无故不到位或被替换；若确实无法到位或需替换，需经监理人审核并报发包人批准后，用同等资质和经历的人员替换。</w:t>
      </w:r>
    </w:p>
    <w:p>
      <w:pPr>
        <w:tabs>
          <w:tab w:val="left" w:pos="4500"/>
        </w:tabs>
        <w:spacing w:line="520" w:lineRule="exact"/>
        <w:rPr>
          <w:rFonts w:ascii="黑体" w:eastAsia="黑体"/>
          <w:sz w:val="32"/>
          <w:szCs w:val="32"/>
        </w:rPr>
      </w:pPr>
      <w:r>
        <w:rPr>
          <w:rFonts w:ascii="黑体" w:eastAsia="黑体"/>
          <w:bCs/>
          <w:sz w:val="36"/>
          <w:szCs w:val="36"/>
        </w:rPr>
        <w:br w:type="page"/>
      </w:r>
      <w:r>
        <w:rPr>
          <w:rFonts w:hint="eastAsia" w:ascii="黑体" w:eastAsia="黑体"/>
          <w:sz w:val="32"/>
          <w:szCs w:val="32"/>
        </w:rPr>
        <w:t>项目专用条款数据表</w:t>
      </w:r>
    </w:p>
    <w:p>
      <w:pPr>
        <w:tabs>
          <w:tab w:val="left" w:pos="4500"/>
        </w:tabs>
        <w:spacing w:line="520" w:lineRule="exact"/>
        <w:rPr>
          <w:rFonts w:ascii="黑体" w:eastAsia="黑体"/>
          <w:sz w:val="32"/>
          <w:szCs w:val="32"/>
        </w:rPr>
      </w:pPr>
      <w:r>
        <w:rPr>
          <w:rFonts w:hint="eastAsia"/>
          <w:sz w:val="24"/>
        </w:rPr>
        <w:t>说明：本数据表是项目专用合同条款中适用于本项目的信息和数据的归纳与提</w:t>
      </w:r>
    </w:p>
    <w:p>
      <w:pPr>
        <w:adjustRightInd w:val="0"/>
        <w:snapToGrid w:val="0"/>
        <w:spacing w:line="360" w:lineRule="auto"/>
        <w:ind w:firstLine="811" w:firstLineChars="338"/>
        <w:rPr>
          <w:sz w:val="24"/>
        </w:rPr>
      </w:pPr>
      <w:r>
        <w:rPr>
          <w:rFonts w:hint="eastAsia"/>
          <w:sz w:val="24"/>
        </w:rPr>
        <w:t>示，是项目专用合同条款的组成部分。第三卷投标函附录中的数据（供</w:t>
      </w:r>
    </w:p>
    <w:p>
      <w:pPr>
        <w:adjustRightInd w:val="0"/>
        <w:snapToGrid w:val="0"/>
        <w:spacing w:line="360" w:lineRule="auto"/>
        <w:ind w:firstLine="811" w:firstLineChars="338"/>
        <w:rPr>
          <w:sz w:val="24"/>
        </w:rPr>
      </w:pPr>
      <w:r>
        <w:rPr>
          <w:rFonts w:hint="eastAsia"/>
          <w:sz w:val="24"/>
        </w:rPr>
        <w:t>投标人确认）与本表所列有重复。编写招标文件的单位应仔细校核，不</w:t>
      </w:r>
    </w:p>
    <w:p>
      <w:pPr>
        <w:adjustRightInd w:val="0"/>
        <w:snapToGrid w:val="0"/>
        <w:spacing w:line="360" w:lineRule="auto"/>
        <w:ind w:firstLine="811" w:firstLineChars="338"/>
        <w:rPr>
          <w:sz w:val="24"/>
        </w:rPr>
      </w:pPr>
      <w:r>
        <w:rPr>
          <w:rFonts w:hint="eastAsia"/>
          <w:sz w:val="24"/>
        </w:rPr>
        <w:t>使数据出现差错或不一致。</w:t>
      </w:r>
    </w:p>
    <w:tbl>
      <w:tblPr>
        <w:tblStyle w:val="14"/>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134"/>
        <w:gridCol w:w="7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64" w:type="dxa"/>
            <w:vAlign w:val="center"/>
          </w:tcPr>
          <w:p>
            <w:pPr>
              <w:adjustRightInd w:val="0"/>
              <w:snapToGrid w:val="0"/>
              <w:spacing w:line="312" w:lineRule="auto"/>
              <w:rPr>
                <w:sz w:val="24"/>
              </w:rPr>
            </w:pPr>
            <w:r>
              <w:rPr>
                <w:rFonts w:hint="eastAsia"/>
                <w:sz w:val="24"/>
              </w:rPr>
              <w:t>序号</w:t>
            </w:r>
          </w:p>
        </w:tc>
        <w:tc>
          <w:tcPr>
            <w:tcW w:w="1134" w:type="dxa"/>
            <w:vAlign w:val="center"/>
          </w:tcPr>
          <w:p>
            <w:pPr>
              <w:adjustRightInd w:val="0"/>
              <w:snapToGrid w:val="0"/>
              <w:spacing w:line="312" w:lineRule="auto"/>
              <w:rPr>
                <w:sz w:val="24"/>
              </w:rPr>
            </w:pPr>
            <w:r>
              <w:rPr>
                <w:rFonts w:hint="eastAsia"/>
                <w:sz w:val="24"/>
              </w:rPr>
              <w:t>条款号</w:t>
            </w:r>
          </w:p>
        </w:tc>
        <w:tc>
          <w:tcPr>
            <w:tcW w:w="7027" w:type="dxa"/>
            <w:vAlign w:val="center"/>
          </w:tcPr>
          <w:p>
            <w:pPr>
              <w:adjustRightInd w:val="0"/>
              <w:snapToGrid w:val="0"/>
              <w:spacing w:line="312" w:lineRule="auto"/>
              <w:rPr>
                <w:sz w:val="24"/>
              </w:rPr>
            </w:pPr>
            <w:r>
              <w:rPr>
                <w:rFonts w:hint="eastAsia"/>
                <w:sz w:val="24"/>
              </w:rPr>
              <w:t>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rPr>
            </w:pPr>
            <w:r>
              <w:rPr>
                <w:rFonts w:hint="eastAsia"/>
                <w:sz w:val="24"/>
              </w:rPr>
              <w:t>1</w:t>
            </w:r>
          </w:p>
        </w:tc>
        <w:tc>
          <w:tcPr>
            <w:tcW w:w="1134" w:type="dxa"/>
            <w:vAlign w:val="center"/>
          </w:tcPr>
          <w:p>
            <w:pPr>
              <w:adjustRightInd w:val="0"/>
              <w:snapToGrid w:val="0"/>
              <w:spacing w:line="312" w:lineRule="auto"/>
              <w:rPr>
                <w:sz w:val="24"/>
              </w:rPr>
            </w:pPr>
            <w:r>
              <w:rPr>
                <w:rFonts w:hint="eastAsia"/>
                <w:sz w:val="24"/>
              </w:rPr>
              <w:t>1.1.2.2</w:t>
            </w:r>
          </w:p>
        </w:tc>
        <w:tc>
          <w:tcPr>
            <w:tcW w:w="7027" w:type="dxa"/>
          </w:tcPr>
          <w:p>
            <w:pPr>
              <w:adjustRightInd w:val="0"/>
              <w:snapToGrid w:val="0"/>
              <w:spacing w:line="312" w:lineRule="auto"/>
              <w:rPr>
                <w:sz w:val="24"/>
              </w:rPr>
            </w:pPr>
            <w:r>
              <w:rPr>
                <w:rFonts w:hint="eastAsia"/>
                <w:sz w:val="24"/>
              </w:rPr>
              <w:t>发包人：</w:t>
            </w:r>
            <w:r>
              <w:rPr>
                <w:rFonts w:hint="eastAsia" w:hAnsi="宋体" w:cs="宋体"/>
                <w:sz w:val="24"/>
                <w:lang w:val="zh-CN"/>
              </w:rPr>
              <w:t>许昌市建安区交通运输局</w:t>
            </w:r>
          </w:p>
          <w:p>
            <w:pPr>
              <w:adjustRightInd w:val="0"/>
              <w:snapToGrid w:val="0"/>
              <w:spacing w:line="312" w:lineRule="auto"/>
              <w:rPr>
                <w:sz w:val="24"/>
              </w:rPr>
            </w:pPr>
            <w:r>
              <w:rPr>
                <w:rFonts w:hint="eastAsia"/>
                <w:sz w:val="24"/>
              </w:rPr>
              <w:t>地址：许昌市建安区新元大道兴业大厦邮编：461000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rPr>
            </w:pPr>
            <w:r>
              <w:rPr>
                <w:rFonts w:hint="eastAsia"/>
                <w:sz w:val="24"/>
              </w:rPr>
              <w:t>2</w:t>
            </w:r>
          </w:p>
        </w:tc>
        <w:tc>
          <w:tcPr>
            <w:tcW w:w="1134" w:type="dxa"/>
            <w:vAlign w:val="center"/>
          </w:tcPr>
          <w:p>
            <w:pPr>
              <w:adjustRightInd w:val="0"/>
              <w:snapToGrid w:val="0"/>
              <w:spacing w:line="312" w:lineRule="auto"/>
              <w:rPr>
                <w:sz w:val="24"/>
              </w:rPr>
            </w:pPr>
            <w:r>
              <w:rPr>
                <w:rFonts w:hint="eastAsia"/>
                <w:sz w:val="24"/>
              </w:rPr>
              <w:t>1.1.2.6</w:t>
            </w:r>
          </w:p>
        </w:tc>
        <w:tc>
          <w:tcPr>
            <w:tcW w:w="7027" w:type="dxa"/>
          </w:tcPr>
          <w:p>
            <w:pPr>
              <w:adjustRightInd w:val="0"/>
              <w:snapToGrid w:val="0"/>
              <w:spacing w:line="312" w:lineRule="auto"/>
              <w:rPr>
                <w:sz w:val="24"/>
              </w:rPr>
            </w:pPr>
            <w:r>
              <w:rPr>
                <w:rFonts w:hint="eastAsia"/>
                <w:sz w:val="24"/>
              </w:rPr>
              <w:t>监理人：</w:t>
            </w:r>
          </w:p>
          <w:p>
            <w:pPr>
              <w:adjustRightInd w:val="0"/>
              <w:snapToGrid w:val="0"/>
              <w:spacing w:line="312" w:lineRule="auto"/>
              <w:rPr>
                <w:sz w:val="24"/>
              </w:rPr>
            </w:pPr>
            <w:r>
              <w:rPr>
                <w:rFonts w:hint="eastAsia"/>
                <w:sz w:val="24"/>
              </w:rPr>
              <w:t>地址：邮编：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rPr>
            </w:pPr>
            <w:r>
              <w:rPr>
                <w:rFonts w:hint="eastAsia"/>
                <w:sz w:val="24"/>
              </w:rPr>
              <w:t>3</w:t>
            </w:r>
          </w:p>
        </w:tc>
        <w:tc>
          <w:tcPr>
            <w:tcW w:w="1134" w:type="dxa"/>
            <w:vAlign w:val="center"/>
          </w:tcPr>
          <w:p>
            <w:pPr>
              <w:adjustRightInd w:val="0"/>
              <w:snapToGrid w:val="0"/>
              <w:spacing w:line="312" w:lineRule="auto"/>
              <w:rPr>
                <w:sz w:val="24"/>
              </w:rPr>
            </w:pPr>
            <w:r>
              <w:rPr>
                <w:rFonts w:hint="eastAsia"/>
                <w:sz w:val="24"/>
              </w:rPr>
              <w:t>1.1.4.3</w:t>
            </w:r>
          </w:p>
        </w:tc>
        <w:tc>
          <w:tcPr>
            <w:tcW w:w="7027" w:type="dxa"/>
          </w:tcPr>
          <w:p>
            <w:pPr>
              <w:adjustRightInd w:val="0"/>
              <w:snapToGrid w:val="0"/>
              <w:spacing w:line="312" w:lineRule="auto"/>
              <w:rPr>
                <w:sz w:val="24"/>
              </w:rPr>
            </w:pPr>
            <w:r>
              <w:rPr>
                <w:rFonts w:hint="eastAsia"/>
                <w:sz w:val="24"/>
              </w:rPr>
              <w:t>工期：30日历天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rPr>
            </w:pPr>
            <w:r>
              <w:rPr>
                <w:rFonts w:hint="eastAsia"/>
                <w:sz w:val="24"/>
              </w:rPr>
              <w:t>4</w:t>
            </w:r>
          </w:p>
        </w:tc>
        <w:tc>
          <w:tcPr>
            <w:tcW w:w="1134" w:type="dxa"/>
            <w:vAlign w:val="center"/>
          </w:tcPr>
          <w:p>
            <w:pPr>
              <w:adjustRightInd w:val="0"/>
              <w:snapToGrid w:val="0"/>
              <w:spacing w:line="312" w:lineRule="auto"/>
              <w:rPr>
                <w:sz w:val="24"/>
              </w:rPr>
            </w:pPr>
            <w:r>
              <w:rPr>
                <w:rFonts w:hint="eastAsia"/>
                <w:sz w:val="24"/>
              </w:rPr>
              <w:t>1.1.4.5</w:t>
            </w:r>
          </w:p>
        </w:tc>
        <w:tc>
          <w:tcPr>
            <w:tcW w:w="7027" w:type="dxa"/>
          </w:tcPr>
          <w:p>
            <w:pPr>
              <w:adjustRightInd w:val="0"/>
              <w:snapToGrid w:val="0"/>
              <w:spacing w:line="312" w:lineRule="auto"/>
              <w:rPr>
                <w:sz w:val="24"/>
              </w:rPr>
            </w:pPr>
            <w:r>
              <w:rPr>
                <w:rFonts w:hint="eastAsia"/>
                <w:sz w:val="24"/>
              </w:rPr>
              <w:t>缺陷责任期：</w:t>
            </w:r>
            <w:r>
              <w:rPr>
                <w:rFonts w:hint="eastAsia"/>
                <w:sz w:val="24"/>
                <w:u w:val="single"/>
              </w:rPr>
              <w:t xml:space="preserve">  2  </w:t>
            </w:r>
            <w:r>
              <w:rPr>
                <w:rFonts w:hint="eastAsia"/>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rPr>
            </w:pPr>
            <w:r>
              <w:rPr>
                <w:rFonts w:hint="eastAsia"/>
                <w:sz w:val="24"/>
              </w:rPr>
              <w:t>5</w:t>
            </w:r>
          </w:p>
        </w:tc>
        <w:tc>
          <w:tcPr>
            <w:tcW w:w="1134" w:type="dxa"/>
            <w:vAlign w:val="center"/>
          </w:tcPr>
          <w:p>
            <w:pPr>
              <w:adjustRightInd w:val="0"/>
              <w:snapToGrid w:val="0"/>
              <w:spacing w:line="312" w:lineRule="auto"/>
              <w:rPr>
                <w:sz w:val="24"/>
              </w:rPr>
            </w:pPr>
            <w:r>
              <w:rPr>
                <w:rFonts w:hint="eastAsia"/>
                <w:sz w:val="24"/>
              </w:rPr>
              <w:t>1.6.3</w:t>
            </w:r>
          </w:p>
        </w:tc>
        <w:tc>
          <w:tcPr>
            <w:tcW w:w="7027" w:type="dxa"/>
          </w:tcPr>
          <w:p>
            <w:pPr>
              <w:adjustRightInd w:val="0"/>
              <w:snapToGrid w:val="0"/>
              <w:spacing w:line="312" w:lineRule="auto"/>
              <w:rPr>
                <w:sz w:val="24"/>
                <w:u w:val="single"/>
              </w:rPr>
            </w:pPr>
            <w:r>
              <w:rPr>
                <w:rFonts w:hint="eastAsia"/>
                <w:sz w:val="24"/>
              </w:rPr>
              <w:t>图纸需要修改和补充的，应由监理人取得发包人同意后，在该工程或工程相应部位施工前</w:t>
            </w:r>
            <w:r>
              <w:rPr>
                <w:rFonts w:hint="eastAsia"/>
                <w:sz w:val="24"/>
                <w:u w:val="single"/>
              </w:rPr>
              <w:t xml:space="preserve"> 7 </w:t>
            </w:r>
            <w:r>
              <w:rPr>
                <w:rFonts w:hint="eastAsia"/>
                <w:sz w:val="24"/>
              </w:rPr>
              <w:t>天签发图纸修改图给承包人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rPr>
            </w:pPr>
            <w:r>
              <w:rPr>
                <w:rFonts w:hint="eastAsia"/>
                <w:sz w:val="24"/>
              </w:rPr>
              <w:t>6</w:t>
            </w:r>
          </w:p>
        </w:tc>
        <w:tc>
          <w:tcPr>
            <w:tcW w:w="1134" w:type="dxa"/>
            <w:vAlign w:val="center"/>
          </w:tcPr>
          <w:p>
            <w:pPr>
              <w:adjustRightInd w:val="0"/>
              <w:snapToGrid w:val="0"/>
              <w:spacing w:line="312" w:lineRule="auto"/>
              <w:rPr>
                <w:sz w:val="24"/>
              </w:rPr>
            </w:pPr>
            <w:r>
              <w:rPr>
                <w:rFonts w:hint="eastAsia"/>
                <w:sz w:val="24"/>
              </w:rPr>
              <w:t>3.1.1</w:t>
            </w:r>
          </w:p>
        </w:tc>
        <w:tc>
          <w:tcPr>
            <w:tcW w:w="7027" w:type="dxa"/>
          </w:tcPr>
          <w:p>
            <w:pPr>
              <w:adjustRightInd w:val="0"/>
              <w:snapToGrid w:val="0"/>
              <w:spacing w:line="312" w:lineRule="auto"/>
              <w:rPr>
                <w:sz w:val="24"/>
              </w:rPr>
            </w:pPr>
            <w:r>
              <w:rPr>
                <w:rFonts w:hint="eastAsia"/>
                <w:sz w:val="24"/>
              </w:rPr>
              <w:t>单项工程变更涉及的金额超过了该单项工程原合同价的%或累计变更超过了原总合同的%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rPr>
            </w:pPr>
            <w:r>
              <w:rPr>
                <w:rFonts w:hint="eastAsia"/>
                <w:sz w:val="24"/>
              </w:rPr>
              <w:t>7</w:t>
            </w:r>
          </w:p>
        </w:tc>
        <w:tc>
          <w:tcPr>
            <w:tcW w:w="1134" w:type="dxa"/>
            <w:vAlign w:val="center"/>
          </w:tcPr>
          <w:p>
            <w:pPr>
              <w:adjustRightInd w:val="0"/>
              <w:snapToGrid w:val="0"/>
              <w:spacing w:line="312" w:lineRule="auto"/>
              <w:rPr>
                <w:sz w:val="24"/>
              </w:rPr>
            </w:pPr>
            <w:r>
              <w:rPr>
                <w:rFonts w:hint="eastAsia"/>
                <w:sz w:val="24"/>
              </w:rPr>
              <w:t>4.2</w:t>
            </w:r>
          </w:p>
        </w:tc>
        <w:tc>
          <w:tcPr>
            <w:tcW w:w="7027" w:type="dxa"/>
          </w:tcPr>
          <w:p>
            <w:pPr>
              <w:widowControl/>
              <w:spacing w:line="240" w:lineRule="atLeast"/>
              <w:rPr>
                <w:rFonts w:ascii="宋体" w:hAnsi="宋体" w:cs="宋体"/>
                <w:kern w:val="0"/>
                <w:sz w:val="24"/>
              </w:rPr>
            </w:pPr>
            <w:r>
              <w:rPr>
                <w:rFonts w:hint="eastAsia"/>
                <w:sz w:val="22"/>
              </w:rPr>
              <w:t>履约担保金额：</w:t>
            </w:r>
            <w:r>
              <w:rPr>
                <w:rFonts w:hint="eastAsia" w:ascii="宋体" w:hAnsi="宋体" w:cs="宋体"/>
                <w:kern w:val="0"/>
                <w:sz w:val="24"/>
              </w:rPr>
              <w:t>中标金额的10</w:t>
            </w:r>
            <w:r>
              <w:rPr>
                <w:rFonts w:ascii="宋体" w:hAnsi="宋体" w:cs="宋体"/>
                <w:kern w:val="0"/>
                <w:sz w:val="24"/>
              </w:rPr>
              <w:t xml:space="preserve">% </w:t>
            </w:r>
          </w:p>
          <w:p>
            <w:pPr>
              <w:adjustRightInd w:val="0"/>
              <w:snapToGrid w:val="0"/>
              <w:spacing w:line="312" w:lineRule="auto"/>
              <w:rPr>
                <w:sz w:val="22"/>
              </w:rPr>
            </w:pPr>
            <w:r>
              <w:rPr>
                <w:rFonts w:hint="eastAsia"/>
                <w:sz w:val="22"/>
              </w:rPr>
              <w:t>提交履约担保的时间：在签订合同协议书之前</w:t>
            </w:r>
          </w:p>
          <w:p>
            <w:pPr>
              <w:adjustRightInd w:val="0"/>
              <w:snapToGrid w:val="0"/>
              <w:spacing w:line="312" w:lineRule="auto"/>
              <w:rPr>
                <w:sz w:val="22"/>
              </w:rPr>
            </w:pPr>
            <w:r>
              <w:rPr>
                <w:rFonts w:hint="eastAsia"/>
                <w:sz w:val="22"/>
              </w:rPr>
              <w:t>履约担保形式：</w:t>
            </w:r>
            <w:r>
              <w:rPr>
                <w:rFonts w:hint="eastAsia" w:ascii="宋体" w:hAnsi="宋体" w:cs="宋体"/>
                <w:kern w:val="0"/>
                <w:sz w:val="24"/>
              </w:rPr>
              <w:t>中标人从基本账户转出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rPr>
            </w:pPr>
            <w:r>
              <w:rPr>
                <w:rFonts w:hint="eastAsia"/>
                <w:sz w:val="24"/>
              </w:rPr>
              <w:t>8</w:t>
            </w:r>
          </w:p>
        </w:tc>
        <w:tc>
          <w:tcPr>
            <w:tcW w:w="1134" w:type="dxa"/>
            <w:vAlign w:val="center"/>
          </w:tcPr>
          <w:p>
            <w:pPr>
              <w:adjustRightInd w:val="0"/>
              <w:snapToGrid w:val="0"/>
              <w:spacing w:line="312" w:lineRule="auto"/>
              <w:rPr>
                <w:sz w:val="24"/>
              </w:rPr>
            </w:pPr>
            <w:r>
              <w:rPr>
                <w:rFonts w:hint="eastAsia"/>
                <w:sz w:val="24"/>
              </w:rPr>
              <w:t>10.1</w:t>
            </w:r>
          </w:p>
        </w:tc>
        <w:tc>
          <w:tcPr>
            <w:tcW w:w="7027" w:type="dxa"/>
          </w:tcPr>
          <w:p>
            <w:pPr>
              <w:adjustRightInd w:val="0"/>
              <w:snapToGrid w:val="0"/>
              <w:spacing w:line="312" w:lineRule="auto"/>
              <w:rPr>
                <w:sz w:val="24"/>
              </w:rPr>
            </w:pPr>
            <w:r>
              <w:rPr>
                <w:rFonts w:hint="eastAsia"/>
                <w:sz w:val="24"/>
              </w:rPr>
              <w:t>工程进度计划提交时间：承包人在与发包人签订合同协议后的28天内提交给监理人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64" w:type="dxa"/>
            <w:vAlign w:val="center"/>
          </w:tcPr>
          <w:p>
            <w:pPr>
              <w:adjustRightInd w:val="0"/>
              <w:snapToGrid w:val="0"/>
              <w:spacing w:line="312" w:lineRule="auto"/>
              <w:rPr>
                <w:sz w:val="24"/>
              </w:rPr>
            </w:pPr>
            <w:r>
              <w:rPr>
                <w:rFonts w:hint="eastAsia"/>
                <w:sz w:val="24"/>
              </w:rPr>
              <w:t>9</w:t>
            </w:r>
          </w:p>
        </w:tc>
        <w:tc>
          <w:tcPr>
            <w:tcW w:w="1134" w:type="dxa"/>
            <w:vAlign w:val="center"/>
          </w:tcPr>
          <w:p>
            <w:pPr>
              <w:adjustRightInd w:val="0"/>
              <w:snapToGrid w:val="0"/>
              <w:spacing w:line="312" w:lineRule="auto"/>
              <w:rPr>
                <w:sz w:val="24"/>
              </w:rPr>
            </w:pPr>
            <w:r>
              <w:rPr>
                <w:rFonts w:hint="eastAsia"/>
                <w:sz w:val="24"/>
              </w:rPr>
              <w:t>10.2</w:t>
            </w:r>
          </w:p>
        </w:tc>
        <w:tc>
          <w:tcPr>
            <w:tcW w:w="7027" w:type="dxa"/>
            <w:vAlign w:val="center"/>
          </w:tcPr>
          <w:p>
            <w:pPr>
              <w:adjustRightInd w:val="0"/>
              <w:snapToGrid w:val="0"/>
              <w:spacing w:line="312" w:lineRule="auto"/>
              <w:rPr>
                <w:sz w:val="24"/>
              </w:rPr>
            </w:pPr>
            <w:r>
              <w:rPr>
                <w:rFonts w:hint="eastAsia"/>
                <w:sz w:val="24"/>
              </w:rPr>
              <w:t>工程进度计划修订提交时间：实际进度发生滞后的当月25日前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rPr>
            </w:pPr>
            <w:r>
              <w:rPr>
                <w:rFonts w:hint="eastAsia"/>
                <w:sz w:val="24"/>
              </w:rPr>
              <w:t>10</w:t>
            </w:r>
          </w:p>
        </w:tc>
        <w:tc>
          <w:tcPr>
            <w:tcW w:w="1134" w:type="dxa"/>
            <w:vAlign w:val="center"/>
          </w:tcPr>
          <w:p>
            <w:pPr>
              <w:adjustRightInd w:val="0"/>
              <w:snapToGrid w:val="0"/>
              <w:spacing w:line="312" w:lineRule="auto"/>
              <w:rPr>
                <w:sz w:val="24"/>
              </w:rPr>
            </w:pPr>
            <w:r>
              <w:rPr>
                <w:rFonts w:hint="eastAsia"/>
                <w:sz w:val="24"/>
              </w:rPr>
              <w:t>10.4</w:t>
            </w:r>
          </w:p>
        </w:tc>
        <w:tc>
          <w:tcPr>
            <w:tcW w:w="7027" w:type="dxa"/>
          </w:tcPr>
          <w:p>
            <w:pPr>
              <w:adjustRightInd w:val="0"/>
              <w:snapToGrid w:val="0"/>
              <w:spacing w:line="312" w:lineRule="auto"/>
              <w:rPr>
                <w:sz w:val="24"/>
              </w:rPr>
            </w:pPr>
            <w:r>
              <w:rPr>
                <w:rFonts w:hint="eastAsia"/>
                <w:sz w:val="24"/>
              </w:rPr>
              <w:t>提交合同用款计划的时间：</w:t>
            </w:r>
          </w:p>
          <w:p>
            <w:pPr>
              <w:adjustRightInd w:val="0"/>
              <w:snapToGrid w:val="0"/>
              <w:spacing w:line="312" w:lineRule="auto"/>
              <w:rPr>
                <w:sz w:val="24"/>
              </w:rPr>
            </w:pPr>
            <w:r>
              <w:rPr>
                <w:rFonts w:hint="eastAsia"/>
                <w:sz w:val="24"/>
              </w:rPr>
              <w:t>承包人在与发包人签订合同协议书后的28天内提交给监理人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rPr>
            </w:pPr>
            <w:r>
              <w:rPr>
                <w:rFonts w:hint="eastAsia"/>
                <w:sz w:val="24"/>
              </w:rPr>
              <w:t>11</w:t>
            </w:r>
          </w:p>
        </w:tc>
        <w:tc>
          <w:tcPr>
            <w:tcW w:w="1134" w:type="dxa"/>
            <w:vAlign w:val="center"/>
          </w:tcPr>
          <w:p>
            <w:pPr>
              <w:adjustRightInd w:val="0"/>
              <w:snapToGrid w:val="0"/>
              <w:spacing w:line="312" w:lineRule="auto"/>
              <w:rPr>
                <w:sz w:val="24"/>
              </w:rPr>
            </w:pPr>
            <w:r>
              <w:rPr>
                <w:rFonts w:hint="eastAsia"/>
                <w:sz w:val="24"/>
              </w:rPr>
              <w:t>11.1</w:t>
            </w:r>
          </w:p>
        </w:tc>
        <w:tc>
          <w:tcPr>
            <w:tcW w:w="7027" w:type="dxa"/>
          </w:tcPr>
          <w:p>
            <w:pPr>
              <w:adjustRightInd w:val="0"/>
              <w:snapToGrid w:val="0"/>
              <w:spacing w:line="312" w:lineRule="auto"/>
              <w:rPr>
                <w:sz w:val="24"/>
              </w:rPr>
            </w:pPr>
            <w:r>
              <w:rPr>
                <w:rFonts w:hint="eastAsia"/>
                <w:sz w:val="24"/>
              </w:rPr>
              <w:t>发出开工通知期限：开工日期7天前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rPr>
            </w:pPr>
            <w:r>
              <w:rPr>
                <w:rFonts w:hint="eastAsia"/>
                <w:sz w:val="24"/>
              </w:rPr>
              <w:t>12</w:t>
            </w:r>
          </w:p>
        </w:tc>
        <w:tc>
          <w:tcPr>
            <w:tcW w:w="1134" w:type="dxa"/>
            <w:vAlign w:val="center"/>
          </w:tcPr>
          <w:p>
            <w:pPr>
              <w:adjustRightInd w:val="0"/>
              <w:snapToGrid w:val="0"/>
              <w:spacing w:line="312" w:lineRule="auto"/>
              <w:rPr>
                <w:sz w:val="24"/>
              </w:rPr>
            </w:pPr>
            <w:r>
              <w:rPr>
                <w:rFonts w:hint="eastAsia"/>
                <w:sz w:val="24"/>
              </w:rPr>
              <w:t>11.5</w:t>
            </w:r>
          </w:p>
        </w:tc>
        <w:tc>
          <w:tcPr>
            <w:tcW w:w="7027" w:type="dxa"/>
          </w:tcPr>
          <w:p>
            <w:pPr>
              <w:adjustRightInd w:val="0"/>
              <w:snapToGrid w:val="0"/>
              <w:spacing w:line="312" w:lineRule="auto"/>
              <w:rPr>
                <w:sz w:val="24"/>
              </w:rPr>
            </w:pPr>
            <w:r>
              <w:rPr>
                <w:rFonts w:hint="eastAsia"/>
                <w:sz w:val="24"/>
              </w:rPr>
              <w:t>逾期竣工违约金：人民币元/天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rPr>
            </w:pPr>
            <w:r>
              <w:rPr>
                <w:rFonts w:hint="eastAsia"/>
                <w:sz w:val="24"/>
              </w:rPr>
              <w:t>13</w:t>
            </w:r>
          </w:p>
        </w:tc>
        <w:tc>
          <w:tcPr>
            <w:tcW w:w="1134" w:type="dxa"/>
            <w:vAlign w:val="center"/>
          </w:tcPr>
          <w:p>
            <w:pPr>
              <w:adjustRightInd w:val="0"/>
              <w:snapToGrid w:val="0"/>
              <w:spacing w:line="312" w:lineRule="auto"/>
              <w:rPr>
                <w:sz w:val="24"/>
              </w:rPr>
            </w:pPr>
            <w:r>
              <w:rPr>
                <w:rFonts w:hint="eastAsia"/>
                <w:sz w:val="24"/>
              </w:rPr>
              <w:t>11.5</w:t>
            </w:r>
          </w:p>
        </w:tc>
        <w:tc>
          <w:tcPr>
            <w:tcW w:w="7027" w:type="dxa"/>
          </w:tcPr>
          <w:p>
            <w:pPr>
              <w:adjustRightInd w:val="0"/>
              <w:snapToGrid w:val="0"/>
              <w:spacing w:line="312" w:lineRule="auto"/>
              <w:rPr>
                <w:sz w:val="24"/>
              </w:rPr>
            </w:pPr>
            <w:r>
              <w:rPr>
                <w:rFonts w:hint="eastAsia"/>
                <w:sz w:val="24"/>
              </w:rPr>
              <w:t>逾期竣工违约金限额：签约合同价的10%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rPr>
            </w:pPr>
            <w:r>
              <w:rPr>
                <w:rFonts w:hint="eastAsia"/>
                <w:sz w:val="24"/>
              </w:rPr>
              <w:t>14</w:t>
            </w:r>
          </w:p>
        </w:tc>
        <w:tc>
          <w:tcPr>
            <w:tcW w:w="1134" w:type="dxa"/>
            <w:vAlign w:val="center"/>
          </w:tcPr>
          <w:p>
            <w:pPr>
              <w:adjustRightInd w:val="0"/>
              <w:snapToGrid w:val="0"/>
              <w:spacing w:line="312" w:lineRule="auto"/>
              <w:rPr>
                <w:sz w:val="24"/>
              </w:rPr>
            </w:pPr>
            <w:r>
              <w:rPr>
                <w:rFonts w:hint="eastAsia"/>
                <w:sz w:val="24"/>
              </w:rPr>
              <w:t>11.6</w:t>
            </w:r>
          </w:p>
        </w:tc>
        <w:tc>
          <w:tcPr>
            <w:tcW w:w="7027" w:type="dxa"/>
          </w:tcPr>
          <w:p>
            <w:pPr>
              <w:adjustRightInd w:val="0"/>
              <w:snapToGrid w:val="0"/>
              <w:spacing w:line="312" w:lineRule="auto"/>
              <w:rPr>
                <w:sz w:val="24"/>
              </w:rPr>
            </w:pPr>
            <w:r>
              <w:rPr>
                <w:rFonts w:hint="eastAsia"/>
                <w:sz w:val="24"/>
              </w:rPr>
              <w:t>提前竣工的奖金：人民币</w:t>
            </w:r>
            <w:r>
              <w:rPr>
                <w:rFonts w:hint="eastAsia"/>
                <w:sz w:val="24"/>
                <w:u w:val="single"/>
              </w:rPr>
              <w:t xml:space="preserve">  0 </w:t>
            </w:r>
            <w:r>
              <w:rPr>
                <w:rFonts w:hint="eastAsia"/>
                <w:sz w:val="24"/>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12" w:lineRule="auto"/>
              <w:rPr>
                <w:sz w:val="24"/>
              </w:rPr>
            </w:pPr>
            <w:r>
              <w:rPr>
                <w:rFonts w:hint="eastAsia"/>
                <w:sz w:val="24"/>
              </w:rPr>
              <w:t>15</w:t>
            </w:r>
          </w:p>
        </w:tc>
        <w:tc>
          <w:tcPr>
            <w:tcW w:w="1134" w:type="dxa"/>
            <w:vAlign w:val="center"/>
          </w:tcPr>
          <w:p>
            <w:pPr>
              <w:adjustRightInd w:val="0"/>
              <w:snapToGrid w:val="0"/>
              <w:spacing w:line="312" w:lineRule="auto"/>
              <w:rPr>
                <w:sz w:val="24"/>
              </w:rPr>
            </w:pPr>
            <w:r>
              <w:rPr>
                <w:rFonts w:hint="eastAsia"/>
                <w:sz w:val="24"/>
              </w:rPr>
              <w:t>11.6</w:t>
            </w:r>
          </w:p>
        </w:tc>
        <w:tc>
          <w:tcPr>
            <w:tcW w:w="7027" w:type="dxa"/>
          </w:tcPr>
          <w:p>
            <w:pPr>
              <w:adjustRightInd w:val="0"/>
              <w:snapToGrid w:val="0"/>
              <w:spacing w:line="312" w:lineRule="auto"/>
              <w:rPr>
                <w:sz w:val="24"/>
              </w:rPr>
            </w:pPr>
            <w:r>
              <w:rPr>
                <w:rFonts w:hint="eastAsia"/>
                <w:sz w:val="24"/>
              </w:rPr>
              <w:t>提前竣工的奖金限额：签约合同价的</w:t>
            </w:r>
            <w:r>
              <w:rPr>
                <w:rFonts w:hint="eastAsia"/>
                <w:sz w:val="24"/>
                <w:u w:val="single"/>
              </w:rPr>
              <w:t xml:space="preserve"> 0 </w:t>
            </w:r>
            <w:r>
              <w:rPr>
                <w:rFonts w:hint="eastAsia"/>
                <w:sz w:val="24"/>
              </w:rPr>
              <w:t>%</w:t>
            </w:r>
          </w:p>
        </w:tc>
      </w:tr>
    </w:tbl>
    <w:p>
      <w:pPr>
        <w:rPr>
          <w:sz w:val="18"/>
          <w:szCs w:val="18"/>
        </w:rPr>
      </w:pPr>
    </w:p>
    <w:p>
      <w:pPr>
        <w:rPr>
          <w:sz w:val="18"/>
          <w:szCs w:val="18"/>
        </w:rPr>
      </w:pPr>
      <w:r>
        <w:rPr>
          <w:sz w:val="18"/>
          <w:szCs w:val="18"/>
        </w:rPr>
        <w:br w:type="page"/>
      </w:r>
    </w:p>
    <w:tbl>
      <w:tblPr>
        <w:tblStyle w:val="14"/>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044"/>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864" w:type="dxa"/>
            <w:vAlign w:val="center"/>
          </w:tcPr>
          <w:p>
            <w:pPr>
              <w:adjustRightInd w:val="0"/>
              <w:snapToGrid w:val="0"/>
              <w:spacing w:line="324" w:lineRule="auto"/>
              <w:rPr>
                <w:sz w:val="24"/>
              </w:rPr>
            </w:pPr>
            <w:r>
              <w:rPr>
                <w:rFonts w:hint="eastAsia"/>
                <w:sz w:val="24"/>
              </w:rPr>
              <w:t>序号</w:t>
            </w:r>
          </w:p>
        </w:tc>
        <w:tc>
          <w:tcPr>
            <w:tcW w:w="1044" w:type="dxa"/>
            <w:vAlign w:val="center"/>
          </w:tcPr>
          <w:p>
            <w:pPr>
              <w:adjustRightInd w:val="0"/>
              <w:snapToGrid w:val="0"/>
              <w:spacing w:line="324" w:lineRule="auto"/>
              <w:rPr>
                <w:sz w:val="24"/>
              </w:rPr>
            </w:pPr>
            <w:r>
              <w:rPr>
                <w:rFonts w:hint="eastAsia"/>
                <w:sz w:val="24"/>
              </w:rPr>
              <w:t>条款号</w:t>
            </w:r>
          </w:p>
        </w:tc>
        <w:tc>
          <w:tcPr>
            <w:tcW w:w="7560" w:type="dxa"/>
            <w:vAlign w:val="center"/>
          </w:tcPr>
          <w:p>
            <w:pPr>
              <w:adjustRightInd w:val="0"/>
              <w:snapToGrid w:val="0"/>
              <w:spacing w:line="324" w:lineRule="auto"/>
              <w:rPr>
                <w:sz w:val="24"/>
              </w:rPr>
            </w:pPr>
            <w:r>
              <w:rPr>
                <w:rFonts w:hint="eastAsia"/>
                <w:sz w:val="24"/>
              </w:rPr>
              <w:t>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rPr>
            </w:pPr>
            <w:r>
              <w:rPr>
                <w:rFonts w:hint="eastAsia"/>
                <w:sz w:val="24"/>
              </w:rPr>
              <w:t>16</w:t>
            </w:r>
          </w:p>
        </w:tc>
        <w:tc>
          <w:tcPr>
            <w:tcW w:w="1044" w:type="dxa"/>
            <w:vAlign w:val="center"/>
          </w:tcPr>
          <w:p>
            <w:pPr>
              <w:adjustRightInd w:val="0"/>
              <w:snapToGrid w:val="0"/>
              <w:spacing w:line="324" w:lineRule="auto"/>
              <w:rPr>
                <w:sz w:val="24"/>
              </w:rPr>
            </w:pPr>
            <w:r>
              <w:rPr>
                <w:rFonts w:hint="eastAsia"/>
                <w:sz w:val="24"/>
              </w:rPr>
              <w:t>15.2.2</w:t>
            </w:r>
          </w:p>
        </w:tc>
        <w:tc>
          <w:tcPr>
            <w:tcW w:w="7560" w:type="dxa"/>
          </w:tcPr>
          <w:p>
            <w:pPr>
              <w:adjustRightInd w:val="0"/>
              <w:snapToGrid w:val="0"/>
              <w:spacing w:line="324" w:lineRule="auto"/>
              <w:rPr>
                <w:sz w:val="24"/>
              </w:rPr>
            </w:pPr>
            <w:r>
              <w:rPr>
                <w:rFonts w:hint="eastAsia"/>
                <w:sz w:val="24"/>
              </w:rPr>
              <w:t>按所节约或增加收益的%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rPr>
            </w:pPr>
            <w:r>
              <w:rPr>
                <w:rFonts w:hint="eastAsia"/>
                <w:sz w:val="24"/>
              </w:rPr>
              <w:t>17</w:t>
            </w:r>
          </w:p>
        </w:tc>
        <w:tc>
          <w:tcPr>
            <w:tcW w:w="1044" w:type="dxa"/>
            <w:vAlign w:val="center"/>
          </w:tcPr>
          <w:p>
            <w:pPr>
              <w:adjustRightInd w:val="0"/>
              <w:snapToGrid w:val="0"/>
              <w:spacing w:line="324" w:lineRule="auto"/>
              <w:rPr>
                <w:sz w:val="24"/>
              </w:rPr>
            </w:pPr>
            <w:r>
              <w:rPr>
                <w:rFonts w:hint="eastAsia"/>
                <w:sz w:val="24"/>
              </w:rPr>
              <w:t>16.1</w:t>
            </w:r>
          </w:p>
        </w:tc>
        <w:tc>
          <w:tcPr>
            <w:tcW w:w="7560" w:type="dxa"/>
          </w:tcPr>
          <w:p>
            <w:pPr>
              <w:adjustRightInd w:val="0"/>
              <w:snapToGrid w:val="0"/>
              <w:spacing w:line="324" w:lineRule="auto"/>
              <w:rPr>
                <w:sz w:val="24"/>
              </w:rPr>
            </w:pPr>
            <w:r>
              <w:rPr>
                <w:rFonts w:hint="eastAsia"/>
                <w:sz w:val="24"/>
              </w:rPr>
              <w:t>合同期内不调价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rPr>
            </w:pPr>
            <w:r>
              <w:rPr>
                <w:rFonts w:hint="eastAsia"/>
                <w:sz w:val="24"/>
              </w:rPr>
              <w:t>18</w:t>
            </w:r>
          </w:p>
        </w:tc>
        <w:tc>
          <w:tcPr>
            <w:tcW w:w="1044" w:type="dxa"/>
            <w:vAlign w:val="center"/>
          </w:tcPr>
          <w:p>
            <w:pPr>
              <w:adjustRightInd w:val="0"/>
              <w:snapToGrid w:val="0"/>
              <w:spacing w:line="324" w:lineRule="auto"/>
              <w:rPr>
                <w:sz w:val="24"/>
              </w:rPr>
            </w:pPr>
            <w:r>
              <w:rPr>
                <w:rFonts w:hint="eastAsia"/>
                <w:sz w:val="24"/>
              </w:rPr>
              <w:t>17.2.1</w:t>
            </w:r>
          </w:p>
        </w:tc>
        <w:tc>
          <w:tcPr>
            <w:tcW w:w="7560" w:type="dxa"/>
          </w:tcPr>
          <w:p>
            <w:pPr>
              <w:adjustRightInd w:val="0"/>
              <w:snapToGrid w:val="0"/>
              <w:spacing w:line="324" w:lineRule="auto"/>
              <w:rPr>
                <w:sz w:val="24"/>
              </w:rPr>
            </w:pPr>
            <w:r>
              <w:rPr>
                <w:rFonts w:hint="eastAsia"/>
                <w:sz w:val="24"/>
              </w:rPr>
              <w:t>开工预付款比例：</w:t>
            </w:r>
            <w:r>
              <w:rPr>
                <w:rFonts w:hint="eastAsia"/>
                <w:sz w:val="24"/>
                <w:u w:val="single"/>
              </w:rPr>
              <w:t>30</w:t>
            </w:r>
            <w:r>
              <w:rPr>
                <w:rFonts w:hint="eastAsia"/>
                <w:sz w:val="24"/>
              </w:rPr>
              <w:t>%签约合同价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64" w:type="dxa"/>
            <w:vAlign w:val="center"/>
          </w:tcPr>
          <w:p>
            <w:pPr>
              <w:adjustRightInd w:val="0"/>
              <w:snapToGrid w:val="0"/>
              <w:spacing w:line="324" w:lineRule="auto"/>
              <w:rPr>
                <w:sz w:val="24"/>
              </w:rPr>
            </w:pPr>
            <w:r>
              <w:rPr>
                <w:rFonts w:hint="eastAsia"/>
                <w:sz w:val="24"/>
              </w:rPr>
              <w:t>29</w:t>
            </w:r>
          </w:p>
        </w:tc>
        <w:tc>
          <w:tcPr>
            <w:tcW w:w="1044" w:type="dxa"/>
            <w:vAlign w:val="center"/>
          </w:tcPr>
          <w:p>
            <w:pPr>
              <w:adjustRightInd w:val="0"/>
              <w:snapToGrid w:val="0"/>
              <w:spacing w:line="324" w:lineRule="auto"/>
              <w:rPr>
                <w:sz w:val="24"/>
              </w:rPr>
            </w:pPr>
            <w:r>
              <w:rPr>
                <w:rFonts w:hint="eastAsia"/>
                <w:sz w:val="24"/>
              </w:rPr>
              <w:t>17.2.1</w:t>
            </w:r>
          </w:p>
        </w:tc>
        <w:tc>
          <w:tcPr>
            <w:tcW w:w="7560" w:type="dxa"/>
          </w:tcPr>
          <w:p>
            <w:pPr>
              <w:adjustRightInd w:val="0"/>
              <w:snapToGrid w:val="0"/>
              <w:spacing w:line="324" w:lineRule="auto"/>
              <w:rPr>
                <w:sz w:val="24"/>
              </w:rPr>
            </w:pPr>
            <w:r>
              <w:rPr>
                <w:rFonts w:hint="eastAsia"/>
                <w:sz w:val="24"/>
              </w:rPr>
              <w:t>材料、设备预付款比例：等主要材料、设备单据所列费用的%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rPr>
            </w:pPr>
            <w:r>
              <w:rPr>
                <w:rFonts w:hint="eastAsia"/>
                <w:sz w:val="24"/>
              </w:rPr>
              <w:t>20</w:t>
            </w:r>
          </w:p>
        </w:tc>
        <w:tc>
          <w:tcPr>
            <w:tcW w:w="1044" w:type="dxa"/>
            <w:vAlign w:val="center"/>
          </w:tcPr>
          <w:p>
            <w:pPr>
              <w:adjustRightInd w:val="0"/>
              <w:snapToGrid w:val="0"/>
              <w:spacing w:line="324" w:lineRule="auto"/>
              <w:rPr>
                <w:sz w:val="24"/>
              </w:rPr>
            </w:pPr>
            <w:r>
              <w:rPr>
                <w:rFonts w:hint="eastAsia"/>
                <w:sz w:val="24"/>
              </w:rPr>
              <w:t>17.3.2</w:t>
            </w:r>
          </w:p>
        </w:tc>
        <w:tc>
          <w:tcPr>
            <w:tcW w:w="7560" w:type="dxa"/>
          </w:tcPr>
          <w:p>
            <w:pPr>
              <w:adjustRightInd w:val="0"/>
              <w:snapToGrid w:val="0"/>
              <w:spacing w:line="324" w:lineRule="auto"/>
              <w:rPr>
                <w:sz w:val="24"/>
              </w:rPr>
            </w:pPr>
            <w:r>
              <w:rPr>
                <w:rFonts w:hint="eastAsia"/>
                <w:sz w:val="24"/>
              </w:rPr>
              <w:t>进度付款申请单：向监理人提交进度付款申请单的份数：份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rPr>
            </w:pPr>
            <w:r>
              <w:rPr>
                <w:rFonts w:hint="eastAsia"/>
                <w:sz w:val="24"/>
              </w:rPr>
              <w:t>21</w:t>
            </w:r>
          </w:p>
        </w:tc>
        <w:tc>
          <w:tcPr>
            <w:tcW w:w="1044" w:type="dxa"/>
            <w:vAlign w:val="center"/>
          </w:tcPr>
          <w:p>
            <w:pPr>
              <w:adjustRightInd w:val="0"/>
              <w:snapToGrid w:val="0"/>
              <w:spacing w:line="324" w:lineRule="auto"/>
              <w:rPr>
                <w:sz w:val="24"/>
              </w:rPr>
            </w:pPr>
            <w:r>
              <w:rPr>
                <w:rFonts w:hint="eastAsia"/>
                <w:sz w:val="24"/>
              </w:rPr>
              <w:t>17.3.3</w:t>
            </w:r>
          </w:p>
        </w:tc>
        <w:tc>
          <w:tcPr>
            <w:tcW w:w="7560" w:type="dxa"/>
          </w:tcPr>
          <w:p>
            <w:pPr>
              <w:adjustRightInd w:val="0"/>
              <w:snapToGrid w:val="0"/>
              <w:spacing w:line="324" w:lineRule="auto"/>
              <w:jc w:val="left"/>
              <w:rPr>
                <w:sz w:val="24"/>
              </w:rPr>
            </w:pPr>
            <w:r>
              <w:rPr>
                <w:rFonts w:hint="eastAsia"/>
                <w:sz w:val="24"/>
              </w:rPr>
              <w:t>进度付款申请证书最低限额：签约合同价的%或人民币万元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rPr>
            </w:pPr>
            <w:r>
              <w:rPr>
                <w:rFonts w:hint="eastAsia"/>
                <w:sz w:val="24"/>
              </w:rPr>
              <w:t>22</w:t>
            </w:r>
          </w:p>
        </w:tc>
        <w:tc>
          <w:tcPr>
            <w:tcW w:w="1044" w:type="dxa"/>
            <w:vAlign w:val="center"/>
          </w:tcPr>
          <w:p>
            <w:pPr>
              <w:adjustRightInd w:val="0"/>
              <w:snapToGrid w:val="0"/>
              <w:spacing w:line="324" w:lineRule="auto"/>
              <w:rPr>
                <w:sz w:val="24"/>
              </w:rPr>
            </w:pPr>
            <w:r>
              <w:rPr>
                <w:rFonts w:hint="eastAsia"/>
                <w:sz w:val="24"/>
              </w:rPr>
              <w:t>17.3.3</w:t>
            </w:r>
          </w:p>
        </w:tc>
        <w:tc>
          <w:tcPr>
            <w:tcW w:w="7560" w:type="dxa"/>
          </w:tcPr>
          <w:p>
            <w:pPr>
              <w:adjustRightInd w:val="0"/>
              <w:snapToGrid w:val="0"/>
              <w:spacing w:line="324" w:lineRule="auto"/>
              <w:rPr>
                <w:sz w:val="24"/>
              </w:rPr>
            </w:pPr>
            <w:r>
              <w:rPr>
                <w:rFonts w:hint="eastAsia"/>
                <w:sz w:val="24"/>
              </w:rPr>
              <w:t>进度付款支付期限：</w:t>
            </w:r>
          </w:p>
          <w:p>
            <w:pPr>
              <w:adjustRightInd w:val="0"/>
              <w:snapToGrid w:val="0"/>
              <w:spacing w:line="324" w:lineRule="auto"/>
              <w:rPr>
                <w:sz w:val="24"/>
              </w:rPr>
            </w:pPr>
            <w:r>
              <w:rPr>
                <w:rFonts w:hint="eastAsia"/>
                <w:sz w:val="24"/>
              </w:rPr>
              <w:t>监理人收到进度付款申请单后</w:t>
            </w:r>
            <w:r>
              <w:rPr>
                <w:rFonts w:hint="eastAsia" w:ascii="宋体" w:hAnsi="宋体"/>
                <w:sz w:val="24"/>
              </w:rPr>
              <w:t>天</w:t>
            </w:r>
            <w:r>
              <w:rPr>
                <w:rFonts w:hint="eastAsia"/>
                <w:sz w:val="24"/>
              </w:rPr>
              <w:t>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rPr>
            </w:pPr>
            <w:r>
              <w:rPr>
                <w:rFonts w:hint="eastAsia"/>
                <w:sz w:val="24"/>
              </w:rPr>
              <w:t>23</w:t>
            </w:r>
          </w:p>
        </w:tc>
        <w:tc>
          <w:tcPr>
            <w:tcW w:w="1044" w:type="dxa"/>
            <w:vAlign w:val="center"/>
          </w:tcPr>
          <w:p>
            <w:pPr>
              <w:adjustRightInd w:val="0"/>
              <w:snapToGrid w:val="0"/>
              <w:spacing w:line="324" w:lineRule="auto"/>
              <w:rPr>
                <w:sz w:val="24"/>
              </w:rPr>
            </w:pPr>
            <w:r>
              <w:rPr>
                <w:rFonts w:hint="eastAsia"/>
                <w:sz w:val="24"/>
              </w:rPr>
              <w:t>17.3.3</w:t>
            </w:r>
          </w:p>
        </w:tc>
        <w:tc>
          <w:tcPr>
            <w:tcW w:w="7560" w:type="dxa"/>
          </w:tcPr>
          <w:p>
            <w:pPr>
              <w:adjustRightInd w:val="0"/>
              <w:snapToGrid w:val="0"/>
              <w:spacing w:line="324" w:lineRule="auto"/>
              <w:rPr>
                <w:sz w:val="24"/>
              </w:rPr>
            </w:pPr>
            <w:r>
              <w:rPr>
                <w:rFonts w:hint="eastAsia"/>
                <w:sz w:val="24"/>
              </w:rPr>
              <w:t>逾期付款违约金：</w:t>
            </w:r>
            <w:r>
              <w:rPr>
                <w:rFonts w:hint="eastAsia" w:ascii="宋体" w:hAnsi="宋体"/>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rPr>
            </w:pPr>
            <w:r>
              <w:rPr>
                <w:rFonts w:hint="eastAsia"/>
                <w:sz w:val="24"/>
              </w:rPr>
              <w:t>24</w:t>
            </w:r>
          </w:p>
        </w:tc>
        <w:tc>
          <w:tcPr>
            <w:tcW w:w="1044" w:type="dxa"/>
            <w:vAlign w:val="center"/>
          </w:tcPr>
          <w:p>
            <w:pPr>
              <w:adjustRightInd w:val="0"/>
              <w:snapToGrid w:val="0"/>
              <w:spacing w:line="324" w:lineRule="auto"/>
              <w:rPr>
                <w:sz w:val="24"/>
              </w:rPr>
            </w:pPr>
            <w:r>
              <w:rPr>
                <w:rFonts w:hint="eastAsia"/>
                <w:sz w:val="24"/>
              </w:rPr>
              <w:t>17.4.1</w:t>
            </w:r>
          </w:p>
        </w:tc>
        <w:tc>
          <w:tcPr>
            <w:tcW w:w="7560" w:type="dxa"/>
          </w:tcPr>
          <w:p>
            <w:pPr>
              <w:adjustRightInd w:val="0"/>
              <w:snapToGrid w:val="0"/>
              <w:spacing w:line="324" w:lineRule="auto"/>
              <w:rPr>
                <w:sz w:val="24"/>
              </w:rPr>
            </w:pPr>
            <w:r>
              <w:rPr>
                <w:rFonts w:hint="eastAsia"/>
                <w:sz w:val="24"/>
              </w:rPr>
              <w:t>质量保证金百分比：月支付额的%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rPr>
            </w:pPr>
            <w:r>
              <w:rPr>
                <w:rFonts w:hint="eastAsia"/>
                <w:sz w:val="24"/>
              </w:rPr>
              <w:t>25</w:t>
            </w:r>
          </w:p>
        </w:tc>
        <w:tc>
          <w:tcPr>
            <w:tcW w:w="1044" w:type="dxa"/>
            <w:vAlign w:val="center"/>
          </w:tcPr>
          <w:p>
            <w:pPr>
              <w:adjustRightInd w:val="0"/>
              <w:snapToGrid w:val="0"/>
              <w:spacing w:line="324" w:lineRule="auto"/>
              <w:rPr>
                <w:sz w:val="24"/>
              </w:rPr>
            </w:pPr>
            <w:r>
              <w:rPr>
                <w:rFonts w:hint="eastAsia"/>
                <w:sz w:val="24"/>
              </w:rPr>
              <w:t>17.4.1</w:t>
            </w:r>
          </w:p>
        </w:tc>
        <w:tc>
          <w:tcPr>
            <w:tcW w:w="7560" w:type="dxa"/>
          </w:tcPr>
          <w:p>
            <w:pPr>
              <w:adjustRightInd w:val="0"/>
              <w:snapToGrid w:val="0"/>
              <w:spacing w:line="324" w:lineRule="auto"/>
              <w:rPr>
                <w:sz w:val="24"/>
              </w:rPr>
            </w:pPr>
            <w:r>
              <w:rPr>
                <w:rFonts w:hint="eastAsia"/>
                <w:sz w:val="24"/>
              </w:rPr>
              <w:t>质量保证金限额：合同价格的3%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64" w:type="dxa"/>
            <w:vAlign w:val="center"/>
          </w:tcPr>
          <w:p>
            <w:pPr>
              <w:adjustRightInd w:val="0"/>
              <w:snapToGrid w:val="0"/>
              <w:spacing w:line="324" w:lineRule="auto"/>
              <w:rPr>
                <w:sz w:val="24"/>
              </w:rPr>
            </w:pPr>
            <w:r>
              <w:rPr>
                <w:rFonts w:hint="eastAsia"/>
                <w:sz w:val="24"/>
              </w:rPr>
              <w:t>26</w:t>
            </w:r>
          </w:p>
        </w:tc>
        <w:tc>
          <w:tcPr>
            <w:tcW w:w="1044" w:type="dxa"/>
            <w:vAlign w:val="center"/>
          </w:tcPr>
          <w:p>
            <w:pPr>
              <w:adjustRightInd w:val="0"/>
              <w:snapToGrid w:val="0"/>
              <w:spacing w:line="324" w:lineRule="auto"/>
              <w:rPr>
                <w:sz w:val="24"/>
              </w:rPr>
            </w:pPr>
            <w:r>
              <w:rPr>
                <w:rFonts w:hint="eastAsia"/>
                <w:sz w:val="24"/>
              </w:rPr>
              <w:t>17.5.1</w:t>
            </w:r>
          </w:p>
        </w:tc>
        <w:tc>
          <w:tcPr>
            <w:tcW w:w="7560" w:type="dxa"/>
          </w:tcPr>
          <w:p>
            <w:pPr>
              <w:adjustRightInd w:val="0"/>
              <w:snapToGrid w:val="0"/>
              <w:spacing w:line="324" w:lineRule="auto"/>
              <w:rPr>
                <w:sz w:val="24"/>
              </w:rPr>
            </w:pPr>
            <w:r>
              <w:rPr>
                <w:rFonts w:hint="eastAsia"/>
                <w:sz w:val="24"/>
              </w:rPr>
              <w:t>竣工付款申请单：承包人向监理人提交竣工付款申请单（包括相关证明材料）的份数：</w:t>
            </w:r>
            <w:r>
              <w:rPr>
                <w:rFonts w:hint="eastAsia"/>
                <w:sz w:val="24"/>
                <w:u w:val="single"/>
              </w:rPr>
              <w:t xml:space="preserve">   3 </w:t>
            </w:r>
            <w:r>
              <w:rPr>
                <w:rFonts w:hint="eastAsia"/>
                <w:sz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rPr>
            </w:pPr>
            <w:r>
              <w:rPr>
                <w:rFonts w:hint="eastAsia"/>
                <w:sz w:val="24"/>
              </w:rPr>
              <w:t>27</w:t>
            </w:r>
          </w:p>
        </w:tc>
        <w:tc>
          <w:tcPr>
            <w:tcW w:w="1044" w:type="dxa"/>
            <w:vAlign w:val="center"/>
          </w:tcPr>
          <w:p>
            <w:pPr>
              <w:adjustRightInd w:val="0"/>
              <w:snapToGrid w:val="0"/>
              <w:spacing w:line="324" w:lineRule="auto"/>
              <w:rPr>
                <w:sz w:val="24"/>
              </w:rPr>
            </w:pPr>
            <w:r>
              <w:rPr>
                <w:rFonts w:hint="eastAsia"/>
                <w:sz w:val="24"/>
              </w:rPr>
              <w:t>17.5.2</w:t>
            </w:r>
          </w:p>
        </w:tc>
        <w:tc>
          <w:tcPr>
            <w:tcW w:w="7560" w:type="dxa"/>
          </w:tcPr>
          <w:p>
            <w:pPr>
              <w:adjustRightInd w:val="0"/>
              <w:snapToGrid w:val="0"/>
              <w:spacing w:line="324" w:lineRule="auto"/>
              <w:rPr>
                <w:sz w:val="24"/>
              </w:rPr>
            </w:pPr>
            <w:r>
              <w:rPr>
                <w:rFonts w:hint="eastAsia"/>
                <w:sz w:val="24"/>
              </w:rPr>
              <w:t>竣工付款支付期限：</w:t>
            </w:r>
          </w:p>
          <w:p>
            <w:pPr>
              <w:adjustRightInd w:val="0"/>
              <w:snapToGrid w:val="0"/>
              <w:spacing w:line="324" w:lineRule="auto"/>
              <w:rPr>
                <w:sz w:val="24"/>
              </w:rPr>
            </w:pPr>
            <w:r>
              <w:rPr>
                <w:rFonts w:hint="eastAsia"/>
                <w:sz w:val="24"/>
              </w:rPr>
              <w:t>监理人出具工程竣工付款证书后天内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64" w:type="dxa"/>
            <w:vAlign w:val="center"/>
          </w:tcPr>
          <w:p>
            <w:pPr>
              <w:adjustRightInd w:val="0"/>
              <w:snapToGrid w:val="0"/>
              <w:spacing w:line="324" w:lineRule="auto"/>
              <w:rPr>
                <w:sz w:val="24"/>
              </w:rPr>
            </w:pPr>
            <w:r>
              <w:rPr>
                <w:rFonts w:hint="eastAsia"/>
                <w:sz w:val="24"/>
              </w:rPr>
              <w:t>28</w:t>
            </w:r>
          </w:p>
        </w:tc>
        <w:tc>
          <w:tcPr>
            <w:tcW w:w="1044" w:type="dxa"/>
            <w:vAlign w:val="center"/>
          </w:tcPr>
          <w:p>
            <w:pPr>
              <w:adjustRightInd w:val="0"/>
              <w:snapToGrid w:val="0"/>
              <w:spacing w:line="324" w:lineRule="auto"/>
              <w:rPr>
                <w:sz w:val="24"/>
              </w:rPr>
            </w:pPr>
            <w:r>
              <w:rPr>
                <w:rFonts w:hint="eastAsia"/>
                <w:sz w:val="24"/>
              </w:rPr>
              <w:t>17.6.1</w:t>
            </w:r>
          </w:p>
        </w:tc>
        <w:tc>
          <w:tcPr>
            <w:tcW w:w="7560" w:type="dxa"/>
          </w:tcPr>
          <w:p>
            <w:pPr>
              <w:adjustRightInd w:val="0"/>
              <w:snapToGrid w:val="0"/>
              <w:spacing w:line="324" w:lineRule="auto"/>
              <w:rPr>
                <w:sz w:val="24"/>
              </w:rPr>
            </w:pPr>
            <w:r>
              <w:rPr>
                <w:rFonts w:hint="eastAsia"/>
                <w:sz w:val="24"/>
              </w:rPr>
              <w:t>最终结清申请单：承包人向监理人提交终结清申请单（包括相关证明材料）的份数：</w:t>
            </w:r>
            <w:r>
              <w:rPr>
                <w:rFonts w:hint="eastAsia"/>
                <w:sz w:val="24"/>
                <w:u w:val="single"/>
              </w:rPr>
              <w:t xml:space="preserve">  3  </w:t>
            </w:r>
            <w:r>
              <w:rPr>
                <w:rFonts w:hint="eastAsia"/>
                <w:sz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rPr>
            </w:pPr>
            <w:r>
              <w:rPr>
                <w:rFonts w:hint="eastAsia"/>
                <w:sz w:val="24"/>
              </w:rPr>
              <w:t>29</w:t>
            </w:r>
          </w:p>
        </w:tc>
        <w:tc>
          <w:tcPr>
            <w:tcW w:w="1044" w:type="dxa"/>
            <w:vAlign w:val="center"/>
          </w:tcPr>
          <w:p>
            <w:pPr>
              <w:adjustRightInd w:val="0"/>
              <w:snapToGrid w:val="0"/>
              <w:spacing w:line="324" w:lineRule="auto"/>
              <w:rPr>
                <w:sz w:val="24"/>
              </w:rPr>
            </w:pPr>
            <w:r>
              <w:rPr>
                <w:rFonts w:hint="eastAsia"/>
                <w:sz w:val="24"/>
              </w:rPr>
              <w:t>17.6.2</w:t>
            </w:r>
          </w:p>
        </w:tc>
        <w:tc>
          <w:tcPr>
            <w:tcW w:w="7560" w:type="dxa"/>
          </w:tcPr>
          <w:p>
            <w:pPr>
              <w:adjustRightInd w:val="0"/>
              <w:snapToGrid w:val="0"/>
              <w:spacing w:line="324" w:lineRule="auto"/>
              <w:rPr>
                <w:sz w:val="24"/>
              </w:rPr>
            </w:pPr>
            <w:r>
              <w:rPr>
                <w:rFonts w:hint="eastAsia"/>
                <w:sz w:val="24"/>
              </w:rPr>
              <w:t>最终付款支付期限：</w:t>
            </w:r>
          </w:p>
          <w:p>
            <w:pPr>
              <w:adjustRightInd w:val="0"/>
              <w:snapToGrid w:val="0"/>
              <w:spacing w:line="324" w:lineRule="auto"/>
              <w:rPr>
                <w:sz w:val="24"/>
              </w:rPr>
            </w:pPr>
            <w:r>
              <w:rPr>
                <w:rFonts w:hint="eastAsia"/>
                <w:sz w:val="24"/>
              </w:rPr>
              <w:t>监理人出具最终结清证书后天内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rPr>
            </w:pPr>
            <w:r>
              <w:rPr>
                <w:rFonts w:hint="eastAsia"/>
                <w:sz w:val="24"/>
              </w:rPr>
              <w:t>30</w:t>
            </w:r>
          </w:p>
        </w:tc>
        <w:tc>
          <w:tcPr>
            <w:tcW w:w="1044" w:type="dxa"/>
            <w:vAlign w:val="center"/>
          </w:tcPr>
          <w:p>
            <w:pPr>
              <w:adjustRightInd w:val="0"/>
              <w:snapToGrid w:val="0"/>
              <w:spacing w:line="324" w:lineRule="auto"/>
              <w:rPr>
                <w:sz w:val="24"/>
              </w:rPr>
            </w:pPr>
            <w:r>
              <w:rPr>
                <w:rFonts w:hint="eastAsia"/>
                <w:sz w:val="24"/>
              </w:rPr>
              <w:t>19.7</w:t>
            </w:r>
          </w:p>
        </w:tc>
        <w:tc>
          <w:tcPr>
            <w:tcW w:w="7560" w:type="dxa"/>
          </w:tcPr>
          <w:p>
            <w:pPr>
              <w:adjustRightInd w:val="0"/>
              <w:snapToGrid w:val="0"/>
              <w:spacing w:line="324" w:lineRule="auto"/>
              <w:rPr>
                <w:sz w:val="24"/>
              </w:rPr>
            </w:pPr>
            <w:r>
              <w:rPr>
                <w:rFonts w:hint="eastAsia"/>
                <w:sz w:val="24"/>
              </w:rPr>
              <w:t>保修期：</w:t>
            </w:r>
            <w:r>
              <w:rPr>
                <w:rFonts w:hint="eastAsia"/>
                <w:sz w:val="24"/>
                <w:u w:val="single"/>
              </w:rPr>
              <w:t xml:space="preserve"> 5  </w:t>
            </w:r>
            <w:r>
              <w:rPr>
                <w:rFonts w:hint="eastAsia"/>
                <w:sz w:val="24"/>
              </w:rPr>
              <w:t>年（保修期一般应为5年）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vAlign w:val="center"/>
          </w:tcPr>
          <w:p>
            <w:pPr>
              <w:adjustRightInd w:val="0"/>
              <w:snapToGrid w:val="0"/>
              <w:spacing w:line="324" w:lineRule="auto"/>
              <w:rPr>
                <w:sz w:val="24"/>
              </w:rPr>
            </w:pPr>
            <w:r>
              <w:rPr>
                <w:rFonts w:hint="eastAsia"/>
                <w:sz w:val="24"/>
              </w:rPr>
              <w:t>31</w:t>
            </w:r>
          </w:p>
        </w:tc>
        <w:tc>
          <w:tcPr>
            <w:tcW w:w="1044" w:type="dxa"/>
            <w:vAlign w:val="center"/>
          </w:tcPr>
          <w:p>
            <w:pPr>
              <w:adjustRightInd w:val="0"/>
              <w:snapToGrid w:val="0"/>
              <w:spacing w:line="324" w:lineRule="auto"/>
              <w:rPr>
                <w:sz w:val="24"/>
              </w:rPr>
            </w:pPr>
            <w:r>
              <w:rPr>
                <w:rFonts w:hint="eastAsia"/>
                <w:sz w:val="24"/>
              </w:rPr>
              <w:t>20.1</w:t>
            </w:r>
          </w:p>
        </w:tc>
        <w:tc>
          <w:tcPr>
            <w:tcW w:w="7560" w:type="dxa"/>
          </w:tcPr>
          <w:p>
            <w:pPr>
              <w:adjustRightInd w:val="0"/>
              <w:snapToGrid w:val="0"/>
              <w:spacing w:line="324" w:lineRule="auto"/>
              <w:rPr>
                <w:sz w:val="24"/>
              </w:rPr>
            </w:pPr>
            <w:r>
              <w:rPr>
                <w:rFonts w:hint="eastAsia"/>
                <w:sz w:val="24"/>
              </w:rPr>
              <w:t>建筑工程一切险的保险费率：</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64" w:type="dxa"/>
            <w:vAlign w:val="center"/>
          </w:tcPr>
          <w:p>
            <w:pPr>
              <w:adjustRightInd w:val="0"/>
              <w:snapToGrid w:val="0"/>
              <w:spacing w:line="324" w:lineRule="auto"/>
              <w:rPr>
                <w:sz w:val="24"/>
              </w:rPr>
            </w:pPr>
            <w:r>
              <w:rPr>
                <w:rFonts w:hint="eastAsia"/>
                <w:sz w:val="24"/>
              </w:rPr>
              <w:t>32</w:t>
            </w:r>
          </w:p>
        </w:tc>
        <w:tc>
          <w:tcPr>
            <w:tcW w:w="1044" w:type="dxa"/>
            <w:vAlign w:val="center"/>
          </w:tcPr>
          <w:p>
            <w:pPr>
              <w:adjustRightInd w:val="0"/>
              <w:snapToGrid w:val="0"/>
              <w:spacing w:line="324" w:lineRule="auto"/>
              <w:rPr>
                <w:sz w:val="24"/>
              </w:rPr>
            </w:pPr>
            <w:r>
              <w:rPr>
                <w:rFonts w:hint="eastAsia"/>
                <w:sz w:val="24"/>
              </w:rPr>
              <w:t>20.4.2</w:t>
            </w:r>
          </w:p>
        </w:tc>
        <w:tc>
          <w:tcPr>
            <w:tcW w:w="7560" w:type="dxa"/>
          </w:tcPr>
          <w:p>
            <w:pPr>
              <w:adjustRightInd w:val="0"/>
              <w:snapToGrid w:val="0"/>
              <w:spacing w:line="324" w:lineRule="auto"/>
              <w:rPr>
                <w:sz w:val="24"/>
              </w:rPr>
            </w:pPr>
            <w:r>
              <w:rPr>
                <w:rFonts w:hint="eastAsia"/>
                <w:sz w:val="24"/>
              </w:rPr>
              <w:t>第三者责任的最低投保金额：万元人民币，事故次数不限（不计免赔额）保险费率：</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864" w:type="dxa"/>
            <w:vAlign w:val="center"/>
          </w:tcPr>
          <w:p>
            <w:pPr>
              <w:adjustRightInd w:val="0"/>
              <w:snapToGrid w:val="0"/>
              <w:spacing w:line="324" w:lineRule="auto"/>
              <w:rPr>
                <w:sz w:val="24"/>
              </w:rPr>
            </w:pPr>
            <w:r>
              <w:rPr>
                <w:rFonts w:hint="eastAsia"/>
                <w:sz w:val="24"/>
              </w:rPr>
              <w:t>33</w:t>
            </w:r>
          </w:p>
        </w:tc>
        <w:tc>
          <w:tcPr>
            <w:tcW w:w="1044" w:type="dxa"/>
            <w:vAlign w:val="center"/>
          </w:tcPr>
          <w:p>
            <w:pPr>
              <w:adjustRightInd w:val="0"/>
              <w:snapToGrid w:val="0"/>
              <w:spacing w:line="324" w:lineRule="auto"/>
              <w:rPr>
                <w:sz w:val="24"/>
              </w:rPr>
            </w:pPr>
            <w:r>
              <w:rPr>
                <w:rFonts w:hint="eastAsia"/>
                <w:sz w:val="24"/>
              </w:rPr>
              <w:t>24.1</w:t>
            </w:r>
          </w:p>
        </w:tc>
        <w:tc>
          <w:tcPr>
            <w:tcW w:w="7560" w:type="dxa"/>
          </w:tcPr>
          <w:p>
            <w:pPr>
              <w:adjustRightInd w:val="0"/>
              <w:snapToGrid w:val="0"/>
              <w:spacing w:line="324" w:lineRule="auto"/>
              <w:rPr>
                <w:sz w:val="24"/>
                <w:u w:val="single"/>
              </w:rPr>
            </w:pPr>
            <w:r>
              <w:rPr>
                <w:rFonts w:hint="eastAsia"/>
                <w:sz w:val="24"/>
              </w:rPr>
              <w:t>争议的最终解决方式：</w:t>
            </w:r>
            <w:r>
              <w:rPr>
                <w:rFonts w:hint="eastAsia"/>
                <w:sz w:val="24"/>
                <w:u w:val="single"/>
              </w:rPr>
              <w:t>仲裁或诉讼</w:t>
            </w:r>
          </w:p>
          <w:p>
            <w:pPr>
              <w:adjustRightInd w:val="0"/>
              <w:snapToGrid w:val="0"/>
              <w:spacing w:line="324" w:lineRule="auto"/>
              <w:rPr>
                <w:sz w:val="24"/>
              </w:rPr>
            </w:pPr>
            <w:r>
              <w:rPr>
                <w:rFonts w:hint="eastAsia"/>
                <w:sz w:val="24"/>
              </w:rPr>
              <w:t>如采用仲裁，仲裁委员会名称</w:t>
            </w:r>
            <w:r>
              <w:rPr>
                <w:rFonts w:hint="eastAsia"/>
                <w:sz w:val="24"/>
                <w:u w:val="single"/>
              </w:rPr>
              <w:t>：许昌市中级人民法院</w:t>
            </w:r>
          </w:p>
        </w:tc>
      </w:tr>
    </w:tbl>
    <w:p>
      <w:pPr>
        <w:adjustRightInd w:val="0"/>
        <w:snapToGrid w:val="0"/>
        <w:spacing w:beforeLines="50" w:afterLines="50" w:line="160" w:lineRule="exact"/>
        <w:rPr>
          <w:rFonts w:ascii="宋体" w:hAnsi="宋体"/>
          <w:sz w:val="15"/>
          <w:szCs w:val="15"/>
        </w:rPr>
      </w:pPr>
    </w:p>
    <w:p>
      <w:pPr>
        <w:adjustRightInd w:val="0"/>
        <w:snapToGrid w:val="0"/>
        <w:spacing w:beforeLines="50" w:afterLines="50" w:line="160" w:lineRule="exact"/>
        <w:rPr>
          <w:rFonts w:ascii="宋体" w:hAnsi="宋体"/>
          <w:sz w:val="15"/>
          <w:szCs w:val="15"/>
        </w:rPr>
      </w:pPr>
    </w:p>
    <w:p>
      <w:pPr>
        <w:adjustRightInd w:val="0"/>
        <w:snapToGrid w:val="0"/>
        <w:spacing w:beforeLines="50" w:afterLines="50" w:line="160" w:lineRule="exact"/>
        <w:rPr>
          <w:rFonts w:ascii="宋体" w:hAnsi="宋体"/>
          <w:sz w:val="15"/>
          <w:szCs w:val="15"/>
        </w:rPr>
      </w:pPr>
    </w:p>
    <w:p>
      <w:pPr>
        <w:adjustRightInd w:val="0"/>
        <w:snapToGrid w:val="0"/>
        <w:spacing w:beforeLines="50" w:afterLines="50" w:line="160" w:lineRule="exact"/>
        <w:rPr>
          <w:rFonts w:ascii="宋体" w:hAnsi="宋体"/>
          <w:sz w:val="15"/>
          <w:szCs w:val="15"/>
        </w:rPr>
      </w:pPr>
    </w:p>
    <w:p>
      <w:pPr>
        <w:adjustRightInd w:val="0"/>
        <w:snapToGrid w:val="0"/>
        <w:spacing w:beforeLines="50" w:afterLines="50" w:line="160" w:lineRule="exact"/>
        <w:rPr>
          <w:rFonts w:ascii="宋体" w:hAnsi="宋体"/>
          <w:sz w:val="15"/>
          <w:szCs w:val="15"/>
        </w:rPr>
      </w:pPr>
    </w:p>
    <w:p>
      <w:pPr>
        <w:adjustRightInd w:val="0"/>
        <w:snapToGrid w:val="0"/>
        <w:spacing w:beforeLines="50" w:afterLines="50" w:line="160" w:lineRule="exact"/>
        <w:rPr>
          <w:rFonts w:ascii="宋体" w:hAnsi="宋体"/>
          <w:sz w:val="15"/>
          <w:szCs w:val="15"/>
        </w:rPr>
      </w:pPr>
    </w:p>
    <w:p>
      <w:pPr>
        <w:adjustRightInd w:val="0"/>
        <w:snapToGrid w:val="0"/>
        <w:spacing w:beforeLines="50" w:afterLines="50" w:line="360" w:lineRule="auto"/>
        <w:rPr>
          <w:rFonts w:ascii="黑体" w:eastAsia="黑体"/>
          <w:sz w:val="30"/>
        </w:rPr>
      </w:pPr>
    </w:p>
    <w:p>
      <w:pPr>
        <w:adjustRightInd w:val="0"/>
        <w:snapToGrid w:val="0"/>
        <w:spacing w:beforeLines="50" w:afterLines="50" w:line="360" w:lineRule="auto"/>
        <w:rPr>
          <w:rFonts w:ascii="黑体" w:eastAsia="黑体"/>
          <w:sz w:val="30"/>
        </w:rPr>
      </w:pPr>
      <w:r>
        <w:rPr>
          <w:rFonts w:hint="eastAsia" w:ascii="黑体" w:eastAsia="黑体"/>
          <w:sz w:val="30"/>
        </w:rPr>
        <w:t>项目专用条款</w:t>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1.4合同文件的优先顺序：</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u w:val="single"/>
        </w:rPr>
      </w:pPr>
      <w:r>
        <w:rPr>
          <w:rFonts w:hint="eastAsia" w:asciiTheme="minorEastAsia" w:hAnsiTheme="minorEastAsia" w:eastAsiaTheme="minorEastAsia"/>
          <w:sz w:val="24"/>
        </w:rPr>
        <w:t>1.7.2来往函件送达的期限：</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2.8发包人应履行的其他义务：</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4.1.2依法纳税：</w:t>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4.1.8为他人提供方便</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ind w:firstLine="672" w:firstLineChars="280"/>
        <w:rPr>
          <w:rFonts w:asciiTheme="minorEastAsia" w:hAnsiTheme="minorEastAsia" w:eastAsiaTheme="minorEastAsia"/>
          <w:sz w:val="24"/>
        </w:rPr>
      </w:pPr>
      <w:r>
        <w:rPr>
          <w:rFonts w:hint="eastAsia" w:asciiTheme="minorEastAsia" w:hAnsiTheme="minorEastAsia" w:eastAsiaTheme="minorEastAsia"/>
          <w:sz w:val="24"/>
        </w:rPr>
        <w:t>承包人为他人提供条件的内容：</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ind w:firstLine="672" w:firstLineChars="280"/>
        <w:rPr>
          <w:rFonts w:asciiTheme="minorEastAsia" w:hAnsiTheme="minorEastAsia" w:eastAsiaTheme="minorEastAsia"/>
          <w:sz w:val="24"/>
        </w:rPr>
      </w:pPr>
      <w:r>
        <w:rPr>
          <w:rFonts w:hint="eastAsia" w:asciiTheme="minorEastAsia" w:hAnsiTheme="minorEastAsia" w:eastAsiaTheme="minorEastAsia"/>
          <w:sz w:val="24"/>
        </w:rPr>
        <w:t>承包人为他人提供条件可能发生费用的处理方法：</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4.1.10其他义务：</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4.2履约担保：</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4.11.1不利物质条件的范围：</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6.2发包人提供的施工设备和临时设施：</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8.1.1发包人向承包人提供测量准点、基准线和水准点及其书面资料的时间：</w:t>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rPr>
        <w:t>。承包人监理人报送施工控制网资料的时间：</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9.2承包人的施工安全责任：</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10.1合同进度计划</w:t>
      </w:r>
    </w:p>
    <w:p>
      <w:pPr>
        <w:adjustRightInd w:val="0"/>
        <w:snapToGrid w:val="0"/>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承包人编制施工方案的内容：</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11.4异常恶劣的气候条件：</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11.5承包人的工期延误：</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11.6工期提前：</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12.1承包人暂停停工的责任：</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15.4变更的佶价原则：</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17.3.3进度付款证书和支付时间：</w:t>
      </w:r>
    </w:p>
    <w:p>
      <w:pPr>
        <w:adjustRightInd w:val="0"/>
        <w:snapToGrid w:val="0"/>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进度付款涉及政府投资资金的,按照以下规定办理：</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18.5施工期运行</w:t>
      </w:r>
    </w:p>
    <w:p>
      <w:pPr>
        <w:adjustRightInd w:val="0"/>
        <w:snapToGrid w:val="0"/>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单位工程或工程设备是否需投入施工期运行：</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18.6试运行</w:t>
      </w:r>
      <w:r>
        <w:rPr>
          <w:rFonts w:asciiTheme="minorEastAsia" w:hAnsiTheme="minorEastAsia" w:eastAsiaTheme="minorEastAsia"/>
          <w:position w:val="-10"/>
          <w:sz w:val="24"/>
        </w:rPr>
        <w:object>
          <v:shape id="_x0000_i1026" o:spt="75" type="#_x0000_t75" style="height:17.25pt;width:9pt;" o:ole="t" filled="f" o:preferrelative="t" stroked="f" coordsize="21600,21600">
            <v:path/>
            <v:fill on="f" focussize="0,0"/>
            <v:stroke on="f" joinstyle="miter"/>
            <v:imagedata r:id="rId17" o:title=""/>
            <o:lock v:ext="edit" aspectratio="t"/>
            <w10:wrap type="none"/>
            <w10:anchorlock/>
          </v:shape>
          <o:OLEObject Type="Embed" ProgID="Equations" ShapeID="_x0000_i1026" DrawAspect="Content" ObjectID="_1468075726" r:id="rId16">
            <o:LockedField>false</o:LockedField>
          </o:OLEObject>
        </w:object>
      </w:r>
    </w:p>
    <w:p>
      <w:pPr>
        <w:adjustRightInd w:val="0"/>
        <w:snapToGrid w:val="0"/>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18.6.1项约定：</w:t>
      </w:r>
    </w:p>
    <w:p>
      <w:pPr>
        <w:adjustRightInd w:val="0"/>
        <w:snapToGrid w:val="0"/>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本工程及工程设备是否进行试运行：</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试运行的内容：</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试运行的费用约定：</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rPr>
      </w:pPr>
      <w:r>
        <w:rPr>
          <w:rFonts w:hint="eastAsia" w:asciiTheme="minorEastAsia" w:hAnsiTheme="minorEastAsia" w:eastAsiaTheme="minorEastAsia"/>
          <w:sz w:val="24"/>
        </w:rPr>
        <w:t>21.1不可抗力的确认：</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adjustRightInd w:val="0"/>
        <w:snapToGrid w:val="0"/>
        <w:spacing w:line="312" w:lineRule="auto"/>
        <w:rPr>
          <w:rFonts w:asciiTheme="minorEastAsia" w:hAnsiTheme="minorEastAsia" w:eastAsiaTheme="minorEastAsia"/>
          <w:sz w:val="24"/>
          <w:u w:val="single"/>
        </w:rPr>
      </w:pPr>
      <w:r>
        <w:rPr>
          <w:rFonts w:hint="eastAsia" w:asciiTheme="minorEastAsia" w:hAnsiTheme="minorEastAsia" w:eastAsiaTheme="minorEastAsia"/>
          <w:sz w:val="24"/>
        </w:rPr>
        <w:t>22.1.2对承包人违约的处理：</w:t>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r>
        <w:rPr>
          <w:rFonts w:hint="eastAsia" w:asciiTheme="minorEastAsia" w:hAnsiTheme="minorEastAsia" w:eastAsiaTheme="minorEastAsia"/>
          <w:sz w:val="24"/>
          <w:u w:val="single"/>
        </w:rPr>
        <w:tab/>
      </w:r>
    </w:p>
    <w:p>
      <w:pPr>
        <w:pStyle w:val="32"/>
        <w:snapToGrid w:val="0"/>
        <w:spacing w:line="300" w:lineRule="auto"/>
        <w:jc w:val="center"/>
        <w:rPr>
          <w:rFonts w:ascii="黑体" w:eastAsia="黑体"/>
          <w:bCs/>
          <w:color w:val="auto"/>
          <w:sz w:val="36"/>
          <w:szCs w:val="36"/>
        </w:rPr>
      </w:pPr>
    </w:p>
    <w:p>
      <w:pPr>
        <w:pStyle w:val="32"/>
        <w:snapToGrid w:val="0"/>
        <w:spacing w:line="300" w:lineRule="auto"/>
        <w:jc w:val="center"/>
        <w:rPr>
          <w:rFonts w:ascii="黑体" w:eastAsia="黑体"/>
          <w:bCs/>
          <w:color w:val="auto"/>
          <w:sz w:val="36"/>
          <w:szCs w:val="36"/>
        </w:rPr>
      </w:pPr>
      <w:r>
        <w:rPr>
          <w:rFonts w:ascii="黑体" w:eastAsia="黑体"/>
          <w:bCs/>
          <w:color w:val="auto"/>
          <w:sz w:val="36"/>
          <w:szCs w:val="36"/>
        </w:rPr>
        <w:t>第三节 合同附件格式</w:t>
      </w:r>
    </w:p>
    <w:bookmarkEnd w:id="217"/>
    <w:p>
      <w:pPr>
        <w:adjustRightInd w:val="0"/>
        <w:snapToGrid w:val="0"/>
        <w:spacing w:line="360" w:lineRule="auto"/>
        <w:rPr>
          <w:rFonts w:ascii="黑体" w:eastAsia="黑体"/>
          <w:sz w:val="24"/>
          <w:u w:val="single"/>
        </w:rPr>
      </w:pPr>
      <w:r>
        <w:rPr>
          <w:rFonts w:hint="eastAsia" w:ascii="黑体" w:eastAsia="黑体"/>
          <w:sz w:val="24"/>
        </w:rPr>
        <w:t>附件一：合同协议书</w:t>
      </w:r>
    </w:p>
    <w:p>
      <w:pPr>
        <w:adjustRightInd w:val="0"/>
        <w:snapToGrid w:val="0"/>
        <w:spacing w:beforeLines="100" w:afterLines="100" w:line="360" w:lineRule="auto"/>
        <w:jc w:val="center"/>
        <w:rPr>
          <w:rFonts w:ascii="黑体" w:eastAsia="黑体"/>
          <w:sz w:val="28"/>
          <w:szCs w:val="28"/>
        </w:rPr>
      </w:pPr>
      <w:r>
        <w:rPr>
          <w:rFonts w:hint="eastAsia" w:ascii="黑体" w:eastAsia="黑体"/>
          <w:sz w:val="28"/>
          <w:szCs w:val="28"/>
        </w:rPr>
        <w:t>合 同 协 议 书</w:t>
      </w:r>
    </w:p>
    <w:p>
      <w:pPr>
        <w:adjustRightInd w:val="0"/>
        <w:snapToGrid w:val="0"/>
        <w:spacing w:line="360" w:lineRule="auto"/>
        <w:ind w:firstLine="720" w:firstLineChars="300"/>
        <w:rPr>
          <w:sz w:val="24"/>
        </w:rPr>
      </w:pPr>
      <w:r>
        <w:rPr>
          <w:sz w:val="24"/>
        </w:rPr>
        <w:t>（发包</w:t>
      </w:r>
      <w:r>
        <w:rPr>
          <w:rFonts w:hint="eastAsia"/>
          <w:sz w:val="24"/>
        </w:rPr>
        <w:t>人名</w:t>
      </w:r>
      <w:r>
        <w:rPr>
          <w:sz w:val="24"/>
        </w:rPr>
        <w:t>称，以下</w:t>
      </w:r>
      <w:r>
        <w:rPr>
          <w:rFonts w:hint="eastAsia"/>
          <w:sz w:val="24"/>
        </w:rPr>
        <w:t>简称“发包</w:t>
      </w:r>
      <w:r>
        <w:rPr>
          <w:sz w:val="24"/>
        </w:rPr>
        <w:t>人</w:t>
      </w:r>
      <w:r>
        <w:rPr>
          <w:rFonts w:hint="eastAsia"/>
          <w:sz w:val="24"/>
        </w:rPr>
        <w:t>”）</w:t>
      </w:r>
      <w:r>
        <w:rPr>
          <w:sz w:val="24"/>
        </w:rPr>
        <w:t>为实施（项目名称），已接受（承包人名称，以下简称“承包人”）对该项目</w:t>
      </w:r>
      <w:r>
        <w:rPr>
          <w:rFonts w:hint="eastAsia" w:asciiTheme="minorEastAsia" w:hAnsiTheme="minorEastAsia" w:eastAsiaTheme="minorEastAsia"/>
          <w:sz w:val="24"/>
        </w:rPr>
        <w:t>标段</w:t>
      </w:r>
      <w:r>
        <w:rPr>
          <w:sz w:val="24"/>
        </w:rPr>
        <w:t>施工的投标。发包人和承包人共同达成如下协议。</w:t>
      </w:r>
    </w:p>
    <w:p>
      <w:pPr>
        <w:adjustRightInd w:val="0"/>
        <w:snapToGrid w:val="0"/>
        <w:spacing w:line="360" w:lineRule="auto"/>
        <w:ind w:firstLine="480" w:firstLineChars="200"/>
        <w:rPr>
          <w:sz w:val="24"/>
        </w:rPr>
      </w:pPr>
      <w:r>
        <w:rPr>
          <w:sz w:val="24"/>
        </w:rPr>
        <w:t>1</w:t>
      </w:r>
      <w:r>
        <w:rPr>
          <w:rFonts w:hint="eastAsia"/>
          <w:sz w:val="24"/>
        </w:rPr>
        <w:t>．</w:t>
      </w:r>
      <w:r>
        <w:rPr>
          <w:sz w:val="24"/>
        </w:rPr>
        <w:t>第标段由K＋至K十，长约km，技术标准级，路面。有立交处；大中桥座，计长</w:t>
      </w:r>
      <w:r>
        <w:rPr>
          <w:rFonts w:hint="eastAsia"/>
          <w:sz w:val="24"/>
        </w:rPr>
        <w:t>m</w:t>
      </w:r>
      <w:r>
        <w:rPr>
          <w:sz w:val="24"/>
        </w:rPr>
        <w:t>；隧道座，计长</w:t>
      </w:r>
      <w:r>
        <w:rPr>
          <w:rFonts w:hint="eastAsia"/>
          <w:sz w:val="24"/>
        </w:rPr>
        <w:t>m</w:t>
      </w:r>
      <w:r>
        <w:rPr>
          <w:sz w:val="24"/>
        </w:rPr>
        <w:t>以及其他构造物工程等。</w:t>
      </w:r>
    </w:p>
    <w:p>
      <w:pPr>
        <w:adjustRightInd w:val="0"/>
        <w:snapToGrid w:val="0"/>
        <w:spacing w:line="360" w:lineRule="auto"/>
        <w:ind w:firstLine="480" w:firstLineChars="200"/>
        <w:rPr>
          <w:sz w:val="24"/>
        </w:rPr>
      </w:pPr>
      <w:r>
        <w:rPr>
          <w:sz w:val="24"/>
        </w:rPr>
        <w:t>2</w:t>
      </w:r>
      <w:r>
        <w:rPr>
          <w:rFonts w:hint="eastAsia"/>
          <w:sz w:val="24"/>
        </w:rPr>
        <w:t>．</w:t>
      </w:r>
      <w:r>
        <w:rPr>
          <w:sz w:val="24"/>
        </w:rPr>
        <w:t>下列文件应视为构成合同文件的组成部分：</w:t>
      </w:r>
    </w:p>
    <w:p>
      <w:pPr>
        <w:adjustRightInd w:val="0"/>
        <w:snapToGrid w:val="0"/>
        <w:spacing w:line="360" w:lineRule="auto"/>
        <w:ind w:left="1079" w:leftChars="228" w:hanging="600" w:hangingChars="250"/>
        <w:rPr>
          <w:sz w:val="24"/>
        </w:rPr>
      </w:pPr>
      <w:r>
        <w:rPr>
          <w:sz w:val="24"/>
        </w:rPr>
        <w:t>（1</w:t>
      </w:r>
      <w:r>
        <w:rPr>
          <w:rFonts w:hint="eastAsia"/>
          <w:sz w:val="24"/>
        </w:rPr>
        <w:t>）</w:t>
      </w:r>
      <w:r>
        <w:rPr>
          <w:sz w:val="24"/>
        </w:rPr>
        <w:t>本协议书及各种合同附件（含评标期间和合同谈判过程中的澄清文件和补充资料）；</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中标通知书；</w:t>
      </w:r>
    </w:p>
    <w:p>
      <w:pPr>
        <w:adjustRightInd w:val="0"/>
        <w:snapToGrid w:val="0"/>
        <w:spacing w:line="360" w:lineRule="auto"/>
        <w:ind w:firstLine="480" w:firstLineChars="200"/>
        <w:rPr>
          <w:sz w:val="24"/>
        </w:rPr>
      </w:pPr>
      <w:r>
        <w:rPr>
          <w:sz w:val="24"/>
        </w:rPr>
        <w:t>（3</w:t>
      </w:r>
      <w:r>
        <w:rPr>
          <w:rFonts w:hint="eastAsia"/>
          <w:sz w:val="24"/>
        </w:rPr>
        <w:t>）</w:t>
      </w:r>
      <w:r>
        <w:rPr>
          <w:sz w:val="24"/>
        </w:rPr>
        <w:t>补遗书；</w:t>
      </w:r>
    </w:p>
    <w:p>
      <w:pPr>
        <w:adjustRightInd w:val="0"/>
        <w:snapToGrid w:val="0"/>
        <w:spacing w:line="360" w:lineRule="auto"/>
        <w:ind w:firstLine="480" w:firstLineChars="200"/>
        <w:rPr>
          <w:sz w:val="24"/>
        </w:rPr>
      </w:pPr>
      <w:r>
        <w:rPr>
          <w:rFonts w:hint="eastAsia"/>
          <w:sz w:val="24"/>
        </w:rPr>
        <w:t>（</w:t>
      </w:r>
      <w:r>
        <w:rPr>
          <w:sz w:val="24"/>
        </w:rPr>
        <w:t>4</w:t>
      </w:r>
      <w:r>
        <w:rPr>
          <w:rFonts w:hint="eastAsia"/>
          <w:sz w:val="24"/>
        </w:rPr>
        <w:t>）</w:t>
      </w:r>
      <w:r>
        <w:rPr>
          <w:sz w:val="24"/>
        </w:rPr>
        <w:t>投标函及投标函附录；</w:t>
      </w:r>
    </w:p>
    <w:p>
      <w:pPr>
        <w:adjustRightInd w:val="0"/>
        <w:snapToGrid w:val="0"/>
        <w:spacing w:line="360" w:lineRule="auto"/>
        <w:ind w:firstLine="480" w:firstLineChars="200"/>
        <w:rPr>
          <w:sz w:val="24"/>
        </w:rPr>
      </w:pPr>
      <w:r>
        <w:rPr>
          <w:rFonts w:hint="eastAsia"/>
          <w:sz w:val="24"/>
        </w:rPr>
        <w:t>（</w:t>
      </w:r>
      <w:r>
        <w:rPr>
          <w:sz w:val="24"/>
        </w:rPr>
        <w:t>5）项目专用合同条款；</w:t>
      </w:r>
    </w:p>
    <w:p>
      <w:pPr>
        <w:adjustRightInd w:val="0"/>
        <w:snapToGrid w:val="0"/>
        <w:spacing w:line="360" w:lineRule="auto"/>
        <w:ind w:firstLine="480" w:firstLineChars="200"/>
        <w:rPr>
          <w:sz w:val="24"/>
        </w:rPr>
      </w:pPr>
      <w:r>
        <w:rPr>
          <w:rFonts w:hint="eastAsia"/>
          <w:sz w:val="24"/>
        </w:rPr>
        <w:t>（</w:t>
      </w:r>
      <w:r>
        <w:rPr>
          <w:sz w:val="24"/>
        </w:rPr>
        <w:t>6</w:t>
      </w:r>
      <w:r>
        <w:rPr>
          <w:rFonts w:hint="eastAsia"/>
          <w:sz w:val="24"/>
        </w:rPr>
        <w:t>）</w:t>
      </w:r>
      <w:r>
        <w:rPr>
          <w:sz w:val="24"/>
        </w:rPr>
        <w:t>公路行业标准专用合同条款；</w:t>
      </w:r>
    </w:p>
    <w:p>
      <w:pPr>
        <w:adjustRightInd w:val="0"/>
        <w:snapToGrid w:val="0"/>
        <w:spacing w:line="360" w:lineRule="auto"/>
        <w:ind w:firstLine="480" w:firstLineChars="200"/>
        <w:rPr>
          <w:sz w:val="24"/>
        </w:rPr>
      </w:pPr>
      <w:r>
        <w:rPr>
          <w:rFonts w:hint="eastAsia"/>
          <w:sz w:val="24"/>
        </w:rPr>
        <w:t>（</w:t>
      </w:r>
      <w:r>
        <w:rPr>
          <w:sz w:val="24"/>
        </w:rPr>
        <w:t>7</w:t>
      </w:r>
      <w:r>
        <w:rPr>
          <w:rFonts w:hint="eastAsia"/>
          <w:sz w:val="24"/>
        </w:rPr>
        <w:t>）</w:t>
      </w:r>
      <w:r>
        <w:rPr>
          <w:sz w:val="24"/>
        </w:rPr>
        <w:t>通用合同条款；</w:t>
      </w:r>
    </w:p>
    <w:p>
      <w:pPr>
        <w:adjustRightInd w:val="0"/>
        <w:snapToGrid w:val="0"/>
        <w:spacing w:line="360" w:lineRule="auto"/>
        <w:ind w:firstLine="480" w:firstLineChars="200"/>
        <w:rPr>
          <w:sz w:val="24"/>
        </w:rPr>
      </w:pPr>
      <w:r>
        <w:rPr>
          <w:sz w:val="24"/>
        </w:rPr>
        <w:t>（8）技术规范；</w:t>
      </w:r>
    </w:p>
    <w:p>
      <w:pPr>
        <w:adjustRightInd w:val="0"/>
        <w:snapToGrid w:val="0"/>
        <w:spacing w:line="360" w:lineRule="auto"/>
        <w:ind w:firstLine="480" w:firstLineChars="200"/>
        <w:rPr>
          <w:sz w:val="24"/>
        </w:rPr>
      </w:pPr>
      <w:r>
        <w:rPr>
          <w:sz w:val="24"/>
        </w:rPr>
        <w:t>（9）图纸；</w:t>
      </w:r>
    </w:p>
    <w:p>
      <w:pPr>
        <w:adjustRightInd w:val="0"/>
        <w:snapToGrid w:val="0"/>
        <w:spacing w:line="360" w:lineRule="auto"/>
        <w:ind w:firstLine="480" w:firstLineChars="200"/>
        <w:rPr>
          <w:sz w:val="24"/>
        </w:rPr>
      </w:pPr>
      <w:r>
        <w:rPr>
          <w:sz w:val="24"/>
        </w:rPr>
        <w:t>（10）已标价工程量清单；</w:t>
      </w:r>
    </w:p>
    <w:p>
      <w:pPr>
        <w:adjustRightInd w:val="0"/>
        <w:snapToGrid w:val="0"/>
        <w:spacing w:line="360" w:lineRule="auto"/>
        <w:ind w:firstLine="480" w:firstLineChars="200"/>
        <w:rPr>
          <w:sz w:val="24"/>
        </w:rPr>
      </w:pPr>
      <w:r>
        <w:rPr>
          <w:rFonts w:hint="eastAsia"/>
          <w:sz w:val="24"/>
        </w:rPr>
        <w:t>（</w:t>
      </w:r>
      <w:r>
        <w:rPr>
          <w:sz w:val="24"/>
        </w:rPr>
        <w:t>11</w:t>
      </w:r>
      <w:r>
        <w:rPr>
          <w:rFonts w:hint="eastAsia"/>
          <w:sz w:val="24"/>
        </w:rPr>
        <w:t>）</w:t>
      </w:r>
      <w:r>
        <w:rPr>
          <w:sz w:val="24"/>
        </w:rPr>
        <w:t>资格预审申请文件中有关人员、设备投入的承诺</w:t>
      </w:r>
      <w:r>
        <w:rPr>
          <w:rFonts w:hint="eastAsia"/>
          <w:sz w:val="24"/>
        </w:rPr>
        <w:t>和目标承诺书；</w:t>
      </w:r>
    </w:p>
    <w:p>
      <w:pPr>
        <w:adjustRightInd w:val="0"/>
        <w:snapToGrid w:val="0"/>
        <w:spacing w:line="360" w:lineRule="auto"/>
        <w:ind w:firstLine="480" w:firstLineChars="200"/>
        <w:rPr>
          <w:sz w:val="24"/>
        </w:rPr>
      </w:pPr>
      <w:r>
        <w:rPr>
          <w:rFonts w:hint="eastAsia"/>
          <w:sz w:val="24"/>
        </w:rPr>
        <w:t>（12）根据承诺提供的详细人员、设备清单；</w:t>
      </w:r>
    </w:p>
    <w:p>
      <w:pPr>
        <w:adjustRightInd w:val="0"/>
        <w:snapToGrid w:val="0"/>
        <w:spacing w:line="360" w:lineRule="auto"/>
        <w:ind w:firstLine="480" w:firstLineChars="200"/>
        <w:rPr>
          <w:sz w:val="24"/>
        </w:rPr>
      </w:pPr>
      <w:r>
        <w:rPr>
          <w:sz w:val="24"/>
        </w:rPr>
        <w:t>（1</w:t>
      </w:r>
      <w:r>
        <w:rPr>
          <w:rFonts w:hint="eastAsia"/>
          <w:sz w:val="24"/>
        </w:rPr>
        <w:t>3</w:t>
      </w:r>
      <w:r>
        <w:rPr>
          <w:sz w:val="24"/>
        </w:rPr>
        <w:t>）施工组织设计安排；</w:t>
      </w:r>
    </w:p>
    <w:p>
      <w:pPr>
        <w:adjustRightInd w:val="0"/>
        <w:snapToGrid w:val="0"/>
        <w:spacing w:line="360" w:lineRule="auto"/>
        <w:ind w:firstLine="480" w:firstLineChars="200"/>
        <w:rPr>
          <w:sz w:val="24"/>
        </w:rPr>
      </w:pPr>
      <w:r>
        <w:rPr>
          <w:sz w:val="24"/>
        </w:rPr>
        <w:t>（1</w:t>
      </w:r>
      <w:r>
        <w:rPr>
          <w:rFonts w:hint="eastAsia"/>
          <w:sz w:val="24"/>
        </w:rPr>
        <w:t>4</w:t>
      </w:r>
      <w:r>
        <w:rPr>
          <w:sz w:val="24"/>
        </w:rPr>
        <w:t>）</w:t>
      </w:r>
      <w:r>
        <w:rPr>
          <w:rFonts w:hint="eastAsia"/>
          <w:sz w:val="24"/>
        </w:rPr>
        <w:t>农民工工资支付承诺书</w:t>
      </w:r>
      <w:r>
        <w:rPr>
          <w:sz w:val="24"/>
        </w:rPr>
        <w:t>；</w:t>
      </w:r>
    </w:p>
    <w:p>
      <w:pPr>
        <w:adjustRightInd w:val="0"/>
        <w:snapToGrid w:val="0"/>
        <w:spacing w:line="360" w:lineRule="auto"/>
        <w:ind w:firstLine="480" w:firstLineChars="200"/>
        <w:rPr>
          <w:sz w:val="24"/>
        </w:rPr>
      </w:pPr>
      <w:r>
        <w:rPr>
          <w:rFonts w:hint="eastAsia"/>
          <w:sz w:val="24"/>
        </w:rPr>
        <w:t>（15）扬尘治理专项承诺书；</w:t>
      </w:r>
    </w:p>
    <w:p>
      <w:pPr>
        <w:adjustRightInd w:val="0"/>
        <w:snapToGrid w:val="0"/>
        <w:spacing w:line="360" w:lineRule="auto"/>
        <w:ind w:firstLine="480" w:firstLineChars="200"/>
        <w:rPr>
          <w:sz w:val="24"/>
        </w:rPr>
      </w:pPr>
      <w:r>
        <w:rPr>
          <w:sz w:val="24"/>
        </w:rPr>
        <w:t>（1</w:t>
      </w:r>
      <w:r>
        <w:rPr>
          <w:rFonts w:hint="eastAsia"/>
          <w:sz w:val="24"/>
        </w:rPr>
        <w:t>6</w:t>
      </w:r>
      <w:r>
        <w:rPr>
          <w:sz w:val="24"/>
        </w:rPr>
        <w:t>）其他合同文件。</w:t>
      </w:r>
    </w:p>
    <w:p>
      <w:pPr>
        <w:adjustRightInd w:val="0"/>
        <w:snapToGrid w:val="0"/>
        <w:spacing w:line="360" w:lineRule="auto"/>
        <w:ind w:firstLine="480" w:firstLineChars="200"/>
        <w:rPr>
          <w:sz w:val="24"/>
        </w:rPr>
      </w:pPr>
      <w:r>
        <w:rPr>
          <w:sz w:val="24"/>
        </w:rPr>
        <w:t>3</w:t>
      </w:r>
      <w:r>
        <w:rPr>
          <w:rFonts w:hint="eastAsia"/>
          <w:sz w:val="24"/>
        </w:rPr>
        <w:t>．</w:t>
      </w:r>
      <w:r>
        <w:rPr>
          <w:sz w:val="24"/>
        </w:rPr>
        <w:t>上述文件互相补充和解释，如有不明确或不一致之处，以合同约定次序在先者为准。</w:t>
      </w:r>
    </w:p>
    <w:p>
      <w:pPr>
        <w:adjustRightInd w:val="0"/>
        <w:snapToGrid w:val="0"/>
        <w:spacing w:line="360" w:lineRule="auto"/>
        <w:ind w:firstLine="480" w:firstLineChars="200"/>
        <w:rPr>
          <w:sz w:val="24"/>
        </w:rPr>
      </w:pPr>
      <w:r>
        <w:rPr>
          <w:sz w:val="24"/>
        </w:rPr>
        <w:t>4</w:t>
      </w:r>
      <w:r>
        <w:rPr>
          <w:rFonts w:hint="eastAsia"/>
          <w:sz w:val="24"/>
        </w:rPr>
        <w:t>．</w:t>
      </w:r>
      <w:r>
        <w:rPr>
          <w:sz w:val="24"/>
        </w:rPr>
        <w:t>根据工程量清单所列的预计数量和单价或总额价计算的签约合同价：人民币（大写）元（￥</w:t>
      </w:r>
      <w:r>
        <w:rPr>
          <w:rFonts w:hint="eastAsia"/>
          <w:sz w:val="24"/>
        </w:rPr>
        <w:t>）。</w:t>
      </w:r>
    </w:p>
    <w:p>
      <w:pPr>
        <w:adjustRightInd w:val="0"/>
        <w:snapToGrid w:val="0"/>
        <w:spacing w:line="360" w:lineRule="auto"/>
        <w:ind w:firstLine="480" w:firstLineChars="200"/>
        <w:rPr>
          <w:sz w:val="24"/>
        </w:rPr>
      </w:pPr>
      <w:r>
        <w:rPr>
          <w:sz w:val="24"/>
        </w:rPr>
        <w:t>5</w:t>
      </w:r>
      <w:r>
        <w:rPr>
          <w:rFonts w:hint="eastAsia"/>
          <w:sz w:val="24"/>
        </w:rPr>
        <w:t>．</w:t>
      </w:r>
      <w:r>
        <w:rPr>
          <w:sz w:val="24"/>
        </w:rPr>
        <w:t>承包人项目经理：。技术负责人：。</w:t>
      </w:r>
    </w:p>
    <w:p>
      <w:pPr>
        <w:adjustRightInd w:val="0"/>
        <w:snapToGrid w:val="0"/>
        <w:spacing w:line="360" w:lineRule="auto"/>
        <w:ind w:firstLine="480" w:firstLineChars="200"/>
        <w:rPr>
          <w:sz w:val="24"/>
        </w:rPr>
      </w:pPr>
      <w:r>
        <w:rPr>
          <w:sz w:val="24"/>
        </w:rPr>
        <w:t>6</w:t>
      </w:r>
      <w:r>
        <w:rPr>
          <w:rFonts w:hint="eastAsia"/>
          <w:sz w:val="24"/>
        </w:rPr>
        <w:t>．</w:t>
      </w:r>
      <w:r>
        <w:rPr>
          <w:sz w:val="24"/>
        </w:rPr>
        <w:t>工程质量符合标准。</w:t>
      </w:r>
    </w:p>
    <w:p>
      <w:pPr>
        <w:adjustRightInd w:val="0"/>
        <w:snapToGrid w:val="0"/>
        <w:spacing w:line="360" w:lineRule="auto"/>
        <w:ind w:firstLine="480" w:firstLineChars="200"/>
        <w:rPr>
          <w:sz w:val="24"/>
        </w:rPr>
      </w:pPr>
      <w:r>
        <w:rPr>
          <w:sz w:val="24"/>
        </w:rPr>
        <w:t>7．承包人承诺按合同约定承担工程的实施、完成及缺陷修复。</w:t>
      </w:r>
    </w:p>
    <w:p>
      <w:pPr>
        <w:adjustRightInd w:val="0"/>
        <w:snapToGrid w:val="0"/>
        <w:spacing w:line="360" w:lineRule="auto"/>
        <w:ind w:firstLine="480" w:firstLineChars="200"/>
        <w:rPr>
          <w:sz w:val="24"/>
        </w:rPr>
      </w:pPr>
      <w:r>
        <w:rPr>
          <w:rFonts w:hint="eastAsia"/>
          <w:sz w:val="24"/>
        </w:rPr>
        <w:t>8．</w:t>
      </w:r>
      <w:r>
        <w:rPr>
          <w:sz w:val="24"/>
        </w:rPr>
        <w:t>发包人承诺按合同约定的条件、时间和方式向承包人支付合同价款。</w:t>
      </w:r>
    </w:p>
    <w:p>
      <w:pPr>
        <w:adjustRightInd w:val="0"/>
        <w:snapToGrid w:val="0"/>
        <w:spacing w:line="360" w:lineRule="auto"/>
        <w:ind w:firstLine="480" w:firstLineChars="200"/>
        <w:rPr>
          <w:sz w:val="24"/>
        </w:rPr>
      </w:pPr>
      <w:r>
        <w:rPr>
          <w:sz w:val="24"/>
        </w:rPr>
        <w:t>9</w:t>
      </w:r>
      <w:r>
        <w:rPr>
          <w:rFonts w:hint="eastAsia"/>
          <w:sz w:val="24"/>
        </w:rPr>
        <w:t>．</w:t>
      </w:r>
      <w:r>
        <w:rPr>
          <w:sz w:val="24"/>
        </w:rPr>
        <w:t>承包人应按照监理人指示开工，工期为日历天。</w:t>
      </w:r>
    </w:p>
    <w:p>
      <w:pPr>
        <w:adjustRightInd w:val="0"/>
        <w:snapToGrid w:val="0"/>
        <w:spacing w:line="360" w:lineRule="auto"/>
        <w:ind w:firstLine="480" w:firstLineChars="200"/>
        <w:rPr>
          <w:sz w:val="24"/>
        </w:rPr>
      </w:pPr>
      <w:r>
        <w:rPr>
          <w:sz w:val="24"/>
        </w:rPr>
        <w:t>10</w:t>
      </w:r>
      <w:r>
        <w:rPr>
          <w:rFonts w:hint="eastAsia"/>
          <w:sz w:val="24"/>
        </w:rPr>
        <w:t>．</w:t>
      </w:r>
      <w:r>
        <w:rPr>
          <w:sz w:val="24"/>
        </w:rPr>
        <w:t>本协议书在承包人提供履约担保后，由双方法定代表人或其委托代理人签署与加盖公章后生效。全部工程完工后经竣工验收合格、缺陷责任期满及保修期终止分别签发缺陷责任终止证书及保修期终止证书后失效。</w:t>
      </w:r>
    </w:p>
    <w:p>
      <w:pPr>
        <w:adjustRightInd w:val="0"/>
        <w:snapToGrid w:val="0"/>
        <w:spacing w:line="360" w:lineRule="auto"/>
        <w:ind w:firstLine="480" w:firstLineChars="200"/>
        <w:rPr>
          <w:sz w:val="24"/>
        </w:rPr>
      </w:pPr>
      <w:r>
        <w:rPr>
          <w:sz w:val="24"/>
        </w:rPr>
        <w:t>11．本协议书正本二份、副本</w:t>
      </w:r>
      <w:r>
        <w:rPr>
          <w:rFonts w:hint="eastAsia"/>
          <w:sz w:val="24"/>
        </w:rPr>
        <w:t xml:space="preserve"> </w:t>
      </w:r>
      <w:r>
        <w:rPr>
          <w:sz w:val="24"/>
        </w:rPr>
        <w:t>份，合同双方各执正本一份，副本</w:t>
      </w:r>
      <w:r>
        <w:rPr>
          <w:rFonts w:hint="eastAsia"/>
          <w:sz w:val="24"/>
        </w:rPr>
        <w:t xml:space="preserve"> </w:t>
      </w:r>
      <w:r>
        <w:rPr>
          <w:sz w:val="24"/>
        </w:rPr>
        <w:t>份，当正本与副本的内容不一致时，以正本为准。</w:t>
      </w:r>
    </w:p>
    <w:p>
      <w:pPr>
        <w:adjustRightInd w:val="0"/>
        <w:snapToGrid w:val="0"/>
        <w:spacing w:line="360" w:lineRule="auto"/>
        <w:ind w:firstLine="480" w:firstLineChars="200"/>
        <w:rPr>
          <w:sz w:val="24"/>
        </w:rPr>
      </w:pPr>
      <w:r>
        <w:rPr>
          <w:sz w:val="24"/>
        </w:rPr>
        <w:t>12</w:t>
      </w:r>
      <w:r>
        <w:rPr>
          <w:rFonts w:hint="eastAsia"/>
          <w:sz w:val="24"/>
        </w:rPr>
        <w:t>．</w:t>
      </w:r>
      <w:r>
        <w:rPr>
          <w:sz w:val="24"/>
        </w:rPr>
        <w:t>合同未尽事宜，双方另行签订补充协议。补充协议是合同的组成部分。</w:t>
      </w:r>
    </w:p>
    <w:p>
      <w:pPr>
        <w:adjustRightInd w:val="0"/>
        <w:snapToGrid w:val="0"/>
        <w:spacing w:line="360" w:lineRule="auto"/>
        <w:ind w:firstLine="480" w:firstLineChars="200"/>
        <w:rPr>
          <w:sz w:val="24"/>
        </w:rPr>
      </w:pPr>
    </w:p>
    <w:p>
      <w:pPr>
        <w:adjustRightInd w:val="0"/>
        <w:snapToGrid w:val="0"/>
        <w:spacing w:line="360" w:lineRule="auto"/>
        <w:rPr>
          <w:sz w:val="24"/>
        </w:rPr>
      </w:pPr>
      <w:r>
        <w:rPr>
          <w:sz w:val="24"/>
        </w:rPr>
        <w:t>发包人：（盖单位公章）承包人：（盖单位公章）</w:t>
      </w:r>
    </w:p>
    <w:p>
      <w:pPr>
        <w:adjustRightInd w:val="0"/>
        <w:snapToGrid w:val="0"/>
        <w:spacing w:line="360" w:lineRule="auto"/>
        <w:rPr>
          <w:sz w:val="24"/>
        </w:rPr>
      </w:pPr>
      <w:r>
        <w:rPr>
          <w:sz w:val="24"/>
        </w:rPr>
        <w:t>法定代表人或其委托代理人：</w:t>
      </w:r>
      <w:r>
        <w:rPr>
          <w:rFonts w:hint="eastAsia"/>
          <w:sz w:val="24"/>
        </w:rPr>
        <w:t>（</w:t>
      </w:r>
      <w:r>
        <w:rPr>
          <w:sz w:val="24"/>
        </w:rPr>
        <w:t>签字）法定代表人或其委托代理人：</w:t>
      </w:r>
      <w:r>
        <w:rPr>
          <w:rFonts w:hint="eastAsia"/>
          <w:sz w:val="24"/>
        </w:rPr>
        <w:t>（</w:t>
      </w:r>
      <w:r>
        <w:rPr>
          <w:sz w:val="24"/>
        </w:rPr>
        <w:t>签字）</w:t>
      </w:r>
    </w:p>
    <w:p>
      <w:pPr>
        <w:adjustRightInd w:val="0"/>
        <w:snapToGrid w:val="0"/>
        <w:spacing w:line="360" w:lineRule="auto"/>
        <w:ind w:firstLine="480" w:firstLineChars="200"/>
        <w:rPr>
          <w:sz w:val="24"/>
        </w:rPr>
      </w:pPr>
      <w:r>
        <w:rPr>
          <w:sz w:val="24"/>
        </w:rPr>
        <w:t>年月日年月日</w:t>
      </w: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rPr>
          <w:sz w:val="24"/>
        </w:rPr>
      </w:pPr>
    </w:p>
    <w:p>
      <w:pPr>
        <w:pageBreakBefore/>
        <w:adjustRightInd w:val="0"/>
        <w:snapToGrid w:val="0"/>
        <w:spacing w:line="360" w:lineRule="auto"/>
        <w:rPr>
          <w:rFonts w:ascii="黑体" w:eastAsia="黑体"/>
          <w:sz w:val="24"/>
        </w:rPr>
      </w:pPr>
      <w:r>
        <w:rPr>
          <w:rFonts w:hint="eastAsia" w:ascii="黑体" w:eastAsia="黑体"/>
          <w:sz w:val="24"/>
        </w:rPr>
        <w:t>附件二：廉政合同</w:t>
      </w:r>
    </w:p>
    <w:p>
      <w:pPr>
        <w:adjustRightInd w:val="0"/>
        <w:snapToGrid w:val="0"/>
        <w:spacing w:afterLines="50" w:line="360" w:lineRule="auto"/>
        <w:jc w:val="center"/>
        <w:rPr>
          <w:rFonts w:ascii="黑体" w:eastAsia="黑体"/>
          <w:sz w:val="28"/>
          <w:szCs w:val="28"/>
        </w:rPr>
      </w:pPr>
      <w:r>
        <w:rPr>
          <w:rFonts w:hint="eastAsia" w:ascii="黑体" w:eastAsia="黑体"/>
          <w:sz w:val="28"/>
          <w:szCs w:val="28"/>
        </w:rPr>
        <w:t>廉 政 合 同</w:t>
      </w:r>
    </w:p>
    <w:p>
      <w:pPr>
        <w:adjustRightInd w:val="0"/>
        <w:snapToGrid w:val="0"/>
        <w:spacing w:line="360" w:lineRule="auto"/>
        <w:ind w:firstLine="480" w:firstLineChars="200"/>
        <w:rPr>
          <w:sz w:val="24"/>
        </w:rPr>
      </w:pPr>
      <w:r>
        <w:rPr>
          <w:sz w:val="24"/>
        </w:rPr>
        <w:t>根据交通部《关于在交通基础设施建设中加强廉政建设的若干意见》以及有关工程建设、廉政建设的规定，为做好工程建设中的党风廉政建设，保证工程建设高效优质，保证建设资金的安全和有效使用以及投资效益，建设工程的项目法人</w:t>
      </w:r>
      <w:r>
        <w:rPr>
          <w:rFonts w:hint="eastAsia"/>
          <w:sz w:val="24"/>
          <w:u w:val="single"/>
        </w:rPr>
        <w:t>（全称）</w:t>
      </w:r>
      <w:r>
        <w:rPr>
          <w:sz w:val="24"/>
        </w:rPr>
        <w:t>（以下简称“甲方”）与施工单位</w:t>
      </w:r>
      <w:r>
        <w:rPr>
          <w:rFonts w:hint="eastAsia"/>
          <w:sz w:val="24"/>
          <w:u w:val="single"/>
        </w:rPr>
        <w:t>（全称）</w:t>
      </w:r>
      <w:r>
        <w:rPr>
          <w:sz w:val="24"/>
        </w:rPr>
        <w:t>（以下简称“乙方”），特订立如下合同。</w:t>
      </w:r>
    </w:p>
    <w:p>
      <w:pPr>
        <w:adjustRightInd w:val="0"/>
        <w:snapToGrid w:val="0"/>
        <w:spacing w:line="360" w:lineRule="auto"/>
        <w:ind w:firstLine="480" w:firstLineChars="200"/>
        <w:rPr>
          <w:rFonts w:eastAsia="黑体"/>
          <w:sz w:val="24"/>
        </w:rPr>
      </w:pPr>
      <w:r>
        <w:rPr>
          <w:rFonts w:hint="eastAsia" w:eastAsia="黑体"/>
          <w:sz w:val="24"/>
        </w:rPr>
        <w:t>1．甲乙双方的权利和义务</w:t>
      </w:r>
    </w:p>
    <w:p>
      <w:pPr>
        <w:adjustRightInd w:val="0"/>
        <w:snapToGrid w:val="0"/>
        <w:spacing w:line="360" w:lineRule="auto"/>
        <w:ind w:firstLine="480" w:firstLineChars="200"/>
        <w:rPr>
          <w:sz w:val="24"/>
        </w:rPr>
      </w:pPr>
      <w:r>
        <w:rPr>
          <w:sz w:val="24"/>
        </w:rPr>
        <w:t>（1）严格遵守党的政策规定和国家有关法律法规及交通部的有关规定。</w:t>
      </w:r>
    </w:p>
    <w:p>
      <w:pPr>
        <w:adjustRightInd w:val="0"/>
        <w:snapToGrid w:val="0"/>
        <w:spacing w:line="360" w:lineRule="auto"/>
        <w:ind w:firstLine="480" w:firstLineChars="200"/>
        <w:rPr>
          <w:sz w:val="24"/>
        </w:rPr>
      </w:pPr>
      <w:r>
        <w:rPr>
          <w:sz w:val="24"/>
        </w:rPr>
        <w:t>（2</w:t>
      </w:r>
      <w:r>
        <w:rPr>
          <w:rFonts w:hint="eastAsia"/>
          <w:sz w:val="24"/>
        </w:rPr>
        <w:t>）</w:t>
      </w:r>
      <w:r>
        <w:rPr>
          <w:sz w:val="24"/>
        </w:rPr>
        <w:t>严格执行．（项目名称）工程的合同文件，自觉按合同办事。</w:t>
      </w:r>
    </w:p>
    <w:p>
      <w:pPr>
        <w:adjustRightInd w:val="0"/>
        <w:snapToGrid w:val="0"/>
        <w:spacing w:line="360" w:lineRule="auto"/>
        <w:ind w:firstLine="480" w:firstLineChars="200"/>
        <w:rPr>
          <w:sz w:val="24"/>
        </w:rPr>
      </w:pPr>
      <w:r>
        <w:rPr>
          <w:sz w:val="24"/>
        </w:rPr>
        <w:t>（3</w:t>
      </w:r>
      <w:r>
        <w:rPr>
          <w:rFonts w:hint="eastAsia"/>
          <w:sz w:val="24"/>
        </w:rPr>
        <w:t>）</w:t>
      </w:r>
      <w:r>
        <w:rPr>
          <w:sz w:val="24"/>
        </w:rPr>
        <w:t>双方的业务活动坚持公开、公正、诚信、透明的原则（法律认定的商业秘密和合同文件另有规定除外），不得损害国家和集体利益，违反工程建设管理规章制度。</w:t>
      </w:r>
    </w:p>
    <w:p>
      <w:pPr>
        <w:adjustRightInd w:val="0"/>
        <w:snapToGrid w:val="0"/>
        <w:spacing w:line="360" w:lineRule="auto"/>
        <w:ind w:firstLine="480" w:firstLineChars="200"/>
        <w:rPr>
          <w:sz w:val="24"/>
        </w:rPr>
      </w:pPr>
      <w:r>
        <w:rPr>
          <w:rFonts w:hint="eastAsia"/>
          <w:sz w:val="24"/>
        </w:rPr>
        <w:t>（4）</w:t>
      </w:r>
      <w:r>
        <w:rPr>
          <w:sz w:val="24"/>
        </w:rPr>
        <w:t>建立健全廉政制度，开展廉政教育，设立廉政告示牌，公布举报电话，监督并认真查处违法违纪行为。</w:t>
      </w:r>
    </w:p>
    <w:p>
      <w:pPr>
        <w:adjustRightInd w:val="0"/>
        <w:snapToGrid w:val="0"/>
        <w:spacing w:line="360" w:lineRule="auto"/>
        <w:ind w:firstLine="480" w:firstLineChars="200"/>
        <w:rPr>
          <w:sz w:val="24"/>
        </w:rPr>
      </w:pPr>
      <w:r>
        <w:rPr>
          <w:sz w:val="24"/>
        </w:rPr>
        <w:t>（5）发现对方在业务活动中有违反廉政规定的行为，有及时提醒对方纠正的权利和义务。</w:t>
      </w:r>
    </w:p>
    <w:p>
      <w:pPr>
        <w:adjustRightInd w:val="0"/>
        <w:snapToGrid w:val="0"/>
        <w:spacing w:line="360" w:lineRule="auto"/>
        <w:ind w:firstLine="480" w:firstLineChars="200"/>
        <w:rPr>
          <w:sz w:val="24"/>
        </w:rPr>
      </w:pPr>
      <w:r>
        <w:rPr>
          <w:sz w:val="24"/>
        </w:rPr>
        <w:t>（6）发现对方严重违反本合同义务条款的行为，有向其上级有关部门举报、建议给予处理并要求告知处理结果的权利；</w:t>
      </w:r>
    </w:p>
    <w:p>
      <w:pPr>
        <w:adjustRightInd w:val="0"/>
        <w:snapToGrid w:val="0"/>
        <w:spacing w:line="360" w:lineRule="auto"/>
        <w:ind w:firstLine="480" w:firstLineChars="200"/>
        <w:rPr>
          <w:rFonts w:eastAsia="黑体"/>
          <w:sz w:val="24"/>
        </w:rPr>
      </w:pPr>
      <w:r>
        <w:rPr>
          <w:rFonts w:eastAsia="黑体"/>
          <w:sz w:val="24"/>
        </w:rPr>
        <w:t>2．甲方的义务</w:t>
      </w:r>
    </w:p>
    <w:p>
      <w:pPr>
        <w:adjustRightInd w:val="0"/>
        <w:snapToGrid w:val="0"/>
        <w:spacing w:line="360" w:lineRule="auto"/>
        <w:ind w:firstLine="480" w:firstLineChars="200"/>
        <w:rPr>
          <w:sz w:val="24"/>
        </w:rPr>
      </w:pPr>
      <w:r>
        <w:rPr>
          <w:sz w:val="24"/>
        </w:rPr>
        <w:t>（1）甲方及其工作人员不得索要或接受乙方的礼金、有价证券和贵重物品，不得在乙方报销任何应由甲方或甲方工作人员个人支付的费用等。</w:t>
      </w:r>
    </w:p>
    <w:p>
      <w:pPr>
        <w:adjustRightInd w:val="0"/>
        <w:snapToGrid w:val="0"/>
        <w:spacing w:line="360" w:lineRule="auto"/>
        <w:ind w:firstLine="480" w:firstLineChars="200"/>
        <w:rPr>
          <w:sz w:val="24"/>
        </w:rPr>
      </w:pPr>
      <w:r>
        <w:rPr>
          <w:sz w:val="24"/>
        </w:rPr>
        <w:t>（2</w:t>
      </w:r>
      <w:r>
        <w:rPr>
          <w:rFonts w:hint="eastAsia"/>
          <w:sz w:val="24"/>
        </w:rPr>
        <w:t>）</w:t>
      </w:r>
      <w:r>
        <w:rPr>
          <w:sz w:val="24"/>
        </w:rPr>
        <w:t>甲方工作人员不得参加乙方安排的超标准宴请和娱乐活动；不得接受乙方提供的通讯工具、交通工具和高档办公用品等。</w:t>
      </w:r>
    </w:p>
    <w:p>
      <w:pPr>
        <w:adjustRightInd w:val="0"/>
        <w:snapToGrid w:val="0"/>
        <w:spacing w:line="360" w:lineRule="auto"/>
        <w:ind w:firstLine="480" w:firstLineChars="200"/>
        <w:rPr>
          <w:sz w:val="24"/>
        </w:rPr>
      </w:pPr>
      <w:r>
        <w:rPr>
          <w:sz w:val="24"/>
        </w:rPr>
        <w:t>（3</w:t>
      </w:r>
      <w:r>
        <w:rPr>
          <w:rFonts w:hint="eastAsia"/>
          <w:sz w:val="24"/>
        </w:rPr>
        <w:t>）</w:t>
      </w:r>
      <w:r>
        <w:rPr>
          <w:sz w:val="24"/>
        </w:rPr>
        <w:t>甲方及其工作人员不得要求或者接受乙方为其住房装修、婚丧嫁娶活动、配偶子女的工作安排以及出国出境、旅游等提供方便等。</w:t>
      </w:r>
    </w:p>
    <w:p>
      <w:pPr>
        <w:adjustRightInd w:val="0"/>
        <w:snapToGrid w:val="0"/>
        <w:spacing w:line="360" w:lineRule="auto"/>
        <w:ind w:firstLine="480" w:firstLineChars="200"/>
        <w:rPr>
          <w:sz w:val="24"/>
        </w:rPr>
      </w:pPr>
      <w:r>
        <w:rPr>
          <w:sz w:val="24"/>
        </w:rPr>
        <w:t>（4）甲方工作人员及其配偶、子女不得从事与甲方工程有关的材料设备供应、工程分包、劳务等经济活动等。</w:t>
      </w:r>
    </w:p>
    <w:p>
      <w:pPr>
        <w:adjustRightInd w:val="0"/>
        <w:snapToGrid w:val="0"/>
        <w:spacing w:line="360" w:lineRule="auto"/>
        <w:ind w:firstLine="480" w:firstLineChars="200"/>
        <w:rPr>
          <w:sz w:val="24"/>
        </w:rPr>
      </w:pPr>
      <w:r>
        <w:rPr>
          <w:sz w:val="24"/>
        </w:rPr>
        <w:t>（5）甲方及其工作人员不得以任何理由向乙方推荐分包单位或推销材料，不得要求乙方购买合同规定外的材料和设备。</w:t>
      </w:r>
    </w:p>
    <w:p>
      <w:pPr>
        <w:adjustRightInd w:val="0"/>
        <w:snapToGrid w:val="0"/>
        <w:spacing w:line="360" w:lineRule="auto"/>
        <w:ind w:firstLine="480" w:firstLineChars="200"/>
        <w:rPr>
          <w:sz w:val="24"/>
        </w:rPr>
      </w:pPr>
      <w:r>
        <w:rPr>
          <w:sz w:val="24"/>
        </w:rPr>
        <w:t>（6）甲方工作人员要秉公办事，不准营私舞弊，不准利用职权从事各种个人有偿中介活动和安排个人施工队伍。</w:t>
      </w:r>
    </w:p>
    <w:p>
      <w:pPr>
        <w:adjustRightInd w:val="0"/>
        <w:snapToGrid w:val="0"/>
        <w:spacing w:line="360" w:lineRule="auto"/>
        <w:ind w:firstLine="480" w:firstLineChars="200"/>
        <w:rPr>
          <w:rFonts w:eastAsia="黑体"/>
          <w:sz w:val="24"/>
        </w:rPr>
      </w:pPr>
      <w:r>
        <w:rPr>
          <w:rFonts w:eastAsia="黑体"/>
          <w:sz w:val="24"/>
        </w:rPr>
        <w:t>3．乙方的义务</w:t>
      </w:r>
    </w:p>
    <w:p>
      <w:pPr>
        <w:adjustRightInd w:val="0"/>
        <w:snapToGrid w:val="0"/>
        <w:spacing w:line="324" w:lineRule="auto"/>
        <w:ind w:firstLine="480" w:firstLineChars="200"/>
        <w:rPr>
          <w:sz w:val="24"/>
        </w:rPr>
      </w:pPr>
      <w:r>
        <w:rPr>
          <w:rFonts w:hint="eastAsia"/>
          <w:sz w:val="24"/>
        </w:rPr>
        <w:t>（</w:t>
      </w:r>
      <w:r>
        <w:rPr>
          <w:sz w:val="24"/>
        </w:rPr>
        <w:t>1</w:t>
      </w:r>
      <w:r>
        <w:rPr>
          <w:rFonts w:hint="eastAsia"/>
          <w:sz w:val="24"/>
        </w:rPr>
        <w:t>）</w:t>
      </w:r>
      <w:r>
        <w:rPr>
          <w:sz w:val="24"/>
        </w:rPr>
        <w:t>乙方不得以任何理由向甲方及其工作人员行贿或馈赠礼金、有价证券、贵重礼品。</w:t>
      </w:r>
    </w:p>
    <w:p>
      <w:pPr>
        <w:adjustRightInd w:val="0"/>
        <w:snapToGrid w:val="0"/>
        <w:spacing w:line="324" w:lineRule="auto"/>
        <w:ind w:firstLine="480" w:firstLineChars="200"/>
        <w:rPr>
          <w:sz w:val="24"/>
        </w:rPr>
      </w:pPr>
      <w:r>
        <w:rPr>
          <w:rFonts w:hint="eastAsia"/>
          <w:sz w:val="24"/>
        </w:rPr>
        <w:t>（</w:t>
      </w:r>
      <w:r>
        <w:rPr>
          <w:sz w:val="24"/>
        </w:rPr>
        <w:t>2）乙方不得以任何名义为甲方及其工作人员报销应由甲方单位或个人支付的任何费用。</w:t>
      </w:r>
    </w:p>
    <w:p>
      <w:pPr>
        <w:adjustRightInd w:val="0"/>
        <w:snapToGrid w:val="0"/>
        <w:spacing w:line="324" w:lineRule="auto"/>
        <w:ind w:firstLine="480" w:firstLineChars="200"/>
        <w:rPr>
          <w:sz w:val="24"/>
        </w:rPr>
      </w:pPr>
      <w:r>
        <w:rPr>
          <w:rFonts w:hint="eastAsia"/>
          <w:sz w:val="24"/>
        </w:rPr>
        <w:t>（</w:t>
      </w:r>
      <w:r>
        <w:rPr>
          <w:sz w:val="24"/>
        </w:rPr>
        <w:t>3）乙方不得以任何理由安排甲方工作人员参加超标准宴请及娱乐活动。</w:t>
      </w:r>
    </w:p>
    <w:p>
      <w:pPr>
        <w:adjustRightInd w:val="0"/>
        <w:snapToGrid w:val="0"/>
        <w:spacing w:line="324" w:lineRule="auto"/>
        <w:ind w:firstLine="480" w:firstLineChars="200"/>
        <w:rPr>
          <w:sz w:val="24"/>
        </w:rPr>
      </w:pPr>
      <w:r>
        <w:rPr>
          <w:rFonts w:hint="eastAsia"/>
          <w:sz w:val="24"/>
        </w:rPr>
        <w:t>（</w:t>
      </w:r>
      <w:r>
        <w:rPr>
          <w:sz w:val="24"/>
        </w:rPr>
        <w:t>4）乙方不得为甲方单位和个人购置或提供通讯工具、交通工具和高档办公用品等。</w:t>
      </w:r>
    </w:p>
    <w:p>
      <w:pPr>
        <w:adjustRightInd w:val="0"/>
        <w:snapToGrid w:val="0"/>
        <w:spacing w:line="360" w:lineRule="auto"/>
        <w:ind w:firstLine="480" w:firstLineChars="200"/>
        <w:rPr>
          <w:rFonts w:eastAsia="黑体"/>
          <w:sz w:val="24"/>
        </w:rPr>
      </w:pPr>
      <w:r>
        <w:rPr>
          <w:rFonts w:eastAsia="黑体"/>
          <w:sz w:val="24"/>
        </w:rPr>
        <w:t>4．违约责任</w:t>
      </w:r>
    </w:p>
    <w:p>
      <w:pPr>
        <w:adjustRightInd w:val="0"/>
        <w:snapToGrid w:val="0"/>
        <w:spacing w:line="324" w:lineRule="auto"/>
        <w:ind w:firstLine="480" w:firstLineChars="200"/>
        <w:rPr>
          <w:sz w:val="24"/>
        </w:rPr>
      </w:pPr>
      <w:r>
        <w:rPr>
          <w:rFonts w:hint="eastAsia"/>
          <w:sz w:val="24"/>
        </w:rPr>
        <w:t>（</w:t>
      </w:r>
      <w:r>
        <w:rPr>
          <w:sz w:val="24"/>
        </w:rPr>
        <w:t>1）甲方及其工作人员违反本合同第一、二条，按管理权限，依据有关规定给予党纪、政纪或组织处理；涉嫌犯罪的，移交司法机关追究刑事责任；给乙方单位造成经济损失的，应予以赔偿。</w:t>
      </w:r>
    </w:p>
    <w:p>
      <w:pPr>
        <w:adjustRightInd w:val="0"/>
        <w:snapToGrid w:val="0"/>
        <w:spacing w:line="324" w:lineRule="auto"/>
        <w:ind w:firstLine="480" w:firstLineChars="200"/>
        <w:rPr>
          <w:sz w:val="24"/>
        </w:rPr>
      </w:pPr>
      <w:r>
        <w:rPr>
          <w:rFonts w:hint="eastAsia"/>
          <w:sz w:val="24"/>
        </w:rPr>
        <w:t>（</w:t>
      </w:r>
      <w:r>
        <w:rPr>
          <w:sz w:val="24"/>
        </w:rPr>
        <w:t>2</w:t>
      </w:r>
      <w:r>
        <w:rPr>
          <w:rFonts w:hint="eastAsia"/>
          <w:sz w:val="24"/>
        </w:rPr>
        <w:t>）</w:t>
      </w:r>
      <w:r>
        <w:rPr>
          <w:sz w:val="24"/>
        </w:rPr>
        <w:t>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pPr>
        <w:adjustRightInd w:val="0"/>
        <w:snapToGrid w:val="0"/>
        <w:spacing w:line="324" w:lineRule="auto"/>
        <w:ind w:firstLine="480" w:firstLineChars="200"/>
        <w:rPr>
          <w:sz w:val="24"/>
        </w:rPr>
      </w:pPr>
      <w:r>
        <w:rPr>
          <w:sz w:val="24"/>
        </w:rPr>
        <w:t>5</w:t>
      </w:r>
      <w:r>
        <w:rPr>
          <w:rFonts w:hint="eastAsia"/>
          <w:sz w:val="24"/>
        </w:rPr>
        <w:t>．</w:t>
      </w:r>
      <w:r>
        <w:rPr>
          <w:sz w:val="24"/>
        </w:rPr>
        <w:t>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pPr>
        <w:adjustRightInd w:val="0"/>
        <w:snapToGrid w:val="0"/>
        <w:spacing w:line="324" w:lineRule="auto"/>
        <w:ind w:firstLine="480" w:firstLineChars="200"/>
        <w:rPr>
          <w:sz w:val="24"/>
        </w:rPr>
      </w:pPr>
      <w:r>
        <w:rPr>
          <w:sz w:val="24"/>
        </w:rPr>
        <w:t>6</w:t>
      </w:r>
      <w:r>
        <w:rPr>
          <w:rFonts w:hint="eastAsia"/>
          <w:sz w:val="24"/>
        </w:rPr>
        <w:t>．</w:t>
      </w:r>
      <w:r>
        <w:rPr>
          <w:sz w:val="24"/>
        </w:rPr>
        <w:t>本合同有效期为甲乙双方签署之日起至该工程项目国家验收后止。</w:t>
      </w:r>
    </w:p>
    <w:p>
      <w:pPr>
        <w:adjustRightInd w:val="0"/>
        <w:snapToGrid w:val="0"/>
        <w:spacing w:line="324" w:lineRule="auto"/>
        <w:ind w:firstLine="480" w:firstLineChars="200"/>
        <w:rPr>
          <w:sz w:val="24"/>
        </w:rPr>
      </w:pPr>
      <w:r>
        <w:rPr>
          <w:sz w:val="24"/>
        </w:rPr>
        <w:t>7</w:t>
      </w:r>
      <w:r>
        <w:rPr>
          <w:rFonts w:hint="eastAsia"/>
          <w:sz w:val="24"/>
        </w:rPr>
        <w:t>．</w:t>
      </w:r>
      <w:r>
        <w:rPr>
          <w:sz w:val="24"/>
        </w:rPr>
        <w:t>本合同作为</w:t>
      </w:r>
      <w:r>
        <w:rPr>
          <w:rFonts w:hint="eastAsia"/>
          <w:sz w:val="24"/>
          <w:u w:val="single"/>
        </w:rPr>
        <w:t>（项目名称）</w:t>
      </w:r>
      <w:r>
        <w:rPr>
          <w:sz w:val="24"/>
        </w:rPr>
        <w:t>工程施工合同的附件，与工程施工合同具有同等的法律效力，经合同双方签署立即生效。</w:t>
      </w:r>
    </w:p>
    <w:p>
      <w:pPr>
        <w:adjustRightInd w:val="0"/>
        <w:snapToGrid w:val="0"/>
        <w:spacing w:line="324" w:lineRule="auto"/>
        <w:ind w:firstLine="480" w:firstLineChars="200"/>
        <w:rPr>
          <w:sz w:val="24"/>
        </w:rPr>
      </w:pPr>
      <w:r>
        <w:rPr>
          <w:sz w:val="24"/>
        </w:rPr>
        <w:t>8</w:t>
      </w:r>
      <w:r>
        <w:rPr>
          <w:rFonts w:hint="eastAsia"/>
          <w:sz w:val="24"/>
        </w:rPr>
        <w:t>．</w:t>
      </w:r>
      <w:r>
        <w:rPr>
          <w:sz w:val="24"/>
        </w:rPr>
        <w:t>本合同一式四份，由甲乙双方各执一份，送交甲乙双方的监督单位各一份。</w:t>
      </w:r>
    </w:p>
    <w:p>
      <w:pPr>
        <w:adjustRightInd w:val="0"/>
        <w:snapToGrid w:val="0"/>
        <w:spacing w:beforeLines="100" w:line="324" w:lineRule="auto"/>
        <w:rPr>
          <w:sz w:val="24"/>
        </w:rPr>
      </w:pPr>
      <w:r>
        <w:rPr>
          <w:sz w:val="24"/>
        </w:rPr>
        <w:t>甲方：</w:t>
      </w:r>
      <w:r>
        <w:rPr>
          <w:rFonts w:hint="eastAsia"/>
          <w:sz w:val="24"/>
          <w:u w:val="single"/>
        </w:rPr>
        <w:t>单位全称（盖章）</w:t>
      </w:r>
      <w:r>
        <w:rPr>
          <w:rFonts w:hint="eastAsia"/>
          <w:sz w:val="24"/>
        </w:rPr>
        <w:t>乙</w:t>
      </w:r>
      <w:r>
        <w:rPr>
          <w:sz w:val="24"/>
        </w:rPr>
        <w:t>方：</w:t>
      </w:r>
      <w:r>
        <w:rPr>
          <w:rFonts w:hint="eastAsia"/>
          <w:sz w:val="24"/>
          <w:u w:val="single"/>
        </w:rPr>
        <w:t>单位全称（盖章）</w:t>
      </w:r>
    </w:p>
    <w:p>
      <w:pPr>
        <w:adjustRightInd w:val="0"/>
        <w:snapToGrid w:val="0"/>
        <w:spacing w:line="324" w:lineRule="auto"/>
        <w:rPr>
          <w:sz w:val="24"/>
        </w:rPr>
      </w:pPr>
      <w:r>
        <w:rPr>
          <w:sz w:val="24"/>
        </w:rPr>
        <w:t>法定代表人法定代表人</w:t>
      </w:r>
    </w:p>
    <w:p>
      <w:pPr>
        <w:adjustRightInd w:val="0"/>
        <w:snapToGrid w:val="0"/>
        <w:spacing w:line="324" w:lineRule="auto"/>
        <w:ind w:firstLine="960" w:firstLineChars="400"/>
        <w:rPr>
          <w:sz w:val="24"/>
        </w:rPr>
      </w:pPr>
      <w:r>
        <w:rPr>
          <w:sz w:val="24"/>
        </w:rPr>
        <w:t>或或</w:t>
      </w:r>
    </w:p>
    <w:p>
      <w:pPr>
        <w:adjustRightInd w:val="0"/>
        <w:snapToGrid w:val="0"/>
        <w:spacing w:line="324" w:lineRule="auto"/>
        <w:rPr>
          <w:sz w:val="24"/>
        </w:rPr>
      </w:pPr>
      <w:r>
        <w:rPr>
          <w:sz w:val="24"/>
        </w:rPr>
        <w:t>其授权的代理人</w:t>
      </w:r>
      <w:r>
        <w:rPr>
          <w:rFonts w:hint="eastAsia"/>
          <w:sz w:val="24"/>
          <w:u w:val="single"/>
        </w:rPr>
        <w:t>（职务）</w:t>
      </w:r>
      <w:r>
        <w:rPr>
          <w:sz w:val="24"/>
        </w:rPr>
        <w:t>其授权的代理人</w:t>
      </w:r>
      <w:r>
        <w:rPr>
          <w:rFonts w:hint="eastAsia"/>
          <w:sz w:val="24"/>
          <w:u w:val="single"/>
        </w:rPr>
        <w:t>（职务）</w:t>
      </w:r>
    </w:p>
    <w:p>
      <w:pPr>
        <w:adjustRightInd w:val="0"/>
        <w:snapToGrid w:val="0"/>
        <w:spacing w:line="324" w:lineRule="auto"/>
        <w:ind w:firstLine="2040" w:firstLineChars="850"/>
        <w:rPr>
          <w:sz w:val="24"/>
          <w:u w:val="single"/>
        </w:rPr>
      </w:pPr>
      <w:r>
        <w:rPr>
          <w:sz w:val="24"/>
          <w:u w:val="single"/>
        </w:rPr>
        <w:t>（姓名）（姓名）</w:t>
      </w:r>
    </w:p>
    <w:p>
      <w:pPr>
        <w:adjustRightInd w:val="0"/>
        <w:snapToGrid w:val="0"/>
        <w:spacing w:line="324" w:lineRule="auto"/>
        <w:ind w:firstLine="2040" w:firstLineChars="850"/>
        <w:rPr>
          <w:sz w:val="24"/>
        </w:rPr>
      </w:pPr>
      <w:r>
        <w:rPr>
          <w:sz w:val="24"/>
          <w:u w:val="single"/>
        </w:rPr>
        <w:t>（</w:t>
      </w:r>
      <w:r>
        <w:rPr>
          <w:rFonts w:hint="eastAsia"/>
          <w:sz w:val="24"/>
          <w:u w:val="single"/>
        </w:rPr>
        <w:t>签字</w:t>
      </w:r>
      <w:r>
        <w:rPr>
          <w:sz w:val="24"/>
          <w:u w:val="single"/>
        </w:rPr>
        <w:t>）（</w:t>
      </w:r>
      <w:r>
        <w:rPr>
          <w:rFonts w:hint="eastAsia"/>
          <w:sz w:val="24"/>
          <w:u w:val="single"/>
        </w:rPr>
        <w:t>签字</w:t>
      </w:r>
      <w:r>
        <w:rPr>
          <w:sz w:val="24"/>
          <w:u w:val="single"/>
        </w:rPr>
        <w:t>）</w:t>
      </w:r>
    </w:p>
    <w:p>
      <w:pPr>
        <w:adjustRightInd w:val="0"/>
        <w:snapToGrid w:val="0"/>
        <w:spacing w:line="324" w:lineRule="auto"/>
        <w:rPr>
          <w:sz w:val="24"/>
        </w:rPr>
      </w:pPr>
      <w:r>
        <w:rPr>
          <w:sz w:val="24"/>
        </w:rPr>
        <w:t>地址：地址：</w:t>
      </w:r>
    </w:p>
    <w:p>
      <w:pPr>
        <w:adjustRightInd w:val="0"/>
        <w:snapToGrid w:val="0"/>
        <w:spacing w:line="324" w:lineRule="auto"/>
        <w:rPr>
          <w:sz w:val="24"/>
        </w:rPr>
      </w:pPr>
      <w:r>
        <w:rPr>
          <w:sz w:val="24"/>
        </w:rPr>
        <w:t>电话：电话：</w:t>
      </w:r>
    </w:p>
    <w:p>
      <w:pPr>
        <w:adjustRightInd w:val="0"/>
        <w:snapToGrid w:val="0"/>
        <w:spacing w:line="324" w:lineRule="auto"/>
        <w:rPr>
          <w:sz w:val="24"/>
        </w:rPr>
      </w:pPr>
      <w:r>
        <w:rPr>
          <w:sz w:val="24"/>
        </w:rPr>
        <w:t>日期：日期：</w:t>
      </w:r>
    </w:p>
    <w:p>
      <w:pPr>
        <w:adjustRightInd w:val="0"/>
        <w:snapToGrid w:val="0"/>
        <w:spacing w:line="324" w:lineRule="auto"/>
        <w:rPr>
          <w:sz w:val="24"/>
          <w:u w:val="single"/>
        </w:rPr>
      </w:pPr>
      <w:r>
        <w:rPr>
          <w:sz w:val="24"/>
        </w:rPr>
        <w:t>甲方监督单位：</w:t>
      </w:r>
      <w:r>
        <w:rPr>
          <w:rFonts w:hint="eastAsia"/>
          <w:sz w:val="24"/>
          <w:u w:val="single"/>
        </w:rPr>
        <w:t>（全称）（盖章）</w:t>
      </w:r>
      <w:r>
        <w:rPr>
          <w:sz w:val="24"/>
        </w:rPr>
        <w:t>乙方监督单位</w:t>
      </w:r>
      <w:r>
        <w:rPr>
          <w:rFonts w:hint="eastAsia"/>
          <w:sz w:val="24"/>
        </w:rPr>
        <w:t>：</w:t>
      </w:r>
      <w:r>
        <w:rPr>
          <w:rFonts w:hint="eastAsia"/>
          <w:sz w:val="24"/>
          <w:u w:val="single"/>
        </w:rPr>
        <w:t>（全称）（盖章）</w:t>
      </w:r>
    </w:p>
    <w:p>
      <w:pPr>
        <w:adjustRightInd w:val="0"/>
        <w:snapToGrid w:val="0"/>
        <w:spacing w:line="343" w:lineRule="auto"/>
        <w:rPr>
          <w:rFonts w:ascii="黑体" w:eastAsia="黑体"/>
          <w:sz w:val="24"/>
        </w:rPr>
      </w:pPr>
    </w:p>
    <w:p>
      <w:pPr>
        <w:adjustRightInd w:val="0"/>
        <w:snapToGrid w:val="0"/>
        <w:spacing w:line="343" w:lineRule="auto"/>
        <w:rPr>
          <w:rFonts w:ascii="黑体" w:eastAsia="黑体"/>
          <w:sz w:val="24"/>
        </w:rPr>
      </w:pPr>
    </w:p>
    <w:p>
      <w:pPr>
        <w:adjustRightInd w:val="0"/>
        <w:snapToGrid w:val="0"/>
        <w:spacing w:line="343" w:lineRule="auto"/>
        <w:rPr>
          <w:rFonts w:ascii="黑体" w:eastAsia="黑体"/>
          <w:sz w:val="24"/>
        </w:rPr>
      </w:pPr>
    </w:p>
    <w:p>
      <w:pPr>
        <w:adjustRightInd w:val="0"/>
        <w:snapToGrid w:val="0"/>
        <w:spacing w:line="343" w:lineRule="auto"/>
        <w:rPr>
          <w:rFonts w:ascii="黑体" w:eastAsia="黑体"/>
          <w:sz w:val="24"/>
        </w:rPr>
      </w:pPr>
      <w:r>
        <w:rPr>
          <w:rFonts w:hint="eastAsia" w:ascii="黑体" w:eastAsia="黑体"/>
          <w:sz w:val="24"/>
        </w:rPr>
        <w:t>附件三：安全生产合同</w:t>
      </w:r>
    </w:p>
    <w:p>
      <w:pPr>
        <w:adjustRightInd w:val="0"/>
        <w:snapToGrid w:val="0"/>
        <w:spacing w:afterLines="50" w:line="343" w:lineRule="auto"/>
        <w:jc w:val="center"/>
        <w:rPr>
          <w:rFonts w:ascii="黑体" w:eastAsia="黑体"/>
          <w:sz w:val="28"/>
          <w:szCs w:val="28"/>
        </w:rPr>
      </w:pPr>
      <w:r>
        <w:rPr>
          <w:rFonts w:hint="eastAsia" w:ascii="黑体" w:eastAsia="黑体"/>
          <w:sz w:val="28"/>
          <w:szCs w:val="28"/>
        </w:rPr>
        <w:t>安全生产合同</w:t>
      </w:r>
    </w:p>
    <w:p>
      <w:pPr>
        <w:adjustRightInd w:val="0"/>
        <w:snapToGrid w:val="0"/>
        <w:spacing w:line="288" w:lineRule="auto"/>
        <w:ind w:firstLine="480" w:firstLineChars="200"/>
        <w:rPr>
          <w:sz w:val="24"/>
        </w:rPr>
      </w:pPr>
      <w:r>
        <w:rPr>
          <w:sz w:val="24"/>
        </w:rPr>
        <w:t>为在施工合同的实施过程中创造安全、高效的施工环境，切实搞好本项目的安全管理工作，本项目发包人</w:t>
      </w:r>
      <w:r>
        <w:rPr>
          <w:sz w:val="24"/>
          <w:u w:val="single"/>
        </w:rPr>
        <w:t>（全称）</w:t>
      </w:r>
      <w:r>
        <w:rPr>
          <w:sz w:val="24"/>
        </w:rPr>
        <w:t>（以下简称“甲方</w:t>
      </w:r>
      <w:r>
        <w:rPr>
          <w:rFonts w:hint="eastAsia"/>
          <w:sz w:val="24"/>
        </w:rPr>
        <w:t>”</w:t>
      </w:r>
      <w:r>
        <w:rPr>
          <w:sz w:val="24"/>
        </w:rPr>
        <w:t>）与承包人</w:t>
      </w:r>
      <w:r>
        <w:rPr>
          <w:sz w:val="24"/>
          <w:u w:val="single"/>
        </w:rPr>
        <w:t>（全称）</w:t>
      </w:r>
      <w:r>
        <w:rPr>
          <w:sz w:val="24"/>
        </w:rPr>
        <w:t>（以下简称“乙方</w:t>
      </w:r>
      <w:r>
        <w:rPr>
          <w:rFonts w:hint="eastAsia"/>
          <w:sz w:val="24"/>
        </w:rPr>
        <w:t>”</w:t>
      </w:r>
      <w:r>
        <w:rPr>
          <w:sz w:val="24"/>
        </w:rPr>
        <w:t>）特此签订安全生产合同：</w:t>
      </w:r>
    </w:p>
    <w:p>
      <w:pPr>
        <w:adjustRightInd w:val="0"/>
        <w:snapToGrid w:val="0"/>
        <w:spacing w:line="288" w:lineRule="auto"/>
        <w:ind w:firstLine="480" w:firstLineChars="200"/>
        <w:rPr>
          <w:rFonts w:eastAsia="黑体"/>
          <w:sz w:val="24"/>
        </w:rPr>
      </w:pPr>
      <w:r>
        <w:rPr>
          <w:rFonts w:eastAsia="黑体"/>
          <w:sz w:val="24"/>
        </w:rPr>
        <w:t>一、甲方职责</w:t>
      </w:r>
    </w:p>
    <w:p>
      <w:pPr>
        <w:adjustRightInd w:val="0"/>
        <w:snapToGrid w:val="0"/>
        <w:spacing w:line="288" w:lineRule="auto"/>
        <w:ind w:firstLine="480" w:firstLineChars="200"/>
        <w:rPr>
          <w:sz w:val="24"/>
        </w:rPr>
      </w:pPr>
      <w:r>
        <w:rPr>
          <w:sz w:val="24"/>
        </w:rPr>
        <w:t>1、严格遵守国家有关安全生产的法律法规，认真执行工程承包合同中的有关安全要求。</w:t>
      </w:r>
    </w:p>
    <w:p>
      <w:pPr>
        <w:adjustRightInd w:val="0"/>
        <w:snapToGrid w:val="0"/>
        <w:spacing w:line="288" w:lineRule="auto"/>
        <w:ind w:firstLine="480" w:firstLineChars="200"/>
        <w:rPr>
          <w:sz w:val="24"/>
        </w:rPr>
      </w:pPr>
      <w:r>
        <w:rPr>
          <w:sz w:val="24"/>
        </w:rPr>
        <w:t>2、按照“安全第一、预防为主”和坚持“管生产必须管安全”的原则进行安全生产管理，做到生产与安全工作同时计划、布置、检查、总结和评比。</w:t>
      </w:r>
    </w:p>
    <w:p>
      <w:pPr>
        <w:adjustRightInd w:val="0"/>
        <w:snapToGrid w:val="0"/>
        <w:spacing w:line="288" w:lineRule="auto"/>
        <w:ind w:firstLine="480" w:firstLineChars="200"/>
        <w:rPr>
          <w:sz w:val="24"/>
        </w:rPr>
      </w:pPr>
      <w:r>
        <w:rPr>
          <w:sz w:val="24"/>
        </w:rPr>
        <w:t>3、重要的安全设施必须坚持与主体工程“三同时”的原则，即：同时设计、审批，同时施工，一同时验收，投入使用。</w:t>
      </w:r>
    </w:p>
    <w:p>
      <w:pPr>
        <w:adjustRightInd w:val="0"/>
        <w:snapToGrid w:val="0"/>
        <w:spacing w:line="288" w:lineRule="auto"/>
        <w:ind w:firstLine="480" w:firstLineChars="200"/>
        <w:rPr>
          <w:sz w:val="24"/>
        </w:rPr>
      </w:pPr>
      <w:r>
        <w:rPr>
          <w:sz w:val="24"/>
        </w:rPr>
        <w:t>4、定期召开安全生产调度会，及时传达中央及地方有关安全生产的精神。</w:t>
      </w:r>
    </w:p>
    <w:p>
      <w:pPr>
        <w:adjustRightInd w:val="0"/>
        <w:snapToGrid w:val="0"/>
        <w:spacing w:line="288" w:lineRule="auto"/>
        <w:ind w:firstLine="480" w:firstLineChars="200"/>
        <w:rPr>
          <w:sz w:val="24"/>
        </w:rPr>
      </w:pPr>
      <w:r>
        <w:rPr>
          <w:sz w:val="24"/>
        </w:rPr>
        <w:t>5、组织对乙方施工现场安全生产检查，监督乙方及时处理发现的各种安全隐患。</w:t>
      </w:r>
    </w:p>
    <w:p>
      <w:pPr>
        <w:adjustRightInd w:val="0"/>
        <w:snapToGrid w:val="0"/>
        <w:spacing w:line="288" w:lineRule="auto"/>
        <w:ind w:firstLine="480" w:firstLineChars="200"/>
        <w:rPr>
          <w:rFonts w:eastAsia="黑体"/>
          <w:sz w:val="24"/>
        </w:rPr>
      </w:pPr>
      <w:r>
        <w:rPr>
          <w:rFonts w:eastAsia="黑体"/>
          <w:sz w:val="24"/>
        </w:rPr>
        <w:t>二、乙方职责</w:t>
      </w:r>
    </w:p>
    <w:p>
      <w:pPr>
        <w:adjustRightInd w:val="0"/>
        <w:snapToGrid w:val="0"/>
        <w:spacing w:line="288" w:lineRule="auto"/>
        <w:ind w:firstLine="480" w:firstLineChars="200"/>
        <w:rPr>
          <w:sz w:val="24"/>
        </w:rPr>
      </w:pPr>
      <w:r>
        <w:rPr>
          <w:sz w:val="24"/>
        </w:rPr>
        <w:t>1、严格遵守《中华人民共和国安全生产法》、《建设工程安全生产管理条例》等国家有关安全生产的法律法规、交通部颁发的《公路水运工程安全生产监督管理办法》、《公路工程施工安全技术规程））和《公路筑养路机械操作规程》等有关安全生产的规定。认真执行工程承包合同中的有关安全要求。</w:t>
      </w:r>
    </w:p>
    <w:p>
      <w:pPr>
        <w:adjustRightInd w:val="0"/>
        <w:snapToGrid w:val="0"/>
        <w:spacing w:line="288" w:lineRule="auto"/>
        <w:ind w:firstLine="480" w:firstLineChars="200"/>
        <w:rPr>
          <w:sz w:val="24"/>
        </w:rPr>
      </w:pPr>
      <w:r>
        <w:rPr>
          <w:sz w:val="24"/>
        </w:rPr>
        <w:t>2、坚持</w:t>
      </w:r>
      <w:r>
        <w:rPr>
          <w:rFonts w:hint="eastAsia"/>
          <w:sz w:val="24"/>
        </w:rPr>
        <w:t>“</w:t>
      </w:r>
      <w:r>
        <w:rPr>
          <w:sz w:val="24"/>
        </w:rPr>
        <w:t>安全第一、预防为主</w:t>
      </w:r>
      <w:r>
        <w:rPr>
          <w:rFonts w:hint="eastAsia"/>
          <w:sz w:val="24"/>
        </w:rPr>
        <w:t>”</w:t>
      </w:r>
      <w:r>
        <w:rPr>
          <w:sz w:val="24"/>
        </w:rPr>
        <w:t>和</w:t>
      </w:r>
      <w:r>
        <w:rPr>
          <w:rFonts w:hint="eastAsia"/>
          <w:sz w:val="24"/>
        </w:rPr>
        <w:t>“</w:t>
      </w:r>
      <w:r>
        <w:rPr>
          <w:sz w:val="24"/>
        </w:rPr>
        <w:t>管生产必须管安全</w:t>
      </w:r>
      <w:r>
        <w:rPr>
          <w:rFonts w:hint="eastAsia"/>
          <w:sz w:val="24"/>
        </w:rPr>
        <w:t>”</w:t>
      </w:r>
      <w:r>
        <w:rPr>
          <w:sz w:val="24"/>
        </w:rPr>
        <w:t>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adjustRightInd w:val="0"/>
        <w:snapToGrid w:val="0"/>
        <w:spacing w:line="288" w:lineRule="auto"/>
        <w:ind w:firstLine="480" w:firstLineChars="200"/>
        <w:rPr>
          <w:sz w:val="24"/>
        </w:rPr>
      </w:pPr>
      <w:r>
        <w:rPr>
          <w:sz w:val="24"/>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adjustRightInd w:val="0"/>
        <w:snapToGrid w:val="0"/>
        <w:spacing w:line="288" w:lineRule="auto"/>
        <w:ind w:firstLine="480" w:firstLineChars="200"/>
        <w:rPr>
          <w:sz w:val="24"/>
        </w:rPr>
      </w:pPr>
      <w:r>
        <w:rPr>
          <w:sz w:val="24"/>
        </w:rPr>
        <w:t>4、乙方在任何时候都应采取各种合理的预防措施，防止其员工发生任何违法、违禁、暴力或妨碍治安的行为。</w:t>
      </w:r>
    </w:p>
    <w:p>
      <w:pPr>
        <w:adjustRightInd w:val="0"/>
        <w:snapToGrid w:val="0"/>
        <w:spacing w:line="288" w:lineRule="auto"/>
        <w:ind w:firstLine="480" w:firstLineChars="200"/>
        <w:rPr>
          <w:sz w:val="24"/>
        </w:rPr>
      </w:pPr>
      <w:r>
        <w:rPr>
          <w:sz w:val="24"/>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adjustRightInd w:val="0"/>
        <w:snapToGrid w:val="0"/>
        <w:spacing w:line="288" w:lineRule="auto"/>
        <w:ind w:firstLine="480" w:firstLineChars="200"/>
        <w:rPr>
          <w:sz w:val="24"/>
        </w:rPr>
      </w:pPr>
      <w:r>
        <w:rPr>
          <w:sz w:val="24"/>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adjustRightInd w:val="0"/>
        <w:snapToGrid w:val="0"/>
        <w:spacing w:line="288" w:lineRule="auto"/>
        <w:ind w:firstLine="480" w:firstLineChars="200"/>
        <w:rPr>
          <w:sz w:val="24"/>
        </w:rPr>
      </w:pPr>
      <w:r>
        <w:rPr>
          <w:sz w:val="24"/>
        </w:rPr>
        <w:t>7、操作人员上岗，必须按规定穿戴防护用品。施工负责人和安全检查员应随时检查劳动防护用品的穿戴情况，不按规定穿戴防护用品的人员不得上岗。</w:t>
      </w:r>
    </w:p>
    <w:p>
      <w:pPr>
        <w:adjustRightInd w:val="0"/>
        <w:snapToGrid w:val="0"/>
        <w:spacing w:line="288" w:lineRule="auto"/>
        <w:ind w:firstLine="480" w:firstLineChars="200"/>
        <w:rPr>
          <w:sz w:val="24"/>
        </w:rPr>
      </w:pPr>
      <w:r>
        <w:rPr>
          <w:sz w:val="24"/>
        </w:rPr>
        <w:t>8、所有施工机具设备和高空作业的设备均应定期检查，并有安全员的签字记录，保证其经常处于完好状态；不合格的机具、设备和劳动保护用品严禁使用。</w:t>
      </w:r>
    </w:p>
    <w:p>
      <w:pPr>
        <w:adjustRightInd w:val="0"/>
        <w:snapToGrid w:val="0"/>
        <w:spacing w:line="288" w:lineRule="auto"/>
        <w:ind w:firstLine="480" w:firstLineChars="200"/>
        <w:rPr>
          <w:sz w:val="24"/>
        </w:rPr>
      </w:pPr>
      <w:r>
        <w:rPr>
          <w:sz w:val="24"/>
        </w:rPr>
        <w:t>9、施工中采用新技术、新工艺、新设备、新材料时，必须制定相应的安全技术措施，施工现场必须具有相关的安全标志牌。</w:t>
      </w:r>
    </w:p>
    <w:p>
      <w:pPr>
        <w:adjustRightInd w:val="0"/>
        <w:snapToGrid w:val="0"/>
        <w:spacing w:line="288" w:lineRule="auto"/>
        <w:ind w:firstLine="480" w:firstLineChars="200"/>
        <w:rPr>
          <w:sz w:val="24"/>
        </w:rPr>
      </w:pPr>
      <w:r>
        <w:rPr>
          <w:sz w:val="24"/>
        </w:rPr>
        <w:t>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adjustRightInd w:val="0"/>
        <w:snapToGrid w:val="0"/>
        <w:spacing w:line="288" w:lineRule="auto"/>
        <w:ind w:firstLine="480" w:firstLineChars="200"/>
        <w:rPr>
          <w:sz w:val="24"/>
        </w:rPr>
      </w:pPr>
      <w:r>
        <w:rPr>
          <w:sz w:val="24"/>
        </w:rPr>
        <w:t>11、安全生产费用按照交通部有关规定使用和管理。</w:t>
      </w:r>
    </w:p>
    <w:p>
      <w:pPr>
        <w:adjustRightInd w:val="0"/>
        <w:snapToGrid w:val="0"/>
        <w:spacing w:line="288" w:lineRule="auto"/>
        <w:ind w:firstLine="480" w:firstLineChars="200"/>
        <w:rPr>
          <w:rFonts w:eastAsia="黑体"/>
          <w:sz w:val="24"/>
        </w:rPr>
      </w:pPr>
      <w:r>
        <w:rPr>
          <w:rFonts w:eastAsia="黑体"/>
          <w:sz w:val="24"/>
        </w:rPr>
        <w:t>三、违约责任</w:t>
      </w:r>
    </w:p>
    <w:p>
      <w:pPr>
        <w:adjustRightInd w:val="0"/>
        <w:snapToGrid w:val="0"/>
        <w:spacing w:line="288" w:lineRule="auto"/>
        <w:ind w:firstLine="480" w:firstLineChars="200"/>
        <w:rPr>
          <w:sz w:val="24"/>
        </w:rPr>
      </w:pPr>
      <w:r>
        <w:rPr>
          <w:sz w:val="24"/>
        </w:rPr>
        <w:t>如因甲方或乙方违约造成安全事故，将依法追究责任。</w:t>
      </w:r>
    </w:p>
    <w:p>
      <w:pPr>
        <w:adjustRightInd w:val="0"/>
        <w:snapToGrid w:val="0"/>
        <w:spacing w:line="288" w:lineRule="auto"/>
        <w:ind w:firstLine="480" w:firstLineChars="200"/>
        <w:rPr>
          <w:sz w:val="24"/>
        </w:rPr>
      </w:pPr>
      <w:r>
        <w:rPr>
          <w:sz w:val="24"/>
        </w:rPr>
        <w:t>四、本合同正本一式二份，副本八份，合同双方各执正本一份，副本四份。由双方法定代表人或其授权的代理人签署与加盖公章后生效，全部工程国家验收后失效。</w:t>
      </w:r>
    </w:p>
    <w:p>
      <w:pPr>
        <w:adjustRightInd w:val="0"/>
        <w:snapToGrid w:val="0"/>
        <w:spacing w:beforeLines="100" w:line="343" w:lineRule="auto"/>
        <w:rPr>
          <w:sz w:val="24"/>
        </w:rPr>
      </w:pPr>
      <w:r>
        <w:rPr>
          <w:sz w:val="24"/>
        </w:rPr>
        <w:t>甲方：</w:t>
      </w:r>
      <w:r>
        <w:rPr>
          <w:rFonts w:hint="eastAsia"/>
          <w:sz w:val="24"/>
          <w:u w:val="single"/>
        </w:rPr>
        <w:t>单位全称（盖章）</w:t>
      </w:r>
      <w:r>
        <w:rPr>
          <w:rFonts w:hint="eastAsia"/>
          <w:sz w:val="24"/>
        </w:rPr>
        <w:t>乙</w:t>
      </w:r>
      <w:r>
        <w:rPr>
          <w:sz w:val="24"/>
        </w:rPr>
        <w:t>方：</w:t>
      </w:r>
      <w:r>
        <w:rPr>
          <w:rFonts w:hint="eastAsia"/>
          <w:sz w:val="24"/>
          <w:u w:val="single"/>
        </w:rPr>
        <w:t>单位全称（盖章）</w:t>
      </w:r>
    </w:p>
    <w:p>
      <w:pPr>
        <w:adjustRightInd w:val="0"/>
        <w:snapToGrid w:val="0"/>
        <w:spacing w:line="343" w:lineRule="auto"/>
        <w:rPr>
          <w:sz w:val="24"/>
        </w:rPr>
      </w:pPr>
      <w:r>
        <w:rPr>
          <w:sz w:val="24"/>
        </w:rPr>
        <w:t>法定代表人法定代表人</w:t>
      </w:r>
    </w:p>
    <w:p>
      <w:pPr>
        <w:adjustRightInd w:val="0"/>
        <w:snapToGrid w:val="0"/>
        <w:spacing w:line="343" w:lineRule="auto"/>
        <w:ind w:firstLine="960" w:firstLineChars="400"/>
        <w:rPr>
          <w:sz w:val="24"/>
        </w:rPr>
      </w:pPr>
      <w:r>
        <w:rPr>
          <w:sz w:val="24"/>
        </w:rPr>
        <w:t>或或</w:t>
      </w:r>
    </w:p>
    <w:p>
      <w:pPr>
        <w:adjustRightInd w:val="0"/>
        <w:snapToGrid w:val="0"/>
        <w:spacing w:line="343" w:lineRule="auto"/>
        <w:rPr>
          <w:sz w:val="24"/>
          <w:u w:val="single"/>
        </w:rPr>
      </w:pPr>
      <w:r>
        <w:rPr>
          <w:sz w:val="24"/>
        </w:rPr>
        <w:t>其授权的代理人</w:t>
      </w:r>
      <w:r>
        <w:rPr>
          <w:rFonts w:hint="eastAsia"/>
          <w:sz w:val="24"/>
          <w:u w:val="single"/>
        </w:rPr>
        <w:t>（职务）</w:t>
      </w:r>
      <w:r>
        <w:rPr>
          <w:sz w:val="24"/>
          <w:u w:val="single"/>
        </w:rPr>
        <w:t>（姓名）</w:t>
      </w:r>
      <w:r>
        <w:rPr>
          <w:sz w:val="24"/>
        </w:rPr>
        <w:t>其授权的代理人</w:t>
      </w:r>
      <w:r>
        <w:rPr>
          <w:rFonts w:hint="eastAsia"/>
          <w:sz w:val="24"/>
          <w:u w:val="single"/>
        </w:rPr>
        <w:t>（职务）</w:t>
      </w:r>
      <w:r>
        <w:rPr>
          <w:sz w:val="24"/>
          <w:u w:val="single"/>
        </w:rPr>
        <w:t>（姓名</w:t>
      </w:r>
      <w:r>
        <w:rPr>
          <w:rFonts w:hint="eastAsia"/>
          <w:sz w:val="24"/>
          <w:u w:val="single"/>
        </w:rPr>
        <w:t>）</w:t>
      </w:r>
    </w:p>
    <w:p>
      <w:pPr>
        <w:adjustRightInd w:val="0"/>
        <w:snapToGrid w:val="0"/>
        <w:spacing w:line="343" w:lineRule="auto"/>
        <w:ind w:firstLine="2640" w:firstLineChars="1100"/>
        <w:rPr>
          <w:sz w:val="24"/>
        </w:rPr>
      </w:pPr>
      <w:r>
        <w:rPr>
          <w:sz w:val="24"/>
          <w:u w:val="single"/>
        </w:rPr>
        <w:t>（</w:t>
      </w:r>
      <w:r>
        <w:rPr>
          <w:rFonts w:hint="eastAsia"/>
          <w:sz w:val="24"/>
          <w:u w:val="single"/>
        </w:rPr>
        <w:t>签字</w:t>
      </w:r>
      <w:r>
        <w:rPr>
          <w:sz w:val="24"/>
          <w:u w:val="single"/>
        </w:rPr>
        <w:t>）（</w:t>
      </w:r>
      <w:r>
        <w:rPr>
          <w:rFonts w:hint="eastAsia"/>
          <w:sz w:val="24"/>
          <w:u w:val="single"/>
        </w:rPr>
        <w:t>签字</w:t>
      </w:r>
      <w:r>
        <w:rPr>
          <w:sz w:val="24"/>
          <w:u w:val="single"/>
        </w:rPr>
        <w:t>）</w:t>
      </w:r>
    </w:p>
    <w:p>
      <w:pPr>
        <w:adjustRightInd w:val="0"/>
        <w:snapToGrid w:val="0"/>
        <w:spacing w:line="343" w:lineRule="auto"/>
        <w:rPr>
          <w:sz w:val="24"/>
        </w:rPr>
      </w:pPr>
      <w:r>
        <w:rPr>
          <w:sz w:val="24"/>
        </w:rPr>
        <w:t>地址：地址：</w:t>
      </w:r>
    </w:p>
    <w:p>
      <w:pPr>
        <w:adjustRightInd w:val="0"/>
        <w:snapToGrid w:val="0"/>
        <w:spacing w:line="343" w:lineRule="auto"/>
        <w:rPr>
          <w:sz w:val="24"/>
        </w:rPr>
      </w:pPr>
      <w:r>
        <w:rPr>
          <w:sz w:val="24"/>
        </w:rPr>
        <w:t>电话：电话：</w:t>
      </w:r>
    </w:p>
    <w:p>
      <w:pPr>
        <w:adjustRightInd w:val="0"/>
        <w:snapToGrid w:val="0"/>
        <w:spacing w:line="343" w:lineRule="auto"/>
        <w:rPr>
          <w:sz w:val="24"/>
        </w:rPr>
      </w:pPr>
      <w:r>
        <w:rPr>
          <w:sz w:val="24"/>
        </w:rPr>
        <w:t>日期：日期：</w:t>
      </w:r>
    </w:p>
    <w:p>
      <w:pPr>
        <w:adjustRightInd w:val="0"/>
        <w:snapToGrid w:val="0"/>
        <w:spacing w:line="343" w:lineRule="auto"/>
        <w:rPr>
          <w:sz w:val="24"/>
        </w:rPr>
      </w:pPr>
    </w:p>
    <w:p>
      <w:pPr>
        <w:adjustRightInd w:val="0"/>
        <w:snapToGrid w:val="0"/>
        <w:spacing w:line="343" w:lineRule="auto"/>
        <w:rPr>
          <w:sz w:val="24"/>
        </w:rPr>
      </w:pPr>
    </w:p>
    <w:p>
      <w:pPr>
        <w:adjustRightInd w:val="0"/>
        <w:snapToGrid w:val="0"/>
        <w:spacing w:line="343" w:lineRule="auto"/>
        <w:rPr>
          <w:sz w:val="24"/>
        </w:rPr>
      </w:pPr>
    </w:p>
    <w:p>
      <w:pPr>
        <w:widowControl/>
        <w:spacing w:line="360" w:lineRule="auto"/>
        <w:ind w:right="714"/>
        <w:jc w:val="center"/>
        <w:rPr>
          <w:rFonts w:ascii="黑体" w:eastAsia="黑体"/>
          <w:sz w:val="24"/>
        </w:rPr>
      </w:pPr>
      <w:r>
        <w:rPr>
          <w:rFonts w:ascii="黑体" w:eastAsia="黑体"/>
          <w:sz w:val="24"/>
        </w:rPr>
        <w:br w:type="page"/>
      </w:r>
    </w:p>
    <w:p>
      <w:pPr>
        <w:adjustRightInd w:val="0"/>
        <w:snapToGrid w:val="0"/>
        <w:spacing w:line="360" w:lineRule="auto"/>
        <w:rPr>
          <w:rFonts w:ascii="黑体" w:eastAsia="黑体"/>
          <w:sz w:val="24"/>
        </w:rPr>
      </w:pPr>
      <w:r>
        <w:rPr>
          <w:rFonts w:hint="eastAsia" w:ascii="黑体" w:eastAsia="黑体"/>
          <w:sz w:val="24"/>
        </w:rPr>
        <w:t>附件四：农民工工资支付承诺书</w:t>
      </w:r>
    </w:p>
    <w:p>
      <w:pPr>
        <w:adjustRightInd w:val="0"/>
        <w:snapToGrid w:val="0"/>
        <w:spacing w:afterLines="50" w:line="343" w:lineRule="auto"/>
        <w:rPr>
          <w:rFonts w:ascii="黑体" w:eastAsia="黑体"/>
          <w:sz w:val="18"/>
          <w:szCs w:val="18"/>
        </w:rPr>
      </w:pPr>
    </w:p>
    <w:p>
      <w:pPr>
        <w:adjustRightInd w:val="0"/>
        <w:snapToGrid w:val="0"/>
        <w:spacing w:line="360" w:lineRule="auto"/>
        <w:jc w:val="center"/>
        <w:rPr>
          <w:rFonts w:ascii="黑体" w:eastAsia="黑体"/>
          <w:sz w:val="30"/>
          <w:szCs w:val="30"/>
          <w:u w:val="single"/>
        </w:rPr>
      </w:pPr>
      <w:r>
        <w:rPr>
          <w:rFonts w:hint="eastAsia" w:ascii="黑体" w:eastAsia="黑体"/>
          <w:sz w:val="30"/>
          <w:szCs w:val="30"/>
          <w:u w:val="single"/>
        </w:rPr>
        <w:t>（承包人全称）</w:t>
      </w:r>
    </w:p>
    <w:p>
      <w:pPr>
        <w:adjustRightInd w:val="0"/>
        <w:snapToGrid w:val="0"/>
        <w:spacing w:line="360" w:lineRule="auto"/>
        <w:jc w:val="center"/>
        <w:rPr>
          <w:rFonts w:ascii="黑体" w:eastAsia="黑体"/>
          <w:sz w:val="30"/>
          <w:szCs w:val="30"/>
        </w:rPr>
      </w:pPr>
      <w:r>
        <w:rPr>
          <w:rFonts w:hint="eastAsia" w:ascii="黑体" w:eastAsia="黑体"/>
          <w:sz w:val="30"/>
          <w:szCs w:val="30"/>
          <w:u w:val="single"/>
        </w:rPr>
        <w:t>（合同工程名称）</w:t>
      </w:r>
      <w:r>
        <w:rPr>
          <w:rFonts w:ascii="黑体" w:eastAsia="黑体"/>
          <w:sz w:val="30"/>
          <w:szCs w:val="30"/>
        </w:rPr>
        <w:t>农民工工资支付承诺书</w:t>
      </w:r>
    </w:p>
    <w:p>
      <w:pPr>
        <w:adjustRightInd w:val="0"/>
        <w:snapToGrid w:val="0"/>
        <w:spacing w:afterLines="50" w:line="343" w:lineRule="auto"/>
        <w:ind w:firstLine="360" w:firstLineChars="150"/>
        <w:rPr>
          <w:sz w:val="24"/>
        </w:rPr>
      </w:pPr>
      <w:r>
        <w:rPr>
          <w:rFonts w:hint="eastAsia"/>
          <w:sz w:val="24"/>
        </w:rPr>
        <w:t>我单位在此郑重承诺：</w:t>
      </w:r>
    </w:p>
    <w:p>
      <w:pPr>
        <w:adjustRightInd w:val="0"/>
        <w:snapToGrid w:val="0"/>
        <w:spacing w:afterLines="50" w:line="343" w:lineRule="auto"/>
        <w:ind w:firstLine="360" w:firstLineChars="150"/>
        <w:rPr>
          <w:sz w:val="24"/>
        </w:rPr>
      </w:pPr>
      <w:r>
        <w:rPr>
          <w:sz w:val="24"/>
        </w:rPr>
        <w:t>一、开工前与农民工签定劳动合同</w:t>
      </w:r>
      <w:r>
        <w:rPr>
          <w:sz w:val="24"/>
        </w:rPr>
        <w:br w:type="textWrapping"/>
      </w:r>
      <w:r>
        <w:rPr>
          <w:sz w:val="24"/>
        </w:rPr>
        <w:t>     二、按时支付农民工工资、加班加点工资。</w:t>
      </w:r>
      <w:r>
        <w:rPr>
          <w:sz w:val="24"/>
        </w:rPr>
        <w:br w:type="textWrapping"/>
      </w:r>
      <w:r>
        <w:rPr>
          <w:sz w:val="24"/>
        </w:rPr>
        <w:t>     三、支付农民工工资不低于</w:t>
      </w:r>
      <w:r>
        <w:rPr>
          <w:rFonts w:hint="eastAsia"/>
          <w:sz w:val="24"/>
        </w:rPr>
        <w:t>河南</w:t>
      </w:r>
      <w:r>
        <w:rPr>
          <w:sz w:val="24"/>
        </w:rPr>
        <w:t>省最低工资标准</w:t>
      </w:r>
      <w:r>
        <w:rPr>
          <w:sz w:val="24"/>
          <w:u w:val="single"/>
        </w:rPr>
        <w:t xml:space="preserve">    </w:t>
      </w:r>
      <w:r>
        <w:rPr>
          <w:sz w:val="24"/>
        </w:rPr>
        <w:t>元。</w:t>
      </w:r>
      <w:r>
        <w:rPr>
          <w:sz w:val="24"/>
        </w:rPr>
        <w:br w:type="textWrapping"/>
      </w:r>
      <w:r>
        <w:rPr>
          <w:sz w:val="24"/>
        </w:rPr>
        <w:t>     四、不无故拖欠、克扣农民工工资。</w:t>
      </w:r>
      <w:r>
        <w:rPr>
          <w:sz w:val="24"/>
        </w:rPr>
        <w:br w:type="textWrapping"/>
      </w:r>
      <w:r>
        <w:rPr>
          <w:sz w:val="24"/>
        </w:rPr>
        <w:t>     五、</w:t>
      </w:r>
      <w:r>
        <w:rPr>
          <w:rFonts w:hint="eastAsia"/>
          <w:sz w:val="24"/>
        </w:rPr>
        <w:t>坚决不</w:t>
      </w:r>
      <w:r>
        <w:rPr>
          <w:sz w:val="24"/>
        </w:rPr>
        <w:t>侵害农民工劳动报酬的合法权益。</w:t>
      </w:r>
      <w:r>
        <w:rPr>
          <w:sz w:val="24"/>
        </w:rPr>
        <w:br w:type="textWrapping"/>
      </w:r>
      <w:r>
        <w:rPr>
          <w:sz w:val="24"/>
        </w:rPr>
        <w:t>      六、若有拖欠、克扣农民工工资、加班加点工资及侵害农民工劳动报酬权益的行为，</w:t>
      </w:r>
      <w:r>
        <w:rPr>
          <w:rFonts w:hint="eastAsia"/>
          <w:sz w:val="24"/>
        </w:rPr>
        <w:t>经有关部门</w:t>
      </w:r>
      <w:r>
        <w:rPr>
          <w:sz w:val="24"/>
        </w:rPr>
        <w:t>查证属实后，</w:t>
      </w:r>
      <w:r>
        <w:rPr>
          <w:rFonts w:hint="eastAsia"/>
          <w:sz w:val="24"/>
        </w:rPr>
        <w:t>自愿</w:t>
      </w:r>
      <w:r>
        <w:rPr>
          <w:sz w:val="24"/>
        </w:rPr>
        <w:t>从工资保</w:t>
      </w:r>
      <w:r>
        <w:rPr>
          <w:rFonts w:hint="eastAsia"/>
          <w:sz w:val="24"/>
        </w:rPr>
        <w:t>障</w:t>
      </w:r>
      <w:r>
        <w:rPr>
          <w:sz w:val="24"/>
        </w:rPr>
        <w:t>金中支付，</w:t>
      </w:r>
      <w:r>
        <w:rPr>
          <w:rFonts w:hint="eastAsia"/>
          <w:sz w:val="24"/>
        </w:rPr>
        <w:t>且</w:t>
      </w:r>
      <w:r>
        <w:rPr>
          <w:sz w:val="24"/>
        </w:rPr>
        <w:t>在一个星期内补足保</w:t>
      </w:r>
      <w:r>
        <w:rPr>
          <w:rFonts w:hint="eastAsia"/>
          <w:sz w:val="24"/>
        </w:rPr>
        <w:t>障</w:t>
      </w:r>
      <w:r>
        <w:rPr>
          <w:sz w:val="24"/>
        </w:rPr>
        <w:t>金。</w:t>
      </w:r>
      <w:r>
        <w:rPr>
          <w:sz w:val="24"/>
        </w:rPr>
        <w:br w:type="textWrapping"/>
      </w:r>
    </w:p>
    <w:p>
      <w:pPr>
        <w:adjustRightInd w:val="0"/>
        <w:snapToGrid w:val="0"/>
        <w:spacing w:afterLines="50" w:line="343" w:lineRule="auto"/>
        <w:ind w:firstLine="360" w:firstLineChars="150"/>
        <w:rPr>
          <w:sz w:val="24"/>
        </w:rPr>
      </w:pPr>
    </w:p>
    <w:p>
      <w:pPr>
        <w:adjustRightInd w:val="0"/>
        <w:snapToGrid w:val="0"/>
        <w:spacing w:afterLines="50" w:line="343" w:lineRule="auto"/>
        <w:ind w:firstLine="360" w:firstLineChars="150"/>
        <w:rPr>
          <w:sz w:val="24"/>
        </w:rPr>
      </w:pPr>
    </w:p>
    <w:p>
      <w:pPr>
        <w:adjustRightInd w:val="0"/>
        <w:snapToGrid w:val="0"/>
        <w:spacing w:afterLines="50" w:line="343" w:lineRule="auto"/>
        <w:ind w:firstLine="360" w:firstLineChars="150"/>
        <w:rPr>
          <w:sz w:val="24"/>
        </w:rPr>
      </w:pPr>
    </w:p>
    <w:p>
      <w:pPr>
        <w:adjustRightInd w:val="0"/>
        <w:snapToGrid w:val="0"/>
        <w:spacing w:afterLines="50" w:line="343" w:lineRule="auto"/>
        <w:ind w:firstLine="360" w:firstLineChars="150"/>
        <w:rPr>
          <w:sz w:val="24"/>
        </w:rPr>
      </w:pPr>
    </w:p>
    <w:p>
      <w:pPr>
        <w:adjustRightInd w:val="0"/>
        <w:snapToGrid w:val="0"/>
        <w:spacing w:afterLines="50" w:line="343" w:lineRule="auto"/>
        <w:ind w:firstLine="360" w:firstLineChars="150"/>
        <w:jc w:val="right"/>
        <w:rPr>
          <w:sz w:val="24"/>
          <w:u w:val="single"/>
        </w:rPr>
      </w:pPr>
      <w:r>
        <w:rPr>
          <w:rFonts w:hint="eastAsia"/>
          <w:sz w:val="24"/>
        </w:rPr>
        <w:t>承诺人：</w:t>
      </w:r>
      <w:r>
        <w:rPr>
          <w:rFonts w:hint="eastAsia"/>
          <w:sz w:val="24"/>
          <w:u w:val="single"/>
        </w:rPr>
        <w:t>（单位全称）（盖章）</w:t>
      </w:r>
    </w:p>
    <w:p>
      <w:pPr>
        <w:adjustRightInd w:val="0"/>
        <w:snapToGrid w:val="0"/>
        <w:spacing w:afterLines="50" w:line="343" w:lineRule="auto"/>
        <w:ind w:firstLine="5640" w:firstLineChars="2350"/>
        <w:rPr>
          <w:sz w:val="24"/>
        </w:rPr>
      </w:pPr>
      <w:r>
        <w:rPr>
          <w:rFonts w:hint="eastAsia"/>
          <w:sz w:val="24"/>
        </w:rPr>
        <w:t>法定代表人：</w:t>
      </w:r>
    </w:p>
    <w:p>
      <w:pPr>
        <w:adjustRightInd w:val="0"/>
        <w:snapToGrid w:val="0"/>
        <w:spacing w:afterLines="50" w:line="343" w:lineRule="auto"/>
        <w:ind w:firstLine="360" w:firstLineChars="150"/>
        <w:rPr>
          <w:sz w:val="24"/>
          <w:u w:val="single"/>
        </w:rPr>
      </w:pPr>
    </w:p>
    <w:p>
      <w:pPr>
        <w:adjustRightInd w:val="0"/>
        <w:snapToGrid w:val="0"/>
        <w:spacing w:afterLines="50" w:line="343" w:lineRule="auto"/>
        <w:rPr>
          <w:rFonts w:ascii="黑体" w:eastAsia="黑体"/>
          <w:sz w:val="28"/>
          <w:szCs w:val="28"/>
        </w:rPr>
      </w:pPr>
    </w:p>
    <w:p>
      <w:pPr>
        <w:adjustRightInd w:val="0"/>
        <w:snapToGrid w:val="0"/>
        <w:spacing w:line="360" w:lineRule="auto"/>
        <w:rPr>
          <w:rFonts w:ascii="黑体" w:eastAsia="黑体"/>
          <w:sz w:val="24"/>
        </w:rPr>
      </w:pPr>
      <w:r>
        <w:rPr>
          <w:rFonts w:ascii="黑体" w:eastAsia="黑体"/>
          <w:sz w:val="24"/>
        </w:rPr>
        <w:br w:type="page"/>
      </w:r>
      <w:r>
        <w:rPr>
          <w:rFonts w:hint="eastAsia" w:ascii="黑体" w:eastAsia="黑体"/>
          <w:sz w:val="24"/>
        </w:rPr>
        <w:t>附件五：项目经理委任书</w:t>
      </w:r>
    </w:p>
    <w:p>
      <w:pPr>
        <w:adjustRightInd w:val="0"/>
        <w:snapToGrid w:val="0"/>
        <w:spacing w:line="360" w:lineRule="auto"/>
        <w:jc w:val="center"/>
        <w:rPr>
          <w:rFonts w:ascii="黑体" w:eastAsia="黑体"/>
          <w:sz w:val="30"/>
          <w:szCs w:val="30"/>
          <w:u w:val="single"/>
        </w:rPr>
      </w:pPr>
      <w:r>
        <w:rPr>
          <w:rFonts w:hint="eastAsia" w:ascii="黑体" w:eastAsia="黑体"/>
          <w:sz w:val="30"/>
          <w:szCs w:val="30"/>
          <w:u w:val="single"/>
        </w:rPr>
        <w:t>（承包人全称）</w:t>
      </w:r>
    </w:p>
    <w:p>
      <w:pPr>
        <w:adjustRightInd w:val="0"/>
        <w:snapToGrid w:val="0"/>
        <w:spacing w:line="360" w:lineRule="auto"/>
        <w:jc w:val="center"/>
        <w:rPr>
          <w:sz w:val="24"/>
        </w:rPr>
      </w:pPr>
      <w:r>
        <w:rPr>
          <w:rFonts w:hint="eastAsia" w:ascii="黑体" w:eastAsia="黑体"/>
          <w:sz w:val="30"/>
          <w:szCs w:val="30"/>
          <w:u w:val="single"/>
        </w:rPr>
        <w:t>（合同工程名称）</w:t>
      </w:r>
      <w:r>
        <w:rPr>
          <w:rFonts w:hint="eastAsia" w:ascii="黑体" w:eastAsia="黑体"/>
          <w:sz w:val="30"/>
          <w:szCs w:val="30"/>
        </w:rPr>
        <w:t>项目经理委</w:t>
      </w:r>
      <w:r>
        <w:rPr>
          <w:rFonts w:ascii="黑体" w:eastAsia="黑体"/>
          <w:sz w:val="30"/>
          <w:szCs w:val="30"/>
        </w:rPr>
        <w:t>任书</w:t>
      </w:r>
    </w:p>
    <w:p>
      <w:pPr>
        <w:adjustRightInd w:val="0"/>
        <w:snapToGrid w:val="0"/>
        <w:spacing w:line="360" w:lineRule="auto"/>
        <w:jc w:val="center"/>
        <w:rPr>
          <w:sz w:val="24"/>
        </w:rPr>
      </w:pPr>
    </w:p>
    <w:p>
      <w:pPr>
        <w:adjustRightInd w:val="0"/>
        <w:snapToGrid w:val="0"/>
        <w:spacing w:line="360" w:lineRule="auto"/>
        <w:jc w:val="left"/>
        <w:rPr>
          <w:sz w:val="24"/>
        </w:rPr>
      </w:pPr>
      <w:r>
        <w:rPr>
          <w:sz w:val="24"/>
        </w:rPr>
        <w:t>致：</w:t>
      </w:r>
      <w:r>
        <w:rPr>
          <w:sz w:val="24"/>
          <w:u w:val="single"/>
        </w:rPr>
        <w:t>（发包人全称）</w:t>
      </w:r>
    </w:p>
    <w:p>
      <w:pPr>
        <w:adjustRightInd w:val="0"/>
        <w:snapToGrid w:val="0"/>
        <w:spacing w:line="360" w:lineRule="auto"/>
        <w:ind w:firstLine="480" w:firstLineChars="200"/>
        <w:rPr>
          <w:sz w:val="24"/>
        </w:rPr>
      </w:pPr>
      <w:r>
        <w:rPr>
          <w:sz w:val="24"/>
          <w:u w:val="single"/>
        </w:rPr>
        <w:t>（承包人全称）</w:t>
      </w:r>
      <w:r>
        <w:rPr>
          <w:sz w:val="24"/>
        </w:rPr>
        <w:t>法定代表人</w:t>
      </w:r>
      <w:r>
        <w:rPr>
          <w:sz w:val="24"/>
          <w:u w:val="single"/>
        </w:rPr>
        <w:t>（职务、姓名）</w:t>
      </w:r>
      <w:r>
        <w:rPr>
          <w:sz w:val="24"/>
        </w:rPr>
        <w:t>代表本单位委任</w:t>
      </w:r>
      <w:r>
        <w:rPr>
          <w:sz w:val="24"/>
          <w:u w:val="single"/>
        </w:rPr>
        <w:t>（职务、姓名）</w:t>
      </w:r>
      <w:r>
        <w:rPr>
          <w:sz w:val="24"/>
        </w:rPr>
        <w:t>为</w:t>
      </w:r>
      <w:r>
        <w:rPr>
          <w:sz w:val="24"/>
          <w:u w:val="single"/>
        </w:rPr>
        <w:t>（合同工程名称）</w:t>
      </w:r>
      <w:r>
        <w:rPr>
          <w:sz w:val="24"/>
        </w:rPr>
        <w:t>的项目经理。凡本合同执行中的有关技术、工程进度、现场管理、质量检验、结算与支付等方面工作，由</w:t>
      </w:r>
      <w:r>
        <w:rPr>
          <w:rFonts w:hint="eastAsia"/>
          <w:sz w:val="24"/>
          <w:u w:val="single"/>
        </w:rPr>
        <w:t>（姓名）</w:t>
      </w:r>
      <w:r>
        <w:rPr>
          <w:sz w:val="24"/>
        </w:rPr>
        <w:t>代表本单位全面负</w:t>
      </w:r>
      <w:r>
        <w:rPr>
          <w:rFonts w:hint="eastAsia"/>
          <w:sz w:val="24"/>
        </w:rPr>
        <w:t>责。</w:t>
      </w: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080" w:firstLineChars="1700"/>
        <w:rPr>
          <w:sz w:val="24"/>
        </w:rPr>
      </w:pPr>
      <w:r>
        <w:rPr>
          <w:sz w:val="24"/>
        </w:rPr>
        <w:t>承包人：</w:t>
      </w:r>
      <w:r>
        <w:rPr>
          <w:sz w:val="24"/>
          <w:u w:val="single"/>
        </w:rPr>
        <w:t>（全称）</w:t>
      </w:r>
      <w:r>
        <w:rPr>
          <w:sz w:val="24"/>
        </w:rPr>
        <w:t>…</w:t>
      </w:r>
      <w:r>
        <w:rPr>
          <w:sz w:val="24"/>
          <w:u w:val="single"/>
        </w:rPr>
        <w:t>（盖章）</w:t>
      </w:r>
    </w:p>
    <w:p>
      <w:pPr>
        <w:adjustRightInd w:val="0"/>
        <w:snapToGrid w:val="0"/>
        <w:spacing w:line="360" w:lineRule="auto"/>
        <w:ind w:firstLine="4800" w:firstLineChars="2000"/>
        <w:rPr>
          <w:sz w:val="24"/>
        </w:rPr>
      </w:pPr>
      <w:r>
        <w:rPr>
          <w:sz w:val="24"/>
        </w:rPr>
        <w:t>法定代表人：</w:t>
      </w:r>
      <w:r>
        <w:rPr>
          <w:rFonts w:hint="eastAsia"/>
          <w:sz w:val="24"/>
          <w:u w:val="single"/>
        </w:rPr>
        <w:t>（职务）</w:t>
      </w:r>
    </w:p>
    <w:p>
      <w:pPr>
        <w:adjustRightInd w:val="0"/>
        <w:snapToGrid w:val="0"/>
        <w:spacing w:line="360" w:lineRule="auto"/>
        <w:ind w:firstLine="6240" w:firstLineChars="2600"/>
        <w:rPr>
          <w:sz w:val="24"/>
          <w:u w:val="single"/>
        </w:rPr>
      </w:pPr>
      <w:r>
        <w:rPr>
          <w:sz w:val="24"/>
          <w:u w:val="single"/>
        </w:rPr>
        <w:t>（姓名）</w:t>
      </w:r>
    </w:p>
    <w:p>
      <w:pPr>
        <w:adjustRightInd w:val="0"/>
        <w:snapToGrid w:val="0"/>
        <w:spacing w:line="360" w:lineRule="auto"/>
        <w:ind w:firstLine="6240" w:firstLineChars="2600"/>
        <w:rPr>
          <w:sz w:val="24"/>
        </w:rPr>
      </w:pPr>
      <w:r>
        <w:rPr>
          <w:sz w:val="24"/>
          <w:u w:val="single"/>
        </w:rPr>
        <w:t>（</w:t>
      </w:r>
      <w:r>
        <w:rPr>
          <w:rFonts w:hint="eastAsia"/>
          <w:sz w:val="24"/>
          <w:u w:val="single"/>
        </w:rPr>
        <w:t>签字</w:t>
      </w:r>
      <w:r>
        <w:rPr>
          <w:sz w:val="24"/>
          <w:u w:val="single"/>
        </w:rPr>
        <w:t>）</w:t>
      </w:r>
    </w:p>
    <w:p>
      <w:pPr>
        <w:adjustRightInd w:val="0"/>
        <w:snapToGrid w:val="0"/>
        <w:spacing w:line="360" w:lineRule="auto"/>
        <w:ind w:firstLine="5760" w:firstLineChars="2400"/>
        <w:rPr>
          <w:sz w:val="24"/>
        </w:rPr>
      </w:pPr>
      <w:r>
        <w:rPr>
          <w:sz w:val="24"/>
        </w:rPr>
        <w:t>年月日</w:t>
      </w: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rPr>
          <w:sz w:val="24"/>
        </w:rPr>
      </w:pPr>
      <w:r>
        <w:rPr>
          <w:sz w:val="24"/>
        </w:rPr>
        <w:t>抄送：</w:t>
      </w:r>
      <w:r>
        <w:rPr>
          <w:sz w:val="24"/>
          <w:u w:val="single"/>
        </w:rPr>
        <w:t>（监理人）</w:t>
      </w:r>
    </w:p>
    <w:p>
      <w:pPr>
        <w:adjustRightInd w:val="0"/>
        <w:snapToGrid w:val="0"/>
        <w:spacing w:line="360" w:lineRule="auto"/>
        <w:rPr>
          <w:rFonts w:ascii="黑体" w:eastAsia="黑体"/>
          <w:sz w:val="24"/>
        </w:rPr>
      </w:pPr>
      <w:r>
        <w:rPr>
          <w:sz w:val="24"/>
        </w:rPr>
        <w:br w:type="page"/>
      </w:r>
      <w:r>
        <w:rPr>
          <w:rFonts w:hint="eastAsia" w:ascii="黑体" w:eastAsia="黑体"/>
          <w:sz w:val="24"/>
        </w:rPr>
        <w:t>附件六：履约担保格式</w:t>
      </w:r>
    </w:p>
    <w:p>
      <w:pPr>
        <w:adjustRightInd w:val="0"/>
        <w:snapToGrid w:val="0"/>
        <w:spacing w:beforeLines="100" w:afterLines="100" w:line="360" w:lineRule="auto"/>
        <w:jc w:val="center"/>
        <w:rPr>
          <w:rFonts w:ascii="黑体" w:eastAsia="黑体"/>
          <w:sz w:val="30"/>
          <w:szCs w:val="30"/>
        </w:rPr>
      </w:pPr>
      <w:r>
        <w:rPr>
          <w:rFonts w:hint="eastAsia" w:ascii="黑体" w:eastAsia="黑体"/>
          <w:sz w:val="30"/>
          <w:szCs w:val="30"/>
        </w:rPr>
        <w:t>履 约 担 保</w:t>
      </w:r>
    </w:p>
    <w:p>
      <w:pPr>
        <w:adjustRightInd w:val="0"/>
        <w:snapToGrid w:val="0"/>
        <w:spacing w:line="360" w:lineRule="auto"/>
        <w:rPr>
          <w:sz w:val="24"/>
        </w:rPr>
      </w:pPr>
      <w:r>
        <w:rPr>
          <w:sz w:val="24"/>
        </w:rPr>
        <w:t>（发包人名称）：</w:t>
      </w:r>
    </w:p>
    <w:p>
      <w:pPr>
        <w:adjustRightInd w:val="0"/>
        <w:snapToGrid w:val="0"/>
        <w:spacing w:line="360" w:lineRule="auto"/>
        <w:rPr>
          <w:sz w:val="24"/>
        </w:rPr>
      </w:pPr>
    </w:p>
    <w:p>
      <w:pPr>
        <w:adjustRightInd w:val="0"/>
        <w:snapToGrid w:val="0"/>
        <w:spacing w:line="360" w:lineRule="auto"/>
        <w:ind w:firstLine="480" w:firstLineChars="200"/>
        <w:rPr>
          <w:sz w:val="24"/>
        </w:rPr>
      </w:pPr>
      <w:r>
        <w:rPr>
          <w:sz w:val="24"/>
        </w:rPr>
        <w:t>鉴于（发包人名称，以下简称“发包人”）接受（承包人名称）（以下称“承包人”）于年月日参加（项目名称）标段施工的投标。我方愿意无条件地、不可撤销地就承包人履行与你方订立的合同，向你方提供担保。</w:t>
      </w:r>
    </w:p>
    <w:p>
      <w:pPr>
        <w:adjustRightInd w:val="0"/>
        <w:snapToGrid w:val="0"/>
        <w:spacing w:line="360" w:lineRule="auto"/>
        <w:ind w:firstLine="480" w:firstLineChars="200"/>
        <w:rPr>
          <w:sz w:val="24"/>
        </w:rPr>
      </w:pPr>
      <w:r>
        <w:rPr>
          <w:sz w:val="24"/>
        </w:rPr>
        <w:t>1</w:t>
      </w:r>
      <w:r>
        <w:rPr>
          <w:rFonts w:hint="eastAsia"/>
          <w:sz w:val="24"/>
        </w:rPr>
        <w:t>．</w:t>
      </w:r>
      <w:r>
        <w:rPr>
          <w:sz w:val="24"/>
        </w:rPr>
        <w:t>担保金额人民币（大写）元（￥</w:t>
      </w:r>
      <w:r>
        <w:rPr>
          <w:rFonts w:hint="eastAsia"/>
          <w:sz w:val="24"/>
        </w:rPr>
        <w:t>）。</w:t>
      </w:r>
    </w:p>
    <w:p>
      <w:pPr>
        <w:adjustRightInd w:val="0"/>
        <w:snapToGrid w:val="0"/>
        <w:spacing w:line="360" w:lineRule="auto"/>
        <w:ind w:firstLine="480" w:firstLineChars="200"/>
        <w:rPr>
          <w:sz w:val="24"/>
        </w:rPr>
      </w:pPr>
      <w:r>
        <w:rPr>
          <w:sz w:val="24"/>
        </w:rPr>
        <w:t>2</w:t>
      </w:r>
      <w:r>
        <w:rPr>
          <w:rFonts w:hint="eastAsia"/>
          <w:sz w:val="24"/>
        </w:rPr>
        <w:t>．</w:t>
      </w:r>
      <w:r>
        <w:rPr>
          <w:sz w:val="24"/>
        </w:rPr>
        <w:t>担保有效期自发包人与承包人签订的合同生效之日起至发包人签发工程接收证书之日止。</w:t>
      </w:r>
    </w:p>
    <w:p>
      <w:pPr>
        <w:adjustRightInd w:val="0"/>
        <w:snapToGrid w:val="0"/>
        <w:spacing w:line="360" w:lineRule="auto"/>
        <w:ind w:firstLine="480" w:firstLineChars="200"/>
        <w:rPr>
          <w:sz w:val="24"/>
        </w:rPr>
      </w:pPr>
      <w:r>
        <w:rPr>
          <w:sz w:val="24"/>
        </w:rPr>
        <w:t>3</w:t>
      </w:r>
      <w:r>
        <w:rPr>
          <w:rFonts w:hint="eastAsia"/>
          <w:sz w:val="24"/>
        </w:rPr>
        <w:t>．</w:t>
      </w:r>
      <w:r>
        <w:rPr>
          <w:sz w:val="24"/>
        </w:rPr>
        <w:t>在本担保有效期内，因承包人违反合同约定的义务给你方造成经济损失时，我方在收到你方以书面形式提出的在担保金额内的赔偿要求后，在7天内无条件支付，无须你方出具证明或陈述理由。</w:t>
      </w:r>
    </w:p>
    <w:p>
      <w:pPr>
        <w:adjustRightInd w:val="0"/>
        <w:snapToGrid w:val="0"/>
        <w:spacing w:line="360" w:lineRule="auto"/>
        <w:ind w:firstLine="480" w:firstLineChars="200"/>
        <w:rPr>
          <w:sz w:val="24"/>
        </w:rPr>
      </w:pPr>
      <w:r>
        <w:rPr>
          <w:sz w:val="24"/>
        </w:rPr>
        <w:t>4</w:t>
      </w:r>
      <w:r>
        <w:rPr>
          <w:rFonts w:hint="eastAsia"/>
          <w:sz w:val="24"/>
        </w:rPr>
        <w:t>．</w:t>
      </w:r>
      <w:r>
        <w:rPr>
          <w:sz w:val="24"/>
        </w:rPr>
        <w:t>发包人和承包人按合同条款第15条变更合同时，我方承担本担保规定的义务不变。</w:t>
      </w: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3840" w:firstLineChars="1600"/>
        <w:rPr>
          <w:sz w:val="24"/>
        </w:rPr>
      </w:pPr>
      <w:r>
        <w:rPr>
          <w:sz w:val="24"/>
        </w:rPr>
        <w:t>担保人：（盖单位公章）</w:t>
      </w:r>
    </w:p>
    <w:p>
      <w:pPr>
        <w:adjustRightInd w:val="0"/>
        <w:snapToGrid w:val="0"/>
        <w:spacing w:line="360" w:lineRule="auto"/>
        <w:ind w:firstLine="3835" w:firstLineChars="1598"/>
        <w:rPr>
          <w:sz w:val="24"/>
        </w:rPr>
      </w:pPr>
      <w:r>
        <w:rPr>
          <w:sz w:val="24"/>
        </w:rPr>
        <w:t>法定代表人或其委托代理人：（签字）</w:t>
      </w:r>
    </w:p>
    <w:p>
      <w:pPr>
        <w:adjustRightInd w:val="0"/>
        <w:snapToGrid w:val="0"/>
        <w:spacing w:line="360" w:lineRule="auto"/>
        <w:ind w:firstLine="3835" w:firstLineChars="1598"/>
        <w:rPr>
          <w:sz w:val="24"/>
        </w:rPr>
      </w:pPr>
      <w:r>
        <w:rPr>
          <w:sz w:val="24"/>
        </w:rPr>
        <w:t>地址：</w:t>
      </w:r>
    </w:p>
    <w:p>
      <w:pPr>
        <w:adjustRightInd w:val="0"/>
        <w:snapToGrid w:val="0"/>
        <w:spacing w:line="360" w:lineRule="auto"/>
        <w:ind w:firstLine="3835" w:firstLineChars="1598"/>
        <w:rPr>
          <w:sz w:val="24"/>
          <w:u w:val="single"/>
        </w:rPr>
      </w:pPr>
      <w:r>
        <w:rPr>
          <w:sz w:val="24"/>
        </w:rPr>
        <w:t>邮政编码：</w:t>
      </w:r>
    </w:p>
    <w:p>
      <w:pPr>
        <w:adjustRightInd w:val="0"/>
        <w:snapToGrid w:val="0"/>
        <w:spacing w:line="360" w:lineRule="auto"/>
        <w:ind w:firstLine="3835" w:firstLineChars="1598"/>
        <w:rPr>
          <w:sz w:val="24"/>
          <w:u w:val="single"/>
        </w:rPr>
      </w:pPr>
      <w:r>
        <w:rPr>
          <w:sz w:val="24"/>
        </w:rPr>
        <w:t>电话：</w:t>
      </w:r>
    </w:p>
    <w:p>
      <w:pPr>
        <w:adjustRightInd w:val="0"/>
        <w:snapToGrid w:val="0"/>
        <w:spacing w:line="360" w:lineRule="auto"/>
        <w:ind w:firstLine="3835" w:firstLineChars="1598"/>
        <w:rPr>
          <w:sz w:val="24"/>
          <w:u w:val="single"/>
        </w:rPr>
      </w:pPr>
      <w:r>
        <w:rPr>
          <w:sz w:val="24"/>
        </w:rPr>
        <w:t>传真：</w:t>
      </w:r>
    </w:p>
    <w:p>
      <w:pPr>
        <w:adjustRightInd w:val="0"/>
        <w:snapToGrid w:val="0"/>
        <w:spacing w:line="360" w:lineRule="auto"/>
        <w:ind w:firstLine="5032" w:firstLineChars="2097"/>
        <w:rPr>
          <w:sz w:val="24"/>
        </w:rPr>
      </w:pPr>
      <w:r>
        <w:rPr>
          <w:sz w:val="24"/>
        </w:rPr>
        <w:t>年月日</w:t>
      </w:r>
    </w:p>
    <w:p>
      <w:pPr>
        <w:adjustRightInd w:val="0"/>
        <w:snapToGrid w:val="0"/>
        <w:spacing w:line="360" w:lineRule="auto"/>
        <w:rPr>
          <w:rFonts w:ascii="黑体" w:eastAsia="黑体"/>
          <w:sz w:val="24"/>
        </w:rPr>
      </w:pPr>
      <w:r>
        <w:rPr>
          <w:sz w:val="24"/>
        </w:rPr>
        <w:br w:type="page"/>
      </w:r>
      <w:r>
        <w:rPr>
          <w:rFonts w:hint="eastAsia" w:ascii="黑体" w:eastAsia="黑体"/>
          <w:sz w:val="24"/>
        </w:rPr>
        <w:t>附件七：预付款担保格式</w:t>
      </w:r>
    </w:p>
    <w:p>
      <w:pPr>
        <w:adjustRightInd w:val="0"/>
        <w:snapToGrid w:val="0"/>
        <w:spacing w:beforeLines="100" w:afterLines="100" w:line="360" w:lineRule="auto"/>
        <w:jc w:val="center"/>
        <w:rPr>
          <w:rFonts w:ascii="黑体" w:eastAsia="黑体"/>
          <w:sz w:val="30"/>
          <w:szCs w:val="30"/>
        </w:rPr>
      </w:pPr>
      <w:r>
        <w:rPr>
          <w:rFonts w:hint="eastAsia" w:ascii="黑体" w:eastAsia="黑体"/>
          <w:sz w:val="30"/>
          <w:szCs w:val="30"/>
        </w:rPr>
        <w:t>预 付 款 担 保</w:t>
      </w:r>
    </w:p>
    <w:p>
      <w:pPr>
        <w:adjustRightInd w:val="0"/>
        <w:snapToGrid w:val="0"/>
        <w:spacing w:line="360" w:lineRule="auto"/>
        <w:rPr>
          <w:sz w:val="24"/>
        </w:rPr>
      </w:pPr>
      <w:r>
        <w:rPr>
          <w:sz w:val="24"/>
        </w:rPr>
        <w:t>（发包人名称）：</w:t>
      </w:r>
    </w:p>
    <w:p>
      <w:pPr>
        <w:adjustRightInd w:val="0"/>
        <w:snapToGrid w:val="0"/>
        <w:spacing w:line="360" w:lineRule="auto"/>
        <w:rPr>
          <w:sz w:val="24"/>
        </w:rPr>
      </w:pPr>
    </w:p>
    <w:p>
      <w:pPr>
        <w:adjustRightInd w:val="0"/>
        <w:snapToGrid w:val="0"/>
        <w:spacing w:line="360" w:lineRule="auto"/>
        <w:ind w:firstLine="480" w:firstLineChars="200"/>
        <w:rPr>
          <w:sz w:val="24"/>
        </w:rPr>
      </w:pPr>
      <w:r>
        <w:rPr>
          <w:sz w:val="24"/>
        </w:rPr>
        <w:t>根据（承包人名称）（以下称“承包人”）与（发包人名称）（以下简称“发包人”）于年月日签订的（项目名称）标段施工承包合同，承包人按约定的金额向发包人提交一份预付款担保，即有权得到发包人支付相等金额的预付款。我方愿意就你方提供给承包人的预付款提供担保。</w:t>
      </w:r>
    </w:p>
    <w:p>
      <w:pPr>
        <w:adjustRightInd w:val="0"/>
        <w:snapToGrid w:val="0"/>
        <w:spacing w:line="360" w:lineRule="auto"/>
        <w:ind w:firstLine="480" w:firstLineChars="200"/>
        <w:rPr>
          <w:sz w:val="24"/>
        </w:rPr>
      </w:pPr>
      <w:r>
        <w:rPr>
          <w:sz w:val="24"/>
        </w:rPr>
        <w:t>1</w:t>
      </w:r>
      <w:r>
        <w:rPr>
          <w:rFonts w:hint="eastAsia"/>
          <w:sz w:val="24"/>
        </w:rPr>
        <w:t>．</w:t>
      </w:r>
      <w:r>
        <w:rPr>
          <w:sz w:val="24"/>
        </w:rPr>
        <w:t>担保金额人民币（大写）元（￥</w:t>
      </w:r>
      <w:r>
        <w:rPr>
          <w:rFonts w:hint="eastAsia"/>
          <w:sz w:val="24"/>
        </w:rPr>
        <w:t>）。</w:t>
      </w:r>
    </w:p>
    <w:p>
      <w:pPr>
        <w:adjustRightInd w:val="0"/>
        <w:snapToGrid w:val="0"/>
        <w:spacing w:line="360" w:lineRule="auto"/>
        <w:ind w:firstLine="480" w:firstLineChars="200"/>
        <w:rPr>
          <w:sz w:val="24"/>
        </w:rPr>
      </w:pPr>
      <w:r>
        <w:rPr>
          <w:sz w:val="24"/>
        </w:rPr>
        <w:t>2</w:t>
      </w:r>
      <w:r>
        <w:rPr>
          <w:rFonts w:hint="eastAsia"/>
          <w:sz w:val="24"/>
        </w:rPr>
        <w:t>．</w:t>
      </w:r>
      <w:r>
        <w:rPr>
          <w:sz w:val="24"/>
        </w:rPr>
        <w:t>担保有效期自预付款支付给承包人起生效，至发包人签发的进度付款证书说明</w:t>
      </w:r>
      <w:r>
        <w:rPr>
          <w:rFonts w:hint="eastAsia"/>
          <w:sz w:val="24"/>
        </w:rPr>
        <w:t>已</w:t>
      </w:r>
      <w:r>
        <w:rPr>
          <w:sz w:val="24"/>
        </w:rPr>
        <w:t>完全扣清止。</w:t>
      </w:r>
    </w:p>
    <w:p>
      <w:pPr>
        <w:adjustRightInd w:val="0"/>
        <w:snapToGrid w:val="0"/>
        <w:spacing w:line="360" w:lineRule="auto"/>
        <w:ind w:firstLine="480" w:firstLineChars="200"/>
        <w:rPr>
          <w:sz w:val="24"/>
        </w:rPr>
      </w:pPr>
      <w:r>
        <w:rPr>
          <w:sz w:val="24"/>
        </w:rPr>
        <w:t>3</w:t>
      </w:r>
      <w:r>
        <w:rPr>
          <w:rFonts w:hint="eastAsia"/>
          <w:sz w:val="24"/>
        </w:rPr>
        <w:t>．</w:t>
      </w:r>
      <w:r>
        <w:rPr>
          <w:sz w:val="24"/>
        </w:rPr>
        <w:t>在本保函有效期内，因承包人违反合同约定的义务而要求收回预付款时，我方在收到你方的书面通知后，在7天内无条件支付，无须你方出具证明或陈述理由。但本保函的担保金额，在任何时候不应超过预付款金额减去发包人按合同约定在向承包人签发的进度付款证书中扣除的金额。</w:t>
      </w:r>
    </w:p>
    <w:p>
      <w:pPr>
        <w:adjustRightInd w:val="0"/>
        <w:snapToGrid w:val="0"/>
        <w:spacing w:line="360" w:lineRule="auto"/>
        <w:ind w:firstLine="480" w:firstLineChars="200"/>
        <w:rPr>
          <w:sz w:val="24"/>
        </w:rPr>
      </w:pPr>
      <w:r>
        <w:rPr>
          <w:sz w:val="24"/>
        </w:rPr>
        <w:t>4</w:t>
      </w:r>
      <w:r>
        <w:rPr>
          <w:rFonts w:hint="eastAsia"/>
          <w:sz w:val="24"/>
        </w:rPr>
        <w:t>．</w:t>
      </w:r>
      <w:r>
        <w:rPr>
          <w:sz w:val="24"/>
        </w:rPr>
        <w:t>发包人和承包人按《通用合同条款》第15条变更合同时，我方承担本保函规定的义务不变。</w:t>
      </w:r>
    </w:p>
    <w:p>
      <w:pPr>
        <w:adjustRightInd w:val="0"/>
        <w:snapToGrid w:val="0"/>
        <w:spacing w:line="360" w:lineRule="auto"/>
        <w:ind w:firstLine="480" w:firstLineChars="200"/>
        <w:rPr>
          <w:sz w:val="24"/>
        </w:rPr>
      </w:pPr>
    </w:p>
    <w:p>
      <w:pPr>
        <w:adjustRightInd w:val="0"/>
        <w:snapToGrid w:val="0"/>
        <w:spacing w:line="360" w:lineRule="auto"/>
        <w:ind w:firstLine="3840" w:firstLineChars="1600"/>
        <w:rPr>
          <w:sz w:val="24"/>
        </w:rPr>
      </w:pPr>
      <w:r>
        <w:rPr>
          <w:sz w:val="24"/>
        </w:rPr>
        <w:t>担保人：（盖单位公章）</w:t>
      </w:r>
    </w:p>
    <w:p>
      <w:pPr>
        <w:adjustRightInd w:val="0"/>
        <w:snapToGrid w:val="0"/>
        <w:spacing w:line="360" w:lineRule="auto"/>
        <w:ind w:firstLine="3835" w:firstLineChars="1598"/>
        <w:rPr>
          <w:sz w:val="24"/>
        </w:rPr>
      </w:pPr>
      <w:r>
        <w:rPr>
          <w:sz w:val="24"/>
        </w:rPr>
        <w:t>法定代表人或其委托代理人：（签字）</w:t>
      </w:r>
    </w:p>
    <w:p>
      <w:pPr>
        <w:adjustRightInd w:val="0"/>
        <w:snapToGrid w:val="0"/>
        <w:spacing w:line="360" w:lineRule="auto"/>
        <w:ind w:firstLine="3835" w:firstLineChars="1598"/>
        <w:rPr>
          <w:sz w:val="24"/>
        </w:rPr>
      </w:pPr>
      <w:r>
        <w:rPr>
          <w:sz w:val="24"/>
        </w:rPr>
        <w:t>地址：</w:t>
      </w:r>
    </w:p>
    <w:p>
      <w:pPr>
        <w:adjustRightInd w:val="0"/>
        <w:snapToGrid w:val="0"/>
        <w:spacing w:line="360" w:lineRule="auto"/>
        <w:ind w:firstLine="3835" w:firstLineChars="1598"/>
        <w:rPr>
          <w:sz w:val="24"/>
          <w:u w:val="single"/>
        </w:rPr>
      </w:pPr>
      <w:r>
        <w:rPr>
          <w:sz w:val="24"/>
        </w:rPr>
        <w:t>邮政编码：</w:t>
      </w:r>
    </w:p>
    <w:p>
      <w:pPr>
        <w:adjustRightInd w:val="0"/>
        <w:snapToGrid w:val="0"/>
        <w:spacing w:line="360" w:lineRule="auto"/>
        <w:ind w:firstLine="3835" w:firstLineChars="1598"/>
        <w:rPr>
          <w:sz w:val="24"/>
          <w:u w:val="single"/>
        </w:rPr>
      </w:pPr>
      <w:r>
        <w:rPr>
          <w:sz w:val="24"/>
        </w:rPr>
        <w:t>电话：</w:t>
      </w:r>
    </w:p>
    <w:p>
      <w:pPr>
        <w:adjustRightInd w:val="0"/>
        <w:snapToGrid w:val="0"/>
        <w:spacing w:line="360" w:lineRule="auto"/>
        <w:ind w:firstLine="3835" w:firstLineChars="1598"/>
        <w:rPr>
          <w:sz w:val="24"/>
          <w:u w:val="single"/>
        </w:rPr>
      </w:pPr>
      <w:r>
        <w:rPr>
          <w:sz w:val="24"/>
        </w:rPr>
        <w:t>传真：</w:t>
      </w:r>
    </w:p>
    <w:p>
      <w:pPr>
        <w:adjustRightInd w:val="0"/>
        <w:snapToGrid w:val="0"/>
        <w:spacing w:line="360" w:lineRule="auto"/>
        <w:ind w:firstLine="5032" w:firstLineChars="2097"/>
      </w:pPr>
      <w:r>
        <w:rPr>
          <w:sz w:val="24"/>
        </w:rPr>
        <w:t>年月日</w:t>
      </w:r>
    </w:p>
    <w:p>
      <w:pPr>
        <w:spacing w:line="400" w:lineRule="exact"/>
        <w:ind w:firstLine="480" w:firstLineChars="200"/>
        <w:rPr>
          <w:rFonts w:ascii="宋体" w:hAnsi="宋体"/>
          <w:sz w:val="24"/>
        </w:rPr>
      </w:pPr>
    </w:p>
    <w:p>
      <w:pPr>
        <w:rPr>
          <w:rFonts w:ascii="宋体" w:hAnsi="宋体"/>
          <w:sz w:val="24"/>
        </w:rPr>
      </w:pPr>
    </w:p>
    <w:p>
      <w:pPr>
        <w:spacing w:line="400" w:lineRule="exact"/>
        <w:rPr>
          <w:rFonts w:ascii="隶书" w:hAnsi="宋体" w:eastAsia="隶书"/>
          <w:sz w:val="24"/>
        </w:rPr>
      </w:pPr>
    </w:p>
    <w:p>
      <w:pPr>
        <w:pStyle w:val="6"/>
        <w:spacing w:after="600" w:line="240" w:lineRule="auto"/>
        <w:jc w:val="center"/>
        <w:rPr>
          <w:b w:val="0"/>
        </w:rPr>
      </w:pPr>
      <w:bookmarkStart w:id="218" w:name="_Toc483496978"/>
      <w:bookmarkStart w:id="219" w:name="_Toc237866020"/>
      <w:r>
        <w:rPr>
          <w:rFonts w:hint="eastAsia" w:ascii="黑体" w:eastAsia="黑体"/>
        </w:rPr>
        <w:t xml:space="preserve">第五章  </w:t>
      </w:r>
      <w:r>
        <w:rPr>
          <w:rFonts w:ascii="黑体" w:eastAsia="黑体"/>
        </w:rPr>
        <w:t>工程量清单说明</w:t>
      </w:r>
      <w:bookmarkEnd w:id="218"/>
      <w:bookmarkEnd w:id="219"/>
    </w:p>
    <w:p>
      <w:pPr>
        <w:pStyle w:val="34"/>
        <w:numPr>
          <w:ilvl w:val="0"/>
          <w:numId w:val="2"/>
        </w:numPr>
        <w:spacing w:before="120" w:after="120"/>
        <w:ind w:firstLineChars="0"/>
        <w:rPr>
          <w:rFonts w:ascii="黑体" w:eastAsia="黑体"/>
          <w:sz w:val="28"/>
          <w:szCs w:val="28"/>
        </w:rPr>
      </w:pPr>
      <w:bookmarkStart w:id="220" w:name="_Hlt236721459"/>
      <w:bookmarkEnd w:id="220"/>
      <w:r>
        <w:rPr>
          <w:rFonts w:hint="eastAsia" w:ascii="黑体" w:eastAsia="黑体"/>
          <w:sz w:val="28"/>
          <w:szCs w:val="28"/>
        </w:rPr>
        <w:t>工程量清单说明</w:t>
      </w:r>
    </w:p>
    <w:p>
      <w:pPr>
        <w:spacing w:line="400" w:lineRule="exact"/>
        <w:ind w:firstLine="480" w:firstLineChars="200"/>
        <w:rPr>
          <w:rFonts w:hint="eastAsia" w:ascii="宋体" w:hAnsi="宋体" w:cs="Times New Roman"/>
          <w:sz w:val="24"/>
        </w:rPr>
      </w:pPr>
      <w:r>
        <w:rPr>
          <w:rFonts w:hint="eastAsia" w:ascii="宋体" w:hAnsi="宋体" w:cs="Times New Roman"/>
          <w:sz w:val="24"/>
        </w:rPr>
        <w:t>1）计算依据:委托单位提供的报审预算、由</w:t>
      </w:r>
      <w:r>
        <w:rPr>
          <w:rFonts w:hint="eastAsia" w:ascii="宋体" w:hAnsi="宋体" w:cs="Times New Roman"/>
          <w:sz w:val="24"/>
          <w:lang w:eastAsia="zh-CN"/>
        </w:rPr>
        <w:t>设计单位提供的</w:t>
      </w:r>
      <w:r>
        <w:rPr>
          <w:rFonts w:hint="eastAsia" w:ascii="宋体" w:hAnsi="宋体" w:cs="Times New Roman"/>
          <w:sz w:val="24"/>
        </w:rPr>
        <w:t>设计图纸等;</w:t>
      </w:r>
    </w:p>
    <w:p>
      <w:pPr>
        <w:spacing w:line="400" w:lineRule="exact"/>
        <w:ind w:firstLine="480" w:firstLineChars="200"/>
        <w:rPr>
          <w:rFonts w:hint="eastAsia" w:ascii="宋体" w:hAnsi="宋体" w:cs="Times New Roman"/>
          <w:sz w:val="24"/>
        </w:rPr>
      </w:pPr>
      <w:r>
        <w:rPr>
          <w:rFonts w:hint="eastAsia" w:ascii="宋体" w:hAnsi="宋体" w:cs="Times New Roman"/>
          <w:sz w:val="24"/>
        </w:rPr>
        <w:t>2）计价依据:《公路工程预算定额》(JTG/T 3832-2018)、《</w:t>
      </w:r>
      <w:r>
        <w:rPr>
          <w:rFonts w:hint="eastAsia" w:ascii="宋体" w:hAnsi="宋体" w:cs="Times New Roman"/>
          <w:sz w:val="24"/>
          <w:lang w:val="en-US" w:eastAsia="zh-CN"/>
        </w:rPr>
        <w:t>08</w:t>
      </w:r>
      <w:r>
        <w:rPr>
          <w:rFonts w:hint="eastAsia" w:ascii="宋体" w:hAnsi="宋体" w:cs="Times New Roman"/>
          <w:sz w:val="24"/>
        </w:rPr>
        <w:t>公路工程</w:t>
      </w:r>
      <w:r>
        <w:rPr>
          <w:rFonts w:hint="eastAsia" w:ascii="宋体" w:hAnsi="宋体" w:cs="Times New Roman"/>
          <w:sz w:val="24"/>
          <w:lang w:eastAsia="zh-CN"/>
        </w:rPr>
        <w:t>清单计价依据</w:t>
      </w:r>
      <w:r>
        <w:rPr>
          <w:rFonts w:hint="eastAsia" w:ascii="宋体" w:hAnsi="宋体" w:cs="Times New Roman"/>
          <w:sz w:val="24"/>
        </w:rPr>
        <w:t xml:space="preserve">》( </w:t>
      </w:r>
      <w:r>
        <w:rPr>
          <w:rFonts w:hint="eastAsia" w:ascii="宋体" w:hAnsi="宋体" w:cs="Times New Roman"/>
          <w:sz w:val="24"/>
          <w:lang w:val="en-US" w:eastAsia="zh-CN"/>
        </w:rPr>
        <w:t>2009范本</w:t>
      </w:r>
      <w:r>
        <w:rPr>
          <w:rFonts w:hint="eastAsia" w:ascii="宋体" w:hAnsi="宋体" w:cs="Times New Roman"/>
          <w:sz w:val="24"/>
        </w:rPr>
        <w:t>)等相关计价文件及其配套的省市有关文件;</w:t>
      </w:r>
    </w:p>
    <w:p>
      <w:pPr>
        <w:spacing w:before="240" w:after="120"/>
        <w:rPr>
          <w:rFonts w:ascii="黑体" w:eastAsia="黑体"/>
          <w:sz w:val="28"/>
          <w:szCs w:val="28"/>
        </w:rPr>
      </w:pPr>
      <w:r>
        <w:rPr>
          <w:rFonts w:hint="eastAsia" w:ascii="黑体" w:eastAsia="黑体"/>
          <w:sz w:val="28"/>
          <w:szCs w:val="28"/>
        </w:rPr>
        <w:t>2．投标报价说明</w:t>
      </w:r>
    </w:p>
    <w:p>
      <w:pPr>
        <w:spacing w:line="400" w:lineRule="exact"/>
        <w:ind w:firstLine="480" w:firstLineChars="200"/>
        <w:rPr>
          <w:rFonts w:ascii="宋体" w:hAnsi="宋体"/>
          <w:sz w:val="24"/>
        </w:rPr>
      </w:pPr>
      <w:r>
        <w:rPr>
          <w:rFonts w:hint="eastAsia" w:ascii="宋体" w:hAnsi="宋体"/>
          <w:sz w:val="24"/>
        </w:rPr>
        <w:t>2.1 工程量清单中的每一子目须填入单价或价格，且只允许有一个报价。</w:t>
      </w:r>
    </w:p>
    <w:p>
      <w:pPr>
        <w:spacing w:line="400" w:lineRule="exact"/>
        <w:ind w:firstLine="480" w:firstLineChars="200"/>
        <w:rPr>
          <w:rFonts w:ascii="宋体" w:hAnsi="宋体"/>
          <w:sz w:val="24"/>
        </w:rPr>
      </w:pPr>
      <w:r>
        <w:rPr>
          <w:rFonts w:hint="eastAsia" w:ascii="宋体" w:hAnsi="宋体"/>
          <w:sz w:val="24"/>
        </w:rPr>
        <w:t>2.2 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pPr>
        <w:spacing w:line="400" w:lineRule="exact"/>
        <w:ind w:firstLine="480" w:firstLineChars="200"/>
        <w:rPr>
          <w:rFonts w:ascii="宋体" w:hAnsi="宋体"/>
          <w:sz w:val="24"/>
        </w:rPr>
      </w:pPr>
      <w:r>
        <w:rPr>
          <w:rFonts w:hint="eastAsia" w:ascii="宋体" w:hAnsi="宋体"/>
          <w:sz w:val="24"/>
        </w:rPr>
        <w:t>2.3 工程量清单中投标人没有填入单价或价格的子目，其费用视为己分摊在工程量清单中其他相关子目的单价或价格之中。承包人必须按监理人指令完成工程量清单中未填入单价或价格的子目，但不能得到结算与支付。</w:t>
      </w:r>
    </w:p>
    <w:p>
      <w:pPr>
        <w:spacing w:line="400" w:lineRule="exact"/>
        <w:ind w:firstLine="480" w:firstLineChars="200"/>
        <w:rPr>
          <w:rFonts w:ascii="宋体" w:hAnsi="宋体"/>
          <w:sz w:val="24"/>
        </w:rPr>
      </w:pPr>
      <w:r>
        <w:rPr>
          <w:rFonts w:hint="eastAsia" w:ascii="宋体" w:hAnsi="宋体"/>
          <w:sz w:val="24"/>
        </w:rPr>
        <w:t>2.4 符合合同条款规定的全部费用应认为已被计入有标价的工程量清单所列各子目之中，未列子目不予计量的工作，其费用应视为已分摊在本合同工程的有关子目的单价或总额价之中。</w:t>
      </w:r>
    </w:p>
    <w:p>
      <w:pPr>
        <w:spacing w:line="400" w:lineRule="exact"/>
        <w:ind w:firstLine="480" w:firstLineChars="200"/>
        <w:rPr>
          <w:rFonts w:ascii="宋体" w:hAnsi="宋体"/>
          <w:sz w:val="24"/>
        </w:rPr>
      </w:pPr>
      <w:r>
        <w:rPr>
          <w:rFonts w:hint="eastAsia" w:ascii="宋体" w:hAnsi="宋体"/>
          <w:sz w:val="24"/>
        </w:rPr>
        <w:t>2.5承包人用于本合同工程的各类装备的提供、运输、维护、拆卸、拼装等支付的费用，已包括在工程量清单的单价与总额价之中。</w:t>
      </w:r>
    </w:p>
    <w:p>
      <w:pPr>
        <w:spacing w:line="400" w:lineRule="exact"/>
        <w:ind w:firstLine="480" w:firstLineChars="200"/>
        <w:rPr>
          <w:rFonts w:ascii="宋体" w:hAnsi="宋体"/>
          <w:sz w:val="24"/>
        </w:rPr>
      </w:pPr>
      <w:r>
        <w:rPr>
          <w:rFonts w:hint="eastAsia" w:ascii="宋体" w:hAnsi="宋体"/>
          <w:sz w:val="24"/>
        </w:rPr>
        <w:t>2.6 工程量清单中各项金额均以人民币（元）结算。</w:t>
      </w:r>
    </w:p>
    <w:p>
      <w:pPr>
        <w:spacing w:line="400" w:lineRule="exact"/>
        <w:ind w:firstLine="480" w:firstLineChars="200"/>
        <w:rPr>
          <w:rFonts w:ascii="宋体" w:hAnsi="宋体"/>
          <w:sz w:val="24"/>
        </w:rPr>
      </w:pPr>
      <w:r>
        <w:rPr>
          <w:rFonts w:hint="eastAsia" w:ascii="宋体" w:hAnsi="宋体"/>
          <w:sz w:val="24"/>
        </w:rPr>
        <w:t>2.7 暂列金额（不含计日工总额）的数量及拟用子目的说明：。</w:t>
      </w:r>
    </w:p>
    <w:p>
      <w:pPr>
        <w:spacing w:line="400" w:lineRule="exact"/>
        <w:ind w:firstLine="480" w:firstLineChars="200"/>
        <w:rPr>
          <w:rFonts w:ascii="宋体" w:hAnsi="宋体"/>
          <w:sz w:val="24"/>
        </w:rPr>
      </w:pPr>
      <w:r>
        <w:rPr>
          <w:rFonts w:hint="eastAsia" w:ascii="宋体" w:hAnsi="宋体"/>
          <w:sz w:val="24"/>
        </w:rPr>
        <w:t>2.8 暂估价的数量及拟用子目的说明：。</w:t>
      </w:r>
    </w:p>
    <w:p>
      <w:pPr>
        <w:spacing w:before="240" w:after="120"/>
        <w:rPr>
          <w:rFonts w:ascii="黑体" w:eastAsia="黑体"/>
          <w:sz w:val="28"/>
          <w:szCs w:val="28"/>
        </w:rPr>
      </w:pPr>
      <w:r>
        <w:rPr>
          <w:rFonts w:hint="eastAsia" w:ascii="黑体" w:eastAsia="黑体"/>
          <w:sz w:val="28"/>
          <w:szCs w:val="28"/>
        </w:rPr>
        <w:t>3．计日工说明</w:t>
      </w:r>
    </w:p>
    <w:p>
      <w:pPr>
        <w:spacing w:line="400" w:lineRule="exact"/>
        <w:rPr>
          <w:rFonts w:ascii="宋体" w:hAnsi="宋体"/>
          <w:sz w:val="24"/>
        </w:rPr>
      </w:pPr>
      <w:r>
        <w:rPr>
          <w:rFonts w:hint="eastAsia" w:ascii="宋体" w:hAnsi="宋体"/>
          <w:sz w:val="24"/>
        </w:rPr>
        <w:t xml:space="preserve">    3.1 总则</w:t>
      </w:r>
    </w:p>
    <w:p>
      <w:pPr>
        <w:spacing w:line="400" w:lineRule="exact"/>
        <w:ind w:firstLine="360" w:firstLineChars="150"/>
        <w:rPr>
          <w:rFonts w:ascii="宋体" w:hAnsi="宋体"/>
          <w:sz w:val="24"/>
        </w:rPr>
      </w:pPr>
      <w:r>
        <w:rPr>
          <w:rFonts w:hint="eastAsia" w:ascii="宋体" w:hAnsi="宋体"/>
          <w:sz w:val="24"/>
        </w:rPr>
        <w:t>（l）本说明应参照通用合同条款第15.7款一并理解。</w:t>
      </w:r>
    </w:p>
    <w:p>
      <w:pPr>
        <w:spacing w:line="400" w:lineRule="exact"/>
        <w:ind w:firstLine="360" w:firstLineChars="150"/>
        <w:rPr>
          <w:rFonts w:ascii="宋体" w:hAnsi="宋体"/>
          <w:sz w:val="24"/>
        </w:rPr>
      </w:pPr>
      <w:r>
        <w:rPr>
          <w:rFonts w:hint="eastAsia" w:ascii="宋体" w:hAnsi="宋体"/>
          <w:sz w:val="24"/>
        </w:rPr>
        <w:t>（2）未经监理人书面指令，任何工程不得按计日工施工；接到监理人按计日工施工的书面指令，承包人也不得拒绝。</w:t>
      </w:r>
    </w:p>
    <w:p>
      <w:pPr>
        <w:spacing w:line="400" w:lineRule="exact"/>
        <w:ind w:firstLine="360" w:firstLineChars="150"/>
        <w:rPr>
          <w:rFonts w:ascii="宋体" w:hAnsi="宋体"/>
          <w:sz w:val="24"/>
        </w:rPr>
      </w:pPr>
      <w:r>
        <w:rPr>
          <w:rFonts w:hint="eastAsia" w:ascii="宋体" w:hAnsi="宋体"/>
          <w:sz w:val="24"/>
        </w:rPr>
        <w:t>（3）投标人应在计日工单价表中填列计日工子目的基本单价或租价，该基本单价或租价适用于监理人指令的任何数量的计日工的结算与支付。计日工的劳务、材料和施工机械由招标人（或发包人）列出正常的估计数量，投标人报出单价，计算出计日工总额后列入工程量清单汇总表中并进入评标价。</w:t>
      </w:r>
    </w:p>
    <w:p>
      <w:pPr>
        <w:spacing w:line="400" w:lineRule="exact"/>
        <w:ind w:firstLine="360" w:firstLineChars="150"/>
        <w:rPr>
          <w:rFonts w:ascii="宋体" w:hAnsi="宋体"/>
          <w:sz w:val="24"/>
        </w:rPr>
      </w:pPr>
      <w:r>
        <w:rPr>
          <w:rFonts w:hint="eastAsia" w:ascii="宋体" w:hAnsi="宋体"/>
          <w:sz w:val="24"/>
        </w:rPr>
        <w:t>（4）计日工不调价。</w:t>
      </w:r>
    </w:p>
    <w:p>
      <w:pPr>
        <w:spacing w:line="400" w:lineRule="exact"/>
        <w:ind w:firstLine="480" w:firstLineChars="200"/>
        <w:rPr>
          <w:rFonts w:ascii="宋体" w:hAnsi="宋体"/>
          <w:sz w:val="24"/>
        </w:rPr>
      </w:pPr>
      <w:r>
        <w:rPr>
          <w:rFonts w:hint="eastAsia" w:ascii="宋体" w:hAnsi="宋体"/>
          <w:sz w:val="24"/>
        </w:rPr>
        <w:t>3.2 计日工劳务</w:t>
      </w:r>
    </w:p>
    <w:p>
      <w:pPr>
        <w:spacing w:line="400" w:lineRule="exact"/>
        <w:ind w:firstLine="360" w:firstLineChars="150"/>
        <w:rPr>
          <w:rFonts w:ascii="宋体" w:hAnsi="宋体"/>
          <w:sz w:val="24"/>
        </w:rPr>
      </w:pPr>
      <w:r>
        <w:rPr>
          <w:rFonts w:hint="eastAsia" w:ascii="宋体" w:hAnsi="宋体"/>
          <w:sz w:val="24"/>
        </w:rPr>
        <w:t>（l）在计算应付给承包人的计日工工资时，工时应从工人到达施工现场，并开始从事指定的工作算起，到返回原出发地点为止，扣去用餐和休息的时间。只有直接从事指定的工作，且能胜任该工作的工人才能计工，随同工人—起做工的班长应计算在内，但不包括领工（工长）和其他质检管理人员。</w:t>
      </w:r>
    </w:p>
    <w:p>
      <w:pPr>
        <w:spacing w:line="400" w:lineRule="exact"/>
        <w:ind w:firstLine="360" w:firstLineChars="150"/>
        <w:rPr>
          <w:rFonts w:ascii="宋体" w:hAnsi="宋体"/>
          <w:sz w:val="24"/>
        </w:rPr>
      </w:pPr>
      <w:r>
        <w:rPr>
          <w:rFonts w:hint="eastAsia" w:ascii="宋体" w:hAnsi="宋体"/>
          <w:sz w:val="24"/>
        </w:rPr>
        <w:t>（2）承包人可以得到用于计日工劳务的全部工时的支付，此支付按承包人填报的“计日工劳务单价表”所列单价计算，该单价应包括基本单价及承包人的管理费、税费、利润等所有附加费，说明如下：</w:t>
      </w:r>
    </w:p>
    <w:p>
      <w:pPr>
        <w:spacing w:line="400" w:lineRule="exact"/>
        <w:ind w:firstLine="480" w:firstLineChars="200"/>
        <w:rPr>
          <w:rFonts w:ascii="宋体" w:hAnsi="宋体"/>
          <w:sz w:val="24"/>
        </w:rPr>
      </w:pPr>
      <w:r>
        <w:rPr>
          <w:rFonts w:hint="eastAsia" w:ascii="宋体" w:hAnsi="宋体"/>
          <w:sz w:val="24"/>
        </w:rPr>
        <w:t>a.劳务基本单价包括：承包人劳务的全部直接费用，如：工资、加班费、津贴、福利费及劳动保护费等。</w:t>
      </w:r>
    </w:p>
    <w:p>
      <w:pPr>
        <w:spacing w:line="400" w:lineRule="exact"/>
        <w:ind w:firstLine="480" w:firstLineChars="200"/>
        <w:rPr>
          <w:rFonts w:ascii="宋体" w:hAnsi="宋体"/>
          <w:sz w:val="24"/>
        </w:rPr>
      </w:pPr>
      <w:r>
        <w:rPr>
          <w:rFonts w:hint="eastAsia" w:ascii="宋体" w:hAnsi="宋体"/>
          <w:sz w:val="24"/>
        </w:rPr>
        <w:t>b.承包人的利润、管理、质检、保险、税费；易耗品的使用、水电及照明费，工作台、脚手架、临时设施费，手动机具与工具的使用及维修，以及上述各项伴随而来的费用。</w:t>
      </w:r>
    </w:p>
    <w:p>
      <w:pPr>
        <w:spacing w:line="400" w:lineRule="exact"/>
        <w:ind w:firstLine="480" w:firstLineChars="200"/>
        <w:rPr>
          <w:rFonts w:ascii="宋体" w:hAnsi="宋体"/>
          <w:sz w:val="24"/>
        </w:rPr>
      </w:pPr>
      <w:r>
        <w:rPr>
          <w:rFonts w:hint="eastAsia" w:ascii="宋体" w:hAnsi="宋体"/>
          <w:sz w:val="24"/>
        </w:rPr>
        <w:t>3.3 计日工材料</w:t>
      </w:r>
    </w:p>
    <w:p>
      <w:pPr>
        <w:spacing w:line="400" w:lineRule="exact"/>
        <w:ind w:firstLine="360" w:firstLineChars="150"/>
        <w:rPr>
          <w:rFonts w:ascii="宋体" w:hAnsi="宋体"/>
          <w:sz w:val="24"/>
        </w:rPr>
      </w:pPr>
      <w:r>
        <w:rPr>
          <w:rFonts w:hint="eastAsia" w:ascii="宋体" w:hAnsi="宋体"/>
          <w:sz w:val="24"/>
        </w:rPr>
        <w:t>（1）承包人可以得到计日工使用的材料费用（上述3.2款已计入劳务费内的材料费用除外）的支付，此费用按承包人“计日工材料单价表”中所填报的单价计算，该单价应包括基本单价及承包人的管理费、税费、利润等所有附加费，说明如下：</w:t>
      </w:r>
    </w:p>
    <w:p>
      <w:pPr>
        <w:spacing w:line="400" w:lineRule="exact"/>
        <w:ind w:firstLine="480" w:firstLineChars="200"/>
        <w:rPr>
          <w:rFonts w:ascii="宋体" w:hAnsi="宋体"/>
          <w:sz w:val="24"/>
        </w:rPr>
      </w:pPr>
      <w:r>
        <w:rPr>
          <w:rFonts w:hint="eastAsia" w:ascii="宋体" w:hAnsi="宋体"/>
          <w:sz w:val="24"/>
        </w:rPr>
        <w:t>a．材料基本单价按供货价加运杂费（到达承包人现场仓库）、保险费、仓库管理费以及运输损耗等计算。</w:t>
      </w:r>
    </w:p>
    <w:p>
      <w:pPr>
        <w:spacing w:line="400" w:lineRule="exact"/>
        <w:ind w:firstLine="480" w:firstLineChars="200"/>
        <w:rPr>
          <w:rFonts w:ascii="宋体" w:hAnsi="宋体"/>
          <w:sz w:val="24"/>
        </w:rPr>
      </w:pPr>
      <w:r>
        <w:rPr>
          <w:rFonts w:hint="eastAsia" w:ascii="宋体" w:hAnsi="宋体"/>
          <w:sz w:val="24"/>
        </w:rPr>
        <w:t>b. 承包人的利润、管理、质检、保险、税费及其他附加费：</w:t>
      </w:r>
    </w:p>
    <w:p>
      <w:pPr>
        <w:spacing w:line="400" w:lineRule="exact"/>
        <w:ind w:firstLine="480" w:firstLineChars="200"/>
        <w:rPr>
          <w:rFonts w:ascii="宋体" w:hAnsi="宋体"/>
          <w:sz w:val="24"/>
        </w:rPr>
      </w:pPr>
      <w:r>
        <w:rPr>
          <w:rFonts w:hint="eastAsia" w:ascii="宋体" w:hAnsi="宋体"/>
          <w:sz w:val="24"/>
        </w:rPr>
        <w:t>c．从现场运至使用地点的人工费和施工机械使用费不包括在上述基本单价内。</w:t>
      </w:r>
    </w:p>
    <w:p>
      <w:pPr>
        <w:spacing w:line="400" w:lineRule="exact"/>
        <w:ind w:firstLine="480" w:firstLineChars="200"/>
        <w:rPr>
          <w:rFonts w:ascii="宋体" w:hAnsi="宋体"/>
          <w:sz w:val="24"/>
        </w:rPr>
      </w:pPr>
      <w:r>
        <w:rPr>
          <w:rFonts w:hint="eastAsia" w:ascii="宋体" w:hAnsi="宋体"/>
          <w:sz w:val="24"/>
        </w:rPr>
        <w:t>3.4 计日工施工机械</w:t>
      </w:r>
    </w:p>
    <w:p>
      <w:pPr>
        <w:spacing w:line="400" w:lineRule="exact"/>
        <w:ind w:firstLine="480" w:firstLineChars="200"/>
        <w:rPr>
          <w:rFonts w:ascii="宋体" w:hAnsi="宋体"/>
          <w:sz w:val="24"/>
        </w:rPr>
      </w:pPr>
      <w:r>
        <w:rPr>
          <w:rFonts w:hint="eastAsia" w:ascii="宋体" w:hAnsi="宋体"/>
          <w:sz w:val="24"/>
        </w:rPr>
        <w:t>（1）承包人可以得到用于计日工作业的施工机械费用的支付，该费用按承包人填报的“计日工施工机械单价表”中的租价计算。该租价应包括施工机械的折旧、利息、维修、保养、零配件、油燃料、保险和其他消耗品的费用以及全部有关使用这些机械的管理费、税费、利润和司机与助手的劳务费等费用。</w:t>
      </w:r>
    </w:p>
    <w:p>
      <w:pPr>
        <w:spacing w:line="400" w:lineRule="exact"/>
        <w:ind w:firstLine="480" w:firstLineChars="200"/>
        <w:rPr>
          <w:rFonts w:ascii="宋体" w:hAnsi="宋体"/>
          <w:sz w:val="24"/>
        </w:rPr>
      </w:pPr>
      <w:r>
        <w:rPr>
          <w:rFonts w:hint="eastAsia" w:ascii="宋体" w:hAnsi="宋体"/>
          <w:sz w:val="24"/>
        </w:rPr>
        <w:t>（2）在计日工作业中，承包人计算所用的施工机械费用时，应按实际工作小时支付。除非经监理人的同意，计算的工作小时才能将施工机械从现场某处运到监理人指令的计日工作业的另一现场往返运送时间包括在内。</w:t>
      </w:r>
    </w:p>
    <w:p>
      <w:pPr>
        <w:spacing w:before="240" w:after="120"/>
        <w:rPr>
          <w:rFonts w:ascii="黑体" w:eastAsia="黑体"/>
          <w:sz w:val="28"/>
          <w:szCs w:val="28"/>
        </w:rPr>
      </w:pPr>
      <w:r>
        <w:rPr>
          <w:rFonts w:hint="eastAsia" w:ascii="黑体" w:eastAsia="黑体"/>
          <w:sz w:val="28"/>
          <w:szCs w:val="28"/>
        </w:rPr>
        <w:t>4．其他说明</w:t>
      </w:r>
    </w:p>
    <w:p>
      <w:pPr>
        <w:spacing w:line="400" w:lineRule="exact"/>
        <w:ind w:firstLine="480" w:firstLineChars="200"/>
        <w:rPr>
          <w:rFonts w:hint="eastAsia" w:ascii="宋体" w:hAnsi="宋体" w:cs="Times New Roman"/>
          <w:sz w:val="24"/>
        </w:rPr>
      </w:pPr>
      <w:r>
        <w:rPr>
          <w:rFonts w:hint="eastAsia" w:ascii="宋体" w:hAnsi="宋体" w:cs="Times New Roman"/>
          <w:sz w:val="24"/>
        </w:rPr>
        <w:t>1）本次评审不包括设备及工具器具购置、工程建设其他费用及预备费；</w:t>
      </w:r>
    </w:p>
    <w:p>
      <w:pPr>
        <w:spacing w:line="400" w:lineRule="exact"/>
        <w:ind w:firstLine="480" w:firstLineChars="200"/>
        <w:rPr>
          <w:rFonts w:hint="eastAsia" w:ascii="宋体" w:hAnsi="宋体" w:cs="Times New Roman"/>
          <w:sz w:val="24"/>
        </w:rPr>
      </w:pPr>
      <w:r>
        <w:rPr>
          <w:rFonts w:hint="eastAsia" w:ascii="宋体" w:hAnsi="宋体" w:cs="Times New Roman"/>
          <w:sz w:val="24"/>
        </w:rPr>
        <w:t>2）人工费依据调整为10</w:t>
      </w:r>
      <w:r>
        <w:rPr>
          <w:rFonts w:hint="eastAsia" w:ascii="宋体" w:hAnsi="宋体" w:cs="Times New Roman"/>
          <w:sz w:val="24"/>
          <w:lang w:val="en-US" w:eastAsia="zh-CN"/>
        </w:rPr>
        <w:t>8</w:t>
      </w:r>
      <w:r>
        <w:rPr>
          <w:rFonts w:hint="eastAsia" w:ascii="宋体" w:hAnsi="宋体" w:cs="Times New Roman"/>
          <w:sz w:val="24"/>
        </w:rPr>
        <w:t>.</w:t>
      </w:r>
      <w:r>
        <w:rPr>
          <w:rFonts w:hint="eastAsia" w:ascii="宋体" w:hAnsi="宋体" w:cs="Times New Roman"/>
          <w:sz w:val="24"/>
          <w:lang w:val="en-US" w:eastAsia="zh-CN"/>
        </w:rPr>
        <w:t>85</w:t>
      </w:r>
      <w:r>
        <w:rPr>
          <w:rFonts w:hint="eastAsia" w:ascii="宋体" w:hAnsi="宋体" w:cs="Times New Roman"/>
          <w:sz w:val="24"/>
        </w:rPr>
        <w:t>元/工日；</w:t>
      </w:r>
    </w:p>
    <w:p>
      <w:pPr>
        <w:spacing w:line="400" w:lineRule="exact"/>
        <w:ind w:firstLine="480" w:firstLineChars="200"/>
        <w:rPr>
          <w:rFonts w:hint="eastAsia" w:ascii="宋体" w:hAnsi="宋体" w:eastAsia="宋体" w:cs="Times New Roman"/>
          <w:sz w:val="24"/>
          <w:lang w:eastAsia="zh-CN"/>
        </w:rPr>
      </w:pPr>
      <w:r>
        <w:rPr>
          <w:rFonts w:hint="eastAsia" w:ascii="宋体" w:hAnsi="宋体" w:cs="Times New Roman"/>
          <w:sz w:val="24"/>
        </w:rPr>
        <w:t>3）本工程混凝土项目均按照商品混凝土考虑，材料单价已包含商砼的运输、泵送等费用</w:t>
      </w:r>
      <w:r>
        <w:rPr>
          <w:rFonts w:hint="eastAsia" w:ascii="宋体" w:hAnsi="宋体" w:cs="Times New Roman"/>
          <w:sz w:val="24"/>
          <w:lang w:eastAsia="zh-CN"/>
        </w:rPr>
        <w:t>；</w:t>
      </w:r>
    </w:p>
    <w:p>
      <w:pPr>
        <w:spacing w:line="400" w:lineRule="exact"/>
        <w:ind w:firstLine="480" w:firstLineChars="200"/>
        <w:rPr>
          <w:rFonts w:hint="default" w:ascii="宋体" w:hAnsi="宋体" w:eastAsia="宋体" w:cs="Times New Roman"/>
          <w:sz w:val="24"/>
          <w:lang w:val="en-US" w:eastAsia="zh-CN"/>
        </w:rPr>
      </w:pPr>
      <w:r>
        <w:rPr>
          <w:rFonts w:hint="eastAsia" w:ascii="宋体" w:hAnsi="宋体" w:cs="Times New Roman"/>
          <w:sz w:val="24"/>
          <w:lang w:val="en-US" w:eastAsia="zh-CN"/>
        </w:rPr>
        <w:t>4）税金调整按9%计取；</w:t>
      </w:r>
    </w:p>
    <w:p>
      <w:pPr>
        <w:spacing w:line="400" w:lineRule="exact"/>
        <w:ind w:firstLine="480" w:firstLineChars="200"/>
        <w:rPr>
          <w:rFonts w:hint="eastAsia" w:ascii="宋体" w:hAnsi="宋体" w:cs="Times New Roman"/>
          <w:sz w:val="24"/>
        </w:rPr>
      </w:pPr>
      <w:r>
        <w:rPr>
          <w:rFonts w:hint="eastAsia" w:ascii="宋体" w:hAnsi="宋体" w:cs="Times New Roman"/>
          <w:sz w:val="24"/>
        </w:rPr>
        <w:t>5．工程量清单</w:t>
      </w:r>
    </w:p>
    <w:p>
      <w:pPr>
        <w:spacing w:line="400" w:lineRule="exact"/>
        <w:ind w:firstLine="480" w:firstLineChars="200"/>
        <w:rPr>
          <w:rFonts w:hint="eastAsia" w:ascii="宋体" w:hAnsi="宋体" w:cs="Times New Roman"/>
          <w:sz w:val="24"/>
        </w:rPr>
      </w:pPr>
      <w:r>
        <w:rPr>
          <w:rFonts w:hint="eastAsia" w:ascii="宋体" w:hAnsi="宋体" w:cs="Times New Roman"/>
          <w:sz w:val="24"/>
        </w:rPr>
        <w:t>另附。</w:t>
      </w:r>
    </w:p>
    <w:p>
      <w:pPr>
        <w:rPr>
          <w:rFonts w:ascii="宋体" w:hAnsi="宋体"/>
          <w:sz w:val="24"/>
        </w:rPr>
      </w:pPr>
    </w:p>
    <w:p>
      <w:pPr>
        <w:widowControl/>
        <w:spacing w:line="360" w:lineRule="auto"/>
        <w:ind w:right="714"/>
        <w:jc w:val="center"/>
        <w:rPr>
          <w:rFonts w:ascii="黑体" w:eastAsia="黑体"/>
          <w:bCs/>
          <w:sz w:val="44"/>
          <w:szCs w:val="44"/>
        </w:rPr>
      </w:pPr>
      <w:bookmarkStart w:id="221" w:name="_Toc20155"/>
      <w:r>
        <w:rPr>
          <w:rFonts w:ascii="黑体" w:eastAsia="黑体"/>
          <w:bCs/>
          <w:sz w:val="44"/>
          <w:szCs w:val="44"/>
        </w:rPr>
        <w:br w:type="page"/>
      </w:r>
    </w:p>
    <w:p>
      <w:pPr>
        <w:jc w:val="center"/>
        <w:outlineLvl w:val="0"/>
        <w:rPr>
          <w:rFonts w:ascii="宋体" w:hAnsi="宋体"/>
          <w:bCs/>
          <w:sz w:val="44"/>
          <w:szCs w:val="44"/>
        </w:rPr>
      </w:pPr>
      <w:r>
        <w:rPr>
          <w:rFonts w:ascii="黑体" w:eastAsia="黑体"/>
          <w:bCs/>
          <w:sz w:val="44"/>
          <w:szCs w:val="44"/>
        </w:rPr>
        <w:t>第六章</w:t>
      </w:r>
      <w:r>
        <w:rPr>
          <w:rFonts w:ascii="黑体" w:eastAsia="黑体"/>
          <w:bCs/>
          <w:sz w:val="44"/>
          <w:szCs w:val="44"/>
        </w:rPr>
        <w:tab/>
      </w:r>
      <w:r>
        <w:rPr>
          <w:rFonts w:ascii="黑体" w:eastAsia="黑体"/>
          <w:bCs/>
          <w:sz w:val="44"/>
          <w:szCs w:val="44"/>
        </w:rPr>
        <w:t>图纸</w:t>
      </w:r>
      <w:r>
        <w:rPr>
          <w:rFonts w:hint="eastAsia" w:ascii="黑体" w:eastAsia="黑体"/>
          <w:bCs/>
          <w:sz w:val="44"/>
          <w:szCs w:val="44"/>
        </w:rPr>
        <w:t>（另附）</w:t>
      </w:r>
      <w:bookmarkEnd w:id="221"/>
    </w:p>
    <w:p>
      <w:pPr>
        <w:rPr>
          <w:rFonts w:ascii="宋体" w:hAnsi="宋体"/>
          <w:bCs/>
          <w:sz w:val="44"/>
          <w:szCs w:val="44"/>
        </w:rPr>
      </w:pPr>
    </w:p>
    <w:p>
      <w:pPr>
        <w:rPr>
          <w:rFonts w:ascii="宋体" w:hAnsi="宋体"/>
          <w:bCs/>
          <w:sz w:val="44"/>
          <w:szCs w:val="44"/>
        </w:rPr>
      </w:pPr>
    </w:p>
    <w:p>
      <w:pPr>
        <w:rPr>
          <w:rFonts w:ascii="宋体" w:hAnsi="宋体"/>
          <w:bCs/>
          <w:sz w:val="44"/>
          <w:szCs w:val="44"/>
        </w:rPr>
      </w:pPr>
    </w:p>
    <w:p>
      <w:pPr>
        <w:rPr>
          <w:rFonts w:ascii="宋体" w:hAnsi="宋体"/>
          <w:bCs/>
          <w:sz w:val="44"/>
          <w:szCs w:val="44"/>
        </w:rPr>
      </w:pPr>
    </w:p>
    <w:p>
      <w:pPr>
        <w:rPr>
          <w:rFonts w:ascii="宋体" w:hAnsi="宋体"/>
          <w:bCs/>
          <w:sz w:val="44"/>
          <w:szCs w:val="44"/>
        </w:rPr>
      </w:pPr>
    </w:p>
    <w:p>
      <w:pPr>
        <w:rPr>
          <w:rFonts w:ascii="宋体" w:hAnsi="宋体"/>
          <w:bCs/>
          <w:sz w:val="44"/>
          <w:szCs w:val="44"/>
        </w:rPr>
      </w:pPr>
    </w:p>
    <w:p>
      <w:pPr>
        <w:rPr>
          <w:rFonts w:ascii="宋体" w:hAnsi="宋体"/>
          <w:bCs/>
          <w:sz w:val="44"/>
          <w:szCs w:val="44"/>
        </w:rPr>
      </w:pPr>
    </w:p>
    <w:p>
      <w:pPr>
        <w:rPr>
          <w:rFonts w:ascii="宋体" w:hAnsi="宋体"/>
          <w:bCs/>
          <w:sz w:val="44"/>
          <w:szCs w:val="44"/>
        </w:rPr>
      </w:pPr>
    </w:p>
    <w:p>
      <w:pPr>
        <w:rPr>
          <w:rFonts w:ascii="宋体" w:hAnsi="宋体"/>
          <w:bCs/>
          <w:sz w:val="44"/>
          <w:szCs w:val="44"/>
        </w:rPr>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jc w:val="center"/>
        <w:outlineLvl w:val="0"/>
        <w:rPr>
          <w:rFonts w:ascii="黑体" w:eastAsia="黑体"/>
          <w:bCs/>
          <w:sz w:val="44"/>
          <w:szCs w:val="44"/>
        </w:rPr>
      </w:pPr>
      <w:bookmarkStart w:id="222" w:name="_Toc18036"/>
    </w:p>
    <w:p>
      <w:pPr>
        <w:jc w:val="center"/>
        <w:outlineLvl w:val="0"/>
        <w:rPr>
          <w:rFonts w:ascii="黑体" w:eastAsia="黑体"/>
          <w:bCs/>
          <w:sz w:val="44"/>
          <w:szCs w:val="44"/>
        </w:rPr>
      </w:pPr>
      <w:r>
        <w:rPr>
          <w:rFonts w:ascii="黑体" w:eastAsia="黑体"/>
          <w:bCs/>
          <w:sz w:val="44"/>
          <w:szCs w:val="44"/>
        </w:rPr>
        <w:t>第七章</w:t>
      </w:r>
      <w:r>
        <w:rPr>
          <w:rFonts w:ascii="黑体" w:eastAsia="黑体"/>
          <w:bCs/>
          <w:sz w:val="44"/>
          <w:szCs w:val="44"/>
        </w:rPr>
        <w:tab/>
      </w:r>
      <w:r>
        <w:rPr>
          <w:rFonts w:ascii="黑体" w:eastAsia="黑体"/>
          <w:bCs/>
          <w:sz w:val="44"/>
          <w:szCs w:val="44"/>
        </w:rPr>
        <w:t>技术</w:t>
      </w:r>
      <w:r>
        <w:rPr>
          <w:rFonts w:hint="eastAsia" w:ascii="黑体" w:eastAsia="黑体"/>
          <w:bCs/>
          <w:sz w:val="44"/>
          <w:szCs w:val="44"/>
        </w:rPr>
        <w:t>规范（另册）</w:t>
      </w:r>
      <w:bookmarkEnd w:id="222"/>
    </w:p>
    <w:p>
      <w:pPr>
        <w:rPr>
          <w:rFonts w:ascii="宋体" w:hAnsi="宋体"/>
          <w:bCs/>
          <w:sz w:val="44"/>
          <w:szCs w:val="4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widowControl/>
        <w:spacing w:line="360" w:lineRule="auto"/>
        <w:ind w:right="714"/>
        <w:jc w:val="center"/>
        <w:rPr>
          <w:rFonts w:ascii="黑体" w:eastAsia="黑体"/>
          <w:bCs/>
          <w:sz w:val="44"/>
          <w:szCs w:val="44"/>
        </w:rPr>
      </w:pPr>
    </w:p>
    <w:p>
      <w:pPr>
        <w:widowControl/>
        <w:spacing w:line="360" w:lineRule="auto"/>
        <w:ind w:right="714"/>
        <w:jc w:val="center"/>
        <w:rPr>
          <w:rFonts w:ascii="黑体" w:eastAsia="黑体"/>
          <w:bCs/>
          <w:sz w:val="44"/>
          <w:szCs w:val="44"/>
        </w:rPr>
      </w:pPr>
    </w:p>
    <w:p>
      <w:pPr>
        <w:widowControl/>
        <w:spacing w:line="360" w:lineRule="auto"/>
        <w:ind w:right="714"/>
        <w:jc w:val="center"/>
        <w:rPr>
          <w:rFonts w:ascii="黑体" w:eastAsia="黑体"/>
          <w:bCs/>
          <w:sz w:val="44"/>
          <w:szCs w:val="44"/>
        </w:rPr>
      </w:pPr>
    </w:p>
    <w:p>
      <w:pPr>
        <w:widowControl/>
        <w:spacing w:line="360" w:lineRule="auto"/>
        <w:ind w:right="714"/>
        <w:jc w:val="center"/>
        <w:rPr>
          <w:rFonts w:ascii="黑体" w:eastAsia="黑体"/>
          <w:bCs/>
          <w:sz w:val="44"/>
          <w:szCs w:val="44"/>
        </w:rPr>
      </w:pPr>
    </w:p>
    <w:p>
      <w:pPr>
        <w:widowControl/>
        <w:spacing w:line="360" w:lineRule="auto"/>
        <w:ind w:right="714"/>
        <w:jc w:val="center"/>
        <w:rPr>
          <w:rFonts w:ascii="黑体" w:eastAsia="黑体"/>
          <w:bCs/>
          <w:sz w:val="44"/>
          <w:szCs w:val="44"/>
        </w:rPr>
      </w:pPr>
    </w:p>
    <w:p>
      <w:pPr>
        <w:widowControl/>
        <w:spacing w:line="360" w:lineRule="auto"/>
        <w:ind w:right="714"/>
        <w:jc w:val="center"/>
        <w:rPr>
          <w:rFonts w:ascii="黑体" w:eastAsia="黑体"/>
          <w:bCs/>
          <w:sz w:val="44"/>
          <w:szCs w:val="44"/>
        </w:rPr>
      </w:pPr>
    </w:p>
    <w:p>
      <w:pPr>
        <w:widowControl/>
        <w:spacing w:line="360" w:lineRule="auto"/>
        <w:ind w:right="714"/>
        <w:jc w:val="center"/>
        <w:rPr>
          <w:rFonts w:ascii="黑体" w:eastAsia="黑体"/>
          <w:bCs/>
          <w:sz w:val="44"/>
          <w:szCs w:val="44"/>
        </w:rPr>
      </w:pPr>
    </w:p>
    <w:p>
      <w:pPr>
        <w:widowControl/>
        <w:spacing w:line="360" w:lineRule="auto"/>
        <w:ind w:right="714"/>
        <w:jc w:val="center"/>
        <w:rPr>
          <w:rFonts w:ascii="黑体" w:eastAsia="黑体"/>
          <w:bCs/>
          <w:sz w:val="44"/>
          <w:szCs w:val="44"/>
        </w:rPr>
      </w:pPr>
    </w:p>
    <w:p>
      <w:pPr>
        <w:widowControl/>
        <w:spacing w:line="360" w:lineRule="auto"/>
        <w:ind w:right="714"/>
        <w:jc w:val="center"/>
        <w:rPr>
          <w:rFonts w:ascii="黑体" w:eastAsia="黑体"/>
          <w:bCs/>
          <w:sz w:val="44"/>
          <w:szCs w:val="44"/>
        </w:rPr>
      </w:pPr>
    </w:p>
    <w:p>
      <w:pPr>
        <w:widowControl/>
        <w:spacing w:line="360" w:lineRule="auto"/>
        <w:ind w:right="714"/>
        <w:jc w:val="center"/>
        <w:rPr>
          <w:rFonts w:ascii="黑体" w:eastAsia="黑体"/>
          <w:bCs/>
          <w:sz w:val="44"/>
          <w:szCs w:val="44"/>
        </w:rPr>
      </w:pPr>
    </w:p>
    <w:p>
      <w:pPr>
        <w:widowControl/>
        <w:spacing w:line="360" w:lineRule="auto"/>
        <w:ind w:right="714"/>
        <w:jc w:val="center"/>
        <w:rPr>
          <w:rFonts w:ascii="黑体" w:eastAsia="黑体"/>
          <w:bCs/>
          <w:sz w:val="44"/>
          <w:szCs w:val="44"/>
        </w:rPr>
      </w:pPr>
    </w:p>
    <w:p>
      <w:pPr>
        <w:widowControl/>
        <w:spacing w:line="360" w:lineRule="auto"/>
        <w:ind w:right="714"/>
        <w:jc w:val="center"/>
        <w:rPr>
          <w:rFonts w:ascii="黑体" w:eastAsia="黑体"/>
          <w:bCs/>
          <w:sz w:val="44"/>
          <w:szCs w:val="44"/>
        </w:rPr>
      </w:pPr>
    </w:p>
    <w:p>
      <w:pPr>
        <w:widowControl/>
        <w:spacing w:line="360" w:lineRule="auto"/>
        <w:ind w:right="714"/>
        <w:jc w:val="center"/>
        <w:rPr>
          <w:rFonts w:ascii="黑体" w:eastAsia="黑体"/>
          <w:bCs/>
          <w:sz w:val="44"/>
          <w:szCs w:val="44"/>
        </w:rPr>
      </w:pPr>
    </w:p>
    <w:p>
      <w:pPr>
        <w:widowControl/>
        <w:spacing w:line="360" w:lineRule="auto"/>
        <w:ind w:right="714"/>
        <w:jc w:val="center"/>
        <w:rPr>
          <w:rFonts w:ascii="黑体" w:eastAsia="黑体"/>
          <w:bCs/>
          <w:sz w:val="44"/>
          <w:szCs w:val="44"/>
        </w:rPr>
      </w:pPr>
    </w:p>
    <w:p>
      <w:pPr>
        <w:widowControl/>
        <w:spacing w:line="360" w:lineRule="auto"/>
        <w:ind w:right="714"/>
        <w:jc w:val="center"/>
        <w:rPr>
          <w:rFonts w:ascii="黑体" w:eastAsia="黑体"/>
          <w:bCs/>
          <w:sz w:val="44"/>
          <w:szCs w:val="44"/>
        </w:rPr>
      </w:pPr>
    </w:p>
    <w:p>
      <w:pPr>
        <w:widowControl/>
        <w:spacing w:line="360" w:lineRule="auto"/>
        <w:ind w:right="714"/>
        <w:jc w:val="center"/>
        <w:rPr>
          <w:rFonts w:ascii="黑体" w:eastAsia="黑体"/>
          <w:bCs/>
          <w:sz w:val="44"/>
          <w:szCs w:val="44"/>
        </w:rPr>
      </w:pPr>
    </w:p>
    <w:p>
      <w:pPr>
        <w:widowControl/>
        <w:spacing w:line="360" w:lineRule="auto"/>
        <w:ind w:right="714"/>
        <w:jc w:val="center"/>
        <w:rPr>
          <w:rFonts w:ascii="黑体" w:eastAsia="黑体"/>
          <w:bCs/>
          <w:sz w:val="44"/>
          <w:szCs w:val="44"/>
        </w:rPr>
      </w:pPr>
    </w:p>
    <w:p>
      <w:pPr>
        <w:widowControl/>
        <w:spacing w:line="360" w:lineRule="auto"/>
        <w:ind w:right="714"/>
        <w:jc w:val="center"/>
        <w:rPr>
          <w:rFonts w:ascii="黑体" w:eastAsia="黑体"/>
          <w:bCs/>
          <w:sz w:val="44"/>
          <w:szCs w:val="44"/>
        </w:rPr>
      </w:pPr>
    </w:p>
    <w:p>
      <w:pPr>
        <w:widowControl/>
        <w:spacing w:line="360" w:lineRule="auto"/>
        <w:ind w:right="714"/>
        <w:jc w:val="center"/>
        <w:rPr>
          <w:rFonts w:ascii="黑体" w:eastAsia="黑体"/>
          <w:bCs/>
          <w:sz w:val="44"/>
          <w:szCs w:val="44"/>
        </w:rPr>
      </w:pPr>
    </w:p>
    <w:p>
      <w:pPr>
        <w:widowControl/>
        <w:spacing w:line="360" w:lineRule="auto"/>
        <w:ind w:right="714"/>
        <w:jc w:val="center"/>
        <w:rPr>
          <w:rFonts w:ascii="黑体" w:eastAsia="黑体"/>
          <w:bCs/>
          <w:sz w:val="44"/>
          <w:szCs w:val="44"/>
        </w:rPr>
      </w:pPr>
      <w:r>
        <w:rPr>
          <w:rFonts w:hint="eastAsia" w:ascii="黑体" w:eastAsia="黑体"/>
          <w:bCs/>
          <w:sz w:val="44"/>
          <w:szCs w:val="44"/>
        </w:rPr>
        <w:t>第八章 工程量清单计量规则</w:t>
      </w:r>
    </w:p>
    <w:p>
      <w:pPr>
        <w:widowControl/>
        <w:spacing w:line="360" w:lineRule="auto"/>
        <w:ind w:right="714"/>
        <w:jc w:val="center"/>
        <w:rPr>
          <w:rFonts w:ascii="黑体" w:eastAsia="黑体"/>
          <w:bCs/>
          <w:sz w:val="44"/>
          <w:szCs w:val="44"/>
        </w:rPr>
      </w:pPr>
      <w:r>
        <w:rPr>
          <w:rFonts w:ascii="黑体" w:eastAsia="黑体"/>
          <w:bCs/>
          <w:sz w:val="44"/>
          <w:szCs w:val="44"/>
        </w:rPr>
        <w:tab/>
      </w:r>
    </w:p>
    <w:p>
      <w:pPr>
        <w:widowControl/>
        <w:spacing w:line="360" w:lineRule="auto"/>
        <w:ind w:right="714"/>
        <w:jc w:val="center"/>
        <w:rPr>
          <w:rFonts w:ascii="黑体" w:eastAsia="黑体"/>
          <w:bCs/>
          <w:sz w:val="24"/>
        </w:rPr>
      </w:pPr>
      <w:r>
        <w:rPr>
          <w:rFonts w:hint="eastAsia" w:ascii="黑体" w:eastAsia="黑体"/>
          <w:bCs/>
          <w:sz w:val="24"/>
        </w:rPr>
        <w:t>参照《河南省公路施工招标工程量清单》计量与支付规则执行。</w:t>
      </w:r>
    </w:p>
    <w:p>
      <w:pPr>
        <w:widowControl/>
        <w:spacing w:line="360" w:lineRule="auto"/>
        <w:ind w:right="714"/>
        <w:jc w:val="center"/>
        <w:rPr>
          <w:rFonts w:ascii="黑体" w:eastAsia="黑体"/>
          <w:bCs/>
          <w:sz w:val="44"/>
          <w:szCs w:val="44"/>
        </w:rPr>
      </w:pPr>
      <w:r>
        <w:rPr>
          <w:rFonts w:ascii="黑体" w:eastAsia="黑体"/>
          <w:bCs/>
          <w:sz w:val="44"/>
          <w:szCs w:val="44"/>
        </w:rPr>
        <w:br w:type="page"/>
      </w:r>
    </w:p>
    <w:p>
      <w:pPr>
        <w:jc w:val="center"/>
        <w:outlineLvl w:val="0"/>
        <w:rPr>
          <w:rFonts w:ascii="黑体" w:eastAsia="黑体"/>
          <w:bCs/>
          <w:sz w:val="44"/>
          <w:szCs w:val="44"/>
        </w:rPr>
      </w:pPr>
      <w:r>
        <w:rPr>
          <w:rFonts w:ascii="黑体" w:eastAsia="黑体"/>
          <w:bCs/>
          <w:sz w:val="44"/>
          <w:szCs w:val="44"/>
        </w:rPr>
        <w:t>第</w:t>
      </w:r>
      <w:r>
        <w:rPr>
          <w:rFonts w:hint="eastAsia" w:ascii="黑体" w:eastAsia="黑体"/>
          <w:bCs/>
          <w:sz w:val="44"/>
          <w:szCs w:val="44"/>
        </w:rPr>
        <w:t>九</w:t>
      </w:r>
      <w:r>
        <w:rPr>
          <w:rFonts w:ascii="黑体" w:eastAsia="黑体"/>
          <w:bCs/>
          <w:sz w:val="44"/>
          <w:szCs w:val="44"/>
        </w:rPr>
        <w:t>章</w:t>
      </w:r>
      <w:r>
        <w:rPr>
          <w:rFonts w:ascii="黑体" w:eastAsia="黑体"/>
          <w:bCs/>
          <w:sz w:val="44"/>
          <w:szCs w:val="44"/>
        </w:rPr>
        <w:tab/>
      </w:r>
      <w:r>
        <w:rPr>
          <w:rFonts w:ascii="黑体" w:eastAsia="黑体"/>
          <w:bCs/>
          <w:sz w:val="44"/>
          <w:szCs w:val="44"/>
        </w:rPr>
        <w:t>投标文件格式</w:t>
      </w:r>
    </w:p>
    <w:p>
      <w:pPr>
        <w:rPr>
          <w:rFonts w:asciiTheme="majorEastAsia" w:hAnsiTheme="majorEastAsia" w:eastAsiaTheme="majorEastAsia"/>
          <w:sz w:val="52"/>
          <w:szCs w:val="52"/>
        </w:rPr>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0" w:firstLineChars="0"/>
      </w:pPr>
    </w:p>
    <w:p>
      <w:pPr>
        <w:ind w:right="180"/>
        <w:jc w:val="right"/>
        <w:rPr>
          <w:rFonts w:asciiTheme="majorEastAsia" w:hAnsiTheme="majorEastAsia" w:eastAsiaTheme="majorEastAsia"/>
          <w:sz w:val="24"/>
        </w:rPr>
      </w:pPr>
      <w:r>
        <w:rPr>
          <w:rFonts w:hint="eastAsia" w:asciiTheme="majorEastAsia" w:hAnsiTheme="majorEastAsia" w:eastAsiaTheme="majorEastAsia"/>
          <w:bCs/>
          <w:sz w:val="36"/>
          <w:szCs w:val="36"/>
        </w:rPr>
        <w:t>正（副）本</w:t>
      </w:r>
    </w:p>
    <w:p>
      <w:pPr>
        <w:rPr>
          <w:rFonts w:asciiTheme="majorEastAsia" w:hAnsiTheme="majorEastAsia" w:eastAsiaTheme="majorEastAsia"/>
          <w:bCs/>
          <w:sz w:val="36"/>
          <w:szCs w:val="36"/>
          <w:u w:val="single"/>
        </w:rPr>
      </w:pPr>
      <w:r>
        <w:rPr>
          <w:rFonts w:hint="eastAsia" w:asciiTheme="majorEastAsia" w:hAnsiTheme="majorEastAsia" w:eastAsiaTheme="majorEastAsia"/>
          <w:bCs/>
          <w:sz w:val="52"/>
          <w:szCs w:val="52"/>
          <w:u w:val="single"/>
        </w:rPr>
        <w:t xml:space="preserve">           (项目名称)  （标段）            </w:t>
      </w:r>
    </w:p>
    <w:p>
      <w:pPr>
        <w:spacing w:line="360" w:lineRule="auto"/>
        <w:rPr>
          <w:rFonts w:asciiTheme="majorEastAsia" w:hAnsiTheme="majorEastAsia" w:eastAsiaTheme="majorEastAsia"/>
          <w:sz w:val="36"/>
          <w:szCs w:val="36"/>
        </w:rPr>
      </w:pPr>
    </w:p>
    <w:p>
      <w:pPr>
        <w:spacing w:line="360" w:lineRule="auto"/>
        <w:jc w:val="center"/>
        <w:rPr>
          <w:rFonts w:asciiTheme="majorEastAsia" w:hAnsiTheme="majorEastAsia" w:eastAsiaTheme="majorEastAsia"/>
          <w:b/>
          <w:sz w:val="52"/>
          <w:szCs w:val="52"/>
        </w:rPr>
      </w:pPr>
      <w:r>
        <w:rPr>
          <w:rFonts w:hint="eastAsia" w:asciiTheme="majorEastAsia" w:hAnsiTheme="majorEastAsia" w:eastAsiaTheme="majorEastAsia"/>
          <w:sz w:val="36"/>
          <w:szCs w:val="36"/>
        </w:rPr>
        <w:t>建安建工公字〔2020〕   号</w:t>
      </w:r>
    </w:p>
    <w:p>
      <w:pPr>
        <w:spacing w:line="360" w:lineRule="auto"/>
        <w:jc w:val="center"/>
        <w:rPr>
          <w:rFonts w:asciiTheme="majorEastAsia" w:hAnsiTheme="majorEastAsia" w:eastAsiaTheme="majorEastAsia"/>
          <w:b/>
          <w:sz w:val="52"/>
          <w:szCs w:val="52"/>
        </w:rPr>
      </w:pPr>
    </w:p>
    <w:p>
      <w:pPr>
        <w:spacing w:line="360" w:lineRule="auto"/>
        <w:jc w:val="center"/>
        <w:rPr>
          <w:rFonts w:asciiTheme="majorEastAsia" w:hAnsiTheme="majorEastAsia" w:eastAsiaTheme="majorEastAsia"/>
          <w:b/>
          <w:sz w:val="72"/>
          <w:szCs w:val="72"/>
        </w:rPr>
      </w:pPr>
      <w:r>
        <w:rPr>
          <w:rFonts w:hint="eastAsia" w:asciiTheme="majorEastAsia" w:hAnsiTheme="majorEastAsia" w:eastAsiaTheme="majorEastAsia"/>
          <w:b/>
          <w:sz w:val="72"/>
          <w:szCs w:val="72"/>
        </w:rPr>
        <w:t>投 标 文 件</w:t>
      </w:r>
    </w:p>
    <w:p>
      <w:pPr>
        <w:spacing w:line="360" w:lineRule="auto"/>
        <w:jc w:val="center"/>
        <w:rPr>
          <w:rFonts w:asciiTheme="minorEastAsia" w:hAnsiTheme="minorEastAsia" w:eastAsiaTheme="minorEastAsia"/>
          <w:b/>
          <w:sz w:val="52"/>
          <w:szCs w:val="52"/>
        </w:rPr>
      </w:pPr>
      <w:r>
        <w:rPr>
          <w:rFonts w:hint="eastAsia" w:asciiTheme="minorEastAsia" w:hAnsiTheme="minorEastAsia" w:eastAsiaTheme="minorEastAsia"/>
          <w:b/>
          <w:sz w:val="52"/>
          <w:szCs w:val="52"/>
        </w:rPr>
        <w:t>第一信封</w:t>
      </w:r>
    </w:p>
    <w:p>
      <w:pPr>
        <w:spacing w:line="360" w:lineRule="auto"/>
        <w:jc w:val="center"/>
        <w:rPr>
          <w:rFonts w:asciiTheme="majorEastAsia" w:hAnsiTheme="majorEastAsia" w:eastAsiaTheme="majorEastAsia"/>
          <w:b/>
          <w:sz w:val="52"/>
          <w:szCs w:val="52"/>
        </w:rPr>
      </w:pPr>
      <w:r>
        <w:rPr>
          <w:rFonts w:hint="eastAsia" w:asciiTheme="majorEastAsia" w:hAnsiTheme="majorEastAsia" w:eastAsiaTheme="majorEastAsia"/>
          <w:b/>
          <w:sz w:val="52"/>
          <w:szCs w:val="52"/>
        </w:rPr>
        <w:t>（商务及技术文件）</w:t>
      </w:r>
    </w:p>
    <w:p>
      <w:pPr>
        <w:spacing w:line="360" w:lineRule="auto"/>
        <w:rPr>
          <w:rFonts w:asciiTheme="majorEastAsia" w:hAnsiTheme="majorEastAsia" w:eastAsiaTheme="majorEastAsia"/>
          <w:b/>
          <w:sz w:val="32"/>
          <w:szCs w:val="32"/>
        </w:rPr>
      </w:pPr>
    </w:p>
    <w:p>
      <w:pPr>
        <w:spacing w:line="360" w:lineRule="auto"/>
        <w:rPr>
          <w:rFonts w:asciiTheme="majorEastAsia" w:hAnsiTheme="majorEastAsia" w:eastAsiaTheme="majorEastAsia"/>
          <w:b/>
          <w:sz w:val="32"/>
          <w:szCs w:val="32"/>
        </w:rPr>
      </w:pPr>
    </w:p>
    <w:p>
      <w:pPr>
        <w:spacing w:line="360" w:lineRule="auto"/>
        <w:rPr>
          <w:rFonts w:asciiTheme="majorEastAsia" w:hAnsiTheme="majorEastAsia" w:eastAsiaTheme="majorEastAsia"/>
          <w:b/>
          <w:sz w:val="32"/>
          <w:szCs w:val="32"/>
        </w:rPr>
      </w:pPr>
    </w:p>
    <w:p>
      <w:pPr>
        <w:spacing w:line="360" w:lineRule="auto"/>
        <w:rPr>
          <w:rFonts w:asciiTheme="majorEastAsia" w:hAnsiTheme="majorEastAsia" w:eastAsiaTheme="majorEastAsia"/>
          <w:b/>
          <w:sz w:val="32"/>
          <w:szCs w:val="32"/>
        </w:rPr>
      </w:pPr>
    </w:p>
    <w:p>
      <w:pPr>
        <w:spacing w:line="360" w:lineRule="auto"/>
        <w:rPr>
          <w:rFonts w:asciiTheme="majorEastAsia" w:hAnsiTheme="majorEastAsia" w:eastAsiaTheme="majorEastAsia"/>
          <w:b/>
          <w:sz w:val="32"/>
          <w:szCs w:val="32"/>
        </w:rPr>
      </w:pPr>
    </w:p>
    <w:p>
      <w:pPr>
        <w:spacing w:line="800" w:lineRule="exact"/>
        <w:ind w:firstLine="1590" w:firstLineChars="495"/>
        <w:rPr>
          <w:rFonts w:asciiTheme="majorEastAsia" w:hAnsiTheme="majorEastAsia" w:eastAsiaTheme="majorEastAsia"/>
          <w:b/>
          <w:sz w:val="32"/>
          <w:szCs w:val="32"/>
        </w:rPr>
      </w:pPr>
      <w:r>
        <w:rPr>
          <w:rFonts w:hint="eastAsia" w:asciiTheme="majorEastAsia" w:hAnsiTheme="majorEastAsia" w:eastAsiaTheme="majorEastAsia"/>
          <w:b/>
          <w:sz w:val="32"/>
          <w:szCs w:val="32"/>
        </w:rPr>
        <w:t>投  标  人：（盖单位章）</w:t>
      </w:r>
    </w:p>
    <w:p>
      <w:pPr>
        <w:spacing w:line="800" w:lineRule="exact"/>
        <w:ind w:firstLine="1590" w:firstLineChars="495"/>
        <w:rPr>
          <w:rFonts w:asciiTheme="majorEastAsia" w:hAnsiTheme="majorEastAsia" w:eastAsiaTheme="majorEastAsia"/>
          <w:b/>
          <w:sz w:val="32"/>
          <w:szCs w:val="32"/>
        </w:rPr>
      </w:pPr>
      <w:r>
        <w:rPr>
          <w:rFonts w:hint="eastAsia" w:asciiTheme="majorEastAsia" w:hAnsiTheme="majorEastAsia" w:eastAsiaTheme="majorEastAsia"/>
          <w:b/>
          <w:sz w:val="32"/>
          <w:szCs w:val="32"/>
        </w:rPr>
        <w:t>法定代表人或其委托代理人：（签字）</w:t>
      </w:r>
    </w:p>
    <w:p>
      <w:pPr>
        <w:spacing w:line="800" w:lineRule="exact"/>
        <w:ind w:firstLine="1590" w:firstLineChars="495"/>
        <w:rPr>
          <w:rFonts w:asciiTheme="majorEastAsia" w:hAnsiTheme="majorEastAsia" w:eastAsiaTheme="majorEastAsia"/>
          <w:b/>
          <w:sz w:val="32"/>
          <w:szCs w:val="32"/>
        </w:rPr>
      </w:pPr>
      <w:r>
        <w:rPr>
          <w:rFonts w:hint="eastAsia" w:asciiTheme="majorEastAsia" w:hAnsiTheme="majorEastAsia" w:eastAsiaTheme="majorEastAsia"/>
          <w:b/>
          <w:sz w:val="32"/>
          <w:szCs w:val="32"/>
        </w:rPr>
        <w:t>日      期：   年   月    日</w:t>
      </w:r>
    </w:p>
    <w:p>
      <w:pPr>
        <w:jc w:val="center"/>
        <w:rPr>
          <w:rFonts w:ascii="黑体" w:hAnsi="宋体" w:eastAsia="黑体"/>
          <w:b/>
          <w:sz w:val="36"/>
          <w:szCs w:val="36"/>
        </w:rPr>
      </w:pPr>
    </w:p>
    <w:p>
      <w:pPr>
        <w:pageBreakBefore/>
        <w:jc w:val="center"/>
        <w:rPr>
          <w:rFonts w:ascii="黑体" w:hAnsi="宋体" w:eastAsia="黑体"/>
          <w:b/>
          <w:sz w:val="36"/>
          <w:szCs w:val="36"/>
        </w:rPr>
      </w:pPr>
      <w:r>
        <w:rPr>
          <w:rFonts w:hint="eastAsia" w:ascii="黑体" w:hAnsi="宋体" w:eastAsia="黑体"/>
          <w:b/>
          <w:sz w:val="36"/>
          <w:szCs w:val="36"/>
        </w:rPr>
        <w:t xml:space="preserve">目 </w:t>
      </w:r>
      <w:r>
        <w:rPr>
          <w:rFonts w:hint="eastAsia" w:ascii="黑体" w:hAnsi="宋体" w:eastAsia="黑体"/>
          <w:b/>
          <w:sz w:val="36"/>
          <w:szCs w:val="36"/>
        </w:rPr>
        <w:tab/>
      </w:r>
      <w:r>
        <w:rPr>
          <w:rFonts w:hint="eastAsia" w:ascii="黑体" w:hAnsi="宋体" w:eastAsia="黑体"/>
          <w:b/>
          <w:sz w:val="36"/>
          <w:szCs w:val="36"/>
        </w:rPr>
        <w:t>录</w:t>
      </w:r>
    </w:p>
    <w:p>
      <w:pPr>
        <w:rPr>
          <w:rFonts w:ascii="宋体" w:hAnsi="宋体"/>
          <w:sz w:val="24"/>
        </w:rPr>
      </w:pPr>
    </w:p>
    <w:p>
      <w:pPr>
        <w:spacing w:line="480" w:lineRule="auto"/>
        <w:ind w:firstLine="700" w:firstLineChars="250"/>
        <w:rPr>
          <w:rFonts w:ascii="宋体" w:hAnsi="宋体"/>
          <w:sz w:val="28"/>
          <w:szCs w:val="28"/>
        </w:rPr>
      </w:pPr>
      <w:r>
        <w:rPr>
          <w:rFonts w:hint="eastAsia" w:ascii="宋体" w:hAnsi="宋体"/>
          <w:sz w:val="28"/>
          <w:szCs w:val="28"/>
        </w:rPr>
        <w:t>一、</w:t>
      </w:r>
      <w:r>
        <w:rPr>
          <w:rFonts w:ascii="宋体" w:hAnsi="宋体"/>
          <w:sz w:val="28"/>
          <w:szCs w:val="28"/>
        </w:rPr>
        <w:t>投标函及投标函附录；</w:t>
      </w:r>
    </w:p>
    <w:p>
      <w:pPr>
        <w:spacing w:line="480" w:lineRule="auto"/>
        <w:ind w:firstLine="700" w:firstLineChars="250"/>
        <w:rPr>
          <w:rFonts w:ascii="宋体" w:hAnsi="宋体"/>
          <w:sz w:val="28"/>
          <w:szCs w:val="28"/>
        </w:rPr>
      </w:pPr>
      <w:r>
        <w:rPr>
          <w:rFonts w:hint="eastAsia" w:ascii="宋体" w:hAnsi="宋体"/>
          <w:sz w:val="28"/>
          <w:szCs w:val="28"/>
        </w:rPr>
        <w:t>二、</w:t>
      </w:r>
      <w:r>
        <w:rPr>
          <w:rFonts w:ascii="宋体" w:hAnsi="宋体"/>
          <w:sz w:val="28"/>
          <w:szCs w:val="28"/>
        </w:rPr>
        <w:t>法定代表人身份证明</w:t>
      </w:r>
      <w:r>
        <w:rPr>
          <w:rFonts w:hint="eastAsia" w:ascii="宋体" w:hAnsi="宋体"/>
          <w:sz w:val="28"/>
          <w:szCs w:val="28"/>
        </w:rPr>
        <w:t>及</w:t>
      </w:r>
      <w:r>
        <w:rPr>
          <w:rFonts w:ascii="宋体" w:hAnsi="宋体"/>
          <w:sz w:val="28"/>
          <w:szCs w:val="28"/>
        </w:rPr>
        <w:t>授权委托书</w:t>
      </w:r>
      <w:r>
        <w:rPr>
          <w:rFonts w:hint="eastAsia" w:ascii="宋体" w:hAnsi="宋体"/>
          <w:sz w:val="28"/>
          <w:szCs w:val="28"/>
        </w:rPr>
        <w:t>；</w:t>
      </w:r>
    </w:p>
    <w:p>
      <w:pPr>
        <w:spacing w:line="480" w:lineRule="auto"/>
        <w:ind w:firstLine="700" w:firstLineChars="250"/>
        <w:rPr>
          <w:rFonts w:ascii="宋体" w:hAnsi="宋体"/>
          <w:sz w:val="28"/>
          <w:szCs w:val="28"/>
        </w:rPr>
      </w:pPr>
      <w:r>
        <w:rPr>
          <w:rFonts w:hint="eastAsia" w:ascii="宋体" w:hAnsi="宋体"/>
          <w:sz w:val="28"/>
          <w:szCs w:val="28"/>
        </w:rPr>
        <w:t>三、</w:t>
      </w:r>
      <w:r>
        <w:rPr>
          <w:rFonts w:ascii="宋体" w:hAnsi="宋体"/>
          <w:sz w:val="28"/>
          <w:szCs w:val="28"/>
        </w:rPr>
        <w:t>投标保证金；</w:t>
      </w:r>
    </w:p>
    <w:p>
      <w:pPr>
        <w:spacing w:line="480" w:lineRule="auto"/>
        <w:ind w:firstLine="700" w:firstLineChars="250"/>
        <w:rPr>
          <w:rFonts w:ascii="宋体" w:hAnsi="宋体"/>
          <w:sz w:val="28"/>
          <w:szCs w:val="28"/>
        </w:rPr>
      </w:pPr>
      <w:r>
        <w:rPr>
          <w:rFonts w:hint="eastAsia" w:ascii="宋体" w:hAnsi="宋体"/>
          <w:sz w:val="28"/>
          <w:szCs w:val="28"/>
        </w:rPr>
        <w:t>四、</w:t>
      </w:r>
      <w:r>
        <w:rPr>
          <w:rFonts w:ascii="宋体" w:hAnsi="宋体"/>
          <w:sz w:val="28"/>
          <w:szCs w:val="28"/>
        </w:rPr>
        <w:t>施工组织设计；</w:t>
      </w:r>
    </w:p>
    <w:p>
      <w:pPr>
        <w:spacing w:line="480" w:lineRule="auto"/>
        <w:ind w:firstLine="700" w:firstLineChars="250"/>
        <w:rPr>
          <w:rFonts w:ascii="宋体" w:hAnsi="宋体"/>
          <w:sz w:val="28"/>
          <w:szCs w:val="28"/>
        </w:rPr>
      </w:pPr>
      <w:r>
        <w:rPr>
          <w:rFonts w:hint="eastAsia" w:ascii="宋体" w:hAnsi="宋体"/>
          <w:sz w:val="28"/>
          <w:szCs w:val="28"/>
        </w:rPr>
        <w:t>五、</w:t>
      </w:r>
      <w:r>
        <w:rPr>
          <w:rFonts w:ascii="宋体" w:hAnsi="宋体"/>
          <w:sz w:val="28"/>
          <w:szCs w:val="28"/>
        </w:rPr>
        <w:t>项目管理机构；</w:t>
      </w:r>
    </w:p>
    <w:p>
      <w:pPr>
        <w:spacing w:line="480" w:lineRule="auto"/>
        <w:ind w:firstLine="700" w:firstLineChars="250"/>
        <w:rPr>
          <w:rFonts w:ascii="宋体" w:hAnsi="宋体"/>
          <w:sz w:val="28"/>
          <w:szCs w:val="28"/>
        </w:rPr>
      </w:pPr>
      <w:r>
        <w:rPr>
          <w:rFonts w:hint="eastAsia" w:ascii="宋体" w:hAnsi="宋体"/>
          <w:sz w:val="28"/>
          <w:szCs w:val="28"/>
        </w:rPr>
        <w:t>六、</w:t>
      </w:r>
      <w:r>
        <w:rPr>
          <w:rFonts w:ascii="宋体" w:hAnsi="宋体"/>
          <w:sz w:val="28"/>
          <w:szCs w:val="28"/>
        </w:rPr>
        <w:t>资格审查资料；</w:t>
      </w:r>
    </w:p>
    <w:p>
      <w:pPr>
        <w:spacing w:line="480" w:lineRule="auto"/>
        <w:ind w:firstLine="700" w:firstLineChars="250"/>
        <w:rPr>
          <w:rFonts w:ascii="宋体" w:hAnsi="宋体"/>
          <w:sz w:val="28"/>
          <w:szCs w:val="28"/>
        </w:rPr>
      </w:pPr>
      <w:r>
        <w:rPr>
          <w:rFonts w:hint="eastAsia" w:ascii="宋体" w:hAnsi="宋体"/>
          <w:sz w:val="28"/>
          <w:szCs w:val="28"/>
        </w:rPr>
        <w:t>七、主要进场管理人员和技术人员最低要求；</w:t>
      </w:r>
    </w:p>
    <w:p>
      <w:pPr>
        <w:spacing w:line="480" w:lineRule="auto"/>
        <w:ind w:firstLine="700" w:firstLineChars="250"/>
        <w:rPr>
          <w:rFonts w:ascii="宋体" w:hAnsi="宋体"/>
          <w:sz w:val="28"/>
          <w:szCs w:val="28"/>
        </w:rPr>
      </w:pPr>
      <w:r>
        <w:rPr>
          <w:rFonts w:hint="eastAsia" w:ascii="宋体" w:hAnsi="宋体"/>
          <w:sz w:val="28"/>
          <w:szCs w:val="28"/>
        </w:rPr>
        <w:t>八、农民工工资支付承诺书；</w:t>
      </w:r>
    </w:p>
    <w:p>
      <w:pPr>
        <w:spacing w:line="480" w:lineRule="auto"/>
        <w:ind w:firstLine="700" w:firstLineChars="250"/>
        <w:rPr>
          <w:rFonts w:ascii="宋体" w:hAnsi="宋体"/>
          <w:sz w:val="28"/>
          <w:szCs w:val="28"/>
        </w:rPr>
      </w:pPr>
      <w:r>
        <w:rPr>
          <w:rFonts w:hint="eastAsia" w:ascii="宋体" w:hAnsi="宋体"/>
          <w:sz w:val="28"/>
          <w:szCs w:val="28"/>
        </w:rPr>
        <w:t>九、扬尘治理专项承诺书；</w:t>
      </w:r>
    </w:p>
    <w:p>
      <w:pPr>
        <w:spacing w:line="480" w:lineRule="auto"/>
        <w:ind w:firstLine="700" w:firstLineChars="250"/>
        <w:rPr>
          <w:rFonts w:ascii="宋体" w:hAnsi="宋体"/>
          <w:sz w:val="28"/>
          <w:szCs w:val="28"/>
        </w:rPr>
      </w:pPr>
      <w:r>
        <w:rPr>
          <w:rFonts w:hint="eastAsia" w:ascii="宋体" w:hAnsi="宋体"/>
          <w:sz w:val="28"/>
          <w:szCs w:val="28"/>
        </w:rPr>
        <w:t>十、其他材料。</w:t>
      </w:r>
    </w:p>
    <w:p>
      <w:pPr>
        <w:spacing w:line="440" w:lineRule="exact"/>
        <w:rPr>
          <w:rFonts w:ascii="宋体" w:hAnsi="宋体"/>
          <w:sz w:val="24"/>
        </w:rPr>
      </w:pPr>
    </w:p>
    <w:p>
      <w:pPr>
        <w:rPr>
          <w:rFonts w:ascii="黑体" w:hAnsi="宋体" w:eastAsia="黑体"/>
          <w:b/>
          <w:sz w:val="36"/>
          <w:szCs w:val="36"/>
        </w:rPr>
      </w:pPr>
    </w:p>
    <w:p>
      <w:pPr>
        <w:rPr>
          <w:rFonts w:ascii="黑体" w:eastAsia="黑体"/>
          <w:sz w:val="52"/>
          <w:szCs w:val="52"/>
        </w:rPr>
      </w:pPr>
    </w:p>
    <w:p>
      <w:pPr>
        <w:rPr>
          <w:rFonts w:ascii="黑体" w:eastAsia="黑体"/>
          <w:sz w:val="52"/>
          <w:szCs w:val="52"/>
        </w:rPr>
      </w:pPr>
    </w:p>
    <w:p>
      <w:pPr>
        <w:rPr>
          <w:rFonts w:ascii="黑体" w:eastAsia="黑体"/>
          <w:sz w:val="52"/>
          <w:szCs w:val="52"/>
        </w:rPr>
      </w:pPr>
    </w:p>
    <w:p>
      <w:pPr>
        <w:rPr>
          <w:rFonts w:ascii="黑体" w:eastAsia="黑体"/>
          <w:sz w:val="52"/>
          <w:szCs w:val="52"/>
        </w:rPr>
      </w:pPr>
    </w:p>
    <w:p>
      <w:pPr>
        <w:rPr>
          <w:rFonts w:ascii="黑体" w:eastAsia="黑体"/>
          <w:sz w:val="52"/>
          <w:szCs w:val="52"/>
        </w:rPr>
      </w:pPr>
    </w:p>
    <w:p>
      <w:pPr>
        <w:rPr>
          <w:rFonts w:ascii="黑体" w:eastAsia="黑体"/>
          <w:sz w:val="52"/>
          <w:szCs w:val="52"/>
        </w:rPr>
      </w:pPr>
    </w:p>
    <w:p>
      <w:pPr>
        <w:pStyle w:val="6"/>
        <w:spacing w:beforeLines="50" w:after="0" w:line="360" w:lineRule="exact"/>
        <w:jc w:val="center"/>
        <w:rPr>
          <w:rFonts w:ascii="黑体" w:hAnsi="宋体" w:eastAsia="黑体"/>
          <w:sz w:val="28"/>
          <w:szCs w:val="28"/>
        </w:rPr>
      </w:pPr>
      <w:bookmarkStart w:id="223" w:name="_Toc4791"/>
      <w:bookmarkStart w:id="224" w:name="_Toc486277922"/>
      <w:bookmarkStart w:id="225" w:name="_Toc234382957"/>
      <w:bookmarkStart w:id="226" w:name="_Toc485889055"/>
      <w:r>
        <w:rPr>
          <w:rFonts w:hint="eastAsia" w:ascii="黑体" w:hAnsi="宋体" w:eastAsia="黑体"/>
          <w:sz w:val="28"/>
          <w:szCs w:val="28"/>
        </w:rPr>
        <w:t>一、投标函及投标函附录</w:t>
      </w:r>
      <w:bookmarkEnd w:id="223"/>
      <w:bookmarkEnd w:id="224"/>
      <w:bookmarkEnd w:id="225"/>
      <w:bookmarkEnd w:id="226"/>
    </w:p>
    <w:p>
      <w:pPr>
        <w:pStyle w:val="6"/>
        <w:spacing w:beforeLines="50" w:after="0" w:line="360" w:lineRule="exact"/>
        <w:jc w:val="center"/>
        <w:rPr>
          <w:rFonts w:ascii="黑体" w:hAnsi="宋体" w:eastAsia="黑体"/>
          <w:sz w:val="28"/>
          <w:szCs w:val="28"/>
        </w:rPr>
      </w:pPr>
      <w:bookmarkStart w:id="227" w:name="_Toc486277923"/>
      <w:bookmarkStart w:id="228" w:name="_Toc485889056"/>
      <w:bookmarkStart w:id="229" w:name="_Toc234382958"/>
      <w:bookmarkStart w:id="230" w:name="_Toc18643"/>
      <w:r>
        <w:rPr>
          <w:rFonts w:hint="eastAsia" w:ascii="黑体" w:hAnsi="宋体" w:eastAsia="黑体"/>
          <w:sz w:val="28"/>
          <w:szCs w:val="28"/>
        </w:rPr>
        <w:t>（一）投标函</w:t>
      </w:r>
      <w:bookmarkEnd w:id="227"/>
      <w:bookmarkEnd w:id="228"/>
      <w:bookmarkEnd w:id="229"/>
      <w:bookmarkEnd w:id="230"/>
    </w:p>
    <w:p>
      <w:pPr>
        <w:spacing w:line="360" w:lineRule="auto"/>
        <w:rPr>
          <w:rFonts w:ascii="宋体" w:hAnsi="宋体"/>
          <w:sz w:val="24"/>
        </w:rPr>
      </w:pPr>
      <w:r>
        <w:rPr>
          <w:rFonts w:hint="eastAsia" w:ascii="宋体" w:hAnsi="宋体"/>
          <w:sz w:val="24"/>
        </w:rPr>
        <w:t>___________</w:t>
      </w:r>
      <w:r>
        <w:rPr>
          <w:rFonts w:ascii="宋体" w:hAnsi="宋体"/>
          <w:sz w:val="24"/>
        </w:rPr>
        <w:t>（招标人名称）：</w:t>
      </w:r>
    </w:p>
    <w:p>
      <w:pPr>
        <w:spacing w:line="360" w:lineRule="auto"/>
        <w:ind w:firstLine="480" w:firstLineChars="200"/>
        <w:rPr>
          <w:rFonts w:ascii="宋体" w:hAnsi="宋体"/>
          <w:sz w:val="24"/>
        </w:rPr>
      </w:pPr>
      <w:r>
        <w:rPr>
          <w:rFonts w:hint="eastAsia" w:ascii="宋体" w:hAnsi="宋体"/>
          <w:sz w:val="24"/>
        </w:rPr>
        <w:t>1．我方已仔细研究___________________________________(项目名称)（标段）施工招标文件的全部内容(含补遗书第___号至第___号)，在考察工程现场后，愿意以第二个信封（报价文件）中的投标总报价(或根据招标文件规定修正核实后确定的另一金额)，工期______日历天，按合同约定实施和完成承包工程，修补工程中的任何缺陷，工程质量达到_________，安全目标达到_________。</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我方承诺在投标有效期内不修改、撤销投标文件。</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随同本投标函提交投标保证金一份，金额为人民币（大写）</w:t>
      </w:r>
      <w:r>
        <w:rPr>
          <w:rFonts w:hint="eastAsia" w:ascii="宋体" w:hAnsi="宋体"/>
          <w:sz w:val="24"/>
        </w:rPr>
        <w:t xml:space="preserve">_______  </w:t>
      </w:r>
      <w:r>
        <w:rPr>
          <w:rFonts w:ascii="宋体" w:hAnsi="宋体"/>
          <w:sz w:val="24"/>
        </w:rPr>
        <w:t>元（¥</w:t>
      </w:r>
      <w:r>
        <w:rPr>
          <w:rFonts w:hint="eastAsia" w:ascii="宋体" w:hAnsi="宋体"/>
          <w:sz w:val="24"/>
        </w:rPr>
        <w:t>_______</w:t>
      </w:r>
      <w:r>
        <w:rPr>
          <w:rFonts w:ascii="宋体" w:hAnsi="宋体"/>
          <w:sz w:val="24"/>
        </w:rPr>
        <w:t>）。</w:t>
      </w:r>
    </w:p>
    <w:p>
      <w:pPr>
        <w:spacing w:line="360" w:lineRule="auto"/>
        <w:ind w:firstLine="480" w:firstLineChars="200"/>
        <w:rPr>
          <w:rFonts w:ascii="宋体" w:hAnsi="宋体"/>
          <w:sz w:val="24"/>
        </w:rPr>
      </w:pPr>
      <w:r>
        <w:rPr>
          <w:rFonts w:ascii="宋体" w:hAnsi="宋体"/>
          <w:sz w:val="24"/>
        </w:rPr>
        <w:t>4</w:t>
      </w:r>
      <w:r>
        <w:rPr>
          <w:rFonts w:hint="eastAsia" w:ascii="宋体" w:hAnsi="宋体"/>
          <w:sz w:val="24"/>
        </w:rPr>
        <w:t>.</w:t>
      </w:r>
      <w:r>
        <w:rPr>
          <w:rFonts w:ascii="宋体" w:hAnsi="宋体"/>
          <w:sz w:val="24"/>
        </w:rPr>
        <w:t>如我方中标：</w:t>
      </w:r>
    </w:p>
    <w:p>
      <w:pPr>
        <w:spacing w:line="360" w:lineRule="auto"/>
        <w:ind w:firstLine="480" w:firstLineChars="200"/>
        <w:rPr>
          <w:rFonts w:ascii="宋体" w:hAnsi="宋体"/>
          <w:sz w:val="24"/>
        </w:rPr>
      </w:pPr>
      <w:r>
        <w:rPr>
          <w:rFonts w:ascii="宋体" w:hAnsi="宋体"/>
          <w:sz w:val="24"/>
        </w:rPr>
        <w:t>（1）我方承诺在收到中标通知书后，在中标通知书规定的期限内与你方签订合同。</w:t>
      </w:r>
    </w:p>
    <w:p>
      <w:pPr>
        <w:spacing w:line="360" w:lineRule="auto"/>
        <w:ind w:firstLine="480" w:firstLineChars="200"/>
        <w:rPr>
          <w:rFonts w:ascii="宋体" w:hAnsi="宋体"/>
          <w:sz w:val="24"/>
        </w:rPr>
      </w:pPr>
      <w:r>
        <w:rPr>
          <w:rFonts w:ascii="宋体" w:hAnsi="宋体"/>
          <w:sz w:val="24"/>
        </w:rPr>
        <w:t>（2）随同本投标函递交的投标函附录属于合同文件的组成部分。</w:t>
      </w:r>
    </w:p>
    <w:p>
      <w:pPr>
        <w:spacing w:line="360" w:lineRule="auto"/>
        <w:ind w:firstLine="480" w:firstLineChars="200"/>
        <w:rPr>
          <w:rFonts w:ascii="宋体" w:hAnsi="宋体"/>
          <w:sz w:val="24"/>
        </w:rPr>
      </w:pPr>
      <w:r>
        <w:rPr>
          <w:rFonts w:ascii="宋体" w:hAnsi="宋体"/>
          <w:sz w:val="24"/>
        </w:rPr>
        <w:t>（3）我方承诺按照招标文件规定向你方递交履约担保。</w:t>
      </w:r>
    </w:p>
    <w:p>
      <w:pPr>
        <w:spacing w:line="360" w:lineRule="auto"/>
        <w:ind w:firstLine="480" w:firstLineChars="200"/>
        <w:rPr>
          <w:rFonts w:ascii="宋体" w:hAnsi="宋体"/>
          <w:sz w:val="24"/>
        </w:rPr>
      </w:pPr>
      <w:r>
        <w:rPr>
          <w:rFonts w:ascii="宋体" w:hAnsi="宋体"/>
          <w:sz w:val="24"/>
        </w:rPr>
        <w:t>（4）我方承诺在合同约定的期限内完成并移交全部合同工程。</w:t>
      </w:r>
    </w:p>
    <w:p>
      <w:pPr>
        <w:spacing w:line="360" w:lineRule="auto"/>
        <w:ind w:firstLine="480" w:firstLineChars="200"/>
        <w:rPr>
          <w:rFonts w:ascii="宋体" w:hAnsi="宋体"/>
          <w:sz w:val="24"/>
        </w:rPr>
      </w:pPr>
      <w:r>
        <w:rPr>
          <w:rFonts w:ascii="宋体" w:hAnsi="宋体"/>
          <w:sz w:val="24"/>
        </w:rPr>
        <w:t>5</w:t>
      </w:r>
      <w:r>
        <w:rPr>
          <w:rFonts w:hint="eastAsia" w:ascii="宋体" w:hAnsi="宋体"/>
          <w:sz w:val="24"/>
        </w:rPr>
        <w:t>.</w:t>
      </w:r>
      <w:r>
        <w:rPr>
          <w:rFonts w:ascii="宋体" w:hAnsi="宋体"/>
          <w:sz w:val="24"/>
        </w:rPr>
        <w:t>我方在此声明，所递交的投标文件及有关资料内容完整、真实和准确，且不存在第二章“投标人须知”第1.4.3项规定的任何一种情形。</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.在合同协议书正式签署生效之前，本投标函连同你方的中标通知书将构成我们双方之间共同遵守的文件，对双方具有约束力。</w:t>
      </w:r>
    </w:p>
    <w:p>
      <w:pPr>
        <w:spacing w:line="360" w:lineRule="exact"/>
        <w:rPr>
          <w:rFonts w:ascii="宋体" w:hAnsi="宋体"/>
          <w:sz w:val="18"/>
          <w:szCs w:val="18"/>
        </w:rPr>
      </w:pPr>
    </w:p>
    <w:p>
      <w:pPr>
        <w:tabs>
          <w:tab w:val="left" w:pos="2977"/>
          <w:tab w:val="left" w:pos="3261"/>
        </w:tabs>
        <w:spacing w:line="360" w:lineRule="auto"/>
        <w:ind w:firstLine="2760" w:firstLineChars="1150"/>
        <w:rPr>
          <w:rFonts w:ascii="宋体" w:hAnsi="宋体"/>
          <w:sz w:val="24"/>
          <w:u w:val="single"/>
        </w:rPr>
      </w:pPr>
      <w:r>
        <w:rPr>
          <w:rFonts w:ascii="宋体" w:hAnsi="宋体"/>
          <w:sz w:val="24"/>
        </w:rPr>
        <w:t>投标人：（盖单位章）</w:t>
      </w:r>
    </w:p>
    <w:p>
      <w:pPr>
        <w:spacing w:line="360" w:lineRule="auto"/>
        <w:ind w:firstLine="2760" w:firstLineChars="1150"/>
        <w:rPr>
          <w:rFonts w:ascii="宋体" w:hAnsi="宋体"/>
          <w:sz w:val="24"/>
        </w:rPr>
      </w:pPr>
      <w:r>
        <w:rPr>
          <w:rFonts w:ascii="宋体" w:hAnsi="宋体"/>
          <w:sz w:val="24"/>
        </w:rPr>
        <w:t>法定代表人或其委托代理人：（签字）</w:t>
      </w:r>
    </w:p>
    <w:p>
      <w:pPr>
        <w:spacing w:line="360" w:lineRule="auto"/>
        <w:ind w:firstLine="2760" w:firstLineChars="1150"/>
        <w:rPr>
          <w:rFonts w:ascii="宋体" w:hAnsi="宋体"/>
          <w:sz w:val="24"/>
        </w:rPr>
      </w:pPr>
      <w:r>
        <w:rPr>
          <w:rFonts w:hint="eastAsia" w:ascii="宋体" w:hAnsi="宋体"/>
          <w:sz w:val="24"/>
        </w:rPr>
        <w:t xml:space="preserve">日期：    </w:t>
      </w:r>
      <w:r>
        <w:rPr>
          <w:rFonts w:ascii="宋体" w:hAnsi="宋体"/>
          <w:sz w:val="24"/>
        </w:rPr>
        <w:t>年月日</w:t>
      </w:r>
    </w:p>
    <w:p>
      <w:pPr>
        <w:pStyle w:val="6"/>
        <w:spacing w:beforeLines="50" w:afterLines="100" w:line="360" w:lineRule="exact"/>
        <w:jc w:val="center"/>
        <w:rPr>
          <w:sz w:val="24"/>
        </w:rPr>
      </w:pPr>
      <w:r>
        <w:rPr>
          <w:rFonts w:ascii="宋体" w:hAnsi="宋体"/>
          <w:sz w:val="24"/>
        </w:rPr>
        <w:br w:type="page"/>
      </w:r>
      <w:bookmarkStart w:id="231" w:name="_Toc486277924"/>
      <w:bookmarkStart w:id="232" w:name="_Toc485889057"/>
      <w:bookmarkStart w:id="233" w:name="_Toc5832"/>
      <w:bookmarkStart w:id="234" w:name="_Toc234382959"/>
      <w:r>
        <w:rPr>
          <w:rFonts w:hint="eastAsia" w:ascii="黑体" w:hAnsi="宋体" w:eastAsia="黑体"/>
          <w:sz w:val="28"/>
          <w:szCs w:val="28"/>
        </w:rPr>
        <w:t>（二）投标函附录</w:t>
      </w:r>
      <w:bookmarkEnd w:id="231"/>
      <w:bookmarkEnd w:id="232"/>
      <w:bookmarkEnd w:id="233"/>
      <w:bookmarkEnd w:id="234"/>
    </w:p>
    <w:tbl>
      <w:tblPr>
        <w:tblStyle w:val="14"/>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3"/>
        <w:gridCol w:w="2693"/>
        <w:gridCol w:w="1417"/>
        <w:gridCol w:w="3686"/>
        <w:gridCol w:w="11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53" w:type="dxa"/>
            <w:vAlign w:val="center"/>
          </w:tcPr>
          <w:p>
            <w:pPr>
              <w:rPr>
                <w:rFonts w:ascii="宋体" w:hAnsi="宋体"/>
                <w:szCs w:val="21"/>
              </w:rPr>
            </w:pPr>
            <w:r>
              <w:rPr>
                <w:rFonts w:hint="eastAsia" w:ascii="宋体" w:hAnsi="宋体"/>
                <w:szCs w:val="21"/>
              </w:rPr>
              <w:t>序号</w:t>
            </w:r>
          </w:p>
        </w:tc>
        <w:tc>
          <w:tcPr>
            <w:tcW w:w="2693" w:type="dxa"/>
            <w:vAlign w:val="center"/>
          </w:tcPr>
          <w:p>
            <w:pPr>
              <w:rPr>
                <w:rFonts w:ascii="宋体" w:hAnsi="宋体"/>
                <w:szCs w:val="21"/>
              </w:rPr>
            </w:pPr>
            <w:r>
              <w:rPr>
                <w:rFonts w:hint="eastAsia" w:ascii="宋体" w:hAnsi="宋体"/>
                <w:szCs w:val="21"/>
              </w:rPr>
              <w:t>条款名称</w:t>
            </w:r>
          </w:p>
        </w:tc>
        <w:tc>
          <w:tcPr>
            <w:tcW w:w="1417" w:type="dxa"/>
            <w:vAlign w:val="center"/>
          </w:tcPr>
          <w:p>
            <w:pPr>
              <w:rPr>
                <w:rFonts w:ascii="宋体" w:hAnsi="宋体"/>
                <w:szCs w:val="21"/>
              </w:rPr>
            </w:pPr>
            <w:r>
              <w:rPr>
                <w:rFonts w:hint="eastAsia" w:ascii="宋体" w:hAnsi="宋体"/>
                <w:szCs w:val="21"/>
              </w:rPr>
              <w:t>合同条目号</w:t>
            </w:r>
          </w:p>
        </w:tc>
        <w:tc>
          <w:tcPr>
            <w:tcW w:w="3686" w:type="dxa"/>
            <w:vAlign w:val="center"/>
          </w:tcPr>
          <w:p>
            <w:pPr>
              <w:rPr>
                <w:rFonts w:ascii="宋体" w:hAnsi="宋体"/>
                <w:szCs w:val="21"/>
              </w:rPr>
            </w:pPr>
            <w:r>
              <w:rPr>
                <w:rFonts w:hint="eastAsia" w:ascii="宋体" w:hAnsi="宋体"/>
                <w:szCs w:val="21"/>
              </w:rPr>
              <w:t>约定内容</w:t>
            </w:r>
          </w:p>
        </w:tc>
        <w:tc>
          <w:tcPr>
            <w:tcW w:w="1190" w:type="dxa"/>
            <w:vAlign w:val="center"/>
          </w:tcPr>
          <w:p>
            <w:pPr>
              <w:rPr>
                <w:rFonts w:ascii="宋体" w:hAnsi="宋体"/>
                <w:szCs w:val="21"/>
              </w:rPr>
            </w:pPr>
            <w:r>
              <w:rPr>
                <w:rFonts w:hint="eastAsia" w:ascii="宋体"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2" w:hRule="exact"/>
          <w:jc w:val="center"/>
        </w:trPr>
        <w:tc>
          <w:tcPr>
            <w:tcW w:w="653" w:type="dxa"/>
            <w:vAlign w:val="center"/>
          </w:tcPr>
          <w:p>
            <w:pPr>
              <w:rPr>
                <w:rFonts w:ascii="宋体" w:hAnsi="宋体"/>
                <w:szCs w:val="21"/>
              </w:rPr>
            </w:pPr>
            <w:r>
              <w:rPr>
                <w:rFonts w:hint="eastAsia" w:ascii="宋体" w:hAnsi="宋体"/>
                <w:szCs w:val="21"/>
              </w:rPr>
              <w:t>1</w:t>
            </w:r>
          </w:p>
        </w:tc>
        <w:tc>
          <w:tcPr>
            <w:tcW w:w="2693" w:type="dxa"/>
            <w:vAlign w:val="center"/>
          </w:tcPr>
          <w:p>
            <w:pPr>
              <w:rPr>
                <w:rFonts w:ascii="宋体" w:hAnsi="宋体"/>
                <w:szCs w:val="21"/>
              </w:rPr>
            </w:pPr>
            <w:r>
              <w:rPr>
                <w:rFonts w:hint="eastAsia" w:ascii="宋体" w:hAnsi="宋体"/>
                <w:szCs w:val="21"/>
              </w:rPr>
              <w:t>项目经理</w:t>
            </w:r>
          </w:p>
        </w:tc>
        <w:tc>
          <w:tcPr>
            <w:tcW w:w="1417" w:type="dxa"/>
            <w:vAlign w:val="center"/>
          </w:tcPr>
          <w:p>
            <w:pPr>
              <w:rPr>
                <w:rFonts w:ascii="宋体" w:hAnsi="宋体"/>
                <w:szCs w:val="21"/>
              </w:rPr>
            </w:pPr>
          </w:p>
        </w:tc>
        <w:tc>
          <w:tcPr>
            <w:tcW w:w="3686" w:type="dxa"/>
            <w:vAlign w:val="center"/>
          </w:tcPr>
          <w:p>
            <w:pPr>
              <w:ind w:firstLine="210" w:firstLineChars="100"/>
              <w:rPr>
                <w:rFonts w:ascii="宋体" w:hAnsi="宋体"/>
                <w:szCs w:val="21"/>
              </w:rPr>
            </w:pPr>
            <w:r>
              <w:rPr>
                <w:rFonts w:hint="eastAsia" w:ascii="宋体" w:hAnsi="宋体"/>
                <w:szCs w:val="21"/>
              </w:rPr>
              <w:t>姓名：</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5" w:hRule="exact"/>
          <w:jc w:val="center"/>
        </w:trPr>
        <w:tc>
          <w:tcPr>
            <w:tcW w:w="653" w:type="dxa"/>
            <w:vAlign w:val="center"/>
          </w:tcPr>
          <w:p>
            <w:pPr>
              <w:rPr>
                <w:rFonts w:ascii="宋体" w:hAnsi="宋体"/>
                <w:szCs w:val="21"/>
              </w:rPr>
            </w:pPr>
            <w:r>
              <w:rPr>
                <w:rFonts w:hint="eastAsia" w:ascii="宋体" w:hAnsi="宋体"/>
                <w:szCs w:val="21"/>
              </w:rPr>
              <w:t>2</w:t>
            </w:r>
          </w:p>
        </w:tc>
        <w:tc>
          <w:tcPr>
            <w:tcW w:w="2693" w:type="dxa"/>
            <w:vAlign w:val="center"/>
          </w:tcPr>
          <w:p>
            <w:pPr>
              <w:rPr>
                <w:rFonts w:ascii="宋体" w:hAnsi="宋体"/>
                <w:szCs w:val="21"/>
              </w:rPr>
            </w:pPr>
            <w:r>
              <w:rPr>
                <w:rFonts w:hint="eastAsia" w:ascii="宋体" w:hAnsi="宋体"/>
                <w:szCs w:val="21"/>
              </w:rPr>
              <w:t>工期</w:t>
            </w:r>
          </w:p>
        </w:tc>
        <w:tc>
          <w:tcPr>
            <w:tcW w:w="1417" w:type="dxa"/>
            <w:vAlign w:val="center"/>
          </w:tcPr>
          <w:p>
            <w:pPr>
              <w:rPr>
                <w:rFonts w:ascii="宋体" w:hAnsi="宋体"/>
                <w:szCs w:val="21"/>
              </w:rPr>
            </w:pPr>
            <w:r>
              <w:rPr>
                <w:rFonts w:hint="eastAsia" w:ascii="宋体" w:hAnsi="宋体"/>
                <w:szCs w:val="21"/>
              </w:rPr>
              <w:t>1.1.4.3</w:t>
            </w:r>
          </w:p>
        </w:tc>
        <w:tc>
          <w:tcPr>
            <w:tcW w:w="3686" w:type="dxa"/>
            <w:vAlign w:val="center"/>
          </w:tcPr>
          <w:p>
            <w:pPr>
              <w:ind w:firstLine="210" w:firstLineChars="100"/>
              <w:rPr>
                <w:rFonts w:ascii="宋体" w:hAnsi="宋体"/>
                <w:szCs w:val="21"/>
              </w:rPr>
            </w:pPr>
            <w:r>
              <w:rPr>
                <w:rFonts w:hint="eastAsia" w:ascii="宋体" w:hAnsi="宋体"/>
                <w:szCs w:val="21"/>
              </w:rPr>
              <w:t>天数：</w:t>
            </w:r>
            <w:r>
              <w:rPr>
                <w:rFonts w:hint="eastAsia" w:ascii="宋体" w:hAnsi="宋体"/>
                <w:szCs w:val="21"/>
                <w:u w:val="single"/>
              </w:rPr>
              <w:t xml:space="preserve">       日历天</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653" w:type="dxa"/>
            <w:vAlign w:val="center"/>
          </w:tcPr>
          <w:p>
            <w:pPr>
              <w:rPr>
                <w:rFonts w:ascii="宋体" w:hAnsi="宋体"/>
                <w:szCs w:val="21"/>
              </w:rPr>
            </w:pPr>
            <w:r>
              <w:rPr>
                <w:rFonts w:hint="eastAsia" w:ascii="宋体" w:hAnsi="宋体"/>
                <w:szCs w:val="21"/>
              </w:rPr>
              <w:t>3</w:t>
            </w:r>
          </w:p>
        </w:tc>
        <w:tc>
          <w:tcPr>
            <w:tcW w:w="2693" w:type="dxa"/>
            <w:vAlign w:val="center"/>
          </w:tcPr>
          <w:p>
            <w:pPr>
              <w:rPr>
                <w:rFonts w:ascii="宋体" w:hAnsi="宋体"/>
                <w:szCs w:val="21"/>
              </w:rPr>
            </w:pPr>
            <w:r>
              <w:rPr>
                <w:rFonts w:hint="eastAsia" w:ascii="宋体" w:hAnsi="宋体"/>
                <w:szCs w:val="21"/>
              </w:rPr>
              <w:t>缺陷责任期</w:t>
            </w:r>
          </w:p>
        </w:tc>
        <w:tc>
          <w:tcPr>
            <w:tcW w:w="1417" w:type="dxa"/>
            <w:vAlign w:val="center"/>
          </w:tcPr>
          <w:p>
            <w:pPr>
              <w:rPr>
                <w:rFonts w:ascii="宋体" w:hAnsi="宋体"/>
                <w:szCs w:val="21"/>
              </w:rPr>
            </w:pPr>
            <w:r>
              <w:rPr>
                <w:rFonts w:hint="eastAsia" w:ascii="宋体" w:hAnsi="宋体"/>
                <w:szCs w:val="21"/>
              </w:rPr>
              <w:t>1.1.4.5</w:t>
            </w:r>
          </w:p>
        </w:tc>
        <w:tc>
          <w:tcPr>
            <w:tcW w:w="3686" w:type="dxa"/>
            <w:vAlign w:val="center"/>
          </w:tcPr>
          <w:p>
            <w:pPr>
              <w:ind w:firstLine="210" w:firstLineChars="100"/>
              <w:rPr>
                <w:rFonts w:ascii="宋体" w:hAnsi="宋体"/>
                <w:szCs w:val="21"/>
              </w:rPr>
            </w:pPr>
            <w:r>
              <w:rPr>
                <w:rFonts w:hint="eastAsia" w:ascii="宋体" w:hAnsi="宋体"/>
                <w:szCs w:val="21"/>
              </w:rPr>
              <w:t>自实际交工日期起计算</w:t>
            </w:r>
            <w:r>
              <w:rPr>
                <w:rFonts w:hint="eastAsia" w:ascii="宋体" w:hAnsi="宋体"/>
                <w:szCs w:val="21"/>
                <w:u w:val="single"/>
              </w:rPr>
              <w:t xml:space="preserve">  2  </w:t>
            </w:r>
            <w:r>
              <w:rPr>
                <w:rFonts w:hint="eastAsia" w:ascii="宋体" w:hAnsi="宋体"/>
                <w:szCs w:val="21"/>
              </w:rPr>
              <w:t>年</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3" w:hRule="exact"/>
          <w:jc w:val="center"/>
        </w:trPr>
        <w:tc>
          <w:tcPr>
            <w:tcW w:w="653" w:type="dxa"/>
            <w:vAlign w:val="center"/>
          </w:tcPr>
          <w:p>
            <w:pPr>
              <w:rPr>
                <w:rFonts w:ascii="宋体" w:hAnsi="宋体"/>
                <w:szCs w:val="21"/>
              </w:rPr>
            </w:pPr>
            <w:r>
              <w:rPr>
                <w:rFonts w:hint="eastAsia" w:ascii="宋体" w:hAnsi="宋体"/>
                <w:szCs w:val="21"/>
              </w:rPr>
              <w:t>4</w:t>
            </w:r>
          </w:p>
        </w:tc>
        <w:tc>
          <w:tcPr>
            <w:tcW w:w="2693" w:type="dxa"/>
            <w:vAlign w:val="center"/>
          </w:tcPr>
          <w:p>
            <w:pPr>
              <w:rPr>
                <w:rFonts w:ascii="宋体" w:hAnsi="宋体"/>
                <w:szCs w:val="21"/>
              </w:rPr>
            </w:pPr>
            <w:r>
              <w:rPr>
                <w:rFonts w:hint="eastAsia" w:ascii="宋体" w:hAnsi="宋体"/>
                <w:szCs w:val="21"/>
              </w:rPr>
              <w:t>逾期交工违约金</w:t>
            </w:r>
          </w:p>
        </w:tc>
        <w:tc>
          <w:tcPr>
            <w:tcW w:w="1417" w:type="dxa"/>
            <w:vAlign w:val="center"/>
          </w:tcPr>
          <w:p>
            <w:pPr>
              <w:rPr>
                <w:rFonts w:ascii="宋体" w:hAnsi="宋体"/>
                <w:szCs w:val="21"/>
              </w:rPr>
            </w:pPr>
            <w:r>
              <w:rPr>
                <w:rFonts w:hint="eastAsia" w:ascii="宋体" w:hAnsi="宋体"/>
                <w:szCs w:val="21"/>
              </w:rPr>
              <w:t>11.5</w:t>
            </w:r>
          </w:p>
        </w:tc>
        <w:tc>
          <w:tcPr>
            <w:tcW w:w="3686" w:type="dxa"/>
            <w:vAlign w:val="center"/>
          </w:tcPr>
          <w:p>
            <w:pPr>
              <w:ind w:firstLine="210" w:firstLineChars="100"/>
              <w:rPr>
                <w:rFonts w:ascii="宋体" w:hAnsi="宋体"/>
                <w:szCs w:val="21"/>
              </w:rPr>
            </w:pPr>
            <w:r>
              <w:rPr>
                <w:rFonts w:hint="eastAsia" w:ascii="宋体" w:hAnsi="宋体"/>
                <w:szCs w:val="21"/>
              </w:rPr>
              <w:t>元/天</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653" w:type="dxa"/>
            <w:vAlign w:val="center"/>
          </w:tcPr>
          <w:p>
            <w:pPr>
              <w:rPr>
                <w:rFonts w:ascii="宋体" w:hAnsi="宋体"/>
                <w:szCs w:val="21"/>
              </w:rPr>
            </w:pPr>
            <w:r>
              <w:rPr>
                <w:rFonts w:hint="eastAsia" w:ascii="宋体" w:hAnsi="宋体"/>
                <w:szCs w:val="21"/>
              </w:rPr>
              <w:t>5</w:t>
            </w:r>
          </w:p>
        </w:tc>
        <w:tc>
          <w:tcPr>
            <w:tcW w:w="2693" w:type="dxa"/>
            <w:vAlign w:val="center"/>
          </w:tcPr>
          <w:p>
            <w:pPr>
              <w:rPr>
                <w:rFonts w:ascii="宋体" w:hAnsi="宋体"/>
                <w:szCs w:val="21"/>
              </w:rPr>
            </w:pPr>
            <w:r>
              <w:rPr>
                <w:rFonts w:hint="eastAsia" w:ascii="宋体" w:hAnsi="宋体"/>
                <w:szCs w:val="21"/>
              </w:rPr>
              <w:t>逾期交工违约金限额</w:t>
            </w:r>
          </w:p>
        </w:tc>
        <w:tc>
          <w:tcPr>
            <w:tcW w:w="1417" w:type="dxa"/>
            <w:vAlign w:val="center"/>
          </w:tcPr>
          <w:p>
            <w:pPr>
              <w:rPr>
                <w:rFonts w:ascii="宋体" w:hAnsi="宋体"/>
                <w:szCs w:val="21"/>
              </w:rPr>
            </w:pPr>
            <w:r>
              <w:rPr>
                <w:rFonts w:hint="eastAsia" w:ascii="宋体" w:hAnsi="宋体"/>
                <w:szCs w:val="21"/>
              </w:rPr>
              <w:t>11.5</w:t>
            </w:r>
          </w:p>
        </w:tc>
        <w:tc>
          <w:tcPr>
            <w:tcW w:w="3686" w:type="dxa"/>
            <w:vAlign w:val="center"/>
          </w:tcPr>
          <w:p>
            <w:pPr>
              <w:ind w:firstLine="210" w:firstLineChars="100"/>
              <w:rPr>
                <w:rFonts w:ascii="宋体" w:hAnsi="宋体"/>
                <w:szCs w:val="21"/>
              </w:rPr>
            </w:pPr>
            <w:r>
              <w:rPr>
                <w:rFonts w:hint="eastAsia" w:ascii="宋体" w:hAnsi="宋体"/>
                <w:szCs w:val="21"/>
              </w:rPr>
              <w:t>%签约合同价</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2" w:hRule="exact"/>
          <w:jc w:val="center"/>
        </w:trPr>
        <w:tc>
          <w:tcPr>
            <w:tcW w:w="653" w:type="dxa"/>
            <w:vAlign w:val="center"/>
          </w:tcPr>
          <w:p>
            <w:pPr>
              <w:rPr>
                <w:rFonts w:ascii="宋体" w:hAnsi="宋体"/>
                <w:szCs w:val="21"/>
              </w:rPr>
            </w:pPr>
            <w:r>
              <w:rPr>
                <w:rFonts w:hint="eastAsia" w:ascii="宋体" w:hAnsi="宋体"/>
                <w:szCs w:val="21"/>
              </w:rPr>
              <w:t>6</w:t>
            </w:r>
          </w:p>
        </w:tc>
        <w:tc>
          <w:tcPr>
            <w:tcW w:w="2693" w:type="dxa"/>
            <w:vAlign w:val="center"/>
          </w:tcPr>
          <w:p>
            <w:pPr>
              <w:rPr>
                <w:rFonts w:ascii="宋体" w:hAnsi="宋体"/>
                <w:szCs w:val="21"/>
              </w:rPr>
            </w:pPr>
            <w:r>
              <w:rPr>
                <w:rFonts w:hint="eastAsia" w:ascii="宋体" w:hAnsi="宋体"/>
                <w:szCs w:val="21"/>
              </w:rPr>
              <w:t>提前交工的奖金</w:t>
            </w:r>
          </w:p>
        </w:tc>
        <w:tc>
          <w:tcPr>
            <w:tcW w:w="1417" w:type="dxa"/>
            <w:vAlign w:val="center"/>
          </w:tcPr>
          <w:p>
            <w:pPr>
              <w:rPr>
                <w:rFonts w:ascii="宋体" w:hAnsi="宋体"/>
                <w:szCs w:val="21"/>
              </w:rPr>
            </w:pPr>
            <w:r>
              <w:rPr>
                <w:rFonts w:hint="eastAsia" w:ascii="宋体" w:hAnsi="宋体"/>
                <w:szCs w:val="21"/>
              </w:rPr>
              <w:t>11.6</w:t>
            </w:r>
          </w:p>
        </w:tc>
        <w:tc>
          <w:tcPr>
            <w:tcW w:w="3686" w:type="dxa"/>
            <w:vAlign w:val="center"/>
          </w:tcPr>
          <w:p>
            <w:pPr>
              <w:ind w:firstLine="210" w:firstLineChars="100"/>
              <w:rPr>
                <w:rFonts w:ascii="宋体" w:hAnsi="宋体"/>
                <w:szCs w:val="21"/>
              </w:rPr>
            </w:pPr>
            <w:r>
              <w:rPr>
                <w:rFonts w:hint="eastAsia" w:ascii="宋体" w:hAnsi="宋体"/>
                <w:szCs w:val="21"/>
              </w:rPr>
              <w:t>元/天</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2" w:hRule="exact"/>
          <w:jc w:val="center"/>
        </w:trPr>
        <w:tc>
          <w:tcPr>
            <w:tcW w:w="653" w:type="dxa"/>
            <w:vAlign w:val="center"/>
          </w:tcPr>
          <w:p>
            <w:pPr>
              <w:rPr>
                <w:rFonts w:ascii="宋体" w:hAnsi="宋体"/>
                <w:szCs w:val="21"/>
              </w:rPr>
            </w:pPr>
            <w:r>
              <w:rPr>
                <w:rFonts w:hint="eastAsia" w:ascii="宋体" w:hAnsi="宋体"/>
                <w:szCs w:val="21"/>
              </w:rPr>
              <w:t>7</w:t>
            </w:r>
          </w:p>
        </w:tc>
        <w:tc>
          <w:tcPr>
            <w:tcW w:w="2693" w:type="dxa"/>
            <w:vAlign w:val="center"/>
          </w:tcPr>
          <w:p>
            <w:pPr>
              <w:rPr>
                <w:rFonts w:ascii="宋体" w:hAnsi="宋体"/>
                <w:szCs w:val="21"/>
              </w:rPr>
            </w:pPr>
            <w:r>
              <w:rPr>
                <w:rFonts w:hint="eastAsia" w:ascii="宋体" w:hAnsi="宋体"/>
                <w:szCs w:val="21"/>
              </w:rPr>
              <w:t>提前交工的奖金限额</w:t>
            </w:r>
          </w:p>
        </w:tc>
        <w:tc>
          <w:tcPr>
            <w:tcW w:w="1417" w:type="dxa"/>
            <w:vAlign w:val="center"/>
          </w:tcPr>
          <w:p>
            <w:pPr>
              <w:rPr>
                <w:rFonts w:ascii="宋体" w:hAnsi="宋体"/>
                <w:szCs w:val="21"/>
              </w:rPr>
            </w:pPr>
            <w:r>
              <w:rPr>
                <w:rFonts w:hint="eastAsia" w:ascii="宋体" w:hAnsi="宋体"/>
                <w:szCs w:val="21"/>
              </w:rPr>
              <w:t>11.6</w:t>
            </w:r>
          </w:p>
        </w:tc>
        <w:tc>
          <w:tcPr>
            <w:tcW w:w="3686" w:type="dxa"/>
            <w:vAlign w:val="center"/>
          </w:tcPr>
          <w:p>
            <w:pPr>
              <w:ind w:firstLine="210" w:firstLineChars="100"/>
              <w:rPr>
                <w:rFonts w:ascii="宋体" w:hAnsi="宋体"/>
                <w:szCs w:val="21"/>
              </w:rPr>
            </w:pPr>
            <w:r>
              <w:rPr>
                <w:rFonts w:hint="eastAsia" w:ascii="宋体" w:hAnsi="宋体"/>
                <w:szCs w:val="21"/>
              </w:rPr>
              <w:t>%签约合同价</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653" w:type="dxa"/>
            <w:vAlign w:val="center"/>
          </w:tcPr>
          <w:p>
            <w:pPr>
              <w:rPr>
                <w:rFonts w:ascii="宋体" w:hAnsi="宋体"/>
                <w:szCs w:val="21"/>
              </w:rPr>
            </w:pPr>
            <w:r>
              <w:rPr>
                <w:rFonts w:hint="eastAsia" w:ascii="宋体" w:hAnsi="宋体"/>
                <w:szCs w:val="21"/>
              </w:rPr>
              <w:t>8</w:t>
            </w:r>
          </w:p>
        </w:tc>
        <w:tc>
          <w:tcPr>
            <w:tcW w:w="2693" w:type="dxa"/>
            <w:vAlign w:val="center"/>
          </w:tcPr>
          <w:p>
            <w:pPr>
              <w:rPr>
                <w:rFonts w:ascii="宋体" w:hAnsi="宋体"/>
                <w:szCs w:val="21"/>
              </w:rPr>
            </w:pPr>
            <w:r>
              <w:rPr>
                <w:rFonts w:hint="eastAsia" w:ascii="宋体" w:hAnsi="宋体"/>
                <w:szCs w:val="21"/>
              </w:rPr>
              <w:t>开工预付款金额</w:t>
            </w:r>
          </w:p>
        </w:tc>
        <w:tc>
          <w:tcPr>
            <w:tcW w:w="1417" w:type="dxa"/>
            <w:vAlign w:val="center"/>
          </w:tcPr>
          <w:p>
            <w:pPr>
              <w:rPr>
                <w:rFonts w:ascii="宋体" w:hAnsi="宋体"/>
                <w:szCs w:val="21"/>
              </w:rPr>
            </w:pPr>
            <w:r>
              <w:rPr>
                <w:rFonts w:hint="eastAsia" w:ascii="宋体" w:hAnsi="宋体"/>
                <w:szCs w:val="21"/>
              </w:rPr>
              <w:t>17.2.1</w:t>
            </w:r>
          </w:p>
        </w:tc>
        <w:tc>
          <w:tcPr>
            <w:tcW w:w="3686" w:type="dxa"/>
            <w:vAlign w:val="center"/>
          </w:tcPr>
          <w:p>
            <w:pPr>
              <w:ind w:firstLine="210" w:firstLineChars="100"/>
              <w:rPr>
                <w:rFonts w:ascii="宋体" w:hAnsi="宋体"/>
                <w:szCs w:val="21"/>
              </w:rPr>
            </w:pPr>
            <w:r>
              <w:rPr>
                <w:rFonts w:hint="eastAsia" w:ascii="宋体" w:hAnsi="宋体"/>
                <w:szCs w:val="21"/>
              </w:rPr>
              <w:t>%签约合同价</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6" w:hRule="exact"/>
          <w:jc w:val="center"/>
        </w:trPr>
        <w:tc>
          <w:tcPr>
            <w:tcW w:w="653" w:type="dxa"/>
            <w:vAlign w:val="center"/>
          </w:tcPr>
          <w:p>
            <w:pPr>
              <w:rPr>
                <w:rFonts w:ascii="宋体" w:hAnsi="宋体"/>
                <w:szCs w:val="21"/>
              </w:rPr>
            </w:pPr>
            <w:r>
              <w:rPr>
                <w:rFonts w:hint="eastAsia" w:ascii="宋体" w:hAnsi="宋体"/>
                <w:szCs w:val="21"/>
              </w:rPr>
              <w:t>9</w:t>
            </w:r>
          </w:p>
        </w:tc>
        <w:tc>
          <w:tcPr>
            <w:tcW w:w="2693" w:type="dxa"/>
            <w:vAlign w:val="center"/>
          </w:tcPr>
          <w:p>
            <w:pPr>
              <w:rPr>
                <w:rFonts w:ascii="宋体" w:hAnsi="宋体"/>
                <w:szCs w:val="21"/>
              </w:rPr>
            </w:pPr>
            <w:r>
              <w:rPr>
                <w:rFonts w:hint="eastAsia" w:ascii="宋体" w:hAnsi="宋体"/>
                <w:szCs w:val="21"/>
              </w:rPr>
              <w:t>材料、设备预付款</w:t>
            </w:r>
          </w:p>
        </w:tc>
        <w:tc>
          <w:tcPr>
            <w:tcW w:w="1417" w:type="dxa"/>
            <w:vAlign w:val="center"/>
          </w:tcPr>
          <w:p>
            <w:pPr>
              <w:rPr>
                <w:rFonts w:ascii="宋体" w:hAnsi="宋体"/>
                <w:szCs w:val="21"/>
              </w:rPr>
            </w:pPr>
            <w:r>
              <w:rPr>
                <w:rFonts w:hint="eastAsia" w:ascii="宋体" w:hAnsi="宋体"/>
                <w:szCs w:val="21"/>
              </w:rPr>
              <w:t>17.2.1</w:t>
            </w:r>
          </w:p>
        </w:tc>
        <w:tc>
          <w:tcPr>
            <w:tcW w:w="3686" w:type="dxa"/>
            <w:vAlign w:val="center"/>
          </w:tcPr>
          <w:p>
            <w:pPr>
              <w:ind w:firstLine="210" w:firstLineChars="100"/>
              <w:rPr>
                <w:rFonts w:ascii="宋体" w:hAnsi="宋体"/>
                <w:szCs w:val="21"/>
              </w:rPr>
            </w:pPr>
            <w:r>
              <w:rPr>
                <w:rFonts w:hint="eastAsia" w:ascii="宋体" w:hAnsi="宋体"/>
                <w:szCs w:val="21"/>
              </w:rPr>
              <w:t>等主要材料、设备单据所列费用的%</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exact"/>
          <w:jc w:val="center"/>
        </w:trPr>
        <w:tc>
          <w:tcPr>
            <w:tcW w:w="653" w:type="dxa"/>
            <w:vAlign w:val="center"/>
          </w:tcPr>
          <w:p>
            <w:pPr>
              <w:rPr>
                <w:rFonts w:ascii="宋体" w:hAnsi="宋体"/>
                <w:szCs w:val="21"/>
              </w:rPr>
            </w:pPr>
            <w:r>
              <w:rPr>
                <w:rFonts w:hint="eastAsia" w:ascii="宋体" w:hAnsi="宋体"/>
                <w:szCs w:val="21"/>
              </w:rPr>
              <w:t>10</w:t>
            </w:r>
          </w:p>
        </w:tc>
        <w:tc>
          <w:tcPr>
            <w:tcW w:w="2693" w:type="dxa"/>
            <w:vAlign w:val="center"/>
          </w:tcPr>
          <w:p>
            <w:pPr>
              <w:rPr>
                <w:rFonts w:ascii="宋体" w:hAnsi="宋体"/>
                <w:szCs w:val="21"/>
              </w:rPr>
            </w:pPr>
            <w:r>
              <w:rPr>
                <w:rFonts w:hint="eastAsia" w:ascii="宋体" w:hAnsi="宋体"/>
                <w:szCs w:val="21"/>
              </w:rPr>
              <w:t>进度付款证书最低限额</w:t>
            </w:r>
          </w:p>
        </w:tc>
        <w:tc>
          <w:tcPr>
            <w:tcW w:w="1417" w:type="dxa"/>
            <w:vAlign w:val="center"/>
          </w:tcPr>
          <w:p>
            <w:pPr>
              <w:rPr>
                <w:rFonts w:ascii="宋体" w:hAnsi="宋体"/>
                <w:szCs w:val="21"/>
              </w:rPr>
            </w:pPr>
            <w:r>
              <w:rPr>
                <w:rFonts w:hint="eastAsia" w:ascii="宋体" w:hAnsi="宋体"/>
                <w:szCs w:val="21"/>
              </w:rPr>
              <w:t>17.3.3(1)</w:t>
            </w:r>
          </w:p>
        </w:tc>
        <w:tc>
          <w:tcPr>
            <w:tcW w:w="3686" w:type="dxa"/>
            <w:vAlign w:val="center"/>
          </w:tcPr>
          <w:p>
            <w:pPr>
              <w:ind w:firstLine="210" w:firstLineChars="100"/>
              <w:rPr>
                <w:rFonts w:ascii="宋体" w:hAnsi="宋体"/>
                <w:szCs w:val="21"/>
              </w:rPr>
            </w:pPr>
            <w:r>
              <w:rPr>
                <w:rFonts w:hint="eastAsia" w:ascii="宋体" w:hAnsi="宋体"/>
                <w:szCs w:val="21"/>
              </w:rPr>
              <w:t>%签约合同价或万元</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exact"/>
          <w:jc w:val="center"/>
        </w:trPr>
        <w:tc>
          <w:tcPr>
            <w:tcW w:w="653" w:type="dxa"/>
            <w:vAlign w:val="center"/>
          </w:tcPr>
          <w:p>
            <w:pPr>
              <w:rPr>
                <w:rFonts w:ascii="宋体" w:hAnsi="宋体"/>
                <w:szCs w:val="21"/>
              </w:rPr>
            </w:pPr>
            <w:r>
              <w:rPr>
                <w:rFonts w:hint="eastAsia" w:ascii="宋体" w:hAnsi="宋体"/>
                <w:szCs w:val="21"/>
              </w:rPr>
              <w:t>11</w:t>
            </w:r>
          </w:p>
        </w:tc>
        <w:tc>
          <w:tcPr>
            <w:tcW w:w="2693" w:type="dxa"/>
            <w:vAlign w:val="center"/>
          </w:tcPr>
          <w:p>
            <w:pPr>
              <w:rPr>
                <w:rFonts w:ascii="宋体" w:hAnsi="宋体"/>
                <w:szCs w:val="21"/>
              </w:rPr>
            </w:pPr>
            <w:r>
              <w:rPr>
                <w:rFonts w:hint="eastAsia" w:ascii="宋体" w:hAnsi="宋体"/>
                <w:szCs w:val="21"/>
              </w:rPr>
              <w:t>逾期付款违约金的利率</w:t>
            </w:r>
          </w:p>
        </w:tc>
        <w:tc>
          <w:tcPr>
            <w:tcW w:w="1417" w:type="dxa"/>
            <w:vAlign w:val="center"/>
          </w:tcPr>
          <w:p>
            <w:pPr>
              <w:rPr>
                <w:rFonts w:ascii="宋体" w:hAnsi="宋体"/>
                <w:szCs w:val="21"/>
              </w:rPr>
            </w:pPr>
            <w:r>
              <w:rPr>
                <w:rFonts w:hint="eastAsia" w:ascii="宋体" w:hAnsi="宋体"/>
                <w:szCs w:val="21"/>
              </w:rPr>
              <w:t>17.3.3(2)</w:t>
            </w:r>
          </w:p>
        </w:tc>
        <w:tc>
          <w:tcPr>
            <w:tcW w:w="3686" w:type="dxa"/>
            <w:vAlign w:val="center"/>
          </w:tcPr>
          <w:p>
            <w:pPr>
              <w:ind w:firstLine="210" w:firstLineChars="100"/>
              <w:rPr>
                <w:rFonts w:ascii="宋体" w:hAnsi="宋体"/>
                <w:szCs w:val="21"/>
              </w:rPr>
            </w:pPr>
            <w:r>
              <w:rPr>
                <w:rFonts w:hint="eastAsia" w:ascii="宋体" w:hAnsi="宋体"/>
                <w:szCs w:val="21"/>
              </w:rPr>
              <w:t>‰/天</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exact"/>
          <w:jc w:val="center"/>
        </w:trPr>
        <w:tc>
          <w:tcPr>
            <w:tcW w:w="653" w:type="dxa"/>
            <w:vAlign w:val="center"/>
          </w:tcPr>
          <w:p>
            <w:pPr>
              <w:rPr>
                <w:rFonts w:ascii="宋体" w:hAnsi="宋体"/>
                <w:szCs w:val="21"/>
              </w:rPr>
            </w:pPr>
            <w:r>
              <w:rPr>
                <w:rFonts w:hint="eastAsia" w:ascii="宋体" w:hAnsi="宋体"/>
                <w:szCs w:val="21"/>
              </w:rPr>
              <w:t>12</w:t>
            </w:r>
          </w:p>
        </w:tc>
        <w:tc>
          <w:tcPr>
            <w:tcW w:w="2693" w:type="dxa"/>
            <w:vAlign w:val="center"/>
          </w:tcPr>
          <w:p>
            <w:pPr>
              <w:rPr>
                <w:rFonts w:ascii="宋体" w:hAnsi="宋体"/>
                <w:szCs w:val="21"/>
              </w:rPr>
            </w:pPr>
            <w:r>
              <w:rPr>
                <w:rFonts w:hint="eastAsia" w:ascii="宋体" w:hAnsi="宋体"/>
                <w:szCs w:val="21"/>
              </w:rPr>
              <w:t>质量保证金百分比</w:t>
            </w:r>
          </w:p>
        </w:tc>
        <w:tc>
          <w:tcPr>
            <w:tcW w:w="1417" w:type="dxa"/>
            <w:vAlign w:val="center"/>
          </w:tcPr>
          <w:p>
            <w:pPr>
              <w:rPr>
                <w:rFonts w:ascii="宋体" w:hAnsi="宋体"/>
                <w:szCs w:val="21"/>
              </w:rPr>
            </w:pPr>
            <w:r>
              <w:rPr>
                <w:rFonts w:hint="eastAsia" w:ascii="宋体" w:hAnsi="宋体"/>
                <w:szCs w:val="21"/>
              </w:rPr>
              <w:t>17.4.1</w:t>
            </w:r>
          </w:p>
        </w:tc>
        <w:tc>
          <w:tcPr>
            <w:tcW w:w="3686" w:type="dxa"/>
            <w:vAlign w:val="center"/>
          </w:tcPr>
          <w:p>
            <w:pPr>
              <w:ind w:firstLine="210" w:firstLineChars="100"/>
              <w:rPr>
                <w:rFonts w:ascii="宋体" w:hAnsi="宋体"/>
                <w:szCs w:val="21"/>
              </w:rPr>
            </w:pPr>
            <w:r>
              <w:rPr>
                <w:rFonts w:hint="eastAsia" w:ascii="宋体" w:hAnsi="宋体"/>
                <w:szCs w:val="21"/>
              </w:rPr>
              <w:t>月支付额的%</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45" w:hRule="exact"/>
          <w:jc w:val="center"/>
        </w:trPr>
        <w:tc>
          <w:tcPr>
            <w:tcW w:w="653" w:type="dxa"/>
            <w:vAlign w:val="center"/>
          </w:tcPr>
          <w:p>
            <w:pPr>
              <w:rPr>
                <w:rFonts w:ascii="宋体" w:hAnsi="宋体"/>
                <w:szCs w:val="21"/>
              </w:rPr>
            </w:pPr>
            <w:r>
              <w:rPr>
                <w:rFonts w:hint="eastAsia" w:ascii="宋体" w:hAnsi="宋体"/>
                <w:szCs w:val="21"/>
              </w:rPr>
              <w:t>13</w:t>
            </w:r>
          </w:p>
        </w:tc>
        <w:tc>
          <w:tcPr>
            <w:tcW w:w="2693" w:type="dxa"/>
            <w:vAlign w:val="center"/>
          </w:tcPr>
          <w:p>
            <w:pPr>
              <w:rPr>
                <w:rFonts w:ascii="宋体" w:hAnsi="宋体"/>
                <w:szCs w:val="21"/>
              </w:rPr>
            </w:pPr>
            <w:r>
              <w:rPr>
                <w:rFonts w:hint="eastAsia" w:ascii="宋体" w:hAnsi="宋体"/>
                <w:szCs w:val="21"/>
              </w:rPr>
              <w:t>质量保证金限额</w:t>
            </w:r>
          </w:p>
        </w:tc>
        <w:tc>
          <w:tcPr>
            <w:tcW w:w="1417" w:type="dxa"/>
            <w:vAlign w:val="center"/>
          </w:tcPr>
          <w:p>
            <w:pPr>
              <w:rPr>
                <w:rFonts w:ascii="宋体" w:hAnsi="宋体"/>
                <w:szCs w:val="21"/>
              </w:rPr>
            </w:pPr>
            <w:r>
              <w:rPr>
                <w:rFonts w:hint="eastAsia" w:ascii="宋体" w:hAnsi="宋体"/>
                <w:szCs w:val="21"/>
              </w:rPr>
              <w:t>17.4.1</w:t>
            </w:r>
          </w:p>
        </w:tc>
        <w:tc>
          <w:tcPr>
            <w:tcW w:w="3686" w:type="dxa"/>
            <w:vAlign w:val="center"/>
          </w:tcPr>
          <w:p>
            <w:pPr>
              <w:ind w:firstLine="210" w:firstLineChars="100"/>
              <w:rPr>
                <w:rFonts w:ascii="宋体" w:hAnsi="宋体"/>
                <w:szCs w:val="21"/>
              </w:rPr>
            </w:pPr>
            <w:r>
              <w:rPr>
                <w:rFonts w:hint="eastAsia" w:ascii="宋体" w:hAnsi="宋体"/>
                <w:szCs w:val="21"/>
              </w:rPr>
              <w:t>%合同价格，若交工验收时承包人具备被招标项目所在地省级交通主管部门评定的最高信用等级，发包人给予 %合同价格质量保证金的优惠，并在交工验收时向承包人返还质量保证金优惠的金额</w:t>
            </w:r>
          </w:p>
        </w:tc>
        <w:tc>
          <w:tcPr>
            <w:tcW w:w="1190"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exact"/>
          <w:jc w:val="center"/>
        </w:trPr>
        <w:tc>
          <w:tcPr>
            <w:tcW w:w="653" w:type="dxa"/>
            <w:vAlign w:val="center"/>
          </w:tcPr>
          <w:p>
            <w:pPr>
              <w:rPr>
                <w:rFonts w:ascii="宋体" w:hAnsi="宋体"/>
                <w:szCs w:val="21"/>
              </w:rPr>
            </w:pPr>
            <w:r>
              <w:rPr>
                <w:rFonts w:hint="eastAsia" w:ascii="宋体" w:hAnsi="宋体"/>
                <w:szCs w:val="21"/>
              </w:rPr>
              <w:t>14</w:t>
            </w:r>
          </w:p>
        </w:tc>
        <w:tc>
          <w:tcPr>
            <w:tcW w:w="2693" w:type="dxa"/>
            <w:vAlign w:val="center"/>
          </w:tcPr>
          <w:p>
            <w:pPr>
              <w:rPr>
                <w:rFonts w:ascii="宋体" w:hAnsi="宋体"/>
                <w:szCs w:val="21"/>
              </w:rPr>
            </w:pPr>
            <w:r>
              <w:rPr>
                <w:rFonts w:hint="eastAsia" w:ascii="宋体" w:hAnsi="宋体"/>
                <w:szCs w:val="21"/>
              </w:rPr>
              <w:t>保修期</w:t>
            </w:r>
          </w:p>
        </w:tc>
        <w:tc>
          <w:tcPr>
            <w:tcW w:w="1417" w:type="dxa"/>
            <w:vAlign w:val="center"/>
          </w:tcPr>
          <w:p>
            <w:pPr>
              <w:rPr>
                <w:rFonts w:ascii="宋体" w:hAnsi="宋体"/>
                <w:szCs w:val="21"/>
              </w:rPr>
            </w:pPr>
            <w:r>
              <w:rPr>
                <w:rFonts w:hint="eastAsia" w:ascii="宋体" w:hAnsi="宋体"/>
                <w:szCs w:val="21"/>
              </w:rPr>
              <w:t>19.7</w:t>
            </w:r>
          </w:p>
        </w:tc>
        <w:tc>
          <w:tcPr>
            <w:tcW w:w="3686" w:type="dxa"/>
            <w:vAlign w:val="center"/>
          </w:tcPr>
          <w:p>
            <w:pPr>
              <w:ind w:firstLine="210" w:firstLineChars="100"/>
              <w:rPr>
                <w:rFonts w:ascii="宋体" w:hAnsi="宋体"/>
                <w:szCs w:val="21"/>
              </w:rPr>
            </w:pPr>
            <w:r>
              <w:rPr>
                <w:rFonts w:hint="eastAsia" w:ascii="宋体" w:hAnsi="宋体"/>
                <w:szCs w:val="21"/>
              </w:rPr>
              <w:t>自实际交工日期起计算</w:t>
            </w:r>
            <w:r>
              <w:rPr>
                <w:rFonts w:hint="eastAsia" w:ascii="宋体" w:hAnsi="宋体"/>
                <w:szCs w:val="21"/>
                <w:u w:val="single"/>
              </w:rPr>
              <w:t xml:space="preserve"> 5 </w:t>
            </w:r>
            <w:r>
              <w:rPr>
                <w:rFonts w:hint="eastAsia" w:ascii="宋体" w:hAnsi="宋体"/>
                <w:szCs w:val="21"/>
              </w:rPr>
              <w:t>年</w:t>
            </w:r>
          </w:p>
        </w:tc>
        <w:tc>
          <w:tcPr>
            <w:tcW w:w="1190" w:type="dxa"/>
            <w:vAlign w:val="center"/>
          </w:tcPr>
          <w:p>
            <w:pPr>
              <w:rPr>
                <w:rFonts w:ascii="宋体" w:hAnsi="宋体"/>
                <w:szCs w:val="21"/>
              </w:rPr>
            </w:pPr>
          </w:p>
        </w:tc>
      </w:tr>
    </w:tbl>
    <w:p>
      <w:pPr>
        <w:spacing w:beforeLines="100" w:line="500" w:lineRule="exact"/>
        <w:rPr>
          <w:rFonts w:ascii="宋体" w:hAnsi="宋体"/>
          <w:sz w:val="24"/>
        </w:rPr>
      </w:pPr>
      <w:r>
        <w:rPr>
          <w:rFonts w:hint="eastAsia" w:ascii="宋体" w:hAnsi="宋体"/>
          <w:sz w:val="24"/>
        </w:rPr>
        <w:t xml:space="preserve">                             投 标 人:</w:t>
      </w:r>
      <w:r>
        <w:rPr>
          <w:rFonts w:hint="eastAsia" w:ascii="宋体" w:hAnsi="宋体"/>
          <w:sz w:val="24"/>
          <w:u w:val="single"/>
        </w:rPr>
        <w:t xml:space="preserve">                  (</w:t>
      </w:r>
      <w:r>
        <w:rPr>
          <w:rFonts w:hint="eastAsia" w:ascii="宋体" w:hAnsi="宋体"/>
          <w:sz w:val="24"/>
        </w:rPr>
        <w:t>盖单位章)</w:t>
      </w:r>
    </w:p>
    <w:p>
      <w:pPr>
        <w:spacing w:line="500" w:lineRule="exact"/>
        <w:ind w:right="480" w:firstLine="3480" w:firstLineChars="1450"/>
        <w:rPr>
          <w:rFonts w:ascii="宋体" w:hAnsi="宋体"/>
          <w:sz w:val="24"/>
          <w:u w:val="single"/>
        </w:rPr>
      </w:pPr>
      <w:r>
        <w:rPr>
          <w:rFonts w:hint="eastAsia" w:ascii="宋体" w:hAnsi="宋体"/>
          <w:sz w:val="24"/>
        </w:rPr>
        <w:t>投标文件签署人签名:</w:t>
      </w:r>
    </w:p>
    <w:p>
      <w:pPr>
        <w:spacing w:line="240" w:lineRule="exact"/>
        <w:ind w:right="480" w:firstLine="3480" w:firstLineChars="1450"/>
        <w:rPr>
          <w:rFonts w:ascii="宋体" w:hAnsi="宋体"/>
          <w:sz w:val="24"/>
        </w:rPr>
      </w:pPr>
    </w:p>
    <w:p>
      <w:pPr>
        <w:pStyle w:val="6"/>
        <w:spacing w:beforeLines="50" w:after="0" w:line="360" w:lineRule="exact"/>
        <w:jc w:val="center"/>
        <w:rPr>
          <w:rFonts w:ascii="黑体" w:hAnsi="宋体" w:eastAsia="黑体"/>
          <w:sz w:val="28"/>
          <w:szCs w:val="28"/>
        </w:rPr>
      </w:pPr>
      <w:bookmarkStart w:id="235" w:name="_Toc485889059"/>
      <w:bookmarkStart w:id="236" w:name="_Toc486277926"/>
      <w:bookmarkStart w:id="237" w:name="_Toc234382961"/>
      <w:bookmarkStart w:id="238" w:name="_Toc29117"/>
      <w:r>
        <w:rPr>
          <w:rFonts w:hint="eastAsia" w:ascii="黑体" w:hAnsi="宋体" w:eastAsia="黑体"/>
          <w:sz w:val="28"/>
          <w:szCs w:val="28"/>
        </w:rPr>
        <w:t>二</w:t>
      </w:r>
      <w:r>
        <w:rPr>
          <w:rFonts w:ascii="黑体" w:hAnsi="宋体" w:eastAsia="黑体"/>
          <w:sz w:val="28"/>
          <w:szCs w:val="28"/>
        </w:rPr>
        <w:t>、法定代表人身份证明</w:t>
      </w:r>
      <w:r>
        <w:rPr>
          <w:rFonts w:hint="eastAsia" w:ascii="黑体" w:hAnsi="宋体" w:eastAsia="黑体"/>
          <w:sz w:val="28"/>
          <w:szCs w:val="28"/>
        </w:rPr>
        <w:t>及授权委托书</w:t>
      </w:r>
      <w:bookmarkEnd w:id="235"/>
      <w:bookmarkEnd w:id="236"/>
      <w:bookmarkEnd w:id="237"/>
      <w:bookmarkEnd w:id="238"/>
    </w:p>
    <w:p>
      <w:pPr>
        <w:pStyle w:val="6"/>
        <w:spacing w:beforeLines="100" w:afterLines="150" w:line="360" w:lineRule="exact"/>
        <w:jc w:val="center"/>
        <w:rPr>
          <w:rFonts w:ascii="黑体" w:hAnsi="宋体" w:eastAsia="黑体"/>
          <w:sz w:val="28"/>
          <w:szCs w:val="28"/>
        </w:rPr>
      </w:pPr>
      <w:bookmarkStart w:id="239" w:name="_Toc4437"/>
      <w:bookmarkStart w:id="240" w:name="_Toc234382962"/>
      <w:bookmarkStart w:id="241" w:name="_Toc485889060"/>
      <w:bookmarkStart w:id="242" w:name="_Toc486277927"/>
      <w:r>
        <w:rPr>
          <w:rFonts w:hint="eastAsia" w:ascii="黑体" w:hAnsi="宋体" w:eastAsia="黑体"/>
          <w:sz w:val="28"/>
          <w:szCs w:val="28"/>
        </w:rPr>
        <w:t>（一）法定代表人身份证明</w:t>
      </w:r>
      <w:bookmarkEnd w:id="239"/>
      <w:bookmarkEnd w:id="240"/>
      <w:bookmarkEnd w:id="241"/>
      <w:bookmarkEnd w:id="242"/>
    </w:p>
    <w:p>
      <w:pPr>
        <w:rPr>
          <w:rFonts w:ascii="宋体" w:hAnsi="宋体"/>
          <w:sz w:val="24"/>
        </w:rPr>
      </w:pPr>
    </w:p>
    <w:p>
      <w:pPr>
        <w:rPr>
          <w:rFonts w:ascii="宋体" w:hAnsi="宋体"/>
          <w:sz w:val="24"/>
        </w:rPr>
      </w:pPr>
    </w:p>
    <w:p>
      <w:pPr>
        <w:spacing w:line="500" w:lineRule="exact"/>
        <w:rPr>
          <w:rFonts w:ascii="宋体" w:hAnsi="宋体"/>
          <w:sz w:val="24"/>
        </w:rPr>
      </w:pPr>
      <w:r>
        <w:rPr>
          <w:rFonts w:hint="eastAsia" w:ascii="宋体" w:hAnsi="宋体"/>
          <w:sz w:val="24"/>
        </w:rPr>
        <w:t>投标人名称：____________________________</w:t>
      </w:r>
    </w:p>
    <w:p>
      <w:pPr>
        <w:spacing w:line="500" w:lineRule="exact"/>
        <w:rPr>
          <w:rFonts w:ascii="宋体" w:hAnsi="宋体"/>
          <w:sz w:val="24"/>
          <w:u w:val="single"/>
        </w:rPr>
      </w:pPr>
      <w:r>
        <w:rPr>
          <w:rFonts w:hint="eastAsia" w:ascii="宋体" w:hAnsi="宋体"/>
          <w:spacing w:val="40"/>
          <w:kern w:val="0"/>
          <w:sz w:val="24"/>
        </w:rPr>
        <w:t>单位性</w:t>
      </w:r>
      <w:r>
        <w:rPr>
          <w:rFonts w:hint="eastAsia" w:ascii="宋体" w:hAnsi="宋体"/>
          <w:kern w:val="0"/>
          <w:sz w:val="24"/>
        </w:rPr>
        <w:t>质</w:t>
      </w:r>
      <w:r>
        <w:rPr>
          <w:rFonts w:hint="eastAsia" w:ascii="宋体" w:hAnsi="宋体"/>
          <w:sz w:val="24"/>
        </w:rPr>
        <w:t>：____________________________</w:t>
      </w:r>
    </w:p>
    <w:p>
      <w:pPr>
        <w:spacing w:line="500" w:lineRule="exact"/>
        <w:rPr>
          <w:rFonts w:ascii="宋体" w:hAnsi="宋体"/>
          <w:sz w:val="24"/>
        </w:rPr>
      </w:pPr>
      <w:r>
        <w:rPr>
          <w:rFonts w:hint="eastAsia" w:ascii="宋体" w:hAnsi="宋体"/>
          <w:spacing w:val="360"/>
          <w:kern w:val="0"/>
          <w:sz w:val="24"/>
        </w:rPr>
        <w:t>地</w:t>
      </w:r>
      <w:r>
        <w:rPr>
          <w:rFonts w:hint="eastAsia" w:ascii="宋体" w:hAnsi="宋体"/>
          <w:kern w:val="0"/>
          <w:sz w:val="24"/>
        </w:rPr>
        <w:t>址</w:t>
      </w:r>
      <w:r>
        <w:rPr>
          <w:rFonts w:hint="eastAsia" w:ascii="宋体" w:hAnsi="宋体"/>
          <w:sz w:val="24"/>
        </w:rPr>
        <w:t>：____________________________</w:t>
      </w:r>
    </w:p>
    <w:p>
      <w:pPr>
        <w:spacing w:line="500" w:lineRule="exact"/>
        <w:rPr>
          <w:rFonts w:ascii="宋体" w:hAnsi="宋体"/>
          <w:sz w:val="24"/>
        </w:rPr>
      </w:pPr>
      <w:r>
        <w:rPr>
          <w:rFonts w:hint="eastAsia" w:ascii="宋体" w:hAnsi="宋体"/>
          <w:spacing w:val="40"/>
          <w:kern w:val="0"/>
          <w:sz w:val="24"/>
        </w:rPr>
        <w:t xml:space="preserve">成立时间：  </w:t>
      </w:r>
      <w:r>
        <w:rPr>
          <w:rFonts w:hint="eastAsia" w:ascii="宋体" w:hAnsi="宋体"/>
          <w:sz w:val="24"/>
        </w:rPr>
        <w:t>年   月   日</w:t>
      </w:r>
    </w:p>
    <w:p>
      <w:pPr>
        <w:spacing w:line="500" w:lineRule="exact"/>
        <w:rPr>
          <w:rFonts w:ascii="宋体" w:hAnsi="宋体"/>
          <w:sz w:val="24"/>
        </w:rPr>
      </w:pPr>
      <w:r>
        <w:rPr>
          <w:rFonts w:hint="eastAsia" w:ascii="宋体" w:hAnsi="宋体"/>
          <w:sz w:val="24"/>
        </w:rPr>
        <w:t>经营期限：_________________________  ___</w:t>
      </w:r>
    </w:p>
    <w:p>
      <w:pPr>
        <w:spacing w:line="500" w:lineRule="exact"/>
        <w:rPr>
          <w:rFonts w:ascii="宋体" w:hAnsi="宋体"/>
          <w:sz w:val="24"/>
        </w:rPr>
      </w:pPr>
      <w:r>
        <w:rPr>
          <w:rFonts w:hint="eastAsia" w:ascii="宋体" w:hAnsi="宋体"/>
          <w:sz w:val="24"/>
        </w:rPr>
        <w:t>姓名：  性别：</w:t>
      </w:r>
      <w:r>
        <w:rPr>
          <w:rFonts w:hint="eastAsia" w:ascii="宋体" w:hAnsi="宋体"/>
          <w:sz w:val="24"/>
          <w:u w:val="single"/>
        </w:rPr>
        <w:t>______</w:t>
      </w:r>
      <w:r>
        <w:rPr>
          <w:rFonts w:hint="eastAsia" w:ascii="宋体" w:hAnsi="宋体"/>
          <w:sz w:val="24"/>
        </w:rPr>
        <w:t>年龄：</w:t>
      </w:r>
      <w:r>
        <w:rPr>
          <w:rFonts w:hint="eastAsia" w:ascii="宋体" w:hAnsi="宋体"/>
          <w:sz w:val="24"/>
          <w:u w:val="single"/>
        </w:rPr>
        <w:t>______</w:t>
      </w:r>
      <w:r>
        <w:rPr>
          <w:rFonts w:hint="eastAsia" w:ascii="宋体" w:hAnsi="宋体"/>
          <w:sz w:val="24"/>
        </w:rPr>
        <w:t>职务：</w:t>
      </w:r>
      <w:r>
        <w:rPr>
          <w:rFonts w:hint="eastAsia" w:ascii="宋体" w:hAnsi="宋体"/>
          <w:sz w:val="24"/>
          <w:u w:val="single"/>
        </w:rPr>
        <w:t>______</w:t>
      </w:r>
    </w:p>
    <w:p>
      <w:pPr>
        <w:spacing w:line="500" w:lineRule="exact"/>
        <w:rPr>
          <w:rFonts w:ascii="宋体" w:hAnsi="宋体"/>
          <w:sz w:val="24"/>
        </w:rPr>
      </w:pPr>
      <w:r>
        <w:rPr>
          <w:rFonts w:hint="eastAsia" w:ascii="宋体" w:hAnsi="宋体"/>
          <w:sz w:val="24"/>
        </w:rPr>
        <w:t>系（投标人名称）的法定代表人。</w:t>
      </w:r>
    </w:p>
    <w:p>
      <w:pPr>
        <w:spacing w:line="500" w:lineRule="exact"/>
        <w:ind w:firstLine="480" w:firstLineChars="200"/>
        <w:rPr>
          <w:rFonts w:ascii="宋体" w:hAnsi="宋体"/>
          <w:sz w:val="24"/>
        </w:rPr>
      </w:pPr>
    </w:p>
    <w:p>
      <w:pPr>
        <w:spacing w:line="500" w:lineRule="exact"/>
        <w:ind w:firstLine="480" w:firstLineChars="200"/>
        <w:rPr>
          <w:rFonts w:ascii="宋体" w:hAnsi="宋体"/>
          <w:sz w:val="24"/>
        </w:rPr>
      </w:pPr>
      <w:r>
        <w:rPr>
          <w:rFonts w:hint="eastAsia" w:ascii="宋体" w:hAnsi="宋体"/>
          <w:sz w:val="24"/>
        </w:rPr>
        <w:t>特此证明。</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r>
        <w:rPr>
          <w:rFonts w:hint="eastAsia" w:ascii="宋体" w:hAnsi="宋体"/>
          <w:sz w:val="24"/>
        </w:rPr>
        <w:t xml:space="preserve">                             投标人：（盖单位章）</w:t>
      </w:r>
    </w:p>
    <w:p>
      <w:pPr>
        <w:spacing w:line="500" w:lineRule="exact"/>
        <w:rPr>
          <w:rFonts w:ascii="宋体" w:hAnsi="宋体"/>
          <w:sz w:val="24"/>
        </w:rPr>
      </w:pPr>
    </w:p>
    <w:p>
      <w:pPr>
        <w:spacing w:line="400" w:lineRule="exact"/>
        <w:ind w:firstLine="4200" w:firstLineChars="1750"/>
        <w:rPr>
          <w:rFonts w:ascii="宋体" w:hAnsi="宋体"/>
          <w:sz w:val="24"/>
        </w:rPr>
      </w:pPr>
      <w:r>
        <w:rPr>
          <w:rFonts w:hint="eastAsia" w:ascii="宋体" w:hAnsi="宋体"/>
          <w:sz w:val="24"/>
        </w:rPr>
        <w:t>年   月  日</w:t>
      </w:r>
    </w:p>
    <w:p>
      <w:pPr>
        <w:spacing w:line="400" w:lineRule="exact"/>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jc w:val="center"/>
        <w:rPr>
          <w:b/>
          <w:sz w:val="32"/>
          <w:szCs w:val="32"/>
        </w:rPr>
      </w:pPr>
      <w:r>
        <w:rPr>
          <w:rFonts w:ascii="宋体" w:hAnsi="宋体"/>
          <w:sz w:val="24"/>
        </w:rPr>
        <w:br w:type="page"/>
      </w:r>
      <w:r>
        <w:rPr>
          <w:rFonts w:hint="eastAsia" w:ascii="黑体" w:hAnsi="宋体" w:eastAsia="黑体"/>
          <w:b/>
          <w:bCs/>
          <w:kern w:val="44"/>
          <w:sz w:val="28"/>
          <w:szCs w:val="28"/>
        </w:rPr>
        <w:t>（二）授权委托书</w:t>
      </w:r>
    </w:p>
    <w:p>
      <w:pPr>
        <w:spacing w:line="500" w:lineRule="exact"/>
        <w:rPr>
          <w:rFonts w:ascii="宋体" w:hAnsi="宋体"/>
          <w:sz w:val="24"/>
        </w:rPr>
      </w:pPr>
    </w:p>
    <w:p>
      <w:pPr>
        <w:spacing w:line="500" w:lineRule="exact"/>
        <w:ind w:firstLine="480" w:firstLineChars="200"/>
        <w:rPr>
          <w:rFonts w:ascii="宋体" w:hAnsi="宋体"/>
          <w:sz w:val="24"/>
        </w:rPr>
      </w:pPr>
      <w:r>
        <w:rPr>
          <w:rFonts w:hint="eastAsia" w:ascii="宋体" w:hAnsi="宋体"/>
          <w:sz w:val="24"/>
        </w:rPr>
        <w:t>本人</w:t>
      </w:r>
      <w:r>
        <w:rPr>
          <w:rFonts w:hint="eastAsia" w:ascii="宋体" w:hAnsi="宋体"/>
          <w:sz w:val="24"/>
          <w:u w:val="single"/>
        </w:rPr>
        <w:t>_______</w:t>
      </w:r>
      <w:r>
        <w:rPr>
          <w:rFonts w:hint="eastAsia" w:ascii="宋体" w:hAnsi="宋体"/>
          <w:sz w:val="24"/>
        </w:rPr>
        <w:t>（姓名）系</w:t>
      </w:r>
      <w:r>
        <w:rPr>
          <w:rFonts w:hint="eastAsia" w:ascii="宋体" w:hAnsi="宋体"/>
          <w:sz w:val="24"/>
          <w:u w:val="single"/>
        </w:rPr>
        <w:t>_______</w:t>
      </w:r>
      <w:r>
        <w:rPr>
          <w:rFonts w:hint="eastAsia" w:ascii="宋体" w:hAnsi="宋体"/>
          <w:sz w:val="24"/>
        </w:rPr>
        <w:t>（投标人名称）的法定代表人，现委托</w:t>
      </w:r>
      <w:r>
        <w:rPr>
          <w:rFonts w:hint="eastAsia" w:ascii="宋体" w:hAnsi="宋体"/>
          <w:sz w:val="24"/>
          <w:u w:val="single"/>
        </w:rPr>
        <w:t>_______</w:t>
      </w:r>
      <w:r>
        <w:rPr>
          <w:rFonts w:hint="eastAsia" w:ascii="宋体" w:hAnsi="宋体"/>
          <w:sz w:val="24"/>
        </w:rPr>
        <w:t>（姓名）为我方代理人。代理人根据授权，以我方名义签署、澄清、递交、撤回、修改</w:t>
      </w:r>
      <w:r>
        <w:rPr>
          <w:rFonts w:hint="eastAsia" w:ascii="宋体" w:hAnsi="宋体"/>
          <w:sz w:val="24"/>
          <w:u w:val="single"/>
        </w:rPr>
        <w:t>_________</w:t>
      </w:r>
      <w:r>
        <w:rPr>
          <w:rFonts w:hint="eastAsia" w:ascii="宋体" w:hAnsi="宋体"/>
          <w:sz w:val="24"/>
        </w:rPr>
        <w:t>（项目名称）投标文件、签订合同和处理有关事宜，其法律后果由我方承担。</w:t>
      </w:r>
    </w:p>
    <w:p>
      <w:pPr>
        <w:spacing w:line="500" w:lineRule="exact"/>
        <w:ind w:firstLine="480" w:firstLineChars="200"/>
        <w:rPr>
          <w:rFonts w:ascii="宋体" w:hAnsi="宋体"/>
          <w:sz w:val="24"/>
        </w:rPr>
      </w:pPr>
      <w:r>
        <w:rPr>
          <w:rFonts w:hint="eastAsia" w:ascii="宋体" w:hAnsi="宋体"/>
          <w:sz w:val="24"/>
        </w:rPr>
        <w:t>委托期限：</w:t>
      </w:r>
      <w:r>
        <w:rPr>
          <w:rFonts w:hint="eastAsia" w:ascii="宋体" w:hAnsi="宋体"/>
          <w:sz w:val="24"/>
          <w:u w:val="single"/>
        </w:rPr>
        <w:t>_________</w:t>
      </w:r>
      <w:r>
        <w:rPr>
          <w:rFonts w:hint="eastAsia" w:ascii="宋体" w:hAnsi="宋体"/>
          <w:sz w:val="24"/>
        </w:rPr>
        <w:t>。</w:t>
      </w:r>
    </w:p>
    <w:p>
      <w:pPr>
        <w:spacing w:line="500" w:lineRule="exact"/>
        <w:ind w:firstLine="480" w:firstLineChars="200"/>
        <w:rPr>
          <w:rFonts w:ascii="宋体" w:hAnsi="宋体"/>
          <w:sz w:val="24"/>
        </w:rPr>
      </w:pPr>
      <w:r>
        <w:rPr>
          <w:rFonts w:hint="eastAsia" w:ascii="宋体" w:hAnsi="宋体"/>
          <w:sz w:val="24"/>
        </w:rPr>
        <w:t>代理人无转委托权。</w:t>
      </w:r>
    </w:p>
    <w:p>
      <w:pPr>
        <w:spacing w:line="500" w:lineRule="exact"/>
        <w:ind w:firstLine="480" w:firstLineChars="200"/>
        <w:rPr>
          <w:rFonts w:ascii="宋体" w:hAnsi="宋体"/>
          <w:sz w:val="24"/>
        </w:rPr>
      </w:pPr>
      <w:r>
        <w:rPr>
          <w:rFonts w:hint="eastAsia" w:ascii="宋体" w:hAnsi="宋体"/>
          <w:sz w:val="24"/>
        </w:rPr>
        <w:t>附：法定代表人身份证明</w:t>
      </w:r>
    </w:p>
    <w:p>
      <w:pPr>
        <w:spacing w:line="500" w:lineRule="exact"/>
        <w:rPr>
          <w:rFonts w:ascii="宋体" w:hAnsi="宋体"/>
          <w:sz w:val="24"/>
        </w:rPr>
      </w:pPr>
    </w:p>
    <w:p>
      <w:pPr>
        <w:spacing w:line="500" w:lineRule="exact"/>
        <w:rPr>
          <w:rFonts w:ascii="宋体" w:hAnsi="宋体"/>
          <w:sz w:val="24"/>
        </w:rPr>
      </w:pPr>
    </w:p>
    <w:p>
      <w:pPr>
        <w:spacing w:line="500" w:lineRule="exact"/>
        <w:ind w:firstLine="3856" w:firstLineChars="800"/>
        <w:rPr>
          <w:rFonts w:ascii="宋体" w:hAnsi="宋体"/>
          <w:sz w:val="24"/>
        </w:rPr>
      </w:pPr>
      <w:r>
        <w:rPr>
          <w:rFonts w:hint="eastAsia" w:ascii="宋体" w:hAnsi="宋体"/>
          <w:spacing w:val="121"/>
          <w:kern w:val="0"/>
          <w:sz w:val="24"/>
        </w:rPr>
        <w:t>投标</w:t>
      </w:r>
      <w:r>
        <w:rPr>
          <w:rFonts w:hint="eastAsia" w:ascii="宋体" w:hAnsi="宋体"/>
          <w:spacing w:val="-1"/>
          <w:kern w:val="0"/>
          <w:sz w:val="24"/>
        </w:rPr>
        <w:t>人</w:t>
      </w:r>
      <w:r>
        <w:rPr>
          <w:rFonts w:hint="eastAsia" w:ascii="宋体" w:hAnsi="宋体"/>
          <w:sz w:val="24"/>
        </w:rPr>
        <w:t>：（盖单位章）</w:t>
      </w:r>
    </w:p>
    <w:p>
      <w:pPr>
        <w:spacing w:line="500" w:lineRule="exact"/>
        <w:rPr>
          <w:rFonts w:ascii="宋体" w:hAnsi="宋体"/>
          <w:sz w:val="24"/>
        </w:rPr>
      </w:pPr>
      <w:r>
        <w:rPr>
          <w:rFonts w:hint="eastAsia" w:ascii="宋体" w:hAnsi="宋体"/>
          <w:sz w:val="24"/>
        </w:rPr>
        <w:t xml:space="preserve">                                法定代表人：（签字）</w:t>
      </w:r>
      <w:r>
        <w:rPr>
          <w:rFonts w:hint="eastAsia" w:ascii="宋体" w:hAnsi="宋体"/>
          <w:sz w:val="24"/>
          <w:u w:val="single"/>
        </w:rPr>
        <w:t xml:space="preserve">______    ___              </w:t>
      </w:r>
    </w:p>
    <w:p>
      <w:pPr>
        <w:spacing w:line="500" w:lineRule="exact"/>
        <w:rPr>
          <w:rFonts w:ascii="宋体" w:hAnsi="宋体"/>
          <w:sz w:val="24"/>
        </w:rPr>
      </w:pPr>
      <w:r>
        <w:rPr>
          <w:rFonts w:hint="eastAsia" w:ascii="宋体" w:hAnsi="宋体"/>
          <w:sz w:val="24"/>
        </w:rPr>
        <w:t xml:space="preserve">                                身份证号码：</w:t>
      </w:r>
      <w:r>
        <w:rPr>
          <w:rFonts w:hint="eastAsia" w:ascii="宋体" w:hAnsi="宋体"/>
          <w:sz w:val="24"/>
          <w:u w:val="single"/>
        </w:rPr>
        <w:t>__________         _          _____</w:t>
      </w:r>
    </w:p>
    <w:p>
      <w:pPr>
        <w:spacing w:line="500" w:lineRule="exact"/>
        <w:rPr>
          <w:rFonts w:ascii="宋体" w:hAnsi="宋体"/>
          <w:sz w:val="24"/>
        </w:rPr>
      </w:pPr>
      <w:r>
        <w:rPr>
          <w:rFonts w:hint="eastAsia" w:ascii="宋体" w:hAnsi="宋体"/>
          <w:sz w:val="24"/>
        </w:rPr>
        <w:t xml:space="preserve">                                委托代理人：（签字）</w:t>
      </w:r>
      <w:r>
        <w:rPr>
          <w:rFonts w:hint="eastAsia" w:ascii="宋体" w:hAnsi="宋体"/>
          <w:sz w:val="24"/>
          <w:u w:val="single"/>
        </w:rPr>
        <w:t>______                    ___</w:t>
      </w:r>
    </w:p>
    <w:p>
      <w:pPr>
        <w:spacing w:line="500" w:lineRule="exact"/>
        <w:rPr>
          <w:rFonts w:ascii="宋体" w:hAnsi="宋体"/>
          <w:sz w:val="24"/>
        </w:rPr>
      </w:pPr>
      <w:r>
        <w:rPr>
          <w:rFonts w:hint="eastAsia" w:ascii="宋体" w:hAnsi="宋体"/>
          <w:sz w:val="24"/>
        </w:rPr>
        <w:t xml:space="preserve">                                身份证号码：</w:t>
      </w:r>
      <w:r>
        <w:rPr>
          <w:rFonts w:hint="eastAsia" w:ascii="宋体" w:hAnsi="宋体"/>
          <w:sz w:val="24"/>
          <w:u w:val="single"/>
        </w:rPr>
        <w:t>_____________                    ___</w:t>
      </w:r>
    </w:p>
    <w:p>
      <w:pPr>
        <w:spacing w:line="500" w:lineRule="exact"/>
        <w:ind w:firstLine="4560" w:firstLineChars="1900"/>
        <w:rPr>
          <w:rFonts w:ascii="宋体" w:hAnsi="宋体"/>
          <w:sz w:val="24"/>
        </w:rPr>
      </w:pPr>
      <w:r>
        <w:rPr>
          <w:rFonts w:hint="eastAsia" w:ascii="宋体" w:hAnsi="宋体"/>
          <w:sz w:val="24"/>
        </w:rPr>
        <w:t>年   月   日</w:t>
      </w:r>
    </w:p>
    <w:p>
      <w:pPr>
        <w:spacing w:line="500" w:lineRule="exact"/>
        <w:rPr>
          <w:rFonts w:ascii="宋体" w:hAnsi="宋体"/>
          <w:sz w:val="24"/>
        </w:rPr>
      </w:pPr>
    </w:p>
    <w:p>
      <w:pPr>
        <w:rPr>
          <w:rFonts w:ascii="宋体" w:hAnsi="宋体"/>
          <w:sz w:val="24"/>
        </w:rPr>
      </w:pPr>
    </w:p>
    <w:p>
      <w:pPr>
        <w:pStyle w:val="6"/>
        <w:spacing w:beforeLines="100" w:afterLines="150" w:line="360" w:lineRule="exact"/>
        <w:jc w:val="center"/>
        <w:rPr>
          <w:rFonts w:ascii="黑体" w:hAnsi="宋体" w:eastAsia="黑体"/>
          <w:sz w:val="28"/>
          <w:szCs w:val="28"/>
        </w:rPr>
      </w:pPr>
      <w:bookmarkStart w:id="243" w:name="_Toc485889061"/>
      <w:bookmarkStart w:id="244" w:name="_Toc234382964"/>
      <w:bookmarkStart w:id="245" w:name="_Toc486277928"/>
      <w:bookmarkStart w:id="246" w:name="_Toc25686"/>
    </w:p>
    <w:p>
      <w:pPr>
        <w:pStyle w:val="6"/>
        <w:spacing w:beforeLines="100" w:afterLines="150" w:line="360" w:lineRule="exact"/>
        <w:jc w:val="center"/>
        <w:rPr>
          <w:rFonts w:ascii="黑体" w:hAnsi="宋体" w:eastAsia="黑体"/>
          <w:sz w:val="28"/>
          <w:szCs w:val="28"/>
        </w:rPr>
      </w:pPr>
    </w:p>
    <w:p>
      <w:pPr>
        <w:pStyle w:val="6"/>
        <w:spacing w:beforeLines="100" w:afterLines="150" w:line="360" w:lineRule="exact"/>
        <w:jc w:val="center"/>
        <w:rPr>
          <w:rFonts w:ascii="黑体" w:hAnsi="宋体" w:eastAsia="黑体"/>
          <w:sz w:val="28"/>
          <w:szCs w:val="28"/>
        </w:rPr>
      </w:pPr>
    </w:p>
    <w:p>
      <w:pPr>
        <w:pStyle w:val="6"/>
        <w:spacing w:beforeLines="100" w:afterLines="150" w:line="360" w:lineRule="exact"/>
        <w:jc w:val="center"/>
        <w:rPr>
          <w:rFonts w:ascii="黑体" w:hAnsi="宋体" w:eastAsia="黑体"/>
          <w:sz w:val="28"/>
          <w:szCs w:val="28"/>
        </w:rPr>
      </w:pPr>
    </w:p>
    <w:p>
      <w:pPr>
        <w:pStyle w:val="6"/>
        <w:spacing w:beforeLines="100" w:afterLines="150" w:line="360" w:lineRule="exact"/>
        <w:jc w:val="center"/>
        <w:rPr>
          <w:rFonts w:ascii="黑体" w:hAnsi="宋体" w:eastAsia="黑体"/>
          <w:sz w:val="28"/>
          <w:szCs w:val="28"/>
        </w:rPr>
      </w:pPr>
    </w:p>
    <w:p>
      <w:pPr>
        <w:pStyle w:val="6"/>
        <w:spacing w:beforeLines="100" w:afterLines="150" w:line="360" w:lineRule="exact"/>
        <w:jc w:val="center"/>
        <w:rPr>
          <w:rFonts w:ascii="黑体" w:hAnsi="宋体" w:eastAsia="黑体"/>
          <w:sz w:val="28"/>
          <w:szCs w:val="28"/>
        </w:rPr>
      </w:pPr>
      <w:r>
        <w:rPr>
          <w:rFonts w:hint="eastAsia" w:ascii="黑体" w:hAnsi="宋体" w:eastAsia="黑体"/>
          <w:sz w:val="28"/>
          <w:szCs w:val="28"/>
        </w:rPr>
        <w:t>三</w:t>
      </w:r>
      <w:r>
        <w:rPr>
          <w:rFonts w:ascii="黑体" w:hAnsi="宋体" w:eastAsia="黑体"/>
          <w:sz w:val="28"/>
          <w:szCs w:val="28"/>
        </w:rPr>
        <w:t>、投标保证金</w:t>
      </w:r>
      <w:bookmarkEnd w:id="243"/>
      <w:bookmarkEnd w:id="244"/>
      <w:bookmarkEnd w:id="245"/>
      <w:bookmarkEnd w:id="246"/>
    </w:p>
    <w:p>
      <w:pPr>
        <w:autoSpaceDE w:val="0"/>
        <w:autoSpaceDN w:val="0"/>
        <w:adjustRightInd w:val="0"/>
        <w:spacing w:line="420" w:lineRule="exact"/>
        <w:jc w:val="left"/>
        <w:rPr>
          <w:rFonts w:ascii="宋体" w:hAnsi="宋体"/>
          <w:sz w:val="24"/>
        </w:rPr>
      </w:pPr>
      <w:r>
        <w:rPr>
          <w:rFonts w:hint="eastAsia" w:ascii="宋体" w:hAnsi="宋体"/>
          <w:sz w:val="24"/>
        </w:rPr>
        <w:t xml:space="preserve">     此处附投标人递交</w:t>
      </w:r>
      <w:r>
        <w:rPr>
          <w:rFonts w:hint="eastAsia" w:hAnsi="宋体" w:cs="仿宋_GB2312"/>
          <w:sz w:val="24"/>
        </w:rPr>
        <w:t>投标保证金有效缴纳凭证；</w:t>
      </w:r>
    </w:p>
    <w:p>
      <w:pPr>
        <w:pStyle w:val="6"/>
        <w:spacing w:beforeLines="100" w:afterLines="150" w:line="360" w:lineRule="exact"/>
        <w:jc w:val="center"/>
      </w:pPr>
      <w:r>
        <w:rPr>
          <w:rFonts w:ascii="宋体"/>
        </w:rPr>
        <w:br w:type="page"/>
      </w:r>
      <w:bookmarkStart w:id="247" w:name="_Toc486277929"/>
      <w:bookmarkStart w:id="248" w:name="_Toc234382966"/>
      <w:bookmarkStart w:id="249" w:name="_Toc19556"/>
      <w:bookmarkStart w:id="250" w:name="_Toc485889062"/>
      <w:r>
        <w:rPr>
          <w:rFonts w:hint="eastAsia" w:ascii="黑体" w:hAnsi="宋体" w:eastAsia="黑体"/>
          <w:sz w:val="28"/>
          <w:szCs w:val="28"/>
        </w:rPr>
        <w:t>四</w:t>
      </w:r>
      <w:r>
        <w:rPr>
          <w:rFonts w:ascii="黑体" w:hAnsi="宋体" w:eastAsia="黑体"/>
          <w:sz w:val="28"/>
          <w:szCs w:val="28"/>
        </w:rPr>
        <w:t>、施工组织设计</w:t>
      </w:r>
      <w:bookmarkEnd w:id="247"/>
      <w:bookmarkEnd w:id="248"/>
      <w:bookmarkEnd w:id="249"/>
      <w:bookmarkEnd w:id="250"/>
    </w:p>
    <w:p>
      <w:pPr>
        <w:spacing w:line="440" w:lineRule="exact"/>
        <w:rPr>
          <w:rFonts w:ascii="宋体" w:hAnsi="宋体"/>
          <w:sz w:val="24"/>
        </w:rPr>
      </w:pPr>
      <w:r>
        <w:rPr>
          <w:rFonts w:hint="eastAsia" w:ascii="宋体" w:hAnsi="宋体"/>
          <w:sz w:val="24"/>
        </w:rPr>
        <w:t>1、投标人应按以下要点编制施工组织设计；</w:t>
      </w:r>
    </w:p>
    <w:p>
      <w:pPr>
        <w:spacing w:line="440" w:lineRule="exact"/>
        <w:ind w:firstLine="480" w:firstLineChars="200"/>
        <w:rPr>
          <w:rFonts w:ascii="宋体" w:hAnsi="宋体"/>
          <w:sz w:val="24"/>
        </w:rPr>
      </w:pPr>
      <w:r>
        <w:rPr>
          <w:rFonts w:hint="eastAsia" w:ascii="宋体" w:hAnsi="宋体"/>
          <w:sz w:val="24"/>
        </w:rPr>
        <w:t>（1）总体施工组织布置及规划</w:t>
      </w:r>
    </w:p>
    <w:p>
      <w:pPr>
        <w:spacing w:line="440" w:lineRule="exact"/>
        <w:ind w:firstLine="480" w:firstLineChars="200"/>
        <w:rPr>
          <w:rFonts w:ascii="宋体" w:hAnsi="宋体"/>
          <w:sz w:val="24"/>
        </w:rPr>
      </w:pPr>
      <w:r>
        <w:rPr>
          <w:rFonts w:hint="eastAsia" w:ascii="宋体" w:hAnsi="宋体"/>
          <w:sz w:val="24"/>
        </w:rPr>
        <w:t>（2）主要工程项目的施工方案、方法与技术措施（尤其对重点、关键和难点工程的施工方案、方法及其措施）</w:t>
      </w:r>
    </w:p>
    <w:p>
      <w:pPr>
        <w:spacing w:line="440" w:lineRule="exact"/>
        <w:ind w:firstLine="480" w:firstLineChars="200"/>
        <w:rPr>
          <w:rFonts w:ascii="宋体" w:hAnsi="宋体"/>
          <w:sz w:val="24"/>
        </w:rPr>
      </w:pPr>
      <w:r>
        <w:rPr>
          <w:rFonts w:hint="eastAsia" w:ascii="宋体" w:hAnsi="宋体"/>
          <w:sz w:val="24"/>
        </w:rPr>
        <w:t>（3）工期的保证体系及保证措施</w:t>
      </w:r>
    </w:p>
    <w:p>
      <w:pPr>
        <w:spacing w:line="440" w:lineRule="exact"/>
        <w:ind w:firstLine="480" w:firstLineChars="200"/>
        <w:rPr>
          <w:rFonts w:ascii="宋体" w:hAnsi="宋体"/>
          <w:sz w:val="24"/>
        </w:rPr>
      </w:pPr>
      <w:r>
        <w:rPr>
          <w:rFonts w:hint="eastAsia" w:ascii="宋体" w:hAnsi="宋体"/>
          <w:sz w:val="24"/>
        </w:rPr>
        <w:t>（4）工程质量管理体系及保证措施</w:t>
      </w:r>
    </w:p>
    <w:p>
      <w:pPr>
        <w:spacing w:line="440" w:lineRule="exact"/>
        <w:ind w:firstLine="480" w:firstLineChars="200"/>
        <w:rPr>
          <w:rFonts w:ascii="宋体" w:hAnsi="宋体"/>
          <w:sz w:val="24"/>
        </w:rPr>
      </w:pPr>
      <w:r>
        <w:rPr>
          <w:rFonts w:hint="eastAsia" w:ascii="宋体" w:hAnsi="宋体"/>
          <w:sz w:val="24"/>
        </w:rPr>
        <w:t>（5）安全生产管理体系及保证措施</w:t>
      </w:r>
    </w:p>
    <w:p>
      <w:pPr>
        <w:spacing w:line="440" w:lineRule="exact"/>
        <w:ind w:firstLine="480" w:firstLineChars="200"/>
        <w:rPr>
          <w:rFonts w:ascii="宋体" w:hAnsi="宋体"/>
          <w:sz w:val="24"/>
        </w:rPr>
      </w:pPr>
      <w:r>
        <w:rPr>
          <w:rFonts w:hint="eastAsia" w:ascii="宋体" w:hAnsi="宋体"/>
          <w:sz w:val="24"/>
        </w:rPr>
        <w:t>（6）环境保护、水土保持保证体系及保证措施</w:t>
      </w:r>
      <w:r>
        <w:rPr>
          <w:rFonts w:hint="eastAsia" w:ascii="宋体" w:hAnsi="宋体"/>
          <w:b/>
          <w:bCs/>
          <w:sz w:val="24"/>
        </w:rPr>
        <w:t>（含扬尘治理措施）</w:t>
      </w:r>
    </w:p>
    <w:p>
      <w:pPr>
        <w:spacing w:line="440" w:lineRule="exact"/>
        <w:ind w:firstLine="480" w:firstLineChars="200"/>
        <w:rPr>
          <w:rFonts w:ascii="宋体" w:hAnsi="宋体"/>
          <w:sz w:val="24"/>
        </w:rPr>
      </w:pPr>
      <w:r>
        <w:rPr>
          <w:rFonts w:hint="eastAsia" w:ascii="宋体" w:hAnsi="宋体"/>
          <w:sz w:val="24"/>
        </w:rPr>
        <w:t>（7）文明施工、文物保护保证体系及保证措施</w:t>
      </w:r>
    </w:p>
    <w:p>
      <w:pPr>
        <w:spacing w:line="440" w:lineRule="exact"/>
        <w:ind w:firstLine="480" w:firstLineChars="200"/>
        <w:rPr>
          <w:rFonts w:ascii="宋体" w:hAnsi="宋体"/>
          <w:sz w:val="24"/>
        </w:rPr>
      </w:pPr>
      <w:r>
        <w:rPr>
          <w:rFonts w:hint="eastAsia" w:ascii="宋体" w:hAnsi="宋体"/>
          <w:sz w:val="24"/>
        </w:rPr>
        <w:t>（8）项目风险预测与防范，事故应急预案</w:t>
      </w:r>
    </w:p>
    <w:p>
      <w:pPr>
        <w:spacing w:line="440" w:lineRule="exact"/>
        <w:ind w:firstLine="480" w:firstLineChars="200"/>
        <w:rPr>
          <w:rFonts w:ascii="宋体" w:hAnsi="宋体"/>
          <w:sz w:val="24"/>
        </w:rPr>
      </w:pPr>
      <w:r>
        <w:rPr>
          <w:rFonts w:hint="eastAsia" w:ascii="宋体" w:hAnsi="宋体"/>
          <w:sz w:val="24"/>
        </w:rPr>
        <w:t>（9）其他应说明的事项</w:t>
      </w:r>
    </w:p>
    <w:p>
      <w:pPr>
        <w:spacing w:line="400" w:lineRule="exact"/>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施工组织设计除采用文字表述外可附下列图表，图表及格式要求附后。</w:t>
      </w:r>
    </w:p>
    <w:p>
      <w:pPr>
        <w:spacing w:line="400" w:lineRule="exact"/>
        <w:ind w:firstLine="480" w:firstLineChars="200"/>
        <w:rPr>
          <w:rFonts w:ascii="宋体" w:hAnsi="宋体"/>
          <w:sz w:val="24"/>
        </w:rPr>
      </w:pPr>
      <w:r>
        <w:rPr>
          <w:rFonts w:hint="eastAsia" w:ascii="宋体" w:hAnsi="宋体"/>
          <w:sz w:val="24"/>
        </w:rPr>
        <w:t xml:space="preserve">   附表一  施工总体计划表</w:t>
      </w:r>
    </w:p>
    <w:p>
      <w:pPr>
        <w:spacing w:line="400" w:lineRule="exact"/>
        <w:ind w:firstLine="480" w:firstLineChars="200"/>
        <w:rPr>
          <w:rFonts w:ascii="宋体" w:hAnsi="宋体"/>
          <w:sz w:val="24"/>
        </w:rPr>
      </w:pPr>
      <w:r>
        <w:rPr>
          <w:rFonts w:hint="eastAsia" w:ascii="宋体" w:hAnsi="宋体"/>
          <w:sz w:val="24"/>
        </w:rPr>
        <w:t xml:space="preserve">   附表二  分项工程进度率计划（斜率图） </w:t>
      </w:r>
    </w:p>
    <w:p>
      <w:pPr>
        <w:spacing w:line="400" w:lineRule="exact"/>
        <w:ind w:firstLine="480" w:firstLineChars="200"/>
        <w:rPr>
          <w:rFonts w:ascii="宋体" w:hAnsi="宋体"/>
          <w:sz w:val="24"/>
        </w:rPr>
      </w:pPr>
      <w:r>
        <w:rPr>
          <w:rFonts w:hint="eastAsia" w:ascii="宋体" w:hAnsi="宋体"/>
          <w:sz w:val="24"/>
        </w:rPr>
        <w:t xml:space="preserve">   附表三  工程管理曲线</w:t>
      </w:r>
    </w:p>
    <w:p>
      <w:pPr>
        <w:spacing w:line="400" w:lineRule="exact"/>
        <w:ind w:firstLine="480" w:firstLineChars="200"/>
        <w:rPr>
          <w:rFonts w:ascii="宋体" w:hAnsi="宋体"/>
          <w:sz w:val="24"/>
        </w:rPr>
      </w:pPr>
      <w:r>
        <w:rPr>
          <w:rFonts w:hint="eastAsia" w:ascii="宋体" w:hAnsi="宋体"/>
          <w:sz w:val="24"/>
        </w:rPr>
        <w:t xml:space="preserve">   附表四  分项工程生产率和施工周期表</w:t>
      </w:r>
    </w:p>
    <w:p>
      <w:pPr>
        <w:spacing w:line="400" w:lineRule="exact"/>
        <w:ind w:firstLine="480" w:firstLineChars="200"/>
        <w:rPr>
          <w:rFonts w:ascii="宋体" w:hAnsi="宋体"/>
          <w:sz w:val="24"/>
        </w:rPr>
      </w:pPr>
      <w:r>
        <w:rPr>
          <w:rFonts w:hint="eastAsia" w:ascii="宋体" w:hAnsi="宋体"/>
          <w:sz w:val="24"/>
        </w:rPr>
        <w:t xml:space="preserve">   附表五  施工总平面图</w:t>
      </w:r>
    </w:p>
    <w:p>
      <w:pPr>
        <w:spacing w:line="400" w:lineRule="exact"/>
        <w:ind w:firstLine="480" w:firstLineChars="200"/>
        <w:rPr>
          <w:rFonts w:ascii="宋体" w:hAnsi="宋体"/>
          <w:sz w:val="24"/>
        </w:rPr>
      </w:pPr>
      <w:r>
        <w:rPr>
          <w:rFonts w:hint="eastAsia" w:ascii="宋体" w:hAnsi="宋体"/>
          <w:sz w:val="24"/>
        </w:rPr>
        <w:t xml:space="preserve">   附表六  劳动力计划表</w:t>
      </w:r>
    </w:p>
    <w:p>
      <w:pPr>
        <w:spacing w:line="400" w:lineRule="exact"/>
        <w:ind w:firstLine="840" w:firstLineChars="350"/>
        <w:rPr>
          <w:rFonts w:ascii="宋体" w:hAnsi="宋体"/>
          <w:sz w:val="24"/>
        </w:rPr>
      </w:pPr>
      <w:r>
        <w:rPr>
          <w:rFonts w:hint="eastAsia" w:ascii="宋体" w:hAnsi="宋体"/>
          <w:sz w:val="24"/>
        </w:rPr>
        <w:t>附表七  临时用地计划表</w:t>
      </w:r>
    </w:p>
    <w:p>
      <w:pPr>
        <w:spacing w:line="400" w:lineRule="exact"/>
        <w:ind w:firstLine="840" w:firstLineChars="350"/>
        <w:rPr>
          <w:rFonts w:ascii="宋体" w:hAnsi="宋体"/>
          <w:sz w:val="24"/>
        </w:rPr>
      </w:pPr>
      <w:r>
        <w:rPr>
          <w:rFonts w:hint="eastAsia" w:ascii="宋体" w:hAnsi="宋体"/>
          <w:sz w:val="24"/>
        </w:rPr>
        <w:t>附表八  外供电力需求计划表</w:t>
      </w:r>
    </w:p>
    <w:p>
      <w:pPr>
        <w:spacing w:line="400" w:lineRule="exact"/>
        <w:ind w:firstLine="840" w:firstLineChars="350"/>
        <w:rPr>
          <w:rFonts w:ascii="宋体" w:hAnsi="宋体"/>
          <w:sz w:val="24"/>
        </w:rPr>
      </w:pPr>
      <w:r>
        <w:rPr>
          <w:rFonts w:hint="eastAsia" w:ascii="宋体" w:hAnsi="宋体"/>
          <w:sz w:val="24"/>
        </w:rPr>
        <w:t>附表九  合同用款估算表</w:t>
      </w: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sectPr>
          <w:headerReference r:id="rId6" w:type="first"/>
          <w:footerReference r:id="rId8" w:type="first"/>
          <w:footerReference r:id="rId7" w:type="default"/>
          <w:pgSz w:w="11906" w:h="16838"/>
          <w:pgMar w:top="1304" w:right="1134" w:bottom="1304" w:left="1247" w:header="851" w:footer="992" w:gutter="0"/>
          <w:pgNumType w:fmt="decimal" w:start="45"/>
          <w:cols w:space="425" w:num="1"/>
          <w:titlePg/>
          <w:docGrid w:type="lines" w:linePitch="312" w:charSpace="0"/>
        </w:sectPr>
      </w:pPr>
    </w:p>
    <w:p>
      <w:pPr>
        <w:pStyle w:val="7"/>
        <w:spacing w:before="120" w:after="120" w:line="377" w:lineRule="auto"/>
      </w:pPr>
      <w:r>
        <w:rPr>
          <w:rFonts w:hint="eastAsia"/>
        </w:rPr>
        <w:t>附表一施工总体计划表</w:t>
      </w:r>
    </w:p>
    <w:tbl>
      <w:tblPr>
        <w:tblStyle w:val="14"/>
        <w:tblW w:w="1481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66"/>
        <w:gridCol w:w="403"/>
        <w:gridCol w:w="403"/>
        <w:gridCol w:w="405"/>
        <w:gridCol w:w="405"/>
        <w:gridCol w:w="405"/>
        <w:gridCol w:w="405"/>
        <w:gridCol w:w="405"/>
        <w:gridCol w:w="405"/>
        <w:gridCol w:w="405"/>
        <w:gridCol w:w="426"/>
        <w:gridCol w:w="426"/>
        <w:gridCol w:w="429"/>
        <w:gridCol w:w="405"/>
        <w:gridCol w:w="405"/>
        <w:gridCol w:w="406"/>
        <w:gridCol w:w="406"/>
        <w:gridCol w:w="406"/>
        <w:gridCol w:w="406"/>
        <w:gridCol w:w="406"/>
        <w:gridCol w:w="406"/>
        <w:gridCol w:w="406"/>
        <w:gridCol w:w="427"/>
        <w:gridCol w:w="427"/>
        <w:gridCol w:w="450"/>
        <w:gridCol w:w="406"/>
        <w:gridCol w:w="406"/>
        <w:gridCol w:w="406"/>
        <w:gridCol w:w="406"/>
        <w:gridCol w:w="435"/>
        <w:gridCol w:w="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9" w:type="dxa"/>
          <w:trHeight w:val="613" w:hRule="exact"/>
          <w:jc w:val="center"/>
        </w:trPr>
        <w:tc>
          <w:tcPr>
            <w:tcW w:w="2866" w:type="dxa"/>
            <w:tcBorders>
              <w:bottom w:val="single" w:color="auto" w:sz="6" w:space="0"/>
            </w:tcBorders>
            <w:vAlign w:val="center"/>
          </w:tcPr>
          <w:p>
            <w:pPr>
              <w:rPr>
                <w:rFonts w:ascii="宋体" w:hAnsi="宋体"/>
                <w:szCs w:val="21"/>
              </w:rPr>
            </w:pPr>
            <w:r>
              <w:rPr>
                <w:rFonts w:hint="eastAsia" w:ascii="宋体" w:hAnsi="宋体"/>
                <w:szCs w:val="21"/>
              </w:rPr>
              <w:t>年度</w:t>
            </w:r>
          </w:p>
        </w:tc>
        <w:tc>
          <w:tcPr>
            <w:tcW w:w="4922" w:type="dxa"/>
            <w:gridSpan w:val="12"/>
            <w:vAlign w:val="center"/>
          </w:tcPr>
          <w:p>
            <w:pPr>
              <w:rPr>
                <w:rFonts w:ascii="宋体" w:hAnsi="宋体"/>
                <w:szCs w:val="21"/>
              </w:rPr>
            </w:pPr>
            <w:r>
              <w:rPr>
                <w:rFonts w:hint="eastAsia" w:ascii="宋体" w:hAnsi="宋体"/>
                <w:szCs w:val="21"/>
              </w:rPr>
              <w:t>年</w:t>
            </w:r>
          </w:p>
        </w:tc>
        <w:tc>
          <w:tcPr>
            <w:tcW w:w="4956" w:type="dxa"/>
            <w:gridSpan w:val="12"/>
            <w:vAlign w:val="center"/>
          </w:tcPr>
          <w:p>
            <w:pPr>
              <w:rPr>
                <w:rFonts w:ascii="宋体" w:hAnsi="宋体"/>
                <w:szCs w:val="21"/>
              </w:rPr>
            </w:pPr>
            <w:r>
              <w:rPr>
                <w:rFonts w:hint="eastAsia" w:ascii="宋体" w:hAnsi="宋体"/>
                <w:szCs w:val="21"/>
              </w:rPr>
              <w:t>年</w:t>
            </w:r>
          </w:p>
        </w:tc>
        <w:tc>
          <w:tcPr>
            <w:tcW w:w="2059" w:type="dxa"/>
            <w:gridSpan w:val="5"/>
            <w:vAlign w:val="center"/>
          </w:tcPr>
          <w:p>
            <w:pPr>
              <w:rPr>
                <w:rFonts w:ascii="宋体" w:hAnsi="宋体"/>
                <w:szCs w:val="21"/>
              </w:rPr>
            </w:pPr>
            <w:r>
              <w:rPr>
                <w:rFonts w:hint="eastAsia" w:ascii="宋体" w:hAnsi="宋体"/>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74" w:hRule="exact"/>
          <w:jc w:val="center"/>
        </w:trPr>
        <w:tc>
          <w:tcPr>
            <w:tcW w:w="2866" w:type="dxa"/>
            <w:tcBorders>
              <w:top w:val="single" w:color="auto" w:sz="6" w:space="0"/>
              <w:bottom w:val="single" w:color="auto" w:sz="6" w:space="0"/>
              <w:tl2br w:val="single" w:color="auto" w:sz="6" w:space="0"/>
            </w:tcBorders>
            <w:vAlign w:val="center"/>
          </w:tcPr>
          <w:p>
            <w:pPr>
              <w:rPr>
                <w:rFonts w:ascii="宋体" w:hAnsi="宋体"/>
                <w:szCs w:val="21"/>
              </w:rPr>
            </w:pPr>
            <w:r>
              <w:rPr>
                <w:rFonts w:hint="eastAsia" w:ascii="宋体" w:hAnsi="宋体"/>
                <w:szCs w:val="21"/>
              </w:rPr>
              <w:t xml:space="preserve">                    月份</w:t>
            </w:r>
          </w:p>
          <w:p>
            <w:pPr>
              <w:jc w:val="left"/>
              <w:rPr>
                <w:rFonts w:ascii="宋体" w:hAnsi="宋体"/>
                <w:szCs w:val="21"/>
              </w:rPr>
            </w:pPr>
          </w:p>
          <w:p>
            <w:pPr>
              <w:jc w:val="left"/>
              <w:rPr>
                <w:rFonts w:ascii="宋体" w:hAnsi="宋体"/>
                <w:szCs w:val="21"/>
              </w:rPr>
            </w:pPr>
            <w:r>
              <w:rPr>
                <w:rFonts w:hint="eastAsia" w:ascii="宋体" w:hAnsi="宋体"/>
                <w:szCs w:val="21"/>
              </w:rPr>
              <w:t>主要工程项目</w:t>
            </w:r>
          </w:p>
        </w:tc>
        <w:tc>
          <w:tcPr>
            <w:tcW w:w="403" w:type="dxa"/>
            <w:vAlign w:val="center"/>
          </w:tcPr>
          <w:p>
            <w:pPr>
              <w:rPr>
                <w:rFonts w:ascii="宋体" w:hAnsi="宋体"/>
                <w:szCs w:val="21"/>
              </w:rPr>
            </w:pPr>
            <w:r>
              <w:rPr>
                <w:rFonts w:hint="eastAsia" w:ascii="宋体" w:hAnsi="宋体"/>
                <w:szCs w:val="21"/>
              </w:rPr>
              <w:t>1</w:t>
            </w:r>
          </w:p>
        </w:tc>
        <w:tc>
          <w:tcPr>
            <w:tcW w:w="403" w:type="dxa"/>
            <w:vAlign w:val="center"/>
          </w:tcPr>
          <w:p>
            <w:pPr>
              <w:rPr>
                <w:rFonts w:ascii="宋体" w:hAnsi="宋体"/>
                <w:szCs w:val="21"/>
              </w:rPr>
            </w:pPr>
            <w:r>
              <w:rPr>
                <w:rFonts w:hint="eastAsia" w:ascii="宋体" w:hAnsi="宋体"/>
                <w:szCs w:val="21"/>
              </w:rPr>
              <w:t>2</w:t>
            </w:r>
          </w:p>
        </w:tc>
        <w:tc>
          <w:tcPr>
            <w:tcW w:w="405" w:type="dxa"/>
            <w:vAlign w:val="center"/>
          </w:tcPr>
          <w:p>
            <w:pPr>
              <w:rPr>
                <w:rFonts w:ascii="宋体" w:hAnsi="宋体"/>
                <w:szCs w:val="21"/>
              </w:rPr>
            </w:pPr>
            <w:r>
              <w:rPr>
                <w:rFonts w:hint="eastAsia" w:ascii="宋体" w:hAnsi="宋体"/>
                <w:szCs w:val="21"/>
              </w:rPr>
              <w:t>3</w:t>
            </w:r>
          </w:p>
        </w:tc>
        <w:tc>
          <w:tcPr>
            <w:tcW w:w="405" w:type="dxa"/>
            <w:vAlign w:val="center"/>
          </w:tcPr>
          <w:p>
            <w:pPr>
              <w:rPr>
                <w:rFonts w:ascii="宋体" w:hAnsi="宋体"/>
                <w:szCs w:val="21"/>
              </w:rPr>
            </w:pPr>
            <w:r>
              <w:rPr>
                <w:rFonts w:hint="eastAsia" w:ascii="宋体" w:hAnsi="宋体"/>
                <w:szCs w:val="21"/>
              </w:rPr>
              <w:t>4</w:t>
            </w:r>
          </w:p>
        </w:tc>
        <w:tc>
          <w:tcPr>
            <w:tcW w:w="405" w:type="dxa"/>
            <w:vAlign w:val="center"/>
          </w:tcPr>
          <w:p>
            <w:pPr>
              <w:rPr>
                <w:rFonts w:ascii="宋体" w:hAnsi="宋体"/>
                <w:szCs w:val="21"/>
              </w:rPr>
            </w:pPr>
            <w:r>
              <w:rPr>
                <w:rFonts w:hint="eastAsia" w:ascii="宋体" w:hAnsi="宋体"/>
                <w:szCs w:val="21"/>
              </w:rPr>
              <w:t>5</w:t>
            </w:r>
          </w:p>
        </w:tc>
        <w:tc>
          <w:tcPr>
            <w:tcW w:w="405" w:type="dxa"/>
            <w:vAlign w:val="center"/>
          </w:tcPr>
          <w:p>
            <w:pPr>
              <w:rPr>
                <w:rFonts w:ascii="宋体" w:hAnsi="宋体"/>
                <w:szCs w:val="21"/>
              </w:rPr>
            </w:pPr>
            <w:r>
              <w:rPr>
                <w:rFonts w:hint="eastAsia" w:ascii="宋体" w:hAnsi="宋体"/>
                <w:szCs w:val="21"/>
              </w:rPr>
              <w:t>6</w:t>
            </w:r>
          </w:p>
        </w:tc>
        <w:tc>
          <w:tcPr>
            <w:tcW w:w="405" w:type="dxa"/>
            <w:vAlign w:val="center"/>
          </w:tcPr>
          <w:p>
            <w:pPr>
              <w:rPr>
                <w:rFonts w:ascii="宋体" w:hAnsi="宋体"/>
                <w:szCs w:val="21"/>
              </w:rPr>
            </w:pPr>
            <w:r>
              <w:rPr>
                <w:rFonts w:hint="eastAsia" w:ascii="宋体" w:hAnsi="宋体"/>
                <w:szCs w:val="21"/>
              </w:rPr>
              <w:t>7</w:t>
            </w:r>
          </w:p>
        </w:tc>
        <w:tc>
          <w:tcPr>
            <w:tcW w:w="405" w:type="dxa"/>
            <w:vAlign w:val="center"/>
          </w:tcPr>
          <w:p>
            <w:pPr>
              <w:rPr>
                <w:rFonts w:ascii="宋体" w:hAnsi="宋体"/>
                <w:szCs w:val="21"/>
              </w:rPr>
            </w:pPr>
            <w:r>
              <w:rPr>
                <w:rFonts w:hint="eastAsia" w:ascii="宋体" w:hAnsi="宋体"/>
                <w:szCs w:val="21"/>
              </w:rPr>
              <w:t>8</w:t>
            </w:r>
          </w:p>
        </w:tc>
        <w:tc>
          <w:tcPr>
            <w:tcW w:w="405" w:type="dxa"/>
            <w:vAlign w:val="center"/>
          </w:tcPr>
          <w:p>
            <w:pPr>
              <w:rPr>
                <w:rFonts w:ascii="宋体" w:hAnsi="宋体"/>
                <w:szCs w:val="21"/>
              </w:rPr>
            </w:pPr>
            <w:r>
              <w:rPr>
                <w:rFonts w:hint="eastAsia" w:ascii="宋体" w:hAnsi="宋体"/>
                <w:szCs w:val="21"/>
              </w:rPr>
              <w:t>9</w:t>
            </w:r>
          </w:p>
        </w:tc>
        <w:tc>
          <w:tcPr>
            <w:tcW w:w="426" w:type="dxa"/>
            <w:vAlign w:val="center"/>
          </w:tcPr>
          <w:p>
            <w:pPr>
              <w:rPr>
                <w:rFonts w:ascii="宋体" w:hAnsi="宋体"/>
                <w:szCs w:val="21"/>
              </w:rPr>
            </w:pPr>
            <w:r>
              <w:rPr>
                <w:rFonts w:hint="eastAsia" w:ascii="宋体" w:hAnsi="宋体"/>
                <w:szCs w:val="21"/>
              </w:rPr>
              <w:t>10</w:t>
            </w:r>
          </w:p>
        </w:tc>
        <w:tc>
          <w:tcPr>
            <w:tcW w:w="426" w:type="dxa"/>
            <w:vAlign w:val="center"/>
          </w:tcPr>
          <w:p>
            <w:pPr>
              <w:rPr>
                <w:rFonts w:ascii="宋体" w:hAnsi="宋体"/>
                <w:szCs w:val="21"/>
              </w:rPr>
            </w:pPr>
            <w:r>
              <w:rPr>
                <w:rFonts w:hint="eastAsia" w:ascii="宋体" w:hAnsi="宋体"/>
                <w:szCs w:val="21"/>
              </w:rPr>
              <w:t>11</w:t>
            </w:r>
          </w:p>
        </w:tc>
        <w:tc>
          <w:tcPr>
            <w:tcW w:w="429" w:type="dxa"/>
            <w:vAlign w:val="center"/>
          </w:tcPr>
          <w:p>
            <w:pPr>
              <w:rPr>
                <w:rFonts w:ascii="宋体" w:hAnsi="宋体"/>
                <w:szCs w:val="21"/>
              </w:rPr>
            </w:pPr>
            <w:r>
              <w:rPr>
                <w:rFonts w:hint="eastAsia" w:ascii="宋体" w:hAnsi="宋体"/>
                <w:szCs w:val="21"/>
              </w:rPr>
              <w:t>12</w:t>
            </w:r>
          </w:p>
        </w:tc>
        <w:tc>
          <w:tcPr>
            <w:tcW w:w="405" w:type="dxa"/>
            <w:vAlign w:val="center"/>
          </w:tcPr>
          <w:p>
            <w:pPr>
              <w:rPr>
                <w:rFonts w:ascii="宋体" w:hAnsi="宋体"/>
                <w:szCs w:val="21"/>
              </w:rPr>
            </w:pPr>
            <w:r>
              <w:rPr>
                <w:rFonts w:hint="eastAsia" w:ascii="宋体" w:hAnsi="宋体"/>
                <w:szCs w:val="21"/>
              </w:rPr>
              <w:t>1</w:t>
            </w:r>
          </w:p>
        </w:tc>
        <w:tc>
          <w:tcPr>
            <w:tcW w:w="405" w:type="dxa"/>
            <w:vAlign w:val="center"/>
          </w:tcPr>
          <w:p>
            <w:pPr>
              <w:rPr>
                <w:rFonts w:ascii="宋体" w:hAnsi="宋体"/>
                <w:szCs w:val="21"/>
              </w:rPr>
            </w:pPr>
            <w:r>
              <w:rPr>
                <w:rFonts w:hint="eastAsia" w:ascii="宋体" w:hAnsi="宋体"/>
                <w:szCs w:val="21"/>
              </w:rPr>
              <w:t>2</w:t>
            </w:r>
          </w:p>
        </w:tc>
        <w:tc>
          <w:tcPr>
            <w:tcW w:w="406" w:type="dxa"/>
            <w:vAlign w:val="center"/>
          </w:tcPr>
          <w:p>
            <w:pPr>
              <w:rPr>
                <w:rFonts w:ascii="宋体" w:hAnsi="宋体"/>
                <w:szCs w:val="21"/>
              </w:rPr>
            </w:pPr>
            <w:r>
              <w:rPr>
                <w:rFonts w:hint="eastAsia" w:ascii="宋体" w:hAnsi="宋体"/>
                <w:szCs w:val="21"/>
              </w:rPr>
              <w:t>3</w:t>
            </w:r>
          </w:p>
        </w:tc>
        <w:tc>
          <w:tcPr>
            <w:tcW w:w="406" w:type="dxa"/>
            <w:vAlign w:val="center"/>
          </w:tcPr>
          <w:p>
            <w:pPr>
              <w:rPr>
                <w:rFonts w:ascii="宋体" w:hAnsi="宋体"/>
                <w:szCs w:val="21"/>
              </w:rPr>
            </w:pPr>
            <w:r>
              <w:rPr>
                <w:rFonts w:hint="eastAsia" w:ascii="宋体" w:hAnsi="宋体"/>
                <w:szCs w:val="21"/>
              </w:rPr>
              <w:t>4</w:t>
            </w:r>
          </w:p>
        </w:tc>
        <w:tc>
          <w:tcPr>
            <w:tcW w:w="406" w:type="dxa"/>
            <w:vAlign w:val="center"/>
          </w:tcPr>
          <w:p>
            <w:pPr>
              <w:rPr>
                <w:rFonts w:ascii="宋体" w:hAnsi="宋体"/>
                <w:szCs w:val="21"/>
              </w:rPr>
            </w:pPr>
            <w:r>
              <w:rPr>
                <w:rFonts w:hint="eastAsia" w:ascii="宋体" w:hAnsi="宋体"/>
                <w:szCs w:val="21"/>
              </w:rPr>
              <w:t>5</w:t>
            </w:r>
          </w:p>
        </w:tc>
        <w:tc>
          <w:tcPr>
            <w:tcW w:w="406" w:type="dxa"/>
            <w:vAlign w:val="center"/>
          </w:tcPr>
          <w:p>
            <w:pPr>
              <w:rPr>
                <w:rFonts w:ascii="宋体" w:hAnsi="宋体"/>
                <w:szCs w:val="21"/>
              </w:rPr>
            </w:pPr>
            <w:r>
              <w:rPr>
                <w:rFonts w:hint="eastAsia" w:ascii="宋体" w:hAnsi="宋体"/>
                <w:szCs w:val="21"/>
              </w:rPr>
              <w:t>6</w:t>
            </w:r>
          </w:p>
        </w:tc>
        <w:tc>
          <w:tcPr>
            <w:tcW w:w="406" w:type="dxa"/>
            <w:vAlign w:val="center"/>
          </w:tcPr>
          <w:p>
            <w:pPr>
              <w:rPr>
                <w:rFonts w:ascii="宋体" w:hAnsi="宋体"/>
                <w:szCs w:val="21"/>
              </w:rPr>
            </w:pPr>
            <w:r>
              <w:rPr>
                <w:rFonts w:hint="eastAsia" w:ascii="宋体" w:hAnsi="宋体"/>
                <w:szCs w:val="21"/>
              </w:rPr>
              <w:t>7</w:t>
            </w:r>
          </w:p>
        </w:tc>
        <w:tc>
          <w:tcPr>
            <w:tcW w:w="406" w:type="dxa"/>
            <w:vAlign w:val="center"/>
          </w:tcPr>
          <w:p>
            <w:pPr>
              <w:rPr>
                <w:rFonts w:ascii="宋体" w:hAnsi="宋体"/>
                <w:szCs w:val="21"/>
              </w:rPr>
            </w:pPr>
            <w:r>
              <w:rPr>
                <w:rFonts w:hint="eastAsia" w:ascii="宋体" w:hAnsi="宋体"/>
                <w:szCs w:val="21"/>
              </w:rPr>
              <w:t>8</w:t>
            </w:r>
          </w:p>
        </w:tc>
        <w:tc>
          <w:tcPr>
            <w:tcW w:w="406" w:type="dxa"/>
            <w:vAlign w:val="center"/>
          </w:tcPr>
          <w:p>
            <w:pPr>
              <w:rPr>
                <w:rFonts w:ascii="宋体" w:hAnsi="宋体"/>
                <w:szCs w:val="21"/>
              </w:rPr>
            </w:pPr>
            <w:r>
              <w:rPr>
                <w:rFonts w:hint="eastAsia" w:ascii="宋体" w:hAnsi="宋体"/>
                <w:szCs w:val="21"/>
              </w:rPr>
              <w:t>9</w:t>
            </w:r>
          </w:p>
        </w:tc>
        <w:tc>
          <w:tcPr>
            <w:tcW w:w="427" w:type="dxa"/>
            <w:vAlign w:val="center"/>
          </w:tcPr>
          <w:p>
            <w:pPr>
              <w:rPr>
                <w:rFonts w:ascii="宋体" w:hAnsi="宋体"/>
                <w:szCs w:val="21"/>
              </w:rPr>
            </w:pPr>
            <w:r>
              <w:rPr>
                <w:rFonts w:hint="eastAsia" w:ascii="宋体" w:hAnsi="宋体"/>
                <w:szCs w:val="21"/>
              </w:rPr>
              <w:t>10</w:t>
            </w:r>
          </w:p>
        </w:tc>
        <w:tc>
          <w:tcPr>
            <w:tcW w:w="427" w:type="dxa"/>
            <w:vAlign w:val="center"/>
          </w:tcPr>
          <w:p>
            <w:pPr>
              <w:rPr>
                <w:rFonts w:ascii="宋体" w:hAnsi="宋体"/>
                <w:szCs w:val="21"/>
              </w:rPr>
            </w:pPr>
            <w:r>
              <w:rPr>
                <w:rFonts w:hint="eastAsia" w:ascii="宋体" w:hAnsi="宋体"/>
                <w:szCs w:val="21"/>
              </w:rPr>
              <w:t>11</w:t>
            </w:r>
          </w:p>
        </w:tc>
        <w:tc>
          <w:tcPr>
            <w:tcW w:w="450" w:type="dxa"/>
            <w:vAlign w:val="center"/>
          </w:tcPr>
          <w:p>
            <w:pPr>
              <w:rPr>
                <w:rFonts w:ascii="宋体" w:hAnsi="宋体"/>
                <w:szCs w:val="21"/>
              </w:rPr>
            </w:pPr>
            <w:r>
              <w:rPr>
                <w:rFonts w:hint="eastAsia" w:ascii="宋体" w:hAnsi="宋体"/>
                <w:szCs w:val="21"/>
              </w:rPr>
              <w:t>12</w:t>
            </w:r>
          </w:p>
        </w:tc>
        <w:tc>
          <w:tcPr>
            <w:tcW w:w="406" w:type="dxa"/>
            <w:vAlign w:val="center"/>
          </w:tcPr>
          <w:p>
            <w:pPr>
              <w:rPr>
                <w:rFonts w:ascii="宋体" w:hAnsi="宋体"/>
                <w:szCs w:val="21"/>
              </w:rPr>
            </w:pPr>
            <w:r>
              <w:rPr>
                <w:rFonts w:hint="eastAsia" w:ascii="宋体" w:hAnsi="宋体"/>
                <w:szCs w:val="21"/>
              </w:rPr>
              <w:t>1</w:t>
            </w:r>
          </w:p>
        </w:tc>
        <w:tc>
          <w:tcPr>
            <w:tcW w:w="406" w:type="dxa"/>
            <w:vAlign w:val="center"/>
          </w:tcPr>
          <w:p>
            <w:pPr>
              <w:rPr>
                <w:rFonts w:ascii="宋体" w:hAnsi="宋体"/>
                <w:szCs w:val="21"/>
              </w:rPr>
            </w:pPr>
            <w:r>
              <w:rPr>
                <w:rFonts w:hint="eastAsia" w:ascii="宋体" w:hAnsi="宋体"/>
                <w:szCs w:val="21"/>
              </w:rPr>
              <w:t>2</w:t>
            </w:r>
          </w:p>
        </w:tc>
        <w:tc>
          <w:tcPr>
            <w:tcW w:w="406" w:type="dxa"/>
            <w:vAlign w:val="center"/>
          </w:tcPr>
          <w:p>
            <w:pPr>
              <w:rPr>
                <w:rFonts w:ascii="宋体" w:hAnsi="宋体"/>
                <w:szCs w:val="21"/>
              </w:rPr>
            </w:pPr>
            <w:r>
              <w:rPr>
                <w:rFonts w:hint="eastAsia" w:ascii="宋体" w:hAnsi="宋体"/>
                <w:szCs w:val="21"/>
              </w:rPr>
              <w:t>3</w:t>
            </w:r>
          </w:p>
        </w:tc>
        <w:tc>
          <w:tcPr>
            <w:tcW w:w="406" w:type="dxa"/>
            <w:vAlign w:val="center"/>
          </w:tcPr>
          <w:p>
            <w:pPr>
              <w:rPr>
                <w:rFonts w:ascii="宋体" w:hAnsi="宋体"/>
                <w:szCs w:val="21"/>
              </w:rPr>
            </w:pPr>
            <w:r>
              <w:rPr>
                <w:rFonts w:hint="eastAsia" w:ascii="宋体" w:hAnsi="宋体"/>
                <w:szCs w:val="21"/>
              </w:rPr>
              <w:t>4</w:t>
            </w:r>
          </w:p>
        </w:tc>
        <w:tc>
          <w:tcPr>
            <w:tcW w:w="444" w:type="dxa"/>
            <w:gridSpan w:val="2"/>
            <w:vAlign w:val="center"/>
          </w:tcPr>
          <w:p>
            <w:pPr>
              <w:rPr>
                <w:rFonts w:ascii="宋体" w:hAnsi="宋体"/>
                <w:szCs w:val="21"/>
              </w:rPr>
            </w:pP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exact"/>
          <w:jc w:val="center"/>
        </w:trPr>
        <w:tc>
          <w:tcPr>
            <w:tcW w:w="2866" w:type="dxa"/>
            <w:tcBorders>
              <w:top w:val="single" w:color="auto" w:sz="6" w:space="0"/>
            </w:tcBorders>
            <w:vAlign w:val="center"/>
          </w:tcPr>
          <w:p>
            <w:pPr>
              <w:ind w:left="105" w:leftChars="50"/>
              <w:rPr>
                <w:rFonts w:ascii="宋体" w:hAnsi="宋体"/>
                <w:szCs w:val="21"/>
              </w:rPr>
            </w:pPr>
            <w:r>
              <w:rPr>
                <w:rFonts w:hint="eastAsia" w:ascii="宋体" w:hAnsi="宋体"/>
                <w:szCs w:val="21"/>
              </w:rPr>
              <w:t>1.施工准备</w:t>
            </w:r>
          </w:p>
        </w:tc>
        <w:tc>
          <w:tcPr>
            <w:tcW w:w="403" w:type="dxa"/>
            <w:vAlign w:val="center"/>
          </w:tcPr>
          <w:p>
            <w:pPr>
              <w:rPr>
                <w:rFonts w:ascii="宋体" w:hAnsi="宋体"/>
                <w:szCs w:val="21"/>
              </w:rPr>
            </w:pPr>
          </w:p>
        </w:tc>
        <w:tc>
          <w:tcPr>
            <w:tcW w:w="403"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26" w:type="dxa"/>
            <w:vAlign w:val="center"/>
          </w:tcPr>
          <w:p>
            <w:pPr>
              <w:rPr>
                <w:rFonts w:ascii="宋体" w:hAnsi="宋体"/>
                <w:szCs w:val="21"/>
              </w:rPr>
            </w:pPr>
          </w:p>
        </w:tc>
        <w:tc>
          <w:tcPr>
            <w:tcW w:w="426" w:type="dxa"/>
            <w:vAlign w:val="center"/>
          </w:tcPr>
          <w:p>
            <w:pPr>
              <w:rPr>
                <w:rFonts w:ascii="宋体" w:hAnsi="宋体"/>
                <w:szCs w:val="21"/>
              </w:rPr>
            </w:pPr>
          </w:p>
        </w:tc>
        <w:tc>
          <w:tcPr>
            <w:tcW w:w="429"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27" w:type="dxa"/>
            <w:vAlign w:val="center"/>
          </w:tcPr>
          <w:p>
            <w:pPr>
              <w:rPr>
                <w:rFonts w:ascii="宋体" w:hAnsi="宋体"/>
                <w:szCs w:val="21"/>
              </w:rPr>
            </w:pPr>
          </w:p>
        </w:tc>
        <w:tc>
          <w:tcPr>
            <w:tcW w:w="427" w:type="dxa"/>
            <w:vAlign w:val="center"/>
          </w:tcPr>
          <w:p>
            <w:pPr>
              <w:rPr>
                <w:rFonts w:ascii="宋体" w:hAnsi="宋体"/>
                <w:szCs w:val="21"/>
              </w:rPr>
            </w:pPr>
          </w:p>
        </w:tc>
        <w:tc>
          <w:tcPr>
            <w:tcW w:w="450"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44" w:type="dxa"/>
            <w:gridSpan w:val="2"/>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exact"/>
          <w:jc w:val="center"/>
        </w:trPr>
        <w:tc>
          <w:tcPr>
            <w:tcW w:w="2866" w:type="dxa"/>
            <w:vAlign w:val="center"/>
          </w:tcPr>
          <w:p>
            <w:pPr>
              <w:ind w:left="105" w:leftChars="50"/>
              <w:rPr>
                <w:rFonts w:ascii="宋体" w:hAnsi="宋体"/>
                <w:szCs w:val="21"/>
              </w:rPr>
            </w:pPr>
            <w:r>
              <w:rPr>
                <w:rFonts w:hint="eastAsia" w:ascii="宋体" w:hAnsi="宋体"/>
                <w:szCs w:val="21"/>
              </w:rPr>
              <w:t>2.下部结构</w:t>
            </w:r>
          </w:p>
        </w:tc>
        <w:tc>
          <w:tcPr>
            <w:tcW w:w="403" w:type="dxa"/>
            <w:vAlign w:val="center"/>
          </w:tcPr>
          <w:p>
            <w:pPr>
              <w:rPr>
                <w:rFonts w:ascii="宋体" w:hAnsi="宋体"/>
                <w:szCs w:val="21"/>
              </w:rPr>
            </w:pPr>
          </w:p>
        </w:tc>
        <w:tc>
          <w:tcPr>
            <w:tcW w:w="403"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26" w:type="dxa"/>
            <w:vAlign w:val="center"/>
          </w:tcPr>
          <w:p>
            <w:pPr>
              <w:rPr>
                <w:rFonts w:ascii="宋体" w:hAnsi="宋体"/>
                <w:szCs w:val="21"/>
              </w:rPr>
            </w:pPr>
          </w:p>
        </w:tc>
        <w:tc>
          <w:tcPr>
            <w:tcW w:w="426" w:type="dxa"/>
            <w:vAlign w:val="center"/>
          </w:tcPr>
          <w:p>
            <w:pPr>
              <w:rPr>
                <w:rFonts w:ascii="宋体" w:hAnsi="宋体"/>
                <w:szCs w:val="21"/>
              </w:rPr>
            </w:pPr>
          </w:p>
        </w:tc>
        <w:tc>
          <w:tcPr>
            <w:tcW w:w="429"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27" w:type="dxa"/>
            <w:vAlign w:val="center"/>
          </w:tcPr>
          <w:p>
            <w:pPr>
              <w:rPr>
                <w:rFonts w:ascii="宋体" w:hAnsi="宋体"/>
                <w:szCs w:val="21"/>
              </w:rPr>
            </w:pPr>
          </w:p>
        </w:tc>
        <w:tc>
          <w:tcPr>
            <w:tcW w:w="427" w:type="dxa"/>
            <w:vAlign w:val="center"/>
          </w:tcPr>
          <w:p>
            <w:pPr>
              <w:rPr>
                <w:rFonts w:ascii="宋体" w:hAnsi="宋体"/>
                <w:szCs w:val="21"/>
              </w:rPr>
            </w:pPr>
          </w:p>
        </w:tc>
        <w:tc>
          <w:tcPr>
            <w:tcW w:w="450"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44" w:type="dxa"/>
            <w:gridSpan w:val="2"/>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exact"/>
          <w:jc w:val="center"/>
        </w:trPr>
        <w:tc>
          <w:tcPr>
            <w:tcW w:w="2866" w:type="dxa"/>
            <w:vAlign w:val="center"/>
          </w:tcPr>
          <w:p>
            <w:pPr>
              <w:ind w:left="105" w:leftChars="50"/>
              <w:rPr>
                <w:rFonts w:ascii="宋体" w:hAnsi="宋体"/>
                <w:szCs w:val="21"/>
              </w:rPr>
            </w:pPr>
            <w:r>
              <w:rPr>
                <w:rFonts w:hint="eastAsia" w:ascii="宋体" w:hAnsi="宋体"/>
                <w:szCs w:val="21"/>
              </w:rPr>
              <w:t>3.上部结构</w:t>
            </w:r>
          </w:p>
        </w:tc>
        <w:tc>
          <w:tcPr>
            <w:tcW w:w="403" w:type="dxa"/>
            <w:vAlign w:val="center"/>
          </w:tcPr>
          <w:p>
            <w:pPr>
              <w:rPr>
                <w:rFonts w:ascii="宋体" w:hAnsi="宋体"/>
                <w:szCs w:val="21"/>
              </w:rPr>
            </w:pPr>
          </w:p>
        </w:tc>
        <w:tc>
          <w:tcPr>
            <w:tcW w:w="403"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26" w:type="dxa"/>
            <w:vAlign w:val="center"/>
          </w:tcPr>
          <w:p>
            <w:pPr>
              <w:rPr>
                <w:rFonts w:ascii="宋体" w:hAnsi="宋体"/>
                <w:szCs w:val="21"/>
              </w:rPr>
            </w:pPr>
          </w:p>
        </w:tc>
        <w:tc>
          <w:tcPr>
            <w:tcW w:w="426" w:type="dxa"/>
            <w:vAlign w:val="center"/>
          </w:tcPr>
          <w:p>
            <w:pPr>
              <w:rPr>
                <w:rFonts w:ascii="宋体" w:hAnsi="宋体"/>
                <w:szCs w:val="21"/>
              </w:rPr>
            </w:pPr>
          </w:p>
        </w:tc>
        <w:tc>
          <w:tcPr>
            <w:tcW w:w="429"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27" w:type="dxa"/>
            <w:vAlign w:val="center"/>
          </w:tcPr>
          <w:p>
            <w:pPr>
              <w:rPr>
                <w:rFonts w:ascii="宋体" w:hAnsi="宋体"/>
                <w:szCs w:val="21"/>
              </w:rPr>
            </w:pPr>
          </w:p>
        </w:tc>
        <w:tc>
          <w:tcPr>
            <w:tcW w:w="427" w:type="dxa"/>
            <w:vAlign w:val="center"/>
          </w:tcPr>
          <w:p>
            <w:pPr>
              <w:rPr>
                <w:rFonts w:ascii="宋体" w:hAnsi="宋体"/>
                <w:szCs w:val="21"/>
              </w:rPr>
            </w:pPr>
          </w:p>
        </w:tc>
        <w:tc>
          <w:tcPr>
            <w:tcW w:w="450"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44" w:type="dxa"/>
            <w:gridSpan w:val="2"/>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exact"/>
          <w:jc w:val="center"/>
        </w:trPr>
        <w:tc>
          <w:tcPr>
            <w:tcW w:w="2866" w:type="dxa"/>
            <w:vAlign w:val="center"/>
          </w:tcPr>
          <w:p>
            <w:pPr>
              <w:ind w:left="105" w:leftChars="50"/>
              <w:rPr>
                <w:rFonts w:ascii="宋体" w:hAnsi="宋体"/>
                <w:szCs w:val="21"/>
              </w:rPr>
            </w:pPr>
            <w:r>
              <w:rPr>
                <w:rFonts w:hint="eastAsia" w:ascii="宋体" w:hAnsi="宋体"/>
                <w:szCs w:val="21"/>
              </w:rPr>
              <w:t>4.附属工程</w:t>
            </w:r>
          </w:p>
        </w:tc>
        <w:tc>
          <w:tcPr>
            <w:tcW w:w="403" w:type="dxa"/>
            <w:vAlign w:val="center"/>
          </w:tcPr>
          <w:p>
            <w:pPr>
              <w:rPr>
                <w:rFonts w:ascii="宋体" w:hAnsi="宋体"/>
                <w:szCs w:val="21"/>
              </w:rPr>
            </w:pPr>
          </w:p>
        </w:tc>
        <w:tc>
          <w:tcPr>
            <w:tcW w:w="403"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26" w:type="dxa"/>
            <w:vAlign w:val="center"/>
          </w:tcPr>
          <w:p>
            <w:pPr>
              <w:rPr>
                <w:rFonts w:ascii="宋体" w:hAnsi="宋体"/>
                <w:szCs w:val="21"/>
              </w:rPr>
            </w:pPr>
          </w:p>
        </w:tc>
        <w:tc>
          <w:tcPr>
            <w:tcW w:w="426" w:type="dxa"/>
            <w:vAlign w:val="center"/>
          </w:tcPr>
          <w:p>
            <w:pPr>
              <w:rPr>
                <w:rFonts w:ascii="宋体" w:hAnsi="宋体"/>
                <w:szCs w:val="21"/>
              </w:rPr>
            </w:pPr>
          </w:p>
        </w:tc>
        <w:tc>
          <w:tcPr>
            <w:tcW w:w="429" w:type="dxa"/>
            <w:vAlign w:val="center"/>
          </w:tcPr>
          <w:p>
            <w:pPr>
              <w:rPr>
                <w:rFonts w:ascii="宋体" w:hAnsi="宋体"/>
                <w:szCs w:val="21"/>
              </w:rPr>
            </w:pPr>
          </w:p>
        </w:tc>
        <w:tc>
          <w:tcPr>
            <w:tcW w:w="405" w:type="dxa"/>
            <w:vAlign w:val="center"/>
          </w:tcPr>
          <w:p>
            <w:pPr>
              <w:rPr>
                <w:rFonts w:ascii="宋体" w:hAnsi="宋体"/>
                <w:szCs w:val="21"/>
              </w:rPr>
            </w:pPr>
          </w:p>
        </w:tc>
        <w:tc>
          <w:tcPr>
            <w:tcW w:w="405"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27" w:type="dxa"/>
            <w:vAlign w:val="center"/>
          </w:tcPr>
          <w:p>
            <w:pPr>
              <w:rPr>
                <w:rFonts w:ascii="宋体" w:hAnsi="宋体"/>
                <w:szCs w:val="21"/>
              </w:rPr>
            </w:pPr>
          </w:p>
        </w:tc>
        <w:tc>
          <w:tcPr>
            <w:tcW w:w="427" w:type="dxa"/>
            <w:vAlign w:val="center"/>
          </w:tcPr>
          <w:p>
            <w:pPr>
              <w:rPr>
                <w:rFonts w:ascii="宋体" w:hAnsi="宋体"/>
                <w:szCs w:val="21"/>
              </w:rPr>
            </w:pPr>
          </w:p>
        </w:tc>
        <w:tc>
          <w:tcPr>
            <w:tcW w:w="450"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06" w:type="dxa"/>
            <w:vAlign w:val="center"/>
          </w:tcPr>
          <w:p>
            <w:pPr>
              <w:rPr>
                <w:rFonts w:ascii="宋体" w:hAnsi="宋体"/>
                <w:szCs w:val="21"/>
              </w:rPr>
            </w:pPr>
          </w:p>
        </w:tc>
        <w:tc>
          <w:tcPr>
            <w:tcW w:w="444" w:type="dxa"/>
            <w:gridSpan w:val="2"/>
            <w:vAlign w:val="center"/>
          </w:tcPr>
          <w:p>
            <w:pPr>
              <w:rPr>
                <w:rFonts w:ascii="宋体" w:hAnsi="宋体"/>
                <w:szCs w:val="21"/>
              </w:rPr>
            </w:pPr>
          </w:p>
        </w:tc>
      </w:tr>
    </w:tbl>
    <w:p>
      <w:pPr>
        <w:pStyle w:val="7"/>
        <w:spacing w:before="120" w:after="0" w:line="240" w:lineRule="auto"/>
      </w:pPr>
    </w:p>
    <w:p>
      <w:pPr>
        <w:pStyle w:val="7"/>
        <w:spacing w:before="120" w:after="0" w:line="240" w:lineRule="auto"/>
      </w:pPr>
      <w:r>
        <w:br w:type="page"/>
      </w:r>
      <w:r>
        <w:rPr>
          <w:rFonts w:hint="eastAsia"/>
        </w:rPr>
        <w:t>附表二分项工程进度率计划（斜率图）</w:t>
      </w:r>
    </w:p>
    <w:tbl>
      <w:tblPr>
        <w:tblStyle w:val="14"/>
        <w:tblW w:w="1474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722"/>
        <w:gridCol w:w="1276"/>
        <w:gridCol w:w="467"/>
        <w:gridCol w:w="467"/>
        <w:gridCol w:w="467"/>
        <w:gridCol w:w="467"/>
        <w:gridCol w:w="467"/>
        <w:gridCol w:w="467"/>
        <w:gridCol w:w="467"/>
        <w:gridCol w:w="468"/>
        <w:gridCol w:w="467"/>
        <w:gridCol w:w="467"/>
        <w:gridCol w:w="467"/>
        <w:gridCol w:w="467"/>
        <w:gridCol w:w="467"/>
        <w:gridCol w:w="467"/>
        <w:gridCol w:w="467"/>
        <w:gridCol w:w="468"/>
        <w:gridCol w:w="467"/>
        <w:gridCol w:w="467"/>
        <w:gridCol w:w="467"/>
        <w:gridCol w:w="467"/>
        <w:gridCol w:w="467"/>
        <w:gridCol w:w="467"/>
        <w:gridCol w:w="4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3998" w:type="dxa"/>
            <w:gridSpan w:val="2"/>
            <w:vAlign w:val="center"/>
          </w:tcPr>
          <w:p>
            <w:pPr>
              <w:rPr>
                <w:rFonts w:ascii="宋体" w:hAnsi="宋体"/>
                <w:szCs w:val="21"/>
              </w:rPr>
            </w:pPr>
            <w:r>
              <w:rPr>
                <w:rFonts w:hint="eastAsia" w:ascii="宋体" w:hAnsi="宋体"/>
                <w:szCs w:val="21"/>
              </w:rPr>
              <w:t>年  度</w:t>
            </w:r>
          </w:p>
        </w:tc>
        <w:tc>
          <w:tcPr>
            <w:tcW w:w="5605" w:type="dxa"/>
            <w:gridSpan w:val="12"/>
            <w:vAlign w:val="center"/>
          </w:tcPr>
          <w:p>
            <w:pPr>
              <w:rPr>
                <w:rFonts w:ascii="宋体" w:hAnsi="宋体"/>
                <w:szCs w:val="21"/>
              </w:rPr>
            </w:pPr>
            <w:r>
              <w:rPr>
                <w:rFonts w:hint="eastAsia" w:ascii="宋体" w:hAnsi="宋体"/>
                <w:szCs w:val="21"/>
              </w:rPr>
              <w:t>年</w:t>
            </w:r>
          </w:p>
        </w:tc>
        <w:tc>
          <w:tcPr>
            <w:tcW w:w="5139" w:type="dxa"/>
            <w:gridSpan w:val="11"/>
            <w:vAlign w:val="center"/>
          </w:tcPr>
          <w:p>
            <w:pPr>
              <w:rPr>
                <w:rFonts w:ascii="宋体" w:hAnsi="宋体"/>
                <w:szCs w:val="21"/>
              </w:rPr>
            </w:pPr>
            <w:r>
              <w:rPr>
                <w:rFonts w:hint="eastAsia" w:ascii="宋体" w:hAnsi="宋体"/>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3998" w:type="dxa"/>
            <w:gridSpan w:val="2"/>
            <w:vAlign w:val="center"/>
          </w:tcPr>
          <w:p>
            <w:pPr>
              <w:rPr>
                <w:rFonts w:ascii="宋体" w:hAnsi="宋体"/>
                <w:szCs w:val="21"/>
              </w:rPr>
            </w:pPr>
            <w:r>
              <w:rPr>
                <w:rFonts w:hint="eastAsia" w:ascii="宋体" w:hAnsi="宋体"/>
                <w:szCs w:val="21"/>
              </w:rPr>
              <w:t>季  度</w:t>
            </w:r>
          </w:p>
        </w:tc>
        <w:tc>
          <w:tcPr>
            <w:tcW w:w="1401" w:type="dxa"/>
            <w:gridSpan w:val="3"/>
            <w:vAlign w:val="center"/>
          </w:tcPr>
          <w:p>
            <w:pPr>
              <w:rPr>
                <w:rFonts w:ascii="宋体" w:hAnsi="宋体"/>
                <w:szCs w:val="21"/>
              </w:rPr>
            </w:pPr>
            <w:r>
              <w:rPr>
                <w:rFonts w:hint="eastAsia" w:ascii="宋体" w:hAnsi="宋体"/>
                <w:szCs w:val="21"/>
              </w:rPr>
              <w:t>一</w:t>
            </w:r>
          </w:p>
        </w:tc>
        <w:tc>
          <w:tcPr>
            <w:tcW w:w="1401" w:type="dxa"/>
            <w:gridSpan w:val="3"/>
            <w:vAlign w:val="center"/>
          </w:tcPr>
          <w:p>
            <w:pPr>
              <w:rPr>
                <w:rFonts w:ascii="宋体" w:hAnsi="宋体"/>
                <w:szCs w:val="21"/>
              </w:rPr>
            </w:pPr>
            <w:r>
              <w:rPr>
                <w:rFonts w:hint="eastAsia" w:ascii="宋体" w:hAnsi="宋体"/>
                <w:szCs w:val="21"/>
              </w:rPr>
              <w:t>二</w:t>
            </w:r>
          </w:p>
        </w:tc>
        <w:tc>
          <w:tcPr>
            <w:tcW w:w="1402" w:type="dxa"/>
            <w:gridSpan w:val="3"/>
            <w:vAlign w:val="center"/>
          </w:tcPr>
          <w:p>
            <w:pPr>
              <w:rPr>
                <w:rFonts w:ascii="宋体" w:hAnsi="宋体"/>
                <w:szCs w:val="21"/>
              </w:rPr>
            </w:pPr>
            <w:r>
              <w:rPr>
                <w:rFonts w:hint="eastAsia" w:ascii="宋体" w:hAnsi="宋体"/>
                <w:szCs w:val="21"/>
              </w:rPr>
              <w:t>三</w:t>
            </w:r>
          </w:p>
        </w:tc>
        <w:tc>
          <w:tcPr>
            <w:tcW w:w="1401" w:type="dxa"/>
            <w:gridSpan w:val="3"/>
            <w:vAlign w:val="center"/>
          </w:tcPr>
          <w:p>
            <w:pPr>
              <w:rPr>
                <w:rFonts w:ascii="宋体" w:hAnsi="宋体"/>
                <w:szCs w:val="21"/>
              </w:rPr>
            </w:pPr>
            <w:r>
              <w:rPr>
                <w:rFonts w:hint="eastAsia" w:ascii="宋体" w:hAnsi="宋体"/>
                <w:szCs w:val="21"/>
              </w:rPr>
              <w:t>四</w:t>
            </w:r>
          </w:p>
        </w:tc>
        <w:tc>
          <w:tcPr>
            <w:tcW w:w="1401" w:type="dxa"/>
            <w:gridSpan w:val="3"/>
            <w:vAlign w:val="center"/>
          </w:tcPr>
          <w:p>
            <w:pPr>
              <w:rPr>
                <w:rFonts w:ascii="宋体" w:hAnsi="宋体"/>
                <w:szCs w:val="21"/>
              </w:rPr>
            </w:pPr>
            <w:r>
              <w:rPr>
                <w:rFonts w:hint="eastAsia" w:ascii="宋体" w:hAnsi="宋体"/>
                <w:szCs w:val="21"/>
              </w:rPr>
              <w:t>一</w:t>
            </w:r>
          </w:p>
        </w:tc>
        <w:tc>
          <w:tcPr>
            <w:tcW w:w="1402" w:type="dxa"/>
            <w:gridSpan w:val="3"/>
            <w:vAlign w:val="center"/>
          </w:tcPr>
          <w:p>
            <w:pPr>
              <w:rPr>
                <w:rFonts w:ascii="宋体" w:hAnsi="宋体"/>
                <w:szCs w:val="21"/>
              </w:rPr>
            </w:pPr>
            <w:r>
              <w:rPr>
                <w:rFonts w:hint="eastAsia" w:ascii="宋体" w:hAnsi="宋体"/>
                <w:szCs w:val="21"/>
              </w:rPr>
              <w:t>二</w:t>
            </w:r>
          </w:p>
        </w:tc>
        <w:tc>
          <w:tcPr>
            <w:tcW w:w="1401" w:type="dxa"/>
            <w:gridSpan w:val="3"/>
            <w:vAlign w:val="center"/>
          </w:tcPr>
          <w:p>
            <w:pPr>
              <w:rPr>
                <w:rFonts w:ascii="宋体" w:hAnsi="宋体"/>
                <w:szCs w:val="21"/>
              </w:rPr>
            </w:pPr>
            <w:r>
              <w:rPr>
                <w:rFonts w:hint="eastAsia" w:ascii="宋体" w:hAnsi="宋体"/>
                <w:szCs w:val="21"/>
              </w:rPr>
              <w:t>三</w:t>
            </w:r>
          </w:p>
        </w:tc>
        <w:tc>
          <w:tcPr>
            <w:tcW w:w="935" w:type="dxa"/>
            <w:gridSpan w:val="2"/>
            <w:vAlign w:val="center"/>
          </w:tcPr>
          <w:p>
            <w:pPr>
              <w:rPr>
                <w:rFonts w:ascii="宋体" w:hAnsi="宋体"/>
                <w:szCs w:val="21"/>
              </w:rPr>
            </w:pPr>
            <w:r>
              <w:rPr>
                <w:rFonts w:hint="eastAsia" w:ascii="宋体" w:hAnsi="宋体"/>
                <w:szCs w:val="21"/>
              </w:rPr>
              <w:t>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3998" w:type="dxa"/>
            <w:gridSpan w:val="2"/>
            <w:tcBorders>
              <w:bottom w:val="single" w:color="auto" w:sz="6" w:space="0"/>
            </w:tcBorders>
            <w:vAlign w:val="center"/>
          </w:tcPr>
          <w:p>
            <w:pPr>
              <w:rPr>
                <w:rFonts w:ascii="宋体" w:hAnsi="宋体"/>
                <w:szCs w:val="21"/>
              </w:rPr>
            </w:pPr>
            <w:r>
              <w:rPr>
                <w:rFonts w:hint="eastAsia" w:ascii="宋体" w:hAnsi="宋体"/>
                <w:szCs w:val="21"/>
              </w:rPr>
              <w:t>月  份</w:t>
            </w:r>
          </w:p>
        </w:tc>
        <w:tc>
          <w:tcPr>
            <w:tcW w:w="467" w:type="dxa"/>
            <w:vAlign w:val="center"/>
          </w:tcPr>
          <w:p>
            <w:pPr>
              <w:rPr>
                <w:rFonts w:ascii="宋体" w:hAnsi="宋体"/>
                <w:szCs w:val="21"/>
              </w:rPr>
            </w:pPr>
            <w:r>
              <w:rPr>
                <w:rFonts w:hint="eastAsia" w:ascii="宋体" w:hAnsi="宋体"/>
                <w:szCs w:val="21"/>
              </w:rPr>
              <w:t>1</w:t>
            </w:r>
          </w:p>
        </w:tc>
        <w:tc>
          <w:tcPr>
            <w:tcW w:w="467" w:type="dxa"/>
            <w:vAlign w:val="center"/>
          </w:tcPr>
          <w:p>
            <w:pPr>
              <w:rPr>
                <w:rFonts w:ascii="宋体" w:hAnsi="宋体"/>
                <w:szCs w:val="21"/>
              </w:rPr>
            </w:pPr>
            <w:r>
              <w:rPr>
                <w:rFonts w:hint="eastAsia" w:ascii="宋体" w:hAnsi="宋体"/>
                <w:szCs w:val="21"/>
              </w:rPr>
              <w:t>2</w:t>
            </w:r>
          </w:p>
        </w:tc>
        <w:tc>
          <w:tcPr>
            <w:tcW w:w="467" w:type="dxa"/>
            <w:vAlign w:val="center"/>
          </w:tcPr>
          <w:p>
            <w:pPr>
              <w:rPr>
                <w:rFonts w:ascii="宋体" w:hAnsi="宋体"/>
                <w:szCs w:val="21"/>
              </w:rPr>
            </w:pPr>
            <w:r>
              <w:rPr>
                <w:rFonts w:hint="eastAsia" w:ascii="宋体" w:hAnsi="宋体"/>
                <w:szCs w:val="21"/>
              </w:rPr>
              <w:t>3</w:t>
            </w:r>
          </w:p>
        </w:tc>
        <w:tc>
          <w:tcPr>
            <w:tcW w:w="467" w:type="dxa"/>
            <w:vAlign w:val="center"/>
          </w:tcPr>
          <w:p>
            <w:pPr>
              <w:rPr>
                <w:rFonts w:ascii="宋体" w:hAnsi="宋体"/>
                <w:szCs w:val="21"/>
              </w:rPr>
            </w:pPr>
            <w:r>
              <w:rPr>
                <w:rFonts w:hint="eastAsia" w:ascii="宋体" w:hAnsi="宋体"/>
                <w:szCs w:val="21"/>
              </w:rPr>
              <w:t>4</w:t>
            </w:r>
          </w:p>
        </w:tc>
        <w:tc>
          <w:tcPr>
            <w:tcW w:w="467" w:type="dxa"/>
            <w:vAlign w:val="center"/>
          </w:tcPr>
          <w:p>
            <w:pPr>
              <w:rPr>
                <w:rFonts w:ascii="宋体" w:hAnsi="宋体"/>
                <w:szCs w:val="21"/>
              </w:rPr>
            </w:pPr>
            <w:r>
              <w:rPr>
                <w:rFonts w:hint="eastAsia" w:ascii="宋体" w:hAnsi="宋体"/>
                <w:szCs w:val="21"/>
              </w:rPr>
              <w:t>5</w:t>
            </w:r>
          </w:p>
        </w:tc>
        <w:tc>
          <w:tcPr>
            <w:tcW w:w="467" w:type="dxa"/>
            <w:vAlign w:val="center"/>
          </w:tcPr>
          <w:p>
            <w:pPr>
              <w:rPr>
                <w:rFonts w:ascii="宋体" w:hAnsi="宋体"/>
                <w:szCs w:val="21"/>
              </w:rPr>
            </w:pPr>
            <w:r>
              <w:rPr>
                <w:rFonts w:hint="eastAsia" w:ascii="宋体" w:hAnsi="宋体"/>
                <w:szCs w:val="21"/>
              </w:rPr>
              <w:t>6</w:t>
            </w:r>
          </w:p>
        </w:tc>
        <w:tc>
          <w:tcPr>
            <w:tcW w:w="467" w:type="dxa"/>
            <w:vAlign w:val="center"/>
          </w:tcPr>
          <w:p>
            <w:pPr>
              <w:rPr>
                <w:rFonts w:ascii="宋体" w:hAnsi="宋体"/>
                <w:szCs w:val="21"/>
              </w:rPr>
            </w:pPr>
            <w:r>
              <w:rPr>
                <w:rFonts w:hint="eastAsia" w:ascii="宋体" w:hAnsi="宋体"/>
                <w:szCs w:val="21"/>
              </w:rPr>
              <w:t>7</w:t>
            </w:r>
          </w:p>
        </w:tc>
        <w:tc>
          <w:tcPr>
            <w:tcW w:w="468" w:type="dxa"/>
            <w:vAlign w:val="center"/>
          </w:tcPr>
          <w:p>
            <w:pPr>
              <w:rPr>
                <w:rFonts w:ascii="宋体" w:hAnsi="宋体"/>
                <w:szCs w:val="21"/>
              </w:rPr>
            </w:pPr>
            <w:r>
              <w:rPr>
                <w:rFonts w:hint="eastAsia" w:ascii="宋体" w:hAnsi="宋体"/>
                <w:szCs w:val="21"/>
              </w:rPr>
              <w:t>8</w:t>
            </w:r>
          </w:p>
        </w:tc>
        <w:tc>
          <w:tcPr>
            <w:tcW w:w="467" w:type="dxa"/>
            <w:vAlign w:val="center"/>
          </w:tcPr>
          <w:p>
            <w:pPr>
              <w:rPr>
                <w:rFonts w:ascii="宋体" w:hAnsi="宋体"/>
                <w:szCs w:val="21"/>
              </w:rPr>
            </w:pPr>
            <w:r>
              <w:rPr>
                <w:rFonts w:hint="eastAsia" w:ascii="宋体" w:hAnsi="宋体"/>
                <w:szCs w:val="21"/>
              </w:rPr>
              <w:t>9</w:t>
            </w:r>
          </w:p>
        </w:tc>
        <w:tc>
          <w:tcPr>
            <w:tcW w:w="467" w:type="dxa"/>
            <w:vAlign w:val="center"/>
          </w:tcPr>
          <w:p>
            <w:pPr>
              <w:rPr>
                <w:rFonts w:ascii="宋体" w:hAnsi="宋体"/>
                <w:szCs w:val="21"/>
              </w:rPr>
            </w:pPr>
            <w:r>
              <w:rPr>
                <w:rFonts w:hint="eastAsia" w:ascii="宋体" w:hAnsi="宋体"/>
                <w:szCs w:val="21"/>
              </w:rPr>
              <w:t>10</w:t>
            </w:r>
          </w:p>
        </w:tc>
        <w:tc>
          <w:tcPr>
            <w:tcW w:w="467" w:type="dxa"/>
            <w:vAlign w:val="center"/>
          </w:tcPr>
          <w:p>
            <w:pPr>
              <w:rPr>
                <w:rFonts w:ascii="宋体" w:hAnsi="宋体"/>
                <w:szCs w:val="21"/>
              </w:rPr>
            </w:pPr>
            <w:r>
              <w:rPr>
                <w:rFonts w:hint="eastAsia" w:ascii="宋体" w:hAnsi="宋体"/>
                <w:szCs w:val="21"/>
              </w:rPr>
              <w:t>11</w:t>
            </w:r>
          </w:p>
        </w:tc>
        <w:tc>
          <w:tcPr>
            <w:tcW w:w="467" w:type="dxa"/>
            <w:vAlign w:val="center"/>
          </w:tcPr>
          <w:p>
            <w:pPr>
              <w:rPr>
                <w:rFonts w:ascii="宋体" w:hAnsi="宋体"/>
                <w:szCs w:val="21"/>
              </w:rPr>
            </w:pPr>
            <w:r>
              <w:rPr>
                <w:rFonts w:hint="eastAsia" w:ascii="宋体" w:hAnsi="宋体"/>
                <w:szCs w:val="21"/>
              </w:rPr>
              <w:t>12</w:t>
            </w:r>
          </w:p>
        </w:tc>
        <w:tc>
          <w:tcPr>
            <w:tcW w:w="467" w:type="dxa"/>
            <w:vAlign w:val="center"/>
          </w:tcPr>
          <w:p>
            <w:pPr>
              <w:rPr>
                <w:rFonts w:ascii="宋体" w:hAnsi="宋体"/>
                <w:szCs w:val="21"/>
              </w:rPr>
            </w:pPr>
            <w:r>
              <w:rPr>
                <w:rFonts w:hint="eastAsia" w:ascii="宋体" w:hAnsi="宋体"/>
                <w:szCs w:val="21"/>
              </w:rPr>
              <w:t>1</w:t>
            </w:r>
          </w:p>
        </w:tc>
        <w:tc>
          <w:tcPr>
            <w:tcW w:w="467" w:type="dxa"/>
            <w:vAlign w:val="center"/>
          </w:tcPr>
          <w:p>
            <w:pPr>
              <w:rPr>
                <w:rFonts w:ascii="宋体" w:hAnsi="宋体"/>
                <w:szCs w:val="21"/>
              </w:rPr>
            </w:pPr>
            <w:r>
              <w:rPr>
                <w:rFonts w:hint="eastAsia" w:ascii="宋体" w:hAnsi="宋体"/>
                <w:szCs w:val="21"/>
              </w:rPr>
              <w:t>2</w:t>
            </w:r>
          </w:p>
        </w:tc>
        <w:tc>
          <w:tcPr>
            <w:tcW w:w="467" w:type="dxa"/>
            <w:vAlign w:val="center"/>
          </w:tcPr>
          <w:p>
            <w:pPr>
              <w:rPr>
                <w:rFonts w:ascii="宋体" w:hAnsi="宋体"/>
                <w:szCs w:val="21"/>
              </w:rPr>
            </w:pPr>
            <w:r>
              <w:rPr>
                <w:rFonts w:hint="eastAsia" w:ascii="宋体" w:hAnsi="宋体"/>
                <w:szCs w:val="21"/>
              </w:rPr>
              <w:t>3</w:t>
            </w:r>
          </w:p>
        </w:tc>
        <w:tc>
          <w:tcPr>
            <w:tcW w:w="468" w:type="dxa"/>
            <w:vAlign w:val="center"/>
          </w:tcPr>
          <w:p>
            <w:pPr>
              <w:rPr>
                <w:rFonts w:ascii="宋体" w:hAnsi="宋体"/>
                <w:szCs w:val="21"/>
              </w:rPr>
            </w:pPr>
            <w:r>
              <w:rPr>
                <w:rFonts w:hint="eastAsia" w:ascii="宋体" w:hAnsi="宋体"/>
                <w:szCs w:val="21"/>
              </w:rPr>
              <w:t>4</w:t>
            </w:r>
          </w:p>
        </w:tc>
        <w:tc>
          <w:tcPr>
            <w:tcW w:w="467" w:type="dxa"/>
            <w:vAlign w:val="center"/>
          </w:tcPr>
          <w:p>
            <w:pPr>
              <w:rPr>
                <w:rFonts w:ascii="宋体" w:hAnsi="宋体"/>
                <w:szCs w:val="21"/>
              </w:rPr>
            </w:pPr>
            <w:r>
              <w:rPr>
                <w:rFonts w:hint="eastAsia" w:ascii="宋体" w:hAnsi="宋体"/>
                <w:szCs w:val="21"/>
              </w:rPr>
              <w:t>5</w:t>
            </w:r>
          </w:p>
        </w:tc>
        <w:tc>
          <w:tcPr>
            <w:tcW w:w="467" w:type="dxa"/>
            <w:vAlign w:val="center"/>
          </w:tcPr>
          <w:p>
            <w:pPr>
              <w:rPr>
                <w:rFonts w:ascii="宋体" w:hAnsi="宋体"/>
                <w:szCs w:val="21"/>
              </w:rPr>
            </w:pPr>
            <w:r>
              <w:rPr>
                <w:rFonts w:hint="eastAsia" w:ascii="宋体" w:hAnsi="宋体"/>
                <w:szCs w:val="21"/>
              </w:rPr>
              <w:t>6</w:t>
            </w:r>
          </w:p>
        </w:tc>
        <w:tc>
          <w:tcPr>
            <w:tcW w:w="467" w:type="dxa"/>
            <w:vAlign w:val="center"/>
          </w:tcPr>
          <w:p>
            <w:pPr>
              <w:rPr>
                <w:rFonts w:ascii="宋体" w:hAnsi="宋体"/>
                <w:szCs w:val="21"/>
              </w:rPr>
            </w:pPr>
            <w:r>
              <w:rPr>
                <w:rFonts w:hint="eastAsia" w:ascii="宋体" w:hAnsi="宋体"/>
                <w:szCs w:val="21"/>
              </w:rPr>
              <w:t>7</w:t>
            </w:r>
          </w:p>
        </w:tc>
        <w:tc>
          <w:tcPr>
            <w:tcW w:w="467" w:type="dxa"/>
            <w:vAlign w:val="center"/>
          </w:tcPr>
          <w:p>
            <w:pPr>
              <w:rPr>
                <w:rFonts w:ascii="宋体" w:hAnsi="宋体"/>
                <w:szCs w:val="21"/>
              </w:rPr>
            </w:pPr>
            <w:r>
              <w:rPr>
                <w:rFonts w:hint="eastAsia" w:ascii="宋体" w:hAnsi="宋体"/>
                <w:szCs w:val="21"/>
              </w:rPr>
              <w:t>8</w:t>
            </w:r>
          </w:p>
        </w:tc>
        <w:tc>
          <w:tcPr>
            <w:tcW w:w="467" w:type="dxa"/>
            <w:vAlign w:val="center"/>
          </w:tcPr>
          <w:p>
            <w:pPr>
              <w:rPr>
                <w:rFonts w:ascii="宋体" w:hAnsi="宋体"/>
                <w:szCs w:val="21"/>
              </w:rPr>
            </w:pPr>
            <w:r>
              <w:rPr>
                <w:rFonts w:hint="eastAsia" w:ascii="宋体" w:hAnsi="宋体"/>
                <w:szCs w:val="21"/>
              </w:rPr>
              <w:t>9</w:t>
            </w:r>
          </w:p>
        </w:tc>
        <w:tc>
          <w:tcPr>
            <w:tcW w:w="467" w:type="dxa"/>
            <w:vAlign w:val="center"/>
          </w:tcPr>
          <w:p>
            <w:pPr>
              <w:rPr>
                <w:rFonts w:ascii="宋体" w:hAnsi="宋体"/>
                <w:szCs w:val="21"/>
              </w:rPr>
            </w:pPr>
            <w:r>
              <w:rPr>
                <w:rFonts w:hint="eastAsia" w:ascii="宋体" w:hAnsi="宋体"/>
                <w:szCs w:val="21"/>
              </w:rPr>
              <w:t>10</w:t>
            </w:r>
          </w:p>
        </w:tc>
        <w:tc>
          <w:tcPr>
            <w:tcW w:w="468" w:type="dxa"/>
            <w:vAlign w:val="center"/>
          </w:tcPr>
          <w:p>
            <w:pPr>
              <w:rPr>
                <w:rFonts w:ascii="宋体" w:hAnsi="宋体"/>
                <w:szCs w:val="21"/>
              </w:rPr>
            </w:pPr>
            <w:r>
              <w:rPr>
                <w:rFonts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single" w:color="auto" w:sz="6" w:space="0"/>
              <w:bottom w:val="nil"/>
              <w:right w:val="nil"/>
            </w:tcBorders>
            <w:vAlign w:val="center"/>
          </w:tcPr>
          <w:p>
            <w:pPr>
              <w:jc w:val="left"/>
              <w:rPr>
                <w:rFonts w:ascii="宋体" w:hAnsi="宋体"/>
                <w:szCs w:val="21"/>
              </w:rPr>
            </w:pPr>
            <w:r>
              <w:rPr>
                <w:rFonts w:hint="eastAsia" w:ascii="宋体" w:hAnsi="宋体"/>
                <w:szCs w:val="21"/>
              </w:rPr>
              <w:t>图例：</w:t>
            </w:r>
          </w:p>
        </w:tc>
        <w:tc>
          <w:tcPr>
            <w:tcW w:w="1276" w:type="dxa"/>
            <w:tcBorders>
              <w:top w:val="single" w:color="auto" w:sz="6" w:space="0"/>
              <w:left w:val="nil"/>
              <w:bottom w:val="nil"/>
            </w:tcBorders>
            <w:vAlign w:val="center"/>
          </w:tcPr>
          <w:p>
            <w:pPr>
              <w:jc w:val="right"/>
              <w:rPr>
                <w:rFonts w:ascii="宋体" w:hAnsi="宋体"/>
                <w:szCs w:val="21"/>
              </w:rPr>
            </w:pPr>
            <w:r>
              <w:rPr>
                <w:rFonts w:hint="eastAsia" w:ascii="宋体" w:hAnsi="宋体"/>
                <w:szCs w:val="21"/>
              </w:rPr>
              <w:t>100（%）</w:t>
            </w: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nil"/>
              <w:bottom w:val="single" w:color="auto" w:sz="24" w:space="0"/>
              <w:right w:val="nil"/>
            </w:tcBorders>
            <w:vAlign w:val="center"/>
          </w:tcPr>
          <w:p>
            <w:pPr>
              <w:rPr>
                <w:rFonts w:ascii="宋体" w:hAnsi="宋体"/>
                <w:szCs w:val="21"/>
              </w:rPr>
            </w:pPr>
          </w:p>
        </w:tc>
        <w:tc>
          <w:tcPr>
            <w:tcW w:w="1276" w:type="dxa"/>
            <w:tcBorders>
              <w:top w:val="nil"/>
              <w:left w:val="nil"/>
              <w:bottom w:val="nil"/>
            </w:tcBorders>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single" w:color="auto" w:sz="24" w:space="0"/>
              <w:bottom w:val="nil"/>
              <w:right w:val="nil"/>
            </w:tcBorders>
            <w:vAlign w:val="center"/>
          </w:tcPr>
          <w:p>
            <w:pPr>
              <w:rPr>
                <w:rFonts w:ascii="宋体" w:hAnsi="宋体"/>
                <w:szCs w:val="21"/>
              </w:rPr>
            </w:pPr>
            <w:r>
              <w:rPr>
                <w:rFonts w:hint="eastAsia" w:ascii="宋体" w:hAnsi="宋体"/>
                <w:szCs w:val="21"/>
              </w:rPr>
              <w:t>施工准备</w:t>
            </w:r>
          </w:p>
        </w:tc>
        <w:tc>
          <w:tcPr>
            <w:tcW w:w="1276" w:type="dxa"/>
            <w:tcBorders>
              <w:top w:val="nil"/>
              <w:left w:val="nil"/>
              <w:bottom w:val="nil"/>
            </w:tcBorders>
            <w:vAlign w:val="center"/>
          </w:tcPr>
          <w:p>
            <w:pPr>
              <w:jc w:val="right"/>
              <w:rPr>
                <w:rFonts w:ascii="宋体" w:hAnsi="宋体"/>
                <w:szCs w:val="21"/>
              </w:rPr>
            </w:pPr>
            <w:r>
              <w:rPr>
                <w:rFonts w:hint="eastAsia" w:ascii="宋体" w:hAnsi="宋体"/>
                <w:szCs w:val="21"/>
              </w:rPr>
              <w:t>90</w:t>
            </w: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nil"/>
              <w:bottom w:val="double" w:color="auto" w:sz="4" w:space="0"/>
              <w:right w:val="nil"/>
            </w:tcBorders>
            <w:vAlign w:val="center"/>
          </w:tcPr>
          <w:p>
            <w:pPr>
              <w:rPr>
                <w:rFonts w:ascii="宋体" w:hAnsi="宋体"/>
                <w:szCs w:val="21"/>
              </w:rPr>
            </w:pPr>
          </w:p>
        </w:tc>
        <w:tc>
          <w:tcPr>
            <w:tcW w:w="1276" w:type="dxa"/>
            <w:tcBorders>
              <w:top w:val="nil"/>
              <w:left w:val="nil"/>
              <w:bottom w:val="nil"/>
            </w:tcBorders>
            <w:vAlign w:val="center"/>
          </w:tcPr>
          <w:p>
            <w:pPr>
              <w:jc w:val="right"/>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double" w:color="auto" w:sz="4" w:space="0"/>
              <w:bottom w:val="nil"/>
              <w:right w:val="nil"/>
            </w:tcBorders>
            <w:vAlign w:val="center"/>
          </w:tcPr>
          <w:p>
            <w:pPr>
              <w:rPr>
                <w:rFonts w:ascii="宋体" w:hAnsi="宋体"/>
                <w:szCs w:val="21"/>
              </w:rPr>
            </w:pPr>
            <w:r>
              <w:rPr>
                <w:rFonts w:hint="eastAsia" w:ascii="宋体" w:hAnsi="宋体"/>
                <w:szCs w:val="21"/>
              </w:rPr>
              <w:t>下部结构</w:t>
            </w:r>
          </w:p>
        </w:tc>
        <w:tc>
          <w:tcPr>
            <w:tcW w:w="1276" w:type="dxa"/>
            <w:tcBorders>
              <w:top w:val="nil"/>
              <w:left w:val="nil"/>
              <w:bottom w:val="nil"/>
            </w:tcBorders>
            <w:vAlign w:val="center"/>
          </w:tcPr>
          <w:p>
            <w:pPr>
              <w:jc w:val="right"/>
              <w:rPr>
                <w:rFonts w:ascii="宋体" w:hAnsi="宋体"/>
                <w:szCs w:val="21"/>
              </w:rPr>
            </w:pPr>
            <w:r>
              <w:rPr>
                <w:rFonts w:hint="eastAsia" w:ascii="宋体" w:hAnsi="宋体"/>
                <w:szCs w:val="21"/>
              </w:rPr>
              <w:t>80</w:t>
            </w: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nil"/>
              <w:bottom w:val="dashDotStroked" w:color="auto" w:sz="24" w:space="0"/>
              <w:right w:val="nil"/>
            </w:tcBorders>
            <w:vAlign w:val="center"/>
          </w:tcPr>
          <w:p>
            <w:pPr>
              <w:rPr>
                <w:rFonts w:ascii="宋体" w:hAnsi="宋体"/>
                <w:szCs w:val="21"/>
              </w:rPr>
            </w:pPr>
          </w:p>
        </w:tc>
        <w:tc>
          <w:tcPr>
            <w:tcW w:w="1276" w:type="dxa"/>
            <w:tcBorders>
              <w:top w:val="nil"/>
              <w:left w:val="nil"/>
              <w:bottom w:val="nil"/>
            </w:tcBorders>
            <w:vAlign w:val="center"/>
          </w:tcPr>
          <w:p>
            <w:pPr>
              <w:jc w:val="right"/>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dashDotStroked" w:color="auto" w:sz="24" w:space="0"/>
              <w:bottom w:val="nil"/>
              <w:right w:val="nil"/>
            </w:tcBorders>
            <w:vAlign w:val="center"/>
          </w:tcPr>
          <w:p>
            <w:pPr>
              <w:rPr>
                <w:rFonts w:ascii="宋体" w:hAnsi="宋体"/>
                <w:szCs w:val="21"/>
              </w:rPr>
            </w:pPr>
            <w:r>
              <w:rPr>
                <w:rFonts w:hint="eastAsia" w:ascii="宋体" w:hAnsi="宋体"/>
                <w:szCs w:val="21"/>
              </w:rPr>
              <w:t>上部结构</w:t>
            </w:r>
          </w:p>
        </w:tc>
        <w:tc>
          <w:tcPr>
            <w:tcW w:w="1276" w:type="dxa"/>
            <w:tcBorders>
              <w:top w:val="nil"/>
              <w:left w:val="nil"/>
              <w:bottom w:val="nil"/>
            </w:tcBorders>
            <w:vAlign w:val="center"/>
          </w:tcPr>
          <w:p>
            <w:pPr>
              <w:jc w:val="right"/>
              <w:rPr>
                <w:rFonts w:ascii="宋体" w:hAnsi="宋体"/>
                <w:szCs w:val="21"/>
              </w:rPr>
            </w:pPr>
            <w:r>
              <w:rPr>
                <w:rFonts w:hint="eastAsia" w:ascii="宋体" w:hAnsi="宋体"/>
                <w:szCs w:val="21"/>
              </w:rPr>
              <w:t>70</w:t>
            </w: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nil"/>
              <w:bottom w:val="triple" w:color="auto" w:sz="4" w:space="0"/>
              <w:right w:val="nil"/>
            </w:tcBorders>
            <w:vAlign w:val="center"/>
          </w:tcPr>
          <w:p>
            <w:pPr>
              <w:rPr>
                <w:rFonts w:ascii="宋体" w:hAnsi="宋体"/>
                <w:szCs w:val="21"/>
              </w:rPr>
            </w:pPr>
          </w:p>
        </w:tc>
        <w:tc>
          <w:tcPr>
            <w:tcW w:w="1276" w:type="dxa"/>
            <w:tcBorders>
              <w:top w:val="nil"/>
              <w:left w:val="nil"/>
              <w:bottom w:val="nil"/>
            </w:tcBorders>
            <w:vAlign w:val="center"/>
          </w:tcPr>
          <w:p>
            <w:pPr>
              <w:jc w:val="right"/>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triple" w:color="auto" w:sz="4" w:space="0"/>
              <w:bottom w:val="nil"/>
              <w:right w:val="nil"/>
            </w:tcBorders>
            <w:vAlign w:val="center"/>
          </w:tcPr>
          <w:p>
            <w:pPr>
              <w:rPr>
                <w:rFonts w:ascii="宋体" w:hAnsi="宋体"/>
                <w:szCs w:val="21"/>
              </w:rPr>
            </w:pPr>
            <w:r>
              <w:rPr>
                <w:rFonts w:hint="eastAsia" w:ascii="宋体" w:hAnsi="宋体"/>
                <w:szCs w:val="21"/>
              </w:rPr>
              <w:t>附属工程</w:t>
            </w:r>
          </w:p>
        </w:tc>
        <w:tc>
          <w:tcPr>
            <w:tcW w:w="1276" w:type="dxa"/>
            <w:tcBorders>
              <w:top w:val="nil"/>
              <w:left w:val="nil"/>
              <w:bottom w:val="nil"/>
            </w:tcBorders>
            <w:vAlign w:val="center"/>
          </w:tcPr>
          <w:p>
            <w:pPr>
              <w:jc w:val="right"/>
              <w:rPr>
                <w:rFonts w:ascii="宋体" w:hAnsi="宋体"/>
                <w:szCs w:val="21"/>
              </w:rPr>
            </w:pPr>
            <w:r>
              <w:rPr>
                <w:rFonts w:hint="eastAsia" w:ascii="宋体" w:hAnsi="宋体"/>
                <w:szCs w:val="21"/>
              </w:rPr>
              <w:t>60</w:t>
            </w: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nil"/>
              <w:bottom w:val="wave" w:color="auto" w:sz="6" w:space="0"/>
              <w:right w:val="nil"/>
            </w:tcBorders>
            <w:vAlign w:val="center"/>
          </w:tcPr>
          <w:p>
            <w:pPr>
              <w:rPr>
                <w:rFonts w:ascii="宋体" w:hAnsi="宋体"/>
                <w:szCs w:val="21"/>
              </w:rPr>
            </w:pPr>
          </w:p>
        </w:tc>
        <w:tc>
          <w:tcPr>
            <w:tcW w:w="1276" w:type="dxa"/>
            <w:tcBorders>
              <w:top w:val="nil"/>
              <w:left w:val="nil"/>
              <w:bottom w:val="nil"/>
            </w:tcBorders>
            <w:vAlign w:val="center"/>
          </w:tcPr>
          <w:p>
            <w:pPr>
              <w:jc w:val="right"/>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nil"/>
              <w:bottom w:val="single" w:color="auto" w:sz="12" w:space="0"/>
              <w:right w:val="nil"/>
            </w:tcBorders>
            <w:vAlign w:val="center"/>
          </w:tcPr>
          <w:p>
            <w:pPr>
              <w:rPr>
                <w:rFonts w:ascii="宋体" w:hAnsi="宋体"/>
                <w:szCs w:val="21"/>
              </w:rPr>
            </w:pPr>
          </w:p>
        </w:tc>
        <w:tc>
          <w:tcPr>
            <w:tcW w:w="1276" w:type="dxa"/>
            <w:tcBorders>
              <w:top w:val="nil"/>
              <w:left w:val="nil"/>
              <w:bottom w:val="single" w:color="auto" w:sz="12" w:space="0"/>
            </w:tcBorders>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7" w:type="dxa"/>
            <w:vAlign w:val="center"/>
          </w:tcPr>
          <w:p>
            <w:pPr>
              <w:rPr>
                <w:rFonts w:ascii="宋体" w:hAnsi="宋体"/>
                <w:szCs w:val="21"/>
              </w:rPr>
            </w:pPr>
          </w:p>
        </w:tc>
        <w:tc>
          <w:tcPr>
            <w:tcW w:w="468" w:type="dxa"/>
            <w:vAlign w:val="center"/>
          </w:tcPr>
          <w:p>
            <w:pPr>
              <w:rPr>
                <w:rFonts w:ascii="宋体" w:hAnsi="宋体"/>
                <w:szCs w:val="21"/>
              </w:rPr>
            </w:pPr>
          </w:p>
        </w:tc>
      </w:tr>
    </w:tbl>
    <w:p>
      <w:pPr>
        <w:rPr>
          <w:rFonts w:ascii="宋体" w:hAnsi="宋体"/>
          <w:szCs w:val="21"/>
        </w:rPr>
      </w:pPr>
      <w:r>
        <w:rPr>
          <w:rFonts w:hint="eastAsia" w:ascii="宋体" w:hAnsi="宋体"/>
          <w:szCs w:val="21"/>
        </w:rPr>
        <w:t>注：1.应按各标段实际工程内容填写。</w:t>
      </w:r>
    </w:p>
    <w:p>
      <w:pPr>
        <w:pStyle w:val="2"/>
        <w:ind w:firstLine="210"/>
      </w:pPr>
      <w:r>
        <w:rPr>
          <w:rFonts w:hint="eastAsia" w:ascii="宋体" w:hAnsi="宋体"/>
          <w:szCs w:val="21"/>
        </w:rPr>
        <w:t xml:space="preserve">    2.各个项目的进程可用线条的长短来表示。</w:t>
      </w: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sectPr>
          <w:headerReference r:id="rId10" w:type="first"/>
          <w:headerReference r:id="rId9" w:type="default"/>
          <w:pgSz w:w="16838" w:h="11906" w:orient="landscape"/>
          <w:pgMar w:top="1797" w:right="1440" w:bottom="1797" w:left="1440" w:header="851" w:footer="992" w:gutter="0"/>
          <w:pgNumType w:fmt="decimal"/>
          <w:cols w:space="425" w:num="1"/>
          <w:titlePg/>
          <w:docGrid w:type="linesAndChars" w:linePitch="312" w:charSpace="0"/>
        </w:sectPr>
      </w:pPr>
    </w:p>
    <w:p>
      <w:pPr>
        <w:pStyle w:val="6"/>
        <w:spacing w:beforeLines="50" w:after="0" w:line="400" w:lineRule="exact"/>
        <w:rPr>
          <w:rFonts w:ascii="Arial" w:hAnsi="Arial" w:eastAsia="黑体"/>
          <w:kern w:val="2"/>
          <w:sz w:val="28"/>
          <w:szCs w:val="28"/>
        </w:rPr>
      </w:pPr>
      <w:bookmarkStart w:id="251" w:name="_Toc234382967"/>
      <w:r>
        <w:rPr>
          <w:rFonts w:ascii="Arial" w:hAnsi="Arial" w:eastAsia="黑体"/>
          <w:kern w:val="2"/>
          <w:sz w:val="28"/>
          <w:szCs w:val="28"/>
        </w:rPr>
        <w:t>附表三</w:t>
      </w:r>
      <w:r>
        <w:rPr>
          <w:rFonts w:hint="eastAsia" w:ascii="Arial" w:hAnsi="Arial" w:eastAsia="黑体"/>
          <w:kern w:val="2"/>
          <w:sz w:val="28"/>
          <w:szCs w:val="28"/>
        </w:rPr>
        <w:t>工程管理曲线</w:t>
      </w:r>
      <w:bookmarkEnd w:id="251"/>
    </w:p>
    <w:tbl>
      <w:tblPr>
        <w:tblStyle w:val="14"/>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06"/>
        <w:gridCol w:w="361"/>
        <w:gridCol w:w="361"/>
        <w:gridCol w:w="371"/>
        <w:gridCol w:w="361"/>
        <w:gridCol w:w="361"/>
        <w:gridCol w:w="367"/>
        <w:gridCol w:w="360"/>
        <w:gridCol w:w="360"/>
        <w:gridCol w:w="364"/>
        <w:gridCol w:w="426"/>
        <w:gridCol w:w="419"/>
        <w:gridCol w:w="426"/>
        <w:gridCol w:w="360"/>
        <w:gridCol w:w="360"/>
        <w:gridCol w:w="364"/>
        <w:gridCol w:w="362"/>
        <w:gridCol w:w="362"/>
        <w:gridCol w:w="364"/>
        <w:gridCol w:w="362"/>
        <w:gridCol w:w="3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single" w:color="auto" w:sz="12" w:space="0"/>
              <w:bottom w:val="nil"/>
              <w:tl2br w:val="single" w:color="auto" w:sz="6" w:space="0"/>
            </w:tcBorders>
            <w:vAlign w:val="center"/>
          </w:tcPr>
          <w:p>
            <w:r>
              <w:pict>
                <v:shape id="AutoShape 3" o:spid="_x0000_s1028" o:spt="32" type="#_x0000_t32" style="position:absolute;left:0pt;margin-left:-5.9pt;margin-top:-0.3pt;height:44.35pt;width:110pt;z-index:251661312;mso-width-relative:page;mso-height-relative:page;" filled="f" coordsize="21600,21600" o:gfxdata="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u3YzWtcAAAAIAQAADwAAAAAAAAABACAAAAAiAAAAZHJzL2Rvd25yZXYueG1s&#10;UEsBAhQAFAAAAAgAh07iQJKW8wvAAQAAagMAAA4AAAAAAAAAAQAgAAAAJgEAAGRycy9lMm9Eb2Mu&#10;eG1sUEsFBgAAAAAGAAYAWQEAAFgFAAAAAA==&#10;">
                  <v:path arrowok="t"/>
                  <v:fill on="f" focussize="0,0"/>
                  <v:stroke/>
                  <v:imagedata o:title=""/>
                  <o:lock v:ext="edit"/>
                </v:shape>
              </w:pict>
            </w:r>
            <w:r>
              <w:rPr>
                <w:rFonts w:hint="eastAsia"/>
              </w:rPr>
              <w:t>年度</w:t>
            </w:r>
          </w:p>
          <w:p>
            <w:r>
              <w:pict>
                <v:rect id="Rectangle 4" o:spid="_x0000_s1029" o:spt="1" style="position:absolute;left:0pt;margin-left:61.5pt;margin-top:1.6pt;height:21.55pt;width:17.15pt;z-index:251662336;mso-width-relative:page;mso-height-relative:page;" filled="f" stroked="f" coordsize="21600,21600" o:gfxdata="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JxO&#10;BtkAAAAIAQAADwAAAAAAAAABACAAAAAiAAAAZHJzL2Rvd25yZXYueG1sUEsBAhQAFAAAAAgAh07i&#10;QEnIj83oAQAAvAMAAA4AAAAAAAAAAQAgAAAAKAEAAGRycy9lMm9Eb2MueG1sUEsFBgAAAAAGAAYA&#10;WQEAAIIFAAAAAA==&#10;">
                  <v:path/>
                  <v:fill on="f" focussize="0,0"/>
                  <v:stroke on="f"/>
                  <v:imagedata o:title=""/>
                  <o:lock v:ext="edit"/>
                  <v:textbox>
                    <w:txbxContent>
                      <w:p>
                        <w:r>
                          <w:rPr>
                            <w:rFonts w:hint="eastAsia"/>
                          </w:rPr>
                          <w:t>季</w:t>
                        </w:r>
                      </w:p>
                    </w:txbxContent>
                  </v:textbox>
                </v:rect>
              </w:pict>
            </w:r>
          </w:p>
          <w:p/>
        </w:tc>
        <w:tc>
          <w:tcPr>
            <w:tcW w:w="4537" w:type="dxa"/>
            <w:gridSpan w:val="12"/>
            <w:vAlign w:val="center"/>
          </w:tcPr>
          <w:p>
            <w:r>
              <w:rPr>
                <w:rFonts w:hint="eastAsia" w:ascii="宋体" w:hAnsi="宋体"/>
                <w:szCs w:val="21"/>
              </w:rPr>
              <w:t>年</w:t>
            </w:r>
          </w:p>
        </w:tc>
        <w:tc>
          <w:tcPr>
            <w:tcW w:w="2896" w:type="dxa"/>
            <w:gridSpan w:val="8"/>
            <w:vAlign w:val="center"/>
          </w:tcPr>
          <w:p>
            <w:r>
              <w:rPr>
                <w:rFonts w:hint="eastAsia" w:ascii="宋体" w:hAnsi="宋体"/>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vMerge w:val="restart"/>
            <w:tcBorders>
              <w:top w:val="nil"/>
            </w:tcBorders>
            <w:vAlign w:val="center"/>
          </w:tcPr>
          <w:p>
            <w:r>
              <w:pict>
                <v:rect id="Rectangle 5" o:spid="_x0000_s1030" o:spt="1" style="position:absolute;left:0pt;margin-left:84pt;margin-top:-0.45pt;height:21.55pt;width:17.15pt;z-index:251663360;mso-width-relative:page;mso-height-relative:page;" filled="f" stroked="f" coordsize="21600,21600" o:gfxdata="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CA3Dh&#10;2QAAAAgBAAAPAAAAAAAAAAEAIAAAACIAAABkcnMvZG93bnJldi54bWxQSwECFAAUAAAACACHTuJA&#10;mUgafucBAAC8AwAADgAAAAAAAAABACAAAAAoAQAAZHJzL2Uyb0RvYy54bWxQSwUGAAAAAAYABgBZ&#10;AQAAgQUAAAAA&#10;">
                  <v:path/>
                  <v:fill on="f" focussize="0,0"/>
                  <v:stroke on="f"/>
                  <v:imagedata o:title=""/>
                  <o:lock v:ext="edit"/>
                  <v:textbox>
                    <w:txbxContent>
                      <w:p>
                        <w:r>
                          <w:rPr>
                            <w:rFonts w:hint="eastAsia"/>
                          </w:rPr>
                          <w:t>度</w:t>
                        </w:r>
                      </w:p>
                    </w:txbxContent>
                  </v:textbox>
                </v:rect>
              </w:pict>
            </w:r>
          </w:p>
          <w:p>
            <w:pPr>
              <w:jc w:val="left"/>
            </w:pPr>
          </w:p>
          <w:p>
            <w:pPr>
              <w:jc w:val="left"/>
            </w:pPr>
            <w:r>
              <w:pict>
                <v:rect id="Rectangle 6" o:spid="_x0000_s1031" o:spt="1" style="position:absolute;left:0pt;margin-left:-5.55pt;margin-top:19.35pt;height:454.5pt;width:89.9pt;z-index:251664384;mso-width-relative:page;mso-height-relative:page;" filled="f" stroked="f" coordsize="21600,21600" o:gfxdata="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n&#10;R9w42gAAAAoBAAAPAAAAAAAAAAEAIAAAACIAAABkcnMvZG93bnJldi54bWxQSwECFAAUAAAACACH&#10;TuJAS1Uhd+kBAAC+AwAADgAAAAAAAAABACAAAAApAQAAZHJzL2Uyb0RvYy54bWxQSwUGAAAAAAYA&#10;BgBZAQAAhAUAAAAA&#10;">
                  <v:path/>
                  <v:fill on="f" focussize="0,0"/>
                  <v:stroke on="f"/>
                  <v:imagedata o:title=""/>
                  <o:lock v:ext="edit"/>
                  <v:textbox>
                    <w:txbxContent>
                      <w:p/>
                      <w:p/>
                      <w:p/>
                      <w:p/>
                      <w:p/>
                      <w:p/>
                      <w:p/>
                      <w:p/>
                      <w:p/>
                      <w:p/>
                      <w:p/>
                      <w:p/>
                      <w:p>
                        <w:pPr>
                          <w:spacing w:line="240" w:lineRule="exact"/>
                        </w:pPr>
                        <w:r>
                          <w:rPr>
                            <w:rFonts w:hint="eastAsia"/>
                          </w:rPr>
                          <w:t>工</w:t>
                        </w:r>
                      </w:p>
                      <w:p>
                        <w:pPr>
                          <w:spacing w:line="240" w:lineRule="exact"/>
                        </w:pPr>
                      </w:p>
                      <w:p>
                        <w:pPr>
                          <w:spacing w:line="240" w:lineRule="exact"/>
                        </w:pPr>
                        <w:r>
                          <w:rPr>
                            <w:rFonts w:hint="eastAsia"/>
                          </w:rPr>
                          <w:t>程</w:t>
                        </w:r>
                      </w:p>
                      <w:p>
                        <w:pPr>
                          <w:spacing w:line="240" w:lineRule="exact"/>
                        </w:pPr>
                      </w:p>
                      <w:p>
                        <w:pPr>
                          <w:spacing w:line="240" w:lineRule="exact"/>
                        </w:pPr>
                        <w:r>
                          <w:rPr>
                            <w:rFonts w:hint="eastAsia"/>
                          </w:rPr>
                          <w:t>完</w:t>
                        </w:r>
                      </w:p>
                      <w:p>
                        <w:pPr>
                          <w:spacing w:line="240" w:lineRule="exact"/>
                        </w:pPr>
                      </w:p>
                      <w:p>
                        <w:pPr>
                          <w:spacing w:line="240" w:lineRule="exact"/>
                        </w:pPr>
                        <w:r>
                          <w:rPr>
                            <w:rFonts w:hint="eastAsia"/>
                          </w:rPr>
                          <w:t>成</w:t>
                        </w:r>
                      </w:p>
                      <w:p>
                        <w:pPr>
                          <w:spacing w:line="240" w:lineRule="exact"/>
                        </w:pPr>
                      </w:p>
                      <w:p>
                        <w:pPr>
                          <w:spacing w:line="240" w:lineRule="exact"/>
                        </w:pPr>
                        <w:r>
                          <w:rPr>
                            <w:rFonts w:hint="eastAsia"/>
                          </w:rPr>
                          <w:t>的</w:t>
                        </w:r>
                      </w:p>
                      <w:p>
                        <w:pPr>
                          <w:spacing w:line="240" w:lineRule="exact"/>
                        </w:pPr>
                      </w:p>
                      <w:p>
                        <w:pPr>
                          <w:spacing w:line="240" w:lineRule="exact"/>
                        </w:pPr>
                        <w:r>
                          <w:rPr>
                            <w:rFonts w:hint="eastAsia"/>
                          </w:rPr>
                          <w:t>百</w:t>
                        </w:r>
                      </w:p>
                      <w:p>
                        <w:pPr>
                          <w:spacing w:line="240" w:lineRule="exact"/>
                        </w:pPr>
                      </w:p>
                      <w:p>
                        <w:pPr>
                          <w:spacing w:line="240" w:lineRule="exact"/>
                        </w:pPr>
                        <w:r>
                          <w:rPr>
                            <w:rFonts w:hint="eastAsia"/>
                          </w:rPr>
                          <w:t>分</w:t>
                        </w:r>
                      </w:p>
                      <w:p>
                        <w:pPr>
                          <w:spacing w:line="240" w:lineRule="exact"/>
                        </w:pPr>
                      </w:p>
                      <w:p>
                        <w:pPr>
                          <w:spacing w:line="240" w:lineRule="exact"/>
                        </w:pPr>
                        <w:r>
                          <w:rPr>
                            <w:rFonts w:hint="eastAsia"/>
                          </w:rPr>
                          <w:t>比</w:t>
                        </w:r>
                      </w:p>
                      <w:p>
                        <w:pPr>
                          <w:spacing w:line="240" w:lineRule="exact"/>
                        </w:pPr>
                      </w:p>
                      <w:p>
                        <w:pPr>
                          <w:spacing w:line="240" w:lineRule="exact"/>
                        </w:pPr>
                        <w:r>
                          <w:rPr>
                            <w:rFonts w:hint="eastAsia"/>
                          </w:rPr>
                          <w:t>（%）</w:t>
                        </w:r>
                      </w:p>
                    </w:txbxContent>
                  </v:textbox>
                </v:rect>
              </w:pict>
            </w:r>
            <w:r>
              <w:rPr>
                <w:rFonts w:hint="eastAsia"/>
              </w:rPr>
              <w:t>进度</w:t>
            </w:r>
          </w:p>
        </w:tc>
        <w:tc>
          <w:tcPr>
            <w:tcW w:w="1093" w:type="dxa"/>
            <w:gridSpan w:val="3"/>
            <w:vAlign w:val="center"/>
          </w:tcPr>
          <w:p>
            <w:r>
              <w:rPr>
                <w:rFonts w:hint="eastAsia"/>
              </w:rPr>
              <w:t>一</w:t>
            </w:r>
          </w:p>
        </w:tc>
        <w:tc>
          <w:tcPr>
            <w:tcW w:w="1089" w:type="dxa"/>
            <w:gridSpan w:val="3"/>
            <w:vAlign w:val="center"/>
          </w:tcPr>
          <w:p>
            <w:r>
              <w:rPr>
                <w:rFonts w:hint="eastAsia"/>
              </w:rPr>
              <w:t>二</w:t>
            </w:r>
          </w:p>
        </w:tc>
        <w:tc>
          <w:tcPr>
            <w:tcW w:w="1084" w:type="dxa"/>
            <w:gridSpan w:val="3"/>
            <w:vAlign w:val="center"/>
          </w:tcPr>
          <w:p>
            <w:r>
              <w:rPr>
                <w:rFonts w:hint="eastAsia"/>
              </w:rPr>
              <w:t>三</w:t>
            </w:r>
          </w:p>
        </w:tc>
        <w:tc>
          <w:tcPr>
            <w:tcW w:w="1271" w:type="dxa"/>
            <w:gridSpan w:val="3"/>
            <w:vAlign w:val="center"/>
          </w:tcPr>
          <w:p>
            <w:r>
              <w:rPr>
                <w:rFonts w:hint="eastAsia"/>
              </w:rPr>
              <w:t>四</w:t>
            </w:r>
          </w:p>
        </w:tc>
        <w:tc>
          <w:tcPr>
            <w:tcW w:w="1084" w:type="dxa"/>
            <w:gridSpan w:val="3"/>
            <w:vAlign w:val="center"/>
          </w:tcPr>
          <w:p>
            <w:r>
              <w:rPr>
                <w:rFonts w:hint="eastAsia"/>
              </w:rPr>
              <w:t>一</w:t>
            </w:r>
          </w:p>
        </w:tc>
        <w:tc>
          <w:tcPr>
            <w:tcW w:w="1088" w:type="dxa"/>
            <w:gridSpan w:val="3"/>
            <w:vAlign w:val="center"/>
          </w:tcPr>
          <w:p>
            <w:r>
              <w:rPr>
                <w:rFonts w:hint="eastAsia"/>
              </w:rPr>
              <w:t>二</w:t>
            </w:r>
          </w:p>
        </w:tc>
        <w:tc>
          <w:tcPr>
            <w:tcW w:w="724" w:type="dxa"/>
            <w:gridSpan w:val="2"/>
            <w:vAlign w:val="center"/>
          </w:tcPr>
          <w:p>
            <w:r>
              <w:rPr>
                <w:rFonts w:ascii="宋体" w:hAnsi="宋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vMerge w:val="continue"/>
            <w:tcBorders>
              <w:bottom w:val="single" w:color="auto" w:sz="6" w:space="0"/>
            </w:tcBorders>
            <w:vAlign w:val="center"/>
          </w:tcPr>
          <w:p/>
        </w:tc>
        <w:tc>
          <w:tcPr>
            <w:tcW w:w="361" w:type="dxa"/>
            <w:vAlign w:val="center"/>
          </w:tcPr>
          <w:p>
            <w:r>
              <w:rPr>
                <w:rFonts w:hint="eastAsia"/>
              </w:rPr>
              <w:t>1</w:t>
            </w:r>
          </w:p>
        </w:tc>
        <w:tc>
          <w:tcPr>
            <w:tcW w:w="361" w:type="dxa"/>
            <w:vAlign w:val="center"/>
          </w:tcPr>
          <w:p>
            <w:r>
              <w:rPr>
                <w:rFonts w:hint="eastAsia"/>
              </w:rPr>
              <w:t>2</w:t>
            </w:r>
          </w:p>
        </w:tc>
        <w:tc>
          <w:tcPr>
            <w:tcW w:w="371" w:type="dxa"/>
            <w:vAlign w:val="center"/>
          </w:tcPr>
          <w:p>
            <w:r>
              <w:rPr>
                <w:rFonts w:hint="eastAsia"/>
              </w:rPr>
              <w:t>3</w:t>
            </w:r>
          </w:p>
        </w:tc>
        <w:tc>
          <w:tcPr>
            <w:tcW w:w="361" w:type="dxa"/>
            <w:vAlign w:val="center"/>
          </w:tcPr>
          <w:p>
            <w:r>
              <w:rPr>
                <w:rFonts w:hint="eastAsia"/>
              </w:rPr>
              <w:t>4</w:t>
            </w:r>
          </w:p>
        </w:tc>
        <w:tc>
          <w:tcPr>
            <w:tcW w:w="361" w:type="dxa"/>
            <w:vAlign w:val="center"/>
          </w:tcPr>
          <w:p>
            <w:r>
              <w:rPr>
                <w:rFonts w:hint="eastAsia"/>
              </w:rPr>
              <w:t>5</w:t>
            </w:r>
          </w:p>
        </w:tc>
        <w:tc>
          <w:tcPr>
            <w:tcW w:w="367" w:type="dxa"/>
            <w:vAlign w:val="center"/>
          </w:tcPr>
          <w:p>
            <w:r>
              <w:rPr>
                <w:rFonts w:hint="eastAsia"/>
              </w:rPr>
              <w:t>6</w:t>
            </w:r>
          </w:p>
        </w:tc>
        <w:tc>
          <w:tcPr>
            <w:tcW w:w="360" w:type="dxa"/>
            <w:vAlign w:val="center"/>
          </w:tcPr>
          <w:p>
            <w:r>
              <w:rPr>
                <w:rFonts w:hint="eastAsia"/>
              </w:rPr>
              <w:t>7</w:t>
            </w:r>
          </w:p>
        </w:tc>
        <w:tc>
          <w:tcPr>
            <w:tcW w:w="360" w:type="dxa"/>
            <w:vAlign w:val="center"/>
          </w:tcPr>
          <w:p>
            <w:r>
              <w:rPr>
                <w:rFonts w:hint="eastAsia"/>
              </w:rPr>
              <w:t>8</w:t>
            </w:r>
          </w:p>
        </w:tc>
        <w:tc>
          <w:tcPr>
            <w:tcW w:w="364" w:type="dxa"/>
            <w:vAlign w:val="center"/>
          </w:tcPr>
          <w:p>
            <w:r>
              <w:rPr>
                <w:rFonts w:hint="eastAsia"/>
              </w:rPr>
              <w:t>9</w:t>
            </w:r>
          </w:p>
        </w:tc>
        <w:tc>
          <w:tcPr>
            <w:tcW w:w="426" w:type="dxa"/>
            <w:vAlign w:val="center"/>
          </w:tcPr>
          <w:p>
            <w:r>
              <w:rPr>
                <w:rFonts w:hint="eastAsia"/>
              </w:rPr>
              <w:t>10</w:t>
            </w:r>
          </w:p>
        </w:tc>
        <w:tc>
          <w:tcPr>
            <w:tcW w:w="419" w:type="dxa"/>
            <w:vAlign w:val="center"/>
          </w:tcPr>
          <w:p>
            <w:r>
              <w:rPr>
                <w:rFonts w:hint="eastAsia"/>
              </w:rPr>
              <w:t>11</w:t>
            </w:r>
          </w:p>
        </w:tc>
        <w:tc>
          <w:tcPr>
            <w:tcW w:w="426" w:type="dxa"/>
            <w:vAlign w:val="center"/>
          </w:tcPr>
          <w:p>
            <w:r>
              <w:rPr>
                <w:rFonts w:hint="eastAsia"/>
              </w:rPr>
              <w:t>12</w:t>
            </w:r>
          </w:p>
        </w:tc>
        <w:tc>
          <w:tcPr>
            <w:tcW w:w="360" w:type="dxa"/>
            <w:vAlign w:val="center"/>
          </w:tcPr>
          <w:p>
            <w:r>
              <w:rPr>
                <w:rFonts w:hint="eastAsia"/>
              </w:rPr>
              <w:t>1</w:t>
            </w:r>
          </w:p>
        </w:tc>
        <w:tc>
          <w:tcPr>
            <w:tcW w:w="360" w:type="dxa"/>
            <w:vAlign w:val="center"/>
          </w:tcPr>
          <w:p>
            <w:r>
              <w:rPr>
                <w:rFonts w:hint="eastAsia"/>
              </w:rPr>
              <w:t>2</w:t>
            </w:r>
          </w:p>
        </w:tc>
        <w:tc>
          <w:tcPr>
            <w:tcW w:w="364" w:type="dxa"/>
            <w:vAlign w:val="center"/>
          </w:tcPr>
          <w:p>
            <w:r>
              <w:rPr>
                <w:rFonts w:hint="eastAsia"/>
              </w:rPr>
              <w:t>3</w:t>
            </w:r>
          </w:p>
        </w:tc>
        <w:tc>
          <w:tcPr>
            <w:tcW w:w="362" w:type="dxa"/>
            <w:vAlign w:val="center"/>
          </w:tcPr>
          <w:p>
            <w:r>
              <w:rPr>
                <w:rFonts w:hint="eastAsia"/>
              </w:rPr>
              <w:t>4</w:t>
            </w:r>
          </w:p>
        </w:tc>
        <w:tc>
          <w:tcPr>
            <w:tcW w:w="362" w:type="dxa"/>
            <w:vAlign w:val="center"/>
          </w:tcPr>
          <w:p>
            <w:r>
              <w:rPr>
                <w:rFonts w:hint="eastAsia"/>
              </w:rPr>
              <w:t>5</w:t>
            </w:r>
          </w:p>
        </w:tc>
        <w:tc>
          <w:tcPr>
            <w:tcW w:w="364" w:type="dxa"/>
            <w:vAlign w:val="center"/>
          </w:tcPr>
          <w:p>
            <w:r>
              <w:rPr>
                <w:rFonts w:hint="eastAsia"/>
              </w:rPr>
              <w:t>6</w:t>
            </w:r>
          </w:p>
        </w:tc>
        <w:tc>
          <w:tcPr>
            <w:tcW w:w="724" w:type="dxa"/>
            <w:gridSpan w:val="2"/>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single" w:color="auto" w:sz="6" w:space="0"/>
              <w:bottom w:val="nil"/>
            </w:tcBorders>
            <w:vAlign w:val="center"/>
          </w:tcPr>
          <w:p>
            <w:pPr>
              <w:jc w:val="right"/>
            </w:pPr>
            <w:r>
              <w:rPr>
                <w:rFonts w:hint="eastAsia"/>
              </w:rPr>
              <w:t>100</w:t>
            </w: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90</w:t>
            </w: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80</w:t>
            </w: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70</w:t>
            </w: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60</w:t>
            </w: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50</w:t>
            </w: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40</w:t>
            </w: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30</w:t>
            </w: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20</w:t>
            </w: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10</w:t>
            </w: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single" w:color="auto" w:sz="12" w:space="0"/>
            </w:tcBorders>
            <w:vAlign w:val="center"/>
          </w:tcPr>
          <w:p>
            <w:pPr>
              <w:jc w:val="right"/>
            </w:pPr>
          </w:p>
        </w:tc>
        <w:tc>
          <w:tcPr>
            <w:tcW w:w="361" w:type="dxa"/>
            <w:vAlign w:val="center"/>
          </w:tcPr>
          <w:p/>
        </w:tc>
        <w:tc>
          <w:tcPr>
            <w:tcW w:w="361" w:type="dxa"/>
            <w:vAlign w:val="center"/>
          </w:tcPr>
          <w:p/>
        </w:tc>
        <w:tc>
          <w:tcPr>
            <w:tcW w:w="371" w:type="dxa"/>
            <w:vAlign w:val="center"/>
          </w:tcPr>
          <w:p/>
        </w:tc>
        <w:tc>
          <w:tcPr>
            <w:tcW w:w="361" w:type="dxa"/>
            <w:vAlign w:val="center"/>
          </w:tcPr>
          <w:p/>
        </w:tc>
        <w:tc>
          <w:tcPr>
            <w:tcW w:w="361" w:type="dxa"/>
            <w:vAlign w:val="center"/>
          </w:tcPr>
          <w:p/>
        </w:tc>
        <w:tc>
          <w:tcPr>
            <w:tcW w:w="367" w:type="dxa"/>
            <w:vAlign w:val="center"/>
          </w:tcPr>
          <w:p/>
        </w:tc>
        <w:tc>
          <w:tcPr>
            <w:tcW w:w="360" w:type="dxa"/>
            <w:vAlign w:val="center"/>
          </w:tcPr>
          <w:p/>
        </w:tc>
        <w:tc>
          <w:tcPr>
            <w:tcW w:w="360" w:type="dxa"/>
            <w:vAlign w:val="center"/>
          </w:tcPr>
          <w:p/>
        </w:tc>
        <w:tc>
          <w:tcPr>
            <w:tcW w:w="364" w:type="dxa"/>
            <w:vAlign w:val="center"/>
          </w:tcPr>
          <w:p/>
        </w:tc>
        <w:tc>
          <w:tcPr>
            <w:tcW w:w="426" w:type="dxa"/>
            <w:vAlign w:val="center"/>
          </w:tcPr>
          <w:p/>
        </w:tc>
        <w:tc>
          <w:tcPr>
            <w:tcW w:w="419" w:type="dxa"/>
            <w:vAlign w:val="center"/>
          </w:tcPr>
          <w:p/>
        </w:tc>
        <w:tc>
          <w:tcPr>
            <w:tcW w:w="426" w:type="dxa"/>
            <w:vAlign w:val="center"/>
          </w:tcPr>
          <w:p/>
        </w:tc>
        <w:tc>
          <w:tcPr>
            <w:tcW w:w="360" w:type="dxa"/>
            <w:vAlign w:val="center"/>
          </w:tcPr>
          <w:p/>
        </w:tc>
        <w:tc>
          <w:tcPr>
            <w:tcW w:w="360" w:type="dxa"/>
            <w:vAlign w:val="center"/>
          </w:tcPr>
          <w:p/>
        </w:tc>
        <w:tc>
          <w:tcPr>
            <w:tcW w:w="364" w:type="dxa"/>
            <w:vAlign w:val="center"/>
          </w:tcPr>
          <w:p/>
        </w:tc>
        <w:tc>
          <w:tcPr>
            <w:tcW w:w="362" w:type="dxa"/>
            <w:vAlign w:val="center"/>
          </w:tcPr>
          <w:p/>
        </w:tc>
        <w:tc>
          <w:tcPr>
            <w:tcW w:w="362" w:type="dxa"/>
            <w:vAlign w:val="center"/>
          </w:tcPr>
          <w:p/>
        </w:tc>
        <w:tc>
          <w:tcPr>
            <w:tcW w:w="364" w:type="dxa"/>
            <w:vAlign w:val="center"/>
          </w:tcPr>
          <w:p/>
        </w:tc>
        <w:tc>
          <w:tcPr>
            <w:tcW w:w="362" w:type="dxa"/>
            <w:vAlign w:val="center"/>
          </w:tcPr>
          <w:p/>
        </w:tc>
        <w:tc>
          <w:tcPr>
            <w:tcW w:w="362" w:type="dxa"/>
            <w:vAlign w:val="center"/>
          </w:tcPr>
          <w:p/>
        </w:tc>
      </w:tr>
    </w:tbl>
    <w:p>
      <w:r>
        <w:rPr>
          <w:rFonts w:ascii="隶书" w:eastAsia="隶书"/>
          <w:sz w:val="24"/>
        </w:rPr>
        <w:pict>
          <v:rect id="文本框 2" o:spid="_x0000_s1027" o:spt="1" style="position:absolute;left:0pt;margin-left:72.35pt;margin-top:29.85pt;height:23pt;width:288pt;z-index:251660288;mso-width-relative:page;mso-height-relative:page;" filled="f" stroked="f" coordsize="21600,21600" o:gfxdata="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tZJT9oAAAAKAQAADwAAAAAAAAABACAAAAAiAAAAZHJzL2Rvd25yZXYueG1s&#10;UEsBAhQAFAAAAAgAh07iQEaBYub2AQAAvQMAAA4AAAAAAAAAAQAgAAAAKQEAAGRycy9lMm9Eb2Mu&#10;eG1sUEsFBgAAAAAGAAYAWQEAAJEFAAAAAA==&#10;">
            <v:path/>
            <v:fill on="f" focussize="0,0"/>
            <v:stroke on="f"/>
            <v:imagedata o:title=""/>
            <o:lock v:ext="edit"/>
            <v:textbox>
              <w:txbxContent>
                <w:p>
                  <w:pPr>
                    <w:jc w:val="center"/>
                    <w:rPr>
                      <w:rFonts w:ascii="宋体" w:hAnsi="宋体"/>
                    </w:rPr>
                  </w:pPr>
                  <w:r>
                    <w:rPr>
                      <w:rFonts w:hint="eastAsia" w:ascii="宋体" w:hAnsi="宋体"/>
                    </w:rPr>
                    <w:t>工期历程的百分比（%）</w:t>
                  </w:r>
                </w:p>
              </w:txbxContent>
            </v:textbox>
          </v:rect>
        </w:pict>
      </w:r>
      <w:r>
        <w:pict>
          <v:rect id="矩形 19" o:spid="_x0000_s1032" o:spt="1" style="position:absolute;left:0pt;margin-left:90.5pt;margin-top:1.65pt;height:21.05pt;width:410.9pt;z-index:251665408;mso-width-relative:page;mso-height-relative:page;" filled="f" stroked="f" coordsize="21600,21600" o:gfxdata="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P1AndkAAAAJAQAADwAAAAAAAAABACAAAAAiAAAAZHJzL2Rvd25yZXYueG1sUEsB&#10;AhQAFAAAAAgAh07iQPT7e5f0AQAAuwMAAA4AAAAAAAAAAQAgAAAAKAEAAGRycy9lMm9Eb2MueG1s&#10;UEsFBgAAAAAGAAYAWQEAAI4FAAAAAA==&#10;">
            <v:path/>
            <v:fill on="f" focussize="0,0"/>
            <v:stroke on="f"/>
            <v:imagedata o:title=""/>
            <o:lock v:ext="edit"/>
            <v:textbox>
              <w:txbxContent>
                <w:p>
                  <w:r>
                    <w:rPr>
                      <w:rFonts w:hint="eastAsia"/>
                    </w:rPr>
                    <w:t>0     10     20     30     40      50     60     70     80     90    100</w:t>
                  </w:r>
                </w:p>
              </w:txbxContent>
            </v:textbox>
          </v:rect>
        </w:pict>
      </w:r>
    </w:p>
    <w:p/>
    <w:p/>
    <w:p/>
    <w:p/>
    <w:p/>
    <w:p/>
    <w:p/>
    <w:p/>
    <w:p>
      <w:pPr>
        <w:sectPr>
          <w:headerReference r:id="rId11" w:type="first"/>
          <w:pgSz w:w="11906" w:h="16838"/>
          <w:pgMar w:top="1440" w:right="1797" w:bottom="1440" w:left="1797" w:header="851" w:footer="992" w:gutter="0"/>
          <w:pgNumType w:fmt="decimal"/>
          <w:cols w:space="425" w:num="1"/>
          <w:titlePg/>
          <w:docGrid w:type="lines" w:linePitch="312" w:charSpace="0"/>
        </w:sectPr>
      </w:pPr>
    </w:p>
    <w:p>
      <w:pPr>
        <w:pStyle w:val="6"/>
        <w:spacing w:beforeLines="50" w:after="240" w:line="400" w:lineRule="exact"/>
        <w:rPr>
          <w:rFonts w:ascii="Arial" w:hAnsi="Arial" w:eastAsia="黑体"/>
          <w:kern w:val="2"/>
          <w:sz w:val="28"/>
          <w:szCs w:val="28"/>
        </w:rPr>
      </w:pPr>
      <w:bookmarkStart w:id="252" w:name="_Toc234382968"/>
      <w:r>
        <w:rPr>
          <w:rFonts w:ascii="Arial" w:hAnsi="Arial" w:eastAsia="黑体"/>
          <w:kern w:val="2"/>
          <w:sz w:val="28"/>
          <w:szCs w:val="28"/>
        </w:rPr>
        <w:t>附表四</w:t>
      </w:r>
      <w:r>
        <w:rPr>
          <w:rFonts w:hint="eastAsia" w:ascii="Arial" w:hAnsi="Arial" w:eastAsia="黑体"/>
          <w:kern w:val="2"/>
          <w:sz w:val="28"/>
          <w:szCs w:val="28"/>
        </w:rPr>
        <w:t>分项工程生产率和施工周期表</w:t>
      </w:r>
      <w:bookmarkEnd w:id="252"/>
    </w:p>
    <w:tbl>
      <w:tblPr>
        <w:tblStyle w:val="14"/>
        <w:tblW w:w="1474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6"/>
        <w:gridCol w:w="2125"/>
        <w:gridCol w:w="923"/>
        <w:gridCol w:w="923"/>
        <w:gridCol w:w="3400"/>
        <w:gridCol w:w="2185"/>
        <w:gridCol w:w="2185"/>
        <w:gridCol w:w="21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3" w:hRule="atLeast"/>
          <w:jc w:val="center"/>
        </w:trPr>
        <w:tc>
          <w:tcPr>
            <w:tcW w:w="816" w:type="dxa"/>
            <w:vAlign w:val="center"/>
          </w:tcPr>
          <w:p>
            <w:pPr>
              <w:jc w:val="center"/>
              <w:rPr>
                <w:rFonts w:ascii="宋体" w:hAnsi="宋体"/>
                <w:szCs w:val="21"/>
              </w:rPr>
            </w:pPr>
            <w:r>
              <w:rPr>
                <w:rFonts w:hint="eastAsia" w:ascii="宋体" w:hAnsi="宋体"/>
                <w:szCs w:val="21"/>
              </w:rPr>
              <w:t>序号</w:t>
            </w:r>
          </w:p>
        </w:tc>
        <w:tc>
          <w:tcPr>
            <w:tcW w:w="2125" w:type="dxa"/>
            <w:vAlign w:val="center"/>
          </w:tcPr>
          <w:p>
            <w:pPr>
              <w:jc w:val="center"/>
              <w:rPr>
                <w:rFonts w:ascii="宋体" w:hAnsi="宋体"/>
                <w:szCs w:val="21"/>
              </w:rPr>
            </w:pPr>
            <w:r>
              <w:rPr>
                <w:rFonts w:hint="eastAsia" w:ascii="宋体" w:hAnsi="宋体"/>
                <w:szCs w:val="21"/>
              </w:rPr>
              <w:t>工程项目</w:t>
            </w:r>
          </w:p>
        </w:tc>
        <w:tc>
          <w:tcPr>
            <w:tcW w:w="923" w:type="dxa"/>
            <w:vAlign w:val="center"/>
          </w:tcPr>
          <w:p>
            <w:pPr>
              <w:jc w:val="center"/>
              <w:rPr>
                <w:rFonts w:ascii="宋体" w:hAnsi="宋体"/>
                <w:szCs w:val="21"/>
              </w:rPr>
            </w:pPr>
            <w:r>
              <w:rPr>
                <w:rFonts w:hint="eastAsia" w:ascii="宋体" w:hAnsi="宋体"/>
                <w:szCs w:val="21"/>
              </w:rPr>
              <w:t>单位</w:t>
            </w:r>
          </w:p>
        </w:tc>
        <w:tc>
          <w:tcPr>
            <w:tcW w:w="923" w:type="dxa"/>
            <w:vAlign w:val="center"/>
          </w:tcPr>
          <w:p>
            <w:pPr>
              <w:jc w:val="center"/>
              <w:rPr>
                <w:rFonts w:ascii="宋体" w:hAnsi="宋体"/>
                <w:szCs w:val="21"/>
              </w:rPr>
            </w:pPr>
            <w:r>
              <w:rPr>
                <w:rFonts w:hint="eastAsia" w:ascii="宋体" w:hAnsi="宋体"/>
                <w:szCs w:val="21"/>
              </w:rPr>
              <w:t>数量</w:t>
            </w:r>
          </w:p>
        </w:tc>
        <w:tc>
          <w:tcPr>
            <w:tcW w:w="3400" w:type="dxa"/>
            <w:vAlign w:val="center"/>
          </w:tcPr>
          <w:p>
            <w:pPr>
              <w:jc w:val="center"/>
              <w:rPr>
                <w:rFonts w:ascii="宋体" w:hAnsi="宋体"/>
                <w:szCs w:val="21"/>
              </w:rPr>
            </w:pPr>
            <w:r>
              <w:rPr>
                <w:rFonts w:hint="eastAsia" w:ascii="宋体" w:hAnsi="宋体"/>
                <w:szCs w:val="21"/>
              </w:rPr>
              <w:t>平均每生产单位规模（人，各种机械台）</w:t>
            </w:r>
          </w:p>
        </w:tc>
        <w:tc>
          <w:tcPr>
            <w:tcW w:w="2185" w:type="dxa"/>
            <w:vAlign w:val="center"/>
          </w:tcPr>
          <w:p>
            <w:pPr>
              <w:jc w:val="center"/>
              <w:rPr>
                <w:rFonts w:ascii="宋体" w:hAnsi="宋体"/>
                <w:szCs w:val="21"/>
              </w:rPr>
            </w:pPr>
            <w:r>
              <w:rPr>
                <w:rFonts w:hint="eastAsia" w:ascii="宋体" w:hAnsi="宋体"/>
                <w:szCs w:val="21"/>
              </w:rPr>
              <w:t>平均每生产单位生产率（数量，每周）</w:t>
            </w:r>
          </w:p>
        </w:tc>
        <w:tc>
          <w:tcPr>
            <w:tcW w:w="2185" w:type="dxa"/>
            <w:vAlign w:val="center"/>
          </w:tcPr>
          <w:p>
            <w:pPr>
              <w:jc w:val="center"/>
              <w:rPr>
                <w:rFonts w:ascii="宋体" w:hAnsi="宋体"/>
                <w:szCs w:val="21"/>
              </w:rPr>
            </w:pPr>
            <w:r>
              <w:rPr>
                <w:rFonts w:hint="eastAsia" w:ascii="宋体" w:hAnsi="宋体"/>
                <w:szCs w:val="21"/>
              </w:rPr>
              <w:t>每生产单位</w:t>
            </w:r>
          </w:p>
          <w:p>
            <w:pPr>
              <w:jc w:val="center"/>
              <w:rPr>
                <w:rFonts w:ascii="宋体" w:hAnsi="宋体"/>
                <w:szCs w:val="21"/>
              </w:rPr>
            </w:pPr>
            <w:r>
              <w:rPr>
                <w:rFonts w:hint="eastAsia" w:ascii="宋体" w:hAnsi="宋体"/>
                <w:szCs w:val="21"/>
              </w:rPr>
              <w:t>平均施工时间（周）</w:t>
            </w:r>
          </w:p>
        </w:tc>
        <w:tc>
          <w:tcPr>
            <w:tcW w:w="2185" w:type="dxa"/>
            <w:vAlign w:val="center"/>
          </w:tcPr>
          <w:p>
            <w:pPr>
              <w:jc w:val="center"/>
              <w:rPr>
                <w:rFonts w:ascii="宋体" w:hAnsi="宋体"/>
                <w:szCs w:val="21"/>
              </w:rPr>
            </w:pPr>
            <w:r>
              <w:rPr>
                <w:rFonts w:hint="eastAsia" w:ascii="宋体" w:hAnsi="宋体"/>
                <w:szCs w:val="21"/>
              </w:rPr>
              <w:t>生产单位总数</w:t>
            </w:r>
          </w:p>
          <w:p>
            <w:pPr>
              <w:jc w:val="center"/>
              <w:rPr>
                <w:rFonts w:ascii="宋体" w:hAnsi="宋体"/>
                <w:szCs w:val="21"/>
              </w:rPr>
            </w:pPr>
            <w:r>
              <w:rPr>
                <w:rFonts w:hint="eastAsia" w:ascii="宋体" w:hAnsi="宋体"/>
                <w:szCs w:val="21"/>
              </w:rPr>
              <w:t>（个）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szCs w:val="21"/>
              </w:rPr>
            </w:pPr>
            <w:r>
              <w:rPr>
                <w:rFonts w:hint="eastAsia" w:ascii="宋体" w:hAnsi="宋体"/>
                <w:szCs w:val="21"/>
              </w:rPr>
              <w:t>1</w:t>
            </w:r>
          </w:p>
        </w:tc>
        <w:tc>
          <w:tcPr>
            <w:tcW w:w="2125" w:type="dxa"/>
            <w:vAlign w:val="center"/>
          </w:tcPr>
          <w:p>
            <w:pPr>
              <w:ind w:left="113"/>
              <w:jc w:val="center"/>
              <w:rPr>
                <w:rFonts w:ascii="宋体" w:hAnsi="宋体"/>
                <w:szCs w:val="21"/>
              </w:rPr>
            </w:pPr>
            <w:r>
              <w:rPr>
                <w:rFonts w:hint="eastAsia" w:ascii="宋体" w:hAnsi="宋体"/>
                <w:szCs w:val="21"/>
              </w:rPr>
              <w:t>下部结构</w:t>
            </w:r>
          </w:p>
        </w:tc>
        <w:tc>
          <w:tcPr>
            <w:tcW w:w="923" w:type="dxa"/>
            <w:vAlign w:val="center"/>
          </w:tcPr>
          <w:p>
            <w:pPr>
              <w:jc w:val="center"/>
              <w:rPr>
                <w:rFonts w:ascii="宋体" w:hAnsi="宋体"/>
                <w:szCs w:val="21"/>
              </w:rPr>
            </w:pPr>
            <w:r>
              <w:rPr>
                <w:rFonts w:hint="eastAsia" w:ascii="宋体" w:hAnsi="宋体"/>
                <w:szCs w:val="21"/>
              </w:rPr>
              <w:t>万m</w:t>
            </w:r>
            <w:r>
              <w:rPr>
                <w:rFonts w:hint="eastAsia" w:ascii="宋体" w:hAnsi="宋体"/>
                <w:szCs w:val="21"/>
                <w:vertAlign w:val="superscript"/>
              </w:rPr>
              <w:t>3</w:t>
            </w:r>
          </w:p>
        </w:tc>
        <w:tc>
          <w:tcPr>
            <w:tcW w:w="923" w:type="dxa"/>
            <w:vAlign w:val="center"/>
          </w:tcPr>
          <w:p>
            <w:pPr>
              <w:rPr>
                <w:rFonts w:ascii="宋体" w:hAnsi="宋体"/>
                <w:szCs w:val="21"/>
              </w:rPr>
            </w:pPr>
          </w:p>
        </w:tc>
        <w:tc>
          <w:tcPr>
            <w:tcW w:w="3400" w:type="dxa"/>
            <w:vAlign w:val="center"/>
          </w:tcPr>
          <w:p>
            <w:pPr>
              <w:rPr>
                <w:rFonts w:ascii="宋体" w:hAnsi="宋体"/>
                <w:szCs w:val="21"/>
              </w:rPr>
            </w:pPr>
          </w:p>
        </w:tc>
        <w:tc>
          <w:tcPr>
            <w:tcW w:w="2185" w:type="dxa"/>
            <w:vAlign w:val="center"/>
          </w:tcPr>
          <w:p>
            <w:pPr>
              <w:rPr>
                <w:rFonts w:ascii="宋体" w:hAnsi="宋体"/>
                <w:szCs w:val="21"/>
              </w:rPr>
            </w:pPr>
          </w:p>
        </w:tc>
        <w:tc>
          <w:tcPr>
            <w:tcW w:w="2185" w:type="dxa"/>
            <w:vAlign w:val="center"/>
          </w:tcPr>
          <w:p>
            <w:pPr>
              <w:rPr>
                <w:rFonts w:ascii="宋体" w:hAnsi="宋体"/>
                <w:szCs w:val="21"/>
              </w:rPr>
            </w:pPr>
          </w:p>
        </w:tc>
        <w:tc>
          <w:tcPr>
            <w:tcW w:w="2185"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szCs w:val="21"/>
              </w:rPr>
            </w:pPr>
            <w:r>
              <w:rPr>
                <w:rFonts w:hint="eastAsia" w:ascii="宋体" w:hAnsi="宋体"/>
                <w:szCs w:val="21"/>
              </w:rPr>
              <w:t>2</w:t>
            </w:r>
          </w:p>
        </w:tc>
        <w:tc>
          <w:tcPr>
            <w:tcW w:w="2125" w:type="dxa"/>
            <w:vAlign w:val="center"/>
          </w:tcPr>
          <w:p>
            <w:pPr>
              <w:ind w:left="113"/>
              <w:jc w:val="center"/>
              <w:rPr>
                <w:rFonts w:ascii="宋体" w:hAnsi="宋体"/>
                <w:szCs w:val="21"/>
              </w:rPr>
            </w:pPr>
            <w:r>
              <w:rPr>
                <w:rFonts w:hint="eastAsia" w:ascii="宋体" w:hAnsi="宋体"/>
                <w:szCs w:val="21"/>
              </w:rPr>
              <w:t>上部结构</w:t>
            </w:r>
          </w:p>
        </w:tc>
        <w:tc>
          <w:tcPr>
            <w:tcW w:w="923" w:type="dxa"/>
            <w:vAlign w:val="center"/>
          </w:tcPr>
          <w:p>
            <w:pPr>
              <w:jc w:val="center"/>
              <w:rPr>
                <w:rFonts w:ascii="宋体" w:hAnsi="宋体"/>
                <w:szCs w:val="21"/>
              </w:rPr>
            </w:pPr>
            <w:r>
              <w:rPr>
                <w:rFonts w:hint="eastAsia" w:ascii="宋体" w:hAnsi="宋体"/>
                <w:szCs w:val="21"/>
              </w:rPr>
              <w:t>万m</w:t>
            </w:r>
            <w:r>
              <w:rPr>
                <w:rFonts w:hint="eastAsia" w:ascii="宋体" w:hAnsi="宋体"/>
                <w:szCs w:val="21"/>
                <w:vertAlign w:val="superscript"/>
              </w:rPr>
              <w:t>2</w:t>
            </w:r>
          </w:p>
        </w:tc>
        <w:tc>
          <w:tcPr>
            <w:tcW w:w="923" w:type="dxa"/>
            <w:vAlign w:val="center"/>
          </w:tcPr>
          <w:p>
            <w:pPr>
              <w:rPr>
                <w:rFonts w:ascii="宋体" w:hAnsi="宋体"/>
                <w:szCs w:val="21"/>
              </w:rPr>
            </w:pPr>
          </w:p>
        </w:tc>
        <w:tc>
          <w:tcPr>
            <w:tcW w:w="3400" w:type="dxa"/>
            <w:vAlign w:val="center"/>
          </w:tcPr>
          <w:p>
            <w:pPr>
              <w:rPr>
                <w:rFonts w:ascii="宋体" w:hAnsi="宋体"/>
                <w:szCs w:val="21"/>
              </w:rPr>
            </w:pPr>
          </w:p>
        </w:tc>
        <w:tc>
          <w:tcPr>
            <w:tcW w:w="2185" w:type="dxa"/>
            <w:vAlign w:val="center"/>
          </w:tcPr>
          <w:p>
            <w:pPr>
              <w:rPr>
                <w:rFonts w:ascii="宋体" w:hAnsi="宋体"/>
                <w:szCs w:val="21"/>
              </w:rPr>
            </w:pPr>
          </w:p>
        </w:tc>
        <w:tc>
          <w:tcPr>
            <w:tcW w:w="2185" w:type="dxa"/>
            <w:vAlign w:val="center"/>
          </w:tcPr>
          <w:p>
            <w:pPr>
              <w:rPr>
                <w:rFonts w:ascii="宋体" w:hAnsi="宋体"/>
                <w:szCs w:val="21"/>
              </w:rPr>
            </w:pPr>
          </w:p>
        </w:tc>
        <w:tc>
          <w:tcPr>
            <w:tcW w:w="2185"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szCs w:val="21"/>
              </w:rPr>
            </w:pPr>
            <w:r>
              <w:rPr>
                <w:rFonts w:hint="eastAsia" w:ascii="宋体" w:hAnsi="宋体"/>
                <w:szCs w:val="21"/>
              </w:rPr>
              <w:t>3</w:t>
            </w:r>
          </w:p>
        </w:tc>
        <w:tc>
          <w:tcPr>
            <w:tcW w:w="2125" w:type="dxa"/>
            <w:vAlign w:val="center"/>
          </w:tcPr>
          <w:p>
            <w:pPr>
              <w:ind w:left="113"/>
              <w:jc w:val="center"/>
              <w:rPr>
                <w:rFonts w:ascii="宋体" w:hAnsi="宋体"/>
                <w:szCs w:val="21"/>
              </w:rPr>
            </w:pPr>
            <w:r>
              <w:rPr>
                <w:rFonts w:hint="eastAsia" w:ascii="宋体" w:hAnsi="宋体"/>
                <w:szCs w:val="21"/>
              </w:rPr>
              <w:t>附属工程</w:t>
            </w:r>
          </w:p>
        </w:tc>
        <w:tc>
          <w:tcPr>
            <w:tcW w:w="923" w:type="dxa"/>
            <w:vAlign w:val="center"/>
          </w:tcPr>
          <w:p>
            <w:pPr>
              <w:jc w:val="center"/>
              <w:rPr>
                <w:rFonts w:ascii="宋体" w:hAnsi="宋体"/>
                <w:szCs w:val="21"/>
              </w:rPr>
            </w:pPr>
            <w:r>
              <w:rPr>
                <w:rFonts w:hint="eastAsia" w:ascii="宋体" w:hAnsi="宋体"/>
                <w:szCs w:val="21"/>
              </w:rPr>
              <w:t>万m</w:t>
            </w:r>
            <w:r>
              <w:rPr>
                <w:rFonts w:hint="eastAsia" w:ascii="宋体" w:hAnsi="宋体"/>
                <w:szCs w:val="21"/>
                <w:vertAlign w:val="superscript"/>
              </w:rPr>
              <w:t>2</w:t>
            </w:r>
          </w:p>
        </w:tc>
        <w:tc>
          <w:tcPr>
            <w:tcW w:w="923" w:type="dxa"/>
            <w:vAlign w:val="center"/>
          </w:tcPr>
          <w:p>
            <w:pPr>
              <w:rPr>
                <w:rFonts w:ascii="宋体" w:hAnsi="宋体"/>
                <w:szCs w:val="21"/>
              </w:rPr>
            </w:pPr>
          </w:p>
        </w:tc>
        <w:tc>
          <w:tcPr>
            <w:tcW w:w="3400" w:type="dxa"/>
            <w:vAlign w:val="center"/>
          </w:tcPr>
          <w:p>
            <w:pPr>
              <w:rPr>
                <w:rFonts w:ascii="宋体" w:hAnsi="宋体"/>
                <w:szCs w:val="21"/>
              </w:rPr>
            </w:pPr>
          </w:p>
        </w:tc>
        <w:tc>
          <w:tcPr>
            <w:tcW w:w="2185" w:type="dxa"/>
            <w:vAlign w:val="center"/>
          </w:tcPr>
          <w:p>
            <w:pPr>
              <w:rPr>
                <w:rFonts w:ascii="宋体" w:hAnsi="宋体"/>
                <w:szCs w:val="21"/>
              </w:rPr>
            </w:pPr>
          </w:p>
        </w:tc>
        <w:tc>
          <w:tcPr>
            <w:tcW w:w="2185" w:type="dxa"/>
            <w:vAlign w:val="center"/>
          </w:tcPr>
          <w:p>
            <w:pPr>
              <w:rPr>
                <w:rFonts w:ascii="宋体" w:hAnsi="宋体"/>
                <w:szCs w:val="21"/>
              </w:rPr>
            </w:pPr>
          </w:p>
        </w:tc>
        <w:tc>
          <w:tcPr>
            <w:tcW w:w="2185" w:type="dxa"/>
            <w:vAlign w:val="center"/>
          </w:tcPr>
          <w:p>
            <w:pPr>
              <w:rPr>
                <w:rFonts w:ascii="宋体" w:hAnsi="宋体"/>
                <w:szCs w:val="21"/>
              </w:rPr>
            </w:pPr>
          </w:p>
        </w:tc>
      </w:tr>
    </w:tbl>
    <w:p>
      <w:pPr>
        <w:sectPr>
          <w:footnotePr>
            <w:numFmt w:val="decimalEnclosedCircleChinese"/>
            <w:numRestart w:val="eachPage"/>
          </w:footnotePr>
          <w:pgSz w:w="16840" w:h="11907" w:orient="landscape"/>
          <w:pgMar w:top="1361" w:right="1440" w:bottom="1361" w:left="1440" w:header="720" w:footer="907" w:gutter="0"/>
          <w:pgNumType w:fmt="decimal"/>
          <w:cols w:space="720" w:num="1"/>
        </w:sectPr>
      </w:pPr>
    </w:p>
    <w:p>
      <w:pPr>
        <w:pStyle w:val="6"/>
        <w:spacing w:beforeLines="50" w:after="240" w:line="400" w:lineRule="exact"/>
        <w:rPr>
          <w:rFonts w:ascii="Arial" w:hAnsi="Arial" w:eastAsia="黑体"/>
          <w:kern w:val="2"/>
          <w:sz w:val="28"/>
          <w:szCs w:val="28"/>
        </w:rPr>
      </w:pPr>
      <w:bookmarkStart w:id="253" w:name="_Toc234382969"/>
      <w:r>
        <w:rPr>
          <w:rFonts w:ascii="Arial" w:hAnsi="Arial" w:eastAsia="黑体"/>
          <w:kern w:val="2"/>
          <w:sz w:val="28"/>
          <w:szCs w:val="28"/>
        </w:rPr>
        <w:t>附表五施工总平面图</w:t>
      </w:r>
      <w:bookmarkEnd w:id="253"/>
    </w:p>
    <w:p>
      <w:pPr>
        <w:rPr>
          <w:rFonts w:ascii="宋体" w:hAnsi="宋体"/>
          <w:sz w:val="24"/>
        </w:rPr>
      </w:pPr>
    </w:p>
    <w:p>
      <w:pPr>
        <w:spacing w:line="400" w:lineRule="exact"/>
        <w:ind w:firstLine="480" w:firstLineChars="200"/>
        <w:rPr>
          <w:rFonts w:ascii="宋体" w:hAnsi="宋体"/>
          <w:sz w:val="24"/>
        </w:rPr>
      </w:pPr>
      <w:r>
        <w:rPr>
          <w:rFonts w:ascii="宋体" w:hAnsi="宋体"/>
          <w:sz w:val="24"/>
        </w:rPr>
        <w:t>投标人应递交一份施工总平面图，绘出现场临时设施布置图表并附文字说明，说明</w:t>
      </w:r>
      <w:r>
        <w:rPr>
          <w:rFonts w:hint="eastAsia" w:ascii="宋体" w:hAnsi="宋体"/>
          <w:sz w:val="24"/>
        </w:rPr>
        <w:t>施工营地、料场、</w:t>
      </w:r>
      <w:r>
        <w:rPr>
          <w:rFonts w:ascii="宋体" w:hAnsi="宋体"/>
          <w:sz w:val="24"/>
        </w:rPr>
        <w:t>临时设施、加工车间、现场办公、设备及仓储、供电、供水、卫生、生活、道路、消防等设施的情况和布置。</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pStyle w:val="6"/>
        <w:spacing w:beforeLines="50" w:after="240" w:line="400" w:lineRule="exact"/>
        <w:rPr>
          <w:rFonts w:ascii="Arial" w:hAnsi="Arial" w:eastAsia="黑体"/>
          <w:kern w:val="2"/>
          <w:sz w:val="28"/>
          <w:szCs w:val="28"/>
        </w:rPr>
      </w:pPr>
      <w:bookmarkStart w:id="254" w:name="_Toc234382970"/>
      <w:r>
        <w:rPr>
          <w:rFonts w:ascii="Arial" w:hAnsi="Arial" w:eastAsia="黑体"/>
          <w:kern w:val="2"/>
          <w:sz w:val="28"/>
          <w:szCs w:val="28"/>
        </w:rPr>
        <w:t>附表</w:t>
      </w:r>
      <w:r>
        <w:rPr>
          <w:rFonts w:hint="eastAsia" w:ascii="Arial" w:hAnsi="Arial" w:eastAsia="黑体"/>
          <w:kern w:val="2"/>
          <w:sz w:val="28"/>
          <w:szCs w:val="28"/>
        </w:rPr>
        <w:t>六劳动力计划表</w:t>
      </w:r>
      <w:bookmarkEnd w:id="254"/>
    </w:p>
    <w:p>
      <w:pPr>
        <w:jc w:val="right"/>
        <w:rPr>
          <w:rFonts w:ascii="宋体" w:hAnsi="宋体"/>
          <w:sz w:val="24"/>
        </w:rPr>
      </w:pPr>
      <w:r>
        <w:rPr>
          <w:rFonts w:hint="eastAsia" w:ascii="宋体" w:hAnsi="宋体"/>
          <w:sz w:val="24"/>
        </w:rPr>
        <w:t>单位：人</w:t>
      </w:r>
    </w:p>
    <w:tbl>
      <w:tblPr>
        <w:tblStyle w:val="14"/>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05"/>
        <w:gridCol w:w="1205"/>
        <w:gridCol w:w="1205"/>
        <w:gridCol w:w="1204"/>
        <w:gridCol w:w="1205"/>
        <w:gridCol w:w="1205"/>
        <w:gridCol w:w="1205"/>
        <w:gridCol w:w="12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Cs w:val="21"/>
              </w:rPr>
            </w:pPr>
            <w:r>
              <w:rPr>
                <w:rFonts w:hint="eastAsia" w:ascii="宋体" w:hAnsi="宋体"/>
                <w:szCs w:val="21"/>
              </w:rPr>
              <w:t>工种</w:t>
            </w:r>
          </w:p>
        </w:tc>
        <w:tc>
          <w:tcPr>
            <w:tcW w:w="8434" w:type="dxa"/>
            <w:gridSpan w:val="7"/>
            <w:vAlign w:val="center"/>
          </w:tcPr>
          <w:p>
            <w:pPr>
              <w:jc w:val="center"/>
              <w:rPr>
                <w:rFonts w:ascii="宋体" w:hAnsi="宋体"/>
                <w:szCs w:val="21"/>
              </w:rPr>
            </w:pPr>
            <w:r>
              <w:rPr>
                <w:rFonts w:hint="eastAsia" w:ascii="宋体" w:hAnsi="宋体"/>
                <w:szCs w:val="21"/>
              </w:rPr>
              <w:t>按工程施工阶段投入劳动力情况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4"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4"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4"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bl>
    <w:p>
      <w:pPr>
        <w:ind w:firstLine="6600" w:firstLineChars="2750"/>
        <w:rPr>
          <w:rFonts w:ascii="宋体" w:hAnsi="宋体"/>
          <w:sz w:val="24"/>
        </w:rPr>
      </w:pPr>
    </w:p>
    <w:p>
      <w:pPr>
        <w:pStyle w:val="6"/>
        <w:spacing w:beforeLines="50" w:after="240" w:line="400" w:lineRule="exact"/>
        <w:rPr>
          <w:rFonts w:ascii="Arial" w:hAnsi="Arial" w:eastAsia="黑体"/>
          <w:kern w:val="2"/>
          <w:sz w:val="28"/>
          <w:szCs w:val="28"/>
        </w:rPr>
      </w:pPr>
      <w:r>
        <w:rPr>
          <w:rFonts w:ascii="宋体"/>
          <w:sz w:val="24"/>
        </w:rPr>
        <w:br w:type="page"/>
      </w:r>
      <w:bookmarkStart w:id="255" w:name="_Toc234382971"/>
      <w:r>
        <w:rPr>
          <w:rFonts w:ascii="Arial" w:hAnsi="Arial" w:eastAsia="黑体"/>
          <w:kern w:val="2"/>
          <w:sz w:val="28"/>
          <w:szCs w:val="28"/>
        </w:rPr>
        <w:t>附表</w:t>
      </w:r>
      <w:r>
        <w:rPr>
          <w:rFonts w:hint="eastAsia" w:ascii="Arial" w:hAnsi="Arial" w:eastAsia="黑体"/>
          <w:kern w:val="2"/>
          <w:sz w:val="28"/>
          <w:szCs w:val="28"/>
        </w:rPr>
        <w:t>七临时用地计划表</w:t>
      </w:r>
      <w:bookmarkEnd w:id="255"/>
    </w:p>
    <w:tbl>
      <w:tblPr>
        <w:tblStyle w:val="14"/>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97"/>
        <w:gridCol w:w="699"/>
        <w:gridCol w:w="700"/>
        <w:gridCol w:w="702"/>
        <w:gridCol w:w="700"/>
        <w:gridCol w:w="706"/>
        <w:gridCol w:w="1779"/>
        <w:gridCol w:w="673"/>
        <w:gridCol w:w="741"/>
        <w:gridCol w:w="7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97" w:type="dxa"/>
            <w:vMerge w:val="restart"/>
            <w:vAlign w:val="center"/>
          </w:tcPr>
          <w:p>
            <w:pPr>
              <w:jc w:val="center"/>
              <w:rPr>
                <w:rFonts w:ascii="宋体" w:hAnsi="宋体"/>
                <w:szCs w:val="21"/>
              </w:rPr>
            </w:pPr>
            <w:r>
              <w:rPr>
                <w:rFonts w:hint="eastAsia" w:ascii="宋体" w:hAnsi="宋体"/>
                <w:szCs w:val="21"/>
              </w:rPr>
              <w:t>用   途</w:t>
            </w:r>
          </w:p>
        </w:tc>
        <w:tc>
          <w:tcPr>
            <w:tcW w:w="3507" w:type="dxa"/>
            <w:gridSpan w:val="5"/>
            <w:vAlign w:val="center"/>
          </w:tcPr>
          <w:p>
            <w:pPr>
              <w:jc w:val="center"/>
              <w:rPr>
                <w:rFonts w:ascii="宋体" w:hAnsi="宋体"/>
                <w:szCs w:val="21"/>
              </w:rPr>
            </w:pPr>
            <w:r>
              <w:rPr>
                <w:rFonts w:hint="eastAsia" w:ascii="宋体" w:hAnsi="宋体"/>
                <w:szCs w:val="21"/>
              </w:rPr>
              <w:t>面积（m</w:t>
            </w:r>
            <w:r>
              <w:rPr>
                <w:rFonts w:hint="eastAsia" w:ascii="宋体" w:hAnsi="宋体"/>
                <w:szCs w:val="21"/>
                <w:vertAlign w:val="superscript"/>
              </w:rPr>
              <w:t>2</w:t>
            </w:r>
            <w:r>
              <w:rPr>
                <w:rFonts w:hint="eastAsia" w:ascii="宋体" w:hAnsi="宋体"/>
                <w:szCs w:val="21"/>
              </w:rPr>
              <w:t>）</w:t>
            </w:r>
          </w:p>
        </w:tc>
        <w:tc>
          <w:tcPr>
            <w:tcW w:w="1779" w:type="dxa"/>
            <w:vMerge w:val="restart"/>
            <w:vAlign w:val="center"/>
          </w:tcPr>
          <w:p>
            <w:pPr>
              <w:jc w:val="center"/>
              <w:rPr>
                <w:rFonts w:ascii="宋体" w:hAnsi="宋体"/>
                <w:szCs w:val="21"/>
              </w:rPr>
            </w:pPr>
            <w:r>
              <w:rPr>
                <w:rFonts w:hint="eastAsia" w:ascii="宋体" w:hAnsi="宋体"/>
                <w:szCs w:val="21"/>
              </w:rPr>
              <w:t>需用时间</w:t>
            </w:r>
          </w:p>
          <w:p>
            <w:pPr>
              <w:ind w:firstLine="5"/>
              <w:jc w:val="center"/>
              <w:rPr>
                <w:rFonts w:ascii="宋体" w:hAnsi="宋体"/>
                <w:szCs w:val="21"/>
              </w:rPr>
            </w:pPr>
            <w:r>
              <w:rPr>
                <w:rFonts w:hint="eastAsia" w:ascii="宋体" w:hAnsi="宋体"/>
                <w:szCs w:val="21"/>
              </w:rPr>
              <w:t>年月至年月</w:t>
            </w:r>
          </w:p>
        </w:tc>
        <w:tc>
          <w:tcPr>
            <w:tcW w:w="2156" w:type="dxa"/>
            <w:gridSpan w:val="3"/>
            <w:vAlign w:val="center"/>
          </w:tcPr>
          <w:p>
            <w:pPr>
              <w:jc w:val="center"/>
              <w:rPr>
                <w:rFonts w:ascii="宋体" w:hAnsi="宋体"/>
                <w:szCs w:val="21"/>
              </w:rPr>
            </w:pPr>
            <w:r>
              <w:rPr>
                <w:rFonts w:hint="eastAsia" w:ascii="宋体" w:hAnsi="宋体"/>
                <w:szCs w:val="21"/>
              </w:rPr>
              <w:t>用地位置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97" w:type="dxa"/>
            <w:vMerge w:val="continue"/>
            <w:vAlign w:val="center"/>
          </w:tcPr>
          <w:p>
            <w:pPr>
              <w:rPr>
                <w:rFonts w:ascii="宋体" w:hAnsi="宋体"/>
                <w:szCs w:val="21"/>
              </w:rPr>
            </w:pPr>
          </w:p>
        </w:tc>
        <w:tc>
          <w:tcPr>
            <w:tcW w:w="699" w:type="dxa"/>
            <w:vAlign w:val="center"/>
          </w:tcPr>
          <w:p>
            <w:pPr>
              <w:rPr>
                <w:rFonts w:ascii="宋体" w:hAnsi="宋体"/>
                <w:szCs w:val="21"/>
              </w:rPr>
            </w:pPr>
            <w:r>
              <w:rPr>
                <w:rFonts w:hint="eastAsia" w:ascii="宋体" w:hAnsi="宋体"/>
                <w:szCs w:val="21"/>
              </w:rPr>
              <w:t>菜地</w:t>
            </w:r>
          </w:p>
        </w:tc>
        <w:tc>
          <w:tcPr>
            <w:tcW w:w="700" w:type="dxa"/>
            <w:vAlign w:val="center"/>
          </w:tcPr>
          <w:p>
            <w:pPr>
              <w:rPr>
                <w:rFonts w:ascii="宋体" w:hAnsi="宋体"/>
                <w:szCs w:val="21"/>
              </w:rPr>
            </w:pPr>
            <w:r>
              <w:rPr>
                <w:rFonts w:hint="eastAsia" w:ascii="宋体" w:hAnsi="宋体"/>
                <w:szCs w:val="21"/>
              </w:rPr>
              <w:t>水田</w:t>
            </w:r>
          </w:p>
        </w:tc>
        <w:tc>
          <w:tcPr>
            <w:tcW w:w="702" w:type="dxa"/>
            <w:vAlign w:val="center"/>
          </w:tcPr>
          <w:p>
            <w:pPr>
              <w:rPr>
                <w:rFonts w:ascii="宋体" w:hAnsi="宋体"/>
                <w:szCs w:val="21"/>
              </w:rPr>
            </w:pPr>
            <w:r>
              <w:rPr>
                <w:rFonts w:hint="eastAsia" w:ascii="宋体" w:hAnsi="宋体"/>
                <w:szCs w:val="21"/>
              </w:rPr>
              <w:t>旱地</w:t>
            </w:r>
          </w:p>
        </w:tc>
        <w:tc>
          <w:tcPr>
            <w:tcW w:w="700" w:type="dxa"/>
            <w:vAlign w:val="center"/>
          </w:tcPr>
          <w:p>
            <w:pPr>
              <w:rPr>
                <w:rFonts w:ascii="宋体" w:hAnsi="宋体"/>
                <w:szCs w:val="21"/>
              </w:rPr>
            </w:pPr>
            <w:r>
              <w:rPr>
                <w:rFonts w:hint="eastAsia" w:ascii="宋体" w:hAnsi="宋体"/>
                <w:szCs w:val="21"/>
              </w:rPr>
              <w:t>果园</w:t>
            </w:r>
          </w:p>
        </w:tc>
        <w:tc>
          <w:tcPr>
            <w:tcW w:w="706" w:type="dxa"/>
            <w:vAlign w:val="center"/>
          </w:tcPr>
          <w:p>
            <w:pPr>
              <w:rPr>
                <w:rFonts w:ascii="宋体" w:hAnsi="宋体"/>
                <w:szCs w:val="21"/>
              </w:rPr>
            </w:pPr>
            <w:r>
              <w:rPr>
                <w:rFonts w:hint="eastAsia" w:ascii="宋体" w:hAnsi="宋体"/>
                <w:szCs w:val="21"/>
              </w:rPr>
              <w:t>荒地</w:t>
            </w:r>
          </w:p>
        </w:tc>
        <w:tc>
          <w:tcPr>
            <w:tcW w:w="1779" w:type="dxa"/>
            <w:vMerge w:val="continue"/>
            <w:vAlign w:val="center"/>
          </w:tcPr>
          <w:p>
            <w:pPr>
              <w:rPr>
                <w:rFonts w:ascii="宋体" w:hAnsi="宋体"/>
                <w:szCs w:val="21"/>
              </w:rPr>
            </w:pPr>
          </w:p>
        </w:tc>
        <w:tc>
          <w:tcPr>
            <w:tcW w:w="673" w:type="dxa"/>
            <w:vAlign w:val="center"/>
          </w:tcPr>
          <w:p>
            <w:pPr>
              <w:rPr>
                <w:rFonts w:ascii="宋体" w:hAnsi="宋体"/>
                <w:szCs w:val="21"/>
              </w:rPr>
            </w:pPr>
            <w:r>
              <w:rPr>
                <w:rFonts w:hint="eastAsia" w:ascii="宋体" w:hAnsi="宋体"/>
                <w:szCs w:val="21"/>
              </w:rPr>
              <w:t>桩</w:t>
            </w:r>
          </w:p>
          <w:p>
            <w:pPr>
              <w:rPr>
                <w:rFonts w:ascii="宋体" w:hAnsi="宋体"/>
                <w:szCs w:val="21"/>
              </w:rPr>
            </w:pPr>
            <w:r>
              <w:rPr>
                <w:rFonts w:hint="eastAsia" w:ascii="宋体" w:hAnsi="宋体"/>
                <w:szCs w:val="21"/>
              </w:rPr>
              <w:t>号</w:t>
            </w:r>
          </w:p>
        </w:tc>
        <w:tc>
          <w:tcPr>
            <w:tcW w:w="741" w:type="dxa"/>
            <w:vAlign w:val="center"/>
          </w:tcPr>
          <w:p>
            <w:pPr>
              <w:rPr>
                <w:rFonts w:ascii="宋体" w:hAnsi="宋体"/>
                <w:szCs w:val="21"/>
              </w:rPr>
            </w:pPr>
            <w:r>
              <w:rPr>
                <w:rFonts w:hint="eastAsia" w:ascii="宋体" w:hAnsi="宋体"/>
                <w:szCs w:val="21"/>
              </w:rPr>
              <w:t>左侧（m）</w:t>
            </w:r>
          </w:p>
        </w:tc>
        <w:tc>
          <w:tcPr>
            <w:tcW w:w="742" w:type="dxa"/>
            <w:vAlign w:val="center"/>
          </w:tcPr>
          <w:p>
            <w:pPr>
              <w:rPr>
                <w:rFonts w:ascii="宋体" w:hAnsi="宋体"/>
                <w:szCs w:val="21"/>
              </w:rPr>
            </w:pPr>
            <w:r>
              <w:rPr>
                <w:rFonts w:hint="eastAsia" w:ascii="宋体" w:hAnsi="宋体"/>
                <w:szCs w:val="21"/>
              </w:rPr>
              <w:t>右侧（m）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197" w:type="dxa"/>
            <w:vAlign w:val="center"/>
          </w:tcPr>
          <w:p>
            <w:pPr>
              <w:ind w:firstLine="210" w:firstLineChars="100"/>
              <w:rPr>
                <w:rFonts w:ascii="宋体" w:hAnsi="宋体"/>
                <w:szCs w:val="21"/>
              </w:rPr>
            </w:pPr>
            <w:r>
              <w:rPr>
                <w:rFonts w:hint="eastAsia" w:ascii="宋体" w:hAnsi="宋体"/>
                <w:szCs w:val="21"/>
              </w:rPr>
              <w:t>一、临时工程</w:t>
            </w: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197" w:type="dxa"/>
            <w:vAlign w:val="center"/>
          </w:tcPr>
          <w:p>
            <w:pPr>
              <w:ind w:firstLine="420" w:firstLineChars="200"/>
              <w:rPr>
                <w:rFonts w:ascii="宋体" w:hAnsi="宋体"/>
                <w:szCs w:val="21"/>
              </w:rPr>
            </w:pPr>
            <w:r>
              <w:rPr>
                <w:rFonts w:hint="eastAsia" w:ascii="宋体" w:hAnsi="宋体"/>
                <w:szCs w:val="21"/>
              </w:rPr>
              <w:t>1.便道</w:t>
            </w: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197" w:type="dxa"/>
            <w:vAlign w:val="center"/>
          </w:tcPr>
          <w:p>
            <w:pPr>
              <w:ind w:firstLine="420" w:firstLineChars="200"/>
              <w:rPr>
                <w:rFonts w:ascii="宋体" w:hAnsi="宋体"/>
                <w:szCs w:val="21"/>
              </w:rPr>
            </w:pPr>
            <w:r>
              <w:rPr>
                <w:rFonts w:hint="eastAsia" w:ascii="宋体" w:hAnsi="宋体"/>
                <w:szCs w:val="21"/>
              </w:rPr>
              <w:t>2.……</w:t>
            </w: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197" w:type="dxa"/>
            <w:vAlign w:val="center"/>
          </w:tcPr>
          <w:p>
            <w:pPr>
              <w:ind w:firstLine="420" w:firstLineChars="200"/>
              <w:rPr>
                <w:rFonts w:ascii="宋体" w:hAnsi="宋体"/>
                <w:szCs w:val="21"/>
              </w:rPr>
            </w:pPr>
            <w:r>
              <w:rPr>
                <w:rFonts w:hint="eastAsia" w:ascii="宋体" w:hAnsi="宋体"/>
                <w:szCs w:val="21"/>
              </w:rPr>
              <w:t>……</w:t>
            </w: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2197" w:type="dxa"/>
            <w:vAlign w:val="center"/>
          </w:tcPr>
          <w:p>
            <w:pPr>
              <w:ind w:firstLine="210" w:firstLineChars="100"/>
              <w:rPr>
                <w:rFonts w:ascii="宋体" w:hAnsi="宋体"/>
                <w:szCs w:val="21"/>
              </w:rPr>
            </w:pPr>
            <w:r>
              <w:rPr>
                <w:rFonts w:hint="eastAsia" w:ascii="宋体" w:hAnsi="宋体"/>
                <w:szCs w:val="21"/>
              </w:rPr>
              <w:t>二、生产及生活临时设施</w:t>
            </w: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szCs w:val="21"/>
              </w:rPr>
            </w:pPr>
            <w:r>
              <w:rPr>
                <w:rFonts w:hint="eastAsia" w:ascii="宋体" w:hAnsi="宋体"/>
                <w:szCs w:val="21"/>
              </w:rPr>
              <w:t>1.临时住房</w:t>
            </w: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2197" w:type="dxa"/>
            <w:vAlign w:val="center"/>
          </w:tcPr>
          <w:p>
            <w:pPr>
              <w:ind w:firstLine="420" w:firstLineChars="200"/>
              <w:rPr>
                <w:rFonts w:ascii="宋体" w:hAnsi="宋体"/>
                <w:szCs w:val="21"/>
              </w:rPr>
            </w:pPr>
            <w:r>
              <w:rPr>
                <w:rFonts w:hint="eastAsia" w:ascii="宋体" w:hAnsi="宋体"/>
                <w:szCs w:val="21"/>
              </w:rPr>
              <w:t>2.办公等公用房屋</w:t>
            </w: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szCs w:val="21"/>
              </w:rPr>
            </w:pPr>
            <w:r>
              <w:rPr>
                <w:rFonts w:hint="eastAsia" w:ascii="宋体" w:hAnsi="宋体"/>
                <w:szCs w:val="21"/>
              </w:rPr>
              <w:t>3.料场</w:t>
            </w: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szCs w:val="21"/>
              </w:rPr>
            </w:pPr>
            <w:r>
              <w:rPr>
                <w:rFonts w:hint="eastAsia" w:ascii="宋体" w:hAnsi="宋体"/>
                <w:szCs w:val="21"/>
              </w:rPr>
              <w:t>……</w:t>
            </w: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szCs w:val="21"/>
              </w:rPr>
            </w:pP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r>
              <w:rPr>
                <w:rFonts w:hint="eastAsia" w:ascii="宋体" w:hAnsi="宋体"/>
                <w:szCs w:val="21"/>
              </w:rPr>
              <w:t>租用面积合计</w:t>
            </w:r>
          </w:p>
        </w:tc>
        <w:tc>
          <w:tcPr>
            <w:tcW w:w="699" w:type="dxa"/>
            <w:vAlign w:val="center"/>
          </w:tcPr>
          <w:p>
            <w:pPr>
              <w:rPr>
                <w:rFonts w:ascii="宋体" w:hAnsi="宋体"/>
                <w:szCs w:val="21"/>
              </w:rPr>
            </w:pPr>
          </w:p>
        </w:tc>
        <w:tc>
          <w:tcPr>
            <w:tcW w:w="700" w:type="dxa"/>
            <w:vAlign w:val="center"/>
          </w:tcPr>
          <w:p>
            <w:pPr>
              <w:rPr>
                <w:rFonts w:ascii="宋体" w:hAnsi="宋体"/>
                <w:szCs w:val="21"/>
              </w:rPr>
            </w:pPr>
          </w:p>
        </w:tc>
        <w:tc>
          <w:tcPr>
            <w:tcW w:w="702" w:type="dxa"/>
            <w:vAlign w:val="center"/>
          </w:tcPr>
          <w:p>
            <w:pPr>
              <w:rPr>
                <w:rFonts w:ascii="宋体" w:hAnsi="宋体"/>
                <w:szCs w:val="21"/>
              </w:rPr>
            </w:pPr>
          </w:p>
        </w:tc>
        <w:tc>
          <w:tcPr>
            <w:tcW w:w="700" w:type="dxa"/>
            <w:vAlign w:val="center"/>
          </w:tcPr>
          <w:p>
            <w:pPr>
              <w:rPr>
                <w:rFonts w:ascii="宋体" w:hAnsi="宋体"/>
                <w:szCs w:val="21"/>
              </w:rPr>
            </w:pPr>
          </w:p>
        </w:tc>
        <w:tc>
          <w:tcPr>
            <w:tcW w:w="706" w:type="dxa"/>
            <w:vAlign w:val="center"/>
          </w:tcPr>
          <w:p>
            <w:pPr>
              <w:rPr>
                <w:rFonts w:ascii="宋体" w:hAnsi="宋体"/>
                <w:szCs w:val="21"/>
              </w:rPr>
            </w:pPr>
          </w:p>
        </w:tc>
        <w:tc>
          <w:tcPr>
            <w:tcW w:w="1779" w:type="dxa"/>
            <w:vAlign w:val="center"/>
          </w:tcPr>
          <w:p>
            <w:pPr>
              <w:rPr>
                <w:rFonts w:ascii="宋体" w:hAnsi="宋体"/>
                <w:szCs w:val="21"/>
              </w:rPr>
            </w:pPr>
          </w:p>
        </w:tc>
        <w:tc>
          <w:tcPr>
            <w:tcW w:w="673" w:type="dxa"/>
            <w:vAlign w:val="center"/>
          </w:tcPr>
          <w:p>
            <w:pPr>
              <w:rPr>
                <w:rFonts w:ascii="宋体" w:hAnsi="宋体"/>
                <w:szCs w:val="21"/>
              </w:rPr>
            </w:pPr>
          </w:p>
        </w:tc>
        <w:tc>
          <w:tcPr>
            <w:tcW w:w="741" w:type="dxa"/>
            <w:vAlign w:val="center"/>
          </w:tcPr>
          <w:p>
            <w:pPr>
              <w:rPr>
                <w:rFonts w:ascii="宋体" w:hAnsi="宋体"/>
                <w:szCs w:val="21"/>
              </w:rPr>
            </w:pPr>
          </w:p>
        </w:tc>
        <w:tc>
          <w:tcPr>
            <w:tcW w:w="742" w:type="dxa"/>
            <w:vAlign w:val="center"/>
          </w:tcPr>
          <w:p>
            <w:pPr>
              <w:rPr>
                <w:rFonts w:ascii="宋体" w:hAnsi="宋体"/>
                <w:szCs w:val="21"/>
              </w:rPr>
            </w:pPr>
          </w:p>
        </w:tc>
      </w:tr>
    </w:tbl>
    <w:p>
      <w:pPr>
        <w:pStyle w:val="6"/>
        <w:spacing w:beforeLines="50" w:after="240" w:line="400" w:lineRule="exact"/>
        <w:rPr>
          <w:rFonts w:ascii="隶书" w:hAnsi="宋体" w:eastAsia="隶书"/>
          <w:sz w:val="30"/>
          <w:szCs w:val="30"/>
        </w:rPr>
      </w:pPr>
      <w:r>
        <w:rPr>
          <w:rFonts w:ascii="宋体" w:hAnsi="宋体"/>
          <w:sz w:val="24"/>
        </w:rPr>
        <w:br w:type="page"/>
      </w:r>
      <w:bookmarkStart w:id="256" w:name="_Toc234382972"/>
      <w:r>
        <w:rPr>
          <w:rFonts w:hint="eastAsia" w:ascii="Arial" w:hAnsi="Arial" w:eastAsia="黑体"/>
          <w:kern w:val="2"/>
          <w:sz w:val="28"/>
          <w:szCs w:val="28"/>
        </w:rPr>
        <w:t>附表八外供电力需求计划表</w:t>
      </w:r>
      <w:bookmarkEnd w:id="256"/>
    </w:p>
    <w:tbl>
      <w:tblPr>
        <w:tblStyle w:val="14"/>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6"/>
        <w:gridCol w:w="1106"/>
        <w:gridCol w:w="1984"/>
        <w:gridCol w:w="1701"/>
        <w:gridCol w:w="2552"/>
        <w:gridCol w:w="11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5" w:hRule="atLeast"/>
          <w:jc w:val="center"/>
        </w:trPr>
        <w:tc>
          <w:tcPr>
            <w:tcW w:w="2212" w:type="dxa"/>
            <w:gridSpan w:val="2"/>
            <w:vAlign w:val="center"/>
          </w:tcPr>
          <w:p>
            <w:pPr>
              <w:jc w:val="center"/>
              <w:rPr>
                <w:rFonts w:ascii="宋体" w:hAnsi="宋体"/>
                <w:szCs w:val="21"/>
              </w:rPr>
            </w:pPr>
            <w:r>
              <w:rPr>
                <w:rFonts w:hint="eastAsia" w:ascii="宋体" w:hAnsi="宋体"/>
                <w:szCs w:val="21"/>
              </w:rPr>
              <w:t>用电位置</w:t>
            </w:r>
          </w:p>
        </w:tc>
        <w:tc>
          <w:tcPr>
            <w:tcW w:w="1984" w:type="dxa"/>
            <w:vMerge w:val="restart"/>
            <w:vAlign w:val="center"/>
          </w:tcPr>
          <w:p>
            <w:pPr>
              <w:jc w:val="center"/>
              <w:rPr>
                <w:rFonts w:ascii="宋体" w:hAnsi="宋体"/>
                <w:szCs w:val="21"/>
              </w:rPr>
            </w:pPr>
            <w:r>
              <w:rPr>
                <w:rFonts w:hint="eastAsia" w:ascii="宋体" w:hAnsi="宋体"/>
                <w:szCs w:val="21"/>
              </w:rPr>
              <w:t>计划用电数量（KW·h）</w:t>
            </w:r>
          </w:p>
        </w:tc>
        <w:tc>
          <w:tcPr>
            <w:tcW w:w="1701" w:type="dxa"/>
            <w:vMerge w:val="restart"/>
            <w:vAlign w:val="center"/>
          </w:tcPr>
          <w:p>
            <w:pPr>
              <w:jc w:val="center"/>
              <w:rPr>
                <w:rFonts w:ascii="宋体" w:hAnsi="宋体"/>
                <w:szCs w:val="21"/>
              </w:rPr>
            </w:pPr>
            <w:r>
              <w:rPr>
                <w:rFonts w:hint="eastAsia" w:ascii="宋体" w:hAnsi="宋体"/>
                <w:szCs w:val="21"/>
              </w:rPr>
              <w:t>用  途</w:t>
            </w:r>
          </w:p>
        </w:tc>
        <w:tc>
          <w:tcPr>
            <w:tcW w:w="2552" w:type="dxa"/>
            <w:vMerge w:val="restart"/>
            <w:vAlign w:val="center"/>
          </w:tcPr>
          <w:p>
            <w:pPr>
              <w:jc w:val="center"/>
              <w:rPr>
                <w:rFonts w:ascii="宋体" w:hAnsi="宋体"/>
                <w:szCs w:val="21"/>
              </w:rPr>
            </w:pPr>
            <w:r>
              <w:rPr>
                <w:rFonts w:hint="eastAsia" w:ascii="宋体" w:hAnsi="宋体"/>
                <w:szCs w:val="21"/>
              </w:rPr>
              <w:t>需 用 时 间</w:t>
            </w:r>
          </w:p>
          <w:p>
            <w:pPr>
              <w:ind w:left="735" w:hanging="735" w:hangingChars="350"/>
              <w:jc w:val="center"/>
              <w:rPr>
                <w:rFonts w:ascii="宋体" w:hAnsi="宋体"/>
                <w:szCs w:val="21"/>
              </w:rPr>
            </w:pPr>
            <w:r>
              <w:rPr>
                <w:rFonts w:hint="eastAsia" w:ascii="宋体" w:hAnsi="宋体"/>
                <w:szCs w:val="21"/>
              </w:rPr>
              <w:t>年   月</w:t>
            </w:r>
          </w:p>
          <w:p>
            <w:pPr>
              <w:ind w:left="735" w:leftChars="300" w:hanging="105" w:hangingChars="50"/>
              <w:jc w:val="left"/>
              <w:rPr>
                <w:rFonts w:ascii="宋体" w:hAnsi="宋体"/>
                <w:szCs w:val="21"/>
              </w:rPr>
            </w:pPr>
            <w:r>
              <w:rPr>
                <w:rFonts w:hint="eastAsia" w:ascii="宋体" w:hAnsi="宋体"/>
                <w:szCs w:val="21"/>
              </w:rPr>
              <w:t>至年   月</w:t>
            </w:r>
          </w:p>
        </w:tc>
        <w:tc>
          <w:tcPr>
            <w:tcW w:w="1190" w:type="dxa"/>
            <w:vMerge w:val="restart"/>
            <w:vAlign w:val="center"/>
          </w:tcPr>
          <w:p>
            <w:pPr>
              <w:jc w:val="center"/>
              <w:rPr>
                <w:rFonts w:ascii="宋体" w:hAnsi="宋体"/>
                <w:szCs w:val="21"/>
              </w:rPr>
            </w:pPr>
            <w:r>
              <w:rPr>
                <w:rFonts w:hint="eastAsia" w:ascii="宋体" w:hAnsi="宋体"/>
                <w:szCs w:val="21"/>
              </w:rPr>
              <w:t>备  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jc w:val="center"/>
        </w:trPr>
        <w:tc>
          <w:tcPr>
            <w:tcW w:w="1106" w:type="dxa"/>
            <w:vAlign w:val="center"/>
          </w:tcPr>
          <w:p>
            <w:pPr>
              <w:jc w:val="center"/>
              <w:rPr>
                <w:rFonts w:ascii="宋体" w:hAnsi="宋体"/>
                <w:szCs w:val="21"/>
              </w:rPr>
            </w:pPr>
            <w:r>
              <w:rPr>
                <w:rFonts w:hint="eastAsia" w:ascii="宋体" w:hAnsi="宋体"/>
                <w:szCs w:val="21"/>
              </w:rPr>
              <w:t>桩号</w:t>
            </w:r>
          </w:p>
        </w:tc>
        <w:tc>
          <w:tcPr>
            <w:tcW w:w="1106" w:type="dxa"/>
            <w:vAlign w:val="center"/>
          </w:tcPr>
          <w:p>
            <w:pPr>
              <w:jc w:val="center"/>
              <w:rPr>
                <w:rFonts w:ascii="宋体" w:hAnsi="宋体"/>
                <w:szCs w:val="21"/>
              </w:rPr>
            </w:pPr>
            <w:r>
              <w:rPr>
                <w:rFonts w:hint="eastAsia" w:ascii="宋体" w:hAnsi="宋体"/>
                <w:szCs w:val="21"/>
              </w:rPr>
              <w:t>左或右（m）</w:t>
            </w:r>
          </w:p>
        </w:tc>
        <w:tc>
          <w:tcPr>
            <w:tcW w:w="1984" w:type="dxa"/>
            <w:vMerge w:val="continue"/>
            <w:vAlign w:val="center"/>
          </w:tcPr>
          <w:p>
            <w:pPr>
              <w:jc w:val="center"/>
              <w:rPr>
                <w:rFonts w:ascii="宋体" w:hAnsi="宋体"/>
                <w:szCs w:val="21"/>
              </w:rPr>
            </w:pPr>
          </w:p>
        </w:tc>
        <w:tc>
          <w:tcPr>
            <w:tcW w:w="1701" w:type="dxa"/>
            <w:vMerge w:val="continue"/>
            <w:vAlign w:val="center"/>
          </w:tcPr>
          <w:p>
            <w:pPr>
              <w:jc w:val="center"/>
              <w:rPr>
                <w:rFonts w:ascii="宋体" w:hAnsi="宋体"/>
                <w:szCs w:val="21"/>
              </w:rPr>
            </w:pPr>
          </w:p>
        </w:tc>
        <w:tc>
          <w:tcPr>
            <w:tcW w:w="2552" w:type="dxa"/>
            <w:vMerge w:val="continue"/>
            <w:vAlign w:val="center"/>
          </w:tcPr>
          <w:p>
            <w:pPr>
              <w:jc w:val="center"/>
              <w:rPr>
                <w:rFonts w:ascii="宋体" w:hAnsi="宋体"/>
                <w:szCs w:val="21"/>
              </w:rPr>
            </w:pPr>
          </w:p>
        </w:tc>
        <w:tc>
          <w:tcPr>
            <w:tcW w:w="1190"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bl>
    <w:p>
      <w:pPr>
        <w:pStyle w:val="6"/>
        <w:spacing w:beforeLines="50" w:after="240" w:line="400" w:lineRule="exact"/>
        <w:rPr>
          <w:rFonts w:ascii="Arial" w:hAnsi="Arial" w:eastAsia="黑体"/>
          <w:kern w:val="2"/>
          <w:sz w:val="28"/>
          <w:szCs w:val="28"/>
        </w:rPr>
      </w:pPr>
      <w:r>
        <w:rPr>
          <w:rFonts w:hint="eastAsia" w:ascii="Arial" w:hAnsi="Arial" w:eastAsia="黑体"/>
          <w:kern w:val="2"/>
          <w:sz w:val="28"/>
          <w:szCs w:val="28"/>
        </w:rPr>
        <w:t>附表九合同用款估算表</w:t>
      </w:r>
    </w:p>
    <w:tbl>
      <w:tblPr>
        <w:tblStyle w:val="14"/>
        <w:tblpPr w:leftFromText="180" w:rightFromText="180" w:vertAnchor="text" w:horzAnchor="margin" w:tblpXSpec="center" w:tblpY="172"/>
        <w:tblW w:w="963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7"/>
        <w:gridCol w:w="1997"/>
        <w:gridCol w:w="1731"/>
        <w:gridCol w:w="1731"/>
        <w:gridCol w:w="1731"/>
        <w:gridCol w:w="17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2714" w:type="dxa"/>
            <w:gridSpan w:val="2"/>
            <w:vMerge w:val="restart"/>
            <w:vAlign w:val="center"/>
          </w:tcPr>
          <w:p>
            <w:pPr>
              <w:jc w:val="center"/>
              <w:rPr>
                <w:rFonts w:ascii="宋体" w:hAnsi="宋体"/>
                <w:szCs w:val="21"/>
              </w:rPr>
            </w:pPr>
            <w:r>
              <w:rPr>
                <w:rFonts w:hint="eastAsia" w:ascii="宋体" w:hAnsi="宋体"/>
                <w:szCs w:val="21"/>
              </w:rPr>
              <w:t>从开工月算起的时间（月）</w:t>
            </w:r>
          </w:p>
        </w:tc>
        <w:tc>
          <w:tcPr>
            <w:tcW w:w="6925" w:type="dxa"/>
            <w:gridSpan w:val="4"/>
            <w:vAlign w:val="center"/>
          </w:tcPr>
          <w:p>
            <w:pPr>
              <w:jc w:val="center"/>
              <w:rPr>
                <w:rFonts w:ascii="宋体" w:hAnsi="宋体"/>
                <w:szCs w:val="21"/>
              </w:rPr>
            </w:pPr>
            <w:r>
              <w:rPr>
                <w:rFonts w:hint="eastAsia" w:ascii="宋体" w:hAnsi="宋体"/>
                <w:szCs w:val="21"/>
              </w:rPr>
              <w:t>投标人的估算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2714" w:type="dxa"/>
            <w:gridSpan w:val="2"/>
            <w:vMerge w:val="continue"/>
            <w:vAlign w:val="center"/>
          </w:tcPr>
          <w:p>
            <w:pPr>
              <w:jc w:val="center"/>
              <w:rPr>
                <w:rFonts w:ascii="宋体" w:hAnsi="宋体"/>
                <w:szCs w:val="21"/>
              </w:rPr>
            </w:pPr>
          </w:p>
        </w:tc>
        <w:tc>
          <w:tcPr>
            <w:tcW w:w="3462" w:type="dxa"/>
            <w:gridSpan w:val="2"/>
            <w:vAlign w:val="center"/>
          </w:tcPr>
          <w:p>
            <w:pPr>
              <w:tabs>
                <w:tab w:val="left" w:pos="4863"/>
              </w:tabs>
              <w:jc w:val="center"/>
              <w:rPr>
                <w:rFonts w:ascii="宋体" w:hAnsi="宋体"/>
                <w:szCs w:val="21"/>
              </w:rPr>
            </w:pPr>
            <w:r>
              <w:rPr>
                <w:rFonts w:hint="eastAsia" w:ascii="宋体" w:hAnsi="宋体"/>
                <w:szCs w:val="21"/>
              </w:rPr>
              <w:t>分  期</w:t>
            </w:r>
          </w:p>
        </w:tc>
        <w:tc>
          <w:tcPr>
            <w:tcW w:w="3463" w:type="dxa"/>
            <w:gridSpan w:val="2"/>
            <w:vAlign w:val="center"/>
          </w:tcPr>
          <w:p>
            <w:pPr>
              <w:tabs>
                <w:tab w:val="left" w:pos="4863"/>
              </w:tabs>
              <w:jc w:val="center"/>
              <w:rPr>
                <w:rFonts w:ascii="宋体" w:hAnsi="宋体"/>
                <w:szCs w:val="21"/>
              </w:rPr>
            </w:pPr>
            <w:r>
              <w:rPr>
                <w:rFonts w:hint="eastAsia" w:ascii="宋体" w:hAnsi="宋体"/>
                <w:szCs w:val="21"/>
              </w:rPr>
              <w:t>累  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2714" w:type="dxa"/>
            <w:gridSpan w:val="2"/>
            <w:vMerge w:val="continue"/>
            <w:vAlign w:val="center"/>
          </w:tcPr>
          <w:p>
            <w:pPr>
              <w:jc w:val="center"/>
              <w:rPr>
                <w:rFonts w:ascii="宋体" w:hAnsi="宋体"/>
                <w:szCs w:val="21"/>
              </w:rPr>
            </w:pPr>
          </w:p>
        </w:tc>
        <w:tc>
          <w:tcPr>
            <w:tcW w:w="1731" w:type="dxa"/>
            <w:vAlign w:val="center"/>
          </w:tcPr>
          <w:p>
            <w:pPr>
              <w:jc w:val="center"/>
              <w:rPr>
                <w:rFonts w:ascii="宋体" w:hAnsi="宋体"/>
                <w:szCs w:val="21"/>
              </w:rPr>
            </w:pPr>
            <w:r>
              <w:rPr>
                <w:rFonts w:hint="eastAsia" w:ascii="宋体" w:hAnsi="宋体"/>
                <w:szCs w:val="21"/>
              </w:rPr>
              <w:t>金额（元）</w:t>
            </w:r>
          </w:p>
        </w:tc>
        <w:tc>
          <w:tcPr>
            <w:tcW w:w="1731" w:type="dxa"/>
            <w:vAlign w:val="center"/>
          </w:tcPr>
          <w:p>
            <w:pPr>
              <w:jc w:val="center"/>
              <w:rPr>
                <w:rFonts w:ascii="宋体" w:hAnsi="宋体"/>
                <w:szCs w:val="21"/>
              </w:rPr>
            </w:pPr>
            <w:r>
              <w:rPr>
                <w:rFonts w:hint="eastAsia" w:ascii="宋体" w:hAnsi="宋体"/>
                <w:szCs w:val="21"/>
              </w:rPr>
              <w:t>（%）</w:t>
            </w:r>
          </w:p>
        </w:tc>
        <w:tc>
          <w:tcPr>
            <w:tcW w:w="1731" w:type="dxa"/>
            <w:vAlign w:val="center"/>
          </w:tcPr>
          <w:p>
            <w:pPr>
              <w:jc w:val="center"/>
              <w:rPr>
                <w:rFonts w:ascii="宋体" w:hAnsi="宋体"/>
                <w:szCs w:val="21"/>
              </w:rPr>
            </w:pPr>
            <w:r>
              <w:rPr>
                <w:rFonts w:hint="eastAsia" w:ascii="宋体" w:hAnsi="宋体"/>
                <w:szCs w:val="21"/>
              </w:rPr>
              <w:t>金额（元）</w:t>
            </w:r>
          </w:p>
        </w:tc>
        <w:tc>
          <w:tcPr>
            <w:tcW w:w="1732" w:type="dxa"/>
            <w:vAlign w:val="center"/>
          </w:tcPr>
          <w:p>
            <w:pPr>
              <w:jc w:val="center"/>
              <w:rPr>
                <w:rFonts w:ascii="宋体" w:hAnsi="宋体"/>
                <w:szCs w:val="21"/>
              </w:rPr>
            </w:pP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第一次开工预付款</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trPr>
        <w:tc>
          <w:tcPr>
            <w:tcW w:w="2714" w:type="dxa"/>
            <w:gridSpan w:val="2"/>
            <w:vAlign w:val="center"/>
          </w:tcPr>
          <w:p>
            <w:pPr>
              <w:jc w:val="center"/>
              <w:rPr>
                <w:rFonts w:ascii="宋体" w:hAnsi="宋体"/>
                <w:szCs w:val="21"/>
              </w:rPr>
            </w:pPr>
            <w:r>
              <w:rPr>
                <w:rFonts w:hint="eastAsia" w:ascii="宋体" w:hAnsi="宋体"/>
                <w:szCs w:val="21"/>
              </w:rPr>
              <w:t>1～3</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4～6</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7～9</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trPr>
        <w:tc>
          <w:tcPr>
            <w:tcW w:w="2714" w:type="dxa"/>
            <w:gridSpan w:val="2"/>
            <w:vAlign w:val="center"/>
          </w:tcPr>
          <w:p>
            <w:pPr>
              <w:jc w:val="center"/>
              <w:rPr>
                <w:rFonts w:ascii="宋体" w:hAnsi="宋体"/>
                <w:szCs w:val="21"/>
              </w:rPr>
            </w:pPr>
            <w:r>
              <w:rPr>
                <w:rFonts w:hint="eastAsia" w:ascii="宋体" w:hAnsi="宋体"/>
                <w:szCs w:val="21"/>
              </w:rPr>
              <w:t>10～12</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13～15</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缺陷责任期</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小计</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r>
              <w:rPr>
                <w:rFonts w:hint="eastAsia" w:ascii="宋体" w:hAnsi="宋体"/>
                <w:szCs w:val="21"/>
              </w:rPr>
              <w:t>100．00</w:t>
            </w: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trPr>
        <w:tc>
          <w:tcPr>
            <w:tcW w:w="9639" w:type="dxa"/>
            <w:gridSpan w:val="6"/>
            <w:vAlign w:val="center"/>
          </w:tcPr>
          <w:p>
            <w:pPr>
              <w:jc w:val="left"/>
              <w:rPr>
                <w:rFonts w:ascii="宋体" w:hAnsi="宋体"/>
                <w:szCs w:val="21"/>
              </w:rPr>
            </w:pPr>
            <w:r>
              <w:rPr>
                <w:rFonts w:hint="eastAsia" w:ascii="宋体" w:hAnsi="宋体"/>
                <w:szCs w:val="21"/>
              </w:rPr>
              <w:t>投标价：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7" w:hRule="atLeast"/>
        </w:trPr>
        <w:tc>
          <w:tcPr>
            <w:tcW w:w="717" w:type="dxa"/>
            <w:vAlign w:val="center"/>
          </w:tcPr>
          <w:p>
            <w:pPr>
              <w:jc w:val="center"/>
              <w:rPr>
                <w:rFonts w:ascii="宋体" w:hAnsi="宋体"/>
                <w:szCs w:val="21"/>
              </w:rPr>
            </w:pPr>
            <w:r>
              <w:rPr>
                <w:rFonts w:hint="eastAsia" w:ascii="宋体" w:hAnsi="宋体"/>
                <w:szCs w:val="21"/>
              </w:rPr>
              <w:t>说</w:t>
            </w: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明</w:t>
            </w:r>
          </w:p>
        </w:tc>
        <w:tc>
          <w:tcPr>
            <w:tcW w:w="8922" w:type="dxa"/>
            <w:gridSpan w:val="5"/>
            <w:vAlign w:val="center"/>
          </w:tcPr>
          <w:p>
            <w:pPr>
              <w:widowControl/>
              <w:jc w:val="center"/>
              <w:rPr>
                <w:rFonts w:ascii="宋体" w:hAnsi="宋体"/>
                <w:szCs w:val="21"/>
              </w:rPr>
            </w:pPr>
          </w:p>
          <w:p>
            <w:pPr>
              <w:jc w:val="center"/>
              <w:rPr>
                <w:rFonts w:ascii="宋体" w:hAnsi="宋体"/>
                <w:szCs w:val="21"/>
              </w:rPr>
            </w:pPr>
          </w:p>
        </w:tc>
      </w:tr>
    </w:tbl>
    <w:p>
      <w:pPr>
        <w:jc w:val="center"/>
        <w:rPr>
          <w:rFonts w:ascii="隶书" w:hAnsi="宋体" w:eastAsia="隶书"/>
          <w:sz w:val="24"/>
        </w:rPr>
      </w:pPr>
    </w:p>
    <w:p>
      <w:pPr>
        <w:rPr>
          <w:rFonts w:ascii="宋体" w:hAnsi="宋体"/>
          <w:szCs w:val="21"/>
        </w:rPr>
      </w:pPr>
      <w:r>
        <w:rPr>
          <w:rFonts w:hint="eastAsia" w:ascii="宋体" w:hAnsi="宋体"/>
          <w:szCs w:val="21"/>
        </w:rPr>
        <w:t>注：1.投标人可按附表一的工程进度估算并填写本表。</w:t>
      </w:r>
    </w:p>
    <w:p>
      <w:pPr>
        <w:ind w:left="630" w:hanging="630"/>
        <w:rPr>
          <w:rFonts w:ascii="宋体" w:hAnsi="宋体"/>
          <w:szCs w:val="21"/>
        </w:rPr>
      </w:pPr>
      <w:r>
        <w:rPr>
          <w:rFonts w:hint="eastAsia" w:ascii="宋体" w:hAnsi="宋体"/>
          <w:szCs w:val="21"/>
        </w:rPr>
        <w:t xml:space="preserve">    2.用款额按所报单价和总额价估算，不包括价格调整和暂列金额、暂估价，但应考虑开工预付款的扣回、质量保证金的扣留以及签发付款证书后到实际支付的时间间隔。</w:t>
      </w:r>
    </w:p>
    <w:p>
      <w:pPr>
        <w:rPr>
          <w:rFonts w:ascii="宋体" w:hAnsi="宋体"/>
          <w:sz w:val="24"/>
        </w:rPr>
      </w:pPr>
    </w:p>
    <w:p>
      <w:pPr>
        <w:pStyle w:val="6"/>
        <w:pageBreakBefore/>
        <w:spacing w:beforeLines="100" w:afterLines="150" w:line="360" w:lineRule="exact"/>
        <w:jc w:val="center"/>
        <w:rPr>
          <w:rFonts w:ascii="黑体" w:hAnsi="宋体" w:eastAsia="黑体"/>
          <w:sz w:val="28"/>
          <w:szCs w:val="28"/>
        </w:rPr>
      </w:pPr>
      <w:r>
        <w:rPr>
          <w:rFonts w:hint="eastAsia" w:ascii="黑体" w:hAnsi="宋体" w:eastAsia="黑体"/>
          <w:sz w:val="28"/>
          <w:szCs w:val="28"/>
        </w:rPr>
        <w:t>五</w:t>
      </w:r>
      <w:r>
        <w:rPr>
          <w:rFonts w:ascii="黑体" w:hAnsi="宋体" w:eastAsia="黑体"/>
          <w:sz w:val="28"/>
          <w:szCs w:val="28"/>
        </w:rPr>
        <w:t>、项目管理机构</w:t>
      </w:r>
    </w:p>
    <w:tbl>
      <w:tblPr>
        <w:tblStyle w:val="14"/>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73" w:hRule="atLeast"/>
          <w:jc w:val="center"/>
        </w:trPr>
        <w:tc>
          <w:tcPr>
            <w:tcW w:w="9639" w:type="dxa"/>
          </w:tcPr>
          <w:p>
            <w:pPr>
              <w:rPr>
                <w:rFonts w:ascii="宋体" w:hAnsi="宋体"/>
                <w:szCs w:val="21"/>
              </w:rPr>
            </w:pPr>
          </w:p>
          <w:p>
            <w:pPr>
              <w:rPr>
                <w:rFonts w:ascii="宋体" w:hAnsi="宋体"/>
                <w:szCs w:val="21"/>
              </w:rPr>
            </w:pPr>
            <w:r>
              <w:rPr>
                <w:rFonts w:hint="eastAsia" w:ascii="宋体" w:hAnsi="宋体"/>
                <w:szCs w:val="21"/>
              </w:rPr>
              <w:t>拟为承包本工程设立的组织机构以框图方式表示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8" w:hRule="atLeast"/>
          <w:jc w:val="center"/>
        </w:trPr>
        <w:tc>
          <w:tcPr>
            <w:tcW w:w="9639" w:type="dxa"/>
          </w:tcPr>
          <w:p>
            <w:pPr>
              <w:rPr>
                <w:rFonts w:ascii="宋体" w:hAnsi="宋体"/>
                <w:szCs w:val="21"/>
              </w:rPr>
            </w:pPr>
          </w:p>
          <w:p>
            <w:pPr>
              <w:rPr>
                <w:rFonts w:ascii="宋体" w:hAnsi="宋体"/>
                <w:szCs w:val="21"/>
              </w:rPr>
            </w:pPr>
            <w:r>
              <w:rPr>
                <w:rFonts w:hint="eastAsia" w:ascii="宋体" w:hAnsi="宋体"/>
                <w:szCs w:val="21"/>
              </w:rPr>
              <w:t>说明</w:t>
            </w:r>
          </w:p>
        </w:tc>
      </w:tr>
    </w:tbl>
    <w:p/>
    <w:p>
      <w:pPr>
        <w:pStyle w:val="6"/>
        <w:spacing w:beforeLines="100" w:afterLines="150" w:line="360" w:lineRule="exact"/>
        <w:jc w:val="center"/>
        <w:rPr>
          <w:rFonts w:ascii="黑体" w:hAnsi="宋体" w:eastAsia="黑体"/>
          <w:sz w:val="28"/>
          <w:szCs w:val="28"/>
        </w:rPr>
      </w:pPr>
      <w:bookmarkStart w:id="257" w:name="_Toc234382977"/>
      <w:bookmarkStart w:id="258" w:name="_Toc18211"/>
      <w:bookmarkStart w:id="259" w:name="_Toc485889072"/>
      <w:bookmarkStart w:id="260" w:name="_Toc486277938"/>
      <w:r>
        <w:rPr>
          <w:rFonts w:hint="eastAsia" w:ascii="黑体" w:hAnsi="宋体" w:eastAsia="黑体"/>
          <w:sz w:val="28"/>
          <w:szCs w:val="28"/>
        </w:rPr>
        <w:t>六、资格审查资料</w:t>
      </w:r>
      <w:bookmarkEnd w:id="257"/>
      <w:bookmarkEnd w:id="258"/>
      <w:bookmarkEnd w:id="259"/>
      <w:bookmarkEnd w:id="260"/>
    </w:p>
    <w:p>
      <w:pPr>
        <w:pStyle w:val="6"/>
        <w:spacing w:beforeLines="100" w:afterLines="150" w:line="360" w:lineRule="exact"/>
        <w:jc w:val="center"/>
        <w:rPr>
          <w:rFonts w:ascii="黑体" w:hAnsi="宋体" w:eastAsia="黑体"/>
          <w:sz w:val="28"/>
          <w:szCs w:val="28"/>
        </w:rPr>
      </w:pPr>
      <w:bookmarkStart w:id="261" w:name="_Toc9432"/>
      <w:bookmarkStart w:id="262" w:name="_Toc486277939"/>
      <w:bookmarkStart w:id="263" w:name="_Toc234382978"/>
      <w:bookmarkStart w:id="264" w:name="_Toc485889073"/>
      <w:r>
        <w:rPr>
          <w:rFonts w:hint="eastAsia" w:ascii="黑体" w:hAnsi="宋体" w:eastAsia="黑体"/>
          <w:sz w:val="28"/>
          <w:szCs w:val="28"/>
        </w:rPr>
        <w:t>（一）投标人基本情况表</w:t>
      </w:r>
      <w:bookmarkEnd w:id="261"/>
      <w:bookmarkEnd w:id="262"/>
      <w:bookmarkEnd w:id="263"/>
      <w:bookmarkEnd w:id="264"/>
    </w:p>
    <w:tbl>
      <w:tblPr>
        <w:tblStyle w:val="14"/>
        <w:tblW w:w="963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942"/>
        <w:gridCol w:w="1010"/>
        <w:gridCol w:w="1070"/>
        <w:gridCol w:w="1416"/>
        <w:gridCol w:w="350"/>
        <w:gridCol w:w="1212"/>
        <w:gridCol w:w="557"/>
        <w:gridCol w:w="966"/>
        <w:gridCol w:w="111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投标人名称</w:t>
            </w:r>
          </w:p>
        </w:tc>
        <w:tc>
          <w:tcPr>
            <w:tcW w:w="7697" w:type="dxa"/>
            <w:gridSpan w:val="8"/>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注册地址</w:t>
            </w:r>
          </w:p>
        </w:tc>
        <w:tc>
          <w:tcPr>
            <w:tcW w:w="3846" w:type="dxa"/>
            <w:gridSpan w:val="4"/>
            <w:vAlign w:val="center"/>
          </w:tcPr>
          <w:p>
            <w:pPr>
              <w:autoSpaceDE w:val="0"/>
              <w:autoSpaceDN w:val="0"/>
              <w:adjustRightInd w:val="0"/>
              <w:jc w:val="center"/>
              <w:rPr>
                <w:rFonts w:ascii="宋体" w:hAnsi="宋体"/>
                <w:kern w:val="0"/>
                <w:szCs w:val="21"/>
              </w:rPr>
            </w:pPr>
          </w:p>
        </w:tc>
        <w:tc>
          <w:tcPr>
            <w:tcW w:w="121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邮政编码</w:t>
            </w:r>
          </w:p>
        </w:tc>
        <w:tc>
          <w:tcPr>
            <w:tcW w:w="2639" w:type="dxa"/>
            <w:gridSpan w:val="3"/>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Merge w:val="restart"/>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联系方式</w:t>
            </w:r>
          </w:p>
        </w:tc>
        <w:tc>
          <w:tcPr>
            <w:tcW w:w="1010"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联系人</w:t>
            </w:r>
          </w:p>
        </w:tc>
        <w:tc>
          <w:tcPr>
            <w:tcW w:w="2836" w:type="dxa"/>
            <w:gridSpan w:val="3"/>
            <w:vAlign w:val="center"/>
          </w:tcPr>
          <w:p>
            <w:pPr>
              <w:autoSpaceDE w:val="0"/>
              <w:autoSpaceDN w:val="0"/>
              <w:adjustRightInd w:val="0"/>
              <w:jc w:val="center"/>
              <w:rPr>
                <w:rFonts w:ascii="宋体" w:hAnsi="宋体"/>
                <w:kern w:val="0"/>
                <w:szCs w:val="21"/>
              </w:rPr>
            </w:pPr>
          </w:p>
        </w:tc>
        <w:tc>
          <w:tcPr>
            <w:tcW w:w="121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电话</w:t>
            </w:r>
          </w:p>
        </w:tc>
        <w:tc>
          <w:tcPr>
            <w:tcW w:w="2639" w:type="dxa"/>
            <w:gridSpan w:val="3"/>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Merge w:val="continue"/>
            <w:vAlign w:val="center"/>
          </w:tcPr>
          <w:p>
            <w:pPr>
              <w:autoSpaceDE w:val="0"/>
              <w:autoSpaceDN w:val="0"/>
              <w:adjustRightInd w:val="0"/>
              <w:jc w:val="center"/>
              <w:rPr>
                <w:rFonts w:ascii="宋体" w:hAnsi="宋体"/>
                <w:kern w:val="0"/>
                <w:szCs w:val="21"/>
              </w:rPr>
            </w:pPr>
          </w:p>
        </w:tc>
        <w:tc>
          <w:tcPr>
            <w:tcW w:w="1010" w:type="dxa"/>
            <w:vAlign w:val="center"/>
          </w:tcPr>
          <w:p>
            <w:pPr>
              <w:tabs>
                <w:tab w:val="left" w:pos="540"/>
              </w:tabs>
              <w:autoSpaceDE w:val="0"/>
              <w:autoSpaceDN w:val="0"/>
              <w:adjustRightInd w:val="0"/>
              <w:jc w:val="center"/>
              <w:rPr>
                <w:rFonts w:ascii="宋体" w:hAnsi="宋体"/>
                <w:kern w:val="0"/>
                <w:szCs w:val="21"/>
              </w:rPr>
            </w:pPr>
            <w:r>
              <w:rPr>
                <w:rFonts w:hint="eastAsia" w:ascii="宋体" w:hAnsi="宋体" w:cs="MingLiU"/>
                <w:kern w:val="0"/>
                <w:szCs w:val="21"/>
              </w:rPr>
              <w:t>传真</w:t>
            </w:r>
          </w:p>
        </w:tc>
        <w:tc>
          <w:tcPr>
            <w:tcW w:w="2836" w:type="dxa"/>
            <w:gridSpan w:val="3"/>
            <w:vAlign w:val="center"/>
          </w:tcPr>
          <w:p>
            <w:pPr>
              <w:autoSpaceDE w:val="0"/>
              <w:autoSpaceDN w:val="0"/>
              <w:adjustRightInd w:val="0"/>
              <w:jc w:val="center"/>
              <w:rPr>
                <w:rFonts w:ascii="宋体" w:hAnsi="宋体"/>
                <w:kern w:val="0"/>
                <w:szCs w:val="21"/>
              </w:rPr>
            </w:pPr>
          </w:p>
        </w:tc>
        <w:tc>
          <w:tcPr>
            <w:tcW w:w="121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电子邮件</w:t>
            </w:r>
          </w:p>
        </w:tc>
        <w:tc>
          <w:tcPr>
            <w:tcW w:w="2639" w:type="dxa"/>
            <w:gridSpan w:val="3"/>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法定代表人</w:t>
            </w:r>
          </w:p>
        </w:tc>
        <w:tc>
          <w:tcPr>
            <w:tcW w:w="1010"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姓名</w:t>
            </w:r>
          </w:p>
        </w:tc>
        <w:tc>
          <w:tcPr>
            <w:tcW w:w="1070" w:type="dxa"/>
            <w:vAlign w:val="center"/>
          </w:tcPr>
          <w:p>
            <w:pPr>
              <w:autoSpaceDE w:val="0"/>
              <w:autoSpaceDN w:val="0"/>
              <w:adjustRightInd w:val="0"/>
              <w:jc w:val="center"/>
              <w:rPr>
                <w:rFonts w:ascii="宋体" w:hAnsi="宋体"/>
                <w:kern w:val="0"/>
                <w:szCs w:val="21"/>
              </w:rPr>
            </w:pPr>
          </w:p>
        </w:tc>
        <w:tc>
          <w:tcPr>
            <w:tcW w:w="1416"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技术职称</w:t>
            </w:r>
          </w:p>
        </w:tc>
        <w:tc>
          <w:tcPr>
            <w:tcW w:w="2119" w:type="dxa"/>
            <w:gridSpan w:val="3"/>
            <w:vAlign w:val="center"/>
          </w:tcPr>
          <w:p>
            <w:pPr>
              <w:autoSpaceDE w:val="0"/>
              <w:autoSpaceDN w:val="0"/>
              <w:adjustRightInd w:val="0"/>
              <w:jc w:val="center"/>
              <w:rPr>
                <w:rFonts w:ascii="宋体" w:hAnsi="宋体"/>
                <w:kern w:val="0"/>
                <w:szCs w:val="21"/>
              </w:rPr>
            </w:pPr>
          </w:p>
        </w:tc>
        <w:tc>
          <w:tcPr>
            <w:tcW w:w="966"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电话</w:t>
            </w:r>
          </w:p>
        </w:tc>
        <w:tc>
          <w:tcPr>
            <w:tcW w:w="1116" w:type="dxa"/>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技术负责人</w:t>
            </w:r>
          </w:p>
        </w:tc>
        <w:tc>
          <w:tcPr>
            <w:tcW w:w="1010"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姓名</w:t>
            </w:r>
          </w:p>
        </w:tc>
        <w:tc>
          <w:tcPr>
            <w:tcW w:w="1070" w:type="dxa"/>
            <w:vAlign w:val="center"/>
          </w:tcPr>
          <w:p>
            <w:pPr>
              <w:autoSpaceDE w:val="0"/>
              <w:autoSpaceDN w:val="0"/>
              <w:adjustRightInd w:val="0"/>
              <w:jc w:val="center"/>
              <w:rPr>
                <w:rFonts w:ascii="宋体" w:hAnsi="宋体"/>
                <w:kern w:val="0"/>
                <w:szCs w:val="21"/>
              </w:rPr>
            </w:pPr>
          </w:p>
        </w:tc>
        <w:tc>
          <w:tcPr>
            <w:tcW w:w="1416"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技术职称</w:t>
            </w:r>
          </w:p>
        </w:tc>
        <w:tc>
          <w:tcPr>
            <w:tcW w:w="2119" w:type="dxa"/>
            <w:gridSpan w:val="3"/>
            <w:vAlign w:val="center"/>
          </w:tcPr>
          <w:p>
            <w:pPr>
              <w:autoSpaceDE w:val="0"/>
              <w:autoSpaceDN w:val="0"/>
              <w:adjustRightInd w:val="0"/>
              <w:jc w:val="center"/>
              <w:rPr>
                <w:rFonts w:ascii="宋体" w:hAnsi="宋体"/>
                <w:kern w:val="0"/>
                <w:szCs w:val="21"/>
              </w:rPr>
            </w:pPr>
          </w:p>
        </w:tc>
        <w:tc>
          <w:tcPr>
            <w:tcW w:w="966"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电话</w:t>
            </w:r>
          </w:p>
        </w:tc>
        <w:tc>
          <w:tcPr>
            <w:tcW w:w="1116" w:type="dxa"/>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成立时间</w:t>
            </w:r>
          </w:p>
        </w:tc>
        <w:tc>
          <w:tcPr>
            <w:tcW w:w="2080" w:type="dxa"/>
            <w:gridSpan w:val="2"/>
            <w:vAlign w:val="center"/>
          </w:tcPr>
          <w:p>
            <w:pPr>
              <w:autoSpaceDE w:val="0"/>
              <w:autoSpaceDN w:val="0"/>
              <w:adjustRightInd w:val="0"/>
              <w:jc w:val="center"/>
              <w:rPr>
                <w:rFonts w:ascii="宋体" w:hAnsi="宋体"/>
                <w:kern w:val="0"/>
                <w:szCs w:val="21"/>
              </w:rPr>
            </w:pPr>
          </w:p>
        </w:tc>
        <w:tc>
          <w:tcPr>
            <w:tcW w:w="5617" w:type="dxa"/>
            <w:gridSpan w:val="6"/>
            <w:vAlign w:val="center"/>
          </w:tcPr>
          <w:p>
            <w:pPr>
              <w:autoSpaceDE w:val="0"/>
              <w:autoSpaceDN w:val="0"/>
              <w:adjustRightInd w:val="0"/>
              <w:ind w:left="105" w:leftChars="50"/>
              <w:jc w:val="center"/>
              <w:rPr>
                <w:rFonts w:ascii="宋体" w:hAnsi="宋体"/>
                <w:kern w:val="0"/>
                <w:szCs w:val="21"/>
                <w:u w:val="single"/>
              </w:rPr>
            </w:pPr>
            <w:r>
              <w:rPr>
                <w:rFonts w:hint="eastAsia" w:ascii="宋体" w:hAnsi="宋体" w:cs="MingLiU"/>
                <w:kern w:val="0"/>
                <w:szCs w:val="21"/>
              </w:rPr>
              <w:t>员工总人数：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企业资质等级</w:t>
            </w:r>
          </w:p>
        </w:tc>
        <w:tc>
          <w:tcPr>
            <w:tcW w:w="2080" w:type="dxa"/>
            <w:gridSpan w:val="2"/>
            <w:vAlign w:val="center"/>
          </w:tcPr>
          <w:p>
            <w:pPr>
              <w:autoSpaceDE w:val="0"/>
              <w:autoSpaceDN w:val="0"/>
              <w:adjustRightInd w:val="0"/>
              <w:jc w:val="center"/>
              <w:rPr>
                <w:rFonts w:ascii="宋体" w:hAnsi="宋体"/>
                <w:kern w:val="0"/>
                <w:szCs w:val="21"/>
              </w:rPr>
            </w:pPr>
          </w:p>
        </w:tc>
        <w:tc>
          <w:tcPr>
            <w:tcW w:w="1416" w:type="dxa"/>
            <w:vMerge w:val="restart"/>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其中</w:t>
            </w:r>
          </w:p>
        </w:tc>
        <w:tc>
          <w:tcPr>
            <w:tcW w:w="2119" w:type="dxa"/>
            <w:gridSpan w:val="3"/>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项目经理</w:t>
            </w:r>
          </w:p>
        </w:tc>
        <w:tc>
          <w:tcPr>
            <w:tcW w:w="2082" w:type="dxa"/>
            <w:gridSpan w:val="2"/>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营业执照号</w:t>
            </w:r>
          </w:p>
        </w:tc>
        <w:tc>
          <w:tcPr>
            <w:tcW w:w="2080" w:type="dxa"/>
            <w:gridSpan w:val="2"/>
            <w:vAlign w:val="center"/>
          </w:tcPr>
          <w:p>
            <w:pPr>
              <w:autoSpaceDE w:val="0"/>
              <w:autoSpaceDN w:val="0"/>
              <w:adjustRightInd w:val="0"/>
              <w:jc w:val="center"/>
              <w:rPr>
                <w:rFonts w:ascii="宋体" w:hAnsi="宋体"/>
                <w:kern w:val="0"/>
                <w:szCs w:val="21"/>
              </w:rPr>
            </w:pPr>
          </w:p>
        </w:tc>
        <w:tc>
          <w:tcPr>
            <w:tcW w:w="1416" w:type="dxa"/>
            <w:vMerge w:val="continue"/>
            <w:vAlign w:val="center"/>
          </w:tcPr>
          <w:p>
            <w:pPr>
              <w:autoSpaceDE w:val="0"/>
              <w:autoSpaceDN w:val="0"/>
              <w:adjustRightInd w:val="0"/>
              <w:jc w:val="center"/>
              <w:rPr>
                <w:rFonts w:ascii="宋体" w:hAnsi="宋体"/>
                <w:kern w:val="0"/>
                <w:szCs w:val="21"/>
              </w:rPr>
            </w:pPr>
          </w:p>
        </w:tc>
        <w:tc>
          <w:tcPr>
            <w:tcW w:w="2119" w:type="dxa"/>
            <w:gridSpan w:val="3"/>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高级职称人员</w:t>
            </w:r>
          </w:p>
        </w:tc>
        <w:tc>
          <w:tcPr>
            <w:tcW w:w="2082" w:type="dxa"/>
            <w:gridSpan w:val="2"/>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注册资金</w:t>
            </w:r>
          </w:p>
        </w:tc>
        <w:tc>
          <w:tcPr>
            <w:tcW w:w="2080" w:type="dxa"/>
            <w:gridSpan w:val="2"/>
            <w:vAlign w:val="center"/>
          </w:tcPr>
          <w:p>
            <w:pPr>
              <w:autoSpaceDE w:val="0"/>
              <w:autoSpaceDN w:val="0"/>
              <w:adjustRightInd w:val="0"/>
              <w:jc w:val="center"/>
              <w:rPr>
                <w:rFonts w:ascii="宋体" w:hAnsi="宋体"/>
                <w:kern w:val="0"/>
                <w:szCs w:val="21"/>
              </w:rPr>
            </w:pPr>
          </w:p>
        </w:tc>
        <w:tc>
          <w:tcPr>
            <w:tcW w:w="1416" w:type="dxa"/>
            <w:vMerge w:val="continue"/>
            <w:vAlign w:val="center"/>
          </w:tcPr>
          <w:p>
            <w:pPr>
              <w:autoSpaceDE w:val="0"/>
              <w:autoSpaceDN w:val="0"/>
              <w:adjustRightInd w:val="0"/>
              <w:jc w:val="center"/>
              <w:rPr>
                <w:rFonts w:ascii="宋体" w:hAnsi="宋体"/>
                <w:kern w:val="0"/>
                <w:szCs w:val="21"/>
              </w:rPr>
            </w:pPr>
          </w:p>
        </w:tc>
        <w:tc>
          <w:tcPr>
            <w:tcW w:w="2119" w:type="dxa"/>
            <w:gridSpan w:val="3"/>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中级职称人员</w:t>
            </w:r>
          </w:p>
        </w:tc>
        <w:tc>
          <w:tcPr>
            <w:tcW w:w="2082" w:type="dxa"/>
            <w:gridSpan w:val="2"/>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基本账户开户银行</w:t>
            </w:r>
          </w:p>
        </w:tc>
        <w:tc>
          <w:tcPr>
            <w:tcW w:w="2080" w:type="dxa"/>
            <w:gridSpan w:val="2"/>
            <w:vAlign w:val="center"/>
          </w:tcPr>
          <w:p>
            <w:pPr>
              <w:autoSpaceDE w:val="0"/>
              <w:autoSpaceDN w:val="0"/>
              <w:adjustRightInd w:val="0"/>
              <w:jc w:val="center"/>
              <w:rPr>
                <w:rFonts w:ascii="宋体" w:hAnsi="宋体"/>
                <w:kern w:val="0"/>
                <w:szCs w:val="21"/>
              </w:rPr>
            </w:pPr>
          </w:p>
        </w:tc>
        <w:tc>
          <w:tcPr>
            <w:tcW w:w="1416" w:type="dxa"/>
            <w:vMerge w:val="continue"/>
            <w:vAlign w:val="center"/>
          </w:tcPr>
          <w:p>
            <w:pPr>
              <w:autoSpaceDE w:val="0"/>
              <w:autoSpaceDN w:val="0"/>
              <w:adjustRightInd w:val="0"/>
              <w:jc w:val="center"/>
              <w:rPr>
                <w:rFonts w:ascii="宋体" w:hAnsi="宋体"/>
                <w:kern w:val="0"/>
                <w:szCs w:val="21"/>
              </w:rPr>
            </w:pPr>
          </w:p>
        </w:tc>
        <w:tc>
          <w:tcPr>
            <w:tcW w:w="2119" w:type="dxa"/>
            <w:gridSpan w:val="3"/>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初级职称人员</w:t>
            </w:r>
          </w:p>
        </w:tc>
        <w:tc>
          <w:tcPr>
            <w:tcW w:w="2082" w:type="dxa"/>
            <w:gridSpan w:val="2"/>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基本账户账号</w:t>
            </w:r>
          </w:p>
        </w:tc>
        <w:tc>
          <w:tcPr>
            <w:tcW w:w="2080" w:type="dxa"/>
            <w:gridSpan w:val="2"/>
            <w:vAlign w:val="center"/>
          </w:tcPr>
          <w:p>
            <w:pPr>
              <w:autoSpaceDE w:val="0"/>
              <w:autoSpaceDN w:val="0"/>
              <w:adjustRightInd w:val="0"/>
              <w:jc w:val="center"/>
              <w:rPr>
                <w:rFonts w:ascii="宋体" w:hAnsi="宋体"/>
                <w:kern w:val="0"/>
                <w:szCs w:val="21"/>
              </w:rPr>
            </w:pPr>
          </w:p>
        </w:tc>
        <w:tc>
          <w:tcPr>
            <w:tcW w:w="1416" w:type="dxa"/>
            <w:vMerge w:val="continue"/>
            <w:vAlign w:val="center"/>
          </w:tcPr>
          <w:p>
            <w:pPr>
              <w:autoSpaceDE w:val="0"/>
              <w:autoSpaceDN w:val="0"/>
              <w:adjustRightInd w:val="0"/>
              <w:jc w:val="center"/>
              <w:rPr>
                <w:rFonts w:ascii="宋体" w:hAnsi="宋体"/>
                <w:kern w:val="0"/>
                <w:szCs w:val="21"/>
              </w:rPr>
            </w:pPr>
          </w:p>
        </w:tc>
        <w:tc>
          <w:tcPr>
            <w:tcW w:w="2119" w:type="dxa"/>
            <w:gridSpan w:val="3"/>
            <w:vAlign w:val="center"/>
          </w:tcPr>
          <w:p>
            <w:pPr>
              <w:tabs>
                <w:tab w:val="left" w:pos="1240"/>
              </w:tabs>
              <w:autoSpaceDE w:val="0"/>
              <w:autoSpaceDN w:val="0"/>
              <w:adjustRightInd w:val="0"/>
              <w:spacing w:before="98"/>
              <w:jc w:val="center"/>
              <w:rPr>
                <w:rFonts w:ascii="宋体" w:hAnsi="宋体"/>
                <w:kern w:val="0"/>
                <w:szCs w:val="21"/>
              </w:rPr>
            </w:pPr>
            <w:r>
              <w:rPr>
                <w:rFonts w:hint="eastAsia" w:ascii="宋体" w:hAnsi="宋体" w:cs="MingLiU"/>
                <w:kern w:val="0"/>
                <w:szCs w:val="21"/>
              </w:rPr>
              <w:t>技工</w:t>
            </w:r>
          </w:p>
        </w:tc>
        <w:tc>
          <w:tcPr>
            <w:tcW w:w="2082" w:type="dxa"/>
            <w:gridSpan w:val="2"/>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58"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经营范围</w:t>
            </w:r>
          </w:p>
        </w:tc>
        <w:tc>
          <w:tcPr>
            <w:tcW w:w="7697" w:type="dxa"/>
            <w:gridSpan w:val="8"/>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23" w:hRule="exact"/>
          <w:jc w:val="center"/>
        </w:trPr>
        <w:tc>
          <w:tcPr>
            <w:tcW w:w="1942" w:type="dxa"/>
            <w:vAlign w:val="center"/>
          </w:tcPr>
          <w:p>
            <w:pPr>
              <w:autoSpaceDE w:val="0"/>
              <w:autoSpaceDN w:val="0"/>
              <w:adjustRightInd w:val="0"/>
              <w:jc w:val="center"/>
              <w:rPr>
                <w:rFonts w:ascii="宋体" w:hAnsi="宋体" w:cs="MingLiU"/>
                <w:kern w:val="0"/>
                <w:szCs w:val="21"/>
              </w:rPr>
            </w:pPr>
            <w:r>
              <w:rPr>
                <w:rFonts w:hint="eastAsia" w:ascii="宋体" w:hAnsi="宋体" w:cs="MingLiU"/>
                <w:kern w:val="0"/>
                <w:szCs w:val="21"/>
              </w:rPr>
              <w:t>资产构成情况及申请人投资参股的关联企业情况</w:t>
            </w:r>
          </w:p>
        </w:tc>
        <w:tc>
          <w:tcPr>
            <w:tcW w:w="7697" w:type="dxa"/>
            <w:gridSpan w:val="8"/>
            <w:vAlign w:val="center"/>
          </w:tcPr>
          <w:p>
            <w:pPr>
              <w:autoSpaceDE w:val="0"/>
              <w:autoSpaceDN w:val="0"/>
              <w:adjustRightInd w:val="0"/>
              <w:jc w:val="center"/>
              <w:rPr>
                <w:rFonts w:ascii="宋体" w:hAns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kern w:val="0"/>
                <w:szCs w:val="21"/>
              </w:rPr>
            </w:pPr>
            <w:r>
              <w:rPr>
                <w:rFonts w:hint="eastAsia" w:ascii="宋体" w:hAnsi="宋体" w:cs="MingLiU"/>
                <w:kern w:val="0"/>
                <w:szCs w:val="21"/>
              </w:rPr>
              <w:t>备    注</w:t>
            </w:r>
          </w:p>
        </w:tc>
        <w:tc>
          <w:tcPr>
            <w:tcW w:w="7697" w:type="dxa"/>
            <w:gridSpan w:val="8"/>
            <w:vAlign w:val="center"/>
          </w:tcPr>
          <w:p>
            <w:pPr>
              <w:autoSpaceDE w:val="0"/>
              <w:autoSpaceDN w:val="0"/>
              <w:adjustRightInd w:val="0"/>
              <w:jc w:val="center"/>
              <w:rPr>
                <w:rFonts w:ascii="宋体" w:hAnsi="宋体"/>
                <w:kern w:val="0"/>
                <w:szCs w:val="21"/>
              </w:rPr>
            </w:pPr>
          </w:p>
        </w:tc>
      </w:tr>
    </w:tbl>
    <w:p>
      <w:pPr>
        <w:rPr>
          <w:rFonts w:ascii="宋体" w:hAnsi="宋体"/>
          <w:szCs w:val="21"/>
        </w:rPr>
      </w:pPr>
      <w:r>
        <w:rPr>
          <w:rFonts w:hint="eastAsia" w:ascii="宋体" w:hAnsi="宋体"/>
          <w:szCs w:val="21"/>
        </w:rPr>
        <w:t>注：</w:t>
      </w:r>
      <w:bookmarkStart w:id="265" w:name="_Toc486277940"/>
      <w:bookmarkStart w:id="266" w:name="_Toc485889074"/>
      <w:bookmarkStart w:id="267" w:name="_Toc234382979"/>
      <w:bookmarkStart w:id="268" w:name="_Toc10076"/>
      <w:r>
        <w:rPr>
          <w:rFonts w:hint="eastAsia" w:ascii="宋体" w:hAnsi="宋体"/>
          <w:szCs w:val="21"/>
        </w:rPr>
        <w:t>后</w:t>
      </w:r>
      <w:r>
        <w:rPr>
          <w:rFonts w:ascii="宋体" w:hAnsi="宋体"/>
          <w:szCs w:val="21"/>
        </w:rPr>
        <w:t>附</w:t>
      </w:r>
      <w:r>
        <w:rPr>
          <w:rFonts w:hint="eastAsia" w:ascii="宋体" w:hAnsi="宋体"/>
          <w:szCs w:val="21"/>
        </w:rPr>
        <w:t>企业法人</w:t>
      </w:r>
      <w:r>
        <w:rPr>
          <w:rFonts w:ascii="宋体" w:hAnsi="宋体"/>
          <w:szCs w:val="21"/>
        </w:rPr>
        <w:t>营业执照副本</w:t>
      </w:r>
      <w:r>
        <w:rPr>
          <w:rFonts w:hint="eastAsia" w:ascii="宋体" w:hAnsi="宋体"/>
          <w:szCs w:val="21"/>
        </w:rPr>
        <w:t>、施工资质证书副本、安全生产许可证副本、基本账户开户许可证的原件扫描件（或图片）并加盖单位章</w:t>
      </w:r>
    </w:p>
    <w:p>
      <w:pPr>
        <w:rPr>
          <w:rFonts w:ascii="黑体" w:hAnsi="宋体" w:eastAsia="黑体"/>
          <w:sz w:val="28"/>
          <w:szCs w:val="28"/>
        </w:rPr>
      </w:pPr>
    </w:p>
    <w:p>
      <w:pPr>
        <w:pStyle w:val="2"/>
        <w:ind w:firstLine="210"/>
      </w:pPr>
    </w:p>
    <w:p>
      <w:pPr>
        <w:jc w:val="center"/>
        <w:rPr>
          <w:rFonts w:ascii="黑体" w:hAnsi="宋体" w:eastAsia="黑体"/>
          <w:sz w:val="28"/>
          <w:szCs w:val="28"/>
        </w:rPr>
      </w:pPr>
      <w:r>
        <w:rPr>
          <w:rFonts w:hint="eastAsia" w:ascii="黑体" w:hAnsi="宋体" w:eastAsia="黑体"/>
          <w:sz w:val="28"/>
          <w:szCs w:val="28"/>
        </w:rPr>
        <w:t>（二）投标人企业组织结构框图</w:t>
      </w:r>
      <w:bookmarkEnd w:id="265"/>
      <w:bookmarkEnd w:id="266"/>
      <w:bookmarkEnd w:id="267"/>
      <w:bookmarkEnd w:id="268"/>
    </w:p>
    <w:tbl>
      <w:tblPr>
        <w:tblStyle w:val="14"/>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76" w:hRule="atLeast"/>
          <w:jc w:val="center"/>
        </w:trPr>
        <w:tc>
          <w:tcPr>
            <w:tcW w:w="9639" w:type="dxa"/>
          </w:tcPr>
          <w:p/>
          <w:p>
            <w:pPr>
              <w:rPr>
                <w:rFonts w:cs="宋体"/>
                <w:szCs w:val="21"/>
              </w:rPr>
            </w:pPr>
            <w:r>
              <w:rPr>
                <w:rFonts w:hint="eastAsia" w:cs="宋体"/>
                <w:sz w:val="24"/>
                <w:szCs w:val="21"/>
              </w:rPr>
              <w:t>以框图方式表示。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13" w:hRule="atLeast"/>
          <w:jc w:val="center"/>
        </w:trPr>
        <w:tc>
          <w:tcPr>
            <w:tcW w:w="9639" w:type="dxa"/>
          </w:tcPr>
          <w:p>
            <w:pPr>
              <w:rPr>
                <w:rFonts w:cs="宋体"/>
                <w:sz w:val="24"/>
              </w:rPr>
            </w:pPr>
          </w:p>
          <w:p>
            <w:pPr>
              <w:rPr>
                <w:rFonts w:cs="宋体"/>
                <w:szCs w:val="21"/>
              </w:rPr>
            </w:pPr>
            <w:r>
              <w:rPr>
                <w:rFonts w:hint="eastAsia" w:cs="宋体"/>
                <w:szCs w:val="21"/>
              </w:rPr>
              <w:t>说明</w:t>
            </w:r>
          </w:p>
        </w:tc>
      </w:tr>
    </w:tbl>
    <w:p>
      <w:pPr>
        <w:pStyle w:val="6"/>
        <w:spacing w:beforeLines="100" w:afterLines="150" w:line="360" w:lineRule="exact"/>
        <w:jc w:val="center"/>
        <w:rPr>
          <w:rFonts w:ascii="黑体" w:hAnsi="宋体" w:eastAsia="黑体"/>
          <w:b w:val="0"/>
          <w:bCs w:val="0"/>
          <w:sz w:val="28"/>
          <w:szCs w:val="28"/>
        </w:rPr>
      </w:pPr>
      <w:r>
        <w:br w:type="page"/>
      </w:r>
      <w:bookmarkStart w:id="269" w:name="_Toc485889076"/>
      <w:bookmarkStart w:id="270" w:name="_Toc234382981"/>
      <w:bookmarkStart w:id="271" w:name="_Toc193904176"/>
      <w:bookmarkStart w:id="272" w:name="_Toc234242180"/>
    </w:p>
    <w:p>
      <w:pPr>
        <w:ind w:left="105" w:firstLine="315"/>
        <w:jc w:val="center"/>
        <w:rPr>
          <w:rFonts w:ascii="宋体" w:hAnsi="宋体"/>
          <w:szCs w:val="21"/>
        </w:rPr>
      </w:pPr>
      <w:r>
        <w:rPr>
          <w:rFonts w:hint="eastAsia" w:ascii="黑体" w:hAnsi="宋体" w:eastAsia="黑体"/>
          <w:b/>
          <w:bCs/>
          <w:kern w:val="44"/>
          <w:sz w:val="28"/>
          <w:szCs w:val="28"/>
        </w:rPr>
        <w:t>（三）近年财务状况表</w:t>
      </w:r>
      <w:bookmarkEnd w:id="269"/>
      <w:bookmarkEnd w:id="270"/>
      <w:bookmarkEnd w:id="271"/>
      <w:bookmarkEnd w:id="272"/>
    </w:p>
    <w:p>
      <w:pPr>
        <w:spacing w:after="120"/>
        <w:jc w:val="center"/>
        <w:rPr>
          <w:rFonts w:ascii="黑体" w:eastAsia="黑体"/>
          <w:b/>
          <w:sz w:val="24"/>
        </w:rPr>
      </w:pPr>
      <w:r>
        <w:rPr>
          <w:rFonts w:hint="eastAsia" w:ascii="黑体" w:eastAsia="黑体"/>
          <w:b/>
          <w:sz w:val="24"/>
        </w:rPr>
        <w:t>财务状况表</w:t>
      </w:r>
    </w:p>
    <w:tbl>
      <w:tblPr>
        <w:tblStyle w:val="14"/>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73"/>
        <w:gridCol w:w="990"/>
        <w:gridCol w:w="1258"/>
        <w:gridCol w:w="1259"/>
        <w:gridCol w:w="12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jc w:val="center"/>
              <w:rPr>
                <w:rFonts w:ascii="宋体" w:hAnsi="宋体"/>
                <w:szCs w:val="21"/>
              </w:rPr>
            </w:pPr>
            <w:r>
              <w:rPr>
                <w:rFonts w:hint="eastAsia" w:ascii="宋体" w:hAnsi="宋体"/>
                <w:szCs w:val="21"/>
              </w:rPr>
              <w:t>项目或指标</w:t>
            </w:r>
          </w:p>
        </w:tc>
        <w:tc>
          <w:tcPr>
            <w:tcW w:w="990" w:type="dxa"/>
            <w:vAlign w:val="center"/>
          </w:tcPr>
          <w:p>
            <w:pPr>
              <w:jc w:val="center"/>
              <w:rPr>
                <w:rFonts w:ascii="宋体" w:hAnsi="宋体"/>
                <w:szCs w:val="21"/>
              </w:rPr>
            </w:pPr>
            <w:r>
              <w:rPr>
                <w:rFonts w:hint="eastAsia" w:ascii="宋体" w:hAnsi="宋体"/>
                <w:szCs w:val="21"/>
              </w:rPr>
              <w:t>单位</w:t>
            </w:r>
          </w:p>
        </w:tc>
        <w:tc>
          <w:tcPr>
            <w:tcW w:w="1258" w:type="dxa"/>
            <w:vAlign w:val="center"/>
          </w:tcPr>
          <w:p>
            <w:pPr>
              <w:jc w:val="center"/>
              <w:rPr>
                <w:rFonts w:ascii="宋体" w:hAnsi="宋体"/>
                <w:szCs w:val="21"/>
              </w:rPr>
            </w:pPr>
            <w:r>
              <w:rPr>
                <w:rFonts w:hint="eastAsia" w:ascii="宋体" w:hAnsi="宋体"/>
                <w:szCs w:val="21"/>
              </w:rPr>
              <w:t>年</w:t>
            </w:r>
          </w:p>
        </w:tc>
        <w:tc>
          <w:tcPr>
            <w:tcW w:w="1259" w:type="dxa"/>
            <w:vAlign w:val="center"/>
          </w:tcPr>
          <w:p>
            <w:pPr>
              <w:jc w:val="center"/>
              <w:rPr>
                <w:rFonts w:ascii="宋体" w:hAnsi="宋体"/>
                <w:szCs w:val="21"/>
              </w:rPr>
            </w:pPr>
            <w:r>
              <w:rPr>
                <w:rFonts w:hint="eastAsia" w:ascii="宋体" w:hAnsi="宋体"/>
                <w:szCs w:val="21"/>
              </w:rPr>
              <w:t>年</w:t>
            </w:r>
          </w:p>
        </w:tc>
        <w:tc>
          <w:tcPr>
            <w:tcW w:w="1259" w:type="dxa"/>
            <w:vAlign w:val="center"/>
          </w:tcPr>
          <w:p>
            <w:pPr>
              <w:jc w:val="center"/>
              <w:rPr>
                <w:rFonts w:ascii="宋体" w:hAnsi="宋体"/>
                <w:szCs w:val="21"/>
              </w:rPr>
            </w:pPr>
            <w:r>
              <w:rPr>
                <w:rFonts w:hint="eastAsia" w:ascii="宋体" w:hAnsi="宋体"/>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rPr>
            </w:pPr>
            <w:r>
              <w:rPr>
                <w:rFonts w:hint="eastAsia" w:ascii="宋体" w:hAnsi="宋体"/>
                <w:szCs w:val="21"/>
              </w:rPr>
              <w:t>一、注册资金</w:t>
            </w:r>
          </w:p>
        </w:tc>
        <w:tc>
          <w:tcPr>
            <w:tcW w:w="990" w:type="dxa"/>
            <w:vAlign w:val="center"/>
          </w:tcPr>
          <w:p>
            <w:pPr>
              <w:jc w:val="center"/>
              <w:rPr>
                <w:rFonts w:ascii="宋体" w:hAnsi="宋体"/>
                <w:szCs w:val="21"/>
              </w:rPr>
            </w:pPr>
            <w:r>
              <w:rPr>
                <w:rFonts w:hint="eastAsia" w:ascii="宋体" w:hAnsi="宋体"/>
                <w:szCs w:val="21"/>
              </w:rPr>
              <w:t>万元</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rPr>
            </w:pPr>
            <w:r>
              <w:rPr>
                <w:rFonts w:hint="eastAsia" w:ascii="宋体" w:hAnsi="宋体"/>
                <w:szCs w:val="21"/>
              </w:rPr>
              <w:t>二、净资产</w:t>
            </w:r>
          </w:p>
        </w:tc>
        <w:tc>
          <w:tcPr>
            <w:tcW w:w="990" w:type="dxa"/>
            <w:vAlign w:val="center"/>
          </w:tcPr>
          <w:p>
            <w:pPr>
              <w:jc w:val="center"/>
              <w:rPr>
                <w:rFonts w:ascii="宋体" w:hAnsi="宋体"/>
                <w:szCs w:val="21"/>
              </w:rPr>
            </w:pPr>
            <w:r>
              <w:rPr>
                <w:rFonts w:hint="eastAsia" w:ascii="宋体" w:hAnsi="宋体"/>
                <w:szCs w:val="21"/>
              </w:rPr>
              <w:t>万元</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rPr>
            </w:pPr>
            <w:r>
              <w:rPr>
                <w:rFonts w:hint="eastAsia" w:ascii="宋体" w:hAnsi="宋体"/>
                <w:szCs w:val="21"/>
              </w:rPr>
              <w:t>三、总资产</w:t>
            </w:r>
          </w:p>
        </w:tc>
        <w:tc>
          <w:tcPr>
            <w:tcW w:w="990" w:type="dxa"/>
            <w:vAlign w:val="center"/>
          </w:tcPr>
          <w:p>
            <w:pPr>
              <w:jc w:val="center"/>
              <w:rPr>
                <w:rFonts w:ascii="宋体" w:hAnsi="宋体"/>
                <w:szCs w:val="21"/>
              </w:rPr>
            </w:pPr>
            <w:r>
              <w:rPr>
                <w:rFonts w:hint="eastAsia" w:ascii="宋体" w:hAnsi="宋体"/>
                <w:szCs w:val="21"/>
              </w:rPr>
              <w:t>万元</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rPr>
            </w:pPr>
            <w:r>
              <w:rPr>
                <w:rFonts w:hint="eastAsia" w:ascii="宋体" w:hAnsi="宋体"/>
                <w:szCs w:val="21"/>
              </w:rPr>
              <w:t>四、固定资产</w:t>
            </w:r>
          </w:p>
        </w:tc>
        <w:tc>
          <w:tcPr>
            <w:tcW w:w="990" w:type="dxa"/>
            <w:vAlign w:val="center"/>
          </w:tcPr>
          <w:p>
            <w:pPr>
              <w:jc w:val="center"/>
              <w:rPr>
                <w:rFonts w:ascii="宋体" w:hAnsi="宋体"/>
                <w:szCs w:val="21"/>
              </w:rPr>
            </w:pPr>
            <w:r>
              <w:rPr>
                <w:rFonts w:hint="eastAsia" w:ascii="宋体" w:hAnsi="宋体"/>
                <w:szCs w:val="21"/>
              </w:rPr>
              <w:t>万元</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rPr>
            </w:pPr>
            <w:r>
              <w:rPr>
                <w:rFonts w:hint="eastAsia" w:ascii="宋体" w:hAnsi="宋体"/>
                <w:szCs w:val="21"/>
              </w:rPr>
              <w:t>五、流动资产</w:t>
            </w:r>
          </w:p>
        </w:tc>
        <w:tc>
          <w:tcPr>
            <w:tcW w:w="990" w:type="dxa"/>
            <w:vAlign w:val="center"/>
          </w:tcPr>
          <w:p>
            <w:pPr>
              <w:jc w:val="center"/>
              <w:rPr>
                <w:rFonts w:ascii="宋体" w:hAnsi="宋体"/>
                <w:szCs w:val="21"/>
              </w:rPr>
            </w:pPr>
            <w:r>
              <w:rPr>
                <w:rFonts w:hint="eastAsia" w:ascii="宋体" w:hAnsi="宋体"/>
                <w:szCs w:val="21"/>
              </w:rPr>
              <w:t>万元</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rPr>
            </w:pPr>
            <w:r>
              <w:rPr>
                <w:rFonts w:hint="eastAsia" w:ascii="宋体" w:hAnsi="宋体"/>
                <w:szCs w:val="21"/>
              </w:rPr>
              <w:t>六、流动负债</w:t>
            </w:r>
          </w:p>
        </w:tc>
        <w:tc>
          <w:tcPr>
            <w:tcW w:w="990" w:type="dxa"/>
            <w:vAlign w:val="center"/>
          </w:tcPr>
          <w:p>
            <w:pPr>
              <w:jc w:val="center"/>
              <w:rPr>
                <w:rFonts w:ascii="宋体" w:hAnsi="宋体"/>
                <w:szCs w:val="21"/>
              </w:rPr>
            </w:pPr>
            <w:r>
              <w:rPr>
                <w:rFonts w:hint="eastAsia" w:ascii="宋体" w:hAnsi="宋体"/>
                <w:szCs w:val="21"/>
              </w:rPr>
              <w:t>万元</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rPr>
            </w:pPr>
            <w:r>
              <w:rPr>
                <w:rFonts w:hint="eastAsia" w:ascii="宋体" w:hAnsi="宋体"/>
                <w:szCs w:val="21"/>
              </w:rPr>
              <w:t>七、负债合计</w:t>
            </w:r>
          </w:p>
        </w:tc>
        <w:tc>
          <w:tcPr>
            <w:tcW w:w="990" w:type="dxa"/>
            <w:vAlign w:val="center"/>
          </w:tcPr>
          <w:p>
            <w:pPr>
              <w:jc w:val="center"/>
              <w:rPr>
                <w:rFonts w:ascii="宋体" w:hAnsi="宋体"/>
                <w:szCs w:val="21"/>
              </w:rPr>
            </w:pPr>
            <w:r>
              <w:rPr>
                <w:rFonts w:hint="eastAsia" w:ascii="宋体" w:hAnsi="宋体"/>
                <w:szCs w:val="21"/>
              </w:rPr>
              <w:t>万元</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rPr>
            </w:pPr>
            <w:r>
              <w:rPr>
                <w:rFonts w:hint="eastAsia" w:ascii="宋体" w:hAnsi="宋体"/>
                <w:szCs w:val="21"/>
              </w:rPr>
              <w:t>八、营业收入</w:t>
            </w:r>
          </w:p>
        </w:tc>
        <w:tc>
          <w:tcPr>
            <w:tcW w:w="990" w:type="dxa"/>
            <w:vAlign w:val="center"/>
          </w:tcPr>
          <w:p>
            <w:pPr>
              <w:jc w:val="center"/>
              <w:rPr>
                <w:rFonts w:ascii="宋体" w:hAnsi="宋体"/>
                <w:szCs w:val="21"/>
              </w:rPr>
            </w:pPr>
            <w:r>
              <w:rPr>
                <w:rFonts w:hint="eastAsia" w:ascii="宋体" w:hAnsi="宋体"/>
                <w:szCs w:val="21"/>
              </w:rPr>
              <w:t>万元</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rPr>
            </w:pPr>
            <w:r>
              <w:rPr>
                <w:rFonts w:hint="eastAsia" w:ascii="宋体" w:hAnsi="宋体"/>
                <w:szCs w:val="21"/>
              </w:rPr>
              <w:t>九、净利润</w:t>
            </w:r>
          </w:p>
        </w:tc>
        <w:tc>
          <w:tcPr>
            <w:tcW w:w="990" w:type="dxa"/>
            <w:vAlign w:val="center"/>
          </w:tcPr>
          <w:p>
            <w:pPr>
              <w:jc w:val="center"/>
              <w:rPr>
                <w:rFonts w:ascii="宋体" w:hAnsi="宋体"/>
                <w:szCs w:val="21"/>
              </w:rPr>
            </w:pPr>
            <w:r>
              <w:rPr>
                <w:rFonts w:hint="eastAsia" w:ascii="宋体" w:hAnsi="宋体"/>
                <w:szCs w:val="21"/>
              </w:rPr>
              <w:t>万元</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rPr>
            </w:pPr>
            <w:r>
              <w:rPr>
                <w:rFonts w:hint="eastAsia" w:ascii="宋体" w:hAnsi="宋体"/>
                <w:szCs w:val="21"/>
              </w:rPr>
              <w:t>十、现金流量净额</w:t>
            </w:r>
          </w:p>
        </w:tc>
        <w:tc>
          <w:tcPr>
            <w:tcW w:w="990" w:type="dxa"/>
            <w:vAlign w:val="center"/>
          </w:tcPr>
          <w:p>
            <w:pPr>
              <w:jc w:val="center"/>
              <w:rPr>
                <w:rFonts w:ascii="宋体" w:hAnsi="宋体"/>
                <w:szCs w:val="21"/>
              </w:rPr>
            </w:pP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jc w:val="left"/>
              <w:rPr>
                <w:rFonts w:ascii="宋体" w:hAnsi="宋体"/>
                <w:szCs w:val="21"/>
              </w:rPr>
            </w:pPr>
            <w:r>
              <w:rPr>
                <w:rFonts w:hint="eastAsia" w:ascii="宋体" w:hAnsi="宋体"/>
                <w:szCs w:val="21"/>
              </w:rPr>
              <w:t>十一、主要财务指标</w:t>
            </w:r>
          </w:p>
        </w:tc>
        <w:tc>
          <w:tcPr>
            <w:tcW w:w="990" w:type="dxa"/>
            <w:vAlign w:val="center"/>
          </w:tcPr>
          <w:p>
            <w:pPr>
              <w:jc w:val="center"/>
              <w:rPr>
                <w:rFonts w:ascii="宋体" w:hAnsi="宋体"/>
                <w:szCs w:val="21"/>
              </w:rPr>
            </w:pPr>
            <w:r>
              <w:rPr>
                <w:rFonts w:hint="eastAsia" w:ascii="宋体" w:hAnsi="宋体"/>
                <w:szCs w:val="21"/>
              </w:rPr>
              <w:t>%</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ind w:firstLine="525" w:firstLineChars="250"/>
              <w:jc w:val="left"/>
              <w:rPr>
                <w:rFonts w:ascii="宋体" w:hAnsi="宋体"/>
                <w:szCs w:val="21"/>
              </w:rPr>
            </w:pPr>
            <w:r>
              <w:rPr>
                <w:rFonts w:hint="eastAsia" w:ascii="宋体" w:hAnsi="宋体"/>
                <w:szCs w:val="21"/>
              </w:rPr>
              <w:t>1．净资产收益率</w:t>
            </w:r>
          </w:p>
        </w:tc>
        <w:tc>
          <w:tcPr>
            <w:tcW w:w="990" w:type="dxa"/>
            <w:vAlign w:val="center"/>
          </w:tcPr>
          <w:p>
            <w:pPr>
              <w:jc w:val="center"/>
              <w:rPr>
                <w:rFonts w:ascii="宋体" w:hAnsi="宋体"/>
                <w:szCs w:val="21"/>
              </w:rPr>
            </w:pPr>
            <w:r>
              <w:rPr>
                <w:rFonts w:hint="eastAsia" w:ascii="宋体" w:hAnsi="宋体"/>
                <w:szCs w:val="21"/>
              </w:rPr>
              <w:t>%</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ind w:firstLine="525" w:firstLineChars="250"/>
              <w:jc w:val="left"/>
              <w:rPr>
                <w:rFonts w:ascii="宋体" w:hAnsi="宋体"/>
                <w:szCs w:val="21"/>
              </w:rPr>
            </w:pPr>
            <w:r>
              <w:rPr>
                <w:rFonts w:hint="eastAsia" w:ascii="宋体" w:hAnsi="宋体"/>
                <w:szCs w:val="21"/>
              </w:rPr>
              <w:t>2．总资产报酬</w:t>
            </w:r>
          </w:p>
        </w:tc>
        <w:tc>
          <w:tcPr>
            <w:tcW w:w="990" w:type="dxa"/>
            <w:vAlign w:val="center"/>
          </w:tcPr>
          <w:p>
            <w:pPr>
              <w:jc w:val="center"/>
              <w:rPr>
                <w:rFonts w:ascii="宋体" w:hAnsi="宋体"/>
                <w:szCs w:val="21"/>
              </w:rPr>
            </w:pPr>
            <w:r>
              <w:rPr>
                <w:rFonts w:hint="eastAsia" w:ascii="宋体" w:hAnsi="宋体"/>
                <w:szCs w:val="21"/>
              </w:rPr>
              <w:t>%</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ind w:firstLine="525" w:firstLineChars="250"/>
              <w:jc w:val="left"/>
              <w:rPr>
                <w:rFonts w:ascii="宋体" w:hAnsi="宋体"/>
                <w:szCs w:val="21"/>
              </w:rPr>
            </w:pPr>
            <w:r>
              <w:rPr>
                <w:rFonts w:hint="eastAsia" w:ascii="宋体" w:hAnsi="宋体"/>
                <w:szCs w:val="21"/>
              </w:rPr>
              <w:t>3．主营业务利润率</w:t>
            </w:r>
          </w:p>
        </w:tc>
        <w:tc>
          <w:tcPr>
            <w:tcW w:w="990" w:type="dxa"/>
            <w:vAlign w:val="center"/>
          </w:tcPr>
          <w:p>
            <w:pPr>
              <w:jc w:val="center"/>
              <w:rPr>
                <w:rFonts w:ascii="宋体" w:hAnsi="宋体"/>
                <w:szCs w:val="21"/>
              </w:rPr>
            </w:pPr>
            <w:r>
              <w:rPr>
                <w:rFonts w:hint="eastAsia" w:ascii="宋体" w:hAnsi="宋体"/>
                <w:szCs w:val="21"/>
              </w:rPr>
              <w:t>%</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ind w:firstLine="525" w:firstLineChars="250"/>
              <w:jc w:val="left"/>
              <w:rPr>
                <w:rFonts w:ascii="宋体" w:hAnsi="宋体"/>
                <w:szCs w:val="21"/>
              </w:rPr>
            </w:pPr>
            <w:r>
              <w:rPr>
                <w:rFonts w:hint="eastAsia" w:ascii="宋体" w:hAnsi="宋体"/>
                <w:szCs w:val="21"/>
              </w:rPr>
              <w:t>4．资产负债率</w:t>
            </w:r>
          </w:p>
        </w:tc>
        <w:tc>
          <w:tcPr>
            <w:tcW w:w="990" w:type="dxa"/>
            <w:vAlign w:val="center"/>
          </w:tcPr>
          <w:p>
            <w:pPr>
              <w:jc w:val="center"/>
              <w:rPr>
                <w:rFonts w:ascii="宋体" w:hAnsi="宋体"/>
                <w:szCs w:val="21"/>
              </w:rPr>
            </w:pPr>
            <w:r>
              <w:rPr>
                <w:rFonts w:hint="eastAsia" w:ascii="宋体" w:hAnsi="宋体"/>
                <w:szCs w:val="21"/>
              </w:rPr>
              <w:t>%</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ind w:firstLine="525" w:firstLineChars="250"/>
              <w:jc w:val="left"/>
              <w:rPr>
                <w:rFonts w:ascii="宋体" w:hAnsi="宋体"/>
                <w:szCs w:val="21"/>
              </w:rPr>
            </w:pPr>
            <w:r>
              <w:rPr>
                <w:rFonts w:hint="eastAsia" w:ascii="宋体" w:hAnsi="宋体"/>
                <w:szCs w:val="21"/>
              </w:rPr>
              <w:t>5、流动比率</w:t>
            </w:r>
          </w:p>
        </w:tc>
        <w:tc>
          <w:tcPr>
            <w:tcW w:w="990" w:type="dxa"/>
            <w:vAlign w:val="center"/>
          </w:tcPr>
          <w:p>
            <w:pPr>
              <w:jc w:val="center"/>
              <w:rPr>
                <w:rFonts w:ascii="宋体" w:hAnsi="宋体"/>
                <w:szCs w:val="21"/>
              </w:rPr>
            </w:pPr>
            <w:r>
              <w:rPr>
                <w:rFonts w:hint="eastAsia" w:ascii="宋体" w:hAnsi="宋体"/>
                <w:szCs w:val="21"/>
              </w:rPr>
              <w:t>%</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ind w:firstLine="525" w:firstLineChars="250"/>
              <w:jc w:val="left"/>
              <w:rPr>
                <w:rFonts w:ascii="宋体" w:hAnsi="宋体"/>
                <w:szCs w:val="21"/>
              </w:rPr>
            </w:pPr>
            <w:r>
              <w:rPr>
                <w:rFonts w:hint="eastAsia" w:ascii="宋体" w:hAnsi="宋体"/>
                <w:szCs w:val="21"/>
              </w:rPr>
              <w:t>6、速动比率</w:t>
            </w:r>
          </w:p>
        </w:tc>
        <w:tc>
          <w:tcPr>
            <w:tcW w:w="990" w:type="dxa"/>
            <w:vAlign w:val="center"/>
          </w:tcPr>
          <w:p>
            <w:pPr>
              <w:jc w:val="center"/>
              <w:rPr>
                <w:rFonts w:ascii="宋体" w:hAnsi="宋体"/>
                <w:szCs w:val="21"/>
              </w:rPr>
            </w:pPr>
            <w:r>
              <w:rPr>
                <w:rFonts w:hint="eastAsia" w:ascii="宋体" w:hAnsi="宋体"/>
                <w:szCs w:val="21"/>
              </w:rPr>
              <w:t>%</w:t>
            </w:r>
          </w:p>
        </w:tc>
        <w:tc>
          <w:tcPr>
            <w:tcW w:w="1258" w:type="dxa"/>
            <w:vAlign w:val="center"/>
          </w:tcPr>
          <w:p>
            <w:pPr>
              <w:jc w:val="center"/>
              <w:rPr>
                <w:rFonts w:ascii="宋体" w:hAnsi="宋体"/>
                <w:szCs w:val="21"/>
              </w:rPr>
            </w:pPr>
          </w:p>
        </w:tc>
        <w:tc>
          <w:tcPr>
            <w:tcW w:w="1259" w:type="dxa"/>
            <w:vAlign w:val="center"/>
          </w:tcPr>
          <w:p>
            <w:pPr>
              <w:jc w:val="center"/>
              <w:rPr>
                <w:rFonts w:ascii="宋体" w:hAnsi="宋体"/>
                <w:szCs w:val="21"/>
              </w:rPr>
            </w:pPr>
          </w:p>
        </w:tc>
        <w:tc>
          <w:tcPr>
            <w:tcW w:w="1259" w:type="dxa"/>
            <w:vAlign w:val="center"/>
          </w:tcPr>
          <w:p>
            <w:pPr>
              <w:jc w:val="center"/>
              <w:rPr>
                <w:rFonts w:ascii="宋体" w:hAnsi="宋体"/>
                <w:szCs w:val="21"/>
              </w:rPr>
            </w:pPr>
          </w:p>
        </w:tc>
      </w:tr>
    </w:tbl>
    <w:p>
      <w:pPr>
        <w:spacing w:line="400" w:lineRule="exact"/>
        <w:rPr>
          <w:rFonts w:ascii="宋体" w:hAnsi="宋体"/>
          <w:szCs w:val="21"/>
        </w:rPr>
      </w:pPr>
      <w:r>
        <w:rPr>
          <w:rFonts w:hint="eastAsia" w:ascii="宋体" w:hAnsi="宋体"/>
          <w:szCs w:val="21"/>
        </w:rPr>
        <w:t>注：附经会计师事务所或审计机构审计的财务会计报表，包括资产负债表、利润表、现金流量表、所有者权益变动表及其附注的原件扫描件（或图片），具体年份要求见投标人须知前附表。</w:t>
      </w: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jc w:val="center"/>
        <w:rPr>
          <w:rFonts w:ascii="隶书" w:eastAsia="隶书"/>
          <w:sz w:val="24"/>
        </w:rPr>
      </w:pPr>
    </w:p>
    <w:p>
      <w:pPr>
        <w:pStyle w:val="6"/>
        <w:spacing w:beforeLines="100" w:afterLines="100" w:line="360" w:lineRule="exact"/>
        <w:jc w:val="center"/>
        <w:rPr>
          <w:rFonts w:ascii="黑体" w:hAnsi="宋体" w:eastAsia="黑体"/>
          <w:sz w:val="28"/>
          <w:szCs w:val="28"/>
        </w:rPr>
      </w:pPr>
      <w:bookmarkStart w:id="273" w:name="_Toc234242181"/>
      <w:bookmarkStart w:id="274" w:name="_Toc30568"/>
      <w:bookmarkStart w:id="275" w:name="_Toc234382982"/>
      <w:bookmarkStart w:id="276" w:name="_Toc485889077"/>
      <w:bookmarkStart w:id="277" w:name="_Toc486277942"/>
      <w:r>
        <w:rPr>
          <w:rFonts w:hint="eastAsia" w:ascii="黑体" w:hAnsi="宋体" w:eastAsia="黑体"/>
          <w:sz w:val="28"/>
          <w:szCs w:val="28"/>
        </w:rPr>
        <w:t>（四）近年完成的类似项目情况表</w:t>
      </w:r>
      <w:bookmarkEnd w:id="273"/>
      <w:bookmarkEnd w:id="274"/>
      <w:bookmarkEnd w:id="275"/>
      <w:bookmarkEnd w:id="276"/>
      <w:bookmarkEnd w:id="277"/>
    </w:p>
    <w:tbl>
      <w:tblPr>
        <w:tblStyle w:val="14"/>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10"/>
        <w:gridCol w:w="70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项目名称</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项目所在地</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发包人名称</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发包人地址</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发包人电话</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合同价格</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开工日期</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交工日期</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承担的工作</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工程质量</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项目经理</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项目总工</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总监理工程师及电话</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26" w:hRule="atLeast"/>
          <w:jc w:val="center"/>
        </w:trPr>
        <w:tc>
          <w:tcPr>
            <w:tcW w:w="2610" w:type="dxa"/>
            <w:vAlign w:val="center"/>
          </w:tcPr>
          <w:p>
            <w:pPr>
              <w:jc w:val="center"/>
              <w:rPr>
                <w:rFonts w:ascii="宋体" w:hAnsi="宋体"/>
                <w:szCs w:val="21"/>
              </w:rPr>
            </w:pPr>
            <w:r>
              <w:rPr>
                <w:rFonts w:hint="eastAsia" w:ascii="宋体" w:hAnsi="宋体"/>
                <w:szCs w:val="21"/>
              </w:rPr>
              <w:t>项目描述</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2610" w:type="dxa"/>
            <w:vAlign w:val="center"/>
          </w:tcPr>
          <w:p>
            <w:pPr>
              <w:jc w:val="center"/>
              <w:rPr>
                <w:rFonts w:ascii="宋体" w:hAnsi="宋体"/>
                <w:szCs w:val="21"/>
              </w:rPr>
            </w:pPr>
            <w:r>
              <w:rPr>
                <w:rFonts w:hint="eastAsia" w:ascii="宋体" w:hAnsi="宋体"/>
                <w:szCs w:val="21"/>
              </w:rPr>
              <w:t>备注</w:t>
            </w:r>
          </w:p>
        </w:tc>
        <w:tc>
          <w:tcPr>
            <w:tcW w:w="7029" w:type="dxa"/>
            <w:vAlign w:val="center"/>
          </w:tcPr>
          <w:p>
            <w:pPr>
              <w:jc w:val="center"/>
              <w:rPr>
                <w:rFonts w:ascii="宋体" w:hAnsi="宋体"/>
                <w:szCs w:val="21"/>
              </w:rPr>
            </w:pPr>
          </w:p>
        </w:tc>
      </w:tr>
    </w:tbl>
    <w:p>
      <w:pPr>
        <w:rPr>
          <w:rFonts w:ascii="宋体" w:hAnsi="宋体"/>
          <w:szCs w:val="21"/>
          <w:lang w:bidi="zh-CN"/>
        </w:rPr>
      </w:pPr>
      <w:r>
        <w:rPr>
          <w:rFonts w:ascii="宋体" w:hAnsi="宋体"/>
          <w:szCs w:val="21"/>
          <w:lang w:bidi="zh-CN"/>
        </w:rPr>
        <w:t>注：1.每张表格只填写一个项目，并标明序号。</w:t>
      </w:r>
    </w:p>
    <w:p>
      <w:pPr>
        <w:ind w:firstLine="420" w:firstLineChars="200"/>
        <w:rPr>
          <w:rFonts w:ascii="宋体" w:hAnsi="宋体"/>
          <w:szCs w:val="21"/>
          <w:lang w:bidi="zh-CN"/>
        </w:rPr>
      </w:pPr>
      <w:r>
        <w:rPr>
          <w:rFonts w:ascii="宋体" w:hAnsi="宋体"/>
          <w:szCs w:val="21"/>
          <w:lang w:bidi="zh-CN"/>
        </w:rPr>
        <w:t>2.</w:t>
      </w:r>
      <w:r>
        <w:rPr>
          <w:rFonts w:hint="eastAsia" w:ascii="宋体" w:hAnsi="宋体"/>
          <w:szCs w:val="21"/>
          <w:lang w:bidi="zh-CN"/>
        </w:rPr>
        <w:t>后</w:t>
      </w:r>
      <w:r>
        <w:rPr>
          <w:rFonts w:ascii="宋体" w:hAnsi="宋体"/>
          <w:szCs w:val="21"/>
          <w:lang w:bidi="zh-CN"/>
        </w:rPr>
        <w:t>附中标通知书</w:t>
      </w:r>
      <w:r>
        <w:rPr>
          <w:rFonts w:hint="eastAsia" w:ascii="宋体" w:hAnsi="宋体"/>
          <w:szCs w:val="21"/>
          <w:lang w:bidi="zh-CN"/>
        </w:rPr>
        <w:t>、</w:t>
      </w:r>
      <w:r>
        <w:rPr>
          <w:rFonts w:ascii="宋体" w:hAnsi="宋体"/>
          <w:szCs w:val="21"/>
          <w:lang w:bidi="zh-CN"/>
        </w:rPr>
        <w:t>合同协议书</w:t>
      </w:r>
      <w:r>
        <w:rPr>
          <w:rFonts w:hint="eastAsia" w:ascii="宋体" w:hAnsi="宋体"/>
          <w:szCs w:val="21"/>
          <w:lang w:bidi="zh-CN"/>
        </w:rPr>
        <w:t>、</w:t>
      </w:r>
      <w:r>
        <w:rPr>
          <w:rFonts w:ascii="宋体" w:hAnsi="宋体"/>
          <w:szCs w:val="21"/>
          <w:lang w:bidi="zh-CN"/>
        </w:rPr>
        <w:t>工程接收证书（工程竣工验收证书）的</w:t>
      </w:r>
      <w:r>
        <w:rPr>
          <w:rFonts w:hint="eastAsia" w:ascii="宋体" w:hAnsi="宋体"/>
          <w:szCs w:val="21"/>
        </w:rPr>
        <w:t>原件扫描件（或图片）</w:t>
      </w:r>
      <w:r>
        <w:rPr>
          <w:rFonts w:ascii="宋体" w:hAnsi="宋体"/>
          <w:szCs w:val="21"/>
          <w:lang w:bidi="zh-CN"/>
        </w:rPr>
        <w:t>。</w:t>
      </w:r>
    </w:p>
    <w:p>
      <w:pPr>
        <w:ind w:firstLine="420" w:firstLineChars="200"/>
        <w:rPr>
          <w:rFonts w:ascii="宋体" w:hAnsi="宋体"/>
          <w:szCs w:val="21"/>
          <w:lang w:bidi="zh-CN"/>
        </w:rPr>
      </w:pPr>
      <w:r>
        <w:rPr>
          <w:rFonts w:ascii="宋体" w:hAnsi="宋体"/>
          <w:szCs w:val="21"/>
          <w:lang w:bidi="zh-CN"/>
        </w:rPr>
        <w:t>3.如近年来，投标人法人机构发生合法变更或重组或法人名称变更时，应提供相关部门的合法批件或其他相关证明材料来证明其所附业绩的继承性。</w:t>
      </w:r>
    </w:p>
    <w:p>
      <w:pPr>
        <w:ind w:firstLine="420" w:firstLineChars="200"/>
        <w:rPr>
          <w:rFonts w:ascii="宋体" w:hAnsi="宋体"/>
          <w:szCs w:val="21"/>
        </w:rPr>
      </w:pPr>
      <w:r>
        <w:rPr>
          <w:rFonts w:hint="eastAsia" w:ascii="宋体" w:hAnsi="宋体"/>
          <w:szCs w:val="21"/>
        </w:rPr>
        <w:t>4.当本表内容与所附证据材料不一致时，应以所附证据材料为准。</w: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pStyle w:val="6"/>
        <w:spacing w:beforeLines="100" w:afterLines="100" w:line="360" w:lineRule="exact"/>
        <w:jc w:val="center"/>
        <w:rPr>
          <w:rFonts w:ascii="黑体" w:hAnsi="宋体" w:eastAsia="黑体"/>
          <w:sz w:val="28"/>
          <w:szCs w:val="28"/>
        </w:rPr>
      </w:pPr>
      <w:bookmarkStart w:id="278" w:name="_Toc193904177"/>
      <w:bookmarkStart w:id="279" w:name="_Toc486277943"/>
      <w:bookmarkStart w:id="280" w:name="_Toc485889078"/>
      <w:bookmarkStart w:id="281" w:name="_Toc7313"/>
      <w:bookmarkStart w:id="282" w:name="_Toc234242182"/>
      <w:bookmarkStart w:id="283" w:name="_Toc234382983"/>
      <w:r>
        <w:rPr>
          <w:rFonts w:hint="eastAsia" w:ascii="黑体" w:hAnsi="宋体" w:eastAsia="黑体"/>
          <w:sz w:val="28"/>
          <w:szCs w:val="28"/>
        </w:rPr>
        <w:t>（五）正在施工和新承接的项目情况表</w:t>
      </w:r>
      <w:bookmarkEnd w:id="278"/>
      <w:bookmarkEnd w:id="279"/>
      <w:bookmarkEnd w:id="280"/>
      <w:bookmarkEnd w:id="281"/>
      <w:bookmarkEnd w:id="282"/>
      <w:bookmarkEnd w:id="283"/>
    </w:p>
    <w:tbl>
      <w:tblPr>
        <w:tblStyle w:val="14"/>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10"/>
        <w:gridCol w:w="70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项目名称</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项目所在地</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发包人名称</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发包人地址</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发包人电话</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签约合同价</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开工日期</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计划交工日期</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承担的工作</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工程质量要求</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项目经理</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项目总工</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szCs w:val="21"/>
              </w:rPr>
            </w:pPr>
            <w:r>
              <w:rPr>
                <w:rFonts w:hint="eastAsia" w:ascii="宋体" w:hAnsi="宋体"/>
                <w:szCs w:val="21"/>
              </w:rPr>
              <w:t>总监理工程师及电话</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26" w:hRule="atLeast"/>
          <w:jc w:val="center"/>
        </w:trPr>
        <w:tc>
          <w:tcPr>
            <w:tcW w:w="2610" w:type="dxa"/>
            <w:vAlign w:val="center"/>
          </w:tcPr>
          <w:p>
            <w:pPr>
              <w:jc w:val="center"/>
              <w:rPr>
                <w:rFonts w:ascii="宋体" w:hAnsi="宋体"/>
                <w:szCs w:val="21"/>
              </w:rPr>
            </w:pPr>
            <w:r>
              <w:rPr>
                <w:rFonts w:hint="eastAsia" w:ascii="宋体" w:hAnsi="宋体"/>
                <w:szCs w:val="21"/>
              </w:rPr>
              <w:t>项目描述</w:t>
            </w:r>
          </w:p>
        </w:tc>
        <w:tc>
          <w:tcPr>
            <w:tcW w:w="70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2610" w:type="dxa"/>
            <w:vAlign w:val="center"/>
          </w:tcPr>
          <w:p>
            <w:pPr>
              <w:jc w:val="center"/>
              <w:rPr>
                <w:rFonts w:ascii="宋体" w:hAnsi="宋体"/>
                <w:szCs w:val="21"/>
              </w:rPr>
            </w:pPr>
            <w:r>
              <w:rPr>
                <w:rFonts w:hint="eastAsia" w:ascii="宋体" w:hAnsi="宋体"/>
                <w:szCs w:val="21"/>
              </w:rPr>
              <w:t>备注</w:t>
            </w:r>
          </w:p>
        </w:tc>
        <w:tc>
          <w:tcPr>
            <w:tcW w:w="7029" w:type="dxa"/>
            <w:vAlign w:val="center"/>
          </w:tcPr>
          <w:p>
            <w:pPr>
              <w:jc w:val="center"/>
              <w:rPr>
                <w:rFonts w:ascii="宋体" w:hAnsi="宋体"/>
                <w:szCs w:val="21"/>
              </w:rPr>
            </w:pPr>
          </w:p>
        </w:tc>
      </w:tr>
    </w:tbl>
    <w:p>
      <w:pPr>
        <w:autoSpaceDE w:val="0"/>
        <w:autoSpaceDN w:val="0"/>
        <w:adjustRightInd w:val="0"/>
        <w:spacing w:before="4" w:line="100" w:lineRule="exact"/>
        <w:jc w:val="left"/>
        <w:rPr>
          <w:kern w:val="0"/>
          <w:sz w:val="10"/>
          <w:szCs w:val="10"/>
        </w:rPr>
      </w:pPr>
    </w:p>
    <w:p>
      <w:pPr>
        <w:rPr>
          <w:sz w:val="24"/>
        </w:rPr>
      </w:pPr>
      <w:r>
        <w:rPr>
          <w:rFonts w:hint="eastAsia" w:ascii="宋体" w:hAnsi="宋体"/>
          <w:sz w:val="24"/>
        </w:rPr>
        <w:t>注：后附中标通知书和合同协议书的原件扫描件（或图片）。每张表格只填写一个项目，并标明序号。</w:t>
      </w:r>
    </w:p>
    <w:p>
      <w:pPr>
        <w:rPr>
          <w:sz w:val="24"/>
        </w:rPr>
      </w:pPr>
    </w:p>
    <w:p>
      <w:pPr>
        <w:rPr>
          <w:sz w:val="24"/>
        </w:rPr>
      </w:pPr>
    </w:p>
    <w:p>
      <w:pPr>
        <w:rPr>
          <w:sz w:val="24"/>
        </w:rPr>
      </w:pPr>
    </w:p>
    <w:p>
      <w:pPr>
        <w:rPr>
          <w:sz w:val="24"/>
        </w:rPr>
      </w:pPr>
    </w:p>
    <w:p>
      <w:pPr>
        <w:rPr>
          <w:sz w:val="24"/>
        </w:rPr>
      </w:pPr>
    </w:p>
    <w:p>
      <w:pPr>
        <w:pStyle w:val="6"/>
        <w:spacing w:beforeLines="100" w:afterLines="150" w:line="360" w:lineRule="exact"/>
        <w:jc w:val="center"/>
      </w:pPr>
      <w:bookmarkStart w:id="284" w:name="_Toc8347"/>
      <w:bookmarkStart w:id="285" w:name="_Toc486277941"/>
      <w:bookmarkStart w:id="286" w:name="_Toc485889075"/>
      <w:bookmarkStart w:id="287" w:name="_Toc234382980"/>
      <w:bookmarkStart w:id="288" w:name="_Toc485889079"/>
      <w:bookmarkStart w:id="289" w:name="_Toc486277944"/>
      <w:bookmarkStart w:id="290" w:name="_Toc7381"/>
      <w:bookmarkStart w:id="291" w:name="_Toc234382984"/>
      <w:r>
        <w:rPr>
          <w:rFonts w:hint="eastAsia" w:ascii="黑体" w:hAnsi="宋体" w:eastAsia="黑体"/>
          <w:sz w:val="28"/>
          <w:szCs w:val="28"/>
        </w:rPr>
        <w:t>（六）拟委任的项目经理和项目总工资历表</w:t>
      </w:r>
      <w:bookmarkEnd w:id="284"/>
      <w:bookmarkEnd w:id="285"/>
      <w:bookmarkEnd w:id="286"/>
      <w:bookmarkEnd w:id="287"/>
    </w:p>
    <w:tbl>
      <w:tblPr>
        <w:tblStyle w:val="14"/>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4"/>
        <w:gridCol w:w="1645"/>
        <w:gridCol w:w="1516"/>
        <w:gridCol w:w="862"/>
        <w:gridCol w:w="616"/>
        <w:gridCol w:w="776"/>
        <w:gridCol w:w="1393"/>
        <w:gridCol w:w="14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354" w:type="dxa"/>
            <w:vAlign w:val="center"/>
          </w:tcPr>
          <w:p>
            <w:pPr>
              <w:tabs>
                <w:tab w:val="left" w:pos="680"/>
              </w:tabs>
              <w:autoSpaceDE w:val="0"/>
              <w:autoSpaceDN w:val="0"/>
              <w:adjustRightInd w:val="0"/>
              <w:spacing w:before="73"/>
              <w:jc w:val="center"/>
              <w:rPr>
                <w:rFonts w:ascii="宋体" w:hAnsi="宋体"/>
                <w:kern w:val="0"/>
                <w:szCs w:val="21"/>
              </w:rPr>
            </w:pPr>
            <w:r>
              <w:rPr>
                <w:rFonts w:hint="eastAsia" w:ascii="宋体" w:hAnsi="宋体" w:cs="MingLiU"/>
                <w:kern w:val="0"/>
                <w:szCs w:val="21"/>
              </w:rPr>
              <w:t>姓</w:t>
            </w:r>
            <w:r>
              <w:rPr>
                <w:rFonts w:hint="eastAsia" w:ascii="宋体" w:hAnsi="宋体"/>
                <w:kern w:val="0"/>
                <w:szCs w:val="21"/>
              </w:rPr>
              <w:tab/>
            </w:r>
            <w:r>
              <w:rPr>
                <w:rFonts w:hint="eastAsia" w:ascii="宋体" w:hAnsi="宋体" w:cs="MingLiU"/>
                <w:kern w:val="0"/>
                <w:szCs w:val="21"/>
              </w:rPr>
              <w:t>名</w:t>
            </w:r>
          </w:p>
        </w:tc>
        <w:tc>
          <w:tcPr>
            <w:tcW w:w="1645" w:type="dxa"/>
            <w:vAlign w:val="center"/>
          </w:tcPr>
          <w:p>
            <w:pPr>
              <w:autoSpaceDE w:val="0"/>
              <w:autoSpaceDN w:val="0"/>
              <w:adjustRightInd w:val="0"/>
              <w:jc w:val="center"/>
              <w:rPr>
                <w:rFonts w:ascii="宋体" w:hAnsi="宋体"/>
                <w:kern w:val="0"/>
                <w:szCs w:val="21"/>
              </w:rPr>
            </w:pPr>
          </w:p>
        </w:tc>
        <w:tc>
          <w:tcPr>
            <w:tcW w:w="1516" w:type="dxa"/>
            <w:vAlign w:val="center"/>
          </w:tcPr>
          <w:p>
            <w:pPr>
              <w:autoSpaceDE w:val="0"/>
              <w:autoSpaceDN w:val="0"/>
              <w:adjustRightInd w:val="0"/>
              <w:spacing w:before="73"/>
              <w:jc w:val="center"/>
              <w:rPr>
                <w:rFonts w:ascii="宋体" w:hAnsi="宋体"/>
                <w:kern w:val="0"/>
                <w:szCs w:val="21"/>
              </w:rPr>
            </w:pPr>
            <w:r>
              <w:rPr>
                <w:rFonts w:hint="eastAsia" w:ascii="宋体" w:hAnsi="宋体" w:cs="MingLiU"/>
                <w:kern w:val="0"/>
                <w:szCs w:val="21"/>
              </w:rPr>
              <w:t>年   龄</w:t>
            </w:r>
          </w:p>
        </w:tc>
        <w:tc>
          <w:tcPr>
            <w:tcW w:w="1478" w:type="dxa"/>
            <w:gridSpan w:val="2"/>
            <w:vAlign w:val="center"/>
          </w:tcPr>
          <w:p>
            <w:pPr>
              <w:autoSpaceDE w:val="0"/>
              <w:autoSpaceDN w:val="0"/>
              <w:adjustRightInd w:val="0"/>
              <w:jc w:val="center"/>
              <w:rPr>
                <w:rFonts w:ascii="宋体" w:hAnsi="宋体"/>
                <w:kern w:val="0"/>
                <w:szCs w:val="21"/>
              </w:rPr>
            </w:pPr>
          </w:p>
        </w:tc>
        <w:tc>
          <w:tcPr>
            <w:tcW w:w="2169" w:type="dxa"/>
            <w:gridSpan w:val="2"/>
            <w:vAlign w:val="center"/>
          </w:tcPr>
          <w:p>
            <w:pPr>
              <w:autoSpaceDE w:val="0"/>
              <w:autoSpaceDN w:val="0"/>
              <w:adjustRightInd w:val="0"/>
              <w:spacing w:before="73"/>
              <w:jc w:val="center"/>
              <w:rPr>
                <w:rFonts w:ascii="宋体" w:hAnsi="宋体"/>
                <w:kern w:val="0"/>
                <w:szCs w:val="21"/>
              </w:rPr>
            </w:pPr>
            <w:r>
              <w:rPr>
                <w:rFonts w:hint="eastAsia" w:ascii="宋体" w:hAnsi="宋体" w:cs="MingLiU"/>
                <w:kern w:val="0"/>
                <w:szCs w:val="21"/>
              </w:rPr>
              <w:t>专  业</w:t>
            </w:r>
          </w:p>
        </w:tc>
        <w:tc>
          <w:tcPr>
            <w:tcW w:w="1477"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354" w:type="dxa"/>
            <w:vAlign w:val="center"/>
          </w:tcPr>
          <w:p>
            <w:pPr>
              <w:tabs>
                <w:tab w:val="left" w:pos="680"/>
              </w:tabs>
              <w:autoSpaceDE w:val="0"/>
              <w:autoSpaceDN w:val="0"/>
              <w:adjustRightInd w:val="0"/>
              <w:spacing w:before="73"/>
              <w:jc w:val="center"/>
              <w:rPr>
                <w:rFonts w:ascii="宋体" w:hAnsi="宋体"/>
                <w:kern w:val="0"/>
                <w:szCs w:val="21"/>
              </w:rPr>
            </w:pPr>
            <w:r>
              <w:rPr>
                <w:rFonts w:hint="eastAsia" w:ascii="宋体" w:hAnsi="宋体" w:cs="MingLiU"/>
                <w:kern w:val="0"/>
                <w:szCs w:val="21"/>
              </w:rPr>
              <w:t>职</w:t>
            </w:r>
            <w:r>
              <w:rPr>
                <w:rFonts w:hint="eastAsia" w:ascii="宋体" w:hAnsi="宋体"/>
                <w:kern w:val="0"/>
                <w:szCs w:val="21"/>
              </w:rPr>
              <w:tab/>
            </w:r>
            <w:r>
              <w:rPr>
                <w:rFonts w:hint="eastAsia" w:ascii="宋体" w:hAnsi="宋体" w:cs="MingLiU"/>
                <w:kern w:val="0"/>
                <w:szCs w:val="21"/>
              </w:rPr>
              <w:t>称</w:t>
            </w:r>
          </w:p>
        </w:tc>
        <w:tc>
          <w:tcPr>
            <w:tcW w:w="1645" w:type="dxa"/>
            <w:vAlign w:val="center"/>
          </w:tcPr>
          <w:p>
            <w:pPr>
              <w:autoSpaceDE w:val="0"/>
              <w:autoSpaceDN w:val="0"/>
              <w:adjustRightInd w:val="0"/>
              <w:jc w:val="center"/>
              <w:rPr>
                <w:rFonts w:ascii="宋体" w:hAnsi="宋体"/>
                <w:kern w:val="0"/>
                <w:szCs w:val="21"/>
              </w:rPr>
            </w:pPr>
          </w:p>
        </w:tc>
        <w:tc>
          <w:tcPr>
            <w:tcW w:w="1516" w:type="dxa"/>
            <w:vAlign w:val="center"/>
          </w:tcPr>
          <w:p>
            <w:pPr>
              <w:autoSpaceDE w:val="0"/>
              <w:autoSpaceDN w:val="0"/>
              <w:adjustRightInd w:val="0"/>
              <w:spacing w:before="73"/>
              <w:jc w:val="center"/>
              <w:rPr>
                <w:rFonts w:ascii="宋体" w:hAnsi="宋体" w:cs="MingLiU"/>
                <w:kern w:val="0"/>
                <w:szCs w:val="21"/>
              </w:rPr>
            </w:pPr>
            <w:r>
              <w:rPr>
                <w:rFonts w:hint="eastAsia" w:ascii="宋体" w:hAnsi="宋体" w:cs="MingLiU"/>
                <w:kern w:val="0"/>
                <w:szCs w:val="21"/>
              </w:rPr>
              <w:t>公司单位</w:t>
            </w:r>
          </w:p>
          <w:p>
            <w:pPr>
              <w:autoSpaceDE w:val="0"/>
              <w:autoSpaceDN w:val="0"/>
              <w:adjustRightInd w:val="0"/>
              <w:spacing w:before="73"/>
              <w:jc w:val="center"/>
              <w:rPr>
                <w:rFonts w:ascii="宋体" w:hAnsi="宋体"/>
                <w:kern w:val="0"/>
                <w:szCs w:val="21"/>
              </w:rPr>
            </w:pPr>
            <w:r>
              <w:rPr>
                <w:rFonts w:hint="eastAsia" w:ascii="宋体" w:hAnsi="宋体" w:cs="MingLiU"/>
                <w:kern w:val="0"/>
                <w:szCs w:val="21"/>
              </w:rPr>
              <w:t>职    务</w:t>
            </w:r>
          </w:p>
        </w:tc>
        <w:tc>
          <w:tcPr>
            <w:tcW w:w="1478" w:type="dxa"/>
            <w:gridSpan w:val="2"/>
            <w:vAlign w:val="center"/>
          </w:tcPr>
          <w:p>
            <w:pPr>
              <w:autoSpaceDE w:val="0"/>
              <w:autoSpaceDN w:val="0"/>
              <w:adjustRightInd w:val="0"/>
              <w:jc w:val="center"/>
              <w:rPr>
                <w:rFonts w:ascii="宋体" w:hAnsi="宋体"/>
                <w:kern w:val="0"/>
                <w:szCs w:val="21"/>
              </w:rPr>
            </w:pPr>
          </w:p>
        </w:tc>
        <w:tc>
          <w:tcPr>
            <w:tcW w:w="2169" w:type="dxa"/>
            <w:gridSpan w:val="2"/>
            <w:vAlign w:val="center"/>
          </w:tcPr>
          <w:p>
            <w:pPr>
              <w:autoSpaceDE w:val="0"/>
              <w:autoSpaceDN w:val="0"/>
              <w:adjustRightInd w:val="0"/>
              <w:spacing w:before="73"/>
              <w:jc w:val="center"/>
              <w:rPr>
                <w:rFonts w:ascii="宋体" w:hAnsi="宋体" w:cs="MingLiU"/>
                <w:kern w:val="0"/>
                <w:szCs w:val="21"/>
              </w:rPr>
            </w:pPr>
            <w:r>
              <w:rPr>
                <w:rFonts w:hint="eastAsia" w:ascii="宋体" w:hAnsi="宋体" w:cs="MingLiU"/>
                <w:kern w:val="0"/>
                <w:szCs w:val="21"/>
              </w:rPr>
              <w:t>拟在本工程</w:t>
            </w:r>
          </w:p>
          <w:p>
            <w:pPr>
              <w:autoSpaceDE w:val="0"/>
              <w:autoSpaceDN w:val="0"/>
              <w:adjustRightInd w:val="0"/>
              <w:spacing w:before="73"/>
              <w:jc w:val="center"/>
              <w:rPr>
                <w:rFonts w:ascii="宋体" w:hAnsi="宋体" w:cs="MingLiU"/>
                <w:kern w:val="0"/>
                <w:szCs w:val="21"/>
              </w:rPr>
            </w:pPr>
            <w:r>
              <w:rPr>
                <w:rFonts w:hint="eastAsia" w:ascii="宋体" w:hAnsi="宋体" w:cs="MingLiU"/>
                <w:kern w:val="0"/>
                <w:szCs w:val="21"/>
              </w:rPr>
              <w:t>担任职务</w:t>
            </w:r>
          </w:p>
        </w:tc>
        <w:tc>
          <w:tcPr>
            <w:tcW w:w="1477"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354" w:type="dxa"/>
            <w:vAlign w:val="center"/>
          </w:tcPr>
          <w:p>
            <w:pPr>
              <w:autoSpaceDE w:val="0"/>
              <w:autoSpaceDN w:val="0"/>
              <w:adjustRightInd w:val="0"/>
              <w:spacing w:before="73"/>
              <w:jc w:val="center"/>
              <w:rPr>
                <w:rFonts w:ascii="宋体" w:hAnsi="宋体"/>
                <w:kern w:val="0"/>
                <w:szCs w:val="21"/>
              </w:rPr>
            </w:pPr>
            <w:r>
              <w:rPr>
                <w:rFonts w:hint="eastAsia" w:ascii="宋体" w:hAnsi="宋体" w:cs="MingLiU"/>
                <w:kern w:val="0"/>
                <w:szCs w:val="21"/>
              </w:rPr>
              <w:t>毕业学校</w:t>
            </w:r>
          </w:p>
        </w:tc>
        <w:tc>
          <w:tcPr>
            <w:tcW w:w="8285" w:type="dxa"/>
            <w:gridSpan w:val="7"/>
            <w:vAlign w:val="center"/>
          </w:tcPr>
          <w:p>
            <w:pPr>
              <w:tabs>
                <w:tab w:val="left" w:pos="2820"/>
                <w:tab w:val="left" w:pos="4080"/>
              </w:tabs>
              <w:autoSpaceDE w:val="0"/>
              <w:autoSpaceDN w:val="0"/>
              <w:adjustRightInd w:val="0"/>
              <w:spacing w:before="73"/>
              <w:jc w:val="center"/>
              <w:rPr>
                <w:rFonts w:ascii="宋体" w:hAnsi="宋体"/>
                <w:kern w:val="0"/>
                <w:szCs w:val="21"/>
              </w:rPr>
            </w:pPr>
            <w:r>
              <w:rPr>
                <w:rFonts w:hint="eastAsia" w:ascii="宋体" w:hAnsi="宋体"/>
                <w:kern w:val="0"/>
                <w:szCs w:val="21"/>
              </w:rPr>
              <w:t>年月毕业于学校专业，学制年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9639" w:type="dxa"/>
            <w:gridSpan w:val="8"/>
            <w:vAlign w:val="center"/>
          </w:tcPr>
          <w:p>
            <w:pPr>
              <w:jc w:val="center"/>
              <w:rPr>
                <w:rFonts w:ascii="宋体" w:hAnsi="宋体"/>
                <w:szCs w:val="21"/>
              </w:rPr>
            </w:pPr>
            <w:r>
              <w:rPr>
                <w:rFonts w:hint="eastAsia" w:ascii="宋体" w:hAnsi="宋体" w:cs="MingLiU"/>
                <w:kern w:val="0"/>
                <w:szCs w:val="21"/>
              </w:rPr>
              <w:t>经     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354" w:type="dxa"/>
            <w:vAlign w:val="center"/>
          </w:tcPr>
          <w:p>
            <w:pPr>
              <w:jc w:val="center"/>
              <w:rPr>
                <w:rFonts w:ascii="宋体" w:hAnsi="宋体"/>
                <w:szCs w:val="21"/>
              </w:rPr>
            </w:pPr>
            <w:r>
              <w:rPr>
                <w:rFonts w:hint="eastAsia" w:ascii="宋体" w:hAnsi="宋体"/>
                <w:szCs w:val="21"/>
              </w:rPr>
              <w:t>年～</w:t>
            </w:r>
          </w:p>
          <w:p>
            <w:pPr>
              <w:jc w:val="center"/>
              <w:rPr>
                <w:rFonts w:ascii="宋体" w:hAnsi="宋体"/>
                <w:szCs w:val="21"/>
              </w:rPr>
            </w:pPr>
            <w:r>
              <w:rPr>
                <w:rFonts w:hint="eastAsia" w:ascii="宋体" w:hAnsi="宋体"/>
                <w:szCs w:val="21"/>
              </w:rPr>
              <w:t>年</w:t>
            </w:r>
          </w:p>
        </w:tc>
        <w:tc>
          <w:tcPr>
            <w:tcW w:w="4023" w:type="dxa"/>
            <w:gridSpan w:val="3"/>
            <w:vAlign w:val="center"/>
          </w:tcPr>
          <w:p>
            <w:pPr>
              <w:jc w:val="center"/>
              <w:rPr>
                <w:rFonts w:ascii="宋体" w:hAnsi="宋体"/>
                <w:szCs w:val="21"/>
              </w:rPr>
            </w:pPr>
            <w:r>
              <w:rPr>
                <w:rFonts w:hint="eastAsia" w:ascii="宋体" w:hAnsi="宋体" w:cs="MingLiU"/>
                <w:kern w:val="0"/>
                <w:szCs w:val="21"/>
              </w:rPr>
              <w:t>参加过的工程项目名称</w:t>
            </w:r>
          </w:p>
        </w:tc>
        <w:tc>
          <w:tcPr>
            <w:tcW w:w="1392" w:type="dxa"/>
            <w:gridSpan w:val="2"/>
            <w:vAlign w:val="center"/>
          </w:tcPr>
          <w:p>
            <w:pPr>
              <w:jc w:val="center"/>
              <w:rPr>
                <w:rFonts w:ascii="宋体" w:hAnsi="宋体"/>
                <w:szCs w:val="21"/>
              </w:rPr>
            </w:pPr>
            <w:r>
              <w:rPr>
                <w:rFonts w:hint="eastAsia" w:ascii="宋体" w:hAnsi="宋体" w:cs="MingLiU"/>
                <w:kern w:val="0"/>
                <w:szCs w:val="21"/>
              </w:rPr>
              <w:t>担任何职</w:t>
            </w:r>
          </w:p>
        </w:tc>
        <w:tc>
          <w:tcPr>
            <w:tcW w:w="2870" w:type="dxa"/>
            <w:gridSpan w:val="2"/>
            <w:vAlign w:val="center"/>
          </w:tcPr>
          <w:p>
            <w:pPr>
              <w:jc w:val="center"/>
              <w:rPr>
                <w:rFonts w:ascii="宋体" w:hAnsi="宋体" w:cs="MingLiU"/>
                <w:kern w:val="0"/>
                <w:szCs w:val="21"/>
              </w:rPr>
            </w:pPr>
            <w:r>
              <w:rPr>
                <w:rFonts w:hint="eastAsia" w:ascii="宋体" w:hAnsi="宋体" w:cs="MingLiU"/>
                <w:kern w:val="0"/>
                <w:szCs w:val="21"/>
              </w:rPr>
              <w:t>发包人及</w:t>
            </w:r>
          </w:p>
          <w:p>
            <w:pPr>
              <w:jc w:val="center"/>
              <w:rPr>
                <w:rFonts w:ascii="宋体" w:hAnsi="宋体"/>
                <w:szCs w:val="21"/>
              </w:rPr>
            </w:pPr>
            <w:r>
              <w:rPr>
                <w:rFonts w:hint="eastAsia" w:ascii="宋体" w:hAnsi="宋体" w:cs="MingLiU"/>
                <w:kern w:val="0"/>
                <w:szCs w:val="21"/>
              </w:rPr>
              <w:t>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szCs w:val="21"/>
              </w:rPr>
            </w:pPr>
          </w:p>
        </w:tc>
        <w:tc>
          <w:tcPr>
            <w:tcW w:w="4023" w:type="dxa"/>
            <w:gridSpan w:val="3"/>
            <w:vAlign w:val="center"/>
          </w:tcPr>
          <w:p>
            <w:pPr>
              <w:jc w:val="center"/>
              <w:rPr>
                <w:rFonts w:ascii="宋体" w:hAnsi="宋体"/>
                <w:szCs w:val="21"/>
              </w:rPr>
            </w:pPr>
          </w:p>
        </w:tc>
        <w:tc>
          <w:tcPr>
            <w:tcW w:w="1392" w:type="dxa"/>
            <w:gridSpan w:val="2"/>
            <w:vAlign w:val="center"/>
          </w:tcPr>
          <w:p>
            <w:pPr>
              <w:jc w:val="center"/>
              <w:rPr>
                <w:rFonts w:ascii="宋体" w:hAnsi="宋体"/>
                <w:szCs w:val="21"/>
              </w:rPr>
            </w:pPr>
          </w:p>
        </w:tc>
        <w:tc>
          <w:tcPr>
            <w:tcW w:w="2870" w:type="dxa"/>
            <w:gridSpan w:val="2"/>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szCs w:val="21"/>
              </w:rPr>
            </w:pPr>
          </w:p>
        </w:tc>
        <w:tc>
          <w:tcPr>
            <w:tcW w:w="4023" w:type="dxa"/>
            <w:gridSpan w:val="3"/>
            <w:vAlign w:val="center"/>
          </w:tcPr>
          <w:p>
            <w:pPr>
              <w:jc w:val="center"/>
              <w:rPr>
                <w:rFonts w:ascii="宋体" w:hAnsi="宋体"/>
                <w:szCs w:val="21"/>
              </w:rPr>
            </w:pPr>
          </w:p>
        </w:tc>
        <w:tc>
          <w:tcPr>
            <w:tcW w:w="1392" w:type="dxa"/>
            <w:gridSpan w:val="2"/>
            <w:vAlign w:val="center"/>
          </w:tcPr>
          <w:p>
            <w:pPr>
              <w:jc w:val="center"/>
              <w:rPr>
                <w:rFonts w:ascii="宋体" w:hAnsi="宋体"/>
                <w:szCs w:val="21"/>
              </w:rPr>
            </w:pPr>
          </w:p>
        </w:tc>
        <w:tc>
          <w:tcPr>
            <w:tcW w:w="2870" w:type="dxa"/>
            <w:gridSpan w:val="2"/>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szCs w:val="21"/>
              </w:rPr>
            </w:pPr>
          </w:p>
        </w:tc>
        <w:tc>
          <w:tcPr>
            <w:tcW w:w="4023" w:type="dxa"/>
            <w:gridSpan w:val="3"/>
            <w:vAlign w:val="center"/>
          </w:tcPr>
          <w:p>
            <w:pPr>
              <w:jc w:val="center"/>
              <w:rPr>
                <w:rFonts w:ascii="宋体" w:hAnsi="宋体"/>
                <w:szCs w:val="21"/>
              </w:rPr>
            </w:pPr>
          </w:p>
        </w:tc>
        <w:tc>
          <w:tcPr>
            <w:tcW w:w="1392" w:type="dxa"/>
            <w:gridSpan w:val="2"/>
            <w:vAlign w:val="center"/>
          </w:tcPr>
          <w:p>
            <w:pPr>
              <w:jc w:val="center"/>
              <w:rPr>
                <w:rFonts w:ascii="宋体" w:hAnsi="宋体"/>
                <w:szCs w:val="21"/>
              </w:rPr>
            </w:pPr>
          </w:p>
        </w:tc>
        <w:tc>
          <w:tcPr>
            <w:tcW w:w="2870" w:type="dxa"/>
            <w:gridSpan w:val="2"/>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szCs w:val="21"/>
              </w:rPr>
            </w:pPr>
          </w:p>
        </w:tc>
        <w:tc>
          <w:tcPr>
            <w:tcW w:w="4023" w:type="dxa"/>
            <w:gridSpan w:val="3"/>
            <w:vAlign w:val="center"/>
          </w:tcPr>
          <w:p>
            <w:pPr>
              <w:jc w:val="center"/>
              <w:rPr>
                <w:rFonts w:ascii="宋体" w:hAnsi="宋体"/>
                <w:szCs w:val="21"/>
              </w:rPr>
            </w:pPr>
          </w:p>
        </w:tc>
        <w:tc>
          <w:tcPr>
            <w:tcW w:w="1392" w:type="dxa"/>
            <w:gridSpan w:val="2"/>
            <w:vAlign w:val="center"/>
          </w:tcPr>
          <w:p>
            <w:pPr>
              <w:jc w:val="center"/>
              <w:rPr>
                <w:rFonts w:ascii="宋体" w:hAnsi="宋体"/>
                <w:szCs w:val="21"/>
              </w:rPr>
            </w:pPr>
          </w:p>
        </w:tc>
        <w:tc>
          <w:tcPr>
            <w:tcW w:w="2870" w:type="dxa"/>
            <w:gridSpan w:val="2"/>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szCs w:val="21"/>
              </w:rPr>
            </w:pPr>
          </w:p>
        </w:tc>
        <w:tc>
          <w:tcPr>
            <w:tcW w:w="4023" w:type="dxa"/>
            <w:gridSpan w:val="3"/>
            <w:vAlign w:val="center"/>
          </w:tcPr>
          <w:p>
            <w:pPr>
              <w:jc w:val="center"/>
              <w:rPr>
                <w:rFonts w:ascii="宋体" w:hAnsi="宋体"/>
                <w:szCs w:val="21"/>
              </w:rPr>
            </w:pPr>
          </w:p>
        </w:tc>
        <w:tc>
          <w:tcPr>
            <w:tcW w:w="1392" w:type="dxa"/>
            <w:gridSpan w:val="2"/>
            <w:vAlign w:val="center"/>
          </w:tcPr>
          <w:p>
            <w:pPr>
              <w:jc w:val="center"/>
              <w:rPr>
                <w:rFonts w:ascii="宋体" w:hAnsi="宋体"/>
                <w:szCs w:val="21"/>
              </w:rPr>
            </w:pPr>
          </w:p>
        </w:tc>
        <w:tc>
          <w:tcPr>
            <w:tcW w:w="2870" w:type="dxa"/>
            <w:gridSpan w:val="2"/>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szCs w:val="21"/>
              </w:rPr>
            </w:pPr>
          </w:p>
        </w:tc>
        <w:tc>
          <w:tcPr>
            <w:tcW w:w="4023" w:type="dxa"/>
            <w:gridSpan w:val="3"/>
            <w:vAlign w:val="center"/>
          </w:tcPr>
          <w:p>
            <w:pPr>
              <w:jc w:val="center"/>
              <w:rPr>
                <w:rFonts w:ascii="宋体" w:hAnsi="宋体"/>
                <w:szCs w:val="21"/>
              </w:rPr>
            </w:pPr>
          </w:p>
        </w:tc>
        <w:tc>
          <w:tcPr>
            <w:tcW w:w="1392" w:type="dxa"/>
            <w:gridSpan w:val="2"/>
            <w:vAlign w:val="center"/>
          </w:tcPr>
          <w:p>
            <w:pPr>
              <w:jc w:val="center"/>
              <w:rPr>
                <w:rFonts w:ascii="宋体" w:hAnsi="宋体"/>
                <w:szCs w:val="21"/>
              </w:rPr>
            </w:pPr>
          </w:p>
        </w:tc>
        <w:tc>
          <w:tcPr>
            <w:tcW w:w="2870" w:type="dxa"/>
            <w:gridSpan w:val="2"/>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szCs w:val="21"/>
              </w:rPr>
            </w:pPr>
          </w:p>
        </w:tc>
        <w:tc>
          <w:tcPr>
            <w:tcW w:w="4023" w:type="dxa"/>
            <w:gridSpan w:val="3"/>
            <w:vAlign w:val="center"/>
          </w:tcPr>
          <w:p>
            <w:pPr>
              <w:jc w:val="center"/>
              <w:rPr>
                <w:rFonts w:ascii="宋体" w:hAnsi="宋体"/>
                <w:szCs w:val="21"/>
              </w:rPr>
            </w:pPr>
          </w:p>
        </w:tc>
        <w:tc>
          <w:tcPr>
            <w:tcW w:w="1392" w:type="dxa"/>
            <w:gridSpan w:val="2"/>
            <w:vAlign w:val="center"/>
          </w:tcPr>
          <w:p>
            <w:pPr>
              <w:jc w:val="center"/>
              <w:rPr>
                <w:rFonts w:ascii="宋体" w:hAnsi="宋体"/>
                <w:szCs w:val="21"/>
              </w:rPr>
            </w:pPr>
          </w:p>
        </w:tc>
        <w:tc>
          <w:tcPr>
            <w:tcW w:w="2870" w:type="dxa"/>
            <w:gridSpan w:val="2"/>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5377" w:type="dxa"/>
            <w:gridSpan w:val="4"/>
            <w:vAlign w:val="center"/>
          </w:tcPr>
          <w:p>
            <w:pPr>
              <w:jc w:val="center"/>
              <w:rPr>
                <w:rFonts w:ascii="宋体" w:hAnsi="宋体"/>
                <w:szCs w:val="21"/>
              </w:rPr>
            </w:pPr>
            <w:r>
              <w:rPr>
                <w:rFonts w:hint="eastAsia" w:ascii="宋体" w:hAnsi="宋体"/>
                <w:szCs w:val="21"/>
              </w:rPr>
              <w:t>获奖情况</w:t>
            </w:r>
          </w:p>
        </w:tc>
        <w:tc>
          <w:tcPr>
            <w:tcW w:w="1392" w:type="dxa"/>
            <w:gridSpan w:val="2"/>
            <w:vAlign w:val="center"/>
          </w:tcPr>
          <w:p>
            <w:pPr>
              <w:jc w:val="center"/>
              <w:rPr>
                <w:rFonts w:ascii="宋体" w:hAnsi="宋体"/>
                <w:szCs w:val="21"/>
              </w:rPr>
            </w:pPr>
          </w:p>
        </w:tc>
        <w:tc>
          <w:tcPr>
            <w:tcW w:w="2870" w:type="dxa"/>
            <w:gridSpan w:val="2"/>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vMerge w:val="restart"/>
            <w:vAlign w:val="center"/>
          </w:tcPr>
          <w:p>
            <w:pPr>
              <w:jc w:val="center"/>
              <w:rPr>
                <w:rFonts w:ascii="宋体" w:hAnsi="宋体"/>
                <w:szCs w:val="21"/>
              </w:rPr>
            </w:pPr>
            <w:r>
              <w:rPr>
                <w:rFonts w:hint="eastAsia" w:ascii="宋体" w:hAnsi="宋体"/>
                <w:szCs w:val="21"/>
              </w:rPr>
              <w:t>目前任职</w:t>
            </w:r>
          </w:p>
          <w:p>
            <w:pPr>
              <w:jc w:val="center"/>
              <w:rPr>
                <w:rFonts w:ascii="宋体" w:hAnsi="宋体"/>
                <w:szCs w:val="21"/>
              </w:rPr>
            </w:pPr>
            <w:r>
              <w:rPr>
                <w:rFonts w:hint="eastAsia" w:ascii="宋体" w:hAnsi="宋体"/>
                <w:szCs w:val="21"/>
              </w:rPr>
              <w:t>项目状况</w:t>
            </w:r>
          </w:p>
        </w:tc>
        <w:tc>
          <w:tcPr>
            <w:tcW w:w="4023" w:type="dxa"/>
            <w:gridSpan w:val="3"/>
            <w:vAlign w:val="center"/>
          </w:tcPr>
          <w:p>
            <w:pPr>
              <w:jc w:val="center"/>
              <w:rPr>
                <w:rFonts w:ascii="宋体" w:hAnsi="宋体"/>
                <w:szCs w:val="21"/>
              </w:rPr>
            </w:pPr>
            <w:r>
              <w:rPr>
                <w:rFonts w:hint="eastAsia" w:ascii="宋体" w:hAnsi="宋体"/>
                <w:szCs w:val="21"/>
              </w:rPr>
              <w:t>项目名称</w:t>
            </w:r>
          </w:p>
        </w:tc>
        <w:tc>
          <w:tcPr>
            <w:tcW w:w="4262" w:type="dxa"/>
            <w:gridSpan w:val="4"/>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vMerge w:val="continue"/>
            <w:vAlign w:val="center"/>
          </w:tcPr>
          <w:p>
            <w:pPr>
              <w:jc w:val="center"/>
              <w:rPr>
                <w:rFonts w:ascii="宋体" w:hAnsi="宋体"/>
                <w:szCs w:val="21"/>
              </w:rPr>
            </w:pPr>
          </w:p>
        </w:tc>
        <w:tc>
          <w:tcPr>
            <w:tcW w:w="4023" w:type="dxa"/>
            <w:gridSpan w:val="3"/>
            <w:vAlign w:val="center"/>
          </w:tcPr>
          <w:p>
            <w:pPr>
              <w:jc w:val="center"/>
              <w:rPr>
                <w:rFonts w:ascii="宋体" w:hAnsi="宋体"/>
                <w:szCs w:val="21"/>
              </w:rPr>
            </w:pPr>
            <w:r>
              <w:rPr>
                <w:rFonts w:hint="eastAsia" w:ascii="宋体" w:hAnsi="宋体"/>
                <w:szCs w:val="21"/>
              </w:rPr>
              <w:t>担任职位</w:t>
            </w:r>
          </w:p>
        </w:tc>
        <w:tc>
          <w:tcPr>
            <w:tcW w:w="4262" w:type="dxa"/>
            <w:gridSpan w:val="4"/>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vMerge w:val="continue"/>
            <w:vAlign w:val="center"/>
          </w:tcPr>
          <w:p>
            <w:pPr>
              <w:jc w:val="center"/>
              <w:rPr>
                <w:rFonts w:ascii="宋体" w:hAnsi="宋体"/>
                <w:szCs w:val="21"/>
              </w:rPr>
            </w:pPr>
          </w:p>
        </w:tc>
        <w:tc>
          <w:tcPr>
            <w:tcW w:w="4023" w:type="dxa"/>
            <w:gridSpan w:val="3"/>
            <w:vAlign w:val="center"/>
          </w:tcPr>
          <w:p>
            <w:pPr>
              <w:jc w:val="center"/>
              <w:rPr>
                <w:rFonts w:ascii="宋体" w:hAnsi="宋体"/>
                <w:szCs w:val="21"/>
              </w:rPr>
            </w:pPr>
            <w:r>
              <w:rPr>
                <w:rFonts w:hint="eastAsia" w:ascii="宋体" w:hAnsi="宋体"/>
                <w:szCs w:val="21"/>
              </w:rPr>
              <w:t>可以调离日期</w:t>
            </w:r>
          </w:p>
        </w:tc>
        <w:tc>
          <w:tcPr>
            <w:tcW w:w="4262" w:type="dxa"/>
            <w:gridSpan w:val="4"/>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68" w:hRule="atLeast"/>
          <w:jc w:val="center"/>
        </w:trPr>
        <w:tc>
          <w:tcPr>
            <w:tcW w:w="1354" w:type="dxa"/>
            <w:vAlign w:val="center"/>
          </w:tcPr>
          <w:p>
            <w:pPr>
              <w:jc w:val="center"/>
              <w:rPr>
                <w:rFonts w:ascii="宋体" w:hAnsi="宋体"/>
                <w:szCs w:val="21"/>
              </w:rPr>
            </w:pPr>
            <w:r>
              <w:rPr>
                <w:rFonts w:hint="eastAsia" w:ascii="宋体" w:hAnsi="宋体"/>
                <w:szCs w:val="21"/>
              </w:rPr>
              <w:t>备注</w:t>
            </w:r>
          </w:p>
        </w:tc>
        <w:tc>
          <w:tcPr>
            <w:tcW w:w="8285" w:type="dxa"/>
            <w:gridSpan w:val="7"/>
            <w:vAlign w:val="center"/>
          </w:tcPr>
          <w:p>
            <w:pPr>
              <w:jc w:val="center"/>
              <w:rPr>
                <w:rFonts w:ascii="宋体" w:hAnsi="宋体"/>
                <w:szCs w:val="21"/>
              </w:rPr>
            </w:pPr>
          </w:p>
        </w:tc>
      </w:tr>
    </w:tbl>
    <w:p>
      <w:pPr>
        <w:ind w:left="735" w:hanging="735" w:hangingChars="350"/>
        <w:rPr>
          <w:rFonts w:ascii="宋体" w:hAnsi="宋体"/>
          <w:szCs w:val="21"/>
        </w:rPr>
      </w:pPr>
      <w:r>
        <w:rPr>
          <w:rFonts w:hint="eastAsia" w:ascii="宋体" w:hAnsi="宋体"/>
          <w:szCs w:val="21"/>
        </w:rPr>
        <w:t>注：1、本表后附项目经理和项目总工的身份证、职称资格证书以及资格预审条件所要求其他相关证书（如建造师注册证书、安全生产考核合格证书等）的原件扫描件（或图片），并应提供其担任类似项目的项目经理和项目总工的相关业绩证明材料原件扫描件（或图片）。</w:t>
      </w:r>
    </w:p>
    <w:p>
      <w:pPr>
        <w:ind w:left="105" w:firstLine="315"/>
        <w:rPr>
          <w:rFonts w:ascii="宋体" w:hAnsi="宋体"/>
          <w:szCs w:val="21"/>
        </w:rPr>
      </w:pPr>
      <w:r>
        <w:rPr>
          <w:rFonts w:hint="eastAsia" w:ascii="宋体" w:hAnsi="宋体"/>
          <w:szCs w:val="21"/>
        </w:rPr>
        <w:t>2、目前未在具体项目上任职的，请在备注栏说明现在负责的工作内容。</w:t>
      </w:r>
    </w:p>
    <w:p>
      <w:pPr>
        <w:pStyle w:val="3"/>
        <w:spacing w:before="66"/>
        <w:ind w:right="180"/>
        <w:jc w:val="center"/>
        <w:rPr>
          <w:rFonts w:ascii="黑体" w:eastAsia="黑体"/>
          <w:sz w:val="30"/>
          <w:szCs w:val="30"/>
        </w:rPr>
      </w:pPr>
      <w:r>
        <w:rPr>
          <w:rFonts w:hint="eastAsia" w:ascii="黑体" w:hAnsi="宋体" w:eastAsia="黑体"/>
          <w:sz w:val="28"/>
          <w:szCs w:val="28"/>
        </w:rPr>
        <w:br w:type="page"/>
      </w:r>
      <w:r>
        <w:rPr>
          <w:rFonts w:hint="eastAsia" w:ascii="黑体" w:eastAsia="黑体"/>
          <w:sz w:val="30"/>
          <w:szCs w:val="30"/>
        </w:rPr>
        <w:t>（七）投标人的信誉情况表</w:t>
      </w:r>
    </w:p>
    <w:tbl>
      <w:tblPr>
        <w:tblStyle w:val="14"/>
        <w:tblW w:w="85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61"/>
        <w:gridCol w:w="42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jc w:val="center"/>
        </w:trPr>
        <w:tc>
          <w:tcPr>
            <w:tcW w:w="4261" w:type="dxa"/>
            <w:vAlign w:val="center"/>
          </w:tcPr>
          <w:p>
            <w:pPr>
              <w:pStyle w:val="28"/>
              <w:ind w:left="1848" w:right="1838"/>
              <w:jc w:val="center"/>
              <w:rPr>
                <w:sz w:val="21"/>
              </w:rPr>
            </w:pPr>
            <w:r>
              <w:rPr>
                <w:sz w:val="21"/>
              </w:rPr>
              <w:t>项 目</w:t>
            </w:r>
          </w:p>
        </w:tc>
        <w:tc>
          <w:tcPr>
            <w:tcW w:w="4264" w:type="dxa"/>
            <w:vAlign w:val="center"/>
          </w:tcPr>
          <w:p>
            <w:pPr>
              <w:pStyle w:val="28"/>
              <w:ind w:left="1394"/>
              <w:rPr>
                <w:sz w:val="21"/>
              </w:rPr>
            </w:pPr>
            <w:r>
              <w:rPr>
                <w:sz w:val="21"/>
              </w:rPr>
              <w:t>投标人情况说明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jc w:val="center"/>
        </w:trPr>
        <w:tc>
          <w:tcPr>
            <w:tcW w:w="4261" w:type="dxa"/>
            <w:vAlign w:val="center"/>
          </w:tcPr>
          <w:p>
            <w:pPr>
              <w:pStyle w:val="28"/>
              <w:jc w:val="center"/>
              <w:rPr>
                <w:rFonts w:ascii="Times New Roman"/>
                <w:sz w:val="20"/>
              </w:rPr>
            </w:pPr>
          </w:p>
        </w:tc>
        <w:tc>
          <w:tcPr>
            <w:tcW w:w="4264" w:type="dxa"/>
            <w:vAlign w:val="center"/>
          </w:tcPr>
          <w:p>
            <w:pPr>
              <w:pStyle w:val="28"/>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jc w:val="center"/>
        </w:trPr>
        <w:tc>
          <w:tcPr>
            <w:tcW w:w="4261" w:type="dxa"/>
            <w:vAlign w:val="center"/>
          </w:tcPr>
          <w:p>
            <w:pPr>
              <w:pStyle w:val="28"/>
              <w:jc w:val="center"/>
              <w:rPr>
                <w:rFonts w:ascii="Times New Roman"/>
                <w:sz w:val="20"/>
              </w:rPr>
            </w:pPr>
          </w:p>
        </w:tc>
        <w:tc>
          <w:tcPr>
            <w:tcW w:w="4264" w:type="dxa"/>
            <w:vAlign w:val="center"/>
          </w:tcPr>
          <w:p>
            <w:pPr>
              <w:pStyle w:val="28"/>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jc w:val="center"/>
        </w:trPr>
        <w:tc>
          <w:tcPr>
            <w:tcW w:w="4261" w:type="dxa"/>
            <w:vAlign w:val="center"/>
          </w:tcPr>
          <w:p>
            <w:pPr>
              <w:pStyle w:val="28"/>
              <w:jc w:val="center"/>
              <w:rPr>
                <w:rFonts w:ascii="Times New Roman"/>
                <w:sz w:val="20"/>
              </w:rPr>
            </w:pPr>
          </w:p>
        </w:tc>
        <w:tc>
          <w:tcPr>
            <w:tcW w:w="4264" w:type="dxa"/>
            <w:vAlign w:val="center"/>
          </w:tcPr>
          <w:p>
            <w:pPr>
              <w:pStyle w:val="28"/>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jc w:val="center"/>
        </w:trPr>
        <w:tc>
          <w:tcPr>
            <w:tcW w:w="4261" w:type="dxa"/>
            <w:vAlign w:val="center"/>
          </w:tcPr>
          <w:p>
            <w:pPr>
              <w:pStyle w:val="28"/>
              <w:jc w:val="center"/>
              <w:rPr>
                <w:rFonts w:ascii="Times New Roman"/>
                <w:sz w:val="20"/>
              </w:rPr>
            </w:pPr>
          </w:p>
        </w:tc>
        <w:tc>
          <w:tcPr>
            <w:tcW w:w="4264" w:type="dxa"/>
            <w:vAlign w:val="center"/>
          </w:tcPr>
          <w:p>
            <w:pPr>
              <w:pStyle w:val="28"/>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jc w:val="center"/>
        </w:trPr>
        <w:tc>
          <w:tcPr>
            <w:tcW w:w="4261" w:type="dxa"/>
            <w:vAlign w:val="center"/>
          </w:tcPr>
          <w:p>
            <w:pPr>
              <w:pStyle w:val="28"/>
              <w:jc w:val="center"/>
              <w:rPr>
                <w:rFonts w:ascii="Times New Roman"/>
                <w:sz w:val="20"/>
              </w:rPr>
            </w:pPr>
          </w:p>
        </w:tc>
        <w:tc>
          <w:tcPr>
            <w:tcW w:w="4264" w:type="dxa"/>
            <w:vAlign w:val="center"/>
          </w:tcPr>
          <w:p>
            <w:pPr>
              <w:pStyle w:val="28"/>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jc w:val="center"/>
        </w:trPr>
        <w:tc>
          <w:tcPr>
            <w:tcW w:w="4261" w:type="dxa"/>
            <w:vAlign w:val="center"/>
          </w:tcPr>
          <w:p>
            <w:pPr>
              <w:pStyle w:val="28"/>
              <w:jc w:val="center"/>
              <w:rPr>
                <w:rFonts w:ascii="Times New Roman"/>
                <w:sz w:val="20"/>
              </w:rPr>
            </w:pPr>
          </w:p>
        </w:tc>
        <w:tc>
          <w:tcPr>
            <w:tcW w:w="4264" w:type="dxa"/>
            <w:vAlign w:val="center"/>
          </w:tcPr>
          <w:p>
            <w:pPr>
              <w:pStyle w:val="28"/>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jc w:val="center"/>
        </w:trPr>
        <w:tc>
          <w:tcPr>
            <w:tcW w:w="4261" w:type="dxa"/>
            <w:vAlign w:val="center"/>
          </w:tcPr>
          <w:p>
            <w:pPr>
              <w:pStyle w:val="28"/>
              <w:jc w:val="center"/>
              <w:rPr>
                <w:rFonts w:ascii="Times New Roman"/>
                <w:sz w:val="20"/>
              </w:rPr>
            </w:pPr>
          </w:p>
        </w:tc>
        <w:tc>
          <w:tcPr>
            <w:tcW w:w="4264" w:type="dxa"/>
            <w:vAlign w:val="center"/>
          </w:tcPr>
          <w:p>
            <w:pPr>
              <w:pStyle w:val="28"/>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jc w:val="center"/>
        </w:trPr>
        <w:tc>
          <w:tcPr>
            <w:tcW w:w="4261" w:type="dxa"/>
            <w:vAlign w:val="center"/>
          </w:tcPr>
          <w:p>
            <w:pPr>
              <w:pStyle w:val="28"/>
              <w:jc w:val="center"/>
              <w:rPr>
                <w:rFonts w:ascii="Times New Roman"/>
                <w:sz w:val="20"/>
              </w:rPr>
            </w:pPr>
          </w:p>
        </w:tc>
        <w:tc>
          <w:tcPr>
            <w:tcW w:w="4264" w:type="dxa"/>
            <w:vAlign w:val="center"/>
          </w:tcPr>
          <w:p>
            <w:pPr>
              <w:pStyle w:val="28"/>
              <w:jc w:val="center"/>
              <w:rPr>
                <w:rFonts w:ascii="Times New Roman"/>
                <w:sz w:val="20"/>
              </w:rPr>
            </w:pPr>
          </w:p>
        </w:tc>
      </w:tr>
    </w:tbl>
    <w:p>
      <w:pPr>
        <w:spacing w:line="267" w:lineRule="exact"/>
        <w:rPr>
          <w:rFonts w:asciiTheme="minorEastAsia" w:hAnsiTheme="minorEastAsia" w:eastAsiaTheme="minorEastAsia"/>
        </w:rPr>
      </w:pPr>
      <w:r>
        <w:rPr>
          <w:rFonts w:asciiTheme="minorEastAsia" w:hAnsiTheme="minorEastAsia" w:eastAsiaTheme="minorEastAsia"/>
        </w:rPr>
        <w:t>注：1.投标人应按照招标文件第二章“投标人须知”前附表附录 4 和“投标人须知”正文第 1.4.4 项规定，逐条说明其信誉情况。</w:t>
      </w:r>
    </w:p>
    <w:p>
      <w:pPr>
        <w:spacing w:line="267" w:lineRule="exact"/>
        <w:ind w:firstLine="420" w:firstLineChars="200"/>
        <w:rPr>
          <w:rFonts w:asciiTheme="minorEastAsia" w:hAnsiTheme="minorEastAsia" w:eastAsiaTheme="minorEastAsia"/>
        </w:rPr>
      </w:pPr>
      <w:r>
        <w:rPr>
          <w:rFonts w:asciiTheme="minorEastAsia" w:hAnsiTheme="minorEastAsia" w:eastAsiaTheme="minorEastAsia"/>
        </w:rPr>
        <w:t>2.投标人应根据招标文件第二章“投标人须知”第 3.5.</w:t>
      </w:r>
      <w:r>
        <w:rPr>
          <w:rFonts w:hint="eastAsia" w:asciiTheme="minorEastAsia" w:hAnsiTheme="minorEastAsia" w:eastAsiaTheme="minorEastAsia"/>
        </w:rPr>
        <w:t>6</w:t>
      </w:r>
      <w:r>
        <w:rPr>
          <w:rFonts w:asciiTheme="minorEastAsia" w:hAnsiTheme="minorEastAsia" w:eastAsiaTheme="minorEastAsia"/>
        </w:rPr>
        <w:t xml:space="preserve"> 项的要求在本表后附相关证明材料。</w:t>
      </w:r>
    </w:p>
    <w:p>
      <w:pPr>
        <w:pStyle w:val="6"/>
        <w:spacing w:beforeLines="100" w:afterLines="100" w:line="360" w:lineRule="exact"/>
        <w:jc w:val="center"/>
        <w:rPr>
          <w:rFonts w:ascii="黑体" w:hAnsi="宋体" w:eastAsia="黑体"/>
          <w:sz w:val="28"/>
          <w:szCs w:val="28"/>
        </w:rPr>
      </w:pPr>
      <w:r>
        <w:rPr>
          <w:rFonts w:hint="eastAsia" w:ascii="黑体" w:hAnsi="宋体" w:eastAsia="黑体"/>
          <w:sz w:val="28"/>
          <w:szCs w:val="28"/>
        </w:rPr>
        <w:t>（八）近年发生的诉讼及仲裁情况</w:t>
      </w:r>
      <w:bookmarkEnd w:id="288"/>
      <w:bookmarkEnd w:id="289"/>
      <w:bookmarkEnd w:id="290"/>
      <w:bookmarkEnd w:id="291"/>
    </w:p>
    <w:tbl>
      <w:tblPr>
        <w:tblStyle w:val="14"/>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19"/>
        <w:gridCol w:w="48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Cs w:val="21"/>
              </w:rPr>
            </w:pPr>
            <w:r>
              <w:rPr>
                <w:rFonts w:hint="eastAsia" w:ascii="宋体" w:hAnsi="宋体"/>
                <w:szCs w:val="21"/>
              </w:rPr>
              <w:t>项目</w:t>
            </w:r>
          </w:p>
        </w:tc>
        <w:tc>
          <w:tcPr>
            <w:tcW w:w="4820" w:type="dxa"/>
            <w:vAlign w:val="center"/>
          </w:tcPr>
          <w:p>
            <w:pPr>
              <w:jc w:val="center"/>
              <w:rPr>
                <w:rFonts w:ascii="宋体" w:hAnsi="宋体"/>
                <w:szCs w:val="21"/>
              </w:rPr>
            </w:pPr>
            <w:r>
              <w:rPr>
                <w:rFonts w:hint="eastAsia" w:ascii="宋体" w:hAnsi="宋体"/>
                <w:szCs w:val="21"/>
              </w:rPr>
              <w:t>投标人情况说明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rPr>
            </w:pPr>
          </w:p>
        </w:tc>
        <w:tc>
          <w:tcPr>
            <w:tcW w:w="4820"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rPr>
            </w:pPr>
          </w:p>
        </w:tc>
        <w:tc>
          <w:tcPr>
            <w:tcW w:w="4820"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rPr>
            </w:pPr>
          </w:p>
        </w:tc>
        <w:tc>
          <w:tcPr>
            <w:tcW w:w="4820"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rPr>
            </w:pPr>
          </w:p>
        </w:tc>
        <w:tc>
          <w:tcPr>
            <w:tcW w:w="4820"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rPr>
            </w:pPr>
          </w:p>
        </w:tc>
        <w:tc>
          <w:tcPr>
            <w:tcW w:w="4820"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rPr>
            </w:pPr>
          </w:p>
        </w:tc>
        <w:tc>
          <w:tcPr>
            <w:tcW w:w="4820"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rPr>
            </w:pPr>
          </w:p>
        </w:tc>
        <w:tc>
          <w:tcPr>
            <w:tcW w:w="4820"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sz w:val="24"/>
              </w:rPr>
            </w:pPr>
          </w:p>
        </w:tc>
        <w:tc>
          <w:tcPr>
            <w:tcW w:w="4820" w:type="dxa"/>
            <w:vAlign w:val="center"/>
          </w:tcPr>
          <w:p>
            <w:pPr>
              <w:jc w:val="center"/>
              <w:rPr>
                <w:rFonts w:ascii="宋体" w:hAnsi="宋体"/>
                <w:sz w:val="24"/>
              </w:rPr>
            </w:pPr>
          </w:p>
        </w:tc>
      </w:tr>
    </w:tbl>
    <w:p>
      <w:pPr>
        <w:rPr>
          <w:sz w:val="24"/>
        </w:rPr>
      </w:pPr>
      <w:r>
        <w:rPr>
          <w:rFonts w:ascii="宋体" w:hAnsi="宋体"/>
          <w:sz w:val="24"/>
        </w:rPr>
        <w:t>应说明相关情况，并附法院或仲裁机构作出的判决、裁决等有关法律文书</w:t>
      </w:r>
      <w:r>
        <w:rPr>
          <w:rFonts w:hint="eastAsia" w:ascii="宋体" w:hAnsi="宋体"/>
          <w:sz w:val="24"/>
        </w:rPr>
        <w:t>的原件扫描件（或图片）</w:t>
      </w:r>
      <w:r>
        <w:rPr>
          <w:rFonts w:ascii="宋体" w:hAnsi="宋体"/>
          <w:sz w:val="24"/>
        </w:rPr>
        <w:t>，具体年份要求见投标人须知前附表。</w:t>
      </w:r>
    </w:p>
    <w:p>
      <w:pPr>
        <w:rPr>
          <w:sz w:val="24"/>
        </w:rPr>
      </w:pPr>
    </w:p>
    <w:p>
      <w:pPr>
        <w:rPr>
          <w:sz w:val="24"/>
        </w:rPr>
      </w:pPr>
    </w:p>
    <w:p>
      <w:pPr>
        <w:rPr>
          <w:sz w:val="24"/>
        </w:rPr>
      </w:pPr>
    </w:p>
    <w:p>
      <w:pPr>
        <w:rPr>
          <w:sz w:val="24"/>
        </w:rPr>
      </w:pPr>
    </w:p>
    <w:p>
      <w:pPr>
        <w:pStyle w:val="2"/>
        <w:ind w:firstLine="210"/>
      </w:pPr>
    </w:p>
    <w:p>
      <w:pPr>
        <w:rPr>
          <w:sz w:val="24"/>
        </w:rPr>
      </w:pPr>
    </w:p>
    <w:p>
      <w:pPr>
        <w:spacing w:before="120" w:after="120"/>
        <w:jc w:val="center"/>
        <w:rPr>
          <w:rFonts w:ascii="黑体" w:eastAsia="黑体"/>
          <w:b/>
          <w:bCs/>
          <w:kern w:val="44"/>
          <w:sz w:val="30"/>
          <w:szCs w:val="30"/>
        </w:rPr>
      </w:pPr>
      <w:r>
        <w:rPr>
          <w:rFonts w:hint="eastAsia" w:ascii="黑体" w:eastAsia="黑体"/>
          <w:b/>
          <w:bCs/>
          <w:kern w:val="44"/>
          <w:sz w:val="30"/>
          <w:szCs w:val="30"/>
        </w:rPr>
        <w:t>七、主要进场管理人员和技术人员最低要求</w:t>
      </w:r>
    </w:p>
    <w:tbl>
      <w:tblPr>
        <w:tblStyle w:val="14"/>
        <w:tblW w:w="930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50"/>
        <w:gridCol w:w="1997"/>
        <w:gridCol w:w="50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6" w:hRule="atLeast"/>
        </w:trPr>
        <w:tc>
          <w:tcPr>
            <w:tcW w:w="2250" w:type="dxa"/>
            <w:vAlign w:val="center"/>
          </w:tcPr>
          <w:p>
            <w:pPr>
              <w:jc w:val="center"/>
              <w:rPr>
                <w:rFonts w:ascii="宋体" w:hAnsi="宋体"/>
                <w:sz w:val="24"/>
              </w:rPr>
            </w:pPr>
            <w:bookmarkStart w:id="292" w:name="_Toc234382989"/>
            <w:r>
              <w:rPr>
                <w:rFonts w:hint="eastAsia" w:ascii="宋体" w:hAnsi="宋体"/>
                <w:sz w:val="24"/>
              </w:rPr>
              <w:t>人  员</w:t>
            </w:r>
          </w:p>
        </w:tc>
        <w:tc>
          <w:tcPr>
            <w:tcW w:w="1997" w:type="dxa"/>
            <w:vAlign w:val="center"/>
          </w:tcPr>
          <w:p>
            <w:pPr>
              <w:jc w:val="center"/>
              <w:rPr>
                <w:rFonts w:ascii="宋体" w:hAnsi="宋体"/>
                <w:sz w:val="24"/>
              </w:rPr>
            </w:pPr>
            <w:r>
              <w:rPr>
                <w:rFonts w:hint="eastAsia" w:ascii="宋体" w:hAnsi="宋体"/>
                <w:sz w:val="24"/>
              </w:rPr>
              <w:t>数  量</w:t>
            </w:r>
          </w:p>
        </w:tc>
        <w:tc>
          <w:tcPr>
            <w:tcW w:w="5053" w:type="dxa"/>
            <w:vAlign w:val="center"/>
          </w:tcPr>
          <w:p>
            <w:pPr>
              <w:jc w:val="center"/>
              <w:rPr>
                <w:rFonts w:ascii="宋体" w:hAnsi="宋体"/>
                <w:sz w:val="24"/>
              </w:rPr>
            </w:pPr>
            <w:r>
              <w:rPr>
                <w:rFonts w:hint="eastAsia" w:ascii="宋体" w:hAnsi="宋体"/>
                <w:sz w:val="24"/>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5" w:hRule="atLeast"/>
        </w:trPr>
        <w:tc>
          <w:tcPr>
            <w:tcW w:w="2250" w:type="dxa"/>
            <w:vAlign w:val="center"/>
          </w:tcPr>
          <w:p>
            <w:pPr>
              <w:jc w:val="center"/>
              <w:rPr>
                <w:rFonts w:ascii="宋体" w:hAnsi="宋体"/>
                <w:szCs w:val="21"/>
              </w:rPr>
            </w:pPr>
            <w:r>
              <w:rPr>
                <w:rFonts w:hint="eastAsia" w:ascii="宋体" w:hAnsi="宋体"/>
                <w:szCs w:val="21"/>
              </w:rPr>
              <w:t>项目经理</w:t>
            </w:r>
          </w:p>
        </w:tc>
        <w:tc>
          <w:tcPr>
            <w:tcW w:w="1997" w:type="dxa"/>
            <w:vAlign w:val="center"/>
          </w:tcPr>
          <w:p>
            <w:pPr>
              <w:jc w:val="center"/>
              <w:rPr>
                <w:rFonts w:ascii="宋体" w:hAnsi="宋体"/>
                <w:szCs w:val="21"/>
              </w:rPr>
            </w:pPr>
            <w:r>
              <w:rPr>
                <w:rFonts w:hint="eastAsia" w:ascii="宋体" w:hAnsi="宋体"/>
                <w:szCs w:val="21"/>
              </w:rPr>
              <w:t>1</w:t>
            </w:r>
          </w:p>
        </w:tc>
        <w:tc>
          <w:tcPr>
            <w:tcW w:w="5053" w:type="dxa"/>
          </w:tcPr>
          <w:p>
            <w:pPr>
              <w:rPr>
                <w:szCs w:val="21"/>
              </w:rPr>
            </w:pPr>
            <w:r>
              <w:rPr>
                <w:rFonts w:hint="eastAsia"/>
                <w:szCs w:val="21"/>
              </w:rPr>
              <w:t>具备贰级及以上公路工程专业注册建造师执业资格，具备有效的安全生产考核合格证书，且未担任其他在施建设项目的项目经理。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250" w:type="dxa"/>
            <w:vAlign w:val="center"/>
          </w:tcPr>
          <w:p>
            <w:pPr>
              <w:jc w:val="center"/>
              <w:rPr>
                <w:rFonts w:ascii="宋体" w:hAnsi="宋体"/>
                <w:szCs w:val="21"/>
              </w:rPr>
            </w:pPr>
            <w:r>
              <w:rPr>
                <w:rFonts w:hint="eastAsia" w:ascii="宋体" w:hAnsi="宋体"/>
                <w:szCs w:val="21"/>
              </w:rPr>
              <w:t>项目总工程师</w:t>
            </w:r>
          </w:p>
        </w:tc>
        <w:tc>
          <w:tcPr>
            <w:tcW w:w="1997" w:type="dxa"/>
            <w:vAlign w:val="center"/>
          </w:tcPr>
          <w:p>
            <w:pPr>
              <w:jc w:val="center"/>
              <w:rPr>
                <w:rFonts w:ascii="宋体" w:hAnsi="宋体"/>
                <w:szCs w:val="21"/>
              </w:rPr>
            </w:pPr>
            <w:r>
              <w:rPr>
                <w:rFonts w:hint="eastAsia" w:ascii="宋体" w:hAnsi="宋体"/>
                <w:szCs w:val="21"/>
              </w:rPr>
              <w:t>1</w:t>
            </w:r>
          </w:p>
        </w:tc>
        <w:tc>
          <w:tcPr>
            <w:tcW w:w="5053" w:type="dxa"/>
            <w:vAlign w:val="center"/>
          </w:tcPr>
          <w:p>
            <w:pPr>
              <w:rPr>
                <w:szCs w:val="21"/>
              </w:rPr>
            </w:pPr>
            <w:r>
              <w:rPr>
                <w:rFonts w:hint="eastAsia"/>
                <w:szCs w:val="21"/>
              </w:rPr>
              <w:t>具备中级及以上相关专业技术职称。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szCs w:val="21"/>
              </w:rPr>
            </w:pPr>
            <w:r>
              <w:rPr>
                <w:szCs w:val="21"/>
              </w:rPr>
              <w:t>财务负责人</w:t>
            </w:r>
          </w:p>
        </w:tc>
        <w:tc>
          <w:tcPr>
            <w:tcW w:w="1997" w:type="dxa"/>
            <w:vAlign w:val="center"/>
          </w:tcPr>
          <w:p>
            <w:pPr>
              <w:jc w:val="center"/>
              <w:rPr>
                <w:szCs w:val="21"/>
              </w:rPr>
            </w:pPr>
            <w:r>
              <w:rPr>
                <w:szCs w:val="21"/>
              </w:rPr>
              <w:t>1</w:t>
            </w:r>
          </w:p>
        </w:tc>
        <w:tc>
          <w:tcPr>
            <w:tcW w:w="5053" w:type="dxa"/>
            <w:vAlign w:val="center"/>
          </w:tcPr>
          <w:p>
            <w:pPr>
              <w:rPr>
                <w:szCs w:val="21"/>
              </w:rPr>
            </w:pPr>
            <w:r>
              <w:rPr>
                <w:szCs w:val="21"/>
              </w:rPr>
              <w:t>会计师，工程经验</w:t>
            </w:r>
            <w:r>
              <w:rPr>
                <w:rFonts w:hint="eastAsia"/>
                <w:szCs w:val="21"/>
              </w:rPr>
              <w:t>3</w:t>
            </w:r>
            <w:r>
              <w:rPr>
                <w:szCs w:val="21"/>
              </w:rPr>
              <w:t>年以上，从事类似工作</w:t>
            </w:r>
            <w:r>
              <w:rPr>
                <w:rFonts w:hint="eastAsia"/>
                <w:szCs w:val="21"/>
              </w:rPr>
              <w:t>2</w:t>
            </w:r>
            <w:r>
              <w:rPr>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szCs w:val="21"/>
              </w:rPr>
            </w:pPr>
            <w:r>
              <w:rPr>
                <w:szCs w:val="21"/>
              </w:rPr>
              <w:t>质检工程师</w:t>
            </w:r>
          </w:p>
        </w:tc>
        <w:tc>
          <w:tcPr>
            <w:tcW w:w="1997" w:type="dxa"/>
            <w:vAlign w:val="center"/>
          </w:tcPr>
          <w:p>
            <w:pPr>
              <w:jc w:val="center"/>
              <w:rPr>
                <w:szCs w:val="21"/>
              </w:rPr>
            </w:pPr>
            <w:r>
              <w:rPr>
                <w:szCs w:val="21"/>
              </w:rPr>
              <w:t>1</w:t>
            </w:r>
          </w:p>
        </w:tc>
        <w:tc>
          <w:tcPr>
            <w:tcW w:w="5053" w:type="dxa"/>
            <w:vAlign w:val="center"/>
          </w:tcPr>
          <w:p>
            <w:pPr>
              <w:rPr>
                <w:szCs w:val="21"/>
              </w:rPr>
            </w:pPr>
            <w:r>
              <w:rPr>
                <w:szCs w:val="21"/>
              </w:rPr>
              <w:t>工程师，工程经验</w:t>
            </w:r>
            <w:r>
              <w:rPr>
                <w:rFonts w:hint="eastAsia"/>
                <w:szCs w:val="21"/>
              </w:rPr>
              <w:t>3</w:t>
            </w:r>
            <w:r>
              <w:rPr>
                <w:szCs w:val="21"/>
              </w:rPr>
              <w:t>年以上，从事类似工程</w:t>
            </w:r>
            <w:r>
              <w:rPr>
                <w:rFonts w:hint="eastAsia"/>
                <w:szCs w:val="21"/>
              </w:rPr>
              <w:t>2</w:t>
            </w:r>
            <w:r>
              <w:rPr>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szCs w:val="21"/>
              </w:rPr>
            </w:pPr>
            <w:r>
              <w:rPr>
                <w:szCs w:val="21"/>
              </w:rPr>
              <w:t>路基</w:t>
            </w:r>
            <w:r>
              <w:rPr>
                <w:rFonts w:hint="eastAsia"/>
                <w:szCs w:val="21"/>
              </w:rPr>
              <w:t>、路面</w:t>
            </w:r>
            <w:r>
              <w:rPr>
                <w:szCs w:val="21"/>
              </w:rPr>
              <w:t>工程师</w:t>
            </w:r>
          </w:p>
        </w:tc>
        <w:tc>
          <w:tcPr>
            <w:tcW w:w="1997" w:type="dxa"/>
            <w:vAlign w:val="center"/>
          </w:tcPr>
          <w:p>
            <w:pPr>
              <w:jc w:val="center"/>
              <w:rPr>
                <w:szCs w:val="21"/>
              </w:rPr>
            </w:pPr>
            <w:r>
              <w:rPr>
                <w:szCs w:val="21"/>
              </w:rPr>
              <w:t>1</w:t>
            </w:r>
          </w:p>
        </w:tc>
        <w:tc>
          <w:tcPr>
            <w:tcW w:w="5053" w:type="dxa"/>
            <w:vAlign w:val="center"/>
          </w:tcPr>
          <w:p>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szCs w:val="21"/>
              </w:rPr>
            </w:pPr>
            <w:r>
              <w:rPr>
                <w:szCs w:val="21"/>
              </w:rPr>
              <w:t>测量工程师</w:t>
            </w:r>
          </w:p>
        </w:tc>
        <w:tc>
          <w:tcPr>
            <w:tcW w:w="1997" w:type="dxa"/>
            <w:vAlign w:val="center"/>
          </w:tcPr>
          <w:p>
            <w:pPr>
              <w:jc w:val="center"/>
              <w:rPr>
                <w:szCs w:val="21"/>
              </w:rPr>
            </w:pPr>
            <w:r>
              <w:rPr>
                <w:szCs w:val="21"/>
              </w:rPr>
              <w:t>1</w:t>
            </w:r>
          </w:p>
        </w:tc>
        <w:tc>
          <w:tcPr>
            <w:tcW w:w="5053" w:type="dxa"/>
            <w:vAlign w:val="center"/>
          </w:tcPr>
          <w:p>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9" w:hRule="atLeast"/>
        </w:trPr>
        <w:tc>
          <w:tcPr>
            <w:tcW w:w="2250" w:type="dxa"/>
            <w:vAlign w:val="center"/>
          </w:tcPr>
          <w:p>
            <w:pPr>
              <w:jc w:val="center"/>
              <w:rPr>
                <w:szCs w:val="21"/>
              </w:rPr>
            </w:pPr>
            <w:r>
              <w:rPr>
                <w:szCs w:val="21"/>
              </w:rPr>
              <w:t>试验负责人</w:t>
            </w:r>
          </w:p>
        </w:tc>
        <w:tc>
          <w:tcPr>
            <w:tcW w:w="1997" w:type="dxa"/>
            <w:vAlign w:val="center"/>
          </w:tcPr>
          <w:p>
            <w:pPr>
              <w:jc w:val="center"/>
              <w:rPr>
                <w:szCs w:val="21"/>
              </w:rPr>
            </w:pPr>
            <w:r>
              <w:rPr>
                <w:szCs w:val="21"/>
              </w:rPr>
              <w:t>1</w:t>
            </w:r>
          </w:p>
        </w:tc>
        <w:tc>
          <w:tcPr>
            <w:tcW w:w="5053" w:type="dxa"/>
            <w:vAlign w:val="center"/>
          </w:tcPr>
          <w:p>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年以上，具有交通运输部颁发的试验检测工程师资格证。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szCs w:val="21"/>
              </w:rPr>
            </w:pPr>
            <w:r>
              <w:rPr>
                <w:szCs w:val="21"/>
              </w:rPr>
              <w:t>机械工程师</w:t>
            </w:r>
          </w:p>
        </w:tc>
        <w:tc>
          <w:tcPr>
            <w:tcW w:w="1997" w:type="dxa"/>
            <w:vAlign w:val="center"/>
          </w:tcPr>
          <w:p>
            <w:pPr>
              <w:jc w:val="center"/>
              <w:rPr>
                <w:szCs w:val="21"/>
              </w:rPr>
            </w:pPr>
            <w:r>
              <w:rPr>
                <w:szCs w:val="21"/>
              </w:rPr>
              <w:t>1</w:t>
            </w:r>
          </w:p>
        </w:tc>
        <w:tc>
          <w:tcPr>
            <w:tcW w:w="5053" w:type="dxa"/>
            <w:vAlign w:val="center"/>
          </w:tcPr>
          <w:p>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3" w:hRule="atLeast"/>
        </w:trPr>
        <w:tc>
          <w:tcPr>
            <w:tcW w:w="2250" w:type="dxa"/>
            <w:vAlign w:val="center"/>
          </w:tcPr>
          <w:p>
            <w:pPr>
              <w:jc w:val="center"/>
              <w:rPr>
                <w:szCs w:val="21"/>
              </w:rPr>
            </w:pPr>
            <w:r>
              <w:rPr>
                <w:szCs w:val="21"/>
              </w:rPr>
              <w:t>专职安全员</w:t>
            </w:r>
          </w:p>
        </w:tc>
        <w:tc>
          <w:tcPr>
            <w:tcW w:w="1997" w:type="dxa"/>
            <w:vAlign w:val="center"/>
          </w:tcPr>
          <w:p>
            <w:pPr>
              <w:jc w:val="center"/>
              <w:rPr>
                <w:szCs w:val="21"/>
              </w:rPr>
            </w:pPr>
            <w:r>
              <w:rPr>
                <w:rFonts w:hint="eastAsia"/>
                <w:szCs w:val="21"/>
              </w:rPr>
              <w:t>1</w:t>
            </w:r>
          </w:p>
        </w:tc>
        <w:tc>
          <w:tcPr>
            <w:tcW w:w="5053" w:type="dxa"/>
            <w:vAlign w:val="center"/>
          </w:tcPr>
          <w:p>
            <w:pPr>
              <w:rPr>
                <w:szCs w:val="21"/>
              </w:rPr>
            </w:pPr>
            <w:r>
              <w:rPr>
                <w:szCs w:val="21"/>
              </w:rPr>
              <w:t>从事类似工作3年以上</w:t>
            </w:r>
            <w:r>
              <w:rPr>
                <w:szCs w:val="21"/>
                <w:lang w:val="zh-CN"/>
              </w:rPr>
              <w:t>，</w:t>
            </w:r>
            <w:r>
              <w:rPr>
                <w:szCs w:val="21"/>
              </w:rPr>
              <w:t>具</w:t>
            </w:r>
            <w:r>
              <w:rPr>
                <w:rFonts w:hint="eastAsia"/>
                <w:szCs w:val="21"/>
              </w:rPr>
              <w:t>有有效</w:t>
            </w:r>
            <w:r>
              <w:rPr>
                <w:szCs w:val="21"/>
              </w:rPr>
              <w:t>的安全生产考核合格证。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spacing w:line="400" w:lineRule="exact"/>
              <w:jc w:val="left"/>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2250" w:type="dxa"/>
            <w:vAlign w:val="center"/>
          </w:tcPr>
          <w:p>
            <w:pPr>
              <w:jc w:val="center"/>
              <w:rPr>
                <w:rFonts w:ascii="宋体" w:hAnsi="宋体"/>
                <w:sz w:val="24"/>
              </w:rPr>
            </w:pPr>
          </w:p>
        </w:tc>
        <w:tc>
          <w:tcPr>
            <w:tcW w:w="1997" w:type="dxa"/>
            <w:vAlign w:val="center"/>
          </w:tcPr>
          <w:p>
            <w:pPr>
              <w:jc w:val="center"/>
              <w:rPr>
                <w:rFonts w:ascii="宋体" w:hAnsi="宋体"/>
                <w:sz w:val="24"/>
              </w:rPr>
            </w:pPr>
          </w:p>
        </w:tc>
        <w:tc>
          <w:tcPr>
            <w:tcW w:w="5053" w:type="dxa"/>
            <w:vAlign w:val="center"/>
          </w:tcPr>
          <w:p>
            <w:pPr>
              <w:rPr>
                <w:rFonts w:ascii="宋体" w:hAnsi="宋体"/>
                <w:sz w:val="24"/>
              </w:rPr>
            </w:pPr>
          </w:p>
        </w:tc>
      </w:tr>
    </w:tbl>
    <w:p>
      <w:pPr>
        <w:spacing w:line="500" w:lineRule="exact"/>
        <w:ind w:firstLine="420" w:firstLineChars="200"/>
        <w:rPr>
          <w:rFonts w:ascii="宋体" w:hAnsi="宋体"/>
          <w:szCs w:val="21"/>
        </w:rPr>
      </w:pPr>
    </w:p>
    <w:p>
      <w:pPr>
        <w:spacing w:line="500" w:lineRule="exact"/>
        <w:ind w:firstLine="420" w:firstLineChars="200"/>
        <w:rPr>
          <w:rFonts w:ascii="宋体" w:hAnsi="宋体"/>
          <w:szCs w:val="21"/>
        </w:rPr>
      </w:pPr>
      <w:r>
        <w:rPr>
          <w:rFonts w:hint="eastAsia" w:ascii="宋体" w:hAnsi="宋体"/>
          <w:szCs w:val="21"/>
        </w:rPr>
        <w:t>我方在此承诺：若我方中标，我方将严格按照在投标文件中填报的主要管理人员和技术人员组织进场施工，且不进行更换。如我方违背了上述承诺，本项目招标人有权取消我方的中标资格，并由招标人将我方的违约行为上报省级交通主管部门，作为不良记录纳入公路建设市场信息管理系统。</w:t>
      </w:r>
    </w:p>
    <w:p>
      <w:pPr>
        <w:spacing w:line="500" w:lineRule="exact"/>
        <w:ind w:firstLine="3885" w:firstLineChars="1850"/>
        <w:rPr>
          <w:rFonts w:ascii="宋体" w:hAnsi="宋体"/>
          <w:szCs w:val="21"/>
        </w:rPr>
      </w:pPr>
      <w:r>
        <w:rPr>
          <w:rFonts w:hint="eastAsia" w:ascii="宋体" w:hAnsi="宋体"/>
          <w:kern w:val="0"/>
          <w:szCs w:val="21"/>
        </w:rPr>
        <w:t>投  标  人：</w:t>
      </w:r>
      <w:r>
        <w:rPr>
          <w:rFonts w:hint="eastAsia" w:ascii="宋体" w:hAnsi="宋体"/>
          <w:szCs w:val="21"/>
        </w:rPr>
        <w:t>（盖单位章）</w:t>
      </w:r>
    </w:p>
    <w:p>
      <w:pPr>
        <w:adjustRightInd w:val="0"/>
        <w:snapToGrid w:val="0"/>
        <w:spacing w:line="360" w:lineRule="auto"/>
        <w:jc w:val="center"/>
        <w:rPr>
          <w:rFonts w:ascii="宋体" w:hAnsi="宋体"/>
          <w:szCs w:val="21"/>
        </w:rPr>
      </w:pPr>
    </w:p>
    <w:p>
      <w:pPr>
        <w:adjustRightInd w:val="0"/>
        <w:snapToGrid w:val="0"/>
        <w:spacing w:line="360" w:lineRule="auto"/>
        <w:jc w:val="center"/>
        <w:rPr>
          <w:rFonts w:ascii="黑体" w:eastAsia="黑体"/>
          <w:sz w:val="30"/>
          <w:szCs w:val="30"/>
          <w:u w:val="single"/>
        </w:rPr>
      </w:pPr>
      <w:r>
        <w:rPr>
          <w:rFonts w:hint="eastAsia" w:ascii="宋体" w:hAnsi="宋体"/>
          <w:szCs w:val="21"/>
        </w:rPr>
        <w:t xml:space="preserve">                            法定代表人或其委托代理人：（签字）</w:t>
      </w:r>
    </w:p>
    <w:bookmarkEnd w:id="292"/>
    <w:p>
      <w:pPr>
        <w:spacing w:before="120" w:after="120"/>
        <w:jc w:val="center"/>
        <w:rPr>
          <w:rFonts w:ascii="黑体" w:eastAsia="黑体"/>
          <w:b/>
          <w:bCs/>
          <w:kern w:val="44"/>
          <w:sz w:val="30"/>
          <w:szCs w:val="30"/>
        </w:rPr>
      </w:pPr>
      <w:bookmarkStart w:id="293" w:name="_Toc234382990"/>
      <w:r>
        <w:rPr>
          <w:rFonts w:hint="eastAsia" w:ascii="黑体" w:eastAsia="黑体"/>
          <w:b/>
          <w:bCs/>
          <w:kern w:val="44"/>
          <w:sz w:val="30"/>
          <w:szCs w:val="30"/>
        </w:rPr>
        <w:t>八、</w:t>
      </w:r>
      <w:r>
        <w:rPr>
          <w:rFonts w:ascii="黑体" w:eastAsia="黑体"/>
          <w:b/>
          <w:bCs/>
          <w:kern w:val="44"/>
          <w:sz w:val="30"/>
          <w:szCs w:val="30"/>
        </w:rPr>
        <w:t>农民工工资支付承诺书</w:t>
      </w:r>
    </w:p>
    <w:p>
      <w:pPr>
        <w:adjustRightInd w:val="0"/>
        <w:snapToGrid w:val="0"/>
        <w:spacing w:afterLines="50" w:line="343" w:lineRule="auto"/>
        <w:ind w:firstLine="360" w:firstLineChars="150"/>
        <w:rPr>
          <w:sz w:val="24"/>
        </w:rPr>
      </w:pPr>
      <w:r>
        <w:rPr>
          <w:rFonts w:hint="eastAsia"/>
          <w:sz w:val="24"/>
        </w:rPr>
        <w:t>我单位在此郑重承诺：</w:t>
      </w:r>
    </w:p>
    <w:p>
      <w:pPr>
        <w:adjustRightInd w:val="0"/>
        <w:snapToGrid w:val="0"/>
        <w:spacing w:afterLines="50" w:line="343" w:lineRule="auto"/>
        <w:ind w:firstLine="360" w:firstLineChars="150"/>
        <w:rPr>
          <w:sz w:val="24"/>
        </w:rPr>
      </w:pPr>
      <w:r>
        <w:rPr>
          <w:sz w:val="24"/>
        </w:rPr>
        <w:t>一、开工前与农民工签定劳动合同</w:t>
      </w:r>
      <w:r>
        <w:rPr>
          <w:sz w:val="24"/>
        </w:rPr>
        <w:br w:type="textWrapping"/>
      </w:r>
      <w:r>
        <w:rPr>
          <w:sz w:val="24"/>
        </w:rPr>
        <w:t>     二、按时支付农民工工资、加班加点工资。</w:t>
      </w:r>
      <w:r>
        <w:rPr>
          <w:sz w:val="24"/>
        </w:rPr>
        <w:br w:type="textWrapping"/>
      </w:r>
      <w:r>
        <w:rPr>
          <w:sz w:val="24"/>
        </w:rPr>
        <w:t>     三、支付农民工工资不低于</w:t>
      </w:r>
      <w:r>
        <w:rPr>
          <w:rFonts w:hint="eastAsia"/>
          <w:sz w:val="24"/>
        </w:rPr>
        <w:t>河南</w:t>
      </w:r>
      <w:r>
        <w:rPr>
          <w:sz w:val="24"/>
        </w:rPr>
        <w:t>省最低工资标准</w:t>
      </w:r>
      <w:r>
        <w:rPr>
          <w:sz w:val="24"/>
          <w:u w:val="single"/>
        </w:rPr>
        <w:t xml:space="preserve">    </w:t>
      </w:r>
      <w:r>
        <w:rPr>
          <w:sz w:val="24"/>
        </w:rPr>
        <w:t>元。</w:t>
      </w:r>
      <w:r>
        <w:rPr>
          <w:sz w:val="24"/>
        </w:rPr>
        <w:br w:type="textWrapping"/>
      </w:r>
      <w:r>
        <w:rPr>
          <w:sz w:val="24"/>
        </w:rPr>
        <w:t>     四、不无故拖欠、克扣农民工工资。</w:t>
      </w:r>
      <w:r>
        <w:rPr>
          <w:sz w:val="24"/>
        </w:rPr>
        <w:br w:type="textWrapping"/>
      </w:r>
      <w:r>
        <w:rPr>
          <w:sz w:val="24"/>
        </w:rPr>
        <w:t>     五、</w:t>
      </w:r>
      <w:r>
        <w:rPr>
          <w:rFonts w:hint="eastAsia"/>
          <w:sz w:val="24"/>
        </w:rPr>
        <w:t>坚决不</w:t>
      </w:r>
      <w:r>
        <w:rPr>
          <w:sz w:val="24"/>
        </w:rPr>
        <w:t>侵害农民工劳动报酬的合法权益。</w:t>
      </w:r>
      <w:r>
        <w:rPr>
          <w:sz w:val="24"/>
        </w:rPr>
        <w:br w:type="textWrapping"/>
      </w:r>
      <w:r>
        <w:rPr>
          <w:sz w:val="24"/>
        </w:rPr>
        <w:t>      六、若有拖欠、克扣农民工工资、加班加点工资及侵害农民工劳动报酬权益的行为，</w:t>
      </w:r>
      <w:r>
        <w:rPr>
          <w:rFonts w:hint="eastAsia"/>
          <w:sz w:val="24"/>
        </w:rPr>
        <w:t>经有关部门</w:t>
      </w:r>
      <w:r>
        <w:rPr>
          <w:sz w:val="24"/>
        </w:rPr>
        <w:t>查证属实后，</w:t>
      </w:r>
      <w:r>
        <w:rPr>
          <w:rFonts w:hint="eastAsia"/>
          <w:sz w:val="24"/>
        </w:rPr>
        <w:t>自愿</w:t>
      </w:r>
      <w:r>
        <w:rPr>
          <w:sz w:val="24"/>
        </w:rPr>
        <w:t>从工资保</w:t>
      </w:r>
      <w:r>
        <w:rPr>
          <w:rFonts w:hint="eastAsia"/>
          <w:sz w:val="24"/>
        </w:rPr>
        <w:t>障</w:t>
      </w:r>
      <w:r>
        <w:rPr>
          <w:sz w:val="24"/>
        </w:rPr>
        <w:t>金中支付，</w:t>
      </w:r>
      <w:r>
        <w:rPr>
          <w:rFonts w:hint="eastAsia"/>
          <w:sz w:val="24"/>
        </w:rPr>
        <w:t>且</w:t>
      </w:r>
      <w:r>
        <w:rPr>
          <w:sz w:val="24"/>
        </w:rPr>
        <w:t>在一个星期内补足保</w:t>
      </w:r>
      <w:r>
        <w:rPr>
          <w:rFonts w:hint="eastAsia"/>
          <w:sz w:val="24"/>
        </w:rPr>
        <w:t>障</w:t>
      </w:r>
      <w:r>
        <w:rPr>
          <w:sz w:val="24"/>
        </w:rPr>
        <w:t>金。</w:t>
      </w:r>
      <w:r>
        <w:rPr>
          <w:sz w:val="24"/>
        </w:rPr>
        <w:br w:type="textWrapping"/>
      </w:r>
    </w:p>
    <w:p>
      <w:pPr>
        <w:adjustRightInd w:val="0"/>
        <w:snapToGrid w:val="0"/>
        <w:spacing w:afterLines="50" w:line="343" w:lineRule="auto"/>
        <w:ind w:firstLine="360" w:firstLineChars="150"/>
        <w:rPr>
          <w:sz w:val="24"/>
        </w:rPr>
      </w:pPr>
    </w:p>
    <w:p>
      <w:pPr>
        <w:adjustRightInd w:val="0"/>
        <w:snapToGrid w:val="0"/>
        <w:spacing w:afterLines="50" w:line="343" w:lineRule="auto"/>
        <w:ind w:firstLine="360" w:firstLineChars="150"/>
        <w:rPr>
          <w:sz w:val="24"/>
        </w:rPr>
      </w:pPr>
    </w:p>
    <w:p>
      <w:pPr>
        <w:adjustRightInd w:val="0"/>
        <w:snapToGrid w:val="0"/>
        <w:spacing w:afterLines="50" w:line="343" w:lineRule="auto"/>
        <w:ind w:firstLine="360" w:firstLineChars="150"/>
        <w:rPr>
          <w:sz w:val="24"/>
        </w:rPr>
      </w:pPr>
    </w:p>
    <w:p>
      <w:pPr>
        <w:adjustRightInd w:val="0"/>
        <w:snapToGrid w:val="0"/>
        <w:spacing w:afterLines="50" w:line="343" w:lineRule="auto"/>
        <w:ind w:firstLine="360" w:firstLineChars="150"/>
        <w:rPr>
          <w:sz w:val="24"/>
        </w:rPr>
      </w:pPr>
    </w:p>
    <w:p>
      <w:pPr>
        <w:adjustRightInd w:val="0"/>
        <w:snapToGrid w:val="0"/>
        <w:spacing w:afterLines="50" w:line="343" w:lineRule="auto"/>
        <w:ind w:right="480" w:firstLine="3480" w:firstLineChars="1450"/>
        <w:rPr>
          <w:sz w:val="24"/>
          <w:u w:val="single"/>
        </w:rPr>
      </w:pPr>
      <w:r>
        <w:rPr>
          <w:rFonts w:hint="eastAsia"/>
          <w:sz w:val="24"/>
        </w:rPr>
        <w:t>承诺人：</w:t>
      </w:r>
      <w:r>
        <w:rPr>
          <w:rFonts w:hint="eastAsia"/>
          <w:sz w:val="24"/>
          <w:u w:val="single"/>
        </w:rPr>
        <w:t>（单位全称）（盖章）</w:t>
      </w:r>
    </w:p>
    <w:p>
      <w:pPr>
        <w:adjustRightInd w:val="0"/>
        <w:snapToGrid w:val="0"/>
        <w:spacing w:afterLines="50" w:line="343" w:lineRule="auto"/>
        <w:ind w:firstLine="3480" w:firstLineChars="1450"/>
        <w:rPr>
          <w:sz w:val="24"/>
          <w:u w:val="single"/>
        </w:rPr>
      </w:pPr>
      <w:r>
        <w:rPr>
          <w:rFonts w:hint="eastAsia"/>
          <w:sz w:val="24"/>
        </w:rPr>
        <w:t>法定代表人或其委托代理人：</w:t>
      </w:r>
      <w:r>
        <w:rPr>
          <w:rFonts w:hint="eastAsia"/>
          <w:sz w:val="24"/>
          <w:u w:val="single"/>
        </w:rPr>
        <w:t xml:space="preserve">    (签字) </w:t>
      </w:r>
    </w:p>
    <w:p>
      <w:pPr>
        <w:adjustRightInd w:val="0"/>
        <w:snapToGrid w:val="0"/>
        <w:spacing w:afterLines="50" w:line="343" w:lineRule="auto"/>
        <w:ind w:firstLine="360" w:firstLineChars="150"/>
        <w:rPr>
          <w:sz w:val="24"/>
          <w:u w:val="single"/>
        </w:rPr>
      </w:pPr>
    </w:p>
    <w:p>
      <w:pPr>
        <w:adjustRightInd w:val="0"/>
        <w:snapToGrid w:val="0"/>
        <w:spacing w:afterLines="50" w:line="343" w:lineRule="auto"/>
        <w:rPr>
          <w:rFonts w:ascii="黑体" w:eastAsia="黑体"/>
          <w:sz w:val="28"/>
          <w:szCs w:val="28"/>
        </w:rPr>
      </w:pPr>
    </w:p>
    <w:p>
      <w:pPr>
        <w:pStyle w:val="6"/>
        <w:spacing w:beforeLines="100" w:afterLines="150" w:line="360" w:lineRule="exact"/>
        <w:jc w:val="center"/>
        <w:rPr>
          <w:rFonts w:ascii="黑体" w:eastAsia="黑体"/>
          <w:sz w:val="30"/>
          <w:szCs w:val="30"/>
        </w:rPr>
      </w:pPr>
      <w:bookmarkStart w:id="294" w:name="_Toc485889080"/>
      <w:bookmarkStart w:id="295" w:name="_Toc486277945"/>
      <w:bookmarkStart w:id="296" w:name="_Toc18302"/>
      <w:r>
        <w:rPr>
          <w:rFonts w:hint="eastAsia" w:ascii="黑体" w:eastAsia="黑体"/>
          <w:sz w:val="30"/>
          <w:szCs w:val="30"/>
        </w:rPr>
        <w:t>九、扬尘治理专项承诺书</w:t>
      </w:r>
      <w:bookmarkEnd w:id="294"/>
      <w:bookmarkEnd w:id="295"/>
      <w:bookmarkEnd w:id="296"/>
    </w:p>
    <w:p>
      <w:pPr>
        <w:pStyle w:val="6"/>
        <w:spacing w:beforeLines="100" w:afterLines="150" w:line="360" w:lineRule="exact"/>
        <w:jc w:val="center"/>
        <w:rPr>
          <w:rFonts w:ascii="黑体" w:eastAsia="黑体"/>
          <w:sz w:val="24"/>
        </w:rPr>
      </w:pPr>
    </w:p>
    <w:p>
      <w:pPr>
        <w:pStyle w:val="6"/>
        <w:spacing w:beforeLines="100" w:afterLines="150" w:line="360" w:lineRule="exact"/>
        <w:jc w:val="center"/>
        <w:rPr>
          <w:rFonts w:ascii="黑体" w:eastAsia="黑体"/>
          <w:sz w:val="24"/>
        </w:rPr>
      </w:pPr>
    </w:p>
    <w:p>
      <w:pPr>
        <w:pStyle w:val="6"/>
        <w:spacing w:beforeLines="100" w:afterLines="150" w:line="360" w:lineRule="exact"/>
        <w:jc w:val="center"/>
        <w:rPr>
          <w:rFonts w:ascii="黑体" w:eastAsia="黑体"/>
          <w:sz w:val="24"/>
        </w:rPr>
      </w:pPr>
    </w:p>
    <w:p>
      <w:pPr>
        <w:pStyle w:val="6"/>
        <w:spacing w:beforeLines="100" w:afterLines="150" w:line="360" w:lineRule="exact"/>
        <w:jc w:val="center"/>
        <w:rPr>
          <w:rFonts w:ascii="黑体" w:eastAsia="黑体"/>
          <w:sz w:val="30"/>
          <w:szCs w:val="30"/>
        </w:rPr>
      </w:pPr>
    </w:p>
    <w:p>
      <w:pPr>
        <w:pStyle w:val="6"/>
        <w:spacing w:beforeLines="100" w:afterLines="150" w:line="360" w:lineRule="exact"/>
        <w:jc w:val="center"/>
        <w:rPr>
          <w:rFonts w:ascii="黑体" w:hAnsi="宋体" w:eastAsia="黑体"/>
          <w:sz w:val="30"/>
          <w:szCs w:val="30"/>
        </w:rPr>
      </w:pPr>
      <w:bookmarkStart w:id="297" w:name="_Toc485889081"/>
      <w:bookmarkStart w:id="298" w:name="_Toc5401"/>
      <w:bookmarkStart w:id="299" w:name="_Toc486277946"/>
      <w:r>
        <w:rPr>
          <w:rFonts w:hint="eastAsia" w:ascii="黑体" w:hAnsi="宋体" w:eastAsia="黑体"/>
          <w:sz w:val="30"/>
          <w:szCs w:val="30"/>
        </w:rPr>
        <w:t>十、其 他 材 料</w:t>
      </w:r>
      <w:bookmarkEnd w:id="293"/>
      <w:bookmarkEnd w:id="297"/>
      <w:bookmarkEnd w:id="298"/>
      <w:bookmarkEnd w:id="299"/>
    </w:p>
    <w:p/>
    <w:p/>
    <w:p>
      <w:pPr>
        <w:pStyle w:val="6"/>
        <w:spacing w:beforeLines="100" w:afterLines="150" w:line="360" w:lineRule="exact"/>
        <w:jc w:val="center"/>
      </w:pPr>
    </w:p>
    <w:p>
      <w:pPr>
        <w:pStyle w:val="6"/>
        <w:spacing w:beforeLines="100" w:afterLines="150" w:line="360" w:lineRule="exact"/>
        <w:jc w:val="center"/>
      </w:pPr>
    </w:p>
    <w:p/>
    <w:p/>
    <w:p/>
    <w:p/>
    <w:p/>
    <w:p/>
    <w:p/>
    <w:p/>
    <w:p/>
    <w:p/>
    <w:p/>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jc w:val="right"/>
        <w:rPr>
          <w:rFonts w:asciiTheme="minorEastAsia" w:hAnsiTheme="minorEastAsia" w:eastAsiaTheme="minorEastAsia"/>
          <w:bCs/>
          <w:sz w:val="36"/>
          <w:szCs w:val="36"/>
        </w:rPr>
      </w:pPr>
      <w:r>
        <w:rPr>
          <w:rFonts w:hint="eastAsia" w:asciiTheme="minorEastAsia" w:hAnsiTheme="minorEastAsia" w:eastAsiaTheme="minorEastAsia"/>
          <w:bCs/>
          <w:sz w:val="36"/>
          <w:szCs w:val="36"/>
        </w:rPr>
        <w:t>正（副）本</w:t>
      </w:r>
    </w:p>
    <w:p>
      <w:pPr>
        <w:ind w:firstLine="520" w:firstLineChars="100"/>
        <w:rPr>
          <w:rFonts w:asciiTheme="minorEastAsia" w:hAnsiTheme="minorEastAsia" w:eastAsiaTheme="minorEastAsia"/>
          <w:bCs/>
          <w:sz w:val="52"/>
          <w:szCs w:val="52"/>
          <w:u w:val="single"/>
        </w:rPr>
      </w:pPr>
    </w:p>
    <w:p>
      <w:pPr>
        <w:ind w:firstLine="520" w:firstLineChars="100"/>
        <w:rPr>
          <w:rFonts w:asciiTheme="minorEastAsia" w:hAnsiTheme="minorEastAsia" w:eastAsiaTheme="minorEastAsia"/>
          <w:bCs/>
          <w:sz w:val="36"/>
          <w:szCs w:val="36"/>
          <w:u w:val="single"/>
        </w:rPr>
      </w:pPr>
      <w:r>
        <w:rPr>
          <w:rFonts w:hint="eastAsia" w:asciiTheme="minorEastAsia" w:hAnsiTheme="minorEastAsia" w:eastAsiaTheme="minorEastAsia"/>
          <w:bCs/>
          <w:sz w:val="52"/>
          <w:szCs w:val="52"/>
          <w:u w:val="single"/>
        </w:rPr>
        <w:t xml:space="preserve">         (项目名称) </w:t>
      </w:r>
      <w:r>
        <w:rPr>
          <w:rFonts w:hint="eastAsia" w:asciiTheme="majorEastAsia" w:hAnsiTheme="majorEastAsia" w:eastAsiaTheme="majorEastAsia"/>
          <w:bCs/>
          <w:sz w:val="52"/>
          <w:szCs w:val="52"/>
          <w:u w:val="single"/>
        </w:rPr>
        <w:t>（标段）</w:t>
      </w:r>
    </w:p>
    <w:p>
      <w:pPr>
        <w:spacing w:line="360" w:lineRule="auto"/>
        <w:rPr>
          <w:rFonts w:asciiTheme="minorEastAsia" w:hAnsiTheme="minorEastAsia" w:eastAsiaTheme="minorEastAsia"/>
          <w:sz w:val="36"/>
          <w:szCs w:val="36"/>
        </w:rPr>
      </w:pPr>
    </w:p>
    <w:p>
      <w:pPr>
        <w:spacing w:line="360" w:lineRule="auto"/>
        <w:jc w:val="center"/>
        <w:rPr>
          <w:rFonts w:asciiTheme="minorEastAsia" w:hAnsiTheme="minorEastAsia" w:eastAsiaTheme="minorEastAsia"/>
          <w:b/>
          <w:sz w:val="52"/>
          <w:szCs w:val="52"/>
        </w:rPr>
      </w:pPr>
      <w:r>
        <w:rPr>
          <w:rFonts w:hint="eastAsia" w:asciiTheme="minorEastAsia" w:hAnsiTheme="minorEastAsia" w:eastAsiaTheme="minorEastAsia"/>
          <w:sz w:val="36"/>
          <w:szCs w:val="36"/>
        </w:rPr>
        <w:t>建安建工公字〔20</w:t>
      </w:r>
      <w:r>
        <w:rPr>
          <w:rFonts w:hint="eastAsia" w:asciiTheme="minorEastAsia" w:hAnsiTheme="minorEastAsia" w:eastAsiaTheme="minorEastAsia"/>
          <w:sz w:val="36"/>
          <w:szCs w:val="36"/>
          <w:lang w:val="en-US" w:eastAsia="zh-CN"/>
        </w:rPr>
        <w:t>20</w:t>
      </w:r>
      <w:r>
        <w:rPr>
          <w:rFonts w:hint="eastAsia" w:asciiTheme="minorEastAsia" w:hAnsiTheme="minorEastAsia" w:eastAsiaTheme="minorEastAsia"/>
          <w:sz w:val="36"/>
          <w:szCs w:val="36"/>
        </w:rPr>
        <w:t xml:space="preserve">〕 </w:t>
      </w:r>
      <w:r>
        <w:rPr>
          <w:rFonts w:hint="eastAsia" w:asciiTheme="minorEastAsia" w:hAnsiTheme="minorEastAsia" w:eastAsiaTheme="minorEastAsia"/>
          <w:sz w:val="36"/>
          <w:szCs w:val="36"/>
          <w:lang w:val="en-US" w:eastAsia="zh-CN"/>
        </w:rPr>
        <w:t xml:space="preserve">  </w:t>
      </w:r>
      <w:r>
        <w:rPr>
          <w:rFonts w:hint="eastAsia" w:asciiTheme="minorEastAsia" w:hAnsiTheme="minorEastAsia" w:eastAsiaTheme="minorEastAsia"/>
          <w:sz w:val="36"/>
          <w:szCs w:val="36"/>
        </w:rPr>
        <w:t xml:space="preserve">  号</w:t>
      </w:r>
    </w:p>
    <w:p>
      <w:pPr>
        <w:spacing w:line="360" w:lineRule="auto"/>
        <w:jc w:val="center"/>
        <w:rPr>
          <w:rFonts w:asciiTheme="minorEastAsia" w:hAnsiTheme="minorEastAsia" w:eastAsiaTheme="minorEastAsia"/>
          <w:b/>
          <w:sz w:val="52"/>
          <w:szCs w:val="52"/>
        </w:rPr>
      </w:pPr>
    </w:p>
    <w:p>
      <w:pPr>
        <w:spacing w:line="360" w:lineRule="auto"/>
        <w:jc w:val="center"/>
        <w:rPr>
          <w:rFonts w:asciiTheme="minorEastAsia" w:hAnsiTheme="minorEastAsia" w:eastAsiaTheme="minorEastAsia"/>
          <w:b/>
          <w:sz w:val="72"/>
          <w:szCs w:val="72"/>
        </w:rPr>
      </w:pPr>
      <w:r>
        <w:rPr>
          <w:rFonts w:hint="eastAsia" w:asciiTheme="minorEastAsia" w:hAnsiTheme="minorEastAsia" w:eastAsiaTheme="minorEastAsia"/>
          <w:b/>
          <w:sz w:val="72"/>
          <w:szCs w:val="72"/>
        </w:rPr>
        <w:t>投 标 文 件</w:t>
      </w:r>
    </w:p>
    <w:p>
      <w:pPr>
        <w:spacing w:line="360" w:lineRule="auto"/>
        <w:jc w:val="center"/>
        <w:rPr>
          <w:rFonts w:asciiTheme="minorEastAsia" w:hAnsiTheme="minorEastAsia" w:eastAsiaTheme="minorEastAsia"/>
          <w:b/>
          <w:sz w:val="52"/>
          <w:szCs w:val="52"/>
        </w:rPr>
      </w:pPr>
      <w:r>
        <w:rPr>
          <w:rFonts w:hint="eastAsia" w:asciiTheme="minorEastAsia" w:hAnsiTheme="minorEastAsia" w:eastAsiaTheme="minorEastAsia"/>
          <w:b/>
          <w:sz w:val="52"/>
          <w:szCs w:val="52"/>
        </w:rPr>
        <w:t xml:space="preserve">第二信封  </w:t>
      </w:r>
    </w:p>
    <w:p>
      <w:pPr>
        <w:spacing w:line="360" w:lineRule="auto"/>
        <w:jc w:val="center"/>
        <w:rPr>
          <w:rFonts w:asciiTheme="minorEastAsia" w:hAnsiTheme="minorEastAsia" w:eastAsiaTheme="minorEastAsia"/>
          <w:b/>
          <w:sz w:val="52"/>
          <w:szCs w:val="52"/>
        </w:rPr>
      </w:pPr>
      <w:r>
        <w:rPr>
          <w:rFonts w:hint="eastAsia" w:asciiTheme="minorEastAsia" w:hAnsiTheme="minorEastAsia" w:eastAsiaTheme="minorEastAsia"/>
          <w:b/>
          <w:sz w:val="52"/>
          <w:szCs w:val="52"/>
        </w:rPr>
        <w:t>（投标报价和工程量清单）</w:t>
      </w:r>
    </w:p>
    <w:p>
      <w:pPr>
        <w:spacing w:line="360" w:lineRule="auto"/>
        <w:rPr>
          <w:rFonts w:asciiTheme="minorEastAsia" w:hAnsiTheme="minorEastAsia" w:eastAsiaTheme="minorEastAsia"/>
          <w:b/>
          <w:sz w:val="32"/>
          <w:szCs w:val="32"/>
        </w:rPr>
      </w:pPr>
    </w:p>
    <w:p>
      <w:pPr>
        <w:spacing w:line="360" w:lineRule="auto"/>
        <w:rPr>
          <w:rFonts w:asciiTheme="minorEastAsia" w:hAnsiTheme="minorEastAsia" w:eastAsiaTheme="minorEastAsia"/>
          <w:b/>
          <w:sz w:val="32"/>
          <w:szCs w:val="32"/>
        </w:rPr>
      </w:pPr>
    </w:p>
    <w:p>
      <w:pPr>
        <w:spacing w:line="360" w:lineRule="auto"/>
        <w:rPr>
          <w:rFonts w:asciiTheme="minorEastAsia" w:hAnsiTheme="minorEastAsia" w:eastAsiaTheme="minorEastAsia"/>
          <w:b/>
          <w:sz w:val="32"/>
          <w:szCs w:val="32"/>
        </w:rPr>
      </w:pPr>
    </w:p>
    <w:p>
      <w:pPr>
        <w:spacing w:line="360" w:lineRule="auto"/>
        <w:rPr>
          <w:rFonts w:asciiTheme="minorEastAsia" w:hAnsiTheme="minorEastAsia" w:eastAsiaTheme="minorEastAsia"/>
          <w:b/>
          <w:sz w:val="32"/>
          <w:szCs w:val="32"/>
        </w:rPr>
      </w:pPr>
    </w:p>
    <w:p>
      <w:pPr>
        <w:spacing w:line="360" w:lineRule="auto"/>
        <w:rPr>
          <w:rFonts w:asciiTheme="minorEastAsia" w:hAnsiTheme="minorEastAsia" w:eastAsiaTheme="minorEastAsia"/>
          <w:b/>
          <w:sz w:val="32"/>
          <w:szCs w:val="32"/>
        </w:rPr>
      </w:pPr>
    </w:p>
    <w:p>
      <w:pPr>
        <w:spacing w:line="800" w:lineRule="exact"/>
        <w:rPr>
          <w:rFonts w:asciiTheme="minorEastAsia" w:hAnsiTheme="minorEastAsia" w:eastAsiaTheme="minorEastAsia"/>
          <w:b/>
          <w:sz w:val="32"/>
          <w:szCs w:val="32"/>
        </w:rPr>
      </w:pPr>
      <w:r>
        <w:rPr>
          <w:rFonts w:hint="eastAsia" w:asciiTheme="minorEastAsia" w:hAnsiTheme="minorEastAsia" w:eastAsiaTheme="minorEastAsia"/>
          <w:b/>
          <w:sz w:val="32"/>
          <w:szCs w:val="32"/>
        </w:rPr>
        <w:t xml:space="preserve">          投标人：（盖单位章）</w:t>
      </w:r>
    </w:p>
    <w:p>
      <w:pPr>
        <w:spacing w:line="800" w:lineRule="exact"/>
        <w:rPr>
          <w:rFonts w:asciiTheme="minorEastAsia" w:hAnsiTheme="minorEastAsia" w:eastAsiaTheme="minorEastAsia"/>
          <w:b/>
          <w:sz w:val="32"/>
          <w:szCs w:val="32"/>
        </w:rPr>
      </w:pPr>
      <w:r>
        <w:rPr>
          <w:rFonts w:hint="eastAsia" w:asciiTheme="minorEastAsia" w:hAnsiTheme="minorEastAsia" w:eastAsiaTheme="minorEastAsia"/>
          <w:b/>
          <w:sz w:val="32"/>
          <w:szCs w:val="32"/>
        </w:rPr>
        <w:t xml:space="preserve">          法定代表人或其委托代理人：（签字）</w:t>
      </w:r>
    </w:p>
    <w:p>
      <w:pPr>
        <w:spacing w:line="800" w:lineRule="exact"/>
        <w:ind w:firstLine="1590" w:firstLineChars="495"/>
        <w:rPr>
          <w:rFonts w:asciiTheme="minorEastAsia" w:hAnsiTheme="minorEastAsia" w:eastAsiaTheme="minorEastAsia"/>
          <w:b/>
          <w:sz w:val="32"/>
          <w:szCs w:val="32"/>
        </w:rPr>
      </w:pPr>
      <w:r>
        <w:rPr>
          <w:rFonts w:hint="eastAsia" w:asciiTheme="minorEastAsia" w:hAnsiTheme="minorEastAsia" w:eastAsiaTheme="minorEastAsia"/>
          <w:b/>
          <w:sz w:val="32"/>
          <w:szCs w:val="32"/>
        </w:rPr>
        <w:t>日  期：    年   月   日</w:t>
      </w:r>
    </w:p>
    <w:p>
      <w:pPr>
        <w:jc w:val="center"/>
        <w:rPr>
          <w:rFonts w:asciiTheme="minorEastAsia" w:hAnsiTheme="minorEastAsia" w:eastAsiaTheme="minorEastAsia"/>
          <w:b/>
          <w:sz w:val="36"/>
          <w:szCs w:val="36"/>
        </w:rPr>
      </w:pPr>
    </w:p>
    <w:p>
      <w:pPr>
        <w:rPr>
          <w:rFonts w:ascii="宋体" w:hAnsi="宋体"/>
        </w:rPr>
      </w:pPr>
    </w:p>
    <w:p>
      <w:pPr>
        <w:pageBreakBefore/>
        <w:spacing w:line="360" w:lineRule="auto"/>
        <w:jc w:val="center"/>
        <w:rPr>
          <w:rFonts w:ascii="宋体" w:hAnsi="宋体"/>
          <w:b/>
          <w:sz w:val="32"/>
          <w:szCs w:val="32"/>
        </w:rPr>
      </w:pPr>
      <w:r>
        <w:rPr>
          <w:rFonts w:hint="eastAsia" w:ascii="宋体" w:hAnsi="宋体"/>
          <w:b/>
          <w:sz w:val="32"/>
          <w:szCs w:val="32"/>
        </w:rPr>
        <w:t>目 录</w:t>
      </w:r>
    </w:p>
    <w:p>
      <w:pPr>
        <w:spacing w:line="360" w:lineRule="auto"/>
        <w:jc w:val="center"/>
        <w:rPr>
          <w:rFonts w:ascii="宋体" w:hAnsi="宋体"/>
          <w:b/>
          <w:sz w:val="32"/>
          <w:szCs w:val="32"/>
        </w:rPr>
      </w:pPr>
    </w:p>
    <w:p>
      <w:pPr>
        <w:spacing w:line="360" w:lineRule="auto"/>
        <w:ind w:firstLine="700" w:firstLineChars="250"/>
        <w:jc w:val="left"/>
        <w:rPr>
          <w:rFonts w:ascii="宋体" w:hAnsi="宋体"/>
          <w:sz w:val="28"/>
          <w:szCs w:val="28"/>
        </w:rPr>
      </w:pPr>
      <w:r>
        <w:rPr>
          <w:rFonts w:hint="eastAsia" w:ascii="宋体" w:hAnsi="宋体"/>
          <w:sz w:val="28"/>
          <w:szCs w:val="28"/>
        </w:rPr>
        <w:t>一、投标函</w:t>
      </w:r>
    </w:p>
    <w:p>
      <w:pPr>
        <w:spacing w:line="360" w:lineRule="auto"/>
        <w:ind w:firstLine="700" w:firstLineChars="250"/>
        <w:jc w:val="left"/>
        <w:rPr>
          <w:rFonts w:ascii="宋体" w:hAnsi="宋体"/>
          <w:sz w:val="28"/>
          <w:szCs w:val="28"/>
        </w:rPr>
      </w:pPr>
      <w:r>
        <w:rPr>
          <w:rFonts w:hint="eastAsia" w:ascii="宋体" w:hAnsi="宋体"/>
          <w:sz w:val="28"/>
          <w:szCs w:val="28"/>
        </w:rPr>
        <w:t>二、已标价工程量清单</w:t>
      </w:r>
    </w:p>
    <w:p>
      <w:pPr>
        <w:spacing w:line="360" w:lineRule="auto"/>
        <w:ind w:firstLine="700" w:firstLineChars="250"/>
        <w:jc w:val="left"/>
        <w:rPr>
          <w:rFonts w:ascii="宋体" w:hAnsi="宋体"/>
          <w:sz w:val="28"/>
          <w:szCs w:val="28"/>
        </w:rPr>
      </w:pPr>
      <w:r>
        <w:rPr>
          <w:rFonts w:hint="eastAsia" w:ascii="宋体" w:hAnsi="宋体"/>
          <w:sz w:val="28"/>
          <w:szCs w:val="28"/>
        </w:rPr>
        <w:t>三、拟分包项目情况表</w:t>
      </w:r>
    </w:p>
    <w:p>
      <w:pPr>
        <w:spacing w:line="360" w:lineRule="auto"/>
        <w:ind w:firstLine="700" w:firstLineChars="250"/>
        <w:jc w:val="left"/>
        <w:rPr>
          <w:rFonts w:ascii="宋体" w:hAnsi="宋体"/>
          <w:sz w:val="28"/>
          <w:szCs w:val="28"/>
        </w:rPr>
      </w:pPr>
      <w:r>
        <w:rPr>
          <w:rFonts w:hint="eastAsia" w:ascii="宋体" w:hAnsi="宋体"/>
          <w:sz w:val="28"/>
          <w:szCs w:val="28"/>
        </w:rPr>
        <w:t>四、合同用款估算表</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jc w:val="center"/>
        <w:rPr>
          <w:rFonts w:ascii="宋体" w:hAnsi="宋体"/>
          <w:b/>
          <w:sz w:val="32"/>
          <w:szCs w:val="32"/>
        </w:rPr>
      </w:pPr>
      <w:r>
        <w:rPr>
          <w:rFonts w:hint="eastAsia" w:ascii="宋体" w:hAnsi="宋体"/>
          <w:b/>
          <w:sz w:val="32"/>
          <w:szCs w:val="32"/>
        </w:rPr>
        <w:t>一、投标函</w:t>
      </w:r>
    </w:p>
    <w:p>
      <w:pPr>
        <w:spacing w:line="360" w:lineRule="auto"/>
        <w:rPr>
          <w:rFonts w:ascii="宋体" w:hAnsi="宋体"/>
          <w:sz w:val="24"/>
        </w:rPr>
      </w:pPr>
    </w:p>
    <w:p>
      <w:pPr>
        <w:spacing w:line="360" w:lineRule="auto"/>
        <w:jc w:val="left"/>
        <w:rPr>
          <w:rFonts w:ascii="宋体" w:hAnsi="宋体"/>
          <w:sz w:val="24"/>
        </w:rPr>
      </w:pPr>
      <w:r>
        <w:rPr>
          <w:rFonts w:hint="eastAsia" w:ascii="宋体" w:hAnsi="宋体"/>
          <w:sz w:val="24"/>
        </w:rPr>
        <w:t>_________________________(招标人名称)：</w:t>
      </w:r>
    </w:p>
    <w:p>
      <w:pPr>
        <w:spacing w:line="360" w:lineRule="auto"/>
        <w:ind w:firstLine="480" w:firstLineChars="200"/>
        <w:jc w:val="left"/>
        <w:rPr>
          <w:rFonts w:ascii="宋体" w:hAnsi="宋体"/>
          <w:sz w:val="24"/>
        </w:rPr>
      </w:pPr>
      <w:r>
        <w:rPr>
          <w:rFonts w:hint="eastAsia" w:ascii="宋体" w:hAnsi="宋体"/>
          <w:sz w:val="24"/>
        </w:rPr>
        <w:t>1．我方已仔细研究_____________(项目名称)（标段）施工招标文件的全部内容（含补遗书第号至第号），在考察工程现场后，愿意以人民币(大写)________元(¥________ )的投标总报价(或根据招标文件规定修正核实后确定的另一金额)，按合同约定实施和完成承包工程，修补工程中的任何缺陷。</w:t>
      </w:r>
    </w:p>
    <w:p>
      <w:pPr>
        <w:spacing w:line="360" w:lineRule="auto"/>
        <w:ind w:firstLine="480" w:firstLineChars="200"/>
        <w:jc w:val="left"/>
        <w:rPr>
          <w:rFonts w:ascii="宋体" w:hAnsi="宋体"/>
          <w:sz w:val="24"/>
        </w:rPr>
      </w:pPr>
      <w:r>
        <w:rPr>
          <w:rFonts w:hint="eastAsia" w:ascii="宋体" w:hAnsi="宋体"/>
          <w:sz w:val="24"/>
        </w:rPr>
        <w:t>2．在合同协议书正式签署生效之前，本投标函连同你方的中标通知书将构成我们双方之间共同遵守的文件，对双方具有约束力。</w:t>
      </w: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rPr>
      </w:pPr>
    </w:p>
    <w:p>
      <w:pPr>
        <w:spacing w:line="360" w:lineRule="auto"/>
        <w:ind w:left="3543" w:leftChars="1687"/>
        <w:jc w:val="left"/>
        <w:rPr>
          <w:rFonts w:ascii="宋体" w:hAnsi="宋体"/>
          <w:sz w:val="24"/>
        </w:rPr>
      </w:pPr>
      <w:r>
        <w:rPr>
          <w:rFonts w:hint="eastAsia" w:ascii="宋体" w:hAnsi="宋体"/>
          <w:sz w:val="24"/>
        </w:rPr>
        <w:t>投 标 人：___________________(盖单位章)</w:t>
      </w:r>
    </w:p>
    <w:p>
      <w:pPr>
        <w:spacing w:line="360" w:lineRule="auto"/>
        <w:ind w:left="3543" w:leftChars="1687"/>
        <w:jc w:val="left"/>
        <w:rPr>
          <w:rFonts w:ascii="宋体" w:hAnsi="宋体"/>
          <w:sz w:val="24"/>
        </w:rPr>
      </w:pPr>
      <w:r>
        <w:rPr>
          <w:rFonts w:hint="eastAsia" w:ascii="宋体" w:hAnsi="宋体"/>
          <w:sz w:val="24"/>
        </w:rPr>
        <w:t>法定代表人或其委托代人:_________(签字)</w:t>
      </w:r>
    </w:p>
    <w:p>
      <w:pPr>
        <w:spacing w:line="360" w:lineRule="auto"/>
        <w:ind w:left="3543" w:leftChars="1687"/>
        <w:jc w:val="left"/>
        <w:rPr>
          <w:rFonts w:ascii="宋体" w:hAnsi="宋体"/>
          <w:sz w:val="24"/>
        </w:rPr>
      </w:pPr>
    </w:p>
    <w:p>
      <w:pPr>
        <w:spacing w:line="360" w:lineRule="auto"/>
        <w:ind w:left="3543" w:leftChars="1687" w:firstLine="720" w:firstLineChars="300"/>
        <w:jc w:val="left"/>
        <w:rPr>
          <w:rFonts w:ascii="宋体" w:hAnsi="宋体"/>
          <w:sz w:val="24"/>
        </w:rPr>
      </w:pPr>
      <w:r>
        <w:rPr>
          <w:rFonts w:hint="eastAsia" w:ascii="宋体" w:hAnsi="宋体"/>
          <w:sz w:val="24"/>
        </w:rPr>
        <w:t>________年______月_______日</w:t>
      </w:r>
    </w:p>
    <w:p>
      <w:pPr>
        <w:spacing w:line="360" w:lineRule="auto"/>
        <w:ind w:left="1"/>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spacing w:line="360" w:lineRule="auto"/>
        <w:jc w:val="left"/>
        <w:rPr>
          <w:rFonts w:ascii="宋体" w:hAnsi="宋体"/>
          <w:sz w:val="24"/>
        </w:rPr>
      </w:pPr>
    </w:p>
    <w:p>
      <w:pPr>
        <w:spacing w:line="360" w:lineRule="auto"/>
        <w:ind w:left="1"/>
        <w:jc w:val="left"/>
        <w:rPr>
          <w:rFonts w:ascii="宋体" w:hAnsi="宋体"/>
          <w:sz w:val="24"/>
        </w:rPr>
      </w:pPr>
    </w:p>
    <w:p>
      <w:pPr>
        <w:spacing w:line="360" w:lineRule="auto"/>
        <w:ind w:left="3543" w:leftChars="1687" w:firstLine="720" w:firstLineChars="300"/>
        <w:jc w:val="left"/>
        <w:rPr>
          <w:rFonts w:ascii="宋体" w:hAnsi="宋体"/>
          <w:sz w:val="24"/>
        </w:rPr>
      </w:pPr>
    </w:p>
    <w:p>
      <w:pPr>
        <w:spacing w:line="360" w:lineRule="auto"/>
        <w:jc w:val="center"/>
        <w:rPr>
          <w:rFonts w:ascii="宋体" w:hAnsi="宋体"/>
          <w:b/>
          <w:sz w:val="32"/>
          <w:szCs w:val="32"/>
        </w:rPr>
      </w:pPr>
      <w:r>
        <w:rPr>
          <w:rFonts w:hint="eastAsia" w:ascii="宋体" w:hAnsi="宋体"/>
          <w:b/>
          <w:sz w:val="32"/>
          <w:szCs w:val="32"/>
        </w:rPr>
        <w:t>二、已标价工程量清单</w:t>
      </w:r>
    </w:p>
    <w:p>
      <w:pPr>
        <w:spacing w:line="360" w:lineRule="auto"/>
        <w:ind w:firstLine="480" w:firstLineChars="200"/>
        <w:jc w:val="left"/>
      </w:pPr>
      <w:r>
        <w:rPr>
          <w:rFonts w:hint="eastAsia" w:ascii="宋体" w:hAnsi="宋体"/>
          <w:sz w:val="24"/>
        </w:rPr>
        <w:t>投标人应按照第五章“工程量清单”的要求逐项填报工程量清单，包括工程量清单说明、投标报价说明、计日工说明、其他说明等</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pageBreakBefore/>
        <w:spacing w:line="360" w:lineRule="auto"/>
        <w:jc w:val="center"/>
        <w:rPr>
          <w:rFonts w:ascii="宋体" w:hAnsi="宋体"/>
          <w:b/>
          <w:sz w:val="32"/>
          <w:szCs w:val="32"/>
        </w:rPr>
      </w:pPr>
      <w:r>
        <w:rPr>
          <w:rFonts w:hint="eastAsia" w:ascii="宋体" w:hAnsi="宋体"/>
          <w:b/>
          <w:sz w:val="32"/>
          <w:szCs w:val="32"/>
        </w:rPr>
        <w:t>三、拟分包项目情况表</w:t>
      </w:r>
    </w:p>
    <w:p>
      <w:pPr>
        <w:rPr>
          <w:rFonts w:ascii="宋体" w:hAnsi="宋体" w:cs="宋体"/>
        </w:rPr>
      </w:pPr>
    </w:p>
    <w:tbl>
      <w:tblPr>
        <w:tblStyle w:val="14"/>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09"/>
        <w:gridCol w:w="2410"/>
        <w:gridCol w:w="2410"/>
        <w:gridCol w:w="24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cs="宋体"/>
                <w:szCs w:val="21"/>
              </w:rPr>
            </w:pPr>
            <w:r>
              <w:rPr>
                <w:rFonts w:hint="eastAsia" w:ascii="宋体" w:hAnsi="宋体" w:cs="宋体"/>
                <w:szCs w:val="21"/>
              </w:rPr>
              <w:t>分包人名称</w:t>
            </w:r>
          </w:p>
        </w:tc>
        <w:tc>
          <w:tcPr>
            <w:tcW w:w="2410" w:type="dxa"/>
            <w:vAlign w:val="center"/>
          </w:tcPr>
          <w:p>
            <w:pPr>
              <w:jc w:val="center"/>
              <w:rPr>
                <w:rFonts w:ascii="宋体" w:hAnsi="宋体" w:cs="宋体"/>
                <w:szCs w:val="21"/>
              </w:rPr>
            </w:pPr>
          </w:p>
        </w:tc>
        <w:tc>
          <w:tcPr>
            <w:tcW w:w="2410" w:type="dxa"/>
            <w:vAlign w:val="center"/>
          </w:tcPr>
          <w:p>
            <w:pPr>
              <w:jc w:val="center"/>
              <w:rPr>
                <w:rFonts w:ascii="宋体" w:hAnsi="宋体" w:cs="宋体"/>
                <w:szCs w:val="21"/>
              </w:rPr>
            </w:pPr>
            <w:r>
              <w:rPr>
                <w:rFonts w:hint="eastAsia" w:ascii="宋体" w:hAnsi="宋体" w:cs="宋体"/>
                <w:szCs w:val="21"/>
              </w:rPr>
              <w:t>地址</w:t>
            </w:r>
          </w:p>
        </w:tc>
        <w:tc>
          <w:tcPr>
            <w:tcW w:w="2410" w:type="dxa"/>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cs="宋体"/>
                <w:szCs w:val="21"/>
              </w:rPr>
            </w:pPr>
            <w:r>
              <w:rPr>
                <w:rFonts w:hint="eastAsia" w:ascii="宋体" w:hAnsi="宋体" w:cs="宋体"/>
                <w:szCs w:val="21"/>
              </w:rPr>
              <w:t>法定代表人</w:t>
            </w:r>
          </w:p>
        </w:tc>
        <w:tc>
          <w:tcPr>
            <w:tcW w:w="2410" w:type="dxa"/>
            <w:vAlign w:val="center"/>
          </w:tcPr>
          <w:p>
            <w:pPr>
              <w:jc w:val="center"/>
              <w:rPr>
                <w:rFonts w:ascii="宋体" w:hAnsi="宋体" w:cs="宋体"/>
                <w:szCs w:val="21"/>
              </w:rPr>
            </w:pPr>
          </w:p>
        </w:tc>
        <w:tc>
          <w:tcPr>
            <w:tcW w:w="2410" w:type="dxa"/>
            <w:vAlign w:val="center"/>
          </w:tcPr>
          <w:p>
            <w:pPr>
              <w:jc w:val="center"/>
              <w:rPr>
                <w:rFonts w:ascii="宋体" w:hAnsi="宋体" w:cs="宋体"/>
                <w:szCs w:val="21"/>
              </w:rPr>
            </w:pPr>
            <w:r>
              <w:rPr>
                <w:rFonts w:hint="eastAsia" w:ascii="宋体" w:hAnsi="宋体" w:cs="宋体"/>
                <w:szCs w:val="21"/>
              </w:rPr>
              <w:t>电话</w:t>
            </w:r>
          </w:p>
        </w:tc>
        <w:tc>
          <w:tcPr>
            <w:tcW w:w="2410" w:type="dxa"/>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cs="宋体"/>
                <w:szCs w:val="21"/>
              </w:rPr>
            </w:pPr>
            <w:r>
              <w:rPr>
                <w:rFonts w:hint="eastAsia" w:ascii="宋体" w:hAnsi="宋体" w:cs="宋体"/>
                <w:szCs w:val="21"/>
              </w:rPr>
              <w:t>营业执照号码</w:t>
            </w:r>
          </w:p>
        </w:tc>
        <w:tc>
          <w:tcPr>
            <w:tcW w:w="2410" w:type="dxa"/>
            <w:vAlign w:val="center"/>
          </w:tcPr>
          <w:p>
            <w:pPr>
              <w:jc w:val="center"/>
              <w:rPr>
                <w:rFonts w:ascii="宋体" w:hAnsi="宋体" w:cs="宋体"/>
                <w:szCs w:val="21"/>
              </w:rPr>
            </w:pPr>
          </w:p>
        </w:tc>
        <w:tc>
          <w:tcPr>
            <w:tcW w:w="2410" w:type="dxa"/>
            <w:vAlign w:val="center"/>
          </w:tcPr>
          <w:p>
            <w:pPr>
              <w:jc w:val="center"/>
              <w:rPr>
                <w:rFonts w:ascii="宋体" w:hAnsi="宋体" w:cs="宋体"/>
                <w:szCs w:val="21"/>
              </w:rPr>
            </w:pPr>
            <w:r>
              <w:rPr>
                <w:rFonts w:hint="eastAsia" w:ascii="宋体" w:hAnsi="宋体" w:cs="宋体"/>
                <w:szCs w:val="21"/>
              </w:rPr>
              <w:t>资质等级</w:t>
            </w:r>
          </w:p>
        </w:tc>
        <w:tc>
          <w:tcPr>
            <w:tcW w:w="2410" w:type="dxa"/>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cs="宋体"/>
                <w:szCs w:val="21"/>
              </w:rPr>
            </w:pPr>
            <w:r>
              <w:rPr>
                <w:rFonts w:hint="eastAsia" w:ascii="宋体" w:hAnsi="宋体" w:cs="宋体"/>
                <w:szCs w:val="21"/>
              </w:rPr>
              <w:t>拟分包的工程项目</w:t>
            </w:r>
          </w:p>
        </w:tc>
        <w:tc>
          <w:tcPr>
            <w:tcW w:w="2410" w:type="dxa"/>
            <w:vAlign w:val="center"/>
          </w:tcPr>
          <w:p>
            <w:pPr>
              <w:jc w:val="center"/>
              <w:rPr>
                <w:rFonts w:ascii="宋体" w:hAnsi="宋体" w:cs="宋体"/>
                <w:szCs w:val="21"/>
              </w:rPr>
            </w:pPr>
            <w:r>
              <w:rPr>
                <w:rFonts w:hint="eastAsia" w:ascii="宋体" w:hAnsi="宋体" w:cs="宋体"/>
                <w:szCs w:val="21"/>
              </w:rPr>
              <w:t>主要内容</w:t>
            </w:r>
          </w:p>
        </w:tc>
        <w:tc>
          <w:tcPr>
            <w:tcW w:w="2410" w:type="dxa"/>
            <w:vAlign w:val="center"/>
          </w:tcPr>
          <w:p>
            <w:pPr>
              <w:jc w:val="center"/>
              <w:rPr>
                <w:rFonts w:ascii="宋体" w:hAnsi="宋体" w:cs="宋体"/>
                <w:szCs w:val="21"/>
              </w:rPr>
            </w:pPr>
            <w:r>
              <w:rPr>
                <w:rFonts w:hint="eastAsia" w:ascii="宋体" w:hAnsi="宋体" w:cs="宋体"/>
                <w:szCs w:val="21"/>
              </w:rPr>
              <w:t>预计造价（万元）</w:t>
            </w:r>
          </w:p>
        </w:tc>
        <w:tc>
          <w:tcPr>
            <w:tcW w:w="2410" w:type="dxa"/>
            <w:vAlign w:val="center"/>
          </w:tcPr>
          <w:p>
            <w:pPr>
              <w:jc w:val="center"/>
              <w:rPr>
                <w:rFonts w:ascii="宋体" w:hAnsi="宋体" w:cs="宋体"/>
                <w:szCs w:val="21"/>
              </w:rPr>
            </w:pPr>
            <w:r>
              <w:rPr>
                <w:rFonts w:hint="eastAsia" w:ascii="宋体" w:hAnsi="宋体" w:cs="宋体"/>
                <w:szCs w:val="21"/>
              </w:rPr>
              <w:t>已经做过的类似工程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Merge w:val="restart"/>
          </w:tcPr>
          <w:p>
            <w:pPr>
              <w:ind w:firstLine="210" w:firstLineChars="100"/>
              <w:rPr>
                <w:rFonts w:ascii="宋体" w:hAnsi="宋体" w:cs="宋体"/>
                <w:szCs w:val="21"/>
              </w:rPr>
            </w:pPr>
          </w:p>
          <w:p>
            <w:pPr>
              <w:ind w:firstLine="210" w:firstLineChars="100"/>
              <w:rPr>
                <w:rFonts w:ascii="宋体" w:hAnsi="宋体" w:cs="宋体"/>
                <w:szCs w:val="21"/>
              </w:rPr>
            </w:pPr>
            <w:r>
              <w:rPr>
                <w:rFonts w:hint="eastAsia" w:ascii="宋体" w:hAnsi="宋体" w:cs="宋体"/>
                <w:szCs w:val="21"/>
              </w:rPr>
              <w:t>注：</w:t>
            </w:r>
          </w:p>
          <w:p>
            <w:pPr>
              <w:ind w:firstLine="210" w:firstLineChars="100"/>
              <w:rPr>
                <w:rFonts w:ascii="宋体" w:hAnsi="宋体" w:cs="宋体"/>
                <w:szCs w:val="21"/>
              </w:rPr>
            </w:pPr>
            <w:r>
              <w:rPr>
                <w:rFonts w:hint="eastAsia" w:ascii="宋体" w:hAnsi="宋体" w:cs="宋体"/>
                <w:szCs w:val="21"/>
              </w:rPr>
              <w:t>1.本栏应写明分包人以往做过的类似工程，包括工程名称、地点、造价、工期、交工年份和其发包人与总监理工程师的姓名和地址。</w:t>
            </w:r>
          </w:p>
          <w:p>
            <w:pPr>
              <w:ind w:firstLine="210" w:firstLineChars="100"/>
              <w:rPr>
                <w:rFonts w:ascii="宋体" w:hAnsi="宋体" w:cs="宋体"/>
                <w:szCs w:val="21"/>
              </w:rPr>
            </w:pPr>
            <w:r>
              <w:rPr>
                <w:rFonts w:hint="eastAsia" w:ascii="宋体" w:hAnsi="宋体" w:cs="宋体"/>
                <w:szCs w:val="21"/>
              </w:rPr>
              <w:t>2.若无分包人，则投标人应填写“无”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Merge w:val="continue"/>
            <w:vAlign w:val="center"/>
          </w:tcPr>
          <w:p>
            <w:pP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Merge w:val="continue"/>
            <w:vAlign w:val="center"/>
          </w:tcPr>
          <w:p>
            <w:pP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Merge w:val="continue"/>
            <w:vAlign w:val="center"/>
          </w:tcPr>
          <w:p>
            <w:pP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Merge w:val="continue"/>
            <w:vAlign w:val="center"/>
          </w:tcPr>
          <w:p>
            <w:pP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Merge w:val="continue"/>
            <w:vAlign w:val="center"/>
          </w:tcPr>
          <w:p>
            <w:pP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Merge w:val="continue"/>
            <w:vAlign w:val="center"/>
          </w:tcPr>
          <w:p>
            <w:pP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Merge w:val="continue"/>
            <w:vAlign w:val="center"/>
          </w:tcPr>
          <w:p>
            <w:pP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Merge w:val="continue"/>
            <w:vAlign w:val="center"/>
          </w:tcPr>
          <w:p>
            <w:pP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Merge w:val="continue"/>
            <w:vAlign w:val="center"/>
          </w:tcPr>
          <w:p>
            <w:pP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Merge w:val="continue"/>
            <w:vAlign w:val="center"/>
          </w:tcPr>
          <w:p>
            <w:pP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Merge w:val="continue"/>
            <w:vAlign w:val="center"/>
          </w:tcPr>
          <w:p>
            <w:pP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Merge w:val="continue"/>
            <w:vAlign w:val="center"/>
          </w:tcPr>
          <w:p>
            <w:pP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Merge w:val="continue"/>
            <w:vAlign w:val="center"/>
          </w:tcPr>
          <w:p>
            <w:pP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Align w:val="center"/>
          </w:tcPr>
          <w:p>
            <w:pPr>
              <w:rPr>
                <w:rFonts w:ascii="宋体" w:hAnsi="宋体" w:cs="宋体"/>
                <w:szCs w:val="21"/>
              </w:rPr>
            </w:pPr>
          </w:p>
        </w:tc>
        <w:tc>
          <w:tcPr>
            <w:tcW w:w="2410" w:type="dxa"/>
            <w:vMerge w:val="continue"/>
            <w:vAlign w:val="center"/>
          </w:tcPr>
          <w:p>
            <w:pP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4819" w:type="dxa"/>
            <w:gridSpan w:val="2"/>
            <w:vAlign w:val="center"/>
          </w:tcPr>
          <w:p>
            <w:pPr>
              <w:jc w:val="center"/>
              <w:rPr>
                <w:rFonts w:ascii="宋体" w:hAnsi="宋体" w:cs="宋体"/>
                <w:szCs w:val="21"/>
              </w:rPr>
            </w:pPr>
            <w:r>
              <w:rPr>
                <w:rFonts w:hint="eastAsia" w:ascii="宋体" w:hAnsi="宋体" w:cs="宋体"/>
                <w:szCs w:val="21"/>
              </w:rPr>
              <w:t>分包值合计（万元）</w:t>
            </w:r>
          </w:p>
        </w:tc>
        <w:tc>
          <w:tcPr>
            <w:tcW w:w="2410" w:type="dxa"/>
            <w:vAlign w:val="center"/>
          </w:tcPr>
          <w:p>
            <w:pPr>
              <w:jc w:val="center"/>
              <w:rPr>
                <w:rFonts w:ascii="宋体" w:hAnsi="宋体" w:cs="宋体"/>
                <w:szCs w:val="21"/>
              </w:rPr>
            </w:pPr>
          </w:p>
        </w:tc>
        <w:tc>
          <w:tcPr>
            <w:tcW w:w="2410" w:type="dxa"/>
            <w:vMerge w:val="continue"/>
            <w:vAlign w:val="center"/>
          </w:tcPr>
          <w:p>
            <w:pPr>
              <w:jc w:val="center"/>
              <w:rPr>
                <w:rFonts w:ascii="宋体" w:hAnsi="宋体" w:cs="宋体"/>
                <w:sz w:val="28"/>
                <w:szCs w:val="28"/>
              </w:rPr>
            </w:pPr>
          </w:p>
        </w:tc>
      </w:tr>
    </w:tbl>
    <w:p>
      <w:pPr>
        <w:pStyle w:val="6"/>
        <w:spacing w:beforeLines="50" w:after="240" w:line="400" w:lineRule="exact"/>
        <w:ind w:firstLine="2570" w:firstLineChars="800"/>
        <w:rPr>
          <w:rFonts w:ascii="宋体" w:hAnsi="宋体"/>
          <w:kern w:val="2"/>
          <w:sz w:val="32"/>
          <w:szCs w:val="28"/>
        </w:rPr>
      </w:pPr>
      <w:bookmarkStart w:id="300" w:name="_Toc486277947"/>
      <w:bookmarkStart w:id="301" w:name="_Toc5044"/>
      <w:bookmarkStart w:id="302" w:name="_Toc234382973"/>
      <w:bookmarkStart w:id="303" w:name="_Toc485889069"/>
    </w:p>
    <w:p>
      <w:r>
        <w:br w:type="page"/>
      </w:r>
    </w:p>
    <w:p>
      <w:pPr>
        <w:pStyle w:val="6"/>
        <w:spacing w:beforeLines="50" w:after="240" w:line="400" w:lineRule="exact"/>
        <w:ind w:firstLine="2570" w:firstLineChars="800"/>
        <w:rPr>
          <w:rFonts w:ascii="宋体" w:hAnsi="宋体"/>
          <w:kern w:val="2"/>
          <w:sz w:val="32"/>
          <w:szCs w:val="28"/>
        </w:rPr>
      </w:pPr>
      <w:r>
        <w:rPr>
          <w:rFonts w:hint="eastAsia" w:ascii="宋体" w:hAnsi="宋体"/>
          <w:kern w:val="2"/>
          <w:sz w:val="32"/>
          <w:szCs w:val="28"/>
        </w:rPr>
        <w:t>四、合同用款估算表</w:t>
      </w:r>
      <w:bookmarkEnd w:id="300"/>
      <w:bookmarkEnd w:id="301"/>
      <w:bookmarkEnd w:id="302"/>
      <w:bookmarkEnd w:id="303"/>
    </w:p>
    <w:tbl>
      <w:tblPr>
        <w:tblStyle w:val="14"/>
        <w:tblpPr w:leftFromText="180" w:rightFromText="180" w:vertAnchor="text" w:horzAnchor="margin" w:tblpXSpec="center" w:tblpY="172"/>
        <w:tblW w:w="963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7"/>
        <w:gridCol w:w="1997"/>
        <w:gridCol w:w="1731"/>
        <w:gridCol w:w="1731"/>
        <w:gridCol w:w="1731"/>
        <w:gridCol w:w="17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2714" w:type="dxa"/>
            <w:gridSpan w:val="2"/>
            <w:vMerge w:val="restart"/>
            <w:vAlign w:val="center"/>
          </w:tcPr>
          <w:p>
            <w:pPr>
              <w:jc w:val="center"/>
              <w:rPr>
                <w:rFonts w:ascii="宋体" w:hAnsi="宋体"/>
                <w:szCs w:val="21"/>
              </w:rPr>
            </w:pPr>
            <w:r>
              <w:rPr>
                <w:rFonts w:hint="eastAsia" w:ascii="宋体" w:hAnsi="宋体"/>
                <w:szCs w:val="21"/>
              </w:rPr>
              <w:t>从开工月算起的时间（月）</w:t>
            </w:r>
          </w:p>
        </w:tc>
        <w:tc>
          <w:tcPr>
            <w:tcW w:w="6925" w:type="dxa"/>
            <w:gridSpan w:val="4"/>
            <w:vAlign w:val="center"/>
          </w:tcPr>
          <w:p>
            <w:pPr>
              <w:jc w:val="center"/>
              <w:rPr>
                <w:rFonts w:ascii="宋体" w:hAnsi="宋体"/>
                <w:szCs w:val="21"/>
              </w:rPr>
            </w:pPr>
            <w:r>
              <w:rPr>
                <w:rFonts w:hint="eastAsia" w:ascii="宋体" w:hAnsi="宋体"/>
                <w:szCs w:val="21"/>
              </w:rPr>
              <w:t>投标人的估算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2714" w:type="dxa"/>
            <w:gridSpan w:val="2"/>
            <w:vMerge w:val="continue"/>
            <w:vAlign w:val="center"/>
          </w:tcPr>
          <w:p>
            <w:pPr>
              <w:jc w:val="center"/>
              <w:rPr>
                <w:rFonts w:ascii="宋体" w:hAnsi="宋体"/>
                <w:szCs w:val="21"/>
              </w:rPr>
            </w:pPr>
          </w:p>
        </w:tc>
        <w:tc>
          <w:tcPr>
            <w:tcW w:w="3462" w:type="dxa"/>
            <w:gridSpan w:val="2"/>
            <w:vAlign w:val="center"/>
          </w:tcPr>
          <w:p>
            <w:pPr>
              <w:tabs>
                <w:tab w:val="left" w:pos="4863"/>
              </w:tabs>
              <w:jc w:val="center"/>
              <w:rPr>
                <w:rFonts w:ascii="宋体" w:hAnsi="宋体"/>
                <w:szCs w:val="21"/>
              </w:rPr>
            </w:pPr>
            <w:r>
              <w:rPr>
                <w:rFonts w:hint="eastAsia" w:ascii="宋体" w:hAnsi="宋体"/>
                <w:szCs w:val="21"/>
              </w:rPr>
              <w:t>分  期</w:t>
            </w:r>
          </w:p>
        </w:tc>
        <w:tc>
          <w:tcPr>
            <w:tcW w:w="3463" w:type="dxa"/>
            <w:gridSpan w:val="2"/>
            <w:vAlign w:val="center"/>
          </w:tcPr>
          <w:p>
            <w:pPr>
              <w:tabs>
                <w:tab w:val="left" w:pos="4863"/>
              </w:tabs>
              <w:jc w:val="center"/>
              <w:rPr>
                <w:rFonts w:ascii="宋体" w:hAnsi="宋体"/>
                <w:szCs w:val="21"/>
              </w:rPr>
            </w:pPr>
            <w:r>
              <w:rPr>
                <w:rFonts w:hint="eastAsia" w:ascii="宋体" w:hAnsi="宋体"/>
                <w:szCs w:val="21"/>
              </w:rPr>
              <w:t>累  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2714" w:type="dxa"/>
            <w:gridSpan w:val="2"/>
            <w:vMerge w:val="continue"/>
            <w:vAlign w:val="center"/>
          </w:tcPr>
          <w:p>
            <w:pPr>
              <w:jc w:val="center"/>
              <w:rPr>
                <w:rFonts w:ascii="宋体" w:hAnsi="宋体"/>
                <w:szCs w:val="21"/>
              </w:rPr>
            </w:pPr>
          </w:p>
        </w:tc>
        <w:tc>
          <w:tcPr>
            <w:tcW w:w="1731" w:type="dxa"/>
            <w:vAlign w:val="center"/>
          </w:tcPr>
          <w:p>
            <w:pPr>
              <w:jc w:val="center"/>
              <w:rPr>
                <w:rFonts w:ascii="宋体" w:hAnsi="宋体"/>
                <w:szCs w:val="21"/>
              </w:rPr>
            </w:pPr>
            <w:r>
              <w:rPr>
                <w:rFonts w:hint="eastAsia" w:ascii="宋体" w:hAnsi="宋体"/>
                <w:szCs w:val="21"/>
              </w:rPr>
              <w:t>金额（元）</w:t>
            </w:r>
          </w:p>
        </w:tc>
        <w:tc>
          <w:tcPr>
            <w:tcW w:w="1731" w:type="dxa"/>
            <w:vAlign w:val="center"/>
          </w:tcPr>
          <w:p>
            <w:pPr>
              <w:jc w:val="center"/>
              <w:rPr>
                <w:rFonts w:ascii="宋体" w:hAnsi="宋体"/>
                <w:szCs w:val="21"/>
              </w:rPr>
            </w:pPr>
            <w:r>
              <w:rPr>
                <w:rFonts w:hint="eastAsia" w:ascii="宋体" w:hAnsi="宋体"/>
                <w:szCs w:val="21"/>
              </w:rPr>
              <w:t>（%）</w:t>
            </w:r>
          </w:p>
        </w:tc>
        <w:tc>
          <w:tcPr>
            <w:tcW w:w="1731" w:type="dxa"/>
            <w:vAlign w:val="center"/>
          </w:tcPr>
          <w:p>
            <w:pPr>
              <w:jc w:val="center"/>
              <w:rPr>
                <w:rFonts w:ascii="宋体" w:hAnsi="宋体"/>
                <w:szCs w:val="21"/>
              </w:rPr>
            </w:pPr>
            <w:r>
              <w:rPr>
                <w:rFonts w:hint="eastAsia" w:ascii="宋体" w:hAnsi="宋体"/>
                <w:szCs w:val="21"/>
              </w:rPr>
              <w:t>金额（元）</w:t>
            </w:r>
          </w:p>
        </w:tc>
        <w:tc>
          <w:tcPr>
            <w:tcW w:w="1732" w:type="dxa"/>
            <w:vAlign w:val="center"/>
          </w:tcPr>
          <w:p>
            <w:pPr>
              <w:jc w:val="center"/>
              <w:rPr>
                <w:rFonts w:ascii="宋体" w:hAnsi="宋体"/>
                <w:szCs w:val="21"/>
              </w:rPr>
            </w:pP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第一次开工预付款</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trPr>
        <w:tc>
          <w:tcPr>
            <w:tcW w:w="2714" w:type="dxa"/>
            <w:gridSpan w:val="2"/>
            <w:vAlign w:val="center"/>
          </w:tcPr>
          <w:p>
            <w:pPr>
              <w:jc w:val="center"/>
              <w:rPr>
                <w:rFonts w:ascii="宋体" w:hAnsi="宋体"/>
                <w:szCs w:val="21"/>
              </w:rPr>
            </w:pPr>
            <w:r>
              <w:rPr>
                <w:rFonts w:hint="eastAsia" w:ascii="宋体" w:hAnsi="宋体"/>
                <w:szCs w:val="21"/>
              </w:rPr>
              <w:t>1～3</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4～6</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7～9</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trPr>
        <w:tc>
          <w:tcPr>
            <w:tcW w:w="2714" w:type="dxa"/>
            <w:gridSpan w:val="2"/>
            <w:vAlign w:val="center"/>
          </w:tcPr>
          <w:p>
            <w:pPr>
              <w:jc w:val="center"/>
              <w:rPr>
                <w:rFonts w:ascii="宋体" w:hAnsi="宋体"/>
                <w:szCs w:val="21"/>
              </w:rPr>
            </w:pPr>
            <w:r>
              <w:rPr>
                <w:rFonts w:hint="eastAsia" w:ascii="宋体" w:hAnsi="宋体"/>
                <w:szCs w:val="21"/>
              </w:rPr>
              <w:t>10～12</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13～15</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缺陷责任期</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小计</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r>
              <w:rPr>
                <w:rFonts w:hint="eastAsia" w:ascii="宋体" w:hAnsi="宋体"/>
                <w:szCs w:val="21"/>
              </w:rPr>
              <w:t>100．00</w:t>
            </w: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trPr>
        <w:tc>
          <w:tcPr>
            <w:tcW w:w="9639" w:type="dxa"/>
            <w:gridSpan w:val="6"/>
            <w:vAlign w:val="center"/>
          </w:tcPr>
          <w:p>
            <w:pPr>
              <w:jc w:val="left"/>
              <w:rPr>
                <w:rFonts w:ascii="宋体" w:hAnsi="宋体"/>
                <w:szCs w:val="21"/>
              </w:rPr>
            </w:pPr>
            <w:r>
              <w:rPr>
                <w:rFonts w:hint="eastAsia" w:ascii="宋体" w:hAnsi="宋体"/>
                <w:szCs w:val="21"/>
              </w:rPr>
              <w:t>投标价：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17" w:hRule="atLeast"/>
        </w:trPr>
        <w:tc>
          <w:tcPr>
            <w:tcW w:w="717" w:type="dxa"/>
            <w:vAlign w:val="center"/>
          </w:tcPr>
          <w:p>
            <w:pPr>
              <w:jc w:val="center"/>
              <w:rPr>
                <w:rFonts w:ascii="宋体" w:hAnsi="宋体"/>
                <w:szCs w:val="21"/>
              </w:rPr>
            </w:pPr>
            <w:r>
              <w:rPr>
                <w:rFonts w:hint="eastAsia" w:ascii="宋体" w:hAnsi="宋体"/>
                <w:szCs w:val="21"/>
              </w:rPr>
              <w:t>说</w:t>
            </w: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明</w:t>
            </w:r>
          </w:p>
        </w:tc>
        <w:tc>
          <w:tcPr>
            <w:tcW w:w="8922" w:type="dxa"/>
            <w:gridSpan w:val="5"/>
            <w:vAlign w:val="center"/>
          </w:tcPr>
          <w:p>
            <w:pPr>
              <w:jc w:val="center"/>
              <w:rPr>
                <w:rFonts w:ascii="宋体" w:hAnsi="宋体"/>
                <w:szCs w:val="21"/>
              </w:rPr>
            </w:pPr>
          </w:p>
        </w:tc>
      </w:tr>
    </w:tbl>
    <w:p>
      <w:pPr>
        <w:jc w:val="center"/>
        <w:rPr>
          <w:rFonts w:ascii="隶书" w:hAnsi="宋体" w:eastAsia="隶书"/>
          <w:sz w:val="24"/>
        </w:rPr>
      </w:pPr>
    </w:p>
    <w:p>
      <w:pPr>
        <w:rPr>
          <w:rFonts w:ascii="宋体" w:hAnsi="宋体"/>
          <w:szCs w:val="21"/>
        </w:rPr>
      </w:pPr>
      <w:r>
        <w:rPr>
          <w:rFonts w:hint="eastAsia" w:ascii="宋体" w:hAnsi="宋体"/>
          <w:szCs w:val="21"/>
        </w:rPr>
        <w:t>注：1.投标人可按附表一的工程进度估算并填写本表。</w:t>
      </w:r>
    </w:p>
    <w:p>
      <w:pPr>
        <w:ind w:left="630" w:hanging="630"/>
        <w:rPr>
          <w:rFonts w:ascii="宋体" w:hAnsi="宋体"/>
          <w:szCs w:val="21"/>
        </w:rPr>
      </w:pPr>
      <w:r>
        <w:rPr>
          <w:rFonts w:hint="eastAsia" w:ascii="宋体" w:hAnsi="宋体"/>
          <w:szCs w:val="21"/>
        </w:rPr>
        <w:t xml:space="preserve">    2.用款额按所报单价和总额价估算，不包括价格调整和暂列金额、暂估价，但应考虑开工预付款的扣回、质量保证金的扣留以及签发付款证书后到实际支付的时间间隔。</w:t>
      </w:r>
    </w:p>
    <w:p>
      <w:pPr>
        <w:pStyle w:val="2"/>
        <w:ind w:firstLine="0" w:firstLineChars="0"/>
      </w:pPr>
    </w:p>
    <w:sectPr>
      <w:headerReference r:id="rId12" w:type="default"/>
      <w:pgSz w:w="11906" w:h="16838"/>
      <w:pgMar w:top="1440" w:right="1797" w:bottom="1440" w:left="1797"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TimesNewRomanPSMT">
    <w:altName w:val="Times New Roman"/>
    <w:panose1 w:val="00000000000000000000"/>
    <w:charset w:val="00"/>
    <w:family w:val="auto"/>
    <w:pitch w:val="default"/>
    <w:sig w:usb0="00000000" w:usb1="00000000" w:usb2="00000010" w:usb3="00000000" w:csb0="00040001" w:csb1="00000000"/>
  </w:font>
  <w:font w:name="隶书">
    <w:panose1 w:val="0201050906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方正小标宋简体">
    <w:altName w:val="宋体"/>
    <w:panose1 w:val="03000509000000000000"/>
    <w:charset w:val="86"/>
    <w:family w:val="auto"/>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pict>
        <v:shape id="_x0000_s2051" o:spid="_x0000_s205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pict>
        <v:shape id="_x0000_s2052" o:spid="_x0000_s2052"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Text Box 1" o:spid="_x0000_s2049" o:spt="202" type="#_x0000_t202" style="position:absolute;left:0pt;margin-top:0pt;height:10.35pt;width:4.55pt;mso-position-horizontal:center;mso-position-horizontal-relative:margin;mso-wrap-style:none;z-index:251658240;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L3UTQAAAAAgEAAA8AAAAAAAAAAQAg&#10;AAAAIgAAAGRycy9kb3ducmV2LnhtbFBLAQIUABQAAAAIAIdO4kDARW9C3QEAALIDAAAOAAAAAAAA&#10;AAEAIAAAAB8BAABkcnMvZTJvRG9jLnhtbFBLBQYAAAAABgAGAFkBAABuBQAAAAA=&#10;">
          <v:path/>
          <v:fill on="f" focussize="0,0"/>
          <v:stroke on="f" joinstyle="miter"/>
          <v:imagedata o:title=""/>
          <o:lock v:ext="edit"/>
          <v:textbox inset="0mm,0mm,0mm,0mm" style="mso-fit-shape-to-text:t;">
            <w:txbxContent>
              <w:p>
                <w:pPr>
                  <w:pStyle w:val="10"/>
                </w:pPr>
                <w:r>
                  <w:fldChar w:fldCharType="begin"/>
                </w:r>
                <w:r>
                  <w:instrText xml:space="preserve"> PAGE  \* MERGEFORMAT </w:instrText>
                </w:r>
                <w:r>
                  <w:fldChar w:fldCharType="separate"/>
                </w:r>
                <w:r>
                  <w:t>6</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Text Box 2" o:spid="_x0000_s2050" o:spt="202" type="#_x0000_t202" style="position:absolute;left:0pt;margin-top:0pt;height:10.35pt;width:13.55pt;mso-position-horizontal:center;mso-position-horizontal-relative:margin;mso-wrap-style:none;z-index:251659264;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UldDlzwAAAAMBAAAPAAAAAAAAAAEA&#10;IAAAACIAAABkcnMvZG93bnJldi54bWxQSwECFAAUAAAACACHTuJAOYxO4N8BAACzAwAADgAAAAAA&#10;AAABACAAAAAeAQAAZHJzL2Uyb0RvYy54bWxQSwUGAAAAAAYABgBZAQAAbwUAAAAA&#10;">
          <v:path/>
          <v:fill on="f" focussize="0,0"/>
          <v:stroke on="f" joinstyle="miter"/>
          <v:imagedata o:title=""/>
          <o:lock v:ext="edit"/>
          <v:textbox inset="0mm,0mm,0mm,0mm" style="mso-fit-shape-to-text:t;">
            <w:txbxContent>
              <w:p>
                <w:pPr>
                  <w:pStyle w:val="10"/>
                </w:pPr>
                <w:r>
                  <w:fldChar w:fldCharType="begin"/>
                </w:r>
                <w:r>
                  <w:instrText xml:space="preserve"> PAGE  \* MERGEFORMAT </w:instrText>
                </w:r>
                <w:r>
                  <w:fldChar w:fldCharType="separate"/>
                </w:r>
                <w:r>
                  <w:t>109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cs="Times New Roman"/>
        <w:lang w:val="en-US" w:eastAsia="zh-CN"/>
      </w:rPr>
      <w:t>2020年中、省、市专项扶贫资金项目（4-6标段）</w:t>
    </w:r>
    <w:r>
      <w:rPr>
        <w:rFonts w:hint="eastAsia" w:ascii="Times New Roman" w:hAnsi="Times New Roman" w:cs="Times New Roman"/>
        <w:lang w:val="en-US" w:eastAsia="zh-CN"/>
      </w:rPr>
      <w:t xml:space="preserve">                   </w:t>
    </w:r>
    <w:r>
      <w:tab/>
    </w:r>
    <w:r>
      <w:rPr>
        <w:rFonts w:hint="eastAsia"/>
        <w:lang w:val="en-US" w:eastAsia="zh-CN"/>
      </w:rPr>
      <w:t xml:space="preserve">                 </w:t>
    </w:r>
    <w:r>
      <w:rPr>
        <w:rFonts w:hint="eastAsia"/>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cs="Times New Roman"/>
        <w:lang w:val="en-US" w:eastAsia="zh-CN"/>
      </w:rPr>
      <w:t>2020年中、省、市专项扶贫资金项目（4-6标段）</w:t>
    </w:r>
    <w:r>
      <w:rPr>
        <w:rFonts w:hint="eastAsia" w:ascii="Times New Roman" w:hAnsi="Times New Roman" w:cs="Times New Roman"/>
        <w:lang w:val="en-US" w:eastAsia="zh-CN"/>
      </w:rPr>
      <w:t xml:space="preserve">                     </w:t>
    </w:r>
    <w:r>
      <w:tab/>
    </w:r>
    <w:r>
      <w:rPr>
        <w:rFonts w:hint="eastAsia"/>
        <w:lang w:val="en-US" w:eastAsia="zh-CN"/>
      </w:rPr>
      <w:t xml:space="preserve">               </w:t>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ascii="Times New Roman" w:hAnsi="Times New Roman" w:eastAsia="宋体" w:cs="Times New Roman"/>
        <w:kern w:val="2"/>
        <w:sz w:val="18"/>
        <w:szCs w:val="18"/>
        <w:lang w:val="en-US" w:eastAsia="zh-CN" w:bidi="ar-SA"/>
      </w:rPr>
    </w:pPr>
  </w:p>
  <w:p>
    <w:pPr>
      <w:jc w:val="both"/>
    </w:pPr>
    <w:r>
      <w:rPr>
        <w:rFonts w:hint="eastAsia" w:cs="Times New Roman"/>
        <w:kern w:val="2"/>
        <w:sz w:val="18"/>
        <w:szCs w:val="18"/>
        <w:lang w:val="en-US" w:eastAsia="zh-CN" w:bidi="ar-SA"/>
      </w:rPr>
      <w:t>2020年中、省、市专项扶贫资金项目（4-6标段）</w:t>
    </w:r>
    <w:r>
      <w:rPr>
        <w:rFonts w:hint="eastAsia" w:ascii="Times New Roman" w:hAnsi="Times New Roman" w:cs="Times New Roman"/>
        <w:kern w:val="2"/>
        <w:sz w:val="18"/>
        <w:szCs w:val="18"/>
        <w:lang w:val="en-US" w:eastAsia="zh-CN" w:bidi="ar-SA"/>
      </w:rPr>
      <w:t xml:space="preserve">                                                                                                </w:t>
    </w:r>
    <w:r>
      <w:rPr>
        <w:rFonts w:hint="eastAsia"/>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cs="Times New Roman"/>
        <w:lang w:val="en-US" w:eastAsia="zh-CN"/>
      </w:rPr>
      <w:t>2020年中、省、市专项扶贫资金项目（4-6标段）</w:t>
    </w:r>
    <w:r>
      <w:rPr>
        <w:rFonts w:hint="eastAsia" w:ascii="Times New Roman" w:hAnsi="Times New Roman" w:cs="Times New Roman"/>
        <w:lang w:val="en-US" w:eastAsia="zh-CN"/>
      </w:rPr>
      <w:t xml:space="preserve">                            </w:t>
    </w:r>
    <w:r>
      <w:tab/>
    </w:r>
    <w:r>
      <w:rPr>
        <w:rFonts w:hint="eastAsia"/>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cs="Times New Roman"/>
        <w:lang w:val="en-US" w:eastAsia="zh-CN"/>
      </w:rPr>
      <w:t>2020年中、省、市专项扶贫资金项目（4-6标段）</w:t>
    </w:r>
    <w:r>
      <w:rPr>
        <w:rFonts w:hint="eastAsia" w:ascii="Times New Roman" w:hAnsi="Times New Roman" w:cs="Times New Roman"/>
        <w:lang w:val="en-US" w:eastAsia="zh-CN"/>
      </w:rPr>
      <w:t xml:space="preserve">         </w:t>
    </w:r>
    <w:r>
      <w:tab/>
    </w:r>
    <w:r>
      <w:rPr>
        <w:rFonts w:hint="eastAsia"/>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cs="Times New Roman"/>
        <w:lang w:val="en-US" w:eastAsia="zh-CN"/>
      </w:rPr>
      <w:t>2020年中、省、市专项扶贫资金项目（4-6标段）</w:t>
    </w:r>
    <w:r>
      <w:rPr>
        <w:rFonts w:hint="eastAsia" w:ascii="Times New Roman" w:hAnsi="Times New Roman" w:cs="Times New Roman"/>
        <w:lang w:val="en-US" w:eastAsia="zh-CN"/>
      </w:rPr>
      <w:t xml:space="preserve">                  </w:t>
    </w:r>
    <w:r>
      <w:tab/>
    </w: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singleLevel"/>
    <w:tmpl w:val="0000000D"/>
    <w:lvl w:ilvl="0" w:tentative="0">
      <w:start w:val="1"/>
      <w:numFmt w:val="decimal"/>
      <w:suff w:val="nothing"/>
      <w:lvlText w:val="%1、"/>
      <w:lvlJc w:val="left"/>
    </w:lvl>
  </w:abstractNum>
  <w:abstractNum w:abstractNumId="1">
    <w:nsid w:val="48594EB0"/>
    <w:multiLevelType w:val="multilevel"/>
    <w:tmpl w:val="48594EB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F477A"/>
    <w:rsid w:val="000010D4"/>
    <w:rsid w:val="0001308A"/>
    <w:rsid w:val="000300C6"/>
    <w:rsid w:val="00034870"/>
    <w:rsid w:val="00034D03"/>
    <w:rsid w:val="00036450"/>
    <w:rsid w:val="00040057"/>
    <w:rsid w:val="0005672D"/>
    <w:rsid w:val="0006609E"/>
    <w:rsid w:val="000971F2"/>
    <w:rsid w:val="000B7CEA"/>
    <w:rsid w:val="000C58FF"/>
    <w:rsid w:val="000D5711"/>
    <w:rsid w:val="000E546D"/>
    <w:rsid w:val="000E6812"/>
    <w:rsid w:val="00106906"/>
    <w:rsid w:val="00134CB7"/>
    <w:rsid w:val="00146D3C"/>
    <w:rsid w:val="00162222"/>
    <w:rsid w:val="00171B69"/>
    <w:rsid w:val="00174E11"/>
    <w:rsid w:val="00186CD9"/>
    <w:rsid w:val="001979FE"/>
    <w:rsid w:val="001B48EA"/>
    <w:rsid w:val="001B5CE5"/>
    <w:rsid w:val="001B63D3"/>
    <w:rsid w:val="001B7ACE"/>
    <w:rsid w:val="001C60ED"/>
    <w:rsid w:val="001E3770"/>
    <w:rsid w:val="001E4822"/>
    <w:rsid w:val="002020DE"/>
    <w:rsid w:val="00214F72"/>
    <w:rsid w:val="00222131"/>
    <w:rsid w:val="00224793"/>
    <w:rsid w:val="002248EB"/>
    <w:rsid w:val="00236CC6"/>
    <w:rsid w:val="00241EF1"/>
    <w:rsid w:val="00250E18"/>
    <w:rsid w:val="002602CE"/>
    <w:rsid w:val="002B46E1"/>
    <w:rsid w:val="002C2611"/>
    <w:rsid w:val="002C4E1E"/>
    <w:rsid w:val="002D360B"/>
    <w:rsid w:val="002D6BEE"/>
    <w:rsid w:val="002E038A"/>
    <w:rsid w:val="002E050D"/>
    <w:rsid w:val="002E7882"/>
    <w:rsid w:val="002F6F7B"/>
    <w:rsid w:val="002F7905"/>
    <w:rsid w:val="00307E6D"/>
    <w:rsid w:val="003136F6"/>
    <w:rsid w:val="00324978"/>
    <w:rsid w:val="00353F54"/>
    <w:rsid w:val="0036288F"/>
    <w:rsid w:val="00367247"/>
    <w:rsid w:val="00381727"/>
    <w:rsid w:val="00383FBC"/>
    <w:rsid w:val="003950FB"/>
    <w:rsid w:val="003A1523"/>
    <w:rsid w:val="003C257C"/>
    <w:rsid w:val="00402772"/>
    <w:rsid w:val="0040713B"/>
    <w:rsid w:val="004076F6"/>
    <w:rsid w:val="0041576A"/>
    <w:rsid w:val="0042422D"/>
    <w:rsid w:val="004446F7"/>
    <w:rsid w:val="00453D68"/>
    <w:rsid w:val="00467614"/>
    <w:rsid w:val="004939F8"/>
    <w:rsid w:val="004D5CDE"/>
    <w:rsid w:val="00505890"/>
    <w:rsid w:val="00512737"/>
    <w:rsid w:val="005336EB"/>
    <w:rsid w:val="0054458F"/>
    <w:rsid w:val="005459DB"/>
    <w:rsid w:val="0055148D"/>
    <w:rsid w:val="0056081D"/>
    <w:rsid w:val="005712C0"/>
    <w:rsid w:val="00596D2F"/>
    <w:rsid w:val="005C4873"/>
    <w:rsid w:val="005D3FF7"/>
    <w:rsid w:val="005F5F73"/>
    <w:rsid w:val="00601AFC"/>
    <w:rsid w:val="0061709B"/>
    <w:rsid w:val="00623FB2"/>
    <w:rsid w:val="00633D60"/>
    <w:rsid w:val="00637C2C"/>
    <w:rsid w:val="00644EE9"/>
    <w:rsid w:val="0066211D"/>
    <w:rsid w:val="0066369B"/>
    <w:rsid w:val="0068539B"/>
    <w:rsid w:val="00691D52"/>
    <w:rsid w:val="00693357"/>
    <w:rsid w:val="006B0784"/>
    <w:rsid w:val="006D370F"/>
    <w:rsid w:val="006D564A"/>
    <w:rsid w:val="006D7A58"/>
    <w:rsid w:val="006E0029"/>
    <w:rsid w:val="00700817"/>
    <w:rsid w:val="0071519E"/>
    <w:rsid w:val="007208DE"/>
    <w:rsid w:val="007224CA"/>
    <w:rsid w:val="00724843"/>
    <w:rsid w:val="00732466"/>
    <w:rsid w:val="007454DF"/>
    <w:rsid w:val="007612C7"/>
    <w:rsid w:val="00780FD5"/>
    <w:rsid w:val="007A28AC"/>
    <w:rsid w:val="007A2F14"/>
    <w:rsid w:val="007D323A"/>
    <w:rsid w:val="007D383D"/>
    <w:rsid w:val="007E5291"/>
    <w:rsid w:val="0080688E"/>
    <w:rsid w:val="00830045"/>
    <w:rsid w:val="00845CE5"/>
    <w:rsid w:val="008523F1"/>
    <w:rsid w:val="0086373E"/>
    <w:rsid w:val="00865E73"/>
    <w:rsid w:val="0087007E"/>
    <w:rsid w:val="00873D33"/>
    <w:rsid w:val="0087597D"/>
    <w:rsid w:val="0089664F"/>
    <w:rsid w:val="008A6CA0"/>
    <w:rsid w:val="008C11A9"/>
    <w:rsid w:val="008C4387"/>
    <w:rsid w:val="008E1461"/>
    <w:rsid w:val="008E2967"/>
    <w:rsid w:val="008F5A90"/>
    <w:rsid w:val="00903C28"/>
    <w:rsid w:val="00904BE7"/>
    <w:rsid w:val="009073E1"/>
    <w:rsid w:val="00920E9C"/>
    <w:rsid w:val="009221A3"/>
    <w:rsid w:val="009231D8"/>
    <w:rsid w:val="00925875"/>
    <w:rsid w:val="00932DE2"/>
    <w:rsid w:val="00935ED5"/>
    <w:rsid w:val="00941125"/>
    <w:rsid w:val="009720D9"/>
    <w:rsid w:val="00974642"/>
    <w:rsid w:val="009D0BD7"/>
    <w:rsid w:val="009F477A"/>
    <w:rsid w:val="009F5EDC"/>
    <w:rsid w:val="00A21ED1"/>
    <w:rsid w:val="00A322FE"/>
    <w:rsid w:val="00A35E43"/>
    <w:rsid w:val="00A3753C"/>
    <w:rsid w:val="00A52891"/>
    <w:rsid w:val="00A82BAA"/>
    <w:rsid w:val="00A9303B"/>
    <w:rsid w:val="00A9322B"/>
    <w:rsid w:val="00A97200"/>
    <w:rsid w:val="00AB0DB9"/>
    <w:rsid w:val="00AB1177"/>
    <w:rsid w:val="00AC38E1"/>
    <w:rsid w:val="00AE104F"/>
    <w:rsid w:val="00AE1DE8"/>
    <w:rsid w:val="00AE50B2"/>
    <w:rsid w:val="00AF3910"/>
    <w:rsid w:val="00B00B20"/>
    <w:rsid w:val="00B02557"/>
    <w:rsid w:val="00B02F0A"/>
    <w:rsid w:val="00B05641"/>
    <w:rsid w:val="00B3293B"/>
    <w:rsid w:val="00B439DC"/>
    <w:rsid w:val="00B460B7"/>
    <w:rsid w:val="00B47D02"/>
    <w:rsid w:val="00B609D5"/>
    <w:rsid w:val="00B61879"/>
    <w:rsid w:val="00B6305B"/>
    <w:rsid w:val="00B63A8A"/>
    <w:rsid w:val="00B64653"/>
    <w:rsid w:val="00B66A7B"/>
    <w:rsid w:val="00B715C0"/>
    <w:rsid w:val="00BD08EB"/>
    <w:rsid w:val="00BE1571"/>
    <w:rsid w:val="00BE7B13"/>
    <w:rsid w:val="00C4508A"/>
    <w:rsid w:val="00C82375"/>
    <w:rsid w:val="00C91268"/>
    <w:rsid w:val="00CB1587"/>
    <w:rsid w:val="00CB3AA2"/>
    <w:rsid w:val="00CE4BDA"/>
    <w:rsid w:val="00D173CA"/>
    <w:rsid w:val="00D22E44"/>
    <w:rsid w:val="00D555FE"/>
    <w:rsid w:val="00D61AC5"/>
    <w:rsid w:val="00D70201"/>
    <w:rsid w:val="00D73BFB"/>
    <w:rsid w:val="00D83089"/>
    <w:rsid w:val="00D863E1"/>
    <w:rsid w:val="00DA53BA"/>
    <w:rsid w:val="00DC205F"/>
    <w:rsid w:val="00DD61D1"/>
    <w:rsid w:val="00DE1C44"/>
    <w:rsid w:val="00DE52F3"/>
    <w:rsid w:val="00E0793B"/>
    <w:rsid w:val="00E26734"/>
    <w:rsid w:val="00E32E5D"/>
    <w:rsid w:val="00E351C1"/>
    <w:rsid w:val="00E405E9"/>
    <w:rsid w:val="00E45ABA"/>
    <w:rsid w:val="00E468B6"/>
    <w:rsid w:val="00E51E8A"/>
    <w:rsid w:val="00E52DB9"/>
    <w:rsid w:val="00E77E90"/>
    <w:rsid w:val="00E83CD7"/>
    <w:rsid w:val="00E87DC9"/>
    <w:rsid w:val="00E9134E"/>
    <w:rsid w:val="00E94C37"/>
    <w:rsid w:val="00EA027B"/>
    <w:rsid w:val="00EA1962"/>
    <w:rsid w:val="00EA3611"/>
    <w:rsid w:val="00EB52EF"/>
    <w:rsid w:val="00EC75BF"/>
    <w:rsid w:val="00ED5B59"/>
    <w:rsid w:val="00ED5C7C"/>
    <w:rsid w:val="00EE046F"/>
    <w:rsid w:val="00EE0965"/>
    <w:rsid w:val="00F057FC"/>
    <w:rsid w:val="00F17C4B"/>
    <w:rsid w:val="00F27213"/>
    <w:rsid w:val="00F413DC"/>
    <w:rsid w:val="00F44409"/>
    <w:rsid w:val="00F55792"/>
    <w:rsid w:val="00F61253"/>
    <w:rsid w:val="00F76BC0"/>
    <w:rsid w:val="00F8787C"/>
    <w:rsid w:val="00F92A69"/>
    <w:rsid w:val="00FC74C9"/>
    <w:rsid w:val="00FC7986"/>
    <w:rsid w:val="00FE3A5A"/>
    <w:rsid w:val="01FA22E3"/>
    <w:rsid w:val="02643D91"/>
    <w:rsid w:val="054508BB"/>
    <w:rsid w:val="09597A6A"/>
    <w:rsid w:val="0D311658"/>
    <w:rsid w:val="0E257174"/>
    <w:rsid w:val="0F346F7A"/>
    <w:rsid w:val="0F63010B"/>
    <w:rsid w:val="0FDB0067"/>
    <w:rsid w:val="103B2015"/>
    <w:rsid w:val="10C97AAD"/>
    <w:rsid w:val="168271E9"/>
    <w:rsid w:val="1883652C"/>
    <w:rsid w:val="1C0862A3"/>
    <w:rsid w:val="1C35228B"/>
    <w:rsid w:val="1D121FD8"/>
    <w:rsid w:val="239D18AF"/>
    <w:rsid w:val="270D29FD"/>
    <w:rsid w:val="278865AE"/>
    <w:rsid w:val="2C3F26AD"/>
    <w:rsid w:val="2CBD5B3A"/>
    <w:rsid w:val="2E042180"/>
    <w:rsid w:val="30EF64D0"/>
    <w:rsid w:val="32270C06"/>
    <w:rsid w:val="32D65792"/>
    <w:rsid w:val="341C5A56"/>
    <w:rsid w:val="35201A01"/>
    <w:rsid w:val="37052B32"/>
    <w:rsid w:val="37DB22C9"/>
    <w:rsid w:val="396F2EF6"/>
    <w:rsid w:val="3C6B33DC"/>
    <w:rsid w:val="3C957DE0"/>
    <w:rsid w:val="3CD948EF"/>
    <w:rsid w:val="3EC171B6"/>
    <w:rsid w:val="4004744B"/>
    <w:rsid w:val="43176CCC"/>
    <w:rsid w:val="435C79A4"/>
    <w:rsid w:val="43D24C37"/>
    <w:rsid w:val="44B7377A"/>
    <w:rsid w:val="48661DD2"/>
    <w:rsid w:val="4B816173"/>
    <w:rsid w:val="4FD25028"/>
    <w:rsid w:val="4FF8562C"/>
    <w:rsid w:val="50A92EEF"/>
    <w:rsid w:val="51021EFB"/>
    <w:rsid w:val="55162079"/>
    <w:rsid w:val="567C1E86"/>
    <w:rsid w:val="56876DA2"/>
    <w:rsid w:val="57936B82"/>
    <w:rsid w:val="5AB96CC7"/>
    <w:rsid w:val="5B303D44"/>
    <w:rsid w:val="5E31629E"/>
    <w:rsid w:val="5EC155AD"/>
    <w:rsid w:val="5EF26523"/>
    <w:rsid w:val="5F235B8A"/>
    <w:rsid w:val="62F85B0B"/>
    <w:rsid w:val="64CB736A"/>
    <w:rsid w:val="665C055E"/>
    <w:rsid w:val="6BC4051D"/>
    <w:rsid w:val="6D3E54F4"/>
    <w:rsid w:val="6F8C1279"/>
    <w:rsid w:val="71B7017C"/>
    <w:rsid w:val="720127D1"/>
    <w:rsid w:val="72730939"/>
    <w:rsid w:val="73581EF5"/>
    <w:rsid w:val="758211A6"/>
    <w:rsid w:val="76885E0A"/>
    <w:rsid w:val="77781C42"/>
    <w:rsid w:val="79C36111"/>
    <w:rsid w:val="7BBC3898"/>
    <w:rsid w:val="7EB71161"/>
    <w:rsid w:val="7F8456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AutoShape 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29"/>
    <w:qFormat/>
    <w:uiPriority w:val="0"/>
    <w:pPr>
      <w:keepNext/>
      <w:keepLines/>
      <w:spacing w:before="340" w:after="330" w:line="578" w:lineRule="auto"/>
      <w:outlineLvl w:val="0"/>
    </w:pPr>
    <w:rPr>
      <w:b/>
      <w:bCs/>
      <w:kern w:val="44"/>
      <w:sz w:val="44"/>
      <w:szCs w:val="44"/>
    </w:rPr>
  </w:style>
  <w:style w:type="paragraph" w:styleId="7">
    <w:name w:val="heading 4"/>
    <w:basedOn w:val="1"/>
    <w:next w:val="1"/>
    <w:link w:val="31"/>
    <w:qFormat/>
    <w:uiPriority w:val="0"/>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21"/>
    <w:unhideWhenUsed/>
    <w:qFormat/>
    <w:uiPriority w:val="0"/>
    <w:pPr>
      <w:ind w:firstLine="420" w:firstLineChars="100"/>
    </w:pPr>
  </w:style>
  <w:style w:type="paragraph" w:styleId="3">
    <w:name w:val="Body Text"/>
    <w:basedOn w:val="1"/>
    <w:link w:val="20"/>
    <w:unhideWhenUsed/>
    <w:qFormat/>
    <w:uiPriority w:val="0"/>
    <w:pPr>
      <w:spacing w:after="120"/>
    </w:pPr>
  </w:style>
  <w:style w:type="paragraph" w:styleId="4">
    <w:name w:val="Body Text First Indent 2"/>
    <w:basedOn w:val="5"/>
    <w:qFormat/>
    <w:uiPriority w:val="0"/>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5">
    <w:name w:val="Body Text Indent"/>
    <w:basedOn w:val="1"/>
    <w:qFormat/>
    <w:uiPriority w:val="0"/>
    <w:pPr>
      <w:spacing w:after="120"/>
      <w:ind w:left="420" w:leftChars="200"/>
    </w:pPr>
  </w:style>
  <w:style w:type="paragraph" w:styleId="8">
    <w:name w:val="Date"/>
    <w:basedOn w:val="1"/>
    <w:next w:val="1"/>
    <w:link w:val="22"/>
    <w:unhideWhenUsed/>
    <w:qFormat/>
    <w:uiPriority w:val="99"/>
    <w:pPr>
      <w:ind w:left="100" w:leftChars="2500"/>
    </w:pPr>
  </w:style>
  <w:style w:type="paragraph" w:styleId="9">
    <w:name w:val="Balloon Text"/>
    <w:basedOn w:val="1"/>
    <w:link w:val="25"/>
    <w:unhideWhenUsed/>
    <w:qFormat/>
    <w:uiPriority w:val="99"/>
    <w:rPr>
      <w:sz w:val="18"/>
      <w:szCs w:val="18"/>
    </w:rPr>
  </w:style>
  <w:style w:type="paragraph" w:styleId="10">
    <w:name w:val="footer"/>
    <w:basedOn w:val="1"/>
    <w:link w:val="24"/>
    <w:unhideWhenUsed/>
    <w:qFormat/>
    <w:uiPriority w:val="0"/>
    <w:pPr>
      <w:tabs>
        <w:tab w:val="center" w:pos="4153"/>
        <w:tab w:val="right" w:pos="8306"/>
      </w:tabs>
      <w:snapToGrid w:val="0"/>
      <w:jc w:val="left"/>
    </w:pPr>
    <w:rPr>
      <w:sz w:val="18"/>
      <w:szCs w:val="18"/>
    </w:rPr>
  </w:style>
  <w:style w:type="paragraph" w:styleId="11">
    <w:name w:val="header"/>
    <w:basedOn w:val="1"/>
    <w:link w:val="23"/>
    <w:unhideWhenUsed/>
    <w:qFormat/>
    <w:uiPriority w:val="0"/>
    <w:pPr>
      <w:pBdr>
        <w:bottom w:val="single" w:color="auto" w:sz="6" w:space="2"/>
      </w:pBdr>
      <w:tabs>
        <w:tab w:val="center" w:pos="4153"/>
        <w:tab w:val="center" w:pos="4762"/>
        <w:tab w:val="left" w:pos="7066"/>
        <w:tab w:val="right" w:pos="8306"/>
      </w:tabs>
      <w:snapToGrid w:val="0"/>
      <w:jc w:val="left"/>
    </w:pPr>
    <w:rPr>
      <w:sz w:val="18"/>
      <w:szCs w:val="18"/>
    </w:rPr>
  </w:style>
  <w:style w:type="paragraph" w:styleId="12">
    <w:name w:val="toc 1"/>
    <w:basedOn w:val="1"/>
    <w:next w:val="1"/>
    <w:qFormat/>
    <w:uiPriority w:val="0"/>
    <w:rPr>
      <w:szCs w:val="20"/>
    </w:rPr>
  </w:style>
  <w:style w:type="paragraph" w:styleId="13">
    <w:name w:val="footnote text"/>
    <w:basedOn w:val="1"/>
    <w:link w:val="30"/>
    <w:qFormat/>
    <w:uiPriority w:val="0"/>
    <w:pPr>
      <w:snapToGrid w:val="0"/>
      <w:jc w:val="left"/>
    </w:pPr>
    <w:rPr>
      <w:sz w:val="18"/>
      <w:szCs w:val="18"/>
    </w:rPr>
  </w:style>
  <w:style w:type="table" w:styleId="15">
    <w:name w:val="Table Grid"/>
    <w:basedOn w:val="1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Hyperlink"/>
    <w:basedOn w:val="16"/>
    <w:qFormat/>
    <w:uiPriority w:val="0"/>
    <w:rPr>
      <w:color w:val="000000"/>
      <w:u w:val="none"/>
    </w:rPr>
  </w:style>
  <w:style w:type="character" w:styleId="19">
    <w:name w:val="footnote reference"/>
    <w:qFormat/>
    <w:uiPriority w:val="0"/>
    <w:rPr>
      <w:vertAlign w:val="superscript"/>
    </w:rPr>
  </w:style>
  <w:style w:type="character" w:customStyle="1" w:styleId="20">
    <w:name w:val="正文文本 Char"/>
    <w:basedOn w:val="16"/>
    <w:link w:val="3"/>
    <w:semiHidden/>
    <w:qFormat/>
    <w:uiPriority w:val="99"/>
    <w:rPr>
      <w:rFonts w:ascii="Times New Roman" w:hAnsi="Times New Roman" w:eastAsia="宋体" w:cs="Times New Roman"/>
      <w:szCs w:val="24"/>
    </w:rPr>
  </w:style>
  <w:style w:type="character" w:customStyle="1" w:styleId="21">
    <w:name w:val="正文首行缩进 Char"/>
    <w:basedOn w:val="20"/>
    <w:link w:val="2"/>
    <w:qFormat/>
    <w:uiPriority w:val="0"/>
    <w:rPr>
      <w:rFonts w:ascii="Times New Roman" w:hAnsi="Times New Roman" w:eastAsia="宋体" w:cs="Times New Roman"/>
      <w:szCs w:val="24"/>
    </w:rPr>
  </w:style>
  <w:style w:type="character" w:customStyle="1" w:styleId="22">
    <w:name w:val="日期 Char"/>
    <w:basedOn w:val="16"/>
    <w:link w:val="8"/>
    <w:semiHidden/>
    <w:qFormat/>
    <w:uiPriority w:val="99"/>
    <w:rPr>
      <w:rFonts w:ascii="Times New Roman" w:hAnsi="Times New Roman" w:eastAsia="宋体" w:cs="Times New Roman"/>
      <w:szCs w:val="24"/>
    </w:rPr>
  </w:style>
  <w:style w:type="character" w:customStyle="1" w:styleId="23">
    <w:name w:val="页眉 Char"/>
    <w:basedOn w:val="16"/>
    <w:link w:val="11"/>
    <w:qFormat/>
    <w:uiPriority w:val="0"/>
    <w:rPr>
      <w:kern w:val="2"/>
      <w:sz w:val="18"/>
      <w:szCs w:val="18"/>
    </w:rPr>
  </w:style>
  <w:style w:type="character" w:customStyle="1" w:styleId="24">
    <w:name w:val="页脚 Char"/>
    <w:basedOn w:val="16"/>
    <w:link w:val="10"/>
    <w:semiHidden/>
    <w:qFormat/>
    <w:uiPriority w:val="99"/>
    <w:rPr>
      <w:rFonts w:ascii="Times New Roman" w:hAnsi="Times New Roman" w:eastAsia="宋体" w:cs="Times New Roman"/>
      <w:sz w:val="18"/>
      <w:szCs w:val="18"/>
    </w:rPr>
  </w:style>
  <w:style w:type="character" w:customStyle="1" w:styleId="25">
    <w:name w:val="批注框文本 Char"/>
    <w:basedOn w:val="16"/>
    <w:link w:val="9"/>
    <w:semiHidden/>
    <w:qFormat/>
    <w:uiPriority w:val="99"/>
    <w:rPr>
      <w:rFonts w:ascii="Times New Roman" w:hAnsi="Times New Roman" w:eastAsia="宋体" w:cs="Times New Roman"/>
      <w:sz w:val="18"/>
      <w:szCs w:val="18"/>
    </w:rPr>
  </w:style>
  <w:style w:type="paragraph" w:customStyle="1" w:styleId="26">
    <w:name w:val="列出段落1"/>
    <w:basedOn w:val="1"/>
    <w:qFormat/>
    <w:uiPriority w:val="34"/>
    <w:pPr>
      <w:ind w:firstLine="420" w:firstLineChars="200"/>
    </w:pPr>
  </w:style>
  <w:style w:type="paragraph" w:customStyle="1" w:styleId="27">
    <w:name w:val="p0"/>
    <w:basedOn w:val="1"/>
    <w:qFormat/>
    <w:uiPriority w:val="0"/>
    <w:pPr>
      <w:widowControl/>
    </w:pPr>
    <w:rPr>
      <w:kern w:val="0"/>
      <w:szCs w:val="21"/>
    </w:rPr>
  </w:style>
  <w:style w:type="paragraph" w:customStyle="1" w:styleId="28">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29">
    <w:name w:val="标题 1 Char"/>
    <w:basedOn w:val="16"/>
    <w:link w:val="6"/>
    <w:qFormat/>
    <w:uiPriority w:val="0"/>
    <w:rPr>
      <w:rFonts w:ascii="Times New Roman" w:hAnsi="Times New Roman" w:eastAsia="宋体" w:cs="Times New Roman"/>
      <w:b/>
      <w:bCs/>
      <w:kern w:val="44"/>
      <w:sz w:val="44"/>
      <w:szCs w:val="44"/>
    </w:rPr>
  </w:style>
  <w:style w:type="character" w:customStyle="1" w:styleId="30">
    <w:name w:val="脚注文本 Char"/>
    <w:basedOn w:val="16"/>
    <w:link w:val="13"/>
    <w:qFormat/>
    <w:uiPriority w:val="0"/>
    <w:rPr>
      <w:rFonts w:ascii="Times New Roman" w:hAnsi="Times New Roman" w:eastAsia="宋体" w:cs="Times New Roman"/>
      <w:sz w:val="18"/>
      <w:szCs w:val="18"/>
    </w:rPr>
  </w:style>
  <w:style w:type="character" w:customStyle="1" w:styleId="31">
    <w:name w:val="标题 4 Char"/>
    <w:basedOn w:val="16"/>
    <w:link w:val="7"/>
    <w:qFormat/>
    <w:uiPriority w:val="0"/>
    <w:rPr>
      <w:rFonts w:ascii="Arial" w:hAnsi="Arial" w:eastAsia="黑体" w:cs="Times New Roman"/>
      <w:b/>
      <w:bCs/>
      <w:sz w:val="28"/>
      <w:szCs w:val="28"/>
    </w:rPr>
  </w:style>
  <w:style w:type="paragraph" w:customStyle="1" w:styleId="32">
    <w:name w:val="纯文本1"/>
    <w:basedOn w:val="1"/>
    <w:qFormat/>
    <w:uiPriority w:val="0"/>
    <w:rPr>
      <w:rFonts w:ascii="宋体" w:hAnsi="Courier New"/>
      <w:color w:val="000000"/>
      <w:szCs w:val="20"/>
    </w:rPr>
  </w:style>
  <w:style w:type="character" w:customStyle="1" w:styleId="33">
    <w:name w:val="页码1"/>
    <w:basedOn w:val="16"/>
    <w:qFormat/>
    <w:uiPriority w:val="0"/>
  </w:style>
  <w:style w:type="paragraph" w:styleId="3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wmf"/><Relationship Id="rId16" Type="http://schemas.openxmlformats.org/officeDocument/2006/relationships/oleObject" Target="embeddings/oleObject2.bin"/><Relationship Id="rId15" Type="http://schemas.openxmlformats.org/officeDocument/2006/relationships/image" Target="media/image1.wmf"/><Relationship Id="rId14" Type="http://schemas.openxmlformats.org/officeDocument/2006/relationships/oleObject" Target="embeddings/oleObject1.bin"/><Relationship Id="rId13" Type="http://schemas.openxmlformats.org/officeDocument/2006/relationships/theme" Target="theme/theme1.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1" textRotate="1"/>
    <customShpInfo spid="_x0000_s2052" textRotate="1"/>
    <customShpInfo spid="_x0000_s2049"/>
    <customShpInfo spid="_x0000_s2050"/>
    <customShpInfo spid="_x0000_s1035"/>
    <customShpInfo spid="_x0000_s1028"/>
    <customShpInfo spid="_x0000_s1029"/>
    <customShpInfo spid="_x0000_s1030"/>
    <customShpInfo spid="_x0000_s1031"/>
    <customShpInfo spid="_x0000_s1027"/>
    <customShpInfo spid="_x0000_s103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274FA6-8306-4543-8643-5F333F612E5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133</Pages>
  <Words>10895</Words>
  <Characters>62106</Characters>
  <Lines>517</Lines>
  <Paragraphs>145</Paragraphs>
  <TotalTime>2</TotalTime>
  <ScaleCrop>false</ScaleCrop>
  <LinksUpToDate>false</LinksUpToDate>
  <CharactersWithSpaces>72856</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2020-01-15T01:40:00Z</dcterms:created>
  <dc:creator>中科华水工程管理有限公司:张倩</dc:creator>
  <cp:lastModifiedBy>北方的狼</cp:lastModifiedBy>
  <cp:lastPrinted>2020-01-22T00:41:00Z</cp:lastPrinted>
  <dcterms:modified xsi:type="dcterms:W3CDTF">2020-01-22T04:18:20Z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