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 w:cs="仿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44"/>
          <w:szCs w:val="44"/>
          <w:lang w:val="en-US" w:eastAsia="zh-CN"/>
        </w:rPr>
        <w:t>禹州市朱阁镇镇区生活污水处理设备运营项目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禹州市朱阁镇镇区生活污水处理设备运营项目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YZCG-T2019355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2019年12月30日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5、开标日期：2020年01月15日16时00分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48.542365万元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河南工农建筑工程有限公司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浙江迈图环保科技有限公司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河南卓阳建筑工程有限公司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484717.74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484600.00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河南工农建筑工程有限公司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484360.73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484300.00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浙江迈图环保科技有限公司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484788.57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484700.00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河南工农建筑工程有限公司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地址：周口市嵩山路中段书香门第3号楼1单元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联系人：张文泽     联系方式：13608410678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成交金额：484300.00元  大写：肆拾捌万肆仟叁佰元整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32"/>
          <w:szCs w:val="32"/>
          <w:u w:val="none"/>
          <w:lang w:val="en-US" w:eastAsia="zh-CN"/>
        </w:rPr>
        <w:t>河南卓阳建筑工程有限公司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地址：安阳县住建局院内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联系人：吴德岚  联系方式：0372-2076788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成交金额：484600.00元 大写：肆拾捌万肆仟陆佰元整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浙江迈图环保科技有限公司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地址：浙江省绍兴市斗门镇海塘路70号车间四215室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联系人：王聪丽   联系方式：15972896389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成交金额：484700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大写：肆拾捌万肆仟柒佰元整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郝爱荣    丁丽君    董朝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2020年01月19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053005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CD07D34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2B4ED4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2A45542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7995D99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2020-01-15T10:20:00Z</cp:lastPrinted>
  <dcterms:modified xsi:type="dcterms:W3CDTF">2020-01-19T07:30:33Z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