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0"/>
        <w:rPr>
          <w:rFonts w:ascii="宋体" w:hAnsi="宋体"/>
          <w:b/>
          <w:bCs/>
          <w:color w:val="000000"/>
          <w:sz w:val="28"/>
          <w:szCs w:val="28"/>
        </w:rPr>
      </w:pPr>
      <w:r>
        <w:rPr>
          <w:rFonts w:hint="eastAsia" w:ascii="宋体" w:hAnsi="宋体"/>
          <w:b/>
          <w:bCs/>
          <w:color w:val="000000"/>
          <w:sz w:val="28"/>
          <w:szCs w:val="28"/>
        </w:rPr>
        <w:t>投标分项报价表（货物类项目）</w:t>
      </w:r>
    </w:p>
    <w:p>
      <w:pPr>
        <w:autoSpaceDE w:val="0"/>
        <w:autoSpaceDN w:val="0"/>
        <w:adjustRightInd w:val="0"/>
        <w:spacing w:line="360" w:lineRule="auto"/>
        <w:jc w:val="center"/>
        <w:outlineLvl w:val="0"/>
        <w:rPr>
          <w:rFonts w:ascii="宋体" w:hAnsi="宋体"/>
          <w:b/>
          <w:bCs/>
          <w:color w:val="000000"/>
          <w:sz w:val="24"/>
          <w:szCs w:val="24"/>
        </w:rPr>
      </w:pPr>
    </w:p>
    <w:p>
      <w:pPr>
        <w:spacing w:before="50" w:afterLines="50" w:line="360" w:lineRule="auto"/>
        <w:contextualSpacing/>
        <w:rPr>
          <w:rFonts w:ascii="宋体" w:hAnsi="宋体"/>
          <w:color w:val="000000"/>
          <w:szCs w:val="21"/>
        </w:rPr>
      </w:pPr>
      <w:r>
        <w:rPr>
          <w:rFonts w:hint="eastAsia" w:ascii="宋体" w:hAnsi="宋体"/>
          <w:color w:val="000000"/>
          <w:szCs w:val="21"/>
        </w:rPr>
        <w:t>项目编号：ZFCG-G2019150-1号</w:t>
      </w:r>
    </w:p>
    <w:p>
      <w:pPr>
        <w:autoSpaceDE w:val="0"/>
        <w:autoSpaceDN w:val="0"/>
        <w:adjustRightInd w:val="0"/>
        <w:spacing w:line="360" w:lineRule="auto"/>
        <w:outlineLvl w:val="0"/>
        <w:rPr>
          <w:rFonts w:hAnsi="宋体"/>
          <w:b/>
          <w:snapToGrid w:val="0"/>
          <w:szCs w:val="21"/>
        </w:rPr>
      </w:pPr>
      <w:r>
        <w:rPr>
          <w:rFonts w:hint="eastAsia" w:ascii="宋体" w:hAnsi="宋体"/>
          <w:color w:val="000000"/>
          <w:szCs w:val="21"/>
        </w:rPr>
        <w:t xml:space="preserve">项目名称： 基础网络设备、计算存储资源池建设 </w:t>
      </w:r>
      <w:r>
        <w:rPr>
          <w:rFonts w:hint="eastAsia" w:ascii="宋体" w:hAnsi="宋体" w:cs="宋体"/>
          <w:color w:val="000000"/>
          <w:szCs w:val="21"/>
          <w:shd w:val="clear" w:color="auto" w:fill="FFFFFF"/>
        </w:rPr>
        <w:t>（A包）</w:t>
      </w:r>
    </w:p>
    <w:tbl>
      <w:tblPr>
        <w:tblStyle w:val="2"/>
        <w:tblW w:w="9859" w:type="dxa"/>
        <w:jc w:val="center"/>
        <w:tblLayout w:type="fixed"/>
        <w:tblCellMar>
          <w:top w:w="0" w:type="dxa"/>
          <w:left w:w="108" w:type="dxa"/>
          <w:bottom w:w="0" w:type="dxa"/>
          <w:right w:w="108" w:type="dxa"/>
        </w:tblCellMar>
      </w:tblPr>
      <w:tblGrid>
        <w:gridCol w:w="709"/>
        <w:gridCol w:w="1276"/>
        <w:gridCol w:w="709"/>
        <w:gridCol w:w="2409"/>
        <w:gridCol w:w="709"/>
        <w:gridCol w:w="851"/>
        <w:gridCol w:w="992"/>
        <w:gridCol w:w="992"/>
        <w:gridCol w:w="1212"/>
      </w:tblGrid>
      <w:tr>
        <w:tblPrEx>
          <w:tblCellMar>
            <w:top w:w="0" w:type="dxa"/>
            <w:left w:w="108" w:type="dxa"/>
            <w:bottom w:w="0" w:type="dxa"/>
            <w:right w:w="108" w:type="dxa"/>
          </w:tblCellMar>
        </w:tblPrEx>
        <w:trPr>
          <w:trHeight w:val="851" w:hRule="atLeast"/>
          <w:jc w:val="center"/>
        </w:trPr>
        <w:tc>
          <w:tcPr>
            <w:tcW w:w="709"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240" w:lineRule="auto"/>
              <w:jc w:val="center"/>
              <w:rPr>
                <w:rFonts w:ascii="宋体" w:hAnsi="宋体" w:cs="宋体"/>
                <w:b/>
                <w:szCs w:val="21"/>
                <w:lang w:val="zh-CN"/>
              </w:rPr>
            </w:pPr>
            <w:r>
              <w:rPr>
                <w:rFonts w:hint="eastAsia" w:ascii="宋体" w:hAnsi="宋体" w:cs="宋体"/>
                <w:b/>
                <w:szCs w:val="21"/>
                <w:lang w:val="zh-CN"/>
              </w:rPr>
              <w:t>序号</w:t>
            </w:r>
          </w:p>
        </w:tc>
        <w:tc>
          <w:tcPr>
            <w:tcW w:w="1276"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240" w:lineRule="auto"/>
              <w:jc w:val="center"/>
              <w:rPr>
                <w:rFonts w:ascii="宋体" w:hAnsi="宋体" w:cs="宋体"/>
                <w:b/>
                <w:szCs w:val="21"/>
                <w:lang w:val="zh-CN"/>
              </w:rPr>
            </w:pPr>
            <w:r>
              <w:rPr>
                <w:rFonts w:hint="eastAsia" w:ascii="宋体" w:hAnsi="宋体" w:cs="宋体"/>
                <w:b/>
                <w:szCs w:val="21"/>
                <w:lang w:val="zh-CN"/>
              </w:rPr>
              <w:t>名称</w:t>
            </w:r>
          </w:p>
        </w:tc>
        <w:tc>
          <w:tcPr>
            <w:tcW w:w="709"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240" w:lineRule="auto"/>
              <w:rPr>
                <w:rFonts w:ascii="宋体" w:hAnsi="宋体" w:cs="宋体"/>
                <w:b/>
                <w:szCs w:val="21"/>
                <w:lang w:val="zh-CN"/>
              </w:rPr>
            </w:pPr>
            <w:r>
              <w:rPr>
                <w:rFonts w:hint="eastAsia" w:ascii="宋体" w:hAnsi="宋体" w:cs="宋体"/>
                <w:b/>
                <w:szCs w:val="21"/>
                <w:lang w:val="zh-CN"/>
              </w:rPr>
              <w:t>规格型号</w:t>
            </w:r>
          </w:p>
        </w:tc>
        <w:tc>
          <w:tcPr>
            <w:tcW w:w="2409"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240" w:lineRule="auto"/>
              <w:jc w:val="center"/>
              <w:rPr>
                <w:rFonts w:ascii="宋体" w:hAnsi="宋体" w:cs="宋体"/>
                <w:b/>
                <w:szCs w:val="21"/>
                <w:lang w:val="zh-CN"/>
              </w:rPr>
            </w:pPr>
            <w:r>
              <w:rPr>
                <w:rFonts w:hint="eastAsia" w:ascii="宋体" w:hAnsi="宋体" w:cs="宋体"/>
                <w:b/>
                <w:szCs w:val="21"/>
                <w:lang w:val="zh-CN"/>
              </w:rPr>
              <w:t>技术</w:t>
            </w:r>
          </w:p>
          <w:p>
            <w:pPr>
              <w:autoSpaceDE w:val="0"/>
              <w:autoSpaceDN w:val="0"/>
              <w:adjustRightInd w:val="0"/>
              <w:spacing w:line="240" w:lineRule="auto"/>
              <w:jc w:val="center"/>
              <w:rPr>
                <w:rFonts w:ascii="宋体" w:hAnsi="宋体" w:cs="宋体"/>
                <w:b/>
                <w:szCs w:val="21"/>
                <w:lang w:val="zh-CN"/>
              </w:rPr>
            </w:pPr>
            <w:r>
              <w:rPr>
                <w:rFonts w:hint="eastAsia" w:ascii="宋体" w:hAnsi="宋体" w:cs="宋体"/>
                <w:b/>
                <w:szCs w:val="21"/>
                <w:lang w:val="zh-CN"/>
              </w:rPr>
              <w:t>参数</w:t>
            </w:r>
          </w:p>
        </w:tc>
        <w:tc>
          <w:tcPr>
            <w:tcW w:w="709"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240" w:lineRule="auto"/>
              <w:jc w:val="center"/>
              <w:rPr>
                <w:rFonts w:ascii="宋体" w:hAnsi="宋体" w:cs="宋体"/>
                <w:b/>
                <w:szCs w:val="21"/>
                <w:lang w:val="zh-CN"/>
              </w:rPr>
            </w:pPr>
            <w:r>
              <w:rPr>
                <w:rFonts w:hint="eastAsia" w:ascii="宋体" w:hAnsi="宋体" w:cs="宋体"/>
                <w:b/>
                <w:szCs w:val="21"/>
                <w:lang w:val="zh-CN"/>
              </w:rPr>
              <w:t>单位</w:t>
            </w:r>
          </w:p>
        </w:tc>
        <w:tc>
          <w:tcPr>
            <w:tcW w:w="851"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240" w:lineRule="auto"/>
              <w:jc w:val="center"/>
              <w:rPr>
                <w:rFonts w:ascii="宋体" w:hAnsi="宋体" w:cs="宋体"/>
                <w:b/>
                <w:szCs w:val="21"/>
                <w:lang w:val="zh-CN"/>
              </w:rPr>
            </w:pPr>
            <w:r>
              <w:rPr>
                <w:rFonts w:hint="eastAsia" w:ascii="宋体" w:hAnsi="宋体" w:cs="宋体"/>
                <w:b/>
                <w:szCs w:val="21"/>
                <w:lang w:val="zh-CN"/>
              </w:rPr>
              <w:t>数量</w:t>
            </w:r>
          </w:p>
        </w:tc>
        <w:tc>
          <w:tcPr>
            <w:tcW w:w="992"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240" w:lineRule="auto"/>
              <w:jc w:val="center"/>
              <w:rPr>
                <w:rFonts w:ascii="宋体" w:hAnsi="宋体" w:cs="宋体"/>
                <w:b/>
                <w:szCs w:val="21"/>
                <w:lang w:val="zh-CN"/>
              </w:rPr>
            </w:pPr>
            <w:r>
              <w:rPr>
                <w:rFonts w:hint="eastAsia" w:ascii="宋体" w:hAnsi="宋体" w:cs="宋体"/>
                <w:b/>
                <w:szCs w:val="21"/>
                <w:lang w:val="zh-CN"/>
              </w:rPr>
              <w:t>单价</w:t>
            </w:r>
          </w:p>
        </w:tc>
        <w:tc>
          <w:tcPr>
            <w:tcW w:w="992"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240" w:lineRule="auto"/>
              <w:ind w:firstLine="120"/>
              <w:rPr>
                <w:rFonts w:ascii="宋体" w:hAnsi="宋体" w:cs="宋体"/>
                <w:b/>
                <w:szCs w:val="21"/>
                <w:lang w:val="zh-CN"/>
              </w:rPr>
            </w:pPr>
            <w:r>
              <w:rPr>
                <w:rFonts w:hint="eastAsia" w:ascii="宋体" w:hAnsi="宋体" w:cs="宋体"/>
                <w:b/>
                <w:szCs w:val="21"/>
                <w:lang w:val="zh-CN"/>
              </w:rPr>
              <w:t>总价</w:t>
            </w:r>
          </w:p>
        </w:tc>
        <w:tc>
          <w:tcPr>
            <w:tcW w:w="1212" w:type="dxa"/>
            <w:tcBorders>
              <w:top w:val="single" w:color="auto" w:sz="6" w:space="0"/>
              <w:left w:val="single" w:color="auto" w:sz="6" w:space="0"/>
              <w:bottom w:val="single" w:color="auto" w:sz="6" w:space="0"/>
              <w:right w:val="single" w:color="auto" w:sz="6" w:space="0"/>
            </w:tcBorders>
            <w:shd w:val="clear" w:color="auto" w:fill="F2F2F2"/>
            <w:vAlign w:val="center"/>
          </w:tcPr>
          <w:p>
            <w:pPr>
              <w:autoSpaceDE w:val="0"/>
              <w:autoSpaceDN w:val="0"/>
              <w:adjustRightInd w:val="0"/>
              <w:spacing w:line="240" w:lineRule="auto"/>
              <w:ind w:left="120" w:hanging="120"/>
              <w:jc w:val="center"/>
              <w:rPr>
                <w:rFonts w:ascii="宋体" w:hAnsi="宋体" w:cs="宋体"/>
                <w:b/>
                <w:szCs w:val="21"/>
                <w:lang w:val="zh-CN"/>
              </w:rPr>
            </w:pPr>
            <w:r>
              <w:rPr>
                <w:rFonts w:hint="eastAsia" w:ascii="宋体" w:hAnsi="宋体" w:cs="宋体"/>
                <w:b/>
                <w:szCs w:val="21"/>
                <w:lang w:val="zh-CN"/>
              </w:rPr>
              <w:t>产地及</w:t>
            </w:r>
          </w:p>
          <w:p>
            <w:pPr>
              <w:autoSpaceDE w:val="0"/>
              <w:autoSpaceDN w:val="0"/>
              <w:adjustRightInd w:val="0"/>
              <w:spacing w:line="240" w:lineRule="auto"/>
              <w:ind w:left="120" w:hanging="120"/>
              <w:jc w:val="center"/>
              <w:rPr>
                <w:rFonts w:ascii="宋体" w:hAnsi="宋体" w:cs="宋体"/>
                <w:b/>
                <w:szCs w:val="21"/>
                <w:lang w:val="zh-CN"/>
              </w:rPr>
            </w:pPr>
            <w:r>
              <w:rPr>
                <w:rFonts w:hint="eastAsia" w:ascii="宋体" w:hAnsi="宋体" w:cs="宋体"/>
                <w:b/>
                <w:szCs w:val="21"/>
                <w:lang w:val="zh-CN"/>
              </w:rPr>
              <w:t>厂家</w:t>
            </w:r>
          </w:p>
        </w:tc>
      </w:tr>
      <w:tr>
        <w:tblPrEx>
          <w:tblCellMar>
            <w:top w:w="0" w:type="dxa"/>
            <w:left w:w="108" w:type="dxa"/>
            <w:bottom w:w="0" w:type="dxa"/>
            <w:right w:w="108" w:type="dxa"/>
          </w:tblCellMar>
        </w:tblPrEx>
        <w:trPr>
          <w:trHeight w:val="851" w:hRule="atLeast"/>
          <w:jc w:val="center"/>
        </w:trPr>
        <w:tc>
          <w:tcPr>
            <w:tcW w:w="7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240" w:lineRule="auto"/>
              <w:jc w:val="center"/>
              <w:rPr>
                <w:rFonts w:ascii="宋体" w:hAnsi="宋体"/>
                <w:color w:val="000000" w:themeColor="text1"/>
                <w:sz w:val="24"/>
                <w:szCs w:val="24"/>
                <w14:textFill>
                  <w14:solidFill>
                    <w14:schemeClr w14:val="tx1"/>
                  </w14:solidFill>
                </w14:textFill>
              </w:rPr>
            </w:pPr>
          </w:p>
          <w:p>
            <w:pPr>
              <w:autoSpaceDE w:val="0"/>
              <w:autoSpaceDN w:val="0"/>
              <w:adjustRightInd w:val="0"/>
              <w:spacing w:line="240" w:lineRule="auto"/>
              <w:jc w:val="center"/>
              <w:rPr>
                <w:rFonts w:ascii="宋体" w:hAnsi="宋体"/>
                <w:color w:val="000000" w:themeColor="text1"/>
                <w:sz w:val="24"/>
                <w:szCs w:val="24"/>
                <w14:textFill>
                  <w14:solidFill>
                    <w14:schemeClr w14:val="tx1"/>
                  </w14:solidFill>
                </w14:textFill>
              </w:rPr>
            </w:pPr>
          </w:p>
          <w:p>
            <w:pPr>
              <w:autoSpaceDE w:val="0"/>
              <w:autoSpaceDN w:val="0"/>
              <w:adjustRightInd w:val="0"/>
              <w:spacing w:line="240" w:lineRule="auto"/>
              <w:jc w:val="center"/>
              <w:rPr>
                <w:rFonts w:ascii="宋体" w:hAnsi="宋体"/>
                <w:color w:val="000000" w:themeColor="text1"/>
                <w:sz w:val="24"/>
                <w:szCs w:val="24"/>
                <w14:textFill>
                  <w14:solidFill>
                    <w14:schemeClr w14:val="tx1"/>
                  </w14:solidFill>
                </w14:textFill>
              </w:rPr>
            </w:pPr>
          </w:p>
          <w:p>
            <w:pPr>
              <w:autoSpaceDE w:val="0"/>
              <w:autoSpaceDN w:val="0"/>
              <w:adjustRightInd w:val="0"/>
              <w:spacing w:line="240" w:lineRule="auto"/>
              <w:jc w:val="center"/>
              <w:rPr>
                <w:rFonts w:ascii="宋体" w:hAnsi="宋体"/>
                <w:color w:val="000000" w:themeColor="text1"/>
                <w:sz w:val="24"/>
                <w:szCs w:val="24"/>
                <w14:textFill>
                  <w14:solidFill>
                    <w14:schemeClr w14:val="tx1"/>
                  </w14:solidFill>
                </w14:textFill>
              </w:rPr>
            </w:pPr>
          </w:p>
          <w:p>
            <w:pPr>
              <w:autoSpaceDE w:val="0"/>
              <w:autoSpaceDN w:val="0"/>
              <w:adjustRightInd w:val="0"/>
              <w:spacing w:line="240" w:lineRule="auto"/>
              <w:jc w:val="center"/>
              <w:rPr>
                <w:rFonts w:ascii="宋体" w:hAnsi="宋体"/>
                <w:color w:val="000000" w:themeColor="text1"/>
                <w:sz w:val="24"/>
                <w:szCs w:val="24"/>
                <w14:textFill>
                  <w14:solidFill>
                    <w14:schemeClr w14:val="tx1"/>
                  </w14:solidFill>
                </w14:textFill>
              </w:rPr>
            </w:pPr>
          </w:p>
          <w:p>
            <w:pPr>
              <w:autoSpaceDE w:val="0"/>
              <w:autoSpaceDN w:val="0"/>
              <w:adjustRightInd w:val="0"/>
              <w:spacing w:line="240" w:lineRule="auto"/>
              <w:jc w:val="center"/>
              <w:rPr>
                <w:rFonts w:ascii="宋体" w:hAnsi="宋体"/>
                <w:color w:val="000000" w:themeColor="text1"/>
                <w:sz w:val="24"/>
                <w:szCs w:val="24"/>
                <w14:textFill>
                  <w14:solidFill>
                    <w14:schemeClr w14:val="tx1"/>
                  </w14:solidFill>
                </w14:textFill>
              </w:rPr>
            </w:pPr>
          </w:p>
          <w:p>
            <w:pPr>
              <w:autoSpaceDE w:val="0"/>
              <w:autoSpaceDN w:val="0"/>
              <w:adjustRightInd w:val="0"/>
              <w:spacing w:line="240" w:lineRule="auto"/>
              <w:jc w:val="center"/>
              <w:rPr>
                <w:rFonts w:ascii="宋体" w:hAnsi="宋体"/>
                <w:color w:val="000000" w:themeColor="text1"/>
                <w:sz w:val="24"/>
                <w:szCs w:val="24"/>
                <w14:textFill>
                  <w14:solidFill>
                    <w14:schemeClr w14:val="tx1"/>
                  </w14:solidFill>
                </w14:textFill>
              </w:rPr>
            </w:pPr>
          </w:p>
          <w:p>
            <w:pPr>
              <w:autoSpaceDE w:val="0"/>
              <w:autoSpaceDN w:val="0"/>
              <w:adjustRightInd w:val="0"/>
              <w:spacing w:line="240" w:lineRule="auto"/>
              <w:jc w:val="center"/>
              <w:rPr>
                <w:rFonts w:ascii="宋体" w:hAnsi="宋体"/>
                <w:color w:val="000000" w:themeColor="text1"/>
                <w:sz w:val="24"/>
                <w:szCs w:val="24"/>
                <w14:textFill>
                  <w14:solidFill>
                    <w14:schemeClr w14:val="tx1"/>
                  </w14:solidFill>
                </w14:textFill>
              </w:rPr>
            </w:pPr>
          </w:p>
          <w:p>
            <w:pPr>
              <w:autoSpaceDE w:val="0"/>
              <w:autoSpaceDN w:val="0"/>
              <w:adjustRightInd w:val="0"/>
              <w:spacing w:line="240" w:lineRule="auto"/>
              <w:jc w:val="center"/>
              <w:rPr>
                <w:rFonts w:ascii="宋体" w:hAnsi="宋体"/>
                <w:color w:val="000000" w:themeColor="text1"/>
                <w:sz w:val="24"/>
                <w:szCs w:val="24"/>
                <w14:textFill>
                  <w14:solidFill>
                    <w14:schemeClr w14:val="tx1"/>
                  </w14:solidFill>
                </w14:textFill>
              </w:rPr>
            </w:pPr>
          </w:p>
          <w:p>
            <w:pPr>
              <w:autoSpaceDE w:val="0"/>
              <w:autoSpaceDN w:val="0"/>
              <w:adjustRightInd w:val="0"/>
              <w:spacing w:line="240" w:lineRule="auto"/>
              <w:jc w:val="center"/>
              <w:rPr>
                <w:rFonts w:ascii="宋体" w:hAnsi="宋体"/>
                <w:color w:val="000000" w:themeColor="text1"/>
                <w:sz w:val="24"/>
                <w:szCs w:val="24"/>
                <w14:textFill>
                  <w14:solidFill>
                    <w14:schemeClr w14:val="tx1"/>
                  </w14:solidFill>
                </w14:textFill>
              </w:rPr>
            </w:pPr>
          </w:p>
          <w:p>
            <w:pPr>
              <w:autoSpaceDE w:val="0"/>
              <w:autoSpaceDN w:val="0"/>
              <w:adjustRightInd w:val="0"/>
              <w:spacing w:line="240" w:lineRule="auto"/>
              <w:jc w:val="center"/>
              <w:rPr>
                <w:rFonts w:ascii="宋体" w:hAnsi="宋体"/>
                <w:color w:val="000000" w:themeColor="text1"/>
                <w:sz w:val="24"/>
                <w:szCs w:val="24"/>
                <w14:textFill>
                  <w14:solidFill>
                    <w14:schemeClr w14:val="tx1"/>
                  </w14:solidFill>
                </w14:textFill>
              </w:rPr>
            </w:pPr>
          </w:p>
          <w:p>
            <w:pPr>
              <w:autoSpaceDE w:val="0"/>
              <w:autoSpaceDN w:val="0"/>
              <w:adjustRightInd w:val="0"/>
              <w:spacing w:line="240" w:lineRule="auto"/>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核心交换机</w:t>
            </w:r>
          </w:p>
          <w:p>
            <w:pPr>
              <w:autoSpaceDE w:val="0"/>
              <w:autoSpaceDN w:val="0"/>
              <w:adjustRightInd w:val="0"/>
              <w:spacing w:line="240" w:lineRule="auto"/>
              <w:jc w:val="center"/>
              <w:rPr>
                <w:rFonts w:ascii="宋体" w:hAnsi="宋体"/>
                <w:color w:val="000000" w:themeColor="text1"/>
                <w:sz w:val="24"/>
                <w:szCs w:val="24"/>
                <w14:textFill>
                  <w14:solidFill>
                    <w14:schemeClr w14:val="tx1"/>
                  </w14:solidFill>
                </w14:textFill>
              </w:rPr>
            </w:pPr>
          </w:p>
        </w:tc>
        <w:tc>
          <w:tcPr>
            <w:tcW w:w="70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240" w:lineRule="auto"/>
              <w:jc w:val="center"/>
              <w:rPr>
                <w:rFonts w:asciiTheme="minorEastAsia" w:hAnsiTheme="minorEastAsia"/>
                <w:color w:val="000000" w:themeColor="text1"/>
                <w:sz w:val="24"/>
                <w:szCs w:val="24"/>
                <w14:textFill>
                  <w14:solidFill>
                    <w14:schemeClr w14:val="tx1"/>
                  </w14:solidFill>
                </w14:textFill>
              </w:rPr>
            </w:pPr>
          </w:p>
          <w:p>
            <w:pPr>
              <w:autoSpaceDE w:val="0"/>
              <w:autoSpaceDN w:val="0"/>
              <w:adjustRightInd w:val="0"/>
              <w:spacing w:line="240" w:lineRule="auto"/>
              <w:jc w:val="center"/>
              <w:rPr>
                <w:rFonts w:asciiTheme="minorEastAsia" w:hAnsiTheme="minorEastAsia"/>
                <w:color w:val="000000" w:themeColor="text1"/>
                <w:sz w:val="24"/>
                <w:szCs w:val="24"/>
                <w14:textFill>
                  <w14:solidFill>
                    <w14:schemeClr w14:val="tx1"/>
                  </w14:solidFill>
                </w14:textFill>
              </w:rPr>
            </w:pPr>
          </w:p>
          <w:p>
            <w:pPr>
              <w:autoSpaceDE w:val="0"/>
              <w:autoSpaceDN w:val="0"/>
              <w:adjustRightInd w:val="0"/>
              <w:spacing w:line="240" w:lineRule="auto"/>
              <w:jc w:val="center"/>
              <w:rPr>
                <w:rFonts w:asciiTheme="minorEastAsia" w:hAnsiTheme="minorEastAsia"/>
                <w:color w:val="000000" w:themeColor="text1"/>
                <w:sz w:val="24"/>
                <w:szCs w:val="24"/>
                <w14:textFill>
                  <w14:solidFill>
                    <w14:schemeClr w14:val="tx1"/>
                  </w14:solidFill>
                </w14:textFill>
              </w:rPr>
            </w:pPr>
          </w:p>
          <w:p>
            <w:pPr>
              <w:autoSpaceDE w:val="0"/>
              <w:autoSpaceDN w:val="0"/>
              <w:adjustRightInd w:val="0"/>
              <w:spacing w:line="240" w:lineRule="auto"/>
              <w:jc w:val="center"/>
              <w:rPr>
                <w:rFonts w:asciiTheme="minorEastAsia" w:hAnsiTheme="minorEastAsia"/>
                <w:color w:val="000000" w:themeColor="text1"/>
                <w:sz w:val="24"/>
                <w:szCs w:val="24"/>
                <w14:textFill>
                  <w14:solidFill>
                    <w14:schemeClr w14:val="tx1"/>
                  </w14:solidFill>
                </w14:textFill>
              </w:rPr>
            </w:pPr>
          </w:p>
          <w:p>
            <w:pPr>
              <w:autoSpaceDE w:val="0"/>
              <w:autoSpaceDN w:val="0"/>
              <w:adjustRightInd w:val="0"/>
              <w:spacing w:line="240" w:lineRule="auto"/>
              <w:jc w:val="center"/>
              <w:rPr>
                <w:rFonts w:asciiTheme="minorEastAsia" w:hAnsiTheme="minorEastAsia"/>
                <w:color w:val="000000" w:themeColor="text1"/>
                <w:sz w:val="24"/>
                <w:szCs w:val="24"/>
                <w14:textFill>
                  <w14:solidFill>
                    <w14:schemeClr w14:val="tx1"/>
                  </w14:solidFill>
                </w14:textFill>
              </w:rPr>
            </w:pPr>
          </w:p>
          <w:p>
            <w:pPr>
              <w:autoSpaceDE w:val="0"/>
              <w:autoSpaceDN w:val="0"/>
              <w:adjustRightInd w:val="0"/>
              <w:spacing w:line="240" w:lineRule="auto"/>
              <w:jc w:val="center"/>
              <w:rPr>
                <w:rFonts w:asciiTheme="minorEastAsia" w:hAnsiTheme="minorEastAsia"/>
                <w:color w:val="000000" w:themeColor="text1"/>
                <w:sz w:val="24"/>
                <w:szCs w:val="24"/>
                <w14:textFill>
                  <w14:solidFill>
                    <w14:schemeClr w14:val="tx1"/>
                  </w14:solidFill>
                </w14:textFill>
              </w:rPr>
            </w:pPr>
          </w:p>
          <w:p>
            <w:pPr>
              <w:autoSpaceDE w:val="0"/>
              <w:autoSpaceDN w:val="0"/>
              <w:adjustRightInd w:val="0"/>
              <w:spacing w:line="240" w:lineRule="auto"/>
              <w:jc w:val="center"/>
              <w:rPr>
                <w:rFonts w:asciiTheme="minorEastAsia" w:hAnsiTheme="minorEastAsia"/>
                <w:color w:val="000000" w:themeColor="text1"/>
                <w:sz w:val="24"/>
                <w:szCs w:val="24"/>
                <w14:textFill>
                  <w14:solidFill>
                    <w14:schemeClr w14:val="tx1"/>
                  </w14:solidFill>
                </w14:textFill>
              </w:rPr>
            </w:pPr>
          </w:p>
          <w:p>
            <w:pPr>
              <w:autoSpaceDE w:val="0"/>
              <w:autoSpaceDN w:val="0"/>
              <w:adjustRightInd w:val="0"/>
              <w:spacing w:line="240" w:lineRule="auto"/>
              <w:jc w:val="center"/>
              <w:rPr>
                <w:rFonts w:asciiTheme="minorEastAsia" w:hAnsiTheme="minorEastAsia"/>
                <w:color w:val="000000" w:themeColor="text1"/>
                <w:sz w:val="24"/>
                <w:szCs w:val="24"/>
                <w14:textFill>
                  <w14:solidFill>
                    <w14:schemeClr w14:val="tx1"/>
                  </w14:solidFill>
                </w14:textFill>
              </w:rPr>
            </w:pPr>
          </w:p>
          <w:p>
            <w:pPr>
              <w:autoSpaceDE w:val="0"/>
              <w:autoSpaceDN w:val="0"/>
              <w:adjustRightInd w:val="0"/>
              <w:spacing w:line="240" w:lineRule="auto"/>
              <w:jc w:val="center"/>
              <w:rPr>
                <w:rFonts w:asciiTheme="minorEastAsia" w:hAnsiTheme="minorEastAsia"/>
                <w:color w:val="000000" w:themeColor="text1"/>
                <w:sz w:val="24"/>
                <w:szCs w:val="24"/>
                <w14:textFill>
                  <w14:solidFill>
                    <w14:schemeClr w14:val="tx1"/>
                  </w14:solidFill>
                </w14:textFill>
              </w:rPr>
            </w:pPr>
          </w:p>
          <w:p>
            <w:pPr>
              <w:autoSpaceDE w:val="0"/>
              <w:autoSpaceDN w:val="0"/>
              <w:adjustRightInd w:val="0"/>
              <w:spacing w:line="240" w:lineRule="auto"/>
              <w:jc w:val="center"/>
              <w:rPr>
                <w:rFonts w:asciiTheme="minorEastAsia" w:hAnsiTheme="minorEastAsia"/>
                <w:color w:val="000000" w:themeColor="text1"/>
                <w:sz w:val="24"/>
                <w:szCs w:val="24"/>
                <w14:textFill>
                  <w14:solidFill>
                    <w14:schemeClr w14:val="tx1"/>
                  </w14:solidFill>
                </w14:textFill>
              </w:rPr>
            </w:pPr>
          </w:p>
          <w:p>
            <w:pPr>
              <w:autoSpaceDE w:val="0"/>
              <w:autoSpaceDN w:val="0"/>
              <w:adjustRightInd w:val="0"/>
              <w:spacing w:line="240" w:lineRule="auto"/>
              <w:jc w:val="center"/>
              <w:rPr>
                <w:rFonts w:asciiTheme="minorEastAsia" w:hAnsiTheme="minorEastAsia"/>
                <w:color w:val="000000" w:themeColor="text1"/>
                <w:sz w:val="24"/>
                <w:szCs w:val="24"/>
                <w14:textFill>
                  <w14:solidFill>
                    <w14:schemeClr w14:val="tx1"/>
                  </w14:solidFill>
                </w14:textFill>
              </w:rPr>
            </w:pPr>
          </w:p>
          <w:p>
            <w:pPr>
              <w:autoSpaceDE w:val="0"/>
              <w:autoSpaceDN w:val="0"/>
              <w:adjustRightInd w:val="0"/>
              <w:spacing w:line="240" w:lineRule="auto"/>
              <w:jc w:val="center"/>
              <w:rPr>
                <w:rFonts w:ascii="宋体" w:hAnsi="宋体"/>
                <w:color w:val="000000" w:themeColor="text1"/>
                <w:sz w:val="24"/>
                <w:szCs w:val="24"/>
                <w14:textFill>
                  <w14:solidFill>
                    <w14:schemeClr w14:val="tx1"/>
                  </w14:solidFill>
                </w14:textFill>
              </w:rPr>
            </w:pPr>
            <w:r>
              <w:rPr>
                <w:rFonts w:asciiTheme="minorEastAsia" w:hAnsiTheme="minorEastAsia"/>
                <w:color w:val="000000" w:themeColor="text1"/>
                <w:sz w:val="24"/>
                <w:szCs w:val="24"/>
                <w14:textFill>
                  <w14:solidFill>
                    <w14:schemeClr w14:val="tx1"/>
                  </w14:solidFill>
                </w14:textFill>
              </w:rPr>
              <w:t>S7706</w:t>
            </w:r>
          </w:p>
        </w:tc>
        <w:tc>
          <w:tcPr>
            <w:tcW w:w="2409" w:type="dxa"/>
            <w:tcBorders>
              <w:top w:val="single" w:color="auto" w:sz="6" w:space="0"/>
              <w:left w:val="single" w:color="auto" w:sz="6" w:space="0"/>
              <w:bottom w:val="single" w:color="auto" w:sz="6" w:space="0"/>
              <w:right w:val="single" w:color="auto" w:sz="6" w:space="0"/>
            </w:tcBorders>
          </w:tcPr>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▲1、交换容量19Tbps，包转发率2800Mpps；</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2、主控引擎2；整机业务板槽位数6，高度10U，适用600mm深度机柜；</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3、设备支持模块化风扇框，可热插拔，独立风扇框数2；</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4、支持颗粒化电源，支持M+N电源冗余（AC和DC均支持）,电源个数3；</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5、设备机箱采用后出风风道设计；</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b/>
                <w:color w:val="000000" w:themeColor="text1"/>
                <w:kern w:val="0"/>
                <w:sz w:val="24"/>
                <w:szCs w:val="24"/>
                <w:shd w:val="clear" w:color="auto" w:fill="FFFFFF"/>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6、支持独立的硬件监控模块, 控制平面和监控平面物理槽位分离，支持1+1备份，能集中监控板卡、风扇、电源、环境，调节能耗；</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7、支持每槽位带宽320Gbps， </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8、支持横向虚拟化技术，将多台设备虚拟为一台设备，支持长距离集群；</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9、支持纵向虚拟化技术，支持把交换机和AP虚拟为一台设备，支持两层子节点，且子节点接入交换机支持堆叠， </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10、支持整机MAC地址1M；MAC学习速率&gt;8000/s。 </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11、支持整机ARP表项256K；ARP学习速率1000/s， </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12、支持IPv4路由转发FIB表项512K，</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13、支持整机ACL表项256K, </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14、支持4K VLAN，支持端口VLAN，协议VLAN，IP子网VLAN；</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15、支持IEEE 802.1d(STP)、 802.w(RSTP)、 802.1s(MSTP)；</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16、支持静态路由、RIP、RIPng、OSPF、OSPFv3、BGP、BGP4+、ISIS、ISISv6；</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17、支持MPLS L3VPN、MPLS L2VPN(VPLS，VLL)、MPLS-TE、MPLS QoS；</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b/>
                <w:color w:val="000000" w:themeColor="text1"/>
                <w:kern w:val="0"/>
                <w:sz w:val="24"/>
                <w:szCs w:val="24"/>
                <w:shd w:val="clear" w:color="auto" w:fill="FFFFFF"/>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18、支持GE/10GE端口200ms大缓存，</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19、支持5级H-QoS；</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20、支持G.8032标准环网协议，倒换时间50ms ；</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21、支持硬件BFD/OAM，3.3ms稳定均匀发包检测，提高设备的可靠性；</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22、支持业务板集成AC功能，业务单板+AC只占用1个业务槽位，实现对AP的接入控制、AP域管理、有线无线用户的统一认证管理；</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23、支持真实业务流的实时检测技术，秒级快速故障定位； </w:t>
            </w:r>
          </w:p>
          <w:p>
            <w:pPr>
              <w:snapToGrid w:val="0"/>
              <w:spacing w:line="24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24、支持CC认证，认证等级为EAL3+， </w:t>
            </w:r>
          </w:p>
          <w:p>
            <w:pPr>
              <w:autoSpaceDE w:val="0"/>
              <w:autoSpaceDN w:val="0"/>
              <w:adjustRightInd w:val="0"/>
              <w:spacing w:line="240" w:lineRule="auto"/>
              <w:rPr>
                <w:rFonts w:ascii="宋体" w:hAnsi="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25、实配：主控、电源、风扇等核心部件冗余备份，千兆光口16,万兆光口16个。实配单模光模块和线缆，堆叠口和业务板卡不混用，堆叠口均匀分布在至少两块单板；配置满足要求的单板和堆叠板之后，剩余可扩展业务板卡槽位数5个。</w:t>
            </w:r>
          </w:p>
        </w:tc>
        <w:tc>
          <w:tcPr>
            <w:tcW w:w="709"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台</w:t>
            </w:r>
          </w:p>
        </w:tc>
        <w:tc>
          <w:tcPr>
            <w:tcW w:w="851"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w:t>
            </w:r>
          </w:p>
        </w:tc>
        <w:tc>
          <w:tcPr>
            <w:tcW w:w="9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color w:val="000000" w:themeColor="text1"/>
                <w:sz w:val="24"/>
                <w:szCs w:val="24"/>
                <w14:textFill>
                  <w14:solidFill>
                    <w14:schemeClr w14:val="tx1"/>
                  </w14:solidFill>
                </w14:textFill>
              </w:rPr>
            </w:pPr>
            <w:r>
              <w:rPr>
                <w:rFonts w:asciiTheme="minorEastAsia" w:hAnsiTheme="minorEastAsia"/>
                <w:color w:val="000000" w:themeColor="text1"/>
                <w:sz w:val="24"/>
                <w:szCs w:val="24"/>
                <w14:textFill>
                  <w14:solidFill>
                    <w14:schemeClr w14:val="tx1"/>
                  </w14:solidFill>
                </w14:textFill>
              </w:rPr>
              <w:t>102000</w:t>
            </w:r>
          </w:p>
        </w:tc>
        <w:tc>
          <w:tcPr>
            <w:tcW w:w="9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color w:val="000000" w:themeColor="text1"/>
                <w:sz w:val="24"/>
                <w:szCs w:val="24"/>
                <w14:textFill>
                  <w14:solidFill>
                    <w14:schemeClr w14:val="tx1"/>
                  </w14:solidFill>
                </w14:textFill>
              </w:rPr>
            </w:pPr>
            <w:r>
              <w:rPr>
                <w:rFonts w:asciiTheme="minorEastAsia" w:hAnsiTheme="minorEastAsia"/>
                <w:color w:val="000000" w:themeColor="text1"/>
                <w:sz w:val="24"/>
                <w:szCs w:val="24"/>
                <w14:textFill>
                  <w14:solidFill>
                    <w14:schemeClr w14:val="tx1"/>
                  </w14:solidFill>
                </w14:textFill>
              </w:rPr>
              <w:t>204000</w:t>
            </w:r>
          </w:p>
        </w:tc>
        <w:tc>
          <w:tcPr>
            <w:tcW w:w="12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深圳</w:t>
            </w:r>
          </w:p>
          <w:p>
            <w:pPr>
              <w:autoSpaceDE w:val="0"/>
              <w:autoSpaceDN w:val="0"/>
              <w:adjustRightInd w:val="0"/>
              <w:spacing w:line="240" w:lineRule="auto"/>
              <w:jc w:val="center"/>
              <w:rPr>
                <w:rFonts w:asciiTheme="minorEastAsia" w:hAnsiTheme="minorEastAsia"/>
                <w:color w:val="000000" w:themeColor="text1"/>
                <w:sz w:val="24"/>
                <w:szCs w:val="24"/>
                <w14:textFill>
                  <w14:solidFill>
                    <w14:schemeClr w14:val="tx1"/>
                  </w14:solidFill>
                </w14:textFill>
              </w:rPr>
            </w:pPr>
            <w:r>
              <w:rPr>
                <w:rFonts w:asciiTheme="minorEastAsia" w:hAnsiTheme="minorEastAsia"/>
                <w:color w:val="000000" w:themeColor="text1"/>
                <w:sz w:val="24"/>
                <w:szCs w:val="24"/>
                <w14:textFill>
                  <w14:solidFill>
                    <w14:schemeClr w14:val="tx1"/>
                  </w14:solidFill>
                </w14:textFill>
              </w:rPr>
              <w:t>/华为技术有限公司</w:t>
            </w:r>
          </w:p>
        </w:tc>
      </w:tr>
      <w:tr>
        <w:tblPrEx>
          <w:tblCellMar>
            <w:top w:w="0" w:type="dxa"/>
            <w:left w:w="108" w:type="dxa"/>
            <w:bottom w:w="0" w:type="dxa"/>
            <w:right w:w="108" w:type="dxa"/>
          </w:tblCellMar>
        </w:tblPrEx>
        <w:trPr>
          <w:trHeight w:val="851" w:hRule="atLeast"/>
          <w:jc w:val="center"/>
        </w:trPr>
        <w:tc>
          <w:tcPr>
            <w:tcW w:w="7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宋体" w:hAnsi="宋体"/>
                <w:szCs w:val="21"/>
              </w:rPr>
            </w:pPr>
            <w:r>
              <w:rPr>
                <w:rFonts w:hint="eastAsia" w:ascii="宋体" w:hAnsi="宋体"/>
                <w:szCs w:val="21"/>
              </w:rPr>
              <w:t>2</w:t>
            </w:r>
          </w:p>
        </w:tc>
        <w:tc>
          <w:tcPr>
            <w:tcW w:w="127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Cs w:val="21"/>
              </w:rPr>
            </w:pPr>
            <w:r>
              <w:rPr>
                <w:rFonts w:hint="eastAsia" w:ascii="宋体" w:hAnsi="宋体" w:cs="宋体"/>
                <w:kern w:val="0"/>
                <w:sz w:val="24"/>
              </w:rPr>
              <w:t>防火墙</w:t>
            </w:r>
          </w:p>
        </w:tc>
        <w:tc>
          <w:tcPr>
            <w:tcW w:w="709"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NGFW4000-UF</w:t>
            </w:r>
          </w:p>
        </w:tc>
        <w:tc>
          <w:tcPr>
            <w:tcW w:w="2409" w:type="dxa"/>
            <w:tcBorders>
              <w:top w:val="single" w:color="auto" w:sz="6" w:space="0"/>
              <w:left w:val="single" w:color="auto" w:sz="6" w:space="0"/>
              <w:bottom w:val="single" w:color="auto" w:sz="6" w:space="0"/>
              <w:right w:val="single" w:color="auto" w:sz="6" w:space="0"/>
            </w:tcBorders>
          </w:tcPr>
          <w:p>
            <w:pPr>
              <w:widowControl/>
              <w:snapToGrid w:val="0"/>
              <w:spacing w:line="240" w:lineRule="auto"/>
              <w:jc w:val="left"/>
              <w:rPr>
                <w:rFonts w:ascii="宋体" w:hAnsi="宋体" w:cs="宋体"/>
                <w:sz w:val="24"/>
              </w:rPr>
            </w:pPr>
            <w:r>
              <w:rPr>
                <w:rFonts w:hint="eastAsia" w:ascii="宋体" w:hAnsi="宋体" w:cs="宋体"/>
                <w:b/>
                <w:color w:val="000000"/>
                <w:kern w:val="0"/>
                <w:sz w:val="24"/>
                <w:shd w:val="clear" w:color="auto" w:fill="FFFFFF"/>
              </w:rPr>
              <w:t>▲</w:t>
            </w:r>
            <w:r>
              <w:rPr>
                <w:rFonts w:hint="eastAsia" w:ascii="宋体" w:hAnsi="宋体" w:cs="宋体"/>
                <w:sz w:val="24"/>
              </w:rPr>
              <w:t>1、标准机架式结构型；最大配置为34个接口，默认包括4个可插拨的扩展槽和2个10/100/1000BASE-T接口，标配模块化双冗余电源；配置4个SFP插槽（含对应数量模块）和4个10/100/1000BASE-T，4个SFP+插槽（含对应数量模块）；防火墙吞吐率：不少于24Gbps；并发连接数：不少于800万；含三年入侵防御攻击规则特征库升级许可；</w:t>
            </w:r>
          </w:p>
          <w:p>
            <w:pPr>
              <w:widowControl/>
              <w:snapToGrid w:val="0"/>
              <w:spacing w:line="240" w:lineRule="auto"/>
              <w:jc w:val="left"/>
              <w:rPr>
                <w:rFonts w:ascii="宋体" w:hAnsi="宋体" w:cs="宋体"/>
                <w:sz w:val="24"/>
              </w:rPr>
            </w:pPr>
            <w:r>
              <w:rPr>
                <w:rFonts w:hint="eastAsia" w:ascii="宋体" w:hAnsi="宋体" w:cs="宋体"/>
                <w:sz w:val="24"/>
              </w:rPr>
              <w:t>▲2、具有TWZH联网通讯协议和PYP加密传输协议</w:t>
            </w:r>
            <w:r>
              <w:rPr>
                <w:rFonts w:hint="eastAsia" w:ascii="宋体" w:hAnsi="宋体" w:cs="宋体"/>
                <w:sz w:val="24"/>
                <w:szCs w:val="24"/>
              </w:rPr>
              <w:t>。</w:t>
            </w:r>
          </w:p>
          <w:p>
            <w:pPr>
              <w:widowControl/>
              <w:snapToGrid w:val="0"/>
              <w:spacing w:line="240" w:lineRule="auto"/>
              <w:jc w:val="left"/>
              <w:rPr>
                <w:rFonts w:ascii="宋体" w:hAnsi="宋体" w:cs="宋体"/>
                <w:sz w:val="24"/>
              </w:rPr>
            </w:pPr>
            <w:r>
              <w:rPr>
                <w:rFonts w:hint="eastAsia" w:ascii="宋体" w:hAnsi="宋体" w:cs="宋体"/>
                <w:sz w:val="24"/>
              </w:rPr>
              <w:t>▲3、可信接入，具备对接入主机的信息检查，包括安装的软件、进程、端口、服务、注册表、操作系统及补丁、文件、网卡等，支持检查策略：接入前检查、接入后检查、定时检查等。</w:t>
            </w:r>
          </w:p>
          <w:p>
            <w:pPr>
              <w:widowControl/>
              <w:snapToGrid w:val="0"/>
              <w:spacing w:line="240" w:lineRule="auto"/>
              <w:jc w:val="left"/>
              <w:rPr>
                <w:rFonts w:ascii="宋体" w:hAnsi="宋体" w:cs="宋体"/>
                <w:sz w:val="24"/>
              </w:rPr>
            </w:pPr>
            <w:r>
              <w:rPr>
                <w:rFonts w:hint="eastAsia" w:ascii="宋体" w:hAnsi="宋体" w:cs="宋体"/>
                <w:sz w:val="24"/>
              </w:rPr>
              <w:t>4、支持在WEB界面上开启策略冲突检测功能，在出现策略冲突时，能够在WEB界面进行警告。</w:t>
            </w:r>
          </w:p>
          <w:p>
            <w:pPr>
              <w:widowControl/>
              <w:snapToGrid w:val="0"/>
              <w:spacing w:line="240" w:lineRule="auto"/>
              <w:jc w:val="left"/>
              <w:rPr>
                <w:rFonts w:ascii="宋体" w:hAnsi="宋体" w:cs="宋体"/>
                <w:sz w:val="24"/>
                <w:szCs w:val="24"/>
              </w:rPr>
            </w:pPr>
            <w:r>
              <w:rPr>
                <w:rFonts w:hint="eastAsia" w:ascii="宋体" w:hAnsi="宋体" w:cs="宋体"/>
                <w:sz w:val="24"/>
              </w:rPr>
              <w:t>▲</w:t>
            </w:r>
            <w:r>
              <w:rPr>
                <w:rFonts w:hint="eastAsia" w:ascii="宋体" w:hAnsi="宋体" w:cs="宋体"/>
                <w:sz w:val="24"/>
                <w:szCs w:val="24"/>
              </w:rPr>
              <w:t>5、资源虚拟化：支持在一台物理设备上划分出最大4094个相互独立的虚拟系统，可根据连接配额及连接新建速率为每个虚拟系统分配资源。</w:t>
            </w:r>
          </w:p>
          <w:p>
            <w:pPr>
              <w:widowControl/>
              <w:snapToGrid w:val="0"/>
              <w:spacing w:line="240" w:lineRule="auto"/>
              <w:jc w:val="left"/>
              <w:rPr>
                <w:rFonts w:ascii="宋体" w:hAnsi="宋体" w:cs="宋体"/>
                <w:sz w:val="24"/>
                <w:szCs w:val="24"/>
              </w:rPr>
            </w:pPr>
            <w:r>
              <w:rPr>
                <w:rFonts w:hint="eastAsia" w:ascii="宋体" w:hAnsi="宋体" w:cs="宋体"/>
                <w:sz w:val="24"/>
              </w:rPr>
              <w:t>6、</w:t>
            </w:r>
            <w:r>
              <w:rPr>
                <w:rFonts w:hint="eastAsia" w:ascii="宋体" w:hAnsi="宋体" w:cs="宋体"/>
                <w:sz w:val="24"/>
                <w:szCs w:val="24"/>
              </w:rPr>
              <w:t>支持手工链路聚合及LACP链路聚合，提供不少于11种的负载分担算法，灵活实现对聚合组内业务流量的负载分担。</w:t>
            </w:r>
          </w:p>
          <w:p>
            <w:pPr>
              <w:autoSpaceDE w:val="0"/>
              <w:autoSpaceDN w:val="0"/>
              <w:adjustRightInd w:val="0"/>
              <w:spacing w:line="240" w:lineRule="auto"/>
              <w:rPr>
                <w:rFonts w:ascii="宋体" w:hAnsi="宋体"/>
                <w:szCs w:val="21"/>
              </w:rPr>
            </w:pPr>
            <w:r>
              <w:rPr>
                <w:rFonts w:hint="eastAsia" w:ascii="宋体" w:hAnsi="宋体" w:cs="宋体"/>
                <w:sz w:val="24"/>
                <w:szCs w:val="24"/>
              </w:rPr>
              <w:t>7、防火墙支持防共享接入功能，能够有效识别、报警并阻断局域网网络共享行为。</w:t>
            </w:r>
          </w:p>
        </w:tc>
        <w:tc>
          <w:tcPr>
            <w:tcW w:w="709"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台</w:t>
            </w:r>
          </w:p>
        </w:tc>
        <w:tc>
          <w:tcPr>
            <w:tcW w:w="851"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1</w:t>
            </w:r>
          </w:p>
        </w:tc>
        <w:tc>
          <w:tcPr>
            <w:tcW w:w="992"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ascii="宋体" w:hAnsi="宋体" w:cs="宋体"/>
                <w:kern w:val="0"/>
                <w:sz w:val="24"/>
              </w:rPr>
            </w:pPr>
            <w:r>
              <w:rPr>
                <w:rFonts w:ascii="宋体" w:hAnsi="宋体" w:cs="宋体"/>
                <w:kern w:val="0"/>
                <w:sz w:val="24"/>
              </w:rPr>
              <w:t>144000</w:t>
            </w:r>
          </w:p>
        </w:tc>
        <w:tc>
          <w:tcPr>
            <w:tcW w:w="9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asciiTheme="minorEastAsia" w:hAnsiTheme="minorEastAsia"/>
                <w:sz w:val="24"/>
                <w:szCs w:val="24"/>
              </w:rPr>
              <w:t>144000</w:t>
            </w:r>
          </w:p>
        </w:tc>
        <w:tc>
          <w:tcPr>
            <w:tcW w:w="12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北京</w:t>
            </w:r>
          </w:p>
          <w:p>
            <w:pPr>
              <w:autoSpaceDE w:val="0"/>
              <w:autoSpaceDN w:val="0"/>
              <w:adjustRightInd w:val="0"/>
              <w:spacing w:line="240" w:lineRule="auto"/>
              <w:jc w:val="center"/>
              <w:rPr>
                <w:rFonts w:asciiTheme="minorEastAsia" w:hAnsiTheme="minorEastAsia"/>
                <w:szCs w:val="21"/>
              </w:rPr>
            </w:pPr>
            <w:r>
              <w:rPr>
                <w:rFonts w:asciiTheme="minorEastAsia" w:hAnsiTheme="minorEastAsia"/>
                <w:sz w:val="24"/>
                <w:szCs w:val="24"/>
              </w:rPr>
              <w:t>/北京天融信网络安全技术有限公司</w:t>
            </w:r>
          </w:p>
        </w:tc>
      </w:tr>
      <w:tr>
        <w:tblPrEx>
          <w:tblCellMar>
            <w:top w:w="0" w:type="dxa"/>
            <w:left w:w="108" w:type="dxa"/>
            <w:bottom w:w="0" w:type="dxa"/>
            <w:right w:w="108" w:type="dxa"/>
          </w:tblCellMar>
        </w:tblPrEx>
        <w:trPr>
          <w:trHeight w:val="851" w:hRule="atLeast"/>
          <w:jc w:val="center"/>
        </w:trPr>
        <w:tc>
          <w:tcPr>
            <w:tcW w:w="7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宋体" w:hAnsi="宋体"/>
                <w:szCs w:val="21"/>
              </w:rPr>
            </w:pPr>
            <w:r>
              <w:rPr>
                <w:rFonts w:hint="eastAsia" w:ascii="宋体" w:hAnsi="宋体"/>
                <w:szCs w:val="21"/>
              </w:rPr>
              <w:t>3</w:t>
            </w:r>
          </w:p>
        </w:tc>
        <w:tc>
          <w:tcPr>
            <w:tcW w:w="127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Cs w:val="21"/>
              </w:rPr>
            </w:pPr>
            <w:r>
              <w:rPr>
                <w:rFonts w:hint="eastAsia" w:ascii="宋体" w:hAnsi="宋体" w:cs="宋体"/>
                <w:kern w:val="0"/>
                <w:sz w:val="24"/>
              </w:rPr>
              <w:t>堡垒机</w:t>
            </w:r>
          </w:p>
        </w:tc>
        <w:tc>
          <w:tcPr>
            <w:tcW w:w="709"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OSM-3600-S</w:t>
            </w:r>
          </w:p>
        </w:tc>
        <w:tc>
          <w:tcPr>
            <w:tcW w:w="2409" w:type="dxa"/>
            <w:tcBorders>
              <w:top w:val="single" w:color="auto" w:sz="6" w:space="0"/>
              <w:left w:val="single" w:color="auto" w:sz="6" w:space="0"/>
              <w:bottom w:val="single" w:color="auto" w:sz="6" w:space="0"/>
              <w:right w:val="single" w:color="auto" w:sz="6" w:space="0"/>
            </w:tcBorders>
          </w:tcPr>
          <w:p>
            <w:pPr>
              <w:widowControl/>
              <w:snapToGrid w:val="0"/>
              <w:spacing w:line="240" w:lineRule="auto"/>
              <w:jc w:val="left"/>
              <w:rPr>
                <w:rFonts w:ascii="宋体" w:hAnsi="宋体" w:cs="宋体"/>
                <w:sz w:val="24"/>
              </w:rPr>
            </w:pPr>
            <w:r>
              <w:rPr>
                <w:rFonts w:hint="eastAsia" w:ascii="宋体" w:hAnsi="宋体" w:cs="宋体"/>
                <w:b/>
                <w:color w:val="000000"/>
                <w:kern w:val="0"/>
                <w:sz w:val="24"/>
                <w:shd w:val="clear" w:color="auto" w:fill="FFFFFF"/>
              </w:rPr>
              <w:t>▲</w:t>
            </w:r>
            <w:r>
              <w:rPr>
                <w:rFonts w:hint="eastAsia" w:ascii="宋体" w:hAnsi="宋体" w:cs="宋体"/>
                <w:sz w:val="24"/>
              </w:rPr>
              <w:t>1、标准机架式，标配 6个10/100/1000M Base-TX自适应电接口，1个接口板扩展插槽，可扩展千兆光电口及万兆光口；物理存储容量1TB。</w:t>
            </w:r>
          </w:p>
          <w:p>
            <w:pPr>
              <w:widowControl/>
              <w:snapToGrid w:val="0"/>
              <w:spacing w:line="240" w:lineRule="auto"/>
              <w:jc w:val="left"/>
              <w:rPr>
                <w:rFonts w:ascii="宋体" w:hAnsi="宋体" w:cs="宋体"/>
                <w:sz w:val="24"/>
              </w:rPr>
            </w:pPr>
            <w:r>
              <w:rPr>
                <w:rFonts w:hint="eastAsia" w:ascii="宋体" w:hAnsi="宋体" w:cs="宋体"/>
                <w:b/>
                <w:color w:val="000000"/>
                <w:kern w:val="0"/>
                <w:sz w:val="24"/>
                <w:shd w:val="clear" w:color="auto" w:fill="FFFFFF"/>
              </w:rPr>
              <w:t>▲</w:t>
            </w:r>
            <w:r>
              <w:rPr>
                <w:rFonts w:hint="eastAsia" w:ascii="宋体" w:hAnsi="宋体" w:cs="宋体"/>
                <w:sz w:val="24"/>
              </w:rPr>
              <w:t>2、支持字符协议700个，图形协议200个。标配300个资产管理授权。</w:t>
            </w:r>
          </w:p>
          <w:p>
            <w:pPr>
              <w:widowControl/>
              <w:snapToGrid w:val="0"/>
              <w:spacing w:line="240" w:lineRule="auto"/>
              <w:jc w:val="left"/>
              <w:rPr>
                <w:rFonts w:ascii="宋体" w:hAnsi="宋体" w:cs="宋体"/>
                <w:sz w:val="24"/>
              </w:rPr>
            </w:pPr>
            <w:r>
              <w:rPr>
                <w:rFonts w:hint="eastAsia" w:ascii="宋体" w:hAnsi="宋体" w:cs="宋体"/>
                <w:b/>
                <w:color w:val="000000"/>
                <w:kern w:val="0"/>
                <w:sz w:val="24"/>
                <w:shd w:val="clear" w:color="auto" w:fill="FFFFFF"/>
              </w:rPr>
              <w:t>▲</w:t>
            </w:r>
            <w:r>
              <w:rPr>
                <w:rFonts w:hint="eastAsia" w:ascii="宋体" w:hAnsi="宋体" w:cs="宋体"/>
                <w:sz w:val="24"/>
              </w:rPr>
              <w:t>3、支持物理旁路，逻辑串联模式，不影响现有网络结构。</w:t>
            </w:r>
          </w:p>
          <w:p>
            <w:pPr>
              <w:widowControl/>
              <w:snapToGrid w:val="0"/>
              <w:spacing w:line="240" w:lineRule="auto"/>
              <w:jc w:val="left"/>
              <w:rPr>
                <w:rFonts w:ascii="宋体" w:hAnsi="宋体" w:cs="宋体"/>
                <w:sz w:val="24"/>
              </w:rPr>
            </w:pPr>
            <w:r>
              <w:rPr>
                <w:rFonts w:hint="eastAsia" w:ascii="宋体" w:hAnsi="宋体" w:cs="宋体"/>
                <w:sz w:val="24"/>
              </w:rPr>
              <w:t>4、具备业务管理组管理，即分属不同业务管理组的业务管理员只能管理所在业务管理组内的用户、资源、策略和审计管理，适用于不同的管理部门有独立的管理员，运维人员，资源和审计管理要求的场景。</w:t>
            </w:r>
          </w:p>
          <w:p>
            <w:pPr>
              <w:widowControl/>
              <w:snapToGrid w:val="0"/>
              <w:spacing w:line="240" w:lineRule="auto"/>
              <w:jc w:val="left"/>
              <w:rPr>
                <w:rFonts w:ascii="宋体" w:hAnsi="宋体" w:cs="宋体"/>
                <w:sz w:val="24"/>
              </w:rPr>
            </w:pPr>
            <w:r>
              <w:rPr>
                <w:rFonts w:hint="eastAsia" w:ascii="宋体" w:hAnsi="宋体" w:cs="宋体"/>
                <w:sz w:val="24"/>
              </w:rPr>
              <w:t>5、支持资源自动发现IP、端口和添加，便于快速添加资源，支持设定周期性改密计划，批量修改资源密码。</w:t>
            </w:r>
          </w:p>
          <w:p>
            <w:pPr>
              <w:widowControl/>
              <w:snapToGrid w:val="0"/>
              <w:spacing w:line="240" w:lineRule="auto"/>
              <w:jc w:val="left"/>
              <w:rPr>
                <w:rFonts w:ascii="宋体" w:hAnsi="宋体" w:cs="宋体"/>
                <w:sz w:val="24"/>
              </w:rPr>
            </w:pPr>
            <w:r>
              <w:rPr>
                <w:rFonts w:hint="eastAsia" w:ascii="宋体" w:hAnsi="宋体" w:cs="宋体"/>
                <w:sz w:val="24"/>
              </w:rPr>
              <w:t>6、支持RDP、VNC图形操作行为的审计，图形回放形式还原真实操作过程；支持RDP、VNC图形操作过程中键盘输入操作记录和鼠标点击行为记录，并支持开启或关闭键盘输入审计功能；支持RDP窗口标题审计，并支持通过窗口标题内容检索定位回放。</w:t>
            </w:r>
          </w:p>
          <w:p>
            <w:pPr>
              <w:widowControl/>
              <w:snapToGrid w:val="0"/>
              <w:spacing w:line="240" w:lineRule="auto"/>
              <w:jc w:val="left"/>
              <w:rPr>
                <w:rFonts w:ascii="宋体" w:hAnsi="宋体" w:cs="宋体"/>
                <w:sz w:val="24"/>
              </w:rPr>
            </w:pPr>
            <w:r>
              <w:rPr>
                <w:rFonts w:hint="eastAsia" w:ascii="宋体" w:hAnsi="宋体" w:cs="宋体"/>
                <w:sz w:val="24"/>
              </w:rPr>
              <w:t>7、支持用户属性中手机号码和邮箱地址作为主账号身份登录，支持C/S运维客户端功能，运维操作过程不需要安装JAVA或其它任何控件。</w:t>
            </w:r>
          </w:p>
          <w:p>
            <w:pPr>
              <w:widowControl/>
              <w:snapToGrid w:val="0"/>
              <w:spacing w:line="240" w:lineRule="auto"/>
              <w:jc w:val="left"/>
              <w:rPr>
                <w:rFonts w:ascii="宋体" w:hAnsi="宋体" w:cs="宋体"/>
                <w:sz w:val="24"/>
              </w:rPr>
            </w:pPr>
            <w:r>
              <w:rPr>
                <w:rFonts w:hint="eastAsia" w:ascii="宋体" w:hAnsi="宋体" w:cs="宋体"/>
                <w:sz w:val="24"/>
              </w:rPr>
              <w:t>8、用户账号命名字母区分大小写、账号支持中文，账号长度最大支持256位字节。</w:t>
            </w:r>
          </w:p>
          <w:p>
            <w:pPr>
              <w:autoSpaceDE w:val="0"/>
              <w:autoSpaceDN w:val="0"/>
              <w:adjustRightInd w:val="0"/>
              <w:spacing w:line="240" w:lineRule="auto"/>
              <w:rPr>
                <w:rFonts w:ascii="宋体" w:hAnsi="宋体"/>
                <w:szCs w:val="21"/>
              </w:rPr>
            </w:pPr>
            <w:r>
              <w:rPr>
                <w:rFonts w:hint="eastAsia" w:ascii="宋体" w:hAnsi="宋体" w:cs="宋体"/>
                <w:sz w:val="24"/>
              </w:rPr>
              <w:t>9、空间自管理功能，存储空间不足时能够自动清理历史数据，并支持设置触发清理的存储空间阀值。</w:t>
            </w:r>
          </w:p>
        </w:tc>
        <w:tc>
          <w:tcPr>
            <w:tcW w:w="709"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台</w:t>
            </w:r>
          </w:p>
        </w:tc>
        <w:tc>
          <w:tcPr>
            <w:tcW w:w="851"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ascii="宋体" w:hAnsi="宋体" w:cs="宋体"/>
                <w:kern w:val="0"/>
                <w:sz w:val="24"/>
                <w:szCs w:val="24"/>
              </w:rPr>
            </w:pPr>
            <w:r>
              <w:rPr>
                <w:rFonts w:hint="eastAsia" w:ascii="宋体" w:hAnsi="宋体" w:cs="宋体"/>
                <w:kern w:val="0"/>
                <w:sz w:val="24"/>
                <w:szCs w:val="24"/>
              </w:rPr>
              <w:t>1</w:t>
            </w:r>
          </w:p>
        </w:tc>
        <w:tc>
          <w:tcPr>
            <w:tcW w:w="9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asciiTheme="minorEastAsia" w:hAnsiTheme="minorEastAsia"/>
                <w:sz w:val="24"/>
                <w:szCs w:val="24"/>
              </w:rPr>
              <w:t>98000</w:t>
            </w:r>
          </w:p>
        </w:tc>
        <w:tc>
          <w:tcPr>
            <w:tcW w:w="9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asciiTheme="minorEastAsia" w:hAnsiTheme="minorEastAsia"/>
                <w:sz w:val="24"/>
                <w:szCs w:val="24"/>
              </w:rPr>
              <w:t>98000</w:t>
            </w:r>
          </w:p>
        </w:tc>
        <w:tc>
          <w:tcPr>
            <w:tcW w:w="12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北京</w:t>
            </w:r>
            <w:r>
              <w:rPr>
                <w:rFonts w:asciiTheme="minorEastAsia" w:hAnsiTheme="minorEastAsia"/>
                <w:sz w:val="24"/>
                <w:szCs w:val="24"/>
              </w:rPr>
              <w:t>/</w:t>
            </w:r>
          </w:p>
          <w:p>
            <w:pPr>
              <w:autoSpaceDE w:val="0"/>
              <w:autoSpaceDN w:val="0"/>
              <w:adjustRightInd w:val="0"/>
              <w:spacing w:line="240" w:lineRule="auto"/>
              <w:jc w:val="center"/>
              <w:rPr>
                <w:rFonts w:asciiTheme="minorEastAsia" w:hAnsiTheme="minorEastAsia"/>
                <w:sz w:val="24"/>
                <w:szCs w:val="24"/>
              </w:rPr>
            </w:pPr>
            <w:r>
              <w:rPr>
                <w:rFonts w:asciiTheme="minorEastAsia" w:hAnsiTheme="minorEastAsia"/>
                <w:sz w:val="24"/>
                <w:szCs w:val="24"/>
              </w:rPr>
              <w:t>北京启明星辰信息安全技术有限公司</w:t>
            </w:r>
          </w:p>
        </w:tc>
      </w:tr>
      <w:tr>
        <w:tblPrEx>
          <w:tblCellMar>
            <w:top w:w="0" w:type="dxa"/>
            <w:left w:w="108" w:type="dxa"/>
            <w:bottom w:w="0" w:type="dxa"/>
            <w:right w:w="108" w:type="dxa"/>
          </w:tblCellMar>
        </w:tblPrEx>
        <w:trPr>
          <w:trHeight w:val="851" w:hRule="atLeast"/>
          <w:jc w:val="center"/>
        </w:trPr>
        <w:tc>
          <w:tcPr>
            <w:tcW w:w="7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宋体" w:hAnsi="宋体"/>
                <w:szCs w:val="21"/>
              </w:rPr>
            </w:pPr>
            <w:r>
              <w:rPr>
                <w:rFonts w:hint="eastAsia" w:ascii="宋体" w:hAnsi="宋体"/>
                <w:szCs w:val="21"/>
              </w:rPr>
              <w:t>4</w:t>
            </w:r>
          </w:p>
        </w:tc>
        <w:tc>
          <w:tcPr>
            <w:tcW w:w="1276"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脆弱性扫描与管理系统</w:t>
            </w:r>
          </w:p>
        </w:tc>
        <w:tc>
          <w:tcPr>
            <w:tcW w:w="709" w:type="dxa"/>
            <w:tcBorders>
              <w:top w:val="single" w:color="auto" w:sz="6" w:space="0"/>
              <w:left w:val="single" w:color="auto" w:sz="6" w:space="0"/>
              <w:bottom w:val="single" w:color="auto" w:sz="6" w:space="0"/>
              <w:right w:val="single" w:color="auto" w:sz="6" w:space="0"/>
            </w:tcBorders>
            <w:vAlign w:val="center"/>
          </w:tcPr>
          <w:p>
            <w:pPr>
              <w:widowControl/>
              <w:snapToGrid w:val="0"/>
              <w:spacing w:line="240" w:lineRule="auto"/>
              <w:jc w:val="center"/>
              <w:rPr>
                <w:rFonts w:ascii="宋体" w:hAnsi="宋体" w:cs="宋体"/>
                <w:sz w:val="24"/>
              </w:rPr>
            </w:pPr>
            <w:r>
              <w:rPr>
                <w:rFonts w:hint="eastAsia" w:ascii="宋体" w:hAnsi="宋体" w:cs="宋体"/>
                <w:sz w:val="24"/>
              </w:rPr>
              <w:t>TJCS-NS-L</w:t>
            </w:r>
          </w:p>
        </w:tc>
        <w:tc>
          <w:tcPr>
            <w:tcW w:w="2409" w:type="dxa"/>
            <w:tcBorders>
              <w:top w:val="single" w:color="auto" w:sz="6" w:space="0"/>
              <w:left w:val="single" w:color="auto" w:sz="6" w:space="0"/>
              <w:bottom w:val="single" w:color="auto" w:sz="6" w:space="0"/>
              <w:right w:val="single" w:color="auto" w:sz="6" w:space="0"/>
            </w:tcBorders>
          </w:tcPr>
          <w:p>
            <w:pPr>
              <w:widowControl/>
              <w:snapToGrid w:val="0"/>
              <w:spacing w:line="240" w:lineRule="auto"/>
              <w:jc w:val="left"/>
              <w:rPr>
                <w:rFonts w:ascii="宋体" w:hAnsi="宋体" w:cs="宋体"/>
                <w:kern w:val="0"/>
                <w:sz w:val="24"/>
              </w:rPr>
            </w:pPr>
            <w:r>
              <w:rPr>
                <w:rFonts w:hint="eastAsia" w:ascii="宋体" w:hAnsi="宋体" w:cs="宋体"/>
                <w:b/>
                <w:color w:val="000000"/>
                <w:kern w:val="0"/>
                <w:sz w:val="24"/>
                <w:shd w:val="clear" w:color="auto" w:fill="FFFFFF"/>
              </w:rPr>
              <w:t>▲</w:t>
            </w:r>
            <w:r>
              <w:rPr>
                <w:rFonts w:hint="eastAsia" w:ascii="宋体" w:hAnsi="宋体" w:cs="宋体"/>
                <w:kern w:val="0"/>
                <w:sz w:val="24"/>
              </w:rPr>
              <w:t>1、标准机架式，标配6个10/100/1000M Base-TX扫描电接口，4个SFP接口，实配对应数量的光模块，标配≥1T硬盘存储空间。</w:t>
            </w:r>
          </w:p>
          <w:p>
            <w:pPr>
              <w:widowControl/>
              <w:snapToGrid w:val="0"/>
              <w:spacing w:line="240" w:lineRule="auto"/>
              <w:jc w:val="left"/>
              <w:rPr>
                <w:rFonts w:ascii="宋体" w:hAnsi="宋体" w:cs="宋体"/>
                <w:kern w:val="0"/>
                <w:sz w:val="24"/>
              </w:rPr>
            </w:pPr>
            <w:r>
              <w:rPr>
                <w:rFonts w:hint="eastAsia" w:ascii="宋体" w:hAnsi="宋体" w:cs="宋体"/>
                <w:b/>
                <w:color w:val="000000"/>
                <w:kern w:val="0"/>
                <w:sz w:val="24"/>
                <w:shd w:val="clear" w:color="auto" w:fill="FFFFFF"/>
              </w:rPr>
              <w:t>▲</w:t>
            </w:r>
            <w:r>
              <w:rPr>
                <w:rFonts w:hint="eastAsia" w:ascii="宋体" w:hAnsi="宋体" w:cs="宋体"/>
                <w:kern w:val="0"/>
                <w:sz w:val="24"/>
              </w:rPr>
              <w:t>2、支持最大并发扫描IP地址数100个,实配无限制IP地址扫描范围，三年漏洞库更新授权。</w:t>
            </w:r>
          </w:p>
          <w:p>
            <w:pPr>
              <w:widowControl/>
              <w:snapToGrid w:val="0"/>
              <w:spacing w:line="240" w:lineRule="auto"/>
              <w:jc w:val="left"/>
              <w:rPr>
                <w:rFonts w:ascii="宋体" w:hAnsi="宋体" w:cs="宋体"/>
                <w:kern w:val="0"/>
                <w:sz w:val="24"/>
              </w:rPr>
            </w:pPr>
            <w:r>
              <w:rPr>
                <w:rFonts w:hint="eastAsia" w:ascii="宋体" w:hAnsi="宋体" w:cs="宋体"/>
                <w:kern w:val="0"/>
                <w:sz w:val="24"/>
              </w:rPr>
              <w:t>▲3、漏洞扫描方法不少于40000种；支持集成系统漏洞扫描、Web应用扫描、基线核查于一体。</w:t>
            </w:r>
          </w:p>
          <w:p>
            <w:pPr>
              <w:widowControl/>
              <w:snapToGrid w:val="0"/>
              <w:spacing w:line="240" w:lineRule="auto"/>
              <w:jc w:val="left"/>
              <w:rPr>
                <w:rFonts w:ascii="宋体" w:hAnsi="宋体" w:cs="宋体"/>
                <w:kern w:val="0"/>
                <w:sz w:val="24"/>
              </w:rPr>
            </w:pPr>
            <w:r>
              <w:rPr>
                <w:rFonts w:hint="eastAsia" w:ascii="宋体" w:hAnsi="宋体" w:cs="宋体"/>
                <w:kern w:val="0"/>
                <w:sz w:val="24"/>
              </w:rPr>
              <w:t>4、支持Windows域扫描技术，利用域管理员权限使扫描更深入、更准确。</w:t>
            </w:r>
          </w:p>
          <w:p>
            <w:pPr>
              <w:widowControl/>
              <w:snapToGrid w:val="0"/>
              <w:spacing w:line="240" w:lineRule="auto"/>
              <w:jc w:val="left"/>
              <w:rPr>
                <w:rFonts w:ascii="宋体" w:hAnsi="宋体" w:cs="宋体"/>
                <w:kern w:val="0"/>
                <w:sz w:val="24"/>
              </w:rPr>
            </w:pPr>
            <w:r>
              <w:rPr>
                <w:rFonts w:hint="eastAsia" w:ascii="宋体" w:hAnsi="宋体" w:cs="宋体"/>
                <w:kern w:val="0"/>
                <w:sz w:val="24"/>
              </w:rPr>
              <w:t>5、支持扫描IPv6环境中的设备、系统。</w:t>
            </w:r>
          </w:p>
          <w:p>
            <w:pPr>
              <w:widowControl/>
              <w:snapToGrid w:val="0"/>
              <w:spacing w:line="240" w:lineRule="auto"/>
              <w:jc w:val="left"/>
              <w:rPr>
                <w:rFonts w:ascii="宋体" w:hAnsi="宋体" w:cs="宋体"/>
                <w:kern w:val="0"/>
                <w:sz w:val="24"/>
              </w:rPr>
            </w:pPr>
            <w:r>
              <w:rPr>
                <w:rFonts w:hint="eastAsia" w:ascii="宋体" w:hAnsi="宋体" w:cs="宋体"/>
                <w:kern w:val="0"/>
                <w:sz w:val="24"/>
              </w:rPr>
              <w:t>6、支持云平台扫描，漏洞覆盖OpenStack 、KVM、Vmware、Xen等主流的云计算平台。</w:t>
            </w:r>
          </w:p>
          <w:p>
            <w:pPr>
              <w:widowControl/>
              <w:snapToGrid w:val="0"/>
              <w:spacing w:line="240" w:lineRule="auto"/>
              <w:jc w:val="left"/>
              <w:rPr>
                <w:rFonts w:ascii="宋体" w:hAnsi="宋体" w:cs="宋体"/>
                <w:kern w:val="0"/>
                <w:sz w:val="24"/>
              </w:rPr>
            </w:pPr>
            <w:r>
              <w:rPr>
                <w:rFonts w:hint="eastAsia" w:ascii="宋体" w:hAnsi="宋体" w:cs="宋体"/>
                <w:kern w:val="0"/>
                <w:sz w:val="24"/>
              </w:rPr>
              <w:t>7、支持对Apple软件和应用进行扫描，包括MAC OS，Safari，itunes等；网站开源架构类扫描：支持phpmyadmin、WordPress 等的扫描。</w:t>
            </w:r>
          </w:p>
          <w:p>
            <w:pPr>
              <w:widowControl/>
              <w:snapToGrid w:val="0"/>
              <w:spacing w:line="240" w:lineRule="auto"/>
              <w:jc w:val="left"/>
              <w:rPr>
                <w:rFonts w:ascii="宋体" w:hAnsi="宋体" w:cs="宋体"/>
                <w:kern w:val="0"/>
                <w:sz w:val="24"/>
              </w:rPr>
            </w:pPr>
            <w:r>
              <w:rPr>
                <w:rFonts w:hint="eastAsia" w:ascii="宋体" w:hAnsi="宋体" w:cs="宋体"/>
                <w:kern w:val="0"/>
                <w:sz w:val="24"/>
              </w:rPr>
              <w:t>8、支持python的多个模块的漏洞扫描，如audioop模块 、audioop模块 、rgbimg模块的漏洞。</w:t>
            </w:r>
          </w:p>
          <w:p>
            <w:pPr>
              <w:widowControl/>
              <w:snapToGrid w:val="0"/>
              <w:spacing w:line="240" w:lineRule="auto"/>
              <w:jc w:val="left"/>
              <w:rPr>
                <w:rFonts w:ascii="宋体" w:hAnsi="宋体" w:cs="宋体"/>
                <w:kern w:val="0"/>
                <w:sz w:val="24"/>
              </w:rPr>
            </w:pPr>
            <w:r>
              <w:rPr>
                <w:rFonts w:hint="eastAsia" w:ascii="宋体" w:hAnsi="宋体" w:cs="宋体"/>
                <w:kern w:val="0"/>
                <w:sz w:val="24"/>
              </w:rPr>
              <w:t>9、支持大华、海康等视频监控类设备扫描。</w:t>
            </w:r>
          </w:p>
          <w:p>
            <w:pPr>
              <w:widowControl/>
              <w:snapToGrid w:val="0"/>
              <w:spacing w:line="240" w:lineRule="auto"/>
              <w:jc w:val="left"/>
              <w:rPr>
                <w:rFonts w:ascii="宋体" w:hAnsi="宋体" w:cs="宋体"/>
                <w:kern w:val="0"/>
                <w:sz w:val="24"/>
              </w:rPr>
            </w:pPr>
            <w:r>
              <w:rPr>
                <w:rFonts w:hint="eastAsia" w:ascii="宋体" w:hAnsi="宋体" w:cs="宋体"/>
                <w:kern w:val="0"/>
                <w:sz w:val="24"/>
              </w:rPr>
              <w:t>10、支持可扫描IP地址的范围和总数量无限制。</w:t>
            </w:r>
          </w:p>
          <w:p>
            <w:pPr>
              <w:widowControl/>
              <w:snapToGrid w:val="0"/>
              <w:spacing w:line="240" w:lineRule="auto"/>
              <w:jc w:val="left"/>
              <w:rPr>
                <w:rFonts w:ascii="宋体" w:hAnsi="宋体" w:cs="宋体"/>
                <w:kern w:val="0"/>
                <w:sz w:val="24"/>
              </w:rPr>
            </w:pPr>
            <w:r>
              <w:rPr>
                <w:rFonts w:hint="eastAsia" w:ascii="宋体" w:hAnsi="宋体" w:cs="宋体"/>
                <w:kern w:val="0"/>
                <w:sz w:val="24"/>
              </w:rPr>
              <w:t>支持多种协议口令猜测，包括SMB、Snmp、IMAP、Rlogin、RDP、Sybase、Tomcat、Telnet、Pop3、SSH、Ftp、RDP、SQL Server、DB2、MySQL、Oracle、WebLogic、WebCAM等；允许外挂用户提供的字典档。</w:t>
            </w:r>
          </w:p>
          <w:p>
            <w:pPr>
              <w:widowControl/>
              <w:snapToGrid w:val="0"/>
              <w:spacing w:line="240" w:lineRule="auto"/>
              <w:rPr>
                <w:rFonts w:ascii="宋体" w:hAnsi="宋体" w:cs="宋体"/>
                <w:sz w:val="24"/>
              </w:rPr>
            </w:pPr>
            <w:r>
              <w:rPr>
                <w:rFonts w:hint="eastAsia" w:ascii="宋体" w:hAnsi="宋体" w:cs="宋体"/>
                <w:sz w:val="24"/>
              </w:rPr>
              <w:t>11、已加入CSA云安全联盟与微软MAPP计划，及时获得病毒、木马、钓鱼网站、僵尸网络、系统漏洞等样本信息，提供更及时的安全防护与安全通告服务。</w:t>
            </w:r>
          </w:p>
          <w:p>
            <w:pPr>
              <w:autoSpaceDE w:val="0"/>
              <w:autoSpaceDN w:val="0"/>
              <w:adjustRightInd w:val="0"/>
              <w:spacing w:line="240" w:lineRule="auto"/>
              <w:jc w:val="center"/>
              <w:rPr>
                <w:rFonts w:ascii="宋体" w:hAnsi="宋体"/>
                <w:szCs w:val="21"/>
              </w:rPr>
            </w:pPr>
            <w:r>
              <w:rPr>
                <w:rFonts w:hint="eastAsia" w:ascii="宋体" w:hAnsi="宋体" w:cs="宋体"/>
                <w:kern w:val="0"/>
                <w:sz w:val="24"/>
              </w:rPr>
              <w:t>▲</w:t>
            </w:r>
            <w:r>
              <w:rPr>
                <w:rFonts w:hint="eastAsia" w:ascii="宋体" w:hAnsi="宋体" w:cs="宋体"/>
                <w:sz w:val="24"/>
              </w:rPr>
              <w:t>12、提供自主发现的CNNVD安全漏洞列表及证书，数量不少于10个。</w:t>
            </w:r>
          </w:p>
        </w:tc>
        <w:tc>
          <w:tcPr>
            <w:tcW w:w="709"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台</w:t>
            </w:r>
          </w:p>
        </w:tc>
        <w:tc>
          <w:tcPr>
            <w:tcW w:w="851"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1</w:t>
            </w:r>
          </w:p>
        </w:tc>
        <w:tc>
          <w:tcPr>
            <w:tcW w:w="9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asciiTheme="minorEastAsia" w:hAnsiTheme="minorEastAsia"/>
                <w:sz w:val="24"/>
                <w:szCs w:val="24"/>
              </w:rPr>
              <w:t>158000</w:t>
            </w:r>
          </w:p>
        </w:tc>
        <w:tc>
          <w:tcPr>
            <w:tcW w:w="9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asciiTheme="minorEastAsia" w:hAnsiTheme="minorEastAsia"/>
                <w:sz w:val="24"/>
                <w:szCs w:val="24"/>
              </w:rPr>
              <w:t>158000</w:t>
            </w:r>
          </w:p>
        </w:tc>
        <w:tc>
          <w:tcPr>
            <w:tcW w:w="12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北京</w:t>
            </w:r>
            <w:r>
              <w:rPr>
                <w:rFonts w:asciiTheme="minorEastAsia" w:hAnsiTheme="minorEastAsia"/>
                <w:sz w:val="24"/>
                <w:szCs w:val="24"/>
              </w:rPr>
              <w:t>/</w:t>
            </w:r>
          </w:p>
          <w:p>
            <w:pPr>
              <w:autoSpaceDE w:val="0"/>
              <w:autoSpaceDN w:val="0"/>
              <w:adjustRightInd w:val="0"/>
              <w:spacing w:line="240" w:lineRule="auto"/>
              <w:jc w:val="center"/>
              <w:rPr>
                <w:rFonts w:asciiTheme="minorEastAsia" w:hAnsiTheme="minorEastAsia"/>
                <w:sz w:val="24"/>
                <w:szCs w:val="24"/>
              </w:rPr>
            </w:pPr>
            <w:r>
              <w:rPr>
                <w:rFonts w:asciiTheme="minorEastAsia" w:hAnsiTheme="minorEastAsia"/>
                <w:sz w:val="24"/>
                <w:szCs w:val="24"/>
              </w:rPr>
              <w:t>北京启明星辰信息安全技术有限公司</w:t>
            </w:r>
          </w:p>
        </w:tc>
      </w:tr>
      <w:tr>
        <w:tblPrEx>
          <w:tblCellMar>
            <w:top w:w="0" w:type="dxa"/>
            <w:left w:w="108" w:type="dxa"/>
            <w:bottom w:w="0" w:type="dxa"/>
            <w:right w:w="108" w:type="dxa"/>
          </w:tblCellMar>
        </w:tblPrEx>
        <w:trPr>
          <w:trHeight w:val="851" w:hRule="atLeast"/>
          <w:jc w:val="center"/>
        </w:trPr>
        <w:tc>
          <w:tcPr>
            <w:tcW w:w="7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宋体" w:hAnsi="宋体"/>
                <w:szCs w:val="21"/>
              </w:rPr>
            </w:pPr>
            <w:r>
              <w:rPr>
                <w:rFonts w:hint="eastAsia" w:ascii="宋体" w:hAnsi="宋体"/>
                <w:szCs w:val="21"/>
              </w:rPr>
              <w:t>5</w:t>
            </w:r>
          </w:p>
        </w:tc>
        <w:tc>
          <w:tcPr>
            <w:tcW w:w="1276"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统一运维管理系统</w:t>
            </w:r>
          </w:p>
        </w:tc>
        <w:tc>
          <w:tcPr>
            <w:tcW w:w="709" w:type="dxa"/>
            <w:tcBorders>
              <w:top w:val="single" w:color="auto" w:sz="6" w:space="0"/>
              <w:left w:val="single" w:color="auto" w:sz="6" w:space="0"/>
              <w:bottom w:val="single" w:color="auto" w:sz="6" w:space="0"/>
              <w:right w:val="single" w:color="auto" w:sz="6" w:space="0"/>
            </w:tcBorders>
            <w:vAlign w:val="center"/>
          </w:tcPr>
          <w:p>
            <w:pPr>
              <w:widowControl/>
              <w:snapToGrid w:val="0"/>
              <w:spacing w:line="240" w:lineRule="auto"/>
              <w:jc w:val="center"/>
              <w:rPr>
                <w:rFonts w:ascii="宋体" w:hAnsi="宋体" w:cs="宋体"/>
                <w:sz w:val="24"/>
              </w:rPr>
            </w:pPr>
            <w:r>
              <w:rPr>
                <w:rFonts w:hint="eastAsia" w:ascii="宋体" w:hAnsi="宋体" w:cs="宋体"/>
                <w:kern w:val="0"/>
                <w:sz w:val="24"/>
              </w:rPr>
              <w:t>RG-RIIL6.0</w:t>
            </w:r>
          </w:p>
        </w:tc>
        <w:tc>
          <w:tcPr>
            <w:tcW w:w="2409" w:type="dxa"/>
            <w:tcBorders>
              <w:top w:val="single" w:color="auto" w:sz="6" w:space="0"/>
              <w:left w:val="single" w:color="auto" w:sz="6" w:space="0"/>
              <w:bottom w:val="single" w:color="auto" w:sz="6" w:space="0"/>
              <w:right w:val="single" w:color="auto" w:sz="6" w:space="0"/>
            </w:tcBorders>
          </w:tcPr>
          <w:p>
            <w:pPr>
              <w:widowControl/>
              <w:snapToGrid w:val="0"/>
              <w:spacing w:line="240" w:lineRule="auto"/>
              <w:jc w:val="left"/>
              <w:rPr>
                <w:rFonts w:ascii="宋体" w:hAnsi="宋体" w:cs="宋体"/>
                <w:kern w:val="0"/>
                <w:sz w:val="24"/>
              </w:rPr>
            </w:pPr>
            <w:r>
              <w:rPr>
                <w:rFonts w:hint="eastAsia" w:ascii="宋体" w:hAnsi="宋体" w:cs="宋体"/>
                <w:kern w:val="0"/>
                <w:sz w:val="24"/>
              </w:rPr>
              <w:t>1、管理软件前后台采用https协议，数据传输加密；涉及密码等敏感信息采用加密存储方式，防止泄露。</w:t>
            </w:r>
          </w:p>
          <w:p>
            <w:pPr>
              <w:widowControl/>
              <w:snapToGrid w:val="0"/>
              <w:spacing w:line="240" w:lineRule="auto"/>
              <w:jc w:val="left"/>
              <w:rPr>
                <w:rFonts w:ascii="宋体" w:hAnsi="宋体" w:cs="宋体"/>
                <w:kern w:val="0"/>
                <w:sz w:val="24"/>
              </w:rPr>
            </w:pPr>
            <w:r>
              <w:rPr>
                <w:rFonts w:hint="eastAsia" w:ascii="宋体" w:hAnsi="宋体" w:cs="宋体"/>
                <w:kern w:val="0"/>
                <w:sz w:val="24"/>
              </w:rPr>
              <w:t>▲2、业务系统的可用性、健康度、繁忙度等关键指标支持自定义计算规则，可通过与、或、优先级、权重等计算规则灵活定义。</w:t>
            </w:r>
          </w:p>
          <w:p>
            <w:pPr>
              <w:widowControl/>
              <w:snapToGrid w:val="0"/>
              <w:spacing w:line="240" w:lineRule="auto"/>
              <w:jc w:val="left"/>
              <w:rPr>
                <w:rFonts w:ascii="宋体" w:hAnsi="宋体" w:cs="宋体"/>
                <w:kern w:val="0"/>
                <w:sz w:val="24"/>
              </w:rPr>
            </w:pPr>
            <w:r>
              <w:rPr>
                <w:rFonts w:hint="eastAsia" w:ascii="宋体" w:hAnsi="宋体" w:cs="宋体"/>
                <w:kern w:val="0"/>
                <w:sz w:val="24"/>
              </w:rPr>
              <w:t>▲3、业务系统的运行情况不仅仅通过IT基础架构的运行数据来体现，还将业务系统自身的业务数据纳入统计范畴。因此系统提供对外的API接口，可对接业务系统推送的自定义业务指标，或通过执行脚本等形式主动获取用户所关心的业务数据。</w:t>
            </w:r>
          </w:p>
          <w:p>
            <w:pPr>
              <w:widowControl/>
              <w:snapToGrid w:val="0"/>
              <w:spacing w:line="240" w:lineRule="auto"/>
              <w:jc w:val="left"/>
              <w:rPr>
                <w:rFonts w:ascii="宋体" w:hAnsi="宋体" w:cs="宋体"/>
                <w:kern w:val="0"/>
                <w:sz w:val="24"/>
              </w:rPr>
            </w:pPr>
            <w:r>
              <w:rPr>
                <w:rFonts w:hint="eastAsia" w:ascii="宋体" w:hAnsi="宋体" w:cs="宋体"/>
                <w:kern w:val="0"/>
                <w:sz w:val="24"/>
              </w:rPr>
              <w:t>4、网管日常运维以拓扑为中心，在拓扑界面上能够提供方便、快捷的操作（如：查看流量，性能，接入终端等）及多方位的网络拓扑信息呈现。</w:t>
            </w:r>
          </w:p>
          <w:p>
            <w:pPr>
              <w:widowControl/>
              <w:snapToGrid w:val="0"/>
              <w:spacing w:line="240" w:lineRule="auto"/>
              <w:jc w:val="left"/>
              <w:rPr>
                <w:rFonts w:ascii="宋体" w:hAnsi="宋体" w:cs="宋体"/>
                <w:kern w:val="0"/>
                <w:sz w:val="24"/>
              </w:rPr>
            </w:pPr>
            <w:r>
              <w:rPr>
                <w:rFonts w:hint="eastAsia" w:ascii="宋体" w:hAnsi="宋体" w:cs="宋体"/>
                <w:kern w:val="0"/>
                <w:sz w:val="24"/>
              </w:rPr>
              <w:t>5、系统提供拓扑管理，能够以拓扑方式显示设备以及设备间的连接关系，拓扑上能够提供设备、链路的状态显示和刷新，能够提供设备和链路的信息，如：设备名称、设备IP、接口速率、带宽利用率等。</w:t>
            </w:r>
          </w:p>
          <w:p>
            <w:pPr>
              <w:widowControl/>
              <w:snapToGrid w:val="0"/>
              <w:spacing w:line="240" w:lineRule="auto"/>
              <w:jc w:val="left"/>
              <w:rPr>
                <w:rFonts w:ascii="宋体" w:hAnsi="宋体" w:cs="宋体"/>
                <w:kern w:val="0"/>
                <w:sz w:val="24"/>
              </w:rPr>
            </w:pPr>
            <w:r>
              <w:rPr>
                <w:rFonts w:hint="eastAsia" w:ascii="宋体" w:hAnsi="宋体" w:cs="宋体"/>
                <w:kern w:val="0"/>
                <w:sz w:val="24"/>
              </w:rPr>
              <w:t>6、支持拓扑界面自定义图标大小、样式，突出显示核心设备；支持拓扑界面自定义链路粗细，标记监控重点链路；显示接口发送/接收速率、接口流入/流出带宽利用率等信息；根据接口带宽利用率设置链路的颜色，快速发现有问题的链路。</w:t>
            </w:r>
          </w:p>
          <w:p>
            <w:pPr>
              <w:widowControl/>
              <w:snapToGrid w:val="0"/>
              <w:spacing w:line="240" w:lineRule="auto"/>
              <w:jc w:val="left"/>
              <w:rPr>
                <w:rFonts w:ascii="宋体" w:hAnsi="宋体" w:cs="宋体"/>
                <w:kern w:val="0"/>
                <w:sz w:val="24"/>
              </w:rPr>
            </w:pPr>
            <w:r>
              <w:rPr>
                <w:rFonts w:hint="eastAsia" w:ascii="宋体" w:hAnsi="宋体" w:cs="宋体"/>
                <w:kern w:val="0"/>
                <w:sz w:val="24"/>
              </w:rPr>
              <w:t>7、系统支持7*24小时对全网设备告警的实时监控，并支持Email、SMS形式的告警通知，通知内容可以自定义。</w:t>
            </w:r>
          </w:p>
          <w:p>
            <w:pPr>
              <w:widowControl/>
              <w:snapToGrid w:val="0"/>
              <w:spacing w:line="240" w:lineRule="auto"/>
              <w:jc w:val="left"/>
              <w:rPr>
                <w:rFonts w:ascii="宋体" w:hAnsi="宋体" w:cs="宋体"/>
                <w:kern w:val="0"/>
                <w:sz w:val="24"/>
              </w:rPr>
            </w:pPr>
            <w:r>
              <w:rPr>
                <w:rFonts w:hint="eastAsia" w:ascii="宋体" w:hAnsi="宋体" w:cs="宋体"/>
                <w:kern w:val="0"/>
                <w:sz w:val="24"/>
              </w:rPr>
              <w:t>8、系统告警信息中包含与故障关联的信息（如端口故障需关联呈现端口信息、故障信息、链路拓扑信息、历史流量信息、维护经验等）。</w:t>
            </w:r>
          </w:p>
          <w:p>
            <w:pPr>
              <w:widowControl/>
              <w:snapToGrid w:val="0"/>
              <w:spacing w:line="240" w:lineRule="auto"/>
              <w:jc w:val="left"/>
              <w:rPr>
                <w:rFonts w:ascii="宋体" w:hAnsi="宋体" w:cs="宋体"/>
                <w:kern w:val="0"/>
                <w:sz w:val="24"/>
              </w:rPr>
            </w:pPr>
            <w:r>
              <w:rPr>
                <w:rFonts w:hint="eastAsia" w:ascii="宋体" w:hAnsi="宋体" w:cs="宋体"/>
                <w:kern w:val="0"/>
                <w:sz w:val="24"/>
              </w:rPr>
              <w:t>9、系统支持将有线、无线设备虚拟成一台设备进行管理，接入交换机、AP无须配置单独的管理地址，所有接入设备的管理均通过管理设备实现；支持接入交换机、AP的即插即用；支持通过查看管理设备的面板来查看整个网络的状态。 </w:t>
            </w:r>
          </w:p>
          <w:p>
            <w:pPr>
              <w:widowControl/>
              <w:snapToGrid w:val="0"/>
              <w:spacing w:line="240" w:lineRule="auto"/>
              <w:jc w:val="left"/>
              <w:rPr>
                <w:rFonts w:ascii="宋体" w:hAnsi="宋体" w:cs="宋体"/>
                <w:sz w:val="24"/>
              </w:rPr>
            </w:pPr>
            <w:r>
              <w:rPr>
                <w:rFonts w:hint="eastAsia" w:ascii="宋体" w:hAnsi="宋体" w:cs="宋体"/>
                <w:sz w:val="24"/>
              </w:rPr>
              <w:t>▲10</w:t>
            </w:r>
            <w:r>
              <w:rPr>
                <w:rFonts w:hint="eastAsia" w:ascii="宋体" w:hAnsi="宋体" w:cs="宋体"/>
                <w:sz w:val="24"/>
                <w:szCs w:val="24"/>
              </w:rPr>
              <w:t>、系统提供</w:t>
            </w:r>
            <w:r>
              <w:rPr>
                <w:rFonts w:hint="eastAsia" w:ascii="宋体" w:hAnsi="宋体" w:cs="宋体"/>
                <w:sz w:val="24"/>
              </w:rPr>
              <w:t>IT</w:t>
            </w:r>
            <w:r>
              <w:rPr>
                <w:rFonts w:hint="eastAsia" w:ascii="宋体" w:hAnsi="宋体" w:cs="宋体"/>
                <w:sz w:val="24"/>
                <w:szCs w:val="24"/>
              </w:rPr>
              <w:t>整体健康指数的量化指标，使运维部门的管理人员清晰了解当前整体</w:t>
            </w:r>
            <w:r>
              <w:rPr>
                <w:rFonts w:hint="eastAsia" w:ascii="宋体" w:hAnsi="宋体" w:cs="宋体"/>
                <w:sz w:val="24"/>
              </w:rPr>
              <w:t>IT</w:t>
            </w:r>
            <w:r>
              <w:rPr>
                <w:rFonts w:hint="eastAsia" w:ascii="宋体" w:hAnsi="宋体" w:cs="宋体"/>
                <w:sz w:val="24"/>
                <w:szCs w:val="24"/>
              </w:rPr>
              <w:t>系统的好坏，以及</w:t>
            </w:r>
            <w:r>
              <w:rPr>
                <w:rFonts w:hint="eastAsia" w:ascii="宋体" w:hAnsi="宋体" w:cs="宋体"/>
                <w:sz w:val="24"/>
              </w:rPr>
              <w:t>IT</w:t>
            </w:r>
            <w:r>
              <w:rPr>
                <w:rFonts w:hint="eastAsia" w:ascii="宋体" w:hAnsi="宋体" w:cs="宋体"/>
                <w:sz w:val="24"/>
                <w:szCs w:val="24"/>
              </w:rPr>
              <w:t>整体健康情况的历史走势。通过分析</w:t>
            </w:r>
            <w:r>
              <w:rPr>
                <w:rFonts w:hint="eastAsia" w:ascii="宋体" w:hAnsi="宋体" w:cs="宋体"/>
                <w:sz w:val="24"/>
              </w:rPr>
              <w:t>IT</w:t>
            </w:r>
            <w:r>
              <w:rPr>
                <w:rFonts w:hint="eastAsia" w:ascii="宋体" w:hAnsi="宋体" w:cs="宋体"/>
                <w:sz w:val="24"/>
                <w:szCs w:val="24"/>
              </w:rPr>
              <w:t>整体健康指数了解其影响因素是哪些业务系统。</w:t>
            </w:r>
          </w:p>
          <w:p>
            <w:pPr>
              <w:widowControl/>
              <w:snapToGrid w:val="0"/>
              <w:spacing w:line="240" w:lineRule="auto"/>
              <w:jc w:val="left"/>
              <w:rPr>
                <w:rFonts w:ascii="宋体" w:hAnsi="宋体" w:cs="宋体"/>
                <w:sz w:val="24"/>
              </w:rPr>
            </w:pPr>
            <w:r>
              <w:rPr>
                <w:rFonts w:hint="eastAsia" w:ascii="宋体" w:hAnsi="宋体" w:cs="宋体"/>
                <w:sz w:val="24"/>
              </w:rPr>
              <w:t>▲11</w:t>
            </w:r>
            <w:r>
              <w:rPr>
                <w:rFonts w:hint="eastAsia" w:ascii="宋体" w:hAnsi="宋体" w:cs="宋体"/>
                <w:sz w:val="24"/>
                <w:szCs w:val="24"/>
              </w:rPr>
              <w:t>、系统提供统一的综合可视化展现功能。通过集成网络、业务、存储和虚拟化拓扑，可在一张视图上综合展示所有类型的被监管资源。</w:t>
            </w:r>
          </w:p>
          <w:p>
            <w:pPr>
              <w:widowControl/>
              <w:snapToGrid w:val="0"/>
              <w:spacing w:line="240" w:lineRule="auto"/>
              <w:jc w:val="left"/>
              <w:rPr>
                <w:rFonts w:ascii="宋体" w:hAnsi="宋体" w:cs="宋体"/>
                <w:sz w:val="24"/>
              </w:rPr>
            </w:pPr>
            <w:r>
              <w:rPr>
                <w:rFonts w:hint="eastAsia" w:ascii="宋体" w:hAnsi="宋体" w:cs="宋体"/>
                <w:sz w:val="24"/>
              </w:rPr>
              <w:t>▲12</w:t>
            </w:r>
            <w:r>
              <w:rPr>
                <w:rFonts w:hint="eastAsia" w:ascii="宋体" w:hAnsi="宋体" w:cs="宋体"/>
                <w:sz w:val="24"/>
                <w:szCs w:val="24"/>
              </w:rPr>
              <w:t>、当发生故障及问题时虚机会产生漂移，能及时通知到相应的管理者进行处理，系统支持虚拟机漂移告警，告警包括漂移前所属主机、漂移后所属主机。</w:t>
            </w:r>
          </w:p>
          <w:p>
            <w:pPr>
              <w:widowControl/>
              <w:snapToGrid w:val="0"/>
              <w:spacing w:line="240" w:lineRule="auto"/>
              <w:jc w:val="left"/>
              <w:rPr>
                <w:rFonts w:ascii="宋体" w:hAnsi="宋体" w:cs="宋体"/>
                <w:kern w:val="0"/>
                <w:sz w:val="24"/>
              </w:rPr>
            </w:pPr>
            <w:r>
              <w:rPr>
                <w:rFonts w:hint="eastAsia" w:ascii="宋体" w:hAnsi="宋体" w:cs="宋体"/>
                <w:kern w:val="0"/>
                <w:sz w:val="24"/>
              </w:rPr>
              <w:t>13、网管产品支持对WLAN网络的全生命周期管理，能够提供无线网络规划、部署、验收、日常维护、无线网络优化。其中厂商提供WLAN规划工具，支持根据现场情况进行详细的规划。规划工具能够模拟不同材质的衰减，比如水泥墙、玻璃墙，现场区域类型，传播模式等模拟现场环境；规划结果实现按楼层规划，以及数据规划清单、AP清单，并能形成仿真图。</w:t>
            </w:r>
          </w:p>
          <w:p>
            <w:pPr>
              <w:autoSpaceDE w:val="0"/>
              <w:autoSpaceDN w:val="0"/>
              <w:adjustRightInd w:val="0"/>
              <w:spacing w:line="240" w:lineRule="auto"/>
              <w:rPr>
                <w:rFonts w:ascii="宋体" w:hAnsi="宋体"/>
                <w:szCs w:val="21"/>
              </w:rPr>
            </w:pPr>
            <w:r>
              <w:rPr>
                <w:rFonts w:hint="eastAsia" w:ascii="宋体" w:hAnsi="宋体" w:cs="宋体"/>
                <w:kern w:val="0"/>
                <w:sz w:val="24"/>
              </w:rPr>
              <w:t>配置：网络设备管理组件100，平台服务器配置不低于2*E5-2620 V3 6核 CPU,4*8GB内存,2*600GB 2.5inch硬盘。3年维保，3年软件升级服务。</w:t>
            </w:r>
          </w:p>
        </w:tc>
        <w:tc>
          <w:tcPr>
            <w:tcW w:w="709"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ascii="宋体" w:hAnsi="宋体" w:cs="宋体"/>
                <w:kern w:val="0"/>
                <w:sz w:val="24"/>
                <w:szCs w:val="24"/>
              </w:rPr>
            </w:pPr>
            <w:r>
              <w:rPr>
                <w:rFonts w:hint="eastAsia" w:ascii="宋体" w:hAnsi="宋体" w:cs="宋体"/>
                <w:kern w:val="0"/>
                <w:sz w:val="24"/>
                <w:szCs w:val="24"/>
              </w:rPr>
              <w:t>套</w:t>
            </w:r>
          </w:p>
        </w:tc>
        <w:tc>
          <w:tcPr>
            <w:tcW w:w="851"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ascii="宋体" w:hAnsi="宋体" w:cs="宋体"/>
                <w:kern w:val="0"/>
                <w:sz w:val="24"/>
                <w:szCs w:val="24"/>
              </w:rPr>
            </w:pPr>
            <w:r>
              <w:rPr>
                <w:rFonts w:hint="eastAsia" w:ascii="宋体" w:hAnsi="宋体" w:cs="宋体"/>
                <w:kern w:val="0"/>
                <w:sz w:val="24"/>
                <w:szCs w:val="24"/>
              </w:rPr>
              <w:t>1</w:t>
            </w:r>
          </w:p>
        </w:tc>
        <w:tc>
          <w:tcPr>
            <w:tcW w:w="9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asciiTheme="minorEastAsia" w:hAnsiTheme="minorEastAsia"/>
                <w:sz w:val="24"/>
                <w:szCs w:val="24"/>
              </w:rPr>
              <w:t>250000</w:t>
            </w:r>
          </w:p>
        </w:tc>
        <w:tc>
          <w:tcPr>
            <w:tcW w:w="9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asciiTheme="minorEastAsia" w:hAnsiTheme="minorEastAsia"/>
                <w:sz w:val="24"/>
                <w:szCs w:val="24"/>
              </w:rPr>
              <w:t>250000</w:t>
            </w:r>
          </w:p>
        </w:tc>
        <w:tc>
          <w:tcPr>
            <w:tcW w:w="12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福州</w:t>
            </w:r>
            <w:r>
              <w:rPr>
                <w:rFonts w:asciiTheme="minorEastAsia" w:hAnsiTheme="minorEastAsia"/>
                <w:sz w:val="24"/>
                <w:szCs w:val="24"/>
              </w:rPr>
              <w:t>/</w:t>
            </w:r>
          </w:p>
          <w:p>
            <w:pPr>
              <w:autoSpaceDE w:val="0"/>
              <w:autoSpaceDN w:val="0"/>
              <w:adjustRightInd w:val="0"/>
              <w:spacing w:line="240" w:lineRule="auto"/>
              <w:jc w:val="center"/>
              <w:rPr>
                <w:rFonts w:asciiTheme="minorEastAsia" w:hAnsiTheme="minorEastAsia"/>
                <w:sz w:val="24"/>
                <w:szCs w:val="24"/>
              </w:rPr>
            </w:pPr>
            <w:r>
              <w:rPr>
                <w:rFonts w:asciiTheme="minorEastAsia" w:hAnsiTheme="minorEastAsia"/>
                <w:sz w:val="24"/>
                <w:szCs w:val="24"/>
              </w:rPr>
              <w:t>锐捷网络股份有限公司</w:t>
            </w:r>
          </w:p>
        </w:tc>
      </w:tr>
      <w:tr>
        <w:tblPrEx>
          <w:tblCellMar>
            <w:top w:w="0" w:type="dxa"/>
            <w:left w:w="108" w:type="dxa"/>
            <w:bottom w:w="0" w:type="dxa"/>
            <w:right w:w="108" w:type="dxa"/>
          </w:tblCellMar>
        </w:tblPrEx>
        <w:trPr>
          <w:trHeight w:val="851" w:hRule="atLeast"/>
          <w:jc w:val="center"/>
        </w:trPr>
        <w:tc>
          <w:tcPr>
            <w:tcW w:w="70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宋体" w:hAnsi="宋体"/>
                <w:szCs w:val="21"/>
              </w:rPr>
            </w:pPr>
            <w:r>
              <w:rPr>
                <w:rFonts w:hint="eastAsia" w:ascii="宋体" w:hAnsi="宋体"/>
                <w:szCs w:val="21"/>
              </w:rPr>
              <w:t>6</w:t>
            </w:r>
          </w:p>
        </w:tc>
        <w:tc>
          <w:tcPr>
            <w:tcW w:w="1276"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ascii="宋体" w:hAnsi="宋体" w:cs="宋体"/>
                <w:kern w:val="0"/>
                <w:sz w:val="24"/>
              </w:rPr>
            </w:pPr>
            <w:r>
              <w:rPr>
                <w:rFonts w:hint="eastAsia" w:ascii="宋体" w:hAnsi="宋体" w:cs="宋体"/>
                <w:sz w:val="24"/>
              </w:rPr>
              <w:t>统一运维管理系统显示屏</w:t>
            </w:r>
          </w:p>
        </w:tc>
        <w:tc>
          <w:tcPr>
            <w:tcW w:w="709" w:type="dxa"/>
            <w:tcBorders>
              <w:top w:val="single" w:color="auto" w:sz="6" w:space="0"/>
              <w:left w:val="single" w:color="auto" w:sz="6" w:space="0"/>
              <w:bottom w:val="single" w:color="auto" w:sz="6" w:space="0"/>
              <w:right w:val="single" w:color="auto" w:sz="6" w:space="0"/>
            </w:tcBorders>
            <w:vAlign w:val="center"/>
          </w:tcPr>
          <w:p>
            <w:pPr>
              <w:widowControl/>
              <w:snapToGrid w:val="0"/>
              <w:spacing w:line="240" w:lineRule="auto"/>
              <w:jc w:val="center"/>
              <w:rPr>
                <w:rFonts w:ascii="宋体" w:hAnsi="宋体" w:cs="宋体"/>
                <w:sz w:val="24"/>
              </w:rPr>
            </w:pPr>
            <w:r>
              <w:rPr>
                <w:rFonts w:ascii="宋体" w:hAnsi="宋体" w:cs="宋体"/>
                <w:sz w:val="24"/>
              </w:rPr>
              <w:t>HR8460-75A</w:t>
            </w:r>
          </w:p>
        </w:tc>
        <w:tc>
          <w:tcPr>
            <w:tcW w:w="2409" w:type="dxa"/>
            <w:tcBorders>
              <w:top w:val="single" w:color="auto" w:sz="6" w:space="0"/>
              <w:left w:val="single" w:color="auto" w:sz="6" w:space="0"/>
              <w:bottom w:val="single" w:color="auto" w:sz="6" w:space="0"/>
              <w:right w:val="single" w:color="auto" w:sz="6" w:space="0"/>
            </w:tcBorders>
          </w:tcPr>
          <w:p>
            <w:pPr>
              <w:snapToGrid w:val="0"/>
              <w:spacing w:line="240" w:lineRule="auto"/>
              <w:rPr>
                <w:rFonts w:ascii="宋体" w:hAnsi="宋体" w:cs="宋体"/>
                <w:sz w:val="24"/>
              </w:rPr>
            </w:pPr>
            <w:r>
              <w:rPr>
                <w:rFonts w:hint="eastAsia" w:ascii="宋体" w:hAnsi="宋体" w:cs="宋体"/>
                <w:sz w:val="24"/>
              </w:rPr>
              <w:t>1、显示屏：75英寸、LED背光A规、 分辨率：3840×2160、亮  度：400cd/平方米；对比度：4000:1、最大可视角度178度、红外触摸。</w:t>
            </w:r>
          </w:p>
          <w:p>
            <w:pPr>
              <w:snapToGrid w:val="0"/>
              <w:spacing w:line="240" w:lineRule="auto"/>
              <w:rPr>
                <w:rFonts w:ascii="宋体" w:hAnsi="宋体" w:cs="宋体"/>
                <w:sz w:val="24"/>
              </w:rPr>
            </w:pPr>
            <w:r>
              <w:rPr>
                <w:rFonts w:hint="eastAsia" w:ascii="宋体" w:hAnsi="宋体" w:cs="宋体"/>
                <w:sz w:val="24"/>
              </w:rPr>
              <w:t>2、整机采用双系统（Windows和Android）设计，安卓应用支持在线升级；PC模块采用Intel 标准的OPS插拔式设计方案：I5五代处理器、8G内存、固态硬盘128G、支持4K视频播、10M/100M/1000M RJ45接口，支持wifi信号接收；</w:t>
            </w:r>
          </w:p>
          <w:p>
            <w:pPr>
              <w:widowControl/>
              <w:snapToGrid w:val="0"/>
              <w:spacing w:line="240" w:lineRule="auto"/>
              <w:jc w:val="left"/>
              <w:rPr>
                <w:rFonts w:ascii="宋体" w:hAnsi="宋体" w:cs="宋体"/>
                <w:sz w:val="24"/>
              </w:rPr>
            </w:pPr>
            <w:r>
              <w:rPr>
                <w:rFonts w:hint="eastAsia" w:ascii="宋体" w:hAnsi="宋体" w:cs="宋体"/>
                <w:sz w:val="24"/>
              </w:rPr>
              <w:t>安卓模块采用安卓6.0以上操作系统、CPU：四核 A53、GPU：T72MP2、内存：2GB 、存储：8GB。</w:t>
            </w:r>
          </w:p>
          <w:p>
            <w:pPr>
              <w:snapToGrid w:val="0"/>
              <w:spacing w:line="240" w:lineRule="auto"/>
              <w:rPr>
                <w:rFonts w:ascii="宋体" w:hAnsi="宋体" w:cs="宋体"/>
                <w:sz w:val="24"/>
              </w:rPr>
            </w:pPr>
            <w:r>
              <w:rPr>
                <w:rFonts w:hint="eastAsia" w:ascii="宋体" w:hAnsi="宋体" w:cs="宋体"/>
                <w:sz w:val="24"/>
              </w:rPr>
              <w:t>3、具备防雷击，防静电。</w:t>
            </w:r>
          </w:p>
          <w:p>
            <w:pPr>
              <w:snapToGrid w:val="0"/>
              <w:spacing w:line="240" w:lineRule="auto"/>
              <w:rPr>
                <w:rFonts w:ascii="宋体" w:hAnsi="宋体" w:cs="宋体"/>
                <w:sz w:val="24"/>
              </w:rPr>
            </w:pPr>
            <w:r>
              <w:rPr>
                <w:rFonts w:hint="eastAsia" w:ascii="宋体" w:hAnsi="宋体" w:cs="宋体"/>
                <w:sz w:val="24"/>
              </w:rPr>
              <w:t>●4、整机具有温度监控保护功能，可实时监测整机温度值，并可在主页上显示温度情况，能够根据温度变化显示不同的颜色以提示用户温度情况。</w:t>
            </w:r>
          </w:p>
          <w:p>
            <w:pPr>
              <w:snapToGrid w:val="0"/>
              <w:spacing w:line="240" w:lineRule="auto"/>
              <w:rPr>
                <w:rFonts w:ascii="宋体" w:hAnsi="宋体" w:cs="宋体"/>
                <w:sz w:val="24"/>
              </w:rPr>
            </w:pPr>
            <w:r>
              <w:rPr>
                <w:rFonts w:hint="eastAsia" w:ascii="宋体" w:hAnsi="宋体" w:cs="宋体"/>
                <w:sz w:val="24"/>
              </w:rPr>
              <w:t xml:space="preserve">●5、一键节能：在不关闭整机电源的情况下可一键关闭或开启液晶屏背光，实现节电功能，一键节能后整机功率降低80%以上；同时也可以通过五指按压屏幕表面实现背光的关闭与开启，方便快捷，两种节能操作方式满足不同使用需求； </w:t>
            </w:r>
          </w:p>
          <w:p>
            <w:pPr>
              <w:snapToGrid w:val="0"/>
              <w:spacing w:line="240" w:lineRule="auto"/>
              <w:rPr>
                <w:rFonts w:ascii="宋体" w:hAnsi="宋体" w:cs="宋体"/>
                <w:sz w:val="24"/>
              </w:rPr>
            </w:pPr>
            <w:r>
              <w:rPr>
                <w:rFonts w:hint="eastAsia" w:ascii="宋体" w:hAnsi="宋体" w:cs="宋体"/>
                <w:sz w:val="24"/>
              </w:rPr>
              <w:t>●6、触控电路板前拆卸设计，整机镶嵌安装后，再四周完全被封闭的情况下，无需取下整机，在机器正面即可拆卸触控框。</w:t>
            </w:r>
          </w:p>
          <w:p>
            <w:pPr>
              <w:autoSpaceDE w:val="0"/>
              <w:autoSpaceDN w:val="0"/>
              <w:adjustRightInd w:val="0"/>
              <w:spacing w:line="240" w:lineRule="auto"/>
              <w:rPr>
                <w:rFonts w:ascii="宋体" w:hAnsi="宋体"/>
                <w:szCs w:val="21"/>
              </w:rPr>
            </w:pPr>
            <w:r>
              <w:rPr>
                <w:rFonts w:hint="eastAsia" w:ascii="宋体" w:hAnsi="宋体" w:cs="宋体"/>
                <w:sz w:val="24"/>
              </w:rPr>
              <w:t>●7、抽拉盒设计：整机镶嵌安装后，无需取下整机，即可拆卸主电路板、电源板、电脑单元,便于维护和升级。</w:t>
            </w:r>
          </w:p>
        </w:tc>
        <w:tc>
          <w:tcPr>
            <w:tcW w:w="709"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台</w:t>
            </w:r>
          </w:p>
        </w:tc>
        <w:tc>
          <w:tcPr>
            <w:tcW w:w="851" w:type="dxa"/>
            <w:tcBorders>
              <w:top w:val="single" w:color="auto" w:sz="6" w:space="0"/>
              <w:left w:val="single" w:color="auto" w:sz="6" w:space="0"/>
              <w:bottom w:val="single" w:color="auto" w:sz="6" w:space="0"/>
              <w:right w:val="single" w:color="auto" w:sz="6" w:space="0"/>
            </w:tcBorders>
            <w:vAlign w:val="center"/>
          </w:tcPr>
          <w:p>
            <w:pPr>
              <w:widowControl/>
              <w:spacing w:line="240" w:lineRule="auto"/>
              <w:jc w:val="center"/>
              <w:rPr>
                <w:rFonts w:ascii="宋体" w:hAnsi="宋体" w:cs="宋体"/>
                <w:kern w:val="0"/>
                <w:sz w:val="24"/>
              </w:rPr>
            </w:pPr>
            <w:r>
              <w:rPr>
                <w:rFonts w:hint="eastAsia" w:ascii="宋体" w:hAnsi="宋体" w:cs="宋体"/>
                <w:kern w:val="0"/>
                <w:sz w:val="24"/>
              </w:rPr>
              <w:t>2</w:t>
            </w:r>
          </w:p>
        </w:tc>
        <w:tc>
          <w:tcPr>
            <w:tcW w:w="9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asciiTheme="minorEastAsia" w:hAnsiTheme="minorEastAsia"/>
                <w:sz w:val="24"/>
                <w:szCs w:val="24"/>
              </w:rPr>
              <w:t>14600</w:t>
            </w:r>
          </w:p>
        </w:tc>
        <w:tc>
          <w:tcPr>
            <w:tcW w:w="9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asciiTheme="minorEastAsia" w:hAnsiTheme="minorEastAsia"/>
                <w:sz w:val="24"/>
                <w:szCs w:val="24"/>
              </w:rPr>
              <w:t>29200</w:t>
            </w:r>
          </w:p>
        </w:tc>
        <w:tc>
          <w:tcPr>
            <w:tcW w:w="12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Theme="minorEastAsia" w:hAnsiTheme="minorEastAsia"/>
                <w:sz w:val="24"/>
                <w:szCs w:val="24"/>
              </w:rPr>
            </w:pPr>
            <w:r>
              <w:rPr>
                <w:rFonts w:hint="eastAsia" w:asciiTheme="minorEastAsia" w:hAnsiTheme="minorEastAsia"/>
                <w:sz w:val="24"/>
                <w:szCs w:val="24"/>
              </w:rPr>
              <w:t>常州</w:t>
            </w:r>
            <w:r>
              <w:rPr>
                <w:rFonts w:asciiTheme="minorEastAsia" w:hAnsiTheme="minorEastAsia"/>
                <w:sz w:val="24"/>
                <w:szCs w:val="24"/>
              </w:rPr>
              <w:t>/</w:t>
            </w:r>
          </w:p>
          <w:p>
            <w:pPr>
              <w:autoSpaceDE w:val="0"/>
              <w:autoSpaceDN w:val="0"/>
              <w:adjustRightInd w:val="0"/>
              <w:spacing w:line="240" w:lineRule="auto"/>
              <w:jc w:val="center"/>
              <w:rPr>
                <w:rFonts w:asciiTheme="minorEastAsia" w:hAnsiTheme="minorEastAsia"/>
                <w:sz w:val="24"/>
                <w:szCs w:val="24"/>
              </w:rPr>
            </w:pPr>
            <w:r>
              <w:rPr>
                <w:rFonts w:asciiTheme="minorEastAsia" w:hAnsiTheme="minorEastAsia"/>
                <w:sz w:val="24"/>
                <w:szCs w:val="24"/>
              </w:rPr>
              <w:t>江苏昊润电子科技有限公司</w:t>
            </w:r>
          </w:p>
        </w:tc>
      </w:tr>
      <w:tr>
        <w:tblPrEx>
          <w:tblCellMar>
            <w:top w:w="0" w:type="dxa"/>
            <w:left w:w="108" w:type="dxa"/>
            <w:bottom w:w="0" w:type="dxa"/>
            <w:right w:w="108" w:type="dxa"/>
          </w:tblCellMar>
        </w:tblPrEx>
        <w:trPr>
          <w:trHeight w:val="851" w:hRule="atLeast"/>
          <w:jc w:val="center"/>
        </w:trPr>
        <w:tc>
          <w:tcPr>
            <w:tcW w:w="1985"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jc w:val="center"/>
              <w:rPr>
                <w:rFonts w:ascii="宋体" w:hAnsi="宋体"/>
                <w:szCs w:val="21"/>
              </w:rPr>
            </w:pPr>
            <w:r>
              <w:rPr>
                <w:rFonts w:hint="eastAsia" w:ascii="宋体" w:hAnsi="宋体" w:cs="宋体"/>
                <w:szCs w:val="21"/>
                <w:lang w:val="zh-CN"/>
              </w:rPr>
              <w:t>合计</w:t>
            </w:r>
          </w:p>
        </w:tc>
        <w:tc>
          <w:tcPr>
            <w:tcW w:w="7874"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40" w:lineRule="auto"/>
              <w:ind w:firstLine="105" w:firstLineChars="50"/>
              <w:rPr>
                <w:rFonts w:ascii="宋体" w:hAnsi="宋体" w:cs="宋体"/>
                <w:szCs w:val="21"/>
                <w:lang w:val="zh-CN"/>
              </w:rPr>
            </w:pPr>
            <w:r>
              <w:rPr>
                <w:rFonts w:hint="eastAsia" w:ascii="宋体" w:hAnsi="宋体" w:cs="宋体"/>
                <w:szCs w:val="21"/>
                <w:lang w:val="zh-CN"/>
              </w:rPr>
              <w:t>大写：捌拾捌万叁仟贰佰元整　　　　　　小写：883200元</w:t>
            </w:r>
          </w:p>
        </w:tc>
      </w:tr>
    </w:tbl>
    <w:p>
      <w:pPr>
        <w:autoSpaceDE w:val="0"/>
        <w:autoSpaceDN w:val="0"/>
        <w:adjustRightInd w:val="0"/>
        <w:spacing w:line="480" w:lineRule="auto"/>
        <w:rPr>
          <w:rFonts w:ascii="宋体" w:hAnsi="宋体" w:cs="宋体"/>
          <w:szCs w:val="21"/>
          <w:lang w:val="zh-CN"/>
        </w:rPr>
      </w:pPr>
    </w:p>
    <w:p>
      <w:pPr>
        <w:autoSpaceDE w:val="0"/>
        <w:autoSpaceDN w:val="0"/>
        <w:adjustRightInd w:val="0"/>
        <w:spacing w:line="480" w:lineRule="auto"/>
        <w:jc w:val="right"/>
        <w:rPr>
          <w:rFonts w:hint="eastAsia" w:ascii="宋体" w:hAnsi="宋体" w:cs="宋体"/>
          <w:szCs w:val="21"/>
          <w:u w:val="single"/>
        </w:rPr>
      </w:pPr>
      <w:bookmarkStart w:id="0" w:name="_GoBack"/>
      <w:r>
        <w:rPr>
          <w:rFonts w:hint="eastAsia" w:ascii="宋体" w:hAnsi="宋体" w:cs="宋体"/>
          <w:szCs w:val="21"/>
        </w:rPr>
        <w:t>投标人名称（并加盖公章）：</w:t>
      </w:r>
      <w:r>
        <w:rPr>
          <w:rFonts w:hint="eastAsia" w:ascii="宋体" w:hAnsi="宋体" w:cs="宋体"/>
          <w:szCs w:val="21"/>
          <w:u w:val="single"/>
        </w:rPr>
        <w:t xml:space="preserve">北京航天长峰科技工业集团有限公司 </w:t>
      </w:r>
    </w:p>
    <w:p>
      <w:pPr>
        <w:autoSpaceDE w:val="0"/>
        <w:autoSpaceDN w:val="0"/>
        <w:adjustRightInd w:val="0"/>
        <w:spacing w:line="480" w:lineRule="auto"/>
        <w:jc w:val="right"/>
        <w:rPr>
          <w:rFonts w:hint="eastAsia" w:ascii="宋体" w:hAnsi="宋体" w:cs="宋体"/>
          <w:szCs w:val="21"/>
          <w:u w:val="none"/>
          <w:lang w:val="zh-CN"/>
        </w:rPr>
      </w:pPr>
      <w:r>
        <w:rPr>
          <w:rFonts w:hint="eastAsia" w:ascii="宋体" w:hAnsi="宋体" w:cs="宋体"/>
          <w:szCs w:val="21"/>
          <w:u w:val="none"/>
          <w:lang w:val="en-US" w:eastAsia="zh-CN"/>
        </w:rPr>
        <w:t>2020年1月16日</w:t>
      </w:r>
    </w:p>
    <w:bookmarkEnd w:id="0"/>
    <w:p>
      <w:pPr>
        <w:autoSpaceDE w:val="0"/>
        <w:autoSpaceDN w:val="0"/>
        <w:adjustRightInd w:val="0"/>
        <w:spacing w:line="480" w:lineRule="auto"/>
        <w:rPr>
          <w:rFonts w:ascii="宋体" w:hAnsi="宋体" w:cs="宋体"/>
          <w:sz w:val="24"/>
          <w:szCs w:val="24"/>
          <w:lang w:val="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051738"/>
    <w:rsid w:val="40051738"/>
    <w:rsid w:val="52882D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2020-01-16T01:48:00Z</dcterms:created>
  <dc:creator>了了</dc:creator>
  <cp:lastModifiedBy>了了</cp:lastModifiedBy>
  <dcterms:modified xsi:type="dcterms:W3CDTF">2020-01-16T02:09:09Z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