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321" w:rsidRDefault="00BF60E9">
      <w:pPr>
        <w:pStyle w:val="1"/>
        <w:jc w:val="center"/>
        <w:rPr>
          <w:rFonts w:asciiTheme="minorEastAsia" w:eastAsiaTheme="minorEastAsia" w:hAnsiTheme="minorEastAsia" w:cstheme="minorEastAsia"/>
          <w:snapToGrid w:val="0"/>
          <w:kern w:val="0"/>
          <w:sz w:val="28"/>
          <w:szCs w:val="28"/>
        </w:rPr>
      </w:pPr>
      <w:bookmarkStart w:id="0" w:name="_Toc8615"/>
      <w:r>
        <w:rPr>
          <w:rFonts w:asciiTheme="minorEastAsia" w:eastAsiaTheme="minorEastAsia" w:hAnsiTheme="minorEastAsia" w:cstheme="minorEastAsia" w:hint="eastAsia"/>
          <w:snapToGrid w:val="0"/>
          <w:kern w:val="0"/>
          <w:sz w:val="28"/>
          <w:szCs w:val="28"/>
        </w:rPr>
        <w:t>开标一览表</w:t>
      </w:r>
      <w:bookmarkEnd w:id="0"/>
    </w:p>
    <w:p w:rsidR="004C4321" w:rsidRDefault="004C4321">
      <w:pPr>
        <w:rPr>
          <w:rFonts w:asciiTheme="minorEastAsia" w:eastAsiaTheme="minorEastAsia" w:hAnsiTheme="minorEastAsia" w:cstheme="minorEastAsia"/>
        </w:rPr>
      </w:pPr>
    </w:p>
    <w:p w:rsidR="004C4321" w:rsidRDefault="00BF60E9" w:rsidP="00F06F22">
      <w:pPr>
        <w:spacing w:before="50" w:afterLines="50" w:line="360" w:lineRule="auto"/>
        <w:contextualSpacing/>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项目编号：</w:t>
      </w:r>
      <w:r>
        <w:rPr>
          <w:rFonts w:asciiTheme="minorEastAsia" w:eastAsiaTheme="minorEastAsia" w:hAnsiTheme="minorEastAsia" w:cstheme="minorEastAsia" w:hint="eastAsia"/>
          <w:sz w:val="24"/>
          <w:szCs w:val="24"/>
          <w:shd w:val="clear" w:color="auto" w:fill="FFFFFF"/>
        </w:rPr>
        <w:t>ZFCG-G2019188号</w:t>
      </w:r>
    </w:p>
    <w:p w:rsidR="004C4321" w:rsidRDefault="00BF60E9">
      <w:pPr>
        <w:spacing w:line="360" w:lineRule="auto"/>
        <w:contextualSpacing/>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项目名称：</w:t>
      </w:r>
      <w:r>
        <w:rPr>
          <w:rFonts w:asciiTheme="minorEastAsia" w:eastAsiaTheme="minorEastAsia" w:hAnsiTheme="minorEastAsia" w:cstheme="minorEastAsia" w:hint="eastAsia"/>
          <w:sz w:val="24"/>
          <w:szCs w:val="24"/>
          <w:shd w:val="clear" w:color="auto" w:fill="FFFFFF"/>
        </w:rPr>
        <w:t>离子色谱仪</w:t>
      </w:r>
    </w:p>
    <w:p w:rsidR="004C4321" w:rsidRDefault="00BF60E9">
      <w:pPr>
        <w:spacing w:line="360" w:lineRule="auto"/>
        <w:contextualSpacing/>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单位：元（人民币）</w:t>
      </w:r>
    </w:p>
    <w:tbl>
      <w:tblPr>
        <w:tblW w:w="9180" w:type="dxa"/>
        <w:tblLayout w:type="fixed"/>
        <w:tblLook w:val="04A0"/>
      </w:tblPr>
      <w:tblGrid>
        <w:gridCol w:w="804"/>
        <w:gridCol w:w="1545"/>
        <w:gridCol w:w="4020"/>
        <w:gridCol w:w="1800"/>
        <w:gridCol w:w="1011"/>
      </w:tblGrid>
      <w:tr w:rsidR="004C4321">
        <w:trPr>
          <w:trHeight w:val="851"/>
        </w:trPr>
        <w:tc>
          <w:tcPr>
            <w:tcW w:w="80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C4321" w:rsidRDefault="00BF60E9">
            <w:pPr>
              <w:autoSpaceDE w:val="0"/>
              <w:autoSpaceDN w:val="0"/>
              <w:adjustRightInd w:val="0"/>
              <w:spacing w:line="480" w:lineRule="exact"/>
              <w:jc w:val="center"/>
              <w:rPr>
                <w:rFonts w:asciiTheme="minorEastAsia" w:eastAsiaTheme="minorEastAsia" w:hAnsiTheme="minorEastAsia" w:cstheme="minorEastAsia"/>
                <w:b/>
                <w:sz w:val="24"/>
                <w:szCs w:val="24"/>
                <w:lang w:val="zh-CN"/>
              </w:rPr>
            </w:pPr>
            <w:r>
              <w:rPr>
                <w:rFonts w:asciiTheme="minorEastAsia" w:eastAsiaTheme="minorEastAsia" w:hAnsiTheme="minorEastAsia" w:cstheme="minorEastAsia" w:hint="eastAsia"/>
                <w:b/>
                <w:sz w:val="24"/>
                <w:szCs w:val="24"/>
                <w:lang w:val="zh-CN"/>
              </w:rPr>
              <w:t>标段</w:t>
            </w:r>
          </w:p>
        </w:tc>
        <w:tc>
          <w:tcPr>
            <w:tcW w:w="154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C4321" w:rsidRDefault="00BF60E9">
            <w:pPr>
              <w:autoSpaceDE w:val="0"/>
              <w:autoSpaceDN w:val="0"/>
              <w:adjustRightInd w:val="0"/>
              <w:spacing w:line="480" w:lineRule="exact"/>
              <w:jc w:val="center"/>
              <w:rPr>
                <w:rFonts w:asciiTheme="minorEastAsia" w:eastAsiaTheme="minorEastAsia" w:hAnsiTheme="minorEastAsia" w:cstheme="minorEastAsia"/>
                <w:b/>
                <w:sz w:val="24"/>
                <w:szCs w:val="24"/>
                <w:lang w:val="zh-CN"/>
              </w:rPr>
            </w:pPr>
            <w:r>
              <w:rPr>
                <w:rFonts w:asciiTheme="minorEastAsia" w:eastAsiaTheme="minorEastAsia" w:hAnsiTheme="minorEastAsia" w:cstheme="minorEastAsia" w:hint="eastAsia"/>
                <w:b/>
                <w:sz w:val="24"/>
                <w:szCs w:val="24"/>
                <w:lang w:val="zh-CN"/>
              </w:rPr>
              <w:t>项目名称</w:t>
            </w:r>
          </w:p>
        </w:tc>
        <w:tc>
          <w:tcPr>
            <w:tcW w:w="402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C4321" w:rsidRDefault="00BF60E9">
            <w:pPr>
              <w:autoSpaceDE w:val="0"/>
              <w:autoSpaceDN w:val="0"/>
              <w:adjustRightInd w:val="0"/>
              <w:spacing w:line="480" w:lineRule="exact"/>
              <w:jc w:val="center"/>
              <w:rPr>
                <w:rFonts w:asciiTheme="minorEastAsia" w:eastAsiaTheme="minorEastAsia" w:hAnsiTheme="minorEastAsia" w:cstheme="minorEastAsia"/>
                <w:b/>
                <w:color w:val="auto"/>
                <w:sz w:val="24"/>
                <w:szCs w:val="24"/>
                <w:lang w:val="zh-CN"/>
              </w:rPr>
            </w:pPr>
            <w:r>
              <w:rPr>
                <w:rFonts w:asciiTheme="minorEastAsia" w:eastAsiaTheme="minorEastAsia" w:hAnsiTheme="minorEastAsia" w:cstheme="minorEastAsia" w:hint="eastAsia"/>
                <w:b/>
                <w:color w:val="auto"/>
                <w:sz w:val="24"/>
                <w:szCs w:val="24"/>
                <w:lang w:val="zh-CN"/>
              </w:rPr>
              <w:t>投标报价</w:t>
            </w:r>
          </w:p>
        </w:tc>
        <w:tc>
          <w:tcPr>
            <w:tcW w:w="18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C4321" w:rsidRDefault="00BF60E9">
            <w:pPr>
              <w:autoSpaceDE w:val="0"/>
              <w:autoSpaceDN w:val="0"/>
              <w:adjustRightInd w:val="0"/>
              <w:spacing w:line="480" w:lineRule="exact"/>
              <w:jc w:val="center"/>
              <w:rPr>
                <w:rFonts w:asciiTheme="minorEastAsia" w:eastAsiaTheme="minorEastAsia" w:hAnsiTheme="minorEastAsia" w:cstheme="minorEastAsia"/>
                <w:b/>
                <w:sz w:val="24"/>
                <w:szCs w:val="24"/>
                <w:lang w:val="zh-CN"/>
              </w:rPr>
            </w:pPr>
            <w:r>
              <w:rPr>
                <w:rFonts w:asciiTheme="minorEastAsia" w:eastAsiaTheme="minorEastAsia" w:hAnsiTheme="minorEastAsia" w:cstheme="minorEastAsia" w:hint="eastAsia"/>
                <w:b/>
                <w:color w:val="auto"/>
                <w:sz w:val="24"/>
                <w:szCs w:val="24"/>
                <w:lang w:val="zh-CN"/>
              </w:rPr>
              <w:t>交付日期</w:t>
            </w:r>
          </w:p>
        </w:tc>
        <w:tc>
          <w:tcPr>
            <w:tcW w:w="101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C4321" w:rsidRDefault="00BF60E9">
            <w:pPr>
              <w:autoSpaceDE w:val="0"/>
              <w:autoSpaceDN w:val="0"/>
              <w:adjustRightInd w:val="0"/>
              <w:spacing w:line="480" w:lineRule="exact"/>
              <w:jc w:val="center"/>
              <w:rPr>
                <w:rFonts w:asciiTheme="minorEastAsia" w:eastAsiaTheme="minorEastAsia" w:hAnsiTheme="minorEastAsia" w:cstheme="minorEastAsia"/>
                <w:b/>
                <w:sz w:val="24"/>
                <w:szCs w:val="24"/>
                <w:lang w:val="zh-CN"/>
              </w:rPr>
            </w:pPr>
            <w:r>
              <w:rPr>
                <w:rFonts w:asciiTheme="minorEastAsia" w:eastAsiaTheme="minorEastAsia" w:hAnsiTheme="minorEastAsia" w:cstheme="minorEastAsia" w:hint="eastAsia"/>
                <w:b/>
                <w:sz w:val="24"/>
                <w:szCs w:val="24"/>
                <w:lang w:val="zh-CN"/>
              </w:rPr>
              <w:t>备注</w:t>
            </w:r>
          </w:p>
        </w:tc>
      </w:tr>
      <w:tr w:rsidR="004C4321">
        <w:trPr>
          <w:trHeight w:val="851"/>
        </w:trPr>
        <w:tc>
          <w:tcPr>
            <w:tcW w:w="804" w:type="dxa"/>
            <w:tcBorders>
              <w:top w:val="single" w:sz="6" w:space="0" w:color="auto"/>
              <w:left w:val="single" w:sz="6" w:space="0" w:color="auto"/>
              <w:bottom w:val="single" w:sz="6" w:space="0" w:color="auto"/>
              <w:right w:val="single" w:sz="6" w:space="0" w:color="auto"/>
            </w:tcBorders>
            <w:vAlign w:val="center"/>
          </w:tcPr>
          <w:p w:rsidR="004C4321" w:rsidRDefault="00BF60E9">
            <w:pPr>
              <w:autoSpaceDE w:val="0"/>
              <w:autoSpaceDN w:val="0"/>
              <w:adjustRightInd w:val="0"/>
              <w:spacing w:line="4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B包</w:t>
            </w:r>
          </w:p>
        </w:tc>
        <w:tc>
          <w:tcPr>
            <w:tcW w:w="1545" w:type="dxa"/>
            <w:tcBorders>
              <w:top w:val="single" w:sz="6" w:space="0" w:color="auto"/>
              <w:left w:val="single" w:sz="6" w:space="0" w:color="auto"/>
              <w:bottom w:val="single" w:sz="6" w:space="0" w:color="auto"/>
              <w:right w:val="single" w:sz="6" w:space="0" w:color="auto"/>
            </w:tcBorders>
            <w:vAlign w:val="center"/>
          </w:tcPr>
          <w:p w:rsidR="004C4321" w:rsidRDefault="000C144E">
            <w:pPr>
              <w:autoSpaceDE w:val="0"/>
              <w:autoSpaceDN w:val="0"/>
              <w:adjustRightInd w:val="0"/>
              <w:spacing w:line="4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气相色谱仪</w:t>
            </w:r>
          </w:p>
        </w:tc>
        <w:tc>
          <w:tcPr>
            <w:tcW w:w="4020" w:type="dxa"/>
            <w:tcBorders>
              <w:top w:val="single" w:sz="6" w:space="0" w:color="auto"/>
              <w:left w:val="single" w:sz="6" w:space="0" w:color="auto"/>
              <w:bottom w:val="single" w:sz="6" w:space="0" w:color="auto"/>
              <w:right w:val="single" w:sz="6" w:space="0" w:color="auto"/>
            </w:tcBorders>
            <w:vAlign w:val="center"/>
          </w:tcPr>
          <w:p w:rsidR="004C4321" w:rsidRDefault="00BF60E9">
            <w:pPr>
              <w:autoSpaceDE w:val="0"/>
              <w:autoSpaceDN w:val="0"/>
              <w:adjustRightInd w:val="0"/>
              <w:spacing w:line="480" w:lineRule="exact"/>
              <w:jc w:val="center"/>
              <w:rPr>
                <w:rFonts w:asciiTheme="minorEastAsia" w:eastAsiaTheme="minorEastAsia" w:hAnsiTheme="minorEastAsia" w:cstheme="minorEastAsia"/>
                <w:color w:val="auto"/>
                <w:sz w:val="24"/>
                <w:szCs w:val="24"/>
              </w:rPr>
            </w:pPr>
            <w:r>
              <w:rPr>
                <w:rFonts w:asciiTheme="minorEastAsia" w:eastAsiaTheme="minorEastAsia" w:hAnsiTheme="minorEastAsia" w:cstheme="minorEastAsia" w:hint="eastAsia"/>
                <w:color w:val="auto"/>
                <w:sz w:val="24"/>
                <w:szCs w:val="24"/>
                <w:lang w:val="zh-CN"/>
              </w:rPr>
              <w:t>大写：壹佰零玖万伍仟元整　　　小写：</w:t>
            </w:r>
            <w:r>
              <w:rPr>
                <w:rFonts w:asciiTheme="minorEastAsia" w:eastAsiaTheme="minorEastAsia" w:hAnsiTheme="minorEastAsia" w:cstheme="minorEastAsia" w:hint="eastAsia"/>
                <w:color w:val="auto"/>
                <w:sz w:val="24"/>
                <w:szCs w:val="24"/>
              </w:rPr>
              <w:t xml:space="preserve"> 1095000 .00</w:t>
            </w:r>
          </w:p>
        </w:tc>
        <w:tc>
          <w:tcPr>
            <w:tcW w:w="1800" w:type="dxa"/>
            <w:tcBorders>
              <w:top w:val="single" w:sz="6" w:space="0" w:color="auto"/>
              <w:left w:val="single" w:sz="6" w:space="0" w:color="auto"/>
              <w:bottom w:val="single" w:sz="6" w:space="0" w:color="auto"/>
              <w:right w:val="single" w:sz="6" w:space="0" w:color="auto"/>
            </w:tcBorders>
            <w:vAlign w:val="center"/>
          </w:tcPr>
          <w:p w:rsidR="004C4321" w:rsidRDefault="00BF60E9">
            <w:pPr>
              <w:autoSpaceDE w:val="0"/>
              <w:autoSpaceDN w:val="0"/>
              <w:adjustRightInd w:val="0"/>
              <w:spacing w:line="480" w:lineRule="exact"/>
              <w:jc w:val="center"/>
              <w:rPr>
                <w:rFonts w:asciiTheme="minorEastAsia" w:eastAsiaTheme="minorEastAsia" w:hAnsiTheme="minorEastAsia" w:cstheme="minorEastAsia"/>
                <w:sz w:val="24"/>
                <w:szCs w:val="24"/>
                <w:lang w:val="zh-CN"/>
              </w:rPr>
            </w:pPr>
            <w:r>
              <w:rPr>
                <w:rFonts w:asciiTheme="minorEastAsia" w:eastAsiaTheme="minorEastAsia" w:hAnsiTheme="minorEastAsia" w:cstheme="minorEastAsia" w:hint="eastAsia"/>
                <w:sz w:val="24"/>
                <w:szCs w:val="24"/>
                <w:lang w:val="zh-CN"/>
              </w:rPr>
              <w:t>自合同生效之日起60个工作日内</w:t>
            </w:r>
          </w:p>
        </w:tc>
        <w:tc>
          <w:tcPr>
            <w:tcW w:w="1011" w:type="dxa"/>
            <w:tcBorders>
              <w:top w:val="single" w:sz="6" w:space="0" w:color="auto"/>
              <w:left w:val="single" w:sz="6" w:space="0" w:color="auto"/>
              <w:bottom w:val="single" w:sz="6" w:space="0" w:color="auto"/>
              <w:right w:val="single" w:sz="6" w:space="0" w:color="auto"/>
            </w:tcBorders>
            <w:vAlign w:val="center"/>
          </w:tcPr>
          <w:p w:rsidR="004C4321" w:rsidRDefault="00BF60E9">
            <w:pPr>
              <w:autoSpaceDE w:val="0"/>
              <w:autoSpaceDN w:val="0"/>
              <w:adjustRightInd w:val="0"/>
              <w:spacing w:line="4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b/>
                <w:bCs/>
                <w:sz w:val="24"/>
                <w:szCs w:val="24"/>
              </w:rPr>
              <w:t>产品免费保修时间4年</w:t>
            </w:r>
          </w:p>
        </w:tc>
      </w:tr>
    </w:tbl>
    <w:p w:rsidR="004C4321" w:rsidRDefault="00BF60E9">
      <w:pPr>
        <w:autoSpaceDE w:val="0"/>
        <w:autoSpaceDN w:val="0"/>
        <w:adjustRightInd w:val="0"/>
        <w:spacing w:line="480" w:lineRule="auto"/>
        <w:rPr>
          <w:rFonts w:asciiTheme="minorEastAsia" w:eastAsiaTheme="minorEastAsia" w:hAnsiTheme="minorEastAsia" w:cstheme="minorEastAsia"/>
          <w:sz w:val="24"/>
          <w:szCs w:val="24"/>
          <w:lang w:val="zh-CN"/>
        </w:rPr>
      </w:pPr>
      <w:r>
        <w:rPr>
          <w:rFonts w:asciiTheme="minorEastAsia" w:eastAsiaTheme="minorEastAsia" w:hAnsiTheme="minorEastAsia" w:cstheme="minorEastAsia" w:hint="eastAsia"/>
          <w:sz w:val="24"/>
          <w:szCs w:val="24"/>
          <w:lang w:val="zh-CN"/>
        </w:rPr>
        <w:t>投标人名称：</w:t>
      </w:r>
      <w:r>
        <w:rPr>
          <w:rFonts w:asciiTheme="minorEastAsia" w:eastAsiaTheme="minorEastAsia" w:hAnsiTheme="minorEastAsia" w:cstheme="minorEastAsia" w:hint="eastAsia"/>
          <w:sz w:val="24"/>
          <w:szCs w:val="24"/>
          <w:u w:val="single"/>
          <w:lang w:val="zh-CN"/>
        </w:rPr>
        <w:t xml:space="preserve"> （河南科盛仪器设备有限公司）</w:t>
      </w:r>
      <w:r>
        <w:rPr>
          <w:rFonts w:asciiTheme="minorEastAsia" w:eastAsiaTheme="minorEastAsia" w:hAnsiTheme="minorEastAsia" w:cstheme="minorEastAsia" w:hint="eastAsia"/>
          <w:sz w:val="24"/>
          <w:szCs w:val="24"/>
          <w:lang w:val="zh-CN"/>
        </w:rPr>
        <w:t>（公章）：</w:t>
      </w:r>
    </w:p>
    <w:p w:rsidR="004C4321" w:rsidRDefault="00BF60E9">
      <w:pPr>
        <w:autoSpaceDE w:val="0"/>
        <w:autoSpaceDN w:val="0"/>
        <w:adjustRightInd w:val="0"/>
        <w:spacing w:line="480" w:lineRule="auto"/>
        <w:rPr>
          <w:rFonts w:asciiTheme="minorEastAsia" w:eastAsiaTheme="minorEastAsia" w:hAnsiTheme="minorEastAsia" w:cstheme="minorEastAsia"/>
          <w:sz w:val="24"/>
          <w:szCs w:val="24"/>
          <w:lang w:val="zh-CN"/>
        </w:rPr>
      </w:pPr>
      <w:r>
        <w:rPr>
          <w:rFonts w:asciiTheme="minorEastAsia" w:eastAsiaTheme="minorEastAsia" w:hAnsiTheme="minorEastAsia" w:cstheme="minorEastAsia" w:hint="eastAsia"/>
          <w:sz w:val="24"/>
          <w:szCs w:val="24"/>
          <w:lang w:val="zh-CN"/>
        </w:rPr>
        <w:t>日期：</w:t>
      </w:r>
      <w:r>
        <w:rPr>
          <w:rFonts w:asciiTheme="minorEastAsia" w:eastAsiaTheme="minorEastAsia" w:hAnsiTheme="minorEastAsia" w:cstheme="minorEastAsia" w:hint="eastAsia"/>
          <w:sz w:val="24"/>
          <w:szCs w:val="24"/>
        </w:rPr>
        <w:t>2020</w:t>
      </w:r>
      <w:r>
        <w:rPr>
          <w:rFonts w:asciiTheme="minorEastAsia" w:eastAsiaTheme="minorEastAsia" w:hAnsiTheme="minorEastAsia" w:cstheme="minorEastAsia" w:hint="eastAsia"/>
          <w:sz w:val="24"/>
          <w:szCs w:val="24"/>
          <w:lang w:val="zh-CN"/>
        </w:rPr>
        <w:t>年</w:t>
      </w:r>
      <w:r>
        <w:rPr>
          <w:rFonts w:asciiTheme="minorEastAsia" w:eastAsiaTheme="minorEastAsia" w:hAnsiTheme="minorEastAsia" w:cstheme="minorEastAsia" w:hint="eastAsia"/>
          <w:sz w:val="24"/>
          <w:szCs w:val="24"/>
        </w:rPr>
        <w:t>01</w:t>
      </w:r>
      <w:r>
        <w:rPr>
          <w:rFonts w:asciiTheme="minorEastAsia" w:eastAsiaTheme="minorEastAsia" w:hAnsiTheme="minorEastAsia" w:cstheme="minorEastAsia" w:hint="eastAsia"/>
          <w:sz w:val="24"/>
          <w:szCs w:val="24"/>
          <w:lang w:val="zh-CN"/>
        </w:rPr>
        <w:t>月</w:t>
      </w:r>
      <w:r>
        <w:rPr>
          <w:rFonts w:asciiTheme="minorEastAsia" w:eastAsiaTheme="minorEastAsia" w:hAnsiTheme="minorEastAsia" w:cstheme="minorEastAsia" w:hint="eastAsia"/>
          <w:sz w:val="24"/>
          <w:szCs w:val="24"/>
        </w:rPr>
        <w:t>14</w:t>
      </w:r>
      <w:r>
        <w:rPr>
          <w:rFonts w:asciiTheme="minorEastAsia" w:eastAsiaTheme="minorEastAsia" w:hAnsiTheme="minorEastAsia" w:cstheme="minorEastAsia" w:hint="eastAsia"/>
          <w:sz w:val="24"/>
          <w:szCs w:val="24"/>
          <w:lang w:val="zh-CN"/>
        </w:rPr>
        <w:t>日</w:t>
      </w:r>
      <w:bookmarkStart w:id="1" w:name="_GoBack"/>
      <w:bookmarkEnd w:id="1"/>
    </w:p>
    <w:p w:rsidR="00F06F22" w:rsidRDefault="00F06F22">
      <w:pPr>
        <w:widowControl/>
        <w:jc w:val="left"/>
      </w:pPr>
      <w:r>
        <w:br w:type="page"/>
      </w:r>
    </w:p>
    <w:p w:rsidR="00F06F22" w:rsidRDefault="00F06F22" w:rsidP="00F06F22">
      <w:pPr>
        <w:pStyle w:val="2"/>
        <w:rPr>
          <w:rFonts w:asciiTheme="minorEastAsia" w:eastAsiaTheme="minorEastAsia" w:hAnsiTheme="minorEastAsia" w:cstheme="minorEastAsia"/>
        </w:rPr>
      </w:pPr>
      <w:bookmarkStart w:id="2" w:name="_Toc12593"/>
      <w:r>
        <w:rPr>
          <w:rFonts w:asciiTheme="minorEastAsia" w:eastAsiaTheme="minorEastAsia" w:hAnsiTheme="minorEastAsia" w:cstheme="minorEastAsia" w:hint="eastAsia"/>
        </w:rPr>
        <w:lastRenderedPageBreak/>
        <w:t>分项报价表</w:t>
      </w:r>
      <w:bookmarkEnd w:id="2"/>
    </w:p>
    <w:p w:rsidR="00F06F22" w:rsidRDefault="00F06F22" w:rsidP="00F06F22">
      <w:pP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项目编号：ZFCG-G2019188号</w:t>
      </w:r>
    </w:p>
    <w:p w:rsidR="00F06F22" w:rsidRDefault="00F06F22" w:rsidP="00F06F22">
      <w:pPr>
        <w:rPr>
          <w:rFonts w:asciiTheme="minorEastAsia" w:eastAsiaTheme="minorEastAsia" w:hAnsiTheme="minorEastAsia" w:cstheme="minorEastAsia"/>
          <w:b/>
          <w:snapToGrid w:val="0"/>
          <w:szCs w:val="21"/>
        </w:rPr>
      </w:pPr>
      <w:r>
        <w:rPr>
          <w:rFonts w:asciiTheme="minorEastAsia" w:eastAsiaTheme="minorEastAsia" w:hAnsiTheme="minorEastAsia" w:cstheme="minorEastAsia" w:hint="eastAsia"/>
          <w:sz w:val="24"/>
          <w:szCs w:val="24"/>
        </w:rPr>
        <w:t>项目名称：离子色谱仪</w:t>
      </w:r>
    </w:p>
    <w:tbl>
      <w:tblPr>
        <w:tblW w:w="13303" w:type="dxa"/>
        <w:tblLayout w:type="fixed"/>
        <w:tblLook w:val="04A0"/>
      </w:tblPr>
      <w:tblGrid>
        <w:gridCol w:w="389"/>
        <w:gridCol w:w="805"/>
        <w:gridCol w:w="913"/>
        <w:gridCol w:w="6491"/>
        <w:gridCol w:w="559"/>
        <w:gridCol w:w="518"/>
        <w:gridCol w:w="1296"/>
        <w:gridCol w:w="1568"/>
        <w:gridCol w:w="764"/>
      </w:tblGrid>
      <w:tr w:rsidR="00F06F22" w:rsidTr="00044B4C">
        <w:trPr>
          <w:trHeight w:val="851"/>
        </w:trPr>
        <w:tc>
          <w:tcPr>
            <w:tcW w:w="38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06F22" w:rsidRDefault="00F06F22" w:rsidP="00044B4C">
            <w:pPr>
              <w:autoSpaceDE w:val="0"/>
              <w:autoSpaceDN w:val="0"/>
              <w:adjustRightInd w:val="0"/>
              <w:spacing w:line="280" w:lineRule="exact"/>
              <w:jc w:val="center"/>
              <w:rPr>
                <w:rFonts w:asciiTheme="minorEastAsia" w:eastAsiaTheme="minorEastAsia" w:hAnsiTheme="minorEastAsia" w:cstheme="minorEastAsia"/>
                <w:b/>
                <w:sz w:val="24"/>
                <w:szCs w:val="24"/>
                <w:lang w:val="zh-CN"/>
              </w:rPr>
            </w:pPr>
            <w:r>
              <w:rPr>
                <w:rFonts w:asciiTheme="minorEastAsia" w:eastAsiaTheme="minorEastAsia" w:hAnsiTheme="minorEastAsia" w:cstheme="minorEastAsia" w:hint="eastAsia"/>
                <w:b/>
                <w:sz w:val="24"/>
                <w:szCs w:val="24"/>
                <w:lang w:val="zh-CN"/>
              </w:rPr>
              <w:t>序号</w:t>
            </w:r>
          </w:p>
        </w:tc>
        <w:tc>
          <w:tcPr>
            <w:tcW w:w="80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b/>
                <w:sz w:val="24"/>
                <w:szCs w:val="24"/>
                <w:lang w:val="zh-CN"/>
              </w:rPr>
            </w:pPr>
            <w:r>
              <w:rPr>
                <w:rFonts w:asciiTheme="minorEastAsia" w:eastAsiaTheme="minorEastAsia" w:hAnsiTheme="minorEastAsia" w:cstheme="minorEastAsia" w:hint="eastAsia"/>
                <w:b/>
                <w:sz w:val="24"/>
                <w:szCs w:val="24"/>
                <w:lang w:val="zh-CN"/>
              </w:rPr>
              <w:t>名 称</w:t>
            </w:r>
          </w:p>
        </w:tc>
        <w:tc>
          <w:tcPr>
            <w:tcW w:w="91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06F22" w:rsidRDefault="00F06F22" w:rsidP="00044B4C">
            <w:pPr>
              <w:autoSpaceDE w:val="0"/>
              <w:autoSpaceDN w:val="0"/>
              <w:adjustRightInd w:val="0"/>
              <w:spacing w:line="360" w:lineRule="auto"/>
              <w:ind w:firstLine="120"/>
              <w:jc w:val="center"/>
              <w:rPr>
                <w:rFonts w:asciiTheme="minorEastAsia" w:eastAsiaTheme="minorEastAsia" w:hAnsiTheme="minorEastAsia" w:cstheme="minorEastAsia"/>
                <w:b/>
                <w:sz w:val="24"/>
                <w:szCs w:val="24"/>
                <w:lang w:val="zh-CN"/>
              </w:rPr>
            </w:pPr>
            <w:r>
              <w:rPr>
                <w:rFonts w:asciiTheme="minorEastAsia" w:eastAsiaTheme="minorEastAsia" w:hAnsiTheme="minorEastAsia" w:cstheme="minorEastAsia" w:hint="eastAsia"/>
                <w:b/>
                <w:sz w:val="24"/>
                <w:szCs w:val="24"/>
                <w:lang w:val="zh-CN"/>
              </w:rPr>
              <w:t>规格型号</w:t>
            </w:r>
          </w:p>
        </w:tc>
        <w:tc>
          <w:tcPr>
            <w:tcW w:w="649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b/>
                <w:sz w:val="24"/>
                <w:szCs w:val="24"/>
                <w:lang w:val="zh-CN"/>
              </w:rPr>
            </w:pPr>
            <w:r>
              <w:rPr>
                <w:rFonts w:asciiTheme="minorEastAsia" w:eastAsiaTheme="minorEastAsia" w:hAnsiTheme="minorEastAsia" w:cstheme="minorEastAsia" w:hint="eastAsia"/>
                <w:b/>
                <w:sz w:val="24"/>
                <w:szCs w:val="24"/>
                <w:lang w:val="zh-CN"/>
              </w:rPr>
              <w:t>技术</w:t>
            </w:r>
          </w:p>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b/>
                <w:sz w:val="24"/>
                <w:szCs w:val="24"/>
                <w:lang w:val="zh-CN"/>
              </w:rPr>
            </w:pPr>
            <w:r>
              <w:rPr>
                <w:rFonts w:asciiTheme="minorEastAsia" w:eastAsiaTheme="minorEastAsia" w:hAnsiTheme="minorEastAsia" w:cstheme="minorEastAsia" w:hint="eastAsia"/>
                <w:b/>
                <w:sz w:val="24"/>
                <w:szCs w:val="24"/>
                <w:lang w:val="zh-CN"/>
              </w:rPr>
              <w:t>参数</w:t>
            </w:r>
          </w:p>
        </w:tc>
        <w:tc>
          <w:tcPr>
            <w:tcW w:w="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b/>
                <w:sz w:val="24"/>
                <w:szCs w:val="24"/>
                <w:lang w:val="zh-CN"/>
              </w:rPr>
            </w:pPr>
            <w:r>
              <w:rPr>
                <w:rFonts w:asciiTheme="minorEastAsia" w:eastAsiaTheme="minorEastAsia" w:hAnsiTheme="minorEastAsia" w:cstheme="minorEastAsia" w:hint="eastAsia"/>
                <w:b/>
                <w:sz w:val="24"/>
                <w:szCs w:val="24"/>
                <w:lang w:val="zh-CN"/>
              </w:rPr>
              <w:t>单 位</w:t>
            </w:r>
          </w:p>
        </w:tc>
        <w:tc>
          <w:tcPr>
            <w:tcW w:w="5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b/>
                <w:sz w:val="24"/>
                <w:szCs w:val="24"/>
                <w:lang w:val="zh-CN"/>
              </w:rPr>
            </w:pPr>
            <w:r>
              <w:rPr>
                <w:rFonts w:asciiTheme="minorEastAsia" w:eastAsiaTheme="minorEastAsia" w:hAnsiTheme="minorEastAsia" w:cstheme="minorEastAsia" w:hint="eastAsia"/>
                <w:b/>
                <w:sz w:val="24"/>
                <w:szCs w:val="24"/>
                <w:lang w:val="zh-CN"/>
              </w:rPr>
              <w:t>数 量</w:t>
            </w:r>
          </w:p>
        </w:tc>
        <w:tc>
          <w:tcPr>
            <w:tcW w:w="129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b/>
                <w:sz w:val="24"/>
                <w:szCs w:val="24"/>
                <w:lang w:val="zh-CN"/>
              </w:rPr>
            </w:pPr>
            <w:r>
              <w:rPr>
                <w:rFonts w:asciiTheme="minorEastAsia" w:eastAsiaTheme="minorEastAsia" w:hAnsiTheme="minorEastAsia" w:cstheme="minorEastAsia" w:hint="eastAsia"/>
                <w:b/>
                <w:sz w:val="24"/>
                <w:szCs w:val="24"/>
                <w:lang w:val="zh-CN"/>
              </w:rPr>
              <w:t>单价</w:t>
            </w:r>
          </w:p>
        </w:tc>
        <w:tc>
          <w:tcPr>
            <w:tcW w:w="156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06F22" w:rsidRDefault="00F06F22" w:rsidP="00044B4C">
            <w:pPr>
              <w:autoSpaceDE w:val="0"/>
              <w:autoSpaceDN w:val="0"/>
              <w:adjustRightInd w:val="0"/>
              <w:spacing w:line="360" w:lineRule="auto"/>
              <w:ind w:firstLine="120"/>
              <w:rPr>
                <w:rFonts w:asciiTheme="minorEastAsia" w:eastAsiaTheme="minorEastAsia" w:hAnsiTheme="minorEastAsia" w:cstheme="minorEastAsia"/>
                <w:b/>
                <w:sz w:val="24"/>
                <w:szCs w:val="24"/>
                <w:lang w:val="zh-CN"/>
              </w:rPr>
            </w:pPr>
            <w:r>
              <w:rPr>
                <w:rFonts w:asciiTheme="minorEastAsia" w:eastAsiaTheme="minorEastAsia" w:hAnsiTheme="minorEastAsia" w:cstheme="minorEastAsia" w:hint="eastAsia"/>
                <w:b/>
                <w:sz w:val="24"/>
                <w:szCs w:val="24"/>
                <w:lang w:val="zh-CN"/>
              </w:rPr>
              <w:t>总价</w:t>
            </w:r>
          </w:p>
        </w:tc>
        <w:tc>
          <w:tcPr>
            <w:tcW w:w="76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06F22" w:rsidRDefault="00F06F22" w:rsidP="00044B4C">
            <w:pPr>
              <w:autoSpaceDE w:val="0"/>
              <w:autoSpaceDN w:val="0"/>
              <w:adjustRightInd w:val="0"/>
              <w:spacing w:line="360" w:lineRule="auto"/>
              <w:ind w:left="120" w:hanging="120"/>
              <w:jc w:val="center"/>
              <w:rPr>
                <w:rFonts w:asciiTheme="minorEastAsia" w:eastAsiaTheme="minorEastAsia" w:hAnsiTheme="minorEastAsia" w:cstheme="minorEastAsia"/>
                <w:b/>
                <w:sz w:val="24"/>
                <w:szCs w:val="24"/>
                <w:lang w:val="zh-CN"/>
              </w:rPr>
            </w:pPr>
            <w:r>
              <w:rPr>
                <w:rFonts w:asciiTheme="minorEastAsia" w:eastAsiaTheme="minorEastAsia" w:hAnsiTheme="minorEastAsia" w:cstheme="minorEastAsia" w:hint="eastAsia"/>
                <w:b/>
                <w:sz w:val="24"/>
                <w:szCs w:val="24"/>
                <w:lang w:val="zh-CN"/>
              </w:rPr>
              <w:t>厂家</w:t>
            </w:r>
          </w:p>
        </w:tc>
      </w:tr>
      <w:tr w:rsidR="00F06F22" w:rsidTr="00044B4C">
        <w:trPr>
          <w:trHeight w:val="851"/>
        </w:trPr>
        <w:tc>
          <w:tcPr>
            <w:tcW w:w="389"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4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w:t>
            </w:r>
          </w:p>
        </w:tc>
        <w:tc>
          <w:tcPr>
            <w:tcW w:w="805"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气相色谱仪</w:t>
            </w:r>
          </w:p>
        </w:tc>
        <w:tc>
          <w:tcPr>
            <w:tcW w:w="913"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安捷伦8890</w:t>
            </w:r>
          </w:p>
        </w:tc>
        <w:tc>
          <w:tcPr>
            <w:tcW w:w="6491"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
                <w:sz w:val="24"/>
                <w:szCs w:val="24"/>
              </w:rPr>
              <w:t>1 技术指标</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色谱性能：保留时间重现性&lt;0.008%或0.0008min，峰面积重现性&lt;0.5% RSD。</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
                <w:sz w:val="24"/>
                <w:szCs w:val="24"/>
              </w:rPr>
              <w:t>1.1 主机</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1.1.1 电子气路控制：所有流量、压力均可以电子控制，以提高重现性。</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1.1.2 压力设定值和控制精度：0.001psi</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1.1.3 电容式触摸屏界面可实时访问仪器状态、配置和流路</w:t>
            </w:r>
            <w:r>
              <w:rPr>
                <w:rFonts w:asciiTheme="minorEastAsia" w:eastAsiaTheme="minorEastAsia" w:hAnsiTheme="minorEastAsia" w:cstheme="minorEastAsia" w:hint="eastAsia"/>
                <w:sz w:val="24"/>
                <w:szCs w:val="24"/>
              </w:rPr>
              <w:lastRenderedPageBreak/>
              <w:t>信息。浏览器界面是智能移动访问功能使用最广泛的界面，适用于平板电脑或台式计算机。</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▲1.1.4 程序升压/升流：3阶</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1.1.5 对毛细管柱的EPC支持4种色谱柱流量控制模块：恒定压力、梯度压力、恒定流速、梯度流速</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1.1.6 大气压和温度补偿为标配，因此即使实验室环境改变，分析结果也保持不变</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
                <w:sz w:val="24"/>
                <w:szCs w:val="24"/>
              </w:rPr>
              <w:t>1.2 柱温箱</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1.2.1 温度范围：室温以上4 ℃~450 ℃</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▲1.2.2 温度设定精度：0.1 ℃</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1.2.3 最高升温速率：120 ℃/min</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1.2.4 最长运行时间：999.99 min</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1.2.5 程序升温阶数：20，可设定降温速率</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lastRenderedPageBreak/>
              <w:t>1.2.6 环境温度敏感度：当环境温度变化1 ℃时，柱温箱温度变化&lt; 0.01 ℃</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▲1.2.7 降温速率：从450 ℃降至50 ℃，4.0 min（22 ℃室温下）</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
                <w:sz w:val="24"/>
                <w:szCs w:val="24"/>
              </w:rPr>
              <w:t>1.3 毛细柱分流/不分流进样口</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1.3.1 适用于所有毛细管色谱柱（内径50 μm至530 μm）</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▲1.3.2 分流比最高7500:1</w:t>
            </w:r>
          </w:p>
          <w:p w:rsidR="00F06F22" w:rsidRDefault="00F06F22" w:rsidP="00044B4C">
            <w:pPr>
              <w:spacing w:line="360" w:lineRule="auto"/>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1.3.3 最高温度：400 ℃</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电子参数设定压力，流速和分流比</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▲1.3.4 压力设定范围： 0~150 psi</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1.3.5 载气节省模式有利于减少气体消耗量，且不影响其分析性能</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1.3.6 电子隔垫吹扫流量控制可消除鬼峰</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lastRenderedPageBreak/>
              <w:t>1.3.7 总流速设定范围：0~500 mL/min N2，0~1250 mL/min H2或He，0~200 mL/min氩气/甲烷</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1.3.8 扳转式顶盖进样口密封系统作为标配内置于进样口中，有助于快速、轻松地更换进样器衬管</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
                <w:bCs/>
                <w:sz w:val="24"/>
                <w:szCs w:val="24"/>
              </w:rPr>
              <w:t>1.4 自动液体进样器</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Cs/>
                <w:sz w:val="24"/>
                <w:szCs w:val="24"/>
              </w:rPr>
              <w:t>1.4.1  进样位数：166位（150大盘+16位小盘）</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Cs/>
                <w:sz w:val="24"/>
                <w:szCs w:val="24"/>
              </w:rPr>
              <w:t>1.4.</w:t>
            </w:r>
            <w:r>
              <w:rPr>
                <w:rFonts w:asciiTheme="minorEastAsia" w:eastAsiaTheme="minorEastAsia" w:hAnsiTheme="minorEastAsia" w:cstheme="minorEastAsia" w:hint="eastAsia"/>
                <w:sz w:val="24"/>
                <w:szCs w:val="24"/>
              </w:rPr>
              <w:t>2  进样速度：&lt;0.1s</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Cs/>
                <w:sz w:val="24"/>
                <w:szCs w:val="24"/>
              </w:rPr>
              <w:t>1.4.</w:t>
            </w:r>
            <w:r>
              <w:rPr>
                <w:rFonts w:asciiTheme="minorEastAsia" w:eastAsiaTheme="minorEastAsia" w:hAnsiTheme="minorEastAsia" w:cstheme="minorEastAsia" w:hint="eastAsia"/>
                <w:sz w:val="24"/>
                <w:szCs w:val="24"/>
              </w:rPr>
              <w:t>3  进样量范围：0.1 – 50µl，按1%进样针体积可调</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Cs/>
                <w:sz w:val="24"/>
                <w:szCs w:val="24"/>
              </w:rPr>
              <w:t>1.4.</w:t>
            </w:r>
            <w:r>
              <w:rPr>
                <w:rFonts w:asciiTheme="minorEastAsia" w:eastAsiaTheme="minorEastAsia" w:hAnsiTheme="minorEastAsia" w:cstheme="minorEastAsia" w:hint="eastAsia"/>
                <w:sz w:val="24"/>
                <w:szCs w:val="24"/>
              </w:rPr>
              <w:t>4  具有重叠进样的功能</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Cs/>
                <w:sz w:val="24"/>
                <w:szCs w:val="24"/>
              </w:rPr>
              <w:t>1.4.</w:t>
            </w:r>
            <w:r>
              <w:rPr>
                <w:rFonts w:asciiTheme="minorEastAsia" w:eastAsiaTheme="minorEastAsia" w:hAnsiTheme="minorEastAsia" w:cstheme="minorEastAsia" w:hint="eastAsia"/>
                <w:sz w:val="24"/>
                <w:szCs w:val="24"/>
              </w:rPr>
              <w:t>5  具备双塔同时进样升级空间</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bCs/>
                <w:sz w:val="24"/>
                <w:szCs w:val="24"/>
              </w:rPr>
              <w:t>1.4.</w:t>
            </w:r>
            <w:r>
              <w:rPr>
                <w:rFonts w:asciiTheme="minorEastAsia" w:eastAsiaTheme="minorEastAsia" w:hAnsiTheme="minorEastAsia" w:cstheme="minorEastAsia" w:hint="eastAsia"/>
                <w:sz w:val="24"/>
                <w:szCs w:val="24"/>
              </w:rPr>
              <w:t>6  进样精度：RSD&lt;0.25%</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
                <w:sz w:val="24"/>
                <w:szCs w:val="24"/>
              </w:rPr>
              <w:t>1.5 氮磷检测器(NPD)</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1.5.1 含氮或含磷化合物专用检测器</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lastRenderedPageBreak/>
              <w:t>1.5.2 采用Blos（玻璃）珠，能够使寿命更长，在铷珠的使用寿命期限内操作更稳定</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▲1.5.3 最低检测限：&lt; 0.08 pg N/s，&lt; 0.01 pg P/s，用Blos（玻璃）铷珠和偶氮苯/马拉硫磷/十八烷混合物进行样品测定</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1.5.4 动态范围：&gt; 10</w:t>
            </w:r>
            <w:r>
              <w:rPr>
                <w:rFonts w:asciiTheme="minorEastAsia" w:eastAsiaTheme="minorEastAsia" w:hAnsiTheme="minorEastAsia" w:cstheme="minorEastAsia" w:hint="eastAsia"/>
                <w:sz w:val="24"/>
                <w:szCs w:val="24"/>
                <w:vertAlign w:val="superscript"/>
              </w:rPr>
              <w:t>5</w:t>
            </w:r>
            <w:r>
              <w:rPr>
                <w:rFonts w:asciiTheme="minorEastAsia" w:eastAsiaTheme="minorEastAsia" w:hAnsiTheme="minorEastAsia" w:cstheme="minorEastAsia" w:hint="eastAsia"/>
                <w:sz w:val="24"/>
                <w:szCs w:val="24"/>
              </w:rPr>
              <w:t xml:space="preserve"> N，&gt; 10</w:t>
            </w:r>
            <w:r>
              <w:rPr>
                <w:rFonts w:asciiTheme="minorEastAsia" w:eastAsiaTheme="minorEastAsia" w:hAnsiTheme="minorEastAsia" w:cstheme="minorEastAsia" w:hint="eastAsia"/>
                <w:sz w:val="24"/>
                <w:szCs w:val="24"/>
                <w:vertAlign w:val="superscript"/>
              </w:rPr>
              <w:t>5</w:t>
            </w:r>
            <w:r>
              <w:rPr>
                <w:rFonts w:asciiTheme="minorEastAsia" w:eastAsiaTheme="minorEastAsia" w:hAnsiTheme="minorEastAsia" w:cstheme="minorEastAsia" w:hint="eastAsia"/>
                <w:sz w:val="24"/>
                <w:szCs w:val="24"/>
              </w:rPr>
              <w:t xml:space="preserve"> P，用偶氮苯/马拉硫磷混合物进行样品测定</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1.5.5 选择性：25000 - 1 g N/g C，200000到1 g P/g C，采用偶氮苯/马拉硫磷/十八烷混合物样品测定</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1.5.6 数据采集速率：不低于1000 Hz</w:t>
            </w:r>
          </w:p>
          <w:p w:rsidR="00F06F22" w:rsidRDefault="00F06F22" w:rsidP="00044B4C">
            <w:pPr>
              <w:spacing w:line="360" w:lineRule="auto"/>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1.5.7 三种气体的标准EPC：</w:t>
            </w:r>
          </w:p>
          <w:p w:rsidR="00F06F22" w:rsidRDefault="00F06F22" w:rsidP="00044B4C">
            <w:pPr>
              <w:spacing w:line="360" w:lineRule="auto"/>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-空气：0~200 mL/min</w:t>
            </w:r>
          </w:p>
          <w:p w:rsidR="00F06F22" w:rsidRDefault="00F06F22" w:rsidP="00044B4C">
            <w:pPr>
              <w:spacing w:line="360" w:lineRule="auto"/>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-H2：0~30 mL/min</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lastRenderedPageBreak/>
              <w:t>-尾吹气：0~100 mL/min</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1.5.8 仅适用于毛细管色谱柱，带接头</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1.5.9 最高使用温度：400 ℃</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
                <w:sz w:val="24"/>
                <w:szCs w:val="24"/>
              </w:rPr>
              <w:t>1.6 热导检测器（TCD）</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1.6.1 热导检测器（TCD），是通用型检测器，除载气外，对所有的化合物都有响应</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▲1.6.2 最低检测限：400pg丙烷/mL，以氦作载气</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1.6.3 线性动态范围：&gt; 10</w:t>
            </w:r>
            <w:r>
              <w:rPr>
                <w:rFonts w:asciiTheme="minorEastAsia" w:eastAsiaTheme="minorEastAsia" w:hAnsiTheme="minorEastAsia" w:cstheme="minorEastAsia" w:hint="eastAsia"/>
                <w:sz w:val="24"/>
                <w:szCs w:val="24"/>
                <w:vertAlign w:val="superscript"/>
              </w:rPr>
              <w:t>5</w:t>
            </w:r>
            <w:r>
              <w:rPr>
                <w:rFonts w:asciiTheme="minorEastAsia" w:eastAsiaTheme="minorEastAsia" w:hAnsiTheme="minorEastAsia" w:cstheme="minorEastAsia" w:hint="eastAsia"/>
                <w:sz w:val="24"/>
                <w:szCs w:val="24"/>
              </w:rPr>
              <w:t xml:space="preserve"> ± 10%</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1.6.4 独特的流体切换设计，提供了开机后快速稳定、低漂移的性能</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1.6.5 对于热导率高于载气的组分，可在运行时对信号极性重新编程</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1.6.6 最高操作温度：400 ℃</w:t>
            </w:r>
          </w:p>
          <w:p w:rsidR="00F06F22" w:rsidRDefault="00F06F22" w:rsidP="00044B4C">
            <w:pPr>
              <w:spacing w:line="360" w:lineRule="auto"/>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1.6.7 用于两类气体（与载气类型匹配的氦，氢，氩或氮）的标准EPC</w:t>
            </w:r>
          </w:p>
          <w:p w:rsidR="00F06F22" w:rsidRDefault="00F06F22" w:rsidP="00044B4C">
            <w:pPr>
              <w:spacing w:line="360" w:lineRule="auto"/>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尾吹气：0~12 mL/min</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参比气：0~100 mL/min</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2自动顶空进样器：</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▲2.1样品通路全部为惰性硅钢，加热平台的温度可达280℃；</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▲2.2   111个样品位以上，12个加热位以上；</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2.3  0.123英寸±0.002英寸外径x12英寸长x0.010英寸壁厚不锈钢吸附阱，符合US EPA 规定的标准</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2.4 硅钢管路。整个样品通路控制在280℃，±1℃</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2.5 与实际上所有商业使用的GC仪表接口。通过软件可选的GC输入／输出板，提供或者接收GC和数据系统起动／就绪</w:t>
            </w:r>
            <w:r>
              <w:rPr>
                <w:rFonts w:asciiTheme="minorEastAsia" w:eastAsiaTheme="minorEastAsia" w:hAnsiTheme="minorEastAsia" w:cstheme="minorEastAsia" w:hint="eastAsia"/>
                <w:sz w:val="24"/>
                <w:szCs w:val="24"/>
              </w:rPr>
              <w:lastRenderedPageBreak/>
              <w:t>信号</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2.6  电压要求：220／240伏交流，±5％，50／60赫兹，5安培</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2.7  环境条件：能够在实验室温度为10－30℃和湿度为10－90％的条件下工作，前盖对PH值为1－10的含水样品具有耐腐蚀能力</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2.8  与同品牌气相色谱相连，实现自动化顶空-气相色谱分析。</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3化学工作站</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3.1全中文操作软件及在线帮助软件。另，如果用户需要，也可提供英文如见及数据分析平台，更便于发表文章。</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3.2软件能够仪器控制，数据采集，数据分析，可进行色谱操作定性，定量分析</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lastRenderedPageBreak/>
              <w:t>3.3报告：内置多种报告格式，可自动生成系统适应性报告、峰纯度报告、光谱检索报告等；用户也可编辑个性化的报告模板</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4附件配置</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4.1  2ml样品瓶   500个</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4.2  柱接头   4个</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4.3  石墨密封垫  20个</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4.4  备用10ul自动进样针  12个</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4.5安装管线和工具包    1个</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4.6备用进样隔垫    200个</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4.7脱氧、脱水、脱烃符合补集阱  1</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4.8 DB-1701UI，30m，0.32mm超高惰性氮磷分析柱 1</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4.9  HP-5，30m，0.32mm通用色谱分析柱 1</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lastRenderedPageBreak/>
              <w:t>4.10  DB-FFAP，30m，0.32mm水、极性色谱分析柱1根</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4.11   20ml顶空瓶   300个</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4.12  顶空瓶盖带垫   500个</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4.13氢气发生器、空气发生器，氮气发生器各1</w:t>
            </w:r>
          </w:p>
          <w:p w:rsidR="00F06F22" w:rsidRDefault="00F06F22" w:rsidP="00044B4C">
            <w:pPr>
              <w:rPr>
                <w:rFonts w:asciiTheme="minorEastAsia" w:eastAsiaTheme="minorEastAsia" w:hAnsiTheme="minorEastAsia" w:cstheme="minorEastAsia"/>
                <w:color w:val="auto"/>
                <w:kern w:val="2"/>
                <w:sz w:val="24"/>
                <w:szCs w:val="24"/>
              </w:rPr>
            </w:pPr>
            <w:r>
              <w:rPr>
                <w:rFonts w:asciiTheme="minorEastAsia" w:eastAsiaTheme="minorEastAsia" w:hAnsiTheme="minorEastAsia" w:cstheme="minorEastAsia" w:hint="eastAsia"/>
                <w:color w:val="auto"/>
                <w:sz w:val="24"/>
                <w:szCs w:val="24"/>
              </w:rPr>
              <w:t>4.13 台式电脑：品牌:联想；型号：启天M420 （配置：CPUi5、8G内存、1T+256固态硬盘、22英寸彩色液晶显示器、WinXP/7 ），A4激光打印机1台：品牌：惠普；型号： LaserJet Pro M1136 MFP。</w:t>
            </w:r>
          </w:p>
          <w:p w:rsidR="00F06F22" w:rsidRDefault="00F06F22" w:rsidP="00044B4C">
            <w:pPr>
              <w:autoSpaceDE w:val="0"/>
              <w:autoSpaceDN w:val="0"/>
              <w:adjustRightInd w:val="0"/>
              <w:spacing w:line="360" w:lineRule="auto"/>
              <w:rPr>
                <w:rFonts w:asciiTheme="minorEastAsia" w:eastAsiaTheme="minorEastAsia" w:hAnsiTheme="minorEastAsia" w:cstheme="minorEastAsia"/>
                <w:sz w:val="24"/>
                <w:szCs w:val="24"/>
              </w:rPr>
            </w:pPr>
          </w:p>
        </w:tc>
        <w:tc>
          <w:tcPr>
            <w:tcW w:w="559"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台</w:t>
            </w:r>
          </w:p>
        </w:tc>
        <w:tc>
          <w:tcPr>
            <w:tcW w:w="518"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w:t>
            </w:r>
          </w:p>
        </w:tc>
        <w:tc>
          <w:tcPr>
            <w:tcW w:w="1296"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495000.00</w:t>
            </w:r>
          </w:p>
        </w:tc>
        <w:tc>
          <w:tcPr>
            <w:tcW w:w="1568"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495000.00</w:t>
            </w:r>
          </w:p>
        </w:tc>
        <w:tc>
          <w:tcPr>
            <w:tcW w:w="764"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安捷伦科技有限公司</w:t>
            </w:r>
          </w:p>
        </w:tc>
      </w:tr>
      <w:tr w:rsidR="00F06F22" w:rsidTr="00044B4C">
        <w:trPr>
          <w:trHeight w:val="851"/>
        </w:trPr>
        <w:tc>
          <w:tcPr>
            <w:tcW w:w="389"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4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2</w:t>
            </w:r>
          </w:p>
        </w:tc>
        <w:tc>
          <w:tcPr>
            <w:tcW w:w="805"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多维气相色谱仪</w:t>
            </w:r>
          </w:p>
        </w:tc>
        <w:tc>
          <w:tcPr>
            <w:tcW w:w="913"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安捷伦8890</w:t>
            </w:r>
          </w:p>
        </w:tc>
        <w:tc>
          <w:tcPr>
            <w:tcW w:w="6491"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pStyle w:val="a7"/>
              <w:numPr>
                <w:ilvl w:val="0"/>
                <w:numId w:val="1"/>
              </w:numPr>
              <w:spacing w:line="360" w:lineRule="auto"/>
              <w:ind w:firstLineChars="0"/>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
                <w:sz w:val="24"/>
                <w:szCs w:val="24"/>
              </w:rPr>
              <w:t>技术指标</w:t>
            </w:r>
          </w:p>
          <w:p w:rsidR="00F06F22" w:rsidRDefault="00F06F22" w:rsidP="00044B4C">
            <w:pPr>
              <w:pStyle w:val="a7"/>
              <w:spacing w:line="360" w:lineRule="auto"/>
              <w:ind w:firstLineChars="0" w:firstLine="0"/>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色谱性能：保留时间重现性&lt;0.008%或0.0008min，峰面积重现性&lt;0.5% RSD。</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
                <w:sz w:val="24"/>
                <w:szCs w:val="24"/>
              </w:rPr>
              <w:t>1.1 主机</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1.1.1 电子气路控制：所有流量、压力均可以电子控制，以</w:t>
            </w:r>
            <w:r>
              <w:rPr>
                <w:rFonts w:asciiTheme="minorEastAsia" w:eastAsiaTheme="minorEastAsia" w:hAnsiTheme="minorEastAsia" w:cstheme="minorEastAsia" w:hint="eastAsia"/>
                <w:sz w:val="24"/>
                <w:szCs w:val="24"/>
              </w:rPr>
              <w:lastRenderedPageBreak/>
              <w:t>提高重现性。</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1.1.2 压力设定值和控制精度：0.001psi</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1.1.3 电容式触摸屏界面可实时访问仪器状态、配置和流路信息。浏览器界面是智能移动访问功能使用最广泛的界面，适用于平板电脑或台式计算机。</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1.1.4 程序升压/升流：3阶</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1.1.5 对毛细管柱的EPC支持4种色谱柱流量控制模块：恒定压力、梯度压力、恒定流速、梯度流速</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1.1.6 大气压和温度补偿为标配，因此即使实验室环境改变，分析结果也保持不变</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
                <w:sz w:val="24"/>
                <w:szCs w:val="24"/>
              </w:rPr>
              <w:t>1.2 柱温箱</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1.2.1 温度范围：室温以上4 ℃~450 ℃</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1.2.2 温度设定精度：0.1 ℃</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lastRenderedPageBreak/>
              <w:t>1.2.3 最高升温速率：120 ℃/min</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1.2.4 最长运行时间：999.99 min</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1.2.5 程序升温阶数：20</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1.2.6 环境温度敏感度：当环境温度变化1 ℃时，柱温箱温度变化&lt; 0.01 ℃</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▲1.2.7 降温速率：从450 ℃降至50 ℃，4 min（22 ℃室温下）</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
                <w:sz w:val="24"/>
                <w:szCs w:val="24"/>
              </w:rPr>
              <w:t>1.3 隔膜吹扫填充柱进样口</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1.3.1 直接进样到填充和宽径毛细管柱中</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▲1.3.2 电子流量/压力控制：可选择的压力范围为0 到150 psig，流量范围从0.0 到200.0 mL/min。选择范围以获得优于常规填充柱设定值范围的最佳性能。</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1.3.3电子隔垫吹扫流量控制</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lastRenderedPageBreak/>
              <w:t>1.3.4 最高使用温度：400 ℃</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1.3.5 适配接头可用于和1/8英寸填充柱和0.530 mm毛细管柱</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
                <w:sz w:val="24"/>
                <w:szCs w:val="24"/>
              </w:rPr>
              <w:t>1.4多维色谱控制单元</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1.4.1两个控温模块完全独立控制，全部置于阀箱，不能外挂。</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1.4.2 独特的双柱、双阀烃组成分析多维辅助系统有机集成在气相色谱平台之上，并通过色谱工作站实现集成控制，采用石油化工科学研究院开发的专利烯烃捕集柱和计算软件结合多维色谱控制系统在15分钟内实现样品中饱和烃、烯烃、芳烃和苯的分离，其分析的时间只有传统方法（GB/T 11132）的十分之一，有利于用户的质量控制和装置的平稳运行。高性能的可逆性烯烃捕集阱可在高纯氮气载气下使用并具有超</w:t>
            </w:r>
            <w:r>
              <w:rPr>
                <w:rFonts w:asciiTheme="minorEastAsia" w:eastAsiaTheme="minorEastAsia" w:hAnsiTheme="minorEastAsia" w:cstheme="minorEastAsia" w:hint="eastAsia"/>
                <w:sz w:val="24"/>
                <w:szCs w:val="24"/>
              </w:rPr>
              <w:lastRenderedPageBreak/>
              <w:t>长的使用寿命，使用户的分析成本大幅度降低。</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1.4.3 所有配置在原厂安装完毕。</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
                <w:bCs/>
                <w:sz w:val="24"/>
                <w:szCs w:val="24"/>
              </w:rPr>
              <w:t>1.5 自动液体进样器</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Cs/>
                <w:sz w:val="24"/>
                <w:szCs w:val="24"/>
              </w:rPr>
              <w:t>1.5.1 进样位数：不低于166位（150位大盘+16位小盘）</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Cs/>
                <w:sz w:val="24"/>
                <w:szCs w:val="24"/>
              </w:rPr>
              <w:t>1.5</w:t>
            </w:r>
            <w:r>
              <w:rPr>
                <w:rFonts w:asciiTheme="minorEastAsia" w:eastAsiaTheme="minorEastAsia" w:hAnsiTheme="minorEastAsia" w:cstheme="minorEastAsia" w:hint="eastAsia"/>
                <w:sz w:val="24"/>
                <w:szCs w:val="24"/>
              </w:rPr>
              <w:t>.2  进样速度：&lt;0.1s</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Cs/>
                <w:sz w:val="24"/>
                <w:szCs w:val="24"/>
              </w:rPr>
              <w:t>1.5</w:t>
            </w:r>
            <w:r>
              <w:rPr>
                <w:rFonts w:asciiTheme="minorEastAsia" w:eastAsiaTheme="minorEastAsia" w:hAnsiTheme="minorEastAsia" w:cstheme="minorEastAsia" w:hint="eastAsia"/>
                <w:sz w:val="24"/>
                <w:szCs w:val="24"/>
              </w:rPr>
              <w:t>.3  进样量范围：0.1 – 50µl，按1%进样针体积可调</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Cs/>
                <w:sz w:val="24"/>
                <w:szCs w:val="24"/>
              </w:rPr>
              <w:t>1.5</w:t>
            </w:r>
            <w:r>
              <w:rPr>
                <w:rFonts w:asciiTheme="minorEastAsia" w:eastAsiaTheme="minorEastAsia" w:hAnsiTheme="minorEastAsia" w:cstheme="minorEastAsia" w:hint="eastAsia"/>
                <w:sz w:val="24"/>
                <w:szCs w:val="24"/>
              </w:rPr>
              <w:t>.4  具有重叠进样的功能</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Cs/>
                <w:sz w:val="24"/>
                <w:szCs w:val="24"/>
              </w:rPr>
              <w:t>1.5</w:t>
            </w:r>
            <w:r>
              <w:rPr>
                <w:rFonts w:asciiTheme="minorEastAsia" w:eastAsiaTheme="minorEastAsia" w:hAnsiTheme="minorEastAsia" w:cstheme="minorEastAsia" w:hint="eastAsia"/>
                <w:sz w:val="24"/>
                <w:szCs w:val="24"/>
              </w:rPr>
              <w:t>.5  具备双塔同时进样升级空间</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Cs/>
                <w:sz w:val="24"/>
                <w:szCs w:val="24"/>
              </w:rPr>
              <w:t>1.5</w:t>
            </w:r>
            <w:r>
              <w:rPr>
                <w:rFonts w:asciiTheme="minorEastAsia" w:eastAsiaTheme="minorEastAsia" w:hAnsiTheme="minorEastAsia" w:cstheme="minorEastAsia" w:hint="eastAsia"/>
                <w:sz w:val="24"/>
                <w:szCs w:val="24"/>
              </w:rPr>
              <w:t>.6  进样精度：RSD&lt;0.25%</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
                <w:sz w:val="24"/>
                <w:szCs w:val="24"/>
              </w:rPr>
              <w:t>1.6 火焰离子化检测器</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▲1.6.1 最高操作温度：450 ℃</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1.6.2 熄火检测和自动重新点火</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1.6.3 最低检测限：&lt;1.2 pg C/s（十三烷）</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lastRenderedPageBreak/>
              <w:t>1.6.4 线性范围：&gt;10</w:t>
            </w:r>
            <w:r>
              <w:rPr>
                <w:rFonts w:asciiTheme="minorEastAsia" w:eastAsiaTheme="minorEastAsia" w:hAnsiTheme="minorEastAsia" w:cstheme="minorEastAsia" w:hint="eastAsia"/>
                <w:sz w:val="24"/>
                <w:szCs w:val="24"/>
                <w:vertAlign w:val="superscript"/>
              </w:rPr>
              <w:t>7</w:t>
            </w:r>
            <w:r>
              <w:rPr>
                <w:rFonts w:asciiTheme="minorEastAsia" w:eastAsiaTheme="minorEastAsia" w:hAnsiTheme="minorEastAsia" w:cstheme="minorEastAsia" w:hint="eastAsia"/>
                <w:sz w:val="24"/>
                <w:szCs w:val="24"/>
              </w:rPr>
              <w:t>（±10%）</w:t>
            </w:r>
          </w:p>
          <w:p w:rsidR="00F06F22" w:rsidRDefault="00F06F22" w:rsidP="00044B4C">
            <w:pPr>
              <w:spacing w:line="360" w:lineRule="auto"/>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1.6.5 标准的EPC用于三种气体：</w:t>
            </w:r>
          </w:p>
          <w:p w:rsidR="00F06F22" w:rsidRDefault="00F06F22" w:rsidP="00044B4C">
            <w:pPr>
              <w:spacing w:line="360" w:lineRule="auto"/>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-空气：0~800 mL/min</w:t>
            </w:r>
          </w:p>
          <w:p w:rsidR="00F06F22" w:rsidRDefault="00F06F22" w:rsidP="00044B4C">
            <w:pPr>
              <w:spacing w:line="360" w:lineRule="auto"/>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-H2：0~100 mL/min</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-尾吹气：（N2或He）0~100 mL/min</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b/>
                <w:sz w:val="24"/>
                <w:szCs w:val="24"/>
              </w:rPr>
              <w:t>2化学工作站</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2.1全中文操作软件及在线帮助软件。</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2.2软件能够仪器控制，数据采集，数据分析，可进行色谱操作定性，定量分析</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2.3报告：内置多种报告格式，可自动生成系统适应性报告、峰纯度报告、光谱检索报告等；用户也可编辑个性化的报告模板</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3附件配置</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lastRenderedPageBreak/>
              <w:t>3.1   2ml样品瓶  500个</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3.2   专用信号电缆   1</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3.3   石墨转换接头  10个</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3.4  备用10ul自动进样针  12个</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3.5  安装管线和工具包  1个</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3.6  备用进样隔垫   200个</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3.7  脱氧、脱水、脱烃符合补集阱   1</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3.8  BCEF极性分析柱   1根</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3.9  可逆烯烃捕集阱  2</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3.10  专用分析软件  1</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3.11  载气脱氧组件  1</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3.12  载气净化组件  1</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3.13  专用微量进样器  2</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lastRenderedPageBreak/>
              <w:t>3.14  质控样    4</w:t>
            </w:r>
          </w:p>
          <w:p w:rsidR="00F06F22" w:rsidRDefault="00F06F22" w:rsidP="00044B4C">
            <w:pPr>
              <w:spacing w:line="360" w:lineRule="auto"/>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sz w:val="24"/>
                <w:szCs w:val="24"/>
              </w:rPr>
              <w:t>3.15氢气发生器、空气发生器，氮气发生器各1</w:t>
            </w:r>
          </w:p>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auto"/>
                <w:sz w:val="24"/>
                <w:szCs w:val="24"/>
              </w:rPr>
              <w:t>3.16 台式电脑：品牌:联想；型号：启天M420     （配置：CPUi5、8G内存、1T+256固态硬盘、22英寸彩色液晶显示器、WinXP/7 ），A4激光打印机1台：品牌：惠普；型号： LaserJet Pro M1136 MFP。</w:t>
            </w:r>
          </w:p>
        </w:tc>
        <w:tc>
          <w:tcPr>
            <w:tcW w:w="559"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台</w:t>
            </w:r>
          </w:p>
        </w:tc>
        <w:tc>
          <w:tcPr>
            <w:tcW w:w="518"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w:t>
            </w:r>
          </w:p>
        </w:tc>
        <w:tc>
          <w:tcPr>
            <w:tcW w:w="1296"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600000.00</w:t>
            </w:r>
          </w:p>
        </w:tc>
        <w:tc>
          <w:tcPr>
            <w:tcW w:w="1568"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600000.00</w:t>
            </w:r>
          </w:p>
        </w:tc>
        <w:tc>
          <w:tcPr>
            <w:tcW w:w="764" w:type="dxa"/>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安捷伦科技有限公司</w:t>
            </w:r>
          </w:p>
        </w:tc>
      </w:tr>
      <w:tr w:rsidR="00F06F22" w:rsidTr="00044B4C">
        <w:trPr>
          <w:trHeight w:val="536"/>
        </w:trPr>
        <w:tc>
          <w:tcPr>
            <w:tcW w:w="1194" w:type="dxa"/>
            <w:gridSpan w:val="2"/>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val="zh-CN"/>
              </w:rPr>
              <w:lastRenderedPageBreak/>
              <w:t>合计</w:t>
            </w:r>
          </w:p>
        </w:tc>
        <w:tc>
          <w:tcPr>
            <w:tcW w:w="12109" w:type="dxa"/>
            <w:gridSpan w:val="7"/>
            <w:tcBorders>
              <w:top w:val="single" w:sz="6" w:space="0" w:color="auto"/>
              <w:left w:val="single" w:sz="6" w:space="0" w:color="auto"/>
              <w:bottom w:val="single" w:sz="6" w:space="0" w:color="auto"/>
              <w:right w:val="single" w:sz="6" w:space="0" w:color="auto"/>
            </w:tcBorders>
            <w:vAlign w:val="center"/>
          </w:tcPr>
          <w:p w:rsidR="00F06F22" w:rsidRDefault="00F06F22" w:rsidP="00044B4C">
            <w:pPr>
              <w:autoSpaceDE w:val="0"/>
              <w:autoSpaceDN w:val="0"/>
              <w:adjustRightInd w:val="0"/>
              <w:spacing w:line="360" w:lineRule="auto"/>
              <w:ind w:firstLineChars="50" w:firstLine="12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val="zh-CN"/>
              </w:rPr>
              <w:t>大写：壹佰零玖万伍仟元整　　小写：1095000</w:t>
            </w:r>
            <w:r>
              <w:rPr>
                <w:rFonts w:asciiTheme="minorEastAsia" w:eastAsiaTheme="minorEastAsia" w:hAnsiTheme="minorEastAsia" w:cstheme="minorEastAsia" w:hint="eastAsia"/>
                <w:sz w:val="24"/>
                <w:szCs w:val="24"/>
              </w:rPr>
              <w:t>.00</w:t>
            </w:r>
          </w:p>
        </w:tc>
      </w:tr>
    </w:tbl>
    <w:p w:rsidR="00F06F22" w:rsidRDefault="00F06F22" w:rsidP="00F06F22">
      <w:pPr>
        <w:autoSpaceDE w:val="0"/>
        <w:autoSpaceDN w:val="0"/>
        <w:adjustRightInd w:val="0"/>
        <w:spacing w:line="480" w:lineRule="auto"/>
        <w:rPr>
          <w:rFonts w:asciiTheme="minorEastAsia" w:eastAsiaTheme="minorEastAsia" w:hAnsiTheme="minorEastAsia" w:cstheme="minorEastAsia"/>
          <w:szCs w:val="21"/>
          <w:lang w:val="zh-CN"/>
        </w:rPr>
      </w:pPr>
    </w:p>
    <w:p w:rsidR="00F06F22" w:rsidRDefault="00F06F22" w:rsidP="00F06F22">
      <w:r>
        <w:rPr>
          <w:rFonts w:asciiTheme="minorEastAsia" w:eastAsiaTheme="minorEastAsia" w:hAnsiTheme="minorEastAsia" w:cstheme="minorEastAsia" w:hint="eastAsia"/>
          <w:sz w:val="24"/>
          <w:szCs w:val="24"/>
        </w:rPr>
        <w:t>投标人名称（并加盖公章）：</w:t>
      </w:r>
      <w:r>
        <w:rPr>
          <w:rFonts w:asciiTheme="minorEastAsia" w:eastAsiaTheme="minorEastAsia" w:hAnsiTheme="minorEastAsia" w:cstheme="minorEastAsia" w:hint="eastAsia"/>
          <w:sz w:val="24"/>
          <w:szCs w:val="24"/>
          <w:u w:val="single"/>
        </w:rPr>
        <w:t>河南科盛仪器设备有限公司</w:t>
      </w:r>
    </w:p>
    <w:p w:rsidR="004C4321" w:rsidRPr="00F06F22" w:rsidRDefault="004C4321"/>
    <w:sectPr w:rsidR="004C4321" w:rsidRPr="00F06F22" w:rsidSect="00F06F22">
      <w:pgSz w:w="16838" w:h="11906" w:orient="landscape"/>
      <w:pgMar w:top="1800" w:right="1440" w:bottom="1800" w:left="1440" w:header="851" w:footer="992" w:gutter="0"/>
      <w:cols w:space="425"/>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7CFE" w:rsidRDefault="00817CFE" w:rsidP="000C144E">
      <w:r>
        <w:separator/>
      </w:r>
    </w:p>
  </w:endnote>
  <w:endnote w:type="continuationSeparator" w:id="1">
    <w:p w:rsidR="00817CFE" w:rsidRDefault="00817CFE" w:rsidP="000C14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7CFE" w:rsidRDefault="00817CFE" w:rsidP="000C144E">
      <w:r>
        <w:separator/>
      </w:r>
    </w:p>
  </w:footnote>
  <w:footnote w:type="continuationSeparator" w:id="1">
    <w:p w:rsidR="00817CFE" w:rsidRDefault="00817CFE" w:rsidP="000C14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16492"/>
    <w:multiLevelType w:val="multilevel"/>
    <w:tmpl w:val="1901649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bordersDoNotSurroundHeader/>
  <w:bordersDoNotSurroundFooter/>
  <w:defaultTabStop w:val="420"/>
  <w:drawingGridHorizontalSpacing w:val="150"/>
  <w:drawingGridVerticalSpacing w:val="204"/>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BD74D49"/>
    <w:rsid w:val="000C144E"/>
    <w:rsid w:val="004C4321"/>
    <w:rsid w:val="00817CFE"/>
    <w:rsid w:val="00BF60E9"/>
    <w:rsid w:val="00F06F22"/>
    <w:rsid w:val="00FD2923"/>
    <w:rsid w:val="2BD74D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Message Header"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4C4321"/>
    <w:pPr>
      <w:widowControl w:val="0"/>
      <w:jc w:val="both"/>
    </w:pPr>
    <w:rPr>
      <w:rFonts w:ascii="Times New Roman" w:eastAsia="宋体" w:hAnsi="Times New Roman" w:cs="Times New Roman"/>
      <w:color w:val="000000"/>
      <w:sz w:val="30"/>
      <w:szCs w:val="30"/>
    </w:rPr>
  </w:style>
  <w:style w:type="paragraph" w:styleId="1">
    <w:name w:val="heading 1"/>
    <w:basedOn w:val="a"/>
    <w:next w:val="a"/>
    <w:qFormat/>
    <w:rsid w:val="004C4321"/>
    <w:pPr>
      <w:keepNext/>
      <w:keepLines/>
      <w:spacing w:line="576" w:lineRule="auto"/>
      <w:outlineLvl w:val="0"/>
    </w:pPr>
    <w:rPr>
      <w:b/>
      <w:kern w:val="44"/>
      <w:sz w:val="32"/>
    </w:rPr>
  </w:style>
  <w:style w:type="paragraph" w:styleId="2">
    <w:name w:val="heading 2"/>
    <w:basedOn w:val="a"/>
    <w:next w:val="a"/>
    <w:link w:val="2Char"/>
    <w:semiHidden/>
    <w:unhideWhenUsed/>
    <w:qFormat/>
    <w:rsid w:val="00F06F2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Message Header"/>
    <w:basedOn w:val="a"/>
    <w:next w:val="a4"/>
    <w:qFormat/>
    <w:rsid w:val="004C4321"/>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Cambria" w:hAnsi="Cambria"/>
      <w:sz w:val="24"/>
    </w:rPr>
  </w:style>
  <w:style w:type="paragraph" w:styleId="a4">
    <w:name w:val="Plain Text"/>
    <w:basedOn w:val="a"/>
    <w:qFormat/>
    <w:rsid w:val="004C4321"/>
    <w:rPr>
      <w:rFonts w:ascii="宋体" w:hAnsi="宋体" w:cs="Courier New"/>
      <w:szCs w:val="20"/>
    </w:rPr>
  </w:style>
  <w:style w:type="paragraph" w:styleId="a5">
    <w:name w:val="header"/>
    <w:basedOn w:val="a"/>
    <w:link w:val="Char"/>
    <w:rsid w:val="000C14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0C144E"/>
    <w:rPr>
      <w:rFonts w:ascii="Times New Roman" w:eastAsia="宋体" w:hAnsi="Times New Roman" w:cs="Times New Roman"/>
      <w:color w:val="000000"/>
      <w:sz w:val="18"/>
      <w:szCs w:val="18"/>
    </w:rPr>
  </w:style>
  <w:style w:type="paragraph" w:styleId="a6">
    <w:name w:val="footer"/>
    <w:basedOn w:val="a"/>
    <w:link w:val="Char0"/>
    <w:rsid w:val="000C144E"/>
    <w:pPr>
      <w:tabs>
        <w:tab w:val="center" w:pos="4153"/>
        <w:tab w:val="right" w:pos="8306"/>
      </w:tabs>
      <w:snapToGrid w:val="0"/>
      <w:jc w:val="left"/>
    </w:pPr>
    <w:rPr>
      <w:sz w:val="18"/>
      <w:szCs w:val="18"/>
    </w:rPr>
  </w:style>
  <w:style w:type="character" w:customStyle="1" w:styleId="Char0">
    <w:name w:val="页脚 Char"/>
    <w:basedOn w:val="a1"/>
    <w:link w:val="a6"/>
    <w:rsid w:val="000C144E"/>
    <w:rPr>
      <w:rFonts w:ascii="Times New Roman" w:eastAsia="宋体" w:hAnsi="Times New Roman" w:cs="Times New Roman"/>
      <w:color w:val="000000"/>
      <w:sz w:val="18"/>
      <w:szCs w:val="18"/>
    </w:rPr>
  </w:style>
  <w:style w:type="character" w:customStyle="1" w:styleId="2Char">
    <w:name w:val="标题 2 Char"/>
    <w:basedOn w:val="a1"/>
    <w:link w:val="2"/>
    <w:semiHidden/>
    <w:rsid w:val="00F06F22"/>
    <w:rPr>
      <w:rFonts w:asciiTheme="majorHAnsi" w:eastAsiaTheme="majorEastAsia" w:hAnsiTheme="majorHAnsi" w:cstheme="majorBidi"/>
      <w:b/>
      <w:bCs/>
      <w:color w:val="000000"/>
      <w:sz w:val="32"/>
      <w:szCs w:val="32"/>
    </w:rPr>
  </w:style>
  <w:style w:type="paragraph" w:styleId="a7">
    <w:name w:val="List Paragraph"/>
    <w:basedOn w:val="a"/>
    <w:uiPriority w:val="34"/>
    <w:unhideWhenUsed/>
    <w:qFormat/>
    <w:rsid w:val="00F06F2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715</Words>
  <Characters>4081</Characters>
  <Application>Microsoft Office Word</Application>
  <DocSecurity>0</DocSecurity>
  <Lines>34</Lines>
  <Paragraphs>9</Paragraphs>
  <ScaleCrop>false</ScaleCrop>
  <Company/>
  <LinksUpToDate>false</LinksUpToDate>
  <CharactersWithSpaces>4787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pxw</cp:lastModifiedBy>
  <cp:revision>3</cp:revision>
  <dcterms:created xsi:type="dcterms:W3CDTF">2020-01-15T02:51:00Z</dcterms:created>
  <dcterms:modified xsi:type="dcterms:W3CDTF">2020-01-15T07:40:00Z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