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default" w:ascii="黑体" w:hAnsi="黑体" w:eastAsia="黑体" w:cs="黑体"/>
          <w:b/>
          <w:bCs w:val="0"/>
          <w:w w:val="90"/>
          <w:sz w:val="48"/>
          <w:szCs w:val="48"/>
          <w:lang w:val="en-US" w:eastAsia="zh-CN"/>
        </w:rPr>
      </w:pPr>
      <w:r>
        <w:rPr>
          <w:rFonts w:hint="eastAsia" w:ascii="黑体" w:hAnsi="黑体" w:eastAsia="黑体" w:cs="黑体"/>
          <w:b/>
          <w:bCs w:val="0"/>
          <w:w w:val="90"/>
          <w:sz w:val="48"/>
          <w:szCs w:val="48"/>
          <w:lang w:val="en-US" w:eastAsia="zh-CN"/>
        </w:rPr>
        <w:t>禹州市顺店镇人民政府公务用车采购项目</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YZCG-T2020004</w:t>
      </w:r>
    </w:p>
    <w:p>
      <w:pPr>
        <w:ind w:firstLine="1080" w:firstLineChars="300"/>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w:t>
      </w:r>
      <w:r>
        <w:rPr>
          <w:rFonts w:hint="eastAsia" w:asciiTheme="majorEastAsia" w:hAnsiTheme="majorEastAsia" w:eastAsiaTheme="majorEastAsia" w:cstheme="majorEastAsia"/>
          <w:b w:val="0"/>
          <w:bCs w:val="0"/>
          <w:sz w:val="36"/>
          <w:szCs w:val="36"/>
          <w:lang w:val="en-US" w:eastAsia="zh-CN"/>
        </w:rPr>
        <w:t>顺店镇人民政府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default"/>
          <w:b/>
          <w:bCs/>
          <w:sz w:val="36"/>
          <w:szCs w:val="36"/>
          <w:lang w:val="en-US" w:eastAsia="zh-CN"/>
        </w:rPr>
      </w:pPr>
      <w:r>
        <w:rPr>
          <w:rFonts w:hint="eastAsia"/>
          <w:b/>
          <w:bCs/>
          <w:sz w:val="36"/>
          <w:szCs w:val="36"/>
          <w:lang w:val="en-US" w:eastAsia="zh-CN"/>
        </w:rPr>
        <w:t>禹州市顺店镇人民政府公务用车采购项目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顺店镇人民政府</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禹州市顺店镇人民政府公务用车采购项目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禹州市顺店镇人民政府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禹州市顺店镇人民政府公务用车采购项目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3、采购编号：YZCG-T20</w:t>
      </w:r>
      <w:r>
        <w:rPr>
          <w:rFonts w:hint="eastAsia" w:ascii="新宋体" w:hAnsi="新宋体" w:eastAsia="新宋体" w:cs="新宋体"/>
          <w:sz w:val="24"/>
          <w:szCs w:val="24"/>
          <w:lang w:val="en-US" w:eastAsia="zh-CN"/>
        </w:rPr>
        <w:t>20004</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公务用车两辆</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22</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val="en-US"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罗</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13782282881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13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pStyle w:val="2"/>
        <w:rPr>
          <w:rFonts w:hint="eastAsia"/>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widowControl/>
        <w:spacing w:line="360" w:lineRule="auto"/>
        <w:ind w:firstLine="960" w:firstLineChars="400"/>
        <w:jc w:val="both"/>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lang w:val="en-US" w:eastAsia="zh-CN"/>
        </w:rPr>
        <w:t>采购车辆用于事务保障和机要通讯，提高工作效率。</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tbl>
      <w:tblPr>
        <w:tblStyle w:val="2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992"/>
        <w:gridCol w:w="5670"/>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序号</w:t>
            </w:r>
          </w:p>
        </w:tc>
        <w:tc>
          <w:tcPr>
            <w:tcW w:w="9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货物</w:t>
            </w:r>
          </w:p>
          <w:p>
            <w:pPr>
              <w:pStyle w:val="2"/>
              <w:ind w:left="0" w:leftChars="0" w:firstLine="0" w:firstLineChars="0"/>
              <w:rPr>
                <w:rFonts w:hint="eastAsia"/>
              </w:rPr>
            </w:pPr>
            <w:r>
              <w:rPr>
                <w:rFonts w:hint="eastAsia"/>
              </w:rPr>
              <w:t>名称</w:t>
            </w:r>
          </w:p>
        </w:tc>
        <w:tc>
          <w:tcPr>
            <w:tcW w:w="56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rPr>
                <w:rFonts w:hint="eastAsia"/>
              </w:rPr>
            </w:pPr>
            <w:r>
              <w:rPr>
                <w:rFonts w:hint="eastAsia"/>
              </w:rPr>
              <w:t>技术规格及主要参数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单位</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val="en-US" w:eastAsia="zh-CN"/>
              </w:rPr>
              <w:t>1</w:t>
            </w:r>
          </w:p>
        </w:tc>
        <w:tc>
          <w:tcPr>
            <w:tcW w:w="9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事务保障用车</w:t>
            </w:r>
          </w:p>
        </w:tc>
        <w:tc>
          <w:tcPr>
            <w:tcW w:w="56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eastAsia="zh-CN"/>
              </w:rPr>
              <w:t>发动机功率</w:t>
            </w:r>
            <w:r>
              <w:rPr>
                <w:rFonts w:hint="eastAsia"/>
                <w:lang w:val="en-US" w:eastAsia="zh-CN"/>
              </w:rPr>
              <w:t>121千瓦，5座自动挡，</w:t>
            </w:r>
            <w:r>
              <w:rPr>
                <w:rFonts w:hint="eastAsia"/>
                <w:lang w:eastAsia="zh-CN"/>
              </w:rPr>
              <w:t>排量</w:t>
            </w:r>
            <w:r>
              <w:rPr>
                <w:rFonts w:hint="eastAsia"/>
                <w:lang w:val="en-US" w:eastAsia="zh-CN"/>
              </w:rPr>
              <w:t>1.3T,黑色，轴距小于2830mm，长4933mm，宽1854mm，高1476mm。</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val="en-US" w:eastAsia="zh-CN"/>
              </w:rPr>
              <w:t>2</w:t>
            </w:r>
          </w:p>
        </w:tc>
        <w:tc>
          <w:tcPr>
            <w:tcW w:w="9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机要通讯用车</w:t>
            </w:r>
          </w:p>
        </w:tc>
        <w:tc>
          <w:tcPr>
            <w:tcW w:w="56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eastAsia="zh-CN"/>
              </w:rPr>
              <w:t>发动机功率</w:t>
            </w:r>
            <w:r>
              <w:rPr>
                <w:rFonts w:hint="eastAsia"/>
                <w:lang w:val="en-US" w:eastAsia="zh-CN"/>
              </w:rPr>
              <w:t>108千瓦，排量为1.5T，7座手动挡，白色，轴距小于或等于2750mm，长4695mm，宽1835mm，高1750mm。</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eastAsia="zh-CN"/>
              </w:rPr>
              <w:t>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val="en-US" w:eastAsia="zh-CN"/>
              </w:rPr>
              <w:t>1</w:t>
            </w:r>
          </w:p>
        </w:tc>
      </w:tr>
    </w:tbl>
    <w:p>
      <w:pPr>
        <w:pStyle w:val="2"/>
        <w:ind w:left="0" w:leftChars="0" w:firstLine="420" w:firstLineChars="200"/>
        <w:rPr>
          <w:rFonts w:hint="eastAsia"/>
          <w:lang w:val="en-US" w:eastAsia="zh-CN"/>
        </w:rPr>
      </w:pPr>
      <w:r>
        <w:rPr>
          <w:rFonts w:hint="eastAsia"/>
          <w:lang w:val="en-US" w:eastAsia="zh-CN"/>
        </w:rPr>
        <w:t xml:space="preserve"> </w:t>
      </w: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注:仅需提供序号（1）~（2）其中之一即可。</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val="en-US" w:eastAsia="zh-CN"/>
        </w:rPr>
        <w:t>四</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val="en-US" w:eastAsia="zh-CN"/>
        </w:rPr>
        <w:t>五</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供应商应负责安装、技术培训、指导、服务、调试，确保设备正常运行。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六、付款方式 ：</w:t>
      </w:r>
      <w:r>
        <w:rPr>
          <w:rFonts w:hint="eastAsia" w:ascii="新宋体" w:hAnsi="新宋体" w:eastAsia="新宋体" w:cs="新宋体"/>
          <w:sz w:val="24"/>
          <w:szCs w:val="24"/>
          <w:lang w:val="en-US" w:eastAsia="zh-CN"/>
        </w:rPr>
        <w:t>以签订合同为准</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eastAsiaTheme="minorEastAsia"/>
          <w:lang w:eastAsia="zh-CN"/>
        </w:rPr>
      </w:pPr>
    </w:p>
    <w:p>
      <w:pPr>
        <w:pStyle w:val="2"/>
        <w:ind w:left="0" w:leftChars="0" w:firstLine="0" w:firstLineChars="0"/>
        <w:rPr>
          <w:rFonts w:hint="eastAsia" w:eastAsiaTheme="minorEastAsia"/>
          <w:lang w:eastAsia="zh-CN"/>
        </w:rPr>
      </w:pPr>
      <w:bookmarkStart w:id="83" w:name="_GoBack"/>
      <w:bookmarkEnd w:id="83"/>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禹州市顺店镇人民政府公务用车采购项目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YZCG-T2020004</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合同签订后</w:t>
            </w:r>
            <w:r>
              <w:rPr>
                <w:rFonts w:hint="eastAsia" w:cs="仿宋_GB2312" w:asciiTheme="minorEastAsia" w:hAnsiTheme="minorEastAsia"/>
                <w:szCs w:val="21"/>
                <w:lang w:val="en-US" w:eastAsia="zh-CN"/>
              </w:rPr>
              <w:t>60日历天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eastAsia="zh-CN"/>
              </w:rPr>
              <w:t>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禹州市顺店镇人民政府</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联系电话：13782282881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lang w:eastAsia="zh-CN"/>
        </w:rPr>
      </w:pPr>
    </w:p>
    <w:p>
      <w:pPr>
        <w:pStyle w:val="2"/>
        <w:ind w:left="0" w:leftChars="0" w:firstLine="0" w:firstLineChars="0"/>
        <w:rPr>
          <w:rFonts w:hint="eastAsia" w:cs="宋体" w:asciiTheme="majorEastAsia" w:hAnsiTheme="majorEastAsia" w:eastAsiaTheme="majorEastAsia"/>
          <w:b/>
          <w:kern w:val="0"/>
          <w:sz w:val="32"/>
          <w:szCs w:val="32"/>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6744034"/>
      <w:bookmarkStart w:id="1" w:name="_Toc357868214"/>
      <w:bookmarkStart w:id="2" w:name="_Toc364457259"/>
      <w:bookmarkStart w:id="3" w:name="_Toc354922980"/>
      <w:bookmarkStart w:id="4" w:name="_Toc326060505"/>
      <w:bookmarkStart w:id="5" w:name="_Toc329278149"/>
      <w:bookmarkStart w:id="6" w:name="_Toc355649942"/>
      <w:bookmarkStart w:id="7" w:name="_Toc354404029"/>
      <w:bookmarkStart w:id="8" w:name="_Toc35492311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7868215"/>
      <w:bookmarkStart w:id="10" w:name="_Toc354923120"/>
      <w:bookmarkStart w:id="11" w:name="_Toc354922981"/>
      <w:bookmarkStart w:id="12" w:name="_Toc355649943"/>
      <w:bookmarkStart w:id="13" w:name="_Toc326060506"/>
      <w:bookmarkStart w:id="14" w:name="_Toc329278150"/>
      <w:bookmarkStart w:id="15" w:name="_Toc356744035"/>
      <w:bookmarkStart w:id="16" w:name="_Toc354404030"/>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4404031"/>
      <w:bookmarkStart w:id="20" w:name="_Toc354922982"/>
      <w:bookmarkStart w:id="21" w:name="_Toc326060507"/>
      <w:bookmarkStart w:id="22" w:name="_Toc354923121"/>
      <w:bookmarkStart w:id="23" w:name="_Toc356744036"/>
      <w:bookmarkStart w:id="24" w:name="_Toc355649944"/>
      <w:bookmarkStart w:id="25" w:name="_Toc32927815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55649945"/>
      <w:bookmarkStart w:id="29" w:name="_Toc354404032"/>
      <w:bookmarkStart w:id="30" w:name="_Toc354923122"/>
      <w:bookmarkStart w:id="31" w:name="_Toc357868217"/>
      <w:bookmarkStart w:id="32" w:name="_Toc326060508"/>
      <w:bookmarkStart w:id="33" w:name="_Toc329278152"/>
      <w:bookmarkStart w:id="34" w:name="_Toc354922983"/>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6060509"/>
      <w:bookmarkStart w:id="37" w:name="_Toc354404033"/>
      <w:bookmarkStart w:id="38" w:name="_Toc357868218"/>
      <w:bookmarkStart w:id="39" w:name="_Toc355649946"/>
      <w:bookmarkStart w:id="40" w:name="_Toc364457263"/>
      <w:bookmarkStart w:id="41" w:name="_Toc354923123"/>
      <w:bookmarkStart w:id="42" w:name="_Toc329278153"/>
      <w:bookmarkStart w:id="43" w:name="_Toc356744038"/>
      <w:bookmarkStart w:id="44" w:name="_Toc354922984"/>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9278154"/>
      <w:bookmarkStart w:id="46" w:name="_Toc355649947"/>
      <w:bookmarkStart w:id="47" w:name="_Toc326060510"/>
      <w:bookmarkStart w:id="48" w:name="_Toc364457264"/>
      <w:bookmarkStart w:id="49" w:name="_Toc356744039"/>
      <w:bookmarkStart w:id="50" w:name="_Toc354404034"/>
      <w:bookmarkStart w:id="51" w:name="_Toc354922985"/>
      <w:bookmarkStart w:id="52" w:name="_Toc357868219"/>
      <w:bookmarkStart w:id="53" w:name="_Toc35492312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64457265"/>
      <w:bookmarkStart w:id="55" w:name="_Toc356744040"/>
      <w:bookmarkStart w:id="56" w:name="_Toc329278155"/>
      <w:bookmarkStart w:id="57" w:name="_Toc355649948"/>
      <w:bookmarkStart w:id="58" w:name="_Toc354923125"/>
      <w:bookmarkStart w:id="59" w:name="_Toc326060511"/>
      <w:bookmarkStart w:id="60" w:name="_Toc354404035"/>
      <w:bookmarkStart w:id="61" w:name="_Toc357868220"/>
      <w:bookmarkStart w:id="62" w:name="_Toc354922986"/>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5649949"/>
      <w:bookmarkStart w:id="64" w:name="_Toc357868221"/>
      <w:bookmarkStart w:id="65" w:name="_Toc354404036"/>
      <w:bookmarkStart w:id="66" w:name="_Toc326060512"/>
      <w:bookmarkStart w:id="67" w:name="_Toc364457266"/>
      <w:bookmarkStart w:id="68" w:name="_Toc329278156"/>
      <w:bookmarkStart w:id="69" w:name="_Toc354923126"/>
      <w:bookmarkStart w:id="70" w:name="_Toc354922987"/>
      <w:bookmarkStart w:id="71" w:name="_Toc35674404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29278157"/>
      <w:bookmarkStart w:id="74" w:name="_Toc356744042"/>
      <w:bookmarkStart w:id="75" w:name="_Toc357868222"/>
      <w:bookmarkStart w:id="76" w:name="_Toc326060513"/>
      <w:bookmarkStart w:id="77" w:name="_Toc354404037"/>
      <w:bookmarkStart w:id="78" w:name="_Toc355649950"/>
      <w:bookmarkStart w:id="79" w:name="_Toc354923127"/>
      <w:bookmarkStart w:id="80" w:name="_Toc354922988"/>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decorative"/>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37A21B9"/>
    <w:rsid w:val="03C27924"/>
    <w:rsid w:val="043311CA"/>
    <w:rsid w:val="0487636C"/>
    <w:rsid w:val="04A6236A"/>
    <w:rsid w:val="053F5432"/>
    <w:rsid w:val="056F0F14"/>
    <w:rsid w:val="064E7C45"/>
    <w:rsid w:val="06827910"/>
    <w:rsid w:val="06BE2947"/>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BE05F44"/>
    <w:rsid w:val="0CAE7D79"/>
    <w:rsid w:val="0CC96F90"/>
    <w:rsid w:val="0CEC5736"/>
    <w:rsid w:val="0DAC0795"/>
    <w:rsid w:val="0DF14212"/>
    <w:rsid w:val="0E566FF8"/>
    <w:rsid w:val="0F1267F0"/>
    <w:rsid w:val="0F492F98"/>
    <w:rsid w:val="100B4F00"/>
    <w:rsid w:val="10C51C5D"/>
    <w:rsid w:val="10DC7FC8"/>
    <w:rsid w:val="10ED3EAB"/>
    <w:rsid w:val="10F67161"/>
    <w:rsid w:val="110E6C6E"/>
    <w:rsid w:val="115D39B8"/>
    <w:rsid w:val="1197185B"/>
    <w:rsid w:val="122C725F"/>
    <w:rsid w:val="128E3D8E"/>
    <w:rsid w:val="12E50F51"/>
    <w:rsid w:val="13BF63D1"/>
    <w:rsid w:val="13D62CC1"/>
    <w:rsid w:val="140960EE"/>
    <w:rsid w:val="14214638"/>
    <w:rsid w:val="14835A31"/>
    <w:rsid w:val="149819C8"/>
    <w:rsid w:val="14B173D9"/>
    <w:rsid w:val="14D058A3"/>
    <w:rsid w:val="15944BF3"/>
    <w:rsid w:val="15EE44D7"/>
    <w:rsid w:val="164C7048"/>
    <w:rsid w:val="16B051B6"/>
    <w:rsid w:val="170E412F"/>
    <w:rsid w:val="172058D8"/>
    <w:rsid w:val="17B078B6"/>
    <w:rsid w:val="18113DC5"/>
    <w:rsid w:val="197867EF"/>
    <w:rsid w:val="197B011F"/>
    <w:rsid w:val="198F1D07"/>
    <w:rsid w:val="199C1C79"/>
    <w:rsid w:val="1A2B7FB5"/>
    <w:rsid w:val="1A7701C4"/>
    <w:rsid w:val="1A78540F"/>
    <w:rsid w:val="1A80684D"/>
    <w:rsid w:val="1AB52480"/>
    <w:rsid w:val="1B70335D"/>
    <w:rsid w:val="1B731D38"/>
    <w:rsid w:val="1BC27E34"/>
    <w:rsid w:val="1C317F37"/>
    <w:rsid w:val="1C527EEE"/>
    <w:rsid w:val="1C9A0EFB"/>
    <w:rsid w:val="1CA2458C"/>
    <w:rsid w:val="1D162A3A"/>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4255AF"/>
    <w:rsid w:val="22A56C1A"/>
    <w:rsid w:val="22B643D4"/>
    <w:rsid w:val="2301785C"/>
    <w:rsid w:val="23C004BB"/>
    <w:rsid w:val="24326801"/>
    <w:rsid w:val="24585EF7"/>
    <w:rsid w:val="2461458C"/>
    <w:rsid w:val="24D632FF"/>
    <w:rsid w:val="24D83346"/>
    <w:rsid w:val="255516DF"/>
    <w:rsid w:val="256D2F51"/>
    <w:rsid w:val="25720679"/>
    <w:rsid w:val="25B74681"/>
    <w:rsid w:val="25DF5154"/>
    <w:rsid w:val="25F75E26"/>
    <w:rsid w:val="265B42DF"/>
    <w:rsid w:val="26AB2969"/>
    <w:rsid w:val="26CA7A12"/>
    <w:rsid w:val="27A229B2"/>
    <w:rsid w:val="27B5253B"/>
    <w:rsid w:val="281A0202"/>
    <w:rsid w:val="283E3CD3"/>
    <w:rsid w:val="29F50784"/>
    <w:rsid w:val="2B240881"/>
    <w:rsid w:val="2B3F5F01"/>
    <w:rsid w:val="2C0B7CF9"/>
    <w:rsid w:val="2C1A7732"/>
    <w:rsid w:val="2C2E4C48"/>
    <w:rsid w:val="2C434247"/>
    <w:rsid w:val="2C8C1C8E"/>
    <w:rsid w:val="2C8D5BCC"/>
    <w:rsid w:val="2CAB37C5"/>
    <w:rsid w:val="2CB164D3"/>
    <w:rsid w:val="2CF962B5"/>
    <w:rsid w:val="2D5F028F"/>
    <w:rsid w:val="2D6C7AF4"/>
    <w:rsid w:val="2DD31A50"/>
    <w:rsid w:val="2EFE41AF"/>
    <w:rsid w:val="2F124B1C"/>
    <w:rsid w:val="2F45482D"/>
    <w:rsid w:val="2F477084"/>
    <w:rsid w:val="2FE113B9"/>
    <w:rsid w:val="2FF24A9E"/>
    <w:rsid w:val="305F0D15"/>
    <w:rsid w:val="307D673F"/>
    <w:rsid w:val="31114858"/>
    <w:rsid w:val="31324247"/>
    <w:rsid w:val="31AC3B9C"/>
    <w:rsid w:val="31D442A9"/>
    <w:rsid w:val="320D3218"/>
    <w:rsid w:val="328448EE"/>
    <w:rsid w:val="32985053"/>
    <w:rsid w:val="32B20743"/>
    <w:rsid w:val="32E31462"/>
    <w:rsid w:val="32F65921"/>
    <w:rsid w:val="33006C0E"/>
    <w:rsid w:val="340A14ED"/>
    <w:rsid w:val="34280373"/>
    <w:rsid w:val="3439458D"/>
    <w:rsid w:val="345D5D57"/>
    <w:rsid w:val="350A079B"/>
    <w:rsid w:val="35306958"/>
    <w:rsid w:val="353C4CB4"/>
    <w:rsid w:val="35C46C85"/>
    <w:rsid w:val="35F5306F"/>
    <w:rsid w:val="35F6337B"/>
    <w:rsid w:val="36143E1C"/>
    <w:rsid w:val="36D45DBC"/>
    <w:rsid w:val="36EC5CD6"/>
    <w:rsid w:val="3749027E"/>
    <w:rsid w:val="37B96E50"/>
    <w:rsid w:val="391E6950"/>
    <w:rsid w:val="398F43B6"/>
    <w:rsid w:val="39FC1D92"/>
    <w:rsid w:val="3A0C6200"/>
    <w:rsid w:val="3A1A525E"/>
    <w:rsid w:val="3A304721"/>
    <w:rsid w:val="3ACC560C"/>
    <w:rsid w:val="3B380893"/>
    <w:rsid w:val="3B605B3C"/>
    <w:rsid w:val="3B685AA6"/>
    <w:rsid w:val="3C175755"/>
    <w:rsid w:val="3C3F74A1"/>
    <w:rsid w:val="3C725167"/>
    <w:rsid w:val="3C761C0C"/>
    <w:rsid w:val="3C9839FA"/>
    <w:rsid w:val="3CB04E80"/>
    <w:rsid w:val="3CBC3D5E"/>
    <w:rsid w:val="3CC67CD4"/>
    <w:rsid w:val="3D282818"/>
    <w:rsid w:val="3D96637E"/>
    <w:rsid w:val="3DC9142F"/>
    <w:rsid w:val="3DEC2498"/>
    <w:rsid w:val="3E034405"/>
    <w:rsid w:val="3E6A2C34"/>
    <w:rsid w:val="3F473038"/>
    <w:rsid w:val="40A52D5C"/>
    <w:rsid w:val="40BE3049"/>
    <w:rsid w:val="41021623"/>
    <w:rsid w:val="41247764"/>
    <w:rsid w:val="41A27F86"/>
    <w:rsid w:val="41D9414F"/>
    <w:rsid w:val="41DE3A48"/>
    <w:rsid w:val="41EC1401"/>
    <w:rsid w:val="4215759B"/>
    <w:rsid w:val="42547D8B"/>
    <w:rsid w:val="42730160"/>
    <w:rsid w:val="42CE0022"/>
    <w:rsid w:val="42F23437"/>
    <w:rsid w:val="43663E29"/>
    <w:rsid w:val="44D2564B"/>
    <w:rsid w:val="44EA4606"/>
    <w:rsid w:val="454C2B70"/>
    <w:rsid w:val="456904DA"/>
    <w:rsid w:val="458C667A"/>
    <w:rsid w:val="4596458F"/>
    <w:rsid w:val="46366161"/>
    <w:rsid w:val="46465AAA"/>
    <w:rsid w:val="467D2F1A"/>
    <w:rsid w:val="46CE1703"/>
    <w:rsid w:val="46E35449"/>
    <w:rsid w:val="473960E8"/>
    <w:rsid w:val="47A07BC1"/>
    <w:rsid w:val="47F90D8B"/>
    <w:rsid w:val="48080763"/>
    <w:rsid w:val="485128BA"/>
    <w:rsid w:val="48737219"/>
    <w:rsid w:val="48C0687E"/>
    <w:rsid w:val="48EE371C"/>
    <w:rsid w:val="49574371"/>
    <w:rsid w:val="49CF3E0F"/>
    <w:rsid w:val="49D43420"/>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D3003E"/>
    <w:rsid w:val="50F7348B"/>
    <w:rsid w:val="51352836"/>
    <w:rsid w:val="515E1EEA"/>
    <w:rsid w:val="51A13899"/>
    <w:rsid w:val="51FD06C0"/>
    <w:rsid w:val="52581E68"/>
    <w:rsid w:val="5266084B"/>
    <w:rsid w:val="528771C6"/>
    <w:rsid w:val="52CF3A2B"/>
    <w:rsid w:val="5300214C"/>
    <w:rsid w:val="531600B4"/>
    <w:rsid w:val="535A1FCB"/>
    <w:rsid w:val="536561B2"/>
    <w:rsid w:val="538F3DF4"/>
    <w:rsid w:val="53FA012A"/>
    <w:rsid w:val="540A639D"/>
    <w:rsid w:val="544C0545"/>
    <w:rsid w:val="55591025"/>
    <w:rsid w:val="55684A64"/>
    <w:rsid w:val="557F3457"/>
    <w:rsid w:val="5635316C"/>
    <w:rsid w:val="56626902"/>
    <w:rsid w:val="567A60F1"/>
    <w:rsid w:val="57B8361E"/>
    <w:rsid w:val="57D2139A"/>
    <w:rsid w:val="57D77ADD"/>
    <w:rsid w:val="57DF4B76"/>
    <w:rsid w:val="58057299"/>
    <w:rsid w:val="5882354E"/>
    <w:rsid w:val="58A31F4C"/>
    <w:rsid w:val="599D701F"/>
    <w:rsid w:val="59C836F2"/>
    <w:rsid w:val="5B9B1474"/>
    <w:rsid w:val="5BAE2A99"/>
    <w:rsid w:val="5BED49A4"/>
    <w:rsid w:val="5C0E02BC"/>
    <w:rsid w:val="5C1717D9"/>
    <w:rsid w:val="5C20031E"/>
    <w:rsid w:val="5C61170E"/>
    <w:rsid w:val="5C71214E"/>
    <w:rsid w:val="5C87321A"/>
    <w:rsid w:val="5CB139A0"/>
    <w:rsid w:val="5CD938B8"/>
    <w:rsid w:val="5D1F61F2"/>
    <w:rsid w:val="5D741D9C"/>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2886DAA"/>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906B31"/>
    <w:rsid w:val="67F03A67"/>
    <w:rsid w:val="684735A5"/>
    <w:rsid w:val="68881403"/>
    <w:rsid w:val="69294622"/>
    <w:rsid w:val="696572B2"/>
    <w:rsid w:val="69995CD6"/>
    <w:rsid w:val="69CA0494"/>
    <w:rsid w:val="69FB4D8B"/>
    <w:rsid w:val="6A571054"/>
    <w:rsid w:val="6AB1213C"/>
    <w:rsid w:val="6AB35606"/>
    <w:rsid w:val="6B004557"/>
    <w:rsid w:val="6C2234CC"/>
    <w:rsid w:val="6C41469C"/>
    <w:rsid w:val="6C541469"/>
    <w:rsid w:val="6C582EA2"/>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A516A7"/>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05AFE"/>
    <w:rsid w:val="769A0F40"/>
    <w:rsid w:val="76B625A7"/>
    <w:rsid w:val="76D609C3"/>
    <w:rsid w:val="771F6DC1"/>
    <w:rsid w:val="787D7581"/>
    <w:rsid w:val="78AF68A0"/>
    <w:rsid w:val="78C15F7F"/>
    <w:rsid w:val="78C37659"/>
    <w:rsid w:val="790B56C3"/>
    <w:rsid w:val="7A4C53AF"/>
    <w:rsid w:val="7A7404E6"/>
    <w:rsid w:val="7AEB5510"/>
    <w:rsid w:val="7BC16393"/>
    <w:rsid w:val="7C1D0C87"/>
    <w:rsid w:val="7C39335E"/>
    <w:rsid w:val="7DB132F4"/>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8</TotalTime>
  <ScaleCrop>false</ScaleCrop>
  <LinksUpToDate>false</LinksUpToDate>
  <CharactersWithSpaces>34645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2020-01-13T07:45:53Z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