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44"/>
          <w:szCs w:val="44"/>
        </w:rPr>
      </w:pPr>
    </w:p>
    <w:p>
      <w:pPr>
        <w:pStyle w:val="59"/>
        <w:shd w:val="clear" w:color="auto" w:fill="FFFFFF"/>
        <w:spacing w:line="360" w:lineRule="auto"/>
        <w:contextualSpacing/>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kern w:val="2"/>
          <w:sz w:val="44"/>
          <w:szCs w:val="44"/>
          <w:lang w:val="en-US" w:eastAsia="zh-CN" w:bidi="ar-SA"/>
        </w:rPr>
        <w:t>许昌市环境监控信息中心“县级环境水质自动站运行管理服务”</w:t>
      </w:r>
      <w:r>
        <w:rPr>
          <w:rFonts w:hint="eastAsia" w:asciiTheme="majorEastAsia" w:hAnsiTheme="majorEastAsia" w:eastAsiaTheme="majorEastAsia" w:cstheme="majorEastAsia"/>
          <w:b/>
          <w:bCs/>
          <w:color w:val="000000"/>
          <w:sz w:val="44"/>
          <w:szCs w:val="44"/>
        </w:rPr>
        <w:t>项目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隶书" w:eastAsia="隶书"/>
          <w:b/>
          <w:bCs/>
          <w:color w:val="000000"/>
          <w:sz w:val="36"/>
        </w:rPr>
        <w:t xml:space="preserve">   </w:t>
      </w:r>
      <w:r>
        <w:rPr>
          <w:rFonts w:hint="eastAsia" w:asciiTheme="majorEastAsia" w:hAnsiTheme="majorEastAsia" w:eastAsiaTheme="majorEastAsia" w:cstheme="majorEastAsia"/>
          <w:b/>
          <w:bCs/>
          <w:color w:val="000000"/>
          <w:sz w:val="36"/>
          <w:szCs w:val="36"/>
        </w:rPr>
        <w:t xml:space="preserve">   项目编号：ZFCG-G20</w:t>
      </w:r>
      <w:r>
        <w:rPr>
          <w:rFonts w:hint="eastAsia" w:asciiTheme="majorEastAsia" w:hAnsiTheme="majorEastAsia" w:eastAsiaTheme="majorEastAsia" w:cstheme="majorEastAsia"/>
          <w:b/>
          <w:bCs/>
          <w:color w:val="000000"/>
          <w:sz w:val="36"/>
          <w:szCs w:val="36"/>
          <w:lang w:eastAsia="zh-CN"/>
        </w:rPr>
        <w:t>20</w:t>
      </w:r>
      <w:r>
        <w:rPr>
          <w:rFonts w:hint="eastAsia" w:asciiTheme="majorEastAsia" w:hAnsiTheme="majorEastAsia" w:eastAsiaTheme="majorEastAsia" w:cstheme="majorEastAsia"/>
          <w:b/>
          <w:bCs/>
          <w:color w:val="000000"/>
          <w:sz w:val="36"/>
          <w:szCs w:val="36"/>
          <w:lang w:val="en-US" w:eastAsia="zh-CN"/>
        </w:rPr>
        <w:t>005</w:t>
      </w:r>
      <w:r>
        <w:rPr>
          <w:rFonts w:hint="eastAsia" w:asciiTheme="majorEastAsia" w:hAnsiTheme="majorEastAsia" w:eastAsiaTheme="majorEastAsia" w:cstheme="majorEastAsia"/>
          <w:b/>
          <w:bCs/>
          <w:color w:val="000000"/>
          <w:sz w:val="36"/>
          <w:szCs w:val="36"/>
        </w:rPr>
        <w:t>号</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w:t>
      </w:r>
      <w:r>
        <w:rPr>
          <w:rFonts w:hint="eastAsia" w:asciiTheme="majorEastAsia" w:hAnsiTheme="majorEastAsia" w:eastAsiaTheme="majorEastAsia" w:cstheme="majorEastAsia"/>
          <w:b/>
          <w:bCs/>
          <w:color w:val="000000"/>
          <w:sz w:val="36"/>
          <w:szCs w:val="36"/>
          <w:lang w:val="en-US" w:eastAsia="zh-CN"/>
        </w:rPr>
        <w:t>许昌市环境监控信息中心</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代理机构：许昌市政府采购服务中心</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二〇二〇年</w:t>
      </w:r>
      <w:r>
        <w:rPr>
          <w:rFonts w:hint="eastAsia" w:asciiTheme="majorEastAsia" w:hAnsiTheme="majorEastAsia" w:eastAsiaTheme="majorEastAsia" w:cstheme="majorEastAsia"/>
          <w:b/>
          <w:bCs/>
          <w:color w:val="000000"/>
          <w:sz w:val="36"/>
          <w:szCs w:val="36"/>
          <w:lang w:eastAsia="zh-CN"/>
        </w:rPr>
        <w:t>一</w:t>
      </w:r>
      <w:r>
        <w:rPr>
          <w:rFonts w:hint="eastAsia" w:asciiTheme="majorEastAsia" w:hAnsiTheme="majorEastAsia" w:eastAsiaTheme="majorEastAsia" w:cstheme="majorEastAsia"/>
          <w:b/>
          <w:bCs/>
          <w:color w:val="000000"/>
          <w:sz w:val="36"/>
          <w:szCs w:val="36"/>
        </w:rPr>
        <w:t>月</w:t>
      </w:r>
      <w:r>
        <w:rPr>
          <w:rFonts w:hint="eastAsia" w:asciiTheme="majorEastAsia" w:hAnsiTheme="majorEastAsia" w:eastAsiaTheme="majorEastAsia" w:cstheme="majorEastAsia"/>
          <w:b/>
          <w:bCs/>
          <w:color w:val="000000"/>
          <w:sz w:val="36"/>
          <w:szCs w:val="36"/>
          <w:lang w:eastAsia="zh-CN"/>
        </w:rPr>
        <w:t>十</w:t>
      </w:r>
      <w:r>
        <w:rPr>
          <w:rFonts w:hint="eastAsia" w:asciiTheme="majorEastAsia" w:hAnsiTheme="majorEastAsia" w:eastAsiaTheme="majorEastAsia" w:cstheme="majorEastAsia"/>
          <w:b/>
          <w:bCs/>
          <w:color w:val="000000"/>
          <w:sz w:val="36"/>
          <w:szCs w:val="36"/>
        </w:rPr>
        <w:t>日</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投标邀请</w:t>
      </w:r>
    </w:p>
    <w:p>
      <w:pPr>
        <w:pStyle w:val="21"/>
        <w:widowControl/>
        <w:shd w:val="clear" w:color="auto" w:fill="FFFFFF"/>
        <w:spacing w:line="360" w:lineRule="auto"/>
        <w:ind w:firstLine="420" w:firstLineChars="200"/>
        <w:contextualSpacing/>
        <w:jc w:val="left"/>
        <w:rPr>
          <w:color w:val="000000"/>
          <w:sz w:val="21"/>
          <w:szCs w:val="21"/>
          <w:shd w:val="clear" w:color="auto" w:fill="FFFFFF"/>
        </w:rPr>
      </w:pPr>
    </w:p>
    <w:p>
      <w:pPr>
        <w:pStyle w:val="21"/>
        <w:widowControl/>
        <w:shd w:val="clear" w:color="auto" w:fill="FFFFFF"/>
        <w:spacing w:line="360" w:lineRule="auto"/>
        <w:ind w:firstLine="420" w:firstLineChars="200"/>
        <w:contextualSpacing/>
        <w:jc w:val="left"/>
        <w:rPr>
          <w:color w:val="000000"/>
          <w:sz w:val="21"/>
          <w:szCs w:val="21"/>
          <w:shd w:val="clear" w:color="auto" w:fill="FFFFFF"/>
        </w:rPr>
      </w:pPr>
      <w:r>
        <w:rPr>
          <w:rFonts w:hint="eastAsia"/>
          <w:color w:val="000000"/>
          <w:sz w:val="21"/>
          <w:szCs w:val="21"/>
          <w:shd w:val="clear" w:color="auto" w:fill="FFFFFF"/>
        </w:rPr>
        <w:t>许昌市政府采购服务中心(以下简称采购中心) 受许昌市环境监控信息中心的委托，对“</w:t>
      </w:r>
      <w:r>
        <w:rPr>
          <w:rFonts w:hint="eastAsia"/>
          <w:color w:val="000000"/>
          <w:sz w:val="21"/>
          <w:szCs w:val="21"/>
          <w:shd w:val="clear" w:color="auto" w:fill="FFFFFF"/>
          <w:lang w:val="en-US" w:eastAsia="zh-CN"/>
        </w:rPr>
        <w:t>县级环境水质自动站运行管理服务</w:t>
      </w:r>
      <w:r>
        <w:rPr>
          <w:rFonts w:hint="eastAsia"/>
          <w:color w:val="000000"/>
          <w:sz w:val="21"/>
          <w:szCs w:val="21"/>
          <w:shd w:val="clear" w:color="auto" w:fill="FFFFFF"/>
        </w:rPr>
        <w:t>”项目进行公开招标。现邀请符合本招标文件规定条件的供应商前来投标。</w:t>
      </w:r>
    </w:p>
    <w:p>
      <w:pPr>
        <w:pStyle w:val="21"/>
        <w:widowControl/>
        <w:shd w:val="clear" w:color="auto" w:fill="FFFFFF"/>
        <w:spacing w:line="360" w:lineRule="auto"/>
        <w:contextualSpacing/>
        <w:jc w:val="left"/>
        <w:rPr>
          <w:rFonts w:cs="黑体" w:asciiTheme="minorEastAsia" w:hAnsiTheme="minorEastAsia" w:eastAsiaTheme="minorEastAsia"/>
          <w:b/>
          <w:bCs/>
          <w:color w:val="000000"/>
          <w:sz w:val="21"/>
          <w:szCs w:val="21"/>
        </w:rPr>
      </w:pPr>
      <w:r>
        <w:rPr>
          <w:rFonts w:hint="eastAsia" w:ascii="黑体" w:hAnsi="黑体" w:eastAsia="黑体" w:cs="黑体"/>
          <w:bCs/>
          <w:color w:val="000000"/>
          <w:sz w:val="21"/>
          <w:szCs w:val="21"/>
          <w:shd w:val="clear" w:color="auto" w:fill="FFFFFF"/>
        </w:rPr>
        <w:t xml:space="preserve">    </w:t>
      </w:r>
      <w:r>
        <w:rPr>
          <w:rFonts w:hint="eastAsia" w:cs="黑体" w:asciiTheme="minorEastAsia" w:hAnsiTheme="minorEastAsia" w:eastAsiaTheme="minorEastAsia"/>
          <w:b/>
          <w:bCs/>
          <w:color w:val="000000"/>
          <w:sz w:val="21"/>
          <w:szCs w:val="21"/>
          <w:shd w:val="clear" w:color="auto" w:fill="FFFFFF"/>
        </w:rPr>
        <w:t>一、项目基本情况</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（一）项目名称：</w:t>
      </w:r>
      <w:r>
        <w:rPr>
          <w:rFonts w:hint="eastAsia" w:cs="仿宋_GB2312" w:asciiTheme="minorEastAsia" w:hAnsiTheme="minorEastAsia" w:eastAsiaTheme="minorEastAsia"/>
          <w:color w:val="000000"/>
          <w:sz w:val="21"/>
          <w:szCs w:val="21"/>
          <w:shd w:val="clear" w:color="auto" w:fill="FFFFFF"/>
          <w:lang w:val="en-US" w:eastAsia="zh-CN"/>
        </w:rPr>
        <w:t>县级环境水质自动站运行管理服务</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（二）项目编号：ZFCG-G20</w:t>
      </w:r>
      <w:r>
        <w:rPr>
          <w:rFonts w:hint="eastAsia" w:cs="仿宋_GB2312" w:asciiTheme="minorEastAsia" w:hAnsiTheme="minorEastAsia" w:eastAsiaTheme="minorEastAsia"/>
          <w:color w:val="000000"/>
          <w:sz w:val="21"/>
          <w:szCs w:val="21"/>
          <w:shd w:val="clear" w:color="auto" w:fill="FFFFFF"/>
          <w:lang w:eastAsia="zh-CN"/>
        </w:rPr>
        <w:t>20</w:t>
      </w:r>
      <w:r>
        <w:rPr>
          <w:rFonts w:hint="eastAsia" w:cs="仿宋_GB2312" w:asciiTheme="minorEastAsia" w:hAnsiTheme="minorEastAsia" w:eastAsiaTheme="minorEastAsia"/>
          <w:color w:val="000000"/>
          <w:sz w:val="21"/>
          <w:szCs w:val="21"/>
          <w:shd w:val="clear" w:color="auto" w:fill="FFFFFF"/>
          <w:lang w:val="en-US" w:eastAsia="zh-CN"/>
        </w:rPr>
        <w:t>005</w:t>
      </w:r>
      <w:r>
        <w:rPr>
          <w:rFonts w:hint="eastAsia" w:cs="仿宋_GB2312" w:asciiTheme="minorEastAsia" w:hAnsiTheme="minorEastAsia" w:eastAsiaTheme="minorEastAsia"/>
          <w:color w:val="000000"/>
          <w:sz w:val="21"/>
          <w:szCs w:val="21"/>
          <w:shd w:val="clear" w:color="auto" w:fill="FFFFFF"/>
        </w:rPr>
        <w:t xml:space="preserve">号    </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 xml:space="preserve">（三）采购方式：公开招标                                                                                                                         </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val="en-US" w:eastAsia="zh-CN"/>
        </w:rPr>
      </w:pPr>
      <w:r>
        <w:rPr>
          <w:rFonts w:hint="eastAsia" w:cs="仿宋_GB2312" w:asciiTheme="minorEastAsia" w:hAnsiTheme="minorEastAsia" w:eastAsiaTheme="minorEastAsia"/>
          <w:color w:val="000000"/>
          <w:sz w:val="21"/>
          <w:szCs w:val="21"/>
          <w:shd w:val="clear" w:color="auto" w:fill="FFFFFF"/>
        </w:rPr>
        <w:t>（四）项目主要内容、数量及要求：</w:t>
      </w:r>
      <w:r>
        <w:rPr>
          <w:rFonts w:hint="eastAsia" w:cs="仿宋_GB2312" w:asciiTheme="minorEastAsia" w:hAnsiTheme="minorEastAsia" w:eastAsiaTheme="minorEastAsia"/>
          <w:color w:val="000000"/>
          <w:sz w:val="21"/>
          <w:szCs w:val="21"/>
          <w:shd w:val="clear" w:color="auto" w:fill="FFFFFF"/>
          <w:lang w:val="en-US" w:eastAsia="zh-CN"/>
        </w:rPr>
        <w:t>A包：23个县级环境水质自动站运行管理服务1年</w:t>
      </w:r>
    </w:p>
    <w:p>
      <w:pPr>
        <w:pStyle w:val="21"/>
        <w:widowControl/>
        <w:shd w:val="clear" w:color="auto" w:fill="FFFFFF"/>
        <w:spacing w:line="360" w:lineRule="auto"/>
        <w:ind w:firstLine="1050" w:firstLineChars="50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lang w:val="en-US" w:eastAsia="zh-CN"/>
        </w:rPr>
        <w:t>B包：第三方比对检测及防雷设施检测及26个小型水站运维服务1年</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（五）预算金额：</w:t>
      </w:r>
      <w:r>
        <w:rPr>
          <w:rFonts w:hint="eastAsia" w:cs="仿宋_GB2312" w:asciiTheme="minorEastAsia" w:hAnsiTheme="minorEastAsia" w:eastAsiaTheme="minorEastAsia"/>
          <w:color w:val="000000"/>
          <w:sz w:val="21"/>
          <w:szCs w:val="21"/>
          <w:shd w:val="clear" w:color="auto" w:fill="FFFFFF"/>
          <w:lang w:val="en-US" w:eastAsia="zh-CN"/>
        </w:rPr>
        <w:t>A包：2646036元;B包：918850元</w:t>
      </w:r>
      <w:r>
        <w:rPr>
          <w:rFonts w:hint="eastAsia" w:cs="仿宋_GB2312" w:asciiTheme="minorEastAsia" w:hAnsiTheme="minorEastAsia" w:eastAsiaTheme="minorEastAsia"/>
          <w:color w:val="000000"/>
          <w:sz w:val="21"/>
          <w:szCs w:val="21"/>
          <w:shd w:val="clear" w:color="auto" w:fill="FFFFFF"/>
        </w:rPr>
        <w:t>。最高限价：</w:t>
      </w:r>
      <w:r>
        <w:rPr>
          <w:rFonts w:hint="eastAsia" w:cs="仿宋_GB2312" w:asciiTheme="minorEastAsia" w:hAnsiTheme="minorEastAsia" w:eastAsiaTheme="minorEastAsia"/>
          <w:color w:val="000000"/>
          <w:sz w:val="21"/>
          <w:szCs w:val="21"/>
          <w:shd w:val="clear" w:color="auto" w:fill="FFFFFF"/>
          <w:lang w:val="en-US" w:eastAsia="zh-CN"/>
        </w:rPr>
        <w:t>A包：2646036元;B包：918850元</w:t>
      </w:r>
      <w:r>
        <w:rPr>
          <w:rFonts w:hint="eastAsia" w:cs="仿宋_GB2312" w:asciiTheme="minorEastAsia" w:hAnsiTheme="minorEastAsia" w:eastAsiaTheme="minorEastAsia"/>
          <w:color w:val="000000"/>
          <w:sz w:val="21"/>
          <w:szCs w:val="21"/>
          <w:shd w:val="clear" w:color="auto" w:fill="FFFFFF"/>
        </w:rPr>
        <w:t>。</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（六）服务时间 ：</w:t>
      </w:r>
      <w:bookmarkStart w:id="0" w:name="交付日期"/>
      <w:r>
        <w:rPr>
          <w:rFonts w:hint="eastAsia" w:cs="仿宋_GB2312" w:asciiTheme="minorEastAsia" w:hAnsiTheme="minorEastAsia" w:eastAsiaTheme="minorEastAsia"/>
          <w:color w:val="000000"/>
          <w:sz w:val="21"/>
          <w:szCs w:val="21"/>
          <w:shd w:val="clear" w:color="auto" w:fill="FFFFFF"/>
        </w:rPr>
        <w:t>自合同生效之日起</w:t>
      </w:r>
      <w:bookmarkEnd w:id="0"/>
      <w:r>
        <w:rPr>
          <w:rFonts w:hint="eastAsia" w:cs="仿宋_GB2312" w:asciiTheme="minorEastAsia" w:hAnsiTheme="minorEastAsia" w:eastAsiaTheme="minorEastAsia"/>
          <w:color w:val="000000"/>
          <w:sz w:val="21"/>
          <w:szCs w:val="21"/>
          <w:shd w:val="clear" w:color="auto" w:fill="FFFFFF"/>
          <w:lang w:val="en-US" w:eastAsia="zh-CN"/>
        </w:rPr>
        <w:t>1年</w:t>
      </w:r>
      <w:r>
        <w:rPr>
          <w:rFonts w:hint="eastAsia" w:cs="仿宋_GB2312" w:asciiTheme="minorEastAsia" w:hAnsiTheme="minorEastAsia" w:eastAsiaTheme="minorEastAsia"/>
          <w:color w:val="000000"/>
          <w:sz w:val="21"/>
          <w:szCs w:val="21"/>
          <w:shd w:val="clear" w:color="auto" w:fill="FFFFFF"/>
        </w:rPr>
        <w:t>。</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（七）服务地点：</w:t>
      </w:r>
      <w:r>
        <w:rPr>
          <w:rFonts w:hint="eastAsia" w:cs="仿宋_GB2312" w:asciiTheme="minorEastAsia" w:hAnsiTheme="minorEastAsia" w:eastAsiaTheme="minorEastAsia"/>
          <w:color w:val="000000"/>
          <w:sz w:val="21"/>
          <w:szCs w:val="21"/>
          <w:shd w:val="clear" w:color="auto" w:fill="FFFFFF"/>
          <w:lang w:val="en-US" w:eastAsia="zh-CN"/>
        </w:rPr>
        <w:t>采购人指定许昌境内地点</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（八）进口产品：不允许。</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（九）分包：不允许。</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本项目落实节能环保、中小微型企业、监狱企业、残疾人福利性单位扶持等相关政府采购政策。</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三、投标人资格要求</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21"/>
        <w:widowControl/>
        <w:shd w:val="clear" w:color="auto" w:fill="FFFFFF"/>
        <w:wordWrap w:val="0"/>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w:t>
      </w:r>
      <w:r>
        <w:rPr>
          <w:rFonts w:cs="仿宋_GB2312" w:asciiTheme="minorEastAsia" w:hAnsiTheme="minorEastAsia" w:eastAsiaTheme="minorEastAsia"/>
          <w:color w:val="000000"/>
          <w:sz w:val="21"/>
          <w:szCs w:val="21"/>
          <w:shd w:val="clear" w:color="auto" w:fill="FFFFFF"/>
        </w:rPr>
        <w:t>未被列入“信用中国”网站(www.creditchina.gov.cn)失信被执行人、重大税收违法案件当事人名单的投标人；</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中国政府采购网</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 xml:space="preserve"> (www.ccgp.gov.cn)政府采购严重违法失信行为记录名单的投标人</w:t>
      </w:r>
      <w:r>
        <w:rPr>
          <w:rFonts w:hint="eastAsia" w:cs="仿宋_GB2312" w:asciiTheme="minorEastAsia" w:hAnsiTheme="minorEastAsia" w:eastAsiaTheme="minorEastAsia"/>
          <w:color w:val="000000"/>
          <w:sz w:val="21"/>
          <w:szCs w:val="21"/>
          <w:shd w:val="clear" w:color="auto" w:fill="FFFFFF"/>
        </w:rPr>
        <w:t>；“中国社会组织公共服务平台”网站（</w:t>
      </w:r>
      <w:r>
        <w:rPr>
          <w:rFonts w:cs="仿宋_GB2312" w:asciiTheme="minorEastAsia" w:hAnsiTheme="minorEastAsia" w:eastAsiaTheme="minorEastAsia"/>
          <w:color w:val="000000"/>
          <w:sz w:val="21"/>
          <w:szCs w:val="21"/>
          <w:shd w:val="clear" w:color="auto" w:fill="FFFFFF"/>
        </w:rPr>
        <w:t>www.chinanpo.gov.cn</w:t>
      </w:r>
      <w:r>
        <w:rPr>
          <w:rFonts w:hint="eastAsia" w:cs="仿宋_GB2312" w:asciiTheme="minorEastAsia" w:hAnsiTheme="minorEastAsia" w:eastAsiaTheme="minorEastAsia"/>
          <w:color w:val="000000"/>
          <w:sz w:val="21"/>
          <w:szCs w:val="21"/>
          <w:shd w:val="clear" w:color="auto" w:fill="FFFFFF"/>
        </w:rPr>
        <w:t>）严重违法失信名单的社会组织。</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lang w:eastAsia="zh-CN"/>
        </w:rPr>
        <w:t>三</w:t>
      </w:r>
      <w:r>
        <w:rPr>
          <w:rFonts w:hint="eastAsia" w:cs="仿宋_GB2312" w:asciiTheme="minorEastAsia" w:hAnsiTheme="minorEastAsia" w:eastAsiaTheme="minorEastAsia"/>
          <w:color w:val="000000"/>
          <w:sz w:val="21"/>
          <w:szCs w:val="21"/>
          <w:shd w:val="clear" w:color="auto" w:fill="FFFFFF"/>
        </w:rPr>
        <w:t>）本次招</w:t>
      </w:r>
      <w:r>
        <w:rPr>
          <w:rFonts w:hint="eastAsia" w:cs="仿宋_GB2312" w:asciiTheme="minorEastAsia" w:hAnsiTheme="minorEastAsia" w:eastAsiaTheme="minorEastAsia"/>
          <w:color w:val="auto"/>
          <w:sz w:val="21"/>
          <w:szCs w:val="21"/>
          <w:shd w:val="clear" w:color="auto" w:fill="FFFFFF"/>
        </w:rPr>
        <w:t>标不接受联</w:t>
      </w:r>
      <w:r>
        <w:rPr>
          <w:rFonts w:hint="eastAsia" w:cs="仿宋_GB2312" w:asciiTheme="minorEastAsia" w:hAnsiTheme="minorEastAsia" w:eastAsiaTheme="minorEastAsia"/>
          <w:color w:val="000000"/>
          <w:sz w:val="21"/>
          <w:szCs w:val="21"/>
          <w:shd w:val="clear" w:color="auto" w:fill="FFFFFF"/>
        </w:rPr>
        <w:t>合体投标。</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四、招标文件的获取</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五、投标截止时间、开标时间及地点</w:t>
      </w:r>
    </w:p>
    <w:p>
      <w:pPr>
        <w:pStyle w:val="21"/>
        <w:widowControl/>
        <w:shd w:val="clear" w:color="auto" w:fill="FFFFFF"/>
        <w:spacing w:line="360" w:lineRule="auto"/>
        <w:ind w:firstLine="420"/>
        <w:contextualSpacing/>
        <w:jc w:val="left"/>
        <w:rPr>
          <w:rFonts w:hint="eastAsia" w:cs="宋体" w:asciiTheme="minorEastAsia" w:hAnsiTheme="minorEastAsia"/>
          <w:color w:val="000000"/>
          <w:sz w:val="21"/>
          <w:szCs w:val="21"/>
        </w:rPr>
      </w:pPr>
      <w:r>
        <w:rPr>
          <w:rFonts w:hint="eastAsia" w:cs="仿宋_GB2312" w:asciiTheme="minorEastAsia" w:hAnsiTheme="minorEastAsia" w:eastAsiaTheme="minorEastAsia"/>
          <w:color w:val="000000"/>
          <w:sz w:val="21"/>
          <w:szCs w:val="21"/>
        </w:rPr>
        <w:t>（一）投标截止及开标时间：20</w:t>
      </w:r>
      <w:r>
        <w:rPr>
          <w:rFonts w:hint="eastAsia" w:cs="仿宋_GB2312" w:asciiTheme="minorEastAsia" w:hAnsiTheme="minorEastAsia" w:eastAsiaTheme="minorEastAsia"/>
          <w:color w:val="000000"/>
          <w:sz w:val="21"/>
          <w:szCs w:val="21"/>
          <w:lang w:eastAsia="zh-CN"/>
        </w:rPr>
        <w:t>20</w:t>
      </w:r>
      <w:r>
        <w:rPr>
          <w:rFonts w:hint="eastAsia" w:cs="宋体" w:asciiTheme="minorEastAsia" w:hAnsiTheme="minorEastAsia"/>
          <w:color w:val="000000"/>
          <w:sz w:val="21"/>
          <w:szCs w:val="21"/>
        </w:rPr>
        <w:t>年</w:t>
      </w:r>
      <w:r>
        <w:rPr>
          <w:rFonts w:hint="eastAsia" w:cs="宋体" w:asciiTheme="minorEastAsia" w:hAnsiTheme="minorEastAsia"/>
          <w:color w:val="000000"/>
          <w:sz w:val="21"/>
          <w:szCs w:val="21"/>
          <w:lang w:val="en-US" w:eastAsia="zh-CN"/>
        </w:rPr>
        <w:t>2</w:t>
      </w:r>
      <w:r>
        <w:rPr>
          <w:rFonts w:hint="eastAsia" w:cs="宋体" w:asciiTheme="minorEastAsia" w:hAnsiTheme="minorEastAsia"/>
          <w:color w:val="000000"/>
          <w:sz w:val="21"/>
          <w:szCs w:val="21"/>
        </w:rPr>
        <w:t>月</w:t>
      </w:r>
      <w:r>
        <w:rPr>
          <w:rFonts w:hint="eastAsia" w:cs="宋体" w:asciiTheme="minorEastAsia" w:hAnsiTheme="minorEastAsia"/>
          <w:color w:val="000000"/>
          <w:sz w:val="21"/>
          <w:szCs w:val="21"/>
          <w:lang w:val="en-US" w:eastAsia="zh-CN"/>
        </w:rPr>
        <w:t>3</w:t>
      </w:r>
      <w:r>
        <w:rPr>
          <w:rFonts w:hint="eastAsia" w:cs="宋体" w:asciiTheme="minorEastAsia" w:hAnsiTheme="minorEastAsia"/>
          <w:color w:val="000000"/>
          <w:sz w:val="21"/>
          <w:szCs w:val="21"/>
        </w:rPr>
        <w:t>日</w:t>
      </w:r>
      <w:r>
        <w:rPr>
          <w:rFonts w:hint="eastAsia" w:cs="宋体" w:asciiTheme="minorEastAsia" w:hAnsiTheme="minorEastAsia"/>
          <w:color w:val="000000"/>
          <w:sz w:val="21"/>
          <w:szCs w:val="21"/>
          <w:lang w:val="en-US" w:eastAsia="zh-CN"/>
        </w:rPr>
        <w:t>8</w:t>
      </w:r>
      <w:r>
        <w:rPr>
          <w:rFonts w:hint="eastAsia" w:cs="宋体" w:asciiTheme="minorEastAsia" w:hAnsiTheme="minorEastAsia"/>
          <w:color w:val="000000"/>
          <w:sz w:val="21"/>
          <w:szCs w:val="21"/>
        </w:rPr>
        <w:t>时</w:t>
      </w:r>
      <w:r>
        <w:rPr>
          <w:rFonts w:hint="eastAsia" w:cs="宋体" w:asciiTheme="minorEastAsia" w:hAnsiTheme="minorEastAsia"/>
          <w:color w:val="000000"/>
          <w:sz w:val="21"/>
          <w:szCs w:val="21"/>
          <w:lang w:val="en-US" w:eastAsia="zh-CN"/>
        </w:rPr>
        <w:t>30</w:t>
      </w:r>
      <w:r>
        <w:rPr>
          <w:rFonts w:hint="eastAsia" w:cs="宋体" w:asciiTheme="minorEastAsia" w:hAnsiTheme="minorEastAsia"/>
          <w:color w:val="000000"/>
          <w:sz w:val="21"/>
          <w:szCs w:val="21"/>
        </w:rPr>
        <w:t>分（北京时间），逾期提交或不符合规定的投标文件不予接受。</w:t>
      </w:r>
    </w:p>
    <w:p>
      <w:pPr>
        <w:pStyle w:val="21"/>
        <w:widowControl/>
        <w:shd w:val="clear" w:color="auto" w:fill="FFFFFF"/>
        <w:spacing w:line="360" w:lineRule="auto"/>
        <w:ind w:firstLine="420"/>
        <w:contextualSpacing/>
        <w:jc w:val="left"/>
        <w:rPr>
          <w:rFonts w:hint="eastAsia" w:cs="宋体" w:asciiTheme="minorEastAsia" w:hAnsiTheme="minorEastAsia"/>
          <w:color w:val="000000"/>
          <w:sz w:val="21"/>
          <w:szCs w:val="21"/>
        </w:rPr>
      </w:pPr>
      <w:r>
        <w:rPr>
          <w:rFonts w:hint="eastAsia" w:cs="宋体" w:asciiTheme="minorEastAsia" w:hAnsiTheme="minorEastAsia"/>
          <w:color w:val="000000"/>
          <w:sz w:val="21"/>
          <w:szCs w:val="21"/>
        </w:rPr>
        <w:t>（二）开标地点：许昌市公共资源交易中心（龙兴路与竹林路交汇处创业服务中心C座）三楼开标</w:t>
      </w:r>
      <w:r>
        <w:rPr>
          <w:rFonts w:hint="eastAsia" w:cs="宋体" w:asciiTheme="minorEastAsia" w:hAnsiTheme="minorEastAsia"/>
          <w:color w:val="000000"/>
          <w:sz w:val="21"/>
          <w:szCs w:val="21"/>
          <w:lang w:eastAsia="zh-CN"/>
        </w:rPr>
        <w:t>五</w:t>
      </w:r>
      <w:r>
        <w:rPr>
          <w:rFonts w:hint="eastAsia" w:cs="宋体" w:asciiTheme="minorEastAsia" w:hAnsiTheme="minorEastAsia"/>
          <w:color w:val="000000"/>
          <w:sz w:val="21"/>
          <w:szCs w:val="21"/>
        </w:rPr>
        <w:t>室。</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（三） 本项目为全流程电子化交易项目，投标人须提交电子投标文件和纸质投标文件。</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1、加密电子投标文件</w:t>
      </w:r>
      <w:r>
        <w:rPr>
          <w:rFonts w:hint="eastAsia" w:cs="宋体" w:asciiTheme="minorEastAsia" w:hAnsiTheme="minorEastAsia"/>
          <w:color w:val="000000"/>
          <w:sz w:val="21"/>
          <w:szCs w:val="21"/>
        </w:rPr>
        <w:t>（</w:t>
      </w:r>
      <w:r>
        <w:rPr>
          <w:rFonts w:asciiTheme="minorEastAsia" w:hAnsiTheme="minorEastAsia" w:eastAsiaTheme="minorEastAsia"/>
          <w:color w:val="000000"/>
          <w:sz w:val="21"/>
          <w:szCs w:val="21"/>
        </w:rPr>
        <w:t>.file</w:t>
      </w:r>
      <w:r>
        <w:rPr>
          <w:rFonts w:hint="eastAsia" w:cs="宋体" w:asciiTheme="minorEastAsia" w:hAnsiTheme="minorEastAsia"/>
          <w:color w:val="000000"/>
          <w:sz w:val="21"/>
          <w:szCs w:val="21"/>
        </w:rPr>
        <w:t>格式）须</w:t>
      </w:r>
      <w:r>
        <w:rPr>
          <w:rFonts w:hint="eastAsia" w:cs="仿宋_GB2312" w:asciiTheme="minorEastAsia" w:hAnsiTheme="minorEastAsia" w:eastAsiaTheme="minorEastAsia"/>
          <w:color w:val="000000"/>
          <w:sz w:val="21"/>
          <w:szCs w:val="21"/>
        </w:rPr>
        <w:t>在投标截止时间（开标时间）前通过《全国公共资源交易平台(河南省</w:t>
      </w:r>
      <w:r>
        <w:rPr>
          <w:rFonts w:hint="eastAsia" w:ascii="MS Mincho" w:hAnsi="MS Mincho" w:cs="MS Mincho" w:eastAsiaTheme="minorEastAsia"/>
          <w:color w:val="000000"/>
          <w:sz w:val="21"/>
          <w:szCs w:val="21"/>
        </w:rPr>
        <w:t>.</w:t>
      </w:r>
      <w:r>
        <w:rPr>
          <w:rFonts w:hint="eastAsia" w:ascii="宋体" w:hAnsi="宋体" w:cs="宋体"/>
          <w:color w:val="000000"/>
          <w:sz w:val="21"/>
          <w:szCs w:val="21"/>
        </w:rPr>
        <w:t>许昌市</w:t>
      </w:r>
      <w:r>
        <w:rPr>
          <w:rFonts w:hint="eastAsia" w:cs="仿宋_GB2312" w:asciiTheme="minorEastAsia" w:hAnsiTheme="minorEastAsia" w:eastAsiaTheme="minorEastAsia"/>
          <w:color w:val="000000"/>
          <w:sz w:val="21"/>
          <w:szCs w:val="21"/>
        </w:rPr>
        <w:t>)》公共资源交易系统成功上传。</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pct10" w:color="auto" w:fill="FFFFFF"/>
        </w:rPr>
      </w:pPr>
      <w:r>
        <w:rPr>
          <w:rFonts w:hint="eastAsia" w:cs="仿宋_GB2312" w:asciiTheme="minorEastAsia" w:hAnsiTheme="minorEastAsia" w:eastAsiaTheme="minorEastAsia"/>
          <w:color w:val="000000"/>
          <w:sz w:val="21"/>
          <w:szCs w:val="21"/>
        </w:rPr>
        <w:t>2、纸质投标文件（正本、副本各1份）和备份文件1份</w:t>
      </w:r>
      <w:r>
        <w:rPr>
          <w:rFonts w:hint="eastAsia" w:hAnsi="宋体"/>
          <w:color w:val="000000"/>
          <w:sz w:val="21"/>
          <w:szCs w:val="21"/>
        </w:rPr>
        <w:t>（使用电子介质存储）</w:t>
      </w:r>
      <w:r>
        <w:rPr>
          <w:rFonts w:hint="eastAsia" w:cs="仿宋_GB2312" w:asciiTheme="minorEastAsia" w:hAnsiTheme="minorEastAsia" w:eastAsiaTheme="minorEastAsia"/>
          <w:color w:val="000000"/>
          <w:sz w:val="21"/>
          <w:szCs w:val="21"/>
        </w:rPr>
        <w:t>在投标截止时间（开标时间）前递交至本项目开标地点。</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六、本次招标公告同时在《中国政府采购网》、《河南省政府采购网》、《许昌市政府采购网》、《全国公共资源交易平台（河南省.许昌市）》、《中国.许昌 许昌市政府网》发布。</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七、公告期限</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本招标公告自发布之日起公告期限为5个工作日。</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rPr>
        <w:t>八、联系方式</w:t>
      </w:r>
    </w:p>
    <w:p>
      <w:pPr>
        <w:adjustRightInd w:val="0"/>
        <w:spacing w:line="360" w:lineRule="auto"/>
        <w:ind w:firstLine="843" w:firstLineChars="400"/>
        <w:contextualSpacing/>
        <w:jc w:val="left"/>
        <w:rPr>
          <w:rFonts w:hint="eastAsia" w:ascii="宋体" w:hAnsi="宋体"/>
          <w:color w:val="auto"/>
          <w:szCs w:val="21"/>
        </w:rPr>
      </w:pPr>
      <w:r>
        <w:rPr>
          <w:rFonts w:hint="eastAsia" w:ascii="宋体" w:hAnsi="宋体"/>
          <w:b/>
          <w:szCs w:val="21"/>
        </w:rPr>
        <w:t>采购人</w:t>
      </w:r>
      <w:r>
        <w:rPr>
          <w:rFonts w:hint="eastAsia" w:ascii="宋体" w:hAnsi="宋体"/>
          <w:szCs w:val="21"/>
        </w:rPr>
        <w:t>：</w:t>
      </w:r>
      <w:r>
        <w:rPr>
          <w:rFonts w:hint="eastAsia" w:ascii="宋体" w:hAnsi="宋体"/>
          <w:color w:val="auto"/>
          <w:szCs w:val="21"/>
        </w:rPr>
        <w:t>许昌市环境监控信息中心</w:t>
      </w:r>
    </w:p>
    <w:p>
      <w:pPr>
        <w:adjustRightInd w:val="0"/>
        <w:spacing w:line="360" w:lineRule="auto"/>
        <w:ind w:firstLine="840" w:firstLineChars="400"/>
        <w:contextualSpacing/>
        <w:jc w:val="left"/>
        <w:rPr>
          <w:rFonts w:hint="eastAsia" w:ascii="宋体" w:hAnsi="宋体"/>
          <w:color w:val="auto"/>
          <w:szCs w:val="21"/>
        </w:rPr>
      </w:pPr>
      <w:r>
        <w:rPr>
          <w:rFonts w:hint="eastAsia" w:ascii="宋体" w:hAnsi="宋体"/>
          <w:color w:val="auto"/>
          <w:szCs w:val="21"/>
        </w:rPr>
        <w:t>地址：许昌市龙兴路创业中</w:t>
      </w:r>
      <w:r>
        <w:rPr>
          <w:rFonts w:hint="eastAsia" w:ascii="宋体" w:hAnsi="宋体"/>
          <w:color w:val="auto"/>
          <w:szCs w:val="21"/>
          <w:lang w:val="en-US" w:eastAsia="zh-CN"/>
        </w:rPr>
        <w:t>心</w:t>
      </w:r>
    </w:p>
    <w:p>
      <w:pPr>
        <w:adjustRightInd w:val="0"/>
        <w:spacing w:line="360" w:lineRule="auto"/>
        <w:ind w:firstLine="840" w:firstLineChars="400"/>
        <w:contextualSpacing/>
        <w:jc w:val="left"/>
        <w:rPr>
          <w:rFonts w:hint="eastAsia" w:ascii="宋体" w:hAnsi="宋体"/>
          <w:color w:val="auto"/>
          <w:szCs w:val="21"/>
        </w:rPr>
      </w:pPr>
      <w:r>
        <w:rPr>
          <w:rFonts w:hint="eastAsia" w:ascii="宋体" w:hAnsi="宋体"/>
          <w:color w:val="auto"/>
          <w:szCs w:val="21"/>
        </w:rPr>
        <w:t>联系人：</w:t>
      </w:r>
      <w:r>
        <w:rPr>
          <w:rFonts w:hint="eastAsia" w:ascii="宋体" w:hAnsi="宋体"/>
          <w:color w:val="auto"/>
          <w:szCs w:val="21"/>
          <w:lang w:val="en-US" w:eastAsia="zh-CN"/>
        </w:rPr>
        <w:t>王帅领</w:t>
      </w:r>
      <w:r>
        <w:rPr>
          <w:rFonts w:hint="eastAsia" w:ascii="宋体" w:hAnsi="宋体"/>
          <w:color w:val="auto"/>
          <w:szCs w:val="21"/>
        </w:rPr>
        <w:t xml:space="preserve">                   联系电话：0374-6069913</w:t>
      </w:r>
    </w:p>
    <w:p>
      <w:pPr>
        <w:adjustRightInd w:val="0"/>
        <w:spacing w:line="360" w:lineRule="auto"/>
        <w:ind w:firstLine="843" w:firstLineChars="400"/>
        <w:contextualSpacing/>
        <w:jc w:val="left"/>
        <w:rPr>
          <w:rFonts w:ascii="宋体" w:hAnsi="宋体"/>
          <w:color w:val="auto"/>
          <w:szCs w:val="21"/>
        </w:rPr>
      </w:pPr>
      <w:r>
        <w:rPr>
          <w:rFonts w:hint="eastAsia" w:ascii="宋体" w:hAnsi="宋体"/>
          <w:b/>
          <w:szCs w:val="21"/>
        </w:rPr>
        <w:t>集中采购机构</w:t>
      </w:r>
      <w:r>
        <w:rPr>
          <w:rFonts w:hint="eastAsia" w:ascii="宋体" w:hAnsi="宋体"/>
          <w:szCs w:val="21"/>
        </w:rPr>
        <w:t>：许昌市政</w:t>
      </w:r>
      <w:r>
        <w:rPr>
          <w:rFonts w:hint="eastAsia" w:ascii="宋体" w:hAnsi="宋体"/>
          <w:color w:val="auto"/>
          <w:szCs w:val="21"/>
        </w:rPr>
        <w:t xml:space="preserve">府采购服务中心 </w:t>
      </w:r>
    </w:p>
    <w:p>
      <w:pPr>
        <w:adjustRightInd w:val="0"/>
        <w:spacing w:line="360" w:lineRule="auto"/>
        <w:ind w:firstLine="840" w:firstLineChars="400"/>
        <w:contextualSpacing/>
        <w:jc w:val="left"/>
        <w:rPr>
          <w:rFonts w:ascii="宋体" w:hAnsi="宋体"/>
          <w:color w:val="auto"/>
          <w:szCs w:val="21"/>
        </w:rPr>
      </w:pPr>
      <w:r>
        <w:rPr>
          <w:rFonts w:hint="eastAsia" w:ascii="宋体" w:hAnsi="宋体"/>
          <w:color w:val="auto"/>
          <w:szCs w:val="21"/>
        </w:rPr>
        <w:t>地址：许昌市</w:t>
      </w:r>
      <w:r>
        <w:rPr>
          <w:rFonts w:cs="Arial" w:asciiTheme="minorEastAsia" w:hAnsiTheme="minorEastAsia"/>
          <w:color w:val="auto"/>
          <w:szCs w:val="21"/>
        </w:rPr>
        <w:t>龙兴路与竹林路交汇处</w:t>
      </w:r>
      <w:r>
        <w:rPr>
          <w:rFonts w:hint="eastAsia" w:cs="仿宋_GB2312" w:asciiTheme="minorEastAsia" w:hAnsiTheme="minorEastAsia"/>
          <w:color w:val="auto"/>
          <w:szCs w:val="21"/>
        </w:rPr>
        <w:t>创业服务中心C座</w:t>
      </w:r>
    </w:p>
    <w:p>
      <w:pPr>
        <w:adjustRightInd w:val="0"/>
        <w:spacing w:line="360" w:lineRule="auto"/>
        <w:ind w:firstLine="840" w:firstLineChars="400"/>
        <w:contextualSpacing/>
        <w:jc w:val="left"/>
        <w:rPr>
          <w:rFonts w:ascii="宋体" w:hAnsi="宋体"/>
          <w:szCs w:val="21"/>
        </w:rPr>
      </w:pPr>
      <w:r>
        <w:rPr>
          <w:rFonts w:hint="eastAsia" w:ascii="宋体" w:hAnsi="宋体"/>
          <w:szCs w:val="21"/>
        </w:rPr>
        <w:t>联系人：</w:t>
      </w:r>
      <w:r>
        <w:rPr>
          <w:rFonts w:hint="eastAsia" w:ascii="宋体" w:hAnsi="宋体"/>
          <w:szCs w:val="21"/>
          <w:lang w:eastAsia="zh-CN"/>
        </w:rPr>
        <w:t>杨女士</w:t>
      </w:r>
      <w:r>
        <w:rPr>
          <w:rFonts w:hint="eastAsia" w:ascii="宋体" w:hAnsi="宋体"/>
          <w:szCs w:val="21"/>
        </w:rPr>
        <w:t xml:space="preserve">                           联系电话：</w:t>
      </w:r>
      <w:bookmarkStart w:id="1" w:name="联系人电话"/>
      <w:r>
        <w:rPr>
          <w:rFonts w:ascii="宋体" w:hAnsi="宋体"/>
          <w:szCs w:val="21"/>
        </w:rPr>
        <w:t>0</w:t>
      </w:r>
      <w:bookmarkEnd w:id="1"/>
      <w:r>
        <w:rPr>
          <w:rFonts w:hint="eastAsia" w:ascii="宋体" w:hAnsi="宋体"/>
          <w:szCs w:val="21"/>
        </w:rPr>
        <w:t>374-</w:t>
      </w:r>
      <w:r>
        <w:rPr>
          <w:rFonts w:hint="eastAsia" w:ascii="宋体" w:hAnsi="宋体"/>
          <w:szCs w:val="21"/>
          <w:lang w:val="en-US" w:eastAsia="zh-CN"/>
        </w:rPr>
        <w:t>2962805</w:t>
      </w: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2"/>
        <w:ind w:firstLine="321"/>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电子文件下载、制作、提交期间和开标（</w:t>
      </w:r>
      <w:r>
        <w:rPr>
          <w:rFonts w:hint="eastAsia" w:hAnsi="宋体"/>
          <w:szCs w:val="21"/>
        </w:rPr>
        <w:t>电子投标文件的解密</w:t>
      </w:r>
      <w:r>
        <w:rPr>
          <w:rFonts w:hint="eastAsia" w:hAnsi="宋体"/>
          <w:b/>
          <w:color w:val="000000"/>
          <w:szCs w:val="21"/>
        </w:rPr>
        <w:t>）环节，投标人须使用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电子投标文件的制作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投标人登录《全国公共资源交易平台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）下载“许昌投标文件制作系统SEARUN 最新版本”，按招标文件要求制作电子投标文件。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电子投标文件的制作，参考《全国公共资源交易平台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int="eastAsia" w:hAnsi="宋体"/>
          <w:color w:val="000000"/>
          <w:szCs w:val="21"/>
        </w:rPr>
        <w:t>投标人</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”的文件用于电子投标使用，后缀名为“.PDF”的文件用于打印纸质投标文件，名称为“备份”的文件夹使用电子介质存储，供开标现场备用。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电子投标文件的提交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电子投标文件应在招标文件规定的投标截止时间（开标时间）之前成功提交至《全国公共资源交易平台(河南省</w:t>
      </w:r>
      <w:r>
        <w:rPr>
          <w:rFonts w:hint="eastAsia" w:ascii="MS Mincho" w:hAnsi="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投标人应充分考虑并预留技术处理和上传数据所需时间。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电子投标文件成功提交后，投标人应打印“投标文件提交回执单”供开标现场备查。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评标依据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采用全流程电子化交易评标时，评标委员会以电子投标文件为依据评标。</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widowControl/>
        <w:jc w:val="left"/>
        <w:rPr>
          <w:rFonts w:cs="宋体" w:asciiTheme="majorEastAsia" w:hAnsiTheme="majorEastAsia" w:eastAsiaTheme="majorEastAsia"/>
          <w:b/>
          <w:kern w:val="0"/>
          <w:sz w:val="32"/>
          <w:szCs w:val="32"/>
        </w:rPr>
      </w:pP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rPr>
          <w:rFonts w:cs="宋体" w:asciiTheme="majorEastAsia" w:hAnsiTheme="majorEastAsia" w:eastAsiaTheme="majorEastAsia"/>
          <w:b/>
          <w:kern w:val="0"/>
          <w:sz w:val="32"/>
          <w:szCs w:val="32"/>
        </w:rPr>
      </w:pPr>
    </w:p>
    <w:p>
      <w:pPr>
        <w:widowControl/>
        <w:shd w:val="clear" w:color="auto" w:fill="FFFFFF"/>
        <w:spacing w:line="360" w:lineRule="auto"/>
        <w:ind w:firstLine="482" w:firstLineChars="200"/>
        <w:contextualSpacing/>
        <w:jc w:val="left"/>
        <w:rPr>
          <w:rFonts w:ascii="楷体" w:hAnsi="楷体" w:eastAsia="楷体" w:cs="宋体"/>
          <w:color w:val="000000"/>
          <w:kern w:val="0"/>
          <w:sz w:val="24"/>
          <w:szCs w:val="24"/>
          <w:lang w:val="zh-CN"/>
        </w:rPr>
      </w:pPr>
      <w:r>
        <w:rPr>
          <w:rFonts w:hint="eastAsia" w:cs="黑体" w:asciiTheme="minorEastAsia" w:hAnsiTheme="minorEastAsia"/>
          <w:b/>
          <w:bCs/>
          <w:color w:val="000000"/>
          <w:sz w:val="24"/>
          <w:szCs w:val="24"/>
          <w:shd w:val="clear" w:color="auto" w:fill="FFFFFF"/>
        </w:rPr>
        <w:t>一、采购清单</w:t>
      </w:r>
    </w:p>
    <w:p>
      <w:pPr>
        <w:widowControl/>
        <w:shd w:val="clear" w:color="auto" w:fill="FFFFFF"/>
        <w:spacing w:line="360" w:lineRule="auto"/>
        <w:ind w:firstLine="600"/>
        <w:jc w:val="left"/>
        <w:rPr>
          <w:rFonts w:hint="eastAsia" w:ascii="仿宋" w:hAnsi="仿宋" w:eastAsia="仿宋" w:cs="仿宋"/>
          <w:b/>
          <w:bCs/>
          <w:i w:val="0"/>
          <w:color w:val="000000"/>
          <w:kern w:val="0"/>
          <w:sz w:val="32"/>
          <w:szCs w:val="32"/>
          <w:u w:val="none"/>
          <w:shd w:val="clear" w:color="auto" w:fill="FFFFFF"/>
          <w:lang w:val="en-US" w:eastAsia="zh-CN" w:bidi="ar"/>
        </w:rPr>
      </w:pPr>
      <w:r>
        <w:rPr>
          <w:rFonts w:hint="eastAsia" w:ascii="仿宋" w:hAnsi="仿宋" w:eastAsia="仿宋" w:cs="仿宋"/>
          <w:b w:val="0"/>
          <w:i w:val="0"/>
          <w:color w:val="000000"/>
          <w:kern w:val="0"/>
          <w:sz w:val="32"/>
          <w:szCs w:val="32"/>
          <w:u w:val="none"/>
          <w:shd w:val="clear" w:color="auto" w:fill="FFFFFF"/>
          <w:lang w:val="en-US" w:eastAsia="zh-CN" w:bidi="ar"/>
        </w:rPr>
        <w:t>A包：23个县级环境水质自动站运行管理服务</w:t>
      </w:r>
    </w:p>
    <w:tbl>
      <w:tblPr>
        <w:tblStyle w:val="24"/>
        <w:tblW w:w="8737" w:type="dxa"/>
        <w:tblInd w:w="-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4"/>
        <w:gridCol w:w="2995"/>
        <w:gridCol w:w="2067"/>
        <w:gridCol w:w="2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994" w:type="dxa"/>
            <w:noWrap w:val="0"/>
            <w:vAlign w:val="center"/>
          </w:tcPr>
          <w:p>
            <w:pPr>
              <w:pStyle w:val="2"/>
              <w:spacing w:line="360" w:lineRule="auto"/>
              <w:ind w:left="0" w:leftChars="0"/>
              <w:jc w:val="center"/>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序号</w:t>
            </w:r>
          </w:p>
        </w:tc>
        <w:tc>
          <w:tcPr>
            <w:tcW w:w="2995" w:type="dxa"/>
            <w:noWrap w:val="0"/>
            <w:vAlign w:val="center"/>
          </w:tcPr>
          <w:p>
            <w:pPr>
              <w:pStyle w:val="2"/>
              <w:spacing w:line="360" w:lineRule="auto"/>
              <w:ind w:left="0" w:leftChars="0"/>
              <w:jc w:val="center"/>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项目</w:t>
            </w:r>
          </w:p>
        </w:tc>
        <w:tc>
          <w:tcPr>
            <w:tcW w:w="2067" w:type="dxa"/>
            <w:noWrap w:val="0"/>
            <w:vAlign w:val="center"/>
          </w:tcPr>
          <w:p>
            <w:pPr>
              <w:pStyle w:val="2"/>
              <w:spacing w:line="360" w:lineRule="auto"/>
              <w:ind w:left="0" w:leftChars="0"/>
              <w:jc w:val="center"/>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服务年限</w:t>
            </w:r>
          </w:p>
        </w:tc>
        <w:tc>
          <w:tcPr>
            <w:tcW w:w="2681" w:type="dxa"/>
            <w:noWrap w:val="0"/>
            <w:vAlign w:val="center"/>
          </w:tcPr>
          <w:p>
            <w:pPr>
              <w:pStyle w:val="2"/>
              <w:spacing w:line="360" w:lineRule="auto"/>
              <w:ind w:left="0" w:leftChars="0"/>
              <w:jc w:val="center"/>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994" w:type="dxa"/>
            <w:noWrap w:val="0"/>
            <w:vAlign w:val="center"/>
          </w:tcPr>
          <w:p>
            <w:pPr>
              <w:pStyle w:val="2"/>
              <w:spacing w:line="360" w:lineRule="auto"/>
              <w:ind w:left="0" w:leftChars="0"/>
              <w:jc w:val="center"/>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1</w:t>
            </w:r>
          </w:p>
        </w:tc>
        <w:tc>
          <w:tcPr>
            <w:tcW w:w="2995" w:type="dxa"/>
            <w:noWrap w:val="0"/>
            <w:vAlign w:val="center"/>
          </w:tcPr>
          <w:p>
            <w:pPr>
              <w:pStyle w:val="2"/>
              <w:spacing w:line="360" w:lineRule="auto"/>
              <w:ind w:left="0" w:leftChars="0"/>
              <w:jc w:val="center"/>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运维人员工资</w:t>
            </w:r>
          </w:p>
        </w:tc>
        <w:tc>
          <w:tcPr>
            <w:tcW w:w="2067" w:type="dxa"/>
            <w:noWrap w:val="0"/>
            <w:vAlign w:val="center"/>
          </w:tcPr>
          <w:p>
            <w:pPr>
              <w:pStyle w:val="2"/>
              <w:spacing w:line="360" w:lineRule="auto"/>
              <w:ind w:left="0" w:leftChars="0"/>
              <w:jc w:val="center"/>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lang w:val="en-US" w:eastAsia="zh-CN"/>
              </w:rPr>
              <w:t>1</w:t>
            </w:r>
            <w:r>
              <w:rPr>
                <w:rFonts w:hint="eastAsia" w:ascii="仿宋" w:hAnsi="仿宋" w:eastAsia="仿宋" w:cs="仿宋"/>
                <w:kern w:val="0"/>
                <w:sz w:val="32"/>
                <w:szCs w:val="32"/>
                <w:shd w:val="clear" w:color="auto" w:fill="FFFFFF"/>
              </w:rPr>
              <w:t>年</w:t>
            </w:r>
          </w:p>
        </w:tc>
        <w:tc>
          <w:tcPr>
            <w:tcW w:w="2681" w:type="dxa"/>
            <w:vMerge w:val="restart"/>
            <w:noWrap w:val="0"/>
            <w:vAlign w:val="center"/>
          </w:tcPr>
          <w:p>
            <w:pPr>
              <w:pStyle w:val="2"/>
              <w:spacing w:line="360" w:lineRule="auto"/>
              <w:ind w:left="0" w:leftChars="0"/>
              <w:jc w:val="center"/>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详见运维服务要求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994" w:type="dxa"/>
            <w:noWrap w:val="0"/>
            <w:vAlign w:val="center"/>
          </w:tcPr>
          <w:p>
            <w:pPr>
              <w:pStyle w:val="2"/>
              <w:spacing w:line="360" w:lineRule="auto"/>
              <w:ind w:left="0" w:leftChars="0"/>
              <w:jc w:val="center"/>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2</w:t>
            </w:r>
          </w:p>
        </w:tc>
        <w:tc>
          <w:tcPr>
            <w:tcW w:w="2995" w:type="dxa"/>
            <w:noWrap w:val="0"/>
            <w:vAlign w:val="center"/>
          </w:tcPr>
          <w:p>
            <w:pPr>
              <w:pStyle w:val="2"/>
              <w:spacing w:line="360" w:lineRule="auto"/>
              <w:ind w:left="0" w:leftChars="0"/>
              <w:jc w:val="center"/>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车辆使用费</w:t>
            </w:r>
          </w:p>
        </w:tc>
        <w:tc>
          <w:tcPr>
            <w:tcW w:w="2067" w:type="dxa"/>
            <w:noWrap w:val="0"/>
            <w:vAlign w:val="center"/>
          </w:tcPr>
          <w:p>
            <w:pPr>
              <w:pStyle w:val="2"/>
              <w:spacing w:line="360" w:lineRule="auto"/>
              <w:ind w:left="0" w:leftChars="0"/>
              <w:jc w:val="center"/>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lang w:val="en-US" w:eastAsia="zh-CN"/>
              </w:rPr>
              <w:t>1</w:t>
            </w:r>
            <w:r>
              <w:rPr>
                <w:rFonts w:hint="eastAsia" w:ascii="仿宋" w:hAnsi="仿宋" w:eastAsia="仿宋" w:cs="仿宋"/>
                <w:kern w:val="0"/>
                <w:sz w:val="32"/>
                <w:szCs w:val="32"/>
                <w:shd w:val="clear" w:color="auto" w:fill="FFFFFF"/>
              </w:rPr>
              <w:t>年</w:t>
            </w:r>
          </w:p>
        </w:tc>
        <w:tc>
          <w:tcPr>
            <w:tcW w:w="2681" w:type="dxa"/>
            <w:vMerge w:val="continue"/>
            <w:noWrap w:val="0"/>
            <w:vAlign w:val="center"/>
          </w:tcPr>
          <w:p>
            <w:pPr>
              <w:pStyle w:val="2"/>
              <w:spacing w:line="360" w:lineRule="auto"/>
              <w:ind w:left="0" w:leftChars="0"/>
              <w:jc w:val="center"/>
              <w:rPr>
                <w:rFonts w:hint="eastAsia" w:ascii="仿宋" w:hAnsi="仿宋" w:eastAsia="仿宋" w:cs="仿宋"/>
                <w:kern w:val="0"/>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994" w:type="dxa"/>
            <w:noWrap w:val="0"/>
            <w:vAlign w:val="center"/>
          </w:tcPr>
          <w:p>
            <w:pPr>
              <w:pStyle w:val="2"/>
              <w:spacing w:line="360" w:lineRule="auto"/>
              <w:ind w:left="0" w:leftChars="0"/>
              <w:jc w:val="center"/>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3</w:t>
            </w:r>
          </w:p>
        </w:tc>
        <w:tc>
          <w:tcPr>
            <w:tcW w:w="2995" w:type="dxa"/>
            <w:noWrap w:val="0"/>
            <w:vAlign w:val="center"/>
          </w:tcPr>
          <w:p>
            <w:pPr>
              <w:pStyle w:val="2"/>
              <w:spacing w:line="360" w:lineRule="auto"/>
              <w:ind w:left="0" w:leftChars="0"/>
              <w:jc w:val="center"/>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实验室设备费</w:t>
            </w:r>
          </w:p>
        </w:tc>
        <w:tc>
          <w:tcPr>
            <w:tcW w:w="2067" w:type="dxa"/>
            <w:noWrap w:val="0"/>
            <w:vAlign w:val="center"/>
          </w:tcPr>
          <w:p>
            <w:pPr>
              <w:pStyle w:val="2"/>
              <w:spacing w:line="360" w:lineRule="auto"/>
              <w:ind w:left="0" w:leftChars="0"/>
              <w:jc w:val="center"/>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lang w:val="en-US" w:eastAsia="zh-CN"/>
              </w:rPr>
              <w:t>1</w:t>
            </w:r>
            <w:r>
              <w:rPr>
                <w:rFonts w:hint="eastAsia" w:ascii="仿宋" w:hAnsi="仿宋" w:eastAsia="仿宋" w:cs="仿宋"/>
                <w:kern w:val="0"/>
                <w:sz w:val="32"/>
                <w:szCs w:val="32"/>
                <w:shd w:val="clear" w:color="auto" w:fill="FFFFFF"/>
              </w:rPr>
              <w:t>年</w:t>
            </w:r>
          </w:p>
        </w:tc>
        <w:tc>
          <w:tcPr>
            <w:tcW w:w="2681" w:type="dxa"/>
            <w:vMerge w:val="continue"/>
            <w:noWrap w:val="0"/>
            <w:vAlign w:val="center"/>
          </w:tcPr>
          <w:p>
            <w:pPr>
              <w:pStyle w:val="2"/>
              <w:spacing w:line="360" w:lineRule="auto"/>
              <w:ind w:left="0" w:leftChars="0"/>
              <w:jc w:val="center"/>
              <w:rPr>
                <w:rFonts w:hint="eastAsia" w:ascii="仿宋" w:hAnsi="仿宋" w:eastAsia="仿宋" w:cs="仿宋"/>
                <w:kern w:val="0"/>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994" w:type="dxa"/>
            <w:noWrap w:val="0"/>
            <w:vAlign w:val="center"/>
          </w:tcPr>
          <w:p>
            <w:pPr>
              <w:pStyle w:val="2"/>
              <w:spacing w:line="360" w:lineRule="auto"/>
              <w:ind w:left="0" w:leftChars="0"/>
              <w:jc w:val="center"/>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4</w:t>
            </w:r>
          </w:p>
        </w:tc>
        <w:tc>
          <w:tcPr>
            <w:tcW w:w="2995" w:type="dxa"/>
            <w:noWrap w:val="0"/>
            <w:vAlign w:val="center"/>
          </w:tcPr>
          <w:p>
            <w:pPr>
              <w:pStyle w:val="2"/>
              <w:spacing w:line="360" w:lineRule="auto"/>
              <w:ind w:left="0" w:leftChars="0"/>
              <w:jc w:val="center"/>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仪器备品备件费</w:t>
            </w:r>
          </w:p>
        </w:tc>
        <w:tc>
          <w:tcPr>
            <w:tcW w:w="2067" w:type="dxa"/>
            <w:noWrap w:val="0"/>
            <w:vAlign w:val="center"/>
          </w:tcPr>
          <w:p>
            <w:pPr>
              <w:pStyle w:val="2"/>
              <w:spacing w:line="360" w:lineRule="auto"/>
              <w:ind w:left="0" w:leftChars="0"/>
              <w:jc w:val="center"/>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lang w:val="en-US" w:eastAsia="zh-CN"/>
              </w:rPr>
              <w:t>1</w:t>
            </w:r>
            <w:r>
              <w:rPr>
                <w:rFonts w:hint="eastAsia" w:ascii="仿宋" w:hAnsi="仿宋" w:eastAsia="仿宋" w:cs="仿宋"/>
                <w:kern w:val="0"/>
                <w:sz w:val="32"/>
                <w:szCs w:val="32"/>
                <w:shd w:val="clear" w:color="auto" w:fill="FFFFFF"/>
              </w:rPr>
              <w:t>年</w:t>
            </w:r>
          </w:p>
        </w:tc>
        <w:tc>
          <w:tcPr>
            <w:tcW w:w="2681" w:type="dxa"/>
            <w:vMerge w:val="continue"/>
            <w:noWrap w:val="0"/>
            <w:vAlign w:val="center"/>
          </w:tcPr>
          <w:p>
            <w:pPr>
              <w:pStyle w:val="2"/>
              <w:spacing w:line="360" w:lineRule="auto"/>
              <w:ind w:left="0" w:leftChars="0"/>
              <w:jc w:val="center"/>
              <w:rPr>
                <w:rFonts w:hint="eastAsia" w:ascii="仿宋" w:hAnsi="仿宋" w:eastAsia="仿宋" w:cs="仿宋"/>
                <w:kern w:val="0"/>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994" w:type="dxa"/>
            <w:noWrap w:val="0"/>
            <w:vAlign w:val="center"/>
          </w:tcPr>
          <w:p>
            <w:pPr>
              <w:pStyle w:val="2"/>
              <w:spacing w:line="360" w:lineRule="auto"/>
              <w:ind w:left="0" w:leftChars="0"/>
              <w:jc w:val="center"/>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5</w:t>
            </w:r>
          </w:p>
        </w:tc>
        <w:tc>
          <w:tcPr>
            <w:tcW w:w="2995" w:type="dxa"/>
            <w:noWrap w:val="0"/>
            <w:vAlign w:val="center"/>
          </w:tcPr>
          <w:p>
            <w:pPr>
              <w:pStyle w:val="2"/>
              <w:spacing w:line="360" w:lineRule="auto"/>
              <w:ind w:left="0" w:leftChars="0"/>
              <w:jc w:val="center"/>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网络费</w:t>
            </w:r>
          </w:p>
        </w:tc>
        <w:tc>
          <w:tcPr>
            <w:tcW w:w="2067" w:type="dxa"/>
            <w:noWrap w:val="0"/>
            <w:vAlign w:val="center"/>
          </w:tcPr>
          <w:p>
            <w:pPr>
              <w:pStyle w:val="2"/>
              <w:spacing w:line="360" w:lineRule="auto"/>
              <w:ind w:left="0" w:leftChars="0"/>
              <w:jc w:val="center"/>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lang w:val="en-US" w:eastAsia="zh-CN"/>
              </w:rPr>
              <w:t>1</w:t>
            </w:r>
            <w:r>
              <w:rPr>
                <w:rFonts w:hint="eastAsia" w:ascii="仿宋" w:hAnsi="仿宋" w:eastAsia="仿宋" w:cs="仿宋"/>
                <w:kern w:val="0"/>
                <w:sz w:val="32"/>
                <w:szCs w:val="32"/>
                <w:shd w:val="clear" w:color="auto" w:fill="FFFFFF"/>
              </w:rPr>
              <w:t>年</w:t>
            </w:r>
          </w:p>
        </w:tc>
        <w:tc>
          <w:tcPr>
            <w:tcW w:w="2681" w:type="dxa"/>
            <w:vMerge w:val="continue"/>
            <w:noWrap w:val="0"/>
            <w:vAlign w:val="center"/>
          </w:tcPr>
          <w:p>
            <w:pPr>
              <w:pStyle w:val="2"/>
              <w:spacing w:line="360" w:lineRule="auto"/>
              <w:ind w:left="0" w:leftChars="0"/>
              <w:jc w:val="center"/>
              <w:rPr>
                <w:rFonts w:hint="eastAsia" w:ascii="仿宋" w:hAnsi="仿宋" w:eastAsia="仿宋" w:cs="仿宋"/>
                <w:kern w:val="0"/>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994" w:type="dxa"/>
            <w:noWrap w:val="0"/>
            <w:vAlign w:val="center"/>
          </w:tcPr>
          <w:p>
            <w:pPr>
              <w:pStyle w:val="2"/>
              <w:spacing w:line="360" w:lineRule="auto"/>
              <w:ind w:left="0" w:leftChars="0"/>
              <w:jc w:val="center"/>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6</w:t>
            </w:r>
          </w:p>
        </w:tc>
        <w:tc>
          <w:tcPr>
            <w:tcW w:w="2995" w:type="dxa"/>
            <w:noWrap w:val="0"/>
            <w:vAlign w:val="center"/>
          </w:tcPr>
          <w:p>
            <w:pPr>
              <w:pStyle w:val="2"/>
              <w:spacing w:line="360" w:lineRule="auto"/>
              <w:ind w:left="0" w:leftChars="0"/>
              <w:jc w:val="center"/>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水电费</w:t>
            </w:r>
          </w:p>
        </w:tc>
        <w:tc>
          <w:tcPr>
            <w:tcW w:w="2067" w:type="dxa"/>
            <w:noWrap w:val="0"/>
            <w:vAlign w:val="center"/>
          </w:tcPr>
          <w:p>
            <w:pPr>
              <w:pStyle w:val="2"/>
              <w:spacing w:line="360" w:lineRule="auto"/>
              <w:ind w:left="0" w:leftChars="0"/>
              <w:jc w:val="center"/>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lang w:val="en-US" w:eastAsia="zh-CN"/>
              </w:rPr>
              <w:t>1</w:t>
            </w:r>
            <w:r>
              <w:rPr>
                <w:rFonts w:hint="eastAsia" w:ascii="仿宋" w:hAnsi="仿宋" w:eastAsia="仿宋" w:cs="仿宋"/>
                <w:kern w:val="0"/>
                <w:sz w:val="32"/>
                <w:szCs w:val="32"/>
                <w:shd w:val="clear" w:color="auto" w:fill="FFFFFF"/>
              </w:rPr>
              <w:t>年</w:t>
            </w:r>
          </w:p>
        </w:tc>
        <w:tc>
          <w:tcPr>
            <w:tcW w:w="2681" w:type="dxa"/>
            <w:vMerge w:val="continue"/>
            <w:noWrap w:val="0"/>
            <w:vAlign w:val="center"/>
          </w:tcPr>
          <w:p>
            <w:pPr>
              <w:pStyle w:val="2"/>
              <w:spacing w:line="360" w:lineRule="auto"/>
              <w:ind w:left="0" w:leftChars="0"/>
              <w:jc w:val="center"/>
              <w:rPr>
                <w:rFonts w:hint="eastAsia" w:ascii="仿宋" w:hAnsi="仿宋" w:eastAsia="仿宋" w:cs="仿宋"/>
                <w:kern w:val="0"/>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994" w:type="dxa"/>
            <w:noWrap w:val="0"/>
            <w:vAlign w:val="center"/>
          </w:tcPr>
          <w:p>
            <w:pPr>
              <w:pStyle w:val="2"/>
              <w:spacing w:line="360" w:lineRule="auto"/>
              <w:ind w:left="0" w:leftChars="0"/>
              <w:jc w:val="center"/>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7</w:t>
            </w:r>
          </w:p>
        </w:tc>
        <w:tc>
          <w:tcPr>
            <w:tcW w:w="2995" w:type="dxa"/>
            <w:noWrap w:val="0"/>
            <w:vAlign w:val="center"/>
          </w:tcPr>
          <w:p>
            <w:pPr>
              <w:pStyle w:val="2"/>
              <w:spacing w:line="360" w:lineRule="auto"/>
              <w:ind w:left="0" w:leftChars="0"/>
              <w:jc w:val="center"/>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试剂费及其他</w:t>
            </w:r>
          </w:p>
        </w:tc>
        <w:tc>
          <w:tcPr>
            <w:tcW w:w="2067" w:type="dxa"/>
            <w:noWrap w:val="0"/>
            <w:vAlign w:val="center"/>
          </w:tcPr>
          <w:p>
            <w:pPr>
              <w:pStyle w:val="2"/>
              <w:spacing w:line="360" w:lineRule="auto"/>
              <w:ind w:left="0" w:leftChars="0"/>
              <w:jc w:val="center"/>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lang w:val="en-US" w:eastAsia="zh-CN"/>
              </w:rPr>
              <w:t>1</w:t>
            </w:r>
            <w:r>
              <w:rPr>
                <w:rFonts w:hint="eastAsia" w:ascii="仿宋" w:hAnsi="仿宋" w:eastAsia="仿宋" w:cs="仿宋"/>
                <w:kern w:val="0"/>
                <w:sz w:val="32"/>
                <w:szCs w:val="32"/>
                <w:shd w:val="clear" w:color="auto" w:fill="FFFFFF"/>
              </w:rPr>
              <w:t>年</w:t>
            </w:r>
          </w:p>
        </w:tc>
        <w:tc>
          <w:tcPr>
            <w:tcW w:w="2681" w:type="dxa"/>
            <w:vMerge w:val="continue"/>
            <w:noWrap w:val="0"/>
            <w:vAlign w:val="center"/>
          </w:tcPr>
          <w:p>
            <w:pPr>
              <w:pStyle w:val="2"/>
              <w:spacing w:line="360" w:lineRule="auto"/>
              <w:ind w:left="0" w:leftChars="0"/>
              <w:jc w:val="center"/>
              <w:rPr>
                <w:rFonts w:hint="eastAsia" w:ascii="仿宋" w:hAnsi="仿宋" w:eastAsia="仿宋" w:cs="仿宋"/>
                <w:kern w:val="0"/>
                <w:sz w:val="32"/>
                <w:szCs w:val="32"/>
                <w:shd w:val="clear" w:color="auto" w:fill="FFFFFF"/>
              </w:rPr>
            </w:pPr>
          </w:p>
        </w:tc>
      </w:tr>
    </w:tbl>
    <w:p>
      <w:pPr>
        <w:spacing w:line="360" w:lineRule="auto"/>
        <w:jc w:val="left"/>
        <w:rPr>
          <w:rFonts w:hint="eastAsia" w:ascii="仿宋" w:hAnsi="仿宋" w:eastAsia="仿宋" w:cs="仿宋"/>
          <w:b/>
          <w:kern w:val="0"/>
          <w:sz w:val="32"/>
          <w:szCs w:val="32"/>
          <w:shd w:val="clear" w:color="auto" w:fill="FFFFFF"/>
        </w:rPr>
      </w:pPr>
    </w:p>
    <w:tbl>
      <w:tblPr>
        <w:tblStyle w:val="23"/>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201"/>
        <w:gridCol w:w="1134"/>
        <w:gridCol w:w="1417"/>
        <w:gridCol w:w="3485"/>
        <w:gridCol w:w="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32" w:type="dxa"/>
            <w:noWrap/>
            <w:vAlign w:val="center"/>
          </w:tcPr>
          <w:p>
            <w:pPr>
              <w:widowControl/>
              <w:jc w:val="center"/>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rPr>
              <w:t>序号</w:t>
            </w:r>
          </w:p>
        </w:tc>
        <w:tc>
          <w:tcPr>
            <w:tcW w:w="1201" w:type="dxa"/>
            <w:noWrap w:val="0"/>
            <w:vAlign w:val="center"/>
          </w:tcPr>
          <w:p>
            <w:pPr>
              <w:widowControl/>
              <w:jc w:val="center"/>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rPr>
              <w:t>所在县</w:t>
            </w:r>
            <w:r>
              <w:rPr>
                <w:rFonts w:hint="eastAsia" w:ascii="仿宋" w:hAnsi="仿宋" w:eastAsia="仿宋" w:cs="仿宋"/>
                <w:b/>
                <w:bCs/>
                <w:color w:val="000000"/>
                <w:kern w:val="0"/>
                <w:sz w:val="32"/>
                <w:szCs w:val="32"/>
              </w:rPr>
              <w:br w:type="textWrapping"/>
            </w:r>
            <w:r>
              <w:rPr>
                <w:rFonts w:hint="eastAsia" w:ascii="仿宋" w:hAnsi="仿宋" w:eastAsia="仿宋" w:cs="仿宋"/>
                <w:b/>
                <w:bCs/>
                <w:color w:val="000000"/>
                <w:kern w:val="0"/>
                <w:sz w:val="32"/>
                <w:szCs w:val="32"/>
              </w:rPr>
              <w:t>（市、区）</w:t>
            </w:r>
          </w:p>
        </w:tc>
        <w:tc>
          <w:tcPr>
            <w:tcW w:w="1134" w:type="dxa"/>
            <w:noWrap/>
            <w:vAlign w:val="center"/>
          </w:tcPr>
          <w:p>
            <w:pPr>
              <w:widowControl/>
              <w:jc w:val="center"/>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rPr>
              <w:t>河流名称</w:t>
            </w:r>
          </w:p>
        </w:tc>
        <w:tc>
          <w:tcPr>
            <w:tcW w:w="1417" w:type="dxa"/>
            <w:noWrap/>
            <w:vAlign w:val="center"/>
          </w:tcPr>
          <w:p>
            <w:pPr>
              <w:widowControl/>
              <w:jc w:val="center"/>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rPr>
              <w:t>断面名称</w:t>
            </w:r>
          </w:p>
        </w:tc>
        <w:tc>
          <w:tcPr>
            <w:tcW w:w="3485" w:type="dxa"/>
            <w:noWrap/>
            <w:vAlign w:val="center"/>
          </w:tcPr>
          <w:p>
            <w:pPr>
              <w:widowControl/>
              <w:jc w:val="center"/>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rPr>
              <w:t>主要设备清单</w:t>
            </w:r>
          </w:p>
        </w:tc>
        <w:tc>
          <w:tcPr>
            <w:tcW w:w="771" w:type="dxa"/>
            <w:noWrap/>
            <w:vAlign w:val="center"/>
          </w:tcPr>
          <w:p>
            <w:pPr>
              <w:widowControl/>
              <w:jc w:val="center"/>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rPr>
              <w:t>服务</w:t>
            </w:r>
          </w:p>
          <w:p>
            <w:pPr>
              <w:widowControl/>
              <w:jc w:val="center"/>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32" w:type="dxa"/>
            <w:noWrap/>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w:t>
            </w:r>
          </w:p>
        </w:tc>
        <w:tc>
          <w:tcPr>
            <w:tcW w:w="1201" w:type="dxa"/>
            <w:noWrap/>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长葛市</w:t>
            </w:r>
          </w:p>
        </w:tc>
        <w:tc>
          <w:tcPr>
            <w:tcW w:w="1134" w:type="dxa"/>
            <w:noWrap/>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清潩河</w:t>
            </w:r>
          </w:p>
        </w:tc>
        <w:tc>
          <w:tcPr>
            <w:tcW w:w="1417" w:type="dxa"/>
            <w:noWrap/>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禄马桥</w:t>
            </w:r>
          </w:p>
        </w:tc>
        <w:tc>
          <w:tcPr>
            <w:tcW w:w="3485" w:type="dxa"/>
            <w:noWrap w:val="0"/>
            <w:vAlign w:val="center"/>
          </w:tcPr>
          <w:p>
            <w:pPr>
              <w:widowControl/>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氨氮、高锰酸盐指数、化学需氧量、总氮/总磷、五参数、留样器、质控仪、系统集成。</w:t>
            </w:r>
          </w:p>
        </w:tc>
        <w:tc>
          <w:tcPr>
            <w:tcW w:w="771" w:type="dxa"/>
            <w:vMerge w:val="restart"/>
            <w:noWrap/>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1</w:t>
            </w:r>
            <w:r>
              <w:rPr>
                <w:rFonts w:hint="eastAsia" w:ascii="仿宋" w:hAnsi="仿宋" w:eastAsia="仿宋" w:cs="仿宋"/>
                <w:color w:val="000000"/>
                <w:kern w:val="0"/>
                <w:sz w:val="32"/>
                <w:szCs w:val="32"/>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32" w:type="dxa"/>
            <w:noWrap/>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w:t>
            </w:r>
          </w:p>
        </w:tc>
        <w:tc>
          <w:tcPr>
            <w:tcW w:w="1201" w:type="dxa"/>
            <w:noWrap/>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长葛市</w:t>
            </w:r>
          </w:p>
        </w:tc>
        <w:tc>
          <w:tcPr>
            <w:tcW w:w="1134" w:type="dxa"/>
            <w:noWrap/>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饮马河</w:t>
            </w:r>
          </w:p>
        </w:tc>
        <w:tc>
          <w:tcPr>
            <w:tcW w:w="1417" w:type="dxa"/>
            <w:noWrap/>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关庄</w:t>
            </w:r>
          </w:p>
        </w:tc>
        <w:tc>
          <w:tcPr>
            <w:tcW w:w="3485" w:type="dxa"/>
            <w:vMerge w:val="restart"/>
            <w:noWrap w:val="0"/>
            <w:vAlign w:val="center"/>
          </w:tcPr>
          <w:p>
            <w:pPr>
              <w:widowControl/>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氨氮、高锰酸盐指数、化学需氧量、总氮/总磷、五参数、留样器、质控仪、系统集成。</w:t>
            </w:r>
          </w:p>
        </w:tc>
        <w:tc>
          <w:tcPr>
            <w:tcW w:w="771" w:type="dxa"/>
            <w:vMerge w:val="continue"/>
            <w:noWrap w:val="0"/>
            <w:vAlign w:val="center"/>
          </w:tcPr>
          <w:p>
            <w:pPr>
              <w:widowControl/>
              <w:jc w:val="left"/>
              <w:rPr>
                <w:rFonts w:hint="eastAsia" w:ascii="仿宋" w:hAnsi="仿宋" w:eastAsia="仿宋" w:cs="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jc w:val="center"/>
        </w:trPr>
        <w:tc>
          <w:tcPr>
            <w:tcW w:w="732" w:type="dxa"/>
            <w:noWrap/>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3</w:t>
            </w:r>
          </w:p>
        </w:tc>
        <w:tc>
          <w:tcPr>
            <w:tcW w:w="1201" w:type="dxa"/>
            <w:noWrap/>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魏都区</w:t>
            </w:r>
          </w:p>
        </w:tc>
        <w:tc>
          <w:tcPr>
            <w:tcW w:w="1134" w:type="dxa"/>
            <w:noWrap/>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清潩河</w:t>
            </w:r>
          </w:p>
        </w:tc>
        <w:tc>
          <w:tcPr>
            <w:tcW w:w="1417" w:type="dxa"/>
            <w:noWrap/>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橡胶一坝</w:t>
            </w:r>
          </w:p>
        </w:tc>
        <w:tc>
          <w:tcPr>
            <w:tcW w:w="3485" w:type="dxa"/>
            <w:vMerge w:val="continue"/>
            <w:noWrap w:val="0"/>
            <w:vAlign w:val="center"/>
          </w:tcPr>
          <w:p>
            <w:pPr>
              <w:widowControl/>
              <w:jc w:val="left"/>
              <w:rPr>
                <w:rFonts w:hint="eastAsia" w:ascii="仿宋" w:hAnsi="仿宋" w:eastAsia="仿宋" w:cs="仿宋"/>
                <w:color w:val="000000"/>
                <w:kern w:val="0"/>
                <w:sz w:val="32"/>
                <w:szCs w:val="32"/>
              </w:rPr>
            </w:pPr>
          </w:p>
        </w:tc>
        <w:tc>
          <w:tcPr>
            <w:tcW w:w="771" w:type="dxa"/>
            <w:vMerge w:val="continue"/>
            <w:noWrap w:val="0"/>
            <w:vAlign w:val="center"/>
          </w:tcPr>
          <w:p>
            <w:pPr>
              <w:widowControl/>
              <w:jc w:val="left"/>
              <w:rPr>
                <w:rFonts w:hint="eastAsia" w:ascii="仿宋" w:hAnsi="仿宋" w:eastAsia="仿宋" w:cs="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32" w:type="dxa"/>
            <w:noWrap/>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4</w:t>
            </w:r>
          </w:p>
        </w:tc>
        <w:tc>
          <w:tcPr>
            <w:tcW w:w="1201" w:type="dxa"/>
            <w:noWrap/>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长葛市</w:t>
            </w:r>
          </w:p>
        </w:tc>
        <w:tc>
          <w:tcPr>
            <w:tcW w:w="1134" w:type="dxa"/>
            <w:noWrap/>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双洎河</w:t>
            </w:r>
          </w:p>
        </w:tc>
        <w:tc>
          <w:tcPr>
            <w:tcW w:w="1417" w:type="dxa"/>
            <w:noWrap/>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董村镇张湾村</w:t>
            </w:r>
          </w:p>
        </w:tc>
        <w:tc>
          <w:tcPr>
            <w:tcW w:w="3485" w:type="dxa"/>
            <w:vMerge w:val="restart"/>
            <w:noWrap w:val="0"/>
            <w:vAlign w:val="center"/>
          </w:tcPr>
          <w:p>
            <w:pPr>
              <w:widowControl/>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氨氮、化学需氧量、总氮/总磷、五参数、留样器、质控仪、流速流量、系统集成。</w:t>
            </w:r>
          </w:p>
        </w:tc>
        <w:tc>
          <w:tcPr>
            <w:tcW w:w="771" w:type="dxa"/>
            <w:vMerge w:val="continue"/>
            <w:noWrap w:val="0"/>
            <w:vAlign w:val="center"/>
          </w:tcPr>
          <w:p>
            <w:pPr>
              <w:widowControl/>
              <w:jc w:val="left"/>
              <w:rPr>
                <w:rFonts w:hint="eastAsia" w:ascii="仿宋" w:hAnsi="仿宋" w:eastAsia="仿宋" w:cs="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2" w:type="dxa"/>
            <w:noWrap/>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5</w:t>
            </w:r>
          </w:p>
        </w:tc>
        <w:tc>
          <w:tcPr>
            <w:tcW w:w="1201" w:type="dxa"/>
            <w:noWrap/>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长葛市</w:t>
            </w:r>
          </w:p>
        </w:tc>
        <w:tc>
          <w:tcPr>
            <w:tcW w:w="1134" w:type="dxa"/>
            <w:noWrap/>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清潩河</w:t>
            </w:r>
          </w:p>
        </w:tc>
        <w:tc>
          <w:tcPr>
            <w:tcW w:w="1417" w:type="dxa"/>
            <w:noWrap/>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增福庙</w:t>
            </w:r>
          </w:p>
        </w:tc>
        <w:tc>
          <w:tcPr>
            <w:tcW w:w="3485" w:type="dxa"/>
            <w:vMerge w:val="continue"/>
            <w:noWrap w:val="0"/>
            <w:vAlign w:val="center"/>
          </w:tcPr>
          <w:p>
            <w:pPr>
              <w:widowControl/>
              <w:jc w:val="left"/>
              <w:rPr>
                <w:rFonts w:hint="eastAsia" w:ascii="仿宋" w:hAnsi="仿宋" w:eastAsia="仿宋" w:cs="仿宋"/>
                <w:color w:val="000000"/>
                <w:kern w:val="0"/>
                <w:sz w:val="32"/>
                <w:szCs w:val="32"/>
              </w:rPr>
            </w:pPr>
          </w:p>
        </w:tc>
        <w:tc>
          <w:tcPr>
            <w:tcW w:w="771" w:type="dxa"/>
            <w:vMerge w:val="continue"/>
            <w:noWrap w:val="0"/>
            <w:vAlign w:val="center"/>
          </w:tcPr>
          <w:p>
            <w:pPr>
              <w:widowControl/>
              <w:jc w:val="left"/>
              <w:rPr>
                <w:rFonts w:hint="eastAsia" w:ascii="仿宋" w:hAnsi="仿宋" w:eastAsia="仿宋" w:cs="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32" w:type="dxa"/>
            <w:noWrap/>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6</w:t>
            </w:r>
          </w:p>
        </w:tc>
        <w:tc>
          <w:tcPr>
            <w:tcW w:w="1201" w:type="dxa"/>
            <w:noWrap/>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鄢陵县</w:t>
            </w:r>
          </w:p>
        </w:tc>
        <w:tc>
          <w:tcPr>
            <w:tcW w:w="1134" w:type="dxa"/>
            <w:noWrap/>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大浪沟</w:t>
            </w:r>
          </w:p>
        </w:tc>
        <w:tc>
          <w:tcPr>
            <w:tcW w:w="1417" w:type="dxa"/>
            <w:noWrap/>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马栏崔马桥</w:t>
            </w:r>
          </w:p>
        </w:tc>
        <w:tc>
          <w:tcPr>
            <w:tcW w:w="3485" w:type="dxa"/>
            <w:vMerge w:val="restart"/>
            <w:noWrap w:val="0"/>
            <w:vAlign w:val="center"/>
          </w:tcPr>
          <w:p>
            <w:pPr>
              <w:widowControl/>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氨氮、化学需氧量、总氮/总磷、五参数、留样器、质控仪、流速流量、系统集成。</w:t>
            </w:r>
          </w:p>
        </w:tc>
        <w:tc>
          <w:tcPr>
            <w:tcW w:w="771" w:type="dxa"/>
            <w:vMerge w:val="continue"/>
            <w:noWrap w:val="0"/>
            <w:vAlign w:val="center"/>
          </w:tcPr>
          <w:p>
            <w:pPr>
              <w:widowControl/>
              <w:jc w:val="left"/>
              <w:rPr>
                <w:rFonts w:hint="eastAsia" w:ascii="仿宋" w:hAnsi="仿宋" w:eastAsia="仿宋" w:cs="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32" w:type="dxa"/>
            <w:noWrap/>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7</w:t>
            </w:r>
          </w:p>
        </w:tc>
        <w:tc>
          <w:tcPr>
            <w:tcW w:w="1201" w:type="dxa"/>
            <w:noWrap/>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长葛市</w:t>
            </w:r>
          </w:p>
        </w:tc>
        <w:tc>
          <w:tcPr>
            <w:tcW w:w="1134" w:type="dxa"/>
            <w:noWrap/>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小洪河</w:t>
            </w:r>
          </w:p>
        </w:tc>
        <w:tc>
          <w:tcPr>
            <w:tcW w:w="1417" w:type="dxa"/>
            <w:noWrap w:val="0"/>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京广铁路桥</w:t>
            </w:r>
          </w:p>
        </w:tc>
        <w:tc>
          <w:tcPr>
            <w:tcW w:w="3485" w:type="dxa"/>
            <w:vMerge w:val="continue"/>
            <w:noWrap w:val="0"/>
            <w:vAlign w:val="center"/>
          </w:tcPr>
          <w:p>
            <w:pPr>
              <w:widowControl/>
              <w:jc w:val="left"/>
              <w:rPr>
                <w:rFonts w:hint="eastAsia" w:ascii="仿宋" w:hAnsi="仿宋" w:eastAsia="仿宋" w:cs="仿宋"/>
                <w:color w:val="000000"/>
                <w:kern w:val="0"/>
                <w:sz w:val="32"/>
                <w:szCs w:val="32"/>
              </w:rPr>
            </w:pPr>
          </w:p>
        </w:tc>
        <w:tc>
          <w:tcPr>
            <w:tcW w:w="771" w:type="dxa"/>
            <w:vMerge w:val="continue"/>
            <w:noWrap w:val="0"/>
            <w:vAlign w:val="center"/>
          </w:tcPr>
          <w:p>
            <w:pPr>
              <w:widowControl/>
              <w:jc w:val="left"/>
              <w:rPr>
                <w:rFonts w:hint="eastAsia" w:ascii="仿宋" w:hAnsi="仿宋" w:eastAsia="仿宋" w:cs="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32" w:type="dxa"/>
            <w:noWrap/>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8</w:t>
            </w:r>
          </w:p>
        </w:tc>
        <w:tc>
          <w:tcPr>
            <w:tcW w:w="1201" w:type="dxa"/>
            <w:noWrap/>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襄城县</w:t>
            </w:r>
          </w:p>
        </w:tc>
        <w:tc>
          <w:tcPr>
            <w:tcW w:w="1134" w:type="dxa"/>
            <w:noWrap/>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颍河</w:t>
            </w:r>
          </w:p>
        </w:tc>
        <w:tc>
          <w:tcPr>
            <w:tcW w:w="1417" w:type="dxa"/>
            <w:noWrap/>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化行闸</w:t>
            </w:r>
          </w:p>
        </w:tc>
        <w:tc>
          <w:tcPr>
            <w:tcW w:w="3485" w:type="dxa"/>
            <w:vMerge w:val="continue"/>
            <w:noWrap w:val="0"/>
            <w:vAlign w:val="center"/>
          </w:tcPr>
          <w:p>
            <w:pPr>
              <w:widowControl/>
              <w:jc w:val="left"/>
              <w:rPr>
                <w:rFonts w:hint="eastAsia" w:ascii="仿宋" w:hAnsi="仿宋" w:eastAsia="仿宋" w:cs="仿宋"/>
                <w:color w:val="000000"/>
                <w:kern w:val="0"/>
                <w:sz w:val="32"/>
                <w:szCs w:val="32"/>
              </w:rPr>
            </w:pPr>
          </w:p>
        </w:tc>
        <w:tc>
          <w:tcPr>
            <w:tcW w:w="771" w:type="dxa"/>
            <w:vMerge w:val="continue"/>
            <w:noWrap w:val="0"/>
            <w:vAlign w:val="center"/>
          </w:tcPr>
          <w:p>
            <w:pPr>
              <w:widowControl/>
              <w:jc w:val="left"/>
              <w:rPr>
                <w:rFonts w:hint="eastAsia" w:ascii="仿宋" w:hAnsi="仿宋" w:eastAsia="仿宋" w:cs="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32" w:type="dxa"/>
            <w:noWrap/>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9</w:t>
            </w:r>
          </w:p>
        </w:tc>
        <w:tc>
          <w:tcPr>
            <w:tcW w:w="1201" w:type="dxa"/>
            <w:noWrap/>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建安区</w:t>
            </w:r>
          </w:p>
        </w:tc>
        <w:tc>
          <w:tcPr>
            <w:tcW w:w="1134" w:type="dxa"/>
            <w:noWrap/>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小洪河</w:t>
            </w:r>
          </w:p>
        </w:tc>
        <w:tc>
          <w:tcPr>
            <w:tcW w:w="1417" w:type="dxa"/>
            <w:noWrap/>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兰南高速桥</w:t>
            </w:r>
          </w:p>
        </w:tc>
        <w:tc>
          <w:tcPr>
            <w:tcW w:w="3485" w:type="dxa"/>
            <w:vMerge w:val="continue"/>
            <w:noWrap w:val="0"/>
            <w:vAlign w:val="center"/>
          </w:tcPr>
          <w:p>
            <w:pPr>
              <w:widowControl/>
              <w:jc w:val="left"/>
              <w:rPr>
                <w:rFonts w:hint="eastAsia" w:ascii="仿宋" w:hAnsi="仿宋" w:eastAsia="仿宋" w:cs="仿宋"/>
                <w:color w:val="000000"/>
                <w:kern w:val="0"/>
                <w:sz w:val="32"/>
                <w:szCs w:val="32"/>
              </w:rPr>
            </w:pPr>
          </w:p>
        </w:tc>
        <w:tc>
          <w:tcPr>
            <w:tcW w:w="771" w:type="dxa"/>
            <w:vMerge w:val="continue"/>
            <w:noWrap w:val="0"/>
            <w:vAlign w:val="center"/>
          </w:tcPr>
          <w:p>
            <w:pPr>
              <w:widowControl/>
              <w:jc w:val="left"/>
              <w:rPr>
                <w:rFonts w:hint="eastAsia" w:ascii="仿宋" w:hAnsi="仿宋" w:eastAsia="仿宋" w:cs="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32" w:type="dxa"/>
            <w:noWrap/>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10</w:t>
            </w:r>
          </w:p>
        </w:tc>
        <w:tc>
          <w:tcPr>
            <w:tcW w:w="1201" w:type="dxa"/>
            <w:noWrap/>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鄢陵县</w:t>
            </w:r>
          </w:p>
        </w:tc>
        <w:tc>
          <w:tcPr>
            <w:tcW w:w="1134" w:type="dxa"/>
            <w:noWrap/>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清流河</w:t>
            </w:r>
          </w:p>
        </w:tc>
        <w:tc>
          <w:tcPr>
            <w:tcW w:w="1417" w:type="dxa"/>
            <w:noWrap/>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南坞周桥闸</w:t>
            </w:r>
          </w:p>
        </w:tc>
        <w:tc>
          <w:tcPr>
            <w:tcW w:w="3485" w:type="dxa"/>
            <w:vMerge w:val="restart"/>
            <w:noWrap w:val="0"/>
            <w:vAlign w:val="center"/>
          </w:tcPr>
          <w:p>
            <w:pPr>
              <w:widowControl/>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氨氮、高锰酸盐指数、化学需氧量、总氮、总磷、五参数、留样器、质控仪、系统集成。</w:t>
            </w:r>
          </w:p>
        </w:tc>
        <w:tc>
          <w:tcPr>
            <w:tcW w:w="771" w:type="dxa"/>
            <w:vMerge w:val="continue"/>
            <w:noWrap w:val="0"/>
            <w:vAlign w:val="center"/>
          </w:tcPr>
          <w:p>
            <w:pPr>
              <w:widowControl/>
              <w:jc w:val="left"/>
              <w:rPr>
                <w:rFonts w:hint="eastAsia" w:ascii="仿宋" w:hAnsi="仿宋" w:eastAsia="仿宋" w:cs="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32" w:type="dxa"/>
            <w:noWrap/>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11</w:t>
            </w:r>
          </w:p>
        </w:tc>
        <w:tc>
          <w:tcPr>
            <w:tcW w:w="1201" w:type="dxa"/>
            <w:noWrap/>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禹州市</w:t>
            </w:r>
          </w:p>
        </w:tc>
        <w:tc>
          <w:tcPr>
            <w:tcW w:w="1134" w:type="dxa"/>
            <w:noWrap/>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颍河</w:t>
            </w:r>
          </w:p>
        </w:tc>
        <w:tc>
          <w:tcPr>
            <w:tcW w:w="1417" w:type="dxa"/>
            <w:noWrap/>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化庄桥</w:t>
            </w:r>
          </w:p>
        </w:tc>
        <w:tc>
          <w:tcPr>
            <w:tcW w:w="3485" w:type="dxa"/>
            <w:vMerge w:val="continue"/>
            <w:noWrap w:val="0"/>
            <w:vAlign w:val="center"/>
          </w:tcPr>
          <w:p>
            <w:pPr>
              <w:widowControl/>
              <w:jc w:val="left"/>
              <w:rPr>
                <w:rFonts w:hint="eastAsia" w:ascii="仿宋" w:hAnsi="仿宋" w:eastAsia="仿宋" w:cs="仿宋"/>
                <w:color w:val="000000"/>
                <w:kern w:val="0"/>
                <w:sz w:val="32"/>
                <w:szCs w:val="32"/>
              </w:rPr>
            </w:pPr>
          </w:p>
        </w:tc>
        <w:tc>
          <w:tcPr>
            <w:tcW w:w="771" w:type="dxa"/>
            <w:vMerge w:val="continue"/>
            <w:noWrap w:val="0"/>
            <w:vAlign w:val="center"/>
          </w:tcPr>
          <w:p>
            <w:pPr>
              <w:widowControl/>
              <w:jc w:val="left"/>
              <w:rPr>
                <w:rFonts w:hint="eastAsia" w:ascii="仿宋" w:hAnsi="仿宋" w:eastAsia="仿宋" w:cs="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32" w:type="dxa"/>
            <w:noWrap/>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12</w:t>
            </w:r>
          </w:p>
        </w:tc>
        <w:tc>
          <w:tcPr>
            <w:tcW w:w="1201" w:type="dxa"/>
            <w:noWrap/>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襄城县</w:t>
            </w:r>
          </w:p>
        </w:tc>
        <w:tc>
          <w:tcPr>
            <w:tcW w:w="1134" w:type="dxa"/>
            <w:noWrap/>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颍汝干渠</w:t>
            </w:r>
          </w:p>
        </w:tc>
        <w:tc>
          <w:tcPr>
            <w:tcW w:w="1417" w:type="dxa"/>
            <w:noWrap/>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黄龙池闸</w:t>
            </w:r>
          </w:p>
        </w:tc>
        <w:tc>
          <w:tcPr>
            <w:tcW w:w="3485" w:type="dxa"/>
            <w:vMerge w:val="continue"/>
            <w:noWrap w:val="0"/>
            <w:vAlign w:val="center"/>
          </w:tcPr>
          <w:p>
            <w:pPr>
              <w:widowControl/>
              <w:jc w:val="left"/>
              <w:rPr>
                <w:rFonts w:hint="eastAsia" w:ascii="仿宋" w:hAnsi="仿宋" w:eastAsia="仿宋" w:cs="仿宋"/>
                <w:color w:val="000000"/>
                <w:kern w:val="0"/>
                <w:sz w:val="32"/>
                <w:szCs w:val="32"/>
              </w:rPr>
            </w:pPr>
          </w:p>
        </w:tc>
        <w:tc>
          <w:tcPr>
            <w:tcW w:w="771" w:type="dxa"/>
            <w:vMerge w:val="continue"/>
            <w:noWrap w:val="0"/>
            <w:vAlign w:val="center"/>
          </w:tcPr>
          <w:p>
            <w:pPr>
              <w:widowControl/>
              <w:jc w:val="left"/>
              <w:rPr>
                <w:rFonts w:hint="eastAsia" w:ascii="仿宋" w:hAnsi="仿宋" w:eastAsia="仿宋" w:cs="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32" w:type="dxa"/>
            <w:noWrap/>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13</w:t>
            </w:r>
          </w:p>
        </w:tc>
        <w:tc>
          <w:tcPr>
            <w:tcW w:w="1201" w:type="dxa"/>
            <w:noWrap/>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襄城县</w:t>
            </w:r>
          </w:p>
        </w:tc>
        <w:tc>
          <w:tcPr>
            <w:tcW w:w="1134" w:type="dxa"/>
            <w:noWrap/>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洋湖渠</w:t>
            </w:r>
          </w:p>
        </w:tc>
        <w:tc>
          <w:tcPr>
            <w:tcW w:w="1417" w:type="dxa"/>
            <w:noWrap/>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湛北姚庄村</w:t>
            </w:r>
          </w:p>
        </w:tc>
        <w:tc>
          <w:tcPr>
            <w:tcW w:w="3485" w:type="dxa"/>
            <w:vMerge w:val="continue"/>
            <w:noWrap w:val="0"/>
            <w:vAlign w:val="center"/>
          </w:tcPr>
          <w:p>
            <w:pPr>
              <w:widowControl/>
              <w:jc w:val="left"/>
              <w:rPr>
                <w:rFonts w:hint="eastAsia" w:ascii="仿宋" w:hAnsi="仿宋" w:eastAsia="仿宋" w:cs="仿宋"/>
                <w:color w:val="000000"/>
                <w:kern w:val="0"/>
                <w:sz w:val="32"/>
                <w:szCs w:val="32"/>
              </w:rPr>
            </w:pPr>
          </w:p>
        </w:tc>
        <w:tc>
          <w:tcPr>
            <w:tcW w:w="771" w:type="dxa"/>
            <w:vMerge w:val="continue"/>
            <w:noWrap w:val="0"/>
            <w:vAlign w:val="center"/>
          </w:tcPr>
          <w:p>
            <w:pPr>
              <w:widowControl/>
              <w:jc w:val="left"/>
              <w:rPr>
                <w:rFonts w:hint="eastAsia" w:ascii="仿宋" w:hAnsi="仿宋" w:eastAsia="仿宋" w:cs="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32" w:type="dxa"/>
            <w:noWrap/>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14</w:t>
            </w:r>
          </w:p>
        </w:tc>
        <w:tc>
          <w:tcPr>
            <w:tcW w:w="1201" w:type="dxa"/>
            <w:noWrap/>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建安区</w:t>
            </w:r>
          </w:p>
        </w:tc>
        <w:tc>
          <w:tcPr>
            <w:tcW w:w="1134" w:type="dxa"/>
            <w:noWrap/>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清潩河</w:t>
            </w:r>
          </w:p>
        </w:tc>
        <w:tc>
          <w:tcPr>
            <w:tcW w:w="1417" w:type="dxa"/>
            <w:noWrap/>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滹沱路桥</w:t>
            </w:r>
          </w:p>
        </w:tc>
        <w:tc>
          <w:tcPr>
            <w:tcW w:w="3485" w:type="dxa"/>
            <w:vMerge w:val="continue"/>
            <w:noWrap w:val="0"/>
            <w:vAlign w:val="center"/>
          </w:tcPr>
          <w:p>
            <w:pPr>
              <w:widowControl/>
              <w:jc w:val="left"/>
              <w:rPr>
                <w:rFonts w:hint="eastAsia" w:ascii="仿宋" w:hAnsi="仿宋" w:eastAsia="仿宋" w:cs="仿宋"/>
                <w:color w:val="000000"/>
                <w:kern w:val="0"/>
                <w:sz w:val="32"/>
                <w:szCs w:val="32"/>
              </w:rPr>
            </w:pPr>
          </w:p>
        </w:tc>
        <w:tc>
          <w:tcPr>
            <w:tcW w:w="771" w:type="dxa"/>
            <w:vMerge w:val="continue"/>
            <w:noWrap w:val="0"/>
            <w:vAlign w:val="center"/>
          </w:tcPr>
          <w:p>
            <w:pPr>
              <w:widowControl/>
              <w:jc w:val="left"/>
              <w:rPr>
                <w:rFonts w:hint="eastAsia" w:ascii="仿宋" w:hAnsi="仿宋" w:eastAsia="仿宋" w:cs="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32" w:type="dxa"/>
            <w:noWrap/>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15</w:t>
            </w:r>
          </w:p>
        </w:tc>
        <w:tc>
          <w:tcPr>
            <w:tcW w:w="1201" w:type="dxa"/>
            <w:noWrap/>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魏都区</w:t>
            </w:r>
          </w:p>
        </w:tc>
        <w:tc>
          <w:tcPr>
            <w:tcW w:w="1134" w:type="dxa"/>
            <w:noWrap/>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运粮河</w:t>
            </w:r>
          </w:p>
        </w:tc>
        <w:tc>
          <w:tcPr>
            <w:tcW w:w="1417" w:type="dxa"/>
            <w:noWrap/>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许由路桥</w:t>
            </w:r>
          </w:p>
        </w:tc>
        <w:tc>
          <w:tcPr>
            <w:tcW w:w="3485" w:type="dxa"/>
            <w:vMerge w:val="continue"/>
            <w:noWrap w:val="0"/>
            <w:vAlign w:val="center"/>
          </w:tcPr>
          <w:p>
            <w:pPr>
              <w:widowControl/>
              <w:jc w:val="left"/>
              <w:rPr>
                <w:rFonts w:hint="eastAsia" w:ascii="仿宋" w:hAnsi="仿宋" w:eastAsia="仿宋" w:cs="仿宋"/>
                <w:color w:val="000000"/>
                <w:kern w:val="0"/>
                <w:sz w:val="32"/>
                <w:szCs w:val="32"/>
              </w:rPr>
            </w:pPr>
          </w:p>
        </w:tc>
        <w:tc>
          <w:tcPr>
            <w:tcW w:w="771" w:type="dxa"/>
            <w:vMerge w:val="continue"/>
            <w:noWrap w:val="0"/>
            <w:vAlign w:val="center"/>
          </w:tcPr>
          <w:p>
            <w:pPr>
              <w:widowControl/>
              <w:jc w:val="left"/>
              <w:rPr>
                <w:rFonts w:hint="eastAsia" w:ascii="仿宋" w:hAnsi="仿宋" w:eastAsia="仿宋" w:cs="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32" w:type="dxa"/>
            <w:noWrap/>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16</w:t>
            </w:r>
          </w:p>
        </w:tc>
        <w:tc>
          <w:tcPr>
            <w:tcW w:w="1201" w:type="dxa"/>
            <w:noWrap/>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魏都区</w:t>
            </w:r>
          </w:p>
        </w:tc>
        <w:tc>
          <w:tcPr>
            <w:tcW w:w="1134" w:type="dxa"/>
            <w:noWrap/>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霸陵河</w:t>
            </w:r>
          </w:p>
        </w:tc>
        <w:tc>
          <w:tcPr>
            <w:tcW w:w="1417" w:type="dxa"/>
            <w:noWrap/>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许由路桥</w:t>
            </w:r>
          </w:p>
        </w:tc>
        <w:tc>
          <w:tcPr>
            <w:tcW w:w="3485" w:type="dxa"/>
            <w:vMerge w:val="continue"/>
            <w:noWrap w:val="0"/>
            <w:vAlign w:val="center"/>
          </w:tcPr>
          <w:p>
            <w:pPr>
              <w:widowControl/>
              <w:jc w:val="left"/>
              <w:rPr>
                <w:rFonts w:hint="eastAsia" w:ascii="仿宋" w:hAnsi="仿宋" w:eastAsia="仿宋" w:cs="仿宋"/>
                <w:color w:val="000000"/>
                <w:kern w:val="0"/>
                <w:sz w:val="32"/>
                <w:szCs w:val="32"/>
              </w:rPr>
            </w:pPr>
          </w:p>
        </w:tc>
        <w:tc>
          <w:tcPr>
            <w:tcW w:w="771" w:type="dxa"/>
            <w:vMerge w:val="continue"/>
            <w:noWrap w:val="0"/>
            <w:vAlign w:val="center"/>
          </w:tcPr>
          <w:p>
            <w:pPr>
              <w:widowControl/>
              <w:jc w:val="left"/>
              <w:rPr>
                <w:rFonts w:hint="eastAsia" w:ascii="仿宋" w:hAnsi="仿宋" w:eastAsia="仿宋" w:cs="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32" w:type="dxa"/>
            <w:noWrap/>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17</w:t>
            </w:r>
          </w:p>
        </w:tc>
        <w:tc>
          <w:tcPr>
            <w:tcW w:w="1201" w:type="dxa"/>
            <w:noWrap/>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经开区</w:t>
            </w:r>
          </w:p>
        </w:tc>
        <w:tc>
          <w:tcPr>
            <w:tcW w:w="1134" w:type="dxa"/>
            <w:noWrap/>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霸陵河</w:t>
            </w:r>
          </w:p>
        </w:tc>
        <w:tc>
          <w:tcPr>
            <w:tcW w:w="1417" w:type="dxa"/>
            <w:noWrap/>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赵河村桥</w:t>
            </w:r>
          </w:p>
        </w:tc>
        <w:tc>
          <w:tcPr>
            <w:tcW w:w="3485" w:type="dxa"/>
            <w:vMerge w:val="continue"/>
            <w:noWrap w:val="0"/>
            <w:vAlign w:val="center"/>
          </w:tcPr>
          <w:p>
            <w:pPr>
              <w:widowControl/>
              <w:jc w:val="left"/>
              <w:rPr>
                <w:rFonts w:hint="eastAsia" w:ascii="仿宋" w:hAnsi="仿宋" w:eastAsia="仿宋" w:cs="仿宋"/>
                <w:color w:val="000000"/>
                <w:kern w:val="0"/>
                <w:sz w:val="32"/>
                <w:szCs w:val="32"/>
              </w:rPr>
            </w:pPr>
          </w:p>
        </w:tc>
        <w:tc>
          <w:tcPr>
            <w:tcW w:w="771" w:type="dxa"/>
            <w:vMerge w:val="continue"/>
            <w:noWrap w:val="0"/>
            <w:vAlign w:val="center"/>
          </w:tcPr>
          <w:p>
            <w:pPr>
              <w:widowControl/>
              <w:jc w:val="left"/>
              <w:rPr>
                <w:rFonts w:hint="eastAsia" w:ascii="仿宋" w:hAnsi="仿宋" w:eastAsia="仿宋" w:cs="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32" w:type="dxa"/>
            <w:noWrap/>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18</w:t>
            </w:r>
          </w:p>
        </w:tc>
        <w:tc>
          <w:tcPr>
            <w:tcW w:w="1201" w:type="dxa"/>
            <w:noWrap/>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东城区</w:t>
            </w:r>
          </w:p>
        </w:tc>
        <w:tc>
          <w:tcPr>
            <w:tcW w:w="1134" w:type="dxa"/>
            <w:noWrap/>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饮马河</w:t>
            </w:r>
          </w:p>
        </w:tc>
        <w:tc>
          <w:tcPr>
            <w:tcW w:w="1417" w:type="dxa"/>
            <w:noWrap/>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新兴路桥</w:t>
            </w:r>
          </w:p>
        </w:tc>
        <w:tc>
          <w:tcPr>
            <w:tcW w:w="3485" w:type="dxa"/>
            <w:vMerge w:val="continue"/>
            <w:noWrap w:val="0"/>
            <w:vAlign w:val="center"/>
          </w:tcPr>
          <w:p>
            <w:pPr>
              <w:widowControl/>
              <w:jc w:val="left"/>
              <w:rPr>
                <w:rFonts w:hint="eastAsia" w:ascii="仿宋" w:hAnsi="仿宋" w:eastAsia="仿宋" w:cs="仿宋"/>
                <w:color w:val="000000"/>
                <w:kern w:val="0"/>
                <w:sz w:val="32"/>
                <w:szCs w:val="32"/>
              </w:rPr>
            </w:pPr>
          </w:p>
        </w:tc>
        <w:tc>
          <w:tcPr>
            <w:tcW w:w="771" w:type="dxa"/>
            <w:vMerge w:val="continue"/>
            <w:noWrap w:val="0"/>
            <w:vAlign w:val="center"/>
          </w:tcPr>
          <w:p>
            <w:pPr>
              <w:widowControl/>
              <w:jc w:val="left"/>
              <w:rPr>
                <w:rFonts w:hint="eastAsia" w:ascii="仿宋" w:hAnsi="仿宋" w:eastAsia="仿宋" w:cs="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32" w:type="dxa"/>
            <w:noWrap/>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19</w:t>
            </w:r>
          </w:p>
        </w:tc>
        <w:tc>
          <w:tcPr>
            <w:tcW w:w="1201" w:type="dxa"/>
            <w:noWrap/>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东城区</w:t>
            </w:r>
          </w:p>
        </w:tc>
        <w:tc>
          <w:tcPr>
            <w:tcW w:w="1134" w:type="dxa"/>
            <w:noWrap/>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小洪河</w:t>
            </w:r>
          </w:p>
        </w:tc>
        <w:tc>
          <w:tcPr>
            <w:tcW w:w="1417" w:type="dxa"/>
            <w:noWrap/>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地方铁路桥</w:t>
            </w:r>
          </w:p>
        </w:tc>
        <w:tc>
          <w:tcPr>
            <w:tcW w:w="3485" w:type="dxa"/>
            <w:vMerge w:val="continue"/>
            <w:noWrap w:val="0"/>
            <w:vAlign w:val="center"/>
          </w:tcPr>
          <w:p>
            <w:pPr>
              <w:widowControl/>
              <w:jc w:val="left"/>
              <w:rPr>
                <w:rFonts w:hint="eastAsia" w:ascii="仿宋" w:hAnsi="仿宋" w:eastAsia="仿宋" w:cs="仿宋"/>
                <w:color w:val="000000"/>
                <w:kern w:val="0"/>
                <w:sz w:val="32"/>
                <w:szCs w:val="32"/>
              </w:rPr>
            </w:pPr>
          </w:p>
        </w:tc>
        <w:tc>
          <w:tcPr>
            <w:tcW w:w="771" w:type="dxa"/>
            <w:vMerge w:val="continue"/>
            <w:noWrap w:val="0"/>
            <w:vAlign w:val="center"/>
          </w:tcPr>
          <w:p>
            <w:pPr>
              <w:widowControl/>
              <w:jc w:val="left"/>
              <w:rPr>
                <w:rFonts w:hint="eastAsia" w:ascii="仿宋" w:hAnsi="仿宋" w:eastAsia="仿宋" w:cs="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32" w:type="dxa"/>
            <w:noWrap/>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20</w:t>
            </w:r>
          </w:p>
        </w:tc>
        <w:tc>
          <w:tcPr>
            <w:tcW w:w="1201" w:type="dxa"/>
            <w:noWrap/>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示范区</w:t>
            </w:r>
          </w:p>
        </w:tc>
        <w:tc>
          <w:tcPr>
            <w:tcW w:w="1134" w:type="dxa"/>
            <w:noWrap/>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饮马河</w:t>
            </w:r>
          </w:p>
        </w:tc>
        <w:tc>
          <w:tcPr>
            <w:tcW w:w="1417" w:type="dxa"/>
            <w:noWrap/>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永昌路桥</w:t>
            </w:r>
          </w:p>
        </w:tc>
        <w:tc>
          <w:tcPr>
            <w:tcW w:w="3485" w:type="dxa"/>
            <w:vMerge w:val="continue"/>
            <w:noWrap w:val="0"/>
            <w:vAlign w:val="center"/>
          </w:tcPr>
          <w:p>
            <w:pPr>
              <w:widowControl/>
              <w:jc w:val="left"/>
              <w:rPr>
                <w:rFonts w:hint="eastAsia" w:ascii="仿宋" w:hAnsi="仿宋" w:eastAsia="仿宋" w:cs="仿宋"/>
                <w:color w:val="000000"/>
                <w:kern w:val="0"/>
                <w:sz w:val="32"/>
                <w:szCs w:val="32"/>
              </w:rPr>
            </w:pPr>
          </w:p>
        </w:tc>
        <w:tc>
          <w:tcPr>
            <w:tcW w:w="771" w:type="dxa"/>
            <w:vMerge w:val="continue"/>
            <w:noWrap w:val="0"/>
            <w:vAlign w:val="center"/>
          </w:tcPr>
          <w:p>
            <w:pPr>
              <w:widowControl/>
              <w:jc w:val="left"/>
              <w:rPr>
                <w:rFonts w:hint="eastAsia" w:ascii="仿宋" w:hAnsi="仿宋" w:eastAsia="仿宋" w:cs="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32" w:type="dxa"/>
            <w:noWrap/>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21</w:t>
            </w:r>
          </w:p>
        </w:tc>
        <w:tc>
          <w:tcPr>
            <w:tcW w:w="1201" w:type="dxa"/>
            <w:noWrap/>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示范区</w:t>
            </w:r>
          </w:p>
        </w:tc>
        <w:tc>
          <w:tcPr>
            <w:tcW w:w="1134" w:type="dxa"/>
            <w:noWrap/>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小洪河</w:t>
            </w:r>
          </w:p>
        </w:tc>
        <w:tc>
          <w:tcPr>
            <w:tcW w:w="1417" w:type="dxa"/>
            <w:noWrap/>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高速公路桥</w:t>
            </w:r>
          </w:p>
        </w:tc>
        <w:tc>
          <w:tcPr>
            <w:tcW w:w="3485" w:type="dxa"/>
            <w:vMerge w:val="continue"/>
            <w:noWrap w:val="0"/>
            <w:vAlign w:val="center"/>
          </w:tcPr>
          <w:p>
            <w:pPr>
              <w:widowControl/>
              <w:jc w:val="left"/>
              <w:rPr>
                <w:rFonts w:hint="eastAsia" w:ascii="仿宋" w:hAnsi="仿宋" w:eastAsia="仿宋" w:cs="仿宋"/>
                <w:color w:val="000000"/>
                <w:kern w:val="0"/>
                <w:sz w:val="32"/>
                <w:szCs w:val="32"/>
              </w:rPr>
            </w:pPr>
          </w:p>
        </w:tc>
        <w:tc>
          <w:tcPr>
            <w:tcW w:w="771" w:type="dxa"/>
            <w:vMerge w:val="continue"/>
            <w:noWrap w:val="0"/>
            <w:vAlign w:val="center"/>
          </w:tcPr>
          <w:p>
            <w:pPr>
              <w:widowControl/>
              <w:jc w:val="left"/>
              <w:rPr>
                <w:rFonts w:hint="eastAsia" w:ascii="仿宋" w:hAnsi="仿宋" w:eastAsia="仿宋" w:cs="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32" w:type="dxa"/>
            <w:noWrap/>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22</w:t>
            </w:r>
          </w:p>
        </w:tc>
        <w:tc>
          <w:tcPr>
            <w:tcW w:w="1201" w:type="dxa"/>
            <w:noWrap/>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建安区</w:t>
            </w:r>
          </w:p>
        </w:tc>
        <w:tc>
          <w:tcPr>
            <w:tcW w:w="1134" w:type="dxa"/>
            <w:noWrap/>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小泥河</w:t>
            </w:r>
          </w:p>
        </w:tc>
        <w:tc>
          <w:tcPr>
            <w:tcW w:w="1417" w:type="dxa"/>
            <w:noWrap/>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许昌石桥</w:t>
            </w:r>
          </w:p>
        </w:tc>
        <w:tc>
          <w:tcPr>
            <w:tcW w:w="3485" w:type="dxa"/>
            <w:vMerge w:val="restart"/>
            <w:noWrap w:val="0"/>
            <w:vAlign w:val="center"/>
          </w:tcPr>
          <w:p>
            <w:pPr>
              <w:widowControl/>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氨氮、化学需氧量、总氮/总磷、系统集成。</w:t>
            </w:r>
          </w:p>
        </w:tc>
        <w:tc>
          <w:tcPr>
            <w:tcW w:w="771" w:type="dxa"/>
            <w:vMerge w:val="continue"/>
            <w:noWrap w:val="0"/>
            <w:vAlign w:val="center"/>
          </w:tcPr>
          <w:p>
            <w:pPr>
              <w:widowControl/>
              <w:jc w:val="left"/>
              <w:rPr>
                <w:rFonts w:hint="eastAsia" w:ascii="仿宋" w:hAnsi="仿宋" w:eastAsia="仿宋" w:cs="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32" w:type="dxa"/>
            <w:noWrap/>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23</w:t>
            </w:r>
          </w:p>
        </w:tc>
        <w:tc>
          <w:tcPr>
            <w:tcW w:w="1201" w:type="dxa"/>
            <w:noWrap/>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东城区</w:t>
            </w:r>
          </w:p>
        </w:tc>
        <w:tc>
          <w:tcPr>
            <w:tcW w:w="1134" w:type="dxa"/>
            <w:noWrap/>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清潩河</w:t>
            </w:r>
          </w:p>
        </w:tc>
        <w:tc>
          <w:tcPr>
            <w:tcW w:w="1417" w:type="dxa"/>
            <w:noWrap/>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许昌107国道桥</w:t>
            </w:r>
          </w:p>
        </w:tc>
        <w:tc>
          <w:tcPr>
            <w:tcW w:w="3485" w:type="dxa"/>
            <w:vMerge w:val="continue"/>
            <w:noWrap w:val="0"/>
            <w:vAlign w:val="center"/>
          </w:tcPr>
          <w:p>
            <w:pPr>
              <w:widowControl/>
              <w:jc w:val="left"/>
              <w:rPr>
                <w:rFonts w:hint="eastAsia" w:ascii="仿宋" w:hAnsi="仿宋" w:eastAsia="仿宋" w:cs="仿宋"/>
                <w:color w:val="000000"/>
                <w:kern w:val="0"/>
                <w:sz w:val="32"/>
                <w:szCs w:val="32"/>
              </w:rPr>
            </w:pPr>
          </w:p>
        </w:tc>
        <w:tc>
          <w:tcPr>
            <w:tcW w:w="771" w:type="dxa"/>
            <w:vMerge w:val="continue"/>
            <w:noWrap w:val="0"/>
            <w:vAlign w:val="center"/>
          </w:tcPr>
          <w:p>
            <w:pPr>
              <w:widowControl/>
              <w:jc w:val="left"/>
              <w:rPr>
                <w:rFonts w:hint="eastAsia" w:ascii="仿宋" w:hAnsi="仿宋" w:eastAsia="仿宋" w:cs="仿宋"/>
                <w:color w:val="000000"/>
                <w:kern w:val="0"/>
                <w:sz w:val="32"/>
                <w:szCs w:val="32"/>
              </w:rPr>
            </w:pPr>
          </w:p>
        </w:tc>
      </w:tr>
    </w:tbl>
    <w:p>
      <w:pPr>
        <w:pStyle w:val="3"/>
        <w:numPr>
          <w:ilvl w:val="0"/>
          <w:numId w:val="0"/>
        </w:numPr>
        <w:spacing w:line="360" w:lineRule="auto"/>
        <w:rPr>
          <w:rFonts w:hint="eastAsia" w:ascii="仿宋" w:hAnsi="仿宋" w:eastAsia="仿宋" w:cs="仿宋"/>
          <w:kern w:val="0"/>
          <w:sz w:val="32"/>
          <w:szCs w:val="32"/>
        </w:rPr>
      </w:pPr>
      <w:r>
        <w:rPr>
          <w:rFonts w:hint="eastAsia" w:ascii="仿宋" w:hAnsi="仿宋" w:eastAsia="仿宋" w:cs="仿宋"/>
          <w:b w:val="0"/>
          <w:bCs w:val="0"/>
          <w:kern w:val="2"/>
          <w:sz w:val="32"/>
          <w:szCs w:val="32"/>
          <w:lang w:val="en-US" w:eastAsia="zh-CN"/>
        </w:rPr>
        <w:t>1、</w:t>
      </w:r>
      <w:r>
        <w:rPr>
          <w:rFonts w:hint="eastAsia" w:ascii="仿宋" w:hAnsi="仿宋" w:eastAsia="仿宋" w:cs="仿宋"/>
          <w:kern w:val="0"/>
          <w:sz w:val="32"/>
          <w:szCs w:val="32"/>
        </w:rPr>
        <w:t>运维服务总体要求：</w:t>
      </w:r>
    </w:p>
    <w:p>
      <w:pPr>
        <w:spacing w:line="360" w:lineRule="auto"/>
        <w:ind w:firstLine="640" w:firstLineChars="200"/>
        <w:rPr>
          <w:rFonts w:hint="eastAsia" w:ascii="仿宋" w:hAnsi="仿宋" w:eastAsia="仿宋" w:cs="仿宋"/>
          <w:bCs/>
          <w:kern w:val="0"/>
          <w:sz w:val="32"/>
          <w:szCs w:val="32"/>
        </w:rPr>
      </w:pPr>
      <w:r>
        <w:rPr>
          <w:rFonts w:hint="eastAsia" w:ascii="仿宋" w:hAnsi="仿宋" w:eastAsia="仿宋" w:cs="仿宋"/>
          <w:bCs/>
          <w:sz w:val="32"/>
          <w:szCs w:val="32"/>
        </w:rPr>
        <w:t>（</w:t>
      </w:r>
      <w:r>
        <w:rPr>
          <w:rFonts w:hint="eastAsia" w:ascii="仿宋" w:hAnsi="仿宋" w:eastAsia="仿宋" w:cs="仿宋"/>
          <w:bCs/>
          <w:sz w:val="32"/>
          <w:szCs w:val="32"/>
          <w:lang w:val="en-US" w:eastAsia="zh-CN"/>
        </w:rPr>
        <w:t>1</w:t>
      </w:r>
      <w:r>
        <w:rPr>
          <w:rFonts w:hint="eastAsia" w:ascii="仿宋" w:hAnsi="仿宋" w:eastAsia="仿宋" w:cs="仿宋"/>
          <w:bCs/>
          <w:sz w:val="32"/>
          <w:szCs w:val="32"/>
        </w:rPr>
        <w:t>）</w:t>
      </w:r>
      <w:r>
        <w:rPr>
          <w:rFonts w:hint="eastAsia" w:ascii="仿宋" w:hAnsi="仿宋" w:eastAsia="仿宋" w:cs="仿宋"/>
          <w:bCs/>
          <w:kern w:val="0"/>
          <w:sz w:val="32"/>
          <w:szCs w:val="32"/>
        </w:rPr>
        <w:t>运维单位应提供详细的运维管理服务方案并提供完整的自动监测运维人员管理方案，提出解决稳定人员队伍的措施。根据《河南省地表水环境质量自动监测站运行管理办法》中规定，</w:t>
      </w:r>
      <w:r>
        <w:rPr>
          <w:rFonts w:hint="eastAsia" w:ascii="仿宋" w:hAnsi="仿宋" w:eastAsia="仿宋" w:cs="仿宋"/>
          <w:bCs/>
          <w:sz w:val="32"/>
          <w:szCs w:val="32"/>
        </w:rPr>
        <w:t>运维单位</w:t>
      </w:r>
      <w:r>
        <w:rPr>
          <w:rFonts w:hint="eastAsia" w:ascii="仿宋" w:hAnsi="仿宋" w:eastAsia="仿宋" w:cs="仿宋"/>
          <w:bCs/>
          <w:kern w:val="0"/>
          <w:sz w:val="32"/>
          <w:szCs w:val="32"/>
        </w:rPr>
        <w:t>所配备的运维人员需持有环保部门颁发的地表水环境自动监测系统运维上岗证。</w:t>
      </w:r>
    </w:p>
    <w:p>
      <w:pPr>
        <w:spacing w:line="360" w:lineRule="auto"/>
        <w:ind w:firstLine="640" w:firstLineChars="200"/>
        <w:rPr>
          <w:rFonts w:hint="eastAsia" w:ascii="仿宋" w:hAnsi="仿宋" w:eastAsia="仿宋" w:cs="仿宋"/>
          <w:bCs/>
          <w:kern w:val="0"/>
          <w:sz w:val="32"/>
          <w:szCs w:val="32"/>
        </w:rPr>
      </w:pPr>
      <w:r>
        <w:rPr>
          <w:rFonts w:hint="eastAsia" w:ascii="仿宋" w:hAnsi="仿宋" w:eastAsia="仿宋" w:cs="仿宋"/>
          <w:bCs/>
          <w:sz w:val="32"/>
          <w:szCs w:val="32"/>
        </w:rPr>
        <w:t>（</w:t>
      </w:r>
      <w:r>
        <w:rPr>
          <w:rFonts w:hint="eastAsia" w:ascii="仿宋" w:hAnsi="仿宋" w:eastAsia="仿宋" w:cs="仿宋"/>
          <w:bCs/>
          <w:sz w:val="32"/>
          <w:szCs w:val="32"/>
          <w:lang w:val="en-US" w:eastAsia="zh-CN"/>
        </w:rPr>
        <w:t>2</w:t>
      </w:r>
      <w:r>
        <w:rPr>
          <w:rFonts w:hint="eastAsia" w:ascii="仿宋" w:hAnsi="仿宋" w:eastAsia="仿宋" w:cs="仿宋"/>
          <w:bCs/>
          <w:sz w:val="32"/>
          <w:szCs w:val="32"/>
        </w:rPr>
        <w:t>）</w:t>
      </w:r>
      <w:r>
        <w:rPr>
          <w:rFonts w:hint="eastAsia" w:ascii="仿宋" w:hAnsi="仿宋" w:eastAsia="仿宋" w:cs="仿宋"/>
          <w:bCs/>
          <w:kern w:val="0"/>
          <w:sz w:val="32"/>
          <w:szCs w:val="32"/>
        </w:rPr>
        <w:t>运维单位应</w:t>
      </w:r>
      <w:r>
        <w:rPr>
          <w:rFonts w:hint="eastAsia" w:ascii="仿宋" w:hAnsi="仿宋" w:eastAsia="仿宋" w:cs="仿宋"/>
          <w:bCs/>
          <w:kern w:val="0"/>
          <w:sz w:val="32"/>
          <w:szCs w:val="32"/>
          <w:lang w:val="en-US" w:eastAsia="zh-CN"/>
        </w:rPr>
        <w:t>成立具备项目服务能力的组织机构，</w:t>
      </w:r>
      <w:r>
        <w:rPr>
          <w:rFonts w:hint="eastAsia" w:ascii="仿宋" w:hAnsi="仿宋" w:eastAsia="仿宋" w:cs="仿宋"/>
          <w:bCs/>
          <w:kern w:val="0"/>
          <w:sz w:val="32"/>
          <w:szCs w:val="32"/>
        </w:rPr>
        <w:t>负责本项目的整体运行，并保证充足备品备件</w:t>
      </w:r>
      <w:r>
        <w:rPr>
          <w:rFonts w:hint="eastAsia" w:ascii="仿宋" w:hAnsi="仿宋" w:eastAsia="仿宋" w:cs="仿宋"/>
          <w:bCs/>
          <w:kern w:val="0"/>
          <w:sz w:val="32"/>
          <w:szCs w:val="32"/>
          <w:lang w:val="en-US" w:eastAsia="zh-CN"/>
        </w:rPr>
        <w:t>等必要设备</w:t>
      </w:r>
      <w:r>
        <w:rPr>
          <w:rFonts w:hint="eastAsia" w:ascii="仿宋" w:hAnsi="仿宋" w:eastAsia="仿宋" w:cs="仿宋"/>
          <w:bCs/>
          <w:kern w:val="0"/>
          <w:sz w:val="32"/>
          <w:szCs w:val="32"/>
        </w:rPr>
        <w:t>，须在许昌地区配备水质自动站备机1套。</w:t>
      </w:r>
    </w:p>
    <w:p>
      <w:pPr>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bCs/>
          <w:color w:val="auto"/>
          <w:kern w:val="0"/>
          <w:sz w:val="32"/>
          <w:szCs w:val="32"/>
          <w:highlight w:val="none"/>
        </w:rPr>
        <w:t>（</w:t>
      </w:r>
      <w:r>
        <w:rPr>
          <w:rFonts w:hint="eastAsia" w:ascii="仿宋" w:hAnsi="仿宋" w:eastAsia="仿宋" w:cs="仿宋"/>
          <w:bCs/>
          <w:color w:val="auto"/>
          <w:kern w:val="0"/>
          <w:sz w:val="32"/>
          <w:szCs w:val="32"/>
          <w:highlight w:val="none"/>
          <w:lang w:val="en-US" w:eastAsia="zh-CN"/>
        </w:rPr>
        <w:t>3</w:t>
      </w:r>
      <w:r>
        <w:rPr>
          <w:rFonts w:hint="eastAsia" w:ascii="仿宋" w:hAnsi="仿宋" w:eastAsia="仿宋" w:cs="仿宋"/>
          <w:bCs/>
          <w:color w:val="auto"/>
          <w:kern w:val="0"/>
          <w:sz w:val="32"/>
          <w:szCs w:val="32"/>
          <w:highlight w:val="none"/>
        </w:rPr>
        <w:t>）按照</w:t>
      </w:r>
      <w:r>
        <w:rPr>
          <w:rFonts w:hint="eastAsia" w:ascii="仿宋" w:hAnsi="仿宋" w:eastAsia="仿宋" w:cs="仿宋"/>
          <w:bCs/>
          <w:color w:val="auto"/>
          <w:kern w:val="0"/>
          <w:sz w:val="32"/>
          <w:szCs w:val="32"/>
          <w:highlight w:val="none"/>
          <w:lang w:val="en-US" w:eastAsia="zh-CN"/>
        </w:rPr>
        <w:t>河南省环保厅</w:t>
      </w:r>
      <w:r>
        <w:rPr>
          <w:rFonts w:hint="eastAsia" w:ascii="仿宋" w:hAnsi="仿宋" w:eastAsia="仿宋" w:cs="仿宋"/>
          <w:bCs/>
          <w:color w:val="auto"/>
          <w:kern w:val="0"/>
          <w:sz w:val="32"/>
          <w:szCs w:val="32"/>
          <w:highlight w:val="none"/>
          <w:lang w:eastAsia="zh-CN"/>
        </w:rPr>
        <w:t>《</w:t>
      </w:r>
      <w:r>
        <w:rPr>
          <w:rFonts w:hint="eastAsia" w:ascii="仿宋" w:hAnsi="仿宋" w:eastAsia="仿宋" w:cs="仿宋"/>
          <w:bCs/>
          <w:color w:val="auto"/>
          <w:kern w:val="0"/>
          <w:sz w:val="32"/>
          <w:szCs w:val="32"/>
          <w:highlight w:val="none"/>
          <w:lang w:val="en-US" w:eastAsia="zh-CN"/>
        </w:rPr>
        <w:t>关于印发河南省地表水环境质量自动监测站运行管理办法</w:t>
      </w:r>
      <w:r>
        <w:rPr>
          <w:rFonts w:hint="eastAsia" w:ascii="仿宋" w:hAnsi="仿宋" w:eastAsia="仿宋" w:cs="仿宋"/>
          <w:bCs/>
          <w:color w:val="auto"/>
          <w:kern w:val="0"/>
          <w:sz w:val="32"/>
          <w:szCs w:val="32"/>
          <w:highlight w:val="none"/>
          <w:lang w:eastAsia="zh-CN"/>
        </w:rPr>
        <w:t>》（</w:t>
      </w:r>
      <w:r>
        <w:rPr>
          <w:rFonts w:hint="eastAsia" w:ascii="仿宋" w:hAnsi="仿宋" w:eastAsia="仿宋" w:cs="仿宋"/>
          <w:bCs/>
          <w:color w:val="auto"/>
          <w:kern w:val="0"/>
          <w:sz w:val="32"/>
          <w:szCs w:val="32"/>
          <w:highlight w:val="none"/>
          <w:lang w:val="en-US" w:eastAsia="zh-CN"/>
        </w:rPr>
        <w:t>豫环文[2015]285号</w:t>
      </w:r>
      <w:r>
        <w:rPr>
          <w:rFonts w:hint="eastAsia" w:ascii="仿宋" w:hAnsi="仿宋" w:eastAsia="仿宋" w:cs="仿宋"/>
          <w:bCs/>
          <w:color w:val="auto"/>
          <w:kern w:val="0"/>
          <w:sz w:val="32"/>
          <w:szCs w:val="32"/>
          <w:highlight w:val="none"/>
          <w:lang w:eastAsia="zh-CN"/>
        </w:rPr>
        <w:t>）</w:t>
      </w:r>
      <w:r>
        <w:rPr>
          <w:rFonts w:hint="eastAsia" w:ascii="仿宋" w:hAnsi="仿宋" w:eastAsia="仿宋" w:cs="仿宋"/>
          <w:bCs/>
          <w:color w:val="auto"/>
          <w:kern w:val="0"/>
          <w:sz w:val="32"/>
          <w:szCs w:val="32"/>
          <w:highlight w:val="none"/>
        </w:rPr>
        <w:t>要求，</w:t>
      </w:r>
      <w:r>
        <w:rPr>
          <w:rFonts w:hint="eastAsia" w:ascii="仿宋" w:hAnsi="仿宋" w:eastAsia="仿宋" w:cs="仿宋"/>
          <w:color w:val="auto"/>
          <w:sz w:val="32"/>
          <w:szCs w:val="32"/>
          <w:highlight w:val="none"/>
        </w:rPr>
        <w:t>运维单位应保证配备的专业技术人员数量不低于运维点位数量的1/4；至少选派1－2名专职工作人员在许昌市环境监控信息中心进行水质自动站的运维管理，全部运维人员须进行培训上岗保持稳定，如确需进行调整，需经过</w:t>
      </w:r>
      <w:r>
        <w:rPr>
          <w:rFonts w:hint="eastAsia" w:ascii="仿宋" w:hAnsi="仿宋" w:eastAsia="仿宋" w:cs="仿宋"/>
          <w:color w:val="auto"/>
          <w:sz w:val="32"/>
          <w:szCs w:val="32"/>
          <w:highlight w:val="none"/>
          <w:lang w:eastAsia="zh-CN"/>
        </w:rPr>
        <w:t>采购人</w:t>
      </w:r>
      <w:r>
        <w:rPr>
          <w:rFonts w:hint="eastAsia" w:ascii="仿宋" w:hAnsi="仿宋" w:eastAsia="仿宋" w:cs="仿宋"/>
          <w:color w:val="auto"/>
          <w:sz w:val="32"/>
          <w:szCs w:val="32"/>
          <w:highlight w:val="none"/>
        </w:rPr>
        <w:t>批准。保证配备的专用巡检车辆数量不低于运维站点数量的1/7。</w:t>
      </w:r>
    </w:p>
    <w:p>
      <w:pPr>
        <w:spacing w:line="360" w:lineRule="auto"/>
        <w:ind w:firstLine="640" w:firstLineChars="200"/>
        <w:rPr>
          <w:rFonts w:hint="eastAsia" w:ascii="仿宋" w:hAnsi="仿宋" w:eastAsia="仿宋" w:cs="仿宋"/>
          <w:bCs/>
          <w:kern w:val="0"/>
          <w:sz w:val="32"/>
          <w:szCs w:val="32"/>
        </w:rPr>
      </w:pPr>
      <w:r>
        <w:rPr>
          <w:rFonts w:hint="eastAsia" w:ascii="仿宋" w:hAnsi="仿宋" w:eastAsia="仿宋" w:cs="仿宋"/>
          <w:bCs/>
          <w:sz w:val="32"/>
          <w:szCs w:val="32"/>
        </w:rPr>
        <w:t>（</w:t>
      </w:r>
      <w:r>
        <w:rPr>
          <w:rFonts w:hint="eastAsia" w:ascii="仿宋" w:hAnsi="仿宋" w:eastAsia="仿宋" w:cs="仿宋"/>
          <w:bCs/>
          <w:sz w:val="32"/>
          <w:szCs w:val="32"/>
          <w:lang w:val="en-US" w:eastAsia="zh-CN"/>
        </w:rPr>
        <w:t>4</w:t>
      </w:r>
      <w:r>
        <w:rPr>
          <w:rFonts w:hint="eastAsia" w:ascii="仿宋" w:hAnsi="仿宋" w:eastAsia="仿宋" w:cs="仿宋"/>
          <w:bCs/>
          <w:sz w:val="32"/>
          <w:szCs w:val="32"/>
        </w:rPr>
        <w:t>）</w:t>
      </w:r>
      <w:r>
        <w:rPr>
          <w:rFonts w:hint="eastAsia" w:ascii="仿宋" w:hAnsi="仿宋" w:eastAsia="仿宋" w:cs="仿宋"/>
          <w:bCs/>
          <w:kern w:val="0"/>
          <w:sz w:val="32"/>
          <w:szCs w:val="32"/>
        </w:rPr>
        <w:t>运维单位每天对水质自动站整个系统进行维护检查，通过宏观检查各仪器运行的状况。每周在现场观察系统运行一个完整的周期，检查整个系统运行状况。通过每日通过监控平台查看数据情况是否异常、每周到各水质自动站点巡查一次，确保仪器设备和系统处于正常的运行状况。</w:t>
      </w:r>
    </w:p>
    <w:p>
      <w:pPr>
        <w:spacing w:line="360" w:lineRule="auto"/>
        <w:ind w:firstLine="640" w:firstLineChars="200"/>
        <w:rPr>
          <w:rFonts w:hint="eastAsia" w:ascii="仿宋" w:hAnsi="仿宋" w:eastAsia="仿宋" w:cs="仿宋"/>
          <w:bCs/>
          <w:kern w:val="0"/>
          <w:sz w:val="32"/>
          <w:szCs w:val="32"/>
        </w:rPr>
      </w:pPr>
      <w:r>
        <w:rPr>
          <w:rFonts w:hint="eastAsia" w:ascii="仿宋" w:hAnsi="仿宋" w:eastAsia="仿宋" w:cs="仿宋"/>
          <w:bCs/>
          <w:sz w:val="32"/>
          <w:szCs w:val="32"/>
        </w:rPr>
        <w:t>（</w:t>
      </w:r>
      <w:r>
        <w:rPr>
          <w:rFonts w:hint="eastAsia" w:ascii="仿宋" w:hAnsi="仿宋" w:eastAsia="仿宋" w:cs="仿宋"/>
          <w:bCs/>
          <w:sz w:val="32"/>
          <w:szCs w:val="32"/>
          <w:lang w:val="en-US" w:eastAsia="zh-CN"/>
        </w:rPr>
        <w:t>5</w:t>
      </w:r>
      <w:r>
        <w:rPr>
          <w:rFonts w:hint="eastAsia" w:ascii="仿宋" w:hAnsi="仿宋" w:eastAsia="仿宋" w:cs="仿宋"/>
          <w:bCs/>
          <w:sz w:val="32"/>
          <w:szCs w:val="32"/>
        </w:rPr>
        <w:t>）</w:t>
      </w:r>
      <w:r>
        <w:rPr>
          <w:rFonts w:hint="eastAsia" w:ascii="仿宋" w:hAnsi="仿宋" w:eastAsia="仿宋" w:cs="仿宋"/>
          <w:bCs/>
          <w:kern w:val="0"/>
          <w:sz w:val="32"/>
          <w:szCs w:val="32"/>
        </w:rPr>
        <w:t>运维单位应为运维人员配备专用仪器维修工具（包括万用表、工具箱等）、便携式仪器（五参数仪器，分光光度计等，用于快速比对）。</w:t>
      </w:r>
    </w:p>
    <w:p>
      <w:pPr>
        <w:spacing w:line="360" w:lineRule="auto"/>
        <w:ind w:firstLine="640" w:firstLineChars="200"/>
        <w:rPr>
          <w:rFonts w:hint="eastAsia" w:ascii="仿宋" w:hAnsi="仿宋" w:eastAsia="仿宋" w:cs="仿宋"/>
          <w:bCs/>
          <w:kern w:val="0"/>
          <w:sz w:val="32"/>
          <w:szCs w:val="32"/>
        </w:rPr>
      </w:pPr>
      <w:r>
        <w:rPr>
          <w:rFonts w:hint="eastAsia" w:ascii="仿宋" w:hAnsi="仿宋" w:eastAsia="仿宋" w:cs="仿宋"/>
          <w:bCs/>
          <w:sz w:val="32"/>
          <w:szCs w:val="32"/>
        </w:rPr>
        <w:t>（</w:t>
      </w:r>
      <w:r>
        <w:rPr>
          <w:rFonts w:hint="eastAsia" w:ascii="仿宋" w:hAnsi="仿宋" w:eastAsia="仿宋" w:cs="仿宋"/>
          <w:bCs/>
          <w:sz w:val="32"/>
          <w:szCs w:val="32"/>
          <w:lang w:val="en-US" w:eastAsia="zh-CN"/>
        </w:rPr>
        <w:t>6</w:t>
      </w:r>
      <w:r>
        <w:rPr>
          <w:rFonts w:hint="eastAsia" w:ascii="仿宋" w:hAnsi="仿宋" w:eastAsia="仿宋" w:cs="仿宋"/>
          <w:bCs/>
          <w:sz w:val="32"/>
          <w:szCs w:val="32"/>
        </w:rPr>
        <w:t>）</w:t>
      </w:r>
      <w:r>
        <w:rPr>
          <w:rFonts w:hint="eastAsia" w:ascii="仿宋" w:hAnsi="仿宋" w:eastAsia="仿宋" w:cs="仿宋"/>
          <w:bCs/>
          <w:kern w:val="0"/>
          <w:sz w:val="32"/>
          <w:szCs w:val="32"/>
        </w:rPr>
        <w:t>运维单位保证仪器故障发生时间4小时内(8:00-22:00)或8小时内（22:00-8:00）赶到现场进行处理。对于一些易于排除的故障，维修时间不应超过12小时；对不易诊断和维修的仪器故障，若48小时内无法排除，安装备用仪器。</w:t>
      </w:r>
    </w:p>
    <w:p>
      <w:pPr>
        <w:spacing w:line="360" w:lineRule="auto"/>
        <w:ind w:firstLine="486" w:firstLineChars="152"/>
        <w:rPr>
          <w:rFonts w:hint="eastAsia" w:ascii="仿宋" w:hAnsi="仿宋" w:eastAsia="仿宋" w:cs="仿宋"/>
          <w:bCs/>
          <w:kern w:val="0"/>
          <w:sz w:val="32"/>
          <w:szCs w:val="32"/>
        </w:rPr>
      </w:pPr>
      <w:r>
        <w:rPr>
          <w:rFonts w:hint="eastAsia" w:ascii="仿宋" w:hAnsi="仿宋" w:eastAsia="仿宋" w:cs="仿宋"/>
          <w:bCs/>
          <w:sz w:val="32"/>
          <w:szCs w:val="32"/>
        </w:rPr>
        <w:t>（</w:t>
      </w:r>
      <w:r>
        <w:rPr>
          <w:rFonts w:hint="eastAsia" w:ascii="仿宋" w:hAnsi="仿宋" w:eastAsia="仿宋" w:cs="仿宋"/>
          <w:bCs/>
          <w:sz w:val="32"/>
          <w:szCs w:val="32"/>
          <w:lang w:val="en-US" w:eastAsia="zh-CN"/>
        </w:rPr>
        <w:t>7</w:t>
      </w:r>
      <w:r>
        <w:rPr>
          <w:rFonts w:hint="eastAsia" w:ascii="仿宋" w:hAnsi="仿宋" w:eastAsia="仿宋" w:cs="仿宋"/>
          <w:bCs/>
          <w:sz w:val="32"/>
          <w:szCs w:val="32"/>
        </w:rPr>
        <w:t>）</w:t>
      </w:r>
      <w:r>
        <w:rPr>
          <w:rFonts w:hint="eastAsia" w:ascii="仿宋" w:hAnsi="仿宋" w:eastAsia="仿宋" w:cs="仿宋"/>
          <w:bCs/>
          <w:kern w:val="0"/>
          <w:sz w:val="32"/>
          <w:szCs w:val="32"/>
        </w:rPr>
        <w:t>在运维及管理期间，运维单位应严格按照许昌市环境监控信息中心制订的操作规范和规章制度，对所管理的系统及仪器设备进行规范操作和精心维护及必要维修，保证系统及仪器设备的正常运行。</w:t>
      </w:r>
    </w:p>
    <w:p>
      <w:pPr>
        <w:spacing w:line="360" w:lineRule="auto"/>
        <w:ind w:firstLine="486" w:firstLineChars="152"/>
        <w:rPr>
          <w:rFonts w:hint="eastAsia" w:ascii="仿宋" w:hAnsi="仿宋" w:eastAsia="仿宋" w:cs="仿宋"/>
          <w:bCs/>
          <w:kern w:val="0"/>
          <w:sz w:val="32"/>
          <w:szCs w:val="32"/>
        </w:rPr>
      </w:pPr>
      <w:r>
        <w:rPr>
          <w:rFonts w:hint="eastAsia" w:ascii="仿宋" w:hAnsi="仿宋" w:eastAsia="仿宋" w:cs="仿宋"/>
          <w:bCs/>
          <w:sz w:val="32"/>
          <w:szCs w:val="32"/>
        </w:rPr>
        <w:t>（</w:t>
      </w:r>
      <w:r>
        <w:rPr>
          <w:rFonts w:hint="eastAsia" w:ascii="仿宋" w:hAnsi="仿宋" w:eastAsia="仿宋" w:cs="仿宋"/>
          <w:bCs/>
          <w:sz w:val="32"/>
          <w:szCs w:val="32"/>
          <w:lang w:val="en-US" w:eastAsia="zh-CN"/>
        </w:rPr>
        <w:t>8</w:t>
      </w:r>
      <w:r>
        <w:rPr>
          <w:rFonts w:hint="eastAsia" w:ascii="仿宋" w:hAnsi="仿宋" w:eastAsia="仿宋" w:cs="仿宋"/>
          <w:bCs/>
          <w:sz w:val="32"/>
          <w:szCs w:val="32"/>
        </w:rPr>
        <w:t>）</w:t>
      </w:r>
      <w:r>
        <w:rPr>
          <w:rFonts w:hint="eastAsia" w:ascii="仿宋" w:hAnsi="仿宋" w:eastAsia="仿宋" w:cs="仿宋"/>
          <w:bCs/>
          <w:kern w:val="0"/>
          <w:sz w:val="32"/>
          <w:szCs w:val="32"/>
        </w:rPr>
        <w:t>在委托运行管理及维修期间，运维单位必须遵守国家的有关法律、法规及</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"http://www.waizi.org.cn/doc/41439.html" \t "_blank" \o "总站水字〔2007〕182号《国家地表水自动监测站运行管理办法》全文" </w:instrText>
      </w:r>
      <w:r>
        <w:rPr>
          <w:rFonts w:hint="eastAsia" w:ascii="仿宋" w:hAnsi="仿宋" w:eastAsia="仿宋" w:cs="仿宋"/>
          <w:sz w:val="32"/>
          <w:szCs w:val="32"/>
        </w:rPr>
        <w:fldChar w:fldCharType="separate"/>
      </w:r>
      <w:r>
        <w:rPr>
          <w:rFonts w:hint="eastAsia" w:ascii="仿宋" w:hAnsi="仿宋" w:eastAsia="仿宋" w:cs="仿宋"/>
          <w:bCs/>
          <w:kern w:val="0"/>
          <w:sz w:val="32"/>
          <w:szCs w:val="32"/>
        </w:rPr>
        <w:t>总站水字〔2007〕182号</w:t>
      </w:r>
      <w:r>
        <w:rPr>
          <w:rFonts w:hint="eastAsia" w:ascii="仿宋" w:hAnsi="仿宋" w:eastAsia="仿宋" w:cs="仿宋"/>
          <w:bCs/>
          <w:kern w:val="0"/>
          <w:sz w:val="32"/>
          <w:szCs w:val="32"/>
        </w:rPr>
        <w:fldChar w:fldCharType="end"/>
      </w:r>
      <w:r>
        <w:rPr>
          <w:rFonts w:hint="eastAsia" w:ascii="仿宋" w:hAnsi="仿宋" w:eastAsia="仿宋" w:cs="仿宋"/>
          <w:bCs/>
          <w:kern w:val="0"/>
          <w:sz w:val="32"/>
          <w:szCs w:val="32"/>
        </w:rPr>
        <w:t>文，国办发〔2015〕56号文等其他规定，本着为委托方负责的精神，依照规范，科学管理，使各仪表运行达到国家及行业颁布的技术标准和考核指标要求；使其真正发挥其效能和作用。受托方未经委托方许可，不得改变原有仪器设备、软件平台及集成系统等；必须负责保证数据准确可靠,发现数据有超标值或异常值出现时，应立即核查仪器、查明原因，负责数据24小时实时监控和超标数据或异常数据的报警发送工作。</w:t>
      </w:r>
    </w:p>
    <w:p>
      <w:pPr>
        <w:spacing w:line="360" w:lineRule="auto"/>
        <w:ind w:firstLine="486" w:firstLineChars="152"/>
        <w:rPr>
          <w:rFonts w:hint="eastAsia" w:ascii="仿宋" w:hAnsi="仿宋" w:eastAsia="仿宋" w:cs="仿宋"/>
          <w:bCs/>
          <w:kern w:val="0"/>
          <w:sz w:val="32"/>
          <w:szCs w:val="32"/>
        </w:rPr>
      </w:pPr>
      <w:r>
        <w:rPr>
          <w:rFonts w:hint="eastAsia" w:ascii="仿宋" w:hAnsi="仿宋" w:eastAsia="仿宋" w:cs="仿宋"/>
          <w:bCs/>
          <w:sz w:val="32"/>
          <w:szCs w:val="32"/>
        </w:rPr>
        <w:t>（</w:t>
      </w:r>
      <w:r>
        <w:rPr>
          <w:rFonts w:hint="eastAsia" w:ascii="仿宋" w:hAnsi="仿宋" w:eastAsia="仿宋" w:cs="仿宋"/>
          <w:bCs/>
          <w:sz w:val="32"/>
          <w:szCs w:val="32"/>
          <w:lang w:val="en-US" w:eastAsia="zh-CN"/>
        </w:rPr>
        <w:t>9</w:t>
      </w:r>
      <w:r>
        <w:rPr>
          <w:rFonts w:hint="eastAsia" w:ascii="仿宋" w:hAnsi="仿宋" w:eastAsia="仿宋" w:cs="仿宋"/>
          <w:bCs/>
          <w:sz w:val="32"/>
          <w:szCs w:val="32"/>
        </w:rPr>
        <w:t>）</w:t>
      </w:r>
      <w:r>
        <w:rPr>
          <w:rFonts w:hint="eastAsia" w:ascii="仿宋" w:hAnsi="仿宋" w:eastAsia="仿宋" w:cs="仿宋"/>
          <w:bCs/>
          <w:kern w:val="0"/>
          <w:sz w:val="32"/>
          <w:szCs w:val="32"/>
        </w:rPr>
        <w:t>因水位不足造成仪器无法取样分析，及时上报</w:t>
      </w:r>
      <w:r>
        <w:rPr>
          <w:rFonts w:hint="eastAsia" w:ascii="仿宋" w:hAnsi="仿宋" w:eastAsia="仿宋" w:cs="仿宋"/>
          <w:bCs/>
          <w:kern w:val="0"/>
          <w:sz w:val="32"/>
          <w:szCs w:val="32"/>
          <w:lang w:val="en-US" w:eastAsia="zh-CN"/>
        </w:rPr>
        <w:t>采购人</w:t>
      </w:r>
      <w:r>
        <w:rPr>
          <w:rFonts w:hint="eastAsia" w:ascii="仿宋" w:hAnsi="仿宋" w:eastAsia="仿宋" w:cs="仿宋"/>
          <w:bCs/>
          <w:kern w:val="0"/>
          <w:sz w:val="32"/>
          <w:szCs w:val="32"/>
        </w:rPr>
        <w:t>并提供解决方案。如遇自然断流时，须书面报告招标人备案。如遇到无法抗拒的自然灾害造成设备损坏无法监测时，由中标人委托有资质的第三方提供手工监测数据，手工监测不少于1次/天。</w:t>
      </w:r>
    </w:p>
    <w:p>
      <w:pPr>
        <w:spacing w:line="360" w:lineRule="auto"/>
        <w:ind w:firstLine="486" w:firstLineChars="152"/>
        <w:rPr>
          <w:rFonts w:hint="eastAsia" w:ascii="仿宋" w:hAnsi="仿宋" w:eastAsia="仿宋" w:cs="仿宋"/>
          <w:kern w:val="0"/>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10</w:t>
      </w:r>
      <w:r>
        <w:rPr>
          <w:rFonts w:hint="eastAsia" w:ascii="仿宋" w:hAnsi="仿宋" w:eastAsia="仿宋" w:cs="仿宋"/>
          <w:sz w:val="32"/>
          <w:szCs w:val="32"/>
        </w:rPr>
        <w:t>）</w:t>
      </w:r>
      <w:r>
        <w:rPr>
          <w:rFonts w:hint="eastAsia" w:ascii="仿宋" w:hAnsi="仿宋" w:eastAsia="仿宋" w:cs="仿宋"/>
          <w:kern w:val="0"/>
          <w:sz w:val="32"/>
          <w:szCs w:val="32"/>
        </w:rPr>
        <w:t>运维时间：即自委托合同签订之日起。双方签订合同后即开始自动监测站管理交接工作。</w:t>
      </w:r>
    </w:p>
    <w:p>
      <w:pPr>
        <w:spacing w:line="360" w:lineRule="auto"/>
        <w:ind w:firstLine="486" w:firstLineChars="152"/>
        <w:rPr>
          <w:rFonts w:hint="eastAsia" w:ascii="仿宋" w:hAnsi="仿宋" w:eastAsia="仿宋" w:cs="仿宋"/>
          <w:kern w:val="0"/>
          <w:sz w:val="32"/>
          <w:szCs w:val="32"/>
        </w:rPr>
      </w:pP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11</w:t>
      </w:r>
      <w:r>
        <w:rPr>
          <w:rFonts w:hint="eastAsia" w:ascii="仿宋" w:hAnsi="仿宋" w:eastAsia="仿宋" w:cs="仿宋"/>
          <w:kern w:val="0"/>
          <w:sz w:val="32"/>
          <w:szCs w:val="32"/>
        </w:rPr>
        <w:t>）质量保证要求：根据总站水字[2007]182号文中要求，每周一次标准溶液检查测试，每月一次实际水样的实验室比对测试,比对内容包括常规五参数（水温、pH值、溶解氧、电导率、浊度）、COD、氨氮、高锰酸盐指数、总氮、总磷共10个参数，结果按规定上报。</w:t>
      </w:r>
    </w:p>
    <w:p>
      <w:pPr>
        <w:pStyle w:val="2"/>
        <w:spacing w:line="360" w:lineRule="auto"/>
        <w:jc w:val="left"/>
        <w:rPr>
          <w:rFonts w:hint="eastAsia" w:ascii="仿宋" w:hAnsi="仿宋" w:eastAsia="仿宋" w:cs="仿宋"/>
          <w:kern w:val="0"/>
          <w:sz w:val="32"/>
          <w:szCs w:val="32"/>
        </w:rPr>
      </w:pPr>
      <w:r>
        <w:rPr>
          <w:rFonts w:hint="eastAsia" w:ascii="仿宋" w:hAnsi="仿宋" w:eastAsia="仿宋" w:cs="仿宋"/>
          <w:b/>
          <w:bCs/>
          <w:kern w:val="0"/>
          <w:sz w:val="32"/>
          <w:szCs w:val="32"/>
          <w:lang w:val="en-US" w:eastAsia="zh-CN"/>
        </w:rPr>
        <w:t>2</w:t>
      </w:r>
      <w:r>
        <w:rPr>
          <w:rFonts w:hint="eastAsia" w:ascii="仿宋" w:hAnsi="仿宋" w:eastAsia="仿宋" w:cs="仿宋"/>
          <w:b/>
          <w:bCs/>
          <w:kern w:val="0"/>
          <w:sz w:val="32"/>
          <w:szCs w:val="32"/>
        </w:rPr>
        <w:t>、</w:t>
      </w:r>
      <w:r>
        <w:rPr>
          <w:rFonts w:hint="eastAsia" w:ascii="仿宋" w:hAnsi="仿宋" w:eastAsia="仿宋" w:cs="仿宋"/>
          <w:kern w:val="0"/>
          <w:sz w:val="32"/>
          <w:szCs w:val="32"/>
        </w:rPr>
        <w:t xml:space="preserve"> </w:t>
      </w:r>
      <w:r>
        <w:rPr>
          <w:rFonts w:hint="eastAsia" w:ascii="仿宋" w:hAnsi="仿宋" w:eastAsia="仿宋" w:cs="仿宋"/>
          <w:b/>
          <w:bCs/>
          <w:kern w:val="0"/>
          <w:sz w:val="32"/>
          <w:szCs w:val="32"/>
        </w:rPr>
        <w:t>运维详细要求：</w:t>
      </w:r>
    </w:p>
    <w:p>
      <w:pPr>
        <w:spacing w:line="360" w:lineRule="auto"/>
        <w:ind w:firstLine="803" w:firstLineChars="250"/>
        <w:rPr>
          <w:rFonts w:hint="eastAsia" w:ascii="仿宋" w:hAnsi="仿宋" w:eastAsia="仿宋" w:cs="仿宋"/>
          <w:b/>
          <w:sz w:val="32"/>
          <w:szCs w:val="32"/>
        </w:rPr>
      </w:pPr>
      <w:r>
        <w:rPr>
          <w:rFonts w:hint="eastAsia" w:ascii="仿宋" w:hAnsi="仿宋" w:eastAsia="仿宋" w:cs="仿宋"/>
          <w:b/>
          <w:sz w:val="32"/>
          <w:szCs w:val="32"/>
        </w:rPr>
        <w:t>（1） 运行维护工作目标</w:t>
      </w:r>
    </w:p>
    <w:p>
      <w:pPr>
        <w:spacing w:line="360" w:lineRule="auto"/>
        <w:ind w:firstLine="803" w:firstLineChars="251"/>
        <w:rPr>
          <w:rFonts w:hint="eastAsia" w:ascii="仿宋" w:hAnsi="仿宋" w:eastAsia="仿宋" w:cs="仿宋"/>
          <w:snapToGrid w:val="0"/>
          <w:sz w:val="32"/>
          <w:szCs w:val="32"/>
        </w:rPr>
      </w:pPr>
      <w:r>
        <w:rPr>
          <w:rFonts w:hint="eastAsia" w:ascii="仿宋" w:hAnsi="仿宋" w:eastAsia="仿宋" w:cs="仿宋"/>
          <w:snapToGrid w:val="0"/>
          <w:sz w:val="32"/>
          <w:szCs w:val="32"/>
        </w:rPr>
        <w:t>①有效数据捕捉率：有效数据捕捉率是指上位机能调到的水站仪器分析得到的有效数据个数相对于仪器设备按照数据产生频率统计的数据总个数的百分比。有效数据捕捉率≥90％（以日考核，除外部停电或其他不可抗拒的原因外）。</w:t>
      </w:r>
    </w:p>
    <w:p>
      <w:pPr>
        <w:spacing w:line="360" w:lineRule="auto"/>
        <w:ind w:firstLine="486" w:firstLineChars="152"/>
        <w:rPr>
          <w:rFonts w:hint="eastAsia" w:ascii="仿宋" w:hAnsi="仿宋" w:eastAsia="仿宋" w:cs="仿宋"/>
          <w:snapToGrid w:val="0"/>
          <w:sz w:val="32"/>
          <w:szCs w:val="32"/>
        </w:rPr>
      </w:pPr>
      <w:r>
        <w:rPr>
          <w:rFonts w:hint="eastAsia" w:ascii="仿宋" w:hAnsi="仿宋" w:eastAsia="仿宋" w:cs="仿宋"/>
          <w:snapToGrid w:val="0"/>
          <w:sz w:val="32"/>
          <w:szCs w:val="32"/>
        </w:rPr>
        <w:t>②周报报送考核：</w:t>
      </w:r>
    </w:p>
    <w:p>
      <w:pPr>
        <w:spacing w:line="360" w:lineRule="auto"/>
        <w:ind w:firstLine="486" w:firstLineChars="152"/>
        <w:rPr>
          <w:rFonts w:hint="eastAsia" w:ascii="仿宋" w:hAnsi="仿宋" w:eastAsia="仿宋" w:cs="仿宋"/>
          <w:snapToGrid w:val="0"/>
          <w:sz w:val="32"/>
          <w:szCs w:val="32"/>
        </w:rPr>
      </w:pPr>
      <w:r>
        <w:rPr>
          <w:rFonts w:hint="eastAsia" w:ascii="仿宋" w:hAnsi="仿宋" w:eastAsia="仿宋" w:cs="仿宋"/>
          <w:snapToGrid w:val="0"/>
          <w:sz w:val="32"/>
          <w:szCs w:val="32"/>
        </w:rPr>
        <w:t>受托方应于每周一10点之前报送上周的水质周报。水质周报各项指标日均值的计算至少需要8个有效数据；周均值的计算至少需要5个有效日均值。</w:t>
      </w:r>
    </w:p>
    <w:p>
      <w:pPr>
        <w:spacing w:line="360" w:lineRule="auto"/>
        <w:ind w:firstLine="486" w:firstLineChars="152"/>
        <w:rPr>
          <w:rFonts w:hint="eastAsia" w:ascii="仿宋" w:hAnsi="仿宋" w:eastAsia="仿宋" w:cs="仿宋"/>
          <w:snapToGrid w:val="0"/>
          <w:sz w:val="32"/>
          <w:szCs w:val="32"/>
        </w:rPr>
      </w:pPr>
      <w:r>
        <w:rPr>
          <w:rFonts w:hint="eastAsia" w:ascii="仿宋" w:hAnsi="仿宋" w:eastAsia="仿宋" w:cs="仿宋"/>
          <w:snapToGrid w:val="0"/>
          <w:sz w:val="32"/>
          <w:szCs w:val="32"/>
        </w:rPr>
        <w:t>③数据质量：</w:t>
      </w:r>
    </w:p>
    <w:p>
      <w:pPr>
        <w:spacing w:line="360" w:lineRule="auto"/>
        <w:ind w:firstLine="486" w:firstLineChars="152"/>
        <w:rPr>
          <w:rFonts w:hint="eastAsia" w:ascii="仿宋" w:hAnsi="仿宋" w:eastAsia="仿宋" w:cs="仿宋"/>
          <w:snapToGrid w:val="0"/>
          <w:sz w:val="32"/>
          <w:szCs w:val="32"/>
        </w:rPr>
      </w:pPr>
      <w:r>
        <w:rPr>
          <w:rFonts w:hint="eastAsia" w:ascii="仿宋" w:hAnsi="仿宋" w:eastAsia="仿宋" w:cs="仿宋"/>
          <w:snapToGrid w:val="0"/>
          <w:sz w:val="32"/>
          <w:szCs w:val="32"/>
        </w:rPr>
        <w:t>要求受托方每月对自动监测仪器全参数进行一次比对工作，比对结果按月报监管单位。</w:t>
      </w:r>
    </w:p>
    <w:p>
      <w:pPr>
        <w:spacing w:line="360" w:lineRule="auto"/>
        <w:ind w:firstLine="486" w:firstLineChars="152"/>
        <w:rPr>
          <w:rFonts w:hint="eastAsia" w:ascii="仿宋" w:hAnsi="仿宋" w:eastAsia="仿宋" w:cs="仿宋"/>
          <w:snapToGrid w:val="0"/>
          <w:sz w:val="32"/>
          <w:szCs w:val="32"/>
        </w:rPr>
      </w:pPr>
      <w:r>
        <w:rPr>
          <w:rFonts w:hint="eastAsia" w:ascii="仿宋" w:hAnsi="仿宋" w:eastAsia="仿宋" w:cs="仿宋"/>
          <w:snapToGrid w:val="0"/>
          <w:sz w:val="32"/>
          <w:szCs w:val="32"/>
        </w:rPr>
        <w:t>④运行管理：</w:t>
      </w:r>
    </w:p>
    <w:p>
      <w:pPr>
        <w:spacing w:line="360" w:lineRule="auto"/>
        <w:ind w:firstLine="486" w:firstLineChars="152"/>
        <w:rPr>
          <w:rFonts w:hint="eastAsia" w:ascii="仿宋" w:hAnsi="仿宋" w:eastAsia="仿宋" w:cs="仿宋"/>
          <w:snapToGrid w:val="0"/>
          <w:sz w:val="32"/>
          <w:szCs w:val="32"/>
        </w:rPr>
      </w:pPr>
      <w:r>
        <w:rPr>
          <w:rFonts w:hint="eastAsia" w:ascii="仿宋" w:hAnsi="仿宋" w:eastAsia="仿宋" w:cs="仿宋"/>
          <w:snapToGrid w:val="0"/>
          <w:sz w:val="32"/>
          <w:szCs w:val="32"/>
        </w:rPr>
        <w:t>数据按照委托方的要求接入相关环保部门,接受属地环保部门的日常监管和质控考核，受托方应积极主动配合属地监管的环保部门做好运行管理工作。</w:t>
      </w:r>
    </w:p>
    <w:p>
      <w:pPr>
        <w:spacing w:line="360" w:lineRule="auto"/>
        <w:ind w:firstLine="485" w:firstLineChars="151"/>
        <w:jc w:val="left"/>
        <w:rPr>
          <w:rFonts w:hint="eastAsia" w:ascii="仿宋" w:hAnsi="仿宋" w:eastAsia="仿宋" w:cs="仿宋"/>
          <w:b/>
          <w:sz w:val="32"/>
          <w:szCs w:val="32"/>
        </w:rPr>
      </w:pPr>
      <w:r>
        <w:rPr>
          <w:rFonts w:hint="eastAsia" w:ascii="仿宋" w:hAnsi="仿宋" w:eastAsia="仿宋" w:cs="仿宋"/>
          <w:b/>
          <w:sz w:val="32"/>
          <w:szCs w:val="32"/>
        </w:rPr>
        <w:t>（2） 运维工作范围：</w:t>
      </w:r>
    </w:p>
    <w:p>
      <w:pPr>
        <w:spacing w:line="360" w:lineRule="auto"/>
        <w:ind w:firstLine="486" w:firstLineChars="152"/>
        <w:rPr>
          <w:rFonts w:hint="eastAsia" w:ascii="仿宋" w:hAnsi="仿宋" w:eastAsia="仿宋" w:cs="仿宋"/>
          <w:sz w:val="32"/>
          <w:szCs w:val="32"/>
        </w:rPr>
      </w:pPr>
      <w:r>
        <w:rPr>
          <w:rFonts w:hint="eastAsia" w:ascii="仿宋" w:hAnsi="仿宋" w:eastAsia="仿宋" w:cs="仿宋"/>
          <w:snapToGrid w:val="0"/>
          <w:sz w:val="32"/>
          <w:szCs w:val="32"/>
        </w:rPr>
        <w:t>每天对水质自动站整个系统进行维护检查，通过宏观检查各仪器运行的状况。每周在现场观察系统运行一个完整的周期，检查整个系统运行状况。通过每日监控、每周巡查，确保仪器设备和系统处于正常的运行状况。</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按照河南省环保厅《关于印发河南省地表水环境质量自动监测站运行管理办法》（豫环文〔2015〕285号）要求，做好运维管理工作，具体要求如下：</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（1）负责水站各系统的定期巡检、维护、后勤保障工作，包括水站管理、技术人员和车辆的调配，试剂的购置与更换，比对实验的保障等工作。做好防雷和供电设施等的年度检定工作，向</w:t>
      </w:r>
      <w:r>
        <w:rPr>
          <w:rFonts w:hint="eastAsia" w:ascii="仿宋" w:hAnsi="仿宋" w:eastAsia="仿宋" w:cs="仿宋"/>
          <w:sz w:val="32"/>
          <w:szCs w:val="32"/>
          <w:lang w:eastAsia="zh-CN"/>
        </w:rPr>
        <w:t>采购人</w:t>
      </w:r>
      <w:r>
        <w:rPr>
          <w:rFonts w:hint="eastAsia" w:ascii="仿宋" w:hAnsi="仿宋" w:eastAsia="仿宋" w:cs="仿宋"/>
          <w:sz w:val="32"/>
          <w:szCs w:val="32"/>
        </w:rPr>
        <w:t>报送年度防雷报告、变压器及线路检定报告。</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（2）负责水站的所有设备故障的现场维修工作，向</w:t>
      </w:r>
      <w:r>
        <w:rPr>
          <w:rFonts w:hint="eastAsia" w:ascii="仿宋" w:hAnsi="仿宋" w:eastAsia="仿宋" w:cs="仿宋"/>
          <w:sz w:val="32"/>
          <w:szCs w:val="32"/>
          <w:lang w:eastAsia="zh-CN"/>
        </w:rPr>
        <w:t>采购人</w:t>
      </w:r>
      <w:r>
        <w:rPr>
          <w:rFonts w:hint="eastAsia" w:ascii="仿宋" w:hAnsi="仿宋" w:eastAsia="仿宋" w:cs="仿宋"/>
          <w:sz w:val="32"/>
          <w:szCs w:val="32"/>
        </w:rPr>
        <w:t>报送故障排除情况报告。</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（3）负责选聘和管理水站现场看护人员，制定现场看护的相关规定，监督看护人员履行职责，保障水站的安全和环境卫生。每季度上报运行安全管理报告；对出现的事故应以书面报告形式上报</w:t>
      </w:r>
      <w:r>
        <w:rPr>
          <w:rFonts w:hint="eastAsia" w:ascii="仿宋" w:hAnsi="仿宋" w:eastAsia="仿宋" w:cs="仿宋"/>
          <w:sz w:val="32"/>
          <w:szCs w:val="32"/>
          <w:lang w:eastAsia="zh-CN"/>
        </w:rPr>
        <w:t>采购人</w:t>
      </w:r>
      <w:r>
        <w:rPr>
          <w:rFonts w:hint="eastAsia" w:ascii="仿宋" w:hAnsi="仿宋" w:eastAsia="仿宋" w:cs="仿宋"/>
          <w:sz w:val="32"/>
          <w:szCs w:val="32"/>
        </w:rPr>
        <w:t>。</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（4）负责为水站运行看护人员提供人身意外伤害保险。</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（5）负责公开招、投标文件及合同中约定的其他相关工作。</w:t>
      </w:r>
    </w:p>
    <w:p>
      <w:pPr>
        <w:snapToGrid w:val="0"/>
        <w:spacing w:line="360" w:lineRule="auto"/>
        <w:ind w:firstLine="643" w:firstLineChars="200"/>
        <w:rPr>
          <w:rFonts w:hint="eastAsia" w:ascii="仿宋" w:hAnsi="仿宋" w:eastAsia="仿宋" w:cs="仿宋"/>
          <w:b/>
          <w:sz w:val="32"/>
          <w:szCs w:val="32"/>
        </w:rPr>
      </w:pPr>
      <w:r>
        <w:rPr>
          <w:rFonts w:hint="eastAsia" w:ascii="仿宋" w:hAnsi="仿宋" w:eastAsia="仿宋" w:cs="仿宋"/>
          <w:b/>
          <w:sz w:val="32"/>
          <w:szCs w:val="32"/>
        </w:rPr>
        <w:t>（3）运行维护管理要求</w:t>
      </w:r>
    </w:p>
    <w:p>
      <w:pPr>
        <w:snapToGrid w:val="0"/>
        <w:spacing w:line="360" w:lineRule="auto"/>
        <w:ind w:firstLine="960" w:firstLineChars="300"/>
        <w:rPr>
          <w:rFonts w:hint="eastAsia" w:ascii="仿宋" w:hAnsi="仿宋" w:eastAsia="仿宋" w:cs="仿宋"/>
          <w:sz w:val="32"/>
          <w:szCs w:val="32"/>
        </w:rPr>
      </w:pPr>
      <w:r>
        <w:rPr>
          <w:rFonts w:hint="eastAsia" w:ascii="仿宋" w:hAnsi="仿宋" w:eastAsia="仿宋" w:cs="仿宋"/>
          <w:sz w:val="32"/>
          <w:szCs w:val="32"/>
        </w:rPr>
        <w:t>对水站实施“日监视、周巡检”的日常运行维护与管理制度。24小时通过数据平台进行数据监控，利用中心站远程监控软件调取水站实时监测数据，并对站点进行运行管理和巡视，保证前端水站与监控平台数据畅通，主要工作包括：</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（1）根据仪器监测数据判断仪器运行情况；</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（2）根据电源电压、站房温度、湿度等参数分析站房内部情况；</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（3）发现水站数据持续异常情况，应及时赶赴现场进行处理并填写有关情况记录，必要时现场采集实时水样和留样并委托有资质实验室进行分析。</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（4）每天上午10:00前，登录数据监控平台，对水站前一天的自动监测数据进行初步审核。</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lang w:eastAsia="zh-CN"/>
        </w:rPr>
        <w:t>中标人</w:t>
      </w:r>
      <w:r>
        <w:rPr>
          <w:rFonts w:hint="eastAsia" w:ascii="仿宋" w:hAnsi="仿宋" w:eastAsia="仿宋" w:cs="仿宋"/>
          <w:sz w:val="32"/>
          <w:szCs w:val="32"/>
        </w:rPr>
        <w:t>每年制定巡检计划上报市环境监控中心，每月上报月度巡检报告，年底上报年度运维报告。</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（6） 监控必须保持24小时不间断，保证前端水站与监控平台数据畅通。</w:t>
      </w:r>
    </w:p>
    <w:p>
      <w:pPr>
        <w:snapToGrid w:val="0"/>
        <w:spacing w:line="360" w:lineRule="auto"/>
        <w:ind w:firstLine="643" w:firstLineChars="200"/>
        <w:jc w:val="left"/>
        <w:rPr>
          <w:rFonts w:hint="eastAsia" w:ascii="仿宋" w:hAnsi="仿宋" w:eastAsia="仿宋" w:cs="仿宋"/>
          <w:b/>
          <w:sz w:val="32"/>
          <w:szCs w:val="32"/>
        </w:rPr>
      </w:pPr>
      <w:r>
        <w:rPr>
          <w:rFonts w:hint="eastAsia" w:ascii="仿宋" w:hAnsi="仿宋" w:eastAsia="仿宋" w:cs="仿宋"/>
          <w:b/>
          <w:sz w:val="32"/>
          <w:szCs w:val="32"/>
          <w:lang w:val="en-US" w:eastAsia="zh-CN"/>
        </w:rPr>
        <w:t>3</w:t>
      </w:r>
      <w:r>
        <w:rPr>
          <w:rFonts w:hint="eastAsia" w:ascii="仿宋" w:hAnsi="仿宋" w:eastAsia="仿宋" w:cs="仿宋"/>
          <w:b/>
          <w:sz w:val="32"/>
          <w:szCs w:val="32"/>
        </w:rPr>
        <w:t>、水质自动监测站的运维管理内容</w:t>
      </w:r>
    </w:p>
    <w:p>
      <w:pPr>
        <w:snapToGrid w:val="0"/>
        <w:spacing w:line="360" w:lineRule="auto"/>
        <w:ind w:firstLine="964" w:firstLineChars="300"/>
        <w:rPr>
          <w:rFonts w:hint="eastAsia" w:ascii="仿宋" w:hAnsi="仿宋" w:eastAsia="仿宋" w:cs="仿宋"/>
          <w:b/>
          <w:sz w:val="32"/>
          <w:szCs w:val="32"/>
        </w:rPr>
      </w:pPr>
      <w:r>
        <w:rPr>
          <w:rFonts w:hint="eastAsia" w:ascii="仿宋" w:hAnsi="仿宋" w:eastAsia="仿宋" w:cs="仿宋"/>
          <w:b/>
          <w:sz w:val="32"/>
          <w:szCs w:val="32"/>
          <w:lang w:val="en-US" w:eastAsia="zh-CN"/>
        </w:rPr>
        <w:t>3</w:t>
      </w:r>
      <w:r>
        <w:rPr>
          <w:rFonts w:hint="eastAsia" w:ascii="仿宋" w:hAnsi="仿宋" w:eastAsia="仿宋" w:cs="仿宋"/>
          <w:b/>
          <w:sz w:val="32"/>
          <w:szCs w:val="32"/>
        </w:rPr>
        <w:t>.1 日监控的内容</w:t>
      </w:r>
    </w:p>
    <w:p>
      <w:pPr>
        <w:snapToGrid w:val="0"/>
        <w:spacing w:line="360" w:lineRule="auto"/>
        <w:ind w:left="40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.1.1 通过仪器监测数据判断仪器运行情况。</w:t>
      </w:r>
    </w:p>
    <w:p>
      <w:pPr>
        <w:snapToGrid w:val="0"/>
        <w:spacing w:line="360" w:lineRule="auto"/>
        <w:ind w:left="400"/>
        <w:rPr>
          <w:rFonts w:hint="eastAsia" w:ascii="仿宋" w:hAnsi="仿宋" w:eastAsia="仿宋" w:cs="仿宋"/>
          <w:sz w:val="32"/>
          <w:szCs w:val="32"/>
        </w:rPr>
      </w:pPr>
      <w:r>
        <w:rPr>
          <w:rFonts w:hint="eastAsia" w:ascii="仿宋" w:hAnsi="仿宋" w:eastAsia="仿宋" w:cs="仿宋"/>
          <w:sz w:val="32"/>
          <w:szCs w:val="32"/>
        </w:rPr>
        <w:t>根据电源电压、站房温度、湿度等参数分析站房内部情况。</w:t>
      </w:r>
    </w:p>
    <w:p>
      <w:pPr>
        <w:snapToGrid w:val="0"/>
        <w:spacing w:line="360" w:lineRule="auto"/>
        <w:ind w:left="400" w:firstLine="640" w:firstLineChars="200"/>
        <w:rPr>
          <w:rFonts w:hint="eastAsia" w:ascii="仿宋" w:hAnsi="仿宋" w:eastAsia="仿宋" w:cs="仿宋"/>
          <w:sz w:val="32"/>
          <w:szCs w:val="32"/>
        </w:rPr>
      </w:pPr>
      <w:r>
        <w:rPr>
          <w:rFonts w:hint="eastAsia" w:ascii="仿宋" w:hAnsi="仿宋" w:eastAsia="仿宋" w:cs="仿宋"/>
          <w:sz w:val="32"/>
          <w:szCs w:val="32"/>
        </w:rPr>
        <w:t>（1）远程对水站整个系统进行检查，如有系统报警，及时查找原因，排除故障并记录。</w:t>
      </w:r>
    </w:p>
    <w:p>
      <w:pPr>
        <w:snapToGrid w:val="0"/>
        <w:spacing w:line="360" w:lineRule="auto"/>
        <w:ind w:left="400" w:firstLine="640" w:firstLineChars="200"/>
        <w:rPr>
          <w:rFonts w:hint="eastAsia" w:ascii="仿宋" w:hAnsi="仿宋" w:eastAsia="仿宋" w:cs="仿宋"/>
          <w:sz w:val="32"/>
          <w:szCs w:val="32"/>
        </w:rPr>
      </w:pPr>
      <w:r>
        <w:rPr>
          <w:rFonts w:hint="eastAsia" w:ascii="仿宋" w:hAnsi="仿宋" w:eastAsia="仿宋" w:cs="仿宋"/>
          <w:sz w:val="32"/>
          <w:szCs w:val="32"/>
        </w:rPr>
        <w:t>（2）与现场看站人员联系，询问前一天水站运行情况有无异常，有异常及时处理并记录。</w:t>
      </w:r>
    </w:p>
    <w:p>
      <w:pPr>
        <w:snapToGrid w:val="0"/>
        <w:spacing w:line="360" w:lineRule="auto"/>
        <w:ind w:left="400" w:firstLine="321" w:firstLineChars="100"/>
        <w:rPr>
          <w:rFonts w:hint="eastAsia" w:ascii="仿宋" w:hAnsi="仿宋" w:eastAsia="仿宋" w:cs="仿宋"/>
          <w:b/>
          <w:sz w:val="32"/>
          <w:szCs w:val="32"/>
        </w:rPr>
      </w:pPr>
      <w:r>
        <w:rPr>
          <w:rFonts w:hint="eastAsia" w:ascii="仿宋" w:hAnsi="仿宋" w:eastAsia="仿宋" w:cs="仿宋"/>
          <w:b/>
          <w:sz w:val="32"/>
          <w:szCs w:val="32"/>
          <w:lang w:val="en-US" w:eastAsia="zh-CN"/>
        </w:rPr>
        <w:t>3</w:t>
      </w:r>
      <w:r>
        <w:rPr>
          <w:rFonts w:hint="eastAsia" w:ascii="仿宋" w:hAnsi="仿宋" w:eastAsia="仿宋" w:cs="仿宋"/>
          <w:b/>
          <w:sz w:val="32"/>
          <w:szCs w:val="32"/>
        </w:rPr>
        <w:t>.2 周巡检主要内容</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每周应巡检水站至少一次，主要工作包括：</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采水系统、进水与配水系统、通讯系统、控制系统、集成、配电、各分析仪器、站房的安全和卫生的维护及现场填写运维质控记录，详见下表：</w:t>
      </w:r>
    </w:p>
    <w:tbl>
      <w:tblPr>
        <w:tblStyle w:val="23"/>
        <w:tblW w:w="8770" w:type="dxa"/>
        <w:jc w:val="center"/>
        <w:tblLayout w:type="fixed"/>
        <w:tblCellMar>
          <w:top w:w="0" w:type="dxa"/>
          <w:left w:w="108" w:type="dxa"/>
          <w:bottom w:w="0" w:type="dxa"/>
          <w:right w:w="108" w:type="dxa"/>
        </w:tblCellMar>
      </w:tblPr>
      <w:tblGrid>
        <w:gridCol w:w="672"/>
        <w:gridCol w:w="1276"/>
        <w:gridCol w:w="1850"/>
        <w:gridCol w:w="4972"/>
      </w:tblGrid>
      <w:tr>
        <w:tblPrEx>
          <w:tblCellMar>
            <w:top w:w="0" w:type="dxa"/>
            <w:left w:w="108" w:type="dxa"/>
            <w:bottom w:w="0" w:type="dxa"/>
            <w:right w:w="108" w:type="dxa"/>
          </w:tblCellMar>
        </w:tblPrEx>
        <w:trPr>
          <w:trHeight w:val="547" w:hRule="atLeast"/>
          <w:jc w:val="center"/>
        </w:trPr>
        <w:tc>
          <w:tcPr>
            <w:tcW w:w="672"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 w:hAnsi="仿宋" w:eastAsia="仿宋" w:cs="仿宋"/>
                <w:b/>
                <w:sz w:val="32"/>
                <w:szCs w:val="32"/>
              </w:rPr>
            </w:pPr>
            <w:r>
              <w:rPr>
                <w:rFonts w:hint="eastAsia" w:ascii="仿宋" w:hAnsi="仿宋" w:eastAsia="仿宋" w:cs="仿宋"/>
                <w:b/>
                <w:sz w:val="32"/>
                <w:szCs w:val="32"/>
              </w:rPr>
              <w:t>序号</w:t>
            </w:r>
          </w:p>
        </w:tc>
        <w:tc>
          <w:tcPr>
            <w:tcW w:w="1276" w:type="dxa"/>
            <w:tcBorders>
              <w:top w:val="single" w:color="auto" w:sz="8" w:space="0"/>
              <w:left w:val="nil"/>
              <w:bottom w:val="single" w:color="auto" w:sz="8" w:space="0"/>
              <w:right w:val="single" w:color="auto" w:sz="4" w:space="0"/>
            </w:tcBorders>
            <w:noWrap w:val="0"/>
            <w:vAlign w:val="center"/>
          </w:tcPr>
          <w:p>
            <w:pPr>
              <w:jc w:val="center"/>
              <w:rPr>
                <w:rFonts w:hint="eastAsia" w:ascii="仿宋" w:hAnsi="仿宋" w:eastAsia="仿宋" w:cs="仿宋"/>
                <w:b/>
                <w:sz w:val="32"/>
                <w:szCs w:val="32"/>
              </w:rPr>
            </w:pPr>
            <w:r>
              <w:rPr>
                <w:rFonts w:hint="eastAsia" w:ascii="仿宋" w:hAnsi="仿宋" w:eastAsia="仿宋" w:cs="仿宋"/>
                <w:b/>
                <w:sz w:val="32"/>
                <w:szCs w:val="32"/>
              </w:rPr>
              <w:t>维护内容</w:t>
            </w:r>
          </w:p>
        </w:tc>
        <w:tc>
          <w:tcPr>
            <w:tcW w:w="1850" w:type="dxa"/>
            <w:tcBorders>
              <w:top w:val="single" w:color="auto" w:sz="8" w:space="0"/>
              <w:left w:val="nil"/>
              <w:bottom w:val="single" w:color="auto" w:sz="8" w:space="0"/>
              <w:right w:val="single" w:color="auto" w:sz="8" w:space="0"/>
            </w:tcBorders>
            <w:noWrap w:val="0"/>
            <w:vAlign w:val="center"/>
          </w:tcPr>
          <w:p>
            <w:pPr>
              <w:jc w:val="center"/>
              <w:rPr>
                <w:rFonts w:hint="eastAsia" w:ascii="仿宋" w:hAnsi="仿宋" w:eastAsia="仿宋" w:cs="仿宋"/>
                <w:b/>
                <w:sz w:val="32"/>
                <w:szCs w:val="32"/>
              </w:rPr>
            </w:pPr>
            <w:r>
              <w:rPr>
                <w:rFonts w:hint="eastAsia" w:ascii="仿宋" w:hAnsi="仿宋" w:eastAsia="仿宋" w:cs="仿宋"/>
                <w:b/>
                <w:sz w:val="32"/>
                <w:szCs w:val="32"/>
              </w:rPr>
              <w:t>维护周期及目标</w:t>
            </w:r>
          </w:p>
        </w:tc>
        <w:tc>
          <w:tcPr>
            <w:tcW w:w="4972" w:type="dxa"/>
            <w:tcBorders>
              <w:top w:val="single" w:color="auto" w:sz="8" w:space="0"/>
              <w:left w:val="nil"/>
              <w:bottom w:val="single" w:color="auto" w:sz="8" w:space="0"/>
              <w:right w:val="single" w:color="auto" w:sz="8" w:space="0"/>
            </w:tcBorders>
            <w:noWrap w:val="0"/>
            <w:vAlign w:val="center"/>
          </w:tcPr>
          <w:p>
            <w:pPr>
              <w:jc w:val="center"/>
              <w:rPr>
                <w:rFonts w:hint="eastAsia" w:ascii="仿宋" w:hAnsi="仿宋" w:eastAsia="仿宋" w:cs="仿宋"/>
                <w:b/>
                <w:sz w:val="32"/>
                <w:szCs w:val="32"/>
              </w:rPr>
            </w:pPr>
            <w:r>
              <w:rPr>
                <w:rFonts w:hint="eastAsia" w:ascii="仿宋" w:hAnsi="仿宋" w:eastAsia="仿宋" w:cs="仿宋"/>
                <w:b/>
                <w:sz w:val="32"/>
                <w:szCs w:val="32"/>
              </w:rPr>
              <w:t>维护要求</w:t>
            </w:r>
          </w:p>
        </w:tc>
      </w:tr>
      <w:tr>
        <w:tblPrEx>
          <w:tblCellMar>
            <w:top w:w="0" w:type="dxa"/>
            <w:left w:w="108" w:type="dxa"/>
            <w:bottom w:w="0" w:type="dxa"/>
            <w:right w:w="108" w:type="dxa"/>
          </w:tblCellMar>
        </w:tblPrEx>
        <w:trPr>
          <w:jc w:val="center"/>
        </w:trPr>
        <w:tc>
          <w:tcPr>
            <w:tcW w:w="672"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1</w:t>
            </w:r>
          </w:p>
        </w:tc>
        <w:tc>
          <w:tcPr>
            <w:tcW w:w="1276" w:type="dxa"/>
            <w:tcBorders>
              <w:top w:val="single" w:color="auto" w:sz="8" w:space="0"/>
              <w:left w:val="nil"/>
              <w:bottom w:val="single" w:color="auto" w:sz="8" w:space="0"/>
              <w:right w:val="single" w:color="auto" w:sz="4" w:space="0"/>
            </w:tcBorders>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采水系统</w:t>
            </w:r>
          </w:p>
        </w:tc>
        <w:tc>
          <w:tcPr>
            <w:tcW w:w="1850" w:type="dxa"/>
            <w:tcBorders>
              <w:top w:val="single" w:color="auto" w:sz="8" w:space="0"/>
              <w:left w:val="nil"/>
              <w:bottom w:val="single" w:color="auto" w:sz="8" w:space="0"/>
              <w:right w:val="single" w:color="auto" w:sz="8" w:space="0"/>
            </w:tcBorders>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1周1次，根据不同水期，适当调整，保证采水系统正常运行</w:t>
            </w:r>
          </w:p>
        </w:tc>
        <w:tc>
          <w:tcPr>
            <w:tcW w:w="4972" w:type="dxa"/>
            <w:tcBorders>
              <w:top w:val="single" w:color="auto" w:sz="8" w:space="0"/>
              <w:left w:val="nil"/>
              <w:bottom w:val="single" w:color="auto" w:sz="8" w:space="0"/>
              <w:right w:val="single" w:color="auto" w:sz="8" w:space="0"/>
            </w:tcBorders>
            <w:noWrap w:val="0"/>
            <w:vAlign w:val="center"/>
          </w:tcPr>
          <w:p>
            <w:pPr>
              <w:numPr>
                <w:ilvl w:val="0"/>
                <w:numId w:val="5"/>
              </w:numPr>
              <w:rPr>
                <w:rFonts w:hint="eastAsia" w:ascii="仿宋" w:hAnsi="仿宋" w:eastAsia="仿宋" w:cs="仿宋"/>
                <w:sz w:val="32"/>
                <w:szCs w:val="32"/>
              </w:rPr>
            </w:pPr>
            <w:r>
              <w:rPr>
                <w:rFonts w:hint="eastAsia" w:ascii="仿宋" w:hAnsi="仿宋" w:eastAsia="仿宋" w:cs="仿宋"/>
                <w:sz w:val="32"/>
                <w:szCs w:val="32"/>
              </w:rPr>
              <w:t>水泵应清洗过滤网。自吸泵应清洗采水头；潜水泵应清洗泵体、吊桶；检查采水浮船，清除四周杂物，检查警示标志的完整性。</w:t>
            </w:r>
          </w:p>
          <w:p>
            <w:pPr>
              <w:numPr>
                <w:ilvl w:val="0"/>
                <w:numId w:val="5"/>
              </w:numPr>
              <w:rPr>
                <w:rFonts w:hint="eastAsia" w:ascii="仿宋" w:hAnsi="仿宋" w:eastAsia="仿宋" w:cs="仿宋"/>
                <w:sz w:val="32"/>
                <w:szCs w:val="32"/>
              </w:rPr>
            </w:pPr>
            <w:r>
              <w:rPr>
                <w:rFonts w:hint="eastAsia" w:ascii="仿宋" w:hAnsi="仿宋" w:eastAsia="仿宋" w:cs="仿宋"/>
                <w:sz w:val="32"/>
                <w:szCs w:val="32"/>
              </w:rPr>
              <w:t>检查取水管路是否出现弯折现象，是否畅通；清理管路周边杂物，在泥沙含量大或藻类密集的断面应视情况不定期进行清洗，每月至少一次；检查管路保温材料是否完好。</w:t>
            </w:r>
          </w:p>
          <w:p>
            <w:pPr>
              <w:numPr>
                <w:ilvl w:val="0"/>
                <w:numId w:val="5"/>
              </w:numPr>
              <w:rPr>
                <w:rFonts w:hint="eastAsia" w:ascii="仿宋" w:hAnsi="仿宋" w:eastAsia="仿宋" w:cs="仿宋"/>
                <w:sz w:val="32"/>
                <w:szCs w:val="32"/>
              </w:rPr>
            </w:pPr>
            <w:r>
              <w:rPr>
                <w:rFonts w:hint="eastAsia" w:ascii="仿宋" w:hAnsi="仿宋" w:eastAsia="仿宋" w:cs="仿宋"/>
                <w:sz w:val="32"/>
                <w:szCs w:val="32"/>
              </w:rPr>
              <w:t>检查栈桥扶栏、桥板的安全性、警示标志的完整性。</w:t>
            </w:r>
          </w:p>
          <w:p>
            <w:pPr>
              <w:numPr>
                <w:ilvl w:val="0"/>
                <w:numId w:val="5"/>
              </w:numPr>
              <w:rPr>
                <w:rFonts w:hint="eastAsia" w:ascii="仿宋" w:hAnsi="仿宋" w:eastAsia="仿宋" w:cs="仿宋"/>
                <w:sz w:val="32"/>
                <w:szCs w:val="32"/>
              </w:rPr>
            </w:pPr>
            <w:r>
              <w:rPr>
                <w:rFonts w:hint="eastAsia" w:ascii="仿宋" w:hAnsi="仿宋" w:eastAsia="仿宋" w:cs="仿宋"/>
                <w:sz w:val="32"/>
                <w:szCs w:val="32"/>
              </w:rPr>
              <w:t>冬季前应主要检查采水单元的采水泵工作是否正常，采水泵电源线、浮船警示灯电源线和采水管路是否老化，埋设是否裸露，保温材料是否损坏，如有老化、裸露和损坏情况应及时修复。</w:t>
            </w:r>
          </w:p>
        </w:tc>
      </w:tr>
      <w:tr>
        <w:tblPrEx>
          <w:tblCellMar>
            <w:top w:w="0" w:type="dxa"/>
            <w:left w:w="108" w:type="dxa"/>
            <w:bottom w:w="0" w:type="dxa"/>
            <w:right w:w="108" w:type="dxa"/>
          </w:tblCellMar>
        </w:tblPrEx>
        <w:trPr>
          <w:jc w:val="center"/>
        </w:trPr>
        <w:tc>
          <w:tcPr>
            <w:tcW w:w="672"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2</w:t>
            </w:r>
          </w:p>
        </w:tc>
        <w:tc>
          <w:tcPr>
            <w:tcW w:w="1276" w:type="dxa"/>
            <w:tcBorders>
              <w:top w:val="single" w:color="auto" w:sz="8" w:space="0"/>
              <w:left w:val="nil"/>
              <w:bottom w:val="single" w:color="auto" w:sz="8" w:space="0"/>
              <w:right w:val="single" w:color="auto" w:sz="4" w:space="0"/>
            </w:tcBorders>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进水与配水系统</w:t>
            </w:r>
          </w:p>
        </w:tc>
        <w:tc>
          <w:tcPr>
            <w:tcW w:w="1850" w:type="dxa"/>
            <w:tcBorders>
              <w:top w:val="single" w:color="auto" w:sz="8" w:space="0"/>
              <w:left w:val="nil"/>
              <w:bottom w:val="single" w:color="auto" w:sz="8" w:space="0"/>
              <w:right w:val="single" w:color="auto" w:sz="8" w:space="0"/>
            </w:tcBorders>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1周1次，确保系统管路清洁，系统设备运行正常</w:t>
            </w:r>
          </w:p>
        </w:tc>
        <w:tc>
          <w:tcPr>
            <w:tcW w:w="4972" w:type="dxa"/>
            <w:tcBorders>
              <w:top w:val="single" w:color="auto" w:sz="8" w:space="0"/>
              <w:left w:val="nil"/>
              <w:bottom w:val="single" w:color="auto" w:sz="8" w:space="0"/>
              <w:right w:val="single" w:color="auto" w:sz="8" w:space="0"/>
            </w:tcBorders>
            <w:noWrap w:val="0"/>
            <w:vAlign w:val="center"/>
          </w:tcPr>
          <w:p>
            <w:pPr>
              <w:rPr>
                <w:rFonts w:hint="eastAsia" w:ascii="仿宋" w:hAnsi="仿宋" w:eastAsia="仿宋" w:cs="仿宋"/>
                <w:sz w:val="32"/>
                <w:szCs w:val="32"/>
              </w:rPr>
            </w:pPr>
            <w:r>
              <w:rPr>
                <w:rFonts w:hint="eastAsia" w:ascii="仿宋" w:hAnsi="仿宋" w:eastAsia="仿宋" w:cs="仿宋"/>
                <w:sz w:val="32"/>
                <w:szCs w:val="32"/>
              </w:rPr>
              <w:t>1）及时检查气泵和清水增压泵工作情况；</w:t>
            </w:r>
          </w:p>
          <w:p>
            <w:pPr>
              <w:ind w:left="315" w:hanging="480" w:hangingChars="150"/>
              <w:rPr>
                <w:rFonts w:hint="eastAsia" w:ascii="仿宋" w:hAnsi="仿宋" w:eastAsia="仿宋" w:cs="仿宋"/>
                <w:sz w:val="32"/>
                <w:szCs w:val="32"/>
              </w:rPr>
            </w:pPr>
            <w:r>
              <w:rPr>
                <w:rFonts w:hint="eastAsia" w:ascii="仿宋" w:hAnsi="仿宋" w:eastAsia="仿宋" w:cs="仿宋"/>
                <w:sz w:val="32"/>
                <w:szCs w:val="32"/>
              </w:rPr>
              <w:t>2）每月至少对五参数测量池、沉淀池、测量杯、过滤器芯等进行清洗两次；</w:t>
            </w:r>
          </w:p>
          <w:p>
            <w:pPr>
              <w:ind w:left="315" w:hanging="480" w:hangingChars="150"/>
              <w:rPr>
                <w:rFonts w:hint="eastAsia" w:ascii="仿宋" w:hAnsi="仿宋" w:eastAsia="仿宋" w:cs="仿宋"/>
                <w:sz w:val="32"/>
                <w:szCs w:val="32"/>
              </w:rPr>
            </w:pPr>
            <w:r>
              <w:rPr>
                <w:rFonts w:hint="eastAsia" w:ascii="仿宋" w:hAnsi="仿宋" w:eastAsia="仿宋" w:cs="仿宋"/>
                <w:sz w:val="32"/>
                <w:szCs w:val="32"/>
              </w:rPr>
              <w:t>3）及时检查配水管路是否有滴漏现象并根据样品污染情况进行清洗；</w:t>
            </w:r>
          </w:p>
          <w:p>
            <w:pPr>
              <w:ind w:left="315" w:hanging="480" w:hangingChars="150"/>
              <w:rPr>
                <w:rFonts w:hint="eastAsia" w:ascii="仿宋" w:hAnsi="仿宋" w:eastAsia="仿宋" w:cs="仿宋"/>
                <w:sz w:val="32"/>
                <w:szCs w:val="32"/>
              </w:rPr>
            </w:pPr>
            <w:r>
              <w:rPr>
                <w:rFonts w:hint="eastAsia" w:ascii="仿宋" w:hAnsi="仿宋" w:eastAsia="仿宋" w:cs="仿宋"/>
                <w:sz w:val="32"/>
                <w:szCs w:val="32"/>
              </w:rPr>
              <w:t>4）及时检查配水管路中所有球阀，清除阀内杂物，清洗阀体，确保阀体洁净。</w:t>
            </w:r>
          </w:p>
          <w:p>
            <w:pPr>
              <w:ind w:left="315" w:hanging="480" w:hangingChars="150"/>
              <w:rPr>
                <w:rFonts w:hint="eastAsia" w:ascii="仿宋" w:hAnsi="仿宋" w:eastAsia="仿宋" w:cs="仿宋"/>
                <w:sz w:val="32"/>
                <w:szCs w:val="32"/>
              </w:rPr>
            </w:pPr>
            <w:r>
              <w:rPr>
                <w:rFonts w:hint="eastAsia" w:ascii="仿宋" w:hAnsi="仿宋" w:eastAsia="仿宋" w:cs="仿宋"/>
                <w:sz w:val="32"/>
                <w:szCs w:val="32"/>
              </w:rPr>
              <w:t>5）空气压缩机：每周检查气泵和清水增压泵工作状况，并对空气过滤器放水。</w:t>
            </w:r>
          </w:p>
        </w:tc>
      </w:tr>
      <w:tr>
        <w:tblPrEx>
          <w:tblCellMar>
            <w:top w:w="0" w:type="dxa"/>
            <w:left w:w="108" w:type="dxa"/>
            <w:bottom w:w="0" w:type="dxa"/>
            <w:right w:w="108" w:type="dxa"/>
          </w:tblCellMar>
        </w:tblPrEx>
        <w:trPr>
          <w:jc w:val="center"/>
        </w:trPr>
        <w:tc>
          <w:tcPr>
            <w:tcW w:w="672"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3</w:t>
            </w:r>
          </w:p>
        </w:tc>
        <w:tc>
          <w:tcPr>
            <w:tcW w:w="1276" w:type="dxa"/>
            <w:tcBorders>
              <w:top w:val="single" w:color="auto" w:sz="8" w:space="0"/>
              <w:left w:val="nil"/>
              <w:bottom w:val="single" w:color="auto" w:sz="8" w:space="0"/>
              <w:right w:val="single" w:color="auto" w:sz="4" w:space="0"/>
            </w:tcBorders>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电动球阀清洗检查</w:t>
            </w:r>
          </w:p>
        </w:tc>
        <w:tc>
          <w:tcPr>
            <w:tcW w:w="1850" w:type="dxa"/>
            <w:tcBorders>
              <w:top w:val="single" w:color="auto" w:sz="8" w:space="0"/>
              <w:left w:val="nil"/>
              <w:bottom w:val="single" w:color="auto" w:sz="8" w:space="0"/>
              <w:right w:val="single" w:color="auto" w:sz="8" w:space="0"/>
            </w:tcBorders>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至少2</w:t>
            </w:r>
            <w:r>
              <w:rPr>
                <w:rFonts w:hint="eastAsia" w:ascii="仿宋" w:hAnsi="仿宋" w:eastAsia="仿宋" w:cs="仿宋"/>
                <w:sz w:val="32"/>
                <w:szCs w:val="32"/>
                <w:lang w:val="en-US" w:eastAsia="zh-CN"/>
              </w:rPr>
              <w:t>个</w:t>
            </w:r>
            <w:r>
              <w:rPr>
                <w:rFonts w:hint="eastAsia" w:ascii="仿宋" w:hAnsi="仿宋" w:eastAsia="仿宋" w:cs="仿宋"/>
                <w:sz w:val="32"/>
                <w:szCs w:val="32"/>
              </w:rPr>
              <w:t>月1次，确保清洗后电动球阀吸合自如，无堵塞和渗漏</w:t>
            </w:r>
          </w:p>
        </w:tc>
        <w:tc>
          <w:tcPr>
            <w:tcW w:w="4972" w:type="dxa"/>
            <w:tcBorders>
              <w:top w:val="single" w:color="auto" w:sz="8" w:space="0"/>
              <w:left w:val="nil"/>
              <w:bottom w:val="single" w:color="auto" w:sz="8" w:space="0"/>
              <w:right w:val="single" w:color="auto" w:sz="8" w:space="0"/>
            </w:tcBorders>
            <w:noWrap w:val="0"/>
            <w:vAlign w:val="center"/>
          </w:tcPr>
          <w:p>
            <w:pPr>
              <w:numPr>
                <w:ilvl w:val="0"/>
                <w:numId w:val="6"/>
              </w:numPr>
              <w:rPr>
                <w:rFonts w:hint="eastAsia" w:ascii="仿宋" w:hAnsi="仿宋" w:eastAsia="仿宋" w:cs="仿宋"/>
                <w:sz w:val="32"/>
                <w:szCs w:val="32"/>
              </w:rPr>
            </w:pPr>
            <w:r>
              <w:rPr>
                <w:rFonts w:hint="eastAsia" w:ascii="仿宋" w:hAnsi="仿宋" w:eastAsia="仿宋" w:cs="仿宋"/>
                <w:sz w:val="32"/>
                <w:szCs w:val="32"/>
              </w:rPr>
              <w:t>将电动球阀手动拆下，用试管刷清洗后，将电动球阀装回管路。</w:t>
            </w:r>
          </w:p>
          <w:p>
            <w:pPr>
              <w:numPr>
                <w:ilvl w:val="0"/>
                <w:numId w:val="6"/>
              </w:numPr>
              <w:rPr>
                <w:rFonts w:hint="eastAsia" w:ascii="仿宋" w:hAnsi="仿宋" w:eastAsia="仿宋" w:cs="仿宋"/>
                <w:sz w:val="32"/>
                <w:szCs w:val="32"/>
              </w:rPr>
            </w:pPr>
            <w:r>
              <w:rPr>
                <w:rFonts w:hint="eastAsia" w:ascii="仿宋" w:hAnsi="仿宋" w:eastAsia="仿宋" w:cs="仿宋"/>
                <w:sz w:val="32"/>
                <w:szCs w:val="32"/>
              </w:rPr>
              <w:t>开启组态单阀测试程序，单独控制阀门开关，检查阀门开关时间是否符合要求（10s以内）。</w:t>
            </w:r>
          </w:p>
          <w:p>
            <w:pPr>
              <w:numPr>
                <w:ilvl w:val="0"/>
                <w:numId w:val="6"/>
              </w:numPr>
              <w:rPr>
                <w:rFonts w:hint="eastAsia" w:ascii="仿宋" w:hAnsi="仿宋" w:eastAsia="仿宋" w:cs="仿宋"/>
                <w:sz w:val="32"/>
                <w:szCs w:val="32"/>
              </w:rPr>
            </w:pPr>
            <w:r>
              <w:rPr>
                <w:rFonts w:hint="eastAsia" w:ascii="仿宋" w:hAnsi="仿宋" w:eastAsia="仿宋" w:cs="仿宋"/>
                <w:sz w:val="32"/>
                <w:szCs w:val="32"/>
              </w:rPr>
              <w:t>必要的情况替换电动球阀。</w:t>
            </w:r>
          </w:p>
        </w:tc>
      </w:tr>
      <w:tr>
        <w:tblPrEx>
          <w:tblCellMar>
            <w:top w:w="0" w:type="dxa"/>
            <w:left w:w="108" w:type="dxa"/>
            <w:bottom w:w="0" w:type="dxa"/>
            <w:right w:w="108" w:type="dxa"/>
          </w:tblCellMar>
        </w:tblPrEx>
        <w:trPr>
          <w:jc w:val="center"/>
        </w:trPr>
        <w:tc>
          <w:tcPr>
            <w:tcW w:w="672"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4</w:t>
            </w:r>
          </w:p>
        </w:tc>
        <w:tc>
          <w:tcPr>
            <w:tcW w:w="1276" w:type="dxa"/>
            <w:tcBorders>
              <w:top w:val="single" w:color="auto" w:sz="8" w:space="0"/>
              <w:left w:val="nil"/>
              <w:bottom w:val="single" w:color="auto" w:sz="8" w:space="0"/>
              <w:right w:val="single" w:color="auto" w:sz="4" w:space="0"/>
            </w:tcBorders>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单向阀清洗</w:t>
            </w:r>
          </w:p>
        </w:tc>
        <w:tc>
          <w:tcPr>
            <w:tcW w:w="1850" w:type="dxa"/>
            <w:tcBorders>
              <w:top w:val="single" w:color="auto" w:sz="8" w:space="0"/>
              <w:left w:val="nil"/>
              <w:bottom w:val="single" w:color="auto" w:sz="8" w:space="0"/>
              <w:right w:val="single" w:color="auto" w:sz="8" w:space="0"/>
            </w:tcBorders>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至少2</w:t>
            </w:r>
            <w:r>
              <w:rPr>
                <w:rFonts w:hint="eastAsia" w:ascii="仿宋" w:hAnsi="仿宋" w:eastAsia="仿宋" w:cs="仿宋"/>
                <w:sz w:val="32"/>
                <w:szCs w:val="32"/>
                <w:lang w:val="en-US" w:eastAsia="zh-CN"/>
              </w:rPr>
              <w:t>个</w:t>
            </w:r>
            <w:r>
              <w:rPr>
                <w:rFonts w:hint="eastAsia" w:ascii="仿宋" w:hAnsi="仿宋" w:eastAsia="仿宋" w:cs="仿宋"/>
                <w:sz w:val="32"/>
                <w:szCs w:val="32"/>
              </w:rPr>
              <w:t>月1次，确保清洗后电动球阀吸合自如，无堵塞和渗漏</w:t>
            </w:r>
          </w:p>
        </w:tc>
        <w:tc>
          <w:tcPr>
            <w:tcW w:w="4972" w:type="dxa"/>
            <w:tcBorders>
              <w:top w:val="single" w:color="auto" w:sz="8" w:space="0"/>
              <w:left w:val="nil"/>
              <w:bottom w:val="single" w:color="auto" w:sz="8" w:space="0"/>
              <w:right w:val="single" w:color="auto" w:sz="8" w:space="0"/>
            </w:tcBorders>
            <w:noWrap w:val="0"/>
            <w:vAlign w:val="center"/>
          </w:tcPr>
          <w:p>
            <w:pPr>
              <w:numPr>
                <w:ilvl w:val="0"/>
                <w:numId w:val="7"/>
              </w:numPr>
              <w:rPr>
                <w:rFonts w:hint="eastAsia" w:ascii="仿宋" w:hAnsi="仿宋" w:eastAsia="仿宋" w:cs="仿宋"/>
                <w:sz w:val="32"/>
                <w:szCs w:val="32"/>
              </w:rPr>
            </w:pPr>
            <w:r>
              <w:rPr>
                <w:rFonts w:hint="eastAsia" w:ascii="仿宋" w:hAnsi="仿宋" w:eastAsia="仿宋" w:cs="仿宋"/>
                <w:sz w:val="32"/>
                <w:szCs w:val="32"/>
              </w:rPr>
              <w:t>拆下单向阀，用试管刷清洗单向阀阀体及密封橡胶上附着的脏污物，检查密封性是否完好后，原样装回管路。</w:t>
            </w:r>
          </w:p>
          <w:p>
            <w:pPr>
              <w:numPr>
                <w:ilvl w:val="0"/>
                <w:numId w:val="7"/>
              </w:numPr>
              <w:rPr>
                <w:rFonts w:hint="eastAsia" w:ascii="仿宋" w:hAnsi="仿宋" w:eastAsia="仿宋" w:cs="仿宋"/>
                <w:sz w:val="32"/>
                <w:szCs w:val="32"/>
              </w:rPr>
            </w:pPr>
            <w:r>
              <w:rPr>
                <w:rFonts w:hint="eastAsia" w:ascii="仿宋" w:hAnsi="仿宋" w:eastAsia="仿宋" w:cs="仿宋"/>
                <w:sz w:val="32"/>
                <w:szCs w:val="32"/>
              </w:rPr>
              <w:t>必要情况更换单向阀。</w:t>
            </w:r>
          </w:p>
        </w:tc>
      </w:tr>
      <w:tr>
        <w:tblPrEx>
          <w:tblCellMar>
            <w:top w:w="0" w:type="dxa"/>
            <w:left w:w="108" w:type="dxa"/>
            <w:bottom w:w="0" w:type="dxa"/>
            <w:right w:w="108" w:type="dxa"/>
          </w:tblCellMar>
        </w:tblPrEx>
        <w:trPr>
          <w:jc w:val="center"/>
        </w:trPr>
        <w:tc>
          <w:tcPr>
            <w:tcW w:w="672"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5</w:t>
            </w:r>
          </w:p>
        </w:tc>
        <w:tc>
          <w:tcPr>
            <w:tcW w:w="1276" w:type="dxa"/>
            <w:tcBorders>
              <w:top w:val="single" w:color="auto" w:sz="8" w:space="0"/>
              <w:left w:val="nil"/>
              <w:bottom w:val="single" w:color="auto" w:sz="8" w:space="0"/>
              <w:right w:val="single" w:color="auto" w:sz="4" w:space="0"/>
            </w:tcBorders>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清洗液位计</w:t>
            </w:r>
          </w:p>
        </w:tc>
        <w:tc>
          <w:tcPr>
            <w:tcW w:w="1850" w:type="dxa"/>
            <w:tcBorders>
              <w:top w:val="single" w:color="auto" w:sz="8" w:space="0"/>
              <w:left w:val="nil"/>
              <w:bottom w:val="single" w:color="auto" w:sz="8" w:space="0"/>
              <w:right w:val="single" w:color="auto" w:sz="8" w:space="0"/>
            </w:tcBorders>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1周1次，确保液位计工作正常</w:t>
            </w:r>
          </w:p>
        </w:tc>
        <w:tc>
          <w:tcPr>
            <w:tcW w:w="4972" w:type="dxa"/>
            <w:tcBorders>
              <w:top w:val="single" w:color="auto" w:sz="8" w:space="0"/>
              <w:left w:val="nil"/>
              <w:bottom w:val="single" w:color="auto" w:sz="8" w:space="0"/>
              <w:right w:val="single" w:color="auto" w:sz="8" w:space="0"/>
            </w:tcBorders>
            <w:noWrap w:val="0"/>
            <w:vAlign w:val="center"/>
          </w:tcPr>
          <w:p>
            <w:pPr>
              <w:numPr>
                <w:ilvl w:val="0"/>
                <w:numId w:val="8"/>
              </w:numPr>
              <w:rPr>
                <w:rFonts w:hint="eastAsia" w:ascii="仿宋" w:hAnsi="仿宋" w:eastAsia="仿宋" w:cs="仿宋"/>
                <w:sz w:val="32"/>
                <w:szCs w:val="32"/>
              </w:rPr>
            </w:pPr>
            <w:r>
              <w:rPr>
                <w:rFonts w:hint="eastAsia" w:ascii="仿宋" w:hAnsi="仿宋" w:eastAsia="仿宋" w:cs="仿宋"/>
                <w:sz w:val="32"/>
                <w:szCs w:val="32"/>
              </w:rPr>
              <w:t>将液位计拆下，用3%盐酸擦洗浮球和导杆，清除表面钙化物和污物。</w:t>
            </w:r>
          </w:p>
          <w:p>
            <w:pPr>
              <w:numPr>
                <w:ilvl w:val="0"/>
                <w:numId w:val="8"/>
              </w:numPr>
              <w:rPr>
                <w:rFonts w:hint="eastAsia" w:ascii="仿宋" w:hAnsi="仿宋" w:eastAsia="仿宋" w:cs="仿宋"/>
                <w:sz w:val="32"/>
                <w:szCs w:val="32"/>
              </w:rPr>
            </w:pPr>
            <w:r>
              <w:rPr>
                <w:rFonts w:hint="eastAsia" w:ascii="仿宋" w:hAnsi="仿宋" w:eastAsia="仿宋" w:cs="仿宋"/>
                <w:sz w:val="32"/>
                <w:szCs w:val="32"/>
              </w:rPr>
              <w:t>原样装回液位计。</w:t>
            </w:r>
          </w:p>
          <w:p>
            <w:pPr>
              <w:numPr>
                <w:ilvl w:val="0"/>
                <w:numId w:val="8"/>
              </w:numPr>
              <w:rPr>
                <w:rFonts w:hint="eastAsia" w:ascii="仿宋" w:hAnsi="仿宋" w:eastAsia="仿宋" w:cs="仿宋"/>
                <w:sz w:val="32"/>
                <w:szCs w:val="32"/>
              </w:rPr>
            </w:pPr>
            <w:r>
              <w:rPr>
                <w:rFonts w:hint="eastAsia" w:ascii="仿宋" w:hAnsi="仿宋" w:eastAsia="仿宋" w:cs="仿宋"/>
                <w:sz w:val="32"/>
                <w:szCs w:val="32"/>
              </w:rPr>
              <w:t>必要的情况更换新液位计。</w:t>
            </w:r>
          </w:p>
        </w:tc>
      </w:tr>
      <w:tr>
        <w:tblPrEx>
          <w:tblCellMar>
            <w:top w:w="0" w:type="dxa"/>
            <w:left w:w="108" w:type="dxa"/>
            <w:bottom w:w="0" w:type="dxa"/>
            <w:right w:w="108" w:type="dxa"/>
          </w:tblCellMar>
        </w:tblPrEx>
        <w:trPr>
          <w:jc w:val="center"/>
        </w:trPr>
        <w:tc>
          <w:tcPr>
            <w:tcW w:w="672"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6</w:t>
            </w:r>
          </w:p>
        </w:tc>
        <w:tc>
          <w:tcPr>
            <w:tcW w:w="1276" w:type="dxa"/>
            <w:tcBorders>
              <w:top w:val="single" w:color="auto" w:sz="8" w:space="0"/>
              <w:left w:val="nil"/>
              <w:bottom w:val="single" w:color="auto" w:sz="8" w:space="0"/>
              <w:right w:val="single" w:color="auto" w:sz="4" w:space="0"/>
            </w:tcBorders>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液位观察管清洗</w:t>
            </w:r>
          </w:p>
        </w:tc>
        <w:tc>
          <w:tcPr>
            <w:tcW w:w="1850" w:type="dxa"/>
            <w:tcBorders>
              <w:top w:val="single" w:color="auto" w:sz="8" w:space="0"/>
              <w:left w:val="nil"/>
              <w:bottom w:val="single" w:color="auto" w:sz="8" w:space="0"/>
              <w:right w:val="single" w:color="auto" w:sz="8" w:space="0"/>
            </w:tcBorders>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1周1次，确保液位观察管清洗透明</w:t>
            </w:r>
          </w:p>
        </w:tc>
        <w:tc>
          <w:tcPr>
            <w:tcW w:w="4972" w:type="dxa"/>
            <w:tcBorders>
              <w:top w:val="single" w:color="auto" w:sz="8" w:space="0"/>
              <w:left w:val="nil"/>
              <w:bottom w:val="single" w:color="auto" w:sz="8" w:space="0"/>
              <w:right w:val="single" w:color="auto" w:sz="8" w:space="0"/>
            </w:tcBorders>
            <w:noWrap w:val="0"/>
            <w:vAlign w:val="center"/>
          </w:tcPr>
          <w:p>
            <w:pPr>
              <w:numPr>
                <w:ilvl w:val="0"/>
                <w:numId w:val="9"/>
              </w:numPr>
              <w:rPr>
                <w:rFonts w:hint="eastAsia" w:ascii="仿宋" w:hAnsi="仿宋" w:eastAsia="仿宋" w:cs="仿宋"/>
                <w:sz w:val="32"/>
                <w:szCs w:val="32"/>
              </w:rPr>
            </w:pPr>
            <w:r>
              <w:rPr>
                <w:rFonts w:hint="eastAsia" w:ascii="仿宋" w:hAnsi="仿宋" w:eastAsia="仿宋" w:cs="仿宋"/>
                <w:sz w:val="32"/>
                <w:szCs w:val="32"/>
              </w:rPr>
              <w:t>拆下透明管清除脏污，用试管刷清洗干净。</w:t>
            </w:r>
          </w:p>
          <w:p>
            <w:pPr>
              <w:numPr>
                <w:ilvl w:val="0"/>
                <w:numId w:val="9"/>
              </w:numPr>
              <w:rPr>
                <w:rFonts w:hint="eastAsia" w:ascii="仿宋" w:hAnsi="仿宋" w:eastAsia="仿宋" w:cs="仿宋"/>
                <w:sz w:val="32"/>
                <w:szCs w:val="32"/>
              </w:rPr>
            </w:pPr>
            <w:r>
              <w:rPr>
                <w:rFonts w:hint="eastAsia" w:ascii="仿宋" w:hAnsi="仿宋" w:eastAsia="仿宋" w:cs="仿宋"/>
                <w:sz w:val="32"/>
                <w:szCs w:val="32"/>
              </w:rPr>
              <w:t>拆卸部件原样装回。</w:t>
            </w:r>
          </w:p>
        </w:tc>
      </w:tr>
      <w:tr>
        <w:tblPrEx>
          <w:tblCellMar>
            <w:top w:w="0" w:type="dxa"/>
            <w:left w:w="108" w:type="dxa"/>
            <w:bottom w:w="0" w:type="dxa"/>
            <w:right w:w="108" w:type="dxa"/>
          </w:tblCellMar>
        </w:tblPrEx>
        <w:trPr>
          <w:jc w:val="center"/>
        </w:trPr>
        <w:tc>
          <w:tcPr>
            <w:tcW w:w="672"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7</w:t>
            </w:r>
          </w:p>
        </w:tc>
        <w:tc>
          <w:tcPr>
            <w:tcW w:w="1276" w:type="dxa"/>
            <w:tcBorders>
              <w:top w:val="single" w:color="auto" w:sz="8" w:space="0"/>
              <w:left w:val="nil"/>
              <w:bottom w:val="single" w:color="auto" w:sz="8" w:space="0"/>
              <w:right w:val="single" w:color="auto" w:sz="4" w:space="0"/>
            </w:tcBorders>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压力表测试</w:t>
            </w:r>
          </w:p>
        </w:tc>
        <w:tc>
          <w:tcPr>
            <w:tcW w:w="1850" w:type="dxa"/>
            <w:tcBorders>
              <w:top w:val="single" w:color="auto" w:sz="8" w:space="0"/>
              <w:left w:val="nil"/>
              <w:bottom w:val="single" w:color="auto" w:sz="8" w:space="0"/>
              <w:right w:val="single" w:color="auto" w:sz="8" w:space="0"/>
            </w:tcBorders>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至少2</w:t>
            </w:r>
            <w:r>
              <w:rPr>
                <w:rFonts w:hint="eastAsia" w:ascii="仿宋" w:hAnsi="仿宋" w:eastAsia="仿宋" w:cs="仿宋"/>
                <w:sz w:val="32"/>
                <w:szCs w:val="32"/>
                <w:lang w:val="en-US" w:eastAsia="zh-CN"/>
              </w:rPr>
              <w:t>个</w:t>
            </w:r>
            <w:r>
              <w:rPr>
                <w:rFonts w:hint="eastAsia" w:ascii="仿宋" w:hAnsi="仿宋" w:eastAsia="仿宋" w:cs="仿宋"/>
                <w:sz w:val="32"/>
                <w:szCs w:val="32"/>
              </w:rPr>
              <w:t>月1次，确保清洗后压力表读数正常</w:t>
            </w:r>
          </w:p>
        </w:tc>
        <w:tc>
          <w:tcPr>
            <w:tcW w:w="4972" w:type="dxa"/>
            <w:tcBorders>
              <w:top w:val="single" w:color="auto" w:sz="8" w:space="0"/>
              <w:left w:val="nil"/>
              <w:bottom w:val="single" w:color="auto" w:sz="8" w:space="0"/>
              <w:right w:val="single" w:color="auto" w:sz="8" w:space="0"/>
            </w:tcBorders>
            <w:noWrap w:val="0"/>
            <w:vAlign w:val="center"/>
          </w:tcPr>
          <w:p>
            <w:pPr>
              <w:numPr>
                <w:ilvl w:val="0"/>
                <w:numId w:val="10"/>
              </w:numPr>
              <w:rPr>
                <w:rFonts w:hint="eastAsia" w:ascii="仿宋" w:hAnsi="仿宋" w:eastAsia="仿宋" w:cs="仿宋"/>
                <w:sz w:val="32"/>
                <w:szCs w:val="32"/>
              </w:rPr>
            </w:pPr>
            <w:r>
              <w:rPr>
                <w:rFonts w:hint="eastAsia" w:ascii="仿宋" w:hAnsi="仿宋" w:eastAsia="仿宋" w:cs="仿宋"/>
                <w:sz w:val="32"/>
                <w:szCs w:val="32"/>
              </w:rPr>
              <w:t>拆下压力表表头，清洗清除压力导管内泥沙。</w:t>
            </w:r>
          </w:p>
          <w:p>
            <w:pPr>
              <w:numPr>
                <w:ilvl w:val="0"/>
                <w:numId w:val="10"/>
              </w:numPr>
              <w:rPr>
                <w:rFonts w:hint="eastAsia" w:ascii="仿宋" w:hAnsi="仿宋" w:eastAsia="仿宋" w:cs="仿宋"/>
                <w:sz w:val="32"/>
                <w:szCs w:val="32"/>
              </w:rPr>
            </w:pPr>
            <w:r>
              <w:rPr>
                <w:rFonts w:hint="eastAsia" w:ascii="仿宋" w:hAnsi="仿宋" w:eastAsia="仿宋" w:cs="仿宋"/>
                <w:sz w:val="32"/>
                <w:szCs w:val="32"/>
              </w:rPr>
              <w:t>压缩空气吹脱表头内残留脏污。</w:t>
            </w:r>
          </w:p>
          <w:p>
            <w:pPr>
              <w:numPr>
                <w:ilvl w:val="0"/>
                <w:numId w:val="10"/>
              </w:numPr>
              <w:rPr>
                <w:rFonts w:hint="eastAsia" w:ascii="仿宋" w:hAnsi="仿宋" w:eastAsia="仿宋" w:cs="仿宋"/>
                <w:sz w:val="32"/>
                <w:szCs w:val="32"/>
              </w:rPr>
            </w:pPr>
            <w:r>
              <w:rPr>
                <w:rFonts w:hint="eastAsia" w:ascii="仿宋" w:hAnsi="仿宋" w:eastAsia="仿宋" w:cs="仿宋"/>
                <w:sz w:val="32"/>
                <w:szCs w:val="32"/>
              </w:rPr>
              <w:t>调节空压机输出压力为0.6Mpa，输出气管连接到待测压力表，检查待测压力表显示是否和空压机一致，反应是否灵敏。</w:t>
            </w:r>
          </w:p>
          <w:p>
            <w:pPr>
              <w:numPr>
                <w:ilvl w:val="0"/>
                <w:numId w:val="10"/>
              </w:numPr>
              <w:rPr>
                <w:rFonts w:hint="eastAsia" w:ascii="仿宋" w:hAnsi="仿宋" w:eastAsia="仿宋" w:cs="仿宋"/>
                <w:sz w:val="32"/>
                <w:szCs w:val="32"/>
              </w:rPr>
            </w:pPr>
            <w:r>
              <w:rPr>
                <w:rFonts w:hint="eastAsia" w:ascii="仿宋" w:hAnsi="仿宋" w:eastAsia="仿宋" w:cs="仿宋"/>
                <w:sz w:val="32"/>
                <w:szCs w:val="32"/>
              </w:rPr>
              <w:t>原样装回压力表，注意气密性。</w:t>
            </w:r>
          </w:p>
          <w:p>
            <w:pPr>
              <w:numPr>
                <w:ilvl w:val="0"/>
                <w:numId w:val="10"/>
              </w:numPr>
              <w:rPr>
                <w:rFonts w:hint="eastAsia" w:ascii="仿宋" w:hAnsi="仿宋" w:eastAsia="仿宋" w:cs="仿宋"/>
                <w:sz w:val="32"/>
                <w:szCs w:val="32"/>
              </w:rPr>
            </w:pPr>
            <w:r>
              <w:rPr>
                <w:rFonts w:hint="eastAsia" w:ascii="仿宋" w:hAnsi="仿宋" w:eastAsia="仿宋" w:cs="仿宋"/>
                <w:sz w:val="32"/>
                <w:szCs w:val="32"/>
              </w:rPr>
              <w:t>必要情况更换压力表。</w:t>
            </w:r>
          </w:p>
        </w:tc>
      </w:tr>
      <w:tr>
        <w:tblPrEx>
          <w:tblCellMar>
            <w:top w:w="0" w:type="dxa"/>
            <w:left w:w="108" w:type="dxa"/>
            <w:bottom w:w="0" w:type="dxa"/>
            <w:right w:w="108" w:type="dxa"/>
          </w:tblCellMar>
        </w:tblPrEx>
        <w:trPr>
          <w:jc w:val="center"/>
        </w:trPr>
        <w:tc>
          <w:tcPr>
            <w:tcW w:w="672"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8</w:t>
            </w:r>
          </w:p>
        </w:tc>
        <w:tc>
          <w:tcPr>
            <w:tcW w:w="1276" w:type="dxa"/>
            <w:tcBorders>
              <w:top w:val="single" w:color="auto" w:sz="8" w:space="0"/>
              <w:left w:val="nil"/>
              <w:bottom w:val="single" w:color="auto" w:sz="8" w:space="0"/>
              <w:right w:val="single" w:color="auto" w:sz="4" w:space="0"/>
            </w:tcBorders>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取水系统综合测试</w:t>
            </w:r>
          </w:p>
        </w:tc>
        <w:tc>
          <w:tcPr>
            <w:tcW w:w="1850" w:type="dxa"/>
            <w:tcBorders>
              <w:top w:val="single" w:color="auto" w:sz="8" w:space="0"/>
              <w:left w:val="nil"/>
              <w:bottom w:val="single" w:color="auto" w:sz="8" w:space="0"/>
              <w:right w:val="single" w:color="auto" w:sz="8" w:space="0"/>
            </w:tcBorders>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1周1次，确保系统取水正常</w:t>
            </w:r>
          </w:p>
        </w:tc>
        <w:tc>
          <w:tcPr>
            <w:tcW w:w="4972" w:type="dxa"/>
            <w:tcBorders>
              <w:top w:val="single" w:color="auto" w:sz="8" w:space="0"/>
              <w:left w:val="nil"/>
              <w:bottom w:val="single" w:color="auto" w:sz="8" w:space="0"/>
              <w:right w:val="single" w:color="auto" w:sz="8" w:space="0"/>
            </w:tcBorders>
            <w:noWrap w:val="0"/>
            <w:vAlign w:val="center"/>
          </w:tcPr>
          <w:p>
            <w:pPr>
              <w:numPr>
                <w:ilvl w:val="0"/>
                <w:numId w:val="11"/>
              </w:numPr>
              <w:rPr>
                <w:rFonts w:hint="eastAsia" w:ascii="仿宋" w:hAnsi="仿宋" w:eastAsia="仿宋" w:cs="仿宋"/>
                <w:sz w:val="32"/>
                <w:szCs w:val="32"/>
              </w:rPr>
            </w:pPr>
            <w:r>
              <w:rPr>
                <w:rFonts w:hint="eastAsia" w:ascii="仿宋" w:hAnsi="仿宋" w:eastAsia="仿宋" w:cs="仿宋"/>
                <w:sz w:val="32"/>
                <w:szCs w:val="32"/>
              </w:rPr>
              <w:t>完成上述测试后复原所有阀门到正确位置。</w:t>
            </w:r>
          </w:p>
          <w:p>
            <w:pPr>
              <w:numPr>
                <w:ilvl w:val="0"/>
                <w:numId w:val="11"/>
              </w:numPr>
              <w:rPr>
                <w:rFonts w:hint="eastAsia" w:ascii="仿宋" w:hAnsi="仿宋" w:eastAsia="仿宋" w:cs="仿宋"/>
                <w:sz w:val="32"/>
                <w:szCs w:val="32"/>
              </w:rPr>
            </w:pPr>
            <w:r>
              <w:rPr>
                <w:rFonts w:hint="eastAsia" w:ascii="仿宋" w:hAnsi="仿宋" w:eastAsia="仿宋" w:cs="仿宋"/>
                <w:sz w:val="32"/>
                <w:szCs w:val="32"/>
              </w:rPr>
              <w:t>检查各个接头是否松动，各个电动球阀接线是否完好。</w:t>
            </w:r>
          </w:p>
          <w:p>
            <w:pPr>
              <w:numPr>
                <w:ilvl w:val="0"/>
                <w:numId w:val="11"/>
              </w:numPr>
              <w:rPr>
                <w:rFonts w:hint="eastAsia" w:ascii="仿宋" w:hAnsi="仿宋" w:eastAsia="仿宋" w:cs="仿宋"/>
                <w:sz w:val="32"/>
                <w:szCs w:val="32"/>
              </w:rPr>
            </w:pPr>
            <w:r>
              <w:rPr>
                <w:rFonts w:hint="eastAsia" w:ascii="仿宋" w:hAnsi="仿宋" w:eastAsia="仿宋" w:cs="仿宋"/>
                <w:sz w:val="32"/>
                <w:szCs w:val="32"/>
              </w:rPr>
              <w:t>检查无误情况下，系统复电，检查整个取水流程是否正常。</w:t>
            </w:r>
          </w:p>
        </w:tc>
      </w:tr>
      <w:tr>
        <w:tblPrEx>
          <w:tblCellMar>
            <w:top w:w="0" w:type="dxa"/>
            <w:left w:w="108" w:type="dxa"/>
            <w:bottom w:w="0" w:type="dxa"/>
            <w:right w:w="108" w:type="dxa"/>
          </w:tblCellMar>
        </w:tblPrEx>
        <w:trPr>
          <w:jc w:val="center"/>
        </w:trPr>
        <w:tc>
          <w:tcPr>
            <w:tcW w:w="672"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9</w:t>
            </w:r>
          </w:p>
        </w:tc>
        <w:tc>
          <w:tcPr>
            <w:tcW w:w="1276" w:type="dxa"/>
            <w:tcBorders>
              <w:top w:val="single" w:color="auto" w:sz="8" w:space="0"/>
              <w:left w:val="nil"/>
              <w:bottom w:val="single" w:color="auto" w:sz="8" w:space="0"/>
              <w:right w:val="single" w:color="auto" w:sz="4" w:space="0"/>
            </w:tcBorders>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工控机检查</w:t>
            </w:r>
          </w:p>
        </w:tc>
        <w:tc>
          <w:tcPr>
            <w:tcW w:w="1850" w:type="dxa"/>
            <w:tcBorders>
              <w:top w:val="single" w:color="auto" w:sz="8" w:space="0"/>
              <w:left w:val="nil"/>
              <w:bottom w:val="single" w:color="auto" w:sz="4" w:space="0"/>
              <w:right w:val="single" w:color="auto" w:sz="8" w:space="0"/>
            </w:tcBorders>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至少2</w:t>
            </w:r>
            <w:r>
              <w:rPr>
                <w:rFonts w:hint="eastAsia" w:ascii="仿宋" w:hAnsi="仿宋" w:eastAsia="仿宋" w:cs="仿宋"/>
                <w:sz w:val="32"/>
                <w:szCs w:val="32"/>
                <w:lang w:val="en-US" w:eastAsia="zh-CN"/>
              </w:rPr>
              <w:t>个</w:t>
            </w:r>
            <w:r>
              <w:rPr>
                <w:rFonts w:hint="eastAsia" w:ascii="仿宋" w:hAnsi="仿宋" w:eastAsia="仿宋" w:cs="仿宋"/>
                <w:sz w:val="32"/>
                <w:szCs w:val="32"/>
              </w:rPr>
              <w:t>月1次，确保工控机运行正常</w:t>
            </w:r>
          </w:p>
        </w:tc>
        <w:tc>
          <w:tcPr>
            <w:tcW w:w="4972" w:type="dxa"/>
            <w:tcBorders>
              <w:top w:val="single" w:color="auto" w:sz="8" w:space="0"/>
              <w:left w:val="nil"/>
              <w:bottom w:val="single" w:color="auto" w:sz="4" w:space="0"/>
              <w:right w:val="single" w:color="auto" w:sz="8" w:space="0"/>
            </w:tcBorders>
            <w:noWrap w:val="0"/>
            <w:vAlign w:val="center"/>
          </w:tcPr>
          <w:p>
            <w:pPr>
              <w:ind w:left="499" w:leftChars="9" w:hanging="480" w:hangingChars="150"/>
              <w:rPr>
                <w:rFonts w:hint="eastAsia" w:ascii="仿宋" w:hAnsi="仿宋" w:eastAsia="仿宋" w:cs="仿宋"/>
                <w:sz w:val="32"/>
                <w:szCs w:val="32"/>
              </w:rPr>
            </w:pPr>
            <w:r>
              <w:rPr>
                <w:rFonts w:hint="eastAsia" w:ascii="仿宋" w:hAnsi="仿宋" w:eastAsia="仿宋" w:cs="仿宋"/>
                <w:sz w:val="32"/>
                <w:szCs w:val="32"/>
              </w:rPr>
              <w:t>1）检查开机过程中硬件自检过程是否有异常数据传输和报警。</w:t>
            </w:r>
          </w:p>
          <w:p>
            <w:pPr>
              <w:ind w:left="499" w:leftChars="9" w:hanging="480" w:hangingChars="150"/>
              <w:rPr>
                <w:rFonts w:hint="eastAsia" w:ascii="仿宋" w:hAnsi="仿宋" w:eastAsia="仿宋" w:cs="仿宋"/>
                <w:sz w:val="32"/>
                <w:szCs w:val="32"/>
              </w:rPr>
            </w:pPr>
            <w:r>
              <w:rPr>
                <w:rFonts w:hint="eastAsia" w:ascii="仿宋" w:hAnsi="仿宋" w:eastAsia="仿宋" w:cs="仿宋"/>
                <w:sz w:val="32"/>
                <w:szCs w:val="32"/>
              </w:rPr>
              <w:t>2）强制切断电源后复电工控机是否可以自动启动，并运行windos系统、加载现场监控软件，串口连接是否正常。</w:t>
            </w:r>
          </w:p>
          <w:p>
            <w:pPr>
              <w:ind w:left="499" w:leftChars="9" w:hanging="480" w:hangingChars="150"/>
              <w:rPr>
                <w:rFonts w:hint="eastAsia" w:ascii="仿宋" w:hAnsi="仿宋" w:eastAsia="仿宋" w:cs="仿宋"/>
                <w:sz w:val="32"/>
                <w:szCs w:val="32"/>
              </w:rPr>
            </w:pPr>
            <w:r>
              <w:rPr>
                <w:rFonts w:hint="eastAsia" w:ascii="仿宋" w:hAnsi="仿宋" w:eastAsia="仿宋" w:cs="仿宋"/>
                <w:sz w:val="32"/>
                <w:szCs w:val="32"/>
              </w:rPr>
              <w:t>3）插入备份光盘，用ghost软件备份操作系统。将备份好的操作系统和分区D内的文件拷贝到备份移动硬盘上。</w:t>
            </w:r>
          </w:p>
          <w:p>
            <w:pPr>
              <w:pStyle w:val="38"/>
              <w:numPr>
                <w:ilvl w:val="0"/>
                <w:numId w:val="11"/>
              </w:numPr>
              <w:ind w:firstLineChars="0"/>
              <w:rPr>
                <w:rFonts w:hint="eastAsia" w:ascii="仿宋" w:hAnsi="仿宋" w:eastAsia="仿宋" w:cs="仿宋"/>
                <w:sz w:val="32"/>
                <w:szCs w:val="32"/>
              </w:rPr>
            </w:pPr>
            <w:r>
              <w:rPr>
                <w:rFonts w:hint="eastAsia" w:ascii="仿宋" w:hAnsi="仿宋" w:eastAsia="仿宋" w:cs="仿宋"/>
                <w:sz w:val="32"/>
                <w:szCs w:val="32"/>
              </w:rPr>
              <w:t>断电后拆下工控机，打开后盖，用细毛刷清。</w:t>
            </w:r>
          </w:p>
          <w:p>
            <w:pPr>
              <w:ind w:left="499" w:leftChars="9" w:hanging="480" w:hangingChars="150"/>
              <w:rPr>
                <w:rFonts w:hint="eastAsia" w:ascii="仿宋" w:hAnsi="仿宋" w:eastAsia="仿宋" w:cs="仿宋"/>
                <w:sz w:val="32"/>
                <w:szCs w:val="32"/>
              </w:rPr>
            </w:pPr>
            <w:r>
              <w:rPr>
                <w:rFonts w:hint="eastAsia" w:ascii="仿宋" w:hAnsi="仿宋" w:eastAsia="仿宋" w:cs="仿宋"/>
                <w:sz w:val="32"/>
                <w:szCs w:val="32"/>
              </w:rPr>
              <w:t>5）除电源和主板上的灰尘，尤其注意cpu板、内存和各个串口卡上的灰尘清除。检查各个功能卡接口是否连接牢固。</w:t>
            </w:r>
          </w:p>
          <w:p>
            <w:pPr>
              <w:rPr>
                <w:rFonts w:hint="eastAsia" w:ascii="仿宋" w:hAnsi="仿宋" w:eastAsia="仿宋" w:cs="仿宋"/>
                <w:sz w:val="32"/>
                <w:szCs w:val="32"/>
              </w:rPr>
            </w:pPr>
            <w:r>
              <w:rPr>
                <w:rFonts w:hint="eastAsia" w:ascii="仿宋" w:hAnsi="仿宋" w:eastAsia="仿宋" w:cs="仿宋"/>
                <w:sz w:val="32"/>
                <w:szCs w:val="32"/>
              </w:rPr>
              <w:t>6）检查硬盘连接线是否松动。</w:t>
            </w:r>
          </w:p>
          <w:p>
            <w:pPr>
              <w:ind w:left="420" w:hanging="640" w:hangingChars="200"/>
              <w:rPr>
                <w:rFonts w:hint="eastAsia" w:ascii="仿宋" w:hAnsi="仿宋" w:eastAsia="仿宋" w:cs="仿宋"/>
                <w:sz w:val="32"/>
                <w:szCs w:val="32"/>
              </w:rPr>
            </w:pPr>
            <w:r>
              <w:rPr>
                <w:rFonts w:hint="eastAsia" w:ascii="仿宋" w:hAnsi="仿宋" w:eastAsia="仿宋" w:cs="仿宋"/>
                <w:sz w:val="32"/>
                <w:szCs w:val="32"/>
              </w:rPr>
              <w:t>7）定期对杀毒软件升级，专机专用，禁止从事与工作无关的活动。</w:t>
            </w:r>
          </w:p>
          <w:p>
            <w:pPr>
              <w:rPr>
                <w:rFonts w:hint="eastAsia" w:ascii="仿宋" w:hAnsi="仿宋" w:eastAsia="仿宋" w:cs="仿宋"/>
                <w:sz w:val="32"/>
                <w:szCs w:val="32"/>
              </w:rPr>
            </w:pPr>
            <w:r>
              <w:rPr>
                <w:rFonts w:hint="eastAsia" w:ascii="仿宋" w:hAnsi="仿宋" w:eastAsia="仿宋" w:cs="仿宋"/>
                <w:sz w:val="32"/>
                <w:szCs w:val="32"/>
              </w:rPr>
              <w:t>8）装回工控机重复1）、2）步骤。</w:t>
            </w:r>
          </w:p>
        </w:tc>
      </w:tr>
      <w:tr>
        <w:tblPrEx>
          <w:tblCellMar>
            <w:top w:w="0" w:type="dxa"/>
            <w:left w:w="108" w:type="dxa"/>
            <w:bottom w:w="0" w:type="dxa"/>
            <w:right w:w="108" w:type="dxa"/>
          </w:tblCellMar>
        </w:tblPrEx>
        <w:trPr>
          <w:jc w:val="center"/>
        </w:trPr>
        <w:tc>
          <w:tcPr>
            <w:tcW w:w="672" w:type="dxa"/>
            <w:tcBorders>
              <w:top w:val="single" w:color="auto" w:sz="8" w:space="0"/>
              <w:left w:val="single" w:color="auto" w:sz="8" w:space="0"/>
              <w:bottom w:val="single" w:color="auto" w:sz="4" w:space="0"/>
              <w:right w:val="single" w:color="auto" w:sz="8" w:space="0"/>
            </w:tcBorders>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10</w:t>
            </w:r>
          </w:p>
        </w:tc>
        <w:tc>
          <w:tcPr>
            <w:tcW w:w="1276" w:type="dxa"/>
            <w:tcBorders>
              <w:top w:val="single" w:color="auto" w:sz="8" w:space="0"/>
              <w:left w:val="nil"/>
              <w:bottom w:val="single" w:color="auto" w:sz="4" w:space="0"/>
              <w:right w:val="single" w:color="auto" w:sz="4" w:space="0"/>
            </w:tcBorders>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通讯检查</w:t>
            </w:r>
          </w:p>
        </w:tc>
        <w:tc>
          <w:tcPr>
            <w:tcW w:w="1850" w:type="dxa"/>
            <w:vMerge w:val="restart"/>
            <w:tcBorders>
              <w:top w:val="single" w:color="auto" w:sz="4" w:space="0"/>
              <w:left w:val="nil"/>
              <w:bottom w:val="single" w:color="auto" w:sz="4" w:space="0"/>
              <w:right w:val="single" w:color="auto" w:sz="8" w:space="0"/>
            </w:tcBorders>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1周1次，确保控制和数据上传通道畅通</w:t>
            </w:r>
          </w:p>
        </w:tc>
        <w:tc>
          <w:tcPr>
            <w:tcW w:w="4972" w:type="dxa"/>
            <w:tcBorders>
              <w:top w:val="single" w:color="auto" w:sz="4" w:space="0"/>
              <w:left w:val="nil"/>
              <w:bottom w:val="single" w:color="auto" w:sz="4" w:space="0"/>
              <w:right w:val="single" w:color="auto" w:sz="8" w:space="0"/>
            </w:tcBorders>
            <w:noWrap w:val="0"/>
            <w:vAlign w:val="center"/>
          </w:tcPr>
          <w:p>
            <w:pPr>
              <w:ind w:left="315" w:hanging="480" w:hangingChars="150"/>
              <w:rPr>
                <w:rFonts w:hint="eastAsia" w:ascii="仿宋" w:hAnsi="仿宋" w:eastAsia="仿宋" w:cs="仿宋"/>
                <w:sz w:val="32"/>
                <w:szCs w:val="32"/>
              </w:rPr>
            </w:pPr>
            <w:r>
              <w:rPr>
                <w:rFonts w:hint="eastAsia" w:ascii="仿宋" w:hAnsi="仿宋" w:eastAsia="仿宋" w:cs="仿宋"/>
                <w:sz w:val="32"/>
                <w:szCs w:val="32"/>
              </w:rPr>
              <w:t>1）确保工控机各个串口和可编辑逻辑控制器、数采仪、分析仪器连接一一对应正确且牢固。</w:t>
            </w:r>
          </w:p>
          <w:p>
            <w:pPr>
              <w:ind w:left="315" w:hanging="480" w:hangingChars="150"/>
              <w:rPr>
                <w:rFonts w:hint="eastAsia" w:ascii="仿宋" w:hAnsi="仿宋" w:eastAsia="仿宋" w:cs="仿宋"/>
                <w:sz w:val="32"/>
                <w:szCs w:val="32"/>
              </w:rPr>
            </w:pPr>
            <w:r>
              <w:rPr>
                <w:rFonts w:hint="eastAsia" w:ascii="仿宋" w:hAnsi="仿宋" w:eastAsia="仿宋" w:cs="仿宋"/>
                <w:sz w:val="32"/>
                <w:szCs w:val="32"/>
              </w:rPr>
              <w:t>2）通过现场监控软件测试工控与可编辑逻辑控制器及各个仪器之间是否连接正确。</w:t>
            </w:r>
          </w:p>
          <w:p>
            <w:pPr>
              <w:rPr>
                <w:rFonts w:hint="eastAsia" w:ascii="仿宋" w:hAnsi="仿宋" w:eastAsia="仿宋" w:cs="仿宋"/>
                <w:sz w:val="32"/>
                <w:szCs w:val="32"/>
              </w:rPr>
            </w:pPr>
            <w:r>
              <w:rPr>
                <w:rFonts w:hint="eastAsia" w:ascii="仿宋" w:hAnsi="仿宋" w:eastAsia="仿宋" w:cs="仿宋"/>
                <w:sz w:val="32"/>
                <w:szCs w:val="32"/>
              </w:rPr>
              <w:t>3）VPN网络设备检查，保证通讯畅通。</w:t>
            </w:r>
          </w:p>
          <w:p>
            <w:pPr>
              <w:rPr>
                <w:rFonts w:hint="eastAsia" w:ascii="仿宋" w:hAnsi="仿宋" w:eastAsia="仿宋" w:cs="仿宋"/>
                <w:sz w:val="32"/>
                <w:szCs w:val="32"/>
              </w:rPr>
            </w:pPr>
            <w:r>
              <w:rPr>
                <w:rFonts w:hint="eastAsia" w:ascii="仿宋" w:hAnsi="仿宋" w:eastAsia="仿宋" w:cs="仿宋"/>
                <w:sz w:val="32"/>
                <w:szCs w:val="32"/>
              </w:rPr>
              <w:t>4）视频监控设备检查，监控视角位置。</w:t>
            </w:r>
          </w:p>
        </w:tc>
      </w:tr>
      <w:tr>
        <w:tblPrEx>
          <w:tblCellMar>
            <w:top w:w="0" w:type="dxa"/>
            <w:left w:w="108" w:type="dxa"/>
            <w:bottom w:w="0" w:type="dxa"/>
            <w:right w:w="108" w:type="dxa"/>
          </w:tblCellMar>
        </w:tblPrEx>
        <w:trPr>
          <w:jc w:val="center"/>
        </w:trPr>
        <w:tc>
          <w:tcPr>
            <w:tcW w:w="672" w:type="dxa"/>
            <w:tcBorders>
              <w:top w:val="single" w:color="auto" w:sz="4" w:space="0"/>
              <w:left w:val="single" w:color="auto" w:sz="8" w:space="0"/>
              <w:bottom w:val="single" w:color="auto" w:sz="8" w:space="0"/>
              <w:right w:val="single" w:color="auto" w:sz="8" w:space="0"/>
            </w:tcBorders>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11</w:t>
            </w:r>
          </w:p>
        </w:tc>
        <w:tc>
          <w:tcPr>
            <w:tcW w:w="1276" w:type="dxa"/>
            <w:tcBorders>
              <w:top w:val="single" w:color="auto" w:sz="4" w:space="0"/>
              <w:left w:val="nil"/>
              <w:bottom w:val="single" w:color="auto" w:sz="8" w:space="0"/>
              <w:right w:val="single" w:color="auto" w:sz="4" w:space="0"/>
            </w:tcBorders>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可编辑逻辑控制器检查</w:t>
            </w:r>
          </w:p>
        </w:tc>
        <w:tc>
          <w:tcPr>
            <w:tcW w:w="1850" w:type="dxa"/>
            <w:vMerge w:val="continue"/>
            <w:tcBorders>
              <w:top w:val="single" w:color="auto" w:sz="4" w:space="0"/>
              <w:left w:val="nil"/>
              <w:bottom w:val="single" w:color="auto" w:sz="8" w:space="0"/>
              <w:right w:val="single" w:color="auto" w:sz="8" w:space="0"/>
            </w:tcBorders>
            <w:noWrap w:val="0"/>
            <w:vAlign w:val="center"/>
          </w:tcPr>
          <w:p>
            <w:pPr>
              <w:widowControl/>
              <w:jc w:val="left"/>
              <w:rPr>
                <w:rFonts w:hint="eastAsia" w:ascii="仿宋" w:hAnsi="仿宋" w:eastAsia="仿宋" w:cs="仿宋"/>
                <w:sz w:val="32"/>
                <w:szCs w:val="32"/>
              </w:rPr>
            </w:pPr>
          </w:p>
        </w:tc>
        <w:tc>
          <w:tcPr>
            <w:tcW w:w="4972" w:type="dxa"/>
            <w:tcBorders>
              <w:top w:val="single" w:color="auto" w:sz="4" w:space="0"/>
              <w:left w:val="nil"/>
              <w:bottom w:val="single" w:color="auto" w:sz="8" w:space="0"/>
              <w:right w:val="single" w:color="auto" w:sz="8" w:space="0"/>
            </w:tcBorders>
            <w:noWrap w:val="0"/>
            <w:vAlign w:val="center"/>
          </w:tcPr>
          <w:p>
            <w:pPr>
              <w:ind w:left="420" w:hanging="640" w:hangingChars="200"/>
              <w:rPr>
                <w:rFonts w:hint="eastAsia" w:ascii="仿宋" w:hAnsi="仿宋" w:eastAsia="仿宋" w:cs="仿宋"/>
                <w:sz w:val="32"/>
                <w:szCs w:val="32"/>
              </w:rPr>
            </w:pPr>
            <w:r>
              <w:rPr>
                <w:rFonts w:hint="eastAsia" w:ascii="仿宋" w:hAnsi="仿宋" w:eastAsia="仿宋" w:cs="仿宋"/>
                <w:sz w:val="32"/>
                <w:szCs w:val="32"/>
              </w:rPr>
              <w:t>1）检查可编辑逻辑控制器状态数据传输和报警灯，确保无数据传输和报警。</w:t>
            </w:r>
          </w:p>
          <w:p>
            <w:pPr>
              <w:ind w:left="420" w:hanging="640" w:hangingChars="200"/>
              <w:rPr>
                <w:rFonts w:hint="eastAsia" w:ascii="仿宋" w:hAnsi="仿宋" w:eastAsia="仿宋" w:cs="仿宋"/>
                <w:sz w:val="32"/>
                <w:szCs w:val="32"/>
              </w:rPr>
            </w:pPr>
            <w:r>
              <w:rPr>
                <w:rFonts w:hint="eastAsia" w:ascii="仿宋" w:hAnsi="仿宋" w:eastAsia="仿宋" w:cs="仿宋"/>
                <w:sz w:val="32"/>
                <w:szCs w:val="32"/>
              </w:rPr>
              <w:t>2）确保取水过程中可编辑逻辑控制器上各个点输入输出状态正确。</w:t>
            </w:r>
          </w:p>
          <w:p>
            <w:pPr>
              <w:ind w:left="420" w:hanging="640" w:hangingChars="200"/>
              <w:rPr>
                <w:rFonts w:hint="eastAsia" w:ascii="仿宋" w:hAnsi="仿宋" w:eastAsia="仿宋" w:cs="仿宋"/>
                <w:sz w:val="32"/>
                <w:szCs w:val="32"/>
              </w:rPr>
            </w:pPr>
            <w:r>
              <w:rPr>
                <w:rFonts w:hint="eastAsia" w:ascii="仿宋" w:hAnsi="仿宋" w:eastAsia="仿宋" w:cs="仿宋"/>
                <w:sz w:val="32"/>
                <w:szCs w:val="32"/>
              </w:rPr>
              <w:t>3）测量并确保可编辑逻辑控制器时钟电池电压正常。必要的情况更换电池。</w:t>
            </w:r>
          </w:p>
          <w:p>
            <w:pPr>
              <w:rPr>
                <w:rFonts w:hint="eastAsia" w:ascii="仿宋" w:hAnsi="仿宋" w:eastAsia="仿宋" w:cs="仿宋"/>
                <w:sz w:val="32"/>
                <w:szCs w:val="32"/>
              </w:rPr>
            </w:pPr>
            <w:r>
              <w:rPr>
                <w:rFonts w:hint="eastAsia" w:ascii="仿宋" w:hAnsi="仿宋" w:eastAsia="仿宋" w:cs="仿宋"/>
                <w:sz w:val="32"/>
                <w:szCs w:val="32"/>
              </w:rPr>
              <w:t>4）确保可编辑逻辑控制器串口模块连接牢固。</w:t>
            </w:r>
          </w:p>
        </w:tc>
      </w:tr>
      <w:tr>
        <w:tblPrEx>
          <w:tblCellMar>
            <w:top w:w="0" w:type="dxa"/>
            <w:left w:w="108" w:type="dxa"/>
            <w:bottom w:w="0" w:type="dxa"/>
            <w:right w:w="108" w:type="dxa"/>
          </w:tblCellMar>
        </w:tblPrEx>
        <w:trPr>
          <w:jc w:val="center"/>
        </w:trPr>
        <w:tc>
          <w:tcPr>
            <w:tcW w:w="672" w:type="dxa"/>
            <w:tcBorders>
              <w:top w:val="single" w:color="auto" w:sz="8" w:space="0"/>
              <w:left w:val="single" w:color="auto" w:sz="8" w:space="0"/>
              <w:bottom w:val="single" w:color="auto" w:sz="4" w:space="0"/>
              <w:right w:val="single" w:color="auto" w:sz="8" w:space="0"/>
            </w:tcBorders>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12</w:t>
            </w:r>
          </w:p>
        </w:tc>
        <w:tc>
          <w:tcPr>
            <w:tcW w:w="1276" w:type="dxa"/>
            <w:tcBorders>
              <w:top w:val="single" w:color="auto" w:sz="8" w:space="0"/>
              <w:left w:val="nil"/>
              <w:bottom w:val="single" w:color="auto" w:sz="4" w:space="0"/>
              <w:right w:val="single" w:color="auto" w:sz="4" w:space="0"/>
            </w:tcBorders>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配电板清扫</w:t>
            </w:r>
          </w:p>
        </w:tc>
        <w:tc>
          <w:tcPr>
            <w:tcW w:w="1850" w:type="dxa"/>
            <w:vMerge w:val="continue"/>
            <w:tcBorders>
              <w:top w:val="nil"/>
              <w:left w:val="nil"/>
              <w:bottom w:val="single" w:color="auto" w:sz="4" w:space="0"/>
              <w:right w:val="single" w:color="auto" w:sz="8" w:space="0"/>
            </w:tcBorders>
            <w:noWrap w:val="0"/>
            <w:vAlign w:val="center"/>
          </w:tcPr>
          <w:p>
            <w:pPr>
              <w:widowControl/>
              <w:jc w:val="left"/>
              <w:rPr>
                <w:rFonts w:hint="eastAsia" w:ascii="仿宋" w:hAnsi="仿宋" w:eastAsia="仿宋" w:cs="仿宋"/>
                <w:sz w:val="32"/>
                <w:szCs w:val="32"/>
              </w:rPr>
            </w:pPr>
          </w:p>
        </w:tc>
        <w:tc>
          <w:tcPr>
            <w:tcW w:w="4972" w:type="dxa"/>
            <w:tcBorders>
              <w:top w:val="single" w:color="auto" w:sz="8" w:space="0"/>
              <w:left w:val="nil"/>
              <w:bottom w:val="single" w:color="auto" w:sz="4" w:space="0"/>
              <w:right w:val="single" w:color="auto" w:sz="8" w:space="0"/>
            </w:tcBorders>
            <w:noWrap w:val="0"/>
            <w:vAlign w:val="center"/>
          </w:tcPr>
          <w:p>
            <w:pPr>
              <w:rPr>
                <w:rFonts w:hint="eastAsia" w:ascii="仿宋" w:hAnsi="仿宋" w:eastAsia="仿宋" w:cs="仿宋"/>
                <w:sz w:val="32"/>
                <w:szCs w:val="32"/>
              </w:rPr>
            </w:pPr>
            <w:r>
              <w:rPr>
                <w:rFonts w:hint="eastAsia" w:ascii="仿宋" w:hAnsi="仿宋" w:eastAsia="仿宋" w:cs="仿宋"/>
                <w:sz w:val="32"/>
                <w:szCs w:val="32"/>
              </w:rPr>
              <w:t>清扫配电板上各个元件上的灰尘等。</w:t>
            </w:r>
          </w:p>
        </w:tc>
      </w:tr>
      <w:tr>
        <w:tblPrEx>
          <w:tblCellMar>
            <w:top w:w="0" w:type="dxa"/>
            <w:left w:w="108" w:type="dxa"/>
            <w:bottom w:w="0" w:type="dxa"/>
            <w:right w:w="108" w:type="dxa"/>
          </w:tblCellMar>
        </w:tblPrEx>
        <w:trPr>
          <w:jc w:val="center"/>
        </w:trPr>
        <w:tc>
          <w:tcPr>
            <w:tcW w:w="672" w:type="dxa"/>
            <w:tcBorders>
              <w:top w:val="single" w:color="auto" w:sz="4" w:space="0"/>
              <w:left w:val="single" w:color="auto" w:sz="8" w:space="0"/>
              <w:bottom w:val="single" w:color="auto" w:sz="8" w:space="0"/>
              <w:right w:val="single" w:color="auto" w:sz="8" w:space="0"/>
            </w:tcBorders>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13</w:t>
            </w:r>
          </w:p>
        </w:tc>
        <w:tc>
          <w:tcPr>
            <w:tcW w:w="1276" w:type="dxa"/>
            <w:tcBorders>
              <w:top w:val="single" w:color="auto" w:sz="4" w:space="0"/>
              <w:left w:val="nil"/>
              <w:bottom w:val="single" w:color="auto" w:sz="8" w:space="0"/>
              <w:right w:val="single" w:color="auto" w:sz="4" w:space="0"/>
            </w:tcBorders>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配电板状态检查</w:t>
            </w:r>
          </w:p>
        </w:tc>
        <w:tc>
          <w:tcPr>
            <w:tcW w:w="1850" w:type="dxa"/>
            <w:vMerge w:val="continue"/>
            <w:tcBorders>
              <w:top w:val="single" w:color="auto" w:sz="4" w:space="0"/>
              <w:left w:val="nil"/>
              <w:bottom w:val="single" w:color="auto" w:sz="8" w:space="0"/>
              <w:right w:val="single" w:color="auto" w:sz="8" w:space="0"/>
            </w:tcBorders>
            <w:noWrap w:val="0"/>
            <w:vAlign w:val="center"/>
          </w:tcPr>
          <w:p>
            <w:pPr>
              <w:widowControl/>
              <w:jc w:val="left"/>
              <w:rPr>
                <w:rFonts w:hint="eastAsia" w:ascii="仿宋" w:hAnsi="仿宋" w:eastAsia="仿宋" w:cs="仿宋"/>
                <w:sz w:val="32"/>
                <w:szCs w:val="32"/>
              </w:rPr>
            </w:pPr>
          </w:p>
        </w:tc>
        <w:tc>
          <w:tcPr>
            <w:tcW w:w="4972" w:type="dxa"/>
            <w:tcBorders>
              <w:top w:val="single" w:color="auto" w:sz="4" w:space="0"/>
              <w:left w:val="nil"/>
              <w:bottom w:val="single" w:color="auto" w:sz="8" w:space="0"/>
              <w:right w:val="single" w:color="auto" w:sz="8" w:space="0"/>
            </w:tcBorders>
            <w:noWrap w:val="0"/>
            <w:vAlign w:val="center"/>
          </w:tcPr>
          <w:p>
            <w:pPr>
              <w:rPr>
                <w:rFonts w:hint="eastAsia" w:ascii="仿宋" w:hAnsi="仿宋" w:eastAsia="仿宋" w:cs="仿宋"/>
                <w:sz w:val="32"/>
                <w:szCs w:val="32"/>
              </w:rPr>
            </w:pPr>
            <w:r>
              <w:rPr>
                <w:rFonts w:hint="eastAsia" w:ascii="仿宋" w:hAnsi="仿宋" w:eastAsia="仿宋" w:cs="仿宋"/>
                <w:sz w:val="32"/>
                <w:szCs w:val="32"/>
              </w:rPr>
              <w:t>检查确保配电板上各个接线接头不松动，并清除锈蚀接头。确保各个接触器和继电器工作正常。</w:t>
            </w:r>
          </w:p>
        </w:tc>
      </w:tr>
      <w:tr>
        <w:tblPrEx>
          <w:tblCellMar>
            <w:top w:w="0" w:type="dxa"/>
            <w:left w:w="108" w:type="dxa"/>
            <w:bottom w:w="0" w:type="dxa"/>
            <w:right w:w="108" w:type="dxa"/>
          </w:tblCellMar>
        </w:tblPrEx>
        <w:trPr>
          <w:jc w:val="center"/>
        </w:trPr>
        <w:tc>
          <w:tcPr>
            <w:tcW w:w="672"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14</w:t>
            </w:r>
          </w:p>
        </w:tc>
        <w:tc>
          <w:tcPr>
            <w:tcW w:w="1276" w:type="dxa"/>
            <w:tcBorders>
              <w:top w:val="single" w:color="auto" w:sz="8" w:space="0"/>
              <w:left w:val="nil"/>
              <w:bottom w:val="single" w:color="auto" w:sz="8" w:space="0"/>
              <w:right w:val="single" w:color="auto" w:sz="4" w:space="0"/>
            </w:tcBorders>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接地检查</w:t>
            </w:r>
          </w:p>
        </w:tc>
        <w:tc>
          <w:tcPr>
            <w:tcW w:w="1850" w:type="dxa"/>
            <w:vMerge w:val="continue"/>
            <w:tcBorders>
              <w:top w:val="nil"/>
              <w:left w:val="nil"/>
              <w:bottom w:val="single" w:color="auto" w:sz="8" w:space="0"/>
              <w:right w:val="single" w:color="auto" w:sz="8" w:space="0"/>
            </w:tcBorders>
            <w:noWrap w:val="0"/>
            <w:vAlign w:val="center"/>
          </w:tcPr>
          <w:p>
            <w:pPr>
              <w:widowControl/>
              <w:jc w:val="left"/>
              <w:rPr>
                <w:rFonts w:hint="eastAsia" w:ascii="仿宋" w:hAnsi="仿宋" w:eastAsia="仿宋" w:cs="仿宋"/>
                <w:sz w:val="32"/>
                <w:szCs w:val="32"/>
              </w:rPr>
            </w:pPr>
          </w:p>
        </w:tc>
        <w:tc>
          <w:tcPr>
            <w:tcW w:w="4972" w:type="dxa"/>
            <w:tcBorders>
              <w:top w:val="single" w:color="auto" w:sz="8" w:space="0"/>
              <w:left w:val="nil"/>
              <w:bottom w:val="single" w:color="auto" w:sz="8" w:space="0"/>
              <w:right w:val="single" w:color="auto" w:sz="8" w:space="0"/>
            </w:tcBorders>
            <w:noWrap w:val="0"/>
            <w:vAlign w:val="center"/>
          </w:tcPr>
          <w:p>
            <w:pPr>
              <w:rPr>
                <w:rFonts w:hint="eastAsia" w:ascii="仿宋" w:hAnsi="仿宋" w:eastAsia="仿宋" w:cs="仿宋"/>
                <w:sz w:val="32"/>
                <w:szCs w:val="32"/>
              </w:rPr>
            </w:pPr>
            <w:r>
              <w:rPr>
                <w:rFonts w:hint="eastAsia" w:ascii="仿宋" w:hAnsi="仿宋" w:eastAsia="仿宋" w:cs="仿宋"/>
                <w:sz w:val="32"/>
                <w:szCs w:val="32"/>
              </w:rPr>
              <w:t>确保各个机柜和用电器接地良好，尤其注意防雷保护器接地。</w:t>
            </w:r>
          </w:p>
        </w:tc>
      </w:tr>
      <w:tr>
        <w:tblPrEx>
          <w:tblCellMar>
            <w:top w:w="0" w:type="dxa"/>
            <w:left w:w="108" w:type="dxa"/>
            <w:bottom w:w="0" w:type="dxa"/>
            <w:right w:w="108" w:type="dxa"/>
          </w:tblCellMar>
        </w:tblPrEx>
        <w:trPr>
          <w:jc w:val="center"/>
        </w:trPr>
        <w:tc>
          <w:tcPr>
            <w:tcW w:w="672" w:type="dxa"/>
            <w:tcBorders>
              <w:top w:val="single" w:color="auto" w:sz="8" w:space="0"/>
              <w:left w:val="single" w:color="auto" w:sz="8" w:space="0"/>
              <w:bottom w:val="single" w:color="auto" w:sz="4" w:space="0"/>
              <w:right w:val="single" w:color="auto" w:sz="8" w:space="0"/>
            </w:tcBorders>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15</w:t>
            </w:r>
          </w:p>
        </w:tc>
        <w:tc>
          <w:tcPr>
            <w:tcW w:w="1276" w:type="dxa"/>
            <w:tcBorders>
              <w:top w:val="single" w:color="auto" w:sz="8" w:space="0"/>
              <w:left w:val="nil"/>
              <w:bottom w:val="single" w:color="auto" w:sz="4" w:space="0"/>
              <w:right w:val="single" w:color="auto" w:sz="4" w:space="0"/>
            </w:tcBorders>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温湿度仪检查</w:t>
            </w:r>
          </w:p>
        </w:tc>
        <w:tc>
          <w:tcPr>
            <w:tcW w:w="1850" w:type="dxa"/>
            <w:vMerge w:val="continue"/>
            <w:tcBorders>
              <w:top w:val="nil"/>
              <w:left w:val="nil"/>
              <w:bottom w:val="single" w:color="auto" w:sz="4" w:space="0"/>
              <w:right w:val="single" w:color="auto" w:sz="8" w:space="0"/>
            </w:tcBorders>
            <w:noWrap w:val="0"/>
            <w:vAlign w:val="center"/>
          </w:tcPr>
          <w:p>
            <w:pPr>
              <w:widowControl/>
              <w:jc w:val="left"/>
              <w:rPr>
                <w:rFonts w:hint="eastAsia" w:ascii="仿宋" w:hAnsi="仿宋" w:eastAsia="仿宋" w:cs="仿宋"/>
                <w:sz w:val="32"/>
                <w:szCs w:val="32"/>
              </w:rPr>
            </w:pPr>
          </w:p>
        </w:tc>
        <w:tc>
          <w:tcPr>
            <w:tcW w:w="4972" w:type="dxa"/>
            <w:tcBorders>
              <w:top w:val="single" w:color="auto" w:sz="8" w:space="0"/>
              <w:left w:val="nil"/>
              <w:bottom w:val="single" w:color="auto" w:sz="4" w:space="0"/>
              <w:right w:val="single" w:color="auto" w:sz="8" w:space="0"/>
            </w:tcBorders>
            <w:noWrap w:val="0"/>
            <w:vAlign w:val="center"/>
          </w:tcPr>
          <w:p>
            <w:pPr>
              <w:rPr>
                <w:rFonts w:hint="eastAsia" w:ascii="仿宋" w:hAnsi="仿宋" w:eastAsia="仿宋" w:cs="仿宋"/>
                <w:sz w:val="32"/>
                <w:szCs w:val="32"/>
              </w:rPr>
            </w:pPr>
            <w:r>
              <w:rPr>
                <w:rFonts w:hint="eastAsia" w:ascii="仿宋" w:hAnsi="仿宋" w:eastAsia="仿宋" w:cs="仿宋"/>
                <w:sz w:val="32"/>
                <w:szCs w:val="32"/>
              </w:rPr>
              <w:t>检查温湿度仪是否显示合理，保证温度探头反应灵敏。</w:t>
            </w:r>
          </w:p>
        </w:tc>
      </w:tr>
      <w:tr>
        <w:tblPrEx>
          <w:tblCellMar>
            <w:top w:w="0" w:type="dxa"/>
            <w:left w:w="108" w:type="dxa"/>
            <w:bottom w:w="0" w:type="dxa"/>
            <w:right w:w="108" w:type="dxa"/>
          </w:tblCellMar>
        </w:tblPrEx>
        <w:trPr>
          <w:jc w:val="center"/>
        </w:trPr>
        <w:tc>
          <w:tcPr>
            <w:tcW w:w="672" w:type="dxa"/>
            <w:tcBorders>
              <w:top w:val="single" w:color="auto" w:sz="4" w:space="0"/>
              <w:left w:val="single" w:color="auto" w:sz="8" w:space="0"/>
              <w:bottom w:val="single" w:color="auto" w:sz="4" w:space="0"/>
              <w:right w:val="single" w:color="auto" w:sz="8" w:space="0"/>
            </w:tcBorders>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16</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稳压电源清扫</w:t>
            </w:r>
          </w:p>
        </w:tc>
        <w:tc>
          <w:tcPr>
            <w:tcW w:w="1850" w:type="dxa"/>
            <w:vMerge w:val="continue"/>
            <w:tcBorders>
              <w:top w:val="single" w:color="auto" w:sz="4" w:space="0"/>
              <w:left w:val="nil"/>
              <w:bottom w:val="single" w:color="auto" w:sz="4" w:space="0"/>
              <w:right w:val="single" w:color="auto" w:sz="8" w:space="0"/>
            </w:tcBorders>
            <w:noWrap w:val="0"/>
            <w:vAlign w:val="center"/>
          </w:tcPr>
          <w:p>
            <w:pPr>
              <w:widowControl/>
              <w:jc w:val="left"/>
              <w:rPr>
                <w:rFonts w:hint="eastAsia" w:ascii="仿宋" w:hAnsi="仿宋" w:eastAsia="仿宋" w:cs="仿宋"/>
                <w:sz w:val="32"/>
                <w:szCs w:val="32"/>
              </w:rPr>
            </w:pPr>
          </w:p>
        </w:tc>
        <w:tc>
          <w:tcPr>
            <w:tcW w:w="4972" w:type="dxa"/>
            <w:tcBorders>
              <w:top w:val="single" w:color="auto" w:sz="4" w:space="0"/>
              <w:left w:val="nil"/>
              <w:bottom w:val="single" w:color="auto" w:sz="4" w:space="0"/>
              <w:right w:val="single" w:color="auto" w:sz="8" w:space="0"/>
            </w:tcBorders>
            <w:noWrap w:val="0"/>
            <w:vAlign w:val="center"/>
          </w:tcPr>
          <w:p>
            <w:pPr>
              <w:numPr>
                <w:ilvl w:val="0"/>
                <w:numId w:val="12"/>
              </w:numPr>
              <w:rPr>
                <w:rFonts w:hint="eastAsia" w:ascii="仿宋" w:hAnsi="仿宋" w:eastAsia="仿宋" w:cs="仿宋"/>
                <w:sz w:val="32"/>
                <w:szCs w:val="32"/>
              </w:rPr>
            </w:pPr>
            <w:r>
              <w:rPr>
                <w:rFonts w:hint="eastAsia" w:ascii="仿宋" w:hAnsi="仿宋" w:eastAsia="仿宋" w:cs="仿宋"/>
                <w:sz w:val="32"/>
                <w:szCs w:val="32"/>
              </w:rPr>
              <w:t>断电情况下清扫稳压电源内的灰尘。</w:t>
            </w:r>
          </w:p>
          <w:p>
            <w:pPr>
              <w:numPr>
                <w:ilvl w:val="0"/>
                <w:numId w:val="12"/>
              </w:numPr>
              <w:rPr>
                <w:rFonts w:hint="eastAsia" w:ascii="仿宋" w:hAnsi="仿宋" w:eastAsia="仿宋" w:cs="仿宋"/>
                <w:sz w:val="32"/>
                <w:szCs w:val="32"/>
              </w:rPr>
            </w:pPr>
            <w:r>
              <w:rPr>
                <w:rFonts w:hint="eastAsia" w:ascii="仿宋" w:hAnsi="仿宋" w:eastAsia="仿宋" w:cs="仿宋"/>
                <w:sz w:val="32"/>
                <w:szCs w:val="32"/>
              </w:rPr>
              <w:t>检查碳刷是否正常，磨损较多情况必须更换。</w:t>
            </w:r>
          </w:p>
          <w:p>
            <w:pPr>
              <w:rPr>
                <w:rFonts w:hint="eastAsia" w:ascii="仿宋" w:hAnsi="仿宋" w:eastAsia="仿宋" w:cs="仿宋"/>
                <w:sz w:val="32"/>
                <w:szCs w:val="32"/>
              </w:rPr>
            </w:pPr>
            <w:r>
              <w:rPr>
                <w:rFonts w:hint="eastAsia" w:ascii="仿宋" w:hAnsi="仿宋" w:eastAsia="仿宋" w:cs="仿宋"/>
                <w:sz w:val="32"/>
                <w:szCs w:val="32"/>
              </w:rPr>
              <w:t>上电测试，确保稳压源工作正常。</w:t>
            </w:r>
          </w:p>
        </w:tc>
      </w:tr>
      <w:tr>
        <w:tblPrEx>
          <w:tblCellMar>
            <w:top w:w="0" w:type="dxa"/>
            <w:left w:w="108" w:type="dxa"/>
            <w:bottom w:w="0" w:type="dxa"/>
            <w:right w:w="108" w:type="dxa"/>
          </w:tblCellMar>
        </w:tblPrEx>
        <w:trPr>
          <w:jc w:val="center"/>
        </w:trPr>
        <w:tc>
          <w:tcPr>
            <w:tcW w:w="672" w:type="dxa"/>
            <w:tcBorders>
              <w:top w:val="single" w:color="auto" w:sz="4" w:space="0"/>
              <w:left w:val="single" w:color="auto" w:sz="8" w:space="0"/>
              <w:bottom w:val="single" w:color="auto" w:sz="8" w:space="0"/>
              <w:right w:val="single" w:color="auto" w:sz="8" w:space="0"/>
            </w:tcBorders>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17</w:t>
            </w:r>
          </w:p>
        </w:tc>
        <w:tc>
          <w:tcPr>
            <w:tcW w:w="1276" w:type="dxa"/>
            <w:tcBorders>
              <w:top w:val="single" w:color="auto" w:sz="4" w:space="0"/>
              <w:left w:val="nil"/>
              <w:bottom w:val="single" w:color="auto" w:sz="8" w:space="0"/>
              <w:right w:val="single" w:color="auto" w:sz="4" w:space="0"/>
            </w:tcBorders>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UPS检查清扫</w:t>
            </w:r>
          </w:p>
        </w:tc>
        <w:tc>
          <w:tcPr>
            <w:tcW w:w="1850" w:type="dxa"/>
            <w:vMerge w:val="continue"/>
            <w:tcBorders>
              <w:top w:val="single" w:color="auto" w:sz="4" w:space="0"/>
              <w:left w:val="nil"/>
              <w:bottom w:val="single" w:color="auto" w:sz="8" w:space="0"/>
              <w:right w:val="single" w:color="auto" w:sz="8" w:space="0"/>
            </w:tcBorders>
            <w:noWrap w:val="0"/>
            <w:vAlign w:val="center"/>
          </w:tcPr>
          <w:p>
            <w:pPr>
              <w:widowControl/>
              <w:jc w:val="left"/>
              <w:rPr>
                <w:rFonts w:hint="eastAsia" w:ascii="仿宋" w:hAnsi="仿宋" w:eastAsia="仿宋" w:cs="仿宋"/>
                <w:sz w:val="32"/>
                <w:szCs w:val="32"/>
              </w:rPr>
            </w:pPr>
          </w:p>
        </w:tc>
        <w:tc>
          <w:tcPr>
            <w:tcW w:w="4972" w:type="dxa"/>
            <w:tcBorders>
              <w:top w:val="single" w:color="auto" w:sz="4" w:space="0"/>
              <w:left w:val="nil"/>
              <w:bottom w:val="single" w:color="auto" w:sz="8" w:space="0"/>
              <w:right w:val="single" w:color="auto" w:sz="8" w:space="0"/>
            </w:tcBorders>
            <w:noWrap w:val="0"/>
            <w:vAlign w:val="center"/>
          </w:tcPr>
          <w:p>
            <w:pPr>
              <w:numPr>
                <w:ilvl w:val="0"/>
                <w:numId w:val="13"/>
              </w:numPr>
              <w:rPr>
                <w:rFonts w:hint="eastAsia" w:ascii="仿宋" w:hAnsi="仿宋" w:eastAsia="仿宋" w:cs="仿宋"/>
                <w:sz w:val="32"/>
                <w:szCs w:val="32"/>
              </w:rPr>
            </w:pPr>
            <w:r>
              <w:rPr>
                <w:rFonts w:hint="eastAsia" w:ascii="仿宋" w:hAnsi="仿宋" w:eastAsia="仿宋" w:cs="仿宋"/>
                <w:sz w:val="32"/>
                <w:szCs w:val="32"/>
              </w:rPr>
              <w:t>断电情况下清扫UPS各个散热孔上的灰尘。</w:t>
            </w:r>
          </w:p>
          <w:p>
            <w:pPr>
              <w:numPr>
                <w:ilvl w:val="0"/>
                <w:numId w:val="0"/>
              </w:numPr>
              <w:ind w:leftChars="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检查确保UPS充放电正常。</w:t>
            </w:r>
          </w:p>
        </w:tc>
      </w:tr>
      <w:tr>
        <w:tblPrEx>
          <w:tblCellMar>
            <w:top w:w="0" w:type="dxa"/>
            <w:left w:w="108" w:type="dxa"/>
            <w:bottom w:w="0" w:type="dxa"/>
            <w:right w:w="108" w:type="dxa"/>
          </w:tblCellMar>
        </w:tblPrEx>
        <w:trPr>
          <w:jc w:val="center"/>
        </w:trPr>
        <w:tc>
          <w:tcPr>
            <w:tcW w:w="672"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18</w:t>
            </w:r>
          </w:p>
        </w:tc>
        <w:tc>
          <w:tcPr>
            <w:tcW w:w="1276" w:type="dxa"/>
            <w:tcBorders>
              <w:top w:val="single" w:color="auto" w:sz="8" w:space="0"/>
              <w:left w:val="nil"/>
              <w:bottom w:val="single" w:color="auto" w:sz="8" w:space="0"/>
              <w:right w:val="single" w:color="auto" w:sz="4" w:space="0"/>
            </w:tcBorders>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UPS电池箱清扫</w:t>
            </w:r>
          </w:p>
        </w:tc>
        <w:tc>
          <w:tcPr>
            <w:tcW w:w="1850" w:type="dxa"/>
            <w:vMerge w:val="continue"/>
            <w:tcBorders>
              <w:top w:val="nil"/>
              <w:left w:val="nil"/>
              <w:bottom w:val="single" w:color="auto" w:sz="8" w:space="0"/>
              <w:right w:val="single" w:color="auto" w:sz="8" w:space="0"/>
            </w:tcBorders>
            <w:noWrap w:val="0"/>
            <w:vAlign w:val="center"/>
          </w:tcPr>
          <w:p>
            <w:pPr>
              <w:widowControl/>
              <w:jc w:val="left"/>
              <w:rPr>
                <w:rFonts w:hint="eastAsia" w:ascii="仿宋" w:hAnsi="仿宋" w:eastAsia="仿宋" w:cs="仿宋"/>
                <w:sz w:val="32"/>
                <w:szCs w:val="32"/>
              </w:rPr>
            </w:pPr>
          </w:p>
        </w:tc>
        <w:tc>
          <w:tcPr>
            <w:tcW w:w="4972" w:type="dxa"/>
            <w:tcBorders>
              <w:top w:val="single" w:color="auto" w:sz="8" w:space="0"/>
              <w:left w:val="nil"/>
              <w:bottom w:val="single" w:color="auto" w:sz="8" w:space="0"/>
              <w:right w:val="single" w:color="auto" w:sz="8" w:space="0"/>
            </w:tcBorders>
            <w:noWrap w:val="0"/>
            <w:vAlign w:val="center"/>
          </w:tcPr>
          <w:p>
            <w:pPr>
              <w:numPr>
                <w:ilvl w:val="0"/>
                <w:numId w:val="14"/>
              </w:numPr>
              <w:rPr>
                <w:rFonts w:hint="eastAsia" w:ascii="仿宋" w:hAnsi="仿宋" w:eastAsia="仿宋" w:cs="仿宋"/>
                <w:sz w:val="32"/>
                <w:szCs w:val="32"/>
              </w:rPr>
            </w:pPr>
            <w:r>
              <w:rPr>
                <w:rFonts w:hint="eastAsia" w:ascii="仿宋" w:hAnsi="仿宋" w:eastAsia="仿宋" w:cs="仿宋"/>
                <w:sz w:val="32"/>
                <w:szCs w:val="32"/>
              </w:rPr>
              <w:t>做好绝缘措施情况下清扫UPS电池箱内的灰尘。</w:t>
            </w:r>
          </w:p>
          <w:p>
            <w:pPr>
              <w:numPr>
                <w:ilvl w:val="0"/>
                <w:numId w:val="14"/>
              </w:numPr>
              <w:rPr>
                <w:rFonts w:hint="eastAsia" w:ascii="仿宋" w:hAnsi="仿宋" w:eastAsia="仿宋" w:cs="仿宋"/>
                <w:sz w:val="32"/>
                <w:szCs w:val="32"/>
              </w:rPr>
            </w:pPr>
            <w:r>
              <w:rPr>
                <w:rFonts w:hint="eastAsia" w:ascii="仿宋" w:hAnsi="仿宋" w:eastAsia="仿宋" w:cs="仿宋"/>
                <w:sz w:val="32"/>
                <w:szCs w:val="32"/>
              </w:rPr>
              <w:t>确保箱内各个电池联线接触良好牢固。</w:t>
            </w:r>
          </w:p>
          <w:p>
            <w:pPr>
              <w:numPr>
                <w:ilvl w:val="0"/>
                <w:numId w:val="0"/>
              </w:numPr>
              <w:ind w:leftChars="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确保各个电池无漏液，外观正常。</w:t>
            </w:r>
          </w:p>
        </w:tc>
      </w:tr>
      <w:tr>
        <w:tblPrEx>
          <w:tblCellMar>
            <w:top w:w="0" w:type="dxa"/>
            <w:left w:w="108" w:type="dxa"/>
            <w:bottom w:w="0" w:type="dxa"/>
            <w:right w:w="108" w:type="dxa"/>
          </w:tblCellMar>
        </w:tblPrEx>
        <w:trPr>
          <w:jc w:val="center"/>
        </w:trPr>
        <w:tc>
          <w:tcPr>
            <w:tcW w:w="672"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19</w:t>
            </w:r>
          </w:p>
        </w:tc>
        <w:tc>
          <w:tcPr>
            <w:tcW w:w="1276" w:type="dxa"/>
            <w:tcBorders>
              <w:top w:val="single" w:color="auto" w:sz="8" w:space="0"/>
              <w:left w:val="nil"/>
              <w:bottom w:val="single" w:color="auto" w:sz="8" w:space="0"/>
              <w:right w:val="single" w:color="auto" w:sz="4" w:space="0"/>
            </w:tcBorders>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机柜台面清扫及检查</w:t>
            </w:r>
          </w:p>
        </w:tc>
        <w:tc>
          <w:tcPr>
            <w:tcW w:w="1850" w:type="dxa"/>
            <w:vMerge w:val="continue"/>
            <w:tcBorders>
              <w:top w:val="nil"/>
              <w:left w:val="nil"/>
              <w:bottom w:val="single" w:color="auto" w:sz="8" w:space="0"/>
              <w:right w:val="single" w:color="auto" w:sz="8" w:space="0"/>
            </w:tcBorders>
            <w:noWrap w:val="0"/>
            <w:vAlign w:val="center"/>
          </w:tcPr>
          <w:p>
            <w:pPr>
              <w:widowControl/>
              <w:jc w:val="left"/>
              <w:rPr>
                <w:rFonts w:hint="eastAsia" w:ascii="仿宋" w:hAnsi="仿宋" w:eastAsia="仿宋" w:cs="仿宋"/>
                <w:sz w:val="32"/>
                <w:szCs w:val="32"/>
              </w:rPr>
            </w:pPr>
          </w:p>
        </w:tc>
        <w:tc>
          <w:tcPr>
            <w:tcW w:w="4972" w:type="dxa"/>
            <w:tcBorders>
              <w:top w:val="single" w:color="auto" w:sz="8" w:space="0"/>
              <w:left w:val="nil"/>
              <w:bottom w:val="single" w:color="auto" w:sz="8" w:space="0"/>
              <w:right w:val="single" w:color="auto" w:sz="8" w:space="0"/>
            </w:tcBorders>
            <w:noWrap w:val="0"/>
            <w:vAlign w:val="center"/>
          </w:tcPr>
          <w:p>
            <w:pPr>
              <w:numPr>
                <w:ilvl w:val="0"/>
                <w:numId w:val="15"/>
              </w:numPr>
              <w:rPr>
                <w:rFonts w:hint="eastAsia" w:ascii="仿宋" w:hAnsi="仿宋" w:eastAsia="仿宋" w:cs="仿宋"/>
                <w:sz w:val="32"/>
                <w:szCs w:val="32"/>
              </w:rPr>
            </w:pPr>
            <w:r>
              <w:rPr>
                <w:rFonts w:hint="eastAsia" w:ascii="仿宋" w:hAnsi="仿宋" w:eastAsia="仿宋" w:cs="仿宋"/>
                <w:sz w:val="32"/>
                <w:szCs w:val="32"/>
              </w:rPr>
              <w:t>检查机柜台面及玻璃是否清洁。</w:t>
            </w:r>
          </w:p>
          <w:p>
            <w:pPr>
              <w:rPr>
                <w:rFonts w:hint="eastAsia" w:ascii="仿宋" w:hAnsi="仿宋" w:eastAsia="仿宋" w:cs="仿宋"/>
                <w:sz w:val="32"/>
                <w:szCs w:val="32"/>
              </w:rPr>
            </w:pPr>
            <w:r>
              <w:rPr>
                <w:rFonts w:hint="eastAsia" w:ascii="仿宋" w:hAnsi="仿宋" w:eastAsia="仿宋" w:cs="仿宋"/>
                <w:sz w:val="32"/>
                <w:szCs w:val="32"/>
              </w:rPr>
              <w:t>2）检查机柜各门是否关于完好。</w:t>
            </w:r>
          </w:p>
        </w:tc>
      </w:tr>
      <w:tr>
        <w:tblPrEx>
          <w:tblCellMar>
            <w:top w:w="0" w:type="dxa"/>
            <w:left w:w="108" w:type="dxa"/>
            <w:bottom w:w="0" w:type="dxa"/>
            <w:right w:w="108" w:type="dxa"/>
          </w:tblCellMar>
        </w:tblPrEx>
        <w:trPr>
          <w:jc w:val="center"/>
        </w:trPr>
        <w:tc>
          <w:tcPr>
            <w:tcW w:w="672"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20</w:t>
            </w:r>
          </w:p>
        </w:tc>
        <w:tc>
          <w:tcPr>
            <w:tcW w:w="1276" w:type="dxa"/>
            <w:tcBorders>
              <w:top w:val="single" w:color="auto" w:sz="8" w:space="0"/>
              <w:left w:val="nil"/>
              <w:bottom w:val="single" w:color="auto" w:sz="8" w:space="0"/>
              <w:right w:val="single" w:color="auto" w:sz="4" w:space="0"/>
            </w:tcBorders>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实验区清扫</w:t>
            </w:r>
          </w:p>
        </w:tc>
        <w:tc>
          <w:tcPr>
            <w:tcW w:w="1850" w:type="dxa"/>
            <w:tcBorders>
              <w:top w:val="single" w:color="auto" w:sz="8" w:space="0"/>
              <w:left w:val="nil"/>
              <w:bottom w:val="single" w:color="auto" w:sz="8" w:space="0"/>
              <w:right w:val="single" w:color="auto" w:sz="8" w:space="0"/>
            </w:tcBorders>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1周1次，确保室内整齐清洁</w:t>
            </w:r>
          </w:p>
        </w:tc>
        <w:tc>
          <w:tcPr>
            <w:tcW w:w="4972" w:type="dxa"/>
            <w:tcBorders>
              <w:top w:val="single" w:color="auto" w:sz="8" w:space="0"/>
              <w:left w:val="nil"/>
              <w:bottom w:val="single" w:color="auto" w:sz="8" w:space="0"/>
              <w:right w:val="single" w:color="auto" w:sz="8" w:space="0"/>
            </w:tcBorders>
            <w:noWrap w:val="0"/>
            <w:vAlign w:val="center"/>
          </w:tcPr>
          <w:p>
            <w:pPr>
              <w:numPr>
                <w:ilvl w:val="0"/>
                <w:numId w:val="16"/>
              </w:numPr>
              <w:rPr>
                <w:rFonts w:hint="eastAsia" w:ascii="仿宋" w:hAnsi="仿宋" w:eastAsia="仿宋" w:cs="仿宋"/>
                <w:sz w:val="32"/>
                <w:szCs w:val="32"/>
              </w:rPr>
            </w:pPr>
            <w:r>
              <w:rPr>
                <w:rFonts w:hint="eastAsia" w:ascii="仿宋" w:hAnsi="仿宋" w:eastAsia="仿宋" w:cs="仿宋"/>
                <w:sz w:val="32"/>
                <w:szCs w:val="32"/>
              </w:rPr>
              <w:t>保持实验区台面清洁。</w:t>
            </w:r>
          </w:p>
          <w:p>
            <w:pPr>
              <w:numPr>
                <w:ilvl w:val="0"/>
                <w:numId w:val="16"/>
              </w:numPr>
              <w:rPr>
                <w:rFonts w:hint="eastAsia" w:ascii="仿宋" w:hAnsi="仿宋" w:eastAsia="仿宋" w:cs="仿宋"/>
                <w:sz w:val="32"/>
                <w:szCs w:val="32"/>
              </w:rPr>
            </w:pPr>
            <w:r>
              <w:rPr>
                <w:rFonts w:hint="eastAsia" w:ascii="仿宋" w:hAnsi="仿宋" w:eastAsia="仿宋" w:cs="仿宋"/>
                <w:sz w:val="32"/>
                <w:szCs w:val="32"/>
              </w:rPr>
              <w:t>保持仪器设备摆放征集。</w:t>
            </w:r>
          </w:p>
          <w:p>
            <w:pPr>
              <w:numPr>
                <w:ilvl w:val="0"/>
                <w:numId w:val="16"/>
              </w:numPr>
              <w:rPr>
                <w:rFonts w:hint="eastAsia" w:ascii="仿宋" w:hAnsi="仿宋" w:eastAsia="仿宋" w:cs="仿宋"/>
                <w:sz w:val="32"/>
                <w:szCs w:val="32"/>
              </w:rPr>
            </w:pPr>
            <w:r>
              <w:rPr>
                <w:rFonts w:hint="eastAsia" w:ascii="仿宋" w:hAnsi="仿宋" w:eastAsia="仿宋" w:cs="仿宋"/>
                <w:sz w:val="32"/>
                <w:szCs w:val="32"/>
              </w:rPr>
              <w:t>按要求存储试剂。</w:t>
            </w:r>
          </w:p>
          <w:p>
            <w:pPr>
              <w:rPr>
                <w:rFonts w:hint="eastAsia" w:ascii="仿宋" w:hAnsi="仿宋" w:eastAsia="仿宋" w:cs="仿宋"/>
                <w:sz w:val="32"/>
                <w:szCs w:val="32"/>
              </w:rPr>
            </w:pPr>
            <w:r>
              <w:rPr>
                <w:rFonts w:hint="eastAsia" w:ascii="仿宋" w:hAnsi="仿宋" w:eastAsia="仿宋" w:cs="仿宋"/>
                <w:sz w:val="32"/>
                <w:szCs w:val="32"/>
              </w:rPr>
              <w:t>4）按要求处置废液。</w:t>
            </w:r>
          </w:p>
        </w:tc>
      </w:tr>
      <w:tr>
        <w:tblPrEx>
          <w:tblCellMar>
            <w:top w:w="0" w:type="dxa"/>
            <w:left w:w="108" w:type="dxa"/>
            <w:bottom w:w="0" w:type="dxa"/>
            <w:right w:w="108" w:type="dxa"/>
          </w:tblCellMar>
        </w:tblPrEx>
        <w:trPr>
          <w:jc w:val="center"/>
        </w:trPr>
        <w:tc>
          <w:tcPr>
            <w:tcW w:w="672"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21</w:t>
            </w:r>
          </w:p>
        </w:tc>
        <w:tc>
          <w:tcPr>
            <w:tcW w:w="1276" w:type="dxa"/>
            <w:tcBorders>
              <w:top w:val="single" w:color="auto" w:sz="8" w:space="0"/>
              <w:left w:val="nil"/>
              <w:bottom w:val="single" w:color="auto" w:sz="8" w:space="0"/>
              <w:right w:val="single" w:color="auto" w:sz="4" w:space="0"/>
            </w:tcBorders>
            <w:noWrap w:val="0"/>
            <w:vAlign w:val="center"/>
          </w:tcPr>
          <w:p>
            <w:pPr>
              <w:rPr>
                <w:rFonts w:hint="eastAsia" w:ascii="仿宋" w:hAnsi="仿宋" w:eastAsia="仿宋" w:cs="仿宋"/>
                <w:sz w:val="32"/>
                <w:szCs w:val="32"/>
              </w:rPr>
            </w:pPr>
            <w:r>
              <w:rPr>
                <w:rFonts w:hint="eastAsia" w:ascii="仿宋" w:hAnsi="仿宋" w:eastAsia="仿宋" w:cs="仿宋"/>
                <w:sz w:val="32"/>
                <w:szCs w:val="32"/>
              </w:rPr>
              <w:t>水质超标自动采样器</w:t>
            </w:r>
          </w:p>
        </w:tc>
        <w:tc>
          <w:tcPr>
            <w:tcW w:w="1850" w:type="dxa"/>
            <w:tcBorders>
              <w:top w:val="single" w:color="auto" w:sz="8" w:space="0"/>
              <w:left w:val="nil"/>
              <w:bottom w:val="single" w:color="auto" w:sz="8" w:space="0"/>
              <w:right w:val="single" w:color="auto" w:sz="8" w:space="0"/>
            </w:tcBorders>
            <w:noWrap w:val="0"/>
            <w:vAlign w:val="center"/>
          </w:tcPr>
          <w:p>
            <w:pPr>
              <w:ind w:left="360"/>
              <w:rPr>
                <w:rFonts w:hint="eastAsia" w:ascii="仿宋" w:hAnsi="仿宋" w:eastAsia="仿宋" w:cs="仿宋"/>
                <w:sz w:val="32"/>
                <w:szCs w:val="32"/>
              </w:rPr>
            </w:pPr>
            <w:r>
              <w:rPr>
                <w:rFonts w:hint="eastAsia" w:ascii="仿宋" w:hAnsi="仿宋" w:eastAsia="仿宋" w:cs="仿宋"/>
                <w:sz w:val="32"/>
                <w:szCs w:val="32"/>
              </w:rPr>
              <w:t>1周1次，确保仪器稳定运行</w:t>
            </w:r>
          </w:p>
        </w:tc>
        <w:tc>
          <w:tcPr>
            <w:tcW w:w="4972" w:type="dxa"/>
            <w:tcBorders>
              <w:top w:val="single" w:color="auto" w:sz="8" w:space="0"/>
              <w:left w:val="nil"/>
              <w:bottom w:val="single" w:color="auto" w:sz="8" w:space="0"/>
              <w:right w:val="single" w:color="auto" w:sz="8" w:space="0"/>
            </w:tcBorders>
            <w:noWrap w:val="0"/>
            <w:vAlign w:val="center"/>
          </w:tcPr>
          <w:p>
            <w:pPr>
              <w:tabs>
                <w:tab w:val="left" w:pos="360"/>
              </w:tabs>
              <w:rPr>
                <w:rFonts w:hint="eastAsia" w:ascii="仿宋" w:hAnsi="仿宋" w:eastAsia="仿宋" w:cs="仿宋"/>
                <w:sz w:val="32"/>
                <w:szCs w:val="32"/>
              </w:rPr>
            </w:pPr>
            <w:r>
              <w:rPr>
                <w:rFonts w:hint="eastAsia" w:ascii="仿宋" w:hAnsi="仿宋" w:eastAsia="仿宋" w:cs="仿宋"/>
                <w:sz w:val="32"/>
                <w:szCs w:val="32"/>
              </w:rPr>
              <w:t>1）查看仪器状态参数，观察超标自动采样浓度及采样量是否与设定相符。</w:t>
            </w:r>
          </w:p>
          <w:p>
            <w:pPr>
              <w:tabs>
                <w:tab w:val="left" w:pos="360"/>
              </w:tabs>
              <w:rPr>
                <w:rFonts w:hint="eastAsia" w:ascii="仿宋" w:hAnsi="仿宋" w:eastAsia="仿宋" w:cs="仿宋"/>
                <w:sz w:val="32"/>
                <w:szCs w:val="32"/>
              </w:rPr>
            </w:pPr>
            <w:r>
              <w:rPr>
                <w:rFonts w:hint="eastAsia" w:ascii="仿宋" w:hAnsi="仿宋" w:eastAsia="仿宋" w:cs="仿宋"/>
                <w:sz w:val="32"/>
                <w:szCs w:val="32"/>
              </w:rPr>
              <w:t>2）清洗采样瓶，保持采样瓶洁净。</w:t>
            </w:r>
          </w:p>
          <w:p>
            <w:pPr>
              <w:tabs>
                <w:tab w:val="left" w:pos="360"/>
              </w:tabs>
              <w:rPr>
                <w:rFonts w:hint="eastAsia" w:ascii="仿宋" w:hAnsi="仿宋" w:eastAsia="仿宋" w:cs="仿宋"/>
                <w:sz w:val="32"/>
                <w:szCs w:val="32"/>
              </w:rPr>
            </w:pPr>
            <w:r>
              <w:rPr>
                <w:rFonts w:hint="eastAsia" w:ascii="仿宋" w:hAnsi="仿宋" w:eastAsia="仿宋" w:cs="仿宋"/>
                <w:sz w:val="32"/>
                <w:szCs w:val="32"/>
              </w:rPr>
              <w:t>3）有采样瓶自动密封功能的采样器检查采样瓶的自动密封功能是否完好。</w:t>
            </w:r>
          </w:p>
          <w:p>
            <w:pPr>
              <w:tabs>
                <w:tab w:val="left" w:pos="360"/>
              </w:tabs>
              <w:rPr>
                <w:rFonts w:hint="eastAsia" w:ascii="仿宋" w:hAnsi="仿宋" w:eastAsia="仿宋" w:cs="仿宋"/>
                <w:sz w:val="32"/>
                <w:szCs w:val="32"/>
              </w:rPr>
            </w:pPr>
            <w:r>
              <w:rPr>
                <w:rFonts w:hint="eastAsia" w:ascii="仿宋" w:hAnsi="仿宋" w:eastAsia="仿宋" w:cs="仿宋"/>
                <w:sz w:val="32"/>
                <w:szCs w:val="32"/>
              </w:rPr>
              <w:t>4）有门禁功能的采样器的检查门禁功能是否完好。</w:t>
            </w:r>
          </w:p>
          <w:p>
            <w:pPr>
              <w:tabs>
                <w:tab w:val="left" w:pos="360"/>
              </w:tabs>
              <w:rPr>
                <w:rFonts w:hint="eastAsia" w:ascii="仿宋" w:hAnsi="仿宋" w:eastAsia="仿宋" w:cs="仿宋"/>
                <w:sz w:val="32"/>
                <w:szCs w:val="32"/>
              </w:rPr>
            </w:pPr>
            <w:r>
              <w:rPr>
                <w:rFonts w:hint="eastAsia" w:ascii="仿宋" w:hAnsi="仿宋" w:eastAsia="仿宋" w:cs="仿宋"/>
                <w:sz w:val="32"/>
                <w:szCs w:val="32"/>
              </w:rPr>
              <w:t>5）检查采样器冷藏装置功能是否完好。</w:t>
            </w:r>
          </w:p>
        </w:tc>
      </w:tr>
      <w:tr>
        <w:tblPrEx>
          <w:tblCellMar>
            <w:top w:w="0" w:type="dxa"/>
            <w:left w:w="108" w:type="dxa"/>
            <w:bottom w:w="0" w:type="dxa"/>
            <w:right w:w="108" w:type="dxa"/>
          </w:tblCellMar>
        </w:tblPrEx>
        <w:trPr>
          <w:jc w:val="center"/>
        </w:trPr>
        <w:tc>
          <w:tcPr>
            <w:tcW w:w="672" w:type="dxa"/>
            <w:tcBorders>
              <w:top w:val="single" w:color="auto" w:sz="8" w:space="0"/>
              <w:left w:val="single" w:color="auto" w:sz="8" w:space="0"/>
              <w:bottom w:val="single" w:color="auto" w:sz="4" w:space="0"/>
              <w:right w:val="single" w:color="auto" w:sz="8" w:space="0"/>
            </w:tcBorders>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22</w:t>
            </w:r>
          </w:p>
        </w:tc>
        <w:tc>
          <w:tcPr>
            <w:tcW w:w="1276" w:type="dxa"/>
            <w:tcBorders>
              <w:top w:val="single" w:color="auto" w:sz="8" w:space="0"/>
              <w:left w:val="nil"/>
              <w:bottom w:val="single" w:color="auto" w:sz="4" w:space="0"/>
              <w:right w:val="single" w:color="auto" w:sz="4" w:space="0"/>
            </w:tcBorders>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化学需氧量分析仪</w:t>
            </w:r>
          </w:p>
          <w:p>
            <w:pPr>
              <w:jc w:val="center"/>
              <w:rPr>
                <w:rFonts w:hint="eastAsia" w:ascii="仿宋" w:hAnsi="仿宋" w:eastAsia="仿宋" w:cs="仿宋"/>
                <w:sz w:val="32"/>
                <w:szCs w:val="32"/>
              </w:rPr>
            </w:pPr>
            <w:r>
              <w:rPr>
                <w:rFonts w:hint="eastAsia" w:ascii="仿宋" w:hAnsi="仿宋" w:eastAsia="仿宋" w:cs="仿宋"/>
                <w:sz w:val="32"/>
                <w:szCs w:val="32"/>
              </w:rPr>
              <w:t>（TOC）</w:t>
            </w:r>
          </w:p>
        </w:tc>
        <w:tc>
          <w:tcPr>
            <w:tcW w:w="1850" w:type="dxa"/>
            <w:vMerge w:val="restart"/>
            <w:tcBorders>
              <w:top w:val="single" w:color="auto" w:sz="8" w:space="0"/>
              <w:left w:val="nil"/>
              <w:bottom w:val="single" w:color="auto" w:sz="4" w:space="0"/>
              <w:right w:val="single" w:color="auto" w:sz="8" w:space="0"/>
            </w:tcBorders>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1周1次，确保监测仪器所需试剂充足，管路、阀门处于正常状态，仪器电极无沾污，运行稳定，比对数据合格</w:t>
            </w:r>
          </w:p>
        </w:tc>
        <w:tc>
          <w:tcPr>
            <w:tcW w:w="4972" w:type="dxa"/>
            <w:tcBorders>
              <w:top w:val="single" w:color="auto" w:sz="8" w:space="0"/>
              <w:left w:val="nil"/>
              <w:bottom w:val="single" w:color="auto" w:sz="4" w:space="0"/>
              <w:right w:val="single" w:color="auto" w:sz="8" w:space="0"/>
            </w:tcBorders>
            <w:noWrap w:val="0"/>
            <w:vAlign w:val="center"/>
          </w:tcPr>
          <w:p>
            <w:pPr>
              <w:rPr>
                <w:rFonts w:hint="eastAsia" w:ascii="仿宋" w:hAnsi="仿宋" w:eastAsia="仿宋" w:cs="仿宋"/>
                <w:sz w:val="32"/>
                <w:szCs w:val="32"/>
              </w:rPr>
            </w:pPr>
            <w:r>
              <w:rPr>
                <w:rFonts w:hint="eastAsia" w:ascii="仿宋" w:hAnsi="仿宋" w:eastAsia="仿宋" w:cs="仿宋"/>
                <w:sz w:val="32"/>
                <w:szCs w:val="32"/>
              </w:rPr>
              <w:t>1)对进样管路、反应室等进行清洁维护。</w:t>
            </w:r>
          </w:p>
          <w:p>
            <w:pPr>
              <w:ind w:left="210" w:hanging="320" w:hangingChars="100"/>
              <w:rPr>
                <w:rFonts w:hint="eastAsia" w:ascii="仿宋" w:hAnsi="仿宋" w:eastAsia="仿宋" w:cs="仿宋"/>
                <w:sz w:val="32"/>
                <w:szCs w:val="32"/>
              </w:rPr>
            </w:pPr>
            <w:r>
              <w:rPr>
                <w:rFonts w:hint="eastAsia" w:ascii="仿宋" w:hAnsi="仿宋" w:eastAsia="仿宋" w:cs="仿宋"/>
                <w:sz w:val="32"/>
                <w:szCs w:val="32"/>
              </w:rPr>
              <w:t>2)经常检查氮气钢瓶气压，气压不足应及时更换；检查氮气钢瓶连接处、CO2吸收瓶等处的氮气气路。</w:t>
            </w:r>
          </w:p>
          <w:p>
            <w:pPr>
              <w:ind w:left="210" w:hanging="320" w:hangingChars="100"/>
              <w:rPr>
                <w:rFonts w:hint="eastAsia" w:ascii="仿宋" w:hAnsi="仿宋" w:eastAsia="仿宋" w:cs="仿宋"/>
                <w:sz w:val="32"/>
                <w:szCs w:val="32"/>
              </w:rPr>
            </w:pPr>
            <w:r>
              <w:rPr>
                <w:rFonts w:hint="eastAsia" w:ascii="仿宋" w:hAnsi="仿宋" w:eastAsia="仿宋" w:cs="仿宋"/>
                <w:sz w:val="32"/>
                <w:szCs w:val="32"/>
              </w:rPr>
              <w:t>3)更换或补充盐酸溶液、稀释用水和标准液，按时更换CO2吸收器。</w:t>
            </w:r>
          </w:p>
          <w:p>
            <w:pPr>
              <w:ind w:left="210" w:hanging="320" w:hangingChars="100"/>
              <w:rPr>
                <w:rFonts w:hint="eastAsia" w:ascii="仿宋" w:hAnsi="仿宋" w:eastAsia="仿宋" w:cs="仿宋"/>
                <w:sz w:val="32"/>
                <w:szCs w:val="32"/>
              </w:rPr>
            </w:pPr>
            <w:r>
              <w:rPr>
                <w:rFonts w:hint="eastAsia" w:ascii="仿宋" w:hAnsi="仿宋" w:eastAsia="仿宋" w:cs="仿宋"/>
                <w:sz w:val="32"/>
                <w:szCs w:val="32"/>
              </w:rPr>
              <w:t>4)检查加湿器、冷凝水容器、卤素洗涤器等的水位，及时添加蒸馏水。</w:t>
            </w:r>
          </w:p>
          <w:p>
            <w:pPr>
              <w:ind w:left="210" w:hanging="320" w:hangingChars="100"/>
              <w:rPr>
                <w:rFonts w:hint="eastAsia" w:ascii="仿宋" w:hAnsi="仿宋" w:eastAsia="仿宋" w:cs="仿宋"/>
                <w:sz w:val="32"/>
                <w:szCs w:val="32"/>
              </w:rPr>
            </w:pPr>
            <w:r>
              <w:rPr>
                <w:rFonts w:hint="eastAsia" w:ascii="仿宋" w:hAnsi="仿宋" w:eastAsia="仿宋" w:cs="仿宋"/>
                <w:sz w:val="32"/>
                <w:szCs w:val="32"/>
              </w:rPr>
              <w:t>5)检查TOC内部校准曲线，每月一次，对不符合的曲线应及时更换。</w:t>
            </w:r>
          </w:p>
          <w:p>
            <w:pPr>
              <w:rPr>
                <w:rFonts w:hint="eastAsia" w:ascii="仿宋" w:hAnsi="仿宋" w:eastAsia="仿宋" w:cs="仿宋"/>
                <w:sz w:val="32"/>
                <w:szCs w:val="32"/>
              </w:rPr>
            </w:pPr>
            <w:r>
              <w:rPr>
                <w:rFonts w:hint="eastAsia" w:ascii="仿宋" w:hAnsi="仿宋" w:eastAsia="仿宋" w:cs="仿宋"/>
                <w:sz w:val="32"/>
                <w:szCs w:val="32"/>
              </w:rPr>
              <w:t>6）按照说明书定期更换耗材。</w:t>
            </w:r>
          </w:p>
        </w:tc>
      </w:tr>
      <w:tr>
        <w:tblPrEx>
          <w:tblCellMar>
            <w:top w:w="0" w:type="dxa"/>
            <w:left w:w="108" w:type="dxa"/>
            <w:bottom w:w="0" w:type="dxa"/>
            <w:right w:w="108" w:type="dxa"/>
          </w:tblCellMar>
        </w:tblPrEx>
        <w:trPr>
          <w:jc w:val="center"/>
        </w:trPr>
        <w:tc>
          <w:tcPr>
            <w:tcW w:w="672" w:type="dxa"/>
            <w:tcBorders>
              <w:top w:val="single" w:color="auto" w:sz="4" w:space="0"/>
              <w:left w:val="single" w:color="auto" w:sz="8" w:space="0"/>
              <w:bottom w:val="single" w:color="auto" w:sz="4" w:space="0"/>
              <w:right w:val="single" w:color="auto" w:sz="8" w:space="0"/>
            </w:tcBorders>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23</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化学需氧量分析仪</w:t>
            </w:r>
          </w:p>
          <w:p>
            <w:pPr>
              <w:jc w:val="center"/>
              <w:rPr>
                <w:rFonts w:hint="eastAsia" w:ascii="仿宋" w:hAnsi="仿宋" w:eastAsia="仿宋" w:cs="仿宋"/>
                <w:sz w:val="32"/>
                <w:szCs w:val="32"/>
              </w:rPr>
            </w:pPr>
            <w:r>
              <w:rPr>
                <w:rFonts w:hint="eastAsia" w:ascii="仿宋" w:hAnsi="仿宋" w:eastAsia="仿宋" w:cs="仿宋"/>
                <w:sz w:val="32"/>
                <w:szCs w:val="32"/>
              </w:rPr>
              <w:t>（CODcr）</w:t>
            </w:r>
          </w:p>
        </w:tc>
        <w:tc>
          <w:tcPr>
            <w:tcW w:w="1850" w:type="dxa"/>
            <w:vMerge w:val="continue"/>
            <w:tcBorders>
              <w:top w:val="single" w:color="auto" w:sz="4" w:space="0"/>
              <w:left w:val="nil"/>
              <w:bottom w:val="single" w:color="auto" w:sz="4" w:space="0"/>
              <w:right w:val="single" w:color="auto" w:sz="8" w:space="0"/>
            </w:tcBorders>
            <w:noWrap w:val="0"/>
            <w:vAlign w:val="center"/>
          </w:tcPr>
          <w:p>
            <w:pPr>
              <w:jc w:val="center"/>
              <w:rPr>
                <w:rFonts w:hint="eastAsia" w:ascii="仿宋" w:hAnsi="仿宋" w:eastAsia="仿宋" w:cs="仿宋"/>
                <w:sz w:val="32"/>
                <w:szCs w:val="32"/>
              </w:rPr>
            </w:pPr>
          </w:p>
        </w:tc>
        <w:tc>
          <w:tcPr>
            <w:tcW w:w="4972" w:type="dxa"/>
            <w:tcBorders>
              <w:top w:val="single" w:color="auto" w:sz="4" w:space="0"/>
              <w:left w:val="nil"/>
              <w:bottom w:val="single" w:color="auto" w:sz="4" w:space="0"/>
              <w:right w:val="single" w:color="auto" w:sz="8" w:space="0"/>
            </w:tcBorders>
            <w:noWrap w:val="0"/>
            <w:vAlign w:val="center"/>
          </w:tcPr>
          <w:p>
            <w:pPr>
              <w:numPr>
                <w:ilvl w:val="0"/>
                <w:numId w:val="17"/>
              </w:numPr>
              <w:rPr>
                <w:rFonts w:hint="eastAsia" w:ascii="仿宋" w:hAnsi="仿宋" w:eastAsia="仿宋" w:cs="仿宋"/>
                <w:sz w:val="32"/>
                <w:szCs w:val="32"/>
              </w:rPr>
            </w:pPr>
            <w:r>
              <w:rPr>
                <w:rFonts w:hint="eastAsia" w:ascii="仿宋" w:hAnsi="仿宋" w:eastAsia="仿宋" w:cs="仿宋"/>
                <w:sz w:val="32"/>
                <w:szCs w:val="32"/>
              </w:rPr>
              <w:t>根据消解池加热功能是否正常。</w:t>
            </w:r>
          </w:p>
          <w:p>
            <w:pPr>
              <w:numPr>
                <w:ilvl w:val="0"/>
                <w:numId w:val="17"/>
              </w:numPr>
              <w:rPr>
                <w:rFonts w:hint="eastAsia" w:ascii="仿宋" w:hAnsi="仿宋" w:eastAsia="仿宋" w:cs="仿宋"/>
                <w:sz w:val="32"/>
                <w:szCs w:val="32"/>
              </w:rPr>
            </w:pPr>
            <w:r>
              <w:rPr>
                <w:rFonts w:hint="eastAsia" w:ascii="仿宋" w:hAnsi="仿宋" w:eastAsia="仿宋" w:cs="仿宋"/>
                <w:sz w:val="32"/>
                <w:szCs w:val="32"/>
              </w:rPr>
              <w:t>检查反应槽是否清洁。</w:t>
            </w:r>
          </w:p>
          <w:p>
            <w:pPr>
              <w:numPr>
                <w:ilvl w:val="0"/>
                <w:numId w:val="17"/>
              </w:numPr>
              <w:rPr>
                <w:rFonts w:hint="eastAsia" w:ascii="仿宋" w:hAnsi="仿宋" w:eastAsia="仿宋" w:cs="仿宋"/>
                <w:sz w:val="32"/>
                <w:szCs w:val="32"/>
              </w:rPr>
            </w:pPr>
            <w:r>
              <w:rPr>
                <w:rFonts w:hint="eastAsia" w:ascii="仿宋" w:hAnsi="仿宋" w:eastAsia="仿宋" w:cs="仿宋"/>
                <w:sz w:val="32"/>
                <w:szCs w:val="32"/>
              </w:rPr>
              <w:t>检查泵阀是否有漏液或腐蚀情况。</w:t>
            </w:r>
          </w:p>
          <w:p>
            <w:pPr>
              <w:numPr>
                <w:ilvl w:val="0"/>
                <w:numId w:val="17"/>
              </w:numPr>
              <w:rPr>
                <w:rFonts w:hint="eastAsia" w:ascii="仿宋" w:hAnsi="仿宋" w:eastAsia="仿宋" w:cs="仿宋"/>
                <w:sz w:val="32"/>
                <w:szCs w:val="32"/>
              </w:rPr>
            </w:pPr>
            <w:r>
              <w:rPr>
                <w:rFonts w:hint="eastAsia" w:ascii="仿宋" w:hAnsi="仿宋" w:eastAsia="仿宋" w:cs="仿宋"/>
                <w:sz w:val="32"/>
                <w:szCs w:val="32"/>
              </w:rPr>
              <w:t>定期（每月）对仪器进行校正，并做好记录。</w:t>
            </w:r>
          </w:p>
          <w:p>
            <w:pPr>
              <w:numPr>
                <w:ilvl w:val="0"/>
                <w:numId w:val="17"/>
              </w:numPr>
              <w:rPr>
                <w:rFonts w:hint="eastAsia" w:ascii="仿宋" w:hAnsi="仿宋" w:eastAsia="仿宋" w:cs="仿宋"/>
                <w:sz w:val="32"/>
                <w:szCs w:val="32"/>
              </w:rPr>
            </w:pPr>
            <w:r>
              <w:rPr>
                <w:rFonts w:hint="eastAsia" w:ascii="仿宋" w:hAnsi="仿宋" w:eastAsia="仿宋" w:cs="仿宋"/>
                <w:sz w:val="32"/>
                <w:szCs w:val="32"/>
              </w:rPr>
              <w:t>定期收集废液。</w:t>
            </w:r>
          </w:p>
        </w:tc>
      </w:tr>
      <w:tr>
        <w:tblPrEx>
          <w:tblCellMar>
            <w:top w:w="0" w:type="dxa"/>
            <w:left w:w="108" w:type="dxa"/>
            <w:bottom w:w="0" w:type="dxa"/>
            <w:right w:w="108" w:type="dxa"/>
          </w:tblCellMar>
        </w:tblPrEx>
        <w:trPr>
          <w:jc w:val="center"/>
        </w:trPr>
        <w:tc>
          <w:tcPr>
            <w:tcW w:w="672" w:type="dxa"/>
            <w:tcBorders>
              <w:top w:val="single" w:color="auto" w:sz="4" w:space="0"/>
              <w:left w:val="single" w:color="auto" w:sz="8" w:space="0"/>
              <w:bottom w:val="single" w:color="auto" w:sz="4" w:space="0"/>
              <w:right w:val="single" w:color="auto" w:sz="8" w:space="0"/>
            </w:tcBorders>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24</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氨氮分析仪</w:t>
            </w:r>
          </w:p>
        </w:tc>
        <w:tc>
          <w:tcPr>
            <w:tcW w:w="1850" w:type="dxa"/>
            <w:vMerge w:val="continue"/>
            <w:tcBorders>
              <w:top w:val="single" w:color="auto" w:sz="4" w:space="0"/>
              <w:left w:val="nil"/>
              <w:bottom w:val="single" w:color="auto" w:sz="4" w:space="0"/>
              <w:right w:val="single" w:color="auto" w:sz="8" w:space="0"/>
            </w:tcBorders>
            <w:noWrap w:val="0"/>
            <w:vAlign w:val="center"/>
          </w:tcPr>
          <w:p>
            <w:pPr>
              <w:widowControl/>
              <w:jc w:val="left"/>
              <w:rPr>
                <w:rFonts w:hint="eastAsia" w:ascii="仿宋" w:hAnsi="仿宋" w:eastAsia="仿宋" w:cs="仿宋"/>
                <w:sz w:val="32"/>
                <w:szCs w:val="32"/>
              </w:rPr>
            </w:pPr>
          </w:p>
        </w:tc>
        <w:tc>
          <w:tcPr>
            <w:tcW w:w="4972" w:type="dxa"/>
            <w:tcBorders>
              <w:top w:val="single" w:color="auto" w:sz="4" w:space="0"/>
              <w:left w:val="nil"/>
              <w:bottom w:val="single" w:color="auto" w:sz="4" w:space="0"/>
              <w:right w:val="single" w:color="auto" w:sz="8" w:space="0"/>
            </w:tcBorders>
            <w:noWrap w:val="0"/>
            <w:vAlign w:val="center"/>
          </w:tcPr>
          <w:p>
            <w:pPr>
              <w:jc w:val="left"/>
              <w:rPr>
                <w:rFonts w:hint="eastAsia" w:ascii="仿宋" w:hAnsi="仿宋" w:eastAsia="仿宋" w:cs="仿宋"/>
                <w:sz w:val="32"/>
                <w:szCs w:val="32"/>
              </w:rPr>
            </w:pPr>
            <w:r>
              <w:rPr>
                <w:rFonts w:hint="eastAsia" w:ascii="仿宋" w:hAnsi="仿宋" w:eastAsia="仿宋" w:cs="仿宋"/>
                <w:sz w:val="32"/>
                <w:szCs w:val="32"/>
              </w:rPr>
              <w:t>1）查看仪器校正结果和记录，保养电极、检查电极槽、清洗电极膜。</w:t>
            </w:r>
          </w:p>
          <w:p>
            <w:pPr>
              <w:jc w:val="left"/>
              <w:rPr>
                <w:rFonts w:hint="eastAsia" w:ascii="仿宋" w:hAnsi="仿宋" w:eastAsia="仿宋" w:cs="仿宋"/>
                <w:sz w:val="32"/>
                <w:szCs w:val="32"/>
              </w:rPr>
            </w:pPr>
            <w:r>
              <w:rPr>
                <w:rFonts w:hint="eastAsia" w:ascii="仿宋" w:hAnsi="仿宋" w:eastAsia="仿宋" w:cs="仿宋"/>
                <w:sz w:val="32"/>
                <w:szCs w:val="32"/>
              </w:rPr>
              <w:t>2）每周检查管路，检查标液、清洗液和反应液液位、试剂是否变质，及时更换或填充试剂。</w:t>
            </w:r>
          </w:p>
          <w:p>
            <w:pPr>
              <w:jc w:val="left"/>
              <w:rPr>
                <w:rFonts w:hint="eastAsia" w:ascii="仿宋" w:hAnsi="仿宋" w:eastAsia="仿宋" w:cs="仿宋"/>
                <w:bCs/>
                <w:sz w:val="32"/>
                <w:szCs w:val="32"/>
              </w:rPr>
            </w:pPr>
            <w:r>
              <w:rPr>
                <w:rFonts w:hint="eastAsia" w:ascii="仿宋" w:hAnsi="仿宋" w:eastAsia="仿宋" w:cs="仿宋"/>
                <w:sz w:val="32"/>
                <w:szCs w:val="32"/>
              </w:rPr>
              <w:t>3）调节、清洗或更换蠕动泵管。</w:t>
            </w:r>
          </w:p>
          <w:p>
            <w:pPr>
              <w:jc w:val="left"/>
              <w:rPr>
                <w:rFonts w:hint="eastAsia" w:ascii="仿宋" w:hAnsi="仿宋" w:eastAsia="仿宋" w:cs="仿宋"/>
                <w:sz w:val="32"/>
                <w:szCs w:val="32"/>
              </w:rPr>
            </w:pPr>
            <w:r>
              <w:rPr>
                <w:rFonts w:hint="eastAsia" w:ascii="仿宋" w:hAnsi="仿宋" w:eastAsia="仿宋" w:cs="仿宋"/>
                <w:sz w:val="32"/>
                <w:szCs w:val="32"/>
              </w:rPr>
              <w:t>4）按照说明书定期更换耗材。</w:t>
            </w:r>
          </w:p>
        </w:tc>
      </w:tr>
      <w:tr>
        <w:tblPrEx>
          <w:tblCellMar>
            <w:top w:w="0" w:type="dxa"/>
            <w:left w:w="108" w:type="dxa"/>
            <w:bottom w:w="0" w:type="dxa"/>
            <w:right w:w="108" w:type="dxa"/>
          </w:tblCellMar>
        </w:tblPrEx>
        <w:trPr>
          <w:jc w:val="center"/>
        </w:trPr>
        <w:tc>
          <w:tcPr>
            <w:tcW w:w="672" w:type="dxa"/>
            <w:tcBorders>
              <w:top w:val="single" w:color="auto" w:sz="4" w:space="0"/>
              <w:left w:val="single" w:color="auto" w:sz="8" w:space="0"/>
              <w:bottom w:val="single" w:color="auto" w:sz="4" w:space="0"/>
              <w:right w:val="single" w:color="auto" w:sz="8" w:space="0"/>
            </w:tcBorders>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25</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总磷总氮分析仪</w:t>
            </w:r>
          </w:p>
        </w:tc>
        <w:tc>
          <w:tcPr>
            <w:tcW w:w="1850" w:type="dxa"/>
            <w:vMerge w:val="continue"/>
            <w:tcBorders>
              <w:top w:val="single" w:color="auto" w:sz="4" w:space="0"/>
              <w:left w:val="nil"/>
              <w:bottom w:val="single" w:color="auto" w:sz="4" w:space="0"/>
              <w:right w:val="single" w:color="auto" w:sz="8" w:space="0"/>
            </w:tcBorders>
            <w:noWrap w:val="0"/>
            <w:vAlign w:val="center"/>
          </w:tcPr>
          <w:p>
            <w:pPr>
              <w:widowControl/>
              <w:jc w:val="left"/>
              <w:rPr>
                <w:rFonts w:hint="eastAsia" w:ascii="仿宋" w:hAnsi="仿宋" w:eastAsia="仿宋" w:cs="仿宋"/>
                <w:sz w:val="32"/>
                <w:szCs w:val="32"/>
              </w:rPr>
            </w:pPr>
          </w:p>
        </w:tc>
        <w:tc>
          <w:tcPr>
            <w:tcW w:w="4972" w:type="dxa"/>
            <w:tcBorders>
              <w:top w:val="single" w:color="auto" w:sz="4" w:space="0"/>
              <w:left w:val="nil"/>
              <w:bottom w:val="single" w:color="auto" w:sz="4" w:space="0"/>
              <w:right w:val="single" w:color="auto" w:sz="8" w:space="0"/>
            </w:tcBorders>
            <w:noWrap w:val="0"/>
            <w:vAlign w:val="center"/>
          </w:tcPr>
          <w:p>
            <w:pPr>
              <w:ind w:left="210" w:hanging="320" w:hangingChars="100"/>
              <w:rPr>
                <w:rFonts w:hint="eastAsia" w:ascii="仿宋" w:hAnsi="仿宋" w:eastAsia="仿宋" w:cs="仿宋"/>
                <w:sz w:val="32"/>
                <w:szCs w:val="32"/>
              </w:rPr>
            </w:pPr>
            <w:r>
              <w:rPr>
                <w:rFonts w:hint="eastAsia" w:ascii="仿宋" w:hAnsi="仿宋" w:eastAsia="仿宋" w:cs="仿宋"/>
                <w:sz w:val="32"/>
                <w:szCs w:val="32"/>
              </w:rPr>
              <w:t>1)根据水质情况对测量杯、进样管路和八通阀进行清洁维护。</w:t>
            </w:r>
          </w:p>
          <w:p>
            <w:pPr>
              <w:ind w:left="210" w:hanging="320" w:hangingChars="100"/>
              <w:rPr>
                <w:rFonts w:hint="eastAsia" w:ascii="仿宋" w:hAnsi="仿宋" w:eastAsia="仿宋" w:cs="仿宋"/>
                <w:sz w:val="32"/>
                <w:szCs w:val="32"/>
              </w:rPr>
            </w:pPr>
            <w:r>
              <w:rPr>
                <w:rFonts w:hint="eastAsia" w:ascii="仿宋" w:hAnsi="仿宋" w:eastAsia="仿宋" w:cs="仿宋"/>
                <w:sz w:val="32"/>
                <w:szCs w:val="32"/>
              </w:rPr>
              <w:t>2)定期（每月）对仪器进行量程校正，并做好记录。</w:t>
            </w:r>
          </w:p>
          <w:p>
            <w:pPr>
              <w:ind w:left="210" w:hanging="320" w:hangingChars="100"/>
              <w:rPr>
                <w:rFonts w:hint="eastAsia" w:ascii="仿宋" w:hAnsi="仿宋" w:eastAsia="仿宋" w:cs="仿宋"/>
                <w:sz w:val="32"/>
                <w:szCs w:val="32"/>
              </w:rPr>
            </w:pPr>
            <w:r>
              <w:rPr>
                <w:rFonts w:hint="eastAsia" w:ascii="仿宋" w:hAnsi="仿宋" w:eastAsia="仿宋" w:cs="仿宋"/>
                <w:sz w:val="32"/>
                <w:szCs w:val="32"/>
              </w:rPr>
              <w:t>3)按照要求定期更换钼酸、过硫酸钾试剂和混合标液，观察氢氧化钠、盐酸、硫酸、超纯水等剩余量并注意更换，每两周更换1次抗坏血酸（发现变色需随时更换），定期更换进样注射器柱塞头、八通阀转子和蠕动泵等易损易耗备品备件。</w:t>
            </w:r>
          </w:p>
          <w:p>
            <w:pPr>
              <w:ind w:left="210" w:hanging="320" w:hangingChars="100"/>
              <w:rPr>
                <w:rFonts w:hint="eastAsia" w:ascii="仿宋" w:hAnsi="仿宋" w:eastAsia="仿宋" w:cs="仿宋"/>
                <w:sz w:val="32"/>
                <w:szCs w:val="32"/>
              </w:rPr>
            </w:pPr>
            <w:r>
              <w:rPr>
                <w:rFonts w:hint="eastAsia" w:ascii="仿宋" w:hAnsi="仿宋" w:eastAsia="仿宋" w:cs="仿宋"/>
                <w:sz w:val="32"/>
                <w:szCs w:val="32"/>
              </w:rPr>
              <w:t>4)量程校正时注意校正曲线“零点”数据，如明显偏高应查找试剂和清洗水纯度等。</w:t>
            </w:r>
          </w:p>
          <w:p>
            <w:pPr>
              <w:ind w:left="210" w:hanging="320" w:hangingChars="100"/>
              <w:rPr>
                <w:rFonts w:hint="eastAsia" w:ascii="仿宋" w:hAnsi="仿宋" w:eastAsia="仿宋" w:cs="仿宋"/>
                <w:sz w:val="32"/>
                <w:szCs w:val="32"/>
              </w:rPr>
            </w:pPr>
            <w:r>
              <w:rPr>
                <w:rFonts w:hint="eastAsia" w:ascii="仿宋" w:hAnsi="仿宋" w:eastAsia="仿宋" w:cs="仿宋"/>
                <w:sz w:val="32"/>
                <w:szCs w:val="32"/>
              </w:rPr>
              <w:t>5)每次巡检时注意仪器面板应显示为在线遥控状态。</w:t>
            </w:r>
          </w:p>
          <w:p>
            <w:pPr>
              <w:rPr>
                <w:rFonts w:hint="eastAsia" w:ascii="仿宋" w:hAnsi="仿宋" w:eastAsia="仿宋" w:cs="仿宋"/>
                <w:sz w:val="32"/>
                <w:szCs w:val="32"/>
              </w:rPr>
            </w:pPr>
            <w:r>
              <w:rPr>
                <w:rFonts w:hint="eastAsia" w:ascii="仿宋" w:hAnsi="仿宋" w:eastAsia="仿宋" w:cs="仿宋"/>
                <w:sz w:val="32"/>
                <w:szCs w:val="32"/>
              </w:rPr>
              <w:t>6)注意检查、更换打印纸。</w:t>
            </w:r>
          </w:p>
          <w:p>
            <w:pPr>
              <w:rPr>
                <w:rFonts w:hint="eastAsia" w:ascii="仿宋" w:hAnsi="仿宋" w:eastAsia="仿宋" w:cs="仿宋"/>
                <w:sz w:val="32"/>
                <w:szCs w:val="32"/>
              </w:rPr>
            </w:pPr>
            <w:r>
              <w:rPr>
                <w:rFonts w:hint="eastAsia" w:ascii="仿宋" w:hAnsi="仿宋" w:eastAsia="仿宋" w:cs="仿宋"/>
                <w:sz w:val="32"/>
                <w:szCs w:val="32"/>
              </w:rPr>
              <w:t>7）按照说明书定期更换耗材</w:t>
            </w:r>
          </w:p>
        </w:tc>
      </w:tr>
      <w:tr>
        <w:tblPrEx>
          <w:tblCellMar>
            <w:top w:w="0" w:type="dxa"/>
            <w:left w:w="108" w:type="dxa"/>
            <w:bottom w:w="0" w:type="dxa"/>
            <w:right w:w="108" w:type="dxa"/>
          </w:tblCellMar>
        </w:tblPrEx>
        <w:trPr>
          <w:jc w:val="center"/>
        </w:trPr>
        <w:tc>
          <w:tcPr>
            <w:tcW w:w="672" w:type="dxa"/>
            <w:tcBorders>
              <w:top w:val="single" w:color="auto" w:sz="4" w:space="0"/>
              <w:left w:val="single" w:color="auto" w:sz="8" w:space="0"/>
              <w:bottom w:val="single" w:color="auto" w:sz="4" w:space="0"/>
              <w:right w:val="single" w:color="auto" w:sz="8" w:space="0"/>
            </w:tcBorders>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26</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五参数分析仪</w:t>
            </w:r>
          </w:p>
        </w:tc>
        <w:tc>
          <w:tcPr>
            <w:tcW w:w="1850" w:type="dxa"/>
            <w:vMerge w:val="continue"/>
            <w:tcBorders>
              <w:top w:val="single" w:color="auto" w:sz="4" w:space="0"/>
              <w:left w:val="nil"/>
              <w:bottom w:val="single" w:color="auto" w:sz="4" w:space="0"/>
              <w:right w:val="single" w:color="auto" w:sz="8" w:space="0"/>
            </w:tcBorders>
            <w:noWrap w:val="0"/>
            <w:vAlign w:val="center"/>
          </w:tcPr>
          <w:p>
            <w:pPr>
              <w:widowControl/>
              <w:jc w:val="left"/>
              <w:rPr>
                <w:rFonts w:hint="eastAsia" w:ascii="仿宋" w:hAnsi="仿宋" w:eastAsia="仿宋" w:cs="仿宋"/>
                <w:sz w:val="32"/>
                <w:szCs w:val="32"/>
              </w:rPr>
            </w:pPr>
          </w:p>
        </w:tc>
        <w:tc>
          <w:tcPr>
            <w:tcW w:w="4972" w:type="dxa"/>
            <w:tcBorders>
              <w:top w:val="single" w:color="auto" w:sz="4" w:space="0"/>
              <w:left w:val="nil"/>
              <w:bottom w:val="single" w:color="auto" w:sz="4" w:space="0"/>
              <w:right w:val="single" w:color="auto" w:sz="8" w:space="0"/>
            </w:tcBorders>
            <w:noWrap w:val="0"/>
            <w:vAlign w:val="center"/>
          </w:tcPr>
          <w:p>
            <w:pPr>
              <w:rPr>
                <w:rFonts w:hint="eastAsia" w:ascii="仿宋" w:hAnsi="仿宋" w:eastAsia="仿宋" w:cs="仿宋"/>
                <w:sz w:val="32"/>
                <w:szCs w:val="32"/>
              </w:rPr>
            </w:pPr>
            <w:r>
              <w:rPr>
                <w:rFonts w:hint="eastAsia" w:ascii="仿宋" w:hAnsi="仿宋" w:eastAsia="仿宋" w:cs="仿宋"/>
                <w:sz w:val="32"/>
                <w:szCs w:val="32"/>
              </w:rPr>
              <w:t>1）清洗五参数电极，视水质情况而定，每周至少1次；</w:t>
            </w:r>
          </w:p>
          <w:p>
            <w:pPr>
              <w:rPr>
                <w:rFonts w:hint="eastAsia" w:ascii="仿宋" w:hAnsi="仿宋" w:eastAsia="仿宋" w:cs="仿宋"/>
                <w:sz w:val="32"/>
                <w:szCs w:val="32"/>
              </w:rPr>
            </w:pPr>
            <w:r>
              <w:rPr>
                <w:rFonts w:hint="eastAsia" w:ascii="仿宋" w:hAnsi="仿宋" w:eastAsia="仿宋" w:cs="仿宋"/>
                <w:sz w:val="32"/>
                <w:szCs w:val="32"/>
              </w:rPr>
              <w:t>2）用化学法清洗电导率和浊度探头，每月1次；</w:t>
            </w:r>
          </w:p>
          <w:p>
            <w:pPr>
              <w:rPr>
                <w:rFonts w:hint="eastAsia" w:ascii="仿宋" w:hAnsi="仿宋" w:eastAsia="仿宋" w:cs="仿宋"/>
                <w:sz w:val="32"/>
                <w:szCs w:val="32"/>
              </w:rPr>
            </w:pPr>
            <w:r>
              <w:rPr>
                <w:rFonts w:hint="eastAsia" w:ascii="仿宋" w:hAnsi="仿宋" w:eastAsia="仿宋" w:cs="仿宋"/>
                <w:sz w:val="32"/>
                <w:szCs w:val="32"/>
              </w:rPr>
              <w:t>3）校正pH和溶解氧电极，每月至少1次。停机后复机，应重新校准。</w:t>
            </w:r>
          </w:p>
          <w:p>
            <w:pPr>
              <w:rPr>
                <w:rFonts w:hint="eastAsia" w:ascii="仿宋" w:hAnsi="仿宋" w:eastAsia="仿宋" w:cs="仿宋"/>
                <w:sz w:val="32"/>
                <w:szCs w:val="32"/>
              </w:rPr>
            </w:pPr>
            <w:r>
              <w:rPr>
                <w:rFonts w:hint="eastAsia" w:ascii="仿宋" w:hAnsi="仿宋" w:eastAsia="仿宋" w:cs="仿宋"/>
                <w:sz w:val="32"/>
                <w:szCs w:val="32"/>
              </w:rPr>
              <w:t>4）按照说明书定期更换耗材</w:t>
            </w:r>
          </w:p>
        </w:tc>
      </w:tr>
      <w:tr>
        <w:tblPrEx>
          <w:tblCellMar>
            <w:top w:w="0" w:type="dxa"/>
            <w:left w:w="108" w:type="dxa"/>
            <w:bottom w:w="0" w:type="dxa"/>
            <w:right w:w="108" w:type="dxa"/>
          </w:tblCellMar>
        </w:tblPrEx>
        <w:trPr>
          <w:jc w:val="center"/>
        </w:trPr>
        <w:tc>
          <w:tcPr>
            <w:tcW w:w="672" w:type="dxa"/>
            <w:tcBorders>
              <w:top w:val="single" w:color="auto" w:sz="4" w:space="0"/>
              <w:left w:val="single" w:color="auto" w:sz="8" w:space="0"/>
              <w:bottom w:val="single" w:color="auto" w:sz="8" w:space="0"/>
              <w:right w:val="single" w:color="auto" w:sz="8" w:space="0"/>
            </w:tcBorders>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27</w:t>
            </w:r>
          </w:p>
        </w:tc>
        <w:tc>
          <w:tcPr>
            <w:tcW w:w="1276" w:type="dxa"/>
            <w:tcBorders>
              <w:top w:val="single" w:color="auto" w:sz="4" w:space="0"/>
              <w:left w:val="nil"/>
              <w:bottom w:val="single" w:color="auto" w:sz="8" w:space="0"/>
              <w:right w:val="single" w:color="auto" w:sz="4" w:space="0"/>
            </w:tcBorders>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高锰酸盐指数</w:t>
            </w:r>
          </w:p>
        </w:tc>
        <w:tc>
          <w:tcPr>
            <w:tcW w:w="1850" w:type="dxa"/>
            <w:tcBorders>
              <w:top w:val="single" w:color="auto" w:sz="4" w:space="0"/>
              <w:left w:val="nil"/>
              <w:bottom w:val="single" w:color="auto" w:sz="4" w:space="0"/>
              <w:right w:val="single" w:color="auto" w:sz="8" w:space="0"/>
            </w:tcBorders>
            <w:noWrap w:val="0"/>
            <w:vAlign w:val="center"/>
          </w:tcPr>
          <w:p>
            <w:pPr>
              <w:widowControl/>
              <w:jc w:val="left"/>
              <w:rPr>
                <w:rFonts w:hint="eastAsia" w:ascii="仿宋" w:hAnsi="仿宋" w:eastAsia="仿宋" w:cs="仿宋"/>
                <w:sz w:val="32"/>
                <w:szCs w:val="32"/>
              </w:rPr>
            </w:pPr>
          </w:p>
        </w:tc>
        <w:tc>
          <w:tcPr>
            <w:tcW w:w="4972" w:type="dxa"/>
            <w:tcBorders>
              <w:top w:val="single" w:color="auto" w:sz="4" w:space="0"/>
              <w:left w:val="nil"/>
              <w:bottom w:val="single" w:color="auto" w:sz="8" w:space="0"/>
              <w:right w:val="single" w:color="auto" w:sz="8" w:space="0"/>
            </w:tcBorders>
            <w:noWrap w:val="0"/>
            <w:vAlign w:val="center"/>
          </w:tcPr>
          <w:p>
            <w:pPr>
              <w:numPr>
                <w:ilvl w:val="0"/>
                <w:numId w:val="18"/>
              </w:numPr>
              <w:rPr>
                <w:rFonts w:hint="eastAsia" w:ascii="仿宋" w:hAnsi="仿宋" w:eastAsia="仿宋" w:cs="仿宋"/>
                <w:sz w:val="32"/>
                <w:szCs w:val="32"/>
              </w:rPr>
            </w:pPr>
            <w:r>
              <w:rPr>
                <w:rFonts w:hint="eastAsia" w:ascii="仿宋" w:hAnsi="仿宋" w:eastAsia="仿宋" w:cs="仿宋"/>
                <w:sz w:val="32"/>
                <w:szCs w:val="32"/>
              </w:rPr>
              <w:t>检查反应槽是否清洁并定期清洗。</w:t>
            </w:r>
          </w:p>
          <w:p>
            <w:pPr>
              <w:numPr>
                <w:ilvl w:val="0"/>
                <w:numId w:val="18"/>
              </w:numPr>
              <w:rPr>
                <w:rFonts w:hint="eastAsia" w:ascii="仿宋" w:hAnsi="仿宋" w:eastAsia="仿宋" w:cs="仿宋"/>
                <w:sz w:val="32"/>
                <w:szCs w:val="32"/>
              </w:rPr>
            </w:pPr>
            <w:r>
              <w:rPr>
                <w:rFonts w:hint="eastAsia" w:ascii="仿宋" w:hAnsi="仿宋" w:eastAsia="仿宋" w:cs="仿宋"/>
                <w:sz w:val="32"/>
                <w:szCs w:val="32"/>
              </w:rPr>
              <w:t>检查进样装置是否有漏液、漏气现象。</w:t>
            </w:r>
          </w:p>
          <w:p>
            <w:pPr>
              <w:numPr>
                <w:ilvl w:val="0"/>
                <w:numId w:val="18"/>
              </w:numPr>
              <w:rPr>
                <w:rFonts w:hint="eastAsia" w:ascii="仿宋" w:hAnsi="仿宋" w:eastAsia="仿宋" w:cs="仿宋"/>
                <w:sz w:val="32"/>
                <w:szCs w:val="32"/>
              </w:rPr>
            </w:pPr>
            <w:r>
              <w:rPr>
                <w:rFonts w:hint="eastAsia" w:ascii="仿宋" w:hAnsi="仿宋" w:eastAsia="仿宋" w:cs="仿宋"/>
                <w:sz w:val="32"/>
                <w:szCs w:val="32"/>
              </w:rPr>
              <w:t>定期（每月）对仪器进行校正，并做好记录。</w:t>
            </w:r>
          </w:p>
          <w:p>
            <w:pPr>
              <w:numPr>
                <w:ilvl w:val="0"/>
                <w:numId w:val="18"/>
              </w:numPr>
              <w:rPr>
                <w:rFonts w:hint="eastAsia" w:ascii="仿宋" w:hAnsi="仿宋" w:eastAsia="仿宋" w:cs="仿宋"/>
                <w:sz w:val="32"/>
                <w:szCs w:val="32"/>
              </w:rPr>
            </w:pPr>
            <w:r>
              <w:rPr>
                <w:rFonts w:hint="eastAsia" w:ascii="仿宋" w:hAnsi="仿宋" w:eastAsia="仿宋" w:cs="仿宋"/>
                <w:sz w:val="32"/>
                <w:szCs w:val="32"/>
              </w:rPr>
              <w:t>检查标液是否过期并定期更换。</w:t>
            </w:r>
          </w:p>
          <w:p>
            <w:pPr>
              <w:numPr>
                <w:ilvl w:val="0"/>
                <w:numId w:val="18"/>
              </w:numPr>
              <w:rPr>
                <w:rFonts w:hint="eastAsia" w:ascii="仿宋" w:hAnsi="仿宋" w:eastAsia="仿宋" w:cs="仿宋"/>
                <w:sz w:val="32"/>
                <w:szCs w:val="32"/>
              </w:rPr>
            </w:pPr>
            <w:r>
              <w:rPr>
                <w:rFonts w:hint="eastAsia" w:ascii="仿宋" w:hAnsi="仿宋" w:eastAsia="仿宋" w:cs="仿宋"/>
                <w:sz w:val="32"/>
                <w:szCs w:val="32"/>
              </w:rPr>
              <w:t>检查纯水是否污染及缺失，定期更换及添加。</w:t>
            </w:r>
          </w:p>
        </w:tc>
      </w:tr>
      <w:tr>
        <w:tblPrEx>
          <w:tblCellMar>
            <w:top w:w="0" w:type="dxa"/>
            <w:left w:w="108" w:type="dxa"/>
            <w:bottom w:w="0" w:type="dxa"/>
            <w:right w:w="108" w:type="dxa"/>
          </w:tblCellMar>
        </w:tblPrEx>
        <w:trPr>
          <w:jc w:val="center"/>
        </w:trPr>
        <w:tc>
          <w:tcPr>
            <w:tcW w:w="672" w:type="dxa"/>
            <w:tcBorders>
              <w:top w:val="single" w:color="auto" w:sz="8" w:space="0"/>
              <w:left w:val="single" w:color="auto" w:sz="8" w:space="0"/>
              <w:bottom w:val="single" w:color="auto" w:sz="4" w:space="0"/>
              <w:right w:val="single" w:color="auto" w:sz="8" w:space="0"/>
            </w:tcBorders>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28</w:t>
            </w:r>
          </w:p>
        </w:tc>
        <w:tc>
          <w:tcPr>
            <w:tcW w:w="1276" w:type="dxa"/>
            <w:tcBorders>
              <w:top w:val="single" w:color="auto" w:sz="8" w:space="0"/>
              <w:left w:val="nil"/>
              <w:bottom w:val="single" w:color="auto" w:sz="4" w:space="0"/>
              <w:right w:val="single" w:color="auto" w:sz="4" w:space="0"/>
            </w:tcBorders>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流速流量仪</w:t>
            </w:r>
          </w:p>
        </w:tc>
        <w:tc>
          <w:tcPr>
            <w:tcW w:w="1850" w:type="dxa"/>
            <w:tcBorders>
              <w:left w:val="nil"/>
              <w:bottom w:val="single" w:color="auto" w:sz="4" w:space="0"/>
              <w:right w:val="single" w:color="auto" w:sz="8" w:space="0"/>
            </w:tcBorders>
            <w:noWrap w:val="0"/>
            <w:vAlign w:val="center"/>
          </w:tcPr>
          <w:p>
            <w:pPr>
              <w:widowControl/>
              <w:jc w:val="left"/>
              <w:rPr>
                <w:rFonts w:hint="eastAsia" w:ascii="仿宋" w:hAnsi="仿宋" w:eastAsia="仿宋" w:cs="仿宋"/>
                <w:sz w:val="32"/>
                <w:szCs w:val="32"/>
              </w:rPr>
            </w:pPr>
            <w:r>
              <w:rPr>
                <w:rFonts w:hint="eastAsia" w:ascii="仿宋" w:hAnsi="仿宋" w:eastAsia="仿宋" w:cs="仿宋"/>
                <w:sz w:val="32"/>
                <w:szCs w:val="32"/>
              </w:rPr>
              <w:t>1周1次</w:t>
            </w:r>
          </w:p>
        </w:tc>
        <w:tc>
          <w:tcPr>
            <w:tcW w:w="4972" w:type="dxa"/>
            <w:tcBorders>
              <w:top w:val="single" w:color="auto" w:sz="8" w:space="0"/>
              <w:left w:val="nil"/>
              <w:bottom w:val="single" w:color="auto" w:sz="4" w:space="0"/>
              <w:right w:val="single" w:color="auto" w:sz="8" w:space="0"/>
            </w:tcBorders>
            <w:noWrap w:val="0"/>
            <w:vAlign w:val="center"/>
          </w:tcPr>
          <w:p>
            <w:pPr>
              <w:ind w:left="210" w:hanging="320" w:hangingChars="100"/>
              <w:rPr>
                <w:rFonts w:hint="eastAsia" w:ascii="仿宋" w:hAnsi="仿宋" w:eastAsia="仿宋" w:cs="仿宋"/>
                <w:sz w:val="32"/>
                <w:szCs w:val="32"/>
              </w:rPr>
            </w:pPr>
            <w:r>
              <w:rPr>
                <w:rFonts w:hint="eastAsia" w:ascii="仿宋" w:hAnsi="仿宋" w:eastAsia="仿宋" w:cs="仿宋"/>
                <w:sz w:val="32"/>
                <w:szCs w:val="32"/>
              </w:rPr>
              <w:t>按照说明书进行维护</w:t>
            </w:r>
          </w:p>
        </w:tc>
      </w:tr>
      <w:tr>
        <w:tblPrEx>
          <w:tblCellMar>
            <w:top w:w="0" w:type="dxa"/>
            <w:left w:w="108" w:type="dxa"/>
            <w:bottom w:w="0" w:type="dxa"/>
            <w:right w:w="108" w:type="dxa"/>
          </w:tblCellMar>
        </w:tblPrEx>
        <w:trPr>
          <w:jc w:val="center"/>
        </w:trPr>
        <w:tc>
          <w:tcPr>
            <w:tcW w:w="672" w:type="dxa"/>
            <w:tcBorders>
              <w:top w:val="single" w:color="auto" w:sz="4" w:space="0"/>
              <w:left w:val="single" w:color="auto" w:sz="8" w:space="0"/>
              <w:bottom w:val="single" w:color="auto" w:sz="8" w:space="0"/>
              <w:right w:val="single" w:color="auto" w:sz="8" w:space="0"/>
            </w:tcBorders>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29</w:t>
            </w:r>
          </w:p>
        </w:tc>
        <w:tc>
          <w:tcPr>
            <w:tcW w:w="1276" w:type="dxa"/>
            <w:tcBorders>
              <w:top w:val="single" w:color="auto" w:sz="4" w:space="0"/>
              <w:left w:val="nil"/>
              <w:bottom w:val="single" w:color="auto" w:sz="8" w:space="0"/>
              <w:right w:val="single" w:color="auto" w:sz="4" w:space="0"/>
            </w:tcBorders>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质控系统</w:t>
            </w:r>
          </w:p>
        </w:tc>
        <w:tc>
          <w:tcPr>
            <w:tcW w:w="1850" w:type="dxa"/>
            <w:tcBorders>
              <w:top w:val="single" w:color="auto" w:sz="4" w:space="0"/>
              <w:left w:val="nil"/>
              <w:bottom w:val="single" w:color="auto" w:sz="4" w:space="0"/>
              <w:right w:val="single" w:color="auto" w:sz="8" w:space="0"/>
            </w:tcBorders>
            <w:noWrap w:val="0"/>
            <w:vAlign w:val="center"/>
          </w:tcPr>
          <w:p>
            <w:pPr>
              <w:widowControl/>
              <w:jc w:val="left"/>
              <w:rPr>
                <w:rFonts w:hint="eastAsia" w:ascii="仿宋" w:hAnsi="仿宋" w:eastAsia="仿宋" w:cs="仿宋"/>
                <w:sz w:val="32"/>
                <w:szCs w:val="32"/>
              </w:rPr>
            </w:pPr>
            <w:r>
              <w:rPr>
                <w:rFonts w:hint="eastAsia" w:ascii="仿宋" w:hAnsi="仿宋" w:eastAsia="仿宋" w:cs="仿宋"/>
                <w:sz w:val="32"/>
                <w:szCs w:val="32"/>
              </w:rPr>
              <w:t>1周1次</w:t>
            </w:r>
          </w:p>
        </w:tc>
        <w:tc>
          <w:tcPr>
            <w:tcW w:w="4972" w:type="dxa"/>
            <w:tcBorders>
              <w:top w:val="single" w:color="auto" w:sz="4" w:space="0"/>
              <w:left w:val="nil"/>
              <w:bottom w:val="single" w:color="auto" w:sz="8" w:space="0"/>
              <w:right w:val="single" w:color="auto" w:sz="8" w:space="0"/>
            </w:tcBorders>
            <w:noWrap w:val="0"/>
            <w:vAlign w:val="center"/>
          </w:tcPr>
          <w:p>
            <w:pPr>
              <w:ind w:left="210" w:hanging="320" w:hangingChars="100"/>
              <w:rPr>
                <w:rFonts w:hint="eastAsia" w:ascii="仿宋" w:hAnsi="仿宋" w:eastAsia="仿宋" w:cs="仿宋"/>
                <w:sz w:val="32"/>
                <w:szCs w:val="32"/>
              </w:rPr>
            </w:pPr>
            <w:r>
              <w:rPr>
                <w:rFonts w:hint="eastAsia" w:ascii="仿宋" w:hAnsi="仿宋" w:eastAsia="仿宋" w:cs="仿宋"/>
                <w:sz w:val="32"/>
                <w:szCs w:val="32"/>
              </w:rPr>
              <w:t>1）检查质控系统纯水是否需要添加。</w:t>
            </w:r>
          </w:p>
          <w:p>
            <w:pPr>
              <w:ind w:left="210" w:hanging="320" w:hangingChars="100"/>
              <w:rPr>
                <w:rFonts w:hint="eastAsia" w:ascii="仿宋" w:hAnsi="仿宋" w:eastAsia="仿宋" w:cs="仿宋"/>
                <w:sz w:val="32"/>
                <w:szCs w:val="32"/>
              </w:rPr>
            </w:pPr>
            <w:r>
              <w:rPr>
                <w:rFonts w:hint="eastAsia" w:ascii="仿宋" w:hAnsi="仿宋" w:eastAsia="仿宋" w:cs="仿宋"/>
                <w:sz w:val="32"/>
                <w:szCs w:val="32"/>
              </w:rPr>
              <w:t>2）检查注射泵是否工作正常，有无漏液、漏气现象。</w:t>
            </w:r>
          </w:p>
          <w:p>
            <w:pPr>
              <w:ind w:left="210" w:hanging="320" w:hangingChars="100"/>
              <w:rPr>
                <w:rFonts w:hint="eastAsia" w:ascii="仿宋" w:hAnsi="仿宋" w:eastAsia="仿宋" w:cs="仿宋"/>
                <w:sz w:val="32"/>
                <w:szCs w:val="32"/>
              </w:rPr>
            </w:pPr>
            <w:r>
              <w:rPr>
                <w:rFonts w:hint="eastAsia" w:ascii="仿宋" w:hAnsi="仿宋" w:eastAsia="仿宋" w:cs="仿宋"/>
                <w:sz w:val="32"/>
                <w:szCs w:val="32"/>
              </w:rPr>
              <w:t>3）检查母液是否过期。</w:t>
            </w:r>
          </w:p>
          <w:p>
            <w:pPr>
              <w:ind w:left="210" w:hanging="320" w:hangingChars="100"/>
              <w:rPr>
                <w:rFonts w:hint="eastAsia" w:ascii="仿宋" w:hAnsi="仿宋" w:eastAsia="仿宋" w:cs="仿宋"/>
                <w:sz w:val="32"/>
                <w:szCs w:val="32"/>
              </w:rPr>
            </w:pPr>
            <w:r>
              <w:rPr>
                <w:rFonts w:hint="eastAsia" w:ascii="仿宋" w:hAnsi="仿宋" w:eastAsia="仿宋" w:cs="仿宋"/>
                <w:sz w:val="32"/>
                <w:szCs w:val="32"/>
              </w:rPr>
              <w:t>4）定期更换耗材及母液。</w:t>
            </w:r>
          </w:p>
        </w:tc>
      </w:tr>
      <w:tr>
        <w:tblPrEx>
          <w:tblCellMar>
            <w:top w:w="0" w:type="dxa"/>
            <w:left w:w="108" w:type="dxa"/>
            <w:bottom w:w="0" w:type="dxa"/>
            <w:right w:w="108" w:type="dxa"/>
          </w:tblCellMar>
        </w:tblPrEx>
        <w:trPr>
          <w:jc w:val="center"/>
        </w:trPr>
        <w:tc>
          <w:tcPr>
            <w:tcW w:w="672"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30</w:t>
            </w:r>
          </w:p>
        </w:tc>
        <w:tc>
          <w:tcPr>
            <w:tcW w:w="1276" w:type="dxa"/>
            <w:tcBorders>
              <w:top w:val="single" w:color="auto" w:sz="8" w:space="0"/>
              <w:left w:val="nil"/>
              <w:bottom w:val="single" w:color="auto" w:sz="8" w:space="0"/>
              <w:right w:val="single" w:color="auto" w:sz="4" w:space="0"/>
            </w:tcBorders>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站房</w:t>
            </w:r>
          </w:p>
        </w:tc>
        <w:tc>
          <w:tcPr>
            <w:tcW w:w="1850" w:type="dxa"/>
            <w:tcBorders>
              <w:top w:val="single" w:color="auto" w:sz="4" w:space="0"/>
              <w:left w:val="nil"/>
              <w:bottom w:val="single" w:color="auto" w:sz="4" w:space="0"/>
              <w:right w:val="single" w:color="auto" w:sz="8" w:space="0"/>
            </w:tcBorders>
            <w:noWrap w:val="0"/>
            <w:vAlign w:val="center"/>
          </w:tcPr>
          <w:p>
            <w:pPr>
              <w:widowControl/>
              <w:jc w:val="left"/>
              <w:rPr>
                <w:rFonts w:hint="eastAsia" w:ascii="仿宋" w:hAnsi="仿宋" w:eastAsia="仿宋" w:cs="仿宋"/>
                <w:sz w:val="32"/>
                <w:szCs w:val="32"/>
              </w:rPr>
            </w:pPr>
            <w:r>
              <w:rPr>
                <w:rFonts w:hint="eastAsia" w:ascii="仿宋" w:hAnsi="仿宋" w:eastAsia="仿宋" w:cs="仿宋"/>
                <w:sz w:val="32"/>
                <w:szCs w:val="32"/>
              </w:rPr>
              <w:t>1周1次，确保水站站房安全及卫生</w:t>
            </w:r>
          </w:p>
        </w:tc>
        <w:tc>
          <w:tcPr>
            <w:tcW w:w="4972" w:type="dxa"/>
            <w:tcBorders>
              <w:top w:val="single" w:color="auto" w:sz="8" w:space="0"/>
              <w:left w:val="nil"/>
              <w:bottom w:val="single" w:color="auto" w:sz="8" w:space="0"/>
              <w:right w:val="single" w:color="auto" w:sz="8" w:space="0"/>
            </w:tcBorders>
            <w:noWrap w:val="0"/>
            <w:vAlign w:val="center"/>
          </w:tcPr>
          <w:p>
            <w:pPr>
              <w:ind w:left="210" w:hanging="320" w:hangingChars="100"/>
              <w:rPr>
                <w:rFonts w:hint="eastAsia" w:ascii="仿宋" w:hAnsi="仿宋" w:eastAsia="仿宋" w:cs="仿宋"/>
                <w:sz w:val="32"/>
                <w:szCs w:val="32"/>
              </w:rPr>
            </w:pPr>
            <w:r>
              <w:rPr>
                <w:rFonts w:hint="eastAsia" w:ascii="仿宋" w:hAnsi="仿宋" w:eastAsia="仿宋" w:cs="仿宋"/>
                <w:sz w:val="32"/>
                <w:szCs w:val="32"/>
              </w:rPr>
              <w:t>1）巡查站房周边环境及供电、采配水、防雷、消防设施，确认水站电路系统、通讯线路是否正常，排除安全隐患。</w:t>
            </w:r>
          </w:p>
          <w:p>
            <w:pPr>
              <w:ind w:left="210" w:hanging="320" w:hangingChars="100"/>
              <w:rPr>
                <w:rFonts w:hint="eastAsia" w:ascii="仿宋" w:hAnsi="仿宋" w:eastAsia="仿宋" w:cs="仿宋"/>
                <w:sz w:val="32"/>
                <w:szCs w:val="32"/>
              </w:rPr>
            </w:pPr>
            <w:r>
              <w:rPr>
                <w:rFonts w:hint="eastAsia" w:ascii="仿宋" w:hAnsi="仿宋" w:eastAsia="仿宋" w:cs="仿宋"/>
                <w:sz w:val="32"/>
                <w:szCs w:val="32"/>
              </w:rPr>
              <w:t>2）检查门禁及动环系统、视频系统是否工作正常。</w:t>
            </w:r>
          </w:p>
          <w:p>
            <w:pPr>
              <w:ind w:left="210" w:hanging="320" w:hangingChars="100"/>
              <w:rPr>
                <w:rFonts w:hint="eastAsia" w:ascii="仿宋" w:hAnsi="仿宋" w:eastAsia="仿宋" w:cs="仿宋"/>
                <w:sz w:val="32"/>
                <w:szCs w:val="32"/>
              </w:rPr>
            </w:pPr>
            <w:r>
              <w:rPr>
                <w:rFonts w:hint="eastAsia" w:ascii="仿宋" w:hAnsi="仿宋" w:eastAsia="仿宋" w:cs="仿宋"/>
                <w:sz w:val="32"/>
                <w:szCs w:val="32"/>
              </w:rPr>
              <w:t>3）现场有看站人的看站人员每天打扫站房卫生，物品摆放整齐。</w:t>
            </w:r>
          </w:p>
        </w:tc>
      </w:tr>
      <w:tr>
        <w:tblPrEx>
          <w:tblCellMar>
            <w:top w:w="0" w:type="dxa"/>
            <w:left w:w="108" w:type="dxa"/>
            <w:bottom w:w="0" w:type="dxa"/>
            <w:right w:w="108" w:type="dxa"/>
          </w:tblCellMar>
        </w:tblPrEx>
        <w:trPr>
          <w:jc w:val="center"/>
        </w:trPr>
        <w:tc>
          <w:tcPr>
            <w:tcW w:w="672"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31</w:t>
            </w:r>
          </w:p>
        </w:tc>
        <w:tc>
          <w:tcPr>
            <w:tcW w:w="1276" w:type="dxa"/>
            <w:tcBorders>
              <w:top w:val="single" w:color="auto" w:sz="8" w:space="0"/>
              <w:left w:val="nil"/>
              <w:bottom w:val="single" w:color="auto" w:sz="8" w:space="0"/>
              <w:right w:val="single" w:color="auto" w:sz="4" w:space="0"/>
            </w:tcBorders>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运维记录</w:t>
            </w:r>
          </w:p>
        </w:tc>
        <w:tc>
          <w:tcPr>
            <w:tcW w:w="1850" w:type="dxa"/>
            <w:tcBorders>
              <w:top w:val="single" w:color="auto" w:sz="4" w:space="0"/>
              <w:left w:val="nil"/>
              <w:bottom w:val="single" w:color="auto" w:sz="8" w:space="0"/>
              <w:right w:val="single" w:color="auto" w:sz="8" w:space="0"/>
            </w:tcBorders>
            <w:noWrap w:val="0"/>
            <w:vAlign w:val="center"/>
          </w:tcPr>
          <w:p>
            <w:pPr>
              <w:widowControl/>
              <w:ind w:firstLine="480" w:firstLineChars="150"/>
              <w:jc w:val="left"/>
              <w:rPr>
                <w:rFonts w:hint="eastAsia" w:ascii="仿宋" w:hAnsi="仿宋" w:eastAsia="仿宋" w:cs="仿宋"/>
                <w:sz w:val="32"/>
                <w:szCs w:val="32"/>
              </w:rPr>
            </w:pPr>
            <w:r>
              <w:rPr>
                <w:rFonts w:hint="eastAsia" w:ascii="仿宋" w:hAnsi="仿宋" w:eastAsia="仿宋" w:cs="仿宋"/>
                <w:sz w:val="32"/>
                <w:szCs w:val="32"/>
              </w:rPr>
              <w:t>1周1次</w:t>
            </w:r>
          </w:p>
        </w:tc>
        <w:tc>
          <w:tcPr>
            <w:tcW w:w="4972" w:type="dxa"/>
            <w:tcBorders>
              <w:top w:val="single" w:color="auto" w:sz="8" w:space="0"/>
              <w:left w:val="nil"/>
              <w:bottom w:val="single" w:color="auto" w:sz="8" w:space="0"/>
              <w:right w:val="single" w:color="auto" w:sz="8" w:space="0"/>
            </w:tcBorders>
            <w:noWrap w:val="0"/>
            <w:vAlign w:val="center"/>
          </w:tcPr>
          <w:p>
            <w:pPr>
              <w:ind w:left="239" w:leftChars="114"/>
              <w:rPr>
                <w:rFonts w:hint="eastAsia" w:ascii="仿宋" w:hAnsi="仿宋" w:eastAsia="仿宋" w:cs="仿宋"/>
                <w:sz w:val="32"/>
                <w:szCs w:val="32"/>
              </w:rPr>
            </w:pPr>
            <w:r>
              <w:rPr>
                <w:rFonts w:hint="eastAsia" w:ascii="仿宋" w:hAnsi="仿宋" w:eastAsia="仿宋" w:cs="仿宋"/>
                <w:sz w:val="32"/>
                <w:szCs w:val="32"/>
              </w:rPr>
              <w:t>登录“河南省水质自动站运维质控管理系统”，现场填写水站运维管理、质控管理等相关记录、表格。</w:t>
            </w:r>
          </w:p>
        </w:tc>
      </w:tr>
    </w:tbl>
    <w:p>
      <w:pPr>
        <w:snapToGrid w:val="0"/>
        <w:spacing w:line="360" w:lineRule="auto"/>
        <w:rPr>
          <w:rFonts w:hint="eastAsia" w:ascii="仿宋" w:hAnsi="仿宋" w:eastAsia="仿宋" w:cs="仿宋"/>
          <w:b/>
          <w:bCs/>
          <w:sz w:val="32"/>
          <w:szCs w:val="32"/>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.3停机维护规定</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.3.1短时间停机（停机时间小于24小时）：一般关机即可，再次运行时仪器需重新校准。</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3.2长时间停机（连续停机时间超过24小时）：如果分析仪需要停机24小时或更长时间，一般需关闭分析仪器和进样阀，关闭电源。并用蒸馏水清洗分析仪器的蠕动泵以及试剂管路；清洗测量室并排空；对于测量电极，应取下并将电极头浸入保护液中存放。停机后应将停机申请传真到</w:t>
      </w:r>
      <w:r>
        <w:rPr>
          <w:rFonts w:hint="eastAsia" w:ascii="仿宋" w:hAnsi="仿宋" w:eastAsia="仿宋" w:cs="仿宋"/>
          <w:sz w:val="32"/>
          <w:szCs w:val="32"/>
          <w:lang w:eastAsia="zh-CN"/>
        </w:rPr>
        <w:t>采购人</w:t>
      </w:r>
      <w:r>
        <w:rPr>
          <w:rFonts w:hint="eastAsia" w:ascii="仿宋" w:hAnsi="仿宋" w:eastAsia="仿宋" w:cs="仿宋"/>
          <w:sz w:val="32"/>
          <w:szCs w:val="32"/>
        </w:rPr>
        <w:t>。</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.3.3停机期间，开展全程序的手工采样，国标法分析COD、氨氮和总磷，每周2次；分析数据按要求上报</w:t>
      </w:r>
      <w:r>
        <w:rPr>
          <w:rFonts w:hint="eastAsia" w:ascii="仿宋" w:hAnsi="仿宋" w:eastAsia="仿宋" w:cs="仿宋"/>
          <w:sz w:val="32"/>
          <w:szCs w:val="32"/>
          <w:lang w:eastAsia="zh-CN"/>
        </w:rPr>
        <w:t>采购人</w:t>
      </w:r>
      <w:r>
        <w:rPr>
          <w:rFonts w:hint="eastAsia" w:ascii="仿宋" w:hAnsi="仿宋" w:eastAsia="仿宋" w:cs="仿宋"/>
          <w:sz w:val="32"/>
          <w:szCs w:val="32"/>
        </w:rPr>
        <w:t>。停机期间，每周进行停机维护。</w:t>
      </w:r>
    </w:p>
    <w:p>
      <w:pPr>
        <w:spacing w:line="360" w:lineRule="auto"/>
        <w:rPr>
          <w:rFonts w:hint="eastAsia" w:ascii="仿宋" w:hAnsi="仿宋" w:eastAsia="仿宋" w:cs="仿宋"/>
          <w:b/>
          <w:bCs/>
          <w:sz w:val="32"/>
          <w:szCs w:val="32"/>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.4数据管理</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.4.1水质自动站运行指标要求：</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水站各分析仪器数据传输率不低于90%，数据有效率不低于90％（除去停水停电，性能测试及其他不可抗拒因素引起的故障）。</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.4.2保证在运营维护管理期内，数据误差符合检测项目性能指标要求。</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4.3采用间歇测定情况下（4小时/次），五参数自动分析仪、总磷水质自动分析仪、总氮水质自动分析仪、氨氮水质自动分析仪、化学需氧量自动分析仪、高锰酸盐指数水质自动分析仪等至少每天保证有4组有效数据。</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.4.4每天上午10:00前，登录“河南省水质监测系统”平台，对水站前一天的自动监测数据进行初步审核。发现异常数据时，对数据进行标记，查明原因，并做好相关记录。</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.4.5当确认水站仪器正常运行，而监测数据异常，且超出历史正常水平时( 上年度均值)，须2小时内报告</w:t>
      </w:r>
      <w:r>
        <w:rPr>
          <w:rFonts w:hint="eastAsia" w:ascii="仿宋" w:hAnsi="仿宋" w:eastAsia="仿宋" w:cs="仿宋"/>
          <w:sz w:val="32"/>
          <w:szCs w:val="32"/>
          <w:lang w:eastAsia="zh-CN"/>
        </w:rPr>
        <w:t>采购人</w:t>
      </w:r>
      <w:r>
        <w:rPr>
          <w:rFonts w:hint="eastAsia" w:ascii="仿宋" w:hAnsi="仿宋" w:eastAsia="仿宋" w:cs="仿宋"/>
          <w:sz w:val="32"/>
          <w:szCs w:val="32"/>
        </w:rPr>
        <w:t>，同时继续保证系统仪器正常运行，监测数据准确，传输畅通，并协助</w:t>
      </w:r>
      <w:r>
        <w:rPr>
          <w:rFonts w:hint="eastAsia" w:ascii="仿宋" w:hAnsi="仿宋" w:eastAsia="仿宋" w:cs="仿宋"/>
          <w:sz w:val="32"/>
          <w:szCs w:val="32"/>
          <w:lang w:eastAsia="zh-CN"/>
        </w:rPr>
        <w:t>采购人</w:t>
      </w:r>
      <w:r>
        <w:rPr>
          <w:rFonts w:hint="eastAsia" w:ascii="仿宋" w:hAnsi="仿宋" w:eastAsia="仿宋" w:cs="仿宋"/>
          <w:sz w:val="32"/>
          <w:szCs w:val="32"/>
        </w:rPr>
        <w:t>进行手工监测。</w:t>
      </w:r>
    </w:p>
    <w:p>
      <w:pPr>
        <w:spacing w:line="360" w:lineRule="auto"/>
        <w:rPr>
          <w:rFonts w:hint="eastAsia" w:ascii="仿宋" w:hAnsi="仿宋" w:eastAsia="仿宋" w:cs="仿宋"/>
          <w:b/>
          <w:bCs/>
          <w:sz w:val="32"/>
          <w:szCs w:val="32"/>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.5故障排除</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bCs/>
          <w:sz w:val="32"/>
          <w:szCs w:val="32"/>
        </w:rPr>
        <w:t>.5.1</w:t>
      </w:r>
      <w:r>
        <w:rPr>
          <w:rFonts w:hint="eastAsia" w:ascii="仿宋" w:hAnsi="仿宋" w:eastAsia="仿宋" w:cs="仿宋"/>
          <w:sz w:val="32"/>
          <w:szCs w:val="32"/>
          <w:lang w:eastAsia="zh-CN"/>
        </w:rPr>
        <w:t>中标人</w:t>
      </w:r>
      <w:r>
        <w:rPr>
          <w:rFonts w:hint="eastAsia" w:ascii="仿宋" w:hAnsi="仿宋" w:eastAsia="仿宋" w:cs="仿宋"/>
          <w:sz w:val="32"/>
          <w:szCs w:val="32"/>
        </w:rPr>
        <w:t>发现水站系统故障时应及时排除，及时上报</w:t>
      </w:r>
      <w:r>
        <w:rPr>
          <w:rFonts w:hint="eastAsia" w:ascii="仿宋" w:hAnsi="仿宋" w:eastAsia="仿宋" w:cs="仿宋"/>
          <w:sz w:val="32"/>
          <w:szCs w:val="32"/>
          <w:lang w:eastAsia="zh-CN"/>
        </w:rPr>
        <w:t>采购人</w:t>
      </w:r>
      <w:r>
        <w:rPr>
          <w:rFonts w:hint="eastAsia" w:ascii="仿宋" w:hAnsi="仿宋" w:eastAsia="仿宋" w:cs="仿宋"/>
          <w:sz w:val="32"/>
          <w:szCs w:val="32"/>
        </w:rPr>
        <w:t>，并采取应急补救措施并填写有关情况记录。</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bCs/>
          <w:sz w:val="32"/>
          <w:szCs w:val="32"/>
        </w:rPr>
        <w:t>.5.2</w:t>
      </w:r>
      <w:r>
        <w:rPr>
          <w:rFonts w:hint="eastAsia" w:ascii="仿宋" w:hAnsi="仿宋" w:eastAsia="仿宋" w:cs="仿宋"/>
          <w:sz w:val="32"/>
          <w:szCs w:val="32"/>
          <w:lang w:eastAsia="zh-CN"/>
        </w:rPr>
        <w:t>中标人</w:t>
      </w:r>
      <w:r>
        <w:rPr>
          <w:rFonts w:hint="eastAsia" w:ascii="仿宋" w:hAnsi="仿宋" w:eastAsia="仿宋" w:cs="仿宋"/>
          <w:sz w:val="32"/>
          <w:szCs w:val="32"/>
        </w:rPr>
        <w:t>故障响应时间不超过4小时，一般故障排除时间不超过24小时，重大故障排除时间不超过48小时，如故障排除时间超过48小时，需提供备机或其他有效方式保证不间断的获取水站数据。</w:t>
      </w:r>
    </w:p>
    <w:p>
      <w:pPr>
        <w:pStyle w:val="11"/>
        <w:spacing w:line="360" w:lineRule="auto"/>
        <w:ind w:left="0" w:leftChars="0"/>
        <w:rPr>
          <w:rFonts w:hint="eastAsia" w:ascii="仿宋" w:hAnsi="仿宋" w:eastAsia="仿宋" w:cs="仿宋"/>
          <w:b/>
          <w:sz w:val="32"/>
          <w:szCs w:val="32"/>
        </w:rPr>
      </w:pPr>
      <w:r>
        <w:rPr>
          <w:rFonts w:hint="eastAsia" w:ascii="仿宋" w:hAnsi="仿宋" w:eastAsia="仿宋" w:cs="仿宋"/>
          <w:b/>
          <w:sz w:val="32"/>
          <w:szCs w:val="32"/>
          <w:lang w:val="en-US" w:eastAsia="zh-CN"/>
        </w:rPr>
        <w:t>3</w:t>
      </w:r>
      <w:r>
        <w:rPr>
          <w:rFonts w:hint="eastAsia" w:ascii="仿宋" w:hAnsi="仿宋" w:eastAsia="仿宋" w:cs="仿宋"/>
          <w:b/>
          <w:sz w:val="32"/>
          <w:szCs w:val="32"/>
        </w:rPr>
        <w:t>.6运维记录表格</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认真、及时做好各类记录，每季度以书面形式报</w:t>
      </w:r>
      <w:r>
        <w:rPr>
          <w:rFonts w:hint="eastAsia" w:ascii="仿宋" w:hAnsi="仿宋" w:eastAsia="仿宋" w:cs="仿宋"/>
          <w:sz w:val="32"/>
          <w:szCs w:val="32"/>
          <w:lang w:eastAsia="zh-CN"/>
        </w:rPr>
        <w:t>采购人</w:t>
      </w:r>
      <w:r>
        <w:rPr>
          <w:rFonts w:hint="eastAsia" w:ascii="仿宋" w:hAnsi="仿宋" w:eastAsia="仿宋" w:cs="仿宋"/>
          <w:sz w:val="32"/>
          <w:szCs w:val="32"/>
        </w:rPr>
        <w:t>，书面报告作为运行维护考核依据之一，具体包括：</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（1）水站日远程巡视结果记录表；</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（2）日巡视异常数据记录表；</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（3）水站巡检记录表；</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（4）水站试剂更换记录表；</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（5）水站备品备件更换记录表；</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（6）故障处理情况表；</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（7）水站质控样核查结果记录表；</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（8）月度地表水水质自动监测数据统计表；</w:t>
      </w:r>
    </w:p>
    <w:p>
      <w:pPr>
        <w:spacing w:line="360" w:lineRule="auto"/>
        <w:rPr>
          <w:rFonts w:hint="eastAsia" w:ascii="仿宋" w:hAnsi="仿宋" w:eastAsia="仿宋" w:cs="仿宋"/>
          <w:b/>
          <w:sz w:val="32"/>
          <w:szCs w:val="32"/>
        </w:rPr>
      </w:pPr>
      <w:r>
        <w:rPr>
          <w:rFonts w:hint="eastAsia" w:ascii="仿宋" w:hAnsi="仿宋" w:eastAsia="仿宋" w:cs="仿宋"/>
          <w:b/>
          <w:sz w:val="32"/>
          <w:szCs w:val="32"/>
          <w:lang w:val="en-US" w:eastAsia="zh-CN"/>
        </w:rPr>
        <w:t>3</w:t>
      </w:r>
      <w:r>
        <w:rPr>
          <w:rFonts w:hint="eastAsia" w:ascii="仿宋" w:hAnsi="仿宋" w:eastAsia="仿宋" w:cs="仿宋"/>
          <w:b/>
          <w:sz w:val="32"/>
          <w:szCs w:val="32"/>
        </w:rPr>
        <w:t>.7 人员及车辆要求</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.7.1</w:t>
      </w:r>
      <w:r>
        <w:rPr>
          <w:rFonts w:hint="eastAsia" w:ascii="仿宋" w:hAnsi="仿宋" w:eastAsia="仿宋" w:cs="仿宋"/>
          <w:sz w:val="32"/>
          <w:szCs w:val="32"/>
          <w:lang w:eastAsia="zh-CN"/>
        </w:rPr>
        <w:t>中标人</w:t>
      </w:r>
      <w:r>
        <w:rPr>
          <w:rFonts w:hint="eastAsia" w:ascii="仿宋" w:hAnsi="仿宋" w:eastAsia="仿宋" w:cs="仿宋"/>
          <w:sz w:val="32"/>
          <w:szCs w:val="32"/>
        </w:rPr>
        <w:t>人员</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（1）人员和交通工具的总体配置要求：每3-4个站点至少配置1名专业技术人员，每7个站点至少配置1辆</w:t>
      </w:r>
      <w:r>
        <w:rPr>
          <w:rFonts w:hint="eastAsia" w:ascii="仿宋" w:hAnsi="仿宋" w:eastAsia="仿宋" w:cs="仿宋"/>
          <w:sz w:val="32"/>
          <w:szCs w:val="32"/>
          <w:lang w:val="en-US" w:eastAsia="zh-CN"/>
        </w:rPr>
        <w:t>运维用</w:t>
      </w:r>
      <w:r>
        <w:rPr>
          <w:rFonts w:hint="eastAsia" w:ascii="仿宋" w:hAnsi="仿宋" w:eastAsia="仿宋" w:cs="仿宋"/>
          <w:sz w:val="32"/>
          <w:szCs w:val="32"/>
        </w:rPr>
        <w:t>车。</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（2）人员素质及能力：现场维护人员应至少2人1组（带重金属仪器的超级站应至少3人1组），其中带队人员应具有至少3年以上的现场维护经验，能及时发现和排除仪器故障。维护人员更换时应提前向</w:t>
      </w:r>
      <w:r>
        <w:rPr>
          <w:rFonts w:hint="eastAsia" w:ascii="仿宋" w:hAnsi="仿宋" w:eastAsia="仿宋" w:cs="仿宋"/>
          <w:sz w:val="32"/>
          <w:szCs w:val="32"/>
          <w:lang w:eastAsia="zh-CN"/>
        </w:rPr>
        <w:t>采购人</w:t>
      </w:r>
      <w:r>
        <w:rPr>
          <w:rFonts w:hint="eastAsia" w:ascii="仿宋" w:hAnsi="仿宋" w:eastAsia="仿宋" w:cs="仿宋"/>
          <w:sz w:val="32"/>
          <w:szCs w:val="32"/>
        </w:rPr>
        <w:t>报告并备案。</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（3）人员分工：现场维护、系统软件维护和集成维护人员分工要明确。</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中标人</w:t>
      </w:r>
      <w:r>
        <w:rPr>
          <w:rFonts w:hint="eastAsia" w:ascii="仿宋" w:hAnsi="仿宋" w:eastAsia="仿宋" w:cs="仿宋"/>
          <w:sz w:val="32"/>
          <w:szCs w:val="32"/>
        </w:rPr>
        <w:t>向</w:t>
      </w:r>
      <w:r>
        <w:rPr>
          <w:rFonts w:hint="eastAsia" w:ascii="仿宋" w:hAnsi="仿宋" w:eastAsia="仿宋" w:cs="仿宋"/>
          <w:sz w:val="32"/>
          <w:szCs w:val="32"/>
          <w:lang w:eastAsia="zh-CN"/>
        </w:rPr>
        <w:t>采购人</w:t>
      </w:r>
      <w:r>
        <w:rPr>
          <w:rFonts w:hint="eastAsia" w:ascii="仿宋" w:hAnsi="仿宋" w:eastAsia="仿宋" w:cs="仿宋"/>
          <w:sz w:val="32"/>
          <w:szCs w:val="32"/>
        </w:rPr>
        <w:t>提供1名常驻人员，配合</w:t>
      </w:r>
      <w:r>
        <w:rPr>
          <w:rFonts w:hint="eastAsia" w:ascii="仿宋" w:hAnsi="仿宋" w:eastAsia="仿宋" w:cs="仿宋"/>
          <w:sz w:val="32"/>
          <w:szCs w:val="32"/>
          <w:lang w:eastAsia="zh-CN"/>
        </w:rPr>
        <w:t>采购人</w:t>
      </w:r>
      <w:r>
        <w:rPr>
          <w:rFonts w:hint="eastAsia" w:ascii="仿宋" w:hAnsi="仿宋" w:eastAsia="仿宋" w:cs="仿宋"/>
          <w:sz w:val="32"/>
          <w:szCs w:val="32"/>
        </w:rPr>
        <w:t>开展水站监控运维相关工作。</w:t>
      </w:r>
      <w:r>
        <w:rPr>
          <w:rFonts w:hint="eastAsia" w:ascii="仿宋" w:hAnsi="仿宋" w:eastAsia="仿宋" w:cs="仿宋"/>
          <w:sz w:val="32"/>
          <w:szCs w:val="32"/>
          <w:lang w:eastAsia="zh-CN"/>
        </w:rPr>
        <w:t>采购人</w:t>
      </w:r>
      <w:r>
        <w:rPr>
          <w:rFonts w:hint="eastAsia" w:ascii="仿宋" w:hAnsi="仿宋" w:eastAsia="仿宋" w:cs="仿宋"/>
          <w:sz w:val="32"/>
          <w:szCs w:val="32"/>
        </w:rPr>
        <w:t>提供办公场所。</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.7.2现场看护人员</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（1）需要看站人员的站点</w:t>
      </w:r>
      <w:r>
        <w:rPr>
          <w:rFonts w:hint="eastAsia" w:ascii="仿宋" w:hAnsi="仿宋" w:eastAsia="仿宋" w:cs="仿宋"/>
          <w:sz w:val="32"/>
          <w:szCs w:val="32"/>
          <w:lang w:eastAsia="zh-CN"/>
        </w:rPr>
        <w:t>中标人</w:t>
      </w:r>
      <w:r>
        <w:rPr>
          <w:rFonts w:hint="eastAsia" w:ascii="仿宋" w:hAnsi="仿宋" w:eastAsia="仿宋" w:cs="仿宋"/>
          <w:sz w:val="32"/>
          <w:szCs w:val="32"/>
        </w:rPr>
        <w:t>选聘和管理水站现场看护人员，制定现场看护的相关规定，监督看护人员履行职责。</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（2）需要看站人员的站点</w:t>
      </w:r>
      <w:r>
        <w:rPr>
          <w:rFonts w:hint="eastAsia" w:ascii="仿宋" w:hAnsi="仿宋" w:eastAsia="仿宋" w:cs="仿宋"/>
          <w:sz w:val="32"/>
          <w:szCs w:val="32"/>
          <w:lang w:eastAsia="zh-CN"/>
        </w:rPr>
        <w:t>中标人</w:t>
      </w:r>
      <w:r>
        <w:rPr>
          <w:rFonts w:hint="eastAsia" w:ascii="仿宋" w:hAnsi="仿宋" w:eastAsia="仿宋" w:cs="仿宋"/>
          <w:sz w:val="32"/>
          <w:szCs w:val="32"/>
        </w:rPr>
        <w:t>为水站现场看护人员提供人身意外伤害保险。</w:t>
      </w:r>
    </w:p>
    <w:p>
      <w:pPr>
        <w:pStyle w:val="11"/>
        <w:spacing w:line="360" w:lineRule="auto"/>
        <w:rPr>
          <w:rFonts w:hint="eastAsia" w:ascii="仿宋" w:hAnsi="仿宋" w:eastAsia="仿宋" w:cs="仿宋"/>
          <w:b/>
          <w:bCs/>
          <w:sz w:val="32"/>
          <w:szCs w:val="32"/>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.8安全要求</w:t>
      </w:r>
    </w:p>
    <w:p>
      <w:pPr>
        <w:spacing w:line="360" w:lineRule="auto"/>
        <w:ind w:firstLine="960" w:firstLineChars="3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.8.1</w:t>
      </w:r>
      <w:r>
        <w:rPr>
          <w:rFonts w:hint="eastAsia" w:ascii="仿宋" w:hAnsi="仿宋" w:eastAsia="仿宋" w:cs="仿宋"/>
          <w:sz w:val="32"/>
          <w:szCs w:val="32"/>
          <w:lang w:eastAsia="zh-CN"/>
        </w:rPr>
        <w:t>中标人</w:t>
      </w:r>
      <w:r>
        <w:rPr>
          <w:rFonts w:hint="eastAsia" w:ascii="仿宋" w:hAnsi="仿宋" w:eastAsia="仿宋" w:cs="仿宋"/>
          <w:sz w:val="32"/>
          <w:szCs w:val="32"/>
        </w:rPr>
        <w:t>对水站站房及配套设施安全负责。负责水站看护人员安全教育、管理和培训，做好各水站安全防盗工作，保证门禁系统运行正常，确保水站财产安全。运维及看护人员需在</w:t>
      </w:r>
      <w:r>
        <w:rPr>
          <w:rFonts w:hint="eastAsia" w:ascii="仿宋" w:hAnsi="仿宋" w:eastAsia="仿宋" w:cs="仿宋"/>
          <w:sz w:val="32"/>
          <w:szCs w:val="32"/>
          <w:lang w:eastAsia="zh-CN"/>
        </w:rPr>
        <w:t>采购人</w:t>
      </w:r>
      <w:r>
        <w:rPr>
          <w:rFonts w:hint="eastAsia" w:ascii="仿宋" w:hAnsi="仿宋" w:eastAsia="仿宋" w:cs="仿宋"/>
          <w:sz w:val="32"/>
          <w:szCs w:val="32"/>
        </w:rPr>
        <w:t>备案，定期上报水站安全检查报告。</w:t>
      </w:r>
    </w:p>
    <w:p>
      <w:pPr>
        <w:spacing w:line="360" w:lineRule="auto"/>
        <w:ind w:firstLine="960" w:firstLineChars="3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.8.2</w:t>
      </w:r>
      <w:r>
        <w:rPr>
          <w:rFonts w:hint="eastAsia" w:ascii="仿宋" w:hAnsi="仿宋" w:eastAsia="仿宋" w:cs="仿宋"/>
          <w:sz w:val="32"/>
          <w:szCs w:val="32"/>
          <w:lang w:eastAsia="zh-CN"/>
        </w:rPr>
        <w:t>中标人</w:t>
      </w:r>
      <w:r>
        <w:rPr>
          <w:rFonts w:hint="eastAsia" w:ascii="仿宋" w:hAnsi="仿宋" w:eastAsia="仿宋" w:cs="仿宋"/>
          <w:sz w:val="32"/>
          <w:szCs w:val="32"/>
        </w:rPr>
        <w:t>根据安全用电相关规定，邀请供电部门对水站专用变压器进行防雷年检，并对变压器及电力线路安全性进行检查。</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（1）对于水站专用变压器，需聘请当地一位具有专业资质资格证并在有效期内的电工，作为专业操作人员定期维护。</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（2）对于电源防雷，应联系专业单位进行年度检测，保证站房电源配电箱（柜）中防雷空气开关正常及电源接地线接地良好</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.8.3</w:t>
      </w:r>
      <w:r>
        <w:rPr>
          <w:rFonts w:hint="eastAsia" w:ascii="仿宋" w:hAnsi="仿宋" w:eastAsia="仿宋" w:cs="仿宋"/>
          <w:sz w:val="32"/>
          <w:szCs w:val="32"/>
          <w:lang w:eastAsia="zh-CN"/>
        </w:rPr>
        <w:t>中标人</w:t>
      </w:r>
      <w:r>
        <w:rPr>
          <w:rFonts w:hint="eastAsia" w:ascii="仿宋" w:hAnsi="仿宋" w:eastAsia="仿宋" w:cs="仿宋"/>
          <w:sz w:val="32"/>
          <w:szCs w:val="32"/>
        </w:rPr>
        <w:t>应做好消防安全工作。</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水站应配备定温自动灭火器和手提式干粉灭火器，按照规定经常检查，确保保险装置没有损坏或遗失，压力表指针低于绿色区域时，应及时到消防部门进行维修和填充灭火剂，并保证在有效期内。</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 xml:space="preserve">.8.4 </w:t>
      </w:r>
      <w:r>
        <w:rPr>
          <w:rFonts w:hint="eastAsia" w:ascii="仿宋" w:hAnsi="仿宋" w:eastAsia="仿宋" w:cs="仿宋"/>
          <w:sz w:val="32"/>
          <w:szCs w:val="32"/>
          <w:lang w:eastAsia="zh-CN"/>
        </w:rPr>
        <w:t>中标人</w:t>
      </w:r>
      <w:r>
        <w:rPr>
          <w:rFonts w:hint="eastAsia" w:ascii="仿宋" w:hAnsi="仿宋" w:eastAsia="仿宋" w:cs="仿宋"/>
          <w:sz w:val="32"/>
          <w:szCs w:val="32"/>
        </w:rPr>
        <w:t>负责对站房漏水及栈桥保养的维护和维修。</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bCs/>
          <w:sz w:val="32"/>
          <w:szCs w:val="32"/>
        </w:rPr>
        <w:t>.8.5</w:t>
      </w:r>
      <w:r>
        <w:rPr>
          <w:rFonts w:hint="eastAsia" w:ascii="仿宋" w:hAnsi="仿宋" w:eastAsia="仿宋" w:cs="仿宋"/>
          <w:sz w:val="32"/>
          <w:szCs w:val="32"/>
          <w:lang w:eastAsia="zh-CN"/>
        </w:rPr>
        <w:t>中标人</w:t>
      </w:r>
      <w:r>
        <w:rPr>
          <w:rFonts w:hint="eastAsia" w:ascii="仿宋" w:hAnsi="仿宋" w:eastAsia="仿宋" w:cs="仿宋"/>
          <w:sz w:val="32"/>
          <w:szCs w:val="32"/>
        </w:rPr>
        <w:t>应做好站房防雷工作。</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每年联系有资质的检测部门在雷雨季节前对站房进行一次防雷检测，检查避雷带是否脱落，接地电阻是否合格等。对防雷设施不完善的，及时进行整改。</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.8.6</w:t>
      </w:r>
      <w:r>
        <w:rPr>
          <w:rFonts w:hint="eastAsia" w:ascii="仿宋" w:hAnsi="仿宋" w:eastAsia="仿宋" w:cs="仿宋"/>
          <w:sz w:val="32"/>
          <w:szCs w:val="32"/>
          <w:lang w:eastAsia="zh-CN"/>
        </w:rPr>
        <w:t>中标人</w:t>
      </w:r>
      <w:r>
        <w:rPr>
          <w:rFonts w:hint="eastAsia" w:ascii="仿宋" w:hAnsi="仿宋" w:eastAsia="仿宋" w:cs="仿宋"/>
          <w:sz w:val="32"/>
          <w:szCs w:val="32"/>
        </w:rPr>
        <w:t>对仪器设备外壳和机柜接地情况进行检测，如不符合相关技术标准要求，及时整改到位，保证接地良好。</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.8.7</w:t>
      </w:r>
      <w:r>
        <w:rPr>
          <w:rFonts w:hint="eastAsia" w:ascii="仿宋" w:hAnsi="仿宋" w:eastAsia="仿宋" w:cs="仿宋"/>
          <w:sz w:val="32"/>
          <w:szCs w:val="32"/>
          <w:lang w:eastAsia="zh-CN"/>
        </w:rPr>
        <w:t>中标人</w:t>
      </w:r>
      <w:r>
        <w:rPr>
          <w:rFonts w:hint="eastAsia" w:ascii="仿宋" w:hAnsi="仿宋" w:eastAsia="仿宋" w:cs="仿宋"/>
          <w:sz w:val="32"/>
          <w:szCs w:val="32"/>
        </w:rPr>
        <w:t>应做好确保VPN数据传输设备、门禁系统、视频监控设施和光纤通讯线路等安全运行工作。</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.8.8</w:t>
      </w:r>
      <w:r>
        <w:rPr>
          <w:rFonts w:hint="eastAsia" w:ascii="仿宋" w:hAnsi="仿宋" w:eastAsia="仿宋" w:cs="仿宋"/>
          <w:sz w:val="32"/>
          <w:szCs w:val="32"/>
          <w:lang w:eastAsia="zh-CN"/>
        </w:rPr>
        <w:t>中标人</w:t>
      </w:r>
      <w:r>
        <w:rPr>
          <w:rFonts w:hint="eastAsia" w:ascii="仿宋" w:hAnsi="仿宋" w:eastAsia="仿宋" w:cs="仿宋"/>
          <w:sz w:val="32"/>
          <w:szCs w:val="32"/>
        </w:rPr>
        <w:t>应做好汛期采水系统安全工作。</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每年汛期，</w:t>
      </w:r>
      <w:r>
        <w:rPr>
          <w:rFonts w:hint="eastAsia" w:ascii="仿宋" w:hAnsi="仿宋" w:eastAsia="仿宋" w:cs="仿宋"/>
          <w:sz w:val="32"/>
          <w:szCs w:val="32"/>
          <w:lang w:eastAsia="zh-CN"/>
        </w:rPr>
        <w:t>中标人</w:t>
      </w:r>
      <w:r>
        <w:rPr>
          <w:rFonts w:hint="eastAsia" w:ascii="仿宋" w:hAnsi="仿宋" w:eastAsia="仿宋" w:cs="仿宋"/>
          <w:sz w:val="32"/>
          <w:szCs w:val="32"/>
        </w:rPr>
        <w:t>应加强日常维护，做好系统的汛前准备、讯后恢复工作。做好水站的日常维护保养，根据防汛信息采取措施，在汛期前做好准备工作。定时联系站房看护人员，跟踪（及时）了解河水的变化情况，并制定异常情况处理预案。汛期前可根据情况将浮船等采水系统移至安全地方。防汛期间需要暂停水站运行的，须及时书面上报省环保厅后再实施。汛后及时恢复水站的正常运行。</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.8.9委托运营维护及管理的全部资产（包括全部产权和建筑物、设备、软件、配套设施、水质自动站和配套监控系统产生的各类数据信息及相关文档资料）属业主方所有。未经业主方同意，</w:t>
      </w:r>
      <w:r>
        <w:rPr>
          <w:rFonts w:hint="eastAsia" w:ascii="仿宋" w:hAnsi="仿宋" w:eastAsia="仿宋" w:cs="仿宋"/>
          <w:sz w:val="32"/>
          <w:szCs w:val="32"/>
          <w:lang w:eastAsia="zh-CN"/>
        </w:rPr>
        <w:t>中标人</w:t>
      </w:r>
      <w:r>
        <w:rPr>
          <w:rFonts w:hint="eastAsia" w:ascii="仿宋" w:hAnsi="仿宋" w:eastAsia="仿宋" w:cs="仿宋"/>
          <w:sz w:val="32"/>
          <w:szCs w:val="32"/>
        </w:rPr>
        <w:t>不得以任何方式对各类财产进行出售、抵押或转移；同时，在委托运营及管理期间，</w:t>
      </w:r>
      <w:r>
        <w:rPr>
          <w:rFonts w:hint="eastAsia" w:ascii="仿宋" w:hAnsi="仿宋" w:eastAsia="仿宋" w:cs="仿宋"/>
          <w:sz w:val="32"/>
          <w:szCs w:val="32"/>
          <w:lang w:eastAsia="zh-CN"/>
        </w:rPr>
        <w:t>中标人</w:t>
      </w:r>
      <w:r>
        <w:rPr>
          <w:rFonts w:hint="eastAsia" w:ascii="仿宋" w:hAnsi="仿宋" w:eastAsia="仿宋" w:cs="仿宋"/>
          <w:sz w:val="32"/>
          <w:szCs w:val="32"/>
        </w:rPr>
        <w:t>有责任保证上述全部资产的完整、安全并处于良好状态。</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.8.10 栈桥每年需进行安全检查和刷防锈漆进行防锈处理。完善补齐栈桥和浮船的警示标志。</w:t>
      </w:r>
    </w:p>
    <w:p>
      <w:pPr>
        <w:spacing w:line="360" w:lineRule="auto"/>
        <w:rPr>
          <w:rFonts w:hint="eastAsia" w:ascii="仿宋" w:hAnsi="仿宋" w:eastAsia="仿宋" w:cs="仿宋"/>
          <w:b/>
          <w:bCs/>
          <w:sz w:val="32"/>
          <w:szCs w:val="32"/>
        </w:rPr>
      </w:pP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、运维质量管理与控制要求</w:t>
      </w:r>
    </w:p>
    <w:p>
      <w:pPr>
        <w:autoSpaceDE w:val="0"/>
        <w:autoSpaceDN w:val="0"/>
        <w:adjustRightInd w:val="0"/>
        <w:spacing w:line="360" w:lineRule="auto"/>
        <w:ind w:firstLine="321" w:firstLineChars="100"/>
        <w:rPr>
          <w:rFonts w:hint="eastAsia" w:ascii="仿宋" w:hAnsi="仿宋" w:eastAsia="仿宋" w:cs="仿宋"/>
          <w:b/>
          <w:bCs/>
          <w:sz w:val="32"/>
          <w:szCs w:val="32"/>
        </w:rPr>
      </w:pP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.1 运维管理方针与目标</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.1.1 运行维护管理方针：</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运行规范、反应及时、数据准确、管理有效。</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.1.2 运行维护管理目标</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全面贯彻质量方针、建立符合国家标准且适合于</w:t>
      </w:r>
      <w:r>
        <w:rPr>
          <w:rFonts w:hint="eastAsia" w:ascii="仿宋" w:hAnsi="仿宋" w:eastAsia="仿宋" w:cs="仿宋"/>
          <w:sz w:val="32"/>
          <w:szCs w:val="32"/>
          <w:lang w:eastAsia="zh-CN"/>
        </w:rPr>
        <w:t>采购人</w:t>
      </w:r>
      <w:r>
        <w:rPr>
          <w:rFonts w:hint="eastAsia" w:ascii="仿宋" w:hAnsi="仿宋" w:eastAsia="仿宋" w:cs="仿宋"/>
          <w:sz w:val="32"/>
          <w:szCs w:val="32"/>
        </w:rPr>
        <w:t>监管—</w:t>
      </w:r>
      <w:r>
        <w:rPr>
          <w:rFonts w:hint="eastAsia" w:ascii="仿宋" w:hAnsi="仿宋" w:eastAsia="仿宋" w:cs="仿宋"/>
          <w:sz w:val="32"/>
          <w:szCs w:val="32"/>
          <w:lang w:eastAsia="zh-CN"/>
        </w:rPr>
        <w:t>中标人</w:t>
      </w:r>
      <w:r>
        <w:rPr>
          <w:rFonts w:hint="eastAsia" w:ascii="仿宋" w:hAnsi="仿宋" w:eastAsia="仿宋" w:cs="仿宋"/>
          <w:sz w:val="32"/>
          <w:szCs w:val="32"/>
        </w:rPr>
        <w:t>运维模式下的质量管理体系，提供及时、准确、有效的技术服务，不断提高水站的运行质量，确保水质自动站能够按照</w:t>
      </w:r>
      <w:r>
        <w:rPr>
          <w:rFonts w:hint="eastAsia" w:ascii="仿宋" w:hAnsi="仿宋" w:eastAsia="仿宋" w:cs="仿宋"/>
          <w:sz w:val="32"/>
          <w:szCs w:val="32"/>
          <w:lang w:eastAsia="zh-CN"/>
        </w:rPr>
        <w:t>采购人</w:t>
      </w:r>
      <w:r>
        <w:rPr>
          <w:rFonts w:hint="eastAsia" w:ascii="仿宋" w:hAnsi="仿宋" w:eastAsia="仿宋" w:cs="仿宋"/>
          <w:sz w:val="32"/>
          <w:szCs w:val="32"/>
        </w:rPr>
        <w:t>的技术要求，提供准确监测数据所必须达到的软、硬件环境，并达到以下指标：</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数据上传率达到90%以上（实际上传数据个数/应上传数据个数×100%。）；</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数据有效率达到90%以上（因子有效数据个数/上传数据个数×100%）；</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异常情况处理率100%。平均故障响应时间（∑故障排除时间 / 故障总次数）不超过4小时。（出现故障后，</w:t>
      </w:r>
      <w:r>
        <w:rPr>
          <w:rFonts w:hint="eastAsia" w:ascii="仿宋" w:hAnsi="仿宋" w:eastAsia="仿宋" w:cs="仿宋"/>
          <w:sz w:val="32"/>
          <w:szCs w:val="32"/>
          <w:lang w:eastAsia="zh-CN"/>
        </w:rPr>
        <w:t>采购人</w:t>
      </w:r>
      <w:r>
        <w:rPr>
          <w:rFonts w:hint="eastAsia" w:ascii="仿宋" w:hAnsi="仿宋" w:eastAsia="仿宋" w:cs="仿宋"/>
          <w:sz w:val="32"/>
          <w:szCs w:val="32"/>
        </w:rPr>
        <w:t>以任何方式通知</w:t>
      </w:r>
      <w:r>
        <w:rPr>
          <w:rFonts w:hint="eastAsia" w:ascii="仿宋" w:hAnsi="仿宋" w:eastAsia="仿宋" w:cs="仿宋"/>
          <w:sz w:val="32"/>
          <w:szCs w:val="32"/>
          <w:lang w:eastAsia="zh-CN"/>
        </w:rPr>
        <w:t>中标人</w:t>
      </w:r>
      <w:r>
        <w:rPr>
          <w:rFonts w:hint="eastAsia" w:ascii="仿宋" w:hAnsi="仿宋" w:eastAsia="仿宋" w:cs="仿宋"/>
          <w:sz w:val="32"/>
          <w:szCs w:val="32"/>
        </w:rPr>
        <w:t>，</w:t>
      </w:r>
      <w:r>
        <w:rPr>
          <w:rFonts w:hint="eastAsia" w:ascii="仿宋" w:hAnsi="仿宋" w:eastAsia="仿宋" w:cs="仿宋"/>
          <w:sz w:val="32"/>
          <w:szCs w:val="32"/>
          <w:lang w:eastAsia="zh-CN"/>
        </w:rPr>
        <w:t>中标人</w:t>
      </w:r>
      <w:r>
        <w:rPr>
          <w:rFonts w:hint="eastAsia" w:ascii="仿宋" w:hAnsi="仿宋" w:eastAsia="仿宋" w:cs="仿宋"/>
          <w:sz w:val="32"/>
          <w:szCs w:val="32"/>
        </w:rPr>
        <w:t>必需在规定时间以内到达现场进行故障排除）。</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注：1.不可抗力（如雷电、洪水、旱灾，火灾、断流等）造成系统无法运行、数据的缺失不计入统计考核指标。</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2.突发事件（如偷盗、光纤故障，停电等）造成系统无法运行、数据的缺失不计入统计考核指标。</w:t>
      </w:r>
    </w:p>
    <w:p>
      <w:pPr>
        <w:adjustRightInd w:val="0"/>
        <w:snapToGrid w:val="0"/>
        <w:spacing w:line="360" w:lineRule="auto"/>
        <w:rPr>
          <w:rFonts w:hint="eastAsia" w:ascii="仿宋" w:hAnsi="仿宋" w:eastAsia="仿宋" w:cs="仿宋"/>
          <w:b/>
          <w:bCs/>
          <w:sz w:val="32"/>
          <w:szCs w:val="32"/>
        </w:rPr>
      </w:pP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.2 水站运行质量管理</w:t>
      </w:r>
    </w:p>
    <w:p>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 xml:space="preserve">.2.1 </w:t>
      </w:r>
      <w:r>
        <w:rPr>
          <w:rFonts w:hint="eastAsia" w:ascii="仿宋" w:hAnsi="仿宋" w:eastAsia="仿宋" w:cs="仿宋"/>
          <w:bCs/>
          <w:sz w:val="32"/>
          <w:szCs w:val="32"/>
          <w:lang w:eastAsia="zh-CN"/>
        </w:rPr>
        <w:t>中标人</w:t>
      </w:r>
      <w:r>
        <w:rPr>
          <w:rFonts w:hint="eastAsia" w:ascii="仿宋" w:hAnsi="仿宋" w:eastAsia="仿宋" w:cs="仿宋"/>
          <w:sz w:val="32"/>
          <w:szCs w:val="32"/>
        </w:rPr>
        <w:t>定期对本单位开展地表水自动监测人员进行技术培训和技术指导，培训情况上报</w:t>
      </w:r>
      <w:r>
        <w:rPr>
          <w:rFonts w:hint="eastAsia" w:ascii="仿宋" w:hAnsi="仿宋" w:eastAsia="仿宋" w:cs="仿宋"/>
          <w:bCs/>
          <w:sz w:val="32"/>
          <w:szCs w:val="32"/>
          <w:lang w:eastAsia="zh-CN"/>
        </w:rPr>
        <w:t>采购人</w:t>
      </w:r>
      <w:r>
        <w:rPr>
          <w:rFonts w:hint="eastAsia" w:ascii="仿宋" w:hAnsi="仿宋" w:eastAsia="仿宋" w:cs="仿宋"/>
          <w:sz w:val="32"/>
          <w:szCs w:val="32"/>
        </w:rPr>
        <w:t>备案。</w:t>
      </w:r>
    </w:p>
    <w:p>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.2.2</w:t>
      </w:r>
      <w:r>
        <w:rPr>
          <w:rFonts w:hint="eastAsia" w:ascii="仿宋" w:hAnsi="仿宋" w:eastAsia="仿宋" w:cs="仿宋"/>
          <w:sz w:val="32"/>
          <w:szCs w:val="32"/>
          <w:lang w:eastAsia="zh-CN"/>
        </w:rPr>
        <w:t>中标人</w:t>
      </w:r>
      <w:r>
        <w:rPr>
          <w:rFonts w:hint="eastAsia" w:ascii="仿宋" w:hAnsi="仿宋" w:eastAsia="仿宋" w:cs="仿宋"/>
          <w:sz w:val="32"/>
          <w:szCs w:val="32"/>
        </w:rPr>
        <w:t>质量管理人员负责履行省控水站日常运行的质量管理和技术要求，确保水站质量保证和控制措施落实到位，水站数据质量准确可靠；</w:t>
      </w:r>
      <w:r>
        <w:rPr>
          <w:rFonts w:hint="eastAsia" w:ascii="仿宋" w:hAnsi="仿宋" w:eastAsia="仿宋" w:cs="仿宋"/>
          <w:sz w:val="32"/>
          <w:szCs w:val="32"/>
          <w:lang w:eastAsia="zh-CN"/>
        </w:rPr>
        <w:t>采购人</w:t>
      </w:r>
      <w:r>
        <w:rPr>
          <w:rFonts w:hint="eastAsia" w:ascii="仿宋" w:hAnsi="仿宋" w:eastAsia="仿宋" w:cs="仿宋"/>
          <w:sz w:val="32"/>
          <w:szCs w:val="32"/>
        </w:rPr>
        <w:t>对省控水站质量管理工作进行监督。</w:t>
      </w:r>
    </w:p>
    <w:p>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 xml:space="preserve">.2.3 </w:t>
      </w:r>
      <w:r>
        <w:rPr>
          <w:rFonts w:hint="eastAsia" w:ascii="仿宋" w:hAnsi="仿宋" w:eastAsia="仿宋" w:cs="仿宋"/>
          <w:sz w:val="32"/>
          <w:szCs w:val="32"/>
          <w:lang w:eastAsia="zh-CN"/>
        </w:rPr>
        <w:t>中标人</w:t>
      </w:r>
      <w:r>
        <w:rPr>
          <w:rFonts w:hint="eastAsia" w:ascii="仿宋" w:hAnsi="仿宋" w:eastAsia="仿宋" w:cs="仿宋"/>
          <w:sz w:val="32"/>
          <w:szCs w:val="32"/>
        </w:rPr>
        <w:t>负责开展运维合同内规定的其它质量控制要求。</w:t>
      </w:r>
    </w:p>
    <w:p>
      <w:pPr>
        <w:pStyle w:val="11"/>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 xml:space="preserve">.2.4 </w:t>
      </w:r>
      <w:r>
        <w:rPr>
          <w:rFonts w:hint="eastAsia" w:ascii="仿宋" w:hAnsi="仿宋" w:eastAsia="仿宋" w:cs="仿宋"/>
          <w:sz w:val="32"/>
          <w:szCs w:val="32"/>
          <w:lang w:eastAsia="zh-CN"/>
        </w:rPr>
        <w:t>中标人</w:t>
      </w:r>
      <w:r>
        <w:rPr>
          <w:rFonts w:hint="eastAsia" w:ascii="仿宋" w:hAnsi="仿宋" w:eastAsia="仿宋" w:cs="仿宋"/>
          <w:sz w:val="32"/>
          <w:szCs w:val="32"/>
        </w:rPr>
        <w:t>应严格按照</w:t>
      </w:r>
      <w:r>
        <w:rPr>
          <w:rFonts w:hint="eastAsia" w:ascii="仿宋" w:hAnsi="仿宋" w:eastAsia="仿宋" w:cs="仿宋"/>
          <w:sz w:val="32"/>
          <w:szCs w:val="32"/>
          <w:lang w:eastAsia="zh-CN"/>
        </w:rPr>
        <w:t>采购人</w:t>
      </w:r>
      <w:r>
        <w:rPr>
          <w:rFonts w:hint="eastAsia" w:ascii="仿宋" w:hAnsi="仿宋" w:eastAsia="仿宋" w:cs="仿宋"/>
          <w:sz w:val="32"/>
          <w:szCs w:val="32"/>
        </w:rPr>
        <w:t>的要求，对水站实施“日监视、周巡检”的日常运行维护与管理。</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 每日上、下午登录数据监控平台，对水站数据上传网络平台情况进行监视，确保水站运行正常；通过视频监控系统，观察水站室内、外实时状况或选择观看历史视频数据，判官是否有异常情况，并填写《水站运维值班日志》。</w:t>
      </w:r>
    </w:p>
    <w:p>
      <w:pPr>
        <w:pStyle w:val="11"/>
        <w:spacing w:line="360" w:lineRule="auto"/>
        <w:rPr>
          <w:rFonts w:hint="eastAsia" w:ascii="仿宋" w:hAnsi="仿宋" w:eastAsia="仿宋" w:cs="仿宋"/>
          <w:sz w:val="32"/>
          <w:szCs w:val="32"/>
        </w:rPr>
      </w:pPr>
      <w:r>
        <w:rPr>
          <w:rFonts w:hint="eastAsia" w:ascii="仿宋" w:hAnsi="仿宋" w:eastAsia="仿宋" w:cs="仿宋"/>
          <w:sz w:val="32"/>
          <w:szCs w:val="32"/>
        </w:rPr>
        <w:t>（2）每周对水站至少进行一次现场巡检，对水站系统仪器设备进行现场质量控制，并通过工控机现场登录“河南省水质自动站运维质控管理系统”，按照要求认真填报水站相关情况。</w:t>
      </w:r>
    </w:p>
    <w:p>
      <w:pPr>
        <w:pStyle w:val="11"/>
        <w:spacing w:line="360" w:lineRule="auto"/>
        <w:rPr>
          <w:rFonts w:hint="eastAsia" w:ascii="仿宋" w:hAnsi="仿宋" w:eastAsia="仿宋" w:cs="仿宋"/>
          <w:sz w:val="32"/>
          <w:szCs w:val="32"/>
        </w:rPr>
      </w:pPr>
      <w:r>
        <w:rPr>
          <w:rFonts w:hint="eastAsia" w:ascii="仿宋" w:hAnsi="仿宋" w:eastAsia="仿宋" w:cs="仿宋"/>
          <w:sz w:val="32"/>
          <w:szCs w:val="32"/>
        </w:rPr>
        <w:t>（3）非巡检时间，水站系统若有异常情况发生应及时远程或到现场解决。</w:t>
      </w:r>
    </w:p>
    <w:p>
      <w:pPr>
        <w:pStyle w:val="11"/>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 xml:space="preserve">.2.5 </w:t>
      </w:r>
      <w:r>
        <w:rPr>
          <w:rFonts w:hint="eastAsia" w:ascii="仿宋" w:hAnsi="仿宋" w:eastAsia="仿宋" w:cs="仿宋"/>
          <w:sz w:val="32"/>
          <w:szCs w:val="32"/>
          <w:lang w:eastAsia="zh-CN"/>
        </w:rPr>
        <w:t>中标人</w:t>
      </w:r>
      <w:r>
        <w:rPr>
          <w:rFonts w:hint="eastAsia" w:ascii="仿宋" w:hAnsi="仿宋" w:eastAsia="仿宋" w:cs="仿宋"/>
          <w:sz w:val="32"/>
          <w:szCs w:val="32"/>
        </w:rPr>
        <w:t>应严格按照</w:t>
      </w:r>
      <w:r>
        <w:rPr>
          <w:rFonts w:hint="eastAsia" w:ascii="仿宋" w:hAnsi="仿宋" w:eastAsia="仿宋" w:cs="仿宋"/>
          <w:sz w:val="32"/>
          <w:szCs w:val="32"/>
          <w:lang w:eastAsia="zh-CN"/>
        </w:rPr>
        <w:t>采购人</w:t>
      </w:r>
      <w:r>
        <w:rPr>
          <w:rFonts w:hint="eastAsia" w:ascii="仿宋" w:hAnsi="仿宋" w:eastAsia="仿宋" w:cs="仿宋"/>
          <w:sz w:val="32"/>
          <w:szCs w:val="32"/>
        </w:rPr>
        <w:t>的要求，落实水站 “单周比对、双周核查”等质量管理措施。</w:t>
      </w:r>
    </w:p>
    <w:p>
      <w:pPr>
        <w:snapToGrid w:val="0"/>
        <w:spacing w:line="360" w:lineRule="auto"/>
        <w:ind w:firstLine="960" w:firstLineChars="300"/>
        <w:jc w:val="left"/>
        <w:rPr>
          <w:rFonts w:hint="eastAsia" w:ascii="仿宋" w:hAnsi="仿宋" w:eastAsia="仿宋" w:cs="仿宋"/>
          <w:sz w:val="32"/>
          <w:szCs w:val="32"/>
        </w:rPr>
      </w:pPr>
      <w:r>
        <w:rPr>
          <w:rFonts w:hint="eastAsia" w:ascii="仿宋" w:hAnsi="仿宋" w:eastAsia="仿宋" w:cs="仿宋"/>
          <w:sz w:val="32"/>
          <w:szCs w:val="32"/>
        </w:rPr>
        <w:t>1、 每年度单周进行1次化学需氧量、氨氮、总磷的国家标准分析方法与自动监测的比对实验，自动监测数据与实验室同步分析实际水样测试数据进行比对，比对实验结果相对误差按照河南省水质自动监测数据有效性判定原则执行：</w:t>
      </w:r>
    </w:p>
    <w:p>
      <w:pPr>
        <w:snapToGri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（1）当自动监测数据和实验室监测数据同时在Ⅲ类（即COD≤20mg/L,氨氮≤1.0mg/L，总磷≤0.2mg/L）以内时，不考虑允许相对误差，认为自动监测数据有效。</w:t>
      </w:r>
    </w:p>
    <w:p>
      <w:pPr>
        <w:snapToGri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（2）当水质为Ⅳ类（即COD≤30mg/L,氨氮≤1.5mg/L，总磷≤0.3mg/L）时，允许相对误差为50%。</w:t>
      </w:r>
    </w:p>
    <w:p>
      <w:pPr>
        <w:snapToGri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（3）当水质为Ⅴ类（即COD≤40mg/L,氨氮≤2mg/L，总磷≤0.4mg/L）时，允许相对误差为30%。</w:t>
      </w:r>
    </w:p>
    <w:p>
      <w:pPr>
        <w:snapToGri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（4）当水质为劣Ⅴ类（即COD＞40mg/L,氨氮＞2mg/L，总磷＞0.4mg/L）时，允许相对误差为20%。</w:t>
      </w:r>
    </w:p>
    <w:p>
      <w:pPr>
        <w:snapToGri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2、  每年度双周对氨氮、总有机碳、总磷进行一次标准溶液核查；每月对pH值、电导率、重金属监测仪器做一次标准溶液核查；相对误差≤±10%、pH值≤±0.05个单位。</w:t>
      </w:r>
    </w:p>
    <w:p>
      <w:pPr>
        <w:snapToGri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 xml:space="preserve">.2.6 </w:t>
      </w:r>
      <w:r>
        <w:rPr>
          <w:rFonts w:hint="eastAsia" w:ascii="仿宋" w:hAnsi="仿宋" w:eastAsia="仿宋" w:cs="仿宋"/>
          <w:bCs/>
          <w:sz w:val="32"/>
          <w:szCs w:val="32"/>
          <w:lang w:eastAsia="zh-CN"/>
        </w:rPr>
        <w:t>中标人</w:t>
      </w:r>
      <w:r>
        <w:rPr>
          <w:rFonts w:hint="eastAsia" w:ascii="仿宋" w:hAnsi="仿宋" w:eastAsia="仿宋" w:cs="仿宋"/>
          <w:sz w:val="32"/>
          <w:szCs w:val="32"/>
        </w:rPr>
        <w:t>每月对水温、pH、溶解氧、电导率等进行1次比对实验，自动监测结果与国家标准分析方法监测结果的相对误差≤±20%，pH值绝对误差≤±0.2个单位、</w:t>
      </w:r>
      <w:r>
        <w:rPr>
          <w:rFonts w:hint="eastAsia" w:ascii="仿宋" w:hAnsi="仿宋" w:eastAsia="仿宋" w:cs="仿宋"/>
          <w:kern w:val="0"/>
          <w:sz w:val="32"/>
          <w:szCs w:val="32"/>
        </w:rPr>
        <w:t>DO绝对误差</w:t>
      </w:r>
      <w:r>
        <w:rPr>
          <w:rFonts w:hint="eastAsia" w:ascii="仿宋" w:hAnsi="仿宋" w:eastAsia="仿宋" w:cs="仿宋"/>
          <w:sz w:val="32"/>
          <w:szCs w:val="32"/>
        </w:rPr>
        <w:t>≤</w:t>
      </w:r>
      <w:r>
        <w:rPr>
          <w:rFonts w:hint="eastAsia" w:ascii="仿宋" w:hAnsi="仿宋" w:eastAsia="仿宋" w:cs="仿宋"/>
          <w:kern w:val="0"/>
          <w:sz w:val="32"/>
          <w:szCs w:val="32"/>
        </w:rPr>
        <w:t>±0.5mg/L、</w:t>
      </w:r>
      <w:r>
        <w:rPr>
          <w:rFonts w:hint="eastAsia" w:ascii="仿宋" w:hAnsi="仿宋" w:eastAsia="仿宋" w:cs="仿宋"/>
          <w:sz w:val="32"/>
          <w:szCs w:val="32"/>
        </w:rPr>
        <w:t>水温绝对误差≤±0.5℃。</w:t>
      </w:r>
    </w:p>
    <w:p>
      <w:pPr>
        <w:snapToGri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 xml:space="preserve">.2.7 </w:t>
      </w:r>
      <w:r>
        <w:rPr>
          <w:rFonts w:hint="eastAsia" w:ascii="仿宋" w:hAnsi="仿宋" w:eastAsia="仿宋" w:cs="仿宋"/>
          <w:bCs/>
          <w:sz w:val="32"/>
          <w:szCs w:val="32"/>
          <w:lang w:eastAsia="zh-CN"/>
        </w:rPr>
        <w:t>中标人</w:t>
      </w:r>
      <w:r>
        <w:rPr>
          <w:rFonts w:hint="eastAsia" w:ascii="仿宋" w:hAnsi="仿宋" w:eastAsia="仿宋" w:cs="仿宋"/>
          <w:sz w:val="32"/>
          <w:szCs w:val="32"/>
        </w:rPr>
        <w:t>每月对特殊项目</w:t>
      </w:r>
      <w:r>
        <w:rPr>
          <w:rFonts w:hint="eastAsia" w:ascii="仿宋" w:hAnsi="仿宋" w:eastAsia="仿宋" w:cs="仿宋"/>
          <w:bCs/>
          <w:sz w:val="32"/>
          <w:szCs w:val="32"/>
        </w:rPr>
        <w:t>重金属、氰化物、挥发性有机物</w:t>
      </w:r>
      <w:r>
        <w:rPr>
          <w:rFonts w:hint="eastAsia" w:ascii="仿宋" w:hAnsi="仿宋" w:eastAsia="仿宋" w:cs="仿宋"/>
          <w:sz w:val="32"/>
          <w:szCs w:val="32"/>
        </w:rPr>
        <w:t>等在线分析仪器进行1次比对实验，自动监测结果与国家标准分析方法监测结果的相对误差≤±20%。</w:t>
      </w:r>
    </w:p>
    <w:p>
      <w:pPr>
        <w:snapToGri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 xml:space="preserve">.2.8 </w:t>
      </w:r>
      <w:r>
        <w:rPr>
          <w:rFonts w:hint="eastAsia" w:ascii="仿宋" w:hAnsi="仿宋" w:eastAsia="仿宋" w:cs="仿宋"/>
          <w:bCs/>
          <w:sz w:val="32"/>
          <w:szCs w:val="32"/>
          <w:lang w:eastAsia="zh-CN"/>
        </w:rPr>
        <w:t>中标人</w:t>
      </w:r>
      <w:r>
        <w:rPr>
          <w:rFonts w:hint="eastAsia" w:ascii="仿宋" w:hAnsi="仿宋" w:eastAsia="仿宋" w:cs="仿宋"/>
          <w:sz w:val="32"/>
          <w:szCs w:val="32"/>
        </w:rPr>
        <w:t>每个月对自动站监测仪器至少进行一次TOC、氨氮、总磷等分析仪器零点和量程校正，并校验TOC与化学需氧量的换算系数并编写《TOC-COD转换系数报告》。</w:t>
      </w:r>
    </w:p>
    <w:p>
      <w:pPr>
        <w:snapToGri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（1） </w:t>
      </w:r>
      <w:r>
        <w:rPr>
          <w:rFonts w:hint="eastAsia" w:ascii="仿宋" w:hAnsi="仿宋" w:eastAsia="仿宋" w:cs="仿宋"/>
          <w:bCs/>
          <w:sz w:val="32"/>
          <w:szCs w:val="32"/>
          <w:lang w:eastAsia="zh-CN"/>
        </w:rPr>
        <w:t>中标人</w:t>
      </w:r>
      <w:r>
        <w:rPr>
          <w:rFonts w:hint="eastAsia" w:ascii="仿宋" w:hAnsi="仿宋" w:eastAsia="仿宋" w:cs="仿宋"/>
          <w:sz w:val="32"/>
          <w:szCs w:val="32"/>
        </w:rPr>
        <w:t>在枯水期、平水期和丰水期分别进行TOC-COD转换曲线的比对实验，根据实验结果计算TOC-COD转换曲线的换算系数。</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（2） </w:t>
      </w:r>
      <w:r>
        <w:rPr>
          <w:rFonts w:hint="eastAsia" w:ascii="仿宋" w:hAnsi="仿宋" w:eastAsia="仿宋" w:cs="仿宋"/>
          <w:bCs/>
          <w:sz w:val="32"/>
          <w:szCs w:val="32"/>
          <w:lang w:eastAsia="zh-CN"/>
        </w:rPr>
        <w:t>中标人</w:t>
      </w:r>
      <w:r>
        <w:rPr>
          <w:rFonts w:hint="eastAsia" w:ascii="仿宋" w:hAnsi="仿宋" w:eastAsia="仿宋" w:cs="仿宋"/>
          <w:sz w:val="32"/>
          <w:szCs w:val="32"/>
        </w:rPr>
        <w:t>总有机碳与化学需氧量进行转换系数的比对实验结果、转换系数的更改需经</w:t>
      </w:r>
      <w:r>
        <w:rPr>
          <w:rFonts w:hint="eastAsia" w:ascii="仿宋" w:hAnsi="仿宋" w:eastAsia="仿宋" w:cs="仿宋"/>
          <w:bCs/>
          <w:sz w:val="32"/>
          <w:szCs w:val="32"/>
          <w:lang w:eastAsia="zh-CN"/>
        </w:rPr>
        <w:t>采购人</w:t>
      </w:r>
      <w:r>
        <w:rPr>
          <w:rFonts w:hint="eastAsia" w:ascii="仿宋" w:hAnsi="仿宋" w:eastAsia="仿宋" w:cs="仿宋"/>
          <w:sz w:val="32"/>
          <w:szCs w:val="32"/>
        </w:rPr>
        <w:t>批准后实施。</w:t>
      </w:r>
    </w:p>
    <w:p>
      <w:pPr>
        <w:snapToGrid w:val="0"/>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.2.9 在线监测仪器期间核查</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bCs/>
          <w:sz w:val="32"/>
          <w:szCs w:val="32"/>
          <w:lang w:eastAsia="zh-CN"/>
        </w:rPr>
        <w:t>中标人</w:t>
      </w:r>
      <w:r>
        <w:rPr>
          <w:rFonts w:hint="eastAsia" w:ascii="仿宋" w:hAnsi="仿宋" w:eastAsia="仿宋" w:cs="仿宋"/>
          <w:sz w:val="32"/>
          <w:szCs w:val="32"/>
        </w:rPr>
        <w:t>每半年对监测仪器进行1次期间核查。</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（2）每年进行1次检定或校准。</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（3） </w:t>
      </w:r>
      <w:r>
        <w:rPr>
          <w:rFonts w:hint="eastAsia" w:ascii="仿宋" w:hAnsi="仿宋" w:eastAsia="仿宋" w:cs="仿宋"/>
          <w:bCs/>
          <w:sz w:val="32"/>
          <w:szCs w:val="32"/>
          <w:lang w:eastAsia="zh-CN"/>
        </w:rPr>
        <w:t>中标人</w:t>
      </w:r>
      <w:r>
        <w:rPr>
          <w:rFonts w:hint="eastAsia" w:ascii="仿宋" w:hAnsi="仿宋" w:eastAsia="仿宋" w:cs="仿宋"/>
          <w:sz w:val="32"/>
          <w:szCs w:val="32"/>
        </w:rPr>
        <w:t>应定期维护仪器设备，在仪器发生故障时，能及时发现和维修，修复后及时仪器进行重新检定或校准，并进行仪器性能测试，确保监测仪器在正常状态下工作。</w:t>
      </w:r>
    </w:p>
    <w:p>
      <w:pPr>
        <w:snapToGrid w:val="0"/>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.2.10 在线监测仪器性能测试</w:t>
      </w:r>
    </w:p>
    <w:p>
      <w:pPr>
        <w:snapToGrid w:val="0"/>
        <w:spacing w:line="360" w:lineRule="auto"/>
        <w:ind w:firstLine="320" w:firstLineChars="100"/>
        <w:rPr>
          <w:rFonts w:hint="eastAsia" w:ascii="仿宋" w:hAnsi="仿宋" w:eastAsia="仿宋" w:cs="仿宋"/>
          <w:sz w:val="32"/>
          <w:szCs w:val="32"/>
        </w:rPr>
      </w:pPr>
      <w:r>
        <w:rPr>
          <w:rFonts w:hint="eastAsia" w:ascii="仿宋" w:hAnsi="仿宋" w:eastAsia="仿宋" w:cs="仿宋"/>
          <w:sz w:val="32"/>
          <w:szCs w:val="32"/>
        </w:rPr>
        <w:t>（1） 精密度：连续测定同一水样6次，测定结果相对标准偏差≤±10%；</w:t>
      </w:r>
    </w:p>
    <w:p>
      <w:pPr>
        <w:snapToGrid w:val="0"/>
        <w:spacing w:line="360" w:lineRule="auto"/>
        <w:ind w:firstLine="320" w:firstLineChars="100"/>
        <w:rPr>
          <w:rFonts w:hint="eastAsia" w:ascii="仿宋" w:hAnsi="仿宋" w:eastAsia="仿宋" w:cs="仿宋"/>
          <w:sz w:val="32"/>
          <w:szCs w:val="32"/>
        </w:rPr>
      </w:pPr>
      <w:r>
        <w:rPr>
          <w:rFonts w:hint="eastAsia" w:ascii="仿宋" w:hAnsi="仿宋" w:eastAsia="仿宋" w:cs="仿宋"/>
          <w:sz w:val="32"/>
          <w:szCs w:val="32"/>
        </w:rPr>
        <w:t>（2）准确度：连续测定同一标准样品6次，测定结果相对误差≤±10%。</w:t>
      </w:r>
    </w:p>
    <w:p>
      <w:pPr>
        <w:snapToGrid w:val="0"/>
        <w:spacing w:line="360" w:lineRule="auto"/>
        <w:ind w:firstLine="320" w:firstLineChars="1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 xml:space="preserve">.2.11 </w:t>
      </w:r>
      <w:r>
        <w:rPr>
          <w:rFonts w:hint="eastAsia" w:ascii="仿宋" w:hAnsi="仿宋" w:eastAsia="仿宋" w:cs="仿宋"/>
          <w:sz w:val="32"/>
          <w:szCs w:val="32"/>
          <w:lang w:eastAsia="zh-CN"/>
        </w:rPr>
        <w:t>中标人</w:t>
      </w:r>
      <w:r>
        <w:rPr>
          <w:rFonts w:hint="eastAsia" w:ascii="仿宋" w:hAnsi="仿宋" w:eastAsia="仿宋" w:cs="仿宋"/>
          <w:sz w:val="32"/>
          <w:szCs w:val="32"/>
        </w:rPr>
        <w:t>每年对监测仪器进行1次3-5个浓度点的多点校准。</w:t>
      </w:r>
    </w:p>
    <w:p>
      <w:pPr>
        <w:snapToGrid w:val="0"/>
        <w:spacing w:line="360" w:lineRule="auto"/>
        <w:ind w:firstLine="321" w:firstLineChars="100"/>
        <w:rPr>
          <w:rFonts w:hint="eastAsia" w:ascii="仿宋" w:hAnsi="仿宋" w:eastAsia="仿宋" w:cs="仿宋"/>
          <w:b/>
          <w:bCs/>
          <w:sz w:val="32"/>
          <w:szCs w:val="32"/>
        </w:rPr>
      </w:pP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.3 试剂质量要求</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水站所用试剂必须为分析纯或优级纯级别，且未失效；所用纯水或超纯水须达到相关技术要求。</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.3.1 标准溶液和试剂的配制按计量认证的要求进行；</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.3.2 标准贮备液在冷藏柜（4℃）中保存期限一般不得超过一年；</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.3.3 标准使用液在冷藏柜（4℃）中贮存期除有明确的规定外，一般不得超过三个月，或根据需要临用现配；</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.3.4 水站仪器所用试剂更换周期应根据试剂稳定性有所区别，一般不超过两星期，最长不得超过一个月，总磷总氮仪器所用抗坏血酸试剂必须每半月更换一次（发现变色需随时更换）。</w:t>
      </w:r>
    </w:p>
    <w:p>
      <w:pPr>
        <w:snapToGrid w:val="0"/>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.4 质量控制监督检查</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.4.1</w:t>
      </w:r>
      <w:r>
        <w:rPr>
          <w:rFonts w:hint="eastAsia" w:ascii="仿宋" w:hAnsi="仿宋" w:eastAsia="仿宋" w:cs="仿宋"/>
          <w:sz w:val="32"/>
          <w:szCs w:val="32"/>
          <w:lang w:eastAsia="zh-CN"/>
        </w:rPr>
        <w:t>采购人</w:t>
      </w:r>
      <w:r>
        <w:rPr>
          <w:rFonts w:hint="eastAsia" w:ascii="仿宋" w:hAnsi="仿宋" w:eastAsia="仿宋" w:cs="仿宋"/>
          <w:sz w:val="32"/>
          <w:szCs w:val="32"/>
        </w:rPr>
        <w:t>对</w:t>
      </w:r>
      <w:r>
        <w:rPr>
          <w:rFonts w:hint="eastAsia" w:ascii="仿宋" w:hAnsi="仿宋" w:eastAsia="仿宋" w:cs="仿宋"/>
          <w:sz w:val="32"/>
          <w:szCs w:val="32"/>
          <w:lang w:eastAsia="zh-CN"/>
        </w:rPr>
        <w:t>中标人</w:t>
      </w:r>
      <w:r>
        <w:rPr>
          <w:rFonts w:hint="eastAsia" w:ascii="仿宋" w:hAnsi="仿宋" w:eastAsia="仿宋" w:cs="仿宋"/>
          <w:sz w:val="32"/>
          <w:szCs w:val="32"/>
        </w:rPr>
        <w:t>运维水站的运行情况、自动监测数据质量进行定期或不定期的专项检查。</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 xml:space="preserve">.4.2 </w:t>
      </w:r>
      <w:r>
        <w:rPr>
          <w:rFonts w:hint="eastAsia" w:ascii="仿宋" w:hAnsi="仿宋" w:eastAsia="仿宋" w:cs="仿宋"/>
          <w:sz w:val="32"/>
          <w:szCs w:val="32"/>
          <w:lang w:eastAsia="zh-CN"/>
        </w:rPr>
        <w:t>采购人</w:t>
      </w:r>
      <w:r>
        <w:rPr>
          <w:rFonts w:hint="eastAsia" w:ascii="仿宋" w:hAnsi="仿宋" w:eastAsia="仿宋" w:cs="仿宋"/>
          <w:sz w:val="32"/>
          <w:szCs w:val="32"/>
        </w:rPr>
        <w:t>对</w:t>
      </w:r>
      <w:r>
        <w:rPr>
          <w:rFonts w:hint="eastAsia" w:ascii="仿宋" w:hAnsi="仿宋" w:eastAsia="仿宋" w:cs="仿宋"/>
          <w:sz w:val="32"/>
          <w:szCs w:val="32"/>
          <w:lang w:eastAsia="zh-CN"/>
        </w:rPr>
        <w:t>中标人</w:t>
      </w:r>
      <w:r>
        <w:rPr>
          <w:rFonts w:hint="eastAsia" w:ascii="仿宋" w:hAnsi="仿宋" w:eastAsia="仿宋" w:cs="仿宋"/>
          <w:sz w:val="32"/>
          <w:szCs w:val="32"/>
        </w:rPr>
        <w:t>运维水站实施现场质量管理检查与现场质控考核的飞行巡检。</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 xml:space="preserve">.4.3 </w:t>
      </w:r>
      <w:r>
        <w:rPr>
          <w:rFonts w:hint="eastAsia" w:ascii="仿宋" w:hAnsi="仿宋" w:eastAsia="仿宋" w:cs="仿宋"/>
          <w:sz w:val="32"/>
          <w:szCs w:val="32"/>
          <w:lang w:eastAsia="zh-CN"/>
        </w:rPr>
        <w:t>采购人</w:t>
      </w:r>
      <w:r>
        <w:rPr>
          <w:rFonts w:hint="eastAsia" w:ascii="仿宋" w:hAnsi="仿宋" w:eastAsia="仿宋" w:cs="仿宋"/>
          <w:sz w:val="32"/>
          <w:szCs w:val="32"/>
        </w:rPr>
        <w:t>对</w:t>
      </w:r>
      <w:r>
        <w:rPr>
          <w:rFonts w:hint="eastAsia" w:ascii="仿宋" w:hAnsi="仿宋" w:eastAsia="仿宋" w:cs="仿宋"/>
          <w:sz w:val="32"/>
          <w:szCs w:val="32"/>
          <w:lang w:eastAsia="zh-CN"/>
        </w:rPr>
        <w:t>中标人</w:t>
      </w:r>
      <w:r>
        <w:rPr>
          <w:rFonts w:hint="eastAsia" w:ascii="仿宋" w:hAnsi="仿宋" w:eastAsia="仿宋" w:cs="仿宋"/>
          <w:sz w:val="32"/>
          <w:szCs w:val="32"/>
        </w:rPr>
        <w:t>不定期进行能力验证考核。</w:t>
      </w:r>
    </w:p>
    <w:p>
      <w:pPr>
        <w:adjustRightInd w:val="0"/>
        <w:snapToGrid w:val="0"/>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.5 水站运行异常情况报告</w:t>
      </w:r>
    </w:p>
    <w:p>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.5.1 发生下列情况导致水站不能正常运行的，</w:t>
      </w:r>
      <w:r>
        <w:rPr>
          <w:rFonts w:hint="eastAsia" w:ascii="仿宋" w:hAnsi="仿宋" w:eastAsia="仿宋" w:cs="仿宋"/>
          <w:b/>
          <w:bCs/>
          <w:sz w:val="32"/>
          <w:szCs w:val="32"/>
          <w:lang w:eastAsia="zh-CN"/>
        </w:rPr>
        <w:t>中标人</w:t>
      </w:r>
      <w:r>
        <w:rPr>
          <w:rFonts w:hint="eastAsia" w:ascii="仿宋" w:hAnsi="仿宋" w:eastAsia="仿宋" w:cs="仿宋"/>
          <w:sz w:val="32"/>
          <w:szCs w:val="32"/>
        </w:rPr>
        <w:t>应及时向</w:t>
      </w:r>
      <w:r>
        <w:rPr>
          <w:rFonts w:hint="eastAsia" w:ascii="仿宋" w:hAnsi="仿宋" w:eastAsia="仿宋" w:cs="仿宋"/>
          <w:b/>
          <w:bCs/>
          <w:sz w:val="32"/>
          <w:szCs w:val="32"/>
          <w:lang w:eastAsia="zh-CN"/>
        </w:rPr>
        <w:t>采购人</w:t>
      </w:r>
      <w:r>
        <w:rPr>
          <w:rFonts w:hint="eastAsia" w:ascii="仿宋" w:hAnsi="仿宋" w:eastAsia="仿宋" w:cs="仿宋"/>
          <w:sz w:val="32"/>
          <w:szCs w:val="32"/>
        </w:rPr>
        <w:t>报告并采取相应措施;</w:t>
      </w:r>
    </w:p>
    <w:p>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（1）水站当地进行建设施工，水站在短期内无法运行的。</w:t>
      </w:r>
    </w:p>
    <w:p>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（2）水站当地供电系统发生故障，影响水质报告发布的。</w:t>
      </w:r>
    </w:p>
    <w:p>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（3）取水河段断流、河槽改道无法取水或水深低于50厘米影响取水水质的。</w:t>
      </w:r>
    </w:p>
    <w:p>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（4）水站系统发生故障，在短时间内不能恢复的。</w:t>
      </w:r>
    </w:p>
    <w:p>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（5）水站上游人为采取措施，阻断来水，影响水质监测的。</w:t>
      </w:r>
    </w:p>
    <w:p>
      <w:pPr>
        <w:snapToGrid w:val="0"/>
        <w:spacing w:after="156" w:afterLines="50"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.5.2 水质自动站出现系统或仪器故障，导致连续超过48h没有自动监测数据时，</w:t>
      </w:r>
      <w:r>
        <w:rPr>
          <w:rFonts w:hint="eastAsia" w:ascii="仿宋" w:hAnsi="仿宋" w:eastAsia="仿宋" w:cs="仿宋"/>
          <w:sz w:val="32"/>
          <w:szCs w:val="32"/>
          <w:lang w:eastAsia="zh-CN"/>
        </w:rPr>
        <w:t>中标人</w:t>
      </w:r>
      <w:r>
        <w:rPr>
          <w:rFonts w:hint="eastAsia" w:ascii="仿宋" w:hAnsi="仿宋" w:eastAsia="仿宋" w:cs="仿宋"/>
          <w:sz w:val="32"/>
          <w:szCs w:val="32"/>
        </w:rPr>
        <w:t>须提供备机。</w:t>
      </w:r>
    </w:p>
    <w:p>
      <w:pPr>
        <w:snapToGrid w:val="0"/>
        <w:spacing w:after="156" w:afterLines="50"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.5.3因客观原因导致水质自动站停电，整周无自动监测数据时，</w:t>
      </w:r>
      <w:r>
        <w:rPr>
          <w:rFonts w:hint="eastAsia" w:ascii="仿宋" w:hAnsi="仿宋" w:eastAsia="仿宋" w:cs="仿宋"/>
          <w:b/>
          <w:bCs/>
          <w:sz w:val="32"/>
          <w:szCs w:val="32"/>
          <w:lang w:eastAsia="zh-CN"/>
        </w:rPr>
        <w:t>中标人</w:t>
      </w:r>
      <w:r>
        <w:rPr>
          <w:rFonts w:hint="eastAsia" w:ascii="仿宋" w:hAnsi="仿宋" w:eastAsia="仿宋" w:cs="仿宋"/>
          <w:sz w:val="32"/>
          <w:szCs w:val="32"/>
        </w:rPr>
        <w:t>每周必须委托有资质的自动监测断面下游城市的环境监测站或第三方环境监测机构进行至少一次实验室分析测试。</w:t>
      </w:r>
    </w:p>
    <w:p>
      <w:pPr>
        <w:snapToGrid w:val="0"/>
        <w:spacing w:after="156" w:afterLines="50"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.5.4在线分析仪器及水站各系统备品备件、易耗品按照仪器说明书进行定时更换和随坏随换。</w:t>
      </w:r>
    </w:p>
    <w:p>
      <w:pPr>
        <w:snapToGrid w:val="0"/>
        <w:spacing w:after="156" w:afterLines="50"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.6 水站运维质量技术档案管理</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 xml:space="preserve">.6.1 </w:t>
      </w:r>
      <w:r>
        <w:rPr>
          <w:rFonts w:hint="eastAsia" w:ascii="仿宋" w:hAnsi="仿宋" w:eastAsia="仿宋" w:cs="仿宋"/>
          <w:sz w:val="32"/>
          <w:szCs w:val="32"/>
          <w:lang w:eastAsia="zh-CN"/>
        </w:rPr>
        <w:t>中标人</w:t>
      </w:r>
      <w:r>
        <w:rPr>
          <w:rFonts w:hint="eastAsia" w:ascii="仿宋" w:hAnsi="仿宋" w:eastAsia="仿宋" w:cs="仿宋"/>
          <w:sz w:val="32"/>
          <w:szCs w:val="32"/>
        </w:rPr>
        <w:t>建立水站运维技术人员动态档案，同时报送</w:t>
      </w:r>
      <w:r>
        <w:rPr>
          <w:rFonts w:hint="eastAsia" w:ascii="仿宋" w:hAnsi="仿宋" w:eastAsia="仿宋" w:cs="仿宋"/>
          <w:sz w:val="32"/>
          <w:szCs w:val="32"/>
          <w:lang w:eastAsia="zh-CN"/>
        </w:rPr>
        <w:t>采购人</w:t>
      </w:r>
      <w:r>
        <w:rPr>
          <w:rFonts w:hint="eastAsia" w:ascii="仿宋" w:hAnsi="仿宋" w:eastAsia="仿宋" w:cs="仿宋"/>
          <w:sz w:val="32"/>
          <w:szCs w:val="32"/>
        </w:rPr>
        <w:t>。</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 xml:space="preserve">.6.2 </w:t>
      </w:r>
      <w:r>
        <w:rPr>
          <w:rFonts w:hint="eastAsia" w:ascii="仿宋" w:hAnsi="仿宋" w:eastAsia="仿宋" w:cs="仿宋"/>
          <w:sz w:val="32"/>
          <w:szCs w:val="32"/>
          <w:lang w:eastAsia="zh-CN"/>
        </w:rPr>
        <w:t>中标人</w:t>
      </w:r>
      <w:r>
        <w:rPr>
          <w:rFonts w:hint="eastAsia" w:ascii="仿宋" w:hAnsi="仿宋" w:eastAsia="仿宋" w:cs="仿宋"/>
          <w:sz w:val="32"/>
          <w:szCs w:val="32"/>
        </w:rPr>
        <w:t>每月一次将水站监测相关数据备份，每季度结束将水站监测相关数据刻盘，归档保存。</w:t>
      </w:r>
    </w:p>
    <w:p>
      <w:pPr>
        <w:snapToGrid w:val="0"/>
        <w:spacing w:after="156" w:afterLines="50" w:line="360" w:lineRule="auto"/>
        <w:ind w:firstLine="643" w:firstLineChars="200"/>
        <w:rPr>
          <w:rFonts w:hint="eastAsia" w:ascii="仿宋" w:hAnsi="仿宋" w:eastAsia="仿宋" w:cs="仿宋"/>
          <w:sz w:val="32"/>
          <w:szCs w:val="32"/>
        </w:rPr>
      </w:pP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.7 水站运维质量控制计划和报告</w:t>
      </w:r>
    </w:p>
    <w:p>
      <w:pPr>
        <w:snapToGrid w:val="0"/>
        <w:spacing w:after="156" w:afterLines="50"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 xml:space="preserve">.7.1  </w:t>
      </w:r>
      <w:r>
        <w:rPr>
          <w:rFonts w:hint="eastAsia" w:ascii="仿宋" w:hAnsi="仿宋" w:eastAsia="仿宋" w:cs="仿宋"/>
          <w:sz w:val="32"/>
          <w:szCs w:val="32"/>
          <w:lang w:eastAsia="zh-CN"/>
        </w:rPr>
        <w:t>中标人</w:t>
      </w:r>
      <w:r>
        <w:rPr>
          <w:rFonts w:hint="eastAsia" w:ascii="仿宋" w:hAnsi="仿宋" w:eastAsia="仿宋" w:cs="仿宋"/>
          <w:sz w:val="32"/>
          <w:szCs w:val="32"/>
        </w:rPr>
        <w:t>应按</w:t>
      </w:r>
      <w:r>
        <w:rPr>
          <w:rFonts w:hint="eastAsia" w:ascii="仿宋" w:hAnsi="仿宋" w:eastAsia="仿宋" w:cs="仿宋"/>
          <w:sz w:val="32"/>
          <w:szCs w:val="32"/>
          <w:lang w:eastAsia="zh-CN"/>
        </w:rPr>
        <w:t>采购人</w:t>
      </w:r>
      <w:r>
        <w:rPr>
          <w:rFonts w:hint="eastAsia" w:ascii="仿宋" w:hAnsi="仿宋" w:eastAsia="仿宋" w:cs="仿宋"/>
          <w:sz w:val="32"/>
          <w:szCs w:val="32"/>
        </w:rPr>
        <w:t>要求认真编写水站运维质量控制计划和报告，并建立水站质控管理档案。</w:t>
      </w:r>
    </w:p>
    <w:p>
      <w:pPr>
        <w:snapToGrid w:val="0"/>
        <w:spacing w:after="156" w:afterLines="50"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rPr>
        <w:t>.7.2 按照要求编写水站运维年度质量保证工作计划并报送</w:t>
      </w:r>
      <w:r>
        <w:rPr>
          <w:rFonts w:hint="eastAsia" w:ascii="仿宋" w:hAnsi="仿宋" w:eastAsia="仿宋" w:cs="仿宋"/>
          <w:sz w:val="32"/>
          <w:szCs w:val="32"/>
          <w:lang w:eastAsia="zh-CN"/>
        </w:rPr>
        <w:t>采购人</w:t>
      </w:r>
    </w:p>
    <w:p>
      <w:pPr>
        <w:snapToGrid w:val="0"/>
        <w:spacing w:after="156" w:afterLines="50"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.7.</w:t>
      </w:r>
      <w:r>
        <w:rPr>
          <w:rFonts w:hint="eastAsia" w:ascii="仿宋" w:hAnsi="仿宋" w:eastAsia="仿宋" w:cs="仿宋"/>
          <w:sz w:val="32"/>
          <w:szCs w:val="32"/>
          <w:lang w:val="en-US" w:eastAsia="zh-CN"/>
        </w:rPr>
        <w:t>3</w:t>
      </w:r>
      <w:r>
        <w:rPr>
          <w:rFonts w:hint="eastAsia" w:ascii="仿宋" w:hAnsi="仿宋" w:eastAsia="仿宋" w:cs="仿宋"/>
          <w:sz w:val="32"/>
          <w:szCs w:val="32"/>
        </w:rPr>
        <w:t xml:space="preserve"> 每月结束三个工作日内编写、报送水站运维质量保证工作月报和自查报告。</w:t>
      </w:r>
    </w:p>
    <w:p>
      <w:pPr>
        <w:snapToGrid w:val="0"/>
        <w:spacing w:after="156" w:afterLines="50"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.7.</w:t>
      </w:r>
      <w:r>
        <w:rPr>
          <w:rFonts w:hint="eastAsia" w:ascii="仿宋" w:hAnsi="仿宋" w:eastAsia="仿宋" w:cs="仿宋"/>
          <w:sz w:val="32"/>
          <w:szCs w:val="32"/>
          <w:lang w:val="en-US" w:eastAsia="zh-CN"/>
        </w:rPr>
        <w:t>4</w:t>
      </w:r>
      <w:r>
        <w:rPr>
          <w:rFonts w:hint="eastAsia" w:ascii="仿宋" w:hAnsi="仿宋" w:eastAsia="仿宋" w:cs="仿宋"/>
          <w:sz w:val="32"/>
          <w:szCs w:val="32"/>
        </w:rPr>
        <w:t xml:space="preserve"> 每季度结束五个工作日内编写、报送水站运维质量保证工作季报。</w:t>
      </w:r>
    </w:p>
    <w:p>
      <w:pPr>
        <w:snapToGrid w:val="0"/>
        <w:spacing w:after="156" w:afterLines="50"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.7.</w:t>
      </w:r>
      <w:r>
        <w:rPr>
          <w:rFonts w:hint="eastAsia" w:ascii="仿宋" w:hAnsi="仿宋" w:eastAsia="仿宋" w:cs="仿宋"/>
          <w:sz w:val="32"/>
          <w:szCs w:val="32"/>
          <w:lang w:val="en-US" w:eastAsia="zh-CN"/>
        </w:rPr>
        <w:t>5</w:t>
      </w:r>
      <w:r>
        <w:rPr>
          <w:rFonts w:hint="eastAsia" w:ascii="仿宋" w:hAnsi="仿宋" w:eastAsia="仿宋" w:cs="仿宋"/>
          <w:sz w:val="32"/>
          <w:szCs w:val="32"/>
        </w:rPr>
        <w:t xml:space="preserve"> 半年结束五个工作日内编写、报送一次水站运维质量保证工作总结。</w:t>
      </w:r>
    </w:p>
    <w:p>
      <w:pPr>
        <w:spacing w:after="156" w:afterLines="50"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.7.</w:t>
      </w:r>
      <w:r>
        <w:rPr>
          <w:rFonts w:hint="eastAsia" w:ascii="仿宋" w:hAnsi="仿宋" w:eastAsia="仿宋" w:cs="仿宋"/>
          <w:sz w:val="32"/>
          <w:szCs w:val="32"/>
          <w:lang w:val="en-US" w:eastAsia="zh-CN"/>
        </w:rPr>
        <w:t>6</w:t>
      </w:r>
      <w:r>
        <w:rPr>
          <w:rFonts w:hint="eastAsia" w:ascii="仿宋" w:hAnsi="仿宋" w:eastAsia="仿宋" w:cs="仿宋"/>
          <w:sz w:val="32"/>
          <w:szCs w:val="32"/>
        </w:rPr>
        <w:t>每年度结束前15日，编写、报送当年度水站运维质量保证工作总结。包括年度质量保证工作计划、各项质控措施实施情况的记录，水站日常数据检查处理情况、标液及试剂配制情况、每周巡检情况、仪器维修校正情况、标准溶液的核查结果、能力验证与质控考核、比对实验的结果、TOC-COD转换曲线检查结果、自动监测系统日常运行情况等记录和年度质量保证工作总结。</w:t>
      </w:r>
    </w:p>
    <w:p>
      <w:pPr>
        <w:spacing w:after="156" w:afterLines="50" w:line="360" w:lineRule="auto"/>
        <w:rPr>
          <w:rFonts w:hint="eastAsia" w:ascii="仿宋" w:hAnsi="仿宋" w:eastAsia="仿宋" w:cs="仿宋"/>
          <w:b/>
          <w:bCs/>
          <w:sz w:val="32"/>
          <w:szCs w:val="32"/>
        </w:rPr>
      </w:pP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、运维工作要求</w:t>
      </w:r>
    </w:p>
    <w:p>
      <w:pPr>
        <w:spacing w:after="156" w:afterLines="50"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.1 根据环保部</w:t>
      </w:r>
      <w:r>
        <w:rPr>
          <w:rFonts w:hint="eastAsia" w:ascii="仿宋" w:hAnsi="仿宋" w:eastAsia="仿宋" w:cs="仿宋"/>
          <w:kern w:val="0"/>
          <w:sz w:val="32"/>
          <w:szCs w:val="32"/>
        </w:rPr>
        <w:t>《“十三五”环境监测质量管理工作方案》、</w:t>
      </w:r>
      <w:r>
        <w:rPr>
          <w:rFonts w:hint="eastAsia" w:ascii="仿宋" w:hAnsi="仿宋" w:eastAsia="仿宋" w:cs="仿宋"/>
          <w:sz w:val="32"/>
          <w:szCs w:val="32"/>
        </w:rPr>
        <w:t>《环境监测数据弄虚作假行为判定及处理办法》相关规定，环境监测机构与运维机构及其负责人对监测数据真实性和准确性负责。</w:t>
      </w:r>
      <w:r>
        <w:rPr>
          <w:rFonts w:hint="eastAsia" w:ascii="仿宋" w:hAnsi="仿宋" w:eastAsia="仿宋" w:cs="仿宋"/>
          <w:sz w:val="32"/>
          <w:szCs w:val="32"/>
          <w:lang w:eastAsia="zh-CN"/>
        </w:rPr>
        <w:t>采购人</w:t>
      </w:r>
      <w:r>
        <w:rPr>
          <w:rFonts w:hint="eastAsia" w:ascii="仿宋" w:hAnsi="仿宋" w:eastAsia="仿宋" w:cs="仿宋"/>
          <w:sz w:val="32"/>
          <w:szCs w:val="32"/>
        </w:rPr>
        <w:t>水站自动监测数据质量由</w:t>
      </w:r>
      <w:r>
        <w:rPr>
          <w:rFonts w:hint="eastAsia" w:ascii="仿宋" w:hAnsi="仿宋" w:eastAsia="仿宋" w:cs="仿宋"/>
          <w:sz w:val="32"/>
          <w:szCs w:val="32"/>
          <w:lang w:eastAsia="zh-CN"/>
        </w:rPr>
        <w:t>中标人</w:t>
      </w:r>
      <w:r>
        <w:rPr>
          <w:rFonts w:hint="eastAsia" w:ascii="仿宋" w:hAnsi="仿宋" w:eastAsia="仿宋" w:cs="仿宋"/>
          <w:sz w:val="32"/>
          <w:szCs w:val="32"/>
        </w:rPr>
        <w:t>负责。</w:t>
      </w:r>
    </w:p>
    <w:p>
      <w:pPr>
        <w:pStyle w:val="37"/>
        <w:spacing w:line="360" w:lineRule="auto"/>
        <w:ind w:firstLine="640" w:firstLineChars="200"/>
        <w:rPr>
          <w:rFonts w:hint="eastAsia" w:ascii="仿宋" w:hAnsi="仿宋" w:eastAsia="仿宋" w:cs="仿宋"/>
          <w:sz w:val="32"/>
          <w:szCs w:val="32"/>
        </w:rPr>
      </w:pPr>
    </w:p>
    <w:p>
      <w:pPr>
        <w:autoSpaceDE w:val="0"/>
        <w:autoSpaceDN w:val="0"/>
        <w:adjustRightInd w:val="0"/>
        <w:snapToGrid w:val="0"/>
        <w:spacing w:line="360" w:lineRule="auto"/>
        <w:jc w:val="left"/>
        <w:rPr>
          <w:rFonts w:hint="eastAsia" w:ascii="仿宋" w:hAnsi="仿宋" w:eastAsia="仿宋" w:cs="仿宋"/>
          <w:sz w:val="32"/>
          <w:szCs w:val="32"/>
        </w:rPr>
      </w:pPr>
      <w:r>
        <w:rPr>
          <w:rFonts w:hint="eastAsia" w:ascii="仿宋" w:hAnsi="仿宋" w:eastAsia="仿宋" w:cs="仿宋"/>
          <w:sz w:val="32"/>
          <w:szCs w:val="32"/>
          <w:lang w:val="en-US" w:eastAsia="zh-CN"/>
        </w:rPr>
        <w:t>5.2</w:t>
      </w:r>
      <w:r>
        <w:rPr>
          <w:rFonts w:hint="eastAsia" w:ascii="仿宋" w:hAnsi="仿宋" w:eastAsia="仿宋" w:cs="仿宋"/>
          <w:sz w:val="32"/>
          <w:szCs w:val="32"/>
        </w:rPr>
        <w:t xml:space="preserve"> 水站交接程序 </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在合同生效前</w:t>
      </w:r>
      <w:r>
        <w:rPr>
          <w:rFonts w:hint="eastAsia" w:ascii="仿宋" w:hAnsi="仿宋" w:eastAsia="仿宋" w:cs="仿宋"/>
          <w:sz w:val="32"/>
          <w:szCs w:val="32"/>
          <w:lang w:eastAsia="zh-CN"/>
        </w:rPr>
        <w:t>中标人</w:t>
      </w:r>
      <w:r>
        <w:rPr>
          <w:rFonts w:hint="eastAsia" w:ascii="仿宋" w:hAnsi="仿宋" w:eastAsia="仿宋" w:cs="仿宋"/>
          <w:sz w:val="32"/>
          <w:szCs w:val="32"/>
        </w:rPr>
        <w:t xml:space="preserve">应与采购人共同对水质自动监测系统的系统运行情况，仪器运行情况，数据采集情况进行实际考察，并且做好备案。 </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5.2</w:t>
      </w:r>
      <w:r>
        <w:rPr>
          <w:rFonts w:hint="eastAsia" w:ascii="仿宋" w:hAnsi="仿宋" w:eastAsia="仿宋" w:cs="仿宋"/>
          <w:sz w:val="32"/>
          <w:szCs w:val="32"/>
        </w:rPr>
        <w:t xml:space="preserve">.1 交接要求 交接包括站房主体和仪器设备等整个站点的交接： </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（1）站房主体符合规范要求，站房供电、通讯系统正常，防雷设备完好。 </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（2）各监测仪器、辅助设备与站点设备清单保持不变，数据采集和传输系统完好、运行正常。</w:t>
      </w:r>
    </w:p>
    <w:p>
      <w:pPr>
        <w:keepNext/>
        <w:keepLines/>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（3）当年的运行维护记录完整，各类证书有效。</w:t>
      </w:r>
    </w:p>
    <w:p>
      <w:pPr>
        <w:keepNext/>
        <w:keepLines/>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中标人</w:t>
      </w:r>
      <w:r>
        <w:rPr>
          <w:rFonts w:hint="eastAsia" w:ascii="仿宋" w:hAnsi="仿宋" w:eastAsia="仿宋" w:cs="仿宋"/>
          <w:sz w:val="32"/>
          <w:szCs w:val="32"/>
        </w:rPr>
        <w:t>应组织人员、车辆，在10个工作日内完成站点交接工作。</w:t>
      </w: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widowControl/>
        <w:shd w:val="clear" w:color="auto" w:fill="FFFFFF"/>
        <w:spacing w:line="360" w:lineRule="auto"/>
        <w:ind w:firstLine="600"/>
        <w:jc w:val="left"/>
        <w:rPr>
          <w:rFonts w:hint="eastAsia" w:ascii="仿宋" w:hAnsi="仿宋" w:eastAsia="仿宋" w:cs="仿宋"/>
          <w:b/>
          <w:bCs/>
          <w:i w:val="0"/>
          <w:color w:val="000000"/>
          <w:kern w:val="0"/>
          <w:sz w:val="32"/>
          <w:szCs w:val="32"/>
          <w:u w:val="none"/>
          <w:shd w:val="clear" w:color="auto" w:fill="FFFFFF"/>
          <w:lang w:val="en-US" w:eastAsia="zh-CN" w:bidi="ar"/>
        </w:rPr>
      </w:pPr>
      <w:r>
        <w:rPr>
          <w:rFonts w:hint="eastAsia" w:ascii="仿宋" w:hAnsi="仿宋" w:eastAsia="仿宋" w:cs="仿宋"/>
          <w:b/>
          <w:bCs/>
          <w:i w:val="0"/>
          <w:color w:val="000000"/>
          <w:kern w:val="0"/>
          <w:sz w:val="32"/>
          <w:szCs w:val="32"/>
          <w:u w:val="none"/>
          <w:shd w:val="clear" w:color="auto" w:fill="FFFFFF"/>
          <w:lang w:val="en-US" w:eastAsia="zh-CN" w:bidi="ar"/>
        </w:rPr>
        <w:t>B包：第三方比对检测及防雷设施检测及26个小型水站运维服务</w:t>
      </w:r>
    </w:p>
    <w:tbl>
      <w:tblPr>
        <w:tblStyle w:val="24"/>
        <w:tblW w:w="0" w:type="auto"/>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2415"/>
        <w:gridCol w:w="1005"/>
        <w:gridCol w:w="3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37" w:type="dxa"/>
            <w:noWrap w:val="0"/>
            <w:vAlign w:val="center"/>
          </w:tcPr>
          <w:p>
            <w:pPr>
              <w:pStyle w:val="2"/>
              <w:spacing w:line="240" w:lineRule="auto"/>
              <w:ind w:left="0" w:leftChars="0"/>
              <w:jc w:val="center"/>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序号</w:t>
            </w:r>
          </w:p>
        </w:tc>
        <w:tc>
          <w:tcPr>
            <w:tcW w:w="2415" w:type="dxa"/>
            <w:noWrap w:val="0"/>
            <w:vAlign w:val="center"/>
          </w:tcPr>
          <w:p>
            <w:pPr>
              <w:pStyle w:val="2"/>
              <w:spacing w:line="240" w:lineRule="auto"/>
              <w:ind w:left="0" w:leftChars="0"/>
              <w:jc w:val="center"/>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项目</w:t>
            </w:r>
          </w:p>
        </w:tc>
        <w:tc>
          <w:tcPr>
            <w:tcW w:w="1005" w:type="dxa"/>
            <w:noWrap w:val="0"/>
            <w:vAlign w:val="center"/>
          </w:tcPr>
          <w:p>
            <w:pPr>
              <w:pStyle w:val="2"/>
              <w:spacing w:line="240" w:lineRule="auto"/>
              <w:ind w:left="0" w:leftChars="0"/>
              <w:jc w:val="center"/>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服务年限</w:t>
            </w:r>
          </w:p>
        </w:tc>
        <w:tc>
          <w:tcPr>
            <w:tcW w:w="3945" w:type="dxa"/>
            <w:noWrap w:val="0"/>
            <w:vAlign w:val="center"/>
          </w:tcPr>
          <w:p>
            <w:pPr>
              <w:pStyle w:val="2"/>
              <w:spacing w:line="240" w:lineRule="auto"/>
              <w:ind w:left="0" w:leftChars="0"/>
              <w:jc w:val="center"/>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737" w:type="dxa"/>
            <w:noWrap w:val="0"/>
            <w:vAlign w:val="center"/>
          </w:tcPr>
          <w:p>
            <w:pPr>
              <w:pStyle w:val="2"/>
              <w:spacing w:line="240" w:lineRule="auto"/>
              <w:ind w:left="0" w:leftChars="0"/>
              <w:jc w:val="center"/>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1</w:t>
            </w:r>
          </w:p>
        </w:tc>
        <w:tc>
          <w:tcPr>
            <w:tcW w:w="2415" w:type="dxa"/>
            <w:noWrap w:val="0"/>
            <w:vAlign w:val="center"/>
          </w:tcPr>
          <w:p>
            <w:pPr>
              <w:pStyle w:val="2"/>
              <w:spacing w:line="240" w:lineRule="auto"/>
              <w:ind w:left="0" w:leftChars="0"/>
              <w:jc w:val="center"/>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26个小型水站运维</w:t>
            </w:r>
          </w:p>
        </w:tc>
        <w:tc>
          <w:tcPr>
            <w:tcW w:w="1005" w:type="dxa"/>
            <w:noWrap w:val="0"/>
            <w:vAlign w:val="center"/>
          </w:tcPr>
          <w:p>
            <w:pPr>
              <w:pStyle w:val="2"/>
              <w:spacing w:line="240" w:lineRule="auto"/>
              <w:ind w:left="0" w:leftChars="0"/>
              <w:jc w:val="center"/>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lang w:val="en-US" w:eastAsia="zh-CN"/>
              </w:rPr>
              <w:t>1</w:t>
            </w:r>
            <w:r>
              <w:rPr>
                <w:rFonts w:hint="eastAsia" w:ascii="仿宋" w:hAnsi="仿宋" w:eastAsia="仿宋" w:cs="仿宋"/>
                <w:kern w:val="0"/>
                <w:sz w:val="32"/>
                <w:szCs w:val="32"/>
                <w:shd w:val="clear" w:color="auto" w:fill="FFFFFF"/>
              </w:rPr>
              <w:t>年</w:t>
            </w:r>
          </w:p>
        </w:tc>
        <w:tc>
          <w:tcPr>
            <w:tcW w:w="3945" w:type="dxa"/>
            <w:noWrap w:val="0"/>
            <w:vAlign w:val="center"/>
          </w:tcPr>
          <w:p>
            <w:pPr>
              <w:pStyle w:val="2"/>
              <w:spacing w:line="240" w:lineRule="auto"/>
              <w:ind w:left="0" w:leftChars="0"/>
              <w:jc w:val="center"/>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包含运维人员工资、车辆、实验室、试剂费、耗材、备品备件、网络费、水电费等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37" w:type="dxa"/>
            <w:noWrap w:val="0"/>
            <w:vAlign w:val="center"/>
          </w:tcPr>
          <w:p>
            <w:pPr>
              <w:pStyle w:val="2"/>
              <w:spacing w:line="240" w:lineRule="auto"/>
              <w:ind w:left="0" w:leftChars="0"/>
              <w:jc w:val="center"/>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2</w:t>
            </w:r>
          </w:p>
        </w:tc>
        <w:tc>
          <w:tcPr>
            <w:tcW w:w="2415" w:type="dxa"/>
            <w:noWrap w:val="0"/>
            <w:vAlign w:val="center"/>
          </w:tcPr>
          <w:p>
            <w:pPr>
              <w:pStyle w:val="2"/>
              <w:spacing w:line="240" w:lineRule="auto"/>
              <w:ind w:left="0" w:leftChars="0"/>
              <w:jc w:val="center"/>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23个县级自动站站房防雷设施年检验费</w:t>
            </w:r>
          </w:p>
        </w:tc>
        <w:tc>
          <w:tcPr>
            <w:tcW w:w="1005" w:type="dxa"/>
            <w:noWrap w:val="0"/>
            <w:vAlign w:val="center"/>
          </w:tcPr>
          <w:p>
            <w:pPr>
              <w:pStyle w:val="2"/>
              <w:spacing w:line="240" w:lineRule="auto"/>
              <w:ind w:left="0" w:leftChars="0"/>
              <w:jc w:val="center"/>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lang w:val="en-US" w:eastAsia="zh-CN"/>
              </w:rPr>
              <w:t>1</w:t>
            </w:r>
            <w:r>
              <w:rPr>
                <w:rFonts w:hint="eastAsia" w:ascii="仿宋" w:hAnsi="仿宋" w:eastAsia="仿宋" w:cs="仿宋"/>
                <w:kern w:val="0"/>
                <w:sz w:val="32"/>
                <w:szCs w:val="32"/>
                <w:shd w:val="clear" w:color="auto" w:fill="FFFFFF"/>
              </w:rPr>
              <w:t>年</w:t>
            </w:r>
          </w:p>
        </w:tc>
        <w:tc>
          <w:tcPr>
            <w:tcW w:w="3945" w:type="dxa"/>
            <w:noWrap w:val="0"/>
            <w:vAlign w:val="center"/>
          </w:tcPr>
          <w:p>
            <w:pPr>
              <w:pStyle w:val="2"/>
              <w:spacing w:line="240" w:lineRule="auto"/>
              <w:ind w:left="0" w:leftChars="0"/>
              <w:jc w:val="center"/>
              <w:rPr>
                <w:rFonts w:hint="eastAsia" w:ascii="仿宋" w:hAnsi="仿宋" w:eastAsia="仿宋" w:cs="仿宋"/>
                <w:kern w:val="0"/>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37" w:type="dxa"/>
            <w:noWrap w:val="0"/>
            <w:vAlign w:val="center"/>
          </w:tcPr>
          <w:p>
            <w:pPr>
              <w:pStyle w:val="2"/>
              <w:spacing w:line="240" w:lineRule="auto"/>
              <w:ind w:left="0" w:leftChars="0"/>
              <w:jc w:val="center"/>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3</w:t>
            </w:r>
          </w:p>
        </w:tc>
        <w:tc>
          <w:tcPr>
            <w:tcW w:w="2415" w:type="dxa"/>
            <w:noWrap w:val="0"/>
            <w:vAlign w:val="center"/>
          </w:tcPr>
          <w:p>
            <w:pPr>
              <w:pStyle w:val="2"/>
              <w:spacing w:line="240" w:lineRule="auto"/>
              <w:ind w:left="0" w:leftChars="0"/>
              <w:jc w:val="center"/>
              <w:rPr>
                <w:rFonts w:hint="eastAsia" w:ascii="仿宋" w:hAnsi="仿宋" w:eastAsia="仿宋" w:cs="仿宋"/>
                <w:kern w:val="0"/>
                <w:sz w:val="32"/>
                <w:szCs w:val="32"/>
                <w:shd w:val="clear" w:color="auto" w:fill="FFFFFF"/>
              </w:rPr>
            </w:pPr>
            <w:r>
              <w:rPr>
                <w:rFonts w:hint="eastAsia" w:ascii="仿宋" w:hAnsi="仿宋" w:eastAsia="仿宋" w:cs="仿宋"/>
                <w:bCs/>
                <w:kern w:val="0"/>
                <w:sz w:val="32"/>
                <w:szCs w:val="32"/>
                <w:shd w:val="clear" w:color="auto" w:fill="FFFFFF"/>
              </w:rPr>
              <w:t>23个县级自动站的第三方比对服务</w:t>
            </w:r>
          </w:p>
        </w:tc>
        <w:tc>
          <w:tcPr>
            <w:tcW w:w="1005" w:type="dxa"/>
            <w:noWrap w:val="0"/>
            <w:vAlign w:val="center"/>
          </w:tcPr>
          <w:p>
            <w:pPr>
              <w:pStyle w:val="2"/>
              <w:spacing w:line="240" w:lineRule="auto"/>
              <w:ind w:left="0" w:leftChars="0"/>
              <w:jc w:val="center"/>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lang w:val="en-US" w:eastAsia="zh-CN"/>
              </w:rPr>
              <w:t>1</w:t>
            </w:r>
            <w:r>
              <w:rPr>
                <w:rFonts w:hint="eastAsia" w:ascii="仿宋" w:hAnsi="仿宋" w:eastAsia="仿宋" w:cs="仿宋"/>
                <w:kern w:val="0"/>
                <w:sz w:val="32"/>
                <w:szCs w:val="32"/>
                <w:shd w:val="clear" w:color="auto" w:fill="FFFFFF"/>
              </w:rPr>
              <w:t>年</w:t>
            </w:r>
          </w:p>
        </w:tc>
        <w:tc>
          <w:tcPr>
            <w:tcW w:w="3945" w:type="dxa"/>
            <w:noWrap w:val="0"/>
            <w:vAlign w:val="center"/>
          </w:tcPr>
          <w:p>
            <w:pPr>
              <w:pStyle w:val="2"/>
              <w:spacing w:line="240" w:lineRule="auto"/>
              <w:ind w:left="0" w:leftChars="0"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bCs/>
                <w:kern w:val="0"/>
                <w:sz w:val="32"/>
                <w:szCs w:val="32"/>
                <w:shd w:val="clear" w:color="auto" w:fill="FFFFFF"/>
              </w:rPr>
              <w:t>一月两次</w:t>
            </w:r>
            <w:r>
              <w:rPr>
                <w:rFonts w:hint="eastAsia" w:ascii="仿宋" w:hAnsi="仿宋" w:eastAsia="仿宋" w:cs="仿宋"/>
                <w:kern w:val="0"/>
                <w:sz w:val="32"/>
                <w:szCs w:val="32"/>
              </w:rPr>
              <w:t>对自动监测仪器全参数进行一次比对工作</w:t>
            </w:r>
            <w:r>
              <w:rPr>
                <w:rFonts w:hint="eastAsia" w:ascii="仿宋" w:hAnsi="仿宋" w:eastAsia="仿宋" w:cs="仿宋"/>
                <w:bCs/>
                <w:kern w:val="0"/>
                <w:sz w:val="32"/>
                <w:szCs w:val="32"/>
                <w:shd w:val="clear" w:color="auto" w:fill="FFFFFF"/>
              </w:rPr>
              <w:t>，每次每站比对</w:t>
            </w:r>
            <w:r>
              <w:rPr>
                <w:rFonts w:hint="eastAsia" w:ascii="仿宋" w:hAnsi="仿宋" w:eastAsia="仿宋" w:cs="仿宋"/>
                <w:kern w:val="0"/>
                <w:sz w:val="32"/>
                <w:szCs w:val="32"/>
              </w:rPr>
              <w:t>内容包括常规五参数（水温、pH值、溶解氧、电导率、浊度）、氨氮、高锰酸盐指数、总氮、总磷共9个参数，其中常规五参数为现场测试项目；氨氮、高锰酸盐指数、总磷、总氮等4项为实验室测试项目。比对结果按月报监管单位，根据总站水字[2007]182号文中要求进行。</w:t>
            </w:r>
          </w:p>
        </w:tc>
      </w:tr>
    </w:tbl>
    <w:p>
      <w:pPr>
        <w:keepNext/>
        <w:keepLines/>
        <w:snapToGrid w:val="0"/>
        <w:spacing w:line="360" w:lineRule="auto"/>
        <w:rPr>
          <w:rFonts w:hint="eastAsia" w:ascii="仿宋" w:hAnsi="仿宋" w:eastAsia="仿宋" w:cs="仿宋"/>
          <w:b/>
          <w:bCs/>
          <w:sz w:val="32"/>
          <w:szCs w:val="32"/>
          <w:lang w:val="en-US" w:eastAsia="zh-CN"/>
        </w:rPr>
      </w:pPr>
    </w:p>
    <w:p>
      <w:pPr>
        <w:numPr>
          <w:ilvl w:val="0"/>
          <w:numId w:val="19"/>
        </w:numPr>
        <w:snapToGrid w:val="0"/>
        <w:spacing w:line="360" w:lineRule="auto"/>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运维服务内容</w:t>
      </w:r>
    </w:p>
    <w:p>
      <w:pPr>
        <w:numPr>
          <w:ilvl w:val="0"/>
          <w:numId w:val="0"/>
        </w:numPr>
        <w:snapToGrid w:val="0"/>
        <w:spacing w:line="360" w:lineRule="auto"/>
        <w:ind w:firstLine="960" w:firstLineChars="300"/>
        <w:rPr>
          <w:rFonts w:hint="eastAsia" w:ascii="仿宋" w:hAnsi="仿宋" w:eastAsia="仿宋" w:cs="仿宋"/>
          <w:sz w:val="32"/>
          <w:szCs w:val="32"/>
        </w:rPr>
      </w:pPr>
      <w:r>
        <w:rPr>
          <w:rFonts w:hint="eastAsia" w:ascii="仿宋" w:hAnsi="仿宋" w:eastAsia="仿宋" w:cs="仿宋"/>
          <w:sz w:val="32"/>
          <w:szCs w:val="32"/>
        </w:rPr>
        <w:t>结合河南省环保厅《关于印发河南省地表水环境质量自动监测站运行管理办法》（豫环文〔2015〕285号）要求，做好运维管理工作，具体</w:t>
      </w:r>
      <w:r>
        <w:rPr>
          <w:rFonts w:hint="eastAsia" w:ascii="仿宋" w:hAnsi="仿宋" w:eastAsia="仿宋" w:cs="仿宋"/>
          <w:sz w:val="32"/>
          <w:szCs w:val="32"/>
          <w:lang w:val="en-US" w:eastAsia="zh-CN"/>
        </w:rPr>
        <w:t>内容</w:t>
      </w:r>
      <w:r>
        <w:rPr>
          <w:rFonts w:hint="eastAsia" w:ascii="仿宋" w:hAnsi="仿宋" w:eastAsia="仿宋" w:cs="仿宋"/>
          <w:sz w:val="32"/>
          <w:szCs w:val="32"/>
        </w:rPr>
        <w:t>如下：</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（1）负责小型水站各系统的定期巡检、维护、后勤保障工作，包括小型水站管理、技术人员和车辆的调配。</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（2）比对实验的保障等工作，每月比对报告以书面报告形式上报</w:t>
      </w:r>
      <w:r>
        <w:rPr>
          <w:rFonts w:hint="eastAsia" w:ascii="仿宋" w:hAnsi="仿宋" w:eastAsia="仿宋" w:cs="仿宋"/>
          <w:sz w:val="32"/>
          <w:szCs w:val="32"/>
          <w:lang w:eastAsia="zh-CN"/>
        </w:rPr>
        <w:t>采购人</w:t>
      </w:r>
      <w:r>
        <w:rPr>
          <w:rFonts w:hint="eastAsia" w:ascii="仿宋" w:hAnsi="仿宋" w:eastAsia="仿宋" w:cs="仿宋"/>
          <w:sz w:val="32"/>
          <w:szCs w:val="32"/>
        </w:rPr>
        <w:t>。</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（3）做好防雷和供电设施等的年度检定工作，向</w:t>
      </w:r>
      <w:r>
        <w:rPr>
          <w:rFonts w:hint="eastAsia" w:ascii="仿宋" w:hAnsi="仿宋" w:eastAsia="仿宋" w:cs="仿宋"/>
          <w:sz w:val="32"/>
          <w:szCs w:val="32"/>
          <w:lang w:eastAsia="zh-CN"/>
        </w:rPr>
        <w:t>采购人</w:t>
      </w:r>
      <w:r>
        <w:rPr>
          <w:rFonts w:hint="eastAsia" w:ascii="仿宋" w:hAnsi="仿宋" w:eastAsia="仿宋" w:cs="仿宋"/>
          <w:sz w:val="32"/>
          <w:szCs w:val="32"/>
        </w:rPr>
        <w:t>报送年度防雷报告、变压器及线路检定报告。</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（4）负责为水站运行看护人员提供人身意外伤害保险。</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（5）负责公开招、投标文件及合同中约定的其他相关工作。</w:t>
      </w:r>
    </w:p>
    <w:p>
      <w:pPr>
        <w:snapToGrid w:val="0"/>
        <w:spacing w:line="360" w:lineRule="auto"/>
        <w:ind w:firstLine="643" w:firstLineChars="200"/>
        <w:rPr>
          <w:rFonts w:hint="eastAsia" w:ascii="仿宋" w:hAnsi="仿宋" w:eastAsia="仿宋" w:cs="仿宋"/>
          <w:b/>
          <w:sz w:val="32"/>
          <w:szCs w:val="32"/>
        </w:rPr>
      </w:pPr>
      <w:r>
        <w:rPr>
          <w:rFonts w:hint="eastAsia" w:ascii="仿宋" w:hAnsi="仿宋" w:eastAsia="仿宋" w:cs="仿宋"/>
          <w:b/>
          <w:sz w:val="32"/>
          <w:szCs w:val="32"/>
        </w:rPr>
        <w:t>2、运行维护管理总体要求</w:t>
      </w:r>
    </w:p>
    <w:p>
      <w:pPr>
        <w:snapToGrid w:val="0"/>
        <w:spacing w:line="360" w:lineRule="auto"/>
        <w:ind w:firstLine="960" w:firstLineChars="300"/>
        <w:rPr>
          <w:rFonts w:hint="eastAsia" w:ascii="仿宋" w:hAnsi="仿宋" w:eastAsia="仿宋" w:cs="仿宋"/>
          <w:color w:val="FF0000"/>
          <w:sz w:val="32"/>
          <w:szCs w:val="32"/>
        </w:rPr>
      </w:pPr>
      <w:r>
        <w:rPr>
          <w:rFonts w:hint="eastAsia" w:ascii="仿宋" w:hAnsi="仿宋" w:eastAsia="仿宋" w:cs="仿宋"/>
          <w:sz w:val="32"/>
          <w:szCs w:val="32"/>
        </w:rPr>
        <w:t>对小型水站实施“日监视、周巡检”的日常运行维护与管理制度。24小时通过数据平台进行数据监控，保证前端小型水站与监控平台数据畅通，主要工作包括：</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（1）根据仪器监测数据判断仪器运行情况；</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（2）发现水站数据持续异常情况，应及时赶赴现场进行处理并填写有关情况记录，必要时现场采集实时水样和留样并委托有资质实验室进行分析。</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中标人</w:t>
      </w:r>
      <w:r>
        <w:rPr>
          <w:rFonts w:hint="eastAsia" w:ascii="仿宋" w:hAnsi="仿宋" w:eastAsia="仿宋" w:cs="仿宋"/>
          <w:sz w:val="32"/>
          <w:szCs w:val="32"/>
        </w:rPr>
        <w:t>每年制定巡检计划上报市环境监控中心，每月上报月度巡检报告，年底上报年度运维报告。</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（4） 监控必须保持24小时不间断，保证前端水站与监控平台数据畅通。</w:t>
      </w:r>
    </w:p>
    <w:p>
      <w:pPr>
        <w:snapToGrid w:val="0"/>
        <w:spacing w:line="360" w:lineRule="auto"/>
        <w:ind w:firstLine="643" w:firstLineChars="200"/>
        <w:jc w:val="left"/>
        <w:rPr>
          <w:rFonts w:hint="eastAsia" w:ascii="仿宋" w:hAnsi="仿宋" w:eastAsia="仿宋" w:cs="仿宋"/>
          <w:b/>
          <w:sz w:val="32"/>
          <w:szCs w:val="32"/>
        </w:rPr>
      </w:pPr>
      <w:r>
        <w:rPr>
          <w:rFonts w:hint="eastAsia" w:ascii="仿宋" w:hAnsi="仿宋" w:eastAsia="仿宋" w:cs="仿宋"/>
          <w:b/>
          <w:sz w:val="32"/>
          <w:szCs w:val="32"/>
        </w:rPr>
        <w:t>3、</w:t>
      </w:r>
      <w:bookmarkStart w:id="2" w:name="_Hlk25660139"/>
      <w:r>
        <w:rPr>
          <w:rFonts w:hint="eastAsia" w:ascii="仿宋" w:hAnsi="仿宋" w:eastAsia="仿宋" w:cs="仿宋"/>
          <w:b/>
          <w:sz w:val="32"/>
          <w:szCs w:val="32"/>
        </w:rPr>
        <w:t>水质自动监测站的运维管理</w:t>
      </w:r>
      <w:r>
        <w:rPr>
          <w:rFonts w:hint="eastAsia" w:ascii="仿宋" w:hAnsi="仿宋" w:eastAsia="仿宋" w:cs="仿宋"/>
          <w:b/>
          <w:sz w:val="32"/>
          <w:szCs w:val="32"/>
          <w:lang w:val="en-US" w:eastAsia="zh-CN"/>
        </w:rPr>
        <w:t>详细</w:t>
      </w:r>
      <w:r>
        <w:rPr>
          <w:rFonts w:hint="eastAsia" w:ascii="仿宋" w:hAnsi="仿宋" w:eastAsia="仿宋" w:cs="仿宋"/>
          <w:b/>
          <w:sz w:val="32"/>
          <w:szCs w:val="32"/>
        </w:rPr>
        <w:t>内容</w:t>
      </w:r>
    </w:p>
    <w:p>
      <w:pPr>
        <w:snapToGrid w:val="0"/>
        <w:spacing w:line="360" w:lineRule="auto"/>
        <w:ind w:firstLine="960" w:firstLineChars="300"/>
        <w:rPr>
          <w:rFonts w:hint="eastAsia" w:ascii="仿宋" w:hAnsi="仿宋" w:eastAsia="仿宋" w:cs="仿宋"/>
          <w:sz w:val="32"/>
          <w:szCs w:val="32"/>
        </w:rPr>
      </w:pPr>
      <w:r>
        <w:rPr>
          <w:rFonts w:hint="eastAsia" w:ascii="仿宋" w:hAnsi="仿宋" w:eastAsia="仿宋" w:cs="仿宋"/>
          <w:sz w:val="32"/>
          <w:szCs w:val="32"/>
        </w:rPr>
        <w:t>3.1 日监控的内容</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每天至少上午和下午两次通过运维监管软件远程查看小型水站运行数据，分析水质监测和系统状态数据，对站点运行情况进行远程诊断和运行管理，如发现数据有持续异常情况，立即前往现场进行排查。日常远程巡检工作内容主要包括：</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（1）通过运维监管软件的远程连接情况、现场数据的传输情况来判断系统数据采集与传输的情况；</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（2）根据小型水站的状态参数，如：电源电压判断站房的供电、和运行环境情况，保证仪器在适应的环境中运行；</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（3）根据系统的状态参数，如管路压力数据判断水泵的运行情况，及时进行水泵检查；</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（4）根据仪器分析数据判断监测断面的水质情况，并综合各个水质参数判断仪器的运行情况；</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5）在查看数据时，如果发现运行数据有持续异常值出现时，技术服务人员将在2h内前往现场进行调查，查明原因并尽快排除；先对仪器的运行情况进行检查，若确定为仪器故障时，应对异常数据做好标识，并及时排除仪器故障。</w:t>
      </w:r>
    </w:p>
    <w:p>
      <w:pPr>
        <w:snapToGrid w:val="0"/>
        <w:spacing w:line="360" w:lineRule="auto"/>
        <w:ind w:left="400" w:firstLine="320" w:firstLineChars="100"/>
        <w:rPr>
          <w:rFonts w:hint="eastAsia" w:ascii="仿宋" w:hAnsi="仿宋" w:eastAsia="仿宋" w:cs="仿宋"/>
          <w:sz w:val="32"/>
          <w:szCs w:val="32"/>
        </w:rPr>
      </w:pPr>
      <w:r>
        <w:rPr>
          <w:rFonts w:hint="eastAsia" w:ascii="仿宋" w:hAnsi="仿宋" w:eastAsia="仿宋" w:cs="仿宋"/>
          <w:sz w:val="32"/>
          <w:szCs w:val="32"/>
        </w:rPr>
        <w:t>3.2 周巡检主要内容</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每周应巡检小型水站至少一次，主要工作包括：</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采水系统、进水与配水系统、通讯系统、控制系统、集成、配电、各分析仪器、站房的安全和卫生的维护及现场填写运维质控记录，详细如下：</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（1）检查小型水站电路系统是否正常，接地线路是否可靠，排水排气装置工作是否正常；查看分析仪器及辅助设备的运行状态和主要技术参数，判断运行是否正常。</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（2）检查采配水单元是否正常，如采水浮筒或采水浮球固定情况，潜水泵或自吸泵运行情况等；定期清洗采配水系统，包括采水头、泵体、阀门、管路等，对于无法清洗干净的及时更换；</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（3）检查系统运行状态，检查上传至平台数据和现场数据的一致性，检查仪器与系统的通讯线路是否正常；</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（4）检查保温措施，检查水泵及气泵固定情况，避免仪器振动，并及时更换耗材；</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（5）检查防雷设施是否可靠，机柜是否有漏水现象，机柜内外的其他设施是否有损坏，如遇到以上问题及时处理，保证水站系统安全运行。在封冻期来临前做好采水管路和机柜保温等维护工作；</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（6）保持机柜内外及各仪器干净整洁，避免日光直射各类分析仪器。</w:t>
      </w:r>
    </w:p>
    <w:p>
      <w:pPr>
        <w:snapToGrid w:val="0"/>
        <w:spacing w:line="360" w:lineRule="auto"/>
        <w:ind w:left="400" w:firstLine="320" w:firstLineChars="100"/>
        <w:rPr>
          <w:rFonts w:hint="eastAsia" w:ascii="仿宋" w:hAnsi="仿宋" w:eastAsia="仿宋" w:cs="仿宋"/>
          <w:sz w:val="32"/>
          <w:szCs w:val="32"/>
        </w:rPr>
      </w:pPr>
      <w:r>
        <w:rPr>
          <w:rFonts w:hint="eastAsia" w:ascii="仿宋" w:hAnsi="仿宋" w:eastAsia="仿宋" w:cs="仿宋"/>
          <w:sz w:val="32"/>
          <w:szCs w:val="32"/>
        </w:rPr>
        <w:t>3.3 月巡检主要内容</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在做好日常监视与巡检工作的同时，每月还对部分仪器进行检查及清洗，并处理故障和隐患。</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4" w:type="dxa"/>
            <w:noWrap w:val="0"/>
            <w:vAlign w:val="center"/>
          </w:tcPr>
          <w:p>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34" w:type="dxa"/>
            <w:noWrap w:val="0"/>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rPr>
              <w:t>1、五参数：pH电极用酸液清洗维护，检查电极是否钝化，必要时进行更换，补充DO电极电解液。检查电极表面是否清洁，对仪器管路进行保养、清洁。检查泵、管、接头是否有渗漏，必要时更换。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4" w:type="dxa"/>
            <w:noWrap w:val="0"/>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rPr>
              <w:t>2、采水系统：检查取水口，清除采水设备四周杂物；根据管路压力判断水泵运行情况，检查自吸泵储水罐中是否有水，检查电机后面风叶转动是否灵活、均匀并清除异物；清洗电动球阀和电磁阀；清洗维护采水管路防止漏水和堵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4" w:type="dxa"/>
            <w:noWrap w:val="0"/>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rPr>
              <w:t>3、配水与进水系统：检查配水管路工作情况，根据样品污染情况进行清洗；检查气泵工作状况，根据其使用情况进行维护。至少三次空气吹洗或者水洗，以便达到良好清淤效果；在不影响系统运行的前提下采用手动方式开关几次配水管路中的所有手动球阀和电磁阀，清除阀内杂物，防止损坏阀体；通过管道的压力变送器检查各水泵是否能达到原设计供水量、供水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4" w:type="dxa"/>
            <w:noWrap w:val="0"/>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rPr>
              <w:t>4、控制系统：检查外接电源是否符合技术要求，即电压220V±10%，接地电阻&lt;5欧姆（零、地电压&lt;5V），突发异常情况须及时排查；检查数据库软件是否运行正常，记录数据是否与系统的设置一致，并进行备份；检查信号传输是否正常，通过启动控制信号检查控制件是否动作正常；对数据传输网络设备进行检查维护以保障数据传输的稳定；对太阳能充电板、逆变器进行进行测量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4" w:type="dxa"/>
            <w:noWrap w:val="0"/>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rPr>
              <w:t>5、辅助系统：检查空气压缩机是否测试正常；检查防雷设备的接口是否稳固。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4" w:type="dxa"/>
            <w:noWrap w:val="0"/>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rPr>
              <w:t>6、至少进行一次质控核查。每月用国家认可的质控样（或按规定方法配制的标准溶液）对自动分析仪进行一次标样溶液核查，质控样（或标准溶液）测定的相对误差应不大于标准值的±10%，若不符合，应重新绘制校准曲线，并记录结果。</w:t>
            </w:r>
          </w:p>
        </w:tc>
      </w:tr>
    </w:tbl>
    <w:p>
      <w:pPr>
        <w:rPr>
          <w:rFonts w:hint="eastAsia" w:ascii="仿宋" w:hAnsi="仿宋" w:eastAsia="仿宋" w:cs="仿宋"/>
          <w:b/>
          <w:sz w:val="32"/>
          <w:szCs w:val="32"/>
        </w:rPr>
      </w:pPr>
      <w:r>
        <w:rPr>
          <w:rFonts w:hint="eastAsia" w:ascii="仿宋" w:hAnsi="仿宋" w:eastAsia="仿宋" w:cs="仿宋"/>
          <w:b/>
          <w:sz w:val="32"/>
          <w:szCs w:val="32"/>
        </w:rPr>
        <w:t>备注说明：</w:t>
      </w:r>
    </w:p>
    <w:p>
      <w:pPr>
        <w:spacing w:line="360" w:lineRule="auto"/>
        <w:ind w:firstLine="320" w:firstLineChars="100"/>
        <w:rPr>
          <w:rFonts w:hint="eastAsia" w:ascii="仿宋" w:hAnsi="仿宋" w:eastAsia="仿宋" w:cs="仿宋"/>
          <w:sz w:val="32"/>
          <w:szCs w:val="32"/>
        </w:rPr>
      </w:pPr>
      <w:r>
        <w:rPr>
          <w:rFonts w:hint="eastAsia" w:ascii="仿宋" w:hAnsi="仿宋" w:eastAsia="仿宋" w:cs="仿宋"/>
          <w:sz w:val="32"/>
          <w:szCs w:val="32"/>
        </w:rPr>
        <w:t>除标注每月一次保养，其它项每个季度进行一次系统维护保养。</w:t>
      </w:r>
    </w:p>
    <w:p>
      <w:pPr>
        <w:spacing w:line="360" w:lineRule="auto"/>
        <w:ind w:firstLine="320" w:firstLineChars="100"/>
        <w:rPr>
          <w:rFonts w:hint="eastAsia" w:ascii="仿宋" w:hAnsi="仿宋" w:eastAsia="仿宋" w:cs="仿宋"/>
          <w:sz w:val="32"/>
          <w:szCs w:val="32"/>
        </w:rPr>
      </w:pPr>
      <w:r>
        <w:rPr>
          <w:rFonts w:hint="eastAsia" w:ascii="仿宋" w:hAnsi="仿宋" w:eastAsia="仿宋" w:cs="仿宋"/>
          <w:sz w:val="32"/>
          <w:szCs w:val="32"/>
        </w:rPr>
        <w:t>系统设备维护保养。</w:t>
      </w:r>
    </w:p>
    <w:p>
      <w:pPr>
        <w:spacing w:line="360" w:lineRule="auto"/>
        <w:ind w:firstLine="320" w:firstLineChars="100"/>
        <w:rPr>
          <w:rFonts w:hint="eastAsia" w:ascii="仿宋" w:hAnsi="仿宋" w:eastAsia="仿宋" w:cs="仿宋"/>
          <w:sz w:val="32"/>
          <w:szCs w:val="32"/>
        </w:rPr>
      </w:pPr>
      <w:r>
        <w:rPr>
          <w:rFonts w:hint="eastAsia" w:ascii="仿宋" w:hAnsi="仿宋" w:eastAsia="仿宋" w:cs="仿宋"/>
          <w:sz w:val="32"/>
          <w:szCs w:val="32"/>
        </w:rPr>
        <w:t>对系统定期维护保养。</w:t>
      </w:r>
    </w:p>
    <w:p>
      <w:pPr>
        <w:spacing w:line="360" w:lineRule="auto"/>
        <w:ind w:firstLine="320" w:firstLineChars="100"/>
        <w:rPr>
          <w:rFonts w:hint="eastAsia" w:ascii="仿宋" w:hAnsi="仿宋" w:eastAsia="仿宋" w:cs="仿宋"/>
          <w:sz w:val="32"/>
          <w:szCs w:val="32"/>
        </w:rPr>
      </w:pPr>
      <w:r>
        <w:rPr>
          <w:rFonts w:hint="eastAsia" w:ascii="仿宋" w:hAnsi="仿宋" w:eastAsia="仿宋" w:cs="仿宋"/>
          <w:sz w:val="32"/>
          <w:szCs w:val="32"/>
        </w:rPr>
        <w:t>应认真做好系统运行状况和维修、维护、保养详细记录。</w:t>
      </w:r>
    </w:p>
    <w:p>
      <w:pPr>
        <w:spacing w:line="360" w:lineRule="auto"/>
        <w:ind w:firstLine="320" w:firstLineChars="100"/>
        <w:rPr>
          <w:rFonts w:hint="eastAsia" w:ascii="仿宋" w:hAnsi="仿宋" w:eastAsia="仿宋" w:cs="仿宋"/>
          <w:sz w:val="32"/>
          <w:szCs w:val="32"/>
        </w:rPr>
      </w:pPr>
      <w:r>
        <w:rPr>
          <w:rFonts w:hint="eastAsia" w:ascii="仿宋" w:hAnsi="仿宋" w:eastAsia="仿宋" w:cs="仿宋"/>
          <w:sz w:val="32"/>
          <w:szCs w:val="32"/>
        </w:rPr>
        <w:t>未经许可操作人员不得随意修改系统软件设置量程。</w:t>
      </w:r>
    </w:p>
    <w:p>
      <w:pPr>
        <w:spacing w:line="360" w:lineRule="auto"/>
        <w:ind w:firstLine="320" w:firstLineChars="100"/>
        <w:rPr>
          <w:rFonts w:hint="eastAsia" w:ascii="仿宋" w:hAnsi="仿宋" w:eastAsia="仿宋" w:cs="仿宋"/>
          <w:sz w:val="32"/>
          <w:szCs w:val="32"/>
        </w:rPr>
      </w:pPr>
      <w:r>
        <w:rPr>
          <w:rFonts w:hint="eastAsia" w:ascii="仿宋" w:hAnsi="仿宋" w:eastAsia="仿宋" w:cs="仿宋"/>
          <w:sz w:val="32"/>
          <w:szCs w:val="32"/>
        </w:rPr>
        <w:t>不得安装其它软件或使用无关的软盘和移动存储设备，避免病毒的感染。</w:t>
      </w:r>
    </w:p>
    <w:p>
      <w:pPr>
        <w:snapToGrid w:val="0"/>
        <w:spacing w:line="360" w:lineRule="auto"/>
        <w:ind w:left="400" w:firstLine="320" w:firstLineChars="100"/>
        <w:rPr>
          <w:rFonts w:hint="eastAsia" w:ascii="仿宋" w:hAnsi="仿宋" w:eastAsia="仿宋" w:cs="仿宋"/>
          <w:sz w:val="32"/>
          <w:szCs w:val="32"/>
        </w:rPr>
      </w:pPr>
      <w:r>
        <w:rPr>
          <w:rFonts w:hint="eastAsia" w:ascii="仿宋" w:hAnsi="仿宋" w:eastAsia="仿宋" w:cs="仿宋"/>
          <w:sz w:val="32"/>
          <w:szCs w:val="32"/>
        </w:rPr>
        <w:t>3.4 年巡检主要内容</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每年对水站机柜内各仪器及系统主要零部件进行维护维修或更换，以提前发现问题，并按要求更换备件； </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504" w:type="dxa"/>
            <w:noWrap w:val="0"/>
            <w:vAlign w:val="center"/>
          </w:tcPr>
          <w:p>
            <w:pPr>
              <w:spacing w:line="360" w:lineRule="auto"/>
              <w:jc w:val="center"/>
              <w:rPr>
                <w:rFonts w:hint="eastAsia" w:ascii="仿宋" w:hAnsi="仿宋" w:eastAsia="仿宋" w:cs="仿宋"/>
                <w:sz w:val="32"/>
                <w:szCs w:val="32"/>
              </w:rPr>
            </w:pPr>
            <w:r>
              <w:rPr>
                <w:rFonts w:hint="eastAsia" w:ascii="仿宋" w:hAnsi="仿宋" w:eastAsia="仿宋" w:cs="仿宋"/>
                <w:sz w:val="32"/>
                <w:szCs w:val="32"/>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8504" w:type="dxa"/>
            <w:noWrap w:val="0"/>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rPr>
              <w:t>1、五参数：更换DO电极传感器膜盖，更换DO电极溶解氧膜，更换pH电极传感器模块。有必要时更换五参数电极。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504" w:type="dxa"/>
            <w:noWrap w:val="0"/>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rPr>
              <w:t>2、采水系统：维护维修或更换取水泵。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504" w:type="dxa"/>
            <w:noWrap w:val="0"/>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rPr>
              <w:t>3、配水与进水系统：维护维修或更换各类泵、球阀和过滤装置等。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8504" w:type="dxa"/>
            <w:noWrap w:val="0"/>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rPr>
              <w:t>4、控制系统：维护维修或更换继电器和传感器等。清除设备表面灰尘，防止设备表面的灰尘的静电影响设备使用。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8504" w:type="dxa"/>
            <w:noWrap w:val="0"/>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rPr>
              <w:t>5、辅助系统：进行全面的清洗；对辅件进行必要的维修和更换；检查维护稳压电源和继电器。</w:t>
            </w:r>
          </w:p>
        </w:tc>
      </w:tr>
    </w:tbl>
    <w:p>
      <w:pPr>
        <w:snapToGrid w:val="0"/>
        <w:spacing w:line="360" w:lineRule="auto"/>
        <w:rPr>
          <w:rFonts w:hint="eastAsia" w:ascii="仿宋" w:hAnsi="仿宋" w:eastAsia="仿宋" w:cs="仿宋"/>
          <w:b/>
          <w:bCs/>
          <w:sz w:val="32"/>
          <w:szCs w:val="32"/>
        </w:rPr>
      </w:pPr>
      <w:r>
        <w:rPr>
          <w:rFonts w:hint="eastAsia" w:ascii="仿宋" w:hAnsi="仿宋" w:eastAsia="仿宋" w:cs="仿宋"/>
          <w:b/>
          <w:bCs/>
          <w:sz w:val="32"/>
          <w:szCs w:val="32"/>
        </w:rPr>
        <w:t>3.3停机维护规定</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3.3.1短时间停机（停机时间小于24小时）：一般关机即可，再次运行时仪器需重新校准。</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3.3.2长时间停机（连续停机时间超过24小时）：如果分析仪需要停机24小时或更长时间，对于测量电极，应取下并将电极头浸入保护液中存放。停机后应将停机申请传真到</w:t>
      </w:r>
      <w:r>
        <w:rPr>
          <w:rFonts w:hint="eastAsia" w:ascii="仿宋" w:hAnsi="仿宋" w:eastAsia="仿宋" w:cs="仿宋"/>
          <w:sz w:val="32"/>
          <w:szCs w:val="32"/>
          <w:lang w:eastAsia="zh-CN"/>
        </w:rPr>
        <w:t>采购人</w:t>
      </w:r>
      <w:r>
        <w:rPr>
          <w:rFonts w:hint="eastAsia" w:ascii="仿宋" w:hAnsi="仿宋" w:eastAsia="仿宋" w:cs="仿宋"/>
          <w:sz w:val="32"/>
          <w:szCs w:val="32"/>
        </w:rPr>
        <w:t>。</w:t>
      </w:r>
    </w:p>
    <w:p>
      <w:pPr>
        <w:spacing w:line="360" w:lineRule="auto"/>
        <w:rPr>
          <w:rFonts w:hint="eastAsia" w:ascii="仿宋" w:hAnsi="仿宋" w:eastAsia="仿宋" w:cs="仿宋"/>
          <w:b/>
          <w:bCs/>
          <w:sz w:val="32"/>
          <w:szCs w:val="32"/>
        </w:rPr>
      </w:pPr>
      <w:r>
        <w:rPr>
          <w:rFonts w:hint="eastAsia" w:ascii="仿宋" w:hAnsi="仿宋" w:eastAsia="仿宋" w:cs="仿宋"/>
          <w:b/>
          <w:bCs/>
          <w:sz w:val="32"/>
          <w:szCs w:val="32"/>
        </w:rPr>
        <w:t>3.4数据管理</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3.4.1 保证在运营维护管理期内，数据误差符合检测项目性能指标要求。</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3.4.2 每天上午10:00前，登录“水环境决策”平台，对水站前一天的自动监测数据进行初步审核。发现异常数据时，对数据进行标记，查明原因，并做好相关记录。</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3.4.3当确认水站仪器正常运行，而监测数据异常，且超出历史正常水平时( 上年度均值)，须2小时内报告</w:t>
      </w:r>
      <w:r>
        <w:rPr>
          <w:rFonts w:hint="eastAsia" w:ascii="仿宋" w:hAnsi="仿宋" w:eastAsia="仿宋" w:cs="仿宋"/>
          <w:sz w:val="32"/>
          <w:szCs w:val="32"/>
          <w:lang w:eastAsia="zh-CN"/>
        </w:rPr>
        <w:t>采购人</w:t>
      </w:r>
      <w:r>
        <w:rPr>
          <w:rFonts w:hint="eastAsia" w:ascii="仿宋" w:hAnsi="仿宋" w:eastAsia="仿宋" w:cs="仿宋"/>
          <w:sz w:val="32"/>
          <w:szCs w:val="32"/>
        </w:rPr>
        <w:t>，同时继续保证系统仪器正常运行，监测数据准确，传输畅通，并协助</w:t>
      </w:r>
      <w:r>
        <w:rPr>
          <w:rFonts w:hint="eastAsia" w:ascii="仿宋" w:hAnsi="仿宋" w:eastAsia="仿宋" w:cs="仿宋"/>
          <w:sz w:val="32"/>
          <w:szCs w:val="32"/>
          <w:lang w:eastAsia="zh-CN"/>
        </w:rPr>
        <w:t>采购人</w:t>
      </w:r>
      <w:r>
        <w:rPr>
          <w:rFonts w:hint="eastAsia" w:ascii="仿宋" w:hAnsi="仿宋" w:eastAsia="仿宋" w:cs="仿宋"/>
          <w:sz w:val="32"/>
          <w:szCs w:val="32"/>
        </w:rPr>
        <w:t xml:space="preserve">进行手工监测。 </w:t>
      </w:r>
    </w:p>
    <w:p>
      <w:pPr>
        <w:spacing w:line="360" w:lineRule="auto"/>
        <w:rPr>
          <w:rFonts w:hint="eastAsia" w:ascii="仿宋" w:hAnsi="仿宋" w:eastAsia="仿宋" w:cs="仿宋"/>
          <w:b/>
          <w:bCs/>
          <w:sz w:val="32"/>
          <w:szCs w:val="32"/>
        </w:rPr>
      </w:pPr>
      <w:r>
        <w:rPr>
          <w:rFonts w:hint="eastAsia" w:ascii="仿宋" w:hAnsi="仿宋" w:eastAsia="仿宋" w:cs="仿宋"/>
          <w:b/>
          <w:bCs/>
          <w:sz w:val="32"/>
          <w:szCs w:val="32"/>
        </w:rPr>
        <w:t>3.5故障排除</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bCs/>
          <w:sz w:val="32"/>
          <w:szCs w:val="32"/>
        </w:rPr>
        <w:t>3.5.1</w:t>
      </w:r>
      <w:r>
        <w:rPr>
          <w:rFonts w:hint="eastAsia" w:ascii="仿宋" w:hAnsi="仿宋" w:eastAsia="仿宋" w:cs="仿宋"/>
          <w:sz w:val="32"/>
          <w:szCs w:val="32"/>
          <w:lang w:eastAsia="zh-CN"/>
        </w:rPr>
        <w:t>中标人</w:t>
      </w:r>
      <w:r>
        <w:rPr>
          <w:rFonts w:hint="eastAsia" w:ascii="仿宋" w:hAnsi="仿宋" w:eastAsia="仿宋" w:cs="仿宋"/>
          <w:sz w:val="32"/>
          <w:szCs w:val="32"/>
        </w:rPr>
        <w:t>发现水站系统故障时应及时排除，及时上报</w:t>
      </w:r>
      <w:r>
        <w:rPr>
          <w:rFonts w:hint="eastAsia" w:ascii="仿宋" w:hAnsi="仿宋" w:eastAsia="仿宋" w:cs="仿宋"/>
          <w:sz w:val="32"/>
          <w:szCs w:val="32"/>
          <w:lang w:eastAsia="zh-CN"/>
        </w:rPr>
        <w:t>采购人</w:t>
      </w:r>
      <w:r>
        <w:rPr>
          <w:rFonts w:hint="eastAsia" w:ascii="仿宋" w:hAnsi="仿宋" w:eastAsia="仿宋" w:cs="仿宋"/>
          <w:sz w:val="32"/>
          <w:szCs w:val="32"/>
        </w:rPr>
        <w:t>，并采取应急补救措施并填写有关情况记录。</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bCs/>
          <w:sz w:val="32"/>
          <w:szCs w:val="32"/>
        </w:rPr>
        <w:t>3.5.2</w:t>
      </w:r>
      <w:r>
        <w:rPr>
          <w:rFonts w:hint="eastAsia" w:ascii="仿宋" w:hAnsi="仿宋" w:eastAsia="仿宋" w:cs="仿宋"/>
          <w:sz w:val="32"/>
          <w:szCs w:val="32"/>
          <w:lang w:eastAsia="zh-CN"/>
        </w:rPr>
        <w:t>中标人</w:t>
      </w:r>
      <w:r>
        <w:rPr>
          <w:rFonts w:hint="eastAsia" w:ascii="仿宋" w:hAnsi="仿宋" w:eastAsia="仿宋" w:cs="仿宋"/>
          <w:sz w:val="32"/>
          <w:szCs w:val="32"/>
        </w:rPr>
        <w:t>故障响应时间不超过4小时，一般故障排除时间不超过24小时，重大故障排除时间不超过48小时，如故障排除时间超过48小时，需提供备机或其他有效方式保证不间断的获取水站数据。</w:t>
      </w:r>
    </w:p>
    <w:p>
      <w:pPr>
        <w:pStyle w:val="11"/>
        <w:spacing w:line="360" w:lineRule="auto"/>
        <w:rPr>
          <w:rFonts w:hint="eastAsia" w:ascii="仿宋" w:hAnsi="仿宋" w:eastAsia="仿宋" w:cs="仿宋"/>
          <w:b/>
          <w:sz w:val="32"/>
          <w:szCs w:val="32"/>
        </w:rPr>
      </w:pPr>
      <w:r>
        <w:rPr>
          <w:rFonts w:hint="eastAsia" w:ascii="仿宋" w:hAnsi="仿宋" w:eastAsia="仿宋" w:cs="仿宋"/>
          <w:b/>
          <w:sz w:val="32"/>
          <w:szCs w:val="32"/>
        </w:rPr>
        <w:t>3.6运维记录表格</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认真、及时做好各类记录，每季度以书面形式报</w:t>
      </w:r>
      <w:r>
        <w:rPr>
          <w:rFonts w:hint="eastAsia" w:ascii="仿宋" w:hAnsi="仿宋" w:eastAsia="仿宋" w:cs="仿宋"/>
          <w:sz w:val="32"/>
          <w:szCs w:val="32"/>
          <w:lang w:eastAsia="zh-CN"/>
        </w:rPr>
        <w:t>采购人</w:t>
      </w:r>
      <w:r>
        <w:rPr>
          <w:rFonts w:hint="eastAsia" w:ascii="仿宋" w:hAnsi="仿宋" w:eastAsia="仿宋" w:cs="仿宋"/>
          <w:sz w:val="32"/>
          <w:szCs w:val="32"/>
        </w:rPr>
        <w:t>，书面报告作为运行维护考核依据之一，具体包括：</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（1）日巡视异常数据记录表；</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（2）小型水站巡检记录表；</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（3）小型水站备品备件更换记录表；</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（4）故障处理情况表；</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（5）小型水站质控样核查结果记录表；    </w:t>
      </w:r>
    </w:p>
    <w:p>
      <w:pPr>
        <w:spacing w:line="360" w:lineRule="auto"/>
        <w:rPr>
          <w:rFonts w:hint="eastAsia" w:ascii="仿宋" w:hAnsi="仿宋" w:eastAsia="仿宋" w:cs="仿宋"/>
          <w:b/>
          <w:sz w:val="32"/>
          <w:szCs w:val="32"/>
        </w:rPr>
      </w:pPr>
      <w:r>
        <w:rPr>
          <w:rFonts w:hint="eastAsia" w:ascii="仿宋" w:hAnsi="仿宋" w:eastAsia="仿宋" w:cs="仿宋"/>
          <w:b/>
          <w:sz w:val="32"/>
          <w:szCs w:val="32"/>
        </w:rPr>
        <w:t>3.7 人员及车辆要求</w:t>
      </w:r>
    </w:p>
    <w:p>
      <w:pPr>
        <w:spacing w:line="360" w:lineRule="auto"/>
        <w:ind w:firstLine="640" w:firstLineChars="200"/>
        <w:rPr>
          <w:rFonts w:hint="eastAsia" w:ascii="仿宋" w:hAnsi="仿宋" w:eastAsia="仿宋" w:cs="仿宋"/>
          <w:color w:val="FF0000"/>
          <w:sz w:val="32"/>
          <w:szCs w:val="32"/>
        </w:rPr>
      </w:pPr>
      <w:r>
        <w:rPr>
          <w:rFonts w:hint="eastAsia" w:ascii="仿宋" w:hAnsi="仿宋" w:eastAsia="仿宋" w:cs="仿宋"/>
          <w:sz w:val="32"/>
          <w:szCs w:val="32"/>
        </w:rPr>
        <w:t>3.7.1</w:t>
      </w:r>
      <w:r>
        <w:rPr>
          <w:rFonts w:hint="eastAsia" w:ascii="仿宋" w:hAnsi="仿宋" w:eastAsia="仿宋" w:cs="仿宋"/>
          <w:sz w:val="32"/>
          <w:szCs w:val="32"/>
          <w:lang w:eastAsia="zh-CN"/>
        </w:rPr>
        <w:t>中标人</w:t>
      </w:r>
      <w:r>
        <w:rPr>
          <w:rFonts w:hint="eastAsia" w:ascii="仿宋" w:hAnsi="仿宋" w:eastAsia="仿宋" w:cs="仿宋"/>
          <w:sz w:val="32"/>
          <w:szCs w:val="32"/>
        </w:rPr>
        <w:t>人员</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（1）人员分工：现场维护、系统软件维护和集成维护人员分工要明确。</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中标人</w:t>
      </w:r>
      <w:r>
        <w:rPr>
          <w:rFonts w:hint="eastAsia" w:ascii="仿宋" w:hAnsi="仿宋" w:eastAsia="仿宋" w:cs="仿宋"/>
          <w:sz w:val="32"/>
          <w:szCs w:val="32"/>
        </w:rPr>
        <w:t>向</w:t>
      </w:r>
      <w:r>
        <w:rPr>
          <w:rFonts w:hint="eastAsia" w:ascii="仿宋" w:hAnsi="仿宋" w:eastAsia="仿宋" w:cs="仿宋"/>
          <w:sz w:val="32"/>
          <w:szCs w:val="32"/>
          <w:lang w:eastAsia="zh-CN"/>
        </w:rPr>
        <w:t>采购人</w:t>
      </w:r>
      <w:r>
        <w:rPr>
          <w:rFonts w:hint="eastAsia" w:ascii="仿宋" w:hAnsi="仿宋" w:eastAsia="仿宋" w:cs="仿宋"/>
          <w:sz w:val="32"/>
          <w:szCs w:val="32"/>
        </w:rPr>
        <w:t>提供1名常驻人员，配合</w:t>
      </w:r>
      <w:r>
        <w:rPr>
          <w:rFonts w:hint="eastAsia" w:ascii="仿宋" w:hAnsi="仿宋" w:eastAsia="仿宋" w:cs="仿宋"/>
          <w:sz w:val="32"/>
          <w:szCs w:val="32"/>
          <w:lang w:eastAsia="zh-CN"/>
        </w:rPr>
        <w:t>采购人</w:t>
      </w:r>
      <w:r>
        <w:rPr>
          <w:rFonts w:hint="eastAsia" w:ascii="仿宋" w:hAnsi="仿宋" w:eastAsia="仿宋" w:cs="仿宋"/>
          <w:sz w:val="32"/>
          <w:szCs w:val="32"/>
        </w:rPr>
        <w:t>开展水站监控运维相关工作。</w:t>
      </w:r>
      <w:r>
        <w:rPr>
          <w:rFonts w:hint="eastAsia" w:ascii="仿宋" w:hAnsi="仿宋" w:eastAsia="仿宋" w:cs="仿宋"/>
          <w:sz w:val="32"/>
          <w:szCs w:val="32"/>
          <w:lang w:eastAsia="zh-CN"/>
        </w:rPr>
        <w:t>采购人</w:t>
      </w:r>
      <w:r>
        <w:rPr>
          <w:rFonts w:hint="eastAsia" w:ascii="仿宋" w:hAnsi="仿宋" w:eastAsia="仿宋" w:cs="仿宋"/>
          <w:sz w:val="32"/>
          <w:szCs w:val="32"/>
        </w:rPr>
        <w:t>提供办公场所。</w:t>
      </w:r>
    </w:p>
    <w:p>
      <w:pPr>
        <w:pStyle w:val="11"/>
        <w:spacing w:line="360" w:lineRule="auto"/>
        <w:rPr>
          <w:rFonts w:hint="eastAsia" w:ascii="仿宋" w:hAnsi="仿宋" w:eastAsia="仿宋" w:cs="仿宋"/>
          <w:b/>
          <w:bCs/>
          <w:sz w:val="32"/>
          <w:szCs w:val="32"/>
        </w:rPr>
      </w:pPr>
      <w:r>
        <w:rPr>
          <w:rFonts w:hint="eastAsia" w:ascii="仿宋" w:hAnsi="仿宋" w:eastAsia="仿宋" w:cs="仿宋"/>
          <w:b/>
          <w:bCs/>
          <w:sz w:val="32"/>
          <w:szCs w:val="32"/>
        </w:rPr>
        <w:t>3.8安全要求</w:t>
      </w:r>
    </w:p>
    <w:p>
      <w:pPr>
        <w:spacing w:line="360" w:lineRule="auto"/>
        <w:ind w:firstLine="960" w:firstLineChars="300"/>
        <w:rPr>
          <w:rFonts w:hint="eastAsia" w:ascii="仿宋" w:hAnsi="仿宋" w:eastAsia="仿宋" w:cs="仿宋"/>
          <w:sz w:val="32"/>
          <w:szCs w:val="32"/>
        </w:rPr>
      </w:pPr>
      <w:r>
        <w:rPr>
          <w:rFonts w:hint="eastAsia" w:ascii="仿宋" w:hAnsi="仿宋" w:eastAsia="仿宋" w:cs="仿宋"/>
          <w:sz w:val="32"/>
          <w:szCs w:val="32"/>
        </w:rPr>
        <w:t>3.8.1</w:t>
      </w:r>
      <w:r>
        <w:rPr>
          <w:rFonts w:hint="eastAsia" w:ascii="仿宋" w:hAnsi="仿宋" w:eastAsia="仿宋" w:cs="仿宋"/>
          <w:sz w:val="32"/>
          <w:szCs w:val="32"/>
          <w:lang w:eastAsia="zh-CN"/>
        </w:rPr>
        <w:t>中标人</w:t>
      </w:r>
      <w:r>
        <w:rPr>
          <w:rFonts w:hint="eastAsia" w:ascii="仿宋" w:hAnsi="仿宋" w:eastAsia="仿宋" w:cs="仿宋"/>
          <w:sz w:val="32"/>
          <w:szCs w:val="32"/>
        </w:rPr>
        <w:t>对小型水站及配套设施安全负责。</w:t>
      </w:r>
    </w:p>
    <w:p>
      <w:pPr>
        <w:spacing w:line="360" w:lineRule="auto"/>
        <w:ind w:firstLine="960" w:firstLineChars="300"/>
        <w:rPr>
          <w:rFonts w:hint="eastAsia" w:ascii="仿宋" w:hAnsi="仿宋" w:eastAsia="仿宋" w:cs="仿宋"/>
          <w:sz w:val="32"/>
          <w:szCs w:val="32"/>
        </w:rPr>
      </w:pPr>
      <w:r>
        <w:rPr>
          <w:rFonts w:hint="eastAsia" w:ascii="仿宋" w:hAnsi="仿宋" w:eastAsia="仿宋" w:cs="仿宋"/>
          <w:sz w:val="32"/>
          <w:szCs w:val="32"/>
        </w:rPr>
        <w:t>3.8.2</w:t>
      </w:r>
      <w:r>
        <w:rPr>
          <w:rFonts w:hint="eastAsia" w:ascii="仿宋" w:hAnsi="仿宋" w:eastAsia="仿宋" w:cs="仿宋"/>
          <w:sz w:val="32"/>
          <w:szCs w:val="32"/>
          <w:lang w:eastAsia="zh-CN"/>
        </w:rPr>
        <w:t>中标人</w:t>
      </w:r>
      <w:r>
        <w:rPr>
          <w:rFonts w:hint="eastAsia" w:ascii="仿宋" w:hAnsi="仿宋" w:eastAsia="仿宋" w:cs="仿宋"/>
          <w:sz w:val="32"/>
          <w:szCs w:val="32"/>
        </w:rPr>
        <w:t>根据安全用电相关规定，邀请供电部门对水站专用变压器进行防雷年检，并对变压器及电力线路安全性进行检查。</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对于电源防雷，应联系专业单位进行年度检测，保证站房电源配电箱（柜）中防雷空气开关正常及电源接地线接地良好</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3.8.3 </w:t>
      </w:r>
      <w:r>
        <w:rPr>
          <w:rFonts w:hint="eastAsia" w:ascii="仿宋" w:hAnsi="仿宋" w:eastAsia="仿宋" w:cs="仿宋"/>
          <w:sz w:val="32"/>
          <w:szCs w:val="32"/>
          <w:lang w:eastAsia="zh-CN"/>
        </w:rPr>
        <w:t>中标人</w:t>
      </w:r>
      <w:r>
        <w:rPr>
          <w:rFonts w:hint="eastAsia" w:ascii="仿宋" w:hAnsi="仿宋" w:eastAsia="仿宋" w:cs="仿宋"/>
          <w:sz w:val="32"/>
          <w:szCs w:val="32"/>
        </w:rPr>
        <w:t>负责对机柜漏水及浮漂保养的维护和维修。</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bCs/>
          <w:sz w:val="32"/>
          <w:szCs w:val="32"/>
        </w:rPr>
        <w:t>3.8.4</w:t>
      </w:r>
      <w:r>
        <w:rPr>
          <w:rFonts w:hint="eastAsia" w:ascii="仿宋" w:hAnsi="仿宋" w:eastAsia="仿宋" w:cs="仿宋"/>
          <w:sz w:val="32"/>
          <w:szCs w:val="32"/>
          <w:lang w:eastAsia="zh-CN"/>
        </w:rPr>
        <w:t>中标人</w:t>
      </w:r>
      <w:r>
        <w:rPr>
          <w:rFonts w:hint="eastAsia" w:ascii="仿宋" w:hAnsi="仿宋" w:eastAsia="仿宋" w:cs="仿宋"/>
          <w:sz w:val="32"/>
          <w:szCs w:val="32"/>
        </w:rPr>
        <w:t>应做好站房防雷工作。</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每年联系有资质的检测部门在雷雨季节前对站房进行一次防雷检测，检查避雷带是否脱落，接地电阻是否合格等。对防雷设施不完善的，及时进行整改。</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3.8.5</w:t>
      </w:r>
      <w:r>
        <w:rPr>
          <w:rFonts w:hint="eastAsia" w:ascii="仿宋" w:hAnsi="仿宋" w:eastAsia="仿宋" w:cs="仿宋"/>
          <w:sz w:val="32"/>
          <w:szCs w:val="32"/>
          <w:lang w:eastAsia="zh-CN"/>
        </w:rPr>
        <w:t>中标人</w:t>
      </w:r>
      <w:r>
        <w:rPr>
          <w:rFonts w:hint="eastAsia" w:ascii="仿宋" w:hAnsi="仿宋" w:eastAsia="仿宋" w:cs="仿宋"/>
          <w:sz w:val="32"/>
          <w:szCs w:val="32"/>
        </w:rPr>
        <w:t>对仪器设备外壳和机柜接地情况进行检测，如不符合相关技术标准要求，及时整改到位，保证接地良好。</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3.8.6</w:t>
      </w:r>
      <w:r>
        <w:rPr>
          <w:rFonts w:hint="eastAsia" w:ascii="仿宋" w:hAnsi="仿宋" w:eastAsia="仿宋" w:cs="仿宋"/>
          <w:sz w:val="32"/>
          <w:szCs w:val="32"/>
          <w:lang w:eastAsia="zh-CN"/>
        </w:rPr>
        <w:t>中标人</w:t>
      </w:r>
      <w:r>
        <w:rPr>
          <w:rFonts w:hint="eastAsia" w:ascii="仿宋" w:hAnsi="仿宋" w:eastAsia="仿宋" w:cs="仿宋"/>
          <w:sz w:val="32"/>
          <w:szCs w:val="32"/>
        </w:rPr>
        <w:t>应做好确保数据传输设备等安全运行工作。</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3.8.7</w:t>
      </w:r>
      <w:r>
        <w:rPr>
          <w:rFonts w:hint="eastAsia" w:ascii="仿宋" w:hAnsi="仿宋" w:eastAsia="仿宋" w:cs="仿宋"/>
          <w:sz w:val="32"/>
          <w:szCs w:val="32"/>
          <w:lang w:eastAsia="zh-CN"/>
        </w:rPr>
        <w:t>中标人</w:t>
      </w:r>
      <w:r>
        <w:rPr>
          <w:rFonts w:hint="eastAsia" w:ascii="仿宋" w:hAnsi="仿宋" w:eastAsia="仿宋" w:cs="仿宋"/>
          <w:sz w:val="32"/>
          <w:szCs w:val="32"/>
        </w:rPr>
        <w:t>应做好汛期采水系统安全工作。</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每年汛期，</w:t>
      </w:r>
      <w:r>
        <w:rPr>
          <w:rFonts w:hint="eastAsia" w:ascii="仿宋" w:hAnsi="仿宋" w:eastAsia="仿宋" w:cs="仿宋"/>
          <w:sz w:val="32"/>
          <w:szCs w:val="32"/>
          <w:lang w:eastAsia="zh-CN"/>
        </w:rPr>
        <w:t>中标人</w:t>
      </w:r>
      <w:r>
        <w:rPr>
          <w:rFonts w:hint="eastAsia" w:ascii="仿宋" w:hAnsi="仿宋" w:eastAsia="仿宋" w:cs="仿宋"/>
          <w:sz w:val="32"/>
          <w:szCs w:val="32"/>
        </w:rPr>
        <w:t>应加强日常维护，做好系统的汛前准备、讯后恢复工作。做好水站的日常维护保养，根据防汛信息采取措施，在汛期前做好准备工作。定时联系站房看护人员，跟踪（及时）了解河水的变化情况，并制定异常情况处理预案。汛期前可根据情况将浮船等采水系统移至安全地方。防汛期间需要暂停水站运行的，须及时书面上报省环保厅后再实施。汛后及时恢复水站的正常运行。</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3.8.8委托运营维护及管理的全部资产（包括全部产权和建筑物、设备、软件、配套设施、水质自动站和配套监控系统产生的各类数据信息及相关文档资料）属业主方所有。未经业主方同意，</w:t>
      </w:r>
      <w:r>
        <w:rPr>
          <w:rFonts w:hint="eastAsia" w:ascii="仿宋" w:hAnsi="仿宋" w:eastAsia="仿宋" w:cs="仿宋"/>
          <w:sz w:val="32"/>
          <w:szCs w:val="32"/>
          <w:lang w:eastAsia="zh-CN"/>
        </w:rPr>
        <w:t>中标人</w:t>
      </w:r>
      <w:r>
        <w:rPr>
          <w:rFonts w:hint="eastAsia" w:ascii="仿宋" w:hAnsi="仿宋" w:eastAsia="仿宋" w:cs="仿宋"/>
          <w:sz w:val="32"/>
          <w:szCs w:val="32"/>
        </w:rPr>
        <w:t>不得以任何方式对各类财产进行出售、抵押或转移；同时，在委托运营及管理期间，</w:t>
      </w:r>
      <w:r>
        <w:rPr>
          <w:rFonts w:hint="eastAsia" w:ascii="仿宋" w:hAnsi="仿宋" w:eastAsia="仿宋" w:cs="仿宋"/>
          <w:sz w:val="32"/>
          <w:szCs w:val="32"/>
          <w:lang w:eastAsia="zh-CN"/>
        </w:rPr>
        <w:t>中标人</w:t>
      </w:r>
      <w:r>
        <w:rPr>
          <w:rFonts w:hint="eastAsia" w:ascii="仿宋" w:hAnsi="仿宋" w:eastAsia="仿宋" w:cs="仿宋"/>
          <w:sz w:val="32"/>
          <w:szCs w:val="32"/>
        </w:rPr>
        <w:t>有责任保证上述全部资产的完整、安全并处于良好状态。</w:t>
      </w:r>
    </w:p>
    <w:bookmarkEnd w:id="2"/>
    <w:p>
      <w:pPr>
        <w:spacing w:line="360" w:lineRule="auto"/>
        <w:rPr>
          <w:rFonts w:hint="eastAsia" w:ascii="仿宋" w:hAnsi="仿宋" w:eastAsia="仿宋" w:cs="仿宋"/>
          <w:b/>
          <w:bCs/>
          <w:sz w:val="32"/>
          <w:szCs w:val="32"/>
        </w:rPr>
      </w:pPr>
      <w:r>
        <w:rPr>
          <w:rFonts w:hint="eastAsia" w:ascii="仿宋" w:hAnsi="仿宋" w:eastAsia="仿宋" w:cs="仿宋"/>
          <w:b/>
          <w:bCs/>
          <w:sz w:val="32"/>
          <w:szCs w:val="32"/>
        </w:rPr>
        <w:t>4、运维质量管理与控制要求</w:t>
      </w:r>
    </w:p>
    <w:p>
      <w:pPr>
        <w:autoSpaceDE w:val="0"/>
        <w:autoSpaceDN w:val="0"/>
        <w:adjustRightInd w:val="0"/>
        <w:spacing w:line="360" w:lineRule="auto"/>
        <w:ind w:firstLine="321" w:firstLineChars="100"/>
        <w:rPr>
          <w:rFonts w:hint="eastAsia" w:ascii="仿宋" w:hAnsi="仿宋" w:eastAsia="仿宋" w:cs="仿宋"/>
          <w:b/>
          <w:bCs/>
          <w:sz w:val="32"/>
          <w:szCs w:val="32"/>
        </w:rPr>
      </w:pPr>
      <w:r>
        <w:rPr>
          <w:rFonts w:hint="eastAsia" w:ascii="仿宋" w:hAnsi="仿宋" w:eastAsia="仿宋" w:cs="仿宋"/>
          <w:b/>
          <w:bCs/>
          <w:sz w:val="32"/>
          <w:szCs w:val="32"/>
        </w:rPr>
        <w:t>4.1 运维管理方针与目标</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4.1.1 运行维护管理方针：</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运行规范、反应及时、数据准确、管理有效。</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4.1.2 运行维护管理目标</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全面贯彻质量方针、建立符合国家标准且适合于</w:t>
      </w:r>
      <w:r>
        <w:rPr>
          <w:rFonts w:hint="eastAsia" w:ascii="仿宋" w:hAnsi="仿宋" w:eastAsia="仿宋" w:cs="仿宋"/>
          <w:sz w:val="32"/>
          <w:szCs w:val="32"/>
          <w:lang w:eastAsia="zh-CN"/>
        </w:rPr>
        <w:t>采购人</w:t>
      </w:r>
      <w:r>
        <w:rPr>
          <w:rFonts w:hint="eastAsia" w:ascii="仿宋" w:hAnsi="仿宋" w:eastAsia="仿宋" w:cs="仿宋"/>
          <w:sz w:val="32"/>
          <w:szCs w:val="32"/>
        </w:rPr>
        <w:t>监管—</w:t>
      </w:r>
      <w:r>
        <w:rPr>
          <w:rFonts w:hint="eastAsia" w:ascii="仿宋" w:hAnsi="仿宋" w:eastAsia="仿宋" w:cs="仿宋"/>
          <w:sz w:val="32"/>
          <w:szCs w:val="32"/>
          <w:lang w:eastAsia="zh-CN"/>
        </w:rPr>
        <w:t>中标人</w:t>
      </w:r>
      <w:r>
        <w:rPr>
          <w:rFonts w:hint="eastAsia" w:ascii="仿宋" w:hAnsi="仿宋" w:eastAsia="仿宋" w:cs="仿宋"/>
          <w:sz w:val="32"/>
          <w:szCs w:val="32"/>
        </w:rPr>
        <w:t>运维模式下的质量管理体系，提供及时、准确、有效的技术服务，不断提高水站的运行质量，确保水质自动站能够按照</w:t>
      </w:r>
      <w:r>
        <w:rPr>
          <w:rFonts w:hint="eastAsia" w:ascii="仿宋" w:hAnsi="仿宋" w:eastAsia="仿宋" w:cs="仿宋"/>
          <w:sz w:val="32"/>
          <w:szCs w:val="32"/>
          <w:lang w:eastAsia="zh-CN"/>
        </w:rPr>
        <w:t>采购人</w:t>
      </w:r>
      <w:r>
        <w:rPr>
          <w:rFonts w:hint="eastAsia" w:ascii="仿宋" w:hAnsi="仿宋" w:eastAsia="仿宋" w:cs="仿宋"/>
          <w:sz w:val="32"/>
          <w:szCs w:val="32"/>
        </w:rPr>
        <w:t>的技术要求，提供准确监测数据所必须达到的软、硬件环境，并达到异常情况处理率100%。（出现故障后，</w:t>
      </w:r>
      <w:r>
        <w:rPr>
          <w:rFonts w:hint="eastAsia" w:ascii="仿宋" w:hAnsi="仿宋" w:eastAsia="仿宋" w:cs="仿宋"/>
          <w:sz w:val="32"/>
          <w:szCs w:val="32"/>
          <w:lang w:eastAsia="zh-CN"/>
        </w:rPr>
        <w:t>采购人</w:t>
      </w:r>
      <w:r>
        <w:rPr>
          <w:rFonts w:hint="eastAsia" w:ascii="仿宋" w:hAnsi="仿宋" w:eastAsia="仿宋" w:cs="仿宋"/>
          <w:sz w:val="32"/>
          <w:szCs w:val="32"/>
        </w:rPr>
        <w:t>以任何方式通知</w:t>
      </w:r>
      <w:r>
        <w:rPr>
          <w:rFonts w:hint="eastAsia" w:ascii="仿宋" w:hAnsi="仿宋" w:eastAsia="仿宋" w:cs="仿宋"/>
          <w:sz w:val="32"/>
          <w:szCs w:val="32"/>
          <w:lang w:eastAsia="zh-CN"/>
        </w:rPr>
        <w:t>中标人</w:t>
      </w:r>
      <w:r>
        <w:rPr>
          <w:rFonts w:hint="eastAsia" w:ascii="仿宋" w:hAnsi="仿宋" w:eastAsia="仿宋" w:cs="仿宋"/>
          <w:sz w:val="32"/>
          <w:szCs w:val="32"/>
        </w:rPr>
        <w:t>，</w:t>
      </w:r>
      <w:r>
        <w:rPr>
          <w:rFonts w:hint="eastAsia" w:ascii="仿宋" w:hAnsi="仿宋" w:eastAsia="仿宋" w:cs="仿宋"/>
          <w:sz w:val="32"/>
          <w:szCs w:val="32"/>
          <w:lang w:eastAsia="zh-CN"/>
        </w:rPr>
        <w:t>中标人</w:t>
      </w:r>
      <w:r>
        <w:rPr>
          <w:rFonts w:hint="eastAsia" w:ascii="仿宋" w:hAnsi="仿宋" w:eastAsia="仿宋" w:cs="仿宋"/>
          <w:sz w:val="32"/>
          <w:szCs w:val="32"/>
        </w:rPr>
        <w:t>必需在规定时间以内到达现场进行故障排除）。</w:t>
      </w:r>
    </w:p>
    <w:p>
      <w:pPr>
        <w:spacing w:line="360" w:lineRule="auto"/>
        <w:ind w:firstLine="643" w:firstLineChars="200"/>
        <w:rPr>
          <w:rFonts w:hint="eastAsia" w:ascii="仿宋" w:hAnsi="仿宋" w:eastAsia="仿宋" w:cs="仿宋"/>
          <w:sz w:val="32"/>
          <w:szCs w:val="32"/>
        </w:rPr>
      </w:pPr>
      <w:r>
        <w:rPr>
          <w:rFonts w:hint="eastAsia" w:ascii="仿宋" w:hAnsi="仿宋" w:eastAsia="仿宋" w:cs="仿宋"/>
          <w:b/>
          <w:sz w:val="32"/>
          <w:szCs w:val="32"/>
        </w:rPr>
        <w:t>注：</w:t>
      </w:r>
      <w:r>
        <w:rPr>
          <w:rFonts w:hint="eastAsia" w:ascii="仿宋" w:hAnsi="仿宋" w:eastAsia="仿宋" w:cs="仿宋"/>
          <w:sz w:val="32"/>
          <w:szCs w:val="32"/>
        </w:rPr>
        <w:t>不可抗力（如雷电、洪水、旱灾，火灾、断流等）造成系统无法运行、数据的缺失不计入统计考核指标。</w:t>
      </w:r>
    </w:p>
    <w:p>
      <w:pPr>
        <w:adjustRightInd w:val="0"/>
        <w:snapToGrid w:val="0"/>
        <w:spacing w:line="360" w:lineRule="auto"/>
        <w:rPr>
          <w:rFonts w:hint="eastAsia" w:ascii="仿宋" w:hAnsi="仿宋" w:eastAsia="仿宋" w:cs="仿宋"/>
          <w:b/>
          <w:bCs/>
          <w:sz w:val="32"/>
          <w:szCs w:val="32"/>
        </w:rPr>
      </w:pPr>
      <w:r>
        <w:rPr>
          <w:rFonts w:hint="eastAsia" w:ascii="仿宋" w:hAnsi="仿宋" w:eastAsia="仿宋" w:cs="仿宋"/>
          <w:b/>
          <w:bCs/>
          <w:sz w:val="32"/>
          <w:szCs w:val="32"/>
        </w:rPr>
        <w:t>4.2 水站运行质量管理</w:t>
      </w:r>
    </w:p>
    <w:p>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4.2.1 </w:t>
      </w:r>
      <w:r>
        <w:rPr>
          <w:rFonts w:hint="eastAsia" w:ascii="仿宋" w:hAnsi="仿宋" w:eastAsia="仿宋" w:cs="仿宋"/>
          <w:bCs/>
          <w:sz w:val="32"/>
          <w:szCs w:val="32"/>
          <w:lang w:eastAsia="zh-CN"/>
        </w:rPr>
        <w:t>中标人</w:t>
      </w:r>
      <w:r>
        <w:rPr>
          <w:rFonts w:hint="eastAsia" w:ascii="仿宋" w:hAnsi="仿宋" w:eastAsia="仿宋" w:cs="仿宋"/>
          <w:sz w:val="32"/>
          <w:szCs w:val="32"/>
        </w:rPr>
        <w:t>定期对本单位开展地表水自动监测人员进行技术培训和技术指导，培训情况上报</w:t>
      </w:r>
      <w:r>
        <w:rPr>
          <w:rFonts w:hint="eastAsia" w:ascii="仿宋" w:hAnsi="仿宋" w:eastAsia="仿宋" w:cs="仿宋"/>
          <w:bCs/>
          <w:sz w:val="32"/>
          <w:szCs w:val="32"/>
          <w:lang w:eastAsia="zh-CN"/>
        </w:rPr>
        <w:t>采购人</w:t>
      </w:r>
      <w:r>
        <w:rPr>
          <w:rFonts w:hint="eastAsia" w:ascii="仿宋" w:hAnsi="仿宋" w:eastAsia="仿宋" w:cs="仿宋"/>
          <w:sz w:val="32"/>
          <w:szCs w:val="32"/>
        </w:rPr>
        <w:t>备案。</w:t>
      </w:r>
    </w:p>
    <w:p>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4.2.2 </w:t>
      </w:r>
      <w:r>
        <w:rPr>
          <w:rFonts w:hint="eastAsia" w:ascii="仿宋" w:hAnsi="仿宋" w:eastAsia="仿宋" w:cs="仿宋"/>
          <w:sz w:val="32"/>
          <w:szCs w:val="32"/>
          <w:lang w:eastAsia="zh-CN"/>
        </w:rPr>
        <w:t>中标人</w:t>
      </w:r>
      <w:r>
        <w:rPr>
          <w:rFonts w:hint="eastAsia" w:ascii="仿宋" w:hAnsi="仿宋" w:eastAsia="仿宋" w:cs="仿宋"/>
          <w:sz w:val="32"/>
          <w:szCs w:val="32"/>
        </w:rPr>
        <w:t>负责开展运维合同内规定的其它质量控制要求。</w:t>
      </w:r>
    </w:p>
    <w:p>
      <w:pPr>
        <w:pStyle w:val="11"/>
        <w:spacing w:line="360" w:lineRule="auto"/>
        <w:rPr>
          <w:rFonts w:hint="eastAsia" w:ascii="仿宋" w:hAnsi="仿宋" w:eastAsia="仿宋" w:cs="仿宋"/>
          <w:sz w:val="32"/>
          <w:szCs w:val="32"/>
        </w:rPr>
      </w:pPr>
      <w:r>
        <w:rPr>
          <w:rFonts w:hint="eastAsia" w:ascii="仿宋" w:hAnsi="仿宋" w:eastAsia="仿宋" w:cs="仿宋"/>
          <w:sz w:val="32"/>
          <w:szCs w:val="32"/>
        </w:rPr>
        <w:t>4.2.3</w:t>
      </w:r>
      <w:r>
        <w:rPr>
          <w:rFonts w:hint="eastAsia" w:ascii="仿宋" w:hAnsi="仿宋" w:eastAsia="仿宋" w:cs="仿宋"/>
          <w:sz w:val="32"/>
          <w:szCs w:val="32"/>
          <w:lang w:eastAsia="zh-CN"/>
        </w:rPr>
        <w:t>中标人</w:t>
      </w:r>
      <w:r>
        <w:rPr>
          <w:rFonts w:hint="eastAsia" w:ascii="仿宋" w:hAnsi="仿宋" w:eastAsia="仿宋" w:cs="仿宋"/>
          <w:sz w:val="32"/>
          <w:szCs w:val="32"/>
        </w:rPr>
        <w:t>应严格按照</w:t>
      </w:r>
      <w:r>
        <w:rPr>
          <w:rFonts w:hint="eastAsia" w:ascii="仿宋" w:hAnsi="仿宋" w:eastAsia="仿宋" w:cs="仿宋"/>
          <w:sz w:val="32"/>
          <w:szCs w:val="32"/>
          <w:lang w:eastAsia="zh-CN"/>
        </w:rPr>
        <w:t>采购人</w:t>
      </w:r>
      <w:r>
        <w:rPr>
          <w:rFonts w:hint="eastAsia" w:ascii="仿宋" w:hAnsi="仿宋" w:eastAsia="仿宋" w:cs="仿宋"/>
          <w:sz w:val="32"/>
          <w:szCs w:val="32"/>
        </w:rPr>
        <w:t>的要求，对水站实施“日监视、周巡检”的日常运行维护与管理。</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 每日上、下午登录数据监控平台，对水站数据上传网络平台情况进行监视，确保水站运行正常；通过视频监控系统，观察水站室内、外实时状况或选择观看历史视频数据，判官是否有异常情况，并填写《水站运维值班日志》。</w:t>
      </w:r>
    </w:p>
    <w:p>
      <w:pPr>
        <w:pStyle w:val="11"/>
        <w:spacing w:line="360" w:lineRule="auto"/>
        <w:rPr>
          <w:rFonts w:hint="eastAsia" w:ascii="仿宋" w:hAnsi="仿宋" w:eastAsia="仿宋" w:cs="仿宋"/>
          <w:sz w:val="32"/>
          <w:szCs w:val="32"/>
        </w:rPr>
      </w:pPr>
      <w:r>
        <w:rPr>
          <w:rFonts w:hint="eastAsia" w:ascii="仿宋" w:hAnsi="仿宋" w:eastAsia="仿宋" w:cs="仿宋"/>
          <w:sz w:val="32"/>
          <w:szCs w:val="32"/>
        </w:rPr>
        <w:t>（2）每周对水站至少进行一次现场巡检，对水站系统仪器设备进行现场质量控制，并通过工控机现场登录“河南省水质自动站运维质控管理系统”，按照要求认真填报水站相关情况。</w:t>
      </w:r>
    </w:p>
    <w:p>
      <w:pPr>
        <w:pStyle w:val="11"/>
        <w:spacing w:line="360" w:lineRule="auto"/>
        <w:rPr>
          <w:rFonts w:hint="eastAsia" w:ascii="仿宋" w:hAnsi="仿宋" w:eastAsia="仿宋" w:cs="仿宋"/>
          <w:sz w:val="32"/>
          <w:szCs w:val="32"/>
        </w:rPr>
      </w:pPr>
      <w:r>
        <w:rPr>
          <w:rFonts w:hint="eastAsia" w:ascii="仿宋" w:hAnsi="仿宋" w:eastAsia="仿宋" w:cs="仿宋"/>
          <w:sz w:val="32"/>
          <w:szCs w:val="32"/>
        </w:rPr>
        <w:t>（3）非巡检时间，水站系统若有异常情况发生应及时远程或到现场解决。</w:t>
      </w:r>
    </w:p>
    <w:p>
      <w:pPr>
        <w:snapToGrid w:val="0"/>
        <w:spacing w:line="360" w:lineRule="auto"/>
        <w:ind w:firstLine="320" w:firstLineChars="100"/>
        <w:rPr>
          <w:rFonts w:hint="eastAsia" w:ascii="仿宋" w:hAnsi="仿宋" w:eastAsia="仿宋" w:cs="仿宋"/>
          <w:sz w:val="32"/>
          <w:szCs w:val="32"/>
        </w:rPr>
      </w:pPr>
      <w:r>
        <w:rPr>
          <w:rFonts w:hint="eastAsia" w:ascii="仿宋" w:hAnsi="仿宋" w:eastAsia="仿宋" w:cs="仿宋"/>
          <w:sz w:val="32"/>
          <w:szCs w:val="32"/>
        </w:rPr>
        <w:t>4.2.4 在线监测仪器期间核查</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bCs/>
          <w:sz w:val="32"/>
          <w:szCs w:val="32"/>
          <w:lang w:eastAsia="zh-CN"/>
        </w:rPr>
        <w:t>中标人</w:t>
      </w:r>
      <w:r>
        <w:rPr>
          <w:rFonts w:hint="eastAsia" w:ascii="仿宋" w:hAnsi="仿宋" w:eastAsia="仿宋" w:cs="仿宋"/>
          <w:sz w:val="32"/>
          <w:szCs w:val="32"/>
        </w:rPr>
        <w:t>每半年对监测仪器进行1次期间核查。</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（2）每年进行1次检定或校准。</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（3） </w:t>
      </w:r>
      <w:r>
        <w:rPr>
          <w:rFonts w:hint="eastAsia" w:ascii="仿宋" w:hAnsi="仿宋" w:eastAsia="仿宋" w:cs="仿宋"/>
          <w:bCs/>
          <w:sz w:val="32"/>
          <w:szCs w:val="32"/>
          <w:lang w:eastAsia="zh-CN"/>
        </w:rPr>
        <w:t>中标人</w:t>
      </w:r>
      <w:r>
        <w:rPr>
          <w:rFonts w:hint="eastAsia" w:ascii="仿宋" w:hAnsi="仿宋" w:eastAsia="仿宋" w:cs="仿宋"/>
          <w:sz w:val="32"/>
          <w:szCs w:val="32"/>
        </w:rPr>
        <w:t>应定期维护仪器设备，在仪器发生故障时，能及时发现和维修，修复后及时仪器进行重新检定或校准，并进行仪器性能测试，确保监测仪器在正常状态下工作。</w:t>
      </w:r>
    </w:p>
    <w:p>
      <w:pPr>
        <w:snapToGrid w:val="0"/>
        <w:spacing w:line="360" w:lineRule="auto"/>
        <w:rPr>
          <w:rFonts w:hint="eastAsia" w:ascii="仿宋" w:hAnsi="仿宋" w:eastAsia="仿宋" w:cs="仿宋"/>
          <w:b/>
          <w:bCs/>
          <w:sz w:val="32"/>
          <w:szCs w:val="32"/>
        </w:rPr>
      </w:pPr>
      <w:r>
        <w:rPr>
          <w:rFonts w:hint="eastAsia" w:ascii="仿宋" w:hAnsi="仿宋" w:eastAsia="仿宋" w:cs="仿宋"/>
          <w:b/>
          <w:bCs/>
          <w:sz w:val="32"/>
          <w:szCs w:val="32"/>
        </w:rPr>
        <w:t>4.3 质量控制监督检查</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4.3.1</w:t>
      </w:r>
      <w:r>
        <w:rPr>
          <w:rFonts w:hint="eastAsia" w:ascii="仿宋" w:hAnsi="仿宋" w:eastAsia="仿宋" w:cs="仿宋"/>
          <w:sz w:val="32"/>
          <w:szCs w:val="32"/>
          <w:lang w:eastAsia="zh-CN"/>
        </w:rPr>
        <w:t>采购人</w:t>
      </w:r>
      <w:r>
        <w:rPr>
          <w:rFonts w:hint="eastAsia" w:ascii="仿宋" w:hAnsi="仿宋" w:eastAsia="仿宋" w:cs="仿宋"/>
          <w:sz w:val="32"/>
          <w:szCs w:val="32"/>
        </w:rPr>
        <w:t>对</w:t>
      </w:r>
      <w:r>
        <w:rPr>
          <w:rFonts w:hint="eastAsia" w:ascii="仿宋" w:hAnsi="仿宋" w:eastAsia="仿宋" w:cs="仿宋"/>
          <w:sz w:val="32"/>
          <w:szCs w:val="32"/>
          <w:lang w:eastAsia="zh-CN"/>
        </w:rPr>
        <w:t>中标人</w:t>
      </w:r>
      <w:r>
        <w:rPr>
          <w:rFonts w:hint="eastAsia" w:ascii="仿宋" w:hAnsi="仿宋" w:eastAsia="仿宋" w:cs="仿宋"/>
          <w:sz w:val="32"/>
          <w:szCs w:val="32"/>
        </w:rPr>
        <w:t>运维水站的运行情况、自动监测数据质量进行定期或不定期的专项检查。</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4.3.2 </w:t>
      </w:r>
      <w:r>
        <w:rPr>
          <w:rFonts w:hint="eastAsia" w:ascii="仿宋" w:hAnsi="仿宋" w:eastAsia="仿宋" w:cs="仿宋"/>
          <w:sz w:val="32"/>
          <w:szCs w:val="32"/>
          <w:lang w:eastAsia="zh-CN"/>
        </w:rPr>
        <w:t>采购人</w:t>
      </w:r>
      <w:r>
        <w:rPr>
          <w:rFonts w:hint="eastAsia" w:ascii="仿宋" w:hAnsi="仿宋" w:eastAsia="仿宋" w:cs="仿宋"/>
          <w:sz w:val="32"/>
          <w:szCs w:val="32"/>
        </w:rPr>
        <w:t>对</w:t>
      </w:r>
      <w:r>
        <w:rPr>
          <w:rFonts w:hint="eastAsia" w:ascii="仿宋" w:hAnsi="仿宋" w:eastAsia="仿宋" w:cs="仿宋"/>
          <w:sz w:val="32"/>
          <w:szCs w:val="32"/>
          <w:lang w:eastAsia="zh-CN"/>
        </w:rPr>
        <w:t>中标人</w:t>
      </w:r>
      <w:r>
        <w:rPr>
          <w:rFonts w:hint="eastAsia" w:ascii="仿宋" w:hAnsi="仿宋" w:eastAsia="仿宋" w:cs="仿宋"/>
          <w:sz w:val="32"/>
          <w:szCs w:val="32"/>
        </w:rPr>
        <w:t>运维水站实施现场质量管理检查与现场质控考核的飞行巡检。</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4.3.3 </w:t>
      </w:r>
      <w:r>
        <w:rPr>
          <w:rFonts w:hint="eastAsia" w:ascii="仿宋" w:hAnsi="仿宋" w:eastAsia="仿宋" w:cs="仿宋"/>
          <w:sz w:val="32"/>
          <w:szCs w:val="32"/>
          <w:lang w:eastAsia="zh-CN"/>
        </w:rPr>
        <w:t>采购人</w:t>
      </w:r>
      <w:r>
        <w:rPr>
          <w:rFonts w:hint="eastAsia" w:ascii="仿宋" w:hAnsi="仿宋" w:eastAsia="仿宋" w:cs="仿宋"/>
          <w:sz w:val="32"/>
          <w:szCs w:val="32"/>
        </w:rPr>
        <w:t>对</w:t>
      </w:r>
      <w:r>
        <w:rPr>
          <w:rFonts w:hint="eastAsia" w:ascii="仿宋" w:hAnsi="仿宋" w:eastAsia="仿宋" w:cs="仿宋"/>
          <w:sz w:val="32"/>
          <w:szCs w:val="32"/>
          <w:lang w:eastAsia="zh-CN"/>
        </w:rPr>
        <w:t>中标人</w:t>
      </w:r>
      <w:r>
        <w:rPr>
          <w:rFonts w:hint="eastAsia" w:ascii="仿宋" w:hAnsi="仿宋" w:eastAsia="仿宋" w:cs="仿宋"/>
          <w:sz w:val="32"/>
          <w:szCs w:val="32"/>
        </w:rPr>
        <w:t>不定期进行能力验证考核。</w:t>
      </w:r>
    </w:p>
    <w:p>
      <w:pPr>
        <w:adjustRightInd w:val="0"/>
        <w:snapToGrid w:val="0"/>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4.4 水站运行异常情况报告</w:t>
      </w:r>
    </w:p>
    <w:p>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4.4.1 发生下列情况导致水站不能正常运行的，</w:t>
      </w:r>
      <w:r>
        <w:rPr>
          <w:rFonts w:hint="eastAsia" w:ascii="仿宋" w:hAnsi="仿宋" w:eastAsia="仿宋" w:cs="仿宋"/>
          <w:b/>
          <w:bCs/>
          <w:sz w:val="32"/>
          <w:szCs w:val="32"/>
          <w:lang w:eastAsia="zh-CN"/>
        </w:rPr>
        <w:t>中标人</w:t>
      </w:r>
      <w:r>
        <w:rPr>
          <w:rFonts w:hint="eastAsia" w:ascii="仿宋" w:hAnsi="仿宋" w:eastAsia="仿宋" w:cs="仿宋"/>
          <w:sz w:val="32"/>
          <w:szCs w:val="32"/>
        </w:rPr>
        <w:t>应及时向</w:t>
      </w:r>
      <w:r>
        <w:rPr>
          <w:rFonts w:hint="eastAsia" w:ascii="仿宋" w:hAnsi="仿宋" w:eastAsia="仿宋" w:cs="仿宋"/>
          <w:b/>
          <w:bCs/>
          <w:sz w:val="32"/>
          <w:szCs w:val="32"/>
          <w:lang w:eastAsia="zh-CN"/>
        </w:rPr>
        <w:t>采购人</w:t>
      </w:r>
      <w:r>
        <w:rPr>
          <w:rFonts w:hint="eastAsia" w:ascii="仿宋" w:hAnsi="仿宋" w:eastAsia="仿宋" w:cs="仿宋"/>
          <w:sz w:val="32"/>
          <w:szCs w:val="32"/>
        </w:rPr>
        <w:t>报告并采取相应措施;</w:t>
      </w:r>
    </w:p>
    <w:p>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（1）水站当地进行建设施工，水站在短期内无法运行的。</w:t>
      </w:r>
    </w:p>
    <w:p>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（2）水站当地供电系统发生故障，影响水质报告发布的。</w:t>
      </w:r>
    </w:p>
    <w:p>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（3）取水河段断流、河槽改道无法取水或水深低于50厘米影响取水水质的。</w:t>
      </w:r>
    </w:p>
    <w:p>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（4）水站系统发生故障，在短时间内不能恢复的。</w:t>
      </w:r>
    </w:p>
    <w:p>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（5）水站上游人为采取措施，阻断来水，影响水质监测的。</w:t>
      </w:r>
    </w:p>
    <w:p>
      <w:pPr>
        <w:snapToGrid w:val="0"/>
        <w:spacing w:after="156" w:afterLines="50"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4.4.2 水质自动站出现系统或仪器故障，导致连续超过48h没有自动监测数据时，</w:t>
      </w:r>
      <w:r>
        <w:rPr>
          <w:rFonts w:hint="eastAsia" w:ascii="仿宋" w:hAnsi="仿宋" w:eastAsia="仿宋" w:cs="仿宋"/>
          <w:sz w:val="32"/>
          <w:szCs w:val="32"/>
          <w:lang w:eastAsia="zh-CN"/>
        </w:rPr>
        <w:t>中标人</w:t>
      </w:r>
      <w:r>
        <w:rPr>
          <w:rFonts w:hint="eastAsia" w:ascii="仿宋" w:hAnsi="仿宋" w:eastAsia="仿宋" w:cs="仿宋"/>
          <w:sz w:val="32"/>
          <w:szCs w:val="32"/>
        </w:rPr>
        <w:t>须提供备机。</w:t>
      </w:r>
    </w:p>
    <w:p>
      <w:pPr>
        <w:snapToGrid w:val="0"/>
        <w:spacing w:after="156" w:afterLines="50"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4.4.3因客观原因导致水质自动站停电，整周无自动监测数据时，</w:t>
      </w:r>
      <w:r>
        <w:rPr>
          <w:rFonts w:hint="eastAsia" w:ascii="仿宋" w:hAnsi="仿宋" w:eastAsia="仿宋" w:cs="仿宋"/>
          <w:b/>
          <w:bCs/>
          <w:sz w:val="32"/>
          <w:szCs w:val="32"/>
          <w:lang w:eastAsia="zh-CN"/>
        </w:rPr>
        <w:t>中标人</w:t>
      </w:r>
      <w:r>
        <w:rPr>
          <w:rFonts w:hint="eastAsia" w:ascii="仿宋" w:hAnsi="仿宋" w:eastAsia="仿宋" w:cs="仿宋"/>
          <w:sz w:val="32"/>
          <w:szCs w:val="32"/>
        </w:rPr>
        <w:t>每周必须委托有资质的自动监测断面下游城市的环境监测站或第三方环境监测机构进行至少一次实验室分析测试。</w:t>
      </w:r>
    </w:p>
    <w:p>
      <w:pPr>
        <w:snapToGrid w:val="0"/>
        <w:spacing w:after="156" w:afterLines="50"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4.4.4在线分析仪器及水站各系统备品备件、易耗品按照仪器说明书进行定时更换和随坏随换。</w:t>
      </w:r>
    </w:p>
    <w:p>
      <w:pPr>
        <w:snapToGrid w:val="0"/>
        <w:spacing w:after="156" w:afterLines="50"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4.5 水站运维质量技术档案管理</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4.5.1 </w:t>
      </w:r>
      <w:r>
        <w:rPr>
          <w:rFonts w:hint="eastAsia" w:ascii="仿宋" w:hAnsi="仿宋" w:eastAsia="仿宋" w:cs="仿宋"/>
          <w:sz w:val="32"/>
          <w:szCs w:val="32"/>
          <w:lang w:eastAsia="zh-CN"/>
        </w:rPr>
        <w:t>中标人</w:t>
      </w:r>
      <w:r>
        <w:rPr>
          <w:rFonts w:hint="eastAsia" w:ascii="仿宋" w:hAnsi="仿宋" w:eastAsia="仿宋" w:cs="仿宋"/>
          <w:sz w:val="32"/>
          <w:szCs w:val="32"/>
        </w:rPr>
        <w:t>建立水站运维技术人员动态档案，同时报送</w:t>
      </w:r>
      <w:r>
        <w:rPr>
          <w:rFonts w:hint="eastAsia" w:ascii="仿宋" w:hAnsi="仿宋" w:eastAsia="仿宋" w:cs="仿宋"/>
          <w:sz w:val="32"/>
          <w:szCs w:val="32"/>
          <w:lang w:eastAsia="zh-CN"/>
        </w:rPr>
        <w:t>采购人</w:t>
      </w:r>
      <w:r>
        <w:rPr>
          <w:rFonts w:hint="eastAsia" w:ascii="仿宋" w:hAnsi="仿宋" w:eastAsia="仿宋" w:cs="仿宋"/>
          <w:sz w:val="32"/>
          <w:szCs w:val="32"/>
        </w:rPr>
        <w:t>。</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4.5.2 </w:t>
      </w:r>
      <w:r>
        <w:rPr>
          <w:rFonts w:hint="eastAsia" w:ascii="仿宋" w:hAnsi="仿宋" w:eastAsia="仿宋" w:cs="仿宋"/>
          <w:sz w:val="32"/>
          <w:szCs w:val="32"/>
          <w:lang w:eastAsia="zh-CN"/>
        </w:rPr>
        <w:t>中标人</w:t>
      </w:r>
      <w:r>
        <w:rPr>
          <w:rFonts w:hint="eastAsia" w:ascii="仿宋" w:hAnsi="仿宋" w:eastAsia="仿宋" w:cs="仿宋"/>
          <w:sz w:val="32"/>
          <w:szCs w:val="32"/>
        </w:rPr>
        <w:t>每月一次将水站监测相关数据备份，每季度结束将水站监测相关数据刻盘，归档保存。</w:t>
      </w:r>
    </w:p>
    <w:p>
      <w:pPr>
        <w:snapToGrid w:val="0"/>
        <w:spacing w:after="156" w:afterLines="50" w:line="360" w:lineRule="auto"/>
        <w:ind w:firstLine="643" w:firstLineChars="200"/>
        <w:rPr>
          <w:rFonts w:hint="eastAsia" w:ascii="仿宋" w:hAnsi="仿宋" w:eastAsia="仿宋" w:cs="仿宋"/>
          <w:sz w:val="32"/>
          <w:szCs w:val="32"/>
        </w:rPr>
      </w:pPr>
      <w:r>
        <w:rPr>
          <w:rFonts w:hint="eastAsia" w:ascii="仿宋" w:hAnsi="仿宋" w:eastAsia="仿宋" w:cs="仿宋"/>
          <w:b/>
          <w:bCs/>
          <w:sz w:val="32"/>
          <w:szCs w:val="32"/>
        </w:rPr>
        <w:t>4.6 水站运维质量控制计划和报告</w:t>
      </w:r>
    </w:p>
    <w:p>
      <w:pPr>
        <w:snapToGrid w:val="0"/>
        <w:spacing w:after="156" w:afterLines="50"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4.6.1  </w:t>
      </w:r>
      <w:r>
        <w:rPr>
          <w:rFonts w:hint="eastAsia" w:ascii="仿宋" w:hAnsi="仿宋" w:eastAsia="仿宋" w:cs="仿宋"/>
          <w:sz w:val="32"/>
          <w:szCs w:val="32"/>
          <w:lang w:eastAsia="zh-CN"/>
        </w:rPr>
        <w:t>中标人</w:t>
      </w:r>
      <w:r>
        <w:rPr>
          <w:rFonts w:hint="eastAsia" w:ascii="仿宋" w:hAnsi="仿宋" w:eastAsia="仿宋" w:cs="仿宋"/>
          <w:sz w:val="32"/>
          <w:szCs w:val="32"/>
        </w:rPr>
        <w:t>应按</w:t>
      </w:r>
      <w:r>
        <w:rPr>
          <w:rFonts w:hint="eastAsia" w:ascii="仿宋" w:hAnsi="仿宋" w:eastAsia="仿宋" w:cs="仿宋"/>
          <w:sz w:val="32"/>
          <w:szCs w:val="32"/>
          <w:lang w:eastAsia="zh-CN"/>
        </w:rPr>
        <w:t>采购人</w:t>
      </w:r>
      <w:r>
        <w:rPr>
          <w:rFonts w:hint="eastAsia" w:ascii="仿宋" w:hAnsi="仿宋" w:eastAsia="仿宋" w:cs="仿宋"/>
          <w:sz w:val="32"/>
          <w:szCs w:val="32"/>
        </w:rPr>
        <w:t>要求认真编写水站运维质量控制计划和报告，并建立水站质控管理档案。</w:t>
      </w:r>
    </w:p>
    <w:p>
      <w:pPr>
        <w:snapToGrid w:val="0"/>
        <w:spacing w:after="156" w:afterLines="50"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4.6.2 按照要求编写水站运维年度质量保证工作计划并报送</w:t>
      </w:r>
      <w:r>
        <w:rPr>
          <w:rFonts w:hint="eastAsia" w:ascii="仿宋" w:hAnsi="仿宋" w:eastAsia="仿宋" w:cs="仿宋"/>
          <w:sz w:val="32"/>
          <w:szCs w:val="32"/>
          <w:lang w:eastAsia="zh-CN"/>
        </w:rPr>
        <w:t>采购人</w:t>
      </w:r>
    </w:p>
    <w:p>
      <w:pPr>
        <w:snapToGrid w:val="0"/>
        <w:spacing w:after="156" w:afterLines="50"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4.6.3 每月结束三个工作日内编写、报送水站运维质量保证工作月报和自查报告。</w:t>
      </w:r>
    </w:p>
    <w:p>
      <w:pPr>
        <w:snapToGrid w:val="0"/>
        <w:spacing w:after="156" w:afterLines="50"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4.6.4 每季度结束五个工作日内编写、报送水站运维质量保证工作季报。</w:t>
      </w:r>
    </w:p>
    <w:p>
      <w:pPr>
        <w:snapToGrid w:val="0"/>
        <w:spacing w:after="156" w:afterLines="50"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4.6.5 半年结束五个工作日内编写、报送一次水站运维质量保证工作总结。</w:t>
      </w:r>
    </w:p>
    <w:p>
      <w:pPr>
        <w:spacing w:after="156" w:afterLines="50"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4.6.6 每年度结束前15日，编写、报送当年度水站运维质量保证工作总结。包括年度质量保证工作计划、各项质控措施实施情况的记录，水站日常数据检查处理情况、标液及试剂配制情况、每周巡检情况、仪器维修校正情况、标准溶液的核查结果、能力验证与质控考核、比对实验的结果、TOC-COD转换曲线检查结果、自动监测系统日常运行情况等记录和年度质量保证工作总结。</w:t>
      </w:r>
    </w:p>
    <w:p>
      <w:pPr>
        <w:spacing w:after="156" w:afterLines="50" w:line="360" w:lineRule="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5、运维工作要求</w:t>
      </w:r>
    </w:p>
    <w:p>
      <w:pPr>
        <w:spacing w:after="156" w:afterLines="50"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5.1 根据环保部</w:t>
      </w:r>
      <w:r>
        <w:rPr>
          <w:rFonts w:hint="eastAsia" w:ascii="仿宋" w:hAnsi="仿宋" w:eastAsia="仿宋" w:cs="仿宋"/>
          <w:kern w:val="0"/>
          <w:sz w:val="32"/>
          <w:szCs w:val="32"/>
          <w:highlight w:val="none"/>
        </w:rPr>
        <w:t>《“十三五”环境监测质量管理工作方案》、</w:t>
      </w:r>
      <w:r>
        <w:rPr>
          <w:rFonts w:hint="eastAsia" w:ascii="仿宋" w:hAnsi="仿宋" w:eastAsia="仿宋" w:cs="仿宋"/>
          <w:sz w:val="32"/>
          <w:szCs w:val="32"/>
          <w:highlight w:val="none"/>
        </w:rPr>
        <w:t>《环境监测数据弄虚作假行为判定及处理办法》相关规定，环境监测机构与运维机构及其负责人对监测数据真实性和准确性负责。</w:t>
      </w:r>
      <w:r>
        <w:rPr>
          <w:rFonts w:hint="eastAsia" w:ascii="仿宋" w:hAnsi="仿宋" w:eastAsia="仿宋" w:cs="仿宋"/>
          <w:sz w:val="32"/>
          <w:szCs w:val="32"/>
          <w:highlight w:val="none"/>
          <w:lang w:eastAsia="zh-CN"/>
        </w:rPr>
        <w:t>采购人</w:t>
      </w:r>
      <w:r>
        <w:rPr>
          <w:rFonts w:hint="eastAsia" w:ascii="仿宋" w:hAnsi="仿宋" w:eastAsia="仿宋" w:cs="仿宋"/>
          <w:sz w:val="32"/>
          <w:szCs w:val="32"/>
          <w:highlight w:val="none"/>
        </w:rPr>
        <w:t>水站自动监测数据质量由</w:t>
      </w:r>
      <w:r>
        <w:rPr>
          <w:rFonts w:hint="eastAsia" w:ascii="仿宋" w:hAnsi="仿宋" w:eastAsia="仿宋" w:cs="仿宋"/>
          <w:sz w:val="32"/>
          <w:szCs w:val="32"/>
          <w:highlight w:val="none"/>
          <w:lang w:eastAsia="zh-CN"/>
        </w:rPr>
        <w:t>中标人</w:t>
      </w:r>
      <w:r>
        <w:rPr>
          <w:rFonts w:hint="eastAsia" w:ascii="仿宋" w:hAnsi="仿宋" w:eastAsia="仿宋" w:cs="仿宋"/>
          <w:sz w:val="32"/>
          <w:szCs w:val="32"/>
          <w:highlight w:val="none"/>
        </w:rPr>
        <w:t>负责。</w:t>
      </w:r>
    </w:p>
    <w:p>
      <w:pPr>
        <w:autoSpaceDE w:val="0"/>
        <w:autoSpaceDN w:val="0"/>
        <w:adjustRightInd w:val="0"/>
        <w:snapToGrid w:val="0"/>
        <w:spacing w:line="360" w:lineRule="auto"/>
        <w:jc w:val="left"/>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lang w:val="en-US" w:eastAsia="zh-CN"/>
        </w:rPr>
        <w:t xml:space="preserve">2 </w:t>
      </w:r>
      <w:r>
        <w:rPr>
          <w:rFonts w:hint="eastAsia" w:ascii="仿宋" w:hAnsi="仿宋" w:eastAsia="仿宋" w:cs="仿宋"/>
          <w:sz w:val="32"/>
          <w:szCs w:val="32"/>
        </w:rPr>
        <w:t xml:space="preserve">水站交接程序 </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在合同生效前</w:t>
      </w:r>
      <w:r>
        <w:rPr>
          <w:rFonts w:hint="eastAsia" w:ascii="仿宋" w:hAnsi="仿宋" w:eastAsia="仿宋" w:cs="仿宋"/>
          <w:sz w:val="32"/>
          <w:szCs w:val="32"/>
          <w:lang w:eastAsia="zh-CN"/>
        </w:rPr>
        <w:t>中标人</w:t>
      </w:r>
      <w:r>
        <w:rPr>
          <w:rFonts w:hint="eastAsia" w:ascii="仿宋" w:hAnsi="仿宋" w:eastAsia="仿宋" w:cs="仿宋"/>
          <w:sz w:val="32"/>
          <w:szCs w:val="32"/>
        </w:rPr>
        <w:t xml:space="preserve">应与采购人共同对水质自动监测系统的系统运行情况，仪器运行情况，数据采集情况进行实际考察，并且做好备案。 </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（1）站房主体符合规范要求，站房供电、通讯系统正常，防雷设备完好。 </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（2）各监测仪器、辅助设备与站点设备清单保持不变，数据采集和传输系统完好、运行正常。</w:t>
      </w:r>
    </w:p>
    <w:p>
      <w:pPr>
        <w:keepNext/>
        <w:keepLines/>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（3）当年的运行维护记录完整，各类证书有效。</w:t>
      </w:r>
    </w:p>
    <w:p>
      <w:pPr>
        <w:keepNext/>
        <w:keepLines/>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中标人</w:t>
      </w:r>
      <w:r>
        <w:rPr>
          <w:rFonts w:hint="eastAsia" w:ascii="仿宋" w:hAnsi="仿宋" w:eastAsia="仿宋" w:cs="仿宋"/>
          <w:sz w:val="32"/>
          <w:szCs w:val="32"/>
        </w:rPr>
        <w:t>应组织人员、车辆，在10个工作日内完成站点交接工作。</w:t>
      </w:r>
    </w:p>
    <w:p>
      <w:pPr>
        <w:spacing w:line="360" w:lineRule="auto"/>
        <w:ind w:firstLine="482" w:firstLineChars="200"/>
        <w:contextualSpacing/>
        <w:rPr>
          <w:rFonts w:cs="微软雅黑" w:asciiTheme="minorEastAsia" w:hAnsiTheme="minorEastAsia"/>
          <w:b/>
          <w:color w:val="FF0000"/>
          <w:sz w:val="24"/>
          <w:szCs w:val="24"/>
        </w:rPr>
      </w:pPr>
      <w:r>
        <w:rPr>
          <w:rFonts w:hint="eastAsia" w:cs="微软雅黑" w:asciiTheme="minorEastAsia" w:hAnsiTheme="minorEastAsia"/>
          <w:b/>
          <w:color w:val="FF0000"/>
          <w:sz w:val="24"/>
          <w:szCs w:val="24"/>
        </w:rPr>
        <w:t>本采购清单中所列技术规格或主要参数为最低要求，不允许负偏离，否则将承担其投标被视为非实质性响应投标的风险。</w:t>
      </w:r>
    </w:p>
    <w:p>
      <w:pPr>
        <w:spacing w:line="360" w:lineRule="auto"/>
        <w:ind w:firstLine="482" w:firstLineChars="200"/>
        <w:contextualSpacing/>
        <w:rPr>
          <w:rFonts w:ascii="楷体" w:hAnsi="楷体" w:eastAsia="楷体" w:cs="宋体"/>
          <w:color w:val="000000"/>
          <w:kern w:val="0"/>
          <w:szCs w:val="21"/>
          <w:lang w:val="zh-CN"/>
        </w:rPr>
      </w:pPr>
      <w:r>
        <w:rPr>
          <w:rFonts w:hint="eastAsia" w:cs="宋体" w:asciiTheme="minorEastAsia" w:hAnsiTheme="minorEastAsia"/>
          <w:b/>
          <w:color w:val="000000"/>
          <w:kern w:val="0"/>
          <w:sz w:val="24"/>
          <w:szCs w:val="24"/>
          <w:lang w:val="zh-CN"/>
        </w:rPr>
        <w:t>二、采购标的执行标准</w:t>
      </w:r>
    </w:p>
    <w:p>
      <w:pPr>
        <w:wordWrap w:val="0"/>
        <w:topLinePunct/>
        <w:spacing w:line="360" w:lineRule="auto"/>
        <w:ind w:firstLine="480" w:firstLineChars="200"/>
        <w:rPr>
          <w:rFonts w:hint="eastAsia" w:ascii="宋体" w:cs="宋体"/>
          <w:sz w:val="24"/>
          <w:lang w:val="zh-CN" w:eastAsia="zh-CN"/>
        </w:rPr>
      </w:pPr>
      <w:r>
        <w:rPr>
          <w:rFonts w:hint="eastAsia" w:ascii="宋体" w:cs="宋体"/>
          <w:sz w:val="24"/>
          <w:lang w:val="zh-CN" w:eastAsia="zh-CN"/>
        </w:rPr>
        <w:t>《国家地表水自动监测站运行管理办法》</w:t>
      </w:r>
    </w:p>
    <w:p>
      <w:pPr>
        <w:wordWrap w:val="0"/>
        <w:topLinePunct/>
        <w:spacing w:line="360" w:lineRule="auto"/>
        <w:ind w:firstLine="480" w:firstLineChars="200"/>
        <w:rPr>
          <w:rFonts w:hint="eastAsia" w:ascii="宋体" w:cs="宋体"/>
          <w:sz w:val="24"/>
          <w:lang w:val="en-US" w:eastAsia="zh-CN"/>
        </w:rPr>
      </w:pPr>
      <w:r>
        <w:rPr>
          <w:rFonts w:hint="eastAsia" w:ascii="宋体" w:cs="宋体"/>
          <w:sz w:val="24"/>
          <w:lang w:val="en-US" w:eastAsia="zh-CN"/>
        </w:rPr>
        <w:t>《河南省地表水环境质量自动监测站运行管理办法》</w:t>
      </w:r>
    </w:p>
    <w:p>
      <w:pPr>
        <w:wordWrap w:val="0"/>
        <w:topLinePunct/>
        <w:spacing w:line="360" w:lineRule="auto"/>
        <w:ind w:firstLine="480" w:firstLineChars="200"/>
        <w:rPr>
          <w:rFonts w:hint="eastAsia" w:ascii="宋体" w:cs="宋体"/>
          <w:sz w:val="24"/>
          <w:lang w:val="en-US" w:eastAsia="zh-CN"/>
        </w:rPr>
      </w:pPr>
      <w:r>
        <w:rPr>
          <w:rFonts w:hint="eastAsia" w:ascii="宋体" w:cs="宋体"/>
          <w:sz w:val="24"/>
          <w:lang w:val="en-US" w:eastAsia="zh-CN"/>
        </w:rPr>
        <w:t>《河南省地表水环境质量自动监测站运行管理实施细则》</w:t>
      </w:r>
    </w:p>
    <w:p>
      <w:pPr>
        <w:wordWrap w:val="0"/>
        <w:topLinePunct/>
        <w:spacing w:line="360" w:lineRule="auto"/>
        <w:ind w:firstLine="480" w:firstLineChars="200"/>
        <w:rPr>
          <w:rFonts w:hint="eastAsia" w:ascii="宋体" w:cs="宋体"/>
          <w:sz w:val="24"/>
          <w:lang w:val="en-US" w:eastAsia="zh-CN"/>
        </w:rPr>
      </w:pPr>
      <w:r>
        <w:rPr>
          <w:rFonts w:hint="eastAsia" w:ascii="宋体" w:cs="宋体"/>
          <w:sz w:val="24"/>
          <w:lang w:val="en-US" w:eastAsia="zh-CN"/>
        </w:rPr>
        <w:t>《河南省地表水环境质量自动监测站质量管理规定》</w:t>
      </w:r>
    </w:p>
    <w:p>
      <w:pPr>
        <w:wordWrap w:val="0"/>
        <w:topLinePunct/>
        <w:spacing w:line="360" w:lineRule="auto"/>
        <w:ind w:firstLine="480" w:firstLineChars="200"/>
        <w:rPr>
          <w:rFonts w:hint="eastAsia" w:ascii="宋体" w:cs="宋体"/>
          <w:sz w:val="24"/>
          <w:lang w:val="en-US" w:eastAsia="zh-CN"/>
        </w:rPr>
      </w:pPr>
      <w:r>
        <w:rPr>
          <w:rFonts w:hint="eastAsia" w:ascii="宋体" w:cs="宋体"/>
          <w:sz w:val="24"/>
          <w:lang w:val="en-US" w:eastAsia="zh-CN"/>
        </w:rPr>
        <w:t>《河南省地表水环境质量自动监测站运维管理考核办法》</w:t>
      </w:r>
    </w:p>
    <w:p>
      <w:pPr>
        <w:wordWrap w:val="0"/>
        <w:topLinePunct/>
        <w:spacing w:line="360" w:lineRule="auto"/>
        <w:ind w:firstLine="480" w:firstLineChars="200"/>
        <w:rPr>
          <w:rFonts w:hint="eastAsia" w:ascii="宋体" w:cs="宋体"/>
          <w:sz w:val="24"/>
          <w:lang w:val="en-US" w:eastAsia="zh-CN"/>
        </w:rPr>
      </w:pPr>
      <w:r>
        <w:rPr>
          <w:rFonts w:hint="eastAsia" w:ascii="宋体" w:cs="宋体"/>
          <w:sz w:val="24"/>
          <w:lang w:val="en-US" w:eastAsia="zh-CN"/>
        </w:rPr>
        <w:t>其他需执行的国家相关标准、行业标准、地方标准或者其他标准、规范；</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 w:val="24"/>
          <w:szCs w:val="24"/>
          <w:lang w:val="zh-CN"/>
        </w:rPr>
        <w:t>三、采购标的的其他技术、服务等要求</w:t>
      </w:r>
    </w:p>
    <w:p>
      <w:pPr>
        <w:wordWrap w:val="0"/>
        <w:topLinePunct/>
        <w:autoSpaceDE w:val="0"/>
        <w:autoSpaceDN w:val="0"/>
        <w:adjustRightInd w:val="0"/>
        <w:spacing w:line="360" w:lineRule="auto"/>
        <w:ind w:firstLine="482"/>
        <w:rPr>
          <w:rFonts w:ascii="宋体" w:cs="宋体"/>
          <w:b/>
          <w:sz w:val="24"/>
          <w:lang w:val="zh-CN"/>
        </w:rPr>
      </w:pPr>
      <w:r>
        <w:rPr>
          <w:rFonts w:hint="eastAsia" w:ascii="宋体" w:cs="宋体"/>
          <w:sz w:val="24"/>
          <w:lang w:val="zh-CN"/>
        </w:rPr>
        <w:t>1、投标人应就每包完整投标，</w:t>
      </w:r>
      <w:r>
        <w:rPr>
          <w:rFonts w:hint="eastAsia" w:ascii="宋体" w:cs="宋体"/>
          <w:b/>
          <w:sz w:val="24"/>
          <w:lang w:val="zh-CN"/>
        </w:rPr>
        <w:t>否则为无效投标。</w:t>
      </w:r>
    </w:p>
    <w:p>
      <w:pPr>
        <w:wordWrap w:val="0"/>
        <w:topLinePunct/>
        <w:spacing w:line="360" w:lineRule="auto"/>
        <w:ind w:firstLine="480" w:firstLineChars="200"/>
        <w:rPr>
          <w:rFonts w:ascii="宋体" w:cs="宋体"/>
          <w:sz w:val="24"/>
          <w:lang w:val="zh-CN"/>
        </w:rPr>
      </w:pPr>
      <w:r>
        <w:rPr>
          <w:rFonts w:hint="eastAsia" w:ascii="宋体" w:cs="宋体"/>
          <w:sz w:val="24"/>
          <w:lang w:val="en-US" w:eastAsia="zh-CN"/>
        </w:rPr>
        <w:t>2</w:t>
      </w:r>
      <w:r>
        <w:rPr>
          <w:rFonts w:hint="eastAsia" w:ascii="宋体" w:cs="宋体"/>
          <w:sz w:val="24"/>
          <w:lang w:val="zh-CN"/>
        </w:rPr>
        <w:t>、所投产品必须符合国家质量检测标准和本招标文件规定标准的全新正品现货。</w:t>
      </w:r>
    </w:p>
    <w:p>
      <w:pPr>
        <w:wordWrap w:val="0"/>
        <w:topLinePunct/>
        <w:spacing w:line="360" w:lineRule="auto"/>
        <w:ind w:firstLine="480" w:firstLineChars="200"/>
        <w:rPr>
          <w:rFonts w:hint="eastAsia" w:ascii="宋体" w:cs="宋体"/>
          <w:sz w:val="24"/>
          <w:lang w:val="zh-CN"/>
        </w:rPr>
      </w:pPr>
      <w:r>
        <w:rPr>
          <w:rFonts w:hint="eastAsia" w:ascii="宋体" w:cs="宋体"/>
          <w:sz w:val="24"/>
          <w:lang w:val="en-US" w:eastAsia="zh-CN"/>
        </w:rPr>
        <w:t>3</w:t>
      </w:r>
      <w:r>
        <w:rPr>
          <w:rFonts w:hint="eastAsia" w:ascii="宋体" w:cs="宋体"/>
          <w:sz w:val="24"/>
          <w:lang w:val="zh-CN"/>
        </w:rPr>
        <w:t>、本项目为交钥匙工程。</w:t>
      </w:r>
    </w:p>
    <w:p>
      <w:pPr>
        <w:widowControl/>
        <w:shd w:val="clear" w:color="auto" w:fill="FFFFFF"/>
        <w:spacing w:line="360" w:lineRule="auto"/>
        <w:ind w:firstLine="482" w:firstLineChars="200"/>
        <w:contextualSpacing/>
        <w:jc w:val="left"/>
        <w:rPr>
          <w:rFonts w:ascii="楷体" w:hAnsi="楷体" w:eastAsia="楷体" w:cs="宋体"/>
          <w:color w:val="000000"/>
          <w:kern w:val="0"/>
          <w:szCs w:val="21"/>
          <w:lang w:val="zh-CN"/>
        </w:rPr>
      </w:pPr>
      <w:r>
        <w:rPr>
          <w:rFonts w:hint="eastAsia" w:cs="宋体" w:asciiTheme="minorEastAsia" w:hAnsiTheme="minorEastAsia"/>
          <w:b/>
          <w:color w:val="000000"/>
          <w:kern w:val="0"/>
          <w:sz w:val="24"/>
          <w:szCs w:val="24"/>
          <w:lang w:val="zh-CN"/>
        </w:rPr>
        <w:t>四、验收标准</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en-US" w:eastAsia="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en-US" w:eastAsia="zh-CN"/>
        </w:rPr>
        <w:t>2、按照招标文件要求、投标文件响应和承诺验收；</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en-US" w:eastAsia="zh-CN"/>
        </w:rPr>
        <w:t>3、按照国家相关标准、行业标准、地方标准或者其他标准、规范验收；</w:t>
      </w:r>
    </w:p>
    <w:p>
      <w:pPr>
        <w:widowControl/>
        <w:shd w:val="clear" w:color="auto" w:fill="FFFFFF"/>
        <w:spacing w:line="360" w:lineRule="auto"/>
        <w:ind w:firstLine="482" w:firstLineChars="200"/>
        <w:contextualSpacing/>
        <w:jc w:val="left"/>
        <w:rPr>
          <w:rFonts w:hint="eastAsia" w:cs="宋体" w:asciiTheme="minorEastAsia" w:hAnsiTheme="minorEastAsia"/>
          <w:b/>
          <w:color w:val="000000"/>
          <w:kern w:val="0"/>
          <w:sz w:val="24"/>
          <w:szCs w:val="24"/>
          <w:lang w:val="zh-CN"/>
        </w:rPr>
      </w:pPr>
      <w:r>
        <w:rPr>
          <w:rFonts w:hint="eastAsia" w:cs="宋体" w:asciiTheme="minorEastAsia" w:hAnsiTheme="minorEastAsia"/>
          <w:b/>
          <w:color w:val="000000"/>
          <w:kern w:val="0"/>
          <w:sz w:val="24"/>
          <w:szCs w:val="24"/>
          <w:lang w:val="zh-CN" w:eastAsia="zh-CN"/>
        </w:rPr>
        <w:t>五</w:t>
      </w:r>
      <w:r>
        <w:rPr>
          <w:rFonts w:hint="eastAsia" w:cs="宋体" w:asciiTheme="minorEastAsia" w:hAnsiTheme="minorEastAsia"/>
          <w:b/>
          <w:color w:val="000000"/>
          <w:kern w:val="0"/>
          <w:sz w:val="24"/>
          <w:szCs w:val="24"/>
          <w:lang w:val="zh-CN"/>
        </w:rPr>
        <w:t>、本项目预算金额</w:t>
      </w:r>
      <w:r>
        <w:rPr>
          <w:rFonts w:hint="eastAsia" w:cs="宋体" w:asciiTheme="minorEastAsia" w:hAnsiTheme="minorEastAsia"/>
          <w:b/>
          <w:color w:val="000000"/>
          <w:kern w:val="0"/>
          <w:sz w:val="24"/>
          <w:szCs w:val="24"/>
          <w:lang w:val="en-US" w:eastAsia="zh-CN"/>
        </w:rPr>
        <w:t> A包：2646036元;B包：918850</w:t>
      </w:r>
      <w:r>
        <w:rPr>
          <w:rFonts w:hint="eastAsia" w:cs="宋体" w:asciiTheme="minorEastAsia" w:hAnsiTheme="minorEastAsia"/>
          <w:b/>
          <w:color w:val="000000"/>
          <w:kern w:val="0"/>
          <w:sz w:val="24"/>
          <w:szCs w:val="24"/>
          <w:lang w:val="zh-CN"/>
        </w:rPr>
        <w:t>元。最高限价</w:t>
      </w:r>
      <w:r>
        <w:rPr>
          <w:rFonts w:hint="eastAsia" w:cs="宋体" w:asciiTheme="minorEastAsia" w:hAnsiTheme="minorEastAsia"/>
          <w:b/>
          <w:color w:val="000000"/>
          <w:kern w:val="0"/>
          <w:sz w:val="24"/>
          <w:szCs w:val="24"/>
          <w:lang w:val="en-US" w:eastAsia="zh-CN"/>
        </w:rPr>
        <w:t> A包：2646036元;B包：918850元</w:t>
      </w:r>
      <w:r>
        <w:rPr>
          <w:rFonts w:hint="eastAsia" w:cs="宋体" w:asciiTheme="minorEastAsia" w:hAnsiTheme="minorEastAsia"/>
          <w:b/>
          <w:color w:val="000000"/>
          <w:kern w:val="0"/>
          <w:sz w:val="24"/>
          <w:szCs w:val="24"/>
          <w:lang w:val="zh-CN"/>
        </w:rPr>
        <w:t>。超出最高限价的投标无效。</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 w:val="24"/>
          <w:szCs w:val="24"/>
          <w:lang w:val="zh-CN"/>
        </w:rPr>
      </w:pPr>
      <w:r>
        <w:rPr>
          <w:rFonts w:hint="eastAsia" w:cs="宋体" w:asciiTheme="minorEastAsia" w:hAnsiTheme="minorEastAsia"/>
          <w:b/>
          <w:color w:val="000000"/>
          <w:kern w:val="0"/>
          <w:sz w:val="24"/>
          <w:szCs w:val="24"/>
          <w:lang w:val="zh-CN"/>
        </w:rPr>
        <w:t>六、资金支付</w:t>
      </w:r>
    </w:p>
    <w:p>
      <w:pPr>
        <w:widowControl/>
        <w:shd w:val="clear" w:color="auto" w:fill="FFFFFF"/>
        <w:spacing w:line="360" w:lineRule="auto"/>
        <w:ind w:firstLine="480" w:firstLineChars="200"/>
        <w:contextualSpacing/>
        <w:jc w:val="left"/>
        <w:rPr>
          <w:rFonts w:hint="eastAsia" w:cs="宋体" w:asciiTheme="minorEastAsia" w:hAnsiTheme="minorEastAsia" w:eastAsiaTheme="minorEastAsia"/>
          <w:color w:val="000000"/>
          <w:kern w:val="0"/>
          <w:sz w:val="24"/>
          <w:szCs w:val="24"/>
          <w:lang w:val="en-US" w:eastAsia="zh-CN"/>
        </w:rPr>
      </w:pPr>
      <w:r>
        <w:rPr>
          <w:rFonts w:hint="eastAsia" w:cs="宋体" w:asciiTheme="minorEastAsia" w:hAnsiTheme="minorEastAsia"/>
          <w:color w:val="000000"/>
          <w:kern w:val="0"/>
          <w:sz w:val="24"/>
          <w:szCs w:val="24"/>
          <w:lang w:val="zh-CN"/>
        </w:rPr>
        <w:t>1、支付方式：</w:t>
      </w:r>
      <w:r>
        <w:rPr>
          <w:rFonts w:hint="eastAsia" w:cs="宋体" w:asciiTheme="minorEastAsia" w:hAnsiTheme="minorEastAsia"/>
          <w:color w:val="000000"/>
          <w:kern w:val="0"/>
          <w:sz w:val="24"/>
          <w:szCs w:val="24"/>
          <w:lang w:val="zh-CN" w:eastAsia="zh-CN"/>
        </w:rPr>
        <w:t>银行转账</w:t>
      </w:r>
    </w:p>
    <w:p>
      <w:pPr>
        <w:widowControl/>
        <w:shd w:val="clear" w:color="auto" w:fill="FFFFFF"/>
        <w:spacing w:line="360" w:lineRule="auto"/>
        <w:ind w:firstLine="480" w:firstLineChars="200"/>
        <w:contextualSpacing/>
        <w:jc w:val="left"/>
        <w:rPr>
          <w:rFonts w:cs="黑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2、支付时间及条件：</w:t>
      </w:r>
      <w:r>
        <w:rPr>
          <w:rFonts w:hint="eastAsia" w:cs="宋体" w:asciiTheme="minorEastAsia" w:hAnsiTheme="minorEastAsia"/>
          <w:color w:val="000000"/>
          <w:kern w:val="0"/>
          <w:sz w:val="24"/>
          <w:szCs w:val="24"/>
          <w:lang w:val="en-US" w:eastAsia="zh-CN"/>
        </w:rPr>
        <w:t>按照月度考评，半年为一个结算周期，结算后于10个工作日内付结算金额总价款的95%，剩余5%至下个结算周期一次付清。</w:t>
      </w:r>
    </w:p>
    <w:p>
      <w:pPr>
        <w:autoSpaceDE w:val="0"/>
        <w:autoSpaceDN w:val="0"/>
        <w:adjustRightInd w:val="0"/>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招标文件中凡标有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条款均为实质性要求条款，投标文件须完全响应，未实质响应的，按照无效投标处理。</w:t>
      </w:r>
    </w:p>
    <w:tbl>
      <w:tblPr>
        <w:tblStyle w:val="23"/>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项目名称：</w:t>
            </w:r>
            <w:r>
              <w:rPr>
                <w:rFonts w:hint="eastAsia" w:cs="仿宋_GB2312" w:asciiTheme="minorEastAsia" w:hAnsiTheme="minorEastAsia"/>
                <w:szCs w:val="21"/>
                <w:lang w:val="en-US" w:eastAsia="zh-CN"/>
              </w:rPr>
              <w:t>县级环境水质自动站运行管理服务</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项目编号：ZFCG-G20</w:t>
            </w:r>
            <w:r>
              <w:rPr>
                <w:rFonts w:hint="eastAsia" w:cs="仿宋_GB2312" w:asciiTheme="minorEastAsia" w:hAnsiTheme="minorEastAsia"/>
                <w:szCs w:val="21"/>
                <w:lang w:eastAsia="zh-CN"/>
              </w:rPr>
              <w:t>20</w:t>
            </w:r>
            <w:r>
              <w:rPr>
                <w:rFonts w:hint="eastAsia" w:cs="仿宋_GB2312" w:asciiTheme="minorEastAsia" w:hAnsiTheme="minorEastAsia"/>
                <w:szCs w:val="21"/>
                <w:lang w:val="en-US" w:eastAsia="zh-CN"/>
              </w:rPr>
              <w:t>005</w:t>
            </w:r>
            <w:r>
              <w:rPr>
                <w:rFonts w:hint="eastAsia" w:cs="仿宋_GB2312" w:asciiTheme="minorEastAsia" w:hAnsiTheme="minorEastAsia"/>
                <w:szCs w:val="21"/>
              </w:rPr>
              <w:t>号</w:t>
            </w:r>
          </w:p>
          <w:p>
            <w:pPr>
              <w:autoSpaceDE w:val="0"/>
              <w:autoSpaceDN w:val="0"/>
              <w:adjustRightInd w:val="0"/>
              <w:spacing w:line="360" w:lineRule="auto"/>
              <w:jc w:val="left"/>
              <w:rPr>
                <w:rFonts w:hint="eastAsia" w:cs="仿宋_GB2312" w:asciiTheme="minorEastAsia" w:hAnsiTheme="minorEastAsia"/>
                <w:szCs w:val="21"/>
                <w:lang w:val="en-US" w:eastAsia="zh-CN"/>
              </w:rPr>
            </w:pPr>
            <w:r>
              <w:rPr>
                <w:rFonts w:hint="eastAsia" w:cs="仿宋_GB2312" w:asciiTheme="minorEastAsia" w:hAnsiTheme="minorEastAsia"/>
                <w:szCs w:val="21"/>
              </w:rPr>
              <w:t>项目内容：</w:t>
            </w:r>
            <w:r>
              <w:rPr>
                <w:rFonts w:hint="eastAsia" w:cs="仿宋_GB2312" w:asciiTheme="minorEastAsia" w:hAnsiTheme="minorEastAsia"/>
                <w:szCs w:val="21"/>
                <w:lang w:val="en-US" w:eastAsia="zh-CN"/>
              </w:rPr>
              <w:t>A包：23个县级环境水质自动站运行管理服务1年</w:t>
            </w:r>
          </w:p>
          <w:p>
            <w:pPr>
              <w:autoSpaceDE w:val="0"/>
              <w:autoSpaceDN w:val="0"/>
              <w:adjustRightInd w:val="0"/>
              <w:spacing w:line="360" w:lineRule="auto"/>
              <w:jc w:val="left"/>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B包：第三方比对检测及防雷设施检测及26个小型水站运维服务1年</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项目地址：</w:t>
            </w:r>
            <w:r>
              <w:rPr>
                <w:rFonts w:hint="eastAsia" w:cs="仿宋_GB2312" w:asciiTheme="minorEastAsia" w:hAnsiTheme="minorEastAsia"/>
                <w:szCs w:val="21"/>
                <w:lang w:val="en-US" w:eastAsia="zh-CN"/>
              </w:rPr>
              <w:t>采购人指定许昌境内地点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名称：许昌市环境监控信息中心</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地址：许昌市龙兴路创业中</w:t>
            </w:r>
            <w:r>
              <w:rPr>
                <w:rFonts w:hint="eastAsia" w:cs="仿宋_GB2312" w:asciiTheme="minorEastAsia" w:hAnsiTheme="minorEastAsia"/>
                <w:szCs w:val="21"/>
                <w:lang w:val="en-US" w:eastAsia="zh-CN"/>
              </w:rPr>
              <w:t>心</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val="en-US" w:eastAsia="zh-CN"/>
              </w:rPr>
              <w:t>王帅领</w:t>
            </w:r>
            <w:r>
              <w:rPr>
                <w:rFonts w:hint="eastAsia" w:cs="仿宋_GB2312" w:asciiTheme="minorEastAsia" w:hAnsiTheme="minorEastAsia"/>
                <w:szCs w:val="21"/>
              </w:rPr>
              <w:t xml:space="preserve">                  电话：0374-6069913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名称：许昌市政府采购服务中心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地址：许昌市龙兴路与竹林路交汇处创业服务中心C座</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杨女士</w:t>
            </w:r>
            <w:r>
              <w:rPr>
                <w:rFonts w:hint="eastAsia" w:cs="仿宋_GB2312" w:asciiTheme="minorEastAsia" w:hAnsiTheme="minorEastAsia"/>
                <w:szCs w:val="21"/>
              </w:rPr>
              <w:t xml:space="preserve">                    电话：0374-</w:t>
            </w:r>
            <w:r>
              <w:rPr>
                <w:rFonts w:hint="eastAsia" w:cs="仿宋_GB2312" w:asciiTheme="minorEastAsia" w:hAnsiTheme="minorEastAsia"/>
                <w:szCs w:val="21"/>
                <w:lang w:val="en-US" w:eastAsia="zh-CN"/>
              </w:rPr>
              <w:t>2962805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6、民办非企业单位登记证书。（民办非企业单位投标提供）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1、相关设备的购置发票、专业技术人员职称证书、用工合同等；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2、投标人具备履行合同所必须的设备和专业技术能力承诺函或声明（承诺函或声明格式自拟）。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1～2其中之一即可。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(www.ccgp.gov.cn)政府采购严重违法失信行为记录名单的投标人</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）严重违法失信社会组织名单的投标人（</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严重违法失信社会组织名单的投标人，将拒绝其参与本次政府采购活动。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最高限价</w:t>
            </w:r>
          </w:p>
        </w:tc>
        <w:tc>
          <w:tcPr>
            <w:tcW w:w="6813" w:type="dxa"/>
            <w:vAlign w:val="center"/>
          </w:tcPr>
          <w:p>
            <w:pPr>
              <w:autoSpaceDE w:val="0"/>
              <w:autoSpaceDN w:val="0"/>
              <w:adjustRightInd w:val="0"/>
              <w:spacing w:line="276" w:lineRule="auto"/>
              <w:ind w:firstLine="210" w:firstLineChars="100"/>
              <w:rPr>
                <w:rFonts w:cs="宋体" w:asciiTheme="minorEastAsia" w:hAnsiTheme="minorEastAsia"/>
                <w:bCs/>
                <w:szCs w:val="21"/>
                <w:lang w:val="zh-CN"/>
              </w:rPr>
            </w:pPr>
            <w:r>
              <w:rPr>
                <w:rFonts w:hint="eastAsia" w:cs="宋体" w:asciiTheme="minorEastAsia" w:hAnsiTheme="minorEastAsia"/>
                <w:kern w:val="0"/>
                <w:szCs w:val="21"/>
                <w:lang w:val="en-US" w:eastAsia="zh-CN"/>
              </w:rPr>
              <w:t>A包：2646036元;B包：918850元</w:t>
            </w:r>
            <w:r>
              <w:rPr>
                <w:rFonts w:hint="eastAsia" w:cs="宋体" w:asciiTheme="minorEastAsia" w:hAnsiTheme="minorEastAsia"/>
                <w:kern w:val="0"/>
                <w:szCs w:val="21"/>
                <w:lang w:val="zh-CN"/>
              </w:rPr>
              <w:t>，超出</w:t>
            </w:r>
            <w:r>
              <w:rPr>
                <w:rFonts w:hint="eastAsia" w:cs="宋体" w:asciiTheme="minorEastAsia" w:hAnsiTheme="minorEastAsia"/>
                <w:bCs/>
                <w:szCs w:val="21"/>
                <w:lang w:val="zh-CN"/>
              </w:rPr>
              <w:t>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2020</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2</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3</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8</w:t>
            </w:r>
            <w:r>
              <w:rPr>
                <w:rFonts w:hint="eastAsia" w:cs="宋体" w:asciiTheme="minorEastAsia" w:hAnsiTheme="minorEastAsia"/>
                <w:bCs/>
                <w:szCs w:val="21"/>
                <w:lang w:val="zh-CN"/>
              </w:rPr>
              <w:t>时</w:t>
            </w:r>
            <w:r>
              <w:rPr>
                <w:rFonts w:hint="eastAsia" w:cs="宋体" w:asciiTheme="minorEastAsia" w:hAnsiTheme="minorEastAsia"/>
                <w:bCs/>
                <w:szCs w:val="21"/>
                <w:lang w:val="en-US" w:eastAsia="zh-CN"/>
              </w:rPr>
              <w:t>30</w:t>
            </w:r>
            <w:r>
              <w:rPr>
                <w:rFonts w:hint="eastAsia" w:cs="宋体" w:asciiTheme="minorEastAsia" w:hAnsiTheme="minorEastAsia"/>
                <w:bCs/>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递交投标文件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及开标地点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许昌市公共资源交易中心三楼</w:t>
            </w:r>
            <w:r>
              <w:rPr>
                <w:rFonts w:hint="eastAsia" w:cs="宋体" w:asciiTheme="minorEastAsia" w:hAnsiTheme="minorEastAsia"/>
                <w:color w:val="000000"/>
                <w:szCs w:val="21"/>
                <w:lang w:val="zh-CN"/>
              </w:rPr>
              <w:t>开标五室（龙兴</w:t>
            </w:r>
            <w:r>
              <w:rPr>
                <w:rFonts w:cs="宋体" w:asciiTheme="minorEastAsia" w:hAnsiTheme="minorEastAsia"/>
                <w:bCs/>
                <w:szCs w:val="21"/>
                <w:lang w:val="zh-CN"/>
              </w:rPr>
              <w:t>路与竹林路交汇处</w:t>
            </w:r>
            <w:r>
              <w:rPr>
                <w:rFonts w:hint="eastAsia" w:cs="宋体" w:asciiTheme="minorEastAsia" w:hAnsiTheme="minorEastAsia"/>
                <w:bCs/>
                <w:szCs w:val="21"/>
                <w:lang w:val="zh-CN"/>
              </w:rPr>
              <w:t>创业服务中心C座）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招标公告、中标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Cs w:val="21"/>
              </w:rPr>
              <w:t>中国</w:t>
            </w:r>
            <w:r>
              <w:rPr>
                <w:rFonts w:hint="eastAsia" w:cs="宋体" w:asciiTheme="minorEastAsia" w:hAnsiTheme="minorEastAsia"/>
                <w:color w:val="000000"/>
                <w:szCs w:val="21"/>
              </w:rPr>
              <w:t>.</w:t>
            </w:r>
            <w:r>
              <w:rPr>
                <w:rFonts w:cs="宋体" w:asciiTheme="minorEastAsia" w:hAnsiTheme="minorEastAsia"/>
                <w:color w:val="000000"/>
                <w:szCs w:val="21"/>
              </w:rPr>
              <w:t>许昌</w:t>
            </w:r>
            <w:r>
              <w:rPr>
                <w:rFonts w:hint="eastAsia" w:cs="宋体" w:asciiTheme="minorEastAsia" w:hAnsiTheme="minorEastAsia"/>
                <w:color w:val="000000"/>
                <w:szCs w:val="21"/>
              </w:rPr>
              <w:t xml:space="preserve">  </w:t>
            </w:r>
            <w:r>
              <w:rPr>
                <w:rFonts w:cs="宋体" w:asciiTheme="minorEastAsia" w:hAnsiTheme="minorEastAsia"/>
                <w:color w:val="000000"/>
                <w:szCs w:val="21"/>
              </w:rPr>
              <w:t>许昌市政府网</w:t>
            </w:r>
            <w:r>
              <w:rPr>
                <w:rFonts w:cs="宋体" w:asciiTheme="minorEastAsia" w:hAnsiTheme="minorEastAsia"/>
                <w:color w:val="000000"/>
                <w:szCs w:val="21"/>
              </w:rP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份，副本一份。使用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color w:val="000000"/>
                <w:szCs w:val="21"/>
              </w:rPr>
              <w:t>“.PDF”的文件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color w:val="000000"/>
                <w:kern w:val="0"/>
                <w:szCs w:val="21"/>
                <w:lang w:val="zh-CN"/>
              </w:rPr>
              <w:t xml:space="preserve">  </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中标人在接到中标通知时，须</w:t>
            </w:r>
            <w:r>
              <w:rPr>
                <w:rFonts w:hint="eastAsia" w:ascii="新宋体" w:hAnsi="新宋体" w:eastAsia="新宋体"/>
                <w:szCs w:val="21"/>
              </w:rPr>
              <w:t>向许昌市公共资源交易中心交易见证部发</w:t>
            </w:r>
            <w:r>
              <w:rPr>
                <w:rFonts w:hint="eastAsia" w:cs="宋体" w:asciiTheme="minorEastAsia" w:hAnsiTheme="minorEastAsia"/>
                <w:bCs/>
                <w:szCs w:val="21"/>
                <w:lang w:val="zh-CN"/>
              </w:rPr>
              <w:t>送投标报价及分项报价一览表（包含主要中标标的的名称、规格型号、数量、单价、服务要求等）电子文档，并同时</w:t>
            </w:r>
            <w:r>
              <w:rPr>
                <w:rFonts w:hint="eastAsia" w:cs="宋体" w:asciiTheme="minorEastAsia" w:hAnsiTheme="minorEastAsia"/>
                <w:bCs/>
                <w:color w:val="FF0000"/>
                <w:szCs w:val="21"/>
                <w:lang w:val="zh-CN"/>
              </w:rPr>
              <w:t>告知</w:t>
            </w:r>
            <w:r>
              <w:rPr>
                <w:rFonts w:hint="eastAsia" w:cs="宋体" w:asciiTheme="minorEastAsia" w:hAnsiTheme="minorEastAsia"/>
                <w:bCs/>
                <w:szCs w:val="21"/>
                <w:lang w:val="zh-CN"/>
              </w:rPr>
              <w:t xml:space="preserve">交易见证部。联系电话：0374-2968027；邮箱：jzb2968027@163.com。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hint="eastAsia"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hint="eastAsia" w:ascii="ˎ̥" w:hAnsi="ˎ̥"/>
              </w:rPr>
            </w:pPr>
            <w:r>
              <w:rPr>
                <w:rFonts w:hint="eastAsia" w:ascii="ˎ̥" w:hAnsi="ˎ̥"/>
              </w:rPr>
              <w:t>不同供应商电子投标文件制作硬件特征码（网卡MAC地址、CPU序号、硬盘序列号）均一致时，视为‘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cs="宋体" w:asciiTheme="minorEastAsia" w:hAnsiTheme="minorEastAsia"/>
                <w:b/>
                <w:color w:val="000000"/>
                <w:kern w:val="0"/>
                <w:szCs w:val="21"/>
                <w:lang w:val="zh-CN"/>
              </w:rPr>
            </w:pPr>
            <w:r>
              <w:rPr>
                <w:rFonts w:hint="eastAsia" w:ascii="ˎ̥" w:hAnsi="ˎ̥"/>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39"/>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39"/>
        <w:numPr>
          <w:ilvl w:val="0"/>
          <w:numId w:val="2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39"/>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39"/>
        <w:autoSpaceDE w:val="0"/>
        <w:autoSpaceDN w:val="0"/>
        <w:spacing w:line="360" w:lineRule="auto"/>
        <w:ind w:left="780" w:firstLine="0" w:firstLineChars="0"/>
        <w:contextualSpacing/>
        <w:rPr>
          <w:rFonts w:cs="宋体" w:asciiTheme="minorEastAsia" w:hAnsiTheme="minorEastAsia"/>
          <w:kern w:val="0"/>
          <w:szCs w:val="21"/>
        </w:rPr>
      </w:pPr>
    </w:p>
    <w:p>
      <w:pPr>
        <w:pStyle w:val="39"/>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39"/>
        <w:numPr>
          <w:ilvl w:val="0"/>
          <w:numId w:val="2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39"/>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39"/>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39"/>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39"/>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39"/>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9"/>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991" w:leftChars="472"/>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39"/>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39"/>
        <w:numPr>
          <w:ilvl w:val="0"/>
          <w:numId w:val="2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39"/>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39"/>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。并查询</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39"/>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3.3.1  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autoSpaceDE w:val="0"/>
        <w:autoSpaceDN w:val="0"/>
        <w:spacing w:line="360" w:lineRule="auto"/>
        <w:ind w:firstLine="945" w:firstLineChars="450"/>
        <w:contextualSpacing/>
        <w:rPr>
          <w:rFonts w:cs="宋体" w:asciiTheme="minorEastAsia" w:hAnsiTheme="minorEastAsia"/>
          <w:kern w:val="0"/>
          <w:szCs w:val="21"/>
        </w:rPr>
      </w:pPr>
      <w:r>
        <w:rPr>
          <w:rFonts w:hint="eastAsia" w:cs="宋体" w:asciiTheme="minorEastAsia" w:hAnsiTheme="minorEastAsia"/>
          <w:kern w:val="0"/>
          <w:szCs w:val="21"/>
        </w:rPr>
        <w:t>3.3.2  截止时间：同投标截止时间；</w:t>
      </w:r>
    </w:p>
    <w:p>
      <w:pPr>
        <w:pStyle w:val="39"/>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3.3.3  信用信息查询记录和证据留存具体方式：经采购人确认的查询结果网页截图作为查询记录和证据，与其他采购文件一并保存；</w:t>
      </w:r>
    </w:p>
    <w:p>
      <w:pPr>
        <w:pStyle w:val="39"/>
        <w:autoSpaceDE w:val="0"/>
        <w:autoSpaceDN w:val="0"/>
        <w:spacing w:line="360" w:lineRule="auto"/>
        <w:ind w:left="1698" w:leftChars="452" w:hanging="749" w:hangingChars="357"/>
        <w:contextualSpacing/>
        <w:rPr>
          <w:rFonts w:cs="宋体" w:asciiTheme="minorEastAsia" w:hAnsiTheme="minorEastAsia"/>
          <w:kern w:val="0"/>
          <w:szCs w:val="21"/>
        </w:rPr>
      </w:pPr>
      <w:r>
        <w:rPr>
          <w:rFonts w:hint="eastAsia" w:cs="宋体" w:asciiTheme="minorEastAsia" w:hAnsiTheme="minorEastAsia"/>
          <w:kern w:val="0"/>
          <w:szCs w:val="21"/>
        </w:rPr>
        <w:t>3.3.4  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严重违法失信社会组织名单的投标人，将拒绝其参与本次政府采购活动。</w:t>
      </w:r>
    </w:p>
    <w:p>
      <w:pPr>
        <w:pStyle w:val="39"/>
        <w:autoSpaceDE w:val="0"/>
        <w:autoSpaceDN w:val="0"/>
        <w:spacing w:line="360" w:lineRule="auto"/>
        <w:ind w:left="1698" w:leftChars="453" w:hanging="747" w:hangingChars="356"/>
        <w:contextualSpacing/>
        <w:rPr>
          <w:rFonts w:cs="宋体" w:asciiTheme="minorEastAsia" w:hAnsiTheme="minorEastAsia"/>
          <w:kern w:val="0"/>
          <w:szCs w:val="21"/>
        </w:rPr>
      </w:pPr>
      <w:r>
        <w:rPr>
          <w:rFonts w:hint="eastAsia" w:cs="宋体" w:asciiTheme="minorEastAsia" w:hAnsiTheme="minorEastAsia"/>
          <w:kern w:val="0"/>
          <w:szCs w:val="21"/>
        </w:rPr>
        <w:t>3.3.5  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left="990" w:leftChars="203" w:hanging="564" w:hangingChars="269"/>
        <w:contextualSpacing/>
        <w:rPr>
          <w:rFonts w:cs="宋体" w:asciiTheme="minorEastAsia" w:hAnsiTheme="minorEastAsia"/>
          <w:kern w:val="0"/>
          <w:szCs w:val="21"/>
          <w:highlight w:val="cyan"/>
        </w:rPr>
      </w:pPr>
      <w:r>
        <w:rPr>
          <w:rFonts w:hint="eastAsia" w:cs="宋体" w:asciiTheme="minorEastAsia" w:hAnsiTheme="minorEastAsia"/>
          <w:kern w:val="0"/>
          <w:szCs w:val="21"/>
        </w:rPr>
        <w:t>3.4  单位负责人为同一人或者存在直接控股、管理关系的不同供应商，不得同时参加本项目投标。违反规定的，相关投标均无效。</w:t>
      </w:r>
    </w:p>
    <w:p>
      <w:pPr>
        <w:autoSpaceDE w:val="0"/>
        <w:autoSpaceDN w:val="0"/>
        <w:spacing w:line="360" w:lineRule="auto"/>
        <w:ind w:left="991" w:leftChars="202" w:hanging="567" w:hangingChars="270"/>
        <w:contextualSpacing/>
        <w:rPr>
          <w:rFonts w:cs="宋体" w:asciiTheme="minorEastAsia" w:hAnsiTheme="minorEastAsia"/>
          <w:kern w:val="0"/>
          <w:szCs w:val="21"/>
          <w:highlight w:val="cyan"/>
        </w:rPr>
      </w:pPr>
      <w:r>
        <w:rPr>
          <w:rFonts w:hint="eastAsia" w:cs="宋体" w:asciiTheme="minorEastAsia" w:hAnsiTheme="minorEastAsia"/>
          <w:kern w:val="0"/>
          <w:szCs w:val="21"/>
        </w:rPr>
        <w:t>3.5  为采购项目提供整体设计、规范编制或者项目管理、监理、检测等服务的供应商，不得再参加该采购项目的其他采购活动。</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3.6  “投标邀请”和“投标人须知前附表”规定接受联合体投标的，除应符合本章第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3.6.1  在投标文件中向采购人提交联合体协议书，明确联合体各方承担的工作和义务；</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3.6.3  招标人根据采购项目的特殊要求规定投标人特定条件的，联合体各方中至少应当有一方符合采购规定的特定条件。</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3.7  法律、行政法规规定的其他条件。</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39"/>
        <w:numPr>
          <w:ilvl w:val="0"/>
          <w:numId w:val="2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9"/>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39"/>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39"/>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olor w:val="333333"/>
          <w:szCs w:val="21"/>
          <w:shd w:val="clear" w:color="auto" w:fill="FFFFFF"/>
        </w:rPr>
        <w:t>根据《强制性产品认证管理规定》（质检总局第117号令）要求，</w:t>
      </w: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9"/>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3" w:name="baidusnap0"/>
      <w:bookmarkEnd w:id="3"/>
      <w:r>
        <w:rPr>
          <w:rFonts w:hint="eastAsia" w:cs="宋体" w:asciiTheme="minorEastAsia" w:hAnsiTheme="minorEastAsia"/>
          <w:kern w:val="0"/>
          <w:szCs w:val="21"/>
        </w:rPr>
        <w:t>《关于信息安全产品实施政府采购的通知》（财库[2010]48号）要求，投标人所投产品如被列入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pStyle w:val="39"/>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39"/>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39"/>
        <w:numPr>
          <w:ilvl w:val="0"/>
          <w:numId w:val="2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39"/>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9"/>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39"/>
        <w:numPr>
          <w:ilvl w:val="0"/>
          <w:numId w:val="2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9"/>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9"/>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9"/>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39"/>
        <w:numPr>
          <w:ilvl w:val="0"/>
          <w:numId w:val="2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39"/>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39"/>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39"/>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39"/>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39"/>
        <w:numPr>
          <w:ilvl w:val="0"/>
          <w:numId w:val="2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9"/>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r>
        <w:rPr>
          <w:rFonts w:cs="宋体" w:asciiTheme="minorEastAsia" w:hAnsiTheme="minorEastAsia"/>
          <w:b/>
          <w:kern w:val="0"/>
          <w:szCs w:val="21"/>
        </w:rPr>
        <w:t xml:space="preserve"> </w:t>
      </w:r>
    </w:p>
    <w:p>
      <w:pPr>
        <w:pStyle w:val="39"/>
        <w:numPr>
          <w:ilvl w:val="0"/>
          <w:numId w:val="2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39"/>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39"/>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39"/>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9"/>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39"/>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39"/>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9"/>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39"/>
        <w:numPr>
          <w:ilvl w:val="0"/>
          <w:numId w:val="2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9"/>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投标有效期内投标人撤销投标文件的，投标人将承担违背投标承诺函的责任追究。</w:t>
      </w:r>
    </w:p>
    <w:p>
      <w:pPr>
        <w:pStyle w:val="39"/>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pStyle w:val="39"/>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39"/>
        <w:numPr>
          <w:ilvl w:val="0"/>
          <w:numId w:val="2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39"/>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39"/>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39"/>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39"/>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39"/>
        <w:numPr>
          <w:ilvl w:val="0"/>
          <w:numId w:val="2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w:t>
      </w:r>
      <w:r>
        <w:rPr>
          <w:rFonts w:hint="eastAsia" w:cs="宋体" w:asciiTheme="minorEastAsia" w:hAnsiTheme="minorEastAsia"/>
          <w:kern w:val="0"/>
          <w:szCs w:val="21"/>
          <w:lang w:eastAsia="zh-CN"/>
        </w:rPr>
        <w:t>第八章</w:t>
      </w:r>
      <w:r>
        <w:rPr>
          <w:rFonts w:hint="eastAsia" w:cs="宋体" w:asciiTheme="minorEastAsia" w:hAnsiTheme="minorEastAsia"/>
          <w:kern w:val="0"/>
          <w:szCs w:val="21"/>
        </w:rPr>
        <w:t>（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39"/>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39"/>
        <w:numPr>
          <w:ilvl w:val="0"/>
          <w:numId w:val="2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本项目不收取投标保证金。</w:t>
      </w:r>
    </w:p>
    <w:p>
      <w:pPr>
        <w:pStyle w:val="39"/>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投标人应提供投标承诺函。</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39"/>
        <w:numPr>
          <w:ilvl w:val="0"/>
          <w:numId w:val="2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39"/>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pStyle w:val="39"/>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pStyle w:val="39"/>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四、投标文件的递交</w:t>
      </w:r>
    </w:p>
    <w:p>
      <w:pPr>
        <w:pStyle w:val="39"/>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投标文件的密封</w:t>
      </w:r>
    </w:p>
    <w:p>
      <w:pPr>
        <w:pStyle w:val="39"/>
        <w:numPr>
          <w:ilvl w:val="0"/>
          <w:numId w:val="2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投标人应将纸质投标文件“正本”、“ 副本”密封包装。使用电子介质存储的投标文件单独密封包装，并随纸质投标文件一并提交。</w:t>
      </w:r>
    </w:p>
    <w:p>
      <w:pPr>
        <w:pStyle w:val="39"/>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39"/>
        <w:numPr>
          <w:ilvl w:val="0"/>
          <w:numId w:val="2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投标人必须在“投标邀请”和“投标人须知前附表”中规定的投标截止时间前，将所有投标文件送达招标文件指定的开标地点。</w:t>
      </w:r>
    </w:p>
    <w:p>
      <w:pPr>
        <w:pStyle w:val="39"/>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招标人收到投标文件后，应当如实记载投标文件的送达时间和密封情况，签收保存，并向投标人出具签收回执。任何单位和个人不得在开标前开启投标文件。</w:t>
      </w:r>
    </w:p>
    <w:p>
      <w:pPr>
        <w:pStyle w:val="39"/>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39"/>
        <w:numPr>
          <w:ilvl w:val="0"/>
          <w:numId w:val="2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pStyle w:val="39"/>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39"/>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投标人在递交纸质投标文件后，可以撤回其投标，但投标人必须在规定的投标截止时间前以书面形式告知招标人。</w:t>
      </w:r>
    </w:p>
    <w:p>
      <w:pPr>
        <w:pStyle w:val="39"/>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投标人不得在投标有效期内撤销投标文件，否则投标人将承担违背投标承诺函的责任追究。</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39"/>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39"/>
        <w:numPr>
          <w:ilvl w:val="0"/>
          <w:numId w:val="2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招标人将按招标文件规定的时间和地点组织公开开标。开标由代理机构主持，邀请投标人参加。评标委员会成员不得参加开标活动。</w:t>
      </w:r>
    </w:p>
    <w:p>
      <w:pPr>
        <w:pStyle w:val="39"/>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39"/>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1841" w:leftChars="471" w:hanging="852" w:hangingChars="406"/>
        <w:contextualSpacing/>
        <w:rPr>
          <w:rFonts w:cs="宋体" w:asciiTheme="minorEastAsia" w:hAnsiTheme="minorEastAsia"/>
          <w:kern w:val="0"/>
          <w:szCs w:val="21"/>
        </w:rPr>
      </w:pPr>
      <w:r>
        <w:rPr>
          <w:rFonts w:hint="eastAsia" w:cs="宋体" w:asciiTheme="minorEastAsia" w:hAnsiTheme="minorEastAsia"/>
          <w:kern w:val="0"/>
          <w:szCs w:val="21"/>
        </w:rPr>
        <w:t>24.3.1  电子投标文件的解密。全流程电子化交易项目电子投标文件采用双重加密。解密需分标段进行两次解密。</w:t>
      </w:r>
    </w:p>
    <w:p>
      <w:pPr>
        <w:autoSpaceDE w:val="0"/>
        <w:autoSpaceDN w:val="0"/>
        <w:spacing w:line="360" w:lineRule="auto"/>
        <w:ind w:left="2976" w:leftChars="876" w:hanging="1136" w:hangingChars="541"/>
        <w:contextualSpacing/>
        <w:rPr>
          <w:rFonts w:cs="宋体" w:asciiTheme="minorEastAsia" w:hAnsiTheme="minorEastAsia"/>
          <w:kern w:val="0"/>
          <w:szCs w:val="21"/>
        </w:rPr>
      </w:pPr>
      <w:r>
        <w:rPr>
          <w:rFonts w:hint="eastAsia" w:cs="宋体" w:asciiTheme="minorEastAsia" w:hAnsiTheme="minorEastAsia"/>
          <w:kern w:val="0"/>
          <w:szCs w:val="21"/>
        </w:rPr>
        <w:t>24.3.1.1  投标人解密：投标人使用本单位CA数字证书远程或现场进行解密。需开标现场使用一体机进行解密的，请在代理机构引导下进行。</w:t>
      </w:r>
    </w:p>
    <w:p>
      <w:pPr>
        <w:autoSpaceDE w:val="0"/>
        <w:autoSpaceDN w:val="0"/>
        <w:spacing w:line="360" w:lineRule="auto"/>
        <w:ind w:left="2976" w:leftChars="877"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24.3.1.2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24.3.2   电子投标文件解密异常情况处理</w:t>
      </w:r>
    </w:p>
    <w:p>
      <w:pPr>
        <w:autoSpaceDE w:val="0"/>
        <w:autoSpaceDN w:val="0"/>
        <w:spacing w:line="360" w:lineRule="auto"/>
        <w:ind w:left="2835" w:leftChars="878" w:hanging="991" w:hangingChars="472"/>
        <w:contextualSpacing/>
        <w:rPr>
          <w:rFonts w:cs="宋体" w:asciiTheme="minorEastAsia" w:hAnsiTheme="minorEastAsia"/>
          <w:kern w:val="0"/>
          <w:szCs w:val="21"/>
        </w:rPr>
      </w:pPr>
      <w:r>
        <w:rPr>
          <w:rFonts w:hint="eastAsia" w:cs="宋体" w:asciiTheme="minorEastAsia" w:hAnsiTheme="minorEastAsia"/>
          <w:kern w:val="0"/>
          <w:szCs w:val="21"/>
        </w:rPr>
        <w:t>24.3.2.1 因电子交易系统异常无法解密电子投标文件的，使用纸质投标文件以人工方式进行。</w:t>
      </w:r>
    </w:p>
    <w:p>
      <w:pPr>
        <w:autoSpaceDE w:val="0"/>
        <w:autoSpaceDN w:val="0"/>
        <w:spacing w:line="360" w:lineRule="auto"/>
        <w:ind w:left="2835" w:leftChars="878" w:hanging="991" w:hangingChars="472"/>
        <w:contextualSpacing/>
        <w:rPr>
          <w:rFonts w:cs="宋体" w:asciiTheme="minorEastAsia" w:hAnsiTheme="minorEastAsia"/>
          <w:kern w:val="0"/>
          <w:szCs w:val="21"/>
        </w:rPr>
      </w:pPr>
      <w:r>
        <w:rPr>
          <w:rFonts w:hint="eastAsia" w:cs="宋体" w:asciiTheme="minorEastAsia" w:hAnsiTheme="minorEastAsia"/>
          <w:kern w:val="0"/>
          <w:szCs w:val="21"/>
        </w:rPr>
        <w:t>24.3.2.2  因投标人原因电子投标文件解密失败的，由系统技术人员协助投标人将备份文件（电子介质存储）导入系统。若备份文件（电子介质存储）无法导入系统或导入系统仍无法解密的，其投标将被拒绝。</w:t>
      </w:r>
    </w:p>
    <w:p>
      <w:pPr>
        <w:pStyle w:val="39"/>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39"/>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开标过程由采购代理机构负责记录，由参加开标的各投标人代表和相关工作人员签字确认后随采购文件一并存档。</w:t>
      </w:r>
    </w:p>
    <w:p>
      <w:pPr>
        <w:pStyle w:val="39"/>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9"/>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投标人未参加开标的，视同认可开标结果。</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pStyle w:val="39"/>
        <w:numPr>
          <w:ilvl w:val="0"/>
          <w:numId w:val="2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1799" w:leftChars="45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26.1.1  招标人将依法组建评标委员会，评标委员会由评审专家组成，成员人数应当为5人以上单数。评审专家依法从政府采购评审专家库中随机抽取。</w:t>
      </w:r>
    </w:p>
    <w:p>
      <w:pPr>
        <w:autoSpaceDE w:val="0"/>
        <w:autoSpaceDN w:val="0"/>
        <w:spacing w:line="360" w:lineRule="auto"/>
        <w:ind w:left="2691" w:leftChars="473" w:hanging="1698" w:hangingChars="809"/>
        <w:contextualSpacing/>
        <w:rPr>
          <w:rFonts w:cs="宋体" w:asciiTheme="minorEastAsia" w:hAnsiTheme="minorEastAsia"/>
          <w:kern w:val="0"/>
          <w:szCs w:val="21"/>
        </w:rPr>
      </w:pPr>
      <w:r>
        <w:rPr>
          <w:rFonts w:hint="eastAsia" w:cs="宋体" w:asciiTheme="minorEastAsia" w:hAnsiTheme="minorEastAsia"/>
          <w:kern w:val="0"/>
          <w:szCs w:val="21"/>
        </w:rPr>
        <w:t>26.1.2  采购项目符合下列情形之一的，评标委员会成员人数应当为7人以上单数：</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26.1.2.1  采购预算金额在1000万元以上；</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26.1.2.2  技术复杂；</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26.1.2.3  社会影响较大。</w:t>
      </w:r>
    </w:p>
    <w:p>
      <w:pPr>
        <w:pStyle w:val="39"/>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39"/>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26.3.1  参加采购活动前三年内,与供应商存在劳动关系,或者担任过供应商的董事、监事,或者是供应商的控股股东或实际控制人；</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26.3.2  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26.3.3  与供应商有其他可能影响政府采购活动公平、公正进行的关系。</w:t>
      </w:r>
    </w:p>
    <w:p>
      <w:pPr>
        <w:pStyle w:val="39"/>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39"/>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39"/>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39"/>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39"/>
        <w:numPr>
          <w:ilvl w:val="0"/>
          <w:numId w:val="2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39"/>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39"/>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39"/>
        <w:numPr>
          <w:ilvl w:val="0"/>
          <w:numId w:val="2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39"/>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9"/>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left="1133" w:leftChars="20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29.1  投标文件中开标一览表(报价表)内容与投标文件中相应内容不一致的，以开标一览表(报价表)为准；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29.2  大写金额和小写金额不一致的，以大写金额为准；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29.3  单价金额小数点或者百分比有明显错位的，以开标一览表的总价为准，并修改单价；</w:t>
      </w:r>
    </w:p>
    <w:p>
      <w:pPr>
        <w:autoSpaceDE w:val="0"/>
        <w:autoSpaceDN w:val="0"/>
        <w:spacing w:line="360" w:lineRule="auto"/>
        <w:ind w:left="991" w:leftChars="200" w:hanging="571" w:hangingChars="272"/>
        <w:contextualSpacing/>
        <w:rPr>
          <w:rFonts w:cs="宋体" w:asciiTheme="minorEastAsia" w:hAnsiTheme="minorEastAsia"/>
          <w:kern w:val="0"/>
          <w:szCs w:val="21"/>
        </w:rPr>
      </w:pPr>
      <w:r>
        <w:rPr>
          <w:rFonts w:hint="eastAsia" w:cs="宋体" w:asciiTheme="minorEastAsia" w:hAnsiTheme="minorEastAsia"/>
          <w:kern w:val="0"/>
          <w:szCs w:val="21"/>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39"/>
        <w:numPr>
          <w:ilvl w:val="0"/>
          <w:numId w:val="2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30.1.1  未按照招标文件的规定提交投标承诺函的；</w:t>
      </w:r>
      <w:r>
        <w:rPr>
          <w:rFonts w:cs="宋体" w:asciiTheme="minorEastAsia" w:hAnsiTheme="minorEastAsia"/>
          <w:kern w:val="0"/>
          <w:szCs w:val="21"/>
        </w:rPr>
        <w:t xml:space="preserve">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30.1.2   投标文件未按招标文件要求签署、盖章的；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30.1.3   不具备招标文件中规定的资格要求的；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30.1.4   报价超过招标文件中规定的预算金额或者最高限价的；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30.1.5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39"/>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30.2.1   不同投标人的投标文件由同一单位或者个人编制；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30.2.2   不同投标人委托同一单位或者个人办理投标事宜；</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30.2.5   不同投标人的投标文件相互混装。</w:t>
      </w:r>
    </w:p>
    <w:p>
      <w:pPr>
        <w:pStyle w:val="39"/>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9"/>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9"/>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按照《关于推进全流程电子化交易和在线监管工作有关问题的通知》（许公管办[2019]3号）规定，不同投标人电子投标文件制作硬件特征码（网卡MAC地址、CPU序号、硬盘序列号）均一致时，视为‘</w:t>
      </w:r>
      <w:r>
        <w:rPr>
          <w:rFonts w:ascii="ˎ̥" w:hAnsi="ˎ̥"/>
        </w:rPr>
        <w:t>不同</w:t>
      </w:r>
      <w:r>
        <w:rPr>
          <w:rFonts w:hint="eastAsia" w:ascii="ˎ̥" w:hAnsi="ˎ̥"/>
        </w:rPr>
        <w:t>投标人</w:t>
      </w:r>
      <w:r>
        <w:rPr>
          <w:rFonts w:ascii="ˎ̥" w:hAnsi="ˎ̥"/>
        </w:rPr>
        <w:t>的</w:t>
      </w:r>
      <w:r>
        <w:rPr>
          <w:rFonts w:hint="eastAsia" w:ascii="ˎ̥" w:hAnsi="ˎ̥"/>
        </w:rPr>
        <w:t>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pStyle w:val="39"/>
        <w:numPr>
          <w:ilvl w:val="1"/>
          <w:numId w:val="2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法律、法规和招标文件规定的其他无效情形。</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pPr>
        <w:pStyle w:val="39"/>
        <w:numPr>
          <w:ilvl w:val="0"/>
          <w:numId w:val="2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9"/>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39"/>
        <w:numPr>
          <w:ilvl w:val="0"/>
          <w:numId w:val="2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33.1.1  最低评标价法</w:t>
      </w:r>
    </w:p>
    <w:p>
      <w:pPr>
        <w:autoSpaceDE w:val="0"/>
        <w:autoSpaceDN w:val="0"/>
        <w:spacing w:line="360" w:lineRule="auto"/>
        <w:ind w:left="2975" w:leftChars="878" w:hanging="1131" w:hangingChars="539"/>
        <w:contextualSpacing/>
        <w:rPr>
          <w:rFonts w:cs="宋体" w:asciiTheme="minorEastAsia" w:hAnsiTheme="minorEastAsia"/>
          <w:kern w:val="0"/>
          <w:szCs w:val="21"/>
        </w:rPr>
      </w:pPr>
      <w:r>
        <w:rPr>
          <w:rFonts w:hint="eastAsia" w:cs="宋体" w:asciiTheme="minorEastAsia" w:hAnsiTheme="minorEastAsia"/>
          <w:kern w:val="0"/>
          <w:szCs w:val="21"/>
        </w:rPr>
        <w:t>33.1.1.2   最低评标价法，是指投标文件满足招标文件全部实质性要求，且投标报价最低的投标人为中标候选人的评标方法。</w:t>
      </w:r>
    </w:p>
    <w:p>
      <w:pPr>
        <w:autoSpaceDE w:val="0"/>
        <w:autoSpaceDN w:val="0"/>
        <w:spacing w:line="360" w:lineRule="auto"/>
        <w:ind w:left="2976" w:leftChars="877"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33.1.1.2   采用最低评标价法评标时，除了算术修正和落实政府采购政策需进行的价格扣除外，不能对投标人的投标价格进行任何调整。</w:t>
      </w:r>
    </w:p>
    <w:p>
      <w:pPr>
        <w:autoSpaceDE w:val="0"/>
        <w:autoSpaceDN w:val="0"/>
        <w:spacing w:line="360" w:lineRule="auto"/>
        <w:ind w:left="1841" w:leftChars="471" w:hanging="852" w:hangingChars="406"/>
        <w:contextualSpacing/>
        <w:rPr>
          <w:rFonts w:cs="宋体" w:asciiTheme="minorEastAsia" w:hAnsiTheme="minorEastAsia"/>
          <w:kern w:val="0"/>
          <w:szCs w:val="21"/>
        </w:rPr>
      </w:pPr>
      <w:r>
        <w:rPr>
          <w:rFonts w:hint="eastAsia" w:cs="宋体" w:asciiTheme="minorEastAsia" w:hAnsiTheme="minorEastAsia"/>
          <w:kern w:val="0"/>
          <w:szCs w:val="21"/>
        </w:rPr>
        <w:t>33.1.2  综合评分法，是指投标文件满足招标文件全部实质性要求，且按照评审因素的量化指标评审得分最高的投标人为中标候选人的评标方法。</w:t>
      </w:r>
    </w:p>
    <w:p>
      <w:pPr>
        <w:pStyle w:val="39"/>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1841" w:leftChars="47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33.2.1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33.2.2  评标过程中，不得去掉报价中的最高报价和最低报价。</w:t>
      </w:r>
    </w:p>
    <w:p>
      <w:pPr>
        <w:autoSpaceDE w:val="0"/>
        <w:autoSpaceDN w:val="0"/>
        <w:spacing w:line="360" w:lineRule="auto"/>
        <w:ind w:left="1841" w:leftChars="47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33.2.3  因落实政府采购政策进行价格调整的，以调整后的价格计算评标基准价和投标报价。</w:t>
      </w:r>
    </w:p>
    <w:p>
      <w:pPr>
        <w:pStyle w:val="39"/>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39"/>
        <w:numPr>
          <w:ilvl w:val="0"/>
          <w:numId w:val="2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9"/>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35.1  确定参与评标至评标结束前私自接触投标人；</w:t>
      </w:r>
    </w:p>
    <w:p>
      <w:pPr>
        <w:autoSpaceDE w:val="0"/>
        <w:autoSpaceDN w:val="0"/>
        <w:spacing w:line="360" w:lineRule="auto"/>
        <w:ind w:left="1558" w:leftChars="47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35.2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35.4  对需要专业判断的主观评审因素协商评分；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35.5  在评标过程中擅离职守，影响评标程序正常进行的；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35.6  记录、复制或者带走任何评标资料；</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35.7  其他不遵守评标纪律的行为。</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39"/>
        <w:numPr>
          <w:ilvl w:val="0"/>
          <w:numId w:val="3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39"/>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39"/>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39"/>
        <w:numPr>
          <w:ilvl w:val="0"/>
          <w:numId w:val="3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39"/>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39"/>
        <w:numPr>
          <w:ilvl w:val="0"/>
          <w:numId w:val="3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39"/>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39"/>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39"/>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39"/>
        <w:numPr>
          <w:ilvl w:val="0"/>
          <w:numId w:val="3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left="1841" w:leftChars="470" w:hanging="854" w:hangingChars="407"/>
        <w:contextualSpacing/>
        <w:rPr>
          <w:rFonts w:cs="宋体" w:asciiTheme="minorEastAsia" w:hAnsiTheme="minorEastAsia"/>
          <w:kern w:val="0"/>
          <w:szCs w:val="21"/>
        </w:rPr>
      </w:pPr>
      <w:r>
        <w:rPr>
          <w:rFonts w:hint="eastAsia" w:cs="宋体" w:asciiTheme="minorEastAsia" w:hAnsiTheme="minorEastAsia"/>
          <w:kern w:val="0"/>
          <w:szCs w:val="21"/>
        </w:rPr>
        <w:t>39.1.1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1841" w:leftChars="470" w:hanging="854" w:hangingChars="407"/>
        <w:contextualSpacing/>
        <w:rPr>
          <w:rFonts w:cs="宋体" w:asciiTheme="minorEastAsia" w:hAnsiTheme="minorEastAsia"/>
          <w:kern w:val="0"/>
          <w:szCs w:val="21"/>
        </w:rPr>
      </w:pPr>
      <w:r>
        <w:rPr>
          <w:rFonts w:hint="eastAsia" w:cs="宋体" w:asciiTheme="minorEastAsia" w:hAnsiTheme="minorEastAsia"/>
          <w:kern w:val="0"/>
          <w:szCs w:val="21"/>
        </w:rPr>
        <w:t>39.1.2  对采购过程提出质疑的，为各采购程序环节结束之日起七个工作日  内，以书面形式向采购人和采购代理机构一次性提出；</w:t>
      </w:r>
    </w:p>
    <w:p>
      <w:pPr>
        <w:autoSpaceDE w:val="0"/>
        <w:autoSpaceDN w:val="0"/>
        <w:spacing w:line="360" w:lineRule="auto"/>
        <w:ind w:left="1841" w:leftChars="470" w:hanging="854" w:hangingChars="407"/>
        <w:contextualSpacing/>
        <w:rPr>
          <w:rFonts w:cs="宋体" w:asciiTheme="minorEastAsia" w:hAnsiTheme="minorEastAsia"/>
          <w:kern w:val="0"/>
          <w:szCs w:val="21"/>
        </w:rPr>
      </w:pPr>
      <w:r>
        <w:rPr>
          <w:rFonts w:hint="eastAsia" w:cs="宋体" w:asciiTheme="minorEastAsia" w:hAnsiTheme="minorEastAsia"/>
          <w:kern w:val="0"/>
          <w:szCs w:val="21"/>
        </w:rPr>
        <w:t>39.1.3  对中标结果提出质疑的，为中标结果公告期限届满之日起七个工作日内，以书面形式向采购人和采购代理机构一次性提出。</w:t>
      </w:r>
    </w:p>
    <w:p>
      <w:pPr>
        <w:pStyle w:val="39"/>
        <w:numPr>
          <w:ilvl w:val="1"/>
          <w:numId w:val="2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 xml:space="preserve">39.2.1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 xml:space="preserve">39.2.2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宋体" w:asciiTheme="majorEastAsia" w:hAnsiTheme="majorEastAsia" w:eastAsiaTheme="majorEastAsia"/>
          <w:b/>
          <w:kern w:val="0"/>
          <w:sz w:val="32"/>
          <w:szCs w:val="32"/>
        </w:rPr>
        <w:t xml:space="preserve">          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4"/>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4" w:name="OLE_LINK6"/>
      <w:r>
        <w:rPr>
          <w:rFonts w:hint="eastAsia" w:cs="仿宋_GB2312" w:asciiTheme="minorEastAsia" w:hAnsiTheme="minorEastAsia"/>
          <w:szCs w:val="21"/>
          <w:lang w:val="zh-CN"/>
        </w:rPr>
        <w:t>财库[2014]68号</w:t>
      </w:r>
      <w:bookmarkEnd w:id="4"/>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opLinePunct/>
        <w:spacing w:line="360" w:lineRule="auto"/>
        <w:ind w:firstLine="420" w:firstLineChars="200"/>
        <w:contextualSpacing/>
        <w:rPr>
          <w:rFonts w:cs="仿宋_GB2312" w:asciiTheme="minorEastAsia" w:hAnsiTheme="minorEastAsia"/>
          <w:szCs w:val="21"/>
          <w:lang w:val="zh-CN"/>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asciiTheme="minorEastAsia" w:hAnsiTheme="minorEastAsia"/>
          <w:bCs/>
          <w:szCs w:val="21"/>
        </w:rPr>
      </w:pPr>
      <w:r>
        <w:rPr>
          <w:rFonts w:hint="eastAsia" w:asciiTheme="minorEastAsia" w:hAnsiTheme="minorEastAsia"/>
          <w:bCs/>
          <w:szCs w:val="21"/>
        </w:rPr>
        <w:t>（一）</w:t>
      </w:r>
      <w:r>
        <w:rPr>
          <w:rFonts w:asciiTheme="minorEastAsia" w:hAnsiTheme="minorEastAsia"/>
          <w:bCs/>
          <w:szCs w:val="21"/>
        </w:rPr>
        <w:t>开标结束后，</w:t>
      </w:r>
      <w:r>
        <w:rPr>
          <w:rFonts w:hint="eastAsia" w:asciiTheme="minorEastAsia" w:hAnsiTheme="minorEastAsia"/>
          <w:bCs/>
          <w:szCs w:val="21"/>
        </w:rPr>
        <w:t>采购人依法对投标人资格进行审查</w:t>
      </w:r>
      <w:r>
        <w:rPr>
          <w:rFonts w:asciiTheme="minorEastAsia" w:hAnsiTheme="minorEastAsia"/>
          <w:bCs/>
          <w:szCs w:val="21"/>
        </w:rPr>
        <w:t>。</w:t>
      </w:r>
      <w:r>
        <w:rPr>
          <w:rFonts w:hint="eastAsia" w:asciiTheme="minorEastAsia" w:hAnsiTheme="minorEastAsia"/>
          <w:bCs/>
          <w:szCs w:val="21"/>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 “</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bCs/>
                <w:szCs w:val="21"/>
              </w:rPr>
              <w:t>www.creditchina.gov.cn</w:t>
            </w:r>
            <w:r>
              <w:rPr>
                <w:rStyle w:val="27"/>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Cs w:val="21"/>
              </w:rPr>
            </w:pPr>
            <w:r>
              <w:rPr>
                <w:rFonts w:hint="eastAsia" w:asciiTheme="minorEastAsia" w:hAnsiTheme="minorEastAsia"/>
                <w:bCs/>
                <w:szCs w:val="21"/>
              </w:rPr>
              <w:t>（4）信用信息的使用原则：经采购人认定的被列入</w:t>
            </w:r>
            <w:r>
              <w:rPr>
                <w:rFonts w:hint="eastAsia" w:cs="宋体" w:asciiTheme="minorEastAsia" w:hAnsiTheme="minorEastAsia"/>
                <w:kern w:val="0"/>
                <w:szCs w:val="21"/>
              </w:rPr>
              <w:t>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的投标人、</w:t>
            </w:r>
            <w:r>
              <w:rPr>
                <w:rFonts w:hint="eastAsia" w:cs="宋体" w:asciiTheme="minorEastAsia" w:hAnsiTheme="minorEastAsia"/>
                <w:kern w:val="0"/>
                <w:szCs w:val="21"/>
              </w:rPr>
              <w:t>严重违法失信社会组织</w:t>
            </w:r>
            <w:r>
              <w:rPr>
                <w:rFonts w:hint="eastAsia" w:asciiTheme="minorEastAsia" w:hAnsiTheme="minorEastAsia"/>
                <w:bCs/>
                <w:szCs w:val="21"/>
              </w:rPr>
              <w:t>，将拒绝其参与本次政府采购活动。</w:t>
            </w:r>
          </w:p>
          <w:p>
            <w:pPr>
              <w:autoSpaceDE w:val="0"/>
              <w:autoSpaceDN w:val="0"/>
              <w:spacing w:line="360" w:lineRule="auto"/>
              <w:contextualSpacing/>
              <w:rPr>
                <w:rFonts w:asciiTheme="minorEastAsia" w:hAnsiTheme="minorEastAsia"/>
                <w:b/>
                <w:bCs/>
                <w:szCs w:val="21"/>
              </w:rPr>
            </w:pPr>
            <w:r>
              <w:rPr>
                <w:rFonts w:hint="eastAsia" w:cs="宋体" w:asciiTheme="minorEastAsia" w:hAnsiTheme="minorEastAsia"/>
                <w:kern w:val="0"/>
                <w:szCs w:val="21"/>
              </w:rPr>
              <w:t>（5）投标人无须提供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5" w:name="baidusnap2"/>
            <w:bookmarkEnd w:id="5"/>
            <w:r>
              <w:rPr>
                <w:rFonts w:hint="eastAsia" w:cs="仿宋_GB2312" w:asciiTheme="minorEastAsia" w:hAnsiTheme="minorEastAsia"/>
                <w:szCs w:val="21"/>
                <w:lang w:val="zh-CN"/>
              </w:rPr>
              <w:t>提供未为本项目提供整体设计、</w:t>
            </w:r>
            <w:bookmarkStart w:id="6" w:name="baidusnap9"/>
            <w:bookmarkEnd w:id="6"/>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4"/>
        <w:spacing w:line="360" w:lineRule="auto"/>
        <w:ind w:firstLine="482" w:firstLineChars="200"/>
        <w:contextualSpacing/>
        <w:rPr>
          <w:rFonts w:cs="仿宋_GB2312" w:asciiTheme="minorEastAsia" w:hAnsiTheme="minorEastAsia" w:eastAsiaTheme="minorEastAsia"/>
          <w:b/>
          <w:szCs w:val="24"/>
          <w:lang w:val="zh-CN"/>
        </w:rPr>
      </w:pPr>
    </w:p>
    <w:p>
      <w:pPr>
        <w:pStyle w:val="14"/>
        <w:spacing w:line="360" w:lineRule="auto"/>
        <w:contextualSpacing/>
        <w:rPr>
          <w:rFonts w:cs="仿宋_GB2312" w:asciiTheme="minorEastAsia" w:hAnsiTheme="minorEastAsia" w:eastAsiaTheme="minorEastAsia"/>
          <w:b/>
          <w:sz w:val="21"/>
          <w:szCs w:val="21"/>
          <w:lang w:val="zh-CN"/>
        </w:rPr>
      </w:pPr>
    </w:p>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4"/>
        <w:spacing w:line="360" w:lineRule="auto"/>
        <w:ind w:firstLine="420"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4"/>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4"/>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（3）强制采购节能产品和优先采购节能产品、优先采购环保产品</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1）对《节能产品政府采购品目清单》所列的政府强制采购节能产品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投标人投标文件中应提供具有国家确定的认证机构出具的、处于有效期之内的节能产品或环境标志产品认证证书，否则将承担其投标被视为非实质性响应投标的风险。</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投标人所投其他产品若属于《节能产品政府采购品目清单》优先采购产品，</w:t>
      </w:r>
      <w:r>
        <w:rPr>
          <w:rFonts w:hint="eastAsia" w:cs="仿宋_GB2312" w:asciiTheme="minorEastAsia" w:hAnsiTheme="minorEastAsia"/>
          <w:sz w:val="21"/>
          <w:szCs w:val="21"/>
          <w:lang w:val="zh-CN"/>
        </w:rPr>
        <w:t>投标文件中应提供</w:t>
      </w:r>
      <w:r>
        <w:rPr>
          <w:rFonts w:hint="eastAsia" w:cs="仿宋_GB2312" w:asciiTheme="minorEastAsia" w:hAnsiTheme="minorEastAsia" w:eastAsiaTheme="minorEastAsia"/>
          <w:sz w:val="21"/>
          <w:szCs w:val="21"/>
          <w:lang w:val="zh-CN"/>
        </w:rPr>
        <w:t>具有国家确定的认证机构出具的、处于有效期之内的节能产品认证证书</w:t>
      </w:r>
      <w:r>
        <w:rPr>
          <w:rFonts w:hint="eastAsia" w:cs="仿宋_GB2312" w:asciiTheme="minorEastAsia" w:hAnsiTheme="minorEastAsia"/>
          <w:sz w:val="21"/>
          <w:szCs w:val="21"/>
          <w:lang w:val="zh-CN"/>
        </w:rPr>
        <w:t>，评标委员会根据本项目评标标准予以判定并赋分。</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sz w:val="21"/>
          <w:szCs w:val="21"/>
          <w:lang w:val="zh-CN"/>
        </w:rPr>
        <w:t>具有国家确定的认证机构出具的、处于有效期之内的环境标志产品认证证书</w:t>
      </w:r>
      <w:r>
        <w:rPr>
          <w:rFonts w:hint="eastAsia" w:cs="仿宋_GB2312" w:asciiTheme="minorEastAsia" w:hAnsiTheme="minorEastAsia"/>
          <w:sz w:val="21"/>
          <w:szCs w:val="21"/>
          <w:lang w:val="zh-CN"/>
        </w:rPr>
        <w:t>，</w:t>
      </w:r>
      <w:r>
        <w:rPr>
          <w:rFonts w:hint="eastAsia" w:cs="仿宋_GB2312" w:asciiTheme="minorEastAsia" w:hAnsiTheme="minorEastAsia" w:eastAsiaTheme="minorEastAsia"/>
          <w:sz w:val="21"/>
          <w:szCs w:val="21"/>
          <w:lang w:val="zh-CN"/>
        </w:rPr>
        <w:t>评标委员会根据本项目评标标准予以判定并赋分。</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（5）支持脱贫攻坚（物业服务项目）</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（6）投标无效情形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4"/>
        <w:spacing w:line="360" w:lineRule="auto"/>
        <w:ind w:firstLine="422" w:firstLineChars="200"/>
        <w:contextualSpacing/>
        <w:rPr>
          <w:rFonts w:hint="eastAsia"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（7）评标标准</w:t>
      </w:r>
    </w:p>
    <w:p>
      <w:pPr>
        <w:pStyle w:val="14"/>
        <w:spacing w:line="360" w:lineRule="auto"/>
        <w:ind w:firstLine="422" w:firstLineChars="200"/>
        <w:contextualSpacing/>
        <w:rPr>
          <w:rFonts w:hint="eastAsia" w:cs="仿宋_GB2312" w:asciiTheme="minorEastAsia" w:hAnsiTheme="minorEastAsia" w:eastAsiaTheme="minorEastAsia"/>
          <w:b/>
          <w:sz w:val="21"/>
          <w:szCs w:val="21"/>
          <w:lang w:val="en-US" w:eastAsia="zh-CN"/>
        </w:rPr>
      </w:pPr>
      <w:r>
        <w:rPr>
          <w:rFonts w:hint="eastAsia" w:cs="仿宋_GB2312" w:asciiTheme="minorEastAsia" w:hAnsiTheme="minorEastAsia" w:eastAsiaTheme="minorEastAsia"/>
          <w:b/>
          <w:sz w:val="21"/>
          <w:szCs w:val="21"/>
          <w:lang w:val="en-US" w:eastAsia="zh-CN"/>
        </w:rPr>
        <w:t>A包</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60"/>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trPr>
        <w:tc>
          <w:tcPr>
            <w:tcW w:w="2944" w:type="dxa"/>
            <w:gridSpan w:val="2"/>
            <w:vAlign w:val="center"/>
          </w:tcPr>
          <w:p>
            <w:pPr>
              <w:spacing w:line="360" w:lineRule="auto"/>
              <w:jc w:val="center"/>
              <w:rPr>
                <w:rFonts w:asciiTheme="minorEastAsia" w:hAnsiTheme="minorEastAsia"/>
                <w:szCs w:val="21"/>
              </w:rPr>
            </w:pPr>
            <w:r>
              <w:rPr>
                <w:rFonts w:hint="eastAsia" w:asciiTheme="minorEastAsia" w:hAnsiTheme="minorEastAsia"/>
                <w:szCs w:val="21"/>
              </w:rPr>
              <w:t>分值构成</w:t>
            </w:r>
          </w:p>
          <w:p>
            <w:pPr>
              <w:snapToGrid w:val="0"/>
              <w:spacing w:beforeLines="50"/>
              <w:jc w:val="center"/>
              <w:rPr>
                <w:rFonts w:ascii="宋体" w:hAnsi="宋体" w:cs="宋体"/>
                <w:b/>
                <w:szCs w:val="21"/>
              </w:rPr>
            </w:pPr>
            <w:r>
              <w:rPr>
                <w:rFonts w:hint="eastAsia" w:asciiTheme="minorEastAsia" w:hAnsiTheme="minorEastAsia"/>
                <w:szCs w:val="21"/>
              </w:rPr>
              <w:t>(总分100分)</w:t>
            </w:r>
          </w:p>
        </w:tc>
        <w:tc>
          <w:tcPr>
            <w:tcW w:w="6095" w:type="dxa"/>
            <w:vAlign w:val="center"/>
          </w:tcPr>
          <w:p>
            <w:pPr>
              <w:spacing w:line="360" w:lineRule="auto"/>
              <w:ind w:firstLine="420" w:firstLineChars="200"/>
              <w:rPr>
                <w:rFonts w:asciiTheme="minorEastAsia" w:hAnsiTheme="minorEastAsia"/>
                <w:szCs w:val="21"/>
              </w:rPr>
            </w:pPr>
            <w:r>
              <w:rPr>
                <w:rFonts w:hint="eastAsia" w:asciiTheme="minorEastAsia" w:hAnsiTheme="minorEastAsia"/>
                <w:szCs w:val="21"/>
              </w:rPr>
              <w:t>价格分值：</w:t>
            </w:r>
            <w:r>
              <w:rPr>
                <w:rFonts w:hint="eastAsia" w:asciiTheme="minorEastAsia" w:hAnsiTheme="minorEastAsia"/>
                <w:color w:val="FF0000"/>
                <w:szCs w:val="21"/>
                <w:u w:val="single"/>
                <w:lang w:val="en-US" w:eastAsia="zh-CN"/>
              </w:rPr>
              <w:t>20</w:t>
            </w:r>
            <w:r>
              <w:rPr>
                <w:rFonts w:hint="eastAsia" w:asciiTheme="minorEastAsia" w:hAnsiTheme="minorEastAsia"/>
                <w:szCs w:val="21"/>
              </w:rPr>
              <w:t>分</w:t>
            </w:r>
          </w:p>
          <w:p>
            <w:pPr>
              <w:spacing w:line="360" w:lineRule="auto"/>
              <w:ind w:firstLine="420" w:firstLineChars="200"/>
              <w:rPr>
                <w:rFonts w:asciiTheme="minorEastAsia" w:hAnsiTheme="minorEastAsia"/>
                <w:szCs w:val="21"/>
              </w:rPr>
            </w:pPr>
            <w:r>
              <w:rPr>
                <w:rFonts w:hint="eastAsia" w:asciiTheme="minorEastAsia" w:hAnsiTheme="minorEastAsia"/>
                <w:szCs w:val="21"/>
              </w:rPr>
              <w:t>商务部分：</w:t>
            </w:r>
            <w:r>
              <w:rPr>
                <w:rFonts w:hint="eastAsia" w:asciiTheme="minorEastAsia" w:hAnsiTheme="minorEastAsia"/>
                <w:color w:val="FF0000"/>
                <w:szCs w:val="21"/>
                <w:u w:val="single"/>
                <w:lang w:val="en-US" w:eastAsia="zh-CN"/>
              </w:rPr>
              <w:t>35</w:t>
            </w:r>
            <w:r>
              <w:rPr>
                <w:rFonts w:hint="eastAsia" w:asciiTheme="minorEastAsia" w:hAnsiTheme="minorEastAsia"/>
                <w:szCs w:val="21"/>
              </w:rPr>
              <w:t>分</w:t>
            </w:r>
          </w:p>
          <w:p>
            <w:pPr>
              <w:spacing w:beforeLines="50"/>
              <w:ind w:firstLine="420" w:firstLineChars="200"/>
              <w:rPr>
                <w:rFonts w:asciiTheme="minorEastAsia" w:hAnsiTheme="minorEastAsia"/>
                <w:szCs w:val="21"/>
              </w:rPr>
            </w:pPr>
            <w:r>
              <w:rPr>
                <w:rFonts w:hint="eastAsia" w:asciiTheme="minorEastAsia" w:hAnsiTheme="minorEastAsia"/>
                <w:szCs w:val="21"/>
              </w:rPr>
              <w:t>技术部分：</w:t>
            </w:r>
            <w:r>
              <w:rPr>
                <w:rFonts w:hint="eastAsia" w:asciiTheme="minorEastAsia" w:hAnsiTheme="minorEastAsia"/>
                <w:color w:val="FF0000"/>
                <w:szCs w:val="21"/>
                <w:u w:val="single"/>
                <w:lang w:val="en-US" w:eastAsia="zh-CN"/>
              </w:rPr>
              <w:t>35</w:t>
            </w:r>
            <w:r>
              <w:rPr>
                <w:rFonts w:hint="eastAsia" w:asciiTheme="minorEastAsia" w:hAnsiTheme="minorEastAsia"/>
                <w:szCs w:val="21"/>
              </w:rPr>
              <w:t>分</w:t>
            </w:r>
          </w:p>
          <w:p>
            <w:pPr>
              <w:spacing w:beforeLines="50"/>
              <w:ind w:firstLine="420" w:firstLineChars="200"/>
              <w:rPr>
                <w:rFonts w:ascii="宋体" w:hAnsi="宋体" w:cs="宋体"/>
                <w:b/>
                <w:szCs w:val="21"/>
              </w:rPr>
            </w:pPr>
            <w:r>
              <w:rPr>
                <w:rFonts w:hint="eastAsia" w:asciiTheme="minorEastAsia" w:hAnsiTheme="minorEastAsia"/>
                <w:szCs w:val="21"/>
              </w:rPr>
              <w:t>服务部分：</w:t>
            </w:r>
            <w:r>
              <w:rPr>
                <w:rFonts w:hint="eastAsia" w:asciiTheme="minorEastAsia" w:hAnsiTheme="minorEastAsia"/>
                <w:color w:val="FF0000"/>
                <w:szCs w:val="21"/>
                <w:u w:val="single"/>
                <w:lang w:val="en-US" w:eastAsia="zh-CN"/>
              </w:rPr>
              <w:t>10</w:t>
            </w:r>
            <w:r>
              <w:rPr>
                <w:rFonts w:hint="eastAsia" w:asciiTheme="minorEastAsia" w:hAnsi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384"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评审项</w:t>
            </w:r>
          </w:p>
        </w:tc>
        <w:tc>
          <w:tcPr>
            <w:tcW w:w="1560"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评分因素</w:t>
            </w:r>
          </w:p>
        </w:tc>
        <w:tc>
          <w:tcPr>
            <w:tcW w:w="6095"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w:t>
            </w:r>
            <w:r>
              <w:rPr>
                <w:rFonts w:hint="eastAsia" w:ascii="宋体" w:hAnsi="宋体" w:cs="宋体"/>
                <w:b/>
                <w:szCs w:val="21"/>
              </w:rPr>
              <w:t>标</w:t>
            </w:r>
            <w:r>
              <w:rPr>
                <w:rFonts w:hint="eastAsia" w:ascii="宋体" w:hAnsi="宋体" w:eastAsia="宋体" w:cs="宋体"/>
                <w:b/>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trPr>
        <w:tc>
          <w:tcPr>
            <w:tcW w:w="1384" w:type="dxa"/>
            <w:vAlign w:val="center"/>
          </w:tcPr>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报价部分</w:t>
            </w:r>
          </w:p>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20</w:t>
            </w:r>
            <w:r>
              <w:rPr>
                <w:rFonts w:hint="eastAsia" w:ascii="宋体" w:hAnsi="宋体" w:eastAsia="宋体" w:cs="宋体"/>
                <w:szCs w:val="21"/>
              </w:rPr>
              <w:t>分）</w:t>
            </w:r>
          </w:p>
        </w:tc>
        <w:tc>
          <w:tcPr>
            <w:tcW w:w="1560" w:type="dxa"/>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报价</w:t>
            </w:r>
          </w:p>
          <w:p>
            <w:pPr>
              <w:snapToGrid w:val="0"/>
              <w:spacing w:beforeLines="50"/>
              <w:jc w:val="center"/>
              <w:rPr>
                <w:rFonts w:ascii="宋体" w:hAnsi="宋体" w:eastAsia="宋体" w:cs="宋体"/>
                <w:szCs w:val="21"/>
              </w:rPr>
            </w:pPr>
            <w:r>
              <w:rPr>
                <w:rFonts w:hint="eastAsia" w:ascii="宋体" w:hAnsi="宋体" w:eastAsia="宋体" w:cs="宋体"/>
                <w:color w:val="auto"/>
                <w:szCs w:val="21"/>
              </w:rPr>
              <w:t>（</w:t>
            </w:r>
            <w:r>
              <w:rPr>
                <w:rFonts w:hint="eastAsia" w:eastAsia="宋体" w:asciiTheme="minorEastAsia" w:hAnsiTheme="minorEastAsia"/>
                <w:color w:val="auto"/>
                <w:szCs w:val="21"/>
                <w:u w:val="none"/>
                <w:lang w:val="en-US" w:eastAsia="zh-CN"/>
              </w:rPr>
              <w:t>20</w:t>
            </w:r>
            <w:r>
              <w:rPr>
                <w:rFonts w:hint="eastAsia" w:ascii="宋体" w:hAnsi="宋体" w:eastAsia="宋体" w:cs="宋体"/>
                <w:color w:val="auto"/>
                <w:szCs w:val="21"/>
                <w:u w:val="none"/>
              </w:rPr>
              <w:t>分</w:t>
            </w:r>
            <w:r>
              <w:rPr>
                <w:rFonts w:hint="eastAsia" w:ascii="宋体" w:hAnsi="宋体" w:eastAsia="宋体" w:cs="宋体"/>
                <w:szCs w:val="21"/>
                <w:u w:val="none"/>
              </w:rPr>
              <w:t>）</w:t>
            </w:r>
          </w:p>
        </w:tc>
        <w:tc>
          <w:tcPr>
            <w:tcW w:w="6095" w:type="dxa"/>
            <w:vAlign w:val="center"/>
          </w:tcPr>
          <w:p>
            <w:pPr>
              <w:spacing w:line="360" w:lineRule="auto"/>
              <w:rPr>
                <w:rFonts w:asciiTheme="minorEastAsia" w:hAnsiTheme="minorEastAsia"/>
                <w:szCs w:val="21"/>
              </w:rPr>
            </w:pPr>
            <w:r>
              <w:rPr>
                <w:rFonts w:hint="eastAsia" w:asciiTheme="minorEastAsia" w:hAnsiTheme="minorEastAsia"/>
                <w:szCs w:val="21"/>
              </w:rPr>
              <w:t>评标基准价：满足招标文件要求的有效投标报价中，最低的投标报价为评标基准价。</w:t>
            </w:r>
          </w:p>
          <w:p>
            <w:pPr>
              <w:widowControl/>
              <w:spacing w:beforeLines="50"/>
              <w:rPr>
                <w:rFonts w:hint="default" w:ascii="宋体" w:hAnsi="宋体" w:cs="宋体" w:eastAsiaTheme="minorEastAsia"/>
                <w:szCs w:val="21"/>
                <w:lang w:val="en-US" w:eastAsia="zh-CN"/>
              </w:rPr>
            </w:pPr>
            <w:r>
              <w:rPr>
                <w:rFonts w:hint="eastAsia" w:asciiTheme="minorEastAsia" w:hAnsiTheme="minorEastAsia"/>
                <w:szCs w:val="21"/>
              </w:rPr>
              <w:t>投标报价得分=（评标基准价/投标报价）×</w:t>
            </w:r>
            <w:r>
              <w:rPr>
                <w:rFonts w:hint="eastAsia" w:asciiTheme="minorEastAsia" w:hAnsiTheme="minorEastAsia"/>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384" w:type="dxa"/>
            <w:vMerge w:val="restart"/>
            <w:vAlign w:val="center"/>
          </w:tcPr>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商务部分</w:t>
            </w:r>
          </w:p>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35</w:t>
            </w:r>
            <w:r>
              <w:rPr>
                <w:rFonts w:hint="eastAsia" w:ascii="宋体" w:hAnsi="宋体" w:eastAsia="宋体" w:cs="宋体"/>
                <w:szCs w:val="21"/>
              </w:rPr>
              <w:t>分）</w:t>
            </w:r>
          </w:p>
        </w:tc>
        <w:tc>
          <w:tcPr>
            <w:tcW w:w="1560" w:type="dxa"/>
            <w:vAlign w:val="center"/>
          </w:tcPr>
          <w:p>
            <w:pPr>
              <w:spacing w:line="360" w:lineRule="auto"/>
              <w:jc w:val="center"/>
              <w:rPr>
                <w:rFonts w:hint="eastAsia" w:asciiTheme="minorEastAsia" w:hAnsiTheme="minorEastAsia"/>
                <w:szCs w:val="21"/>
              </w:rPr>
            </w:pPr>
            <w:r>
              <w:rPr>
                <w:rFonts w:hint="eastAsia" w:asciiTheme="minorEastAsia" w:hAnsiTheme="minorEastAsia"/>
                <w:szCs w:val="21"/>
              </w:rPr>
              <w:t>业绩</w:t>
            </w:r>
          </w:p>
          <w:p>
            <w:pPr>
              <w:spacing w:line="360" w:lineRule="auto"/>
              <w:jc w:val="center"/>
              <w:rPr>
                <w:rFonts w:hint="eastAsia" w:asciiTheme="minorEastAsia" w:hAnsiTheme="minorEastAsia"/>
                <w:szCs w:val="21"/>
              </w:rPr>
            </w:pPr>
            <w:r>
              <w:rPr>
                <w:rFonts w:hint="eastAsia" w:asciiTheme="minorEastAsia" w:hAnsiTheme="minorEastAsia"/>
                <w:szCs w:val="21"/>
              </w:rPr>
              <w:t>（</w:t>
            </w:r>
            <w:r>
              <w:rPr>
                <w:rFonts w:hint="eastAsia" w:asciiTheme="minorEastAsia" w:hAnsiTheme="minorEastAsia"/>
                <w:szCs w:val="21"/>
                <w:lang w:val="en-US" w:eastAsia="zh-CN"/>
              </w:rPr>
              <w:t>11</w:t>
            </w:r>
            <w:r>
              <w:rPr>
                <w:rFonts w:hint="eastAsia" w:asciiTheme="minorEastAsia" w:hAnsiTheme="minorEastAsia"/>
                <w:szCs w:val="21"/>
              </w:rPr>
              <w:t>分）</w:t>
            </w:r>
          </w:p>
        </w:tc>
        <w:tc>
          <w:tcPr>
            <w:tcW w:w="6095" w:type="dxa"/>
            <w:vAlign w:val="center"/>
          </w:tcPr>
          <w:p>
            <w:pPr>
              <w:spacing w:line="360" w:lineRule="auto"/>
              <w:rPr>
                <w:rFonts w:hint="eastAsia" w:asciiTheme="minorEastAsia" w:hAnsiTheme="minorEastAsia"/>
                <w:szCs w:val="21"/>
              </w:rPr>
            </w:pPr>
            <w:r>
              <w:rPr>
                <w:rFonts w:hint="eastAsia" w:asciiTheme="minorEastAsia" w:hAnsiTheme="minorEastAsia"/>
                <w:szCs w:val="21"/>
                <w:lang w:val="en-US" w:eastAsia="zh-CN"/>
              </w:rPr>
              <w:t>1.</w:t>
            </w:r>
            <w:r>
              <w:rPr>
                <w:rFonts w:hint="eastAsia" w:asciiTheme="minorEastAsia" w:hAnsiTheme="minorEastAsia"/>
                <w:szCs w:val="21"/>
              </w:rPr>
              <w:t>投标人自2016年1月1日以来的类似项目业绩，每份业绩（包括中标通知书、合同、验收证书三项齐全的）得3分，最高</w:t>
            </w:r>
            <w:r>
              <w:rPr>
                <w:rFonts w:hint="eastAsia" w:asciiTheme="minorEastAsia" w:hAnsiTheme="minorEastAsia"/>
                <w:szCs w:val="21"/>
                <w:lang w:val="en-US" w:eastAsia="zh-CN"/>
              </w:rPr>
              <w:t>6</w:t>
            </w:r>
            <w:r>
              <w:rPr>
                <w:rFonts w:hint="eastAsia" w:asciiTheme="minorEastAsia" w:hAnsiTheme="minorEastAsia"/>
                <w:szCs w:val="21"/>
              </w:rPr>
              <w:t>分。</w:t>
            </w:r>
          </w:p>
          <w:p>
            <w:pPr>
              <w:spacing w:line="360" w:lineRule="auto"/>
              <w:rPr>
                <w:rFonts w:hint="eastAsia" w:asciiTheme="minorEastAsia" w:hAnsiTheme="minorEastAsia"/>
                <w:szCs w:val="21"/>
              </w:rPr>
            </w:pPr>
            <w:r>
              <w:rPr>
                <w:rFonts w:hint="eastAsia" w:asciiTheme="minorEastAsia" w:hAnsiTheme="minorEastAsia"/>
                <w:szCs w:val="21"/>
              </w:rPr>
              <w:t>备注：类似项目是指中华人民共和国境内的地表水自动连续监测项目（不含生活污水类、工业废水类）或者地表水监测运维项目（不含生活污水类、工业废水类）</w:t>
            </w:r>
          </w:p>
          <w:p>
            <w:pPr>
              <w:spacing w:line="360" w:lineRule="auto"/>
              <w:rPr>
                <w:rFonts w:hint="eastAsia" w:asciiTheme="minorEastAsia" w:hAnsiTheme="minorEastAsia"/>
                <w:szCs w:val="21"/>
                <w:lang w:val="zh-CN"/>
              </w:rPr>
            </w:pPr>
            <w:r>
              <w:rPr>
                <w:rFonts w:hint="eastAsia" w:asciiTheme="minorEastAsia" w:hAnsiTheme="minorEastAsia"/>
                <w:szCs w:val="21"/>
                <w:lang w:val="en-US" w:eastAsia="zh-CN"/>
              </w:rPr>
              <w:t>2.</w:t>
            </w:r>
            <w:r>
              <w:rPr>
                <w:rFonts w:hint="eastAsia" w:asciiTheme="minorEastAsia" w:hAnsiTheme="minorEastAsia"/>
                <w:szCs w:val="21"/>
              </w:rPr>
              <w:t>投标人提供2016年1月以来市级及以上环保部门出具的水站类建设或运维项目的满意度证明资料，客户评价为“满意”、“优秀”、“良好”等积极正面的评价，每提供一份得1分，最多得5分。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384" w:type="dxa"/>
            <w:vMerge w:val="continue"/>
            <w:vAlign w:val="center"/>
          </w:tcPr>
          <w:p>
            <w:pPr>
              <w:snapToGrid w:val="0"/>
              <w:spacing w:beforeLines="50"/>
              <w:ind w:leftChars="-2" w:hanging="4" w:hangingChars="2"/>
              <w:jc w:val="center"/>
              <w:rPr>
                <w:rFonts w:ascii="宋体" w:hAnsi="宋体" w:eastAsia="宋体" w:cs="宋体"/>
                <w:szCs w:val="21"/>
              </w:rPr>
            </w:pPr>
          </w:p>
        </w:tc>
        <w:tc>
          <w:tcPr>
            <w:tcW w:w="1560" w:type="dxa"/>
            <w:vAlign w:val="center"/>
          </w:tcPr>
          <w:p>
            <w:pPr>
              <w:spacing w:line="360" w:lineRule="auto"/>
              <w:jc w:val="center"/>
              <w:rPr>
                <w:rFonts w:hint="eastAsia" w:asciiTheme="minorEastAsia" w:hAnsiTheme="minorEastAsia"/>
                <w:szCs w:val="21"/>
              </w:rPr>
            </w:pPr>
            <w:r>
              <w:rPr>
                <w:rFonts w:hint="eastAsia" w:asciiTheme="minorEastAsia" w:hAnsiTheme="minorEastAsia"/>
                <w:szCs w:val="21"/>
              </w:rPr>
              <w:t>企业信誉</w:t>
            </w:r>
          </w:p>
          <w:p>
            <w:pPr>
              <w:spacing w:line="360" w:lineRule="auto"/>
              <w:jc w:val="center"/>
              <w:rPr>
                <w:rFonts w:hint="eastAsia" w:asciiTheme="minorEastAsia" w:hAnsiTheme="minorEastAsia"/>
                <w:szCs w:val="21"/>
              </w:rPr>
            </w:pPr>
            <w:r>
              <w:rPr>
                <w:rFonts w:hint="eastAsia" w:asciiTheme="minorEastAsia" w:hAnsiTheme="minorEastAsia"/>
                <w:szCs w:val="21"/>
              </w:rPr>
              <w:t>（</w:t>
            </w:r>
            <w:r>
              <w:rPr>
                <w:rFonts w:hint="eastAsia" w:asciiTheme="minorEastAsia" w:hAnsiTheme="minorEastAsia"/>
                <w:szCs w:val="21"/>
                <w:lang w:val="en-US" w:eastAsia="zh-CN"/>
              </w:rPr>
              <w:t>6</w:t>
            </w:r>
            <w:r>
              <w:rPr>
                <w:rFonts w:hint="eastAsia" w:asciiTheme="minorEastAsia" w:hAnsiTheme="minorEastAsia"/>
                <w:szCs w:val="21"/>
              </w:rPr>
              <w:t>分）</w:t>
            </w:r>
          </w:p>
        </w:tc>
        <w:tc>
          <w:tcPr>
            <w:tcW w:w="6095" w:type="dxa"/>
            <w:vAlign w:val="center"/>
          </w:tcPr>
          <w:p>
            <w:pPr>
              <w:spacing w:line="360" w:lineRule="auto"/>
              <w:rPr>
                <w:rFonts w:hint="eastAsia" w:asciiTheme="minorEastAsia" w:hAnsiTheme="minorEastAsia"/>
                <w:szCs w:val="21"/>
                <w:lang w:val="zh-CN"/>
              </w:rPr>
            </w:pPr>
            <w:r>
              <w:rPr>
                <w:rFonts w:hint="eastAsia" w:asciiTheme="minorEastAsia" w:hAnsiTheme="minorEastAsia"/>
                <w:szCs w:val="21"/>
              </w:rPr>
              <w:t xml:space="preserve"> 投标人近5年来未受到过各级环保部门约谈或行政处罚的得</w:t>
            </w:r>
            <w:r>
              <w:rPr>
                <w:rFonts w:hint="eastAsia" w:asciiTheme="minorEastAsia" w:hAnsiTheme="minorEastAsia"/>
                <w:szCs w:val="21"/>
                <w:lang w:val="en-US" w:eastAsia="zh-CN"/>
              </w:rPr>
              <w:t>,6</w:t>
            </w:r>
            <w:r>
              <w:rPr>
                <w:rFonts w:hint="eastAsia" w:asciiTheme="minorEastAsia" w:hAnsiTheme="minorEastAsia"/>
                <w:szCs w:val="21"/>
              </w:rPr>
              <w:t>分，需提供承诺函。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384" w:type="dxa"/>
            <w:vMerge w:val="continue"/>
            <w:vAlign w:val="center"/>
          </w:tcPr>
          <w:p>
            <w:pPr>
              <w:snapToGrid w:val="0"/>
              <w:spacing w:beforeLines="50"/>
              <w:ind w:leftChars="-2" w:hanging="4" w:hangingChars="2"/>
              <w:jc w:val="center"/>
              <w:rPr>
                <w:rFonts w:ascii="宋体" w:hAnsi="宋体" w:eastAsia="宋体" w:cs="宋体"/>
                <w:szCs w:val="21"/>
              </w:rPr>
            </w:pPr>
          </w:p>
        </w:tc>
        <w:tc>
          <w:tcPr>
            <w:tcW w:w="1560" w:type="dxa"/>
            <w:vAlign w:val="center"/>
          </w:tcPr>
          <w:p>
            <w:pPr>
              <w:spacing w:line="360" w:lineRule="auto"/>
              <w:jc w:val="center"/>
              <w:rPr>
                <w:rFonts w:hint="eastAsia" w:asciiTheme="minorEastAsia" w:hAnsiTheme="minorEastAsia"/>
                <w:szCs w:val="21"/>
              </w:rPr>
            </w:pPr>
            <w:r>
              <w:rPr>
                <w:rFonts w:hint="eastAsia" w:asciiTheme="minorEastAsia" w:hAnsiTheme="minorEastAsia"/>
                <w:szCs w:val="21"/>
              </w:rPr>
              <w:t>综合能力</w:t>
            </w:r>
          </w:p>
          <w:p>
            <w:pPr>
              <w:spacing w:line="360" w:lineRule="auto"/>
              <w:jc w:val="center"/>
              <w:rPr>
                <w:rFonts w:hint="eastAsia" w:asciiTheme="minorEastAsia" w:hAnsiTheme="minorEastAsia"/>
                <w:szCs w:val="21"/>
              </w:rPr>
            </w:pPr>
            <w:r>
              <w:rPr>
                <w:rFonts w:hint="eastAsia" w:asciiTheme="minorEastAsia" w:hAnsiTheme="minorEastAsia"/>
                <w:szCs w:val="21"/>
              </w:rPr>
              <w:t>（1</w:t>
            </w:r>
            <w:r>
              <w:rPr>
                <w:rFonts w:hint="eastAsia" w:asciiTheme="minorEastAsia" w:hAnsiTheme="minorEastAsia"/>
                <w:szCs w:val="21"/>
                <w:lang w:val="en-US" w:eastAsia="zh-CN"/>
              </w:rPr>
              <w:t>2</w:t>
            </w:r>
            <w:r>
              <w:rPr>
                <w:rFonts w:hint="eastAsia" w:asciiTheme="minorEastAsia" w:hAnsiTheme="minorEastAsia"/>
                <w:szCs w:val="21"/>
              </w:rPr>
              <w:t>分）</w:t>
            </w:r>
          </w:p>
        </w:tc>
        <w:tc>
          <w:tcPr>
            <w:tcW w:w="6095" w:type="dxa"/>
            <w:vAlign w:val="center"/>
          </w:tcPr>
          <w:p>
            <w:pPr>
              <w:spacing w:line="360" w:lineRule="auto"/>
              <w:rPr>
                <w:rFonts w:hint="eastAsia" w:asciiTheme="minorEastAsia" w:hAnsiTheme="minorEastAsia"/>
                <w:szCs w:val="21"/>
                <w:lang w:val="en-GB"/>
              </w:rPr>
            </w:pPr>
            <w:r>
              <w:rPr>
                <w:rFonts w:hint="eastAsia" w:asciiTheme="minorEastAsia" w:hAnsiTheme="minorEastAsia"/>
                <w:szCs w:val="21"/>
              </w:rPr>
              <w:t xml:space="preserve"> 投标人具有质量管理体系认证证书（含水质自动监测系统）、环境管理体系认证证书（含水质自动监测系统）、信息安全管理体系证书</w:t>
            </w:r>
            <w:r>
              <w:rPr>
                <w:rFonts w:hint="eastAsia" w:asciiTheme="minorEastAsia" w:hAnsiTheme="minorEastAsia"/>
                <w:szCs w:val="21"/>
                <w:lang w:eastAsia="zh-CN"/>
              </w:rPr>
              <w:t>、</w:t>
            </w:r>
            <w:r>
              <w:rPr>
                <w:rFonts w:hint="eastAsia" w:asciiTheme="minorEastAsia" w:hAnsiTheme="minorEastAsia"/>
                <w:szCs w:val="21"/>
              </w:rPr>
              <w:t>职业健康体系认证证书</w:t>
            </w:r>
            <w:r>
              <w:rPr>
                <w:rFonts w:hint="eastAsia" w:asciiTheme="minorEastAsia" w:hAnsiTheme="minorEastAsia"/>
                <w:szCs w:val="21"/>
                <w:lang w:eastAsia="zh-CN"/>
              </w:rPr>
              <w:t>，</w:t>
            </w:r>
            <w:r>
              <w:rPr>
                <w:rFonts w:hint="eastAsia" w:asciiTheme="minorEastAsia" w:hAnsiTheme="minorEastAsia"/>
                <w:szCs w:val="21"/>
                <w:lang w:val="en-US" w:eastAsia="zh-CN"/>
              </w:rPr>
              <w:t>每项</w:t>
            </w:r>
            <w:r>
              <w:rPr>
                <w:rFonts w:hint="eastAsia" w:asciiTheme="minorEastAsia" w:hAnsiTheme="minorEastAsia"/>
                <w:szCs w:val="21"/>
              </w:rPr>
              <w:t>得</w:t>
            </w:r>
            <w:r>
              <w:rPr>
                <w:rFonts w:hint="eastAsia" w:asciiTheme="minorEastAsia" w:hAnsiTheme="minorEastAsia"/>
                <w:szCs w:val="21"/>
                <w:lang w:val="en-US" w:eastAsia="zh-CN"/>
              </w:rPr>
              <w:t>3</w:t>
            </w:r>
            <w:r>
              <w:rPr>
                <w:rFonts w:hint="eastAsia" w:asciiTheme="minorEastAsia" w:hAnsiTheme="minorEastAsia"/>
                <w:szCs w:val="21"/>
              </w:rPr>
              <w:t>分</w:t>
            </w:r>
            <w:r>
              <w:rPr>
                <w:rFonts w:hint="eastAsia" w:asciiTheme="minorEastAsia" w:hAnsiTheme="minorEastAsia"/>
                <w:szCs w:val="21"/>
                <w:lang w:eastAsia="zh-CN"/>
              </w:rPr>
              <w:t>，</w:t>
            </w:r>
            <w:r>
              <w:rPr>
                <w:rFonts w:hint="eastAsia" w:asciiTheme="minorEastAsia" w:hAnsiTheme="minorEastAsia"/>
                <w:szCs w:val="21"/>
                <w:lang w:val="en-US" w:eastAsia="zh-CN"/>
              </w:rPr>
              <w:t>满分12分。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384" w:type="dxa"/>
            <w:vMerge w:val="continue"/>
            <w:vAlign w:val="center"/>
          </w:tcPr>
          <w:p>
            <w:pPr>
              <w:snapToGrid w:val="0"/>
              <w:spacing w:beforeLines="50"/>
              <w:ind w:leftChars="-2" w:hanging="4" w:hangingChars="2"/>
              <w:jc w:val="center"/>
              <w:rPr>
                <w:rFonts w:ascii="宋体" w:hAnsi="宋体" w:eastAsia="宋体" w:cs="宋体"/>
                <w:szCs w:val="21"/>
              </w:rPr>
            </w:pPr>
          </w:p>
        </w:tc>
        <w:tc>
          <w:tcPr>
            <w:tcW w:w="1560" w:type="dxa"/>
            <w:vAlign w:val="center"/>
          </w:tcPr>
          <w:p>
            <w:pPr>
              <w:spacing w:line="360" w:lineRule="auto"/>
              <w:jc w:val="center"/>
              <w:rPr>
                <w:rFonts w:hint="eastAsia" w:asciiTheme="minorEastAsia" w:hAnsiTheme="minorEastAsia"/>
                <w:szCs w:val="21"/>
              </w:rPr>
            </w:pPr>
            <w:r>
              <w:rPr>
                <w:rFonts w:hint="eastAsia" w:asciiTheme="minorEastAsia" w:hAnsiTheme="minorEastAsia"/>
                <w:szCs w:val="21"/>
              </w:rPr>
              <w:t>响应能力</w:t>
            </w:r>
          </w:p>
          <w:p>
            <w:pPr>
              <w:spacing w:line="360" w:lineRule="auto"/>
              <w:jc w:val="center"/>
              <w:rPr>
                <w:rFonts w:hint="eastAsia" w:asciiTheme="minorEastAsia" w:hAnsiTheme="minorEastAsia"/>
                <w:szCs w:val="21"/>
              </w:rPr>
            </w:pPr>
            <w:r>
              <w:rPr>
                <w:rFonts w:hint="eastAsia" w:asciiTheme="minorEastAsia" w:hAnsiTheme="minorEastAsia"/>
                <w:szCs w:val="21"/>
              </w:rPr>
              <w:t>（</w:t>
            </w:r>
            <w:r>
              <w:rPr>
                <w:rFonts w:hint="eastAsia" w:asciiTheme="minorEastAsia" w:hAnsiTheme="minorEastAsia"/>
                <w:szCs w:val="21"/>
                <w:lang w:val="en-US" w:eastAsia="zh-CN"/>
              </w:rPr>
              <w:t>6</w:t>
            </w:r>
            <w:r>
              <w:rPr>
                <w:rFonts w:hint="eastAsia" w:asciiTheme="minorEastAsia" w:hAnsiTheme="minorEastAsia"/>
                <w:szCs w:val="21"/>
              </w:rPr>
              <w:t>分）</w:t>
            </w:r>
          </w:p>
        </w:tc>
        <w:tc>
          <w:tcPr>
            <w:tcW w:w="6095" w:type="dxa"/>
            <w:vAlign w:val="center"/>
          </w:tcPr>
          <w:p>
            <w:pPr>
              <w:spacing w:line="360" w:lineRule="auto"/>
              <w:rPr>
                <w:rFonts w:hint="eastAsia" w:asciiTheme="minorEastAsia" w:hAnsiTheme="minorEastAsia"/>
                <w:szCs w:val="21"/>
                <w:lang w:val="zh-CN"/>
              </w:rPr>
            </w:pPr>
            <w:r>
              <w:rPr>
                <w:rFonts w:hint="eastAsia" w:asciiTheme="minorEastAsia" w:hAnsiTheme="minorEastAsia"/>
                <w:szCs w:val="21"/>
              </w:rPr>
              <w:t>投标人</w:t>
            </w:r>
            <w:r>
              <w:rPr>
                <w:rFonts w:hint="eastAsia" w:asciiTheme="minorEastAsia" w:hAnsiTheme="minorEastAsia"/>
                <w:szCs w:val="21"/>
                <w:lang w:val="en-US" w:eastAsia="zh-CN"/>
              </w:rPr>
              <w:t>提供的运维车辆在3台车辆的基础上，每增加一台运维车辆加2分，满分6分；（需提供运维车辆行驶证）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trPr>
        <w:tc>
          <w:tcPr>
            <w:tcW w:w="1384" w:type="dxa"/>
            <w:vMerge w:val="restart"/>
            <w:tcBorders>
              <w:right w:val="single" w:color="auto" w:sz="4" w:space="0"/>
            </w:tcBorders>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技术部分</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35</w:t>
            </w:r>
            <w:r>
              <w:rPr>
                <w:rFonts w:hint="eastAsia" w:ascii="宋体" w:hAnsi="宋体" w:eastAsia="宋体" w:cs="宋体"/>
                <w:szCs w:val="21"/>
              </w:rPr>
              <w:t>分）</w:t>
            </w:r>
          </w:p>
        </w:tc>
        <w:tc>
          <w:tcPr>
            <w:tcW w:w="1560" w:type="dxa"/>
            <w:tcBorders>
              <w:right w:val="single" w:color="auto" w:sz="4" w:space="0"/>
            </w:tcBorders>
            <w:vAlign w:val="center"/>
          </w:tcPr>
          <w:p>
            <w:pPr>
              <w:spacing w:line="360" w:lineRule="auto"/>
              <w:jc w:val="center"/>
              <w:rPr>
                <w:rFonts w:hint="eastAsia" w:asciiTheme="minorEastAsia" w:hAnsiTheme="minorEastAsia"/>
                <w:szCs w:val="21"/>
              </w:rPr>
            </w:pPr>
            <w:r>
              <w:rPr>
                <w:rFonts w:hint="eastAsia" w:asciiTheme="minorEastAsia" w:hAnsiTheme="minorEastAsia"/>
                <w:szCs w:val="21"/>
              </w:rPr>
              <w:t>总体方案</w:t>
            </w:r>
          </w:p>
          <w:p>
            <w:pPr>
              <w:spacing w:line="360" w:lineRule="auto"/>
              <w:jc w:val="center"/>
              <w:rPr>
                <w:rFonts w:hint="eastAsia" w:asciiTheme="minorEastAsia" w:hAnsiTheme="minorEastAsia"/>
                <w:szCs w:val="21"/>
              </w:rPr>
            </w:pPr>
            <w:r>
              <w:rPr>
                <w:rFonts w:hint="eastAsia" w:asciiTheme="minorEastAsia" w:hAnsiTheme="minorEastAsia"/>
                <w:szCs w:val="21"/>
              </w:rPr>
              <w:t>（1</w:t>
            </w:r>
            <w:r>
              <w:rPr>
                <w:rFonts w:hint="eastAsia" w:asciiTheme="minorEastAsia" w:hAnsiTheme="minorEastAsia"/>
                <w:szCs w:val="21"/>
                <w:lang w:val="en-US" w:eastAsia="zh-CN"/>
              </w:rPr>
              <w:t>5</w:t>
            </w:r>
            <w:r>
              <w:rPr>
                <w:rFonts w:hint="eastAsia" w:asciiTheme="minorEastAsia" w:hAnsiTheme="minorEastAsia"/>
                <w:szCs w:val="21"/>
              </w:rPr>
              <w:t>分）</w:t>
            </w:r>
          </w:p>
        </w:tc>
        <w:tc>
          <w:tcPr>
            <w:tcW w:w="6095" w:type="dxa"/>
            <w:tcBorders>
              <w:right w:val="single" w:color="auto" w:sz="4" w:space="0"/>
            </w:tcBorders>
            <w:vAlign w:val="center"/>
          </w:tcPr>
          <w:p>
            <w:pPr>
              <w:spacing w:line="360" w:lineRule="auto"/>
              <w:rPr>
                <w:rFonts w:hint="eastAsia" w:asciiTheme="minorEastAsia" w:hAnsiTheme="minorEastAsia"/>
                <w:szCs w:val="21"/>
              </w:rPr>
            </w:pPr>
            <w:r>
              <w:rPr>
                <w:rFonts w:hint="eastAsia" w:asciiTheme="minorEastAsia" w:hAnsiTheme="minorEastAsia"/>
                <w:szCs w:val="21"/>
              </w:rPr>
              <w:t>投标人</w:t>
            </w:r>
            <w:r>
              <w:rPr>
                <w:rFonts w:hint="eastAsia" w:asciiTheme="minorEastAsia" w:hAnsiTheme="minorEastAsia"/>
                <w:szCs w:val="21"/>
                <w:lang w:val="en-US" w:eastAsia="zh-CN"/>
              </w:rPr>
              <w:t>针对技术要求</w:t>
            </w:r>
            <w:r>
              <w:rPr>
                <w:rFonts w:hint="eastAsia" w:asciiTheme="minorEastAsia" w:hAnsiTheme="minorEastAsia"/>
                <w:szCs w:val="21"/>
              </w:rPr>
              <w:t>提供</w:t>
            </w:r>
            <w:r>
              <w:rPr>
                <w:rFonts w:hint="eastAsia" w:asciiTheme="minorEastAsia" w:hAnsiTheme="minorEastAsia"/>
                <w:szCs w:val="21"/>
                <w:lang w:val="en-US" w:eastAsia="zh-CN"/>
              </w:rPr>
              <w:t>运维</w:t>
            </w:r>
            <w:r>
              <w:rPr>
                <w:rFonts w:hint="eastAsia" w:asciiTheme="minorEastAsia" w:hAnsiTheme="minorEastAsia"/>
                <w:szCs w:val="21"/>
              </w:rPr>
              <w:t>总体方案</w:t>
            </w:r>
            <w:r>
              <w:rPr>
                <w:rFonts w:hint="eastAsia" w:asciiTheme="minorEastAsia" w:hAnsiTheme="minorEastAsia"/>
                <w:szCs w:val="21"/>
                <w:lang w:eastAsia="zh-CN"/>
              </w:rPr>
              <w:t>。</w:t>
            </w:r>
            <w:r>
              <w:rPr>
                <w:rFonts w:hint="eastAsia" w:asciiTheme="minorEastAsia" w:hAnsiTheme="minorEastAsia"/>
                <w:szCs w:val="21"/>
                <w:lang w:val="en-US" w:eastAsia="zh-CN"/>
              </w:rPr>
              <w:t>运维总体方案包括运维服务总要求、运维详细要求、水质自动监测站的运维管理内容、运维质量管理与控制要求、运维工作要求。投标人提供的总体方案符合上述全部要求的</w:t>
            </w:r>
            <w:r>
              <w:rPr>
                <w:rFonts w:hint="eastAsia" w:asciiTheme="minorEastAsia" w:hAnsiTheme="minorEastAsia"/>
                <w:szCs w:val="21"/>
              </w:rPr>
              <w:t>得1</w:t>
            </w:r>
            <w:r>
              <w:rPr>
                <w:rFonts w:hint="eastAsia" w:asciiTheme="minorEastAsia" w:hAnsiTheme="minorEastAsia"/>
                <w:szCs w:val="21"/>
                <w:lang w:val="en-US" w:eastAsia="zh-CN"/>
              </w:rPr>
              <w:t>5</w:t>
            </w:r>
            <w:r>
              <w:rPr>
                <w:rFonts w:hint="eastAsia" w:asciiTheme="minorEastAsia" w:hAnsiTheme="minorEastAsia"/>
                <w:szCs w:val="21"/>
              </w:rPr>
              <w:t>分；方案</w:t>
            </w:r>
            <w:r>
              <w:rPr>
                <w:rFonts w:hint="eastAsia" w:asciiTheme="minorEastAsia" w:hAnsiTheme="minorEastAsia"/>
                <w:szCs w:val="21"/>
                <w:lang w:val="en-US" w:eastAsia="zh-CN"/>
              </w:rPr>
              <w:t>仅有简单描述的</w:t>
            </w:r>
            <w:r>
              <w:rPr>
                <w:rFonts w:hint="eastAsia" w:asciiTheme="minorEastAsia" w:hAnsiTheme="minorEastAsia"/>
                <w:szCs w:val="21"/>
              </w:rPr>
              <w:t>得</w:t>
            </w:r>
            <w:r>
              <w:rPr>
                <w:rFonts w:hint="eastAsia" w:asciiTheme="minorEastAsia" w:hAnsiTheme="minorEastAsia"/>
                <w:szCs w:val="21"/>
                <w:lang w:val="en-US" w:eastAsia="zh-CN"/>
              </w:rPr>
              <w:t>8</w:t>
            </w:r>
            <w:r>
              <w:rPr>
                <w:rFonts w:hint="eastAsia" w:asciiTheme="minorEastAsia" w:hAnsiTheme="minorEastAsia"/>
                <w:szCs w:val="21"/>
              </w:rPr>
              <w:t>分；不提供者不得分。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84" w:type="dxa"/>
            <w:vMerge w:val="continue"/>
            <w:tcBorders>
              <w:right w:val="single" w:color="auto" w:sz="4" w:space="0"/>
            </w:tcBorders>
            <w:vAlign w:val="center"/>
          </w:tcPr>
          <w:p>
            <w:pPr>
              <w:snapToGrid w:val="0"/>
              <w:spacing w:beforeLines="50"/>
              <w:jc w:val="center"/>
              <w:rPr>
                <w:rFonts w:hint="eastAsia" w:ascii="宋体" w:hAnsi="宋体" w:eastAsia="宋体" w:cs="宋体"/>
                <w:szCs w:val="21"/>
              </w:rPr>
            </w:pPr>
          </w:p>
        </w:tc>
        <w:tc>
          <w:tcPr>
            <w:tcW w:w="1560" w:type="dxa"/>
            <w:tcBorders>
              <w:right w:val="single" w:color="auto" w:sz="4" w:space="0"/>
            </w:tcBorders>
            <w:vAlign w:val="center"/>
          </w:tcPr>
          <w:p>
            <w:pPr>
              <w:spacing w:line="360" w:lineRule="auto"/>
              <w:jc w:val="center"/>
              <w:rPr>
                <w:rFonts w:hint="eastAsia" w:asciiTheme="minorEastAsia" w:hAnsiTheme="minorEastAsia"/>
                <w:szCs w:val="21"/>
              </w:rPr>
            </w:pPr>
            <w:r>
              <w:rPr>
                <w:rFonts w:hint="eastAsia" w:asciiTheme="minorEastAsia" w:hAnsiTheme="minorEastAsia"/>
                <w:szCs w:val="21"/>
              </w:rPr>
              <w:t>安全措施</w:t>
            </w:r>
          </w:p>
          <w:p>
            <w:pPr>
              <w:spacing w:line="360" w:lineRule="auto"/>
              <w:jc w:val="center"/>
              <w:rPr>
                <w:rFonts w:hint="eastAsia" w:asciiTheme="minorEastAsia" w:hAnsiTheme="minorEastAsia"/>
                <w:szCs w:val="21"/>
              </w:rPr>
            </w:pPr>
            <w:r>
              <w:rPr>
                <w:rFonts w:hint="eastAsia" w:asciiTheme="minorEastAsia" w:hAnsiTheme="minorEastAsia"/>
                <w:szCs w:val="21"/>
              </w:rPr>
              <w:t>（5分）</w:t>
            </w:r>
          </w:p>
        </w:tc>
        <w:tc>
          <w:tcPr>
            <w:tcW w:w="6095" w:type="dxa"/>
            <w:tcBorders>
              <w:right w:val="single" w:color="auto" w:sz="4" w:space="0"/>
            </w:tcBorders>
            <w:vAlign w:val="center"/>
          </w:tcPr>
          <w:p>
            <w:pPr>
              <w:spacing w:line="360" w:lineRule="auto"/>
              <w:rPr>
                <w:rFonts w:hint="eastAsia" w:asciiTheme="minorEastAsia" w:hAnsiTheme="minorEastAsia"/>
                <w:szCs w:val="21"/>
              </w:rPr>
            </w:pPr>
            <w:r>
              <w:rPr>
                <w:rFonts w:hint="eastAsia" w:asciiTheme="minorEastAsia" w:hAnsiTheme="minorEastAsia"/>
                <w:szCs w:val="21"/>
              </w:rPr>
              <w:t>提供确保水质自动站仪器设备安全措施</w:t>
            </w:r>
            <w:r>
              <w:rPr>
                <w:rFonts w:hint="eastAsia" w:asciiTheme="minorEastAsia" w:hAnsiTheme="minorEastAsia"/>
                <w:szCs w:val="21"/>
                <w:lang w:val="en-US" w:eastAsia="zh-CN"/>
              </w:rPr>
              <w:t>方案的得5分</w:t>
            </w:r>
            <w:r>
              <w:rPr>
                <w:rFonts w:hint="eastAsia" w:asciiTheme="minorEastAsia" w:hAnsiTheme="minorEastAsia"/>
                <w:szCs w:val="21"/>
                <w:lang w:eastAsia="zh-CN"/>
              </w:rPr>
              <w:t>，</w:t>
            </w:r>
            <w:r>
              <w:rPr>
                <w:rFonts w:hint="eastAsia" w:asciiTheme="minorEastAsia" w:hAnsiTheme="minorEastAsia"/>
                <w:szCs w:val="21"/>
                <w:lang w:val="en-US" w:eastAsia="zh-CN"/>
              </w:rPr>
              <w:t>不提供不得分</w:t>
            </w:r>
            <w:r>
              <w:rPr>
                <w:rFonts w:hint="eastAsia"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384" w:type="dxa"/>
            <w:vMerge w:val="continue"/>
            <w:tcBorders>
              <w:right w:val="single" w:color="auto" w:sz="4" w:space="0"/>
            </w:tcBorders>
            <w:vAlign w:val="center"/>
          </w:tcPr>
          <w:p>
            <w:pPr>
              <w:snapToGrid w:val="0"/>
              <w:spacing w:beforeLines="50"/>
              <w:jc w:val="center"/>
              <w:rPr>
                <w:rFonts w:hint="eastAsia" w:ascii="宋体" w:hAnsi="宋体" w:eastAsia="宋体" w:cs="宋体"/>
                <w:szCs w:val="21"/>
              </w:rPr>
            </w:pPr>
          </w:p>
        </w:tc>
        <w:tc>
          <w:tcPr>
            <w:tcW w:w="1560" w:type="dxa"/>
            <w:tcBorders>
              <w:right w:val="single" w:color="auto" w:sz="4" w:space="0"/>
            </w:tcBorders>
            <w:vAlign w:val="center"/>
          </w:tcPr>
          <w:p>
            <w:pPr>
              <w:spacing w:line="360" w:lineRule="auto"/>
              <w:jc w:val="center"/>
              <w:rPr>
                <w:rFonts w:hint="eastAsia" w:asciiTheme="minorEastAsia" w:hAnsiTheme="minorEastAsia"/>
                <w:szCs w:val="21"/>
              </w:rPr>
            </w:pPr>
            <w:r>
              <w:rPr>
                <w:rFonts w:hint="eastAsia" w:asciiTheme="minorEastAsia" w:hAnsiTheme="minorEastAsia"/>
                <w:szCs w:val="21"/>
              </w:rPr>
              <w:t>运营制度</w:t>
            </w:r>
          </w:p>
          <w:p>
            <w:pPr>
              <w:spacing w:line="360" w:lineRule="auto"/>
              <w:jc w:val="center"/>
              <w:rPr>
                <w:rFonts w:hint="eastAsia" w:asciiTheme="minorEastAsia" w:hAnsiTheme="minorEastAsia"/>
                <w:szCs w:val="21"/>
              </w:rPr>
            </w:pPr>
            <w:r>
              <w:rPr>
                <w:rFonts w:hint="eastAsia" w:asciiTheme="minorEastAsia" w:hAnsiTheme="minorEastAsia"/>
                <w:szCs w:val="21"/>
              </w:rPr>
              <w:t>（5分）</w:t>
            </w:r>
          </w:p>
        </w:tc>
        <w:tc>
          <w:tcPr>
            <w:tcW w:w="6095" w:type="dxa"/>
            <w:tcBorders>
              <w:right w:val="single" w:color="auto" w:sz="4" w:space="0"/>
            </w:tcBorders>
            <w:vAlign w:val="center"/>
          </w:tcPr>
          <w:p>
            <w:pPr>
              <w:spacing w:line="360" w:lineRule="auto"/>
              <w:rPr>
                <w:rFonts w:hint="eastAsia" w:asciiTheme="minorEastAsia" w:hAnsiTheme="minorEastAsia"/>
                <w:szCs w:val="21"/>
              </w:rPr>
            </w:pPr>
            <w:r>
              <w:rPr>
                <w:rFonts w:hint="eastAsia" w:asciiTheme="minorEastAsia" w:hAnsiTheme="minorEastAsia"/>
                <w:szCs w:val="21"/>
              </w:rPr>
              <w:t>具有运营管理制度，包括操作规范、岗位责任、组织结构、运维人员考核办法，针对本项目的作业环境制定的具体的管理制度</w:t>
            </w:r>
            <w:r>
              <w:rPr>
                <w:rFonts w:hint="eastAsia" w:asciiTheme="minorEastAsia" w:hAnsiTheme="minorEastAsia"/>
                <w:szCs w:val="21"/>
                <w:lang w:val="en-US" w:eastAsia="zh-CN"/>
              </w:rPr>
              <w:t>的得5分</w:t>
            </w:r>
            <w:r>
              <w:rPr>
                <w:rFonts w:hint="eastAsia" w:asciiTheme="minorEastAsia" w:hAnsiTheme="minorEastAsia"/>
                <w:szCs w:val="21"/>
                <w:lang w:eastAsia="zh-CN"/>
              </w:rPr>
              <w:t>，</w:t>
            </w:r>
            <w:r>
              <w:rPr>
                <w:rFonts w:hint="eastAsia" w:asciiTheme="minorEastAsia" w:hAnsiTheme="minorEastAsia"/>
                <w:szCs w:val="21"/>
              </w:rPr>
              <w:t>不提供者不得分。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384" w:type="dxa"/>
            <w:vMerge w:val="continue"/>
            <w:tcBorders>
              <w:right w:val="single" w:color="auto" w:sz="4" w:space="0"/>
            </w:tcBorders>
            <w:vAlign w:val="center"/>
          </w:tcPr>
          <w:p>
            <w:pPr>
              <w:snapToGrid w:val="0"/>
              <w:spacing w:beforeLines="50"/>
              <w:rPr>
                <w:rFonts w:ascii="宋体" w:hAnsi="宋体" w:eastAsia="宋体" w:cs="宋体"/>
                <w:szCs w:val="21"/>
              </w:rPr>
            </w:pPr>
          </w:p>
        </w:tc>
        <w:tc>
          <w:tcPr>
            <w:tcW w:w="1560" w:type="dxa"/>
            <w:tcBorders>
              <w:right w:val="single" w:color="auto" w:sz="4" w:space="0"/>
            </w:tcBorders>
            <w:vAlign w:val="center"/>
          </w:tcPr>
          <w:p>
            <w:pPr>
              <w:spacing w:line="360" w:lineRule="auto"/>
              <w:jc w:val="center"/>
              <w:rPr>
                <w:rFonts w:hint="eastAsia" w:asciiTheme="minorEastAsia" w:hAnsiTheme="minorEastAsia"/>
                <w:szCs w:val="21"/>
              </w:rPr>
            </w:pPr>
            <w:r>
              <w:rPr>
                <w:rFonts w:hint="eastAsia" w:asciiTheme="minorEastAsia" w:hAnsiTheme="minorEastAsia"/>
                <w:szCs w:val="21"/>
              </w:rPr>
              <w:t>应急预案</w:t>
            </w:r>
          </w:p>
          <w:p>
            <w:pPr>
              <w:spacing w:line="360" w:lineRule="auto"/>
              <w:jc w:val="center"/>
              <w:rPr>
                <w:rFonts w:hint="eastAsia" w:asciiTheme="minorEastAsia" w:hAnsiTheme="minorEastAsia"/>
                <w:szCs w:val="21"/>
              </w:rPr>
            </w:pPr>
            <w:r>
              <w:rPr>
                <w:rFonts w:hint="eastAsia" w:asciiTheme="minorEastAsia" w:hAnsiTheme="minorEastAsia"/>
                <w:szCs w:val="21"/>
              </w:rPr>
              <w:t>（10分）</w:t>
            </w:r>
          </w:p>
        </w:tc>
        <w:tc>
          <w:tcPr>
            <w:tcW w:w="6095" w:type="dxa"/>
            <w:tcBorders>
              <w:bottom w:val="single" w:color="auto" w:sz="4" w:space="0"/>
              <w:right w:val="single" w:color="auto" w:sz="4" w:space="0"/>
            </w:tcBorders>
            <w:vAlign w:val="center"/>
          </w:tcPr>
          <w:p>
            <w:pPr>
              <w:spacing w:line="360" w:lineRule="auto"/>
              <w:rPr>
                <w:rFonts w:hint="eastAsia" w:asciiTheme="minorEastAsia" w:hAnsiTheme="minorEastAsia"/>
                <w:szCs w:val="21"/>
              </w:rPr>
            </w:pPr>
            <w:r>
              <w:rPr>
                <w:rFonts w:hint="eastAsia" w:asciiTheme="minorEastAsia" w:hAnsiTheme="minorEastAsia"/>
                <w:szCs w:val="21"/>
              </w:rPr>
              <w:t>投标人针对技术要求提供水质自动监测站运维应急预案。运维应急预案内容包括突发性水质污染、特殊时期（丰水期、枯水期、冰封期等）、自然灾害、水电检修、临时停电或节假日、重大活动或被偷盗破坏等情况，具备有效的预防和应急措施。投标人提供的应急预案</w:t>
            </w:r>
            <w:r>
              <w:rPr>
                <w:rFonts w:hint="eastAsia" w:asciiTheme="minorEastAsia" w:hAnsiTheme="minorEastAsia"/>
                <w:szCs w:val="21"/>
                <w:lang w:val="en-US" w:eastAsia="zh-CN"/>
              </w:rPr>
              <w:t>符合上述全部要求的得10分，仅有简单描述的得5分，不提供不得分。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384" w:type="dxa"/>
            <w:tcBorders>
              <w:right w:val="single" w:color="auto" w:sz="4" w:space="0"/>
            </w:tcBorders>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服务部分</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10</w:t>
            </w:r>
            <w:r>
              <w:rPr>
                <w:rFonts w:hint="eastAsia" w:ascii="宋体" w:hAnsi="宋体" w:eastAsia="宋体" w:cs="宋体"/>
                <w:szCs w:val="21"/>
              </w:rPr>
              <w:t>分）</w:t>
            </w:r>
          </w:p>
        </w:tc>
        <w:tc>
          <w:tcPr>
            <w:tcW w:w="1560" w:type="dxa"/>
            <w:tcBorders>
              <w:top w:val="single" w:color="auto" w:sz="4" w:space="0"/>
              <w:left w:val="single" w:color="auto" w:sz="4" w:space="0"/>
              <w:right w:val="single" w:color="auto" w:sz="4" w:space="0"/>
            </w:tcBorders>
            <w:vAlign w:val="center"/>
          </w:tcPr>
          <w:p>
            <w:pPr>
              <w:spacing w:line="360" w:lineRule="auto"/>
              <w:jc w:val="center"/>
              <w:rPr>
                <w:rFonts w:hint="eastAsia" w:asciiTheme="minorEastAsia" w:hAnsiTheme="minorEastAsia"/>
                <w:szCs w:val="21"/>
              </w:rPr>
            </w:pPr>
            <w:r>
              <w:rPr>
                <w:rFonts w:hint="eastAsia" w:asciiTheme="minorEastAsia" w:hAnsiTheme="minorEastAsia"/>
                <w:szCs w:val="21"/>
              </w:rPr>
              <w:t>人员配备</w:t>
            </w:r>
          </w:p>
          <w:p>
            <w:pPr>
              <w:spacing w:line="360" w:lineRule="auto"/>
              <w:jc w:val="center"/>
              <w:rPr>
                <w:rFonts w:hint="eastAsia" w:asciiTheme="minorEastAsia" w:hAnsiTheme="minorEastAsia"/>
                <w:szCs w:val="21"/>
              </w:rPr>
            </w:pPr>
            <w:r>
              <w:rPr>
                <w:rFonts w:hint="eastAsia" w:asciiTheme="minorEastAsia" w:hAnsiTheme="minorEastAsia"/>
                <w:szCs w:val="21"/>
              </w:rPr>
              <w:t>（10分）</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szCs w:val="21"/>
              </w:rPr>
            </w:pPr>
            <w:r>
              <w:rPr>
                <w:rFonts w:hint="eastAsia" w:asciiTheme="minorEastAsia" w:hAnsiTheme="minorEastAsia"/>
                <w:szCs w:val="21"/>
                <w:lang w:val="en-US" w:eastAsia="zh-CN"/>
              </w:rPr>
              <w:t>1、</w:t>
            </w:r>
            <w:r>
              <w:rPr>
                <w:rFonts w:hint="eastAsia" w:asciiTheme="minorEastAsia" w:hAnsiTheme="minorEastAsia"/>
                <w:szCs w:val="21"/>
              </w:rPr>
              <w:t>投标人拟为本项目配备的维护人员具有省级及以上</w:t>
            </w:r>
            <w:r>
              <w:rPr>
                <w:rFonts w:hint="eastAsia" w:asciiTheme="minorEastAsia" w:hAnsiTheme="minorEastAsia"/>
                <w:szCs w:val="21"/>
                <w:lang w:val="en-US" w:eastAsia="zh-CN"/>
              </w:rPr>
              <w:t>环境监测中心或国家监测总站</w:t>
            </w:r>
            <w:r>
              <w:rPr>
                <w:rFonts w:hint="eastAsia" w:asciiTheme="minorEastAsia" w:hAnsiTheme="minorEastAsia"/>
                <w:szCs w:val="21"/>
              </w:rPr>
              <w:t>出具的自动监控（水）运行维护上岗证，每</w:t>
            </w:r>
            <w:r>
              <w:rPr>
                <w:rFonts w:hint="eastAsia" w:asciiTheme="minorEastAsia" w:hAnsiTheme="minorEastAsia"/>
                <w:szCs w:val="21"/>
                <w:lang w:val="en-US" w:eastAsia="zh-CN"/>
              </w:rPr>
              <w:t>份</w:t>
            </w:r>
            <w:r>
              <w:rPr>
                <w:rFonts w:hint="eastAsia" w:asciiTheme="minorEastAsia" w:hAnsiTheme="minorEastAsia"/>
                <w:szCs w:val="21"/>
              </w:rPr>
              <w:t>得 1 分，最多得6分；</w:t>
            </w:r>
          </w:p>
          <w:p>
            <w:pPr>
              <w:spacing w:line="360" w:lineRule="auto"/>
              <w:rPr>
                <w:rFonts w:hint="eastAsia" w:asciiTheme="minorEastAsia" w:hAnsiTheme="minorEastAsia"/>
                <w:szCs w:val="21"/>
              </w:rPr>
            </w:pPr>
            <w:r>
              <w:rPr>
                <w:rFonts w:hint="eastAsia" w:asciiTheme="minorEastAsia" w:hAnsiTheme="minorEastAsia"/>
                <w:szCs w:val="21"/>
                <w:lang w:val="en-US" w:eastAsia="zh-CN"/>
              </w:rPr>
              <w:t>2、</w:t>
            </w:r>
            <w:r>
              <w:rPr>
                <w:rFonts w:hint="eastAsia" w:asciiTheme="minorEastAsia" w:hAnsiTheme="minorEastAsia"/>
                <w:szCs w:val="21"/>
              </w:rPr>
              <w:t>投标人拟投入本项目的技术人员具备</w:t>
            </w:r>
            <w:r>
              <w:rPr>
                <w:rFonts w:hint="eastAsia" w:asciiTheme="minorEastAsia" w:hAnsiTheme="minorEastAsia"/>
                <w:szCs w:val="21"/>
                <w:lang w:val="en-US" w:eastAsia="zh-CN"/>
              </w:rPr>
              <w:t>高级及以上职称（环保、计算机专业）</w:t>
            </w:r>
            <w:r>
              <w:rPr>
                <w:rFonts w:hint="eastAsia" w:asciiTheme="minorEastAsia" w:hAnsiTheme="minorEastAsia"/>
                <w:szCs w:val="21"/>
              </w:rPr>
              <w:t xml:space="preserve">，每提供1份得1分，最多得4分； </w:t>
            </w:r>
          </w:p>
          <w:p>
            <w:pPr>
              <w:spacing w:line="360" w:lineRule="auto"/>
              <w:rPr>
                <w:rFonts w:hint="eastAsia" w:asciiTheme="minorEastAsia" w:hAnsiTheme="minorEastAsia"/>
                <w:szCs w:val="21"/>
              </w:rPr>
            </w:pPr>
            <w:r>
              <w:rPr>
                <w:rFonts w:hint="eastAsia" w:asciiTheme="minorEastAsia" w:hAnsiTheme="minorEastAsia"/>
                <w:szCs w:val="21"/>
              </w:rPr>
              <w:t>注：提供社保部门出具的投标前3个月</w:t>
            </w:r>
            <w:r>
              <w:rPr>
                <w:rFonts w:hint="eastAsia" w:asciiTheme="minorEastAsia" w:hAnsiTheme="minorEastAsia"/>
                <w:szCs w:val="21"/>
                <w:lang w:val="en-US" w:eastAsia="zh-CN"/>
              </w:rPr>
              <w:t>任意一个月</w:t>
            </w:r>
            <w:r>
              <w:rPr>
                <w:rFonts w:hint="eastAsia" w:asciiTheme="minorEastAsia" w:hAnsiTheme="minorEastAsia"/>
                <w:szCs w:val="21"/>
              </w:rPr>
              <w:t>的人员</w:t>
            </w:r>
            <w:r>
              <w:rPr>
                <w:rFonts w:hint="eastAsia" w:asciiTheme="minorEastAsia" w:hAnsiTheme="minorEastAsia"/>
                <w:szCs w:val="21"/>
                <w:lang w:val="en-US" w:eastAsia="zh-CN"/>
              </w:rPr>
              <w:t>由社保部门出具的</w:t>
            </w:r>
            <w:r>
              <w:rPr>
                <w:rFonts w:hint="eastAsia" w:asciiTheme="minorEastAsia" w:hAnsiTheme="minorEastAsia"/>
                <w:szCs w:val="21"/>
              </w:rPr>
              <w:t>社保缴纳证明。</w:t>
            </w:r>
          </w:p>
        </w:tc>
      </w:tr>
    </w:tbl>
    <w:p>
      <w:pPr>
        <w:pStyle w:val="14"/>
        <w:spacing w:line="360" w:lineRule="auto"/>
        <w:ind w:firstLine="422" w:firstLineChars="200"/>
        <w:contextualSpacing/>
        <w:rPr>
          <w:rFonts w:hint="eastAsia" w:cs="仿宋_GB2312" w:asciiTheme="minorEastAsia" w:hAnsiTheme="minorEastAsia" w:eastAsiaTheme="minorEastAsia"/>
          <w:b/>
          <w:sz w:val="21"/>
          <w:szCs w:val="21"/>
          <w:lang w:val="en-US" w:eastAsia="zh-CN"/>
        </w:rPr>
      </w:pPr>
      <w:r>
        <w:rPr>
          <w:rFonts w:hint="eastAsia" w:cs="仿宋_GB2312" w:asciiTheme="minorEastAsia" w:hAnsiTheme="minorEastAsia" w:eastAsiaTheme="minorEastAsia"/>
          <w:b/>
          <w:sz w:val="21"/>
          <w:szCs w:val="21"/>
          <w:lang w:val="en-US" w:eastAsia="zh-CN"/>
        </w:rPr>
        <w:t>B包</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60"/>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trPr>
        <w:tc>
          <w:tcPr>
            <w:tcW w:w="2944" w:type="dxa"/>
            <w:gridSpan w:val="2"/>
            <w:vAlign w:val="center"/>
          </w:tcPr>
          <w:p>
            <w:pPr>
              <w:spacing w:line="360" w:lineRule="auto"/>
              <w:jc w:val="center"/>
              <w:rPr>
                <w:rFonts w:asciiTheme="minorEastAsia" w:hAnsiTheme="minorEastAsia"/>
                <w:szCs w:val="21"/>
              </w:rPr>
            </w:pPr>
            <w:r>
              <w:rPr>
                <w:rFonts w:hint="eastAsia" w:asciiTheme="minorEastAsia" w:hAnsiTheme="minorEastAsia"/>
                <w:szCs w:val="21"/>
              </w:rPr>
              <w:t>分值构成</w:t>
            </w:r>
          </w:p>
          <w:p>
            <w:pPr>
              <w:snapToGrid w:val="0"/>
              <w:spacing w:beforeLines="50"/>
              <w:jc w:val="center"/>
              <w:rPr>
                <w:rFonts w:ascii="宋体" w:hAnsi="宋体" w:cs="宋体"/>
                <w:b/>
                <w:szCs w:val="21"/>
              </w:rPr>
            </w:pPr>
            <w:r>
              <w:rPr>
                <w:rFonts w:hint="eastAsia" w:asciiTheme="minorEastAsia" w:hAnsiTheme="minorEastAsia"/>
                <w:szCs w:val="21"/>
              </w:rPr>
              <w:t>(总分100分)</w:t>
            </w:r>
          </w:p>
        </w:tc>
        <w:tc>
          <w:tcPr>
            <w:tcW w:w="6095" w:type="dxa"/>
            <w:vAlign w:val="center"/>
          </w:tcPr>
          <w:p>
            <w:pPr>
              <w:spacing w:line="360" w:lineRule="auto"/>
              <w:ind w:firstLine="420" w:firstLineChars="200"/>
              <w:rPr>
                <w:rFonts w:asciiTheme="minorEastAsia" w:hAnsiTheme="minorEastAsia"/>
                <w:szCs w:val="21"/>
              </w:rPr>
            </w:pPr>
            <w:r>
              <w:rPr>
                <w:rFonts w:hint="eastAsia" w:asciiTheme="minorEastAsia" w:hAnsiTheme="minorEastAsia"/>
                <w:szCs w:val="21"/>
              </w:rPr>
              <w:t>价格分值：</w:t>
            </w:r>
            <w:r>
              <w:rPr>
                <w:rFonts w:hint="eastAsia" w:asciiTheme="minorEastAsia" w:hAnsiTheme="minorEastAsia"/>
                <w:color w:val="FF0000"/>
                <w:szCs w:val="21"/>
                <w:u w:val="single"/>
                <w:lang w:val="en-US" w:eastAsia="zh-CN"/>
              </w:rPr>
              <w:t>30</w:t>
            </w:r>
            <w:r>
              <w:rPr>
                <w:rFonts w:hint="eastAsia" w:asciiTheme="minorEastAsia" w:hAnsiTheme="minorEastAsia"/>
                <w:szCs w:val="21"/>
              </w:rPr>
              <w:t>分</w:t>
            </w:r>
          </w:p>
          <w:p>
            <w:pPr>
              <w:spacing w:line="360" w:lineRule="auto"/>
              <w:ind w:firstLine="420" w:firstLineChars="200"/>
              <w:rPr>
                <w:rFonts w:asciiTheme="minorEastAsia" w:hAnsiTheme="minorEastAsia"/>
                <w:szCs w:val="21"/>
              </w:rPr>
            </w:pPr>
            <w:r>
              <w:rPr>
                <w:rFonts w:hint="eastAsia" w:asciiTheme="minorEastAsia" w:hAnsiTheme="minorEastAsia"/>
                <w:szCs w:val="21"/>
              </w:rPr>
              <w:t>商务部分：</w:t>
            </w:r>
            <w:r>
              <w:rPr>
                <w:rFonts w:hint="eastAsia" w:asciiTheme="minorEastAsia" w:hAnsiTheme="minorEastAsia"/>
                <w:color w:val="FF0000"/>
                <w:szCs w:val="21"/>
                <w:u w:val="single"/>
                <w:lang w:val="en-US" w:eastAsia="zh-CN"/>
              </w:rPr>
              <w:t>25</w:t>
            </w:r>
            <w:r>
              <w:rPr>
                <w:rFonts w:hint="eastAsia" w:asciiTheme="minorEastAsia" w:hAnsiTheme="minorEastAsia"/>
                <w:szCs w:val="21"/>
              </w:rPr>
              <w:t>分</w:t>
            </w:r>
          </w:p>
          <w:p>
            <w:pPr>
              <w:spacing w:beforeLines="50"/>
              <w:ind w:firstLine="420" w:firstLineChars="200"/>
              <w:rPr>
                <w:rFonts w:asciiTheme="minorEastAsia" w:hAnsiTheme="minorEastAsia"/>
                <w:szCs w:val="21"/>
              </w:rPr>
            </w:pPr>
            <w:r>
              <w:rPr>
                <w:rFonts w:hint="eastAsia" w:asciiTheme="minorEastAsia" w:hAnsiTheme="minorEastAsia"/>
                <w:szCs w:val="21"/>
              </w:rPr>
              <w:t>技术部分：</w:t>
            </w:r>
            <w:r>
              <w:rPr>
                <w:rFonts w:hint="eastAsia" w:asciiTheme="minorEastAsia" w:hAnsiTheme="minorEastAsia"/>
                <w:color w:val="FF0000"/>
                <w:szCs w:val="21"/>
                <w:u w:val="single"/>
                <w:lang w:val="en-US" w:eastAsia="zh-CN"/>
              </w:rPr>
              <w:t>30</w:t>
            </w:r>
            <w:r>
              <w:rPr>
                <w:rFonts w:hint="eastAsia" w:asciiTheme="minorEastAsia" w:hAnsiTheme="minorEastAsia"/>
                <w:szCs w:val="21"/>
              </w:rPr>
              <w:t>分</w:t>
            </w:r>
          </w:p>
          <w:p>
            <w:pPr>
              <w:spacing w:beforeLines="50"/>
              <w:ind w:firstLine="420" w:firstLineChars="200"/>
              <w:rPr>
                <w:rFonts w:ascii="宋体" w:hAnsi="宋体" w:cs="宋体"/>
                <w:b/>
                <w:szCs w:val="21"/>
              </w:rPr>
            </w:pPr>
            <w:r>
              <w:rPr>
                <w:rFonts w:hint="eastAsia" w:asciiTheme="minorEastAsia" w:hAnsiTheme="minorEastAsia"/>
                <w:szCs w:val="21"/>
              </w:rPr>
              <w:t>服务部分：</w:t>
            </w:r>
            <w:r>
              <w:rPr>
                <w:rFonts w:hint="eastAsia" w:asciiTheme="minorEastAsia" w:hAnsiTheme="minorEastAsia"/>
                <w:color w:val="FF0000"/>
                <w:szCs w:val="21"/>
                <w:u w:val="single"/>
                <w:lang w:val="en-US" w:eastAsia="zh-CN"/>
              </w:rPr>
              <w:t>15</w:t>
            </w:r>
            <w:r>
              <w:rPr>
                <w:rFonts w:hint="eastAsia" w:asciiTheme="minorEastAsia" w:hAnsi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384"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评审项</w:t>
            </w:r>
          </w:p>
        </w:tc>
        <w:tc>
          <w:tcPr>
            <w:tcW w:w="1560"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评分因素</w:t>
            </w:r>
          </w:p>
        </w:tc>
        <w:tc>
          <w:tcPr>
            <w:tcW w:w="6095"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w:t>
            </w:r>
            <w:r>
              <w:rPr>
                <w:rFonts w:hint="eastAsia" w:ascii="宋体" w:hAnsi="宋体" w:cs="宋体"/>
                <w:b/>
                <w:szCs w:val="21"/>
              </w:rPr>
              <w:t>标</w:t>
            </w:r>
            <w:r>
              <w:rPr>
                <w:rFonts w:hint="eastAsia" w:ascii="宋体" w:hAnsi="宋体" w:eastAsia="宋体" w:cs="宋体"/>
                <w:b/>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trPr>
        <w:tc>
          <w:tcPr>
            <w:tcW w:w="1384" w:type="dxa"/>
            <w:vAlign w:val="center"/>
          </w:tcPr>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报价部分</w:t>
            </w:r>
          </w:p>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30</w:t>
            </w:r>
            <w:r>
              <w:rPr>
                <w:rFonts w:hint="eastAsia" w:ascii="宋体" w:hAnsi="宋体" w:eastAsia="宋体" w:cs="宋体"/>
                <w:szCs w:val="21"/>
              </w:rPr>
              <w:t>分）</w:t>
            </w:r>
          </w:p>
        </w:tc>
        <w:tc>
          <w:tcPr>
            <w:tcW w:w="1560" w:type="dxa"/>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报价</w:t>
            </w:r>
          </w:p>
          <w:p>
            <w:pPr>
              <w:snapToGrid w:val="0"/>
              <w:spacing w:beforeLines="50"/>
              <w:jc w:val="center"/>
              <w:rPr>
                <w:rFonts w:ascii="宋体" w:hAnsi="宋体" w:eastAsia="宋体" w:cs="宋体"/>
                <w:szCs w:val="21"/>
              </w:rPr>
            </w:pPr>
            <w:r>
              <w:rPr>
                <w:rFonts w:hint="eastAsia" w:ascii="宋体" w:hAnsi="宋体" w:eastAsia="宋体" w:cs="宋体"/>
                <w:color w:val="auto"/>
                <w:szCs w:val="21"/>
              </w:rPr>
              <w:t>（</w:t>
            </w:r>
            <w:r>
              <w:rPr>
                <w:rFonts w:hint="eastAsia" w:eastAsia="宋体" w:asciiTheme="minorEastAsia" w:hAnsiTheme="minorEastAsia"/>
                <w:color w:val="auto"/>
                <w:szCs w:val="21"/>
                <w:u w:val="none"/>
                <w:lang w:val="en-US" w:eastAsia="zh-CN"/>
              </w:rPr>
              <w:t>30</w:t>
            </w:r>
            <w:r>
              <w:rPr>
                <w:rFonts w:hint="eastAsia" w:ascii="宋体" w:hAnsi="宋体" w:eastAsia="宋体" w:cs="宋体"/>
                <w:color w:val="auto"/>
                <w:szCs w:val="21"/>
                <w:u w:val="none"/>
              </w:rPr>
              <w:t>分</w:t>
            </w:r>
            <w:r>
              <w:rPr>
                <w:rFonts w:hint="eastAsia" w:ascii="宋体" w:hAnsi="宋体" w:eastAsia="宋体" w:cs="宋体"/>
                <w:szCs w:val="21"/>
                <w:u w:val="none"/>
              </w:rPr>
              <w:t>）</w:t>
            </w:r>
          </w:p>
        </w:tc>
        <w:tc>
          <w:tcPr>
            <w:tcW w:w="6095" w:type="dxa"/>
            <w:vAlign w:val="center"/>
          </w:tcPr>
          <w:p>
            <w:pPr>
              <w:spacing w:line="360" w:lineRule="auto"/>
              <w:rPr>
                <w:rFonts w:asciiTheme="minorEastAsia" w:hAnsiTheme="minorEastAsia"/>
                <w:szCs w:val="21"/>
              </w:rPr>
            </w:pPr>
            <w:r>
              <w:rPr>
                <w:rFonts w:hint="eastAsia" w:asciiTheme="minorEastAsia" w:hAnsiTheme="minorEastAsia"/>
                <w:szCs w:val="21"/>
              </w:rPr>
              <w:t>评标基准价：满足招标文件要求的有效投标报价中，最低的投标报价为评标基准价。</w:t>
            </w:r>
          </w:p>
          <w:p>
            <w:pPr>
              <w:widowControl/>
              <w:spacing w:beforeLines="50"/>
              <w:rPr>
                <w:rFonts w:hint="default" w:ascii="宋体" w:hAnsi="宋体" w:cs="宋体" w:eastAsiaTheme="minorEastAsia"/>
                <w:szCs w:val="21"/>
                <w:lang w:val="en-US" w:eastAsia="zh-CN"/>
              </w:rPr>
            </w:pPr>
            <w:r>
              <w:rPr>
                <w:rFonts w:hint="eastAsia" w:asciiTheme="minorEastAsia" w:hAnsiTheme="minorEastAsia"/>
                <w:szCs w:val="21"/>
              </w:rPr>
              <w:t>投标报价得分=（评标基准价/投标报价）×</w:t>
            </w:r>
            <w:r>
              <w:rPr>
                <w:rFonts w:hint="eastAsia" w:asciiTheme="minorEastAsia" w:hAnsiTheme="minorEastAsia"/>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384" w:type="dxa"/>
            <w:vMerge w:val="restart"/>
            <w:vAlign w:val="center"/>
          </w:tcPr>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商务部分</w:t>
            </w:r>
          </w:p>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25</w:t>
            </w:r>
            <w:r>
              <w:rPr>
                <w:rFonts w:hint="eastAsia" w:ascii="宋体" w:hAnsi="宋体" w:eastAsia="宋体" w:cs="宋体"/>
                <w:szCs w:val="21"/>
              </w:rPr>
              <w:t>分）</w:t>
            </w:r>
          </w:p>
        </w:tc>
        <w:tc>
          <w:tcPr>
            <w:tcW w:w="1560" w:type="dxa"/>
            <w:vAlign w:val="center"/>
          </w:tcPr>
          <w:p>
            <w:pPr>
              <w:spacing w:line="360" w:lineRule="auto"/>
              <w:jc w:val="center"/>
              <w:rPr>
                <w:rFonts w:hint="eastAsia" w:asciiTheme="minorEastAsia" w:hAnsiTheme="minorEastAsia"/>
                <w:szCs w:val="21"/>
              </w:rPr>
            </w:pPr>
            <w:r>
              <w:rPr>
                <w:rFonts w:hint="eastAsia" w:asciiTheme="minorEastAsia" w:hAnsiTheme="minorEastAsia"/>
                <w:szCs w:val="21"/>
              </w:rPr>
              <w:t>业绩</w:t>
            </w:r>
          </w:p>
          <w:p>
            <w:pPr>
              <w:spacing w:line="360" w:lineRule="auto"/>
              <w:jc w:val="center"/>
              <w:rPr>
                <w:rFonts w:hint="eastAsia" w:asciiTheme="minorEastAsia" w:hAnsiTheme="minorEastAsia"/>
                <w:szCs w:val="21"/>
              </w:rPr>
            </w:pPr>
            <w:r>
              <w:rPr>
                <w:rFonts w:hint="eastAsia" w:asciiTheme="minorEastAsia" w:hAnsiTheme="minorEastAsia"/>
                <w:szCs w:val="21"/>
              </w:rPr>
              <w:t>（</w:t>
            </w:r>
            <w:r>
              <w:rPr>
                <w:rFonts w:hint="eastAsia" w:asciiTheme="minorEastAsia" w:hAnsiTheme="minorEastAsia"/>
                <w:szCs w:val="21"/>
                <w:lang w:val="en-US" w:eastAsia="zh-CN"/>
              </w:rPr>
              <w:t>12</w:t>
            </w:r>
            <w:r>
              <w:rPr>
                <w:rFonts w:hint="eastAsia" w:asciiTheme="minorEastAsia" w:hAnsiTheme="minorEastAsia"/>
                <w:szCs w:val="21"/>
              </w:rPr>
              <w:t>分）</w:t>
            </w:r>
          </w:p>
        </w:tc>
        <w:tc>
          <w:tcPr>
            <w:tcW w:w="6095" w:type="dxa"/>
            <w:vAlign w:val="center"/>
          </w:tcPr>
          <w:p>
            <w:pPr>
              <w:spacing w:line="360" w:lineRule="auto"/>
              <w:rPr>
                <w:rFonts w:hint="eastAsia" w:asciiTheme="minorEastAsia" w:hAnsiTheme="minorEastAsia"/>
                <w:szCs w:val="21"/>
              </w:rPr>
            </w:pPr>
            <w:r>
              <w:rPr>
                <w:rFonts w:hint="eastAsia" w:asciiTheme="minorEastAsia" w:hAnsiTheme="minorEastAsia"/>
                <w:szCs w:val="21"/>
              </w:rPr>
              <w:t>1.投标人提供2016年以来</w:t>
            </w:r>
            <w:r>
              <w:rPr>
                <w:rFonts w:hint="eastAsia" w:asciiTheme="minorEastAsia" w:hAnsiTheme="minorEastAsia"/>
                <w:szCs w:val="21"/>
                <w:lang w:val="en-US" w:eastAsia="zh-CN"/>
              </w:rPr>
              <w:t>类似项目业绩</w:t>
            </w:r>
            <w:r>
              <w:rPr>
                <w:rFonts w:hint="eastAsia" w:asciiTheme="minorEastAsia" w:hAnsiTheme="minorEastAsia"/>
                <w:szCs w:val="21"/>
              </w:rPr>
              <w:t>，每提供一份得</w:t>
            </w:r>
            <w:r>
              <w:rPr>
                <w:rFonts w:hint="eastAsia" w:asciiTheme="minorEastAsia" w:hAnsiTheme="minorEastAsia"/>
                <w:szCs w:val="21"/>
                <w:lang w:val="en-US" w:eastAsia="zh-CN"/>
              </w:rPr>
              <w:t>2</w:t>
            </w:r>
            <w:r>
              <w:rPr>
                <w:rFonts w:hint="eastAsia" w:asciiTheme="minorEastAsia" w:hAnsiTheme="minorEastAsia"/>
                <w:szCs w:val="21"/>
              </w:rPr>
              <w:t>分，最多得</w:t>
            </w:r>
            <w:r>
              <w:rPr>
                <w:rFonts w:hint="eastAsia" w:asciiTheme="minorEastAsia" w:hAnsiTheme="minorEastAsia"/>
                <w:szCs w:val="21"/>
                <w:lang w:val="en-US" w:eastAsia="zh-CN"/>
              </w:rPr>
              <w:t>10</w:t>
            </w:r>
            <w:r>
              <w:rPr>
                <w:rFonts w:hint="eastAsia" w:asciiTheme="minorEastAsia" w:hAnsiTheme="minorEastAsia"/>
                <w:szCs w:val="21"/>
              </w:rPr>
              <w:t>分。</w:t>
            </w:r>
          </w:p>
          <w:p>
            <w:pPr>
              <w:spacing w:line="360" w:lineRule="auto"/>
              <w:rPr>
                <w:rFonts w:hint="eastAsia" w:asciiTheme="minorEastAsia" w:hAnsiTheme="minorEastAsia"/>
                <w:szCs w:val="21"/>
                <w:lang w:val="zh-CN"/>
              </w:rPr>
            </w:pPr>
            <w:r>
              <w:rPr>
                <w:rFonts w:hint="eastAsia" w:asciiTheme="minorEastAsia" w:hAnsiTheme="minorEastAsia"/>
                <w:szCs w:val="21"/>
                <w:lang w:val="en-US" w:eastAsia="zh-CN"/>
              </w:rPr>
              <w:t>2.</w:t>
            </w:r>
            <w:r>
              <w:rPr>
                <w:rFonts w:hint="eastAsia" w:asciiTheme="minorEastAsia" w:hAnsiTheme="minorEastAsia"/>
                <w:szCs w:val="21"/>
              </w:rPr>
              <w:t>根据投标人所提供2016年1月以来满足“企业业绩”要求的项目合同，提供地市级以上环保部门出具的满意度证明资料，且客户评价为“满意”、“优秀”、“良好”、“考核分值95分及以上”等积极正面的评价，每提供一份得1分，最多的</w:t>
            </w:r>
            <w:r>
              <w:rPr>
                <w:rFonts w:hint="eastAsia" w:asciiTheme="minorEastAsia" w:hAnsiTheme="minorEastAsia"/>
                <w:szCs w:val="21"/>
                <w:lang w:val="en-US" w:eastAsia="zh-CN"/>
              </w:rPr>
              <w:t>2</w:t>
            </w:r>
            <w:r>
              <w:rPr>
                <w:rFonts w:hint="eastAsia" w:asciiTheme="minorEastAsia" w:hAnsi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384" w:type="dxa"/>
            <w:vMerge w:val="continue"/>
            <w:vAlign w:val="center"/>
          </w:tcPr>
          <w:p>
            <w:pPr>
              <w:snapToGrid w:val="0"/>
              <w:spacing w:beforeLines="50"/>
              <w:ind w:leftChars="-2" w:hanging="4" w:hangingChars="2"/>
              <w:jc w:val="center"/>
              <w:rPr>
                <w:rFonts w:ascii="宋体" w:hAnsi="宋体" w:eastAsia="宋体" w:cs="宋体"/>
                <w:szCs w:val="21"/>
              </w:rPr>
            </w:pPr>
          </w:p>
        </w:tc>
        <w:tc>
          <w:tcPr>
            <w:tcW w:w="1560" w:type="dxa"/>
            <w:vAlign w:val="center"/>
          </w:tcPr>
          <w:p>
            <w:pPr>
              <w:spacing w:line="360" w:lineRule="auto"/>
              <w:jc w:val="center"/>
              <w:rPr>
                <w:rFonts w:hint="eastAsia" w:asciiTheme="minorEastAsia" w:hAnsiTheme="minorEastAsia"/>
                <w:szCs w:val="21"/>
              </w:rPr>
            </w:pPr>
            <w:r>
              <w:rPr>
                <w:rFonts w:hint="eastAsia" w:asciiTheme="minorEastAsia" w:hAnsiTheme="minorEastAsia"/>
                <w:szCs w:val="21"/>
              </w:rPr>
              <w:t>重信守法</w:t>
            </w:r>
          </w:p>
          <w:p>
            <w:pPr>
              <w:spacing w:line="360" w:lineRule="auto"/>
              <w:jc w:val="center"/>
              <w:rPr>
                <w:rFonts w:hint="eastAsia" w:asciiTheme="minorEastAsia" w:hAnsiTheme="minorEastAsia"/>
                <w:szCs w:val="21"/>
              </w:rPr>
            </w:pPr>
            <w:r>
              <w:rPr>
                <w:rFonts w:hint="eastAsia" w:asciiTheme="minorEastAsia" w:hAnsiTheme="minorEastAsia"/>
                <w:szCs w:val="21"/>
              </w:rPr>
              <w:t>（5分）</w:t>
            </w:r>
          </w:p>
        </w:tc>
        <w:tc>
          <w:tcPr>
            <w:tcW w:w="6095" w:type="dxa"/>
            <w:vAlign w:val="bottom"/>
          </w:tcPr>
          <w:p>
            <w:pPr>
              <w:spacing w:line="360" w:lineRule="auto"/>
              <w:rPr>
                <w:rFonts w:hint="eastAsia" w:asciiTheme="minorEastAsia" w:hAnsiTheme="minorEastAsia"/>
                <w:szCs w:val="21"/>
                <w:lang w:val="zh-CN"/>
              </w:rPr>
            </w:pPr>
            <w:r>
              <w:rPr>
                <w:rFonts w:hint="eastAsia" w:asciiTheme="minorEastAsia" w:hAnsiTheme="minorEastAsia"/>
                <w:szCs w:val="21"/>
              </w:rPr>
              <w:t>投标人近5年来未受到过各级环保部门行政处罚的得</w:t>
            </w:r>
            <w:r>
              <w:rPr>
                <w:rFonts w:hint="eastAsia" w:asciiTheme="minorEastAsia" w:hAnsiTheme="minorEastAsia"/>
                <w:szCs w:val="21"/>
                <w:lang w:val="en-US" w:eastAsia="zh-CN"/>
              </w:rPr>
              <w:t>5</w:t>
            </w:r>
            <w:r>
              <w:rPr>
                <w:rFonts w:hint="eastAsia" w:asciiTheme="minorEastAsia" w:hAnsiTheme="minorEastAsia"/>
                <w:szCs w:val="21"/>
              </w:rPr>
              <w:t>分，需提供承诺函</w:t>
            </w:r>
            <w:r>
              <w:rPr>
                <w:rFonts w:hint="eastAsia" w:asciiTheme="minorEastAsia" w:hAnsiTheme="minor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384" w:type="dxa"/>
            <w:vMerge w:val="continue"/>
            <w:vAlign w:val="center"/>
          </w:tcPr>
          <w:p>
            <w:pPr>
              <w:snapToGrid w:val="0"/>
              <w:spacing w:beforeLines="50"/>
              <w:ind w:leftChars="-2" w:hanging="4" w:hangingChars="2"/>
              <w:jc w:val="center"/>
              <w:rPr>
                <w:rFonts w:ascii="宋体" w:hAnsi="宋体" w:eastAsia="宋体" w:cs="宋体"/>
                <w:szCs w:val="21"/>
              </w:rPr>
            </w:pPr>
          </w:p>
        </w:tc>
        <w:tc>
          <w:tcPr>
            <w:tcW w:w="1560" w:type="dxa"/>
            <w:vAlign w:val="center"/>
          </w:tcPr>
          <w:p>
            <w:pPr>
              <w:spacing w:line="360" w:lineRule="auto"/>
              <w:jc w:val="center"/>
              <w:rPr>
                <w:rFonts w:hint="eastAsia" w:asciiTheme="minorEastAsia" w:hAnsiTheme="minorEastAsia"/>
                <w:szCs w:val="21"/>
              </w:rPr>
            </w:pPr>
            <w:r>
              <w:rPr>
                <w:rFonts w:hint="eastAsia" w:asciiTheme="minorEastAsia" w:hAnsiTheme="minorEastAsia"/>
                <w:szCs w:val="21"/>
                <w:lang w:val="en-US" w:eastAsia="zh-CN"/>
              </w:rPr>
              <w:t>综合能力（8分）</w:t>
            </w:r>
          </w:p>
        </w:tc>
        <w:tc>
          <w:tcPr>
            <w:tcW w:w="6095" w:type="dxa"/>
            <w:vAlign w:val="bottom"/>
          </w:tcPr>
          <w:p>
            <w:pPr>
              <w:spacing w:line="360" w:lineRule="auto"/>
              <w:rPr>
                <w:rFonts w:hint="eastAsia" w:asciiTheme="minorEastAsia" w:hAnsiTheme="minorEastAsia"/>
                <w:szCs w:val="21"/>
                <w:lang w:val="en-GB"/>
              </w:rPr>
            </w:pPr>
            <w:r>
              <w:rPr>
                <w:rFonts w:hint="eastAsia" w:asciiTheme="minorEastAsia" w:hAnsiTheme="minorEastAsia"/>
                <w:szCs w:val="21"/>
              </w:rPr>
              <w:t>1.投标人提供信息安全管理体系、质量管理体系、环境管理体系、职业健康安全管理体系认证证书</w:t>
            </w:r>
            <w:r>
              <w:rPr>
                <w:rFonts w:hint="eastAsia" w:asciiTheme="minorEastAsia" w:hAnsiTheme="minorEastAsia"/>
                <w:szCs w:val="21"/>
                <w:lang w:eastAsia="zh-CN"/>
              </w:rPr>
              <w:t>，</w:t>
            </w:r>
            <w:r>
              <w:rPr>
                <w:rFonts w:hint="eastAsia" w:asciiTheme="minorEastAsia" w:hAnsiTheme="minorEastAsia"/>
                <w:szCs w:val="21"/>
                <w:lang w:val="en-US" w:eastAsia="zh-CN"/>
              </w:rPr>
              <w:t>每项</w:t>
            </w:r>
            <w:r>
              <w:rPr>
                <w:rFonts w:hint="eastAsia" w:asciiTheme="minorEastAsia" w:hAnsiTheme="minorEastAsia"/>
                <w:szCs w:val="21"/>
              </w:rPr>
              <w:t>得</w:t>
            </w:r>
            <w:r>
              <w:rPr>
                <w:rFonts w:hint="eastAsia" w:asciiTheme="minorEastAsia" w:hAnsiTheme="minorEastAsia"/>
                <w:szCs w:val="21"/>
                <w:lang w:val="en-US" w:eastAsia="zh-CN"/>
              </w:rPr>
              <w:t>2</w:t>
            </w:r>
            <w:r>
              <w:rPr>
                <w:rFonts w:hint="eastAsia" w:asciiTheme="minorEastAsia" w:hAnsiTheme="minorEastAsia"/>
                <w:szCs w:val="21"/>
              </w:rPr>
              <w:t>分，</w:t>
            </w:r>
            <w:r>
              <w:rPr>
                <w:rFonts w:hint="eastAsia" w:asciiTheme="minorEastAsia" w:hAnsiTheme="minorEastAsia"/>
                <w:szCs w:val="21"/>
                <w:lang w:val="en-US" w:eastAsia="zh-CN"/>
              </w:rPr>
              <w:t>满分8</w:t>
            </w:r>
            <w:r>
              <w:rPr>
                <w:rFonts w:hint="eastAsia" w:asciiTheme="minorEastAsia" w:hAnsi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trPr>
        <w:tc>
          <w:tcPr>
            <w:tcW w:w="1384" w:type="dxa"/>
            <w:vMerge w:val="restart"/>
            <w:tcBorders>
              <w:right w:val="single" w:color="auto" w:sz="4" w:space="0"/>
            </w:tcBorders>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技术部分</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30</w:t>
            </w:r>
            <w:r>
              <w:rPr>
                <w:rFonts w:hint="eastAsia" w:ascii="宋体" w:hAnsi="宋体" w:eastAsia="宋体" w:cs="宋体"/>
                <w:szCs w:val="21"/>
              </w:rPr>
              <w:t>分）</w:t>
            </w:r>
          </w:p>
        </w:tc>
        <w:tc>
          <w:tcPr>
            <w:tcW w:w="1560" w:type="dxa"/>
            <w:tcBorders>
              <w:right w:val="single" w:color="auto" w:sz="4" w:space="0"/>
            </w:tcBorders>
            <w:vAlign w:val="center"/>
          </w:tcPr>
          <w:p>
            <w:pPr>
              <w:spacing w:line="360" w:lineRule="auto"/>
              <w:jc w:val="center"/>
              <w:rPr>
                <w:rFonts w:hint="eastAsia" w:asciiTheme="minorEastAsia" w:hAnsiTheme="minorEastAsia"/>
                <w:szCs w:val="21"/>
              </w:rPr>
            </w:pPr>
            <w:r>
              <w:rPr>
                <w:rFonts w:hint="eastAsia" w:asciiTheme="minorEastAsia" w:hAnsiTheme="minorEastAsia"/>
                <w:szCs w:val="21"/>
                <w:lang w:val="en-US" w:eastAsia="zh-CN"/>
              </w:rPr>
              <w:t>运维总体方案</w:t>
            </w:r>
            <w:r>
              <w:rPr>
                <w:rFonts w:hint="eastAsia" w:asciiTheme="minorEastAsia" w:hAnsiTheme="minorEastAsia"/>
                <w:szCs w:val="21"/>
              </w:rPr>
              <w:br w:type="textWrapping"/>
            </w:r>
            <w:r>
              <w:rPr>
                <w:rFonts w:hint="eastAsia" w:asciiTheme="minorEastAsia" w:hAnsiTheme="minorEastAsia"/>
                <w:szCs w:val="21"/>
              </w:rPr>
              <w:t>（10分）</w:t>
            </w:r>
          </w:p>
        </w:tc>
        <w:tc>
          <w:tcPr>
            <w:tcW w:w="6095" w:type="dxa"/>
            <w:tcBorders>
              <w:right w:val="single" w:color="auto" w:sz="4" w:space="0"/>
            </w:tcBorders>
            <w:vAlign w:val="bottom"/>
          </w:tcPr>
          <w:p>
            <w:pPr>
              <w:spacing w:line="360" w:lineRule="auto"/>
              <w:rPr>
                <w:rFonts w:hint="eastAsia" w:asciiTheme="minorEastAsia" w:hAnsiTheme="minorEastAsia"/>
                <w:szCs w:val="21"/>
              </w:rPr>
            </w:pPr>
            <w:r>
              <w:rPr>
                <w:rFonts w:hint="eastAsia" w:asciiTheme="minorEastAsia" w:hAnsiTheme="minorEastAsia"/>
                <w:szCs w:val="21"/>
              </w:rPr>
              <w:t>投标人</w:t>
            </w:r>
            <w:r>
              <w:rPr>
                <w:rFonts w:hint="eastAsia" w:asciiTheme="minorEastAsia" w:hAnsiTheme="minorEastAsia"/>
                <w:szCs w:val="21"/>
                <w:lang w:val="en-US" w:eastAsia="zh-CN"/>
              </w:rPr>
              <w:t>针对技术要求</w:t>
            </w:r>
            <w:r>
              <w:rPr>
                <w:rFonts w:hint="eastAsia" w:asciiTheme="minorEastAsia" w:hAnsiTheme="minorEastAsia"/>
                <w:szCs w:val="21"/>
              </w:rPr>
              <w:t>提供</w:t>
            </w:r>
            <w:r>
              <w:rPr>
                <w:rFonts w:hint="eastAsia" w:asciiTheme="minorEastAsia" w:hAnsiTheme="minorEastAsia"/>
                <w:szCs w:val="21"/>
                <w:lang w:val="en-US" w:eastAsia="zh-CN"/>
              </w:rPr>
              <w:t>运维</w:t>
            </w:r>
            <w:r>
              <w:rPr>
                <w:rFonts w:hint="eastAsia" w:asciiTheme="minorEastAsia" w:hAnsiTheme="minorEastAsia"/>
                <w:szCs w:val="21"/>
              </w:rPr>
              <w:t>总体方案</w:t>
            </w:r>
            <w:r>
              <w:rPr>
                <w:rFonts w:hint="eastAsia" w:asciiTheme="minorEastAsia" w:hAnsiTheme="minorEastAsia"/>
                <w:szCs w:val="21"/>
                <w:lang w:eastAsia="zh-CN"/>
              </w:rPr>
              <w:t>。</w:t>
            </w:r>
            <w:r>
              <w:rPr>
                <w:rFonts w:hint="eastAsia" w:asciiTheme="minorEastAsia" w:hAnsiTheme="minorEastAsia"/>
                <w:szCs w:val="21"/>
                <w:lang w:val="en-US" w:eastAsia="zh-CN"/>
              </w:rPr>
              <w:t>运维总体方案包括运维服务内容、运行维护管理总体要求、水质自动监测站的运维管理详细内容、运维质量管理与控制要求、运维工作要求。投标人提供的总体方案符合上述全部要求的</w:t>
            </w:r>
            <w:r>
              <w:rPr>
                <w:rFonts w:hint="eastAsia" w:asciiTheme="minorEastAsia" w:hAnsiTheme="minorEastAsia"/>
                <w:szCs w:val="21"/>
              </w:rPr>
              <w:t>得10分；方案</w:t>
            </w:r>
            <w:r>
              <w:rPr>
                <w:rFonts w:hint="eastAsia" w:asciiTheme="minorEastAsia" w:hAnsiTheme="minorEastAsia"/>
                <w:szCs w:val="21"/>
                <w:lang w:val="en-US" w:eastAsia="zh-CN"/>
              </w:rPr>
              <w:t>仅有简单描述的</w:t>
            </w:r>
            <w:r>
              <w:rPr>
                <w:rFonts w:hint="eastAsia" w:asciiTheme="minorEastAsia" w:hAnsiTheme="minorEastAsia"/>
                <w:szCs w:val="21"/>
              </w:rPr>
              <w:t>得6分；不提供者不得分。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84" w:type="dxa"/>
            <w:vMerge w:val="continue"/>
            <w:tcBorders>
              <w:right w:val="single" w:color="auto" w:sz="4" w:space="0"/>
            </w:tcBorders>
            <w:vAlign w:val="center"/>
          </w:tcPr>
          <w:p>
            <w:pPr>
              <w:snapToGrid w:val="0"/>
              <w:spacing w:beforeLines="50"/>
              <w:jc w:val="center"/>
              <w:rPr>
                <w:rFonts w:hint="eastAsia" w:ascii="宋体" w:hAnsi="宋体" w:eastAsia="宋体" w:cs="宋体"/>
                <w:szCs w:val="21"/>
              </w:rPr>
            </w:pPr>
          </w:p>
        </w:tc>
        <w:tc>
          <w:tcPr>
            <w:tcW w:w="1560" w:type="dxa"/>
            <w:tcBorders>
              <w:right w:val="single" w:color="auto" w:sz="4" w:space="0"/>
            </w:tcBorders>
            <w:vAlign w:val="center"/>
          </w:tcPr>
          <w:p>
            <w:pPr>
              <w:spacing w:line="360" w:lineRule="auto"/>
              <w:jc w:val="center"/>
              <w:rPr>
                <w:rFonts w:hint="eastAsia" w:asciiTheme="minorEastAsia" w:hAnsiTheme="minorEastAsia"/>
                <w:szCs w:val="21"/>
              </w:rPr>
            </w:pPr>
            <w:r>
              <w:rPr>
                <w:rFonts w:hint="eastAsia" w:asciiTheme="minorEastAsia" w:hAnsiTheme="minorEastAsia"/>
                <w:szCs w:val="21"/>
              </w:rPr>
              <w:t>运维机构</w:t>
            </w:r>
            <w:r>
              <w:rPr>
                <w:rFonts w:hint="eastAsia" w:asciiTheme="minorEastAsia" w:hAnsiTheme="minorEastAsia"/>
                <w:szCs w:val="21"/>
                <w:lang w:val="en-US" w:eastAsia="zh-CN"/>
              </w:rPr>
              <w:t>组织</w:t>
            </w:r>
            <w:r>
              <w:rPr>
                <w:rFonts w:hint="eastAsia" w:asciiTheme="minorEastAsia" w:hAnsiTheme="minorEastAsia"/>
                <w:szCs w:val="21"/>
              </w:rPr>
              <w:t>方案（10分）</w:t>
            </w:r>
          </w:p>
        </w:tc>
        <w:tc>
          <w:tcPr>
            <w:tcW w:w="6095" w:type="dxa"/>
            <w:tcBorders>
              <w:right w:val="single" w:color="auto" w:sz="4" w:space="0"/>
            </w:tcBorders>
            <w:vAlign w:val="bottom"/>
          </w:tcPr>
          <w:p>
            <w:pPr>
              <w:spacing w:line="360" w:lineRule="auto"/>
              <w:rPr>
                <w:rFonts w:hint="eastAsia" w:asciiTheme="minorEastAsia" w:hAnsiTheme="minorEastAsia"/>
                <w:szCs w:val="21"/>
              </w:rPr>
            </w:pPr>
            <w:r>
              <w:rPr>
                <w:rFonts w:hint="eastAsia" w:asciiTheme="minorEastAsia" w:hAnsiTheme="minorEastAsia"/>
                <w:szCs w:val="21"/>
              </w:rPr>
              <w:t>具有运营管理制度，包括操作规范、岗位责任、组织结构、运维人员考核办法，针对本项目的作业环境制定的具体的管理制度</w:t>
            </w:r>
            <w:r>
              <w:rPr>
                <w:rFonts w:hint="eastAsia" w:asciiTheme="minorEastAsia" w:hAnsiTheme="minorEastAsia"/>
                <w:szCs w:val="21"/>
                <w:lang w:val="en-US" w:eastAsia="zh-CN"/>
              </w:rPr>
              <w:t>方案的得10分</w:t>
            </w:r>
            <w:r>
              <w:rPr>
                <w:rFonts w:hint="eastAsia" w:asciiTheme="minorEastAsia" w:hAnsiTheme="minorEastAsia"/>
                <w:szCs w:val="21"/>
                <w:lang w:eastAsia="zh-CN"/>
              </w:rPr>
              <w:t>，</w:t>
            </w:r>
            <w:r>
              <w:rPr>
                <w:rFonts w:hint="eastAsia" w:asciiTheme="minorEastAsia" w:hAnsiTheme="minorEastAsia"/>
                <w:szCs w:val="21"/>
              </w:rPr>
              <w:t>不提供不得分</w:t>
            </w:r>
            <w:r>
              <w:rPr>
                <w:rFonts w:hint="eastAsia" w:asciiTheme="minorEastAsia" w:hAnsiTheme="minor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384" w:type="dxa"/>
            <w:vMerge w:val="continue"/>
            <w:tcBorders>
              <w:right w:val="single" w:color="auto" w:sz="4" w:space="0"/>
            </w:tcBorders>
            <w:vAlign w:val="center"/>
          </w:tcPr>
          <w:p>
            <w:pPr>
              <w:snapToGrid w:val="0"/>
              <w:spacing w:beforeLines="50"/>
              <w:jc w:val="center"/>
              <w:rPr>
                <w:rFonts w:hint="eastAsia" w:ascii="宋体" w:hAnsi="宋体" w:eastAsia="宋体" w:cs="宋体"/>
                <w:szCs w:val="21"/>
              </w:rPr>
            </w:pPr>
          </w:p>
        </w:tc>
        <w:tc>
          <w:tcPr>
            <w:tcW w:w="1560" w:type="dxa"/>
            <w:tcBorders>
              <w:right w:val="single" w:color="auto" w:sz="4" w:space="0"/>
            </w:tcBorders>
            <w:vAlign w:val="center"/>
          </w:tcPr>
          <w:p>
            <w:pPr>
              <w:spacing w:line="360" w:lineRule="auto"/>
              <w:jc w:val="center"/>
              <w:rPr>
                <w:rFonts w:hint="eastAsia" w:asciiTheme="minorEastAsia" w:hAnsiTheme="minorEastAsia"/>
                <w:szCs w:val="21"/>
              </w:rPr>
            </w:pPr>
            <w:r>
              <w:rPr>
                <w:rFonts w:hint="eastAsia" w:asciiTheme="minorEastAsia" w:hAnsiTheme="minorEastAsia"/>
                <w:szCs w:val="21"/>
              </w:rPr>
              <w:t>运维服务方案</w:t>
            </w:r>
          </w:p>
          <w:p>
            <w:pPr>
              <w:spacing w:line="360" w:lineRule="auto"/>
              <w:jc w:val="center"/>
              <w:rPr>
                <w:rFonts w:hint="eastAsia" w:asciiTheme="minorEastAsia" w:hAnsiTheme="minorEastAsia"/>
                <w:szCs w:val="21"/>
              </w:rPr>
            </w:pPr>
            <w:r>
              <w:rPr>
                <w:rFonts w:hint="eastAsia" w:asciiTheme="minorEastAsia" w:hAnsiTheme="minorEastAsia"/>
                <w:szCs w:val="21"/>
              </w:rPr>
              <w:t>（10分）</w:t>
            </w:r>
          </w:p>
        </w:tc>
        <w:tc>
          <w:tcPr>
            <w:tcW w:w="6095" w:type="dxa"/>
            <w:tcBorders>
              <w:right w:val="single" w:color="auto" w:sz="4" w:space="0"/>
            </w:tcBorders>
            <w:vAlign w:val="bottom"/>
          </w:tcPr>
          <w:p>
            <w:pPr>
              <w:spacing w:line="360" w:lineRule="auto"/>
              <w:rPr>
                <w:rFonts w:hint="eastAsia" w:asciiTheme="minorEastAsia" w:hAnsiTheme="minorEastAsia"/>
                <w:szCs w:val="21"/>
              </w:rPr>
            </w:pPr>
            <w:r>
              <w:rPr>
                <w:rFonts w:hint="eastAsia" w:asciiTheme="minorEastAsia" w:hAnsiTheme="minorEastAsia"/>
                <w:szCs w:val="21"/>
              </w:rPr>
              <w:t>投标人提供运维服务方案，方案考虑周全、描述清晰、可操作性强</w:t>
            </w:r>
            <w:r>
              <w:rPr>
                <w:rFonts w:hint="eastAsia" w:asciiTheme="minorEastAsia" w:hAnsiTheme="minorEastAsia"/>
                <w:szCs w:val="21"/>
                <w:lang w:eastAsia="zh-CN"/>
              </w:rPr>
              <w:t>，得10分；不提供不得分</w:t>
            </w:r>
            <w:r>
              <w:rPr>
                <w:rFonts w:hint="eastAsia"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384" w:type="dxa"/>
            <w:vMerge w:val="restart"/>
            <w:tcBorders>
              <w:right w:val="single" w:color="auto" w:sz="4" w:space="0"/>
            </w:tcBorders>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服务部分</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15</w:t>
            </w:r>
            <w:r>
              <w:rPr>
                <w:rFonts w:hint="eastAsia" w:ascii="宋体" w:hAnsi="宋体" w:eastAsia="宋体" w:cs="宋体"/>
                <w:szCs w:val="21"/>
              </w:rPr>
              <w:t>分）</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szCs w:val="21"/>
              </w:rPr>
            </w:pPr>
            <w:r>
              <w:rPr>
                <w:rFonts w:hint="eastAsia" w:asciiTheme="minorEastAsia" w:hAnsiTheme="minorEastAsia"/>
                <w:szCs w:val="21"/>
              </w:rPr>
              <w:t>售后服务</w:t>
            </w:r>
            <w:r>
              <w:rPr>
                <w:rFonts w:hint="eastAsia" w:asciiTheme="minorEastAsia" w:hAnsiTheme="minorEastAsia"/>
                <w:szCs w:val="21"/>
              </w:rPr>
              <w:br w:type="textWrapping"/>
            </w:r>
            <w:r>
              <w:rPr>
                <w:rFonts w:hint="eastAsia" w:asciiTheme="minorEastAsia" w:hAnsiTheme="minorEastAsia"/>
                <w:szCs w:val="21"/>
              </w:rPr>
              <w:t>（</w:t>
            </w:r>
            <w:r>
              <w:rPr>
                <w:rFonts w:hint="eastAsia" w:asciiTheme="minorEastAsia" w:hAnsiTheme="minorEastAsia"/>
                <w:szCs w:val="21"/>
                <w:lang w:val="en-US" w:eastAsia="zh-CN"/>
              </w:rPr>
              <w:t>5</w:t>
            </w:r>
            <w:r>
              <w:rPr>
                <w:rFonts w:hint="eastAsia" w:asciiTheme="minorEastAsia" w:hAnsiTheme="minorEastAsia"/>
                <w:szCs w:val="21"/>
              </w:rPr>
              <w:t>分）</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szCs w:val="21"/>
              </w:rPr>
            </w:pPr>
            <w:r>
              <w:rPr>
                <w:rFonts w:hint="eastAsia" w:asciiTheme="minorEastAsia" w:hAnsiTheme="minorEastAsia"/>
                <w:szCs w:val="21"/>
              </w:rPr>
              <w:t>投标人提供车辆配备方案：包括具体站点配备情況、提供车辆行驶证复印件，和投标人拟组建的运维团队人员的相关学历、专业、工作年限、社保等信息及分工名单，按站点列出每个站点的运维人员配备情况</w:t>
            </w:r>
            <w:r>
              <w:rPr>
                <w:rFonts w:hint="eastAsia" w:asciiTheme="minorEastAsia" w:hAnsiTheme="minorEastAsia"/>
                <w:szCs w:val="21"/>
                <w:lang w:val="en-US" w:eastAsia="zh-CN"/>
              </w:rPr>
              <w:t>的得5分，不提供不得分。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384" w:type="dxa"/>
            <w:vMerge w:val="continue"/>
            <w:tcBorders>
              <w:right w:val="single" w:color="auto" w:sz="4" w:space="0"/>
            </w:tcBorders>
            <w:vAlign w:val="center"/>
          </w:tcPr>
          <w:p>
            <w:pPr>
              <w:snapToGrid w:val="0"/>
              <w:spacing w:beforeLines="50"/>
              <w:jc w:val="center"/>
              <w:rPr>
                <w:rFonts w:hint="eastAsia" w:ascii="宋体" w:hAnsi="宋体" w:eastAsia="宋体" w:cs="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szCs w:val="21"/>
              </w:rPr>
            </w:pPr>
            <w:r>
              <w:rPr>
                <w:rFonts w:hint="eastAsia" w:asciiTheme="minorEastAsia" w:hAnsiTheme="minorEastAsia"/>
                <w:szCs w:val="21"/>
              </w:rPr>
              <w:t>人员配备</w:t>
            </w:r>
          </w:p>
          <w:p>
            <w:pPr>
              <w:spacing w:line="360" w:lineRule="auto"/>
              <w:jc w:val="center"/>
              <w:rPr>
                <w:rFonts w:hint="eastAsia" w:asciiTheme="minorEastAsia" w:hAnsiTheme="minorEastAsia"/>
                <w:szCs w:val="21"/>
              </w:rPr>
            </w:pPr>
            <w:r>
              <w:rPr>
                <w:rFonts w:hint="eastAsia" w:asciiTheme="minorEastAsia" w:hAnsiTheme="minorEastAsia"/>
                <w:szCs w:val="21"/>
              </w:rPr>
              <w:t>（</w:t>
            </w:r>
            <w:r>
              <w:rPr>
                <w:rFonts w:hint="eastAsia" w:asciiTheme="minorEastAsia" w:hAnsiTheme="minorEastAsia"/>
                <w:szCs w:val="21"/>
                <w:lang w:val="en-US" w:eastAsia="zh-CN"/>
              </w:rPr>
              <w:t>5</w:t>
            </w:r>
            <w:r>
              <w:rPr>
                <w:rFonts w:hint="eastAsia" w:asciiTheme="minorEastAsia" w:hAnsiTheme="minorEastAsia"/>
                <w:szCs w:val="21"/>
              </w:rPr>
              <w:t>分）</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szCs w:val="21"/>
              </w:rPr>
            </w:pPr>
            <w:r>
              <w:rPr>
                <w:rFonts w:hint="eastAsia" w:asciiTheme="minorEastAsia" w:hAnsiTheme="minorEastAsia"/>
                <w:szCs w:val="21"/>
              </w:rPr>
              <w:t>投标人拟投入本项目的技术人员具备</w:t>
            </w:r>
            <w:r>
              <w:rPr>
                <w:rFonts w:hint="eastAsia" w:asciiTheme="minorEastAsia" w:hAnsiTheme="minorEastAsia"/>
                <w:szCs w:val="21"/>
                <w:lang w:val="en-US" w:eastAsia="zh-CN"/>
              </w:rPr>
              <w:t>高级及以上职称（环保、计算机专业）</w:t>
            </w:r>
            <w:r>
              <w:rPr>
                <w:rFonts w:hint="eastAsia" w:asciiTheme="minorEastAsia" w:hAnsiTheme="minorEastAsia"/>
                <w:szCs w:val="21"/>
              </w:rPr>
              <w:t>，每提供1份得1分，最多得</w:t>
            </w:r>
            <w:r>
              <w:rPr>
                <w:rFonts w:hint="eastAsia" w:asciiTheme="minorEastAsia" w:hAnsiTheme="minorEastAsia"/>
                <w:szCs w:val="21"/>
                <w:lang w:val="en-US" w:eastAsia="zh-CN"/>
              </w:rPr>
              <w:t>5</w:t>
            </w:r>
            <w:r>
              <w:rPr>
                <w:rFonts w:hint="eastAsia" w:asciiTheme="minorEastAsia" w:hAnsiTheme="minorEastAsia"/>
                <w:szCs w:val="21"/>
              </w:rPr>
              <w:t xml:space="preserve">分； </w:t>
            </w:r>
          </w:p>
          <w:p>
            <w:pPr>
              <w:spacing w:line="360" w:lineRule="auto"/>
              <w:rPr>
                <w:rFonts w:hint="eastAsia" w:asciiTheme="minorEastAsia" w:hAnsiTheme="minorEastAsia"/>
                <w:szCs w:val="21"/>
              </w:rPr>
            </w:pPr>
            <w:r>
              <w:rPr>
                <w:rFonts w:hint="eastAsia" w:asciiTheme="minorEastAsia" w:hAnsiTheme="minorEastAsia"/>
                <w:szCs w:val="21"/>
              </w:rPr>
              <w:t>注：提供社保部门出具的投标前3个月</w:t>
            </w:r>
            <w:r>
              <w:rPr>
                <w:rFonts w:hint="eastAsia" w:asciiTheme="minorEastAsia" w:hAnsiTheme="minorEastAsia"/>
                <w:szCs w:val="21"/>
                <w:lang w:val="en-US" w:eastAsia="zh-CN"/>
              </w:rPr>
              <w:t>任意一个月的</w:t>
            </w:r>
            <w:r>
              <w:rPr>
                <w:rFonts w:hint="eastAsia" w:asciiTheme="minorEastAsia" w:hAnsiTheme="minorEastAsia"/>
                <w:szCs w:val="21"/>
              </w:rPr>
              <w:t>人员</w:t>
            </w:r>
            <w:r>
              <w:rPr>
                <w:rFonts w:hint="eastAsia" w:asciiTheme="minorEastAsia" w:hAnsiTheme="minorEastAsia"/>
                <w:szCs w:val="21"/>
                <w:lang w:val="en-US" w:eastAsia="zh-CN"/>
              </w:rPr>
              <w:t>由社保部门出具的</w:t>
            </w:r>
            <w:r>
              <w:rPr>
                <w:rFonts w:hint="eastAsia" w:asciiTheme="minorEastAsia" w:hAnsiTheme="minorEastAsia"/>
                <w:szCs w:val="21"/>
              </w:rPr>
              <w:t>社保缴纳证明。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384" w:type="dxa"/>
            <w:vMerge w:val="continue"/>
            <w:tcBorders>
              <w:right w:val="single" w:color="auto" w:sz="4" w:space="0"/>
            </w:tcBorders>
            <w:vAlign w:val="center"/>
          </w:tcPr>
          <w:p>
            <w:pPr>
              <w:snapToGrid w:val="0"/>
              <w:spacing w:beforeLines="50"/>
              <w:jc w:val="center"/>
              <w:rPr>
                <w:rFonts w:hint="eastAsia" w:ascii="宋体" w:hAnsi="宋体" w:eastAsia="宋体" w:cs="宋体"/>
                <w:szCs w:val="21"/>
              </w:rPr>
            </w:pPr>
          </w:p>
        </w:tc>
        <w:tc>
          <w:tcPr>
            <w:tcW w:w="1560" w:type="dxa"/>
            <w:tcBorders>
              <w:top w:val="single" w:color="auto" w:sz="4" w:space="0"/>
              <w:left w:val="single" w:color="auto" w:sz="4" w:space="0"/>
              <w:right w:val="single" w:color="auto" w:sz="4" w:space="0"/>
            </w:tcBorders>
            <w:vAlign w:val="center"/>
          </w:tcPr>
          <w:p>
            <w:pPr>
              <w:spacing w:line="360" w:lineRule="auto"/>
              <w:jc w:val="center"/>
              <w:rPr>
                <w:rFonts w:hint="eastAsia" w:asciiTheme="minorEastAsia" w:hAnsiTheme="minorEastAsia"/>
                <w:szCs w:val="21"/>
                <w:lang w:val="en-US" w:eastAsia="zh-CN"/>
              </w:rPr>
            </w:pPr>
            <w:r>
              <w:rPr>
                <w:rFonts w:hint="eastAsia" w:asciiTheme="minorEastAsia" w:hAnsiTheme="minorEastAsia"/>
                <w:szCs w:val="21"/>
                <w:lang w:val="en-US" w:eastAsia="zh-CN"/>
              </w:rPr>
              <w:t>服务能力</w:t>
            </w:r>
          </w:p>
          <w:p>
            <w:pPr>
              <w:spacing w:line="360" w:lineRule="auto"/>
              <w:jc w:val="center"/>
              <w:rPr>
                <w:rFonts w:hint="eastAsia" w:asciiTheme="minorEastAsia" w:hAnsiTheme="minorEastAsia"/>
                <w:szCs w:val="21"/>
              </w:rPr>
            </w:pPr>
            <w:r>
              <w:rPr>
                <w:rFonts w:hint="eastAsia" w:asciiTheme="minorEastAsia" w:hAnsiTheme="minorEastAsia"/>
                <w:szCs w:val="21"/>
                <w:lang w:val="en-US" w:eastAsia="zh-CN"/>
              </w:rPr>
              <w:t>（5）</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szCs w:val="21"/>
              </w:rPr>
            </w:pPr>
            <w:r>
              <w:rPr>
                <w:rFonts w:hint="eastAsia" w:asciiTheme="minorEastAsia" w:hAnsiTheme="minorEastAsia"/>
                <w:szCs w:val="21"/>
              </w:rPr>
              <w:t>投标人具有实验室分析能力</w:t>
            </w:r>
            <w:r>
              <w:rPr>
                <w:rFonts w:hint="eastAsia" w:asciiTheme="minorEastAsia" w:hAnsiTheme="minorEastAsia"/>
                <w:szCs w:val="21"/>
                <w:lang w:eastAsia="zh-CN"/>
              </w:rPr>
              <w:t>（常规五参数（水温、pH值、溶解氧、电导率、浊度）、氨氮、高锰酸盐指数、总氮、总磷共9个参数）</w:t>
            </w:r>
            <w:r>
              <w:rPr>
                <w:rFonts w:hint="eastAsia" w:asciiTheme="minorEastAsia" w:hAnsiTheme="minorEastAsia"/>
                <w:szCs w:val="21"/>
              </w:rPr>
              <w:t>及手工比较、检测能力的得</w:t>
            </w:r>
            <w:r>
              <w:rPr>
                <w:rFonts w:hint="eastAsia" w:asciiTheme="minorEastAsia" w:hAnsiTheme="minorEastAsia"/>
                <w:szCs w:val="21"/>
                <w:lang w:val="en-US" w:eastAsia="zh-CN"/>
              </w:rPr>
              <w:t>5</w:t>
            </w:r>
            <w:bookmarkStart w:id="15" w:name="_GoBack"/>
            <w:bookmarkEnd w:id="15"/>
            <w:r>
              <w:rPr>
                <w:rFonts w:hint="eastAsia" w:asciiTheme="minorEastAsia" w:hAnsiTheme="minorEastAsia"/>
                <w:szCs w:val="21"/>
              </w:rPr>
              <w:t>分</w:t>
            </w:r>
            <w:r>
              <w:rPr>
                <w:rFonts w:hint="eastAsia" w:asciiTheme="minorEastAsia" w:hAnsiTheme="minorEastAsia"/>
                <w:szCs w:val="21"/>
                <w:lang w:eastAsia="zh-CN"/>
              </w:rPr>
              <w:t>，</w:t>
            </w:r>
            <w:r>
              <w:rPr>
                <w:rFonts w:hint="eastAsia" w:asciiTheme="minorEastAsia" w:hAnsiTheme="minorEastAsia"/>
                <w:szCs w:val="21"/>
              </w:rPr>
              <w:t>需要提供</w:t>
            </w:r>
            <w:r>
              <w:rPr>
                <w:rFonts w:hint="eastAsia" w:asciiTheme="minorEastAsia" w:hAnsiTheme="minorEastAsia"/>
                <w:szCs w:val="21"/>
                <w:lang w:eastAsia="zh-CN"/>
              </w:rPr>
              <w:t>（</w:t>
            </w:r>
            <w:r>
              <w:rPr>
                <w:rFonts w:hint="eastAsia" w:asciiTheme="minorEastAsia" w:hAnsiTheme="minorEastAsia"/>
                <w:szCs w:val="21"/>
                <w:lang w:val="en-US" w:eastAsia="zh-CN"/>
              </w:rPr>
              <w:t>实验室CMA认证证书及能力附表原件扫描件</w:t>
            </w:r>
            <w:r>
              <w:rPr>
                <w:rFonts w:hint="eastAsia" w:asciiTheme="minorEastAsia" w:hAnsiTheme="minorEastAsia"/>
                <w:szCs w:val="21"/>
                <w:lang w:eastAsia="zh-CN"/>
              </w:rPr>
              <w:t>）</w:t>
            </w:r>
            <w:r>
              <w:rPr>
                <w:rFonts w:hint="eastAsia" w:asciiTheme="minorEastAsia" w:hAnsiTheme="minorEastAsia"/>
                <w:szCs w:val="21"/>
                <w:lang w:val="en-US" w:eastAsia="zh-CN"/>
              </w:rPr>
              <w:t>不提供不得分</w:t>
            </w:r>
            <w:r>
              <w:rPr>
                <w:rFonts w:hint="eastAsia" w:asciiTheme="minorEastAsia" w:hAnsiTheme="minorEastAsia"/>
                <w:szCs w:val="21"/>
              </w:rPr>
              <w:t>。</w:t>
            </w:r>
          </w:p>
        </w:tc>
      </w:tr>
    </w:tbl>
    <w:p>
      <w:pPr>
        <w:spacing w:line="360" w:lineRule="auto"/>
        <w:ind w:firstLine="422" w:firstLineChars="200"/>
        <w:rPr>
          <w:rFonts w:cs="仿宋_GB2312" w:asciiTheme="minorEastAsia" w:hAnsiTheme="minorEastAsia"/>
          <w:b/>
          <w:szCs w:val="21"/>
          <w:lang w:val="zh-CN"/>
        </w:rPr>
      </w:pP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非联合体投标人</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评标价格＝投标报价×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szCs w:val="21"/>
          <w:lang w:val="en-GB"/>
        </w:rPr>
      </w:pPr>
      <w:r>
        <w:rPr>
          <w:rFonts w:hint="eastAsia" w:ascii="宋体" w:hAnsi="宋体"/>
          <w:bCs/>
          <w:szCs w:val="21"/>
          <w:lang w:val="en-GB"/>
        </w:rPr>
        <w:t>备注：</w:t>
      </w:r>
    </w:p>
    <w:p>
      <w:pPr>
        <w:spacing w:line="360" w:lineRule="auto"/>
        <w:ind w:firstLine="420" w:firstLineChars="200"/>
        <w:rPr>
          <w:rFonts w:ascii="宋体" w:hAnsi="宋体"/>
          <w:bCs/>
          <w:szCs w:val="21"/>
          <w:lang w:val="en-GB"/>
        </w:rPr>
      </w:pPr>
      <w:r>
        <w:rPr>
          <w:rFonts w:hint="eastAsia" w:ascii="宋体" w:hAnsi="宋体"/>
          <w:bCs/>
          <w:szCs w:val="21"/>
          <w:lang w:val="en-GB"/>
        </w:rPr>
        <w:t>a、不接受联合体投标的项目，本表中第2项、第3项情形不适用。</w:t>
      </w:r>
    </w:p>
    <w:p>
      <w:pPr>
        <w:spacing w:line="360" w:lineRule="auto"/>
        <w:ind w:firstLine="420" w:firstLineChars="200"/>
        <w:rPr>
          <w:rFonts w:ascii="宋体" w:hAnsi="宋体"/>
          <w:bCs/>
          <w:szCs w:val="21"/>
          <w:lang w:val="en-GB"/>
        </w:rPr>
      </w:pPr>
      <w:r>
        <w:rPr>
          <w:rFonts w:hint="eastAsia" w:ascii="宋体" w:hAnsi="宋体"/>
          <w:bCs/>
          <w:szCs w:val="21"/>
          <w:lang w:val="en-GB"/>
        </w:rPr>
        <w:t>b、小型和微型企业产品包括货物及其提供的服务与工程。</w:t>
      </w:r>
    </w:p>
    <w:p>
      <w:pPr>
        <w:spacing w:line="360" w:lineRule="auto"/>
        <w:ind w:firstLine="420" w:firstLineChars="200"/>
        <w:rPr>
          <w:rFonts w:ascii="宋体" w:hAnsi="宋体"/>
          <w:bCs/>
          <w:szCs w:val="21"/>
          <w:lang w:val="en-GB"/>
        </w:rPr>
      </w:pPr>
      <w:r>
        <w:rPr>
          <w:rFonts w:hint="eastAsia" w:ascii="宋体" w:hAnsi="宋体"/>
          <w:bCs/>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szCs w:val="21"/>
          <w:lang w:val="en-GB"/>
        </w:rPr>
      </w:pPr>
      <w:r>
        <w:rPr>
          <w:rFonts w:hint="eastAsia" w:ascii="宋体" w:hAnsi="宋体"/>
          <w:bCs/>
          <w:szCs w:val="21"/>
          <w:lang w:val="en-GB"/>
        </w:rPr>
        <w:t>d、残疾人福利性单位属于小型、微型企业的，不重复享受政策。</w:t>
      </w:r>
    </w:p>
    <w:p>
      <w:pPr>
        <w:spacing w:line="360" w:lineRule="auto"/>
        <w:ind w:firstLine="420" w:firstLineChars="200"/>
        <w:rPr>
          <w:rFonts w:ascii="宋体" w:hAnsi="宋体"/>
          <w:bCs/>
          <w:szCs w:val="21"/>
          <w:lang w:val="en-GB"/>
        </w:rPr>
      </w:pPr>
      <w:r>
        <w:rPr>
          <w:rFonts w:ascii="宋体" w:hAnsi="宋体"/>
          <w:bCs/>
          <w:szCs w:val="21"/>
          <w:lang w:val="en-GB"/>
        </w:rPr>
        <w:t>E</w:t>
      </w:r>
      <w:r>
        <w:rPr>
          <w:rFonts w:hint="eastAsia" w:ascii="宋体" w:hAnsi="宋体"/>
          <w:bCs/>
          <w:szCs w:val="21"/>
          <w:lang w:val="en-GB"/>
        </w:rPr>
        <w:t>、小型和微型企业不包括民办非企业单位。</w:t>
      </w:r>
    </w:p>
    <w:p>
      <w:pPr>
        <w:pStyle w:val="14"/>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（8）</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（10）</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1"/>
        <w:spacing w:before="75" w:after="75"/>
        <w:rPr>
          <w:rFonts w:ascii="微软雅黑" w:hAnsi="微软雅黑" w:eastAsia="微软雅黑"/>
          <w:color w:val="000000"/>
          <w:sz w:val="27"/>
          <w:szCs w:val="27"/>
        </w:rPr>
      </w:pPr>
      <w:r>
        <w:rPr>
          <w:rFonts w:ascii="宋体" w:hAnsi="宋体" w:eastAsia="微软雅黑"/>
          <w:color w:val="000000"/>
          <w:u w:val="single"/>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1"/>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0"/>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7" w:name="_Toc186274126"/>
      <w:bookmarkStart w:id="8" w:name="_Toc174185203"/>
      <w:bookmarkStart w:id="9" w:name="_Toc184023138"/>
      <w:r>
        <w:rPr>
          <w:rFonts w:hint="eastAsia" w:cs="黑体" w:asciiTheme="minorEastAsia" w:hAnsiTheme="minorEastAsia" w:eastAsiaTheme="minorEastAsia"/>
          <w:color w:val="auto"/>
          <w:kern w:val="2"/>
          <w:sz w:val="28"/>
          <w:szCs w:val="28"/>
          <w:lang w:val="zh-CN"/>
        </w:rPr>
        <w:t>一、投标人应答索引表</w:t>
      </w:r>
      <w:bookmarkEnd w:id="7"/>
      <w:bookmarkEnd w:id="8"/>
      <w:bookmarkEnd w:id="9"/>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426"/>
        <w:gridCol w:w="283"/>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3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3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3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3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3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3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3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3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3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3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1200"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551"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200"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551"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200"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551"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4"/>
            <w:tcBorders>
              <w:bottom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pStyle w:val="14"/>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4"/>
            <w:tcBorders>
              <w:top w:val="single" w:color="auto" w:sz="4" w:space="0"/>
              <w:bottom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pStyle w:val="14"/>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4"/>
            <w:tcBorders>
              <w:top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pStyle w:val="14"/>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ascii="楷体" w:hAnsi="楷体" w:eastAsia="楷体"/>
          <w:color w:val="000000"/>
          <w:sz w:val="24"/>
          <w:szCs w:val="24"/>
        </w:rPr>
        <w:instrText xml:space="preserve"> </w:instrText>
      </w:r>
      <w:r>
        <w:rPr>
          <w:rFonts w:hint="eastAsia" w:ascii="楷体" w:hAnsi="楷体" w:eastAsia="楷体"/>
          <w:color w:val="000000"/>
          <w:sz w:val="24"/>
          <w:szCs w:val="24"/>
        </w:rPr>
        <w:instrText xml:space="preserve">= 4 \* GB3</w:instrText>
      </w:r>
      <w:r>
        <w:rPr>
          <w:rFonts w:ascii="楷体" w:hAnsi="楷体" w:eastAsia="楷体"/>
          <w:color w:val="000000"/>
          <w:sz w:val="24"/>
          <w:szCs w:val="24"/>
        </w:rPr>
        <w:instrText xml:space="preserve"> </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本表序号30～32仅适用于物业项目。</w:t>
      </w: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致：许昌市政府采购中心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（投标人名称、地址）提交。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（项目名称、招标编号）招标文件的全部内容。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r>
        <w:rPr>
          <w:rFonts w:hint="eastAsia" w:ascii="宋体" w:hAnsi="宋体"/>
          <w:sz w:val="21"/>
          <w:szCs w:val="21"/>
        </w:rPr>
        <w:t>并承诺在发生争议时不会以对《招标文件》存在误解、不明白的条款为由，对贵中心行使任何法律上的抗辩权。</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在此提交的投标文件，正本一份，副本一份。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三、我方明白并同意，在规定的开标日之后，投标有效期之内撤销投标的，则我方承担违背投标承诺的责任追究。</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1"/>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1"/>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1"/>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1"/>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系</w:t>
      </w:r>
      <w:r>
        <w:rPr>
          <w:rFonts w:hint="eastAsia" w:asciiTheme="minorEastAsia" w:hAnsiTheme="minorEastAsia"/>
          <w:color w:val="000000"/>
          <w:sz w:val="21"/>
          <w:szCs w:val="21"/>
          <w:u w:val="single"/>
        </w:rPr>
        <w:t xml:space="preserve">  </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项目编号</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的</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1"/>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1"/>
        <w:spacing w:line="480" w:lineRule="auto"/>
        <w:ind w:firstLine="472" w:firstLineChars="225"/>
        <w:jc w:val="left"/>
        <w:rPr>
          <w:rFonts w:asciiTheme="minorEastAsia" w:hAnsiTheme="minorEastAsia"/>
          <w:color w:val="000000"/>
          <w:sz w:val="21"/>
          <w:szCs w:val="21"/>
        </w:rPr>
      </w:pPr>
    </w:p>
    <w:p>
      <w:pPr>
        <w:pStyle w:val="41"/>
        <w:spacing w:line="480" w:lineRule="auto"/>
        <w:ind w:firstLine="472" w:firstLineChars="225"/>
        <w:jc w:val="left"/>
        <w:rPr>
          <w:rFonts w:asciiTheme="minorEastAsia" w:hAnsiTheme="minorEastAsia"/>
          <w:color w:val="000000"/>
          <w:sz w:val="21"/>
          <w:szCs w:val="21"/>
        </w:rPr>
      </w:pPr>
    </w:p>
    <w:p>
      <w:pPr>
        <w:pStyle w:val="41"/>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1"/>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r>
        <w:rPr>
          <w:rFonts w:hint="eastAsia" w:cs="Arial" w:asciiTheme="minorEastAsia" w:hAnsiTheme="minorEastAsia"/>
          <w:color w:val="000000"/>
          <w:szCs w:val="21"/>
          <w:u w:val="single"/>
        </w:rPr>
        <w:t xml:space="preserve">        </w:t>
      </w:r>
      <w:r>
        <w:rPr>
          <w:rFonts w:hint="eastAsia" w:cs="Arial" w:asciiTheme="minorEastAsia" w:hAnsiTheme="minorEastAsia"/>
          <w:color w:val="000000"/>
          <w:szCs w:val="21"/>
        </w:rPr>
        <w:t xml:space="preserve"> </w:t>
      </w:r>
    </w:p>
    <w:p>
      <w:pPr>
        <w:pStyle w:val="44"/>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w:t>
      </w:r>
      <w:r>
        <w:rPr>
          <w:rFonts w:hint="eastAsia" w:cs="Arial" w:asciiTheme="minorEastAsia" w:hAnsiTheme="minorEastAsia" w:eastAsiaTheme="minorEastAsia"/>
          <w:color w:val="000000"/>
          <w:sz w:val="21"/>
          <w:szCs w:val="21"/>
          <w:u w:val="single"/>
        </w:rPr>
        <w:t xml:space="preserve">      </w:t>
      </w:r>
      <w:r>
        <w:rPr>
          <w:rFonts w:hint="eastAsia" w:cs="Arial" w:asciiTheme="minorEastAsia" w:hAnsiTheme="minorEastAsia" w:eastAsiaTheme="minorEastAsia"/>
          <w:color w:val="000000"/>
          <w:sz w:val="21"/>
          <w:szCs w:val="21"/>
        </w:rPr>
        <w:t xml:space="preserve">年 </w:t>
      </w:r>
      <w:r>
        <w:rPr>
          <w:rFonts w:hint="eastAsia" w:cs="Arial" w:asciiTheme="minorEastAsia" w:hAnsiTheme="minorEastAsia" w:eastAsiaTheme="minorEastAsia"/>
          <w:color w:val="000000"/>
          <w:sz w:val="21"/>
          <w:szCs w:val="21"/>
          <w:u w:val="single"/>
        </w:rPr>
        <w:t xml:space="preserve">     </w:t>
      </w:r>
      <w:r>
        <w:rPr>
          <w:rFonts w:hint="eastAsia" w:cs="Arial" w:asciiTheme="minorEastAsia" w:hAnsiTheme="minorEastAsia" w:eastAsiaTheme="minorEastAsia"/>
          <w:color w:val="000000"/>
          <w:sz w:val="21"/>
          <w:szCs w:val="21"/>
        </w:rPr>
        <w:t>月</w:t>
      </w:r>
      <w:r>
        <w:rPr>
          <w:rFonts w:hint="eastAsia" w:cs="Arial" w:asciiTheme="minorEastAsia" w:hAnsiTheme="minorEastAsia" w:eastAsiaTheme="minorEastAsia"/>
          <w:color w:val="000000"/>
          <w:sz w:val="21"/>
          <w:szCs w:val="21"/>
          <w:u w:val="single"/>
        </w:rPr>
        <w:t xml:space="preserve">    </w:t>
      </w:r>
      <w:r>
        <w:rPr>
          <w:rFonts w:hint="eastAsia" w:cs="Arial" w:asciiTheme="minorEastAsia" w:hAnsiTheme="minorEastAsia" w:eastAsiaTheme="minorEastAsia"/>
          <w:color w:val="000000"/>
          <w:sz w:val="21"/>
          <w:szCs w:val="21"/>
        </w:rPr>
        <w:t xml:space="preserve"> 日</w:t>
      </w:r>
    </w:p>
    <w:p>
      <w:pPr>
        <w:pStyle w:val="43"/>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w:t>
      </w:r>
      <w:r>
        <w:rPr>
          <w:rFonts w:hint="eastAsia" w:asciiTheme="minorEastAsia" w:hAnsiTheme="minorEastAsia"/>
          <w:color w:val="000000"/>
          <w:szCs w:val="21"/>
          <w:u w:val="single"/>
        </w:rPr>
        <w:t xml:space="preserve">  </w:t>
      </w:r>
      <w:r>
        <w:rPr>
          <w:rFonts w:asciiTheme="minorEastAsia" w:hAnsiTheme="minorEastAsia"/>
          <w:i/>
          <w:color w:val="000000"/>
          <w:szCs w:val="21"/>
          <w:u w:val="single"/>
        </w:rPr>
        <w:t>项目编号</w:t>
      </w:r>
      <w:r>
        <w:rPr>
          <w:rFonts w:hint="eastAsia" w:asciiTheme="minorEastAsia" w:hAnsiTheme="minorEastAsia"/>
          <w:i/>
          <w:color w:val="000000"/>
          <w:szCs w:val="21"/>
          <w:u w:val="single"/>
        </w:rPr>
        <w:t xml:space="preserve"> </w:t>
      </w:r>
      <w:r>
        <w:rPr>
          <w:rFonts w:hint="eastAsia" w:asciiTheme="minorEastAsia" w:hAnsiTheme="minorEastAsia"/>
          <w:color w:val="000000"/>
          <w:szCs w:val="21"/>
          <w:u w:val="single"/>
        </w:rPr>
        <w:t xml:space="preserve">  </w:t>
      </w:r>
      <w:r>
        <w:rPr>
          <w:rFonts w:hint="eastAsia" w:asciiTheme="minorEastAsia" w:hAnsiTheme="minorEastAsia"/>
          <w:color w:val="000000"/>
          <w:szCs w:val="21"/>
        </w:rPr>
        <w:t>的</w:t>
      </w:r>
      <w:r>
        <w:rPr>
          <w:rFonts w:hint="eastAsia" w:asciiTheme="minorEastAsia" w:hAnsiTheme="minorEastAsia"/>
          <w:color w:val="000000"/>
          <w:szCs w:val="21"/>
          <w:u w:val="single"/>
        </w:rPr>
        <w:t xml:space="preserve">  </w:t>
      </w:r>
      <w:r>
        <w:rPr>
          <w:rFonts w:asciiTheme="minorEastAsia" w:hAnsiTheme="minorEastAsia"/>
          <w:i/>
          <w:color w:val="000000"/>
          <w:szCs w:val="21"/>
          <w:u w:val="single"/>
        </w:rPr>
        <w:t>项目</w:t>
      </w:r>
      <w:r>
        <w:rPr>
          <w:rFonts w:hint="eastAsia" w:asciiTheme="minorEastAsia" w:hAnsiTheme="minorEastAsia"/>
          <w:i/>
          <w:color w:val="000000"/>
          <w:szCs w:val="21"/>
          <w:u w:val="single"/>
        </w:rPr>
        <w:t>名</w:t>
      </w:r>
      <w:r>
        <w:rPr>
          <w:rFonts w:asciiTheme="minorEastAsia" w:hAnsiTheme="minorEastAsia"/>
          <w:i/>
          <w:color w:val="000000"/>
          <w:szCs w:val="21"/>
          <w:u w:val="single"/>
        </w:rPr>
        <w:t>称</w:t>
      </w:r>
      <w:r>
        <w:rPr>
          <w:rFonts w:hint="eastAsia" w:asciiTheme="minorEastAsia" w:hAnsiTheme="minorEastAsia"/>
          <w:i/>
          <w:color w:val="000000"/>
          <w:szCs w:val="21"/>
          <w:u w:val="single"/>
        </w:rPr>
        <w:t xml:space="preserve"> </w:t>
      </w:r>
      <w:r>
        <w:rPr>
          <w:rFonts w:hint="eastAsia" w:asciiTheme="minorEastAsia" w:hAnsiTheme="minorEastAsia"/>
          <w:color w:val="000000"/>
          <w:szCs w:val="21"/>
          <w:u w:val="single"/>
        </w:rPr>
        <w:t xml:space="preserve">   </w:t>
      </w:r>
      <w:r>
        <w:rPr>
          <w:rFonts w:hint="eastAsia" w:cs="Arial" w:asciiTheme="minorEastAsia" w:hAnsiTheme="minorEastAsia"/>
          <w:szCs w:val="21"/>
        </w:rPr>
        <w:t>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（加盖单位公章）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w:t>
      </w:r>
      <w:r>
        <w:rPr>
          <w:rFonts w:hint="eastAsia" w:cs="Arial" w:asciiTheme="minorEastAsia" w:hAnsiTheme="minorEastAsia"/>
          <w:szCs w:val="21"/>
          <w:u w:val="single"/>
        </w:rPr>
        <w:t xml:space="preserve">              </w:t>
      </w:r>
      <w:r>
        <w:rPr>
          <w:rFonts w:hint="eastAsia" w:cs="Arial" w:asciiTheme="minorEastAsia" w:hAnsiTheme="minorEastAsia"/>
          <w:szCs w:val="21"/>
        </w:rPr>
        <w:t>（签名或加盖名章）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 xml:space="preserve">授权代表： </w:t>
      </w:r>
      <w:r>
        <w:rPr>
          <w:rFonts w:hint="eastAsia" w:asciiTheme="minorEastAsia" w:hAnsiTheme="minorEastAsia"/>
          <w:szCs w:val="21"/>
          <w:u w:val="single"/>
        </w:rPr>
        <w:t xml:space="preserve">         </w:t>
      </w:r>
      <w:r>
        <w:rPr>
          <w:rFonts w:hint="eastAsia" w:asciiTheme="minorEastAsia" w:hAnsiTheme="minorEastAsia"/>
          <w:szCs w:val="21"/>
        </w:rPr>
        <w:t xml:space="preserve"> （签名或加盖名章）</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10" w:name="_资格证明文件"/>
            <w:bookmarkEnd w:id="10"/>
            <w:bookmarkStart w:id="11"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11"/>
          </w:p>
        </w:tc>
        <w:tc>
          <w:tcPr>
            <w:tcW w:w="4492" w:type="dxa"/>
            <w:gridSpan w:val="2"/>
            <w:vAlign w:val="center"/>
          </w:tcPr>
          <w:p>
            <w:pPr>
              <w:jc w:val="center"/>
              <w:rPr>
                <w:rFonts w:asciiTheme="minorEastAsia" w:hAnsiTheme="minorEastAsia"/>
                <w:szCs w:val="21"/>
              </w:rPr>
            </w:pPr>
            <w:bookmarkStart w:id="12"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12"/>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firstLine="495" w:firstLineChars="236"/>
        <w:rPr>
          <w:rFonts w:cs="宋体" w:asciiTheme="minorEastAsia" w:hAnsiTheme="minorEastAsia"/>
          <w:szCs w:val="21"/>
          <w:lang w:val="zh-CN"/>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beforeLines="50" w:afterLines="50" w:line="360" w:lineRule="auto"/>
        <w:ind w:right="420" w:firstLine="4800" w:firstLineChars="2286"/>
        <w:rPr>
          <w:rFonts w:cs="宋体" w:asciiTheme="minorEastAsia" w:hAnsiTheme="minorEastAsia"/>
          <w:szCs w:val="21"/>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许昌市政府采购中心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ascii="宋体" w:hAnsi="宋体" w:eastAsia="宋体" w:cs="宋体"/>
          <w:szCs w:val="21"/>
          <w:lang w:val="zh-CN"/>
        </w:rPr>
        <w:t>年____月</w:t>
      </w:r>
      <w:r>
        <w:rPr>
          <w:rFonts w:hint="eastAsia" w:cs="宋体" w:asciiTheme="minorEastAsia" w:hAnsiTheme="minorEastAsia"/>
          <w:szCs w:val="21"/>
          <w:u w:val="single"/>
          <w:lang w:val="zh-CN"/>
        </w:rPr>
        <w:t xml:space="preserve">    </w:t>
      </w:r>
      <w:r>
        <w:rPr>
          <w:rFonts w:hint="eastAsia" w:cs="宋体" w:asciiTheme="minorEastAsia" w:hAnsiTheme="minorEastAsia"/>
          <w:szCs w:val="21"/>
          <w:lang w:val="zh-CN"/>
        </w:rPr>
        <w:t xml:space="preserve"> </w:t>
      </w:r>
      <w:r>
        <w:rPr>
          <w:rFonts w:ascii="宋体" w:hAnsi="宋体" w:eastAsia="宋体" w:cs="宋体"/>
          <w:szCs w:val="21"/>
          <w:lang w:val="zh-CN"/>
        </w:rPr>
        <w:t>日</w:t>
      </w:r>
      <w:r>
        <w:rPr>
          <w:rFonts w:hint="eastAsia" w:cs="宋体" w:asciiTheme="minorEastAsia" w:hAnsiTheme="minorEastAsia"/>
          <w:szCs w:val="21"/>
          <w:lang w:val="zh-CN"/>
        </w:rPr>
        <w:t xml:space="preserve"> </w:t>
      </w:r>
      <w:r>
        <w:rPr>
          <w:rFonts w:hint="eastAsia" w:cs="宋体" w:asciiTheme="minorEastAsia" w:hAnsiTheme="minorEastAsia"/>
          <w:szCs w:val="21"/>
          <w:u w:val="single"/>
          <w:lang w:val="zh-CN"/>
        </w:rPr>
        <w:t xml:space="preserve">                     </w:t>
      </w:r>
      <w:r>
        <w:rPr>
          <w:rFonts w:ascii="宋体" w:hAnsi="宋体" w:eastAsia="宋体" w:cs="宋体"/>
          <w:szCs w:val="21"/>
          <w:u w:val="single"/>
          <w:lang w:val="zh-CN"/>
        </w:rPr>
        <w:t>_</w:t>
      </w:r>
      <w:r>
        <w:rPr>
          <w:rFonts w:hint="eastAsia" w:cs="宋体" w:asciiTheme="minorEastAsia" w:hAnsiTheme="minorEastAsia"/>
          <w:szCs w:val="21"/>
          <w:lang w:val="zh-CN"/>
        </w:rPr>
        <w:t>（招标编号、项目名称）的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pPr>
        <w:rPr>
          <w:color w:val="000000"/>
          <w:sz w:val="28"/>
          <w:szCs w:val="28"/>
          <w:u w:val="single"/>
        </w:rPr>
      </w:pPr>
    </w:p>
    <w:p>
      <w:pPr>
        <w:rPr>
          <w:color w:val="000000"/>
          <w:sz w:val="28"/>
          <w:szCs w:val="28"/>
          <w:u w:val="single"/>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line="480" w:lineRule="auto"/>
        <w:ind w:firstLine="4357" w:firstLineChars="2075"/>
        <w:rPr>
          <w:rFonts w:cs="Arial" w:asciiTheme="minorEastAsia" w:hAnsiTheme="minorEastAsia"/>
          <w:color w:val="000000"/>
          <w:szCs w:val="21"/>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投标分项报价表（货物类项目）</w:t>
      </w:r>
    </w:p>
    <w:p>
      <w:pPr>
        <w:autoSpaceDE w:val="0"/>
        <w:autoSpaceDN w:val="0"/>
        <w:adjustRightInd w:val="0"/>
        <w:spacing w:line="360" w:lineRule="auto"/>
        <w:jc w:val="center"/>
        <w:outlineLvl w:val="0"/>
        <w:rPr>
          <w:rFonts w:ascii="宋体" w:hAnsi="宋体"/>
          <w:b/>
          <w:bCs/>
          <w:color w:val="000000"/>
          <w:sz w:val="24"/>
          <w:szCs w:val="24"/>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w:t>
            </w:r>
            <w:r>
              <w:rPr>
                <w:rFonts w:cs="宋体" w:asciiTheme="minorEastAsia" w:hAnsiTheme="minorEastAsia"/>
                <w:b/>
                <w:szCs w:val="21"/>
                <w:lang w:val="zh-CN"/>
              </w:rPr>
              <w:t xml:space="preserve"> </w:t>
            </w:r>
            <w:r>
              <w:rPr>
                <w:rFonts w:hint="eastAsia" w:cs="宋体" w:asciiTheme="minorEastAsia" w:hAnsiTheme="minorEastAsia"/>
                <w:b/>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w:t>
            </w:r>
            <w:r>
              <w:rPr>
                <w:rFonts w:cs="宋体" w:asciiTheme="minorEastAsia" w:hAnsiTheme="minorEastAsia"/>
                <w:b/>
                <w:szCs w:val="21"/>
                <w:lang w:val="zh-CN"/>
              </w:rPr>
              <w:t xml:space="preserve"> </w:t>
            </w:r>
            <w:r>
              <w:rPr>
                <w:rFonts w:hint="eastAsia" w:cs="宋体" w:asciiTheme="minorEastAsia" w:hAnsiTheme="minorEastAsia"/>
                <w:b/>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w:t>
            </w:r>
            <w:r>
              <w:rPr>
                <w:rFonts w:cs="宋体" w:asciiTheme="minorEastAsia" w:hAnsiTheme="minorEastAsia"/>
                <w:b/>
                <w:szCs w:val="21"/>
                <w:lang w:val="zh-CN"/>
              </w:rPr>
              <w:t xml:space="preserve"> </w:t>
            </w:r>
            <w:r>
              <w:rPr>
                <w:rFonts w:hint="eastAsia" w:cs="宋体" w:asciiTheme="minorEastAsia" w:hAnsiTheme="minorEastAsia"/>
                <w:b/>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w:t>
            </w:r>
            <w:r>
              <w:rPr>
                <w:rFonts w:asciiTheme="minorEastAsia" w:hAnsiTheme="minorEastAsia"/>
                <w:szCs w:val="21"/>
              </w:rPr>
              <w:t xml:space="preserve">  </w:t>
            </w:r>
            <w:r>
              <w:rPr>
                <w:rFonts w:hint="eastAsia" w:cs="宋体" w:asciiTheme="minorEastAsia" w:hAnsiTheme="minorEastAsia"/>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w:t>
            </w:r>
            <w:r>
              <w:rPr>
                <w:rFonts w:asciiTheme="minorEastAsia" w:hAnsiTheme="minorEastAsia"/>
                <w:szCs w:val="21"/>
              </w:rPr>
              <w:t xml:space="preserve">              </w:t>
            </w:r>
            <w:r>
              <w:rPr>
                <w:rFonts w:hint="eastAsia" w:cs="宋体" w:asciiTheme="minorEastAsia" w:hAnsiTheme="minorEastAsia"/>
                <w:szCs w:val="21"/>
                <w:lang w:val="zh-CN"/>
              </w:rPr>
              <w:t>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autoSpaceDE w:val="0"/>
        <w:autoSpaceDN w:val="0"/>
        <w:adjustRightInd w:val="0"/>
        <w:spacing w:line="360" w:lineRule="auto"/>
        <w:jc w:val="center"/>
        <w:outlineLvl w:val="0"/>
        <w:rPr>
          <w:rFonts w:ascii="宋体" w:hAnsi="宋体"/>
          <w:b/>
          <w:bCs/>
          <w:color w:val="000000"/>
          <w:sz w:val="24"/>
          <w:szCs w:val="24"/>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asciiTheme="minorEastAsia" w:hAnsiTheme="minorEastAsia"/>
          <w:color w:val="000000"/>
          <w:szCs w:val="21"/>
        </w:rPr>
      </w:pPr>
      <w:r>
        <w:rPr>
          <w:rFonts w:hint="eastAsia" w:asciiTheme="minorEastAsia" w:hAnsiTheme="minorEastAsia"/>
          <w:color w:val="000000"/>
          <w:szCs w:val="21"/>
        </w:rPr>
        <w:t xml:space="preserve">项目名称：   </w:t>
      </w:r>
    </w:p>
    <w:p>
      <w:pPr>
        <w:autoSpaceDE w:val="0"/>
        <w:autoSpaceDN w:val="0"/>
        <w:adjustRightInd w:val="0"/>
        <w:spacing w:line="360" w:lineRule="auto"/>
        <w:outlineLvl w:val="0"/>
        <w:rPr>
          <w:rFonts w:hAnsi="宋体" w:eastAsia="宋体"/>
          <w:b/>
          <w:snapToGrid w:val="0"/>
          <w:kern w:val="0"/>
          <w:szCs w:val="21"/>
        </w:rPr>
      </w:pP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asciiTheme="minorEastAsia" w:hAnsiTheme="minorEastAsia"/>
          <w:color w:val="000000"/>
          <w:szCs w:val="21"/>
        </w:rPr>
      </w:pPr>
      <w:r>
        <w:rPr>
          <w:rFonts w:hint="eastAsia" w:asciiTheme="minorEastAsia" w:hAnsiTheme="minorEastAsia"/>
          <w:color w:val="000000"/>
          <w:szCs w:val="21"/>
        </w:rPr>
        <w:t xml:space="preserve">项目名称：   </w:t>
      </w:r>
    </w:p>
    <w:p>
      <w:pPr>
        <w:snapToGrid w:val="0"/>
        <w:spacing w:line="360" w:lineRule="auto"/>
        <w:rPr>
          <w:rFonts w:hAnsi="宋体" w:eastAsia="宋体"/>
          <w:b/>
          <w:snapToGrid w:val="0"/>
          <w:kern w:val="0"/>
          <w:szCs w:val="21"/>
        </w:rPr>
      </w:pP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3"/>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“节能产品政府采购品目清单”优先采购产品情况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3"/>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spacing w:line="360" w:lineRule="auto"/>
        <w:rPr>
          <w:rFonts w:ascii="宋体" w:hAnsi="宋体"/>
          <w:b/>
          <w:bCs/>
          <w:color w:val="000000"/>
          <w:sz w:val="36"/>
          <w:szCs w:val="36"/>
        </w:rPr>
      </w:pPr>
      <w:r>
        <w:rPr>
          <w:rFonts w:hint="eastAsia" w:cs="宋体" w:asciiTheme="minorEastAsia" w:hAnsiTheme="minorEastAsia"/>
          <w:szCs w:val="21"/>
          <w:lang w:val="zh-CN"/>
        </w:rPr>
        <w:t>说明：所投产品节能认证证书须附后。</w:t>
      </w: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3"/>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ind w:left="630" w:hanging="630" w:hangingChars="300"/>
        <w:rPr>
          <w:rFonts w:cs="宋体" w:asciiTheme="minorEastAsia" w:hAnsiTheme="minorEastAsia"/>
          <w:szCs w:val="21"/>
          <w:lang w:val="zh-CN"/>
        </w:rPr>
      </w:pPr>
      <w:r>
        <w:rPr>
          <w:rFonts w:hint="eastAsia" w:cs="宋体" w:asciiTheme="minorEastAsia" w:hAnsiTheme="minorEastAsia"/>
          <w:szCs w:val="21"/>
          <w:lang w:val="zh-CN"/>
        </w:rPr>
        <w:t>说明：所投产品环境认证证书须附后。</w:t>
      </w:r>
    </w:p>
    <w:p>
      <w:pPr>
        <w:ind w:left="630" w:hanging="630" w:hangingChars="300"/>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widowControl/>
        <w:spacing w:before="100" w:beforeAutospacing="1" w:after="100" w:afterAutospacing="1" w:line="360" w:lineRule="auto"/>
        <w:contextualSpacing/>
        <w:jc w:val="left"/>
        <w:rPr>
          <w:rFonts w:ascii="宋体" w:hAnsi="宋体" w:cs="Arial"/>
          <w:color w:val="000000"/>
          <w:kern w:val="0"/>
          <w:szCs w:val="21"/>
        </w:rPr>
      </w:pPr>
    </w:p>
    <w:p>
      <w:pPr>
        <w:widowControl/>
        <w:spacing w:before="100" w:beforeAutospacing="1" w:after="100" w:afterAutospacing="1" w:line="360" w:lineRule="auto"/>
        <w:contextualSpacing/>
        <w:jc w:val="left"/>
        <w:rPr>
          <w:rFonts w:ascii="宋体" w:hAnsi="宋体" w:cs="Arial"/>
          <w:color w:val="000000"/>
          <w:kern w:val="0"/>
          <w:szCs w:val="21"/>
        </w:rPr>
      </w:pPr>
    </w:p>
    <w:p>
      <w:pPr>
        <w:autoSpaceDE w:val="0"/>
        <w:autoSpaceDN w:val="0"/>
        <w:adjustRightInd w:val="0"/>
        <w:spacing w:line="360" w:lineRule="auto"/>
        <w:jc w:val="center"/>
        <w:outlineLvl w:val="0"/>
        <w:rPr>
          <w:rFonts w:ascii="宋体" w:hAnsi="宋体"/>
          <w:b/>
          <w:bCs/>
          <w:color w:val="000000"/>
          <w:sz w:val="24"/>
          <w:szCs w:val="24"/>
        </w:rPr>
      </w:pPr>
      <w:bookmarkStart w:id="13" w:name="OLE_LINK13"/>
      <w:bookmarkStart w:id="14" w:name="OLE_LINK14"/>
      <w:r>
        <w:rPr>
          <w:rFonts w:hint="eastAsia" w:ascii="宋体" w:hAnsi="宋体"/>
          <w:b/>
          <w:bCs/>
          <w:color w:val="000000"/>
          <w:sz w:val="24"/>
          <w:szCs w:val="24"/>
        </w:rPr>
        <w:t>4.10 残疾人福利性单位声明函</w:t>
      </w:r>
    </w:p>
    <w:bookmarkEnd w:id="13"/>
    <w:bookmarkEnd w:id="14"/>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line="480" w:lineRule="auto"/>
        <w:ind w:left="4358" w:leftChars="2075"/>
        <w:rPr>
          <w:rFonts w:cs="Arial" w:asciiTheme="minorEastAsia" w:hAnsiTheme="minorEastAsia"/>
          <w:color w:val="000000"/>
          <w:szCs w:val="21"/>
        </w:rPr>
      </w:pPr>
    </w:p>
    <w:p/>
    <w:p/>
    <w:p/>
    <w:p/>
    <w:p/>
    <w:p/>
    <w:p/>
    <w:p/>
    <w:p/>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1025" o:spid="_x0000_s102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14</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24C020AC"/>
    <w:multiLevelType w:val="multilevel"/>
    <w:tmpl w:val="24C020AC"/>
    <w:lvl w:ilvl="0" w:tentative="0">
      <w:start w:val="1"/>
      <w:numFmt w:val="decimal"/>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9">
    <w:nsid w:val="2D316A05"/>
    <w:multiLevelType w:val="multilevel"/>
    <w:tmpl w:val="2D316A05"/>
    <w:lvl w:ilvl="0" w:tentative="0">
      <w:start w:val="1"/>
      <w:numFmt w:val="decimal"/>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10">
    <w:nsid w:val="323440E3"/>
    <w:multiLevelType w:val="multilevel"/>
    <w:tmpl w:val="323440E3"/>
    <w:lvl w:ilvl="0" w:tentative="0">
      <w:start w:val="1"/>
      <w:numFmt w:val="decimal"/>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11">
    <w:nsid w:val="338E0164"/>
    <w:multiLevelType w:val="multilevel"/>
    <w:tmpl w:val="338E0164"/>
    <w:lvl w:ilvl="0" w:tentative="0">
      <w:start w:val="1"/>
      <w:numFmt w:val="decimal"/>
      <w:lvlText w:val="%1）"/>
      <w:lvlJc w:val="left"/>
      <w:pPr>
        <w:tabs>
          <w:tab w:val="left" w:pos="360"/>
        </w:tabs>
        <w:ind w:left="360" w:hanging="360"/>
      </w:pPr>
      <w:rPr>
        <w:rFonts w:hint="default" w:ascii="Times New Roman" w:hAnsi="Times New Roman" w:cs="Times New Roman"/>
      </w:rPr>
    </w:lvl>
    <w:lvl w:ilvl="1" w:tentative="0">
      <w:start w:val="1"/>
      <w:numFmt w:val="decimal"/>
      <w:lvlText w:val="%2)"/>
      <w:lvlJc w:val="left"/>
      <w:pPr>
        <w:tabs>
          <w:tab w:val="left" w:pos="780"/>
        </w:tabs>
        <w:ind w:left="780" w:hanging="36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12">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C20C472"/>
    <w:multiLevelType w:val="singleLevel"/>
    <w:tmpl w:val="3C20C472"/>
    <w:lvl w:ilvl="0" w:tentative="0">
      <w:start w:val="1"/>
      <w:numFmt w:val="decimal"/>
      <w:suff w:val="nothing"/>
      <w:lvlText w:val="%1、"/>
      <w:lvlJc w:val="left"/>
    </w:lvl>
  </w:abstractNum>
  <w:abstractNum w:abstractNumId="14">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46282E3D"/>
    <w:multiLevelType w:val="multilevel"/>
    <w:tmpl w:val="46282E3D"/>
    <w:lvl w:ilvl="0" w:tentative="0">
      <w:start w:val="1"/>
      <w:numFmt w:val="decimal"/>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16">
    <w:nsid w:val="4D7E1D02"/>
    <w:multiLevelType w:val="multilevel"/>
    <w:tmpl w:val="4D7E1D02"/>
    <w:lvl w:ilvl="0" w:tentative="0">
      <w:start w:val="1"/>
      <w:numFmt w:val="decimal"/>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17">
    <w:nsid w:val="4EAB2D7B"/>
    <w:multiLevelType w:val="multilevel"/>
    <w:tmpl w:val="4EAB2D7B"/>
    <w:lvl w:ilvl="0" w:tentative="0">
      <w:start w:val="1"/>
      <w:numFmt w:val="decimal"/>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18">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59F817C2"/>
    <w:multiLevelType w:val="singleLevel"/>
    <w:tmpl w:val="59F817C2"/>
    <w:lvl w:ilvl="0" w:tentative="0">
      <w:start w:val="2"/>
      <w:numFmt w:val="chineseCounting"/>
      <w:suff w:val="space"/>
      <w:lvlText w:val="第%1章"/>
      <w:lvlJc w:val="left"/>
    </w:lvl>
  </w:abstractNum>
  <w:abstractNum w:abstractNumId="20">
    <w:nsid w:val="59F817E8"/>
    <w:multiLevelType w:val="singleLevel"/>
    <w:tmpl w:val="59F817E8"/>
    <w:lvl w:ilvl="0" w:tentative="0">
      <w:start w:val="1"/>
      <w:numFmt w:val="chineseCounting"/>
      <w:pStyle w:val="50"/>
      <w:suff w:val="nothing"/>
      <w:lvlText w:val="%1、"/>
      <w:lvlJc w:val="left"/>
    </w:lvl>
  </w:abstractNum>
  <w:abstractNum w:abstractNumId="21">
    <w:nsid w:val="654D00E8"/>
    <w:multiLevelType w:val="multilevel"/>
    <w:tmpl w:val="654D00E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57207B4"/>
    <w:multiLevelType w:val="multilevel"/>
    <w:tmpl w:val="657207B4"/>
    <w:lvl w:ilvl="0" w:tentative="0">
      <w:start w:val="1"/>
      <w:numFmt w:val="decimal"/>
      <w:lvlText w:val="%1）"/>
      <w:lvlJc w:val="left"/>
      <w:pPr>
        <w:tabs>
          <w:tab w:val="left" w:pos="360"/>
        </w:tabs>
        <w:ind w:left="360" w:hanging="360"/>
      </w:pPr>
      <w:rPr>
        <w:rFonts w:hint="default" w:ascii="Times New Roman" w:hAnsi="Times New Roman" w:cs="Times New Roman"/>
      </w:rPr>
    </w:lvl>
    <w:lvl w:ilvl="1" w:tentative="0">
      <w:start w:val="1"/>
      <w:numFmt w:val="decimal"/>
      <w:lvlText w:val="（%2）"/>
      <w:lvlJc w:val="left"/>
      <w:pPr>
        <w:tabs>
          <w:tab w:val="left" w:pos="1140"/>
        </w:tabs>
        <w:ind w:left="1140" w:hanging="7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23">
    <w:nsid w:val="6A6029E1"/>
    <w:multiLevelType w:val="multilevel"/>
    <w:tmpl w:val="6A6029E1"/>
    <w:lvl w:ilvl="0" w:tentative="0">
      <w:start w:val="1"/>
      <w:numFmt w:val="decimal"/>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24">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5">
    <w:nsid w:val="6CC52040"/>
    <w:multiLevelType w:val="multilevel"/>
    <w:tmpl w:val="6CC52040"/>
    <w:lvl w:ilvl="0" w:tentative="0">
      <w:start w:val="1"/>
      <w:numFmt w:val="decimal"/>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26">
    <w:nsid w:val="6FF673D0"/>
    <w:multiLevelType w:val="multilevel"/>
    <w:tmpl w:val="6FF673D0"/>
    <w:lvl w:ilvl="0" w:tentative="0">
      <w:start w:val="1"/>
      <w:numFmt w:val="decimal"/>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27">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7B900662"/>
    <w:multiLevelType w:val="multilevel"/>
    <w:tmpl w:val="7B90066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7DE631A9"/>
    <w:multiLevelType w:val="multilevel"/>
    <w:tmpl w:val="7DE631A9"/>
    <w:lvl w:ilvl="0" w:tentative="0">
      <w:start w:val="1"/>
      <w:numFmt w:val="decimal"/>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num w:numId="1">
    <w:abstractNumId w:val="0"/>
  </w:num>
  <w:num w:numId="2">
    <w:abstractNumId w:val="1"/>
  </w:num>
  <w:num w:numId="3">
    <w:abstractNumId w:val="20"/>
  </w:num>
  <w:num w:numId="4">
    <w:abstractNumId w:val="19"/>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9"/>
  </w:num>
  <w:num w:numId="19">
    <w:abstractNumId w:val="13"/>
  </w:num>
  <w:num w:numId="20">
    <w:abstractNumId w:val="7"/>
  </w:num>
  <w:num w:numId="21">
    <w:abstractNumId w:val="24"/>
  </w:num>
  <w:num w:numId="22">
    <w:abstractNumId w:val="4"/>
  </w:num>
  <w:num w:numId="23">
    <w:abstractNumId w:val="5"/>
  </w:num>
  <w:num w:numId="24">
    <w:abstractNumId w:val="28"/>
  </w:num>
  <w:num w:numId="25">
    <w:abstractNumId w:val="14"/>
  </w:num>
  <w:num w:numId="26">
    <w:abstractNumId w:val="27"/>
  </w:num>
  <w:num w:numId="27">
    <w:abstractNumId w:val="3"/>
  </w:num>
  <w:num w:numId="28">
    <w:abstractNumId w:val="6"/>
  </w:num>
  <w:num w:numId="29">
    <w:abstractNumId w:val="18"/>
  </w:num>
  <w:num w:numId="30">
    <w:abstractNumId w:val="12"/>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C1691"/>
    <w:rsid w:val="000029D7"/>
    <w:rsid w:val="00010EAA"/>
    <w:rsid w:val="00060C36"/>
    <w:rsid w:val="000F2705"/>
    <w:rsid w:val="000F31C7"/>
    <w:rsid w:val="001058C3"/>
    <w:rsid w:val="001478F5"/>
    <w:rsid w:val="001606A0"/>
    <w:rsid w:val="00180CB1"/>
    <w:rsid w:val="00192BC1"/>
    <w:rsid w:val="001D1694"/>
    <w:rsid w:val="001D3032"/>
    <w:rsid w:val="002033D2"/>
    <w:rsid w:val="00212E8B"/>
    <w:rsid w:val="0021491B"/>
    <w:rsid w:val="002172F1"/>
    <w:rsid w:val="0022647A"/>
    <w:rsid w:val="00245DD4"/>
    <w:rsid w:val="00251E85"/>
    <w:rsid w:val="002E1F43"/>
    <w:rsid w:val="002E58AE"/>
    <w:rsid w:val="002F7711"/>
    <w:rsid w:val="00323731"/>
    <w:rsid w:val="0035288B"/>
    <w:rsid w:val="0036769A"/>
    <w:rsid w:val="003853CB"/>
    <w:rsid w:val="00393643"/>
    <w:rsid w:val="003B164A"/>
    <w:rsid w:val="003B44E5"/>
    <w:rsid w:val="003B73A5"/>
    <w:rsid w:val="003C33C2"/>
    <w:rsid w:val="003C46F5"/>
    <w:rsid w:val="003E1AF9"/>
    <w:rsid w:val="00403255"/>
    <w:rsid w:val="0041435C"/>
    <w:rsid w:val="00415999"/>
    <w:rsid w:val="00433366"/>
    <w:rsid w:val="00475D63"/>
    <w:rsid w:val="00490249"/>
    <w:rsid w:val="004A32D7"/>
    <w:rsid w:val="004D0575"/>
    <w:rsid w:val="004E7EC3"/>
    <w:rsid w:val="004F536E"/>
    <w:rsid w:val="00513598"/>
    <w:rsid w:val="00522D70"/>
    <w:rsid w:val="00530561"/>
    <w:rsid w:val="00551ECC"/>
    <w:rsid w:val="0055285D"/>
    <w:rsid w:val="00577214"/>
    <w:rsid w:val="0059207A"/>
    <w:rsid w:val="005C35F8"/>
    <w:rsid w:val="005C3615"/>
    <w:rsid w:val="005D0A26"/>
    <w:rsid w:val="00606FAC"/>
    <w:rsid w:val="00636AAD"/>
    <w:rsid w:val="00645715"/>
    <w:rsid w:val="006572EA"/>
    <w:rsid w:val="006771A0"/>
    <w:rsid w:val="006C1240"/>
    <w:rsid w:val="006E6CF8"/>
    <w:rsid w:val="0070512A"/>
    <w:rsid w:val="00721F78"/>
    <w:rsid w:val="00762DEF"/>
    <w:rsid w:val="007C1AB2"/>
    <w:rsid w:val="007E5CCF"/>
    <w:rsid w:val="00801D53"/>
    <w:rsid w:val="00807665"/>
    <w:rsid w:val="00831948"/>
    <w:rsid w:val="008377E1"/>
    <w:rsid w:val="008523E7"/>
    <w:rsid w:val="008616E3"/>
    <w:rsid w:val="00863BA1"/>
    <w:rsid w:val="0088255B"/>
    <w:rsid w:val="008A2A8E"/>
    <w:rsid w:val="008B2DE8"/>
    <w:rsid w:val="008B4F75"/>
    <w:rsid w:val="008D0BF8"/>
    <w:rsid w:val="008E2232"/>
    <w:rsid w:val="0092779F"/>
    <w:rsid w:val="00946644"/>
    <w:rsid w:val="00974FB6"/>
    <w:rsid w:val="009A42F4"/>
    <w:rsid w:val="009C12AB"/>
    <w:rsid w:val="009F0ADF"/>
    <w:rsid w:val="009F164F"/>
    <w:rsid w:val="009F549B"/>
    <w:rsid w:val="00A06976"/>
    <w:rsid w:val="00A10531"/>
    <w:rsid w:val="00A1105A"/>
    <w:rsid w:val="00A23034"/>
    <w:rsid w:val="00A41ED1"/>
    <w:rsid w:val="00A5068C"/>
    <w:rsid w:val="00A526FE"/>
    <w:rsid w:val="00A933D9"/>
    <w:rsid w:val="00AC741E"/>
    <w:rsid w:val="00AD1C56"/>
    <w:rsid w:val="00B207C4"/>
    <w:rsid w:val="00B24694"/>
    <w:rsid w:val="00B25281"/>
    <w:rsid w:val="00B464DB"/>
    <w:rsid w:val="00B61AAD"/>
    <w:rsid w:val="00B90354"/>
    <w:rsid w:val="00BD0BD6"/>
    <w:rsid w:val="00BF0755"/>
    <w:rsid w:val="00C60C57"/>
    <w:rsid w:val="00C619BF"/>
    <w:rsid w:val="00C639D1"/>
    <w:rsid w:val="00C74839"/>
    <w:rsid w:val="00CC1691"/>
    <w:rsid w:val="00CD31FE"/>
    <w:rsid w:val="00CE05E1"/>
    <w:rsid w:val="00D45A31"/>
    <w:rsid w:val="00D860AB"/>
    <w:rsid w:val="00D8771F"/>
    <w:rsid w:val="00DC1501"/>
    <w:rsid w:val="00DC533B"/>
    <w:rsid w:val="00E142DF"/>
    <w:rsid w:val="00E610C1"/>
    <w:rsid w:val="00E63701"/>
    <w:rsid w:val="00EA2B60"/>
    <w:rsid w:val="00EB1EC5"/>
    <w:rsid w:val="00EF7777"/>
    <w:rsid w:val="00F03CF1"/>
    <w:rsid w:val="00F06D3F"/>
    <w:rsid w:val="00F12BF3"/>
    <w:rsid w:val="00F40BE5"/>
    <w:rsid w:val="00F50141"/>
    <w:rsid w:val="00F80416"/>
    <w:rsid w:val="00F84301"/>
    <w:rsid w:val="00F84B0C"/>
    <w:rsid w:val="00F93EAF"/>
    <w:rsid w:val="00FB5156"/>
    <w:rsid w:val="00FB75BA"/>
    <w:rsid w:val="00FC380D"/>
    <w:rsid w:val="00FC42A1"/>
    <w:rsid w:val="00FE7AC3"/>
    <w:rsid w:val="035139B3"/>
    <w:rsid w:val="03734674"/>
    <w:rsid w:val="04632A5B"/>
    <w:rsid w:val="059864E8"/>
    <w:rsid w:val="06321A50"/>
    <w:rsid w:val="0DF43C62"/>
    <w:rsid w:val="105B5498"/>
    <w:rsid w:val="130705B1"/>
    <w:rsid w:val="135746CD"/>
    <w:rsid w:val="1C8E4706"/>
    <w:rsid w:val="1C8F2C03"/>
    <w:rsid w:val="1D8E6D36"/>
    <w:rsid w:val="21196AB9"/>
    <w:rsid w:val="25EB0BC3"/>
    <w:rsid w:val="2C0C59E6"/>
    <w:rsid w:val="2CB367F9"/>
    <w:rsid w:val="3E065C15"/>
    <w:rsid w:val="41557D10"/>
    <w:rsid w:val="46226AD4"/>
    <w:rsid w:val="47665CE1"/>
    <w:rsid w:val="4A320572"/>
    <w:rsid w:val="4E772D7E"/>
    <w:rsid w:val="4F0B5141"/>
    <w:rsid w:val="57783D4D"/>
    <w:rsid w:val="5C3C5F5A"/>
    <w:rsid w:val="5F75238F"/>
    <w:rsid w:val="616D2021"/>
    <w:rsid w:val="63C512EB"/>
    <w:rsid w:val="66EA4D68"/>
    <w:rsid w:val="6C4E0D65"/>
    <w:rsid w:val="6DCF7900"/>
    <w:rsid w:val="78622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unhideWhenUsed/>
    <w:qFormat/>
    <w:uiPriority w:val="0"/>
    <w:pPr>
      <w:spacing w:after="120" w:line="480" w:lineRule="auto"/>
      <w:ind w:left="420" w:leftChars="200"/>
    </w:p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47"/>
    <w:qFormat/>
    <w:uiPriority w:val="0"/>
    <w:rPr>
      <w:rFonts w:ascii="Times New Roman" w:hAnsi="Times New Roman" w:eastAsia="宋体" w:cs="Times New Roman"/>
      <w:color w:val="FF0000"/>
      <w:sz w:val="24"/>
      <w:szCs w:val="24"/>
    </w:rPr>
  </w:style>
  <w:style w:type="paragraph" w:styleId="10">
    <w:name w:val="Body Text"/>
    <w:basedOn w:val="1"/>
    <w:link w:val="51"/>
    <w:semiHidden/>
    <w:unhideWhenUsed/>
    <w:qFormat/>
    <w:uiPriority w:val="99"/>
    <w:pPr>
      <w:spacing w:after="120"/>
    </w:pPr>
  </w:style>
  <w:style w:type="paragraph" w:styleId="11">
    <w:name w:val="Body Text Indent"/>
    <w:basedOn w:val="1"/>
    <w:link w:val="56"/>
    <w:qFormat/>
    <w:uiPriority w:val="0"/>
    <w:pPr>
      <w:adjustRightInd w:val="0"/>
      <w:spacing w:after="120" w:line="360" w:lineRule="atLeast"/>
      <w:ind w:left="420" w:leftChars="200"/>
      <w:jc w:val="left"/>
      <w:textAlignment w:val="baseline"/>
    </w:pPr>
    <w:rPr>
      <w:sz w:val="24"/>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2"/>
    <w:qFormat/>
    <w:uiPriority w:val="0"/>
    <w:rPr>
      <w:rFonts w:eastAsia="宋体"/>
      <w:sz w:val="24"/>
    </w:rPr>
  </w:style>
  <w:style w:type="paragraph" w:styleId="15">
    <w:name w:val="Date"/>
    <w:basedOn w:val="1"/>
    <w:next w:val="1"/>
    <w:link w:val="33"/>
    <w:unhideWhenUsed/>
    <w:qFormat/>
    <w:uiPriority w:val="99"/>
    <w:pPr>
      <w:ind w:left="100" w:leftChars="2500"/>
    </w:pPr>
  </w:style>
  <w:style w:type="paragraph" w:styleId="16">
    <w:name w:val="Balloon Text"/>
    <w:basedOn w:val="1"/>
    <w:link w:val="58"/>
    <w:semiHidden/>
    <w:unhideWhenUsed/>
    <w:qFormat/>
    <w:uiPriority w:val="99"/>
    <w:rPr>
      <w:sz w:val="18"/>
      <w:szCs w:val="18"/>
    </w:rPr>
  </w:style>
  <w:style w:type="paragraph" w:styleId="17">
    <w:name w:val="footer"/>
    <w:basedOn w:val="1"/>
    <w:link w:val="34"/>
    <w:unhideWhenUsed/>
    <w:qFormat/>
    <w:uiPriority w:val="99"/>
    <w:pPr>
      <w:tabs>
        <w:tab w:val="center" w:pos="4153"/>
        <w:tab w:val="right" w:pos="8306"/>
      </w:tabs>
      <w:snapToGrid w:val="0"/>
      <w:jc w:val="left"/>
    </w:pPr>
    <w:rPr>
      <w:sz w:val="18"/>
      <w:szCs w:val="18"/>
    </w:rPr>
  </w:style>
  <w:style w:type="paragraph" w:styleId="18">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54"/>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paragraph" w:styleId="22">
    <w:name w:val="Body Text First Indent"/>
    <w:basedOn w:val="10"/>
    <w:link w:val="52"/>
    <w:qFormat/>
    <w:uiPriority w:val="0"/>
    <w:pPr>
      <w:ind w:firstLine="420" w:firstLineChars="100"/>
    </w:pPr>
    <w:rPr>
      <w:rFonts w:ascii="宋体" w:hAnsi="Times New Roman" w:eastAsia="宋体" w:cs="Times New Roman"/>
      <w:kern w:val="0"/>
      <w:sz w:val="34"/>
      <w:szCs w:val="20"/>
    </w:rPr>
  </w:style>
  <w:style w:type="table" w:styleId="24">
    <w:name w:val="Table Grid"/>
    <w:basedOn w:val="23"/>
    <w:unhideWhenUsed/>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22"/>
    <w:rPr>
      <w:b/>
      <w:bCs/>
    </w:rPr>
  </w:style>
  <w:style w:type="character" w:styleId="27">
    <w:name w:val="Hyperlink"/>
    <w:basedOn w:val="25"/>
    <w:unhideWhenUsed/>
    <w:qFormat/>
    <w:uiPriority w:val="99"/>
    <w:rPr>
      <w:color w:val="0000FF"/>
      <w:u w:val="single"/>
    </w:rPr>
  </w:style>
  <w:style w:type="character" w:customStyle="1" w:styleId="28">
    <w:name w:val="标题 1 Char"/>
    <w:basedOn w:val="25"/>
    <w:link w:val="3"/>
    <w:qFormat/>
    <w:uiPriority w:val="0"/>
    <w:rPr>
      <w:rFonts w:ascii="Calibri" w:hAnsi="Calibri" w:eastAsia="宋体" w:cs="Times New Roman"/>
      <w:b/>
      <w:bCs/>
      <w:kern w:val="44"/>
      <w:sz w:val="44"/>
      <w:szCs w:val="44"/>
    </w:rPr>
  </w:style>
  <w:style w:type="character" w:customStyle="1" w:styleId="29">
    <w:name w:val="标题 2 Char"/>
    <w:basedOn w:val="25"/>
    <w:link w:val="4"/>
    <w:qFormat/>
    <w:uiPriority w:val="0"/>
    <w:rPr>
      <w:rFonts w:ascii="Arial" w:hAnsi="Arial" w:eastAsia="黑体" w:cs="Times New Roman"/>
      <w:b/>
      <w:bCs/>
      <w:kern w:val="0"/>
      <w:sz w:val="32"/>
      <w:szCs w:val="32"/>
    </w:rPr>
  </w:style>
  <w:style w:type="character" w:customStyle="1" w:styleId="30">
    <w:name w:val="标题 3 Char"/>
    <w:basedOn w:val="25"/>
    <w:link w:val="5"/>
    <w:qFormat/>
    <w:uiPriority w:val="0"/>
    <w:rPr>
      <w:rFonts w:ascii="宋体" w:hAnsi="宋体" w:eastAsia="宋体" w:cs="Times New Roman"/>
      <w:b/>
      <w:color w:val="000000"/>
      <w:kern w:val="0"/>
      <w:sz w:val="24"/>
      <w:szCs w:val="20"/>
      <w:lang w:val="en-GB"/>
    </w:rPr>
  </w:style>
  <w:style w:type="character" w:customStyle="1" w:styleId="31">
    <w:name w:val="标题 4 Char"/>
    <w:basedOn w:val="25"/>
    <w:link w:val="6"/>
    <w:qFormat/>
    <w:uiPriority w:val="0"/>
    <w:rPr>
      <w:rFonts w:ascii="Arial" w:hAnsi="Arial" w:eastAsia="黑体" w:cs="Times New Roman"/>
      <w:b/>
      <w:bCs/>
      <w:kern w:val="0"/>
      <w:sz w:val="28"/>
      <w:szCs w:val="28"/>
    </w:rPr>
  </w:style>
  <w:style w:type="character" w:customStyle="1" w:styleId="32">
    <w:name w:val="纯文本 Char"/>
    <w:basedOn w:val="25"/>
    <w:link w:val="14"/>
    <w:qFormat/>
    <w:uiPriority w:val="0"/>
    <w:rPr>
      <w:rFonts w:eastAsia="宋体"/>
      <w:sz w:val="24"/>
    </w:rPr>
  </w:style>
  <w:style w:type="character" w:customStyle="1" w:styleId="33">
    <w:name w:val="日期 Char"/>
    <w:basedOn w:val="25"/>
    <w:link w:val="15"/>
    <w:qFormat/>
    <w:uiPriority w:val="99"/>
  </w:style>
  <w:style w:type="character" w:customStyle="1" w:styleId="34">
    <w:name w:val="页脚 Char"/>
    <w:basedOn w:val="25"/>
    <w:link w:val="17"/>
    <w:qFormat/>
    <w:uiPriority w:val="99"/>
    <w:rPr>
      <w:sz w:val="18"/>
      <w:szCs w:val="18"/>
    </w:rPr>
  </w:style>
  <w:style w:type="character" w:customStyle="1" w:styleId="35">
    <w:name w:val="页眉 Char"/>
    <w:basedOn w:val="25"/>
    <w:link w:val="18"/>
    <w:qFormat/>
    <w:uiPriority w:val="99"/>
    <w:rPr>
      <w:sz w:val="18"/>
      <w:szCs w:val="18"/>
    </w:rPr>
  </w:style>
  <w:style w:type="character" w:customStyle="1" w:styleId="36">
    <w:name w:val="纯文本 Char1"/>
    <w:qFormat/>
    <w:uiPriority w:val="0"/>
    <w:rPr>
      <w:rFonts w:eastAsia="宋体"/>
      <w:sz w:val="24"/>
    </w:rPr>
  </w:style>
  <w:style w:type="paragraph" w:customStyle="1" w:styleId="37">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8">
    <w:name w:val="列出段落1"/>
    <w:basedOn w:val="1"/>
    <w:qFormat/>
    <w:uiPriority w:val="34"/>
    <w:pPr>
      <w:ind w:firstLine="420" w:firstLineChars="200"/>
    </w:pPr>
  </w:style>
  <w:style w:type="paragraph" w:styleId="39">
    <w:name w:val="List Paragraph"/>
    <w:basedOn w:val="1"/>
    <w:unhideWhenUsed/>
    <w:qFormat/>
    <w:uiPriority w:val="99"/>
    <w:pPr>
      <w:ind w:firstLine="420" w:firstLineChars="200"/>
    </w:pPr>
  </w:style>
  <w:style w:type="character" w:customStyle="1" w:styleId="40">
    <w:name w:val="正文文本缩进 Char Char"/>
    <w:link w:val="41"/>
    <w:qFormat/>
    <w:uiPriority w:val="0"/>
    <w:rPr>
      <w:rFonts w:ascii="宋体"/>
      <w:sz w:val="24"/>
    </w:rPr>
  </w:style>
  <w:style w:type="paragraph" w:customStyle="1" w:styleId="41">
    <w:name w:val="正文文本缩进1"/>
    <w:basedOn w:val="1"/>
    <w:link w:val="40"/>
    <w:qFormat/>
    <w:uiPriority w:val="0"/>
    <w:pPr>
      <w:spacing w:line="360" w:lineRule="auto"/>
      <w:ind w:firstLine="480" w:firstLineChars="200"/>
    </w:pPr>
    <w:rPr>
      <w:rFonts w:ascii="宋体"/>
      <w:sz w:val="24"/>
    </w:rPr>
  </w:style>
  <w:style w:type="character" w:customStyle="1" w:styleId="42">
    <w:name w:val="日期 Char Char"/>
    <w:link w:val="43"/>
    <w:qFormat/>
    <w:uiPriority w:val="0"/>
    <w:rPr>
      <w:sz w:val="24"/>
    </w:rPr>
  </w:style>
  <w:style w:type="paragraph" w:customStyle="1" w:styleId="43">
    <w:name w:val="日期1"/>
    <w:basedOn w:val="1"/>
    <w:next w:val="1"/>
    <w:link w:val="42"/>
    <w:qFormat/>
    <w:uiPriority w:val="0"/>
    <w:rPr>
      <w:sz w:val="24"/>
    </w:rPr>
  </w:style>
  <w:style w:type="paragraph" w:customStyle="1" w:styleId="44">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5">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6">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7">
    <w:name w:val="正文文本 3 Char"/>
    <w:basedOn w:val="25"/>
    <w:link w:val="9"/>
    <w:qFormat/>
    <w:uiPriority w:val="0"/>
    <w:rPr>
      <w:rFonts w:ascii="Times New Roman" w:hAnsi="Times New Roman" w:eastAsia="宋体" w:cs="Times New Roman"/>
      <w:color w:val="FF0000"/>
      <w:sz w:val="24"/>
      <w:szCs w:val="24"/>
    </w:rPr>
  </w:style>
  <w:style w:type="character" w:customStyle="1" w:styleId="48">
    <w:name w:val="edittexttarea"/>
    <w:basedOn w:val="25"/>
    <w:qFormat/>
    <w:uiPriority w:val="0"/>
  </w:style>
  <w:style w:type="paragraph" w:customStyle="1" w:styleId="49">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0">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1">
    <w:name w:val="正文文本 Char"/>
    <w:basedOn w:val="25"/>
    <w:link w:val="10"/>
    <w:semiHidden/>
    <w:qFormat/>
    <w:uiPriority w:val="99"/>
  </w:style>
  <w:style w:type="character" w:customStyle="1" w:styleId="52">
    <w:name w:val="正文首行缩进 Char"/>
    <w:basedOn w:val="51"/>
    <w:link w:val="22"/>
    <w:qFormat/>
    <w:uiPriority w:val="0"/>
    <w:rPr>
      <w:rFonts w:ascii="宋体" w:hAnsi="Times New Roman" w:eastAsia="宋体" w:cs="Times New Roman"/>
      <w:kern w:val="0"/>
      <w:sz w:val="34"/>
      <w:szCs w:val="20"/>
    </w:rPr>
  </w:style>
  <w:style w:type="character" w:customStyle="1" w:styleId="53">
    <w:name w:val="HTML 预设格式 Char"/>
    <w:basedOn w:val="25"/>
    <w:link w:val="20"/>
    <w:semiHidden/>
    <w:qFormat/>
    <w:uiPriority w:val="99"/>
    <w:rPr>
      <w:rFonts w:ascii="宋体" w:hAnsi="宋体" w:eastAsia="宋体" w:cs="宋体"/>
      <w:kern w:val="0"/>
      <w:sz w:val="24"/>
      <w:szCs w:val="24"/>
    </w:rPr>
  </w:style>
  <w:style w:type="character" w:customStyle="1" w:styleId="54">
    <w:name w:val="HTML 预设格式 Char1"/>
    <w:basedOn w:val="25"/>
    <w:link w:val="20"/>
    <w:semiHidden/>
    <w:qFormat/>
    <w:uiPriority w:val="99"/>
    <w:rPr>
      <w:rFonts w:ascii="Courier New" w:hAnsi="Courier New" w:cs="Courier New"/>
      <w:sz w:val="20"/>
      <w:szCs w:val="20"/>
    </w:rPr>
  </w:style>
  <w:style w:type="character" w:customStyle="1" w:styleId="55">
    <w:name w:val="正文文本缩进 Char"/>
    <w:link w:val="11"/>
    <w:qFormat/>
    <w:uiPriority w:val="0"/>
    <w:rPr>
      <w:sz w:val="24"/>
    </w:rPr>
  </w:style>
  <w:style w:type="character" w:customStyle="1" w:styleId="56">
    <w:name w:val="正文文本缩进 Char1"/>
    <w:basedOn w:val="25"/>
    <w:link w:val="11"/>
    <w:semiHidden/>
    <w:qFormat/>
    <w:uiPriority w:val="99"/>
  </w:style>
  <w:style w:type="character" w:customStyle="1" w:styleId="57">
    <w:name w:val="批注框文本 Char"/>
    <w:basedOn w:val="25"/>
    <w:link w:val="16"/>
    <w:semiHidden/>
    <w:qFormat/>
    <w:uiPriority w:val="99"/>
    <w:rPr>
      <w:sz w:val="18"/>
      <w:szCs w:val="18"/>
    </w:rPr>
  </w:style>
  <w:style w:type="character" w:customStyle="1" w:styleId="58">
    <w:name w:val="批注框文本 Char1"/>
    <w:basedOn w:val="25"/>
    <w:link w:val="16"/>
    <w:semiHidden/>
    <w:qFormat/>
    <w:uiPriority w:val="99"/>
    <w:rPr>
      <w:sz w:val="18"/>
      <w:szCs w:val="18"/>
    </w:rPr>
  </w:style>
  <w:style w:type="paragraph" w:customStyle="1" w:styleId="59">
    <w:name w:val="普通(网站)1"/>
    <w:basedOn w:val="1"/>
    <w:qFormat/>
    <w:uiPriority w:val="0"/>
    <w:pPr>
      <w:widowControl/>
      <w:jc w:val="left"/>
    </w:pPr>
    <w:rPr>
      <w:rFonts w:ascii="宋体" w:hAnsi="宋体" w:eastAsia="宋体" w:cs="宋体"/>
      <w:kern w:val="0"/>
      <w:sz w:val="24"/>
      <w:szCs w:val="24"/>
    </w:rPr>
  </w:style>
  <w:style w:type="table" w:customStyle="1" w:styleId="60">
    <w:name w:val="网格型1"/>
    <w:basedOn w:val="23"/>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77</Pages>
  <Words>5715</Words>
  <Characters>32581</Characters>
  <Lines>271</Lines>
  <Paragraphs>76</Paragraphs>
  <TotalTime>42</TotalTime>
  <ScaleCrop>false</ScaleCrop>
  <LinksUpToDate>false</LinksUpToDate>
  <CharactersWithSpaces>38220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2019-10-29T02:40:00Z</dcterms:created>
  <dc:creator>许昌市公共资源交易中心:孟莉</dc:creator>
  <cp:lastModifiedBy>羊</cp:lastModifiedBy>
  <dcterms:modified xsi:type="dcterms:W3CDTF">2020-01-10T03:45:14Z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