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65" w:leftChars="-41" w:hanging="151" w:hangingChars="29"/>
        <w:jc w:val="center"/>
        <w:rPr>
          <w:rFonts w:cs="宋体" w:asciiTheme="majorEastAsia" w:hAnsiTheme="majorEastAsia" w:eastAsiaTheme="majorEastAsia"/>
          <w:b/>
          <w:bCs/>
          <w:sz w:val="52"/>
          <w:szCs w:val="48"/>
        </w:rPr>
      </w:pPr>
      <w:r>
        <w:rPr>
          <w:rFonts w:hint="eastAsia" w:cs="宋体" w:asciiTheme="majorEastAsia" w:hAnsiTheme="majorEastAsia" w:eastAsiaTheme="majorEastAsia"/>
          <w:b/>
          <w:bCs/>
          <w:sz w:val="52"/>
          <w:szCs w:val="48"/>
        </w:rPr>
        <w:t>襄城县汝河北路</w:t>
      </w:r>
    </w:p>
    <w:p>
      <w:pPr>
        <w:ind w:left="65" w:leftChars="-41" w:hanging="151" w:hangingChars="29"/>
        <w:jc w:val="center"/>
        <w:rPr>
          <w:rFonts w:cs="宋体" w:asciiTheme="majorEastAsia" w:hAnsiTheme="majorEastAsia" w:eastAsiaTheme="majorEastAsia"/>
          <w:b/>
          <w:bCs/>
          <w:sz w:val="52"/>
          <w:szCs w:val="48"/>
        </w:rPr>
      </w:pPr>
      <w:r>
        <w:rPr>
          <w:rFonts w:hint="eastAsia" w:cs="宋体" w:asciiTheme="majorEastAsia" w:hAnsiTheme="majorEastAsia" w:eastAsiaTheme="majorEastAsia"/>
          <w:b/>
          <w:bCs/>
          <w:sz w:val="52"/>
          <w:szCs w:val="48"/>
        </w:rPr>
        <w:t>（文化路-建设路）道路建设工程</w:t>
      </w:r>
    </w:p>
    <w:p>
      <w:pPr>
        <w:pStyle w:val="2"/>
        <w:ind w:firstLine="341"/>
      </w:pPr>
    </w:p>
    <w:p>
      <w:pPr>
        <w:pStyle w:val="2"/>
        <w:ind w:firstLine="341"/>
      </w:pPr>
    </w:p>
    <w:p>
      <w:pPr>
        <w:tabs>
          <w:tab w:val="left" w:pos="4242"/>
        </w:tabs>
        <w:autoSpaceDE w:val="0"/>
        <w:autoSpaceDN w:val="0"/>
        <w:adjustRightInd w:val="0"/>
        <w:jc w:val="center"/>
        <w:rPr>
          <w:rFonts w:hAnsi="宋体" w:cs="宋体"/>
          <w:b/>
          <w:bCs/>
          <w:sz w:val="100"/>
          <w:szCs w:val="100"/>
          <w:lang w:val="zh-CN"/>
        </w:rPr>
      </w:pPr>
      <w:bookmarkStart w:id="0" w:name="_Toc256690494"/>
      <w:bookmarkStart w:id="1" w:name="_Toc235936259"/>
      <w:r>
        <w:rPr>
          <w:rFonts w:hint="eastAsia" w:hAnsi="宋体" w:cs="宋体"/>
          <w:b/>
          <w:bCs/>
          <w:sz w:val="100"/>
          <w:szCs w:val="100"/>
          <w:lang w:val="zh-CN"/>
        </w:rPr>
        <w:t>施工招标文件</w:t>
      </w:r>
    </w:p>
    <w:bookmarkEnd w:id="0"/>
    <w:bookmarkEnd w:id="1"/>
    <w:p>
      <w:pPr>
        <w:rPr>
          <w:rFonts w:hAnsi="宋体" w:cs="宋体"/>
        </w:rPr>
      </w:pPr>
    </w:p>
    <w:p>
      <w:pPr>
        <w:ind w:firstLine="2409" w:firstLineChars="750"/>
        <w:jc w:val="left"/>
        <w:rPr>
          <w:rFonts w:cs="宋体" w:asciiTheme="minorEastAsia" w:hAnsiTheme="minorEastAsia"/>
          <w:b/>
          <w:bCs/>
          <w:sz w:val="32"/>
          <w:szCs w:val="32"/>
        </w:rPr>
      </w:pPr>
      <w:r>
        <w:rPr>
          <w:rFonts w:hint="eastAsia" w:cs="宋体" w:asciiTheme="minorEastAsia" w:hAnsiTheme="minorEastAsia"/>
          <w:b/>
          <w:bCs/>
          <w:sz w:val="32"/>
          <w:szCs w:val="32"/>
        </w:rPr>
        <w:t>项目编号：</w:t>
      </w:r>
      <w:r>
        <w:rPr>
          <w:rFonts w:cs="宋体" w:asciiTheme="minorEastAsia" w:hAnsiTheme="minorEastAsia"/>
          <w:b/>
          <w:bCs/>
          <w:sz w:val="32"/>
          <w:szCs w:val="32"/>
        </w:rPr>
        <w:t>XZ[</w:t>
      </w:r>
      <w:r>
        <w:rPr>
          <w:rFonts w:hint="eastAsia" w:cs="宋体" w:asciiTheme="minorEastAsia" w:hAnsiTheme="minorEastAsia"/>
          <w:b/>
          <w:bCs/>
          <w:sz w:val="32"/>
          <w:szCs w:val="32"/>
          <w:lang w:val="en-US" w:eastAsia="zh-CN"/>
        </w:rPr>
        <w:t>2020</w:t>
      </w:r>
      <w:r>
        <w:rPr>
          <w:rFonts w:cs="宋体" w:asciiTheme="minorEastAsia" w:hAnsiTheme="minorEastAsia"/>
          <w:b/>
          <w:bCs/>
          <w:sz w:val="32"/>
          <w:szCs w:val="32"/>
        </w:rPr>
        <w:t>]</w:t>
      </w:r>
      <w:r>
        <w:rPr>
          <w:rFonts w:hint="eastAsia" w:cs="宋体" w:asciiTheme="minorEastAsia" w:hAnsiTheme="minorEastAsia"/>
          <w:b/>
          <w:bCs/>
          <w:sz w:val="32"/>
          <w:szCs w:val="32"/>
          <w:lang w:val="en-US" w:eastAsia="zh-CN"/>
        </w:rPr>
        <w:t>003</w:t>
      </w:r>
      <w:r>
        <w:rPr>
          <w:rFonts w:hint="eastAsia" w:cs="宋体" w:asciiTheme="minorEastAsia" w:hAnsiTheme="minorEastAsia"/>
          <w:b/>
          <w:bCs/>
          <w:sz w:val="32"/>
          <w:szCs w:val="32"/>
        </w:rPr>
        <w:t>号</w:t>
      </w:r>
    </w:p>
    <w:p>
      <w:pPr>
        <w:spacing w:line="276" w:lineRule="auto"/>
        <w:rPr>
          <w:rFonts w:hAnsi="宋体" w:cs="宋体"/>
        </w:rPr>
      </w:pPr>
    </w:p>
    <w:p>
      <w:pPr>
        <w:spacing w:line="276" w:lineRule="auto"/>
        <w:rPr>
          <w:rFonts w:hAnsi="宋体" w:cs="宋体"/>
        </w:rPr>
      </w:pPr>
    </w:p>
    <w:p>
      <w:pPr>
        <w:spacing w:line="276" w:lineRule="auto"/>
        <w:rPr>
          <w:rFonts w:hAnsi="宋体" w:cs="宋体"/>
        </w:rPr>
      </w:pPr>
    </w:p>
    <w:p>
      <w:pPr>
        <w:spacing w:line="276" w:lineRule="auto"/>
        <w:rPr>
          <w:rFonts w:hAnsi="宋体" w:cs="宋体"/>
        </w:rPr>
      </w:pPr>
    </w:p>
    <w:p>
      <w:pPr>
        <w:spacing w:line="276" w:lineRule="auto"/>
        <w:rPr>
          <w:rFonts w:hAnsi="宋体" w:cs="宋体"/>
        </w:rPr>
      </w:pPr>
    </w:p>
    <w:p>
      <w:pPr>
        <w:spacing w:line="276" w:lineRule="auto"/>
        <w:rPr>
          <w:rFonts w:hAnsi="宋体" w:cs="宋体"/>
        </w:rPr>
      </w:pPr>
    </w:p>
    <w:p>
      <w:pPr>
        <w:spacing w:line="276" w:lineRule="auto"/>
        <w:rPr>
          <w:rFonts w:hAnsi="宋体" w:cs="宋体"/>
        </w:rPr>
      </w:pPr>
    </w:p>
    <w:p>
      <w:pPr>
        <w:spacing w:line="276" w:lineRule="auto"/>
        <w:rPr>
          <w:rFonts w:hAnsi="宋体" w:cs="宋体"/>
        </w:rPr>
      </w:pPr>
    </w:p>
    <w:p>
      <w:pPr>
        <w:spacing w:line="276" w:lineRule="auto"/>
        <w:rPr>
          <w:rFonts w:hAnsi="宋体" w:cs="宋体"/>
        </w:rPr>
      </w:pPr>
    </w:p>
    <w:p>
      <w:pPr>
        <w:spacing w:line="276" w:lineRule="auto"/>
        <w:rPr>
          <w:rFonts w:hAnsi="宋体" w:cs="宋体"/>
        </w:rPr>
      </w:pPr>
    </w:p>
    <w:p>
      <w:pPr>
        <w:spacing w:line="276" w:lineRule="auto"/>
        <w:rPr>
          <w:rFonts w:hAnsi="宋体" w:cs="宋体"/>
        </w:rPr>
      </w:pPr>
    </w:p>
    <w:p>
      <w:pPr>
        <w:spacing w:line="276" w:lineRule="auto"/>
      </w:pPr>
    </w:p>
    <w:p>
      <w:pPr>
        <w:spacing w:line="276" w:lineRule="auto"/>
        <w:ind w:firstLine="1174" w:firstLineChars="344"/>
        <w:rPr>
          <w:rFonts w:hAnsi="宋体" w:cs="宋体"/>
          <w:b/>
          <w:bCs/>
          <w:spacing w:val="20"/>
          <w:sz w:val="30"/>
          <w:szCs w:val="30"/>
        </w:rPr>
      </w:pPr>
      <w:r>
        <w:rPr>
          <w:rFonts w:hint="eastAsia" w:hAnsi="宋体" w:cs="宋体"/>
          <w:b/>
          <w:bCs/>
          <w:spacing w:val="20"/>
          <w:sz w:val="30"/>
          <w:szCs w:val="30"/>
        </w:rPr>
        <w:t>招 标 人：襄城县住房和城乡建设局</w:t>
      </w:r>
    </w:p>
    <w:p>
      <w:pPr>
        <w:spacing w:line="276" w:lineRule="auto"/>
        <w:ind w:firstLine="1174" w:firstLineChars="344"/>
        <w:rPr>
          <w:b/>
          <w:bCs/>
          <w:sz w:val="30"/>
          <w:szCs w:val="30"/>
        </w:rPr>
      </w:pPr>
      <w:r>
        <w:rPr>
          <w:rFonts w:hint="eastAsia" w:hAnsi="宋体" w:cs="宋体"/>
          <w:b/>
          <w:bCs/>
          <w:spacing w:val="20"/>
          <w:sz w:val="30"/>
          <w:szCs w:val="30"/>
        </w:rPr>
        <w:t>招标代理机构：河南英华咨询有限公司</w:t>
      </w:r>
    </w:p>
    <w:p>
      <w:pPr>
        <w:spacing w:line="360" w:lineRule="auto"/>
        <w:jc w:val="center"/>
        <w:rPr>
          <w:rFonts w:hAnsi="宋体" w:eastAsia="宋体" w:cs="宋体"/>
          <w:b/>
          <w:sz w:val="32"/>
          <w:szCs w:val="32"/>
        </w:rPr>
      </w:pPr>
      <w:r>
        <w:rPr>
          <w:rFonts w:hint="eastAsia" w:hAnsi="宋体" w:eastAsia="宋体" w:cs="宋体"/>
          <w:b/>
          <w:sz w:val="32"/>
          <w:szCs w:val="32"/>
        </w:rPr>
        <w:t>二〇二〇年一月</w:t>
      </w:r>
    </w:p>
    <w:p>
      <w:pPr>
        <w:widowControl/>
        <w:shd w:val="clear" w:color="auto" w:fill="FFFFFF"/>
        <w:spacing w:after="251" w:line="586" w:lineRule="atLeast"/>
        <w:jc w:val="center"/>
        <w:outlineLvl w:val="2"/>
        <w:rPr>
          <w:rFonts w:ascii="微软雅黑" w:hAnsi="微软雅黑" w:eastAsia="宋体" w:cs="Arial"/>
          <w:b/>
          <w:bCs/>
          <w:color w:val="000000"/>
          <w:kern w:val="0"/>
          <w:sz w:val="40"/>
          <w:szCs w:val="40"/>
        </w:rPr>
      </w:pPr>
    </w:p>
    <w:p>
      <w:pPr>
        <w:widowControl/>
        <w:shd w:val="clear" w:color="auto" w:fill="FFFFFF"/>
        <w:spacing w:after="251" w:line="586" w:lineRule="atLeast"/>
        <w:jc w:val="center"/>
        <w:outlineLvl w:val="2"/>
        <w:rPr>
          <w:rFonts w:ascii="微软雅黑" w:hAnsi="微软雅黑" w:eastAsia="宋体" w:cs="Arial"/>
          <w:b/>
          <w:bCs/>
          <w:color w:val="000000"/>
          <w:kern w:val="0"/>
          <w:sz w:val="40"/>
          <w:szCs w:val="40"/>
        </w:rPr>
      </w:pPr>
    </w:p>
    <w:p>
      <w:pPr>
        <w:jc w:val="center"/>
        <w:rPr>
          <w:rFonts w:hAnsi="宋体" w:cs="宋体"/>
          <w:b/>
          <w:sz w:val="44"/>
        </w:rPr>
      </w:pPr>
      <w:r>
        <w:rPr>
          <w:rFonts w:hint="eastAsia" w:hAnsi="宋体" w:cs="宋体"/>
          <w:b/>
          <w:sz w:val="44"/>
        </w:rPr>
        <w:t>目  录</w:t>
      </w:r>
    </w:p>
    <w:p>
      <w:pPr>
        <w:jc w:val="center"/>
        <w:rPr>
          <w:rFonts w:hAnsi="宋体" w:cs="宋体"/>
          <w:b/>
          <w:sz w:val="32"/>
        </w:rPr>
      </w:pPr>
    </w:p>
    <w:p>
      <w:pPr>
        <w:jc w:val="center"/>
        <w:rPr>
          <w:rFonts w:hAnsi="宋体" w:cs="宋体"/>
        </w:rPr>
      </w:pPr>
    </w:p>
    <w:p>
      <w:pPr>
        <w:pStyle w:val="26"/>
        <w:tabs>
          <w:tab w:val="right" w:leader="dot" w:pos="9638"/>
        </w:tabs>
        <w:rPr>
          <w:rFonts w:ascii="宋体" w:cs="宋体"/>
          <w:b/>
          <w:bCs/>
          <w:sz w:val="28"/>
          <w:szCs w:val="28"/>
        </w:rPr>
      </w:pPr>
      <w:r>
        <w:rPr>
          <w:rFonts w:hint="eastAsia" w:ascii="宋体" w:cs="宋体"/>
          <w:b/>
          <w:bCs/>
          <w:sz w:val="28"/>
          <w:szCs w:val="28"/>
        </w:rPr>
        <w:fldChar w:fldCharType="begin"/>
      </w:r>
      <w:r>
        <w:rPr>
          <w:rFonts w:hint="eastAsia" w:ascii="宋体" w:cs="宋体"/>
          <w:b/>
          <w:bCs/>
          <w:sz w:val="28"/>
          <w:szCs w:val="28"/>
        </w:rPr>
        <w:instrText xml:space="preserve">TOC \o "1-1" \h \u </w:instrText>
      </w:r>
      <w:r>
        <w:rPr>
          <w:rFonts w:hint="eastAsia" w:ascii="宋体" w:cs="宋体"/>
          <w:b/>
          <w:bCs/>
          <w:sz w:val="28"/>
          <w:szCs w:val="28"/>
        </w:rPr>
        <w:fldChar w:fldCharType="separate"/>
      </w:r>
      <w:r>
        <w:fldChar w:fldCharType="begin"/>
      </w:r>
      <w:r>
        <w:instrText xml:space="preserve"> HYPERLINK \l "_Toc11428" </w:instrText>
      </w:r>
      <w:r>
        <w:fldChar w:fldCharType="separate"/>
      </w:r>
      <w:r>
        <w:rPr>
          <w:rFonts w:hint="eastAsia" w:ascii="宋体" w:cs="宋体"/>
          <w:b/>
          <w:bCs/>
          <w:sz w:val="28"/>
          <w:szCs w:val="28"/>
        </w:rPr>
        <w:t>第一章  招标公告</w:t>
      </w:r>
      <w:r>
        <w:rPr>
          <w:rFonts w:hint="eastAsia" w:ascii="宋体" w:cs="宋体"/>
          <w:b/>
          <w:bCs/>
          <w:sz w:val="28"/>
          <w:szCs w:val="28"/>
        </w:rPr>
        <w:tab/>
      </w:r>
      <w:r>
        <w:rPr>
          <w:rFonts w:hint="eastAsia" w:ascii="宋体" w:cs="宋体"/>
          <w:b/>
          <w:bCs/>
          <w:sz w:val="28"/>
          <w:szCs w:val="28"/>
        </w:rPr>
        <w:fldChar w:fldCharType="end"/>
      </w:r>
      <w:r>
        <w:rPr>
          <w:rFonts w:hint="eastAsia"/>
        </w:rPr>
        <w:t>3</w:t>
      </w:r>
    </w:p>
    <w:p>
      <w:pPr>
        <w:pStyle w:val="26"/>
        <w:tabs>
          <w:tab w:val="right" w:leader="dot" w:pos="9638"/>
        </w:tabs>
        <w:rPr>
          <w:rFonts w:ascii="宋体" w:cs="宋体"/>
          <w:b/>
          <w:bCs/>
          <w:sz w:val="28"/>
          <w:szCs w:val="28"/>
        </w:rPr>
      </w:pPr>
      <w:r>
        <w:fldChar w:fldCharType="begin"/>
      </w:r>
      <w:r>
        <w:instrText xml:space="preserve"> HYPERLINK \l "_Toc15375" </w:instrText>
      </w:r>
      <w:r>
        <w:fldChar w:fldCharType="separate"/>
      </w:r>
      <w:r>
        <w:rPr>
          <w:rFonts w:hint="eastAsia" w:ascii="宋体" w:cs="宋体"/>
          <w:b/>
          <w:bCs/>
          <w:sz w:val="28"/>
          <w:szCs w:val="28"/>
        </w:rPr>
        <w:t>第二章  投标人须知</w:t>
      </w:r>
      <w:r>
        <w:rPr>
          <w:rFonts w:hint="eastAsia" w:ascii="宋体" w:cs="宋体"/>
          <w:b/>
          <w:bCs/>
          <w:sz w:val="28"/>
          <w:szCs w:val="28"/>
        </w:rPr>
        <w:tab/>
      </w:r>
      <w:r>
        <w:rPr>
          <w:rFonts w:hint="eastAsia" w:ascii="宋体" w:cs="宋体"/>
          <w:b/>
          <w:bCs/>
          <w:sz w:val="28"/>
          <w:szCs w:val="28"/>
        </w:rPr>
        <w:fldChar w:fldCharType="end"/>
      </w:r>
      <w:r>
        <w:rPr>
          <w:rFonts w:hint="eastAsia"/>
        </w:rPr>
        <w:t>9</w:t>
      </w:r>
    </w:p>
    <w:p>
      <w:pPr>
        <w:pStyle w:val="26"/>
        <w:tabs>
          <w:tab w:val="right" w:leader="dot" w:pos="9638"/>
        </w:tabs>
        <w:rPr>
          <w:rFonts w:ascii="宋体" w:cs="宋体"/>
          <w:b/>
          <w:bCs/>
          <w:sz w:val="28"/>
          <w:szCs w:val="28"/>
        </w:rPr>
      </w:pPr>
      <w:r>
        <w:fldChar w:fldCharType="begin"/>
      </w:r>
      <w:r>
        <w:instrText xml:space="preserve"> HYPERLINK \l "_Toc20990" </w:instrText>
      </w:r>
      <w:r>
        <w:fldChar w:fldCharType="separate"/>
      </w:r>
      <w:r>
        <w:rPr>
          <w:rFonts w:hint="eastAsia" w:ascii="宋体" w:cs="宋体"/>
          <w:b/>
          <w:bCs/>
          <w:sz w:val="28"/>
          <w:szCs w:val="28"/>
        </w:rPr>
        <w:t>第三章  评标办法（综合评标法）</w:t>
      </w:r>
      <w:r>
        <w:rPr>
          <w:rFonts w:hint="eastAsia" w:ascii="宋体" w:cs="宋体"/>
          <w:b/>
          <w:bCs/>
          <w:sz w:val="28"/>
          <w:szCs w:val="28"/>
        </w:rPr>
        <w:tab/>
      </w:r>
      <w:r>
        <w:rPr>
          <w:rFonts w:hint="eastAsia" w:ascii="宋体" w:cs="宋体"/>
          <w:b/>
          <w:bCs/>
          <w:sz w:val="28"/>
          <w:szCs w:val="28"/>
        </w:rPr>
        <w:fldChar w:fldCharType="end"/>
      </w:r>
      <w:r>
        <w:rPr>
          <w:rFonts w:hint="eastAsia"/>
        </w:rPr>
        <w:t>29</w:t>
      </w:r>
    </w:p>
    <w:p>
      <w:pPr>
        <w:pStyle w:val="26"/>
        <w:tabs>
          <w:tab w:val="right" w:leader="dot" w:pos="9638"/>
        </w:tabs>
        <w:rPr>
          <w:rFonts w:ascii="宋体" w:cs="宋体"/>
          <w:b/>
          <w:bCs/>
          <w:sz w:val="28"/>
          <w:szCs w:val="28"/>
        </w:rPr>
      </w:pPr>
      <w:r>
        <w:fldChar w:fldCharType="begin"/>
      </w:r>
      <w:r>
        <w:instrText xml:space="preserve"> HYPERLINK \l "_Toc11681" </w:instrText>
      </w:r>
      <w:r>
        <w:fldChar w:fldCharType="separate"/>
      </w:r>
      <w:r>
        <w:rPr>
          <w:rFonts w:hint="eastAsia" w:ascii="宋体" w:cs="宋体"/>
          <w:b/>
          <w:bCs/>
          <w:kern w:val="44"/>
          <w:sz w:val="28"/>
          <w:szCs w:val="28"/>
        </w:rPr>
        <w:t>第四章  合同条款及格式</w:t>
      </w:r>
      <w:r>
        <w:rPr>
          <w:rFonts w:hint="eastAsia" w:ascii="宋体" w:cs="宋体"/>
          <w:b/>
          <w:bCs/>
          <w:sz w:val="28"/>
          <w:szCs w:val="28"/>
        </w:rPr>
        <w:tab/>
      </w:r>
      <w:r>
        <w:rPr>
          <w:rFonts w:hint="eastAsia" w:ascii="宋体" w:cs="宋体"/>
          <w:b/>
          <w:bCs/>
          <w:sz w:val="28"/>
          <w:szCs w:val="28"/>
        </w:rPr>
        <w:fldChar w:fldCharType="end"/>
      </w:r>
      <w:r>
        <w:rPr>
          <w:rFonts w:hint="eastAsia"/>
        </w:rPr>
        <w:t>40</w:t>
      </w:r>
    </w:p>
    <w:p>
      <w:pPr>
        <w:pStyle w:val="26"/>
        <w:tabs>
          <w:tab w:val="right" w:leader="dot" w:pos="9638"/>
        </w:tabs>
        <w:rPr>
          <w:rFonts w:ascii="宋体" w:cs="宋体"/>
          <w:b/>
          <w:bCs/>
          <w:sz w:val="28"/>
          <w:szCs w:val="28"/>
        </w:rPr>
      </w:pPr>
      <w:r>
        <w:fldChar w:fldCharType="begin"/>
      </w:r>
      <w:r>
        <w:instrText xml:space="preserve"> HYPERLINK \l "_Toc15573" </w:instrText>
      </w:r>
      <w:r>
        <w:fldChar w:fldCharType="separate"/>
      </w:r>
      <w:r>
        <w:rPr>
          <w:rFonts w:hint="eastAsia" w:ascii="宋体" w:cs="宋体"/>
          <w:b/>
          <w:bCs/>
          <w:kern w:val="44"/>
          <w:sz w:val="28"/>
          <w:szCs w:val="28"/>
        </w:rPr>
        <w:t>第五章  工程量清单</w:t>
      </w:r>
      <w:r>
        <w:rPr>
          <w:rFonts w:hint="eastAsia" w:ascii="宋体" w:cs="宋体"/>
          <w:b/>
          <w:bCs/>
          <w:sz w:val="28"/>
          <w:szCs w:val="28"/>
        </w:rPr>
        <w:tab/>
      </w:r>
      <w:r>
        <w:rPr>
          <w:rFonts w:hint="eastAsia" w:ascii="宋体" w:cs="宋体"/>
          <w:b/>
          <w:bCs/>
          <w:sz w:val="28"/>
          <w:szCs w:val="28"/>
        </w:rPr>
        <w:fldChar w:fldCharType="end"/>
      </w:r>
      <w:r>
        <w:rPr>
          <w:rFonts w:hint="eastAsia"/>
        </w:rPr>
        <w:t>41</w:t>
      </w:r>
    </w:p>
    <w:p>
      <w:pPr>
        <w:pStyle w:val="26"/>
        <w:tabs>
          <w:tab w:val="right" w:leader="dot" w:pos="9638"/>
        </w:tabs>
        <w:rPr>
          <w:rFonts w:ascii="宋体" w:cs="宋体"/>
          <w:b/>
          <w:bCs/>
          <w:sz w:val="28"/>
          <w:szCs w:val="28"/>
        </w:rPr>
      </w:pPr>
      <w:r>
        <w:fldChar w:fldCharType="begin"/>
      </w:r>
      <w:r>
        <w:instrText xml:space="preserve"> HYPERLINK \l "_Toc9650" </w:instrText>
      </w:r>
      <w:r>
        <w:fldChar w:fldCharType="separate"/>
      </w:r>
      <w:r>
        <w:rPr>
          <w:rFonts w:hint="eastAsia" w:ascii="宋体" w:cs="宋体"/>
          <w:b/>
          <w:bCs/>
          <w:sz w:val="28"/>
          <w:szCs w:val="28"/>
        </w:rPr>
        <w:t>第六章  图 纸</w:t>
      </w:r>
      <w:r>
        <w:rPr>
          <w:rFonts w:hint="eastAsia" w:ascii="宋体" w:cs="宋体"/>
          <w:b/>
          <w:bCs/>
          <w:sz w:val="28"/>
          <w:szCs w:val="28"/>
        </w:rPr>
        <w:tab/>
      </w:r>
      <w:r>
        <w:rPr>
          <w:rFonts w:hint="eastAsia" w:ascii="宋体" w:cs="宋体"/>
          <w:b/>
          <w:bCs/>
          <w:sz w:val="28"/>
          <w:szCs w:val="28"/>
        </w:rPr>
        <w:fldChar w:fldCharType="end"/>
      </w:r>
      <w:r>
        <w:rPr>
          <w:rFonts w:hint="eastAsia"/>
        </w:rPr>
        <w:t>48</w:t>
      </w:r>
    </w:p>
    <w:p>
      <w:pPr>
        <w:pStyle w:val="26"/>
        <w:tabs>
          <w:tab w:val="right" w:leader="dot" w:pos="9638"/>
        </w:tabs>
        <w:rPr>
          <w:rFonts w:ascii="宋体" w:cs="宋体"/>
          <w:b/>
          <w:bCs/>
          <w:sz w:val="28"/>
          <w:szCs w:val="28"/>
        </w:rPr>
      </w:pPr>
      <w:r>
        <w:fldChar w:fldCharType="begin"/>
      </w:r>
      <w:r>
        <w:instrText xml:space="preserve"> HYPERLINK \l "_Toc2791" </w:instrText>
      </w:r>
      <w:r>
        <w:fldChar w:fldCharType="separate"/>
      </w:r>
      <w:r>
        <w:rPr>
          <w:rFonts w:hint="eastAsia" w:ascii="宋体" w:cs="宋体"/>
          <w:b/>
          <w:bCs/>
          <w:sz w:val="28"/>
          <w:szCs w:val="28"/>
        </w:rPr>
        <w:t>第七章  技术标准和要求</w:t>
      </w:r>
      <w:r>
        <w:rPr>
          <w:rFonts w:hint="eastAsia" w:ascii="宋体" w:cs="宋体"/>
          <w:b/>
          <w:bCs/>
          <w:sz w:val="28"/>
          <w:szCs w:val="28"/>
        </w:rPr>
        <w:tab/>
      </w:r>
      <w:r>
        <w:rPr>
          <w:rFonts w:hint="eastAsia" w:ascii="宋体" w:cs="宋体"/>
          <w:b/>
          <w:bCs/>
          <w:sz w:val="28"/>
          <w:szCs w:val="28"/>
        </w:rPr>
        <w:fldChar w:fldCharType="end"/>
      </w:r>
      <w:r>
        <w:rPr>
          <w:rFonts w:hint="eastAsia"/>
        </w:rPr>
        <w:t>48</w:t>
      </w:r>
    </w:p>
    <w:p>
      <w:pPr>
        <w:pStyle w:val="26"/>
        <w:tabs>
          <w:tab w:val="right" w:leader="dot" w:pos="9638"/>
        </w:tabs>
        <w:rPr>
          <w:rFonts w:ascii="宋体" w:cs="宋体"/>
          <w:b/>
          <w:bCs/>
          <w:sz w:val="28"/>
          <w:szCs w:val="28"/>
        </w:rPr>
      </w:pPr>
      <w:r>
        <w:fldChar w:fldCharType="begin"/>
      </w:r>
      <w:r>
        <w:instrText xml:space="preserve"> HYPERLINK \l "_Toc18525" </w:instrText>
      </w:r>
      <w:r>
        <w:fldChar w:fldCharType="separate"/>
      </w:r>
      <w:r>
        <w:rPr>
          <w:rFonts w:hint="eastAsia" w:ascii="宋体" w:cs="宋体"/>
          <w:b/>
          <w:bCs/>
          <w:sz w:val="28"/>
          <w:szCs w:val="28"/>
        </w:rPr>
        <w:t>第八章  投标文件格式</w:t>
      </w:r>
      <w:r>
        <w:rPr>
          <w:rFonts w:hint="eastAsia" w:ascii="宋体" w:cs="宋体"/>
          <w:b/>
          <w:bCs/>
          <w:sz w:val="28"/>
          <w:szCs w:val="28"/>
        </w:rPr>
        <w:tab/>
      </w:r>
      <w:r>
        <w:rPr>
          <w:rFonts w:hint="eastAsia" w:ascii="宋体" w:cs="宋体"/>
          <w:b/>
          <w:bCs/>
          <w:sz w:val="28"/>
          <w:szCs w:val="28"/>
        </w:rPr>
        <w:fldChar w:fldCharType="end"/>
      </w:r>
      <w:r>
        <w:rPr>
          <w:rFonts w:hint="eastAsia"/>
        </w:rPr>
        <w:t>49</w:t>
      </w:r>
    </w:p>
    <w:p>
      <w:pPr>
        <w:widowControl/>
        <w:shd w:val="clear" w:color="auto" w:fill="FFFFFF"/>
        <w:spacing w:after="251" w:line="586" w:lineRule="atLeast"/>
        <w:jc w:val="center"/>
        <w:outlineLvl w:val="2"/>
        <w:rPr>
          <w:rFonts w:ascii="宋体" w:hAnsi="宋体" w:cs="宋体"/>
          <w:b/>
          <w:bCs/>
          <w:sz w:val="28"/>
          <w:szCs w:val="28"/>
        </w:rPr>
      </w:pPr>
      <w:r>
        <w:rPr>
          <w:rFonts w:hint="eastAsia" w:ascii="宋体" w:hAnsi="宋体" w:cs="宋体"/>
          <w:b/>
          <w:bCs/>
          <w:sz w:val="28"/>
          <w:szCs w:val="28"/>
        </w:rPr>
        <w:fldChar w:fldCharType="end"/>
      </w:r>
    </w:p>
    <w:p>
      <w:pPr>
        <w:widowControl/>
        <w:shd w:val="clear" w:color="auto" w:fill="FFFFFF"/>
        <w:spacing w:after="251" w:line="586" w:lineRule="atLeast"/>
        <w:jc w:val="center"/>
        <w:outlineLvl w:val="2"/>
        <w:rPr>
          <w:rFonts w:ascii="宋体" w:hAnsi="宋体" w:cs="宋体"/>
          <w:b/>
          <w:bCs/>
          <w:sz w:val="28"/>
          <w:szCs w:val="28"/>
        </w:rPr>
      </w:pPr>
    </w:p>
    <w:p>
      <w:pPr>
        <w:widowControl/>
        <w:shd w:val="clear" w:color="auto" w:fill="FFFFFF"/>
        <w:spacing w:after="251" w:line="586" w:lineRule="atLeast"/>
        <w:jc w:val="center"/>
        <w:outlineLvl w:val="2"/>
        <w:rPr>
          <w:rFonts w:ascii="宋体" w:hAnsi="宋体" w:cs="宋体"/>
          <w:b/>
          <w:bCs/>
          <w:sz w:val="28"/>
          <w:szCs w:val="28"/>
        </w:rPr>
      </w:pPr>
    </w:p>
    <w:p>
      <w:pPr>
        <w:widowControl/>
        <w:shd w:val="clear" w:color="auto" w:fill="FFFFFF"/>
        <w:spacing w:after="251" w:line="586" w:lineRule="atLeast"/>
        <w:jc w:val="center"/>
        <w:outlineLvl w:val="2"/>
        <w:rPr>
          <w:rFonts w:ascii="宋体" w:hAnsi="宋体" w:cs="宋体"/>
          <w:b/>
          <w:bCs/>
          <w:sz w:val="28"/>
          <w:szCs w:val="28"/>
        </w:rPr>
      </w:pPr>
    </w:p>
    <w:p>
      <w:pPr>
        <w:widowControl/>
        <w:shd w:val="clear" w:color="auto" w:fill="FFFFFF"/>
        <w:spacing w:after="251" w:line="586" w:lineRule="atLeast"/>
        <w:jc w:val="center"/>
        <w:outlineLvl w:val="2"/>
        <w:rPr>
          <w:rFonts w:ascii="宋体" w:hAnsi="宋体" w:cs="宋体"/>
          <w:b/>
          <w:bCs/>
          <w:sz w:val="28"/>
          <w:szCs w:val="28"/>
        </w:rPr>
      </w:pPr>
    </w:p>
    <w:p>
      <w:pPr>
        <w:widowControl/>
        <w:shd w:val="clear" w:color="auto" w:fill="FFFFFF"/>
        <w:spacing w:after="251" w:line="586" w:lineRule="atLeast"/>
        <w:jc w:val="center"/>
        <w:outlineLvl w:val="2"/>
        <w:rPr>
          <w:rFonts w:ascii="宋体" w:hAnsi="宋体" w:cs="宋体"/>
          <w:b/>
          <w:bCs/>
          <w:sz w:val="28"/>
          <w:szCs w:val="28"/>
        </w:rPr>
      </w:pPr>
    </w:p>
    <w:p>
      <w:pPr>
        <w:widowControl/>
        <w:shd w:val="clear" w:color="auto" w:fill="FFFFFF"/>
        <w:spacing w:line="360" w:lineRule="auto"/>
        <w:outlineLvl w:val="2"/>
        <w:rPr>
          <w:rFonts w:cs="Arial" w:asciiTheme="majorEastAsia" w:hAnsiTheme="majorEastAsia" w:eastAsiaTheme="majorEastAsia"/>
          <w:b/>
          <w:bCs/>
          <w:color w:val="000000"/>
          <w:kern w:val="0"/>
          <w:sz w:val="36"/>
          <w:szCs w:val="36"/>
        </w:rPr>
      </w:pPr>
      <w:bookmarkStart w:id="2" w:name="_Toc530831329"/>
    </w:p>
    <w:p>
      <w:pPr>
        <w:pStyle w:val="2"/>
        <w:ind w:firstLine="341"/>
      </w:pPr>
    </w:p>
    <w:p>
      <w:pPr>
        <w:widowControl/>
        <w:shd w:val="clear" w:color="auto" w:fill="FFFFFF"/>
        <w:spacing w:line="360" w:lineRule="auto"/>
        <w:jc w:val="center"/>
        <w:outlineLvl w:val="2"/>
        <w:rPr>
          <w:rFonts w:cs="Arial" w:asciiTheme="majorEastAsia" w:hAnsiTheme="majorEastAsia" w:eastAsiaTheme="majorEastAsia"/>
          <w:b/>
          <w:bCs/>
          <w:color w:val="000000"/>
          <w:kern w:val="0"/>
          <w:sz w:val="36"/>
          <w:szCs w:val="36"/>
        </w:rPr>
      </w:pPr>
      <w:r>
        <w:rPr>
          <w:rFonts w:hint="eastAsia" w:cs="Arial" w:asciiTheme="majorEastAsia" w:hAnsiTheme="majorEastAsia" w:eastAsiaTheme="majorEastAsia"/>
          <w:b/>
          <w:bCs/>
          <w:color w:val="000000"/>
          <w:kern w:val="0"/>
          <w:sz w:val="36"/>
          <w:szCs w:val="36"/>
        </w:rPr>
        <w:t>第一章  招标公告</w:t>
      </w:r>
      <w:bookmarkEnd w:id="2"/>
    </w:p>
    <w:p>
      <w:pPr>
        <w:widowControl/>
        <w:shd w:val="clear" w:color="auto" w:fill="FFFFFF"/>
        <w:spacing w:line="360" w:lineRule="auto"/>
        <w:jc w:val="center"/>
        <w:outlineLvl w:val="2"/>
        <w:rPr>
          <w:rFonts w:cs="Arial" w:asciiTheme="majorEastAsia" w:hAnsiTheme="majorEastAsia" w:eastAsiaTheme="majorEastAsia"/>
          <w:b/>
          <w:bCs/>
          <w:color w:val="000000"/>
          <w:kern w:val="0"/>
          <w:sz w:val="36"/>
          <w:szCs w:val="36"/>
        </w:rPr>
      </w:pPr>
      <w:r>
        <w:rPr>
          <w:rFonts w:cs="Arial" w:asciiTheme="majorEastAsia" w:hAnsiTheme="majorEastAsia" w:eastAsiaTheme="majorEastAsia"/>
          <w:b/>
          <w:bCs/>
          <w:color w:val="000000"/>
          <w:kern w:val="0"/>
          <w:sz w:val="36"/>
          <w:szCs w:val="36"/>
        </w:rPr>
        <w:t>XZ[</w:t>
      </w:r>
      <w:r>
        <w:rPr>
          <w:rFonts w:hint="eastAsia" w:cs="Arial" w:asciiTheme="majorEastAsia" w:hAnsiTheme="majorEastAsia" w:eastAsiaTheme="majorEastAsia"/>
          <w:b/>
          <w:bCs/>
          <w:color w:val="000000"/>
          <w:kern w:val="0"/>
          <w:sz w:val="36"/>
          <w:szCs w:val="36"/>
          <w:lang w:val="en-US" w:eastAsia="zh-CN"/>
        </w:rPr>
        <w:t>2020</w:t>
      </w:r>
      <w:r>
        <w:rPr>
          <w:rFonts w:cs="Arial" w:asciiTheme="majorEastAsia" w:hAnsiTheme="majorEastAsia" w:eastAsiaTheme="majorEastAsia"/>
          <w:b/>
          <w:bCs/>
          <w:color w:val="000000"/>
          <w:kern w:val="0"/>
          <w:sz w:val="36"/>
          <w:szCs w:val="36"/>
        </w:rPr>
        <w:t>]</w:t>
      </w:r>
      <w:r>
        <w:rPr>
          <w:rFonts w:hint="eastAsia" w:cs="Arial" w:asciiTheme="majorEastAsia" w:hAnsiTheme="majorEastAsia" w:eastAsiaTheme="majorEastAsia"/>
          <w:b/>
          <w:bCs/>
          <w:color w:val="000000"/>
          <w:kern w:val="0"/>
          <w:sz w:val="36"/>
          <w:szCs w:val="36"/>
          <w:lang w:val="en-US" w:eastAsia="zh-CN"/>
        </w:rPr>
        <w:t>003</w:t>
      </w:r>
      <w:r>
        <w:rPr>
          <w:rFonts w:cs="Arial" w:asciiTheme="majorEastAsia" w:hAnsiTheme="majorEastAsia" w:eastAsiaTheme="majorEastAsia"/>
          <w:b/>
          <w:bCs/>
          <w:color w:val="000000"/>
          <w:kern w:val="0"/>
          <w:sz w:val="36"/>
          <w:szCs w:val="36"/>
        </w:rPr>
        <w:t>号</w:t>
      </w:r>
      <w:r>
        <w:rPr>
          <w:rFonts w:hint="eastAsia" w:cs="Arial" w:asciiTheme="majorEastAsia" w:hAnsiTheme="majorEastAsia" w:eastAsiaTheme="majorEastAsia"/>
          <w:b/>
          <w:bCs/>
          <w:color w:val="000000"/>
          <w:kern w:val="0"/>
          <w:sz w:val="36"/>
          <w:szCs w:val="36"/>
        </w:rPr>
        <w:t>襄城县汝河北路（文化路-建设路）道路建设工程</w:t>
      </w:r>
      <w:r>
        <w:rPr>
          <w:rFonts w:cs="Arial" w:asciiTheme="majorEastAsia" w:hAnsiTheme="majorEastAsia" w:eastAsiaTheme="majorEastAsia"/>
          <w:b/>
          <w:bCs/>
          <w:color w:val="000000"/>
          <w:kern w:val="0"/>
          <w:sz w:val="36"/>
          <w:szCs w:val="36"/>
        </w:rPr>
        <w:t>-招标公告</w:t>
      </w:r>
    </w:p>
    <w:p>
      <w:pPr>
        <w:widowControl/>
        <w:shd w:val="clear" w:color="auto" w:fill="FFFFFF"/>
        <w:spacing w:line="360" w:lineRule="auto"/>
        <w:ind w:firstLine="482" w:firstLineChars="200"/>
        <w:jc w:val="left"/>
        <w:rPr>
          <w:rFonts w:cs="宋体" w:asciiTheme="minorEastAsia" w:hAnsiTheme="minorEastAsia"/>
          <w:color w:val="000000"/>
          <w:kern w:val="0"/>
          <w:sz w:val="24"/>
          <w:szCs w:val="24"/>
        </w:rPr>
      </w:pPr>
      <w:r>
        <w:rPr>
          <w:rFonts w:hint="eastAsia" w:cs="宋体" w:asciiTheme="minorEastAsia" w:hAnsiTheme="minorEastAsia"/>
          <w:b/>
          <w:bCs/>
          <w:color w:val="000000"/>
          <w:kern w:val="0"/>
          <w:sz w:val="24"/>
          <w:szCs w:val="24"/>
        </w:rPr>
        <w:t>1.招标条件</w:t>
      </w:r>
    </w:p>
    <w:p>
      <w:pPr>
        <w:widowControl/>
        <w:shd w:val="clear" w:color="auto" w:fill="FFFFFF"/>
        <w:spacing w:line="360" w:lineRule="auto"/>
        <w:ind w:firstLine="480" w:firstLineChars="20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本次招标项目</w:t>
      </w:r>
      <w:r>
        <w:rPr>
          <w:rFonts w:hint="eastAsia" w:cs="宋体" w:asciiTheme="minorEastAsia" w:hAnsiTheme="minorEastAsia"/>
          <w:bCs/>
          <w:color w:val="000000"/>
          <w:kern w:val="0"/>
          <w:sz w:val="24"/>
          <w:szCs w:val="24"/>
        </w:rPr>
        <w:t>襄城县汝河北路（文化路-建设路）道路建设工程</w:t>
      </w:r>
      <w:r>
        <w:rPr>
          <w:rFonts w:hint="eastAsia" w:cs="宋体" w:asciiTheme="minorEastAsia" w:hAnsiTheme="minorEastAsia"/>
          <w:color w:val="000000"/>
          <w:kern w:val="0"/>
          <w:sz w:val="24"/>
          <w:szCs w:val="24"/>
        </w:rPr>
        <w:t>已由相关部门批准建设，招标人为</w:t>
      </w:r>
      <w:r>
        <w:rPr>
          <w:rFonts w:hint="eastAsia" w:cs="宋体" w:asciiTheme="minorEastAsia" w:hAnsiTheme="minorEastAsia"/>
          <w:bCs/>
          <w:color w:val="000000"/>
          <w:kern w:val="0"/>
          <w:sz w:val="24"/>
          <w:szCs w:val="24"/>
        </w:rPr>
        <w:t>襄城县住房和城乡建设局</w:t>
      </w:r>
      <w:r>
        <w:rPr>
          <w:rFonts w:hint="eastAsia" w:cs="宋体" w:asciiTheme="minorEastAsia" w:hAnsiTheme="minorEastAsia"/>
          <w:color w:val="000000"/>
          <w:kern w:val="0"/>
          <w:sz w:val="24"/>
          <w:szCs w:val="24"/>
        </w:rPr>
        <w:t>，资金来源为财政资金，项目资金已落实，该项目已具备招标条件，现对该项目进行公开招标。</w:t>
      </w:r>
    </w:p>
    <w:p>
      <w:pPr>
        <w:widowControl/>
        <w:shd w:val="clear" w:color="auto" w:fill="FFFFFF"/>
        <w:spacing w:line="360" w:lineRule="auto"/>
        <w:ind w:firstLine="482" w:firstLineChars="200"/>
        <w:jc w:val="left"/>
        <w:rPr>
          <w:rFonts w:cs="宋体" w:asciiTheme="minorEastAsia" w:hAnsiTheme="minorEastAsia"/>
          <w:color w:val="000000"/>
          <w:kern w:val="0"/>
          <w:sz w:val="24"/>
          <w:szCs w:val="24"/>
        </w:rPr>
      </w:pPr>
      <w:r>
        <w:rPr>
          <w:rFonts w:hint="eastAsia" w:cs="宋体" w:asciiTheme="minorEastAsia" w:hAnsiTheme="minorEastAsia"/>
          <w:b/>
          <w:bCs/>
          <w:color w:val="000000"/>
          <w:kern w:val="0"/>
          <w:sz w:val="24"/>
          <w:szCs w:val="24"/>
        </w:rPr>
        <w:t>2.项目概况与招标内容</w:t>
      </w:r>
    </w:p>
    <w:p>
      <w:pPr>
        <w:widowControl/>
        <w:shd w:val="clear" w:color="auto" w:fill="FFFFFF"/>
        <w:spacing w:line="360" w:lineRule="auto"/>
        <w:ind w:firstLine="482" w:firstLineChars="200"/>
        <w:rPr>
          <w:rFonts w:cs="宋体" w:asciiTheme="minorEastAsia" w:hAnsiTheme="minorEastAsia"/>
          <w:color w:val="000000"/>
          <w:kern w:val="0"/>
          <w:sz w:val="24"/>
          <w:szCs w:val="24"/>
        </w:rPr>
      </w:pPr>
      <w:r>
        <w:rPr>
          <w:rFonts w:cs="宋体" w:asciiTheme="minorEastAsia" w:hAnsiTheme="minorEastAsia"/>
          <w:b/>
          <w:bCs/>
          <w:color w:val="000000"/>
          <w:kern w:val="0"/>
          <w:sz w:val="24"/>
          <w:szCs w:val="24"/>
        </w:rPr>
        <w:t>2.1项目编号：</w:t>
      </w:r>
      <w:r>
        <w:rPr>
          <w:rFonts w:cs="宋体" w:asciiTheme="minorEastAsia" w:hAnsiTheme="minorEastAsia"/>
          <w:b w:val="0"/>
          <w:bCs w:val="0"/>
          <w:color w:val="000000"/>
          <w:kern w:val="0"/>
          <w:sz w:val="24"/>
          <w:szCs w:val="24"/>
        </w:rPr>
        <w:t>XZ[</w:t>
      </w:r>
      <w:r>
        <w:rPr>
          <w:rFonts w:hint="eastAsia" w:cs="宋体" w:asciiTheme="minorEastAsia" w:hAnsiTheme="minorEastAsia"/>
          <w:b w:val="0"/>
          <w:bCs w:val="0"/>
          <w:color w:val="000000"/>
          <w:kern w:val="0"/>
          <w:sz w:val="24"/>
          <w:szCs w:val="24"/>
          <w:lang w:val="en-US" w:eastAsia="zh-CN"/>
        </w:rPr>
        <w:t>2020</w:t>
      </w:r>
      <w:r>
        <w:rPr>
          <w:rFonts w:cs="宋体" w:asciiTheme="minorEastAsia" w:hAnsiTheme="minorEastAsia"/>
          <w:b w:val="0"/>
          <w:bCs w:val="0"/>
          <w:color w:val="000000"/>
          <w:kern w:val="0"/>
          <w:sz w:val="24"/>
          <w:szCs w:val="24"/>
        </w:rPr>
        <w:t>]</w:t>
      </w:r>
      <w:r>
        <w:rPr>
          <w:rFonts w:hint="eastAsia" w:cs="宋体" w:asciiTheme="minorEastAsia" w:hAnsiTheme="minorEastAsia"/>
          <w:b w:val="0"/>
          <w:bCs w:val="0"/>
          <w:color w:val="000000"/>
          <w:kern w:val="0"/>
          <w:sz w:val="24"/>
          <w:szCs w:val="24"/>
          <w:lang w:val="en-US" w:eastAsia="zh-CN"/>
        </w:rPr>
        <w:t>003</w:t>
      </w:r>
      <w:r>
        <w:rPr>
          <w:rFonts w:cs="宋体" w:asciiTheme="minorEastAsia" w:hAnsiTheme="minorEastAsia"/>
          <w:color w:val="000000"/>
          <w:kern w:val="0"/>
          <w:sz w:val="24"/>
          <w:szCs w:val="24"/>
        </w:rPr>
        <w:t xml:space="preserve">号；    </w:t>
      </w:r>
    </w:p>
    <w:p>
      <w:pPr>
        <w:widowControl/>
        <w:shd w:val="clear" w:color="auto" w:fill="FFFFFF"/>
        <w:spacing w:line="360" w:lineRule="auto"/>
        <w:ind w:firstLine="482" w:firstLineChars="200"/>
        <w:rPr>
          <w:rFonts w:cs="宋体" w:asciiTheme="minorEastAsia" w:hAnsiTheme="minorEastAsia"/>
          <w:color w:val="000000"/>
          <w:kern w:val="0"/>
          <w:sz w:val="24"/>
          <w:szCs w:val="24"/>
        </w:rPr>
      </w:pPr>
      <w:r>
        <w:rPr>
          <w:rFonts w:cs="宋体" w:asciiTheme="minorEastAsia" w:hAnsiTheme="minorEastAsia"/>
          <w:b/>
          <w:bCs/>
          <w:color w:val="000000"/>
          <w:kern w:val="0"/>
          <w:sz w:val="24"/>
          <w:szCs w:val="24"/>
        </w:rPr>
        <w:t>2.2项目建设地点：</w:t>
      </w:r>
      <w:r>
        <w:rPr>
          <w:rFonts w:cs="宋体" w:asciiTheme="minorEastAsia" w:hAnsiTheme="minorEastAsia"/>
          <w:color w:val="000000"/>
          <w:kern w:val="0"/>
          <w:sz w:val="24"/>
          <w:szCs w:val="24"/>
        </w:rPr>
        <w:t>襄城县境内；</w:t>
      </w:r>
    </w:p>
    <w:p>
      <w:pPr>
        <w:widowControl/>
        <w:shd w:val="clear" w:color="auto" w:fill="FFFFFF"/>
        <w:spacing w:line="360" w:lineRule="auto"/>
        <w:ind w:firstLine="482" w:firstLineChars="200"/>
        <w:rPr>
          <w:rFonts w:cs="宋体" w:asciiTheme="minorEastAsia" w:hAnsiTheme="minorEastAsia"/>
          <w:color w:val="000000"/>
          <w:kern w:val="0"/>
          <w:sz w:val="24"/>
          <w:szCs w:val="24"/>
        </w:rPr>
      </w:pPr>
      <w:r>
        <w:rPr>
          <w:rFonts w:cs="宋体" w:asciiTheme="minorEastAsia" w:hAnsiTheme="minorEastAsia"/>
          <w:b/>
          <w:bCs/>
          <w:color w:val="000000"/>
          <w:kern w:val="0"/>
          <w:sz w:val="24"/>
          <w:szCs w:val="24"/>
        </w:rPr>
        <w:t>2.3项目概况：</w:t>
      </w:r>
      <w:r>
        <w:rPr>
          <w:rFonts w:hint="eastAsia" w:cs="宋体" w:asciiTheme="minorEastAsia" w:hAnsiTheme="minorEastAsia"/>
          <w:color w:val="000000"/>
          <w:kern w:val="0"/>
          <w:sz w:val="24"/>
          <w:szCs w:val="24"/>
        </w:rPr>
        <w:t>汝河北路位于许昌市襄城县，道路性质为南北向城市支路，本次范围为南起现状文化路，北至现状建设路，眼线与文明路相交，本次设计道路全程约690.5米，道路红线宽30m；包含道路工程、雨水工程、污水工程、交通工程、照明工程及绿化工程；</w:t>
      </w:r>
    </w:p>
    <w:p>
      <w:pPr>
        <w:widowControl/>
        <w:shd w:val="clear" w:color="auto" w:fill="FFFFFF"/>
        <w:spacing w:line="360" w:lineRule="auto"/>
        <w:ind w:firstLine="482" w:firstLineChars="200"/>
        <w:rPr>
          <w:rFonts w:cs="宋体" w:asciiTheme="minorEastAsia" w:hAnsiTheme="minorEastAsia"/>
          <w:color w:val="000000"/>
          <w:kern w:val="0"/>
          <w:sz w:val="24"/>
          <w:szCs w:val="24"/>
        </w:rPr>
      </w:pPr>
      <w:r>
        <w:rPr>
          <w:rFonts w:cs="宋体" w:asciiTheme="minorEastAsia" w:hAnsiTheme="minorEastAsia"/>
          <w:b/>
          <w:bCs/>
          <w:color w:val="000000"/>
          <w:kern w:val="0"/>
          <w:sz w:val="24"/>
          <w:szCs w:val="24"/>
        </w:rPr>
        <w:t>2.4招标范围：</w:t>
      </w:r>
      <w:r>
        <w:rPr>
          <w:rFonts w:cs="宋体" w:asciiTheme="minorEastAsia" w:hAnsiTheme="minorEastAsia"/>
          <w:color w:val="000000"/>
          <w:kern w:val="0"/>
          <w:sz w:val="24"/>
          <w:szCs w:val="24"/>
        </w:rPr>
        <w:t>招标文件、工程量清单、图纸、答疑纪要和补充文件（如有）范围内的所有建设内容；</w:t>
      </w:r>
    </w:p>
    <w:p>
      <w:pPr>
        <w:pStyle w:val="28"/>
        <w:adjustRightInd w:val="0"/>
        <w:snapToGrid w:val="0"/>
        <w:spacing w:before="0" w:beforeAutospacing="0" w:after="0" w:afterAutospacing="0" w:line="360" w:lineRule="auto"/>
        <w:ind w:firstLine="482" w:firstLineChars="200"/>
        <w:jc w:val="both"/>
        <w:rPr>
          <w:rFonts w:asciiTheme="minorEastAsia" w:hAnsiTheme="minorEastAsia" w:eastAsiaTheme="minorEastAsia"/>
          <w:szCs w:val="24"/>
        </w:rPr>
      </w:pPr>
      <w:r>
        <w:rPr>
          <w:rFonts w:hint="eastAsia" w:asciiTheme="minorEastAsia" w:hAnsiTheme="minorEastAsia" w:eastAsiaTheme="minorEastAsia"/>
          <w:b/>
          <w:bCs/>
          <w:color w:val="000000"/>
          <w:szCs w:val="24"/>
        </w:rPr>
        <w:t>2.5标段划分：</w:t>
      </w:r>
      <w:r>
        <w:rPr>
          <w:rFonts w:hint="eastAsia" w:asciiTheme="minorEastAsia" w:hAnsiTheme="minorEastAsia" w:eastAsiaTheme="minorEastAsia"/>
          <w:szCs w:val="24"/>
        </w:rPr>
        <w:t>本次招标共划分为三个标段；</w:t>
      </w:r>
    </w:p>
    <w:tbl>
      <w:tblPr>
        <w:tblStyle w:val="30"/>
        <w:tblpPr w:leftFromText="180" w:rightFromText="180" w:vertAnchor="text" w:tblpX="-328"/>
        <w:tblW w:w="5377" w:type="pct"/>
        <w:tblInd w:w="0" w:type="dxa"/>
        <w:tblLayout w:type="autofit"/>
        <w:tblCellMar>
          <w:top w:w="0" w:type="dxa"/>
          <w:left w:w="0" w:type="dxa"/>
          <w:bottom w:w="0" w:type="dxa"/>
          <w:right w:w="0" w:type="dxa"/>
        </w:tblCellMar>
      </w:tblPr>
      <w:tblGrid>
        <w:gridCol w:w="960"/>
        <w:gridCol w:w="1125"/>
        <w:gridCol w:w="3169"/>
        <w:gridCol w:w="1034"/>
        <w:gridCol w:w="1536"/>
        <w:gridCol w:w="1341"/>
      </w:tblGrid>
      <w:tr>
        <w:tblPrEx>
          <w:tblCellMar>
            <w:top w:w="0" w:type="dxa"/>
            <w:left w:w="0" w:type="dxa"/>
            <w:bottom w:w="0" w:type="dxa"/>
            <w:right w:w="0" w:type="dxa"/>
          </w:tblCellMar>
        </w:tblPrEx>
        <w:trPr>
          <w:trHeight w:val="1001" w:hRule="atLeast"/>
        </w:trPr>
        <w:tc>
          <w:tcPr>
            <w:tcW w:w="96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8"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标段</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编号</w:t>
            </w:r>
          </w:p>
        </w:tc>
        <w:tc>
          <w:tcPr>
            <w:tcW w:w="112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8"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名称</w:t>
            </w:r>
          </w:p>
        </w:tc>
        <w:tc>
          <w:tcPr>
            <w:tcW w:w="316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8"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项目特征</w:t>
            </w:r>
          </w:p>
        </w:tc>
        <w:tc>
          <w:tcPr>
            <w:tcW w:w="103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8"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项目实施地点</w:t>
            </w:r>
          </w:p>
        </w:tc>
        <w:tc>
          <w:tcPr>
            <w:tcW w:w="153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8"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招标控制价（元）</w:t>
            </w:r>
          </w:p>
        </w:tc>
        <w:tc>
          <w:tcPr>
            <w:tcW w:w="134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8"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备注</w:t>
            </w:r>
          </w:p>
        </w:tc>
      </w:tr>
      <w:tr>
        <w:tblPrEx>
          <w:tblCellMar>
            <w:top w:w="0" w:type="dxa"/>
            <w:left w:w="0" w:type="dxa"/>
            <w:bottom w:w="0" w:type="dxa"/>
            <w:right w:w="0" w:type="dxa"/>
          </w:tblCellMar>
        </w:tblPrEx>
        <w:trPr>
          <w:trHeight w:val="953" w:hRule="atLeast"/>
        </w:trPr>
        <w:tc>
          <w:tcPr>
            <w:tcW w:w="96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8" w:lineRule="atLeast"/>
              <w:jc w:val="center"/>
              <w:rPr>
                <w:rFonts w:ascii="宋体" w:hAnsi="宋体" w:eastAsia="宋体" w:cs="宋体"/>
                <w:color w:val="000000"/>
                <w:kern w:val="0"/>
                <w:sz w:val="24"/>
                <w:szCs w:val="24"/>
              </w:rPr>
            </w:pPr>
            <w:r>
              <w:rPr>
                <w:rFonts w:ascii="宋体" w:hAnsi="宋体" w:eastAsia="宋体" w:cs="宋体"/>
                <w:color w:val="000000"/>
                <w:kern w:val="0"/>
                <w:sz w:val="24"/>
                <w:szCs w:val="24"/>
              </w:rPr>
              <w:t>第一标段</w:t>
            </w:r>
          </w:p>
        </w:tc>
        <w:tc>
          <w:tcPr>
            <w:tcW w:w="11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8" w:lineRule="atLeast"/>
              <w:jc w:val="center"/>
              <w:rPr>
                <w:rFonts w:ascii="宋体" w:hAnsi="宋体" w:eastAsia="宋体" w:cs="宋体"/>
                <w:color w:val="000000"/>
                <w:kern w:val="0"/>
                <w:sz w:val="24"/>
                <w:szCs w:val="24"/>
              </w:rPr>
            </w:pPr>
            <w:r>
              <w:rPr>
                <w:rFonts w:ascii="宋体" w:hAnsi="宋体" w:eastAsia="宋体" w:cs="宋体"/>
                <w:color w:val="000000"/>
                <w:kern w:val="0"/>
                <w:sz w:val="24"/>
                <w:szCs w:val="24"/>
              </w:rPr>
              <w:t>市政工程</w:t>
            </w:r>
          </w:p>
        </w:tc>
        <w:tc>
          <w:tcPr>
            <w:tcW w:w="3169" w:type="dxa"/>
            <w:vMerge w:val="restart"/>
            <w:tcBorders>
              <w:top w:val="nil"/>
              <w:left w:val="nil"/>
              <w:right w:val="single" w:color="auto" w:sz="8" w:space="0"/>
            </w:tcBorders>
            <w:tcMar>
              <w:top w:w="0" w:type="dxa"/>
              <w:left w:w="108" w:type="dxa"/>
              <w:bottom w:w="0" w:type="dxa"/>
              <w:right w:w="108" w:type="dxa"/>
            </w:tcMar>
            <w:vAlign w:val="center"/>
          </w:tcPr>
          <w:p>
            <w:pPr>
              <w:widowControl/>
              <w:spacing w:line="368" w:lineRule="atLeast"/>
              <w:jc w:val="center"/>
              <w:rPr>
                <w:rFonts w:ascii="宋体" w:hAnsi="宋体" w:eastAsia="宋体" w:cs="宋体"/>
                <w:color w:val="000000"/>
                <w:kern w:val="0"/>
                <w:sz w:val="24"/>
                <w:szCs w:val="24"/>
              </w:rPr>
            </w:pPr>
            <w:r>
              <w:rPr>
                <w:rFonts w:hint="eastAsia" w:cs="宋体" w:asciiTheme="minorEastAsia" w:hAnsiTheme="minorEastAsia"/>
                <w:color w:val="000000"/>
                <w:kern w:val="0"/>
                <w:sz w:val="24"/>
                <w:szCs w:val="24"/>
              </w:rPr>
              <w:t>本次范围为南起现状文化路，北至现状建设路，眼线与文明路相交，本次设计道路全程约690.5米，道路红线宽30m；包含道路工程、雨水工程、污水工程、交通工程、照明工程及绿化工程；</w:t>
            </w:r>
          </w:p>
        </w:tc>
        <w:tc>
          <w:tcPr>
            <w:tcW w:w="1034" w:type="dxa"/>
            <w:vMerge w:val="restart"/>
            <w:tcBorders>
              <w:top w:val="nil"/>
              <w:left w:val="nil"/>
              <w:right w:val="single" w:color="auto" w:sz="8" w:space="0"/>
            </w:tcBorders>
            <w:tcMar>
              <w:top w:w="0" w:type="dxa"/>
              <w:left w:w="108" w:type="dxa"/>
              <w:bottom w:w="0" w:type="dxa"/>
              <w:right w:w="108" w:type="dxa"/>
            </w:tcMar>
            <w:vAlign w:val="center"/>
          </w:tcPr>
          <w:p>
            <w:pPr>
              <w:widowControl/>
              <w:spacing w:line="368" w:lineRule="atLeast"/>
              <w:jc w:val="center"/>
              <w:rPr>
                <w:rFonts w:ascii="宋体" w:hAnsi="宋体" w:eastAsia="宋体" w:cs="宋体"/>
                <w:color w:val="000000"/>
                <w:kern w:val="0"/>
                <w:sz w:val="24"/>
                <w:szCs w:val="24"/>
              </w:rPr>
            </w:pPr>
            <w:r>
              <w:rPr>
                <w:rFonts w:cs="宋体" w:asciiTheme="minorEastAsia" w:hAnsiTheme="minorEastAsia"/>
                <w:color w:val="000000"/>
                <w:kern w:val="0"/>
                <w:sz w:val="24"/>
                <w:szCs w:val="24"/>
              </w:rPr>
              <w:t>襄城县境内</w:t>
            </w:r>
          </w:p>
        </w:tc>
        <w:tc>
          <w:tcPr>
            <w:tcW w:w="15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8"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15746674.48</w:t>
            </w:r>
          </w:p>
        </w:tc>
        <w:tc>
          <w:tcPr>
            <w:tcW w:w="1341"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8" w:lineRule="atLeast"/>
              <w:jc w:val="left"/>
              <w:rPr>
                <w:rFonts w:ascii="宋体" w:hAnsi="宋体" w:eastAsia="宋体" w:cs="宋体"/>
                <w:color w:val="000000"/>
                <w:kern w:val="0"/>
                <w:sz w:val="24"/>
                <w:szCs w:val="24"/>
              </w:rPr>
            </w:pPr>
          </w:p>
          <w:p>
            <w:pPr>
              <w:widowControl/>
              <w:spacing w:line="368"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技术标准和要求详见招标文件、施工图纸、工程量清单。</w:t>
            </w:r>
          </w:p>
          <w:p>
            <w:pPr>
              <w:widowControl/>
              <w:spacing w:line="368"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0" w:type="dxa"/>
            <w:bottom w:w="0" w:type="dxa"/>
            <w:right w:w="0" w:type="dxa"/>
          </w:tblCellMar>
        </w:tblPrEx>
        <w:trPr>
          <w:trHeight w:val="1461" w:hRule="atLeast"/>
        </w:trPr>
        <w:tc>
          <w:tcPr>
            <w:tcW w:w="96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8" w:lineRule="atLeast"/>
              <w:jc w:val="center"/>
              <w:rPr>
                <w:rFonts w:ascii="宋体" w:hAnsi="宋体" w:eastAsia="宋体" w:cs="宋体"/>
                <w:color w:val="000000"/>
                <w:kern w:val="0"/>
                <w:sz w:val="24"/>
                <w:szCs w:val="24"/>
              </w:rPr>
            </w:pPr>
            <w:r>
              <w:rPr>
                <w:rFonts w:ascii="宋体" w:hAnsi="宋体" w:eastAsia="宋体" w:cs="宋体"/>
                <w:color w:val="000000"/>
                <w:kern w:val="0"/>
                <w:sz w:val="24"/>
                <w:szCs w:val="24"/>
              </w:rPr>
              <w:t>第</w:t>
            </w:r>
            <w:r>
              <w:rPr>
                <w:rFonts w:hint="eastAsia" w:ascii="宋体" w:hAnsi="宋体" w:eastAsia="宋体" w:cs="宋体"/>
                <w:color w:val="000000"/>
                <w:kern w:val="0"/>
                <w:sz w:val="24"/>
                <w:szCs w:val="24"/>
              </w:rPr>
              <w:t>二</w:t>
            </w:r>
            <w:r>
              <w:rPr>
                <w:rFonts w:ascii="宋体" w:hAnsi="宋体" w:eastAsia="宋体" w:cs="宋体"/>
                <w:color w:val="000000"/>
                <w:kern w:val="0"/>
                <w:sz w:val="24"/>
                <w:szCs w:val="24"/>
              </w:rPr>
              <w:t>标段</w:t>
            </w:r>
          </w:p>
        </w:tc>
        <w:tc>
          <w:tcPr>
            <w:tcW w:w="11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8" w:lineRule="atLeast"/>
              <w:jc w:val="center"/>
              <w:rPr>
                <w:rFonts w:ascii="宋体" w:hAnsi="宋体" w:eastAsia="宋体" w:cs="宋体"/>
                <w:color w:val="000000"/>
                <w:kern w:val="0"/>
                <w:sz w:val="24"/>
                <w:szCs w:val="24"/>
              </w:rPr>
            </w:pPr>
            <w:r>
              <w:rPr>
                <w:rFonts w:ascii="宋体" w:hAnsi="宋体" w:eastAsia="宋体" w:cs="宋体"/>
                <w:color w:val="000000"/>
                <w:kern w:val="0"/>
                <w:sz w:val="24"/>
                <w:szCs w:val="24"/>
              </w:rPr>
              <w:t>绿化工程</w:t>
            </w:r>
          </w:p>
        </w:tc>
        <w:tc>
          <w:tcPr>
            <w:tcW w:w="3169" w:type="dxa"/>
            <w:vMerge w:val="continue"/>
            <w:tcBorders>
              <w:left w:val="nil"/>
              <w:right w:val="single" w:color="auto" w:sz="8" w:space="0"/>
            </w:tcBorders>
            <w:tcMar>
              <w:top w:w="0" w:type="dxa"/>
              <w:left w:w="108" w:type="dxa"/>
              <w:bottom w:w="0" w:type="dxa"/>
              <w:right w:w="108" w:type="dxa"/>
            </w:tcMar>
            <w:vAlign w:val="center"/>
          </w:tcPr>
          <w:p>
            <w:pPr>
              <w:widowControl/>
              <w:spacing w:line="368" w:lineRule="atLeast"/>
              <w:jc w:val="center"/>
              <w:rPr>
                <w:rFonts w:ascii="宋体" w:hAnsi="宋体" w:eastAsia="宋体" w:cs="宋体"/>
                <w:color w:val="000000"/>
                <w:kern w:val="0"/>
                <w:sz w:val="24"/>
                <w:szCs w:val="24"/>
              </w:rPr>
            </w:pPr>
          </w:p>
        </w:tc>
        <w:tc>
          <w:tcPr>
            <w:tcW w:w="1034" w:type="dxa"/>
            <w:vMerge w:val="continue"/>
            <w:tcBorders>
              <w:left w:val="nil"/>
              <w:right w:val="single" w:color="auto" w:sz="8" w:space="0"/>
            </w:tcBorders>
            <w:tcMar>
              <w:top w:w="0" w:type="dxa"/>
              <w:left w:w="108" w:type="dxa"/>
              <w:bottom w:w="0" w:type="dxa"/>
              <w:right w:w="108" w:type="dxa"/>
            </w:tcMar>
            <w:vAlign w:val="center"/>
          </w:tcPr>
          <w:p>
            <w:pPr>
              <w:widowControl/>
              <w:spacing w:line="368" w:lineRule="atLeast"/>
              <w:jc w:val="center"/>
              <w:rPr>
                <w:rFonts w:ascii="宋体" w:hAnsi="宋体" w:eastAsia="宋体" w:cs="宋体"/>
                <w:color w:val="000000"/>
                <w:kern w:val="0"/>
                <w:sz w:val="24"/>
                <w:szCs w:val="24"/>
              </w:rPr>
            </w:pPr>
          </w:p>
        </w:tc>
        <w:tc>
          <w:tcPr>
            <w:tcW w:w="15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8"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408380.10</w:t>
            </w:r>
          </w:p>
        </w:tc>
        <w:tc>
          <w:tcPr>
            <w:tcW w:w="1341"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p>
        </w:tc>
      </w:tr>
      <w:tr>
        <w:tblPrEx>
          <w:tblCellMar>
            <w:top w:w="0" w:type="dxa"/>
            <w:left w:w="0" w:type="dxa"/>
            <w:bottom w:w="0" w:type="dxa"/>
            <w:right w:w="0" w:type="dxa"/>
          </w:tblCellMar>
        </w:tblPrEx>
        <w:trPr>
          <w:trHeight w:val="606" w:hRule="atLeast"/>
        </w:trPr>
        <w:tc>
          <w:tcPr>
            <w:tcW w:w="96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8" w:lineRule="atLeast"/>
              <w:jc w:val="center"/>
              <w:rPr>
                <w:rFonts w:ascii="宋体" w:hAnsi="宋体" w:eastAsia="宋体" w:cs="宋体"/>
                <w:color w:val="000000"/>
                <w:kern w:val="0"/>
                <w:sz w:val="24"/>
                <w:szCs w:val="24"/>
              </w:rPr>
            </w:pPr>
            <w:r>
              <w:rPr>
                <w:rFonts w:ascii="宋体" w:hAnsi="宋体" w:eastAsia="宋体" w:cs="宋体"/>
                <w:color w:val="000000"/>
                <w:kern w:val="0"/>
                <w:sz w:val="24"/>
                <w:szCs w:val="24"/>
              </w:rPr>
              <w:t>第三标段</w:t>
            </w:r>
          </w:p>
        </w:tc>
        <w:tc>
          <w:tcPr>
            <w:tcW w:w="11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8" w:lineRule="atLeast"/>
              <w:jc w:val="center"/>
              <w:rPr>
                <w:rFonts w:ascii="宋体" w:hAnsi="宋体" w:eastAsia="宋体" w:cs="宋体"/>
                <w:color w:val="000000"/>
                <w:kern w:val="0"/>
                <w:sz w:val="24"/>
                <w:szCs w:val="24"/>
              </w:rPr>
            </w:pPr>
            <w:r>
              <w:rPr>
                <w:rFonts w:ascii="宋体" w:hAnsi="宋体" w:eastAsia="宋体" w:cs="宋体"/>
                <w:color w:val="000000"/>
                <w:kern w:val="0"/>
                <w:sz w:val="24"/>
                <w:szCs w:val="24"/>
              </w:rPr>
              <w:t>监理工程</w:t>
            </w:r>
          </w:p>
        </w:tc>
        <w:tc>
          <w:tcPr>
            <w:tcW w:w="3169" w:type="dxa"/>
            <w:vMerge w:val="continue"/>
            <w:tcBorders>
              <w:left w:val="nil"/>
              <w:bottom w:val="single" w:color="auto" w:sz="8" w:space="0"/>
              <w:right w:val="single" w:color="auto" w:sz="8" w:space="0"/>
            </w:tcBorders>
            <w:tcMar>
              <w:top w:w="0" w:type="dxa"/>
              <w:left w:w="108" w:type="dxa"/>
              <w:bottom w:w="0" w:type="dxa"/>
              <w:right w:w="108" w:type="dxa"/>
            </w:tcMar>
            <w:vAlign w:val="center"/>
          </w:tcPr>
          <w:p>
            <w:pPr>
              <w:widowControl/>
              <w:spacing w:line="368" w:lineRule="atLeast"/>
              <w:rPr>
                <w:rFonts w:ascii="宋体" w:hAnsi="宋体" w:eastAsia="宋体" w:cs="宋体"/>
                <w:color w:val="000000"/>
                <w:kern w:val="0"/>
                <w:sz w:val="24"/>
                <w:szCs w:val="24"/>
              </w:rPr>
            </w:pPr>
          </w:p>
        </w:tc>
        <w:tc>
          <w:tcPr>
            <w:tcW w:w="1034" w:type="dxa"/>
            <w:vMerge w:val="continue"/>
            <w:tcBorders>
              <w:left w:val="nil"/>
              <w:bottom w:val="single" w:color="auto" w:sz="8" w:space="0"/>
              <w:right w:val="single" w:color="auto" w:sz="8" w:space="0"/>
            </w:tcBorders>
            <w:tcMar>
              <w:top w:w="0" w:type="dxa"/>
              <w:left w:w="108" w:type="dxa"/>
              <w:bottom w:w="0" w:type="dxa"/>
              <w:right w:w="108" w:type="dxa"/>
            </w:tcMar>
            <w:vAlign w:val="center"/>
          </w:tcPr>
          <w:p>
            <w:pPr>
              <w:widowControl/>
              <w:spacing w:line="368" w:lineRule="atLeast"/>
              <w:jc w:val="center"/>
              <w:rPr>
                <w:rFonts w:ascii="宋体" w:hAnsi="宋体" w:eastAsia="宋体" w:cs="宋体"/>
                <w:color w:val="000000"/>
                <w:kern w:val="0"/>
                <w:sz w:val="24"/>
                <w:szCs w:val="24"/>
              </w:rPr>
            </w:pPr>
          </w:p>
        </w:tc>
        <w:tc>
          <w:tcPr>
            <w:tcW w:w="15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8"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161600.00</w:t>
            </w:r>
          </w:p>
        </w:tc>
        <w:tc>
          <w:tcPr>
            <w:tcW w:w="1341"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p>
        </w:tc>
      </w:tr>
    </w:tbl>
    <w:p>
      <w:pPr>
        <w:widowControl/>
        <w:snapToGrid w:val="0"/>
        <w:spacing w:before="226" w:line="460" w:lineRule="atLeast"/>
        <w:jc w:val="left"/>
        <w:rPr>
          <w:rFonts w:cs="宋体" w:asciiTheme="minorEastAsia" w:hAnsiTheme="minorEastAsia"/>
          <w:b/>
          <w:bCs/>
          <w:color w:val="000000"/>
          <w:kern w:val="0"/>
          <w:sz w:val="24"/>
          <w:szCs w:val="24"/>
        </w:rPr>
      </w:pPr>
      <w:r>
        <w:rPr>
          <w:rFonts w:hint="eastAsia" w:ascii="宋体" w:hAnsi="宋体" w:eastAsia="宋体" w:cs="宋体"/>
          <w:color w:val="000000"/>
          <w:kern w:val="0"/>
          <w:sz w:val="24"/>
          <w:szCs w:val="24"/>
          <w:shd w:val="clear" w:color="auto" w:fill="FFFFFF"/>
        </w:rPr>
        <w:t>（单位工程的分部分项工程费总额、措施项目费总额、其他项目费总额、规费总额和税金总额等详见附件）</w:t>
      </w:r>
    </w:p>
    <w:p>
      <w:pPr>
        <w:widowControl/>
        <w:shd w:val="clear" w:color="auto" w:fill="FFFFFF"/>
        <w:spacing w:line="360" w:lineRule="auto"/>
        <w:ind w:firstLine="482" w:firstLineChars="200"/>
        <w:rPr>
          <w:rFonts w:cs="宋体" w:asciiTheme="minorEastAsia" w:hAnsiTheme="minorEastAsia"/>
          <w:kern w:val="0"/>
          <w:sz w:val="24"/>
          <w:szCs w:val="24"/>
        </w:rPr>
      </w:pPr>
      <w:r>
        <w:rPr>
          <w:rFonts w:cs="宋体" w:asciiTheme="minorEastAsia" w:hAnsiTheme="minorEastAsia"/>
          <w:b/>
          <w:bCs/>
          <w:color w:val="000000"/>
          <w:kern w:val="0"/>
          <w:sz w:val="24"/>
          <w:szCs w:val="24"/>
        </w:rPr>
        <w:t>2.</w:t>
      </w:r>
      <w:r>
        <w:rPr>
          <w:rFonts w:hint="eastAsia" w:cs="宋体" w:asciiTheme="minorEastAsia" w:hAnsiTheme="minorEastAsia"/>
          <w:b/>
          <w:bCs/>
          <w:color w:val="000000"/>
          <w:kern w:val="0"/>
          <w:sz w:val="24"/>
          <w:szCs w:val="24"/>
        </w:rPr>
        <w:t>6</w:t>
      </w:r>
      <w:r>
        <w:rPr>
          <w:rFonts w:cs="宋体" w:asciiTheme="minorEastAsia" w:hAnsiTheme="minorEastAsia"/>
          <w:b/>
          <w:bCs/>
          <w:color w:val="000000"/>
          <w:kern w:val="0"/>
          <w:sz w:val="24"/>
          <w:szCs w:val="24"/>
        </w:rPr>
        <w:t>计划工期：</w:t>
      </w:r>
      <w:r>
        <w:rPr>
          <w:rFonts w:hint="eastAsia" w:cs="宋体" w:asciiTheme="minorEastAsia" w:hAnsiTheme="minorEastAsia"/>
          <w:kern w:val="0"/>
          <w:sz w:val="24"/>
          <w:szCs w:val="24"/>
        </w:rPr>
        <w:t>210</w:t>
      </w:r>
      <w:r>
        <w:rPr>
          <w:rFonts w:cs="宋体" w:asciiTheme="minorEastAsia" w:hAnsiTheme="minorEastAsia"/>
          <w:kern w:val="0"/>
          <w:sz w:val="24"/>
          <w:szCs w:val="24"/>
        </w:rPr>
        <w:t>日历天</w:t>
      </w:r>
      <w:r>
        <w:rPr>
          <w:rFonts w:hint="eastAsia" w:cs="宋体" w:asciiTheme="minorEastAsia" w:hAnsiTheme="minorEastAsia"/>
          <w:kern w:val="0"/>
          <w:sz w:val="24"/>
          <w:szCs w:val="24"/>
        </w:rPr>
        <w:t>/标段，监理期限：同各标段施工工期（含保修期）</w:t>
      </w:r>
    </w:p>
    <w:p>
      <w:pPr>
        <w:widowControl/>
        <w:shd w:val="clear" w:color="auto" w:fill="FFFFFF"/>
        <w:spacing w:line="360" w:lineRule="auto"/>
        <w:ind w:firstLine="482" w:firstLineChars="200"/>
        <w:rPr>
          <w:rFonts w:cs="宋体" w:asciiTheme="minorEastAsia" w:hAnsiTheme="minorEastAsia"/>
          <w:color w:val="000000"/>
          <w:kern w:val="0"/>
          <w:sz w:val="24"/>
          <w:szCs w:val="24"/>
        </w:rPr>
      </w:pPr>
      <w:r>
        <w:rPr>
          <w:rFonts w:cs="宋体" w:asciiTheme="minorEastAsia" w:hAnsiTheme="minorEastAsia"/>
          <w:b/>
          <w:bCs/>
          <w:color w:val="000000"/>
          <w:kern w:val="0"/>
          <w:sz w:val="24"/>
          <w:szCs w:val="24"/>
        </w:rPr>
        <w:t>2.</w:t>
      </w:r>
      <w:r>
        <w:rPr>
          <w:rFonts w:hint="eastAsia" w:cs="宋体" w:asciiTheme="minorEastAsia" w:hAnsiTheme="minorEastAsia"/>
          <w:b/>
          <w:bCs/>
          <w:color w:val="000000"/>
          <w:kern w:val="0"/>
          <w:sz w:val="24"/>
          <w:szCs w:val="24"/>
        </w:rPr>
        <w:t>7</w:t>
      </w:r>
      <w:r>
        <w:rPr>
          <w:rFonts w:cs="宋体" w:asciiTheme="minorEastAsia" w:hAnsiTheme="minorEastAsia"/>
          <w:b/>
          <w:bCs/>
          <w:color w:val="000000"/>
          <w:kern w:val="0"/>
          <w:sz w:val="24"/>
          <w:szCs w:val="24"/>
        </w:rPr>
        <w:t>质量要求：</w:t>
      </w:r>
      <w:r>
        <w:rPr>
          <w:rFonts w:cs="宋体" w:asciiTheme="minorEastAsia" w:hAnsiTheme="minorEastAsia"/>
          <w:kern w:val="0"/>
          <w:sz w:val="24"/>
          <w:szCs w:val="24"/>
        </w:rPr>
        <w:t>合格（符合</w:t>
      </w:r>
      <w:r>
        <w:rPr>
          <w:rFonts w:cs="宋体" w:asciiTheme="minorEastAsia" w:hAnsiTheme="minorEastAsia"/>
          <w:color w:val="000000"/>
          <w:kern w:val="0"/>
          <w:sz w:val="24"/>
          <w:szCs w:val="24"/>
        </w:rPr>
        <w:t>国家现行的验收规范和标准）。</w:t>
      </w:r>
    </w:p>
    <w:p>
      <w:pPr>
        <w:widowControl/>
        <w:shd w:val="clear" w:color="auto" w:fill="FFFFFF"/>
        <w:spacing w:line="360" w:lineRule="auto"/>
        <w:ind w:firstLine="482" w:firstLineChars="200"/>
        <w:jc w:val="left"/>
        <w:rPr>
          <w:rFonts w:cs="宋体" w:asciiTheme="minorEastAsia" w:hAnsiTheme="minorEastAsia"/>
          <w:b/>
          <w:bCs/>
          <w:color w:val="000000"/>
          <w:kern w:val="0"/>
          <w:sz w:val="24"/>
          <w:szCs w:val="24"/>
        </w:rPr>
      </w:pPr>
      <w:r>
        <w:rPr>
          <w:rFonts w:hint="eastAsia" w:cs="宋体" w:asciiTheme="minorEastAsia" w:hAnsiTheme="minorEastAsia"/>
          <w:b/>
          <w:bCs/>
          <w:color w:val="000000"/>
          <w:kern w:val="0"/>
          <w:sz w:val="24"/>
          <w:szCs w:val="24"/>
        </w:rPr>
        <w:t>3.投标人资格要求</w:t>
      </w:r>
    </w:p>
    <w:p>
      <w:pPr>
        <w:widowControl/>
        <w:shd w:val="clear" w:color="auto" w:fill="FFFFFF"/>
        <w:spacing w:line="360" w:lineRule="auto"/>
        <w:ind w:firstLine="480" w:firstLineChars="20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3.1本次招标要求投标人须具备独立法人资格，良好的财务状况，良好的社会信誉。并具有以下相对应标段的资质条件。</w:t>
      </w:r>
    </w:p>
    <w:p>
      <w:pPr>
        <w:widowControl/>
        <w:shd w:val="clear" w:color="auto" w:fill="FFFFFF"/>
        <w:spacing w:line="360" w:lineRule="auto"/>
        <w:ind w:firstLine="482" w:firstLineChars="200"/>
        <w:jc w:val="left"/>
        <w:rPr>
          <w:rFonts w:cs="宋体" w:asciiTheme="minorEastAsia" w:hAnsiTheme="minorEastAsia"/>
          <w:b/>
          <w:color w:val="000000"/>
          <w:kern w:val="0"/>
          <w:sz w:val="24"/>
          <w:szCs w:val="24"/>
        </w:rPr>
      </w:pPr>
      <w:r>
        <w:rPr>
          <w:rFonts w:hint="eastAsia" w:cs="宋体" w:asciiTheme="minorEastAsia" w:hAnsiTheme="minorEastAsia"/>
          <w:b/>
          <w:color w:val="000000"/>
          <w:kern w:val="0"/>
          <w:sz w:val="24"/>
          <w:szCs w:val="24"/>
        </w:rPr>
        <w:t>第一标段</w:t>
      </w:r>
    </w:p>
    <w:p>
      <w:pPr>
        <w:widowControl/>
        <w:shd w:val="clear" w:color="auto" w:fill="FFFFFF"/>
        <w:spacing w:line="360" w:lineRule="auto"/>
        <w:ind w:firstLine="480" w:firstLineChars="20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投标人须具备独立的法人资格，并具备建设行政主管部门颁发的市政公用工程施工总承包叁级及以上（含三级）资质，且具有有效的安全生产许可证，并在人员、设备、资金等方面具有相应的施工能力。</w:t>
      </w:r>
    </w:p>
    <w:p>
      <w:pPr>
        <w:widowControl/>
        <w:shd w:val="clear" w:color="auto" w:fill="FFFFFF"/>
        <w:spacing w:line="360" w:lineRule="auto"/>
        <w:ind w:firstLine="480" w:firstLineChars="20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拟派项目负责人（项目经理）具有市政公用工程专业贰级及以上注册建造师证和有效的安全生产考核合格证，且未担任其它在施建设工程的项目负责人（项目经理）。</w:t>
      </w:r>
    </w:p>
    <w:p>
      <w:pPr>
        <w:widowControl/>
        <w:shd w:val="clear" w:color="auto" w:fill="FFFFFF"/>
        <w:spacing w:line="360" w:lineRule="auto"/>
        <w:ind w:firstLine="482" w:firstLineChars="200"/>
        <w:rPr>
          <w:rFonts w:cs="宋体" w:asciiTheme="minorEastAsia" w:hAnsiTheme="minorEastAsia"/>
          <w:b/>
          <w:color w:val="000000"/>
          <w:kern w:val="0"/>
          <w:sz w:val="24"/>
          <w:szCs w:val="24"/>
        </w:rPr>
      </w:pPr>
      <w:r>
        <w:rPr>
          <w:rFonts w:hint="eastAsia" w:cs="宋体" w:asciiTheme="minorEastAsia" w:hAnsiTheme="minorEastAsia"/>
          <w:b/>
          <w:color w:val="000000"/>
          <w:kern w:val="0"/>
          <w:sz w:val="24"/>
          <w:szCs w:val="24"/>
        </w:rPr>
        <w:t>第二标段</w:t>
      </w:r>
    </w:p>
    <w:p>
      <w:pPr>
        <w:widowControl/>
        <w:shd w:val="clear" w:color="auto" w:fill="FFFFFF"/>
        <w:spacing w:line="360" w:lineRule="auto"/>
        <w:ind w:firstLine="480" w:firstLineChars="200"/>
        <w:rPr>
          <w:rFonts w:cs="宋体" w:asciiTheme="minorEastAsia" w:hAnsiTheme="minorEastAsia"/>
          <w:color w:val="000000"/>
          <w:kern w:val="0"/>
          <w:sz w:val="24"/>
          <w:szCs w:val="24"/>
        </w:rPr>
      </w:pPr>
      <w:bookmarkStart w:id="3" w:name="_Toc28292"/>
      <w:bookmarkEnd w:id="3"/>
      <w:r>
        <w:rPr>
          <w:rFonts w:hint="eastAsia" w:cs="宋体" w:asciiTheme="minorEastAsia" w:hAnsiTheme="minorEastAsia"/>
          <w:color w:val="000000"/>
          <w:kern w:val="0"/>
          <w:sz w:val="24"/>
          <w:szCs w:val="24"/>
        </w:rPr>
        <w:t>投标人须具备有效的营业执照</w:t>
      </w:r>
      <w:r>
        <w:rPr>
          <w:rFonts w:cs="宋体" w:asciiTheme="minorEastAsia" w:hAnsiTheme="minorEastAsia"/>
          <w:color w:val="000000"/>
          <w:kern w:val="0"/>
          <w:sz w:val="24"/>
          <w:szCs w:val="24"/>
        </w:rPr>
        <w:t>(</w:t>
      </w:r>
      <w:r>
        <w:rPr>
          <w:rFonts w:hint="eastAsia" w:cs="宋体" w:asciiTheme="minorEastAsia" w:hAnsiTheme="minorEastAsia"/>
          <w:color w:val="000000"/>
          <w:kern w:val="0"/>
          <w:sz w:val="24"/>
          <w:szCs w:val="24"/>
        </w:rPr>
        <w:t>经营范围须包含园林绿化等相关内容；并在人员、设备、资金等方面具有相应的施工能力）。</w:t>
      </w:r>
    </w:p>
    <w:p>
      <w:pPr>
        <w:widowControl/>
        <w:shd w:val="clear" w:color="auto" w:fill="FFFFFF"/>
        <w:spacing w:line="360" w:lineRule="auto"/>
        <w:ind w:firstLine="480" w:firstLineChars="20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拟派项目负责人须具有园林绿化专业或市政公用工程专业中级及以上职称，且未担任其他在施建设工程的项目负责人。</w:t>
      </w:r>
    </w:p>
    <w:p>
      <w:pPr>
        <w:widowControl/>
        <w:shd w:val="clear" w:color="auto" w:fill="FFFFFF"/>
        <w:spacing w:line="360" w:lineRule="auto"/>
        <w:ind w:firstLine="482" w:firstLineChars="200"/>
        <w:rPr>
          <w:rFonts w:cs="宋体" w:asciiTheme="minorEastAsia" w:hAnsiTheme="minorEastAsia"/>
          <w:b/>
          <w:color w:val="000000"/>
          <w:kern w:val="0"/>
          <w:sz w:val="24"/>
          <w:szCs w:val="24"/>
        </w:rPr>
      </w:pPr>
      <w:r>
        <w:rPr>
          <w:rFonts w:hint="eastAsia" w:cs="宋体" w:asciiTheme="minorEastAsia" w:hAnsiTheme="minorEastAsia"/>
          <w:b/>
          <w:color w:val="000000"/>
          <w:kern w:val="0"/>
          <w:sz w:val="24"/>
          <w:szCs w:val="24"/>
        </w:rPr>
        <w:t>第三标段</w:t>
      </w:r>
    </w:p>
    <w:p>
      <w:pPr>
        <w:widowControl/>
        <w:shd w:val="clear" w:color="auto" w:fill="FFFFFF"/>
        <w:spacing w:line="360" w:lineRule="auto"/>
        <w:ind w:firstLine="480" w:firstLineChars="20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投标人须具备独立法人资格，并具备建设行政主管部门颁发的市政公用工程监理专业丙级（含）以上资质或工程监理综合资质。</w:t>
      </w:r>
    </w:p>
    <w:p>
      <w:pPr>
        <w:widowControl/>
        <w:shd w:val="clear" w:color="auto" w:fill="FFFFFF"/>
        <w:spacing w:line="360" w:lineRule="auto"/>
        <w:ind w:firstLine="480" w:firstLineChars="20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拟派项目总监理工程师须具备市政公用工程专业注册监理工程师资格。</w:t>
      </w:r>
    </w:p>
    <w:p>
      <w:pPr>
        <w:pStyle w:val="28"/>
        <w:adjustRightInd w:val="0"/>
        <w:snapToGrid w:val="0"/>
        <w:spacing w:before="0" w:beforeAutospacing="0" w:after="0" w:afterAutospacing="0" w:line="360" w:lineRule="auto"/>
        <w:ind w:firstLine="480" w:firstLineChars="200"/>
        <w:jc w:val="both"/>
        <w:rPr>
          <w:rFonts w:asciiTheme="minorEastAsia" w:hAnsiTheme="minorEastAsia" w:eastAsiaTheme="minorEastAsia"/>
          <w:szCs w:val="24"/>
        </w:rPr>
      </w:pPr>
      <w:r>
        <w:rPr>
          <w:rFonts w:hint="eastAsia" w:asciiTheme="minorEastAsia" w:hAnsiTheme="minorEastAsia" w:eastAsiaTheme="minorEastAsia"/>
          <w:szCs w:val="24"/>
        </w:rPr>
        <w:t>3.2投标人未被列入“信用中国”网站信用记录失信被执行人、重大税收违法案件当事人名单（查询网站：“信用中国”</w:t>
      </w:r>
      <w:r>
        <w:fldChar w:fldCharType="begin"/>
      </w:r>
      <w:r>
        <w:instrText xml:space="preserve"> HYPERLINK "https://www.creditchina.gov.cn/" </w:instrText>
      </w:r>
      <w:r>
        <w:fldChar w:fldCharType="separate"/>
      </w:r>
      <w:r>
        <w:rPr>
          <w:rFonts w:asciiTheme="minorEastAsia" w:hAnsiTheme="minorEastAsia" w:eastAsiaTheme="minorEastAsia"/>
          <w:szCs w:val="24"/>
        </w:rPr>
        <w:t>https://www.creditchina.gov.cn</w:t>
      </w:r>
      <w:r>
        <w:rPr>
          <w:rFonts w:asciiTheme="minorEastAsia" w:hAnsiTheme="minorEastAsia" w:eastAsiaTheme="minorEastAsia"/>
          <w:szCs w:val="24"/>
        </w:rPr>
        <w:fldChar w:fldCharType="end"/>
      </w:r>
      <w:r>
        <w:rPr>
          <w:rFonts w:hint="eastAsia" w:asciiTheme="minorEastAsia" w:hAnsiTheme="minorEastAsia" w:eastAsiaTheme="minorEastAsia"/>
          <w:szCs w:val="24"/>
        </w:rPr>
        <w:t>，并提供报名时间内网站截图）；未被列入“国家企业信用信息公示系统”经营异常名录、严重违法失信企业名单（查询网站：国家企业信用信息公示系统</w:t>
      </w:r>
      <w:r>
        <w:fldChar w:fldCharType="begin"/>
      </w:r>
      <w:r>
        <w:instrText xml:space="preserve"> HYPERLINK "http://www.gsxt.gov.cn" </w:instrText>
      </w:r>
      <w:r>
        <w:fldChar w:fldCharType="separate"/>
      </w:r>
      <w:r>
        <w:rPr>
          <w:rFonts w:hint="eastAsia" w:asciiTheme="minorEastAsia" w:hAnsiTheme="minorEastAsia" w:eastAsiaTheme="minorEastAsia"/>
          <w:szCs w:val="24"/>
        </w:rPr>
        <w:t>http://www.gsxt.gov.cn</w:t>
      </w:r>
      <w:r>
        <w:rPr>
          <w:rFonts w:hint="eastAsia" w:asciiTheme="minorEastAsia" w:hAnsiTheme="minorEastAsia" w:eastAsiaTheme="minorEastAsia"/>
          <w:szCs w:val="24"/>
        </w:rPr>
        <w:fldChar w:fldCharType="end"/>
      </w:r>
      <w:r>
        <w:rPr>
          <w:rFonts w:hint="eastAsia" w:asciiTheme="minorEastAsia" w:hAnsiTheme="minorEastAsia" w:eastAsiaTheme="minorEastAsia"/>
          <w:szCs w:val="24"/>
        </w:rPr>
        <w:t>，并提供报名时间内网页截图）；投标人未被列入信用河南信用信息栏黑名单（河南省投标企业提供，查询网站：信用河南</w:t>
      </w:r>
      <w:r>
        <w:fldChar w:fldCharType="begin"/>
      </w:r>
      <w:r>
        <w:instrText xml:space="preserve"> HYPERLINK "http://www.credithn.gov.cn/" </w:instrText>
      </w:r>
      <w:r>
        <w:fldChar w:fldCharType="separate"/>
      </w:r>
      <w:r>
        <w:rPr>
          <w:rFonts w:hint="eastAsia" w:asciiTheme="minorEastAsia" w:hAnsiTheme="minorEastAsia" w:eastAsiaTheme="minorEastAsia"/>
          <w:szCs w:val="24"/>
        </w:rPr>
        <w:t>h</w:t>
      </w:r>
      <w:r>
        <w:rPr>
          <w:rFonts w:asciiTheme="minorEastAsia" w:hAnsiTheme="minorEastAsia" w:eastAsiaTheme="minorEastAsia"/>
          <w:szCs w:val="24"/>
        </w:rPr>
        <w:t>ttp://www.credithn.gov.cn/</w:t>
      </w:r>
      <w:r>
        <w:rPr>
          <w:rFonts w:asciiTheme="minorEastAsia" w:hAnsiTheme="minorEastAsia" w:eastAsiaTheme="minorEastAsia"/>
          <w:szCs w:val="24"/>
        </w:rPr>
        <w:fldChar w:fldCharType="end"/>
      </w:r>
      <w:r>
        <w:rPr>
          <w:rFonts w:hint="eastAsia" w:asciiTheme="minorEastAsia" w:hAnsiTheme="minorEastAsia" w:eastAsiaTheme="minorEastAsia"/>
          <w:szCs w:val="24"/>
        </w:rPr>
        <w:t>，并提供报名时间内网页截图）。</w:t>
      </w:r>
    </w:p>
    <w:p>
      <w:pPr>
        <w:pStyle w:val="28"/>
        <w:adjustRightInd w:val="0"/>
        <w:snapToGrid w:val="0"/>
        <w:spacing w:before="0" w:beforeAutospacing="0" w:after="0" w:afterAutospacing="0" w:line="360" w:lineRule="auto"/>
        <w:ind w:firstLine="480" w:firstLineChars="200"/>
        <w:jc w:val="both"/>
        <w:rPr>
          <w:rFonts w:asciiTheme="minorEastAsia" w:hAnsiTheme="minorEastAsia" w:eastAsiaTheme="minorEastAsia"/>
          <w:szCs w:val="24"/>
        </w:rPr>
      </w:pPr>
      <w:r>
        <w:rPr>
          <w:rFonts w:hint="eastAsia" w:asciiTheme="minorEastAsia" w:hAnsiTheme="minorEastAsia" w:eastAsiaTheme="minorEastAsia"/>
          <w:szCs w:val="24"/>
        </w:rPr>
        <w:t>3.3投标人须提供许昌市公共资源交易信用管理平台投标单位诚信承诺书网页截图。</w:t>
      </w:r>
    </w:p>
    <w:p>
      <w:pPr>
        <w:pStyle w:val="28"/>
        <w:adjustRightInd w:val="0"/>
        <w:snapToGrid w:val="0"/>
        <w:spacing w:before="0" w:beforeAutospacing="0" w:after="0" w:afterAutospacing="0" w:line="360" w:lineRule="auto"/>
        <w:ind w:firstLine="480" w:firstLineChars="200"/>
        <w:jc w:val="both"/>
        <w:rPr>
          <w:rFonts w:asciiTheme="minorEastAsia" w:hAnsiTheme="minorEastAsia" w:eastAsiaTheme="minorEastAsia"/>
          <w:szCs w:val="24"/>
        </w:rPr>
      </w:pPr>
      <w:r>
        <w:rPr>
          <w:rFonts w:hint="eastAsia" w:asciiTheme="minorEastAsia" w:hAnsiTheme="minorEastAsia" w:eastAsiaTheme="minorEastAsia"/>
          <w:szCs w:val="24"/>
        </w:rPr>
        <w:t>3.4本次招标不接受联合体投标。</w:t>
      </w:r>
    </w:p>
    <w:p>
      <w:pPr>
        <w:pStyle w:val="28"/>
        <w:adjustRightInd w:val="0"/>
        <w:snapToGrid w:val="0"/>
        <w:spacing w:before="0" w:beforeAutospacing="0" w:after="0" w:afterAutospacing="0" w:line="360" w:lineRule="auto"/>
        <w:ind w:firstLine="480" w:firstLineChars="200"/>
        <w:jc w:val="both"/>
        <w:rPr>
          <w:rFonts w:asciiTheme="minorEastAsia" w:hAnsiTheme="minorEastAsia" w:eastAsiaTheme="minorEastAsia"/>
          <w:szCs w:val="24"/>
        </w:rPr>
      </w:pPr>
      <w:r>
        <w:rPr>
          <w:rFonts w:hint="eastAsia" w:asciiTheme="minorEastAsia" w:hAnsiTheme="minorEastAsia" w:eastAsiaTheme="minorEastAsia"/>
          <w:szCs w:val="24"/>
        </w:rPr>
        <w:t>3.5本次招标实行资格后审。</w:t>
      </w:r>
    </w:p>
    <w:p>
      <w:pPr>
        <w:pStyle w:val="28"/>
        <w:adjustRightInd w:val="0"/>
        <w:snapToGrid w:val="0"/>
        <w:spacing w:before="0" w:beforeAutospacing="0" w:after="0" w:afterAutospacing="0" w:line="360" w:lineRule="auto"/>
        <w:ind w:firstLine="480" w:firstLineChars="200"/>
        <w:jc w:val="both"/>
        <w:rPr>
          <w:rFonts w:asciiTheme="minorEastAsia" w:hAnsiTheme="minorEastAsia" w:eastAsiaTheme="minorEastAsia"/>
          <w:szCs w:val="24"/>
        </w:rPr>
      </w:pPr>
      <w:r>
        <w:rPr>
          <w:rFonts w:hint="eastAsia" w:asciiTheme="minorEastAsia" w:hAnsiTheme="minorEastAsia" w:eastAsiaTheme="minorEastAsia"/>
          <w:szCs w:val="24"/>
        </w:rPr>
        <w:t>3.6</w:t>
      </w:r>
      <w:r>
        <w:rPr>
          <w:rFonts w:asciiTheme="minorEastAsia" w:hAnsiTheme="minorEastAsia" w:eastAsiaTheme="minorEastAsia"/>
          <w:szCs w:val="24"/>
        </w:rPr>
        <w:t>投标人可对本次招标公告中多个标段进行投标，但只能按标段顺序中取一个标段（项目班子成员不同时允许中取多个标段）。</w:t>
      </w:r>
    </w:p>
    <w:p>
      <w:pPr>
        <w:widowControl/>
        <w:shd w:val="clear" w:color="auto" w:fill="FFFFFF"/>
        <w:spacing w:line="360" w:lineRule="auto"/>
        <w:ind w:firstLine="482" w:firstLineChars="200"/>
        <w:jc w:val="left"/>
        <w:rPr>
          <w:rFonts w:cs="宋体" w:asciiTheme="minorEastAsia" w:hAnsiTheme="minorEastAsia"/>
          <w:color w:val="000000"/>
          <w:kern w:val="0"/>
          <w:sz w:val="24"/>
          <w:szCs w:val="24"/>
        </w:rPr>
      </w:pPr>
      <w:r>
        <w:rPr>
          <w:rFonts w:hint="eastAsia" w:cs="宋体" w:asciiTheme="minorEastAsia" w:hAnsiTheme="minorEastAsia"/>
          <w:b/>
          <w:bCs/>
          <w:color w:val="000000"/>
          <w:kern w:val="0"/>
          <w:sz w:val="24"/>
          <w:szCs w:val="24"/>
        </w:rPr>
        <w:t>4.网上下载招标文件</w:t>
      </w:r>
    </w:p>
    <w:p>
      <w:pPr>
        <w:widowControl/>
        <w:shd w:val="clear" w:color="auto" w:fill="FFFFFF"/>
        <w:spacing w:line="360" w:lineRule="auto"/>
        <w:ind w:firstLine="480" w:firstLineChars="200"/>
        <w:jc w:val="left"/>
        <w:rPr>
          <w:rFonts w:cs="宋体" w:asciiTheme="minorEastAsia" w:hAnsiTheme="minorEastAsia"/>
          <w:color w:val="000000"/>
          <w:kern w:val="0"/>
          <w:sz w:val="24"/>
          <w:szCs w:val="24"/>
        </w:rPr>
      </w:pPr>
      <w:r>
        <w:rPr>
          <w:rFonts w:cs="宋体" w:asciiTheme="minorEastAsia" w:hAnsiTheme="minorEastAsia"/>
          <w:color w:val="000000"/>
          <w:kern w:val="0"/>
          <w:sz w:val="24"/>
          <w:szCs w:val="24"/>
        </w:rPr>
        <w:t>4.1投标人持CA数字认证证书，登录《全国公共资源交易平台（河南省·许昌市）》“系统用户注册”入口（</w:t>
      </w:r>
      <w:r>
        <w:fldChar w:fldCharType="begin"/>
      </w:r>
      <w:r>
        <w:instrText xml:space="preserve"> HYPERLINK "http://221.14.6.70:8088/ggzy/eps/public/RegistAllJcxx.html" </w:instrText>
      </w:r>
      <w:r>
        <w:fldChar w:fldCharType="separate"/>
      </w:r>
      <w:r>
        <w:rPr>
          <w:rFonts w:cs="宋体" w:asciiTheme="minorEastAsia" w:hAnsiTheme="minorEastAsia"/>
          <w:color w:val="000000"/>
          <w:kern w:val="0"/>
          <w:sz w:val="24"/>
          <w:szCs w:val="24"/>
        </w:rPr>
        <w:t>http://221.14.6.70:8088/ggzy/eps/public/RegistAllJcxx.html</w:t>
      </w:r>
      <w:r>
        <w:rPr>
          <w:rFonts w:cs="宋体" w:asciiTheme="minorEastAsia" w:hAnsiTheme="minorEastAsia"/>
          <w:color w:val="000000"/>
          <w:kern w:val="0"/>
          <w:sz w:val="24"/>
          <w:szCs w:val="24"/>
        </w:rPr>
        <w:fldChar w:fldCharType="end"/>
      </w:r>
      <w:r>
        <w:rPr>
          <w:rFonts w:cs="宋体" w:asciiTheme="minorEastAsia" w:hAnsiTheme="minorEastAsia"/>
          <w:color w:val="000000"/>
          <w:kern w:val="0"/>
          <w:sz w:val="24"/>
          <w:szCs w:val="24"/>
        </w:rPr>
        <w:t>）进行免费注册登记（详见“常见问题解答-诚信库网上注册相关资料下载”）；</w:t>
      </w:r>
    </w:p>
    <w:p>
      <w:pPr>
        <w:widowControl/>
        <w:shd w:val="clear" w:color="auto" w:fill="FFFFFF"/>
        <w:spacing w:line="360" w:lineRule="auto"/>
        <w:ind w:firstLine="480" w:firstLineChars="200"/>
        <w:jc w:val="left"/>
        <w:rPr>
          <w:rFonts w:cs="宋体" w:asciiTheme="minorEastAsia" w:hAnsiTheme="minorEastAsia"/>
          <w:color w:val="000000"/>
          <w:kern w:val="0"/>
          <w:sz w:val="24"/>
          <w:szCs w:val="24"/>
        </w:rPr>
      </w:pPr>
      <w:r>
        <w:rPr>
          <w:rFonts w:cs="宋体" w:asciiTheme="minorEastAsia" w:hAnsiTheme="minorEastAsia"/>
          <w:color w:val="000000"/>
          <w:kern w:val="0"/>
          <w:sz w:val="24"/>
          <w:szCs w:val="24"/>
        </w:rPr>
        <w:t>4.2在投标截止时间前登录《全国公共资源交易平台（河南省·许昌市）》“投标人/供应商登录”入口（</w:t>
      </w:r>
      <w:r>
        <w:fldChar w:fldCharType="begin"/>
      </w:r>
      <w:r>
        <w:instrText xml:space="preserve"> HYPERLINK "http://221.14.6.70:8088/ggzy/" </w:instrText>
      </w:r>
      <w:r>
        <w:fldChar w:fldCharType="separate"/>
      </w:r>
      <w:r>
        <w:rPr>
          <w:rFonts w:cs="宋体" w:asciiTheme="minorEastAsia" w:hAnsiTheme="minorEastAsia"/>
          <w:color w:val="000000"/>
          <w:kern w:val="0"/>
          <w:sz w:val="24"/>
          <w:szCs w:val="24"/>
        </w:rPr>
        <w:t>http://221.14.6.70:8088/ggzy/</w:t>
      </w:r>
      <w:r>
        <w:rPr>
          <w:rFonts w:cs="宋体" w:asciiTheme="minorEastAsia" w:hAnsiTheme="minorEastAsia"/>
          <w:color w:val="000000"/>
          <w:kern w:val="0"/>
          <w:sz w:val="24"/>
          <w:szCs w:val="24"/>
        </w:rPr>
        <w:fldChar w:fldCharType="end"/>
      </w:r>
      <w:r>
        <w:rPr>
          <w:rFonts w:cs="宋体" w:asciiTheme="minorEastAsia" w:hAnsiTheme="minorEastAsia"/>
          <w:color w:val="000000"/>
          <w:kern w:val="0"/>
          <w:sz w:val="24"/>
          <w:szCs w:val="24"/>
        </w:rPr>
        <w:t>）自行下载招标文件（详见“常见问题解答-交易系统操作手册”）。</w:t>
      </w:r>
    </w:p>
    <w:p>
      <w:pPr>
        <w:widowControl/>
        <w:shd w:val="clear" w:color="auto" w:fill="FFFFFF"/>
        <w:spacing w:line="360" w:lineRule="auto"/>
        <w:ind w:firstLine="482" w:firstLineChars="200"/>
        <w:jc w:val="left"/>
        <w:rPr>
          <w:rFonts w:cs="宋体" w:asciiTheme="minorEastAsia" w:hAnsiTheme="minorEastAsia"/>
          <w:color w:val="000000"/>
          <w:kern w:val="0"/>
          <w:sz w:val="24"/>
          <w:szCs w:val="24"/>
        </w:rPr>
      </w:pPr>
      <w:r>
        <w:rPr>
          <w:rFonts w:hint="eastAsia" w:cs="宋体" w:asciiTheme="minorEastAsia" w:hAnsiTheme="minorEastAsia"/>
          <w:b/>
          <w:bCs/>
          <w:color w:val="000000"/>
          <w:kern w:val="0"/>
          <w:sz w:val="24"/>
          <w:szCs w:val="24"/>
        </w:rPr>
        <w:t>5.招标文件和施工图纸的获取</w:t>
      </w:r>
    </w:p>
    <w:p>
      <w:pPr>
        <w:widowControl/>
        <w:shd w:val="clear" w:color="auto" w:fill="FFFFFF"/>
        <w:spacing w:line="360" w:lineRule="auto"/>
        <w:ind w:firstLine="480" w:firstLineChars="20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5.1招标文件和工程量清单的获取：投标人于投标文件递交截止时间前均可登录《全国公共资源交易平台(河南省</w:t>
      </w:r>
      <w:r>
        <w:rPr>
          <w:rFonts w:hint="eastAsia" w:asciiTheme="minorEastAsia" w:hAnsiTheme="minorEastAsia"/>
          <w:sz w:val="24"/>
          <w:szCs w:val="24"/>
        </w:rPr>
        <w:t>•</w:t>
      </w:r>
      <w:r>
        <w:rPr>
          <w:rFonts w:hint="eastAsia" w:cs="宋体" w:asciiTheme="minorEastAsia" w:hAnsiTheme="minorEastAsia"/>
          <w:color w:val="000000"/>
          <w:kern w:val="0"/>
          <w:sz w:val="24"/>
          <w:szCs w:val="24"/>
        </w:rPr>
        <w:t>许昌市)》（</w:t>
      </w:r>
      <w:r>
        <w:fldChar w:fldCharType="begin"/>
      </w:r>
      <w:r>
        <w:instrText xml:space="preserve"> HYPERLINK "http://ggzy.xuchang.gov.cn/" </w:instrText>
      </w:r>
      <w:r>
        <w:fldChar w:fldCharType="separate"/>
      </w:r>
      <w:r>
        <w:rPr>
          <w:rFonts w:hint="eastAsia" w:cs="宋体" w:asciiTheme="minorEastAsia" w:hAnsiTheme="minorEastAsia"/>
          <w:color w:val="000000"/>
          <w:kern w:val="0"/>
          <w:sz w:val="24"/>
          <w:szCs w:val="24"/>
        </w:rPr>
        <w:t>http://ggzy.xuchang.gov.cn</w:t>
      </w:r>
      <w:r>
        <w:rPr>
          <w:rFonts w:hint="eastAsia" w:cs="宋体" w:asciiTheme="minorEastAsia" w:hAnsiTheme="minorEastAsia"/>
          <w:color w:val="000000"/>
          <w:kern w:val="0"/>
          <w:sz w:val="24"/>
          <w:szCs w:val="24"/>
        </w:rPr>
        <w:fldChar w:fldCharType="end"/>
      </w:r>
      <w:r>
        <w:rPr>
          <w:rFonts w:hint="eastAsia" w:cs="宋体" w:asciiTheme="minorEastAsia" w:hAnsiTheme="minorEastAsia"/>
          <w:color w:val="000000"/>
          <w:kern w:val="0"/>
          <w:sz w:val="24"/>
          <w:szCs w:val="24"/>
        </w:rPr>
        <w:t>），通过“投标人/供应商登录” 入口自行下载。</w:t>
      </w:r>
    </w:p>
    <w:p>
      <w:pPr>
        <w:widowControl/>
        <w:shd w:val="clear" w:color="auto" w:fill="FFFFFF"/>
        <w:spacing w:line="360" w:lineRule="auto"/>
        <w:ind w:firstLine="480" w:firstLineChars="20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5.2施工图纸下载：按照施工招标文件中第二章投标人须知前附表第2.1项所给的网址自行下载。</w:t>
      </w:r>
    </w:p>
    <w:p>
      <w:pPr>
        <w:widowControl/>
        <w:shd w:val="clear" w:color="auto" w:fill="FFFFFF"/>
        <w:spacing w:line="360" w:lineRule="auto"/>
        <w:ind w:firstLine="480" w:firstLineChars="20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5.3招标文件每套售价300元，于递交投标文件时缴纳给招标代理机构,售后不退。</w:t>
      </w:r>
    </w:p>
    <w:p>
      <w:pPr>
        <w:widowControl/>
        <w:shd w:val="clear" w:color="auto" w:fill="FFFFFF"/>
        <w:spacing w:line="360" w:lineRule="auto"/>
        <w:ind w:firstLine="482" w:firstLineChars="200"/>
        <w:jc w:val="left"/>
        <w:rPr>
          <w:rFonts w:cs="宋体" w:asciiTheme="minorEastAsia" w:hAnsiTheme="minorEastAsia"/>
          <w:color w:val="000000"/>
          <w:kern w:val="0"/>
          <w:sz w:val="24"/>
          <w:szCs w:val="24"/>
        </w:rPr>
      </w:pPr>
      <w:r>
        <w:rPr>
          <w:rFonts w:hint="eastAsia" w:cs="宋体" w:asciiTheme="minorEastAsia" w:hAnsiTheme="minorEastAsia"/>
          <w:b/>
          <w:bCs/>
          <w:color w:val="000000"/>
          <w:kern w:val="0"/>
          <w:sz w:val="24"/>
          <w:szCs w:val="24"/>
        </w:rPr>
        <w:t>6.投标文件的递交</w:t>
      </w:r>
    </w:p>
    <w:p>
      <w:pPr>
        <w:widowControl/>
        <w:shd w:val="clear" w:color="auto" w:fill="FFFFFF"/>
        <w:spacing w:line="360" w:lineRule="auto"/>
        <w:ind w:firstLine="480" w:firstLineChars="20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6.1 本项目为全流程电子化交易项目，须提交电子投标文件和电子介质（U盘）存储的投标文件。</w:t>
      </w:r>
    </w:p>
    <w:p>
      <w:pPr>
        <w:widowControl/>
        <w:shd w:val="clear" w:color="auto" w:fill="FFFFFF"/>
        <w:spacing w:line="360" w:lineRule="auto"/>
        <w:ind w:firstLine="480" w:firstLineChars="20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6.2 投标文件提交的截止时间及开标时间：2020年</w:t>
      </w:r>
      <w:r>
        <w:rPr>
          <w:rFonts w:hint="eastAsia" w:cs="宋体" w:asciiTheme="minorEastAsia" w:hAnsiTheme="minorEastAsia"/>
          <w:color w:val="000000"/>
          <w:kern w:val="0"/>
          <w:sz w:val="24"/>
          <w:szCs w:val="24"/>
          <w:lang w:val="en-US" w:eastAsia="zh-CN"/>
        </w:rPr>
        <w:t>2</w:t>
      </w:r>
      <w:r>
        <w:rPr>
          <w:rFonts w:hint="eastAsia" w:cs="宋体" w:asciiTheme="minorEastAsia" w:hAnsiTheme="minorEastAsia"/>
          <w:color w:val="000000"/>
          <w:kern w:val="0"/>
          <w:sz w:val="24"/>
          <w:szCs w:val="24"/>
        </w:rPr>
        <w:t>月</w:t>
      </w:r>
      <w:r>
        <w:rPr>
          <w:rFonts w:hint="eastAsia" w:cs="宋体" w:asciiTheme="minorEastAsia" w:hAnsiTheme="minorEastAsia"/>
          <w:color w:val="000000"/>
          <w:kern w:val="0"/>
          <w:sz w:val="24"/>
          <w:szCs w:val="24"/>
          <w:lang w:val="en-US" w:eastAsia="zh-CN"/>
        </w:rPr>
        <w:t>12</w:t>
      </w:r>
      <w:r>
        <w:rPr>
          <w:rFonts w:hint="eastAsia" w:cs="宋体" w:asciiTheme="minorEastAsia" w:hAnsiTheme="minorEastAsia"/>
          <w:color w:val="000000"/>
          <w:kern w:val="0"/>
          <w:sz w:val="24"/>
          <w:szCs w:val="24"/>
        </w:rPr>
        <w:t>日</w:t>
      </w:r>
      <w:r>
        <w:rPr>
          <w:rFonts w:hint="eastAsia" w:cs="宋体" w:asciiTheme="minorEastAsia" w:hAnsiTheme="minorEastAsia"/>
          <w:color w:val="000000"/>
          <w:kern w:val="0"/>
          <w:sz w:val="24"/>
          <w:szCs w:val="24"/>
          <w:lang w:val="en-US" w:eastAsia="zh-CN"/>
        </w:rPr>
        <w:t>9</w:t>
      </w:r>
      <w:r>
        <w:rPr>
          <w:rFonts w:hint="eastAsia" w:cs="宋体" w:asciiTheme="minorEastAsia" w:hAnsiTheme="minorEastAsia"/>
          <w:color w:val="000000"/>
          <w:kern w:val="0"/>
          <w:sz w:val="24"/>
          <w:szCs w:val="24"/>
        </w:rPr>
        <w:t>时</w:t>
      </w:r>
      <w:r>
        <w:rPr>
          <w:rFonts w:hint="eastAsia" w:cs="宋体" w:asciiTheme="minorEastAsia" w:hAnsiTheme="minorEastAsia"/>
          <w:color w:val="000000"/>
          <w:kern w:val="0"/>
          <w:sz w:val="24"/>
          <w:szCs w:val="24"/>
          <w:lang w:val="en-US" w:eastAsia="zh-CN"/>
        </w:rPr>
        <w:t>00</w:t>
      </w:r>
      <w:r>
        <w:rPr>
          <w:rFonts w:hint="eastAsia" w:cs="宋体" w:asciiTheme="minorEastAsia" w:hAnsiTheme="minorEastAsia"/>
          <w:color w:val="000000"/>
          <w:kern w:val="0"/>
          <w:sz w:val="24"/>
          <w:szCs w:val="24"/>
        </w:rPr>
        <w:t>分（北京时间）</w:t>
      </w:r>
    </w:p>
    <w:p>
      <w:pPr>
        <w:widowControl/>
        <w:shd w:val="clear" w:color="auto" w:fill="FFFFFF"/>
        <w:spacing w:line="360" w:lineRule="auto"/>
        <w:ind w:firstLine="480" w:firstLineChars="20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6.3 电子投标文件的提交：电子投标文件应在投标文件提交截止时间（开标时间）之前成功提交至《全国公共资源交易平台(河南省</w:t>
      </w:r>
      <w:r>
        <w:rPr>
          <w:rFonts w:hint="eastAsia" w:eastAsia="MS Mincho" w:cs="MS Mincho" w:asciiTheme="minorEastAsia" w:hAnsiTheme="minorEastAsia"/>
          <w:color w:val="000000"/>
          <w:kern w:val="0"/>
          <w:sz w:val="24"/>
          <w:szCs w:val="24"/>
        </w:rPr>
        <w:t>▪</w:t>
      </w:r>
      <w:r>
        <w:rPr>
          <w:rFonts w:hint="eastAsia" w:cs="宋体" w:asciiTheme="minorEastAsia" w:hAnsiTheme="minorEastAsia"/>
          <w:color w:val="000000"/>
          <w:kern w:val="0"/>
          <w:sz w:val="24"/>
          <w:szCs w:val="24"/>
        </w:rPr>
        <w:t>许昌市)》公共资源交易系统，同时提交2份使用电子介质（U盘）存储的备份文件。</w:t>
      </w:r>
    </w:p>
    <w:p>
      <w:pPr>
        <w:widowControl/>
        <w:shd w:val="clear" w:color="auto" w:fill="FFFFFF"/>
        <w:spacing w:line="360" w:lineRule="auto"/>
        <w:ind w:firstLine="480" w:firstLineChars="20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6.4 电子介质（U盘）存储的投标文件提交地点：襄城县公共资源交易中心（襄城县八七路东段电子产业园12楼开标</w:t>
      </w:r>
      <w:r>
        <w:rPr>
          <w:rFonts w:hint="eastAsia" w:cs="宋体" w:asciiTheme="minorEastAsia" w:hAnsiTheme="minorEastAsia"/>
          <w:color w:val="000000"/>
          <w:kern w:val="0"/>
          <w:sz w:val="24"/>
          <w:szCs w:val="24"/>
          <w:lang w:eastAsia="zh-CN"/>
        </w:rPr>
        <w:t>二</w:t>
      </w:r>
      <w:r>
        <w:rPr>
          <w:rFonts w:hint="eastAsia" w:cs="宋体" w:asciiTheme="minorEastAsia" w:hAnsiTheme="minorEastAsia"/>
          <w:color w:val="000000"/>
          <w:kern w:val="0"/>
          <w:sz w:val="24"/>
          <w:szCs w:val="24"/>
        </w:rPr>
        <w:t>室）。</w:t>
      </w:r>
    </w:p>
    <w:p>
      <w:pPr>
        <w:widowControl/>
        <w:shd w:val="clear" w:color="auto" w:fill="FFFFFF"/>
        <w:spacing w:line="360" w:lineRule="auto"/>
        <w:ind w:firstLine="480" w:firstLineChars="20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6.5 逾期送达的或者未送达指定地点的电子介质（U盘）存储的投标文件，招标人不予受理。</w:t>
      </w:r>
    </w:p>
    <w:p>
      <w:pPr>
        <w:widowControl/>
        <w:shd w:val="clear" w:color="auto" w:fill="FFFFFF"/>
        <w:spacing w:line="360" w:lineRule="auto"/>
        <w:ind w:firstLine="482" w:firstLineChars="200"/>
        <w:jc w:val="left"/>
        <w:rPr>
          <w:rFonts w:cs="宋体" w:asciiTheme="minorEastAsia" w:hAnsiTheme="minorEastAsia"/>
          <w:color w:val="000000"/>
          <w:kern w:val="0"/>
          <w:sz w:val="24"/>
          <w:szCs w:val="24"/>
        </w:rPr>
      </w:pPr>
      <w:r>
        <w:rPr>
          <w:rFonts w:hint="eastAsia" w:cs="宋体" w:asciiTheme="minorEastAsia" w:hAnsiTheme="minorEastAsia"/>
          <w:b/>
          <w:bCs/>
          <w:color w:val="000000"/>
          <w:kern w:val="0"/>
          <w:sz w:val="24"/>
          <w:szCs w:val="24"/>
        </w:rPr>
        <w:t>7.发布公告的媒介</w:t>
      </w:r>
    </w:p>
    <w:p>
      <w:pPr>
        <w:widowControl/>
        <w:shd w:val="clear" w:color="auto" w:fill="FFFFFF"/>
        <w:spacing w:line="360" w:lineRule="auto"/>
        <w:ind w:firstLine="480" w:firstLineChars="20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本公告同时在《全国公共资源交易平台(河南省</w:t>
      </w:r>
      <w:r>
        <w:rPr>
          <w:rFonts w:hint="eastAsia" w:asciiTheme="minorEastAsia" w:hAnsiTheme="minorEastAsia"/>
          <w:sz w:val="24"/>
          <w:szCs w:val="24"/>
        </w:rPr>
        <w:t>•</w:t>
      </w:r>
      <w:r>
        <w:rPr>
          <w:rFonts w:hint="eastAsia" w:cs="宋体" w:asciiTheme="minorEastAsia" w:hAnsiTheme="minorEastAsia"/>
          <w:color w:val="000000"/>
          <w:kern w:val="0"/>
          <w:sz w:val="24"/>
          <w:szCs w:val="24"/>
        </w:rPr>
        <w:t>许昌市)》、《河南省电子招标投标公共服务平台》上发布。</w:t>
      </w:r>
    </w:p>
    <w:p>
      <w:pPr>
        <w:widowControl/>
        <w:shd w:val="clear" w:color="auto" w:fill="FFFFFF"/>
        <w:spacing w:line="360" w:lineRule="auto"/>
        <w:ind w:firstLine="482" w:firstLineChars="200"/>
        <w:jc w:val="left"/>
        <w:rPr>
          <w:rFonts w:cs="宋体" w:asciiTheme="minorEastAsia" w:hAnsiTheme="minorEastAsia"/>
          <w:color w:val="000000"/>
          <w:kern w:val="0"/>
          <w:sz w:val="24"/>
          <w:szCs w:val="24"/>
        </w:rPr>
      </w:pPr>
      <w:r>
        <w:rPr>
          <w:rFonts w:hint="eastAsia" w:cs="宋体" w:asciiTheme="minorEastAsia" w:hAnsiTheme="minorEastAsia"/>
          <w:b/>
          <w:bCs/>
          <w:color w:val="000000"/>
          <w:kern w:val="0"/>
          <w:sz w:val="24"/>
          <w:szCs w:val="24"/>
        </w:rPr>
        <w:t>8.联系方式</w:t>
      </w:r>
    </w:p>
    <w:p>
      <w:pPr>
        <w:widowControl/>
        <w:shd w:val="clear" w:color="auto" w:fill="FFFFFF"/>
        <w:spacing w:line="360" w:lineRule="auto"/>
        <w:ind w:firstLine="480" w:firstLineChars="20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 xml:space="preserve">招 标 人：襄城县住房和城乡建设局           </w:t>
      </w:r>
    </w:p>
    <w:p>
      <w:pPr>
        <w:widowControl/>
        <w:shd w:val="clear" w:color="auto" w:fill="FFFFFF"/>
        <w:spacing w:line="360" w:lineRule="auto"/>
        <w:ind w:firstLine="480" w:firstLineChars="20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地    址：襄城县烟城路</w:t>
      </w:r>
    </w:p>
    <w:p>
      <w:pPr>
        <w:widowControl/>
        <w:shd w:val="clear" w:color="auto" w:fill="FFFFFF"/>
        <w:spacing w:line="368" w:lineRule="atLeast"/>
        <w:ind w:firstLine="480" w:firstLineChars="200"/>
        <w:jc w:val="left"/>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联 系 人：闫先生</w:t>
      </w:r>
    </w:p>
    <w:p>
      <w:pPr>
        <w:widowControl/>
        <w:shd w:val="clear" w:color="auto" w:fill="FFFFFF"/>
        <w:spacing w:line="360" w:lineRule="auto"/>
        <w:ind w:firstLine="480" w:firstLineChars="20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联系方式：13938797877</w:t>
      </w:r>
    </w:p>
    <w:p>
      <w:pPr>
        <w:widowControl/>
        <w:shd w:val="clear" w:color="auto" w:fill="FFFFFF"/>
        <w:spacing w:line="360" w:lineRule="auto"/>
        <w:ind w:firstLine="480" w:firstLineChars="20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代理机构：</w:t>
      </w:r>
      <w:r>
        <w:rPr>
          <w:rFonts w:hint="eastAsia" w:cs="宋体" w:asciiTheme="minorEastAsia" w:hAnsiTheme="minorEastAsia"/>
          <w:bCs/>
          <w:kern w:val="0"/>
          <w:sz w:val="24"/>
          <w:szCs w:val="24"/>
        </w:rPr>
        <w:t>河南英华咨询有限公司</w:t>
      </w:r>
    </w:p>
    <w:p>
      <w:pPr>
        <w:widowControl/>
        <w:shd w:val="clear" w:color="auto" w:fill="FFFFFF"/>
        <w:spacing w:line="360" w:lineRule="auto"/>
        <w:ind w:firstLine="480" w:firstLineChars="20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地   址：</w:t>
      </w:r>
      <w:r>
        <w:rPr>
          <w:rFonts w:hint="eastAsia" w:cs="宋体" w:asciiTheme="minorEastAsia" w:hAnsiTheme="minorEastAsia"/>
          <w:bCs/>
          <w:kern w:val="0"/>
          <w:sz w:val="24"/>
          <w:szCs w:val="24"/>
        </w:rPr>
        <w:t>郑州市电厂路河南省国家大学科技园（东区）16号楼C座21层</w:t>
      </w:r>
    </w:p>
    <w:p>
      <w:pPr>
        <w:widowControl/>
        <w:shd w:val="clear" w:color="auto" w:fill="FFFFFF"/>
        <w:spacing w:line="360" w:lineRule="auto"/>
        <w:ind w:firstLine="480" w:firstLineChars="20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联 系 人：杨先生</w:t>
      </w:r>
    </w:p>
    <w:p>
      <w:pPr>
        <w:widowControl/>
        <w:shd w:val="clear" w:color="auto" w:fill="FFFFFF"/>
        <w:spacing w:line="360" w:lineRule="auto"/>
        <w:ind w:firstLine="480" w:firstLineChars="20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联系方式：17339006682    0374-3111377</w:t>
      </w:r>
    </w:p>
    <w:p>
      <w:pPr>
        <w:widowControl/>
        <w:shd w:val="clear" w:color="auto" w:fill="FFFFFF"/>
        <w:spacing w:line="360" w:lineRule="auto"/>
        <w:ind w:firstLine="482" w:firstLineChars="200"/>
        <w:jc w:val="right"/>
        <w:rPr>
          <w:rFonts w:cs="宋体" w:asciiTheme="minorEastAsia" w:hAnsiTheme="minorEastAsia"/>
          <w:color w:val="000000"/>
          <w:kern w:val="0"/>
          <w:sz w:val="24"/>
          <w:szCs w:val="24"/>
        </w:rPr>
      </w:pPr>
      <w:r>
        <w:rPr>
          <w:rFonts w:cs="宋体" w:asciiTheme="minorEastAsia" w:hAnsiTheme="minorEastAsia"/>
          <w:b/>
          <w:bCs/>
          <w:color w:val="000000"/>
          <w:kern w:val="0"/>
          <w:sz w:val="24"/>
          <w:szCs w:val="24"/>
        </w:rPr>
        <w:t> </w:t>
      </w:r>
    </w:p>
    <w:p>
      <w:pPr>
        <w:tabs>
          <w:tab w:val="left" w:pos="4140"/>
          <w:tab w:val="left" w:pos="4260"/>
        </w:tabs>
        <w:spacing w:line="360" w:lineRule="auto"/>
        <w:ind w:right="-357" w:rightChars="-170" w:firstLine="480" w:firstLineChars="200"/>
        <w:jc w:val="right"/>
        <w:rPr>
          <w:rFonts w:asciiTheme="minorEastAsia" w:hAnsiTheme="minorEastAsia"/>
          <w:sz w:val="24"/>
          <w:szCs w:val="24"/>
        </w:rPr>
      </w:pPr>
      <w:r>
        <w:rPr>
          <w:rFonts w:hint="eastAsia" w:asciiTheme="minorEastAsia" w:hAnsiTheme="minorEastAsia"/>
          <w:sz w:val="24"/>
          <w:szCs w:val="24"/>
        </w:rPr>
        <w:t>襄城县住房和城乡建设局</w:t>
      </w:r>
    </w:p>
    <w:p>
      <w:pPr>
        <w:tabs>
          <w:tab w:val="left" w:pos="4140"/>
          <w:tab w:val="left" w:pos="4260"/>
        </w:tabs>
        <w:spacing w:line="360" w:lineRule="auto"/>
        <w:ind w:right="-357" w:rightChars="-170" w:firstLine="480" w:firstLineChars="200"/>
        <w:jc w:val="right"/>
        <w:rPr>
          <w:rFonts w:asciiTheme="minorEastAsia" w:hAnsiTheme="minorEastAsia"/>
          <w:b/>
          <w:sz w:val="24"/>
          <w:szCs w:val="24"/>
          <w:highlight w:val="red"/>
        </w:rPr>
      </w:pPr>
      <w:r>
        <w:rPr>
          <w:rFonts w:hint="eastAsia" w:asciiTheme="minorEastAsia" w:hAnsiTheme="minorEastAsia"/>
          <w:sz w:val="24"/>
          <w:szCs w:val="24"/>
        </w:rPr>
        <w:t xml:space="preserve">  2020年1月</w:t>
      </w:r>
      <w:r>
        <w:rPr>
          <w:rFonts w:hint="eastAsia" w:asciiTheme="minorEastAsia" w:hAnsiTheme="minorEastAsia"/>
          <w:sz w:val="24"/>
          <w:szCs w:val="24"/>
          <w:lang w:val="en-US" w:eastAsia="zh-CN"/>
        </w:rPr>
        <w:t>10</w:t>
      </w:r>
      <w:r>
        <w:rPr>
          <w:rFonts w:hint="eastAsia" w:asciiTheme="minorEastAsia" w:hAnsiTheme="minorEastAsia"/>
          <w:sz w:val="24"/>
          <w:szCs w:val="24"/>
        </w:rPr>
        <w:t>日</w:t>
      </w:r>
    </w:p>
    <w:p>
      <w:pPr>
        <w:widowControl/>
        <w:shd w:val="clear" w:color="auto" w:fill="FFFFFF"/>
        <w:spacing w:line="360" w:lineRule="auto"/>
        <w:ind w:firstLine="480" w:firstLineChars="200"/>
        <w:jc w:val="right"/>
        <w:rPr>
          <w:rFonts w:cs="宋体" w:asciiTheme="minorEastAsia" w:hAnsiTheme="minorEastAsia"/>
          <w:color w:val="000000"/>
          <w:kern w:val="0"/>
          <w:sz w:val="24"/>
          <w:szCs w:val="24"/>
        </w:rPr>
      </w:pPr>
    </w:p>
    <w:p>
      <w:pPr>
        <w:widowControl/>
        <w:shd w:val="clear" w:color="auto" w:fill="FFFFFF"/>
        <w:spacing w:line="360" w:lineRule="auto"/>
        <w:ind w:firstLine="480" w:firstLineChars="20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 </w:t>
      </w:r>
    </w:p>
    <w:p>
      <w:pPr>
        <w:widowControl/>
        <w:shd w:val="clear" w:color="auto" w:fill="FFFFFF"/>
        <w:spacing w:line="360" w:lineRule="auto"/>
        <w:ind w:firstLine="480" w:firstLineChars="200"/>
        <w:jc w:val="left"/>
        <w:rPr>
          <w:rFonts w:cs="宋体" w:asciiTheme="minorEastAsia" w:hAnsiTheme="minorEastAsia"/>
          <w:color w:val="000000"/>
          <w:kern w:val="0"/>
          <w:sz w:val="24"/>
          <w:szCs w:val="24"/>
        </w:rPr>
      </w:pPr>
    </w:p>
    <w:p>
      <w:pPr>
        <w:widowControl/>
        <w:shd w:val="clear" w:color="auto" w:fill="FFFFFF"/>
        <w:spacing w:line="360" w:lineRule="auto"/>
        <w:ind w:firstLine="480" w:firstLineChars="200"/>
        <w:jc w:val="left"/>
        <w:rPr>
          <w:rFonts w:cs="宋体" w:asciiTheme="minorEastAsia" w:hAnsiTheme="minorEastAsia"/>
          <w:color w:val="000000"/>
          <w:kern w:val="0"/>
          <w:sz w:val="24"/>
          <w:szCs w:val="24"/>
        </w:rPr>
      </w:pPr>
    </w:p>
    <w:p>
      <w:pPr>
        <w:widowControl/>
        <w:shd w:val="clear" w:color="auto" w:fill="FFFFFF"/>
        <w:spacing w:line="360" w:lineRule="auto"/>
        <w:ind w:firstLine="480" w:firstLineChars="200"/>
        <w:jc w:val="left"/>
        <w:rPr>
          <w:rFonts w:cs="宋体" w:asciiTheme="minorEastAsia" w:hAnsiTheme="minorEastAsia"/>
          <w:color w:val="000000"/>
          <w:kern w:val="0"/>
          <w:sz w:val="24"/>
          <w:szCs w:val="24"/>
        </w:rPr>
      </w:pPr>
    </w:p>
    <w:p>
      <w:pPr>
        <w:widowControl/>
        <w:shd w:val="clear" w:color="auto" w:fill="FFFFFF"/>
        <w:spacing w:line="360" w:lineRule="auto"/>
        <w:ind w:firstLine="480" w:firstLineChars="200"/>
        <w:jc w:val="left"/>
        <w:rPr>
          <w:rFonts w:cs="宋体" w:asciiTheme="minorEastAsia" w:hAnsiTheme="minorEastAsia"/>
          <w:color w:val="000000"/>
          <w:kern w:val="0"/>
          <w:sz w:val="24"/>
          <w:szCs w:val="24"/>
        </w:rPr>
      </w:pPr>
    </w:p>
    <w:p>
      <w:pPr>
        <w:widowControl/>
        <w:shd w:val="clear" w:color="auto" w:fill="FFFFFF"/>
        <w:spacing w:line="360" w:lineRule="auto"/>
        <w:ind w:firstLine="480" w:firstLineChars="200"/>
        <w:jc w:val="left"/>
        <w:rPr>
          <w:rFonts w:cs="宋体" w:asciiTheme="minorEastAsia" w:hAnsiTheme="minorEastAsia"/>
          <w:color w:val="000000"/>
          <w:kern w:val="0"/>
          <w:sz w:val="24"/>
          <w:szCs w:val="24"/>
        </w:rPr>
      </w:pPr>
    </w:p>
    <w:p>
      <w:pPr>
        <w:widowControl/>
        <w:jc w:val="left"/>
        <w:rPr>
          <w:rFonts w:cs="宋体" w:asciiTheme="minorEastAsia" w:hAnsiTheme="minorEastAsia"/>
          <w:b/>
          <w:color w:val="000000"/>
          <w:kern w:val="0"/>
          <w:sz w:val="24"/>
          <w:szCs w:val="24"/>
        </w:rPr>
      </w:pPr>
      <w:r>
        <w:rPr>
          <w:rFonts w:cs="宋体" w:asciiTheme="minorEastAsia" w:hAnsiTheme="minorEastAsia"/>
          <w:b/>
          <w:color w:val="000000"/>
          <w:kern w:val="0"/>
          <w:sz w:val="24"/>
          <w:szCs w:val="24"/>
        </w:rPr>
        <w:br w:type="page"/>
      </w:r>
    </w:p>
    <w:p>
      <w:pPr>
        <w:widowControl/>
        <w:shd w:val="clear" w:color="auto" w:fill="FFFFFF"/>
        <w:spacing w:line="360" w:lineRule="auto"/>
        <w:ind w:firstLine="482" w:firstLineChars="200"/>
        <w:jc w:val="left"/>
        <w:rPr>
          <w:rFonts w:cs="宋体" w:asciiTheme="minorEastAsia" w:hAnsiTheme="minorEastAsia"/>
          <w:b/>
          <w:color w:val="000000"/>
          <w:kern w:val="0"/>
          <w:sz w:val="24"/>
          <w:szCs w:val="24"/>
        </w:rPr>
      </w:pPr>
      <w:r>
        <w:rPr>
          <w:rFonts w:hint="eastAsia" w:cs="宋体" w:asciiTheme="minorEastAsia" w:hAnsiTheme="minorEastAsia"/>
          <w:b/>
          <w:color w:val="000000"/>
          <w:kern w:val="0"/>
          <w:sz w:val="24"/>
          <w:szCs w:val="24"/>
        </w:rPr>
        <w:t>温馨提示：</w:t>
      </w:r>
    </w:p>
    <w:p>
      <w:pPr>
        <w:widowControl/>
        <w:shd w:val="clear" w:color="auto" w:fill="FFFFFF"/>
        <w:spacing w:line="360" w:lineRule="auto"/>
        <w:ind w:firstLine="482" w:firstLineChars="200"/>
        <w:jc w:val="left"/>
        <w:rPr>
          <w:rFonts w:cs="宋体" w:asciiTheme="minorEastAsia" w:hAnsiTheme="minorEastAsia"/>
          <w:b/>
          <w:color w:val="000000"/>
          <w:kern w:val="0"/>
          <w:sz w:val="24"/>
          <w:szCs w:val="24"/>
        </w:rPr>
      </w:pPr>
      <w:r>
        <w:rPr>
          <w:rFonts w:hint="eastAsia" w:cs="宋体" w:asciiTheme="minorEastAsia" w:hAnsiTheme="minorEastAsia"/>
          <w:b/>
          <w:color w:val="000000"/>
          <w:kern w:val="0"/>
          <w:sz w:val="24"/>
          <w:szCs w:val="24"/>
        </w:rPr>
        <w:t>本项目为全流程电子化交易项目，请认真阅读招标文件，并注意以下事项。</w:t>
      </w:r>
    </w:p>
    <w:p>
      <w:pPr>
        <w:tabs>
          <w:tab w:val="left" w:pos="7095"/>
        </w:tabs>
        <w:snapToGrid w:val="0"/>
        <w:spacing w:line="360" w:lineRule="auto"/>
        <w:ind w:firstLine="482" w:firstLineChars="200"/>
        <w:jc w:val="left"/>
        <w:rPr>
          <w:rFonts w:asciiTheme="minorEastAsia" w:hAnsiTheme="minorEastAsia"/>
          <w:b/>
          <w:spacing w:val="-2"/>
          <w:sz w:val="24"/>
          <w:szCs w:val="24"/>
        </w:rPr>
      </w:pPr>
      <w:r>
        <w:rPr>
          <w:rFonts w:hint="eastAsia" w:asciiTheme="minorEastAsia" w:hAnsiTheme="minorEastAsia"/>
          <w:b/>
          <w:sz w:val="24"/>
          <w:szCs w:val="24"/>
        </w:rPr>
        <w:t>1.投标人应按招标文件规定下载、编制、提交电子投标文件和电子介质（U盘）存储的投标文件。</w:t>
      </w:r>
      <w:r>
        <w:rPr>
          <w:rFonts w:hint="eastAsia" w:asciiTheme="minorEastAsia" w:hAnsiTheme="minorEastAsia"/>
          <w:b/>
          <w:spacing w:val="-2"/>
          <w:sz w:val="24"/>
          <w:szCs w:val="24"/>
        </w:rPr>
        <w:t>开、评标现场不接受投标人递交的电子投标文件和电子介质（U盘）存储的投标文件以外的其他资料。</w:t>
      </w:r>
    </w:p>
    <w:p>
      <w:pPr>
        <w:tabs>
          <w:tab w:val="left" w:pos="7095"/>
        </w:tabs>
        <w:snapToGrid w:val="0"/>
        <w:spacing w:line="360" w:lineRule="auto"/>
        <w:ind w:firstLine="482" w:firstLineChars="200"/>
        <w:jc w:val="left"/>
        <w:rPr>
          <w:rFonts w:asciiTheme="minorEastAsia" w:hAnsiTheme="minorEastAsia"/>
          <w:b/>
          <w:sz w:val="24"/>
          <w:szCs w:val="24"/>
        </w:rPr>
      </w:pPr>
      <w:r>
        <w:rPr>
          <w:rFonts w:hint="eastAsia" w:asciiTheme="minorEastAsia" w:hAnsiTheme="minorEastAsia"/>
          <w:b/>
          <w:sz w:val="24"/>
          <w:szCs w:val="24"/>
        </w:rPr>
        <w:t>2</w:t>
      </w:r>
      <w:r>
        <w:rPr>
          <w:rFonts w:asciiTheme="minorEastAsia" w:hAnsiTheme="minorEastAsia"/>
          <w:b/>
          <w:sz w:val="24"/>
          <w:szCs w:val="24"/>
        </w:rPr>
        <w:t>.</w:t>
      </w:r>
      <w:r>
        <w:rPr>
          <w:rFonts w:hint="eastAsia" w:asciiTheme="minorEastAsia" w:hAnsiTheme="minorEastAsia"/>
          <w:b/>
          <w:sz w:val="24"/>
          <w:szCs w:val="24"/>
        </w:rPr>
        <w:t>电子文件下载、制作、提交期间和开标（电子投标文件的解密）环节，投标人须使用CA数字证书（证书须在有效期内）。</w:t>
      </w:r>
    </w:p>
    <w:p>
      <w:pPr>
        <w:tabs>
          <w:tab w:val="left" w:pos="7095"/>
        </w:tabs>
        <w:snapToGrid w:val="0"/>
        <w:spacing w:line="360" w:lineRule="auto"/>
        <w:ind w:firstLine="482" w:firstLineChars="200"/>
        <w:jc w:val="left"/>
        <w:rPr>
          <w:rFonts w:asciiTheme="minorEastAsia" w:hAnsiTheme="minorEastAsia"/>
          <w:b/>
          <w:sz w:val="24"/>
          <w:szCs w:val="24"/>
        </w:rPr>
      </w:pPr>
      <w:r>
        <w:rPr>
          <w:rFonts w:hint="eastAsia" w:asciiTheme="minorEastAsia" w:hAnsiTheme="minorEastAsia"/>
          <w:b/>
          <w:sz w:val="24"/>
          <w:szCs w:val="24"/>
        </w:rPr>
        <w:t>3.电子投标文件的制作。</w:t>
      </w:r>
    </w:p>
    <w:p>
      <w:pPr>
        <w:tabs>
          <w:tab w:val="left" w:pos="7095"/>
        </w:tabs>
        <w:snapToGrid w:val="0"/>
        <w:spacing w:line="360" w:lineRule="auto"/>
        <w:ind w:firstLine="480" w:firstLineChars="200"/>
        <w:jc w:val="left"/>
        <w:rPr>
          <w:rFonts w:asciiTheme="minorEastAsia" w:hAnsiTheme="minorEastAsia"/>
          <w:sz w:val="24"/>
          <w:szCs w:val="24"/>
        </w:rPr>
      </w:pPr>
      <w:r>
        <w:rPr>
          <w:rFonts w:asciiTheme="minorEastAsia" w:hAnsiTheme="minorEastAsia"/>
          <w:sz w:val="24"/>
          <w:szCs w:val="24"/>
        </w:rPr>
        <w:t>3</w:t>
      </w:r>
      <w:r>
        <w:rPr>
          <w:rFonts w:hint="eastAsia" w:asciiTheme="minorEastAsia" w:hAnsiTheme="minorEastAsia"/>
          <w:sz w:val="24"/>
          <w:szCs w:val="24"/>
        </w:rPr>
        <w:t>.1 投标人登录《全国公共资源交易平台（河南省·许昌市）》公共资源交易系统（</w:t>
      </w:r>
      <w:r>
        <w:fldChar w:fldCharType="begin"/>
      </w:r>
      <w:r>
        <w:instrText xml:space="preserve"> HYPERLINK "http://221.14.6.70:8088/ggzy/" </w:instrText>
      </w:r>
      <w:r>
        <w:fldChar w:fldCharType="separate"/>
      </w:r>
      <w:r>
        <w:rPr>
          <w:rStyle w:val="36"/>
          <w:rFonts w:asciiTheme="minorEastAsia" w:hAnsiTheme="minorEastAsia"/>
          <w:sz w:val="24"/>
          <w:szCs w:val="24"/>
        </w:rPr>
        <w:t>http://221.14.6.70:8088/ggzy/</w:t>
      </w:r>
      <w:r>
        <w:rPr>
          <w:rStyle w:val="36"/>
          <w:rFonts w:asciiTheme="minorEastAsia" w:hAnsiTheme="minorEastAsia"/>
          <w:sz w:val="24"/>
          <w:szCs w:val="24"/>
        </w:rPr>
        <w:fldChar w:fldCharType="end"/>
      </w:r>
      <w:r>
        <w:rPr>
          <w:rFonts w:hint="eastAsia" w:asciiTheme="minorEastAsia" w:hAnsiTheme="minorEastAsia"/>
          <w:sz w:val="24"/>
          <w:szCs w:val="24"/>
        </w:rPr>
        <w:t>）下载“许昌投标文件制作系统SEARUN V1.1（如有新版本，请以最新版本为准）”，按招标文件要求制作电子投标文件。</w:t>
      </w:r>
    </w:p>
    <w:p>
      <w:pPr>
        <w:tabs>
          <w:tab w:val="left" w:pos="7095"/>
        </w:tabs>
        <w:snapToGrid w:val="0"/>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电子投标文件的制作，参考《全国公共资源交易平台（河南省·许昌市）》公共资源交易系统——组件下载——交易系统操作手册（投标人、供应商）。</w:t>
      </w:r>
    </w:p>
    <w:p>
      <w:pPr>
        <w:tabs>
          <w:tab w:val="left" w:pos="7095"/>
        </w:tabs>
        <w:snapToGrid w:val="0"/>
        <w:spacing w:line="360" w:lineRule="auto"/>
        <w:ind w:left="105" w:leftChars="50" w:firstLine="480" w:firstLineChars="200"/>
        <w:jc w:val="left"/>
        <w:rPr>
          <w:rFonts w:asciiTheme="minorEastAsia" w:hAnsiTheme="minorEastAsia"/>
          <w:sz w:val="24"/>
          <w:szCs w:val="24"/>
        </w:rPr>
      </w:pPr>
      <w:r>
        <w:rPr>
          <w:rFonts w:asciiTheme="minorEastAsia" w:hAnsiTheme="minorEastAsia"/>
          <w:sz w:val="24"/>
          <w:szCs w:val="24"/>
        </w:rPr>
        <w:t>3</w:t>
      </w:r>
      <w:r>
        <w:rPr>
          <w:rFonts w:hint="eastAsia" w:asciiTheme="minorEastAsia" w:hAnsiTheme="minorEastAsia"/>
          <w:sz w:val="24"/>
          <w:szCs w:val="24"/>
        </w:rPr>
        <w:t>.</w:t>
      </w:r>
      <w:r>
        <w:rPr>
          <w:rFonts w:asciiTheme="minorEastAsia" w:hAnsiTheme="minorEastAsia"/>
          <w:sz w:val="24"/>
          <w:szCs w:val="24"/>
        </w:rPr>
        <w:t>2</w:t>
      </w:r>
      <w:r>
        <w:rPr>
          <w:rFonts w:hint="eastAsia" w:asciiTheme="minorEastAsia" w:hAnsiTheme="minorEastAsia"/>
          <w:sz w:val="24"/>
          <w:szCs w:val="24"/>
        </w:rPr>
        <w:t xml:space="preserve"> 投标人须将招标文件要求的资质、业绩、荣誉及相关人员证明材料等资料原件扫描件（或图片）制作到所提交的电子投标文件中。</w:t>
      </w:r>
    </w:p>
    <w:p>
      <w:pPr>
        <w:tabs>
          <w:tab w:val="left" w:pos="7095"/>
        </w:tabs>
        <w:snapToGrid w:val="0"/>
        <w:spacing w:line="360" w:lineRule="auto"/>
        <w:ind w:left="105" w:leftChars="50" w:firstLine="480" w:firstLineChars="200"/>
        <w:jc w:val="left"/>
        <w:rPr>
          <w:rFonts w:asciiTheme="minorEastAsia" w:hAnsiTheme="minorEastAsia"/>
          <w:sz w:val="24"/>
          <w:szCs w:val="24"/>
        </w:rPr>
      </w:pPr>
      <w:r>
        <w:rPr>
          <w:rFonts w:asciiTheme="minorEastAsia" w:hAnsiTheme="minorEastAsia"/>
          <w:sz w:val="24"/>
          <w:szCs w:val="24"/>
        </w:rPr>
        <w:t>3.3</w:t>
      </w:r>
      <w:r>
        <w:rPr>
          <w:rFonts w:hint="eastAsia" w:asciiTheme="minorEastAsia" w:hAnsiTheme="minorEastAsia"/>
          <w:sz w:val="24"/>
          <w:szCs w:val="24"/>
        </w:rPr>
        <w:t>投标人对同一项目多个标段进行投标的，应分别下载所投标段的招标文件，按标段制作电子投标文件，并</w:t>
      </w:r>
      <w:r>
        <w:rPr>
          <w:rFonts w:asciiTheme="minorEastAsia" w:hAnsiTheme="minorEastAsia"/>
          <w:sz w:val="24"/>
          <w:szCs w:val="24"/>
        </w:rPr>
        <w:t>按招标文件要求在相应位置加盖</w:t>
      </w:r>
      <w:r>
        <w:rPr>
          <w:rFonts w:hint="eastAsia" w:asciiTheme="minorEastAsia" w:hAnsiTheme="minorEastAsia"/>
          <w:sz w:val="24"/>
          <w:szCs w:val="24"/>
        </w:rPr>
        <w:t>投标人</w:t>
      </w:r>
      <w:r>
        <w:rPr>
          <w:rFonts w:asciiTheme="minorEastAsia" w:hAnsiTheme="minorEastAsia"/>
          <w:sz w:val="24"/>
          <w:szCs w:val="24"/>
        </w:rPr>
        <w:t>电子印章</w:t>
      </w:r>
      <w:r>
        <w:rPr>
          <w:rFonts w:hint="eastAsia" w:asciiTheme="minorEastAsia" w:hAnsiTheme="minorEastAsia"/>
          <w:sz w:val="24"/>
          <w:szCs w:val="24"/>
        </w:rPr>
        <w:t>和法人电子印章。</w:t>
      </w:r>
    </w:p>
    <w:p>
      <w:pPr>
        <w:tabs>
          <w:tab w:val="left" w:pos="7095"/>
        </w:tabs>
        <w:snapToGrid w:val="0"/>
        <w:spacing w:line="360" w:lineRule="auto"/>
        <w:ind w:left="105" w:leftChars="50" w:firstLine="482" w:firstLineChars="200"/>
        <w:jc w:val="left"/>
        <w:rPr>
          <w:rFonts w:asciiTheme="minorEastAsia" w:hAnsiTheme="minorEastAsia"/>
          <w:sz w:val="24"/>
          <w:szCs w:val="24"/>
        </w:rPr>
      </w:pPr>
      <w:r>
        <w:rPr>
          <w:rFonts w:hint="eastAsia" w:asciiTheme="minorEastAsia" w:hAnsiTheme="minorEastAsia"/>
          <w:b/>
          <w:sz w:val="24"/>
          <w:szCs w:val="24"/>
        </w:rPr>
        <w:t>一个标段对应生成一个文件夹（xxxx项目xx标段）, 其中包含2个文件和1个文件夹。</w:t>
      </w:r>
      <w:r>
        <w:rPr>
          <w:rFonts w:hint="eastAsia" w:asciiTheme="minorEastAsia" w:hAnsiTheme="minorEastAsia"/>
          <w:sz w:val="24"/>
          <w:szCs w:val="24"/>
        </w:rPr>
        <w:t>后缀名为“</w:t>
      </w:r>
      <w:r>
        <w:rPr>
          <w:rFonts w:asciiTheme="minorEastAsia" w:hAnsiTheme="minorEastAsia"/>
          <w:sz w:val="24"/>
          <w:szCs w:val="24"/>
        </w:rPr>
        <w:t>.file</w:t>
      </w:r>
      <w:r>
        <w:rPr>
          <w:rFonts w:hint="eastAsia" w:asciiTheme="minorEastAsia" w:hAnsiTheme="minorEastAsia"/>
          <w:sz w:val="24"/>
          <w:szCs w:val="24"/>
        </w:rPr>
        <w:t>”的文件用于电子投标使用，“备份文件夹”使用电子介质</w:t>
      </w:r>
      <w:r>
        <w:rPr>
          <w:rFonts w:hint="eastAsia" w:cs="Times New Roman" w:asciiTheme="minorEastAsia" w:hAnsiTheme="minorEastAsia"/>
          <w:sz w:val="24"/>
          <w:szCs w:val="24"/>
        </w:rPr>
        <w:t>（U盘）</w:t>
      </w:r>
      <w:r>
        <w:rPr>
          <w:rFonts w:hint="eastAsia" w:asciiTheme="minorEastAsia" w:hAnsiTheme="minorEastAsia"/>
          <w:sz w:val="24"/>
          <w:szCs w:val="24"/>
        </w:rPr>
        <w:t>存储，供开标现场备用。</w:t>
      </w:r>
    </w:p>
    <w:p>
      <w:pPr>
        <w:tabs>
          <w:tab w:val="left" w:pos="7095"/>
        </w:tabs>
        <w:snapToGrid w:val="0"/>
        <w:spacing w:line="360" w:lineRule="auto"/>
        <w:ind w:firstLine="482" w:firstLineChars="200"/>
        <w:jc w:val="left"/>
        <w:rPr>
          <w:rFonts w:asciiTheme="minorEastAsia" w:hAnsiTheme="minorEastAsia"/>
          <w:b/>
          <w:sz w:val="24"/>
          <w:szCs w:val="24"/>
        </w:rPr>
      </w:pPr>
      <w:r>
        <w:rPr>
          <w:rFonts w:asciiTheme="minorEastAsia" w:hAnsiTheme="minorEastAsia"/>
          <w:b/>
          <w:sz w:val="24"/>
          <w:szCs w:val="24"/>
        </w:rPr>
        <w:t>4</w:t>
      </w:r>
      <w:r>
        <w:rPr>
          <w:rFonts w:hint="eastAsia" w:asciiTheme="minorEastAsia" w:hAnsiTheme="minorEastAsia"/>
          <w:b/>
          <w:sz w:val="24"/>
          <w:szCs w:val="24"/>
        </w:rPr>
        <w:t>.电子投标文件的提交</w:t>
      </w:r>
    </w:p>
    <w:p>
      <w:pPr>
        <w:tabs>
          <w:tab w:val="left" w:pos="7095"/>
        </w:tabs>
        <w:snapToGrid w:val="0"/>
        <w:spacing w:line="360" w:lineRule="auto"/>
        <w:ind w:left="105" w:leftChars="50" w:firstLine="480" w:firstLineChars="200"/>
        <w:jc w:val="left"/>
        <w:rPr>
          <w:rFonts w:asciiTheme="minorEastAsia" w:hAnsiTheme="minorEastAsia"/>
          <w:sz w:val="24"/>
          <w:szCs w:val="24"/>
        </w:rPr>
      </w:pPr>
      <w:r>
        <w:rPr>
          <w:rFonts w:asciiTheme="minorEastAsia" w:hAnsiTheme="minorEastAsia"/>
          <w:sz w:val="24"/>
          <w:szCs w:val="24"/>
        </w:rPr>
        <w:t>4</w:t>
      </w:r>
      <w:r>
        <w:rPr>
          <w:rFonts w:hint="eastAsia" w:asciiTheme="minorEastAsia" w:hAnsiTheme="minorEastAsia"/>
          <w:sz w:val="24"/>
          <w:szCs w:val="24"/>
        </w:rPr>
        <w:t>.1电子投标文件应在招标文件规定的投标文件提交截止时间（开标时间）之前成功提交至《全国公共资源交易平台（河南省·许昌市）》公共资源交易系统（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asciiTheme="minorEastAsia" w:hAnsiTheme="minorEastAsia"/>
          <w:sz w:val="24"/>
          <w:szCs w:val="24"/>
        </w:rPr>
        <w:t>http://221.14.6.70:8088/ggzy/</w:t>
      </w:r>
      <w:r>
        <w:rPr>
          <w:rFonts w:asciiTheme="minorEastAsia" w:hAnsiTheme="minorEastAsia"/>
          <w:sz w:val="24"/>
          <w:szCs w:val="24"/>
        </w:rPr>
        <w:fldChar w:fldCharType="end"/>
      </w:r>
      <w:r>
        <w:rPr>
          <w:rFonts w:hint="eastAsia" w:asciiTheme="minorEastAsia" w:hAnsiTheme="minorEastAsia"/>
          <w:sz w:val="24"/>
          <w:szCs w:val="24"/>
        </w:rPr>
        <w:t>）。</w:t>
      </w:r>
    </w:p>
    <w:p>
      <w:pPr>
        <w:tabs>
          <w:tab w:val="left" w:pos="7095"/>
        </w:tabs>
        <w:snapToGrid w:val="0"/>
        <w:spacing w:line="360" w:lineRule="auto"/>
        <w:ind w:left="105" w:leftChars="50" w:firstLine="480" w:firstLineChars="200"/>
        <w:jc w:val="left"/>
        <w:rPr>
          <w:rFonts w:asciiTheme="minorEastAsia" w:hAnsiTheme="minorEastAsia"/>
          <w:sz w:val="24"/>
          <w:szCs w:val="24"/>
        </w:rPr>
      </w:pPr>
      <w:r>
        <w:rPr>
          <w:rFonts w:hint="eastAsia" w:asciiTheme="minorEastAsia" w:hAnsiTheme="minorEastAsia"/>
          <w:sz w:val="24"/>
          <w:szCs w:val="24"/>
        </w:rPr>
        <w:t>投标人应充分考虑并预留技术处理和上传数据所需时间。</w:t>
      </w:r>
    </w:p>
    <w:p>
      <w:pPr>
        <w:tabs>
          <w:tab w:val="left" w:pos="7095"/>
        </w:tabs>
        <w:snapToGrid w:val="0"/>
        <w:spacing w:line="360" w:lineRule="auto"/>
        <w:ind w:left="105" w:leftChars="50" w:firstLine="480" w:firstLineChars="200"/>
        <w:jc w:val="left"/>
        <w:rPr>
          <w:rFonts w:asciiTheme="minorEastAsia" w:hAnsiTheme="minorEastAsia"/>
          <w:sz w:val="24"/>
          <w:szCs w:val="24"/>
        </w:rPr>
      </w:pPr>
      <w:r>
        <w:rPr>
          <w:rFonts w:asciiTheme="minorEastAsia" w:hAnsiTheme="minorEastAsia"/>
          <w:sz w:val="24"/>
          <w:szCs w:val="24"/>
        </w:rPr>
        <w:t>4.</w:t>
      </w:r>
      <w:r>
        <w:rPr>
          <w:rFonts w:hint="eastAsia" w:asciiTheme="minorEastAsia" w:hAnsiTheme="minorEastAsia"/>
          <w:sz w:val="24"/>
          <w:szCs w:val="24"/>
        </w:rPr>
        <w:t>2 投标人对同一项目多个标段进行投标的，电子投标文件应按标段分别提交。</w:t>
      </w:r>
    </w:p>
    <w:p>
      <w:pPr>
        <w:tabs>
          <w:tab w:val="left" w:pos="7095"/>
        </w:tabs>
        <w:snapToGrid w:val="0"/>
        <w:spacing w:line="360" w:lineRule="auto"/>
        <w:ind w:left="105" w:leftChars="50" w:firstLine="480" w:firstLineChars="200"/>
        <w:jc w:val="left"/>
        <w:rPr>
          <w:rFonts w:asciiTheme="minorEastAsia" w:hAnsiTheme="minorEastAsia"/>
          <w:sz w:val="24"/>
          <w:szCs w:val="24"/>
        </w:rPr>
      </w:pPr>
      <w:r>
        <w:rPr>
          <w:rFonts w:asciiTheme="minorEastAsia" w:hAnsiTheme="minorEastAsia"/>
          <w:sz w:val="24"/>
          <w:szCs w:val="24"/>
        </w:rPr>
        <w:t>4</w:t>
      </w:r>
      <w:r>
        <w:rPr>
          <w:rFonts w:hint="eastAsia" w:asciiTheme="minorEastAsia" w:hAnsiTheme="minorEastAsia"/>
          <w:sz w:val="24"/>
          <w:szCs w:val="24"/>
        </w:rPr>
        <w:t>.</w:t>
      </w:r>
      <w:r>
        <w:rPr>
          <w:rFonts w:asciiTheme="minorEastAsia" w:hAnsiTheme="minorEastAsia"/>
          <w:sz w:val="24"/>
          <w:szCs w:val="24"/>
        </w:rPr>
        <w:t>3</w:t>
      </w:r>
      <w:r>
        <w:rPr>
          <w:rFonts w:hint="eastAsia" w:asciiTheme="minorEastAsia" w:hAnsiTheme="minorEastAsia"/>
          <w:sz w:val="24"/>
          <w:szCs w:val="24"/>
        </w:rPr>
        <w:t xml:space="preserve"> 电子投标文件成功提交后，投标人应打印“投标文件提交回执单”，供开标现场备查。</w:t>
      </w:r>
    </w:p>
    <w:p>
      <w:pPr>
        <w:tabs>
          <w:tab w:val="left" w:pos="7095"/>
        </w:tabs>
        <w:snapToGrid w:val="0"/>
        <w:spacing w:line="360" w:lineRule="auto"/>
        <w:ind w:firstLine="482" w:firstLineChars="200"/>
        <w:jc w:val="left"/>
        <w:rPr>
          <w:rFonts w:asciiTheme="minorEastAsia" w:hAnsiTheme="minorEastAsia"/>
          <w:b/>
          <w:sz w:val="24"/>
          <w:szCs w:val="24"/>
        </w:rPr>
      </w:pPr>
      <w:r>
        <w:rPr>
          <w:rFonts w:asciiTheme="minorEastAsia" w:hAnsiTheme="minorEastAsia"/>
          <w:b/>
          <w:sz w:val="24"/>
          <w:szCs w:val="24"/>
        </w:rPr>
        <w:t>5</w:t>
      </w:r>
      <w:r>
        <w:rPr>
          <w:rFonts w:hint="eastAsia" w:asciiTheme="minorEastAsia" w:hAnsiTheme="minorEastAsia"/>
          <w:b/>
          <w:sz w:val="24"/>
          <w:szCs w:val="24"/>
        </w:rPr>
        <w:t>.评标依据</w:t>
      </w:r>
    </w:p>
    <w:p>
      <w:pPr>
        <w:tabs>
          <w:tab w:val="left" w:pos="7095"/>
        </w:tabs>
        <w:snapToGrid w:val="0"/>
        <w:spacing w:line="360" w:lineRule="auto"/>
        <w:ind w:left="105" w:leftChars="50" w:firstLine="480" w:firstLineChars="200"/>
        <w:jc w:val="left"/>
        <w:rPr>
          <w:rFonts w:asciiTheme="minorEastAsia" w:hAnsiTheme="minorEastAsia"/>
          <w:sz w:val="24"/>
          <w:szCs w:val="24"/>
        </w:rPr>
      </w:pPr>
      <w:r>
        <w:rPr>
          <w:rFonts w:hint="eastAsia" w:asciiTheme="minorEastAsia" w:hAnsiTheme="minorEastAsia"/>
          <w:sz w:val="24"/>
          <w:szCs w:val="24"/>
        </w:rPr>
        <w:t>5.1采用全流程电子化交易评标时，评标委员会以电子投标文件为依据评标。</w:t>
      </w:r>
    </w:p>
    <w:p>
      <w:pPr>
        <w:tabs>
          <w:tab w:val="left" w:pos="7095"/>
        </w:tabs>
        <w:snapToGrid w:val="0"/>
        <w:spacing w:line="360" w:lineRule="auto"/>
        <w:ind w:left="105" w:leftChars="50" w:firstLine="480" w:firstLineChars="200"/>
        <w:jc w:val="left"/>
        <w:rPr>
          <w:rFonts w:asciiTheme="minorEastAsia" w:hAnsiTheme="minorEastAsia"/>
          <w:sz w:val="24"/>
          <w:szCs w:val="24"/>
        </w:rPr>
      </w:pPr>
      <w:r>
        <w:rPr>
          <w:rFonts w:hint="eastAsia" w:asciiTheme="minorEastAsia" w:hAnsiTheme="minorEastAsia"/>
          <w:sz w:val="24"/>
          <w:szCs w:val="24"/>
        </w:rPr>
        <w:t>5.2全流程电子化交易系统如因系统异常情况无法完成，将以人工方式进行。评标委员会以投标人提供的电子介质</w:t>
      </w:r>
      <w:r>
        <w:rPr>
          <w:rFonts w:hint="eastAsia" w:cs="Times New Roman" w:asciiTheme="minorEastAsia" w:hAnsiTheme="minorEastAsia"/>
          <w:sz w:val="24"/>
          <w:szCs w:val="24"/>
        </w:rPr>
        <w:t>（U盘）</w:t>
      </w:r>
      <w:r>
        <w:rPr>
          <w:rFonts w:hint="eastAsia" w:asciiTheme="minorEastAsia" w:hAnsiTheme="minorEastAsia"/>
          <w:sz w:val="24"/>
          <w:szCs w:val="24"/>
        </w:rPr>
        <w:t>存储的投标文件为依据评标。</w:t>
      </w:r>
    </w:p>
    <w:p>
      <w:pPr>
        <w:widowControl/>
        <w:jc w:val="left"/>
        <w:rPr>
          <w:rFonts w:hAnsi="宋体" w:eastAsia="宋体" w:cs="宋体"/>
          <w:b/>
          <w:sz w:val="36"/>
          <w:szCs w:val="36"/>
        </w:rPr>
      </w:pPr>
      <w:r>
        <w:rPr>
          <w:rFonts w:hAnsi="宋体" w:eastAsia="宋体" w:cs="宋体"/>
          <w:b/>
          <w:sz w:val="36"/>
          <w:szCs w:val="36"/>
        </w:rPr>
        <w:br w:type="page"/>
      </w:r>
    </w:p>
    <w:p>
      <w:pPr>
        <w:spacing w:line="360" w:lineRule="auto"/>
        <w:jc w:val="center"/>
        <w:rPr>
          <w:b/>
          <w:sz w:val="36"/>
          <w:szCs w:val="36"/>
        </w:rPr>
      </w:pPr>
      <w:r>
        <w:rPr>
          <w:rFonts w:hint="eastAsia"/>
          <w:b/>
          <w:sz w:val="36"/>
          <w:szCs w:val="36"/>
        </w:rPr>
        <w:t>第二章  投标人须知</w:t>
      </w:r>
    </w:p>
    <w:p>
      <w:pPr>
        <w:autoSpaceDE w:val="0"/>
        <w:autoSpaceDN w:val="0"/>
        <w:adjustRightInd w:val="0"/>
        <w:jc w:val="center"/>
        <w:rPr>
          <w:rFonts w:hAnsi="宋体" w:cs="黑体"/>
          <w:b/>
          <w:sz w:val="28"/>
          <w:szCs w:val="28"/>
        </w:rPr>
      </w:pPr>
      <w:bookmarkStart w:id="4" w:name="_Toc283559940"/>
      <w:r>
        <w:rPr>
          <w:rFonts w:hint="eastAsia" w:hAnsi="宋体" w:cs="黑体"/>
          <w:b/>
          <w:sz w:val="28"/>
          <w:szCs w:val="28"/>
        </w:rPr>
        <w:t>投标人须知前附表</w:t>
      </w:r>
      <w:bookmarkEnd w:id="4"/>
    </w:p>
    <w:tbl>
      <w:tblPr>
        <w:tblStyle w:val="30"/>
        <w:tblW w:w="9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802"/>
        <w:gridCol w:w="525"/>
        <w:gridCol w:w="5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003" w:type="dxa"/>
            <w:vAlign w:val="center"/>
          </w:tcPr>
          <w:p>
            <w:pPr>
              <w:autoSpaceDE w:val="0"/>
              <w:autoSpaceDN w:val="0"/>
              <w:adjustRightInd w:val="0"/>
              <w:jc w:val="center"/>
              <w:rPr>
                <w:rFonts w:cs="宋体" w:asciiTheme="minorEastAsia" w:hAnsiTheme="minorEastAsia"/>
                <w:b/>
                <w:szCs w:val="21"/>
              </w:rPr>
            </w:pPr>
            <w:r>
              <w:rPr>
                <w:rFonts w:hint="eastAsia" w:cs="宋体" w:asciiTheme="minorEastAsia" w:hAnsiTheme="minorEastAsia"/>
                <w:b/>
                <w:szCs w:val="21"/>
              </w:rPr>
              <w:t>条款号</w:t>
            </w:r>
          </w:p>
        </w:tc>
        <w:tc>
          <w:tcPr>
            <w:tcW w:w="2447" w:type="dxa"/>
            <w:gridSpan w:val="3"/>
            <w:vAlign w:val="center"/>
          </w:tcPr>
          <w:p>
            <w:pPr>
              <w:autoSpaceDE w:val="0"/>
              <w:autoSpaceDN w:val="0"/>
              <w:adjustRightInd w:val="0"/>
              <w:jc w:val="center"/>
              <w:rPr>
                <w:rFonts w:cs="宋体" w:asciiTheme="minorEastAsia" w:hAnsiTheme="minorEastAsia"/>
                <w:b/>
                <w:szCs w:val="21"/>
              </w:rPr>
            </w:pPr>
            <w:r>
              <w:rPr>
                <w:rFonts w:hint="eastAsia" w:cs="宋体" w:asciiTheme="minorEastAsia" w:hAnsiTheme="minorEastAsia"/>
                <w:b/>
                <w:szCs w:val="21"/>
              </w:rPr>
              <w:t>条 款 名 称</w:t>
            </w:r>
          </w:p>
        </w:tc>
        <w:tc>
          <w:tcPr>
            <w:tcW w:w="6283" w:type="dxa"/>
            <w:gridSpan w:val="2"/>
            <w:vAlign w:val="center"/>
          </w:tcPr>
          <w:p>
            <w:pPr>
              <w:autoSpaceDE w:val="0"/>
              <w:autoSpaceDN w:val="0"/>
              <w:adjustRightInd w:val="0"/>
              <w:jc w:val="center"/>
              <w:rPr>
                <w:rFonts w:cs="宋体" w:asciiTheme="minorEastAsia" w:hAnsiTheme="minorEastAsia"/>
                <w:b/>
                <w:szCs w:val="21"/>
              </w:rPr>
            </w:pPr>
            <w:r>
              <w:rPr>
                <w:rFonts w:hint="eastAsia" w:cs="宋体" w:asciiTheme="minorEastAsia" w:hAnsiTheme="minorEastAsia"/>
                <w:b/>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1003" w:type="dxa"/>
            <w:vAlign w:val="center"/>
          </w:tcPr>
          <w:p>
            <w:pPr>
              <w:autoSpaceDE w:val="0"/>
              <w:autoSpaceDN w:val="0"/>
              <w:adjustRightInd w:val="0"/>
              <w:jc w:val="center"/>
              <w:rPr>
                <w:rFonts w:cs="宋体" w:asciiTheme="minorEastAsia" w:hAnsiTheme="minorEastAsia"/>
                <w:szCs w:val="21"/>
              </w:rPr>
            </w:pPr>
            <w:r>
              <w:rPr>
                <w:rFonts w:hint="eastAsia" w:cs="宋体" w:asciiTheme="minorEastAsia" w:hAnsiTheme="minorEastAsia"/>
                <w:szCs w:val="21"/>
              </w:rPr>
              <w:t>1.1.2</w:t>
            </w:r>
          </w:p>
        </w:tc>
        <w:tc>
          <w:tcPr>
            <w:tcW w:w="2447" w:type="dxa"/>
            <w:gridSpan w:val="3"/>
            <w:vAlign w:val="center"/>
          </w:tcPr>
          <w:p>
            <w:pPr>
              <w:autoSpaceDE w:val="0"/>
              <w:autoSpaceDN w:val="0"/>
              <w:adjustRightInd w:val="0"/>
              <w:jc w:val="center"/>
              <w:rPr>
                <w:rFonts w:cs="宋体" w:asciiTheme="minorEastAsia" w:hAnsiTheme="minorEastAsia"/>
                <w:szCs w:val="21"/>
              </w:rPr>
            </w:pPr>
            <w:r>
              <w:rPr>
                <w:rFonts w:hint="eastAsia" w:cs="宋体" w:asciiTheme="minorEastAsia" w:hAnsiTheme="minorEastAsia"/>
                <w:szCs w:val="21"/>
              </w:rPr>
              <w:t>招标人</w:t>
            </w:r>
          </w:p>
        </w:tc>
        <w:tc>
          <w:tcPr>
            <w:tcW w:w="6283" w:type="dxa"/>
            <w:gridSpan w:val="2"/>
            <w:vAlign w:val="center"/>
          </w:tcPr>
          <w:p>
            <w:pPr>
              <w:widowControl/>
              <w:rPr>
                <w:rFonts w:cs="宋体" w:asciiTheme="minorEastAsia" w:hAnsiTheme="minorEastAsia"/>
                <w:szCs w:val="21"/>
              </w:rPr>
            </w:pPr>
            <w:r>
              <w:rPr>
                <w:rFonts w:hint="eastAsia" w:cs="宋体" w:asciiTheme="minorEastAsia" w:hAnsiTheme="minorEastAsia"/>
                <w:szCs w:val="21"/>
              </w:rPr>
              <w:t>招 标 人：襄城县住房和城乡建设局</w:t>
            </w:r>
          </w:p>
          <w:p>
            <w:pPr>
              <w:widowControl/>
              <w:rPr>
                <w:rFonts w:cs="宋体" w:asciiTheme="minorEastAsia" w:hAnsiTheme="minorEastAsia"/>
                <w:szCs w:val="21"/>
              </w:rPr>
            </w:pPr>
            <w:r>
              <w:rPr>
                <w:rFonts w:hint="eastAsia" w:cs="宋体" w:asciiTheme="minorEastAsia" w:hAnsiTheme="minorEastAsia"/>
                <w:szCs w:val="21"/>
              </w:rPr>
              <w:t>地    址：襄城县烟城路</w:t>
            </w:r>
          </w:p>
          <w:p>
            <w:pPr>
              <w:widowControl/>
              <w:rPr>
                <w:rFonts w:cs="宋体" w:asciiTheme="minorEastAsia" w:hAnsiTheme="minorEastAsia"/>
                <w:szCs w:val="21"/>
              </w:rPr>
            </w:pPr>
            <w:r>
              <w:rPr>
                <w:rFonts w:hint="eastAsia" w:cs="宋体" w:asciiTheme="minorEastAsia" w:hAnsiTheme="minorEastAsia"/>
                <w:szCs w:val="21"/>
              </w:rPr>
              <w:t>联 系 人：闫先生</w:t>
            </w:r>
          </w:p>
          <w:p>
            <w:pPr>
              <w:widowControl/>
              <w:rPr>
                <w:rFonts w:cs="宋体" w:asciiTheme="minorEastAsia" w:hAnsiTheme="minorEastAsia"/>
                <w:szCs w:val="21"/>
              </w:rPr>
            </w:pPr>
            <w:r>
              <w:rPr>
                <w:rFonts w:hint="eastAsia" w:cs="宋体" w:asciiTheme="minorEastAsia" w:hAnsiTheme="minorEastAsia"/>
                <w:szCs w:val="21"/>
              </w:rPr>
              <w:t>联系方式：13938797877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1003" w:type="dxa"/>
            <w:vAlign w:val="center"/>
          </w:tcPr>
          <w:p>
            <w:pPr>
              <w:autoSpaceDE w:val="0"/>
              <w:autoSpaceDN w:val="0"/>
              <w:adjustRightInd w:val="0"/>
              <w:jc w:val="center"/>
              <w:rPr>
                <w:rFonts w:cs="宋体" w:asciiTheme="minorEastAsia" w:hAnsiTheme="minorEastAsia"/>
                <w:szCs w:val="21"/>
              </w:rPr>
            </w:pPr>
            <w:r>
              <w:rPr>
                <w:rFonts w:hint="eastAsia" w:cs="宋体" w:asciiTheme="minorEastAsia" w:hAnsiTheme="minorEastAsia"/>
                <w:szCs w:val="21"/>
              </w:rPr>
              <w:t>1.1.3</w:t>
            </w:r>
          </w:p>
        </w:tc>
        <w:tc>
          <w:tcPr>
            <w:tcW w:w="2447" w:type="dxa"/>
            <w:gridSpan w:val="3"/>
            <w:vAlign w:val="center"/>
          </w:tcPr>
          <w:p>
            <w:pPr>
              <w:autoSpaceDE w:val="0"/>
              <w:autoSpaceDN w:val="0"/>
              <w:adjustRightInd w:val="0"/>
              <w:jc w:val="center"/>
              <w:rPr>
                <w:rFonts w:cs="宋体" w:asciiTheme="minorEastAsia" w:hAnsiTheme="minorEastAsia"/>
                <w:szCs w:val="21"/>
              </w:rPr>
            </w:pPr>
            <w:r>
              <w:rPr>
                <w:rFonts w:hint="eastAsia" w:cs="宋体" w:asciiTheme="minorEastAsia" w:hAnsiTheme="minorEastAsia"/>
                <w:szCs w:val="21"/>
              </w:rPr>
              <w:t>代理机构</w:t>
            </w:r>
          </w:p>
        </w:tc>
        <w:tc>
          <w:tcPr>
            <w:tcW w:w="6283" w:type="dxa"/>
            <w:gridSpan w:val="2"/>
            <w:vAlign w:val="center"/>
          </w:tcPr>
          <w:p>
            <w:pPr>
              <w:widowControl/>
              <w:rPr>
                <w:rFonts w:cs="宋体" w:asciiTheme="minorEastAsia" w:hAnsiTheme="minorEastAsia"/>
                <w:szCs w:val="21"/>
              </w:rPr>
            </w:pPr>
            <w:r>
              <w:rPr>
                <w:rFonts w:hint="eastAsia" w:cs="宋体" w:asciiTheme="minorEastAsia" w:hAnsiTheme="minorEastAsia"/>
                <w:szCs w:val="21"/>
              </w:rPr>
              <w:t>代理机构：河南英华咨询有限公司</w:t>
            </w:r>
          </w:p>
          <w:p>
            <w:pPr>
              <w:widowControl/>
              <w:rPr>
                <w:rFonts w:cs="宋体" w:asciiTheme="minorEastAsia" w:hAnsiTheme="minorEastAsia"/>
                <w:szCs w:val="21"/>
              </w:rPr>
            </w:pPr>
            <w:r>
              <w:rPr>
                <w:rFonts w:hint="eastAsia" w:cs="宋体" w:asciiTheme="minorEastAsia" w:hAnsiTheme="minorEastAsia"/>
                <w:szCs w:val="21"/>
              </w:rPr>
              <w:t>地  址：郑州市电厂路河南省国家大学科技园（东区）16号楼C座21层</w:t>
            </w:r>
          </w:p>
          <w:p>
            <w:pPr>
              <w:widowControl/>
              <w:rPr>
                <w:rFonts w:cs="宋体" w:asciiTheme="minorEastAsia" w:hAnsiTheme="minorEastAsia"/>
                <w:szCs w:val="21"/>
              </w:rPr>
            </w:pPr>
            <w:r>
              <w:rPr>
                <w:rFonts w:hint="eastAsia" w:cs="宋体" w:asciiTheme="minorEastAsia" w:hAnsiTheme="minorEastAsia"/>
                <w:szCs w:val="21"/>
              </w:rPr>
              <w:t>联 系 人：杨先生</w:t>
            </w:r>
          </w:p>
          <w:p>
            <w:pPr>
              <w:widowControl/>
              <w:rPr>
                <w:rFonts w:cs="宋体" w:asciiTheme="minorEastAsia" w:hAnsiTheme="minorEastAsia"/>
                <w:szCs w:val="21"/>
              </w:rPr>
            </w:pPr>
            <w:r>
              <w:rPr>
                <w:rFonts w:hint="eastAsia" w:cs="宋体" w:asciiTheme="minorEastAsia" w:hAnsiTheme="minorEastAsia"/>
                <w:szCs w:val="21"/>
              </w:rPr>
              <w:t>联系方式：17339006682    0374-3111377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jc w:val="center"/>
              <w:rPr>
                <w:rFonts w:cs="宋体" w:asciiTheme="minorEastAsia" w:hAnsiTheme="minorEastAsia"/>
                <w:szCs w:val="21"/>
              </w:rPr>
            </w:pPr>
            <w:r>
              <w:rPr>
                <w:rFonts w:hint="eastAsia" w:cs="宋体" w:asciiTheme="minorEastAsia" w:hAnsiTheme="minorEastAsia"/>
                <w:szCs w:val="21"/>
              </w:rPr>
              <w:t>1.1.4</w:t>
            </w:r>
          </w:p>
        </w:tc>
        <w:tc>
          <w:tcPr>
            <w:tcW w:w="2447" w:type="dxa"/>
            <w:gridSpan w:val="3"/>
            <w:vAlign w:val="center"/>
          </w:tcPr>
          <w:p>
            <w:pPr>
              <w:autoSpaceDE w:val="0"/>
              <w:autoSpaceDN w:val="0"/>
              <w:adjustRightInd w:val="0"/>
              <w:jc w:val="center"/>
              <w:rPr>
                <w:rFonts w:cs="宋体" w:asciiTheme="minorEastAsia" w:hAnsiTheme="minorEastAsia"/>
                <w:szCs w:val="21"/>
              </w:rPr>
            </w:pPr>
            <w:r>
              <w:rPr>
                <w:rFonts w:hint="eastAsia" w:cs="宋体" w:asciiTheme="minorEastAsia" w:hAnsiTheme="minorEastAsia"/>
                <w:szCs w:val="21"/>
              </w:rPr>
              <w:t>项目名称</w:t>
            </w:r>
          </w:p>
        </w:tc>
        <w:tc>
          <w:tcPr>
            <w:tcW w:w="6283" w:type="dxa"/>
            <w:gridSpan w:val="2"/>
            <w:vAlign w:val="center"/>
          </w:tcPr>
          <w:p>
            <w:pPr>
              <w:autoSpaceDE w:val="0"/>
              <w:autoSpaceDN w:val="0"/>
              <w:adjustRightInd w:val="0"/>
              <w:rPr>
                <w:rFonts w:cs="宋体" w:asciiTheme="minorEastAsia" w:hAnsiTheme="minorEastAsia"/>
                <w:szCs w:val="21"/>
              </w:rPr>
            </w:pPr>
            <w:r>
              <w:rPr>
                <w:rFonts w:hint="eastAsia" w:cs="宋体" w:asciiTheme="minorEastAsia" w:hAnsiTheme="minorEastAsia"/>
                <w:bCs/>
                <w:szCs w:val="21"/>
              </w:rPr>
              <w:t xml:space="preserve">襄城县汝河北路（文化路-建设路）道路建设工程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jc w:val="center"/>
              <w:rPr>
                <w:rFonts w:cs="宋体" w:asciiTheme="minorEastAsia" w:hAnsiTheme="minorEastAsia"/>
                <w:szCs w:val="21"/>
              </w:rPr>
            </w:pPr>
            <w:r>
              <w:rPr>
                <w:rFonts w:hint="eastAsia" w:cs="宋体" w:asciiTheme="minorEastAsia" w:hAnsiTheme="minorEastAsia"/>
                <w:szCs w:val="21"/>
              </w:rPr>
              <w:t>1.1.5</w:t>
            </w:r>
          </w:p>
        </w:tc>
        <w:tc>
          <w:tcPr>
            <w:tcW w:w="2447" w:type="dxa"/>
            <w:gridSpan w:val="3"/>
            <w:vAlign w:val="center"/>
          </w:tcPr>
          <w:p>
            <w:pPr>
              <w:autoSpaceDE w:val="0"/>
              <w:autoSpaceDN w:val="0"/>
              <w:adjustRightInd w:val="0"/>
              <w:jc w:val="center"/>
              <w:rPr>
                <w:rFonts w:cs="宋体" w:asciiTheme="minorEastAsia" w:hAnsiTheme="minorEastAsia"/>
                <w:szCs w:val="21"/>
              </w:rPr>
            </w:pPr>
            <w:r>
              <w:rPr>
                <w:rFonts w:hint="eastAsia" w:cs="宋体" w:asciiTheme="minorEastAsia" w:hAnsiTheme="minorEastAsia"/>
                <w:szCs w:val="21"/>
              </w:rPr>
              <w:t>建设地点</w:t>
            </w:r>
          </w:p>
        </w:tc>
        <w:tc>
          <w:tcPr>
            <w:tcW w:w="6283" w:type="dxa"/>
            <w:gridSpan w:val="2"/>
            <w:vAlign w:val="center"/>
          </w:tcPr>
          <w:p>
            <w:pPr>
              <w:autoSpaceDE w:val="0"/>
              <w:autoSpaceDN w:val="0"/>
              <w:adjustRightInd w:val="0"/>
              <w:rPr>
                <w:rFonts w:cs="宋体" w:asciiTheme="minorEastAsia" w:hAnsiTheme="minorEastAsia"/>
                <w:szCs w:val="21"/>
              </w:rPr>
            </w:pPr>
            <w:r>
              <w:rPr>
                <w:rFonts w:hint="eastAsia" w:cs="宋体" w:asciiTheme="minorEastAsia" w:hAnsiTheme="minorEastAsia"/>
                <w:bCs/>
                <w:szCs w:val="21"/>
              </w:rPr>
              <w:t>襄城县境内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jc w:val="center"/>
              <w:rPr>
                <w:rFonts w:cs="宋体" w:asciiTheme="minorEastAsia" w:hAnsiTheme="minorEastAsia"/>
                <w:szCs w:val="21"/>
              </w:rPr>
            </w:pPr>
            <w:r>
              <w:rPr>
                <w:rFonts w:hint="eastAsia" w:cs="宋体" w:asciiTheme="minorEastAsia" w:hAnsiTheme="minorEastAsia"/>
                <w:szCs w:val="21"/>
              </w:rPr>
              <w:t>1.2.1</w:t>
            </w:r>
          </w:p>
        </w:tc>
        <w:tc>
          <w:tcPr>
            <w:tcW w:w="2447" w:type="dxa"/>
            <w:gridSpan w:val="3"/>
            <w:vAlign w:val="center"/>
          </w:tcPr>
          <w:p>
            <w:pPr>
              <w:autoSpaceDE w:val="0"/>
              <w:autoSpaceDN w:val="0"/>
              <w:adjustRightInd w:val="0"/>
              <w:jc w:val="center"/>
              <w:rPr>
                <w:rFonts w:cs="宋体" w:asciiTheme="minorEastAsia" w:hAnsiTheme="minorEastAsia"/>
                <w:szCs w:val="21"/>
              </w:rPr>
            </w:pPr>
            <w:r>
              <w:rPr>
                <w:rFonts w:hint="eastAsia" w:cs="宋体" w:asciiTheme="minorEastAsia" w:hAnsiTheme="minorEastAsia"/>
                <w:szCs w:val="21"/>
              </w:rPr>
              <w:t>资金来源</w:t>
            </w:r>
          </w:p>
        </w:tc>
        <w:tc>
          <w:tcPr>
            <w:tcW w:w="6283" w:type="dxa"/>
            <w:gridSpan w:val="2"/>
            <w:vAlign w:val="center"/>
          </w:tcPr>
          <w:p>
            <w:pPr>
              <w:autoSpaceDE w:val="0"/>
              <w:autoSpaceDN w:val="0"/>
              <w:adjustRightInd w:val="0"/>
              <w:rPr>
                <w:rFonts w:cs="宋体" w:asciiTheme="minorEastAsia" w:hAnsiTheme="minorEastAsia"/>
                <w:szCs w:val="21"/>
              </w:rPr>
            </w:pPr>
            <w:r>
              <w:rPr>
                <w:rFonts w:hint="eastAsia" w:cs="宋体" w:asciiTheme="minorEastAsia" w:hAnsiTheme="minorEastAsia"/>
                <w:szCs w:val="21"/>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jc w:val="center"/>
              <w:rPr>
                <w:rFonts w:cs="宋体" w:asciiTheme="minorEastAsia" w:hAnsiTheme="minorEastAsia"/>
                <w:szCs w:val="21"/>
              </w:rPr>
            </w:pPr>
            <w:r>
              <w:rPr>
                <w:rFonts w:hint="eastAsia" w:cs="宋体" w:asciiTheme="minorEastAsia" w:hAnsiTheme="minorEastAsia"/>
                <w:szCs w:val="21"/>
              </w:rPr>
              <w:t>1.2.2</w:t>
            </w:r>
          </w:p>
        </w:tc>
        <w:tc>
          <w:tcPr>
            <w:tcW w:w="2447" w:type="dxa"/>
            <w:gridSpan w:val="3"/>
            <w:vAlign w:val="center"/>
          </w:tcPr>
          <w:p>
            <w:pPr>
              <w:autoSpaceDE w:val="0"/>
              <w:autoSpaceDN w:val="0"/>
              <w:adjustRightInd w:val="0"/>
              <w:jc w:val="center"/>
              <w:rPr>
                <w:rFonts w:cs="宋体" w:asciiTheme="minorEastAsia" w:hAnsiTheme="minorEastAsia"/>
                <w:szCs w:val="21"/>
              </w:rPr>
            </w:pPr>
            <w:r>
              <w:rPr>
                <w:rFonts w:hint="eastAsia" w:cs="宋体" w:asciiTheme="minorEastAsia" w:hAnsiTheme="minorEastAsia"/>
                <w:szCs w:val="21"/>
              </w:rPr>
              <w:t>出资比例</w:t>
            </w:r>
          </w:p>
        </w:tc>
        <w:tc>
          <w:tcPr>
            <w:tcW w:w="6283" w:type="dxa"/>
            <w:gridSpan w:val="2"/>
            <w:vAlign w:val="center"/>
          </w:tcPr>
          <w:p>
            <w:pPr>
              <w:autoSpaceDE w:val="0"/>
              <w:autoSpaceDN w:val="0"/>
              <w:adjustRightInd w:val="0"/>
              <w:rPr>
                <w:rFonts w:cs="宋体" w:asciiTheme="minorEastAsia" w:hAnsiTheme="minorEastAsia"/>
                <w:szCs w:val="21"/>
              </w:rPr>
            </w:pPr>
            <w:r>
              <w:rPr>
                <w:rFonts w:hint="eastAsia" w:cs="宋体" w:asciiTheme="minorEastAsia" w:hAnsiTheme="minorEastAsia"/>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jc w:val="center"/>
              <w:rPr>
                <w:rFonts w:cs="宋体" w:asciiTheme="minorEastAsia" w:hAnsiTheme="minorEastAsia"/>
                <w:szCs w:val="21"/>
              </w:rPr>
            </w:pPr>
            <w:r>
              <w:rPr>
                <w:rFonts w:hint="eastAsia" w:cs="宋体" w:asciiTheme="minorEastAsia" w:hAnsiTheme="minorEastAsia"/>
                <w:szCs w:val="21"/>
              </w:rPr>
              <w:t>1.2.3</w:t>
            </w:r>
          </w:p>
        </w:tc>
        <w:tc>
          <w:tcPr>
            <w:tcW w:w="2447" w:type="dxa"/>
            <w:gridSpan w:val="3"/>
            <w:vAlign w:val="center"/>
          </w:tcPr>
          <w:p>
            <w:pPr>
              <w:autoSpaceDE w:val="0"/>
              <w:autoSpaceDN w:val="0"/>
              <w:adjustRightInd w:val="0"/>
              <w:jc w:val="center"/>
              <w:rPr>
                <w:rFonts w:cs="宋体" w:asciiTheme="minorEastAsia" w:hAnsiTheme="minorEastAsia"/>
                <w:szCs w:val="21"/>
              </w:rPr>
            </w:pPr>
            <w:r>
              <w:rPr>
                <w:rFonts w:hint="eastAsia" w:cs="宋体" w:asciiTheme="minorEastAsia" w:hAnsiTheme="minorEastAsia"/>
                <w:szCs w:val="21"/>
              </w:rPr>
              <w:t>资金落实情况</w:t>
            </w:r>
          </w:p>
        </w:tc>
        <w:tc>
          <w:tcPr>
            <w:tcW w:w="6283" w:type="dxa"/>
            <w:gridSpan w:val="2"/>
            <w:vAlign w:val="center"/>
          </w:tcPr>
          <w:p>
            <w:pPr>
              <w:autoSpaceDE w:val="0"/>
              <w:autoSpaceDN w:val="0"/>
              <w:adjustRightInd w:val="0"/>
              <w:rPr>
                <w:rFonts w:cs="宋体" w:asciiTheme="minorEastAsia" w:hAnsiTheme="minorEastAsia"/>
                <w:szCs w:val="21"/>
              </w:rPr>
            </w:pPr>
            <w:r>
              <w:rPr>
                <w:rFonts w:hint="eastAsia" w:cs="宋体" w:asciiTheme="minorEastAsia" w:hAnsiTheme="minorEastAsia"/>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jc w:val="center"/>
              <w:rPr>
                <w:rFonts w:cs="宋体" w:asciiTheme="minorEastAsia" w:hAnsiTheme="minorEastAsia"/>
                <w:szCs w:val="21"/>
              </w:rPr>
            </w:pPr>
            <w:r>
              <w:rPr>
                <w:rFonts w:hint="eastAsia" w:cs="宋体" w:asciiTheme="minorEastAsia" w:hAnsiTheme="minorEastAsia"/>
                <w:szCs w:val="21"/>
              </w:rPr>
              <w:t>1.3.1</w:t>
            </w:r>
          </w:p>
        </w:tc>
        <w:tc>
          <w:tcPr>
            <w:tcW w:w="2447" w:type="dxa"/>
            <w:gridSpan w:val="3"/>
            <w:vAlign w:val="center"/>
          </w:tcPr>
          <w:p>
            <w:pPr>
              <w:autoSpaceDE w:val="0"/>
              <w:autoSpaceDN w:val="0"/>
              <w:adjustRightInd w:val="0"/>
              <w:jc w:val="center"/>
              <w:rPr>
                <w:rFonts w:cs="宋体" w:asciiTheme="minorEastAsia" w:hAnsiTheme="minorEastAsia"/>
                <w:szCs w:val="21"/>
              </w:rPr>
            </w:pPr>
            <w:r>
              <w:rPr>
                <w:rFonts w:hint="eastAsia" w:cs="宋体" w:asciiTheme="minorEastAsia" w:hAnsiTheme="minorEastAsia"/>
                <w:szCs w:val="21"/>
              </w:rPr>
              <w:t>招标范围</w:t>
            </w:r>
          </w:p>
        </w:tc>
        <w:tc>
          <w:tcPr>
            <w:tcW w:w="6283" w:type="dxa"/>
            <w:gridSpan w:val="2"/>
            <w:tcBorders>
              <w:bottom w:val="single" w:color="auto" w:sz="4" w:space="0"/>
            </w:tcBorders>
            <w:vAlign w:val="center"/>
          </w:tcPr>
          <w:p>
            <w:pPr>
              <w:autoSpaceDE w:val="0"/>
              <w:autoSpaceDN w:val="0"/>
              <w:adjustRightInd w:val="0"/>
              <w:rPr>
                <w:rFonts w:cs="宋体" w:asciiTheme="minorEastAsia" w:hAnsiTheme="minorEastAsia"/>
                <w:szCs w:val="21"/>
              </w:rPr>
            </w:pPr>
            <w:r>
              <w:rPr>
                <w:rFonts w:hint="eastAsia" w:cs="宋体" w:asciiTheme="minorEastAsia" w:hAnsiTheme="minorEastAsia"/>
                <w:szCs w:val="21"/>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003" w:type="dxa"/>
            <w:vAlign w:val="center"/>
          </w:tcPr>
          <w:p>
            <w:pPr>
              <w:autoSpaceDE w:val="0"/>
              <w:autoSpaceDN w:val="0"/>
              <w:adjustRightInd w:val="0"/>
              <w:jc w:val="center"/>
              <w:rPr>
                <w:rFonts w:cs="宋体" w:asciiTheme="minorEastAsia" w:hAnsiTheme="minorEastAsia"/>
                <w:szCs w:val="21"/>
              </w:rPr>
            </w:pPr>
            <w:r>
              <w:rPr>
                <w:rFonts w:hint="eastAsia" w:cs="宋体" w:asciiTheme="minorEastAsia" w:hAnsiTheme="minorEastAsia"/>
                <w:szCs w:val="21"/>
              </w:rPr>
              <w:t>1.3.2</w:t>
            </w:r>
          </w:p>
        </w:tc>
        <w:tc>
          <w:tcPr>
            <w:tcW w:w="2447" w:type="dxa"/>
            <w:gridSpan w:val="3"/>
            <w:tcBorders>
              <w:right w:val="single" w:color="auto" w:sz="4" w:space="0"/>
            </w:tcBorders>
            <w:vAlign w:val="center"/>
          </w:tcPr>
          <w:p>
            <w:pPr>
              <w:autoSpaceDE w:val="0"/>
              <w:autoSpaceDN w:val="0"/>
              <w:adjustRightInd w:val="0"/>
              <w:jc w:val="center"/>
              <w:rPr>
                <w:rFonts w:cs="宋体" w:asciiTheme="minorEastAsia" w:hAnsiTheme="minorEastAsia"/>
                <w:szCs w:val="21"/>
              </w:rPr>
            </w:pPr>
            <w:r>
              <w:rPr>
                <w:rFonts w:hint="eastAsia" w:cs="宋体" w:asciiTheme="minorEastAsia" w:hAnsiTheme="minorEastAsia"/>
                <w:szCs w:val="21"/>
              </w:rPr>
              <w:t>计划工期</w:t>
            </w:r>
          </w:p>
        </w:tc>
        <w:tc>
          <w:tcPr>
            <w:tcW w:w="628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cs="宋体" w:asciiTheme="minorEastAsia" w:hAnsiTheme="minorEastAsia"/>
                <w:szCs w:val="21"/>
              </w:rPr>
            </w:pPr>
            <w:r>
              <w:rPr>
                <w:rFonts w:hint="eastAsia" w:cs="宋体" w:asciiTheme="minorEastAsia" w:hAnsiTheme="minorEastAsia"/>
                <w:szCs w:val="21"/>
              </w:rPr>
              <w:t>210</w:t>
            </w:r>
            <w:r>
              <w:rPr>
                <w:rFonts w:cs="宋体" w:asciiTheme="minorEastAsia" w:hAnsiTheme="minorEastAsia"/>
                <w:szCs w:val="21"/>
              </w:rPr>
              <w:t>日历天</w:t>
            </w:r>
            <w:r>
              <w:rPr>
                <w:rFonts w:hint="eastAsia" w:cs="宋体" w:asciiTheme="minorEastAsia" w:hAnsiTheme="minorEastAsia"/>
                <w:szCs w:val="21"/>
              </w:rPr>
              <w:t>/标段</w:t>
            </w:r>
            <w:r>
              <w:rPr>
                <w:rFonts w:cs="宋体" w:asciiTheme="minorEastAsia" w:hAnsiTheme="minorEastAsia"/>
                <w:szCs w:val="21"/>
              </w:rPr>
              <w:t>，</w:t>
            </w:r>
            <w:r>
              <w:rPr>
                <w:rFonts w:hint="eastAsia" w:cs="宋体" w:asciiTheme="minorEastAsia" w:hAnsiTheme="minorEastAsia"/>
                <w:szCs w:val="21"/>
              </w:rPr>
              <w:t>监理期限：同各标段施工工期（含保修期）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jc w:val="center"/>
              <w:rPr>
                <w:rFonts w:cs="宋体" w:asciiTheme="minorEastAsia" w:hAnsiTheme="minorEastAsia"/>
                <w:szCs w:val="21"/>
              </w:rPr>
            </w:pPr>
            <w:r>
              <w:rPr>
                <w:rFonts w:hint="eastAsia" w:cs="宋体" w:asciiTheme="minorEastAsia" w:hAnsiTheme="minorEastAsia"/>
                <w:szCs w:val="21"/>
              </w:rPr>
              <w:t>1.3.3</w:t>
            </w:r>
          </w:p>
        </w:tc>
        <w:tc>
          <w:tcPr>
            <w:tcW w:w="2447" w:type="dxa"/>
            <w:gridSpan w:val="3"/>
            <w:vAlign w:val="center"/>
          </w:tcPr>
          <w:p>
            <w:pPr>
              <w:autoSpaceDE w:val="0"/>
              <w:autoSpaceDN w:val="0"/>
              <w:adjustRightInd w:val="0"/>
              <w:jc w:val="center"/>
              <w:rPr>
                <w:rFonts w:cs="宋体" w:asciiTheme="minorEastAsia" w:hAnsiTheme="minorEastAsia"/>
                <w:szCs w:val="21"/>
              </w:rPr>
            </w:pPr>
            <w:r>
              <w:rPr>
                <w:rFonts w:hint="eastAsia" w:cs="宋体" w:asciiTheme="minorEastAsia" w:hAnsiTheme="minorEastAsia"/>
                <w:szCs w:val="21"/>
              </w:rPr>
              <w:t>质量要求</w:t>
            </w:r>
          </w:p>
        </w:tc>
        <w:tc>
          <w:tcPr>
            <w:tcW w:w="6283" w:type="dxa"/>
            <w:gridSpan w:val="2"/>
            <w:tcBorders>
              <w:top w:val="single" w:color="auto" w:sz="4" w:space="0"/>
            </w:tcBorders>
            <w:vAlign w:val="center"/>
          </w:tcPr>
          <w:p>
            <w:pPr>
              <w:autoSpaceDE w:val="0"/>
              <w:autoSpaceDN w:val="0"/>
              <w:adjustRightInd w:val="0"/>
              <w:rPr>
                <w:rFonts w:cs="宋体" w:asciiTheme="minorEastAsia" w:hAnsiTheme="minorEastAsia"/>
                <w:szCs w:val="21"/>
              </w:rPr>
            </w:pPr>
            <w:r>
              <w:rPr>
                <w:rFonts w:hint="eastAsia" w:cs="宋体" w:asciiTheme="minorEastAsia" w:hAnsiTheme="minorEastAsia"/>
                <w:szCs w:val="21"/>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03" w:type="dxa"/>
            <w:vAlign w:val="center"/>
          </w:tcPr>
          <w:p>
            <w:pPr>
              <w:autoSpaceDE w:val="0"/>
              <w:autoSpaceDN w:val="0"/>
              <w:adjustRightInd w:val="0"/>
              <w:jc w:val="center"/>
              <w:rPr>
                <w:rFonts w:cs="宋体" w:asciiTheme="minorEastAsia" w:hAnsiTheme="minorEastAsia"/>
                <w:szCs w:val="21"/>
              </w:rPr>
            </w:pPr>
            <w:r>
              <w:rPr>
                <w:rFonts w:hint="eastAsia" w:cs="宋体" w:asciiTheme="minorEastAsia" w:hAnsiTheme="minorEastAsia"/>
                <w:szCs w:val="21"/>
              </w:rPr>
              <w:t>1.4.1</w:t>
            </w:r>
          </w:p>
        </w:tc>
        <w:tc>
          <w:tcPr>
            <w:tcW w:w="2447" w:type="dxa"/>
            <w:gridSpan w:val="3"/>
            <w:vAlign w:val="center"/>
          </w:tcPr>
          <w:p>
            <w:pPr>
              <w:autoSpaceDE w:val="0"/>
              <w:autoSpaceDN w:val="0"/>
              <w:adjustRightInd w:val="0"/>
              <w:jc w:val="center"/>
              <w:rPr>
                <w:rFonts w:cs="宋体" w:asciiTheme="minorEastAsia" w:hAnsiTheme="minorEastAsia"/>
                <w:szCs w:val="21"/>
              </w:rPr>
            </w:pPr>
            <w:r>
              <w:rPr>
                <w:rFonts w:hint="eastAsia" w:cs="宋体" w:asciiTheme="minorEastAsia" w:hAnsiTheme="minorEastAsia"/>
                <w:szCs w:val="21"/>
              </w:rPr>
              <w:t>投标人资质条件</w:t>
            </w:r>
          </w:p>
        </w:tc>
        <w:tc>
          <w:tcPr>
            <w:tcW w:w="6283" w:type="dxa"/>
            <w:gridSpan w:val="2"/>
            <w:vAlign w:val="center"/>
          </w:tcPr>
          <w:p>
            <w:pPr>
              <w:autoSpaceDE w:val="0"/>
              <w:autoSpaceDN w:val="0"/>
              <w:adjustRightInd w:val="0"/>
              <w:rPr>
                <w:rFonts w:cs="宋体" w:asciiTheme="minorEastAsia" w:hAnsiTheme="minorEastAsia"/>
                <w:szCs w:val="21"/>
              </w:rPr>
            </w:pPr>
            <w:r>
              <w:rPr>
                <w:rFonts w:hint="eastAsia" w:cs="宋体" w:asciiTheme="minorEastAsia" w:hAnsiTheme="minorEastAsia"/>
                <w:szCs w:val="21"/>
              </w:rPr>
              <w:t>本次招标要求投标人须具备独立法人资格，良好的财务状况，良好的社会信誉。并具有以下相对应标段的资质条件</w:t>
            </w:r>
          </w:p>
          <w:p>
            <w:pPr>
              <w:autoSpaceDE w:val="0"/>
              <w:autoSpaceDN w:val="0"/>
              <w:adjustRightInd w:val="0"/>
              <w:rPr>
                <w:rFonts w:cs="宋体" w:asciiTheme="minorEastAsia" w:hAnsiTheme="minorEastAsia"/>
                <w:b/>
                <w:szCs w:val="21"/>
              </w:rPr>
            </w:pPr>
            <w:r>
              <w:rPr>
                <w:rFonts w:hint="eastAsia" w:cs="宋体" w:asciiTheme="minorEastAsia" w:hAnsiTheme="minorEastAsia"/>
                <w:b/>
                <w:szCs w:val="21"/>
              </w:rPr>
              <w:t>第一标段</w:t>
            </w:r>
          </w:p>
          <w:p>
            <w:pPr>
              <w:autoSpaceDE w:val="0"/>
              <w:autoSpaceDN w:val="0"/>
              <w:adjustRightInd w:val="0"/>
              <w:rPr>
                <w:rFonts w:cs="宋体" w:asciiTheme="minorEastAsia" w:hAnsiTheme="minorEastAsia"/>
                <w:szCs w:val="21"/>
              </w:rPr>
            </w:pPr>
            <w:r>
              <w:rPr>
                <w:rFonts w:hint="eastAsia" w:cs="宋体" w:asciiTheme="minorEastAsia" w:hAnsiTheme="minorEastAsia"/>
                <w:szCs w:val="21"/>
              </w:rPr>
              <w:t>投标人须具备独立的法人资格，并具备建设行政主管部门颁发的市政公用工程施工总承包叁级及以上（含三级）资质，且具有有效的安全生产许可证，并在人员、设备、资金等方面具有相应的施工能力。</w:t>
            </w:r>
          </w:p>
          <w:p>
            <w:pPr>
              <w:autoSpaceDE w:val="0"/>
              <w:autoSpaceDN w:val="0"/>
              <w:adjustRightInd w:val="0"/>
              <w:rPr>
                <w:rFonts w:cs="宋体" w:asciiTheme="minorEastAsia" w:hAnsiTheme="minorEastAsia"/>
                <w:szCs w:val="21"/>
              </w:rPr>
            </w:pPr>
            <w:r>
              <w:rPr>
                <w:rFonts w:hint="eastAsia" w:cs="宋体" w:asciiTheme="minorEastAsia" w:hAnsiTheme="minorEastAsia"/>
                <w:szCs w:val="21"/>
              </w:rPr>
              <w:t>拟派项目负责人（项目经理）具有市政公用工程专业贰级及以上注册建造师证和有效的安全生产考核合格证，且未担任其它在施建设工程的项目负责人（项目经理）。</w:t>
            </w:r>
          </w:p>
          <w:p>
            <w:pPr>
              <w:autoSpaceDE w:val="0"/>
              <w:autoSpaceDN w:val="0"/>
              <w:adjustRightInd w:val="0"/>
              <w:rPr>
                <w:rFonts w:cs="宋体" w:asciiTheme="minorEastAsia" w:hAnsiTheme="minorEastAsia"/>
                <w:b/>
                <w:szCs w:val="21"/>
              </w:rPr>
            </w:pPr>
            <w:r>
              <w:rPr>
                <w:rFonts w:hint="eastAsia" w:cs="宋体" w:asciiTheme="minorEastAsia" w:hAnsiTheme="minorEastAsia"/>
                <w:b/>
                <w:szCs w:val="21"/>
              </w:rPr>
              <w:t>第二标段</w:t>
            </w:r>
          </w:p>
          <w:p>
            <w:pPr>
              <w:autoSpaceDE w:val="0"/>
              <w:autoSpaceDN w:val="0"/>
              <w:adjustRightInd w:val="0"/>
              <w:rPr>
                <w:rFonts w:cs="宋体" w:asciiTheme="minorEastAsia" w:hAnsiTheme="minorEastAsia"/>
                <w:szCs w:val="21"/>
              </w:rPr>
            </w:pPr>
            <w:r>
              <w:rPr>
                <w:rFonts w:hint="eastAsia" w:cs="宋体" w:asciiTheme="minorEastAsia" w:hAnsiTheme="minorEastAsia"/>
                <w:szCs w:val="21"/>
              </w:rPr>
              <w:t>投标人须具备有效的营业执照</w:t>
            </w:r>
            <w:r>
              <w:rPr>
                <w:rFonts w:cs="宋体" w:asciiTheme="minorEastAsia" w:hAnsiTheme="minorEastAsia"/>
                <w:szCs w:val="21"/>
              </w:rPr>
              <w:t>(</w:t>
            </w:r>
            <w:r>
              <w:rPr>
                <w:rFonts w:hint="eastAsia" w:cs="宋体" w:asciiTheme="minorEastAsia" w:hAnsiTheme="minorEastAsia"/>
                <w:szCs w:val="21"/>
              </w:rPr>
              <w:t>经营范围须包含园林绿化等相关内容；并在人员、设备、资金等方面具有相应的施工能力）。</w:t>
            </w:r>
          </w:p>
          <w:p>
            <w:pPr>
              <w:autoSpaceDE w:val="0"/>
              <w:autoSpaceDN w:val="0"/>
              <w:adjustRightInd w:val="0"/>
              <w:rPr>
                <w:rFonts w:cs="宋体" w:asciiTheme="minorEastAsia" w:hAnsiTheme="minorEastAsia"/>
                <w:szCs w:val="21"/>
              </w:rPr>
            </w:pPr>
            <w:r>
              <w:rPr>
                <w:rFonts w:hint="eastAsia" w:cs="宋体" w:asciiTheme="minorEastAsia" w:hAnsiTheme="minorEastAsia"/>
                <w:szCs w:val="21"/>
              </w:rPr>
              <w:t>拟派项目负责人须具有园林绿化专业或市政公用工程专业中级及以上职称，且未担任其他在施建设工程的项目负责人。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jc w:val="center"/>
              <w:rPr>
                <w:rFonts w:cs="宋体" w:asciiTheme="minorEastAsia" w:hAnsiTheme="minorEastAsia"/>
                <w:szCs w:val="21"/>
              </w:rPr>
            </w:pPr>
            <w:r>
              <w:rPr>
                <w:rFonts w:hint="eastAsia" w:cs="宋体" w:asciiTheme="minorEastAsia" w:hAnsiTheme="minorEastAsia"/>
                <w:szCs w:val="21"/>
              </w:rPr>
              <w:t>1.4.2</w:t>
            </w:r>
          </w:p>
        </w:tc>
        <w:tc>
          <w:tcPr>
            <w:tcW w:w="2447" w:type="dxa"/>
            <w:gridSpan w:val="3"/>
            <w:vAlign w:val="center"/>
          </w:tcPr>
          <w:p>
            <w:pPr>
              <w:autoSpaceDE w:val="0"/>
              <w:autoSpaceDN w:val="0"/>
              <w:adjustRightInd w:val="0"/>
              <w:jc w:val="center"/>
              <w:rPr>
                <w:rFonts w:cs="宋体" w:asciiTheme="minorEastAsia" w:hAnsiTheme="minorEastAsia"/>
                <w:szCs w:val="21"/>
              </w:rPr>
            </w:pPr>
            <w:r>
              <w:rPr>
                <w:rFonts w:hint="eastAsia" w:cs="宋体" w:asciiTheme="minorEastAsia" w:hAnsiTheme="minorEastAsia"/>
                <w:szCs w:val="21"/>
              </w:rPr>
              <w:t>是否接受联合体投标</w:t>
            </w:r>
          </w:p>
        </w:tc>
        <w:tc>
          <w:tcPr>
            <w:tcW w:w="6283" w:type="dxa"/>
            <w:gridSpan w:val="2"/>
            <w:vAlign w:val="center"/>
          </w:tcPr>
          <w:p>
            <w:pPr>
              <w:autoSpaceDE w:val="0"/>
              <w:autoSpaceDN w:val="0"/>
              <w:adjustRightInd w:val="0"/>
              <w:rPr>
                <w:rFonts w:cs="宋体" w:asciiTheme="minorEastAsia" w:hAnsiTheme="minorEastAsia"/>
                <w:szCs w:val="21"/>
              </w:rPr>
            </w:pPr>
            <w:r>
              <w:rPr>
                <w:rFonts w:hint="eastAsia" w:cs="宋体" w:asciiTheme="minorEastAsia" w:hAnsiTheme="minorEastAsia"/>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jc w:val="center"/>
              <w:rPr>
                <w:rFonts w:cs="宋体" w:asciiTheme="minorEastAsia" w:hAnsiTheme="minorEastAsia"/>
                <w:szCs w:val="21"/>
              </w:rPr>
            </w:pPr>
            <w:r>
              <w:rPr>
                <w:rFonts w:hint="eastAsia" w:cs="宋体" w:asciiTheme="minorEastAsia" w:hAnsiTheme="minorEastAsia"/>
                <w:szCs w:val="21"/>
              </w:rPr>
              <w:t>1.9.1</w:t>
            </w:r>
          </w:p>
        </w:tc>
        <w:tc>
          <w:tcPr>
            <w:tcW w:w="2447" w:type="dxa"/>
            <w:gridSpan w:val="3"/>
            <w:vAlign w:val="center"/>
          </w:tcPr>
          <w:p>
            <w:pPr>
              <w:autoSpaceDE w:val="0"/>
              <w:autoSpaceDN w:val="0"/>
              <w:adjustRightInd w:val="0"/>
              <w:jc w:val="center"/>
              <w:rPr>
                <w:rFonts w:cs="宋体" w:asciiTheme="minorEastAsia" w:hAnsiTheme="minorEastAsia"/>
                <w:szCs w:val="21"/>
              </w:rPr>
            </w:pPr>
            <w:r>
              <w:rPr>
                <w:rFonts w:hint="eastAsia" w:cs="宋体" w:asciiTheme="minorEastAsia" w:hAnsiTheme="minorEastAsia"/>
                <w:szCs w:val="21"/>
              </w:rPr>
              <w:t>踏勘现场</w:t>
            </w:r>
          </w:p>
        </w:tc>
        <w:tc>
          <w:tcPr>
            <w:tcW w:w="6283" w:type="dxa"/>
            <w:gridSpan w:val="2"/>
            <w:vAlign w:val="center"/>
          </w:tcPr>
          <w:p>
            <w:pPr>
              <w:autoSpaceDE w:val="0"/>
              <w:autoSpaceDN w:val="0"/>
              <w:adjustRightInd w:val="0"/>
              <w:rPr>
                <w:rFonts w:cs="宋体" w:asciiTheme="minorEastAsia" w:hAnsiTheme="minorEastAsia"/>
                <w:szCs w:val="21"/>
              </w:rPr>
            </w:pPr>
            <w:r>
              <w:rPr>
                <w:rFonts w:hint="eastAsia" w:cs="宋体" w:asciiTheme="minorEastAsia" w:hAnsiTheme="minorEastAsia"/>
                <w:szCs w:val="21"/>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jc w:val="center"/>
              <w:rPr>
                <w:rFonts w:cs="宋体" w:asciiTheme="minorEastAsia" w:hAnsiTheme="minorEastAsia"/>
                <w:szCs w:val="21"/>
              </w:rPr>
            </w:pPr>
            <w:r>
              <w:rPr>
                <w:rFonts w:hint="eastAsia" w:cs="宋体" w:asciiTheme="minorEastAsia" w:hAnsiTheme="minorEastAsia"/>
                <w:szCs w:val="21"/>
              </w:rPr>
              <w:t>1.10.1</w:t>
            </w:r>
          </w:p>
        </w:tc>
        <w:tc>
          <w:tcPr>
            <w:tcW w:w="2447" w:type="dxa"/>
            <w:gridSpan w:val="3"/>
            <w:vAlign w:val="center"/>
          </w:tcPr>
          <w:p>
            <w:pPr>
              <w:autoSpaceDE w:val="0"/>
              <w:autoSpaceDN w:val="0"/>
              <w:adjustRightInd w:val="0"/>
              <w:jc w:val="center"/>
              <w:rPr>
                <w:rFonts w:cs="宋体" w:asciiTheme="minorEastAsia" w:hAnsiTheme="minorEastAsia"/>
                <w:szCs w:val="21"/>
              </w:rPr>
            </w:pPr>
            <w:r>
              <w:rPr>
                <w:rFonts w:hint="eastAsia" w:cs="宋体" w:asciiTheme="minorEastAsia" w:hAnsiTheme="minorEastAsia"/>
                <w:szCs w:val="21"/>
              </w:rPr>
              <w:t>投标预备会</w:t>
            </w:r>
          </w:p>
        </w:tc>
        <w:tc>
          <w:tcPr>
            <w:tcW w:w="6283" w:type="dxa"/>
            <w:gridSpan w:val="2"/>
            <w:vAlign w:val="center"/>
          </w:tcPr>
          <w:p>
            <w:pPr>
              <w:autoSpaceDE w:val="0"/>
              <w:autoSpaceDN w:val="0"/>
              <w:adjustRightInd w:val="0"/>
              <w:rPr>
                <w:rFonts w:cs="宋体" w:asciiTheme="minorEastAsia" w:hAnsiTheme="minorEastAsia"/>
                <w:szCs w:val="21"/>
              </w:rPr>
            </w:pPr>
            <w:r>
              <w:rPr>
                <w:rFonts w:hint="eastAsia" w:cs="宋体" w:asciiTheme="minorEastAsia" w:hAnsiTheme="minorEastAsia"/>
                <w:szCs w:val="21"/>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jc w:val="center"/>
              <w:rPr>
                <w:rFonts w:cs="宋体" w:asciiTheme="minorEastAsia" w:hAnsiTheme="minorEastAsia"/>
                <w:szCs w:val="21"/>
              </w:rPr>
            </w:pPr>
            <w:r>
              <w:rPr>
                <w:rFonts w:hint="eastAsia" w:cs="宋体" w:asciiTheme="minorEastAsia" w:hAnsiTheme="minorEastAsia"/>
                <w:szCs w:val="21"/>
              </w:rPr>
              <w:t>1.10.2</w:t>
            </w:r>
          </w:p>
        </w:tc>
        <w:tc>
          <w:tcPr>
            <w:tcW w:w="2447" w:type="dxa"/>
            <w:gridSpan w:val="3"/>
            <w:vAlign w:val="center"/>
          </w:tcPr>
          <w:p>
            <w:pPr>
              <w:autoSpaceDE w:val="0"/>
              <w:autoSpaceDN w:val="0"/>
              <w:adjustRightInd w:val="0"/>
              <w:jc w:val="center"/>
              <w:rPr>
                <w:rFonts w:cs="宋体" w:asciiTheme="minorEastAsia" w:hAnsiTheme="minorEastAsia"/>
                <w:szCs w:val="21"/>
              </w:rPr>
            </w:pPr>
            <w:r>
              <w:rPr>
                <w:rFonts w:hint="eastAsia" w:cs="宋体" w:asciiTheme="minorEastAsia" w:hAnsiTheme="minorEastAsia"/>
                <w:szCs w:val="21"/>
              </w:rPr>
              <w:t>投标人提出问题的截止时间</w:t>
            </w:r>
          </w:p>
        </w:tc>
        <w:tc>
          <w:tcPr>
            <w:tcW w:w="6283" w:type="dxa"/>
            <w:gridSpan w:val="2"/>
            <w:vAlign w:val="center"/>
          </w:tcPr>
          <w:p>
            <w:pPr>
              <w:rPr>
                <w:rFonts w:cs="宋体" w:asciiTheme="minorEastAsia" w:hAnsiTheme="minorEastAsia"/>
                <w:szCs w:val="21"/>
              </w:rPr>
            </w:pPr>
            <w:r>
              <w:rPr>
                <w:rFonts w:hint="eastAsia" w:cs="宋体" w:asciiTheme="minorEastAsia" w:hAnsiTheme="minorEastAsia"/>
                <w:szCs w:val="21"/>
              </w:rPr>
              <w:t>递交投标文件截止之日10日前通过公共资源交易系统电子平台发出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003" w:type="dxa"/>
            <w:vAlign w:val="center"/>
          </w:tcPr>
          <w:p>
            <w:pPr>
              <w:jc w:val="center"/>
              <w:rPr>
                <w:rFonts w:cs="宋体" w:asciiTheme="minorEastAsia" w:hAnsiTheme="minorEastAsia"/>
                <w:szCs w:val="21"/>
              </w:rPr>
            </w:pPr>
            <w:r>
              <w:rPr>
                <w:rFonts w:hint="eastAsia" w:cs="宋体" w:asciiTheme="minorEastAsia" w:hAnsiTheme="minorEastAsia"/>
                <w:szCs w:val="21"/>
              </w:rPr>
              <w:t>1.10.3</w:t>
            </w:r>
          </w:p>
        </w:tc>
        <w:tc>
          <w:tcPr>
            <w:tcW w:w="2447" w:type="dxa"/>
            <w:gridSpan w:val="3"/>
            <w:vAlign w:val="center"/>
          </w:tcPr>
          <w:p>
            <w:pPr>
              <w:jc w:val="center"/>
              <w:rPr>
                <w:rFonts w:cs="宋体" w:asciiTheme="minorEastAsia" w:hAnsiTheme="minorEastAsia"/>
                <w:szCs w:val="21"/>
              </w:rPr>
            </w:pPr>
            <w:r>
              <w:rPr>
                <w:rFonts w:hint="eastAsia" w:cs="宋体" w:asciiTheme="minorEastAsia" w:hAnsiTheme="minorEastAsia"/>
                <w:szCs w:val="21"/>
              </w:rPr>
              <w:t>招标人澄清的时间</w:t>
            </w:r>
          </w:p>
        </w:tc>
        <w:tc>
          <w:tcPr>
            <w:tcW w:w="6283" w:type="dxa"/>
            <w:gridSpan w:val="2"/>
            <w:vAlign w:val="center"/>
          </w:tcPr>
          <w:p>
            <w:pPr>
              <w:rPr>
                <w:rFonts w:cs="宋体" w:asciiTheme="minorEastAsia" w:hAnsiTheme="minorEastAsia"/>
                <w:szCs w:val="21"/>
              </w:rPr>
            </w:pPr>
            <w:r>
              <w:rPr>
                <w:rFonts w:hint="eastAsia" w:cs="宋体" w:asciiTheme="minorEastAsia" w:hAnsiTheme="minorEastAsia"/>
                <w:szCs w:val="21"/>
              </w:rPr>
              <w:t>递交投标文件截止之日15日前通过公共资源交易系统电子平台发出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jc w:val="center"/>
              <w:rPr>
                <w:rFonts w:cs="宋体" w:asciiTheme="minorEastAsia" w:hAnsiTheme="minorEastAsia"/>
                <w:szCs w:val="21"/>
              </w:rPr>
            </w:pPr>
            <w:r>
              <w:rPr>
                <w:rFonts w:hint="eastAsia" w:cs="宋体" w:asciiTheme="minorEastAsia" w:hAnsiTheme="minorEastAsia"/>
                <w:szCs w:val="21"/>
              </w:rPr>
              <w:t>1.11</w:t>
            </w:r>
          </w:p>
        </w:tc>
        <w:tc>
          <w:tcPr>
            <w:tcW w:w="2447" w:type="dxa"/>
            <w:gridSpan w:val="3"/>
            <w:vAlign w:val="center"/>
          </w:tcPr>
          <w:p>
            <w:pPr>
              <w:autoSpaceDE w:val="0"/>
              <w:autoSpaceDN w:val="0"/>
              <w:adjustRightInd w:val="0"/>
              <w:jc w:val="center"/>
              <w:rPr>
                <w:rFonts w:cs="宋体" w:asciiTheme="minorEastAsia" w:hAnsiTheme="minorEastAsia"/>
                <w:szCs w:val="21"/>
              </w:rPr>
            </w:pPr>
            <w:r>
              <w:rPr>
                <w:rFonts w:hint="eastAsia" w:cs="宋体" w:asciiTheme="minorEastAsia" w:hAnsiTheme="minorEastAsia"/>
                <w:szCs w:val="21"/>
              </w:rPr>
              <w:t>分包</w:t>
            </w:r>
          </w:p>
        </w:tc>
        <w:tc>
          <w:tcPr>
            <w:tcW w:w="6283" w:type="dxa"/>
            <w:gridSpan w:val="2"/>
            <w:vAlign w:val="center"/>
          </w:tcPr>
          <w:p>
            <w:pPr>
              <w:autoSpaceDE w:val="0"/>
              <w:autoSpaceDN w:val="0"/>
              <w:adjustRightInd w:val="0"/>
              <w:rPr>
                <w:rFonts w:cs="宋体" w:asciiTheme="minorEastAsia" w:hAnsiTheme="minorEastAsia"/>
                <w:szCs w:val="21"/>
              </w:rPr>
            </w:pPr>
            <w:r>
              <w:rPr>
                <w:rFonts w:hint="eastAsia" w:cs="宋体" w:asciiTheme="minorEastAsia" w:hAnsiTheme="minorEastAsia"/>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jc w:val="center"/>
              <w:rPr>
                <w:rFonts w:cs="宋体" w:asciiTheme="minorEastAsia" w:hAnsiTheme="minorEastAsia"/>
                <w:szCs w:val="21"/>
              </w:rPr>
            </w:pPr>
            <w:r>
              <w:rPr>
                <w:rFonts w:hint="eastAsia" w:cs="宋体" w:asciiTheme="minorEastAsia" w:hAnsiTheme="minorEastAsia"/>
                <w:szCs w:val="21"/>
              </w:rPr>
              <w:t>1.12</w:t>
            </w:r>
          </w:p>
        </w:tc>
        <w:tc>
          <w:tcPr>
            <w:tcW w:w="2447" w:type="dxa"/>
            <w:gridSpan w:val="3"/>
            <w:vAlign w:val="center"/>
          </w:tcPr>
          <w:p>
            <w:pPr>
              <w:autoSpaceDE w:val="0"/>
              <w:autoSpaceDN w:val="0"/>
              <w:adjustRightInd w:val="0"/>
              <w:jc w:val="center"/>
              <w:rPr>
                <w:rFonts w:cs="宋体" w:asciiTheme="minorEastAsia" w:hAnsiTheme="minorEastAsia"/>
                <w:szCs w:val="21"/>
              </w:rPr>
            </w:pPr>
            <w:r>
              <w:rPr>
                <w:rFonts w:hint="eastAsia" w:cs="宋体" w:asciiTheme="minorEastAsia" w:hAnsiTheme="minorEastAsia"/>
                <w:szCs w:val="21"/>
              </w:rPr>
              <w:t>偏离</w:t>
            </w:r>
          </w:p>
        </w:tc>
        <w:tc>
          <w:tcPr>
            <w:tcW w:w="6283" w:type="dxa"/>
            <w:gridSpan w:val="2"/>
            <w:vAlign w:val="center"/>
          </w:tcPr>
          <w:p>
            <w:pPr>
              <w:autoSpaceDE w:val="0"/>
              <w:autoSpaceDN w:val="0"/>
              <w:adjustRightInd w:val="0"/>
              <w:rPr>
                <w:rFonts w:cs="宋体" w:asciiTheme="minorEastAsia" w:hAnsiTheme="minorEastAsia"/>
                <w:szCs w:val="21"/>
              </w:rPr>
            </w:pPr>
            <w:r>
              <w:rPr>
                <w:rFonts w:hint="eastAsia" w:cs="宋体" w:asciiTheme="minorEastAsia" w:hAnsiTheme="minorEastAsia"/>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1003" w:type="dxa"/>
            <w:vAlign w:val="center"/>
          </w:tcPr>
          <w:p>
            <w:pPr>
              <w:autoSpaceDE w:val="0"/>
              <w:autoSpaceDN w:val="0"/>
              <w:adjustRightInd w:val="0"/>
              <w:jc w:val="center"/>
              <w:rPr>
                <w:rFonts w:cs="宋体" w:asciiTheme="minorEastAsia" w:hAnsiTheme="minorEastAsia"/>
                <w:szCs w:val="21"/>
              </w:rPr>
            </w:pPr>
            <w:r>
              <w:rPr>
                <w:rFonts w:hint="eastAsia" w:cs="宋体" w:asciiTheme="minorEastAsia" w:hAnsiTheme="minorEastAsia"/>
                <w:szCs w:val="21"/>
              </w:rPr>
              <w:t>2.1</w:t>
            </w:r>
          </w:p>
        </w:tc>
        <w:tc>
          <w:tcPr>
            <w:tcW w:w="2447" w:type="dxa"/>
            <w:gridSpan w:val="3"/>
            <w:vAlign w:val="center"/>
          </w:tcPr>
          <w:p>
            <w:pPr>
              <w:autoSpaceDE w:val="0"/>
              <w:autoSpaceDN w:val="0"/>
              <w:adjustRightInd w:val="0"/>
              <w:jc w:val="center"/>
              <w:rPr>
                <w:rFonts w:cs="宋体" w:asciiTheme="minorEastAsia" w:hAnsiTheme="minorEastAsia"/>
                <w:szCs w:val="21"/>
              </w:rPr>
            </w:pPr>
            <w:r>
              <w:rPr>
                <w:rFonts w:hint="eastAsia" w:cs="宋体" w:asciiTheme="minorEastAsia" w:hAnsiTheme="minorEastAsia"/>
                <w:szCs w:val="21"/>
              </w:rPr>
              <w:t>招标文件、工程量清单和图纸的获取</w:t>
            </w:r>
          </w:p>
        </w:tc>
        <w:tc>
          <w:tcPr>
            <w:tcW w:w="6283" w:type="dxa"/>
            <w:gridSpan w:val="2"/>
            <w:vAlign w:val="center"/>
          </w:tcPr>
          <w:p>
            <w:pPr>
              <w:pStyle w:val="2"/>
              <w:spacing w:after="0"/>
              <w:ind w:firstLine="0" w:firstLineChars="0"/>
              <w:rPr>
                <w:rFonts w:cs="宋体" w:asciiTheme="minorEastAsia" w:hAnsiTheme="minorEastAsia" w:eastAsiaTheme="minorEastAsia"/>
                <w:sz w:val="21"/>
                <w:szCs w:val="21"/>
              </w:rPr>
            </w:pPr>
            <w:r>
              <w:rPr>
                <w:rFonts w:hint="eastAsia" w:cs="宋体" w:asciiTheme="minorEastAsia" w:hAnsiTheme="minorEastAsia" w:eastAsiaTheme="minorEastAsia"/>
                <w:b w:val="0"/>
                <w:sz w:val="21"/>
                <w:szCs w:val="21"/>
              </w:rPr>
              <w:t>招标文件、工程量清单和图纸的获取：投标人于投标文件递交截止时间前均可登录《全国公共资源交易平台（河南省·许昌市）》（http://www.ggzy.xuchang.gov.cn/），通过“投标人/供应商登录”后自行下载。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jc w:val="center"/>
              <w:rPr>
                <w:rFonts w:cs="宋体" w:asciiTheme="minorEastAsia" w:hAnsiTheme="minorEastAsia"/>
                <w:szCs w:val="21"/>
              </w:rPr>
            </w:pPr>
            <w:r>
              <w:rPr>
                <w:rFonts w:hint="eastAsia" w:cs="宋体" w:asciiTheme="minorEastAsia" w:hAnsiTheme="minorEastAsia"/>
                <w:szCs w:val="21"/>
              </w:rPr>
              <w:t>2.1.1</w:t>
            </w:r>
          </w:p>
        </w:tc>
        <w:tc>
          <w:tcPr>
            <w:tcW w:w="2447" w:type="dxa"/>
            <w:gridSpan w:val="3"/>
            <w:vAlign w:val="center"/>
          </w:tcPr>
          <w:p>
            <w:pPr>
              <w:autoSpaceDE w:val="0"/>
              <w:autoSpaceDN w:val="0"/>
              <w:adjustRightInd w:val="0"/>
              <w:jc w:val="center"/>
              <w:rPr>
                <w:rFonts w:cs="宋体" w:asciiTheme="minorEastAsia" w:hAnsiTheme="minorEastAsia"/>
                <w:szCs w:val="21"/>
              </w:rPr>
            </w:pPr>
            <w:r>
              <w:rPr>
                <w:rFonts w:hint="eastAsia" w:cs="宋体" w:asciiTheme="minorEastAsia" w:hAnsiTheme="minorEastAsia"/>
                <w:szCs w:val="21"/>
              </w:rPr>
              <w:t>构成招标文件的其他材料</w:t>
            </w:r>
          </w:p>
        </w:tc>
        <w:tc>
          <w:tcPr>
            <w:tcW w:w="6283" w:type="dxa"/>
            <w:gridSpan w:val="2"/>
            <w:vAlign w:val="center"/>
          </w:tcPr>
          <w:p>
            <w:pPr>
              <w:autoSpaceDE w:val="0"/>
              <w:autoSpaceDN w:val="0"/>
              <w:adjustRightInd w:val="0"/>
              <w:rPr>
                <w:rFonts w:cs="宋体" w:asciiTheme="minorEastAsia" w:hAnsiTheme="minorEastAsia"/>
                <w:szCs w:val="21"/>
              </w:rPr>
            </w:pPr>
            <w:r>
              <w:rPr>
                <w:rFonts w:hint="eastAsia" w:cs="宋体" w:asciiTheme="minorEastAsia" w:hAnsiTheme="minorEastAsia"/>
                <w:szCs w:val="21"/>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003" w:type="dxa"/>
            <w:vAlign w:val="center"/>
          </w:tcPr>
          <w:p>
            <w:pPr>
              <w:autoSpaceDE w:val="0"/>
              <w:autoSpaceDN w:val="0"/>
              <w:adjustRightInd w:val="0"/>
              <w:jc w:val="center"/>
              <w:rPr>
                <w:rFonts w:cs="宋体" w:asciiTheme="minorEastAsia" w:hAnsiTheme="minorEastAsia"/>
                <w:szCs w:val="21"/>
              </w:rPr>
            </w:pPr>
            <w:r>
              <w:rPr>
                <w:rFonts w:hint="eastAsia" w:cs="宋体" w:asciiTheme="minorEastAsia" w:hAnsiTheme="minorEastAsia"/>
                <w:szCs w:val="21"/>
              </w:rPr>
              <w:t>2.2.1</w:t>
            </w:r>
          </w:p>
        </w:tc>
        <w:tc>
          <w:tcPr>
            <w:tcW w:w="2447" w:type="dxa"/>
            <w:gridSpan w:val="3"/>
            <w:vAlign w:val="center"/>
          </w:tcPr>
          <w:p>
            <w:pPr>
              <w:autoSpaceDE w:val="0"/>
              <w:autoSpaceDN w:val="0"/>
              <w:adjustRightInd w:val="0"/>
              <w:jc w:val="center"/>
              <w:rPr>
                <w:rFonts w:cs="宋体" w:asciiTheme="minorEastAsia" w:hAnsiTheme="minorEastAsia"/>
                <w:szCs w:val="21"/>
              </w:rPr>
            </w:pPr>
            <w:r>
              <w:rPr>
                <w:rFonts w:hint="eastAsia" w:cs="宋体" w:asciiTheme="minorEastAsia" w:hAnsiTheme="minorEastAsia"/>
                <w:szCs w:val="21"/>
              </w:rPr>
              <w:t>投标人要求澄清招标文件的截止时间</w:t>
            </w:r>
          </w:p>
        </w:tc>
        <w:tc>
          <w:tcPr>
            <w:tcW w:w="6283" w:type="dxa"/>
            <w:gridSpan w:val="2"/>
            <w:vAlign w:val="center"/>
          </w:tcPr>
          <w:p>
            <w:pPr>
              <w:autoSpaceDE w:val="0"/>
              <w:autoSpaceDN w:val="0"/>
              <w:adjustRightInd w:val="0"/>
              <w:rPr>
                <w:rFonts w:cs="宋体" w:asciiTheme="minorEastAsia" w:hAnsiTheme="minorEastAsia"/>
                <w:szCs w:val="21"/>
              </w:rPr>
            </w:pPr>
            <w:r>
              <w:rPr>
                <w:rFonts w:hint="eastAsia" w:cs="宋体" w:asciiTheme="minorEastAsia" w:hAnsiTheme="minorEastAsia"/>
                <w:szCs w:val="21"/>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jc w:val="center"/>
              <w:rPr>
                <w:rFonts w:cs="宋体" w:asciiTheme="minorEastAsia" w:hAnsiTheme="minorEastAsia"/>
                <w:szCs w:val="21"/>
              </w:rPr>
            </w:pPr>
            <w:r>
              <w:rPr>
                <w:rFonts w:hint="eastAsia" w:cs="宋体" w:asciiTheme="minorEastAsia" w:hAnsiTheme="minorEastAsia"/>
                <w:szCs w:val="21"/>
              </w:rPr>
              <w:t>2.2.2</w:t>
            </w:r>
          </w:p>
        </w:tc>
        <w:tc>
          <w:tcPr>
            <w:tcW w:w="2447" w:type="dxa"/>
            <w:gridSpan w:val="3"/>
            <w:vAlign w:val="center"/>
          </w:tcPr>
          <w:p>
            <w:pPr>
              <w:autoSpaceDE w:val="0"/>
              <w:autoSpaceDN w:val="0"/>
              <w:adjustRightInd w:val="0"/>
              <w:jc w:val="center"/>
              <w:rPr>
                <w:rFonts w:cs="宋体" w:asciiTheme="minorEastAsia" w:hAnsiTheme="minorEastAsia"/>
                <w:szCs w:val="21"/>
              </w:rPr>
            </w:pPr>
            <w:r>
              <w:rPr>
                <w:rFonts w:hint="eastAsia" w:cs="宋体" w:asciiTheme="minorEastAsia" w:hAnsiTheme="minorEastAsia"/>
                <w:szCs w:val="21"/>
              </w:rPr>
              <w:t>投标截止时间</w:t>
            </w:r>
          </w:p>
        </w:tc>
        <w:tc>
          <w:tcPr>
            <w:tcW w:w="6283" w:type="dxa"/>
            <w:gridSpan w:val="2"/>
            <w:vAlign w:val="center"/>
          </w:tcPr>
          <w:p>
            <w:pPr>
              <w:autoSpaceDE w:val="0"/>
              <w:autoSpaceDN w:val="0"/>
              <w:adjustRightInd w:val="0"/>
              <w:rPr>
                <w:rFonts w:cs="宋体" w:asciiTheme="minorEastAsia" w:hAnsiTheme="minorEastAsia"/>
                <w:szCs w:val="21"/>
              </w:rPr>
            </w:pPr>
            <w:r>
              <w:rPr>
                <w:rFonts w:hint="eastAsia" w:cs="宋体" w:asciiTheme="minorEastAsia" w:hAnsiTheme="minorEastAsia"/>
                <w:szCs w:val="21"/>
              </w:rPr>
              <w:t>2020年</w:t>
            </w:r>
            <w:r>
              <w:rPr>
                <w:rFonts w:hint="eastAsia" w:cs="宋体" w:asciiTheme="minorEastAsia" w:hAnsiTheme="minorEastAsia"/>
                <w:szCs w:val="21"/>
                <w:lang w:val="en-US" w:eastAsia="zh-CN"/>
              </w:rPr>
              <w:t>2</w:t>
            </w:r>
            <w:r>
              <w:rPr>
                <w:rFonts w:hint="eastAsia" w:cs="宋体" w:asciiTheme="minorEastAsia" w:hAnsiTheme="minorEastAsia"/>
                <w:szCs w:val="21"/>
              </w:rPr>
              <w:t>月</w:t>
            </w:r>
            <w:r>
              <w:rPr>
                <w:rFonts w:hint="eastAsia" w:cs="宋体" w:asciiTheme="minorEastAsia" w:hAnsiTheme="minorEastAsia"/>
                <w:szCs w:val="21"/>
                <w:lang w:val="en-US" w:eastAsia="zh-CN"/>
              </w:rPr>
              <w:t>12</w:t>
            </w:r>
            <w:r>
              <w:rPr>
                <w:rFonts w:hint="eastAsia" w:cs="宋体" w:asciiTheme="minorEastAsia" w:hAnsiTheme="minorEastAsia"/>
                <w:szCs w:val="21"/>
              </w:rPr>
              <w:t>日</w:t>
            </w:r>
            <w:r>
              <w:rPr>
                <w:rFonts w:hint="eastAsia" w:cs="宋体" w:asciiTheme="minorEastAsia" w:hAnsiTheme="minorEastAsia"/>
                <w:szCs w:val="21"/>
                <w:lang w:val="en-US" w:eastAsia="zh-CN"/>
              </w:rPr>
              <w:t>9</w:t>
            </w:r>
            <w:r>
              <w:rPr>
                <w:rFonts w:hint="eastAsia" w:cs="宋体" w:asciiTheme="minorEastAsia" w:hAnsiTheme="minorEastAsia"/>
                <w:szCs w:val="21"/>
              </w:rPr>
              <w:t>时</w:t>
            </w:r>
            <w:r>
              <w:rPr>
                <w:rFonts w:hint="eastAsia" w:cs="宋体" w:asciiTheme="minorEastAsia" w:hAnsiTheme="minorEastAsia"/>
                <w:szCs w:val="21"/>
                <w:lang w:val="en-US" w:eastAsia="zh-CN"/>
              </w:rPr>
              <w:t>00</w:t>
            </w:r>
            <w:r>
              <w:rPr>
                <w:rFonts w:hint="eastAsia" w:cs="宋体" w:asciiTheme="minorEastAsia" w:hAnsiTheme="minorEastAsia"/>
                <w:szCs w:val="21"/>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jc w:val="center"/>
              <w:rPr>
                <w:rFonts w:cs="宋体" w:asciiTheme="minorEastAsia" w:hAnsiTheme="minorEastAsia"/>
                <w:szCs w:val="21"/>
              </w:rPr>
            </w:pPr>
            <w:r>
              <w:rPr>
                <w:rFonts w:hint="eastAsia" w:cs="宋体" w:asciiTheme="minorEastAsia" w:hAnsiTheme="minorEastAsia"/>
                <w:szCs w:val="21"/>
              </w:rPr>
              <w:t>2.2.3</w:t>
            </w:r>
          </w:p>
        </w:tc>
        <w:tc>
          <w:tcPr>
            <w:tcW w:w="2447" w:type="dxa"/>
            <w:gridSpan w:val="3"/>
            <w:vAlign w:val="center"/>
          </w:tcPr>
          <w:p>
            <w:pPr>
              <w:autoSpaceDE w:val="0"/>
              <w:autoSpaceDN w:val="0"/>
              <w:adjustRightInd w:val="0"/>
              <w:jc w:val="center"/>
              <w:rPr>
                <w:rFonts w:cs="宋体" w:asciiTheme="minorEastAsia" w:hAnsiTheme="minorEastAsia"/>
                <w:szCs w:val="21"/>
              </w:rPr>
            </w:pPr>
            <w:r>
              <w:rPr>
                <w:rFonts w:hint="eastAsia" w:cs="宋体" w:asciiTheme="minorEastAsia" w:hAnsiTheme="minorEastAsia"/>
                <w:szCs w:val="21"/>
              </w:rPr>
              <w:t>投标人确认收到招标文件澄清的时间</w:t>
            </w:r>
          </w:p>
        </w:tc>
        <w:tc>
          <w:tcPr>
            <w:tcW w:w="6283" w:type="dxa"/>
            <w:gridSpan w:val="2"/>
            <w:vAlign w:val="center"/>
          </w:tcPr>
          <w:p>
            <w:pPr>
              <w:autoSpaceDE w:val="0"/>
              <w:autoSpaceDN w:val="0"/>
              <w:adjustRightInd w:val="0"/>
              <w:rPr>
                <w:rFonts w:cs="宋体" w:asciiTheme="minorEastAsia" w:hAnsiTheme="minorEastAsia"/>
                <w:szCs w:val="21"/>
              </w:rPr>
            </w:pPr>
            <w:r>
              <w:rPr>
                <w:rFonts w:hint="eastAsia" w:cs="宋体"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jc w:val="center"/>
              <w:rPr>
                <w:rFonts w:cs="宋体" w:asciiTheme="minorEastAsia" w:hAnsiTheme="minorEastAsia"/>
                <w:szCs w:val="21"/>
              </w:rPr>
            </w:pPr>
            <w:r>
              <w:rPr>
                <w:rFonts w:hint="eastAsia" w:cs="宋体" w:asciiTheme="minorEastAsia" w:hAnsiTheme="minorEastAsia"/>
                <w:szCs w:val="21"/>
              </w:rPr>
              <w:t>2.3.1</w:t>
            </w:r>
          </w:p>
        </w:tc>
        <w:tc>
          <w:tcPr>
            <w:tcW w:w="2447" w:type="dxa"/>
            <w:gridSpan w:val="3"/>
            <w:vAlign w:val="center"/>
          </w:tcPr>
          <w:p>
            <w:pPr>
              <w:autoSpaceDE w:val="0"/>
              <w:autoSpaceDN w:val="0"/>
              <w:adjustRightInd w:val="0"/>
              <w:jc w:val="center"/>
              <w:rPr>
                <w:rFonts w:cs="宋体" w:asciiTheme="minorEastAsia" w:hAnsiTheme="minorEastAsia"/>
                <w:szCs w:val="21"/>
              </w:rPr>
            </w:pPr>
            <w:r>
              <w:rPr>
                <w:rFonts w:hint="eastAsia" w:cs="宋体" w:asciiTheme="minorEastAsia" w:hAnsiTheme="minorEastAsia"/>
                <w:szCs w:val="21"/>
              </w:rPr>
              <w:t>投标人确认收到招标文件修改的时间</w:t>
            </w:r>
          </w:p>
        </w:tc>
        <w:tc>
          <w:tcPr>
            <w:tcW w:w="6283" w:type="dxa"/>
            <w:gridSpan w:val="2"/>
            <w:vAlign w:val="center"/>
          </w:tcPr>
          <w:p>
            <w:pPr>
              <w:autoSpaceDE w:val="0"/>
              <w:autoSpaceDN w:val="0"/>
              <w:adjustRightInd w:val="0"/>
              <w:rPr>
                <w:rFonts w:cs="宋体" w:asciiTheme="minorEastAsia" w:hAnsiTheme="minorEastAsia"/>
                <w:szCs w:val="21"/>
              </w:rPr>
            </w:pPr>
            <w:r>
              <w:rPr>
                <w:rFonts w:hint="eastAsia" w:cs="宋体"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jc w:val="center"/>
              <w:rPr>
                <w:rFonts w:cs="宋体" w:asciiTheme="minorEastAsia" w:hAnsiTheme="minorEastAsia"/>
                <w:szCs w:val="21"/>
              </w:rPr>
            </w:pPr>
            <w:r>
              <w:rPr>
                <w:rFonts w:hint="eastAsia" w:cs="宋体" w:asciiTheme="minorEastAsia" w:hAnsiTheme="minorEastAsia"/>
                <w:szCs w:val="21"/>
              </w:rPr>
              <w:t>3.1.1</w:t>
            </w:r>
          </w:p>
        </w:tc>
        <w:tc>
          <w:tcPr>
            <w:tcW w:w="2447" w:type="dxa"/>
            <w:gridSpan w:val="3"/>
            <w:vAlign w:val="center"/>
          </w:tcPr>
          <w:p>
            <w:pPr>
              <w:autoSpaceDE w:val="0"/>
              <w:autoSpaceDN w:val="0"/>
              <w:adjustRightInd w:val="0"/>
              <w:jc w:val="center"/>
              <w:rPr>
                <w:rFonts w:cs="宋体" w:asciiTheme="minorEastAsia" w:hAnsiTheme="minorEastAsia"/>
                <w:szCs w:val="21"/>
              </w:rPr>
            </w:pPr>
            <w:r>
              <w:rPr>
                <w:rFonts w:hint="eastAsia" w:cs="宋体" w:asciiTheme="minorEastAsia" w:hAnsiTheme="minorEastAsia"/>
                <w:szCs w:val="21"/>
              </w:rPr>
              <w:t>构成投标文件的其他材料</w:t>
            </w:r>
          </w:p>
        </w:tc>
        <w:tc>
          <w:tcPr>
            <w:tcW w:w="6283" w:type="dxa"/>
            <w:gridSpan w:val="2"/>
            <w:vAlign w:val="center"/>
          </w:tcPr>
          <w:p>
            <w:pPr>
              <w:autoSpaceDE w:val="0"/>
              <w:autoSpaceDN w:val="0"/>
              <w:adjustRightInd w:val="0"/>
              <w:rPr>
                <w:rFonts w:cs="宋体" w:asciiTheme="minorEastAsia" w:hAnsiTheme="minorEastAsia"/>
                <w:szCs w:val="21"/>
              </w:rPr>
            </w:pPr>
            <w:r>
              <w:rPr>
                <w:rFonts w:hint="eastAsia" w:cs="宋体"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jc w:val="center"/>
              <w:rPr>
                <w:rFonts w:cs="宋体" w:asciiTheme="minorEastAsia" w:hAnsiTheme="minorEastAsia"/>
                <w:szCs w:val="21"/>
              </w:rPr>
            </w:pPr>
            <w:r>
              <w:rPr>
                <w:rFonts w:hint="eastAsia" w:cs="宋体" w:asciiTheme="minorEastAsia" w:hAnsiTheme="minorEastAsia"/>
                <w:szCs w:val="21"/>
              </w:rPr>
              <w:t>3.3.1</w:t>
            </w:r>
          </w:p>
        </w:tc>
        <w:tc>
          <w:tcPr>
            <w:tcW w:w="2447" w:type="dxa"/>
            <w:gridSpan w:val="3"/>
            <w:vAlign w:val="center"/>
          </w:tcPr>
          <w:p>
            <w:pPr>
              <w:autoSpaceDE w:val="0"/>
              <w:autoSpaceDN w:val="0"/>
              <w:adjustRightInd w:val="0"/>
              <w:jc w:val="center"/>
              <w:rPr>
                <w:rFonts w:cs="宋体" w:asciiTheme="minorEastAsia" w:hAnsiTheme="minorEastAsia"/>
                <w:szCs w:val="21"/>
              </w:rPr>
            </w:pPr>
            <w:r>
              <w:rPr>
                <w:rFonts w:hint="eastAsia" w:cs="宋体" w:asciiTheme="minorEastAsia" w:hAnsiTheme="minorEastAsia"/>
                <w:szCs w:val="21"/>
              </w:rPr>
              <w:t>投标有效期</w:t>
            </w:r>
          </w:p>
        </w:tc>
        <w:tc>
          <w:tcPr>
            <w:tcW w:w="6283" w:type="dxa"/>
            <w:gridSpan w:val="2"/>
            <w:vAlign w:val="center"/>
          </w:tcPr>
          <w:p>
            <w:pPr>
              <w:autoSpaceDE w:val="0"/>
              <w:autoSpaceDN w:val="0"/>
              <w:adjustRightInd w:val="0"/>
              <w:rPr>
                <w:rFonts w:cs="宋体" w:asciiTheme="minorEastAsia" w:hAnsiTheme="minorEastAsia"/>
                <w:szCs w:val="21"/>
              </w:rPr>
            </w:pPr>
            <w:r>
              <w:rPr>
                <w:rFonts w:hint="eastAsia" w:cs="宋体" w:asciiTheme="minorEastAsia" w:hAnsiTheme="minorEastAsia"/>
                <w:szCs w:val="21"/>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jc w:val="center"/>
              <w:rPr>
                <w:rFonts w:cs="宋体" w:asciiTheme="minorEastAsia" w:hAnsiTheme="minorEastAsia"/>
                <w:szCs w:val="21"/>
              </w:rPr>
            </w:pPr>
            <w:bookmarkStart w:id="5" w:name="OLE_LINK4" w:colFirst="0" w:colLast="2"/>
            <w:bookmarkStart w:id="6" w:name="_Hlk424659721"/>
            <w:bookmarkStart w:id="7" w:name="OLE_LINK3" w:colFirst="0" w:colLast="2"/>
            <w:r>
              <w:rPr>
                <w:rFonts w:hint="eastAsia" w:cs="宋体" w:asciiTheme="minorEastAsia" w:hAnsiTheme="minorEastAsia"/>
                <w:szCs w:val="21"/>
              </w:rPr>
              <w:t>3.4.1</w:t>
            </w:r>
          </w:p>
        </w:tc>
        <w:tc>
          <w:tcPr>
            <w:tcW w:w="2447" w:type="dxa"/>
            <w:gridSpan w:val="3"/>
            <w:vAlign w:val="center"/>
          </w:tcPr>
          <w:p>
            <w:pPr>
              <w:autoSpaceDE w:val="0"/>
              <w:autoSpaceDN w:val="0"/>
              <w:adjustRightInd w:val="0"/>
              <w:jc w:val="center"/>
              <w:rPr>
                <w:rFonts w:cs="宋体" w:asciiTheme="minorEastAsia" w:hAnsiTheme="minorEastAsia"/>
                <w:szCs w:val="21"/>
              </w:rPr>
            </w:pPr>
            <w:r>
              <w:rPr>
                <w:rFonts w:hint="eastAsia" w:cs="宋体" w:asciiTheme="minorEastAsia" w:hAnsiTheme="minorEastAsia"/>
                <w:szCs w:val="21"/>
              </w:rPr>
              <w:t>投标保证金须知</w:t>
            </w:r>
          </w:p>
        </w:tc>
        <w:tc>
          <w:tcPr>
            <w:tcW w:w="6283" w:type="dxa"/>
            <w:gridSpan w:val="2"/>
            <w:vAlign w:val="center"/>
          </w:tcPr>
          <w:p>
            <w:pPr>
              <w:autoSpaceDE w:val="0"/>
              <w:autoSpaceDN w:val="0"/>
              <w:adjustRightInd w:val="0"/>
              <w:spacing w:line="276" w:lineRule="auto"/>
              <w:rPr>
                <w:rFonts w:cs="宋体" w:asciiTheme="minorEastAsia" w:hAnsiTheme="minorEastAsia"/>
                <w:szCs w:val="21"/>
              </w:rPr>
            </w:pPr>
            <w:r>
              <w:rPr>
                <w:rFonts w:hint="eastAsia" w:cs="宋体" w:asciiTheme="minorEastAsia" w:hAnsiTheme="minorEastAsia"/>
                <w:szCs w:val="21"/>
              </w:rPr>
              <w:t>1、因投标人的原因无法及时退还投标（竞买）保证金、滞留三年以上的，投标（竞买）保证金上缴财政。</w:t>
            </w:r>
          </w:p>
          <w:p>
            <w:pPr>
              <w:autoSpaceDE w:val="0"/>
              <w:autoSpaceDN w:val="0"/>
              <w:adjustRightInd w:val="0"/>
              <w:spacing w:line="276" w:lineRule="auto"/>
              <w:rPr>
                <w:rFonts w:cs="宋体" w:asciiTheme="minorEastAsia" w:hAnsiTheme="minorEastAsia"/>
                <w:szCs w:val="21"/>
              </w:rPr>
            </w:pPr>
            <w:r>
              <w:rPr>
                <w:rFonts w:hint="eastAsia" w:cs="宋体" w:asciiTheme="minorEastAsia" w:hAnsiTheme="minorEastAsia"/>
                <w:szCs w:val="21"/>
              </w:rPr>
              <w:t>2、自文件发布之日起，投标人需进行基本户备案（建设工程项目），已备案的基本户开户银行、账户发生变化的，须重新办理备案手续。备案后方可提交投标（竞买）保证金。</w:t>
            </w:r>
          </w:p>
          <w:p>
            <w:pPr>
              <w:autoSpaceDE w:val="0"/>
              <w:autoSpaceDN w:val="0"/>
              <w:adjustRightInd w:val="0"/>
              <w:spacing w:line="276" w:lineRule="auto"/>
              <w:rPr>
                <w:rFonts w:cs="宋体" w:asciiTheme="minorEastAsia" w:hAnsiTheme="minorEastAsia"/>
                <w:szCs w:val="21"/>
              </w:rPr>
            </w:pPr>
            <w:r>
              <w:rPr>
                <w:rFonts w:hint="eastAsia" w:cs="宋体" w:asciiTheme="minorEastAsia" w:hAnsiTheme="minorEastAsia"/>
                <w:szCs w:val="21"/>
              </w:rPr>
              <w:t xml:space="preserve">3、基本户备案流程： </w:t>
            </w:r>
          </w:p>
          <w:p>
            <w:pPr>
              <w:autoSpaceDE w:val="0"/>
              <w:autoSpaceDN w:val="0"/>
              <w:adjustRightInd w:val="0"/>
              <w:spacing w:line="276" w:lineRule="auto"/>
              <w:rPr>
                <w:rFonts w:cs="宋体" w:asciiTheme="minorEastAsia" w:hAnsiTheme="minorEastAsia"/>
                <w:szCs w:val="21"/>
              </w:rPr>
            </w:pPr>
            <w:r>
              <w:rPr>
                <w:rFonts w:hint="eastAsia" w:cs="宋体" w:asciiTheme="minorEastAsia" w:hAnsiTheme="minorEastAsia"/>
                <w:szCs w:val="21"/>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276" w:lineRule="auto"/>
              <w:rPr>
                <w:rFonts w:cs="宋体" w:asciiTheme="minorEastAsia" w:hAnsiTheme="minorEastAsia"/>
                <w:szCs w:val="21"/>
              </w:rPr>
            </w:pPr>
            <w:r>
              <w:rPr>
                <w:rFonts w:hint="eastAsia" w:cs="宋体" w:asciiTheme="minorEastAsia" w:hAnsiTheme="minorEastAsia"/>
                <w:szCs w:val="21"/>
              </w:rPr>
              <w:t>4、特殊情况处理</w:t>
            </w:r>
          </w:p>
          <w:p>
            <w:pPr>
              <w:autoSpaceDE w:val="0"/>
              <w:autoSpaceDN w:val="0"/>
              <w:adjustRightInd w:val="0"/>
              <w:spacing w:line="276" w:lineRule="auto"/>
              <w:rPr>
                <w:rFonts w:cs="宋体" w:asciiTheme="minorEastAsia" w:hAnsiTheme="minorEastAsia"/>
                <w:szCs w:val="21"/>
              </w:rPr>
            </w:pPr>
            <w:r>
              <w:rPr>
                <w:rFonts w:hint="eastAsia" w:cs="宋体" w:asciiTheme="minorEastAsia" w:hAnsiTheme="minorEastAsia"/>
                <w:szCs w:val="21"/>
              </w:rPr>
              <w:t xml:space="preserve">  投标人投标过程中因账户开户银行、银行账号发生变化，不能按照来款途径原路返还投标保证金的，投标人须提供原账户开户银行相关证明及新开账户开户许可证，到襄城县公共资源交易中心1209室工程股办理退款手续（0374-3998022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003" w:type="dxa"/>
            <w:vAlign w:val="center"/>
          </w:tcPr>
          <w:p>
            <w:pPr>
              <w:autoSpaceDE w:val="0"/>
              <w:autoSpaceDN w:val="0"/>
              <w:adjustRightInd w:val="0"/>
              <w:jc w:val="center"/>
              <w:rPr>
                <w:rFonts w:cs="宋体" w:asciiTheme="minorEastAsia" w:hAnsiTheme="minorEastAsia"/>
                <w:szCs w:val="21"/>
              </w:rPr>
            </w:pPr>
            <w:r>
              <w:rPr>
                <w:rFonts w:hint="eastAsia" w:cs="宋体" w:asciiTheme="minorEastAsia" w:hAnsiTheme="minorEastAsia"/>
                <w:szCs w:val="21"/>
              </w:rPr>
              <w:t>3.4.2</w:t>
            </w:r>
          </w:p>
        </w:tc>
        <w:tc>
          <w:tcPr>
            <w:tcW w:w="2447" w:type="dxa"/>
            <w:gridSpan w:val="3"/>
            <w:vAlign w:val="center"/>
          </w:tcPr>
          <w:p>
            <w:pPr>
              <w:autoSpaceDE w:val="0"/>
              <w:autoSpaceDN w:val="0"/>
              <w:adjustRightInd w:val="0"/>
              <w:rPr>
                <w:rFonts w:cs="宋体" w:asciiTheme="minorEastAsia" w:hAnsiTheme="minorEastAsia"/>
                <w:szCs w:val="21"/>
              </w:rPr>
            </w:pPr>
            <w:r>
              <w:rPr>
                <w:rFonts w:hint="eastAsia" w:cs="宋体" w:asciiTheme="minorEastAsia" w:hAnsiTheme="minorEastAsia"/>
                <w:szCs w:val="21"/>
              </w:rPr>
              <w:t>投标保证金</w:t>
            </w:r>
          </w:p>
        </w:tc>
        <w:tc>
          <w:tcPr>
            <w:tcW w:w="6283" w:type="dxa"/>
            <w:gridSpan w:val="2"/>
            <w:vAlign w:val="center"/>
          </w:tcPr>
          <w:p>
            <w:pPr>
              <w:autoSpaceDE w:val="0"/>
              <w:autoSpaceDN w:val="0"/>
              <w:adjustRightInd w:val="0"/>
              <w:rPr>
                <w:rFonts w:cs="宋体" w:asciiTheme="minorEastAsia" w:hAnsiTheme="minorEastAsia"/>
                <w:szCs w:val="21"/>
              </w:rPr>
            </w:pPr>
            <w:r>
              <w:rPr>
                <w:rFonts w:hint="eastAsia" w:cs="宋体" w:asciiTheme="minorEastAsia" w:hAnsiTheme="minorEastAsia"/>
                <w:szCs w:val="21"/>
              </w:rPr>
              <w:t>投标保证金递交截止时间：同投标截止时间。</w:t>
            </w:r>
          </w:p>
          <w:p>
            <w:pPr>
              <w:pStyle w:val="2"/>
              <w:ind w:firstLine="0" w:firstLineChars="0"/>
              <w:rPr>
                <w:rFonts w:cs="宋体" w:asciiTheme="minorEastAsia" w:hAnsiTheme="minorEastAsia" w:eastAsiaTheme="minorEastAsia"/>
                <w:b w:val="0"/>
                <w:sz w:val="21"/>
                <w:szCs w:val="21"/>
              </w:rPr>
            </w:pPr>
            <w:r>
              <w:rPr>
                <w:rFonts w:hint="eastAsia" w:cs="宋体" w:asciiTheme="minorEastAsia" w:hAnsiTheme="minorEastAsia" w:eastAsiaTheme="minorEastAsia"/>
                <w:b w:val="0"/>
                <w:sz w:val="21"/>
                <w:szCs w:val="21"/>
              </w:rPr>
              <w:t>投标保证金金额：</w:t>
            </w:r>
          </w:p>
          <w:p>
            <w:pPr>
              <w:pStyle w:val="2"/>
              <w:ind w:firstLine="0" w:firstLineChars="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第一标段：</w:t>
            </w:r>
            <w:r>
              <w:rPr>
                <w:rFonts w:hint="eastAsia" w:cs="宋体" w:asciiTheme="minorEastAsia" w:hAnsiTheme="minorEastAsia" w:eastAsiaTheme="minorEastAsia"/>
                <w:bCs/>
                <w:sz w:val="21"/>
                <w:szCs w:val="21"/>
                <w:u w:val="single"/>
              </w:rPr>
              <w:t>叁拾万元整</w:t>
            </w:r>
            <w:r>
              <w:rPr>
                <w:rFonts w:hint="eastAsia" w:cs="宋体" w:asciiTheme="minorEastAsia" w:hAnsiTheme="minorEastAsia" w:eastAsiaTheme="minorEastAsia"/>
                <w:sz w:val="21"/>
                <w:szCs w:val="21"/>
              </w:rPr>
              <w:t>（￥300000.00元）</w:t>
            </w:r>
          </w:p>
          <w:p>
            <w:pPr>
              <w:pStyle w:val="2"/>
              <w:ind w:firstLine="0" w:firstLineChars="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第二标段：捌仟元整（￥8000.00元）</w:t>
            </w:r>
          </w:p>
          <w:p>
            <w:pPr>
              <w:autoSpaceDE w:val="0"/>
              <w:autoSpaceDN w:val="0"/>
              <w:adjustRightInd w:val="0"/>
              <w:rPr>
                <w:rFonts w:cs="宋体" w:asciiTheme="minorEastAsia" w:hAnsiTheme="minorEastAsia"/>
                <w:szCs w:val="21"/>
              </w:rPr>
            </w:pPr>
            <w:r>
              <w:rPr>
                <w:rFonts w:hint="eastAsia" w:cs="宋体" w:asciiTheme="minorEastAsia" w:hAnsiTheme="minorEastAsia"/>
                <w:szCs w:val="21"/>
              </w:rPr>
              <w:t>1、投标保证金的递交方式：银行转帐、银行电汇（均需从投标人的基本账户汇出），不接受以现金方式缴纳的投标保证金。凡以现金方式缴纳投标保证金而影响其投标结果的，由投标人自行负责。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rPr>
                <w:rFonts w:cs="宋体" w:asciiTheme="minorEastAsia" w:hAnsiTheme="minorEastAsia"/>
                <w:szCs w:val="21"/>
              </w:rPr>
            </w:pPr>
            <w:r>
              <w:rPr>
                <w:rFonts w:hint="eastAsia" w:cs="宋体" w:asciiTheme="minorEastAsia" w:hAnsiTheme="minorEastAsia"/>
                <w:szCs w:val="21"/>
              </w:rPr>
              <w:t>使用银行转帐形式的，于截止时间前通过投标人基本账户将款项一次足额递交、成功绑定，以收款人到账时间为准，在途资金无效，视为未按时交纳。同时投标人应承担节假日银行系统不能支付的风险。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rPr>
                <w:rFonts w:cs="宋体" w:asciiTheme="minorEastAsia" w:hAnsiTheme="minorEastAsia"/>
                <w:szCs w:val="21"/>
              </w:rPr>
            </w:pPr>
            <w:r>
              <w:rPr>
                <w:rFonts w:hint="eastAsia" w:cs="宋体" w:asciiTheme="minorEastAsia" w:hAnsiTheme="minorEastAsia"/>
                <w:szCs w:val="21"/>
              </w:rPr>
              <w:t>2、投标保证金缴纳方式：</w:t>
            </w:r>
          </w:p>
          <w:p>
            <w:pPr>
              <w:autoSpaceDE w:val="0"/>
              <w:autoSpaceDN w:val="0"/>
              <w:adjustRightInd w:val="0"/>
              <w:rPr>
                <w:rFonts w:cs="宋体" w:asciiTheme="minorEastAsia" w:hAnsiTheme="minorEastAsia"/>
                <w:szCs w:val="21"/>
              </w:rPr>
            </w:pPr>
            <w:r>
              <w:rPr>
                <w:rFonts w:hint="eastAsia" w:cs="宋体" w:asciiTheme="minorEastAsia" w:hAnsiTheme="minorEastAsia"/>
                <w:szCs w:val="21"/>
              </w:rPr>
              <w:t>2.1投标人网上报名后，登录http://221.14.6.70:8088/ggzy系统，依次点击“会员向导”→“参与投标”→“费用缴纳说明”→“保证金缴纳说明单”，获取缴费说明单，根据每个标段的缴纳说明单在缴纳截止时间前缴纳；</w:t>
            </w:r>
          </w:p>
          <w:p>
            <w:pPr>
              <w:autoSpaceDE w:val="0"/>
              <w:autoSpaceDN w:val="0"/>
              <w:adjustRightInd w:val="0"/>
              <w:rPr>
                <w:rFonts w:cs="宋体" w:asciiTheme="minorEastAsia" w:hAnsiTheme="minorEastAsia"/>
                <w:szCs w:val="21"/>
              </w:rPr>
            </w:pPr>
            <w:r>
              <w:rPr>
                <w:rFonts w:hint="eastAsia" w:cs="宋体" w:asciiTheme="minorEastAsia" w:hAnsiTheme="minorEastAsia"/>
                <w:szCs w:val="21"/>
              </w:rPr>
              <w:t>2.2成功缴纳后重新登录前述系统，依次点击“会员向导”→“参与投标”→“保证金绑定”→“绑定”进行投标保证金绑定。</w:t>
            </w:r>
          </w:p>
          <w:p>
            <w:pPr>
              <w:autoSpaceDE w:val="0"/>
              <w:autoSpaceDN w:val="0"/>
              <w:adjustRightInd w:val="0"/>
              <w:rPr>
                <w:rFonts w:cs="宋体" w:asciiTheme="minorEastAsia" w:hAnsiTheme="minorEastAsia"/>
                <w:szCs w:val="21"/>
              </w:rPr>
            </w:pPr>
            <w:r>
              <w:rPr>
                <w:rFonts w:hint="eastAsia" w:cs="宋体" w:asciiTheme="minorEastAsia" w:hAnsiTheme="minorEastAsia"/>
                <w:szCs w:val="21"/>
              </w:rPr>
              <w:t>2.3 投标人要严格按照“保证金缴纳说明单”内容缴纳、成功绑定投标保证金，未绑定标段的投标保证金，视为未按时交纳。并将缴纳凭证“襄城县公共资源交易中心保证金缴纳回执”附于投标文件中，同时在开标现场提供一份，以备查询。</w:t>
            </w:r>
          </w:p>
          <w:p>
            <w:pPr>
              <w:autoSpaceDE w:val="0"/>
              <w:autoSpaceDN w:val="0"/>
              <w:adjustRightInd w:val="0"/>
              <w:rPr>
                <w:rFonts w:cs="宋体" w:asciiTheme="minorEastAsia" w:hAnsiTheme="minorEastAsia"/>
                <w:szCs w:val="21"/>
              </w:rPr>
            </w:pPr>
            <w:r>
              <w:rPr>
                <w:rFonts w:hint="eastAsia" w:cs="宋体" w:asciiTheme="minorEastAsia" w:hAnsiTheme="minorEastAsia"/>
                <w:szCs w:val="21"/>
              </w:rPr>
              <w:t>2.4 每个投标人每个项目每个标段只有唯一缴纳账号，切勿重复缴纳或错误缴纳。</w:t>
            </w:r>
          </w:p>
          <w:p>
            <w:pPr>
              <w:autoSpaceDE w:val="0"/>
              <w:autoSpaceDN w:val="0"/>
              <w:adjustRightInd w:val="0"/>
              <w:rPr>
                <w:rFonts w:cs="宋体" w:asciiTheme="minorEastAsia" w:hAnsiTheme="minorEastAsia"/>
                <w:szCs w:val="21"/>
              </w:rPr>
            </w:pPr>
            <w:r>
              <w:rPr>
                <w:rFonts w:hint="eastAsia" w:cs="宋体" w:asciiTheme="minorEastAsia" w:hAnsiTheme="minorEastAsia"/>
                <w:szCs w:val="21"/>
              </w:rPr>
              <w:t>3、未按上述规定操作引起的无效投标，由投标人自行负责。</w:t>
            </w:r>
          </w:p>
          <w:p>
            <w:pPr>
              <w:autoSpaceDE w:val="0"/>
              <w:autoSpaceDN w:val="0"/>
              <w:adjustRightInd w:val="0"/>
              <w:rPr>
                <w:rFonts w:cs="宋体" w:asciiTheme="minorEastAsia" w:hAnsiTheme="minorEastAsia"/>
                <w:szCs w:val="21"/>
              </w:rPr>
            </w:pPr>
            <w:r>
              <w:rPr>
                <w:rFonts w:hint="eastAsia" w:cs="宋体" w:asciiTheme="minorEastAsia" w:hAnsiTheme="minorEastAsia"/>
                <w:szCs w:val="21"/>
              </w:rPr>
              <w:t>4、汇款凭证无须备注项目编号和项目名称。</w:t>
            </w:r>
          </w:p>
          <w:p>
            <w:pPr>
              <w:autoSpaceDE w:val="0"/>
              <w:autoSpaceDN w:val="0"/>
              <w:adjustRightInd w:val="0"/>
              <w:rPr>
                <w:rFonts w:cs="宋体" w:asciiTheme="minorEastAsia" w:hAnsiTheme="minorEastAsia"/>
                <w:szCs w:val="21"/>
              </w:rPr>
            </w:pPr>
            <w:r>
              <w:rPr>
                <w:rFonts w:hint="eastAsia" w:cs="宋体" w:asciiTheme="minorEastAsia" w:hAnsiTheme="minorEastAsia"/>
                <w:szCs w:val="21"/>
              </w:rPr>
              <w:t>5、出现以下情形造成的投标保证金无效，由投标人自行负责。</w:t>
            </w:r>
          </w:p>
          <w:p>
            <w:pPr>
              <w:autoSpaceDE w:val="0"/>
              <w:autoSpaceDN w:val="0"/>
              <w:adjustRightInd w:val="0"/>
              <w:rPr>
                <w:rFonts w:cs="宋体" w:asciiTheme="minorEastAsia" w:hAnsiTheme="minorEastAsia"/>
                <w:szCs w:val="21"/>
              </w:rPr>
            </w:pPr>
            <w:r>
              <w:rPr>
                <w:rFonts w:hint="eastAsia" w:cs="宋体" w:asciiTheme="minorEastAsia" w:hAnsiTheme="minorEastAsia"/>
                <w:szCs w:val="21"/>
              </w:rPr>
              <w:t>(1)投标保证金未从投标人的基本账户转出；</w:t>
            </w:r>
          </w:p>
          <w:p>
            <w:pPr>
              <w:autoSpaceDE w:val="0"/>
              <w:autoSpaceDN w:val="0"/>
              <w:adjustRightInd w:val="0"/>
              <w:rPr>
                <w:rFonts w:cs="宋体" w:asciiTheme="minorEastAsia" w:hAnsiTheme="minorEastAsia"/>
                <w:szCs w:val="21"/>
              </w:rPr>
            </w:pPr>
            <w:r>
              <w:rPr>
                <w:rFonts w:hint="eastAsia" w:cs="宋体" w:asciiTheme="minorEastAsia" w:hAnsiTheme="minorEastAsia"/>
                <w:szCs w:val="21"/>
              </w:rPr>
              <w:t>(2)投标保证金未按照招标文件划分的标段依次转账。</w:t>
            </w:r>
          </w:p>
          <w:p>
            <w:pPr>
              <w:autoSpaceDE w:val="0"/>
              <w:autoSpaceDN w:val="0"/>
              <w:adjustRightInd w:val="0"/>
              <w:rPr>
                <w:rFonts w:cs="宋体" w:asciiTheme="minorEastAsia" w:hAnsiTheme="minorEastAsia"/>
                <w:szCs w:val="21"/>
              </w:rPr>
            </w:pPr>
            <w:r>
              <w:rPr>
                <w:rFonts w:hint="eastAsia" w:cs="宋体" w:asciiTheme="minorEastAsia" w:hAnsiTheme="minorEastAsia"/>
                <w:szCs w:val="21"/>
              </w:rPr>
              <w:t>6、《保证金缴纳绑定操作指南》获取方法：</w:t>
            </w:r>
          </w:p>
          <w:p>
            <w:pPr>
              <w:autoSpaceDE w:val="0"/>
              <w:autoSpaceDN w:val="0"/>
              <w:adjustRightInd w:val="0"/>
              <w:rPr>
                <w:rFonts w:cs="宋体" w:asciiTheme="minorEastAsia" w:hAnsiTheme="minorEastAsia"/>
                <w:szCs w:val="21"/>
              </w:rPr>
            </w:pPr>
            <w:r>
              <w:rPr>
                <w:rFonts w:hint="eastAsia" w:cs="宋体" w:asciiTheme="minorEastAsia" w:hAnsiTheme="minorEastAsia"/>
                <w:szCs w:val="21"/>
              </w:rPr>
              <w:t>登录许昌公共资源交易系统-组件下载-《保证金缴纳绑定操作指南》。</w:t>
            </w:r>
          </w:p>
          <w:p>
            <w:pPr>
              <w:autoSpaceDE w:val="0"/>
              <w:autoSpaceDN w:val="0"/>
              <w:adjustRightInd w:val="0"/>
              <w:rPr>
                <w:rFonts w:cs="宋体" w:asciiTheme="minorEastAsia" w:hAnsiTheme="minorEastAsia"/>
                <w:szCs w:val="21"/>
              </w:rPr>
            </w:pPr>
            <w:r>
              <w:rPr>
                <w:rFonts w:hint="eastAsia" w:cs="宋体" w:asciiTheme="minorEastAsia" w:hAnsiTheme="minorEastAsia"/>
                <w:szCs w:val="21"/>
              </w:rPr>
              <w:t>7、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jc w:val="center"/>
              <w:rPr>
                <w:rFonts w:cs="宋体" w:asciiTheme="minorEastAsia" w:hAnsiTheme="minorEastAsia"/>
                <w:szCs w:val="21"/>
              </w:rPr>
            </w:pPr>
            <w:r>
              <w:rPr>
                <w:rFonts w:hint="eastAsia" w:cs="宋体" w:asciiTheme="minorEastAsia" w:hAnsiTheme="minorEastAsia"/>
                <w:szCs w:val="21"/>
              </w:rPr>
              <w:t>3.5.2</w:t>
            </w:r>
          </w:p>
        </w:tc>
        <w:tc>
          <w:tcPr>
            <w:tcW w:w="2447" w:type="dxa"/>
            <w:gridSpan w:val="3"/>
            <w:vAlign w:val="center"/>
          </w:tcPr>
          <w:p>
            <w:pPr>
              <w:jc w:val="center"/>
              <w:rPr>
                <w:rFonts w:cs="宋体" w:asciiTheme="minorEastAsia" w:hAnsiTheme="minorEastAsia"/>
                <w:szCs w:val="21"/>
              </w:rPr>
            </w:pPr>
            <w:r>
              <w:rPr>
                <w:rFonts w:hint="eastAsia" w:cs="宋体" w:asciiTheme="minorEastAsia" w:hAnsiTheme="minorEastAsia"/>
                <w:szCs w:val="21"/>
              </w:rPr>
              <w:t>近3年财务状况的年份要求</w:t>
            </w:r>
          </w:p>
        </w:tc>
        <w:tc>
          <w:tcPr>
            <w:tcW w:w="6283" w:type="dxa"/>
            <w:gridSpan w:val="2"/>
            <w:vAlign w:val="center"/>
          </w:tcPr>
          <w:p>
            <w:pPr>
              <w:autoSpaceDE w:val="0"/>
              <w:autoSpaceDN w:val="0"/>
              <w:adjustRightInd w:val="0"/>
              <w:rPr>
                <w:rFonts w:cs="宋体" w:asciiTheme="minorEastAsia" w:hAnsiTheme="minorEastAsia"/>
                <w:szCs w:val="21"/>
                <w:lang w:val="zh-CN"/>
              </w:rPr>
            </w:pPr>
            <w:r>
              <w:rPr>
                <w:rFonts w:hint="eastAsia" w:cs="宋体" w:asciiTheme="minorEastAsia" w:hAnsiTheme="minorEastAsia"/>
                <w:szCs w:val="21"/>
                <w:lang w:val="zh-CN"/>
              </w:rPr>
              <w:t>近3年，指2016、2017、2018年（若公司成立未满三年，须提供成立当年至今的财务报告）</w:t>
            </w:r>
          </w:p>
        </w:tc>
      </w:tr>
      <w:bookmarkEnd w:id="5"/>
      <w:bookmarkEnd w:id="6"/>
      <w:bookmarkEnd w:id="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003" w:type="dxa"/>
            <w:vAlign w:val="center"/>
          </w:tcPr>
          <w:p>
            <w:pPr>
              <w:autoSpaceDE w:val="0"/>
              <w:autoSpaceDN w:val="0"/>
              <w:adjustRightInd w:val="0"/>
              <w:jc w:val="center"/>
              <w:rPr>
                <w:rFonts w:cs="宋体" w:asciiTheme="minorEastAsia" w:hAnsiTheme="minorEastAsia"/>
                <w:szCs w:val="21"/>
              </w:rPr>
            </w:pPr>
            <w:r>
              <w:rPr>
                <w:rFonts w:hint="eastAsia" w:cs="宋体" w:asciiTheme="minorEastAsia" w:hAnsiTheme="minorEastAsia"/>
                <w:szCs w:val="21"/>
              </w:rPr>
              <w:t>3.5.3</w:t>
            </w:r>
          </w:p>
        </w:tc>
        <w:tc>
          <w:tcPr>
            <w:tcW w:w="2447" w:type="dxa"/>
            <w:gridSpan w:val="3"/>
            <w:vAlign w:val="center"/>
          </w:tcPr>
          <w:p>
            <w:pPr>
              <w:jc w:val="center"/>
              <w:rPr>
                <w:rFonts w:cs="宋体" w:asciiTheme="minorEastAsia" w:hAnsiTheme="minorEastAsia"/>
                <w:szCs w:val="21"/>
              </w:rPr>
            </w:pPr>
            <w:r>
              <w:rPr>
                <w:rFonts w:hint="eastAsia" w:cs="宋体" w:asciiTheme="minorEastAsia" w:hAnsiTheme="minorEastAsia"/>
                <w:szCs w:val="21"/>
              </w:rPr>
              <w:t>近3年完成的类似项目的年份要求</w:t>
            </w:r>
          </w:p>
        </w:tc>
        <w:tc>
          <w:tcPr>
            <w:tcW w:w="6283" w:type="dxa"/>
            <w:gridSpan w:val="2"/>
            <w:vAlign w:val="center"/>
          </w:tcPr>
          <w:p>
            <w:pPr>
              <w:autoSpaceDE w:val="0"/>
              <w:autoSpaceDN w:val="0"/>
              <w:adjustRightInd w:val="0"/>
              <w:jc w:val="left"/>
              <w:rPr>
                <w:rFonts w:cs="宋体" w:asciiTheme="minorEastAsia" w:hAnsiTheme="minorEastAsia"/>
                <w:szCs w:val="21"/>
              </w:rPr>
            </w:pPr>
            <w:r>
              <w:rPr>
                <w:rFonts w:hint="eastAsia" w:cs="宋体" w:asciiTheme="minorEastAsia" w:hAnsiTheme="minorEastAsia"/>
                <w:szCs w:val="21"/>
              </w:rPr>
              <w:t>近3年，指2017年1月1日至今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jc w:val="center"/>
              <w:rPr>
                <w:rFonts w:cs="宋体" w:asciiTheme="minorEastAsia" w:hAnsiTheme="minorEastAsia"/>
                <w:szCs w:val="21"/>
              </w:rPr>
            </w:pPr>
            <w:r>
              <w:rPr>
                <w:rFonts w:hint="eastAsia" w:cs="宋体" w:asciiTheme="minorEastAsia" w:hAnsiTheme="minorEastAsia"/>
                <w:szCs w:val="21"/>
              </w:rPr>
              <w:t>3.5.5</w:t>
            </w:r>
          </w:p>
        </w:tc>
        <w:tc>
          <w:tcPr>
            <w:tcW w:w="2447" w:type="dxa"/>
            <w:gridSpan w:val="3"/>
            <w:vAlign w:val="center"/>
          </w:tcPr>
          <w:p>
            <w:pPr>
              <w:autoSpaceDE w:val="0"/>
              <w:autoSpaceDN w:val="0"/>
              <w:adjustRightInd w:val="0"/>
              <w:jc w:val="center"/>
              <w:rPr>
                <w:rFonts w:cs="宋体" w:asciiTheme="minorEastAsia" w:hAnsiTheme="minorEastAsia"/>
                <w:szCs w:val="21"/>
              </w:rPr>
            </w:pPr>
            <w:r>
              <w:rPr>
                <w:rFonts w:hint="eastAsia" w:cs="宋体" w:asciiTheme="minorEastAsia" w:hAnsiTheme="minorEastAsia"/>
                <w:szCs w:val="21"/>
              </w:rPr>
              <w:t>近3年发生的诉讼及仲裁情况的年份要求</w:t>
            </w:r>
          </w:p>
        </w:tc>
        <w:tc>
          <w:tcPr>
            <w:tcW w:w="6283" w:type="dxa"/>
            <w:gridSpan w:val="2"/>
            <w:vAlign w:val="center"/>
          </w:tcPr>
          <w:p>
            <w:pPr>
              <w:autoSpaceDE w:val="0"/>
              <w:autoSpaceDN w:val="0"/>
              <w:adjustRightInd w:val="0"/>
              <w:jc w:val="left"/>
              <w:rPr>
                <w:rFonts w:cs="宋体" w:asciiTheme="minorEastAsia" w:hAnsiTheme="minorEastAsia"/>
                <w:szCs w:val="21"/>
              </w:rPr>
            </w:pPr>
            <w:r>
              <w:rPr>
                <w:rFonts w:hint="eastAsia" w:cs="宋体" w:asciiTheme="minorEastAsia" w:hAnsiTheme="minorEastAsia"/>
                <w:szCs w:val="21"/>
              </w:rPr>
              <w:t>近3年，指2017年1月1日至今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jc w:val="center"/>
              <w:rPr>
                <w:rFonts w:cs="宋体" w:asciiTheme="minorEastAsia" w:hAnsiTheme="minorEastAsia"/>
                <w:szCs w:val="21"/>
              </w:rPr>
            </w:pPr>
            <w:r>
              <w:rPr>
                <w:rFonts w:hint="eastAsia" w:cs="宋体" w:asciiTheme="minorEastAsia" w:hAnsiTheme="minorEastAsia"/>
                <w:szCs w:val="21"/>
              </w:rPr>
              <w:t>3.6</w:t>
            </w:r>
          </w:p>
        </w:tc>
        <w:tc>
          <w:tcPr>
            <w:tcW w:w="2447" w:type="dxa"/>
            <w:gridSpan w:val="3"/>
            <w:vAlign w:val="center"/>
          </w:tcPr>
          <w:p>
            <w:pPr>
              <w:autoSpaceDE w:val="0"/>
              <w:autoSpaceDN w:val="0"/>
              <w:adjustRightInd w:val="0"/>
              <w:jc w:val="center"/>
              <w:rPr>
                <w:rFonts w:cs="宋体" w:asciiTheme="minorEastAsia" w:hAnsiTheme="minorEastAsia"/>
                <w:szCs w:val="21"/>
              </w:rPr>
            </w:pPr>
            <w:r>
              <w:rPr>
                <w:rFonts w:hint="eastAsia" w:cs="宋体" w:asciiTheme="minorEastAsia" w:hAnsiTheme="minorEastAsia"/>
                <w:szCs w:val="21"/>
              </w:rPr>
              <w:t>是否允许递交备选投标方案</w:t>
            </w:r>
          </w:p>
        </w:tc>
        <w:tc>
          <w:tcPr>
            <w:tcW w:w="6283" w:type="dxa"/>
            <w:gridSpan w:val="2"/>
            <w:vAlign w:val="center"/>
          </w:tcPr>
          <w:p>
            <w:pPr>
              <w:autoSpaceDE w:val="0"/>
              <w:autoSpaceDN w:val="0"/>
              <w:adjustRightInd w:val="0"/>
              <w:jc w:val="left"/>
              <w:rPr>
                <w:rFonts w:cs="宋体" w:asciiTheme="minorEastAsia" w:hAnsiTheme="minorEastAsia"/>
                <w:szCs w:val="21"/>
              </w:rPr>
            </w:pPr>
            <w:r>
              <w:rPr>
                <w:rFonts w:hint="eastAsia" w:cs="宋体" w:asciiTheme="minorEastAsia" w:hAnsiTheme="minorEastAsia"/>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jc w:val="center"/>
              <w:rPr>
                <w:rFonts w:cs="宋体" w:asciiTheme="minorEastAsia" w:hAnsiTheme="minorEastAsia"/>
                <w:szCs w:val="21"/>
              </w:rPr>
            </w:pPr>
            <w:r>
              <w:rPr>
                <w:rFonts w:hint="eastAsia" w:cs="宋体" w:asciiTheme="minorEastAsia" w:hAnsiTheme="minorEastAsia"/>
                <w:szCs w:val="21"/>
              </w:rPr>
              <w:t>3.7.3</w:t>
            </w:r>
          </w:p>
        </w:tc>
        <w:tc>
          <w:tcPr>
            <w:tcW w:w="2447" w:type="dxa"/>
            <w:gridSpan w:val="3"/>
            <w:vAlign w:val="center"/>
          </w:tcPr>
          <w:p>
            <w:pPr>
              <w:autoSpaceDE w:val="0"/>
              <w:autoSpaceDN w:val="0"/>
              <w:adjustRightInd w:val="0"/>
              <w:jc w:val="center"/>
              <w:rPr>
                <w:rFonts w:cs="宋体" w:asciiTheme="minorEastAsia" w:hAnsiTheme="minorEastAsia"/>
                <w:szCs w:val="21"/>
              </w:rPr>
            </w:pPr>
            <w:r>
              <w:rPr>
                <w:rFonts w:hint="eastAsia" w:cs="宋体" w:asciiTheme="minorEastAsia" w:hAnsiTheme="minorEastAsia"/>
                <w:szCs w:val="21"/>
              </w:rPr>
              <w:t>签字或盖章要求</w:t>
            </w:r>
          </w:p>
        </w:tc>
        <w:tc>
          <w:tcPr>
            <w:tcW w:w="6283" w:type="dxa"/>
            <w:gridSpan w:val="2"/>
            <w:vAlign w:val="center"/>
          </w:tcPr>
          <w:p>
            <w:pPr>
              <w:autoSpaceDE w:val="0"/>
              <w:autoSpaceDN w:val="0"/>
              <w:adjustRightInd w:val="0"/>
              <w:rPr>
                <w:rFonts w:cs="宋体" w:asciiTheme="minorEastAsia" w:hAnsiTheme="minorEastAsia"/>
                <w:szCs w:val="21"/>
              </w:rPr>
            </w:pPr>
            <w:r>
              <w:rPr>
                <w:rFonts w:hint="eastAsia" w:cs="宋体" w:asciiTheme="minorEastAsia" w:hAnsiTheme="minorEastAsia"/>
                <w:szCs w:val="21"/>
              </w:rPr>
              <w:t>电子投标文件：按招标文件要求加盖电子印章和法人电子印章。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jc w:val="center"/>
              <w:rPr>
                <w:rFonts w:cs="宋体" w:asciiTheme="minorEastAsia" w:hAnsiTheme="minorEastAsia"/>
                <w:szCs w:val="21"/>
              </w:rPr>
            </w:pPr>
            <w:r>
              <w:rPr>
                <w:rFonts w:hint="eastAsia" w:cs="宋体" w:asciiTheme="minorEastAsia" w:hAnsiTheme="minorEastAsia"/>
                <w:szCs w:val="21"/>
              </w:rPr>
              <w:t>3.7.4</w:t>
            </w:r>
          </w:p>
        </w:tc>
        <w:tc>
          <w:tcPr>
            <w:tcW w:w="2447" w:type="dxa"/>
            <w:gridSpan w:val="3"/>
            <w:vAlign w:val="center"/>
          </w:tcPr>
          <w:p>
            <w:pPr>
              <w:autoSpaceDE w:val="0"/>
              <w:autoSpaceDN w:val="0"/>
              <w:adjustRightInd w:val="0"/>
              <w:jc w:val="center"/>
              <w:rPr>
                <w:rFonts w:cs="宋体" w:asciiTheme="minorEastAsia" w:hAnsiTheme="minorEastAsia"/>
                <w:szCs w:val="21"/>
              </w:rPr>
            </w:pPr>
            <w:r>
              <w:rPr>
                <w:rFonts w:hint="eastAsia" w:cs="宋体" w:asciiTheme="minorEastAsia" w:hAnsiTheme="minorEastAsia"/>
                <w:szCs w:val="21"/>
              </w:rPr>
              <w:t>投标文件份数</w:t>
            </w:r>
          </w:p>
        </w:tc>
        <w:tc>
          <w:tcPr>
            <w:tcW w:w="6283" w:type="dxa"/>
            <w:gridSpan w:val="2"/>
            <w:vAlign w:val="center"/>
          </w:tcPr>
          <w:p>
            <w:pPr>
              <w:autoSpaceDE w:val="0"/>
              <w:autoSpaceDN w:val="0"/>
              <w:adjustRightInd w:val="0"/>
              <w:spacing w:line="276" w:lineRule="auto"/>
              <w:rPr>
                <w:rFonts w:cs="宋体" w:asciiTheme="minorEastAsia" w:hAnsiTheme="minorEastAsia"/>
                <w:szCs w:val="21"/>
              </w:rPr>
            </w:pPr>
            <w:r>
              <w:rPr>
                <w:rFonts w:hint="eastAsia" w:cs="宋体" w:asciiTheme="minorEastAsia" w:hAnsiTheme="minorEastAsia"/>
                <w:szCs w:val="21"/>
              </w:rPr>
              <w:t>1、电子投标文件</w:t>
            </w:r>
          </w:p>
          <w:p>
            <w:pPr>
              <w:autoSpaceDE w:val="0"/>
              <w:autoSpaceDN w:val="0"/>
              <w:adjustRightInd w:val="0"/>
              <w:spacing w:line="276" w:lineRule="auto"/>
              <w:rPr>
                <w:rFonts w:cs="宋体" w:asciiTheme="minorEastAsia" w:hAnsiTheme="minorEastAsia"/>
                <w:szCs w:val="21"/>
              </w:rPr>
            </w:pPr>
            <w:r>
              <w:rPr>
                <w:rFonts w:hint="eastAsia" w:cs="宋体" w:asciiTheme="minorEastAsia" w:hAnsiTheme="minorEastAsia"/>
                <w:szCs w:val="21"/>
              </w:rPr>
              <w:t>（1）成功上传至《全国公共资源交易平台（河南省·许昌市）》公共资源交易系统电子投标文件1份（文件格式为：XX公司XXX项目编号XXX标段.file）。</w:t>
            </w:r>
          </w:p>
          <w:p>
            <w:pPr>
              <w:autoSpaceDE w:val="0"/>
              <w:autoSpaceDN w:val="0"/>
              <w:adjustRightInd w:val="0"/>
              <w:spacing w:line="276" w:lineRule="auto"/>
              <w:rPr>
                <w:rFonts w:cs="宋体" w:asciiTheme="minorEastAsia" w:hAnsiTheme="minorEastAsia"/>
                <w:szCs w:val="21"/>
              </w:rPr>
            </w:pPr>
            <w:r>
              <w:rPr>
                <w:rFonts w:hint="eastAsia" w:cs="宋体" w:asciiTheme="minorEastAsia" w:hAnsiTheme="minorEastAsia"/>
                <w:szCs w:val="21"/>
              </w:rPr>
              <w:t>（2）使用电子介质（U盘）存储的投标文件2份（文件格式为：xxx公司XXX（项目编号）XXX标段.bin）、同时生成与电子投标文件内容、水印码、</w:t>
            </w:r>
            <w:r>
              <w:rPr>
                <w:rFonts w:hint="eastAsia" w:cs="宋体" w:asciiTheme="minorEastAsia" w:hAnsiTheme="minorEastAsia"/>
                <w:b/>
                <w:szCs w:val="21"/>
              </w:rPr>
              <w:t>电子签章</w:t>
            </w:r>
            <w:r>
              <w:rPr>
                <w:rFonts w:hint="eastAsia" w:cs="宋体" w:asciiTheme="minorEastAsia" w:hAnsiTheme="minorEastAsia"/>
                <w:szCs w:val="21"/>
              </w:rPr>
              <w:t>一致的PDF文件2份（用于监督部门、招标人及代理机构存档）。</w:t>
            </w:r>
          </w:p>
          <w:p>
            <w:pPr>
              <w:autoSpaceDE w:val="0"/>
              <w:autoSpaceDN w:val="0"/>
              <w:adjustRightInd w:val="0"/>
              <w:rPr>
                <w:rFonts w:cs="宋体" w:asciiTheme="minorEastAsia" w:hAnsiTheme="minorEastAsia"/>
                <w:b/>
                <w:szCs w:val="21"/>
              </w:rPr>
            </w:pPr>
            <w:r>
              <w:rPr>
                <w:rFonts w:hint="eastAsia" w:asciiTheme="minorEastAsia" w:hAnsiTheme="minorEastAsia"/>
                <w:b/>
                <w:sz w:val="24"/>
                <w:szCs w:val="24"/>
              </w:rPr>
              <w:t>注:投标人提交的电子投标文件，必须是通过“</w:t>
            </w:r>
            <w:r>
              <w:rPr>
                <w:rFonts w:hint="eastAsia" w:asciiTheme="minorEastAsia" w:hAnsiTheme="minorEastAsia"/>
                <w:b/>
                <w:color w:val="000000"/>
                <w:sz w:val="24"/>
                <w:szCs w:val="24"/>
              </w:rPr>
              <w:t>许昌投标文件制作系统SEARUNV1.1”</w:t>
            </w:r>
            <w:r>
              <w:rPr>
                <w:rFonts w:hint="eastAsia" w:asciiTheme="minorEastAsia" w:hAnsiTheme="minorEastAsia"/>
                <w:b/>
                <w:sz w:val="24"/>
                <w:szCs w:val="24"/>
              </w:rPr>
              <w:t>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jc w:val="center"/>
              <w:rPr>
                <w:rFonts w:cs="宋体" w:asciiTheme="minorEastAsia" w:hAnsiTheme="minorEastAsia"/>
                <w:szCs w:val="21"/>
              </w:rPr>
            </w:pPr>
            <w:r>
              <w:rPr>
                <w:rFonts w:hint="eastAsia" w:cs="宋体" w:asciiTheme="minorEastAsia" w:hAnsiTheme="minorEastAsia"/>
                <w:szCs w:val="21"/>
              </w:rPr>
              <w:t>3.7.5</w:t>
            </w:r>
          </w:p>
        </w:tc>
        <w:tc>
          <w:tcPr>
            <w:tcW w:w="2447" w:type="dxa"/>
            <w:gridSpan w:val="3"/>
            <w:vAlign w:val="center"/>
          </w:tcPr>
          <w:p>
            <w:pPr>
              <w:autoSpaceDE w:val="0"/>
              <w:autoSpaceDN w:val="0"/>
              <w:adjustRightInd w:val="0"/>
              <w:jc w:val="center"/>
              <w:rPr>
                <w:rFonts w:cs="宋体" w:asciiTheme="minorEastAsia" w:hAnsiTheme="minorEastAsia"/>
                <w:szCs w:val="21"/>
              </w:rPr>
            </w:pPr>
            <w:r>
              <w:rPr>
                <w:rFonts w:hint="eastAsia" w:cs="宋体" w:asciiTheme="minorEastAsia" w:hAnsiTheme="minorEastAsia"/>
                <w:szCs w:val="21"/>
              </w:rPr>
              <w:t>装订要求</w:t>
            </w:r>
          </w:p>
        </w:tc>
        <w:tc>
          <w:tcPr>
            <w:tcW w:w="6283" w:type="dxa"/>
            <w:gridSpan w:val="2"/>
            <w:vAlign w:val="center"/>
          </w:tcPr>
          <w:p>
            <w:pPr>
              <w:autoSpaceDE w:val="0"/>
              <w:autoSpaceDN w:val="0"/>
              <w:adjustRightInd w:val="0"/>
              <w:rPr>
                <w:rFonts w:cs="宋体" w:asciiTheme="minorEastAsia" w:hAnsiTheme="minorEastAsia"/>
                <w:szCs w:val="21"/>
              </w:rPr>
            </w:pPr>
            <w:r>
              <w:rPr>
                <w:rFonts w:hint="eastAsia" w:cs="宋体" w:asciiTheme="minorEastAsia" w:hAnsiTheme="minorEastAsia"/>
                <w:szCs w:val="21"/>
              </w:rPr>
              <w:t>使用电子介质存储的2份投标文件应分别密封包装在两个包装内，加贴封条，并在封套的封口处加盖投标人公章，法定代表人或委托代理人签名，在投标截止时间前递交。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jc w:val="center"/>
              <w:rPr>
                <w:rFonts w:cs="宋体" w:asciiTheme="minorEastAsia" w:hAnsiTheme="minorEastAsia"/>
                <w:szCs w:val="21"/>
              </w:rPr>
            </w:pPr>
            <w:r>
              <w:rPr>
                <w:rFonts w:hint="eastAsia" w:cs="宋体" w:asciiTheme="minorEastAsia" w:hAnsiTheme="minorEastAsia"/>
                <w:szCs w:val="21"/>
              </w:rPr>
              <w:t>4.1.2</w:t>
            </w:r>
          </w:p>
        </w:tc>
        <w:tc>
          <w:tcPr>
            <w:tcW w:w="2447" w:type="dxa"/>
            <w:gridSpan w:val="3"/>
            <w:vAlign w:val="center"/>
          </w:tcPr>
          <w:p>
            <w:pPr>
              <w:autoSpaceDE w:val="0"/>
              <w:autoSpaceDN w:val="0"/>
              <w:adjustRightInd w:val="0"/>
              <w:jc w:val="center"/>
              <w:rPr>
                <w:rFonts w:cs="宋体" w:asciiTheme="minorEastAsia" w:hAnsiTheme="minorEastAsia"/>
                <w:szCs w:val="21"/>
              </w:rPr>
            </w:pPr>
            <w:r>
              <w:rPr>
                <w:rFonts w:hint="eastAsia" w:cs="宋体" w:asciiTheme="minorEastAsia" w:hAnsiTheme="minorEastAsia"/>
                <w:szCs w:val="21"/>
              </w:rPr>
              <w:t>电子介质（U盘）存储的投标文件封套上写明</w:t>
            </w:r>
          </w:p>
        </w:tc>
        <w:tc>
          <w:tcPr>
            <w:tcW w:w="6283" w:type="dxa"/>
            <w:gridSpan w:val="2"/>
            <w:vAlign w:val="center"/>
          </w:tcPr>
          <w:p>
            <w:pPr>
              <w:autoSpaceDE w:val="0"/>
              <w:autoSpaceDN w:val="0"/>
              <w:adjustRightInd w:val="0"/>
              <w:spacing w:line="276" w:lineRule="auto"/>
              <w:rPr>
                <w:rFonts w:cs="宋体" w:asciiTheme="minorEastAsia" w:hAnsiTheme="minorEastAsia"/>
                <w:szCs w:val="21"/>
              </w:rPr>
            </w:pPr>
            <w:r>
              <w:rPr>
                <w:rFonts w:hint="eastAsia" w:cs="宋体" w:asciiTheme="minorEastAsia" w:hAnsiTheme="minorEastAsia"/>
                <w:szCs w:val="21"/>
              </w:rPr>
              <w:t>招标人地址：</w:t>
            </w:r>
          </w:p>
          <w:p>
            <w:pPr>
              <w:autoSpaceDE w:val="0"/>
              <w:autoSpaceDN w:val="0"/>
              <w:adjustRightInd w:val="0"/>
              <w:spacing w:line="276" w:lineRule="auto"/>
              <w:rPr>
                <w:rFonts w:cs="宋体" w:asciiTheme="minorEastAsia" w:hAnsiTheme="minorEastAsia"/>
                <w:szCs w:val="21"/>
              </w:rPr>
            </w:pPr>
            <w:r>
              <w:rPr>
                <w:rFonts w:hint="eastAsia" w:cs="宋体" w:asciiTheme="minorEastAsia" w:hAnsiTheme="minorEastAsia"/>
                <w:szCs w:val="21"/>
              </w:rPr>
              <w:t>招标人名称：</w:t>
            </w:r>
          </w:p>
          <w:p>
            <w:pPr>
              <w:autoSpaceDE w:val="0"/>
              <w:autoSpaceDN w:val="0"/>
              <w:adjustRightInd w:val="0"/>
              <w:spacing w:line="276" w:lineRule="auto"/>
              <w:rPr>
                <w:rFonts w:cs="宋体" w:asciiTheme="minorEastAsia" w:hAnsiTheme="minorEastAsia"/>
                <w:szCs w:val="21"/>
              </w:rPr>
            </w:pPr>
            <w:r>
              <w:rPr>
                <w:rFonts w:hint="eastAsia" w:cs="宋体" w:asciiTheme="minorEastAsia" w:hAnsiTheme="minorEastAsia"/>
                <w:szCs w:val="21"/>
              </w:rPr>
              <w:t>项目名称：</w:t>
            </w:r>
          </w:p>
          <w:p>
            <w:pPr>
              <w:autoSpaceDE w:val="0"/>
              <w:autoSpaceDN w:val="0"/>
              <w:adjustRightInd w:val="0"/>
              <w:spacing w:line="276" w:lineRule="auto"/>
              <w:rPr>
                <w:rFonts w:cs="宋体" w:asciiTheme="minorEastAsia" w:hAnsiTheme="minorEastAsia"/>
                <w:szCs w:val="21"/>
              </w:rPr>
            </w:pPr>
            <w:r>
              <w:rPr>
                <w:rFonts w:hint="eastAsia" w:cs="宋体" w:asciiTheme="minorEastAsia" w:hAnsiTheme="minorEastAsia"/>
                <w:szCs w:val="21"/>
              </w:rPr>
              <w:t xml:space="preserve">投标人名称：（盖章） </w:t>
            </w:r>
          </w:p>
          <w:p>
            <w:pPr>
              <w:autoSpaceDE w:val="0"/>
              <w:autoSpaceDN w:val="0"/>
              <w:adjustRightInd w:val="0"/>
              <w:spacing w:line="276" w:lineRule="auto"/>
              <w:rPr>
                <w:rFonts w:cs="宋体" w:asciiTheme="minorEastAsia" w:hAnsiTheme="minorEastAsia"/>
                <w:szCs w:val="21"/>
              </w:rPr>
            </w:pPr>
            <w:r>
              <w:rPr>
                <w:rFonts w:hint="eastAsia" w:cs="宋体" w:asciiTheme="minorEastAsia" w:hAnsiTheme="minorEastAsia"/>
                <w:szCs w:val="21"/>
              </w:rPr>
              <w:t>标段：</w:t>
            </w:r>
          </w:p>
          <w:p>
            <w:pPr>
              <w:autoSpaceDE w:val="0"/>
              <w:autoSpaceDN w:val="0"/>
              <w:adjustRightInd w:val="0"/>
              <w:rPr>
                <w:rFonts w:cs="宋体" w:asciiTheme="minorEastAsia" w:hAnsiTheme="minorEastAsia"/>
                <w:szCs w:val="21"/>
              </w:rPr>
            </w:pPr>
            <w:r>
              <w:rPr>
                <w:rFonts w:hint="eastAsia" w:cs="宋体" w:asciiTheme="minorEastAsia" w:hAnsiTheme="minorEastAsia"/>
                <w:szCs w:val="21"/>
              </w:rPr>
              <w:t>投标文件在年月日时分前不得开启。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jc w:val="center"/>
              <w:rPr>
                <w:rFonts w:cs="宋体" w:asciiTheme="minorEastAsia" w:hAnsiTheme="minorEastAsia"/>
                <w:szCs w:val="21"/>
              </w:rPr>
            </w:pPr>
            <w:r>
              <w:rPr>
                <w:rFonts w:hint="eastAsia" w:cs="宋体" w:asciiTheme="minorEastAsia" w:hAnsiTheme="minorEastAsia"/>
                <w:szCs w:val="21"/>
              </w:rPr>
              <w:t>4.2.2</w:t>
            </w:r>
          </w:p>
        </w:tc>
        <w:tc>
          <w:tcPr>
            <w:tcW w:w="2447" w:type="dxa"/>
            <w:gridSpan w:val="3"/>
            <w:vAlign w:val="center"/>
          </w:tcPr>
          <w:p>
            <w:pPr>
              <w:autoSpaceDE w:val="0"/>
              <w:autoSpaceDN w:val="0"/>
              <w:adjustRightInd w:val="0"/>
              <w:jc w:val="center"/>
              <w:rPr>
                <w:rFonts w:cs="宋体" w:asciiTheme="minorEastAsia" w:hAnsiTheme="minorEastAsia"/>
                <w:szCs w:val="21"/>
              </w:rPr>
            </w:pPr>
            <w:r>
              <w:rPr>
                <w:rFonts w:hint="eastAsia" w:cs="宋体" w:asciiTheme="minorEastAsia" w:hAnsiTheme="minorEastAsia"/>
                <w:szCs w:val="21"/>
              </w:rPr>
              <w:t>递交投标文件地点</w:t>
            </w:r>
          </w:p>
        </w:tc>
        <w:tc>
          <w:tcPr>
            <w:tcW w:w="6283" w:type="dxa"/>
            <w:gridSpan w:val="2"/>
            <w:vAlign w:val="center"/>
          </w:tcPr>
          <w:p>
            <w:pPr>
              <w:numPr>
                <w:ilvl w:val="0"/>
                <w:numId w:val="1"/>
              </w:numPr>
              <w:tabs>
                <w:tab w:val="left" w:pos="0"/>
                <w:tab w:val="clear" w:pos="360"/>
              </w:tabs>
              <w:ind w:left="0" w:hanging="648"/>
              <w:rPr>
                <w:rFonts w:cs="宋体" w:asciiTheme="minorEastAsia" w:hAnsiTheme="minorEastAsia"/>
                <w:color w:val="FF0000"/>
                <w:szCs w:val="21"/>
                <w:u w:val="single"/>
              </w:rPr>
            </w:pPr>
            <w:r>
              <w:rPr>
                <w:rFonts w:hint="eastAsia" w:cs="宋体" w:asciiTheme="minorEastAsia" w:hAnsiTheme="minorEastAsia"/>
                <w:szCs w:val="21"/>
              </w:rPr>
              <w:t>襄城县公共资源交易中心（襄城县八七路东段电子产业园12楼开标</w:t>
            </w:r>
            <w:r>
              <w:rPr>
                <w:rFonts w:hint="eastAsia" w:cs="宋体" w:asciiTheme="minorEastAsia" w:hAnsiTheme="minorEastAsia"/>
                <w:szCs w:val="21"/>
                <w:lang w:eastAsia="zh-CN"/>
              </w:rPr>
              <w:t>二</w:t>
            </w:r>
            <w:r>
              <w:rPr>
                <w:rFonts w:hint="eastAsia" w:cs="宋体" w:asciiTheme="minorEastAsia" w:hAnsiTheme="minorEastAsia"/>
                <w:szCs w:val="21"/>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jc w:val="center"/>
              <w:rPr>
                <w:rFonts w:cs="宋体" w:asciiTheme="minorEastAsia" w:hAnsiTheme="minorEastAsia"/>
                <w:szCs w:val="21"/>
              </w:rPr>
            </w:pPr>
            <w:r>
              <w:rPr>
                <w:rFonts w:hint="eastAsia" w:cs="宋体" w:asciiTheme="minorEastAsia" w:hAnsiTheme="minorEastAsia"/>
                <w:szCs w:val="21"/>
              </w:rPr>
              <w:t>4.2.3</w:t>
            </w:r>
          </w:p>
        </w:tc>
        <w:tc>
          <w:tcPr>
            <w:tcW w:w="2447" w:type="dxa"/>
            <w:gridSpan w:val="3"/>
            <w:vAlign w:val="center"/>
          </w:tcPr>
          <w:p>
            <w:pPr>
              <w:autoSpaceDE w:val="0"/>
              <w:autoSpaceDN w:val="0"/>
              <w:adjustRightInd w:val="0"/>
              <w:jc w:val="center"/>
              <w:rPr>
                <w:rFonts w:cs="宋体" w:asciiTheme="minorEastAsia" w:hAnsiTheme="minorEastAsia"/>
                <w:szCs w:val="21"/>
              </w:rPr>
            </w:pPr>
            <w:r>
              <w:rPr>
                <w:rFonts w:hint="eastAsia" w:cs="宋体" w:asciiTheme="minorEastAsia" w:hAnsiTheme="minorEastAsia"/>
                <w:szCs w:val="21"/>
              </w:rPr>
              <w:t>是否退还投标文件</w:t>
            </w:r>
          </w:p>
        </w:tc>
        <w:tc>
          <w:tcPr>
            <w:tcW w:w="6283" w:type="dxa"/>
            <w:gridSpan w:val="2"/>
            <w:vAlign w:val="center"/>
          </w:tcPr>
          <w:p>
            <w:pPr>
              <w:autoSpaceDE w:val="0"/>
              <w:autoSpaceDN w:val="0"/>
              <w:adjustRightInd w:val="0"/>
              <w:rPr>
                <w:rFonts w:cs="宋体" w:asciiTheme="minorEastAsia" w:hAnsiTheme="minorEastAsia"/>
                <w:szCs w:val="21"/>
              </w:rPr>
            </w:pPr>
            <w:r>
              <w:rPr>
                <w:rFonts w:hint="eastAsia" w:cs="宋体" w:asciiTheme="minorEastAsia" w:hAnsiTheme="minor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jc w:val="center"/>
              <w:rPr>
                <w:rFonts w:cs="宋体" w:asciiTheme="minorEastAsia" w:hAnsiTheme="minorEastAsia"/>
                <w:szCs w:val="21"/>
              </w:rPr>
            </w:pPr>
            <w:r>
              <w:rPr>
                <w:rFonts w:hint="eastAsia" w:cs="宋体" w:asciiTheme="minorEastAsia" w:hAnsiTheme="minorEastAsia"/>
                <w:szCs w:val="21"/>
              </w:rPr>
              <w:t>5.1</w:t>
            </w:r>
          </w:p>
        </w:tc>
        <w:tc>
          <w:tcPr>
            <w:tcW w:w="2447" w:type="dxa"/>
            <w:gridSpan w:val="3"/>
            <w:vAlign w:val="center"/>
          </w:tcPr>
          <w:p>
            <w:pPr>
              <w:autoSpaceDE w:val="0"/>
              <w:autoSpaceDN w:val="0"/>
              <w:adjustRightInd w:val="0"/>
              <w:jc w:val="center"/>
              <w:rPr>
                <w:rFonts w:cs="宋体" w:asciiTheme="minorEastAsia" w:hAnsiTheme="minorEastAsia"/>
                <w:szCs w:val="21"/>
              </w:rPr>
            </w:pPr>
            <w:r>
              <w:rPr>
                <w:rFonts w:hint="eastAsia" w:cs="宋体" w:asciiTheme="minorEastAsia" w:hAnsiTheme="minorEastAsia"/>
                <w:szCs w:val="21"/>
              </w:rPr>
              <w:t>开标时间和地点</w:t>
            </w:r>
          </w:p>
        </w:tc>
        <w:tc>
          <w:tcPr>
            <w:tcW w:w="6283" w:type="dxa"/>
            <w:gridSpan w:val="2"/>
            <w:vAlign w:val="center"/>
          </w:tcPr>
          <w:p>
            <w:pPr>
              <w:numPr>
                <w:ilvl w:val="0"/>
                <w:numId w:val="1"/>
              </w:numPr>
              <w:tabs>
                <w:tab w:val="left" w:pos="0"/>
                <w:tab w:val="clear" w:pos="360"/>
              </w:tabs>
              <w:ind w:left="0" w:hanging="648"/>
              <w:rPr>
                <w:rFonts w:cs="宋体" w:asciiTheme="minorEastAsia" w:hAnsiTheme="minorEastAsia"/>
                <w:szCs w:val="21"/>
              </w:rPr>
            </w:pPr>
            <w:r>
              <w:rPr>
                <w:rFonts w:hint="eastAsia" w:cs="宋体" w:asciiTheme="minorEastAsia" w:hAnsiTheme="minorEastAsia"/>
                <w:szCs w:val="21"/>
              </w:rPr>
              <w:t>开标时间：</w:t>
            </w:r>
            <w:r>
              <w:rPr>
                <w:rFonts w:hint="eastAsia" w:cs="宋体" w:asciiTheme="minorEastAsia" w:hAnsiTheme="minorEastAsia"/>
                <w:b/>
                <w:szCs w:val="21"/>
              </w:rPr>
              <w:t>同投标截止时间</w:t>
            </w:r>
          </w:p>
          <w:p>
            <w:pPr>
              <w:numPr>
                <w:ilvl w:val="0"/>
                <w:numId w:val="1"/>
              </w:numPr>
              <w:tabs>
                <w:tab w:val="left" w:pos="0"/>
                <w:tab w:val="clear" w:pos="360"/>
              </w:tabs>
              <w:ind w:left="0" w:hanging="648"/>
              <w:rPr>
                <w:rFonts w:cs="宋体" w:asciiTheme="minorEastAsia" w:hAnsiTheme="minorEastAsia"/>
                <w:szCs w:val="21"/>
              </w:rPr>
            </w:pPr>
            <w:r>
              <w:rPr>
                <w:rFonts w:hint="eastAsia" w:cs="宋体" w:asciiTheme="minorEastAsia" w:hAnsiTheme="minorEastAsia"/>
                <w:szCs w:val="21"/>
              </w:rPr>
              <w:t>开标地点：</w:t>
            </w:r>
            <w:r>
              <w:rPr>
                <w:rFonts w:hint="eastAsia" w:cs="宋体" w:asciiTheme="minorEastAsia" w:hAnsiTheme="minorEastAsia"/>
                <w:b/>
                <w:szCs w:val="21"/>
              </w:rPr>
              <w:t>同递交投标文件地点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jc w:val="center"/>
              <w:rPr>
                <w:rFonts w:cs="宋体" w:asciiTheme="minorEastAsia" w:hAnsiTheme="minorEastAsia"/>
                <w:szCs w:val="21"/>
              </w:rPr>
            </w:pPr>
            <w:r>
              <w:rPr>
                <w:rFonts w:hint="eastAsia" w:cs="宋体" w:asciiTheme="minorEastAsia" w:hAnsiTheme="minorEastAsia"/>
                <w:szCs w:val="21"/>
              </w:rPr>
              <w:t>5.2</w:t>
            </w:r>
          </w:p>
        </w:tc>
        <w:tc>
          <w:tcPr>
            <w:tcW w:w="2447" w:type="dxa"/>
            <w:gridSpan w:val="3"/>
            <w:vAlign w:val="center"/>
          </w:tcPr>
          <w:p>
            <w:pPr>
              <w:autoSpaceDE w:val="0"/>
              <w:autoSpaceDN w:val="0"/>
              <w:adjustRightInd w:val="0"/>
              <w:jc w:val="center"/>
              <w:rPr>
                <w:rFonts w:cs="宋体" w:asciiTheme="minorEastAsia" w:hAnsiTheme="minorEastAsia"/>
                <w:szCs w:val="21"/>
              </w:rPr>
            </w:pPr>
            <w:r>
              <w:rPr>
                <w:rFonts w:hint="eastAsia" w:cs="宋体" w:asciiTheme="minorEastAsia" w:hAnsiTheme="minorEastAsia"/>
                <w:szCs w:val="21"/>
              </w:rPr>
              <w:t>开标程序</w:t>
            </w:r>
          </w:p>
        </w:tc>
        <w:tc>
          <w:tcPr>
            <w:tcW w:w="6283" w:type="dxa"/>
            <w:gridSpan w:val="2"/>
            <w:vAlign w:val="center"/>
          </w:tcPr>
          <w:p>
            <w:pPr>
              <w:autoSpaceDE w:val="0"/>
              <w:autoSpaceDN w:val="0"/>
              <w:adjustRightInd w:val="0"/>
              <w:rPr>
                <w:rFonts w:cs="宋体" w:asciiTheme="minorEastAsia" w:hAnsiTheme="minorEastAsia"/>
                <w:szCs w:val="21"/>
              </w:rPr>
            </w:pPr>
            <w:r>
              <w:rPr>
                <w:rFonts w:hint="eastAsia" w:cs="宋体" w:asciiTheme="minorEastAsia" w:hAnsiTheme="minorEastAsia"/>
                <w:szCs w:val="21"/>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jc w:val="center"/>
              <w:rPr>
                <w:rFonts w:cs="宋体" w:asciiTheme="minorEastAsia" w:hAnsiTheme="minorEastAsia"/>
                <w:szCs w:val="21"/>
              </w:rPr>
            </w:pPr>
            <w:r>
              <w:rPr>
                <w:rFonts w:hint="eastAsia" w:cs="宋体" w:asciiTheme="minorEastAsia" w:hAnsiTheme="minorEastAsia"/>
                <w:szCs w:val="21"/>
              </w:rPr>
              <w:t>6.1.1</w:t>
            </w:r>
          </w:p>
        </w:tc>
        <w:tc>
          <w:tcPr>
            <w:tcW w:w="2447" w:type="dxa"/>
            <w:gridSpan w:val="3"/>
            <w:vAlign w:val="center"/>
          </w:tcPr>
          <w:p>
            <w:pPr>
              <w:autoSpaceDE w:val="0"/>
              <w:autoSpaceDN w:val="0"/>
              <w:adjustRightInd w:val="0"/>
              <w:jc w:val="center"/>
              <w:rPr>
                <w:rFonts w:cs="宋体" w:asciiTheme="minorEastAsia" w:hAnsiTheme="minorEastAsia"/>
                <w:szCs w:val="21"/>
              </w:rPr>
            </w:pPr>
            <w:r>
              <w:rPr>
                <w:rFonts w:hint="eastAsia" w:cs="宋体" w:asciiTheme="minorEastAsia" w:hAnsiTheme="minorEastAsia"/>
                <w:szCs w:val="21"/>
              </w:rPr>
              <w:t>评标委员会的组建</w:t>
            </w:r>
          </w:p>
        </w:tc>
        <w:tc>
          <w:tcPr>
            <w:tcW w:w="6283" w:type="dxa"/>
            <w:gridSpan w:val="2"/>
            <w:vAlign w:val="center"/>
          </w:tcPr>
          <w:p>
            <w:pPr>
              <w:rPr>
                <w:rFonts w:cs="宋体" w:asciiTheme="minorEastAsia" w:hAnsiTheme="minorEastAsia"/>
                <w:szCs w:val="21"/>
              </w:rPr>
            </w:pPr>
            <w:r>
              <w:rPr>
                <w:rFonts w:hint="eastAsia" w:cs="宋体" w:asciiTheme="minorEastAsia" w:hAnsiTheme="minorEastAsia"/>
                <w:szCs w:val="21"/>
              </w:rPr>
              <w:t>评标委员会构成：从河南省综合评标专家库中随机抽取7人，其中评标委员会的组成人员中工程造价专家不应小于五分之二。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jc w:val="center"/>
              <w:rPr>
                <w:rFonts w:cs="宋体" w:asciiTheme="minorEastAsia" w:hAnsiTheme="minorEastAsia"/>
                <w:szCs w:val="21"/>
              </w:rPr>
            </w:pPr>
            <w:r>
              <w:rPr>
                <w:rFonts w:hint="eastAsia" w:cs="宋体" w:asciiTheme="minorEastAsia" w:hAnsiTheme="minorEastAsia"/>
                <w:szCs w:val="21"/>
              </w:rPr>
              <w:t>7.1</w:t>
            </w:r>
          </w:p>
        </w:tc>
        <w:tc>
          <w:tcPr>
            <w:tcW w:w="2447" w:type="dxa"/>
            <w:gridSpan w:val="3"/>
            <w:vAlign w:val="center"/>
          </w:tcPr>
          <w:p>
            <w:pPr>
              <w:autoSpaceDE w:val="0"/>
              <w:autoSpaceDN w:val="0"/>
              <w:adjustRightInd w:val="0"/>
              <w:jc w:val="center"/>
              <w:rPr>
                <w:rFonts w:cs="宋体" w:asciiTheme="minorEastAsia" w:hAnsiTheme="minorEastAsia"/>
                <w:szCs w:val="21"/>
              </w:rPr>
            </w:pPr>
            <w:r>
              <w:rPr>
                <w:rFonts w:hint="eastAsia" w:cs="宋体" w:asciiTheme="minorEastAsia" w:hAnsiTheme="minorEastAsia"/>
                <w:szCs w:val="21"/>
              </w:rPr>
              <w:t>是否授权评标委员会确定中标人</w:t>
            </w:r>
          </w:p>
        </w:tc>
        <w:tc>
          <w:tcPr>
            <w:tcW w:w="6283" w:type="dxa"/>
            <w:gridSpan w:val="2"/>
            <w:vAlign w:val="center"/>
          </w:tcPr>
          <w:p>
            <w:pPr>
              <w:rPr>
                <w:rFonts w:cs="宋体" w:asciiTheme="minorEastAsia" w:hAnsiTheme="minorEastAsia"/>
                <w:szCs w:val="21"/>
              </w:rPr>
            </w:pPr>
            <w:r>
              <w:rPr>
                <w:rFonts w:hint="eastAsia" w:cs="宋体" w:asciiTheme="minorEastAsia" w:hAnsiTheme="minorEastAsia"/>
                <w:szCs w:val="21"/>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jc w:val="center"/>
              <w:rPr>
                <w:rFonts w:cs="宋体" w:asciiTheme="minorEastAsia" w:hAnsiTheme="minorEastAsia"/>
                <w:szCs w:val="21"/>
              </w:rPr>
            </w:pPr>
            <w:r>
              <w:rPr>
                <w:rFonts w:hint="eastAsia" w:cs="宋体" w:asciiTheme="minorEastAsia" w:hAnsiTheme="minorEastAsia"/>
                <w:szCs w:val="21"/>
              </w:rPr>
              <w:t>7.2</w:t>
            </w:r>
          </w:p>
        </w:tc>
        <w:tc>
          <w:tcPr>
            <w:tcW w:w="2447" w:type="dxa"/>
            <w:gridSpan w:val="3"/>
            <w:vAlign w:val="center"/>
          </w:tcPr>
          <w:p>
            <w:pPr>
              <w:autoSpaceDE w:val="0"/>
              <w:autoSpaceDN w:val="0"/>
              <w:adjustRightInd w:val="0"/>
              <w:jc w:val="center"/>
              <w:rPr>
                <w:rFonts w:cs="宋体" w:asciiTheme="minorEastAsia" w:hAnsiTheme="minorEastAsia"/>
                <w:szCs w:val="21"/>
              </w:rPr>
            </w:pPr>
            <w:r>
              <w:rPr>
                <w:rFonts w:hint="eastAsia" w:cs="宋体" w:asciiTheme="minorEastAsia" w:hAnsiTheme="minorEastAsia"/>
                <w:szCs w:val="21"/>
              </w:rPr>
              <w:t>履约担保金</w:t>
            </w:r>
          </w:p>
        </w:tc>
        <w:tc>
          <w:tcPr>
            <w:tcW w:w="6283" w:type="dxa"/>
            <w:gridSpan w:val="2"/>
            <w:vAlign w:val="center"/>
          </w:tcPr>
          <w:p>
            <w:pPr>
              <w:autoSpaceDE w:val="0"/>
              <w:autoSpaceDN w:val="0"/>
              <w:adjustRightInd w:val="0"/>
              <w:snapToGrid w:val="0"/>
              <w:spacing w:line="360" w:lineRule="auto"/>
              <w:jc w:val="left"/>
              <w:rPr>
                <w:rFonts w:ascii="新宋体" w:hAnsi="新宋体" w:eastAsia="新宋体"/>
                <w:szCs w:val="21"/>
              </w:rPr>
            </w:pPr>
            <w:r>
              <w:rPr>
                <w:rFonts w:hint="eastAsia" w:ascii="新宋体" w:hAnsi="新宋体" w:eastAsia="新宋体"/>
                <w:szCs w:val="21"/>
              </w:rPr>
              <w:t>履约担保的金额：中标价的5% （履约保证金金额四舍五入到千元）。</w:t>
            </w:r>
          </w:p>
          <w:p>
            <w:pPr>
              <w:autoSpaceDE w:val="0"/>
              <w:autoSpaceDN w:val="0"/>
              <w:adjustRightInd w:val="0"/>
              <w:spacing w:line="360" w:lineRule="auto"/>
              <w:rPr>
                <w:rFonts w:ascii="新宋体" w:hAnsi="新宋体" w:eastAsia="新宋体"/>
                <w:szCs w:val="21"/>
              </w:rPr>
            </w:pPr>
            <w:r>
              <w:rPr>
                <w:rFonts w:hint="eastAsia" w:ascii="新宋体" w:hAnsi="新宋体" w:eastAsia="新宋体"/>
                <w:szCs w:val="21"/>
              </w:rPr>
              <w:t>履约担保的形式：以银行转账、电汇形式通过企业基本存款账户转出至招标人指定的账户。</w:t>
            </w:r>
          </w:p>
          <w:p>
            <w:pPr>
              <w:rPr>
                <w:rFonts w:cs="宋体" w:asciiTheme="minorEastAsia" w:hAnsiTheme="minorEastAsia"/>
                <w:szCs w:val="21"/>
              </w:rPr>
            </w:pPr>
            <w:r>
              <w:rPr>
                <w:rFonts w:hint="eastAsia" w:ascii="新宋体" w:hAnsi="新宋体" w:eastAsia="新宋体"/>
                <w:szCs w:val="21"/>
              </w:rPr>
              <w:t>是否缴纳履约保证金双方协商。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733" w:type="dxa"/>
            <w:gridSpan w:val="6"/>
            <w:vAlign w:val="center"/>
          </w:tcPr>
          <w:p>
            <w:pPr>
              <w:autoSpaceDE w:val="0"/>
              <w:autoSpaceDN w:val="0"/>
              <w:adjustRightInd w:val="0"/>
              <w:rPr>
                <w:rFonts w:cs="宋体" w:asciiTheme="minorEastAsia" w:hAnsiTheme="minorEastAsia"/>
                <w:szCs w:val="21"/>
              </w:rPr>
            </w:pPr>
            <w:r>
              <w:rPr>
                <w:rFonts w:hint="eastAsia" w:cs="宋体" w:asciiTheme="minorEastAsia" w:hAnsiTheme="minorEastAsia"/>
                <w:szCs w:val="21"/>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33" w:type="dxa"/>
            <w:gridSpan w:val="6"/>
            <w:vAlign w:val="center"/>
          </w:tcPr>
          <w:p>
            <w:pPr>
              <w:autoSpaceDE w:val="0"/>
              <w:autoSpaceDN w:val="0"/>
              <w:adjustRightInd w:val="0"/>
              <w:rPr>
                <w:rFonts w:cs="宋体" w:asciiTheme="minorEastAsia" w:hAnsiTheme="minorEastAsia"/>
                <w:szCs w:val="21"/>
              </w:rPr>
            </w:pPr>
            <w:r>
              <w:rPr>
                <w:rFonts w:hint="eastAsia" w:cs="宋体" w:asciiTheme="minorEastAsia" w:hAnsiTheme="minorEastAsia"/>
                <w:szCs w:val="21"/>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jc w:val="center"/>
              <w:rPr>
                <w:rFonts w:cs="宋体" w:asciiTheme="minorEastAsia" w:hAnsiTheme="minorEastAsia"/>
                <w:szCs w:val="21"/>
              </w:rPr>
            </w:pPr>
            <w:r>
              <w:rPr>
                <w:rFonts w:hint="eastAsia" w:cs="宋体" w:asciiTheme="minorEastAsia" w:hAnsiTheme="minorEastAsia"/>
                <w:szCs w:val="21"/>
              </w:rPr>
              <w:t>10.1.1</w:t>
            </w:r>
          </w:p>
        </w:tc>
        <w:tc>
          <w:tcPr>
            <w:tcW w:w="1571" w:type="dxa"/>
            <w:vAlign w:val="center"/>
          </w:tcPr>
          <w:p>
            <w:pPr>
              <w:autoSpaceDE w:val="0"/>
              <w:autoSpaceDN w:val="0"/>
              <w:adjustRightInd w:val="0"/>
              <w:jc w:val="center"/>
              <w:rPr>
                <w:rFonts w:cs="宋体" w:asciiTheme="minorEastAsia" w:hAnsiTheme="minorEastAsia"/>
                <w:szCs w:val="21"/>
              </w:rPr>
            </w:pPr>
            <w:r>
              <w:rPr>
                <w:rFonts w:hint="eastAsia" w:cs="宋体" w:asciiTheme="minorEastAsia" w:hAnsiTheme="minorEastAsia"/>
                <w:szCs w:val="21"/>
              </w:rPr>
              <w:t>类似项目</w:t>
            </w:r>
          </w:p>
        </w:tc>
        <w:tc>
          <w:tcPr>
            <w:tcW w:w="7085" w:type="dxa"/>
            <w:gridSpan w:val="3"/>
            <w:vAlign w:val="center"/>
          </w:tcPr>
          <w:p>
            <w:pPr>
              <w:autoSpaceDE w:val="0"/>
              <w:autoSpaceDN w:val="0"/>
              <w:adjustRightInd w:val="0"/>
              <w:jc w:val="left"/>
              <w:rPr>
                <w:rFonts w:cs="宋体" w:asciiTheme="minorEastAsia" w:hAnsiTheme="minorEastAsia"/>
                <w:szCs w:val="21"/>
              </w:rPr>
            </w:pPr>
            <w:r>
              <w:rPr>
                <w:rFonts w:hint="eastAsia" w:cs="宋体" w:asciiTheme="minorEastAsia" w:hAnsiTheme="minorEastAsia"/>
                <w:szCs w:val="21"/>
              </w:rPr>
              <w:t>第一标段：类似项目是指单项合同金额不低于本次招标控制价的市政道路施工项目(时间以合同签订时间为准，合同期内项目不予计算）；。</w:t>
            </w:r>
          </w:p>
          <w:p>
            <w:pPr>
              <w:autoSpaceDE w:val="0"/>
              <w:autoSpaceDN w:val="0"/>
              <w:adjustRightInd w:val="0"/>
              <w:jc w:val="left"/>
              <w:rPr>
                <w:rFonts w:cs="宋体" w:asciiTheme="minorEastAsia" w:hAnsiTheme="minorEastAsia"/>
                <w:color w:val="FF0000"/>
                <w:sz w:val="24"/>
                <w:szCs w:val="24"/>
              </w:rPr>
            </w:pPr>
            <w:r>
              <w:rPr>
                <w:rFonts w:hint="eastAsia" w:cs="宋体" w:asciiTheme="minorEastAsia" w:hAnsiTheme="minorEastAsia"/>
                <w:szCs w:val="21"/>
              </w:rPr>
              <w:t>第二标段：类似项目是指单项合同金额不低于本次招标控制价的市政绿化施工项目(时间以合同签订时间为准，合同期内项目不予计算）；。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733" w:type="dxa"/>
            <w:gridSpan w:val="6"/>
            <w:vAlign w:val="center"/>
          </w:tcPr>
          <w:p>
            <w:pPr>
              <w:autoSpaceDE w:val="0"/>
              <w:autoSpaceDN w:val="0"/>
              <w:adjustRightInd w:val="0"/>
              <w:rPr>
                <w:rFonts w:cs="宋体" w:asciiTheme="minorEastAsia" w:hAnsiTheme="minorEastAsia"/>
                <w:szCs w:val="21"/>
              </w:rPr>
            </w:pPr>
            <w:r>
              <w:rPr>
                <w:rFonts w:hint="eastAsia" w:cs="宋体" w:asciiTheme="minorEastAsia" w:hAnsiTheme="minorEastAsia"/>
                <w:szCs w:val="21"/>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jc w:val="center"/>
              <w:rPr>
                <w:rFonts w:cs="宋体" w:asciiTheme="minorEastAsia" w:hAnsiTheme="minorEastAsia"/>
                <w:szCs w:val="21"/>
              </w:rPr>
            </w:pPr>
            <w:r>
              <w:rPr>
                <w:rFonts w:hint="eastAsia" w:cs="宋体" w:asciiTheme="minorEastAsia" w:hAnsiTheme="minorEastAsia"/>
                <w:szCs w:val="21"/>
              </w:rPr>
              <w:t>10.2.1</w:t>
            </w:r>
          </w:p>
        </w:tc>
        <w:tc>
          <w:tcPr>
            <w:tcW w:w="1571" w:type="dxa"/>
            <w:vAlign w:val="center"/>
          </w:tcPr>
          <w:p>
            <w:pPr>
              <w:autoSpaceDE w:val="0"/>
              <w:autoSpaceDN w:val="0"/>
              <w:adjustRightInd w:val="0"/>
              <w:jc w:val="center"/>
              <w:rPr>
                <w:rFonts w:cs="宋体" w:asciiTheme="minorEastAsia" w:hAnsiTheme="minorEastAsia"/>
                <w:szCs w:val="21"/>
              </w:rPr>
            </w:pPr>
            <w:r>
              <w:rPr>
                <w:rFonts w:hint="eastAsia" w:cs="宋体" w:asciiTheme="minorEastAsia" w:hAnsiTheme="minorEastAsia"/>
                <w:b/>
                <w:szCs w:val="21"/>
              </w:rPr>
              <w:t>招标控制价</w:t>
            </w:r>
          </w:p>
        </w:tc>
        <w:tc>
          <w:tcPr>
            <w:tcW w:w="7085" w:type="dxa"/>
            <w:gridSpan w:val="3"/>
            <w:vAlign w:val="center"/>
          </w:tcPr>
          <w:p>
            <w:pPr>
              <w:autoSpaceDE w:val="0"/>
              <w:autoSpaceDN w:val="0"/>
              <w:adjustRightInd w:val="0"/>
              <w:jc w:val="left"/>
              <w:rPr>
                <w:rFonts w:cs="宋体" w:asciiTheme="minorEastAsia" w:hAnsiTheme="minorEastAsia"/>
                <w:szCs w:val="21"/>
              </w:rPr>
            </w:pPr>
            <w:r>
              <w:rPr>
                <w:rFonts w:hint="eastAsia" w:cs="宋体" w:asciiTheme="minorEastAsia" w:hAnsiTheme="minorEastAsia"/>
                <w:szCs w:val="21"/>
              </w:rPr>
              <w:t>本工程的招标控制价（总价）（含安全文明施工费、规费、税金）</w:t>
            </w:r>
          </w:p>
          <w:p>
            <w:pPr>
              <w:autoSpaceDE w:val="0"/>
              <w:autoSpaceDN w:val="0"/>
              <w:adjustRightInd w:val="0"/>
              <w:jc w:val="left"/>
              <w:rPr>
                <w:rFonts w:cs="宋体" w:asciiTheme="minorEastAsia" w:hAnsiTheme="minorEastAsia"/>
                <w:szCs w:val="21"/>
              </w:rPr>
            </w:pPr>
            <w:r>
              <w:rPr>
                <w:rFonts w:hint="eastAsia" w:cs="宋体" w:asciiTheme="minorEastAsia" w:hAnsiTheme="minorEastAsia"/>
                <w:szCs w:val="21"/>
              </w:rPr>
              <w:t>第一标段为：大写：壹仟伍佰柒拾肆万陆仟陆佰柒拾肆元肆角捌分（¥：15746674.48元）。</w:t>
            </w:r>
          </w:p>
          <w:p>
            <w:pPr>
              <w:autoSpaceDE w:val="0"/>
              <w:autoSpaceDN w:val="0"/>
              <w:adjustRightInd w:val="0"/>
              <w:jc w:val="left"/>
              <w:rPr>
                <w:rFonts w:cs="宋体" w:asciiTheme="minorEastAsia" w:hAnsiTheme="minorEastAsia"/>
                <w:szCs w:val="21"/>
              </w:rPr>
            </w:pPr>
            <w:r>
              <w:rPr>
                <w:rFonts w:hint="eastAsia" w:cs="宋体" w:asciiTheme="minorEastAsia" w:hAnsiTheme="minorEastAsia"/>
                <w:szCs w:val="21"/>
              </w:rPr>
              <w:t>第二标段为：大写：肆拾万零捌仟叁佰捌拾元壹角（¥：408380.10元）。</w:t>
            </w:r>
          </w:p>
          <w:p>
            <w:pPr>
              <w:autoSpaceDE w:val="0"/>
              <w:autoSpaceDN w:val="0"/>
              <w:adjustRightInd w:val="0"/>
              <w:jc w:val="left"/>
              <w:rPr>
                <w:rFonts w:cs="宋体" w:asciiTheme="minorEastAsia" w:hAnsiTheme="minorEastAsia"/>
                <w:szCs w:val="21"/>
              </w:rPr>
            </w:pPr>
            <w:r>
              <w:rPr>
                <w:rFonts w:hint="eastAsia" w:cs="宋体" w:asciiTheme="minorEastAsia" w:hAnsiTheme="minorEastAsia"/>
                <w:szCs w:val="21"/>
              </w:rPr>
              <w:t>凡投标人的投标报价高于招标控制价（不含等于“招标控制价”）的，该投标人的投标文件应予拒绝。</w:t>
            </w:r>
          </w:p>
          <w:p>
            <w:pPr>
              <w:autoSpaceDE w:val="0"/>
              <w:autoSpaceDN w:val="0"/>
              <w:adjustRightInd w:val="0"/>
              <w:jc w:val="left"/>
              <w:rPr>
                <w:rFonts w:cs="宋体" w:asciiTheme="minorEastAsia" w:hAnsiTheme="minorEastAsia"/>
                <w:szCs w:val="21"/>
              </w:rPr>
            </w:pPr>
            <w:r>
              <w:rPr>
                <w:rFonts w:hint="eastAsia" w:cs="宋体" w:asciiTheme="minorEastAsia" w:hAnsiTheme="minorEastAsia"/>
                <w:szCs w:val="21"/>
              </w:rPr>
              <w:t>（各单位工程的分部分项工程费总额、措施项目费总额、其他项目费总额、规费总额和税金总额详见招标公告附件）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733" w:type="dxa"/>
            <w:gridSpan w:val="6"/>
            <w:vAlign w:val="center"/>
          </w:tcPr>
          <w:p>
            <w:pPr>
              <w:rPr>
                <w:rFonts w:cs="宋体" w:asciiTheme="minorEastAsia" w:hAnsiTheme="minorEastAsia"/>
                <w:szCs w:val="21"/>
              </w:rPr>
            </w:pPr>
            <w:r>
              <w:rPr>
                <w:rFonts w:hint="eastAsia" w:cs="宋体" w:asciiTheme="minorEastAsia" w:hAnsiTheme="minorEastAsia"/>
                <w:szCs w:val="21"/>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077" w:type="dxa"/>
            <w:gridSpan w:val="2"/>
            <w:vAlign w:val="center"/>
          </w:tcPr>
          <w:p>
            <w:pPr>
              <w:jc w:val="center"/>
              <w:rPr>
                <w:rFonts w:cs="宋体" w:asciiTheme="minorEastAsia" w:hAnsiTheme="minorEastAsia"/>
                <w:szCs w:val="21"/>
              </w:rPr>
            </w:pPr>
          </w:p>
        </w:tc>
        <w:tc>
          <w:tcPr>
            <w:tcW w:w="2898" w:type="dxa"/>
            <w:gridSpan w:val="3"/>
            <w:vAlign w:val="center"/>
          </w:tcPr>
          <w:p>
            <w:pPr>
              <w:rPr>
                <w:rFonts w:cs="宋体" w:asciiTheme="minorEastAsia" w:hAnsiTheme="minorEastAsia"/>
                <w:szCs w:val="21"/>
              </w:rPr>
            </w:pPr>
            <w:r>
              <w:rPr>
                <w:rFonts w:hint="eastAsia" w:cs="宋体" w:asciiTheme="minorEastAsia" w:hAnsiTheme="minorEastAsia"/>
                <w:szCs w:val="21"/>
              </w:rPr>
              <w:t>技术标是否采用“暗标”评审方式</w:t>
            </w:r>
          </w:p>
        </w:tc>
        <w:tc>
          <w:tcPr>
            <w:tcW w:w="5758" w:type="dxa"/>
            <w:vAlign w:val="center"/>
          </w:tcPr>
          <w:p>
            <w:pPr>
              <w:rPr>
                <w:rFonts w:cs="宋体" w:asciiTheme="minorEastAsia" w:hAnsiTheme="minorEastAsia"/>
                <w:szCs w:val="21"/>
              </w:rPr>
            </w:pPr>
            <w:r>
              <w:rPr>
                <w:rFonts w:hint="eastAsia" w:cs="宋体" w:asciiTheme="minorEastAsia" w:hAnsiTheme="minorEastAsia"/>
                <w:szCs w:val="21"/>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733" w:type="dxa"/>
            <w:gridSpan w:val="6"/>
            <w:vAlign w:val="center"/>
          </w:tcPr>
          <w:p>
            <w:pPr>
              <w:ind w:left="210" w:hanging="210" w:hangingChars="100"/>
              <w:rPr>
                <w:rFonts w:cs="宋体" w:asciiTheme="minorEastAsia" w:hAnsiTheme="minorEastAsia"/>
                <w:szCs w:val="21"/>
              </w:rPr>
            </w:pPr>
            <w:r>
              <w:rPr>
                <w:rFonts w:hint="eastAsia" w:cs="宋体" w:asciiTheme="minorEastAsia" w:hAnsiTheme="minorEastAsia"/>
                <w:szCs w:val="21"/>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77" w:type="dxa"/>
            <w:gridSpan w:val="2"/>
            <w:vAlign w:val="center"/>
          </w:tcPr>
          <w:p>
            <w:pPr>
              <w:jc w:val="center"/>
              <w:rPr>
                <w:rFonts w:cs="宋体" w:asciiTheme="minorEastAsia" w:hAnsiTheme="minorEastAsia"/>
                <w:szCs w:val="21"/>
              </w:rPr>
            </w:pPr>
          </w:p>
        </w:tc>
        <w:tc>
          <w:tcPr>
            <w:tcW w:w="8656" w:type="dxa"/>
            <w:gridSpan w:val="4"/>
            <w:vAlign w:val="center"/>
          </w:tcPr>
          <w:p>
            <w:pPr>
              <w:numPr>
                <w:ilvl w:val="0"/>
                <w:numId w:val="2"/>
              </w:numPr>
              <w:rPr>
                <w:rFonts w:cs="宋体" w:asciiTheme="minorEastAsia" w:hAnsiTheme="minorEastAsia"/>
                <w:szCs w:val="21"/>
              </w:rPr>
            </w:pPr>
            <w:r>
              <w:rPr>
                <w:rFonts w:hint="eastAsia" w:cs="宋体" w:asciiTheme="minorEastAsia" w:hAnsiTheme="minorEastAsia"/>
                <w:szCs w:val="21"/>
              </w:rPr>
              <w:t>若投标人法定代表人参加开标会议：应持法定代表人身份证明和有效身份证参加开标；</w:t>
            </w:r>
          </w:p>
          <w:p>
            <w:pPr>
              <w:numPr>
                <w:ilvl w:val="0"/>
                <w:numId w:val="2"/>
              </w:numPr>
              <w:rPr>
                <w:rFonts w:cs="宋体" w:asciiTheme="minorEastAsia" w:hAnsiTheme="minorEastAsia"/>
                <w:szCs w:val="21"/>
              </w:rPr>
            </w:pPr>
            <w:r>
              <w:rPr>
                <w:rFonts w:hint="eastAsia" w:cs="宋体" w:asciiTheme="minorEastAsia" w:hAnsiTheme="minorEastAsia"/>
                <w:szCs w:val="21"/>
              </w:rPr>
              <w:t>若投标人的法定代表人委托他人参加开标会议：受托人需持有效的授权委托书原件及有效身份证参加，委托书应载明委托事项权限、有效期等主要内容；</w:t>
            </w:r>
          </w:p>
          <w:p>
            <w:pPr>
              <w:numPr>
                <w:ilvl w:val="0"/>
                <w:numId w:val="2"/>
              </w:numPr>
              <w:rPr>
                <w:rFonts w:cs="宋体" w:asciiTheme="minorEastAsia" w:hAnsiTheme="minorEastAsia"/>
                <w:szCs w:val="21"/>
              </w:rPr>
            </w:pPr>
            <w:r>
              <w:rPr>
                <w:rFonts w:hint="eastAsia" w:cs="宋体" w:asciiTheme="minorEastAsia" w:hAnsiTheme="minorEastAsia"/>
                <w:szCs w:val="21"/>
              </w:rPr>
              <w:t>各投标单位参加会议人数不得多于二人。</w:t>
            </w:r>
          </w:p>
          <w:p>
            <w:pPr>
              <w:rPr>
                <w:rFonts w:cs="宋体" w:asciiTheme="minorEastAsia" w:hAnsiTheme="minorEastAsia"/>
                <w:b/>
                <w:szCs w:val="21"/>
              </w:rPr>
            </w:pPr>
            <w:r>
              <w:rPr>
                <w:rFonts w:hint="eastAsia" w:cs="宋体" w:asciiTheme="minorEastAsia" w:hAnsiTheme="minorEastAsia"/>
                <w:szCs w:val="21"/>
              </w:rPr>
              <w:t>注：法定代表人或其委托代理人未按规定要求参加开标会议的，视为放弃投标，其投标文件将不予接受。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733" w:type="dxa"/>
            <w:gridSpan w:val="6"/>
            <w:vAlign w:val="center"/>
          </w:tcPr>
          <w:p>
            <w:pPr>
              <w:rPr>
                <w:rFonts w:cs="宋体" w:asciiTheme="minorEastAsia" w:hAnsiTheme="minorEastAsia"/>
                <w:szCs w:val="21"/>
              </w:rPr>
            </w:pPr>
            <w:r>
              <w:rPr>
                <w:rFonts w:hint="eastAsia" w:cs="宋体" w:asciiTheme="minorEastAsia" w:hAnsiTheme="minorEastAsia"/>
                <w:szCs w:val="21"/>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77" w:type="dxa"/>
            <w:gridSpan w:val="2"/>
            <w:vAlign w:val="center"/>
          </w:tcPr>
          <w:p>
            <w:pPr>
              <w:jc w:val="center"/>
              <w:rPr>
                <w:rFonts w:cs="宋体" w:asciiTheme="minorEastAsia" w:hAnsiTheme="minorEastAsia"/>
                <w:szCs w:val="21"/>
              </w:rPr>
            </w:pPr>
          </w:p>
        </w:tc>
        <w:tc>
          <w:tcPr>
            <w:tcW w:w="8656" w:type="dxa"/>
            <w:gridSpan w:val="4"/>
            <w:vAlign w:val="center"/>
          </w:tcPr>
          <w:p>
            <w:pPr>
              <w:rPr>
                <w:rFonts w:cs="宋体" w:asciiTheme="minorEastAsia" w:hAnsiTheme="minorEastAsia"/>
                <w:szCs w:val="21"/>
              </w:rPr>
            </w:pPr>
            <w:r>
              <w:rPr>
                <w:rFonts w:hint="eastAsia" w:cs="宋体" w:asciiTheme="minorEastAsia" w:hAnsiTheme="minorEastAsia"/>
                <w:szCs w:val="21"/>
              </w:rPr>
              <w:t>在中标通知书发出前，招标人将中标候选人的情况在《全国公共资源交易平台（河南省·许昌市）》、《河南省电子招标投标公共服务平台》予以公示，公示期不少于3日。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733" w:type="dxa"/>
            <w:gridSpan w:val="6"/>
            <w:vAlign w:val="center"/>
          </w:tcPr>
          <w:p>
            <w:pPr>
              <w:rPr>
                <w:rFonts w:cs="宋体" w:asciiTheme="minorEastAsia" w:hAnsiTheme="minorEastAsia"/>
                <w:szCs w:val="21"/>
              </w:rPr>
            </w:pPr>
            <w:r>
              <w:rPr>
                <w:rFonts w:hint="eastAsia" w:cs="宋体" w:asciiTheme="minorEastAsia" w:hAnsiTheme="minorEastAsia"/>
                <w:szCs w:val="21"/>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jc w:val="center"/>
              <w:rPr>
                <w:rFonts w:cs="宋体" w:asciiTheme="minorEastAsia" w:hAnsiTheme="minorEastAsia"/>
                <w:szCs w:val="21"/>
              </w:rPr>
            </w:pPr>
          </w:p>
        </w:tc>
        <w:tc>
          <w:tcPr>
            <w:tcW w:w="8656" w:type="dxa"/>
            <w:gridSpan w:val="4"/>
            <w:vAlign w:val="center"/>
          </w:tcPr>
          <w:p>
            <w:pPr>
              <w:rPr>
                <w:rFonts w:cs="宋体" w:asciiTheme="minorEastAsia" w:hAnsiTheme="minorEastAsia"/>
                <w:szCs w:val="21"/>
              </w:rPr>
            </w:pPr>
            <w:r>
              <w:rPr>
                <w:rFonts w:hint="eastAsia" w:cs="宋体" w:asciiTheme="minorEastAsia" w:hAnsiTheme="minorEastAsia"/>
                <w:szCs w:val="21"/>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733" w:type="dxa"/>
            <w:gridSpan w:val="6"/>
            <w:vAlign w:val="center"/>
          </w:tcPr>
          <w:p>
            <w:pPr>
              <w:rPr>
                <w:rFonts w:cs="宋体" w:asciiTheme="minorEastAsia" w:hAnsiTheme="minorEastAsia"/>
                <w:szCs w:val="21"/>
              </w:rPr>
            </w:pPr>
            <w:r>
              <w:rPr>
                <w:rFonts w:hint="eastAsia" w:cs="宋体" w:asciiTheme="minorEastAsia" w:hAnsiTheme="minorEastAsia"/>
                <w:szCs w:val="21"/>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jc w:val="center"/>
              <w:rPr>
                <w:rFonts w:cs="宋体" w:asciiTheme="minorEastAsia" w:hAnsiTheme="minorEastAsia"/>
                <w:szCs w:val="21"/>
              </w:rPr>
            </w:pPr>
          </w:p>
        </w:tc>
        <w:tc>
          <w:tcPr>
            <w:tcW w:w="8656" w:type="dxa"/>
            <w:gridSpan w:val="4"/>
            <w:vAlign w:val="center"/>
          </w:tcPr>
          <w:p>
            <w:pPr>
              <w:rPr>
                <w:rFonts w:cs="宋体" w:asciiTheme="minorEastAsia" w:hAnsiTheme="minorEastAsia"/>
                <w:szCs w:val="21"/>
              </w:rPr>
            </w:pPr>
            <w:r>
              <w:rPr>
                <w:rFonts w:hint="eastAsia" w:cs="宋体" w:asciiTheme="minorEastAsia" w:hAnsiTheme="minorEastAsia"/>
                <w:szCs w:val="21"/>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9733" w:type="dxa"/>
            <w:gridSpan w:val="6"/>
            <w:vAlign w:val="center"/>
          </w:tcPr>
          <w:p>
            <w:pPr>
              <w:rPr>
                <w:rFonts w:cs="宋体" w:asciiTheme="minorEastAsia" w:hAnsiTheme="minorEastAsia"/>
                <w:szCs w:val="21"/>
              </w:rPr>
            </w:pPr>
            <w:r>
              <w:rPr>
                <w:rFonts w:hint="eastAsia" w:cs="宋体" w:asciiTheme="minorEastAsia" w:hAnsiTheme="minorEastAsia"/>
                <w:szCs w:val="21"/>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077" w:type="dxa"/>
            <w:gridSpan w:val="2"/>
            <w:vAlign w:val="center"/>
          </w:tcPr>
          <w:p>
            <w:pPr>
              <w:jc w:val="center"/>
              <w:rPr>
                <w:rFonts w:cs="宋体" w:asciiTheme="minorEastAsia" w:hAnsiTheme="minorEastAsia"/>
                <w:szCs w:val="21"/>
              </w:rPr>
            </w:pPr>
          </w:p>
        </w:tc>
        <w:tc>
          <w:tcPr>
            <w:tcW w:w="8656" w:type="dxa"/>
            <w:gridSpan w:val="4"/>
            <w:vAlign w:val="center"/>
          </w:tcPr>
          <w:p>
            <w:pPr>
              <w:rPr>
                <w:rFonts w:cs="宋体" w:asciiTheme="minorEastAsia" w:hAnsiTheme="minorEastAsia"/>
                <w:szCs w:val="21"/>
              </w:rPr>
            </w:pPr>
            <w:r>
              <w:rPr>
                <w:rFonts w:hint="eastAsia" w:cs="宋体" w:asciiTheme="minorEastAsia" w:hAnsiTheme="minorEastAsia"/>
                <w:szCs w:val="21"/>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733" w:type="dxa"/>
            <w:gridSpan w:val="6"/>
            <w:vAlign w:val="center"/>
          </w:tcPr>
          <w:p>
            <w:pPr>
              <w:rPr>
                <w:rFonts w:cs="宋体" w:asciiTheme="minorEastAsia" w:hAnsiTheme="minorEastAsia"/>
                <w:szCs w:val="21"/>
              </w:rPr>
            </w:pPr>
            <w:r>
              <w:rPr>
                <w:rFonts w:hint="eastAsia" w:cs="宋体" w:asciiTheme="minorEastAsia" w:hAnsiTheme="minorEastAsia"/>
                <w:szCs w:val="21"/>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077" w:type="dxa"/>
            <w:gridSpan w:val="2"/>
            <w:vAlign w:val="center"/>
          </w:tcPr>
          <w:p>
            <w:pPr>
              <w:jc w:val="center"/>
              <w:rPr>
                <w:rFonts w:cs="宋体" w:asciiTheme="minorEastAsia" w:hAnsiTheme="minorEastAsia"/>
                <w:szCs w:val="21"/>
              </w:rPr>
            </w:pPr>
          </w:p>
        </w:tc>
        <w:tc>
          <w:tcPr>
            <w:tcW w:w="8656" w:type="dxa"/>
            <w:gridSpan w:val="4"/>
            <w:vAlign w:val="center"/>
          </w:tcPr>
          <w:p>
            <w:pPr>
              <w:rPr>
                <w:rFonts w:cs="宋体" w:asciiTheme="minorEastAsia" w:hAnsiTheme="minorEastAsia"/>
                <w:szCs w:val="21"/>
              </w:rPr>
            </w:pPr>
            <w:r>
              <w:rPr>
                <w:rFonts w:hint="eastAsia" w:cs="宋体" w:asciiTheme="minorEastAsia" w:hAnsiTheme="minorEastAsia"/>
                <w:szCs w:val="21"/>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733" w:type="dxa"/>
            <w:gridSpan w:val="6"/>
            <w:vAlign w:val="center"/>
          </w:tcPr>
          <w:p>
            <w:pPr>
              <w:rPr>
                <w:rFonts w:cs="宋体" w:asciiTheme="minorEastAsia" w:hAnsiTheme="minorEastAsia"/>
                <w:szCs w:val="21"/>
              </w:rPr>
            </w:pPr>
            <w:r>
              <w:rPr>
                <w:rFonts w:hint="eastAsia" w:cs="宋体" w:asciiTheme="minorEastAsia" w:hAnsiTheme="minorEastAsia"/>
                <w:szCs w:val="21"/>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jc w:val="center"/>
              <w:rPr>
                <w:rFonts w:cs="宋体" w:asciiTheme="minorEastAsia" w:hAnsiTheme="minorEastAsia"/>
                <w:szCs w:val="21"/>
              </w:rPr>
            </w:pPr>
          </w:p>
        </w:tc>
        <w:tc>
          <w:tcPr>
            <w:tcW w:w="8656" w:type="dxa"/>
            <w:gridSpan w:val="4"/>
            <w:vAlign w:val="center"/>
          </w:tcPr>
          <w:p>
            <w:pPr>
              <w:adjustRightInd w:val="0"/>
              <w:snapToGrid w:val="0"/>
              <w:rPr>
                <w:rFonts w:cs="宋体" w:asciiTheme="minorEastAsia" w:hAnsiTheme="minorEastAsia"/>
                <w:szCs w:val="21"/>
              </w:rPr>
            </w:pPr>
            <w:r>
              <w:rPr>
                <w:rFonts w:hint="eastAsia" w:cs="宋体" w:asciiTheme="minorEastAsia" w:hAnsiTheme="minorEastAsia"/>
                <w:szCs w:val="21"/>
              </w:rPr>
              <w:t>构成本招标文件的各个组成文件应互为解释，互为说明；</w:t>
            </w:r>
          </w:p>
          <w:p>
            <w:pPr>
              <w:adjustRightInd w:val="0"/>
              <w:snapToGrid w:val="0"/>
              <w:rPr>
                <w:rFonts w:cs="宋体" w:asciiTheme="minorEastAsia" w:hAnsiTheme="minorEastAsia"/>
                <w:szCs w:val="21"/>
              </w:rPr>
            </w:pPr>
            <w:r>
              <w:rPr>
                <w:rFonts w:hint="eastAsia" w:cs="宋体" w:asciiTheme="minorEastAsia" w:hAnsiTheme="minorEastAsia"/>
                <w:szCs w:val="21"/>
              </w:rPr>
              <w:t>1、如有不明确或不一致，构成合同文件组成内容，以合同文件约定内容为准，且以专用合同条款约定的合同文件优先顺序解释；</w:t>
            </w:r>
          </w:p>
          <w:p>
            <w:pPr>
              <w:adjustRightInd w:val="0"/>
              <w:snapToGrid w:val="0"/>
              <w:rPr>
                <w:rFonts w:cs="宋体" w:asciiTheme="minorEastAsia" w:hAnsiTheme="minorEastAsia"/>
                <w:szCs w:val="21"/>
              </w:rPr>
            </w:pPr>
            <w:r>
              <w:rPr>
                <w:rFonts w:hint="eastAsia" w:cs="宋体" w:asciiTheme="minorEastAsia" w:hAnsiTheme="minorEastAsia"/>
                <w:szCs w:val="21"/>
              </w:rPr>
              <w:t>2、除招标文件中有特别规定外，仅适用于招标投标阶段的规定，按招标公告（投标邀请书）、投标人须知、评标办法、投标文件格式的先后顺序解释；</w:t>
            </w:r>
          </w:p>
          <w:p>
            <w:pPr>
              <w:adjustRightInd w:val="0"/>
              <w:snapToGrid w:val="0"/>
              <w:rPr>
                <w:rFonts w:cs="宋体" w:asciiTheme="minorEastAsia" w:hAnsiTheme="minorEastAsia"/>
                <w:szCs w:val="21"/>
              </w:rPr>
            </w:pPr>
            <w:r>
              <w:rPr>
                <w:rFonts w:hint="eastAsia" w:cs="宋体" w:asciiTheme="minorEastAsia" w:hAnsiTheme="minorEastAsia"/>
                <w:szCs w:val="21"/>
              </w:rPr>
              <w:t>3、同一组成文件中就同一事项的规定或约定不一致的，以编排顺序在后者为准；</w:t>
            </w:r>
          </w:p>
          <w:p>
            <w:pPr>
              <w:adjustRightInd w:val="0"/>
              <w:snapToGrid w:val="0"/>
              <w:rPr>
                <w:rFonts w:cs="宋体" w:asciiTheme="minorEastAsia" w:hAnsiTheme="minorEastAsia"/>
                <w:szCs w:val="21"/>
              </w:rPr>
            </w:pPr>
            <w:r>
              <w:rPr>
                <w:rFonts w:hint="eastAsia" w:cs="宋体" w:asciiTheme="minorEastAsia" w:hAnsiTheme="minorEastAsia"/>
                <w:szCs w:val="21"/>
              </w:rPr>
              <w:t>4、同一组成文件不同版本之间有不一致的，以形成时间在后者为准。</w:t>
            </w:r>
          </w:p>
          <w:p>
            <w:pPr>
              <w:adjustRightInd w:val="0"/>
              <w:snapToGrid w:val="0"/>
              <w:rPr>
                <w:rFonts w:cs="宋体" w:asciiTheme="minorEastAsia" w:hAnsiTheme="minorEastAsia"/>
                <w:szCs w:val="21"/>
              </w:rPr>
            </w:pPr>
            <w:r>
              <w:rPr>
                <w:rFonts w:hint="eastAsia" w:cs="宋体" w:asciiTheme="minorEastAsia" w:hAnsiTheme="minorEastAsia"/>
                <w:szCs w:val="21"/>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9733" w:type="dxa"/>
            <w:gridSpan w:val="6"/>
            <w:vAlign w:val="center"/>
          </w:tcPr>
          <w:p>
            <w:pPr>
              <w:adjustRightInd w:val="0"/>
              <w:snapToGrid w:val="0"/>
              <w:rPr>
                <w:rFonts w:cs="宋体" w:asciiTheme="minorEastAsia" w:hAnsiTheme="minorEastAsia"/>
                <w:b/>
                <w:szCs w:val="21"/>
              </w:rPr>
            </w:pPr>
            <w:r>
              <w:rPr>
                <w:rFonts w:hint="eastAsia" w:cs="宋体" w:asciiTheme="minorEastAsia" w:hAnsiTheme="minorEastAsia"/>
                <w:b/>
                <w:szCs w:val="21"/>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9733" w:type="dxa"/>
            <w:gridSpan w:val="6"/>
            <w:vAlign w:val="center"/>
          </w:tcPr>
          <w:p>
            <w:pPr>
              <w:adjustRightInd w:val="0"/>
              <w:snapToGrid w:val="0"/>
              <w:rPr>
                <w:rFonts w:cs="宋体" w:asciiTheme="minorEastAsia" w:hAnsiTheme="minorEastAsia"/>
                <w:szCs w:val="21"/>
              </w:rPr>
            </w:pPr>
            <w:bookmarkStart w:id="8" w:name="_Toc283559965"/>
            <w:bookmarkStart w:id="9" w:name="_Toc225243456"/>
            <w:r>
              <w:rPr>
                <w:rFonts w:hint="eastAsia" w:cs="宋体" w:asciiTheme="minorEastAsia" w:hAnsiTheme="minorEastAsia"/>
                <w:szCs w:val="21"/>
              </w:rPr>
              <w:t>10.11.1 投标文件的拒收</w:t>
            </w:r>
            <w:bookmarkEnd w:id="8"/>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jc w:val="center"/>
              <w:rPr>
                <w:rFonts w:cs="宋体" w:asciiTheme="minorEastAsia" w:hAnsiTheme="minorEastAsia"/>
                <w:szCs w:val="21"/>
              </w:rPr>
            </w:pPr>
          </w:p>
        </w:tc>
        <w:tc>
          <w:tcPr>
            <w:tcW w:w="8656" w:type="dxa"/>
            <w:gridSpan w:val="4"/>
            <w:vAlign w:val="center"/>
          </w:tcPr>
          <w:p>
            <w:pPr>
              <w:autoSpaceDE w:val="0"/>
              <w:autoSpaceDN w:val="0"/>
              <w:adjustRightInd w:val="0"/>
              <w:snapToGrid w:val="0"/>
              <w:rPr>
                <w:rFonts w:cs="宋体" w:asciiTheme="minorEastAsia" w:hAnsiTheme="minorEastAsia"/>
                <w:szCs w:val="21"/>
              </w:rPr>
            </w:pPr>
            <w:r>
              <w:rPr>
                <w:rFonts w:hint="eastAsia" w:cs="宋体" w:asciiTheme="minorEastAsia" w:hAnsiTheme="minorEastAsia"/>
                <w:szCs w:val="21"/>
              </w:rPr>
              <w:t>1、逾期送达的或者未送达指定地点的电子介质（U盘）存储的投标文件；</w:t>
            </w:r>
          </w:p>
          <w:p>
            <w:pPr>
              <w:autoSpaceDE w:val="0"/>
              <w:autoSpaceDN w:val="0"/>
              <w:adjustRightInd w:val="0"/>
              <w:snapToGrid w:val="0"/>
              <w:rPr>
                <w:rFonts w:cs="宋体" w:asciiTheme="minorEastAsia" w:hAnsiTheme="minorEastAsia"/>
                <w:szCs w:val="21"/>
              </w:rPr>
            </w:pPr>
            <w:r>
              <w:rPr>
                <w:rFonts w:hint="eastAsia" w:cs="宋体" w:asciiTheme="minorEastAsia" w:hAnsiTheme="minorEastAsia"/>
                <w:szCs w:val="21"/>
              </w:rPr>
              <w:t>2、电子介质（U盘）存储的投标文件未按招标文件要求密封的；</w:t>
            </w:r>
          </w:p>
          <w:p>
            <w:pPr>
              <w:autoSpaceDE w:val="0"/>
              <w:autoSpaceDN w:val="0"/>
              <w:adjustRightInd w:val="0"/>
              <w:snapToGrid w:val="0"/>
              <w:rPr>
                <w:rFonts w:cs="宋体" w:asciiTheme="minorEastAsia" w:hAnsiTheme="minorEastAsia"/>
                <w:szCs w:val="21"/>
              </w:rPr>
            </w:pPr>
            <w:r>
              <w:rPr>
                <w:rFonts w:hint="eastAsia" w:cs="宋体" w:asciiTheme="minorEastAsia" w:hAnsiTheme="minorEastAsia"/>
                <w:szCs w:val="21"/>
              </w:rPr>
              <w:t>3、未按招标文件要求缴纳投标保证金的；</w:t>
            </w:r>
          </w:p>
          <w:p>
            <w:pPr>
              <w:autoSpaceDE w:val="0"/>
              <w:autoSpaceDN w:val="0"/>
              <w:adjustRightInd w:val="0"/>
              <w:snapToGrid w:val="0"/>
              <w:rPr>
                <w:rFonts w:cs="宋体" w:asciiTheme="minorEastAsia" w:hAnsiTheme="minorEastAsia"/>
                <w:szCs w:val="21"/>
              </w:rPr>
            </w:pPr>
            <w:r>
              <w:rPr>
                <w:rFonts w:hint="eastAsia" w:cs="宋体" w:asciiTheme="minorEastAsia" w:hAnsiTheme="minorEastAsia"/>
                <w:szCs w:val="21"/>
              </w:rPr>
              <w:t>4、开标时法定代表人未携带法定代表人身份证明和本人有效身份证原件或授权委托人未携带有效身份证及有效的授权委托书原件(授权委托书应载明委托事项权限、有效期等主要内容，须加盖投标人公章，并由法定代表人签字)到开标现场并签到的；</w:t>
            </w:r>
          </w:p>
          <w:p>
            <w:pPr>
              <w:autoSpaceDE w:val="0"/>
              <w:autoSpaceDN w:val="0"/>
              <w:adjustRightInd w:val="0"/>
              <w:snapToGrid w:val="0"/>
              <w:rPr>
                <w:rFonts w:cs="宋体" w:asciiTheme="minorEastAsia" w:hAnsiTheme="minorEastAsia"/>
                <w:szCs w:val="21"/>
              </w:rPr>
            </w:pPr>
            <w:r>
              <w:rPr>
                <w:rFonts w:hint="eastAsia" w:cs="宋体" w:asciiTheme="minorEastAsia" w:hAnsiTheme="minorEastAsia"/>
                <w:szCs w:val="21"/>
              </w:rPr>
              <w:t>5、未按规定支付招标文件费用的。</w:t>
            </w:r>
          </w:p>
          <w:p>
            <w:pPr>
              <w:autoSpaceDE w:val="0"/>
              <w:autoSpaceDN w:val="0"/>
              <w:adjustRightInd w:val="0"/>
              <w:snapToGrid w:val="0"/>
              <w:rPr>
                <w:rFonts w:asciiTheme="minorEastAsia" w:hAnsiTheme="minorEastAsia"/>
                <w:b/>
                <w:sz w:val="32"/>
                <w:szCs w:val="32"/>
              </w:rPr>
            </w:pPr>
            <w:r>
              <w:rPr>
                <w:rFonts w:hint="eastAsia"/>
              </w:rPr>
              <w:t>6、其他法律规定的要求。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733" w:type="dxa"/>
            <w:gridSpan w:val="6"/>
            <w:vAlign w:val="center"/>
          </w:tcPr>
          <w:p>
            <w:pPr>
              <w:autoSpaceDE w:val="0"/>
              <w:autoSpaceDN w:val="0"/>
              <w:adjustRightInd w:val="0"/>
              <w:snapToGrid w:val="0"/>
              <w:rPr>
                <w:rFonts w:cs="宋体" w:asciiTheme="minorEastAsia" w:hAnsiTheme="minorEastAsia"/>
                <w:b/>
                <w:szCs w:val="21"/>
              </w:rPr>
            </w:pPr>
            <w:r>
              <w:rPr>
                <w:rFonts w:hint="eastAsia" w:cs="宋体" w:asciiTheme="minorEastAsia" w:hAnsiTheme="minorEastAsia"/>
                <w:b/>
                <w:szCs w:val="21"/>
              </w:rPr>
              <w:t>10.12 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jc w:val="center"/>
              <w:rPr>
                <w:rFonts w:cs="宋体" w:asciiTheme="minorEastAsia" w:hAnsiTheme="minorEastAsia"/>
                <w:szCs w:val="21"/>
              </w:rPr>
            </w:pPr>
          </w:p>
        </w:tc>
        <w:tc>
          <w:tcPr>
            <w:tcW w:w="8656" w:type="dxa"/>
            <w:gridSpan w:val="4"/>
            <w:vAlign w:val="center"/>
          </w:tcPr>
          <w:p>
            <w:pPr>
              <w:autoSpaceDE w:val="0"/>
              <w:autoSpaceDN w:val="0"/>
              <w:adjustRightInd w:val="0"/>
              <w:snapToGrid w:val="0"/>
              <w:rPr>
                <w:rFonts w:cs="宋体" w:asciiTheme="minorEastAsia" w:hAnsiTheme="minorEastAsia"/>
                <w:szCs w:val="21"/>
              </w:rPr>
            </w:pPr>
            <w:r>
              <w:rPr>
                <w:rFonts w:hint="eastAsia" w:ascii="宋体" w:hAnsi="宋体" w:cs="宋体"/>
                <w:b/>
                <w:szCs w:val="21"/>
              </w:rPr>
              <w:t>本项目招标代理费由中标人支付。本项目招标代理费参考原国家发改委【2002】1980号文和发改价格[2015]299号文相关要求招标代理服务收费标准及现行有关规定，招标代理费将向中标、成交供应商收取代理服务费。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733" w:type="dxa"/>
            <w:gridSpan w:val="6"/>
            <w:vAlign w:val="center"/>
          </w:tcPr>
          <w:p>
            <w:pPr>
              <w:autoSpaceDE w:val="0"/>
              <w:autoSpaceDN w:val="0"/>
              <w:adjustRightInd w:val="0"/>
              <w:snapToGrid w:val="0"/>
              <w:rPr>
                <w:rFonts w:cs="宋体" w:asciiTheme="minorEastAsia" w:hAnsiTheme="minorEastAsia"/>
                <w:b/>
                <w:szCs w:val="21"/>
              </w:rPr>
            </w:pPr>
            <w:r>
              <w:rPr>
                <w:rFonts w:hint="eastAsia" w:cs="宋体" w:asciiTheme="minorEastAsia" w:hAnsiTheme="minorEastAsia"/>
                <w:b/>
                <w:szCs w:val="21"/>
              </w:rPr>
              <w:t>10.13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jc w:val="center"/>
              <w:rPr>
                <w:rFonts w:cs="宋体" w:asciiTheme="minorEastAsia" w:hAnsiTheme="minorEastAsia"/>
                <w:szCs w:val="21"/>
              </w:rPr>
            </w:pPr>
          </w:p>
        </w:tc>
        <w:tc>
          <w:tcPr>
            <w:tcW w:w="8656" w:type="dxa"/>
            <w:gridSpan w:val="4"/>
            <w:vAlign w:val="center"/>
          </w:tcPr>
          <w:p>
            <w:pPr>
              <w:autoSpaceDE w:val="0"/>
              <w:autoSpaceDN w:val="0"/>
              <w:rPr>
                <w:rFonts w:cs="宋体" w:asciiTheme="minorEastAsia" w:hAnsiTheme="minorEastAsia"/>
                <w:szCs w:val="21"/>
              </w:rPr>
            </w:pPr>
            <w:r>
              <w:rPr>
                <w:rFonts w:hint="eastAsia" w:cs="宋体" w:asciiTheme="minorEastAsia" w:hAnsiTheme="minorEastAsia"/>
                <w:szCs w:val="21"/>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rPr>
                <w:rFonts w:cs="宋体" w:asciiTheme="minorEastAsia" w:hAnsiTheme="minorEastAsia"/>
                <w:szCs w:val="21"/>
              </w:rPr>
            </w:pPr>
            <w:r>
              <w:rPr>
                <w:rFonts w:hint="eastAsia" w:cs="宋体" w:asciiTheme="minorEastAsia" w:hAnsiTheme="minorEastAsia"/>
                <w:szCs w:val="21"/>
              </w:rPr>
              <w:t>2、潜在投标人如对招标文件有异议，请在规定时间内在《全国公共资源交易平台（河南省·许昌市）》公共资源交易系统中提出，以其他方式递交的异议不予接受。</w:t>
            </w:r>
          </w:p>
          <w:p>
            <w:pPr>
              <w:autoSpaceDE w:val="0"/>
              <w:autoSpaceDN w:val="0"/>
              <w:rPr>
                <w:rFonts w:cs="宋体" w:asciiTheme="minorEastAsia" w:hAnsiTheme="minorEastAsia"/>
                <w:szCs w:val="21"/>
              </w:rPr>
            </w:pPr>
            <w:r>
              <w:rPr>
                <w:rFonts w:hint="eastAsia" w:cs="宋体" w:asciiTheme="minorEastAsia" w:hAnsiTheme="minorEastAsia"/>
                <w:szCs w:val="21"/>
              </w:rPr>
              <w:t>3、投标人在投标截止时间前应随时关注《全国公共资源交易平台（河南省·许昌市）》公共资源交易系统发出的有关本项目的答疑、修改等相关内容。</w:t>
            </w:r>
          </w:p>
          <w:p>
            <w:pPr>
              <w:autoSpaceDE w:val="0"/>
              <w:autoSpaceDN w:val="0"/>
              <w:rPr>
                <w:rFonts w:cs="宋体" w:asciiTheme="minorEastAsia" w:hAnsiTheme="minorEastAsia"/>
                <w:szCs w:val="21"/>
              </w:rPr>
            </w:pPr>
            <w:r>
              <w:rPr>
                <w:rFonts w:hint="eastAsia" w:cs="宋体" w:asciiTheme="minorEastAsia" w:hAnsiTheme="minorEastAsia"/>
                <w:szCs w:val="21"/>
              </w:rPr>
              <w:t>4、本项目试行全流程电子化交易，如因系统异常情况无法完成，将以人工方式进行。</w:t>
            </w:r>
          </w:p>
          <w:p>
            <w:pPr>
              <w:autoSpaceDE w:val="0"/>
              <w:autoSpaceDN w:val="0"/>
              <w:rPr>
                <w:rFonts w:cs="宋体" w:asciiTheme="minorEastAsia" w:hAnsiTheme="minorEastAsia"/>
                <w:szCs w:val="21"/>
              </w:rPr>
            </w:pPr>
            <w:r>
              <w:rPr>
                <w:rFonts w:hint="eastAsia" w:cs="宋体" w:asciiTheme="minorEastAsia" w:hAnsiTheme="minorEastAsia"/>
                <w:szCs w:val="21"/>
              </w:rPr>
              <w:t>5、投标文件依据最终的招标文件进行编制。如果招标文件发生变更，投标人应以招标人最终发出的电子招标文件为准，编制投标文件，务请投标人随时关注项目变更信息。</w:t>
            </w:r>
          </w:p>
          <w:p>
            <w:pPr>
              <w:autoSpaceDE w:val="0"/>
              <w:autoSpaceDN w:val="0"/>
              <w:rPr>
                <w:rFonts w:cs="宋体" w:asciiTheme="minorEastAsia" w:hAnsiTheme="minorEastAsia"/>
                <w:szCs w:val="21"/>
              </w:rPr>
            </w:pPr>
            <w:r>
              <w:rPr>
                <w:rFonts w:hint="eastAsia" w:cs="宋体" w:asciiTheme="minorEastAsia" w:hAnsiTheme="minorEastAsia"/>
                <w:szCs w:val="21"/>
              </w:rPr>
              <w:t>6、投标人电子投标文件成功提交后，应打印“投标文件提交回执单”，供开标现场备查。</w:t>
            </w:r>
          </w:p>
          <w:p>
            <w:pPr>
              <w:autoSpaceDE w:val="0"/>
              <w:autoSpaceDN w:val="0"/>
              <w:rPr>
                <w:rFonts w:cs="宋体" w:asciiTheme="minorEastAsia" w:hAnsiTheme="minorEastAsia"/>
                <w:szCs w:val="21"/>
              </w:rPr>
            </w:pPr>
            <w:r>
              <w:rPr>
                <w:rFonts w:hint="eastAsia" w:cs="宋体" w:asciiTheme="minorEastAsia" w:hAnsiTheme="minorEastAsia"/>
                <w:szCs w:val="21"/>
              </w:rPr>
              <w:t>7、商务标投标文件制作注意事项：</w:t>
            </w:r>
          </w:p>
          <w:p>
            <w:pPr>
              <w:autoSpaceDE w:val="0"/>
              <w:autoSpaceDN w:val="0"/>
              <w:rPr>
                <w:rFonts w:cs="宋体" w:asciiTheme="minorEastAsia" w:hAnsiTheme="minorEastAsia"/>
                <w:szCs w:val="21"/>
              </w:rPr>
            </w:pPr>
            <w:r>
              <w:rPr>
                <w:rFonts w:hint="eastAsia" w:cs="宋体" w:asciiTheme="minorEastAsia" w:hAnsiTheme="minorEastAsia"/>
                <w:szCs w:val="21"/>
              </w:rPr>
              <w:t>7.1 投标人登录《全国公共资源交易平台（河南省·许昌市）》公共资源交易系统下载“许昌投标文件制作系统SEARUN 最新版本” 和操作手册（工程项目），按招标文件要求制作商务标投标文件。</w:t>
            </w:r>
          </w:p>
          <w:p>
            <w:pPr>
              <w:autoSpaceDE w:val="0"/>
              <w:autoSpaceDN w:val="0"/>
              <w:spacing w:line="360" w:lineRule="auto"/>
              <w:jc w:val="left"/>
              <w:outlineLvl w:val="0"/>
              <w:rPr>
                <w:rFonts w:cs="宋体" w:asciiTheme="minorEastAsia" w:hAnsiTheme="minorEastAsia"/>
                <w:szCs w:val="21"/>
              </w:rPr>
            </w:pPr>
            <w:r>
              <w:rPr>
                <w:rFonts w:hint="eastAsia" w:cs="宋体" w:asciiTheme="minorEastAsia" w:hAnsiTheme="minorEastAsia"/>
                <w:szCs w:val="21"/>
              </w:rPr>
              <w:t>7.2 商务标投标文件制作技术咨询：0374-2961598。</w:t>
            </w:r>
          </w:p>
          <w:p>
            <w:pPr>
              <w:autoSpaceDE w:val="0"/>
              <w:autoSpaceDN w:val="0"/>
              <w:rPr>
                <w:rFonts w:cs="宋体" w:asciiTheme="minorEastAsia" w:hAnsiTheme="minorEastAsia"/>
                <w:b/>
                <w:szCs w:val="21"/>
              </w:rPr>
            </w:pPr>
            <w:r>
              <w:rPr>
                <w:rFonts w:hint="eastAsia" w:cs="宋体" w:asciiTheme="minorEastAsia" w:hAnsiTheme="minorEastAsia"/>
                <w:b/>
                <w:szCs w:val="21"/>
              </w:rPr>
              <w:t>8、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pPr>
        <w:autoSpaceDE w:val="0"/>
        <w:autoSpaceDN w:val="0"/>
        <w:spacing w:line="440" w:lineRule="exact"/>
        <w:jc w:val="left"/>
        <w:rPr>
          <w:rFonts w:hAnsi="宋体" w:cs="宋体"/>
          <w:b/>
          <w:sz w:val="28"/>
          <w:szCs w:val="28"/>
        </w:rPr>
      </w:pPr>
      <w:bookmarkStart w:id="10" w:name="_Toc283559947"/>
      <w:bookmarkStart w:id="11" w:name="_Toc283559990"/>
      <w:r>
        <w:br w:type="page"/>
      </w:r>
      <w:r>
        <w:rPr>
          <w:rFonts w:hint="eastAsia" w:hAnsi="宋体" w:cs="宋体"/>
          <w:b/>
          <w:sz w:val="28"/>
          <w:szCs w:val="28"/>
        </w:rPr>
        <w:t>1. 总则</w:t>
      </w:r>
    </w:p>
    <w:p>
      <w:pPr>
        <w:autoSpaceDE w:val="0"/>
        <w:autoSpaceDN w:val="0"/>
        <w:spacing w:line="440" w:lineRule="exact"/>
        <w:jc w:val="left"/>
        <w:rPr>
          <w:rFonts w:hAnsi="宋体" w:cs="宋体"/>
          <w:b/>
          <w:sz w:val="24"/>
          <w:szCs w:val="24"/>
        </w:rPr>
      </w:pPr>
      <w:r>
        <w:rPr>
          <w:rFonts w:hint="eastAsia" w:hAnsi="宋体" w:cs="宋体"/>
          <w:b/>
          <w:sz w:val="24"/>
          <w:szCs w:val="24"/>
        </w:rPr>
        <w:t>1.1 项目概况</w:t>
      </w:r>
      <w:r>
        <w:rPr>
          <w:rFonts w:hint="eastAsia" w:hAnsi="宋体" w:cs="宋体"/>
          <w:b/>
          <w:sz w:val="24"/>
          <w:szCs w:val="24"/>
        </w:rPr>
        <w:tab/>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1.1.2 本招标项目招标人：见投标人须知前附表。</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1.1.3 本招标项目招标代理机构：见投标人须知前附表。</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1.1.4 本招标项目名称：见投标人须知前附表。</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1.1.5 本标段建设地点：见投标人须知前附表。</w:t>
      </w:r>
    </w:p>
    <w:p>
      <w:pPr>
        <w:autoSpaceDE w:val="0"/>
        <w:autoSpaceDN w:val="0"/>
        <w:spacing w:line="440" w:lineRule="exact"/>
        <w:jc w:val="left"/>
        <w:rPr>
          <w:rFonts w:hAnsi="宋体" w:cs="宋体"/>
          <w:b/>
          <w:sz w:val="24"/>
          <w:szCs w:val="24"/>
        </w:rPr>
      </w:pPr>
      <w:r>
        <w:rPr>
          <w:rFonts w:hint="eastAsia" w:hAnsi="宋体" w:cs="宋体"/>
          <w:b/>
          <w:sz w:val="24"/>
          <w:szCs w:val="24"/>
        </w:rPr>
        <w:t>1.2 资金来源和落实情况</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1.2.1 本招标项目的资金来源：见投标人须知前附表。</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1.2.2 本招标项目的出资比例：见投标人须知前附表。</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1.2.3 本招标项目的资金落实情况：见投标人须知前附表。</w:t>
      </w:r>
    </w:p>
    <w:p>
      <w:pPr>
        <w:autoSpaceDE w:val="0"/>
        <w:autoSpaceDN w:val="0"/>
        <w:spacing w:line="440" w:lineRule="exact"/>
        <w:jc w:val="left"/>
        <w:rPr>
          <w:rFonts w:hAnsi="宋体" w:cs="宋体"/>
          <w:b/>
          <w:sz w:val="24"/>
          <w:szCs w:val="24"/>
        </w:rPr>
      </w:pPr>
      <w:r>
        <w:rPr>
          <w:rFonts w:hint="eastAsia" w:hAnsi="宋体" w:cs="宋体"/>
          <w:b/>
          <w:sz w:val="24"/>
          <w:szCs w:val="24"/>
        </w:rPr>
        <w:t>1.3 招标范围、工期和质量要求</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1.3.1 本招标项目的招标范围：见投标人须知前附表。</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1.3.2 本招标项目的工期要求：见投标人须知前附表。</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1.3.3 本招标项目的质量要求：见投标人须知前附表。</w:t>
      </w:r>
    </w:p>
    <w:p>
      <w:pPr>
        <w:autoSpaceDE w:val="0"/>
        <w:autoSpaceDN w:val="0"/>
        <w:spacing w:line="440" w:lineRule="exact"/>
        <w:jc w:val="left"/>
        <w:rPr>
          <w:rFonts w:hAnsi="宋体" w:cs="宋体"/>
          <w:b/>
          <w:sz w:val="24"/>
          <w:szCs w:val="24"/>
        </w:rPr>
      </w:pPr>
      <w:r>
        <w:rPr>
          <w:rFonts w:hint="eastAsia" w:hAnsi="宋体" w:cs="宋体"/>
          <w:b/>
          <w:sz w:val="24"/>
          <w:szCs w:val="24"/>
        </w:rPr>
        <w:t>1.4 投标人及项目负责人（项目经理）资格要求</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1.4.1投标人、项目负责人（项目经理）资格要求：见投标人须知前附表。</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（1）联合体各方应招标文件提供的格式签订联合体协议书，明确联合体牵头人和各方的权利义务。</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（2）同一专业的单位组成的联合体，应当按照资质等级较低的单位确定联合体的资质等级。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（3）联合体各方不得再以自己名义单独或参加其他联合体在同一标段中投标。</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投标人不得存在下列情形之一：</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 xml:space="preserve">（2）为本标段前期准备提供设计或咨询服务的； </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（3）为本标段的监理人；</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 xml:space="preserve">（4）为本标段的代建人； </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 xml:space="preserve">（5）为本标段提供招标代理服务的； </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 xml:space="preserve">（9）被责令停业的； </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 xml:space="preserve">（10）被暂停或取消投标资格的； </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（11）财产被接管或冻结的；</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（12）在最近三年内有骗取中标或严重违约或重大工程质量问题的；</w:t>
      </w:r>
    </w:p>
    <w:p>
      <w:pPr>
        <w:autoSpaceDE w:val="0"/>
        <w:autoSpaceDN w:val="0"/>
        <w:adjustRightInd w:val="0"/>
        <w:ind w:firstLine="480" w:firstLineChars="200"/>
        <w:jc w:val="left"/>
        <w:rPr>
          <w:rFonts w:hAnsi="宋体" w:eastAsia="宋体" w:cs="宋体"/>
          <w:sz w:val="24"/>
        </w:rPr>
      </w:pPr>
      <w:r>
        <w:rPr>
          <w:rFonts w:hint="eastAsia" w:hAnsi="宋体" w:eastAsia="宋体" w:cs="宋体"/>
          <w:sz w:val="24"/>
        </w:rPr>
        <w:t>（13）法律法规或投标人须知前附表规定的其他情形。</w:t>
      </w:r>
    </w:p>
    <w:p>
      <w:pPr>
        <w:autoSpaceDE w:val="0"/>
        <w:autoSpaceDN w:val="0"/>
        <w:spacing w:line="440" w:lineRule="exact"/>
        <w:jc w:val="left"/>
        <w:rPr>
          <w:rFonts w:hAnsi="宋体" w:cs="宋体"/>
          <w:b/>
          <w:sz w:val="24"/>
          <w:szCs w:val="24"/>
        </w:rPr>
      </w:pPr>
      <w:bookmarkStart w:id="12" w:name="_Toc144974503"/>
      <w:bookmarkStart w:id="13" w:name="_Toc179632552"/>
      <w:bookmarkStart w:id="14" w:name="_Toc152045535"/>
      <w:bookmarkStart w:id="15" w:name="_Toc152042311"/>
      <w:r>
        <w:rPr>
          <w:rFonts w:hint="eastAsia" w:hAnsi="宋体" w:cs="宋体"/>
          <w:b/>
          <w:sz w:val="24"/>
          <w:szCs w:val="24"/>
        </w:rPr>
        <w:t>1.5 费用承担</w:t>
      </w:r>
      <w:bookmarkEnd w:id="12"/>
      <w:bookmarkEnd w:id="13"/>
      <w:bookmarkEnd w:id="14"/>
      <w:bookmarkEnd w:id="15"/>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投标人准备和参加投标活动发生的费用自理。</w:t>
      </w:r>
    </w:p>
    <w:p>
      <w:pPr>
        <w:autoSpaceDE w:val="0"/>
        <w:autoSpaceDN w:val="0"/>
        <w:spacing w:line="440" w:lineRule="exact"/>
        <w:jc w:val="left"/>
        <w:rPr>
          <w:rFonts w:hAnsi="宋体" w:cs="宋体"/>
          <w:b/>
          <w:sz w:val="24"/>
          <w:szCs w:val="24"/>
        </w:rPr>
      </w:pPr>
      <w:bookmarkStart w:id="16" w:name="_Toc152045536"/>
      <w:bookmarkStart w:id="17" w:name="_Toc152042312"/>
      <w:bookmarkStart w:id="18" w:name="_Toc179632553"/>
      <w:bookmarkStart w:id="19" w:name="_Toc144974504"/>
      <w:r>
        <w:rPr>
          <w:rFonts w:hint="eastAsia" w:hAnsi="宋体" w:cs="宋体"/>
          <w:b/>
          <w:sz w:val="24"/>
          <w:szCs w:val="24"/>
        </w:rPr>
        <w:t>1.6 保密</w:t>
      </w:r>
      <w:bookmarkEnd w:id="16"/>
      <w:bookmarkEnd w:id="17"/>
      <w:bookmarkEnd w:id="18"/>
      <w:bookmarkEnd w:id="19"/>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rPr>
          <w:rFonts w:hAnsi="宋体" w:cs="宋体"/>
          <w:b/>
          <w:sz w:val="24"/>
          <w:szCs w:val="24"/>
        </w:rPr>
      </w:pPr>
      <w:bookmarkStart w:id="20" w:name="_Toc144974505"/>
      <w:bookmarkStart w:id="21" w:name="_Toc152045537"/>
      <w:bookmarkStart w:id="22" w:name="_Toc179632554"/>
      <w:bookmarkStart w:id="23" w:name="_Toc152042313"/>
      <w:r>
        <w:rPr>
          <w:rFonts w:hint="eastAsia" w:hAnsi="宋体" w:cs="宋体"/>
          <w:b/>
          <w:sz w:val="24"/>
          <w:szCs w:val="24"/>
        </w:rPr>
        <w:t>1.7 语言</w:t>
      </w:r>
      <w:bookmarkEnd w:id="20"/>
      <w:r>
        <w:rPr>
          <w:rFonts w:hint="eastAsia" w:hAnsi="宋体" w:cs="宋体"/>
          <w:b/>
          <w:sz w:val="24"/>
          <w:szCs w:val="24"/>
        </w:rPr>
        <w:t>文字</w:t>
      </w:r>
      <w:bookmarkEnd w:id="21"/>
      <w:bookmarkEnd w:id="22"/>
      <w:bookmarkEnd w:id="23"/>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除专用术语外，与招标投标有关的语言均使用中文。必要时专用术语应附有中文注释。</w:t>
      </w:r>
    </w:p>
    <w:p>
      <w:pPr>
        <w:autoSpaceDE w:val="0"/>
        <w:autoSpaceDN w:val="0"/>
        <w:spacing w:line="440" w:lineRule="exact"/>
        <w:jc w:val="left"/>
        <w:rPr>
          <w:rFonts w:hAnsi="宋体" w:cs="宋体"/>
          <w:b/>
          <w:sz w:val="24"/>
          <w:szCs w:val="24"/>
        </w:rPr>
      </w:pPr>
      <w:bookmarkStart w:id="24" w:name="_Toc144974506"/>
      <w:bookmarkStart w:id="25" w:name="_Toc152045538"/>
      <w:bookmarkStart w:id="26" w:name="_Toc179632555"/>
      <w:bookmarkStart w:id="27" w:name="_Toc152042314"/>
      <w:r>
        <w:rPr>
          <w:rFonts w:hint="eastAsia" w:hAnsi="宋体" w:cs="宋体"/>
          <w:b/>
          <w:sz w:val="24"/>
          <w:szCs w:val="24"/>
        </w:rPr>
        <w:t>1.8 计量单位</w:t>
      </w:r>
      <w:bookmarkEnd w:id="24"/>
      <w:bookmarkEnd w:id="25"/>
      <w:bookmarkEnd w:id="26"/>
      <w:bookmarkEnd w:id="27"/>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所有计量均采用中华人民共和国法定计量单位。</w:t>
      </w:r>
    </w:p>
    <w:p>
      <w:pPr>
        <w:autoSpaceDE w:val="0"/>
        <w:autoSpaceDN w:val="0"/>
        <w:spacing w:line="440" w:lineRule="exact"/>
        <w:jc w:val="left"/>
        <w:rPr>
          <w:rFonts w:hAnsi="宋体" w:cs="宋体"/>
          <w:b/>
          <w:sz w:val="24"/>
          <w:szCs w:val="24"/>
        </w:rPr>
      </w:pPr>
      <w:r>
        <w:rPr>
          <w:rFonts w:hint="eastAsia" w:hAnsi="宋体" w:cs="宋体"/>
          <w:b/>
          <w:sz w:val="24"/>
          <w:szCs w:val="24"/>
        </w:rPr>
        <w:t>1.9 踏勘现场</w:t>
      </w:r>
      <w:bookmarkEnd w:id="10"/>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1.9.1 不组织。</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1.9.2 投标人踏勘现场发生的费用自理。</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1.9.3 除招标人的原因外，投标人自行负责在踏勘现场中所发生的人员伤亡和财产损失。</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1.9.4 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rPr>
          <w:rFonts w:hAnsi="宋体" w:cs="宋体"/>
          <w:b/>
          <w:sz w:val="24"/>
          <w:szCs w:val="24"/>
        </w:rPr>
      </w:pPr>
      <w:bookmarkStart w:id="28" w:name="_Toc283559948"/>
      <w:r>
        <w:rPr>
          <w:rFonts w:hint="eastAsia" w:hAnsi="宋体" w:cs="宋体"/>
          <w:b/>
          <w:sz w:val="24"/>
          <w:szCs w:val="24"/>
        </w:rPr>
        <w:t>1.10 投标预备会</w:t>
      </w:r>
      <w:bookmarkEnd w:id="28"/>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1.10.1 招标人不召开投标预备会。</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1.10.2 投标人应在投标人须知前附表规定的时间前，将问题在公共资源交易系统电子平台上提出。</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1.10.3 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rPr>
          <w:rFonts w:hAnsi="宋体" w:cs="宋体"/>
          <w:b/>
          <w:sz w:val="24"/>
          <w:szCs w:val="24"/>
        </w:rPr>
      </w:pPr>
      <w:bookmarkStart w:id="29" w:name="_Toc283559949"/>
      <w:r>
        <w:rPr>
          <w:rFonts w:hint="eastAsia" w:hAnsi="宋体" w:cs="宋体"/>
          <w:b/>
          <w:sz w:val="24"/>
          <w:szCs w:val="24"/>
        </w:rPr>
        <w:t>1.11 分包</w:t>
      </w:r>
      <w:bookmarkEnd w:id="29"/>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不允许。</w:t>
      </w:r>
    </w:p>
    <w:p>
      <w:pPr>
        <w:autoSpaceDE w:val="0"/>
        <w:autoSpaceDN w:val="0"/>
        <w:adjustRightInd w:val="0"/>
        <w:spacing w:line="450" w:lineRule="exact"/>
        <w:jc w:val="left"/>
        <w:rPr>
          <w:rFonts w:hAnsi="宋体" w:cs="宋体"/>
          <w:b/>
          <w:sz w:val="24"/>
          <w:szCs w:val="24"/>
        </w:rPr>
      </w:pPr>
      <w:bookmarkStart w:id="30" w:name="_Toc283559950"/>
      <w:r>
        <w:rPr>
          <w:rFonts w:hint="eastAsia" w:hAnsi="宋体" w:cs="宋体"/>
          <w:b/>
          <w:sz w:val="24"/>
          <w:szCs w:val="24"/>
        </w:rPr>
        <w:t>1.12 偏离</w:t>
      </w:r>
      <w:bookmarkEnd w:id="30"/>
    </w:p>
    <w:p>
      <w:pPr>
        <w:autoSpaceDE w:val="0"/>
        <w:autoSpaceDN w:val="0"/>
        <w:adjustRightInd w:val="0"/>
        <w:spacing w:line="450" w:lineRule="exact"/>
        <w:ind w:firstLine="480" w:firstLineChars="200"/>
        <w:jc w:val="left"/>
        <w:rPr>
          <w:rFonts w:hAnsi="宋体" w:cs="宋体"/>
          <w:sz w:val="24"/>
          <w:szCs w:val="24"/>
        </w:rPr>
      </w:pPr>
      <w:r>
        <w:rPr>
          <w:rFonts w:hint="eastAsia" w:hAnsi="宋体" w:cs="宋体"/>
          <w:sz w:val="24"/>
          <w:szCs w:val="24"/>
        </w:rPr>
        <w:t>投标人须知前附表允许投标文件偏离招标文件某些要求的，偏离应当符合招标文件规定的偏离范围和幅度。</w:t>
      </w:r>
    </w:p>
    <w:p>
      <w:pPr>
        <w:pStyle w:val="99"/>
        <w:spacing w:line="450" w:lineRule="exact"/>
        <w:jc w:val="both"/>
        <w:rPr>
          <w:rFonts w:hAnsi="宋体"/>
          <w:b/>
          <w:color w:val="auto"/>
        </w:rPr>
      </w:pPr>
      <w:bookmarkStart w:id="31" w:name="_Toc283559951"/>
      <w:r>
        <w:rPr>
          <w:rFonts w:hint="eastAsia" w:hAnsi="宋体"/>
          <w:b/>
          <w:color w:val="auto"/>
        </w:rPr>
        <w:t>2. 招标文件</w:t>
      </w:r>
      <w:bookmarkEnd w:id="31"/>
    </w:p>
    <w:p>
      <w:pPr>
        <w:autoSpaceDE w:val="0"/>
        <w:autoSpaceDN w:val="0"/>
        <w:spacing w:line="450" w:lineRule="exact"/>
        <w:jc w:val="left"/>
        <w:rPr>
          <w:rFonts w:hAnsi="宋体" w:cs="宋体"/>
          <w:b/>
          <w:sz w:val="24"/>
          <w:szCs w:val="24"/>
        </w:rPr>
      </w:pPr>
      <w:bookmarkStart w:id="32" w:name="_Toc283559952"/>
      <w:bookmarkStart w:id="33" w:name="OLE_LINK1"/>
      <w:r>
        <w:rPr>
          <w:rFonts w:hint="eastAsia" w:hAnsi="宋体" w:cs="宋体"/>
          <w:b/>
          <w:sz w:val="24"/>
          <w:szCs w:val="24"/>
        </w:rPr>
        <w:t>2.1 招标文件的组成</w:t>
      </w:r>
      <w:bookmarkEnd w:id="32"/>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本招标文件包括：</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（1）招标公告；</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（2）投标人须知；</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（3）评标办法；</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（4）合同条款；</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 xml:space="preserve">（5）工程量清单； </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 xml:space="preserve">（6）图纸； </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（7）技术标准和要求；</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（8）投标文件格式；</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（9）投标人须知前附表规定的其他材料；</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根据本章第2.2 款和第2.3 款对招标文件所作的澄清、修改，构成招标文件的组成部分。</w:t>
      </w:r>
    </w:p>
    <w:bookmarkEnd w:id="33"/>
    <w:p>
      <w:pPr>
        <w:autoSpaceDE w:val="0"/>
        <w:autoSpaceDN w:val="0"/>
        <w:spacing w:line="450" w:lineRule="exact"/>
        <w:jc w:val="left"/>
        <w:rPr>
          <w:rFonts w:hAnsi="宋体" w:cs="宋体"/>
          <w:b/>
          <w:sz w:val="24"/>
          <w:szCs w:val="24"/>
        </w:rPr>
      </w:pPr>
      <w:bookmarkStart w:id="34" w:name="_Toc283559953"/>
      <w:r>
        <w:rPr>
          <w:rFonts w:hint="eastAsia" w:hAnsi="宋体" w:cs="宋体"/>
          <w:b/>
          <w:sz w:val="24"/>
          <w:szCs w:val="24"/>
        </w:rPr>
        <w:t>2.2 招标文件的澄清</w:t>
      </w:r>
      <w:bookmarkEnd w:id="34"/>
    </w:p>
    <w:p>
      <w:pPr>
        <w:autoSpaceDE w:val="0"/>
        <w:autoSpaceDN w:val="0"/>
        <w:adjustRightInd w:val="0"/>
        <w:spacing w:line="420" w:lineRule="exact"/>
        <w:ind w:firstLine="480" w:firstLineChars="200"/>
        <w:jc w:val="left"/>
        <w:rPr>
          <w:rFonts w:hAnsi="宋体" w:cs="宋体"/>
          <w:sz w:val="24"/>
          <w:szCs w:val="24"/>
        </w:rPr>
      </w:pPr>
      <w:bookmarkStart w:id="35" w:name="_Toc283559954"/>
      <w:r>
        <w:rPr>
          <w:rFonts w:hint="eastAsia" w:hAnsi="宋体" w:cs="宋体"/>
          <w:sz w:val="24"/>
          <w:szCs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hAnsi="宋体" w:cs="宋体"/>
          <w:b/>
          <w:sz w:val="24"/>
          <w:szCs w:val="24"/>
        </w:rPr>
        <w:t>如未提出异议，视为全面接受。</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2.2.3 所有澄清、答疑全部以《全国公共资源交易平台（河南省·许昌市）》公共资源交易系统发出的为准，不再接受书面形式的递交。</w:t>
      </w:r>
    </w:p>
    <w:p>
      <w:pPr>
        <w:autoSpaceDE w:val="0"/>
        <w:autoSpaceDN w:val="0"/>
        <w:spacing w:line="450" w:lineRule="exact"/>
        <w:jc w:val="left"/>
        <w:rPr>
          <w:rFonts w:hAnsi="宋体" w:cs="宋体"/>
          <w:b/>
          <w:sz w:val="24"/>
          <w:szCs w:val="24"/>
        </w:rPr>
      </w:pPr>
      <w:r>
        <w:rPr>
          <w:rFonts w:hint="eastAsia" w:hAnsi="宋体" w:cs="宋体"/>
          <w:b/>
          <w:sz w:val="24"/>
          <w:szCs w:val="24"/>
        </w:rPr>
        <w:t>2.3 招标文件的修改</w:t>
      </w:r>
      <w:bookmarkEnd w:id="35"/>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2.3.2 当招标文件、补充通知、答疑纪要，内容相互矛盾时，以最后发出的通知或纪要为准。</w:t>
      </w:r>
    </w:p>
    <w:p>
      <w:pPr>
        <w:autoSpaceDE w:val="0"/>
        <w:autoSpaceDN w:val="0"/>
        <w:spacing w:line="420" w:lineRule="exact"/>
        <w:jc w:val="left"/>
        <w:rPr>
          <w:rFonts w:hAnsi="宋体" w:cs="宋体"/>
          <w:b/>
          <w:sz w:val="24"/>
          <w:szCs w:val="24"/>
        </w:rPr>
      </w:pPr>
      <w:bookmarkStart w:id="36" w:name="_Toc179632564"/>
      <w:bookmarkStart w:id="37" w:name="_Toc152045546"/>
      <w:bookmarkStart w:id="38" w:name="_Toc152042322"/>
      <w:bookmarkStart w:id="39" w:name="_Toc144974514"/>
      <w:r>
        <w:rPr>
          <w:rFonts w:hint="eastAsia" w:hAnsi="宋体" w:cs="宋体"/>
          <w:b/>
          <w:sz w:val="24"/>
          <w:szCs w:val="24"/>
        </w:rPr>
        <w:t>3. 投标文件</w:t>
      </w:r>
      <w:bookmarkEnd w:id="36"/>
      <w:bookmarkEnd w:id="37"/>
      <w:bookmarkEnd w:id="38"/>
      <w:bookmarkEnd w:id="39"/>
    </w:p>
    <w:p>
      <w:pPr>
        <w:autoSpaceDE w:val="0"/>
        <w:autoSpaceDN w:val="0"/>
        <w:spacing w:line="420" w:lineRule="exact"/>
        <w:jc w:val="left"/>
        <w:rPr>
          <w:rFonts w:hAnsi="宋体" w:cs="宋体"/>
          <w:b/>
          <w:sz w:val="24"/>
          <w:szCs w:val="24"/>
        </w:rPr>
      </w:pPr>
      <w:bookmarkStart w:id="40" w:name="OLE_LINK2"/>
      <w:bookmarkStart w:id="41" w:name="_Toc278443453"/>
      <w:r>
        <w:rPr>
          <w:rFonts w:hint="eastAsia" w:hAnsi="宋体" w:cs="宋体"/>
          <w:b/>
          <w:sz w:val="24"/>
          <w:szCs w:val="24"/>
        </w:rPr>
        <w:t>3.1投标文件由商务标、综合标和技术标三部分组成。</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3.1.1  商务标组成：</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已标价工程量清单</w:t>
      </w:r>
    </w:p>
    <w:p>
      <w:pPr>
        <w:autoSpaceDE w:val="0"/>
        <w:autoSpaceDN w:val="0"/>
        <w:adjustRightInd w:val="0"/>
        <w:spacing w:line="420" w:lineRule="exact"/>
        <w:ind w:firstLine="480" w:firstLineChars="200"/>
        <w:jc w:val="left"/>
        <w:rPr>
          <w:rFonts w:hAnsi="宋体" w:cs="宋体"/>
          <w:sz w:val="24"/>
          <w:szCs w:val="24"/>
        </w:rPr>
      </w:pPr>
      <w:bookmarkStart w:id="42" w:name="OLE_LINK10"/>
      <w:r>
        <w:rPr>
          <w:rFonts w:hint="eastAsia" w:hAnsi="宋体" w:cs="宋体"/>
          <w:sz w:val="24"/>
          <w:szCs w:val="24"/>
        </w:rPr>
        <w:t>3.1.2  综合标组成：</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（1）投标函及投标函附录；</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（2）法定代表人身份证明、授权委托书；</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（3）投标保证金；</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 xml:space="preserve">（4）项目管理机构配备情况； </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（5）投标单位基本情况</w:t>
      </w:r>
      <w:bookmarkStart w:id="43" w:name="OLE_LINK13"/>
      <w:r>
        <w:rPr>
          <w:rFonts w:hint="eastAsia" w:hAnsi="宋体" w:cs="宋体"/>
          <w:sz w:val="24"/>
          <w:szCs w:val="24"/>
        </w:rPr>
        <w:t>表</w:t>
      </w:r>
      <w:bookmarkEnd w:id="43"/>
      <w:r>
        <w:rPr>
          <w:rFonts w:hint="eastAsia" w:hAnsi="宋体" w:cs="宋体"/>
          <w:sz w:val="24"/>
          <w:szCs w:val="24"/>
        </w:rPr>
        <w:t>；</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（6）资格证明文件；</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（7）近3年财务状况；</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（8）近3年完成的类似项目情况表；</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（9）正在施工的和新承接的项目情况表；</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（10）近3年发生的诉讼及仲裁；</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（11）其它材料。</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3.1.3  技术标组成：</w:t>
      </w:r>
    </w:p>
    <w:bookmarkEnd w:id="40"/>
    <w:bookmarkEnd w:id="42"/>
    <w:p>
      <w:pPr>
        <w:autoSpaceDE w:val="0"/>
        <w:autoSpaceDN w:val="0"/>
        <w:adjustRightInd w:val="0"/>
        <w:snapToGrid w:val="0"/>
        <w:spacing w:line="420" w:lineRule="exact"/>
        <w:ind w:firstLine="480" w:firstLineChars="200"/>
        <w:jc w:val="left"/>
        <w:rPr>
          <w:rFonts w:hAnsi="宋体" w:cs="宋体"/>
          <w:sz w:val="24"/>
          <w:szCs w:val="24"/>
        </w:rPr>
      </w:pPr>
      <w:bookmarkStart w:id="44" w:name="OLE_LINK12"/>
      <w:r>
        <w:rPr>
          <w:rFonts w:hint="eastAsia" w:hAnsi="宋体" w:cs="宋体"/>
          <w:sz w:val="24"/>
          <w:szCs w:val="24"/>
        </w:rPr>
        <w:t>（1）内容完整性；</w:t>
      </w:r>
    </w:p>
    <w:p>
      <w:pPr>
        <w:autoSpaceDE w:val="0"/>
        <w:autoSpaceDN w:val="0"/>
        <w:adjustRightInd w:val="0"/>
        <w:snapToGrid w:val="0"/>
        <w:spacing w:line="420" w:lineRule="exact"/>
        <w:ind w:firstLine="480" w:firstLineChars="200"/>
        <w:jc w:val="left"/>
        <w:rPr>
          <w:rFonts w:hAnsi="宋体" w:cs="宋体"/>
          <w:sz w:val="24"/>
          <w:szCs w:val="24"/>
        </w:rPr>
      </w:pPr>
      <w:r>
        <w:rPr>
          <w:rFonts w:hint="eastAsia" w:hAnsi="宋体" w:cs="宋体"/>
          <w:sz w:val="24"/>
          <w:szCs w:val="24"/>
        </w:rPr>
        <w:t>（2）主要施工方案与技术措施；</w:t>
      </w:r>
    </w:p>
    <w:p>
      <w:pPr>
        <w:autoSpaceDE w:val="0"/>
        <w:autoSpaceDN w:val="0"/>
        <w:adjustRightInd w:val="0"/>
        <w:snapToGrid w:val="0"/>
        <w:spacing w:line="420" w:lineRule="exact"/>
        <w:ind w:firstLine="480" w:firstLineChars="200"/>
        <w:jc w:val="left"/>
        <w:rPr>
          <w:rFonts w:hAnsi="宋体" w:cs="宋体"/>
          <w:sz w:val="24"/>
          <w:szCs w:val="24"/>
        </w:rPr>
      </w:pPr>
      <w:r>
        <w:rPr>
          <w:rFonts w:hint="eastAsia" w:hAnsi="宋体" w:cs="宋体"/>
          <w:sz w:val="24"/>
          <w:szCs w:val="24"/>
        </w:rPr>
        <w:t>（3）质量管理体系与措施；</w:t>
      </w:r>
    </w:p>
    <w:p>
      <w:pPr>
        <w:autoSpaceDE w:val="0"/>
        <w:autoSpaceDN w:val="0"/>
        <w:adjustRightInd w:val="0"/>
        <w:snapToGrid w:val="0"/>
        <w:spacing w:line="420" w:lineRule="exact"/>
        <w:ind w:firstLine="480" w:firstLineChars="200"/>
        <w:jc w:val="left"/>
        <w:rPr>
          <w:rFonts w:hAnsi="宋体" w:cs="宋体"/>
          <w:sz w:val="24"/>
          <w:szCs w:val="24"/>
        </w:rPr>
      </w:pPr>
      <w:r>
        <w:rPr>
          <w:rFonts w:hint="eastAsia" w:hAnsi="宋体" w:cs="宋体"/>
          <w:sz w:val="24"/>
          <w:szCs w:val="24"/>
        </w:rPr>
        <w:t>（4）安全管理体系与措施；</w:t>
      </w:r>
    </w:p>
    <w:p>
      <w:pPr>
        <w:autoSpaceDE w:val="0"/>
        <w:autoSpaceDN w:val="0"/>
        <w:adjustRightInd w:val="0"/>
        <w:snapToGrid w:val="0"/>
        <w:spacing w:line="420" w:lineRule="exact"/>
        <w:ind w:firstLine="480" w:firstLineChars="200"/>
        <w:jc w:val="left"/>
        <w:rPr>
          <w:rFonts w:hAnsi="宋体" w:cs="宋体"/>
          <w:sz w:val="24"/>
          <w:szCs w:val="24"/>
        </w:rPr>
      </w:pPr>
      <w:r>
        <w:rPr>
          <w:rFonts w:hint="eastAsia" w:hAnsi="宋体" w:cs="宋体"/>
          <w:sz w:val="24"/>
          <w:szCs w:val="24"/>
        </w:rPr>
        <w:t>（5）文明施工、环境保护管理体系及施工现场扬尘治理措施；</w:t>
      </w:r>
    </w:p>
    <w:p>
      <w:pPr>
        <w:autoSpaceDE w:val="0"/>
        <w:autoSpaceDN w:val="0"/>
        <w:adjustRightInd w:val="0"/>
        <w:snapToGrid w:val="0"/>
        <w:spacing w:line="420" w:lineRule="exact"/>
        <w:ind w:firstLine="480" w:firstLineChars="200"/>
        <w:jc w:val="left"/>
        <w:rPr>
          <w:rFonts w:hAnsi="宋体" w:cs="宋体"/>
          <w:sz w:val="24"/>
          <w:szCs w:val="24"/>
        </w:rPr>
      </w:pPr>
      <w:r>
        <w:rPr>
          <w:rFonts w:hint="eastAsia" w:hAnsi="宋体" w:cs="宋体"/>
          <w:sz w:val="24"/>
          <w:szCs w:val="24"/>
        </w:rPr>
        <w:t>（6）工期保证措施；</w:t>
      </w:r>
    </w:p>
    <w:p>
      <w:pPr>
        <w:autoSpaceDE w:val="0"/>
        <w:autoSpaceDN w:val="0"/>
        <w:adjustRightInd w:val="0"/>
        <w:snapToGrid w:val="0"/>
        <w:spacing w:line="420" w:lineRule="exact"/>
        <w:ind w:firstLine="480" w:firstLineChars="200"/>
        <w:jc w:val="left"/>
        <w:rPr>
          <w:rFonts w:hAnsi="宋体" w:cs="宋体"/>
          <w:sz w:val="24"/>
          <w:szCs w:val="24"/>
        </w:rPr>
      </w:pPr>
      <w:r>
        <w:rPr>
          <w:rFonts w:hint="eastAsia" w:hAnsi="宋体" w:cs="宋体"/>
          <w:sz w:val="24"/>
          <w:szCs w:val="24"/>
        </w:rPr>
        <w:t>（7）拟投入资源配备计划；</w:t>
      </w:r>
    </w:p>
    <w:p>
      <w:pPr>
        <w:autoSpaceDE w:val="0"/>
        <w:autoSpaceDN w:val="0"/>
        <w:adjustRightInd w:val="0"/>
        <w:snapToGrid w:val="0"/>
        <w:spacing w:line="420" w:lineRule="exact"/>
        <w:ind w:firstLine="480" w:firstLineChars="200"/>
        <w:jc w:val="left"/>
        <w:rPr>
          <w:rFonts w:hAnsi="宋体" w:cs="宋体"/>
          <w:sz w:val="24"/>
          <w:szCs w:val="24"/>
        </w:rPr>
      </w:pPr>
      <w:r>
        <w:rPr>
          <w:rFonts w:hint="eastAsia" w:hAnsi="宋体" w:cs="宋体"/>
          <w:sz w:val="24"/>
          <w:szCs w:val="24"/>
        </w:rPr>
        <w:t>（8）施工进度表与网络计划图；</w:t>
      </w:r>
    </w:p>
    <w:p>
      <w:pPr>
        <w:autoSpaceDE w:val="0"/>
        <w:autoSpaceDN w:val="0"/>
        <w:adjustRightInd w:val="0"/>
        <w:snapToGrid w:val="0"/>
        <w:spacing w:line="420" w:lineRule="exact"/>
        <w:ind w:firstLine="480" w:firstLineChars="200"/>
        <w:jc w:val="left"/>
        <w:rPr>
          <w:rFonts w:hAnsi="宋体" w:cs="宋体"/>
          <w:sz w:val="24"/>
          <w:szCs w:val="24"/>
        </w:rPr>
      </w:pPr>
      <w:r>
        <w:rPr>
          <w:rFonts w:hint="eastAsia" w:hAnsi="宋体" w:cs="宋体"/>
          <w:sz w:val="24"/>
          <w:szCs w:val="24"/>
        </w:rPr>
        <w:t>（9）施工总平面图布置；</w:t>
      </w:r>
    </w:p>
    <w:p>
      <w:pPr>
        <w:autoSpaceDE w:val="0"/>
        <w:autoSpaceDN w:val="0"/>
        <w:adjustRightInd w:val="0"/>
        <w:snapToGrid w:val="0"/>
        <w:spacing w:line="420" w:lineRule="exact"/>
        <w:ind w:firstLine="480" w:firstLineChars="200"/>
        <w:jc w:val="left"/>
        <w:rPr>
          <w:rFonts w:hAnsi="宋体" w:cs="宋体"/>
          <w:sz w:val="24"/>
          <w:szCs w:val="24"/>
        </w:rPr>
      </w:pPr>
      <w:r>
        <w:rPr>
          <w:rFonts w:hint="eastAsia" w:hAnsi="宋体" w:cs="宋体"/>
          <w:sz w:val="24"/>
          <w:szCs w:val="24"/>
        </w:rPr>
        <w:t>（10）技术创新的应用实施措施；</w:t>
      </w:r>
    </w:p>
    <w:p>
      <w:pPr>
        <w:autoSpaceDE w:val="0"/>
        <w:autoSpaceDN w:val="0"/>
        <w:adjustRightInd w:val="0"/>
        <w:snapToGrid w:val="0"/>
        <w:spacing w:line="420" w:lineRule="exact"/>
        <w:ind w:firstLine="480" w:firstLineChars="200"/>
        <w:jc w:val="left"/>
        <w:rPr>
          <w:rFonts w:hAnsi="宋体" w:cs="宋体"/>
          <w:sz w:val="24"/>
          <w:szCs w:val="24"/>
        </w:rPr>
      </w:pPr>
      <w:r>
        <w:rPr>
          <w:rFonts w:hint="eastAsia" w:hAnsi="宋体" w:cs="宋体"/>
          <w:sz w:val="24"/>
          <w:szCs w:val="24"/>
        </w:rPr>
        <w:t>（11）采用新工艺、新技术、新设备、新材料、BIM等的程度；</w:t>
      </w:r>
    </w:p>
    <w:p>
      <w:pPr>
        <w:autoSpaceDE w:val="0"/>
        <w:autoSpaceDN w:val="0"/>
        <w:adjustRightInd w:val="0"/>
        <w:snapToGrid w:val="0"/>
        <w:spacing w:line="420" w:lineRule="exact"/>
        <w:ind w:firstLine="480" w:firstLineChars="200"/>
        <w:jc w:val="left"/>
        <w:rPr>
          <w:rFonts w:hAnsi="宋体" w:cs="宋体"/>
          <w:sz w:val="24"/>
          <w:szCs w:val="24"/>
        </w:rPr>
      </w:pPr>
      <w:r>
        <w:rPr>
          <w:rFonts w:hint="eastAsia" w:hAnsi="宋体" w:cs="宋体"/>
          <w:sz w:val="24"/>
          <w:szCs w:val="24"/>
        </w:rPr>
        <w:t>（12）施工现场实施信息化监控和数据处理；</w:t>
      </w:r>
    </w:p>
    <w:p>
      <w:pPr>
        <w:autoSpaceDE w:val="0"/>
        <w:autoSpaceDN w:val="0"/>
        <w:adjustRightInd w:val="0"/>
        <w:snapToGrid w:val="0"/>
        <w:spacing w:line="420" w:lineRule="exact"/>
        <w:ind w:firstLine="480" w:firstLineChars="200"/>
        <w:jc w:val="left"/>
        <w:rPr>
          <w:rFonts w:hAnsi="宋体" w:cs="宋体"/>
          <w:sz w:val="24"/>
          <w:szCs w:val="24"/>
        </w:rPr>
      </w:pPr>
      <w:r>
        <w:rPr>
          <w:rFonts w:hint="eastAsia" w:hAnsi="宋体" w:cs="宋体"/>
          <w:sz w:val="24"/>
          <w:szCs w:val="24"/>
        </w:rPr>
        <w:t>（13）风险管理措施。</w:t>
      </w:r>
    </w:p>
    <w:p>
      <w:pPr>
        <w:autoSpaceDE w:val="0"/>
        <w:autoSpaceDN w:val="0"/>
        <w:spacing w:line="420" w:lineRule="exact"/>
        <w:jc w:val="left"/>
        <w:rPr>
          <w:rFonts w:hAnsi="宋体" w:cs="宋体"/>
          <w:b/>
          <w:bCs/>
          <w:sz w:val="24"/>
          <w:szCs w:val="24"/>
        </w:rPr>
      </w:pPr>
      <w:r>
        <w:rPr>
          <w:rFonts w:hint="eastAsia" w:hAnsi="宋体" w:cs="宋体"/>
          <w:b/>
          <w:bCs/>
          <w:sz w:val="24"/>
          <w:szCs w:val="24"/>
        </w:rPr>
        <w:t>3.2 投标报价</w:t>
      </w:r>
    </w:p>
    <w:bookmarkEnd w:id="44"/>
    <w:p>
      <w:pPr>
        <w:autoSpaceDE w:val="0"/>
        <w:autoSpaceDN w:val="0"/>
        <w:adjustRightInd w:val="0"/>
        <w:spacing w:line="420" w:lineRule="exact"/>
        <w:ind w:firstLine="480" w:firstLineChars="200"/>
        <w:jc w:val="left"/>
        <w:rPr>
          <w:rFonts w:hAnsi="宋体" w:cs="宋体"/>
          <w:sz w:val="24"/>
          <w:szCs w:val="24"/>
        </w:rPr>
      </w:pPr>
      <w:bookmarkStart w:id="45" w:name="OLE_LINK21"/>
      <w:r>
        <w:rPr>
          <w:rFonts w:hint="eastAsia" w:hAnsi="宋体" w:cs="宋体"/>
          <w:sz w:val="24"/>
          <w:szCs w:val="24"/>
        </w:rPr>
        <w:t>3.2.1 投标人应按第五章“工程量清单”的要求填写相应表格。</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3.2.2 投标人在投标截止时间前修改投标函中的投标总报价，应同时修改第五章“工程量清单”中的相应报价。此修改须符合本章第4.3款的有关要求。</w:t>
      </w:r>
    </w:p>
    <w:p>
      <w:pPr>
        <w:autoSpaceDE w:val="0"/>
        <w:autoSpaceDN w:val="0"/>
        <w:adjustRightInd w:val="0"/>
        <w:spacing w:line="420" w:lineRule="exact"/>
        <w:ind w:firstLine="482" w:firstLineChars="200"/>
        <w:jc w:val="left"/>
        <w:rPr>
          <w:rFonts w:hAnsi="宋体" w:cs="宋体"/>
          <w:b/>
          <w:sz w:val="24"/>
          <w:szCs w:val="24"/>
        </w:rPr>
      </w:pPr>
      <w:r>
        <w:rPr>
          <w:rFonts w:hint="eastAsia" w:hAnsi="宋体" w:cs="宋体"/>
          <w:b/>
          <w:sz w:val="24"/>
          <w:szCs w:val="24"/>
        </w:rPr>
        <w:t>3.2.3“规费和税金”的规定按照住建部《建设工程工程量清单计价规范》（GB50500-2013）及省住建厅有关规定，规费和税金应按规定费（税）率足额计取，即费（税）率不可竞争。</w:t>
      </w:r>
    </w:p>
    <w:p>
      <w:pPr>
        <w:autoSpaceDE w:val="0"/>
        <w:autoSpaceDN w:val="0"/>
        <w:adjustRightInd w:val="0"/>
        <w:snapToGrid w:val="0"/>
        <w:spacing w:line="420" w:lineRule="exact"/>
        <w:ind w:firstLine="482" w:firstLineChars="200"/>
        <w:jc w:val="left"/>
        <w:rPr>
          <w:rFonts w:hAnsi="宋体" w:cs="宋体"/>
          <w:b/>
          <w:sz w:val="24"/>
          <w:szCs w:val="24"/>
        </w:rPr>
      </w:pPr>
      <w:r>
        <w:rPr>
          <w:rFonts w:hint="eastAsia" w:hAnsi="宋体" w:cs="宋体"/>
          <w:b/>
          <w:sz w:val="24"/>
          <w:szCs w:val="24"/>
        </w:rPr>
        <w:t>规费、安全文明施工措施费、暂列金额与专业暂估价、增值税计入投标总报价，并在投标函、投标函附录中单列，不参与商务标评审。</w:t>
      </w:r>
    </w:p>
    <w:bookmarkEnd w:id="45"/>
    <w:p>
      <w:pPr>
        <w:tabs>
          <w:tab w:val="left" w:pos="3060"/>
        </w:tabs>
        <w:autoSpaceDE w:val="0"/>
        <w:autoSpaceDN w:val="0"/>
        <w:spacing w:line="440" w:lineRule="exact"/>
        <w:jc w:val="left"/>
        <w:rPr>
          <w:rFonts w:hAnsi="宋体" w:cs="宋体"/>
          <w:b/>
          <w:bCs/>
          <w:sz w:val="24"/>
          <w:szCs w:val="24"/>
        </w:rPr>
      </w:pPr>
      <w:r>
        <w:rPr>
          <w:rFonts w:hint="eastAsia" w:hAnsi="宋体" w:cs="宋体"/>
          <w:b/>
          <w:bCs/>
          <w:sz w:val="24"/>
          <w:szCs w:val="24"/>
        </w:rPr>
        <w:t>3.3 投标有效期</w:t>
      </w:r>
      <w:bookmarkEnd w:id="41"/>
      <w:r>
        <w:rPr>
          <w:rFonts w:hint="eastAsia" w:hAnsi="宋体" w:cs="宋体"/>
          <w:b/>
          <w:bCs/>
          <w:sz w:val="24"/>
          <w:szCs w:val="24"/>
        </w:rPr>
        <w:tab/>
      </w:r>
    </w:p>
    <w:p>
      <w:pPr>
        <w:autoSpaceDE w:val="0"/>
        <w:autoSpaceDN w:val="0"/>
        <w:adjustRightInd w:val="0"/>
        <w:spacing w:line="420" w:lineRule="exact"/>
        <w:ind w:firstLine="464" w:firstLineChars="200"/>
        <w:jc w:val="left"/>
        <w:rPr>
          <w:rFonts w:hAnsi="宋体" w:cs="宋体"/>
          <w:spacing w:val="-4"/>
          <w:sz w:val="24"/>
          <w:szCs w:val="24"/>
        </w:rPr>
      </w:pPr>
      <w:r>
        <w:rPr>
          <w:rFonts w:hint="eastAsia" w:hAnsi="宋体" w:cs="宋体"/>
          <w:spacing w:val="-4"/>
          <w:sz w:val="24"/>
          <w:szCs w:val="24"/>
        </w:rPr>
        <w:t>3.3.1 在投标人须知前附表规定的投标有效期内，投标人不得要求撤销或修改其投标文件。</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tabs>
          <w:tab w:val="left" w:pos="3060"/>
        </w:tabs>
        <w:autoSpaceDE w:val="0"/>
        <w:autoSpaceDN w:val="0"/>
        <w:spacing w:line="440" w:lineRule="exact"/>
        <w:jc w:val="left"/>
        <w:rPr>
          <w:rFonts w:hAnsi="宋体" w:cs="宋体"/>
          <w:b/>
          <w:bCs/>
          <w:sz w:val="24"/>
          <w:szCs w:val="24"/>
        </w:rPr>
      </w:pPr>
      <w:bookmarkStart w:id="46" w:name="_Toc282436964"/>
      <w:bookmarkStart w:id="47" w:name="_Toc283559960"/>
      <w:r>
        <w:rPr>
          <w:rFonts w:hint="eastAsia" w:hAnsi="宋体" w:cs="宋体"/>
          <w:b/>
          <w:bCs/>
          <w:sz w:val="24"/>
          <w:szCs w:val="24"/>
        </w:rPr>
        <w:t xml:space="preserve">3.4 </w:t>
      </w:r>
      <w:bookmarkEnd w:id="46"/>
      <w:r>
        <w:rPr>
          <w:rFonts w:hint="eastAsia" w:hAnsi="宋体" w:cs="宋体"/>
          <w:b/>
          <w:bCs/>
          <w:sz w:val="24"/>
          <w:szCs w:val="24"/>
        </w:rPr>
        <w:t>投标保证金</w:t>
      </w:r>
    </w:p>
    <w:p>
      <w:pPr>
        <w:autoSpaceDE w:val="0"/>
        <w:autoSpaceDN w:val="0"/>
        <w:adjustRightInd w:val="0"/>
        <w:snapToGrid w:val="0"/>
        <w:spacing w:line="420" w:lineRule="exact"/>
        <w:ind w:firstLine="480" w:firstLineChars="200"/>
        <w:jc w:val="left"/>
        <w:rPr>
          <w:rFonts w:hAnsi="宋体" w:cs="宋体"/>
          <w:sz w:val="24"/>
          <w:szCs w:val="24"/>
        </w:rPr>
      </w:pPr>
      <w:bookmarkStart w:id="48" w:name="OLE_LINK5"/>
      <w:bookmarkStart w:id="49" w:name="OLE_LINK11"/>
      <w:r>
        <w:rPr>
          <w:rFonts w:hint="eastAsia" w:hAnsi="宋体" w:cs="宋体"/>
          <w:sz w:val="24"/>
          <w:szCs w:val="24"/>
        </w:rPr>
        <w:t>3.4.1 投标保证金的基本户备案：按《投标人须知前附表》第3.4.2条规定。</w:t>
      </w:r>
    </w:p>
    <w:p>
      <w:pPr>
        <w:autoSpaceDE w:val="0"/>
        <w:autoSpaceDN w:val="0"/>
        <w:adjustRightInd w:val="0"/>
        <w:snapToGrid w:val="0"/>
        <w:spacing w:line="420" w:lineRule="exact"/>
        <w:ind w:firstLine="480" w:firstLineChars="200"/>
        <w:jc w:val="left"/>
        <w:rPr>
          <w:rFonts w:hAnsi="宋体" w:cs="宋体"/>
          <w:sz w:val="24"/>
          <w:szCs w:val="24"/>
        </w:rPr>
      </w:pPr>
      <w:r>
        <w:rPr>
          <w:rFonts w:hint="eastAsia" w:hAnsi="宋体" w:cs="宋体"/>
          <w:sz w:val="24"/>
          <w:szCs w:val="24"/>
        </w:rPr>
        <w:t>3.4.1.1 自招标文件发布之日起，投标人需进行基本户备案（建设工程项目），已备案的基本户开户银行、账户发生变化的，须重新办理备案手续。备案后方可提交投标（竞买）保证金。</w:t>
      </w:r>
    </w:p>
    <w:p>
      <w:pPr>
        <w:autoSpaceDE w:val="0"/>
        <w:autoSpaceDN w:val="0"/>
        <w:adjustRightInd w:val="0"/>
        <w:snapToGrid w:val="0"/>
        <w:spacing w:line="420" w:lineRule="exact"/>
        <w:ind w:firstLine="480" w:firstLineChars="200"/>
        <w:jc w:val="left"/>
        <w:rPr>
          <w:rFonts w:hAnsi="宋体" w:cs="宋体"/>
          <w:sz w:val="24"/>
          <w:szCs w:val="24"/>
        </w:rPr>
      </w:pPr>
      <w:r>
        <w:rPr>
          <w:rFonts w:hint="eastAsia" w:hAnsi="宋体" w:cs="宋体"/>
          <w:sz w:val="24"/>
          <w:szCs w:val="24"/>
        </w:rPr>
        <w:t xml:space="preserve">3.4.1.2 基本户备案流程： </w:t>
      </w:r>
    </w:p>
    <w:p>
      <w:pPr>
        <w:autoSpaceDE w:val="0"/>
        <w:autoSpaceDN w:val="0"/>
        <w:adjustRightInd w:val="0"/>
        <w:snapToGrid w:val="0"/>
        <w:spacing w:line="420" w:lineRule="exact"/>
        <w:ind w:firstLine="480" w:firstLineChars="200"/>
        <w:jc w:val="left"/>
        <w:rPr>
          <w:rFonts w:hAnsi="宋体" w:cs="宋体"/>
          <w:sz w:val="24"/>
          <w:szCs w:val="24"/>
        </w:rPr>
      </w:pPr>
      <w:r>
        <w:rPr>
          <w:rFonts w:hint="eastAsia" w:hAnsi="宋体" w:cs="宋体"/>
          <w:sz w:val="24"/>
          <w:szCs w:val="24"/>
        </w:rPr>
        <w:t>工程建设项目的投标人登录注册网址：</w:t>
      </w:r>
      <w:r>
        <w:rPr>
          <w:rFonts w:hAnsi="宋体" w:cs="宋体"/>
          <w:sz w:val="24"/>
          <w:szCs w:val="24"/>
        </w:rPr>
        <w:t>http://221.14.6.70:8088/ggzy/eps/public/RegistAllJcxx.html</w:t>
      </w:r>
      <w:r>
        <w:rPr>
          <w:rFonts w:hint="eastAsia" w:hAnsi="宋体" w:cs="宋体"/>
          <w:sz w:val="24"/>
          <w:szCs w:val="24"/>
        </w:rPr>
        <w:t>，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napToGrid w:val="0"/>
        <w:spacing w:line="420" w:lineRule="exact"/>
        <w:ind w:firstLine="480" w:firstLineChars="200"/>
        <w:jc w:val="left"/>
        <w:rPr>
          <w:rFonts w:hAnsi="宋体" w:cs="宋体"/>
          <w:sz w:val="24"/>
          <w:szCs w:val="24"/>
        </w:rPr>
      </w:pPr>
      <w:r>
        <w:rPr>
          <w:rFonts w:hint="eastAsia" w:hAnsi="宋体" w:cs="宋体"/>
          <w:sz w:val="24"/>
          <w:szCs w:val="24"/>
        </w:rPr>
        <w:t>3.4.2 投标保证金缴纳：按《投标人须知前附表》第3.4.2条规定。</w:t>
      </w:r>
    </w:p>
    <w:p>
      <w:pPr>
        <w:autoSpaceDE w:val="0"/>
        <w:autoSpaceDN w:val="0"/>
        <w:adjustRightInd w:val="0"/>
        <w:snapToGrid w:val="0"/>
        <w:spacing w:line="420" w:lineRule="exact"/>
        <w:ind w:firstLine="480" w:firstLineChars="200"/>
        <w:jc w:val="left"/>
        <w:rPr>
          <w:rFonts w:hAnsi="宋体" w:cs="宋体"/>
          <w:sz w:val="24"/>
          <w:szCs w:val="24"/>
        </w:rPr>
      </w:pPr>
      <w:r>
        <w:rPr>
          <w:rFonts w:hint="eastAsia" w:hAnsi="宋体" w:cs="宋体"/>
          <w:sz w:val="24"/>
          <w:szCs w:val="24"/>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autoSpaceDE w:val="0"/>
        <w:autoSpaceDN w:val="0"/>
        <w:adjustRightInd w:val="0"/>
        <w:snapToGrid w:val="0"/>
        <w:spacing w:line="420" w:lineRule="exact"/>
        <w:ind w:firstLine="480" w:firstLineChars="200"/>
        <w:jc w:val="left"/>
        <w:rPr>
          <w:rFonts w:hAnsi="宋体" w:cs="宋体"/>
          <w:sz w:val="24"/>
          <w:szCs w:val="24"/>
        </w:rPr>
      </w:pPr>
      <w:r>
        <w:rPr>
          <w:rFonts w:hint="eastAsia" w:hAnsi="宋体" w:cs="宋体"/>
          <w:sz w:val="24"/>
          <w:szCs w:val="24"/>
        </w:rPr>
        <w:t>使用银行转帐方式的，于截止时间前通过投标人基本账户将款项一次足额递交、成功绑定，以收款人到账时间为准，在途资金无效，视为未按时交纳。同时投标人应承担节假日银行系统不能支付的风险。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napToGrid w:val="0"/>
        <w:spacing w:line="420" w:lineRule="exact"/>
        <w:ind w:firstLine="480" w:firstLineChars="200"/>
        <w:jc w:val="left"/>
        <w:rPr>
          <w:rFonts w:hAnsi="宋体" w:cs="宋体"/>
          <w:sz w:val="24"/>
          <w:szCs w:val="24"/>
        </w:rPr>
      </w:pPr>
      <w:r>
        <w:rPr>
          <w:rFonts w:hint="eastAsia" w:hAnsi="宋体" w:cs="宋体"/>
          <w:sz w:val="24"/>
          <w:szCs w:val="24"/>
        </w:rPr>
        <w:t>3.4.2.2 投标保证金缴纳方式：</w:t>
      </w:r>
    </w:p>
    <w:p>
      <w:pPr>
        <w:autoSpaceDE w:val="0"/>
        <w:autoSpaceDN w:val="0"/>
        <w:adjustRightInd w:val="0"/>
        <w:snapToGrid w:val="0"/>
        <w:spacing w:line="420" w:lineRule="exact"/>
        <w:ind w:firstLine="480" w:firstLineChars="200"/>
        <w:jc w:val="left"/>
        <w:rPr>
          <w:rFonts w:hAnsi="宋体" w:cs="宋体"/>
          <w:sz w:val="24"/>
          <w:szCs w:val="24"/>
        </w:rPr>
      </w:pPr>
      <w:r>
        <w:rPr>
          <w:rFonts w:hint="eastAsia" w:hAnsi="宋体" w:cs="宋体"/>
          <w:sz w:val="24"/>
          <w:szCs w:val="24"/>
        </w:rPr>
        <w:t>投标人网上报名后，登录</w:t>
      </w:r>
      <w:r>
        <w:rPr>
          <w:rFonts w:hAnsi="宋体" w:cs="宋体"/>
          <w:sz w:val="24"/>
          <w:szCs w:val="24"/>
        </w:rPr>
        <w:t>http://221.14.6.70:8088/ggzy/</w:t>
      </w:r>
      <w:r>
        <w:rPr>
          <w:rFonts w:hint="eastAsia" w:hAnsi="宋体" w:cs="宋体"/>
          <w:sz w:val="24"/>
          <w:szCs w:val="24"/>
        </w:rPr>
        <w:t>系统，依次点击“会员向导”→“参与投标”→“费用缴纳说明”→“保证金缴纳说明单”，获取缴费说明单，根据每个标段的缴纳说明单在缴纳截止时间前缴纳；</w:t>
      </w:r>
    </w:p>
    <w:p>
      <w:pPr>
        <w:autoSpaceDE w:val="0"/>
        <w:autoSpaceDN w:val="0"/>
        <w:adjustRightInd w:val="0"/>
        <w:snapToGrid w:val="0"/>
        <w:spacing w:line="420" w:lineRule="exact"/>
        <w:ind w:firstLine="480" w:firstLineChars="200"/>
        <w:jc w:val="left"/>
        <w:rPr>
          <w:rFonts w:hAnsi="宋体" w:cs="宋体"/>
          <w:sz w:val="24"/>
          <w:szCs w:val="24"/>
        </w:rPr>
      </w:pPr>
      <w:r>
        <w:rPr>
          <w:rFonts w:hint="eastAsia" w:hAnsi="宋体" w:cs="宋体"/>
          <w:sz w:val="24"/>
          <w:szCs w:val="24"/>
        </w:rPr>
        <w:t>成功缴纳后重新登录前述系统，依次点击“会员向导”→“参与投标”→“保证金绑定”→“绑定”进行投标保证金绑定。</w:t>
      </w:r>
    </w:p>
    <w:p>
      <w:pPr>
        <w:autoSpaceDE w:val="0"/>
        <w:autoSpaceDN w:val="0"/>
        <w:adjustRightInd w:val="0"/>
        <w:snapToGrid w:val="0"/>
        <w:spacing w:line="420" w:lineRule="exact"/>
        <w:ind w:firstLine="480" w:firstLineChars="200"/>
        <w:jc w:val="left"/>
        <w:rPr>
          <w:rFonts w:hAnsi="宋体" w:cs="宋体"/>
          <w:sz w:val="24"/>
          <w:szCs w:val="24"/>
        </w:rPr>
      </w:pPr>
      <w:r>
        <w:rPr>
          <w:rFonts w:hint="eastAsia" w:hAnsi="宋体" w:cs="宋体"/>
          <w:sz w:val="24"/>
          <w:szCs w:val="24"/>
        </w:rPr>
        <w:t>投标人要严格按照“保证金缴纳说明单”内容缴纳、成功绑定投标保证金，未绑定标段的投标保证金，视为未按时交纳。并将缴纳凭证“襄城县公共资源交易中心保证金缴纳回执”附于投标文件中，同时在开标现场提供一份，以备查询。</w:t>
      </w:r>
    </w:p>
    <w:p>
      <w:pPr>
        <w:autoSpaceDE w:val="0"/>
        <w:autoSpaceDN w:val="0"/>
        <w:adjustRightInd w:val="0"/>
        <w:snapToGrid w:val="0"/>
        <w:spacing w:line="420" w:lineRule="exact"/>
        <w:ind w:firstLine="480" w:firstLineChars="200"/>
        <w:jc w:val="left"/>
        <w:rPr>
          <w:rFonts w:hAnsi="宋体" w:cs="宋体"/>
          <w:sz w:val="24"/>
          <w:szCs w:val="24"/>
        </w:rPr>
      </w:pPr>
      <w:r>
        <w:rPr>
          <w:rFonts w:hint="eastAsia" w:hAnsi="宋体" w:cs="宋体"/>
          <w:sz w:val="24"/>
          <w:szCs w:val="24"/>
        </w:rPr>
        <w:t>3.4.2.3 每个投标人每个项目每个标段只有唯一缴纳账号，切勿重复缴纳或错误缴纳。</w:t>
      </w:r>
    </w:p>
    <w:p>
      <w:pPr>
        <w:autoSpaceDE w:val="0"/>
        <w:autoSpaceDN w:val="0"/>
        <w:adjustRightInd w:val="0"/>
        <w:snapToGrid w:val="0"/>
        <w:spacing w:line="420" w:lineRule="exact"/>
        <w:ind w:firstLine="480" w:firstLineChars="200"/>
        <w:jc w:val="left"/>
        <w:rPr>
          <w:rFonts w:hAnsi="宋体" w:cs="宋体"/>
          <w:sz w:val="24"/>
          <w:szCs w:val="24"/>
        </w:rPr>
      </w:pPr>
      <w:r>
        <w:rPr>
          <w:rFonts w:hint="eastAsia" w:hAnsi="宋体" w:cs="宋体"/>
          <w:sz w:val="24"/>
          <w:szCs w:val="24"/>
        </w:rPr>
        <w:t>3.4.2.4 未按上述规定操作引起的无效投标，由投标人自行负责。</w:t>
      </w:r>
    </w:p>
    <w:p>
      <w:pPr>
        <w:autoSpaceDE w:val="0"/>
        <w:autoSpaceDN w:val="0"/>
        <w:adjustRightInd w:val="0"/>
        <w:snapToGrid w:val="0"/>
        <w:spacing w:line="420" w:lineRule="exact"/>
        <w:ind w:firstLine="480" w:firstLineChars="200"/>
        <w:jc w:val="left"/>
        <w:rPr>
          <w:rFonts w:hAnsi="宋体" w:cs="宋体"/>
          <w:sz w:val="24"/>
          <w:szCs w:val="24"/>
        </w:rPr>
      </w:pPr>
      <w:r>
        <w:rPr>
          <w:rFonts w:hint="eastAsia" w:hAnsi="宋体" w:cs="宋体"/>
          <w:sz w:val="24"/>
          <w:szCs w:val="24"/>
        </w:rPr>
        <w:t>3.4.2.5 汇款凭证无须备注项目编号和项目名称。</w:t>
      </w:r>
    </w:p>
    <w:p>
      <w:pPr>
        <w:autoSpaceDE w:val="0"/>
        <w:autoSpaceDN w:val="0"/>
        <w:adjustRightInd w:val="0"/>
        <w:snapToGrid w:val="0"/>
        <w:spacing w:line="420" w:lineRule="exact"/>
        <w:ind w:firstLine="480" w:firstLineChars="200"/>
        <w:jc w:val="left"/>
        <w:rPr>
          <w:rFonts w:hAnsi="宋体" w:cs="宋体"/>
          <w:sz w:val="24"/>
          <w:szCs w:val="24"/>
        </w:rPr>
      </w:pPr>
      <w:r>
        <w:rPr>
          <w:rFonts w:hint="eastAsia" w:hAnsi="宋体" w:cs="宋体"/>
          <w:sz w:val="24"/>
          <w:szCs w:val="24"/>
        </w:rPr>
        <w:t>3.4.2.6 出现以下情形造成的投标保证金无效，由投标人自行负责。</w:t>
      </w:r>
    </w:p>
    <w:p>
      <w:pPr>
        <w:autoSpaceDE w:val="0"/>
        <w:autoSpaceDN w:val="0"/>
        <w:adjustRightInd w:val="0"/>
        <w:snapToGrid w:val="0"/>
        <w:spacing w:line="420" w:lineRule="exact"/>
        <w:ind w:firstLine="480" w:firstLineChars="200"/>
        <w:jc w:val="left"/>
        <w:rPr>
          <w:rFonts w:hAnsi="宋体" w:cs="宋体"/>
          <w:sz w:val="24"/>
          <w:szCs w:val="24"/>
        </w:rPr>
      </w:pPr>
      <w:r>
        <w:rPr>
          <w:rFonts w:hint="eastAsia" w:hAnsi="宋体" w:cs="宋体"/>
          <w:sz w:val="24"/>
          <w:szCs w:val="24"/>
        </w:rPr>
        <w:t>(1)投标保证金未从投标人的基本账户转出；</w:t>
      </w:r>
    </w:p>
    <w:p>
      <w:pPr>
        <w:autoSpaceDE w:val="0"/>
        <w:autoSpaceDN w:val="0"/>
        <w:adjustRightInd w:val="0"/>
        <w:snapToGrid w:val="0"/>
        <w:spacing w:line="420" w:lineRule="exact"/>
        <w:ind w:firstLine="480" w:firstLineChars="200"/>
        <w:jc w:val="left"/>
        <w:rPr>
          <w:rFonts w:hAnsi="宋体" w:cs="宋体"/>
          <w:sz w:val="24"/>
          <w:szCs w:val="24"/>
        </w:rPr>
      </w:pPr>
      <w:r>
        <w:rPr>
          <w:rFonts w:hint="eastAsia" w:hAnsi="宋体" w:cs="宋体"/>
          <w:sz w:val="24"/>
          <w:szCs w:val="24"/>
        </w:rPr>
        <w:t>(2)投标保证金未按照招标文件划分的标段转账。</w:t>
      </w:r>
    </w:p>
    <w:p>
      <w:pPr>
        <w:autoSpaceDE w:val="0"/>
        <w:autoSpaceDN w:val="0"/>
        <w:adjustRightInd w:val="0"/>
        <w:snapToGrid w:val="0"/>
        <w:spacing w:line="420" w:lineRule="exact"/>
        <w:ind w:firstLine="480" w:firstLineChars="200"/>
        <w:jc w:val="left"/>
        <w:rPr>
          <w:rFonts w:hAnsi="宋体" w:cs="宋体"/>
          <w:sz w:val="24"/>
          <w:szCs w:val="24"/>
        </w:rPr>
      </w:pPr>
      <w:r>
        <w:rPr>
          <w:rFonts w:hint="eastAsia" w:hAnsi="宋体" w:cs="宋体"/>
          <w:sz w:val="24"/>
          <w:szCs w:val="24"/>
        </w:rPr>
        <w:t>3.4.2.7 《保证金缴纳绑定操作指南》获取方法：</w:t>
      </w:r>
    </w:p>
    <w:p>
      <w:pPr>
        <w:autoSpaceDE w:val="0"/>
        <w:autoSpaceDN w:val="0"/>
        <w:adjustRightInd w:val="0"/>
        <w:snapToGrid w:val="0"/>
        <w:spacing w:line="420" w:lineRule="exact"/>
        <w:ind w:firstLine="480" w:firstLineChars="200"/>
        <w:jc w:val="left"/>
        <w:rPr>
          <w:rFonts w:hAnsi="宋体" w:cs="宋体"/>
          <w:sz w:val="24"/>
          <w:szCs w:val="24"/>
        </w:rPr>
      </w:pPr>
      <w:r>
        <w:rPr>
          <w:rFonts w:hint="eastAsia" w:hAnsi="宋体" w:cs="宋体"/>
          <w:sz w:val="24"/>
          <w:szCs w:val="24"/>
        </w:rPr>
        <w:t>登录许昌公共资源交易系统-组件下载-《保证金缴纳绑定操作指南》</w:t>
      </w:r>
    </w:p>
    <w:p>
      <w:pPr>
        <w:autoSpaceDE w:val="0"/>
        <w:autoSpaceDN w:val="0"/>
        <w:adjustRightInd w:val="0"/>
        <w:snapToGrid w:val="0"/>
        <w:spacing w:line="420" w:lineRule="exact"/>
        <w:ind w:firstLine="480" w:firstLineChars="200"/>
        <w:jc w:val="left"/>
        <w:rPr>
          <w:rFonts w:hAnsi="宋体" w:cs="宋体"/>
          <w:sz w:val="24"/>
          <w:szCs w:val="24"/>
        </w:rPr>
      </w:pPr>
      <w:r>
        <w:rPr>
          <w:rFonts w:hint="eastAsia" w:hAnsi="宋体" w:cs="宋体"/>
          <w:sz w:val="24"/>
          <w:szCs w:val="24"/>
        </w:rPr>
        <w:t>3.4.3 投标人不按本章第3.4.2项要求提交投标保证金的，拒收其投标文件。</w:t>
      </w:r>
    </w:p>
    <w:p>
      <w:pPr>
        <w:autoSpaceDE w:val="0"/>
        <w:autoSpaceDN w:val="0"/>
        <w:adjustRightInd w:val="0"/>
        <w:snapToGrid w:val="0"/>
        <w:spacing w:line="420" w:lineRule="exact"/>
        <w:ind w:firstLine="480" w:firstLineChars="200"/>
        <w:jc w:val="left"/>
        <w:rPr>
          <w:rFonts w:hAnsi="宋体" w:cs="宋体"/>
          <w:sz w:val="24"/>
          <w:szCs w:val="24"/>
        </w:rPr>
      </w:pPr>
      <w:r>
        <w:rPr>
          <w:rFonts w:hint="eastAsia" w:hAnsi="宋体" w:cs="宋体"/>
          <w:sz w:val="24"/>
          <w:szCs w:val="24"/>
        </w:rPr>
        <w:t>3.4.4 投标保证金的退还：</w:t>
      </w:r>
    </w:p>
    <w:p>
      <w:pPr>
        <w:autoSpaceDE w:val="0"/>
        <w:autoSpaceDN w:val="0"/>
        <w:adjustRightInd w:val="0"/>
        <w:snapToGrid w:val="0"/>
        <w:spacing w:line="420" w:lineRule="exact"/>
        <w:ind w:firstLine="480" w:firstLineChars="200"/>
        <w:jc w:val="left"/>
        <w:rPr>
          <w:rFonts w:hAnsi="宋体" w:cs="宋体"/>
          <w:sz w:val="24"/>
          <w:szCs w:val="24"/>
        </w:rPr>
      </w:pPr>
      <w:r>
        <w:rPr>
          <w:rFonts w:hint="eastAsia" w:hAnsi="宋体" w:cs="宋体"/>
          <w:sz w:val="24"/>
          <w:szCs w:val="24"/>
        </w:rPr>
        <w:t>（1）中标候选人公示期满后没有质疑或投诉的，退还非中标候选人投标保证金及银行同期存款利息；在书面合同签订后5日内向中标人和其他中标候选人退还投标保证金及银行同期存款利息。</w:t>
      </w:r>
    </w:p>
    <w:p>
      <w:pPr>
        <w:autoSpaceDE w:val="0"/>
        <w:autoSpaceDN w:val="0"/>
        <w:adjustRightInd w:val="0"/>
        <w:snapToGrid w:val="0"/>
        <w:spacing w:line="420" w:lineRule="exact"/>
        <w:ind w:firstLine="480" w:firstLineChars="200"/>
        <w:jc w:val="left"/>
        <w:rPr>
          <w:rFonts w:hAnsi="宋体" w:cs="宋体"/>
          <w:sz w:val="24"/>
          <w:szCs w:val="24"/>
        </w:rPr>
      </w:pPr>
      <w:r>
        <w:rPr>
          <w:rFonts w:hint="eastAsia" w:hAnsi="宋体" w:cs="宋体"/>
          <w:sz w:val="24"/>
          <w:szCs w:val="24"/>
        </w:rPr>
        <w:t>（2）法定期限内未签订书面合同的，按照有关规定向中标人和其他中标候选人退还投标保证金及银行同期活期存款利息。</w:t>
      </w:r>
    </w:p>
    <w:p>
      <w:pPr>
        <w:autoSpaceDE w:val="0"/>
        <w:autoSpaceDN w:val="0"/>
        <w:adjustRightInd w:val="0"/>
        <w:snapToGrid w:val="0"/>
        <w:spacing w:line="420" w:lineRule="exact"/>
        <w:ind w:firstLine="480" w:firstLineChars="200"/>
        <w:jc w:val="left"/>
        <w:rPr>
          <w:rFonts w:hAnsi="宋体" w:cs="宋体"/>
          <w:sz w:val="24"/>
          <w:szCs w:val="24"/>
        </w:rPr>
      </w:pPr>
      <w:r>
        <w:rPr>
          <w:rFonts w:hint="eastAsia" w:hAnsi="宋体" w:cs="宋体"/>
          <w:sz w:val="24"/>
          <w:szCs w:val="24"/>
        </w:rPr>
        <w:t>（3）项目废标或招标人终止招标的，在此后5个工作日内退还投标保证金及银行同期活期存利息。</w:t>
      </w:r>
      <w:r>
        <w:rPr>
          <w:rFonts w:hint="eastAsia" w:hAnsi="宋体" w:cs="宋体"/>
          <w:sz w:val="24"/>
          <w:szCs w:val="24"/>
        </w:rPr>
        <w:br w:type="textWrapping"/>
      </w:r>
      <w:r>
        <w:rPr>
          <w:rFonts w:hint="eastAsia" w:hAnsi="宋体" w:cs="宋体"/>
          <w:sz w:val="24"/>
          <w:szCs w:val="24"/>
        </w:rPr>
        <w:t xml:space="preserve">    （4）投标活动中出现质疑、投诉的，中标候选人、质疑人和被质疑人、投诉人和被投诉人的投标保证金暂停退还。</w:t>
      </w:r>
    </w:p>
    <w:p>
      <w:pPr>
        <w:autoSpaceDE w:val="0"/>
        <w:autoSpaceDN w:val="0"/>
        <w:adjustRightInd w:val="0"/>
        <w:snapToGrid w:val="0"/>
        <w:spacing w:line="420" w:lineRule="exact"/>
        <w:ind w:firstLine="480" w:firstLineChars="200"/>
        <w:jc w:val="left"/>
        <w:rPr>
          <w:rFonts w:hAnsi="宋体" w:cs="宋体"/>
          <w:sz w:val="24"/>
          <w:szCs w:val="24"/>
        </w:rPr>
      </w:pPr>
      <w:r>
        <w:rPr>
          <w:rFonts w:hint="eastAsia" w:hAnsi="宋体" w:cs="宋体"/>
          <w:sz w:val="24"/>
          <w:szCs w:val="24"/>
        </w:rPr>
        <w:t>（5）相关投标人有违法违规行为的项目，其投标保证金暂不退还，待行政监督部门对相关情况处置后，按照有关规定办理。.</w:t>
      </w:r>
    </w:p>
    <w:p>
      <w:pPr>
        <w:autoSpaceDE w:val="0"/>
        <w:autoSpaceDN w:val="0"/>
        <w:adjustRightInd w:val="0"/>
        <w:snapToGrid w:val="0"/>
        <w:spacing w:line="420" w:lineRule="exact"/>
        <w:ind w:firstLine="480" w:firstLineChars="200"/>
        <w:jc w:val="left"/>
        <w:rPr>
          <w:rFonts w:hAnsi="宋体" w:cs="宋体"/>
          <w:sz w:val="24"/>
          <w:szCs w:val="24"/>
        </w:rPr>
      </w:pPr>
      <w:r>
        <w:rPr>
          <w:rFonts w:hint="eastAsia" w:hAnsi="宋体" w:cs="宋体"/>
          <w:sz w:val="24"/>
          <w:szCs w:val="24"/>
        </w:rPr>
        <w:t>（6）因投标人的原因无法及时退还投标（竞买）保证金、滞留三年以上的，投标（竞买）保证金上缴同级国库。</w:t>
      </w:r>
    </w:p>
    <w:p>
      <w:pPr>
        <w:autoSpaceDE w:val="0"/>
        <w:autoSpaceDN w:val="0"/>
        <w:adjustRightInd w:val="0"/>
        <w:snapToGrid w:val="0"/>
        <w:spacing w:line="420" w:lineRule="exact"/>
        <w:ind w:firstLine="480" w:firstLineChars="200"/>
        <w:jc w:val="left"/>
        <w:rPr>
          <w:rFonts w:hAnsi="宋体" w:cs="宋体"/>
          <w:sz w:val="24"/>
          <w:szCs w:val="24"/>
        </w:rPr>
      </w:pPr>
      <w:r>
        <w:rPr>
          <w:rFonts w:hint="eastAsia" w:hAnsi="宋体" w:cs="宋体"/>
          <w:sz w:val="24"/>
          <w:szCs w:val="24"/>
        </w:rPr>
        <w:t>（7）退还投标保证金，除另有规定外，一般以转账方式一次性退还至投标保证金的原提交账户。</w:t>
      </w:r>
    </w:p>
    <w:p>
      <w:pPr>
        <w:autoSpaceDE w:val="0"/>
        <w:autoSpaceDN w:val="0"/>
        <w:adjustRightInd w:val="0"/>
        <w:snapToGrid w:val="0"/>
        <w:spacing w:line="420" w:lineRule="exact"/>
        <w:ind w:firstLine="480" w:firstLineChars="200"/>
        <w:jc w:val="left"/>
        <w:rPr>
          <w:rFonts w:hAnsi="宋体" w:cs="宋体"/>
          <w:sz w:val="24"/>
          <w:szCs w:val="24"/>
        </w:rPr>
      </w:pPr>
      <w:r>
        <w:rPr>
          <w:rFonts w:hint="eastAsia" w:hAnsi="宋体" w:cs="宋体"/>
          <w:sz w:val="24"/>
          <w:szCs w:val="24"/>
        </w:rPr>
        <w:t>（8）特殊情况处理</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投标人投标过程中因账户开户银行、银行账号发生变化，不能按照来款途径原路返还投标保证金的，投标人须提供原账户开户银行相关证明及新开账户开户许可证，到交易中心12楼1209室办理退款手续（0374-3998022）。</w:t>
      </w:r>
    </w:p>
    <w:p>
      <w:pPr>
        <w:autoSpaceDE w:val="0"/>
        <w:autoSpaceDN w:val="0"/>
        <w:adjustRightInd w:val="0"/>
        <w:snapToGrid w:val="0"/>
        <w:spacing w:line="420" w:lineRule="exact"/>
        <w:ind w:firstLine="480" w:firstLineChars="200"/>
        <w:jc w:val="left"/>
        <w:rPr>
          <w:rFonts w:hAnsi="宋体" w:cs="宋体"/>
          <w:sz w:val="24"/>
          <w:szCs w:val="24"/>
        </w:rPr>
      </w:pPr>
      <w:r>
        <w:rPr>
          <w:rFonts w:hint="eastAsia" w:hAnsi="宋体" w:cs="宋体"/>
          <w:sz w:val="24"/>
          <w:szCs w:val="24"/>
        </w:rPr>
        <w:t>3.4.5 投标人有下列情形之一的，不予退还投标保证金：</w:t>
      </w:r>
    </w:p>
    <w:p>
      <w:pPr>
        <w:autoSpaceDE w:val="0"/>
        <w:autoSpaceDN w:val="0"/>
        <w:adjustRightInd w:val="0"/>
        <w:snapToGrid w:val="0"/>
        <w:spacing w:line="420" w:lineRule="exact"/>
        <w:ind w:firstLine="480" w:firstLineChars="200"/>
        <w:jc w:val="left"/>
        <w:rPr>
          <w:rFonts w:hAnsi="宋体" w:cs="宋体"/>
          <w:sz w:val="24"/>
          <w:szCs w:val="24"/>
        </w:rPr>
      </w:pPr>
      <w:r>
        <w:rPr>
          <w:rFonts w:hint="eastAsia" w:hAnsi="宋体" w:cs="宋体"/>
          <w:sz w:val="24"/>
          <w:szCs w:val="24"/>
        </w:rPr>
        <w:t xml:space="preserve">（1）在招标文件要求提交投标文件的截止时间后至投标文件有效期满前撤回投标的； </w:t>
      </w:r>
    </w:p>
    <w:p>
      <w:pPr>
        <w:autoSpaceDE w:val="0"/>
        <w:autoSpaceDN w:val="0"/>
        <w:adjustRightInd w:val="0"/>
        <w:snapToGrid w:val="0"/>
        <w:spacing w:line="420" w:lineRule="exact"/>
        <w:ind w:firstLine="480" w:firstLineChars="200"/>
        <w:jc w:val="left"/>
        <w:rPr>
          <w:rFonts w:hAnsi="宋体" w:cs="宋体"/>
          <w:sz w:val="24"/>
          <w:szCs w:val="24"/>
        </w:rPr>
      </w:pPr>
      <w:r>
        <w:rPr>
          <w:rFonts w:hint="eastAsia" w:hAnsi="宋体" w:cs="宋体"/>
          <w:sz w:val="24"/>
          <w:szCs w:val="24"/>
        </w:rPr>
        <w:t xml:space="preserve">（2）中标通知书发出后，中标人无故放弃中标项目或无正当理由在规定时间内不与招标人签订合同或未按招标文件规定提交履约担保的； </w:t>
      </w:r>
    </w:p>
    <w:p>
      <w:pPr>
        <w:autoSpaceDE w:val="0"/>
        <w:autoSpaceDN w:val="0"/>
        <w:adjustRightInd w:val="0"/>
        <w:snapToGrid w:val="0"/>
        <w:spacing w:line="420" w:lineRule="exact"/>
        <w:ind w:firstLine="480" w:firstLineChars="200"/>
        <w:jc w:val="left"/>
        <w:rPr>
          <w:rFonts w:hAnsi="宋体" w:cs="宋体"/>
          <w:sz w:val="24"/>
          <w:szCs w:val="24"/>
        </w:rPr>
      </w:pPr>
      <w:r>
        <w:rPr>
          <w:rFonts w:hint="eastAsia" w:hAnsi="宋体" w:cs="宋体"/>
          <w:sz w:val="24"/>
          <w:szCs w:val="24"/>
        </w:rPr>
        <w:t xml:space="preserve">（3）将中标项目转让给他人，或者在投标文件中未说明，且未经招标人同意，将中标项目分包给他人的； </w:t>
      </w:r>
    </w:p>
    <w:p>
      <w:pPr>
        <w:autoSpaceDE w:val="0"/>
        <w:autoSpaceDN w:val="0"/>
        <w:adjustRightInd w:val="0"/>
        <w:snapToGrid w:val="0"/>
        <w:spacing w:line="420" w:lineRule="exact"/>
        <w:ind w:firstLine="480" w:firstLineChars="200"/>
        <w:jc w:val="left"/>
        <w:rPr>
          <w:rFonts w:hAnsi="宋体" w:cs="宋体"/>
          <w:sz w:val="24"/>
          <w:szCs w:val="24"/>
        </w:rPr>
      </w:pPr>
      <w:r>
        <w:rPr>
          <w:rFonts w:hint="eastAsia" w:hAnsi="宋体" w:cs="宋体"/>
          <w:sz w:val="24"/>
          <w:szCs w:val="24"/>
        </w:rPr>
        <w:t xml:space="preserve">（4）投标人在招投标活动中弄虚作假、围标串标、骗取中标等，并经招投标行政监督部门调查核实的； </w:t>
      </w:r>
    </w:p>
    <w:p>
      <w:pPr>
        <w:autoSpaceDE w:val="0"/>
        <w:autoSpaceDN w:val="0"/>
        <w:adjustRightInd w:val="0"/>
        <w:snapToGrid w:val="0"/>
        <w:spacing w:line="420" w:lineRule="exact"/>
        <w:ind w:firstLine="480" w:firstLineChars="200"/>
        <w:jc w:val="left"/>
        <w:rPr>
          <w:rFonts w:hAnsi="宋体" w:cs="宋体"/>
          <w:sz w:val="24"/>
          <w:szCs w:val="24"/>
        </w:rPr>
      </w:pPr>
      <w:r>
        <w:rPr>
          <w:rFonts w:hint="eastAsia" w:hAnsi="宋体" w:cs="宋体"/>
          <w:sz w:val="24"/>
          <w:szCs w:val="24"/>
        </w:rPr>
        <w:t>（5）拒绝履行合同义务的；</w:t>
      </w:r>
    </w:p>
    <w:p>
      <w:pPr>
        <w:autoSpaceDE w:val="0"/>
        <w:autoSpaceDN w:val="0"/>
        <w:adjustRightInd w:val="0"/>
        <w:snapToGrid w:val="0"/>
        <w:spacing w:line="420" w:lineRule="exact"/>
        <w:ind w:firstLine="480" w:firstLineChars="200"/>
        <w:jc w:val="left"/>
        <w:rPr>
          <w:rFonts w:hAnsi="宋体" w:cs="宋体"/>
          <w:sz w:val="24"/>
          <w:szCs w:val="24"/>
        </w:rPr>
      </w:pPr>
      <w:r>
        <w:rPr>
          <w:rFonts w:hint="eastAsia" w:hAnsi="宋体" w:cs="宋体"/>
          <w:sz w:val="24"/>
          <w:szCs w:val="24"/>
        </w:rPr>
        <w:t>（6）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 xml:space="preserve">（7）相关法律、法规规定不予退还的其它情形。 </w:t>
      </w:r>
    </w:p>
    <w:p>
      <w:pPr>
        <w:autoSpaceDE w:val="0"/>
        <w:autoSpaceDN w:val="0"/>
        <w:spacing w:line="420" w:lineRule="exact"/>
        <w:jc w:val="left"/>
        <w:rPr>
          <w:rFonts w:hAnsi="宋体" w:cs="宋体"/>
          <w:b/>
          <w:sz w:val="24"/>
          <w:szCs w:val="24"/>
        </w:rPr>
      </w:pPr>
      <w:r>
        <w:rPr>
          <w:rFonts w:hint="eastAsia" w:hAnsi="宋体" w:cs="宋体"/>
          <w:b/>
          <w:sz w:val="24"/>
          <w:szCs w:val="24"/>
        </w:rPr>
        <w:t>3.5 资格审查资料</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3.5.1 “投标单位基本情况表”</w:t>
      </w:r>
      <w:r>
        <w:rPr>
          <w:rFonts w:hint="eastAsia" w:hAnsi="宋体"/>
          <w:color w:val="000000"/>
          <w:sz w:val="24"/>
        </w:rPr>
        <w:t xml:space="preserve"> 应附企业法人营业执照副本、企业资质证书</w:t>
      </w:r>
      <w:r>
        <w:rPr>
          <w:rFonts w:hint="eastAsia" w:hAnsi="宋体"/>
          <w:sz w:val="24"/>
        </w:rPr>
        <w:t>副本、安全生产许可证副本等材料的</w:t>
      </w:r>
      <w:r>
        <w:rPr>
          <w:rFonts w:hint="eastAsia" w:hAnsi="宋体" w:cs="仿宋_GB2312"/>
          <w:sz w:val="24"/>
        </w:rPr>
        <w:t>原件扫描件或图片</w:t>
      </w:r>
      <w:r>
        <w:rPr>
          <w:rFonts w:hint="eastAsia" w:hAnsi="宋体" w:cs="宋体"/>
          <w:sz w:val="24"/>
          <w:szCs w:val="24"/>
        </w:rPr>
        <w:t>。</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3.5.2 “近3年财务状况表”</w:t>
      </w:r>
      <w:r>
        <w:rPr>
          <w:rFonts w:hint="eastAsia" w:hAnsi="宋体" w:cs="宋体"/>
          <w:sz w:val="24"/>
        </w:rPr>
        <w:t xml:space="preserve"> 应附经会计师事务所或审计机构审计的财务会计报表，包括资产负债表、现金流量表、利润表和财务情况说明书的原件扫描件或图片，具体年份要求见投标人须知前附表。</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3.5.3 “近3年完成的类似项目情况表”</w:t>
      </w:r>
      <w:r>
        <w:rPr>
          <w:rFonts w:hint="eastAsia" w:hAnsi="宋体" w:cs="宋体"/>
          <w:sz w:val="24"/>
        </w:rPr>
        <w:t xml:space="preserve"> 应附中标通知书和合同协议书或合同协议书和工程竣工验收备案表（或工程竣工验收证书）的原件扫描件或图片，具体年份要求见投标人须知前附表。每张表格只填写一个项目，并标明序号。</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3.5.4 “正在施工的和新承接的项目情况表”</w:t>
      </w:r>
      <w:r>
        <w:rPr>
          <w:rFonts w:hint="eastAsia" w:hAnsi="宋体" w:cs="宋体"/>
          <w:sz w:val="24"/>
        </w:rPr>
        <w:t xml:space="preserve"> 应附中标通知书和合同协议书的原件扫描件或图片。每张表格只填写一个项目，并标明序号。</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3.5.5 “近3年发生的诉讼及仲裁情况”</w:t>
      </w:r>
      <w:r>
        <w:rPr>
          <w:rFonts w:hint="eastAsia" w:hAnsi="宋体" w:cs="宋体"/>
          <w:sz w:val="24"/>
        </w:rPr>
        <w:t xml:space="preserve"> 应说明相关情况，并附法院或仲裁机构作出的判决、裁决等有关法律文书原件扫描件或图片，具体年份要求见投标人须知前附表。</w:t>
      </w:r>
    </w:p>
    <w:bookmarkEnd w:id="48"/>
    <w:p>
      <w:pPr>
        <w:autoSpaceDE w:val="0"/>
        <w:autoSpaceDN w:val="0"/>
        <w:spacing w:line="440" w:lineRule="exact"/>
        <w:jc w:val="left"/>
        <w:rPr>
          <w:rFonts w:hAnsi="宋体" w:cs="宋体"/>
          <w:b/>
          <w:sz w:val="24"/>
          <w:szCs w:val="24"/>
        </w:rPr>
      </w:pPr>
      <w:r>
        <w:rPr>
          <w:rFonts w:hint="eastAsia" w:hAnsi="宋体" w:cs="宋体"/>
          <w:b/>
          <w:sz w:val="24"/>
          <w:szCs w:val="24"/>
        </w:rPr>
        <w:t xml:space="preserve">3.6 </w:t>
      </w:r>
      <w:bookmarkStart w:id="50" w:name="_Toc152045553"/>
      <w:bookmarkStart w:id="51" w:name="_Toc152042329"/>
      <w:bookmarkStart w:id="52" w:name="_Toc144974521"/>
      <w:bookmarkStart w:id="53" w:name="_Toc179632571"/>
      <w:r>
        <w:rPr>
          <w:rFonts w:hint="eastAsia" w:hAnsi="宋体" w:cs="宋体"/>
          <w:b/>
          <w:sz w:val="24"/>
          <w:szCs w:val="24"/>
        </w:rPr>
        <w:t>备选投标方案</w:t>
      </w:r>
    </w:p>
    <w:bookmarkEnd w:id="49"/>
    <w:bookmarkEnd w:id="50"/>
    <w:bookmarkEnd w:id="51"/>
    <w:bookmarkEnd w:id="52"/>
    <w:bookmarkEnd w:id="53"/>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rPr>
          <w:rFonts w:hAnsi="宋体" w:cs="宋体"/>
          <w:b/>
          <w:sz w:val="24"/>
          <w:szCs w:val="24"/>
        </w:rPr>
      </w:pPr>
      <w:r>
        <w:rPr>
          <w:rFonts w:hint="eastAsia" w:hAnsi="宋体" w:cs="宋体"/>
          <w:b/>
          <w:sz w:val="24"/>
          <w:szCs w:val="24"/>
        </w:rPr>
        <w:t>3.7 投标文件的编制</w:t>
      </w:r>
      <w:bookmarkEnd w:id="47"/>
    </w:p>
    <w:p>
      <w:pPr>
        <w:autoSpaceDE w:val="0"/>
        <w:autoSpaceDN w:val="0"/>
        <w:adjustRightInd w:val="0"/>
        <w:spacing w:line="420" w:lineRule="exact"/>
        <w:ind w:firstLine="480" w:firstLineChars="200"/>
        <w:jc w:val="left"/>
        <w:rPr>
          <w:rFonts w:hAnsi="宋体" w:cs="宋体"/>
          <w:sz w:val="24"/>
          <w:szCs w:val="24"/>
        </w:rPr>
      </w:pPr>
      <w:bookmarkStart w:id="54" w:name="_Toc283559961"/>
      <w:r>
        <w:rPr>
          <w:rFonts w:hint="eastAsia" w:hAnsi="宋体" w:cs="宋体"/>
          <w:sz w:val="24"/>
          <w:szCs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3.7.2 投标文件应当对招标文件有关工期、投标有效期、质量要求、招标范围作出响应。</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3.7.3 投标人编制的投标文件应分为商务标、综合标和技术标。</w:t>
      </w:r>
    </w:p>
    <w:p>
      <w:pPr>
        <w:autoSpaceDE w:val="0"/>
        <w:autoSpaceDN w:val="0"/>
        <w:adjustRightInd w:val="0"/>
        <w:snapToGrid w:val="0"/>
        <w:spacing w:line="420" w:lineRule="exact"/>
        <w:ind w:firstLine="480" w:firstLineChars="200"/>
        <w:jc w:val="left"/>
        <w:rPr>
          <w:rFonts w:hAnsi="宋体" w:cs="宋体"/>
          <w:sz w:val="24"/>
          <w:szCs w:val="24"/>
        </w:rPr>
      </w:pPr>
      <w:r>
        <w:rPr>
          <w:rFonts w:hint="eastAsia" w:hAnsi="宋体" w:cs="宋体"/>
          <w:sz w:val="24"/>
          <w:szCs w:val="24"/>
        </w:rPr>
        <w:t>3.7.4投标人登录《全国公共资源交易平台（河南省·许昌市）》公共资源交易系统（</w:t>
      </w:r>
      <w:r>
        <w:rPr>
          <w:rFonts w:hAnsi="宋体" w:cs="宋体"/>
          <w:sz w:val="24"/>
          <w:szCs w:val="24"/>
        </w:rPr>
        <w:t>http://221.14.6.70:8088/ggzy/</w:t>
      </w:r>
      <w:r>
        <w:rPr>
          <w:rFonts w:hint="eastAsia" w:hAnsi="宋体" w:cs="宋体"/>
          <w:sz w:val="24"/>
          <w:szCs w:val="24"/>
        </w:rPr>
        <w:t>）下载“许昌投标文件制作系统SEARUN 最新版本”，按招标文件要求制作电子投标文件（包括含工程量清单的商务标投标文件）。</w:t>
      </w:r>
    </w:p>
    <w:p>
      <w:pPr>
        <w:autoSpaceDE w:val="0"/>
        <w:autoSpaceDN w:val="0"/>
        <w:adjustRightInd w:val="0"/>
        <w:spacing w:line="420" w:lineRule="exact"/>
        <w:ind w:firstLine="480" w:firstLineChars="200"/>
        <w:jc w:val="left"/>
        <w:rPr>
          <w:rFonts w:hAnsi="宋体" w:cs="宋体"/>
          <w:sz w:val="24"/>
          <w:szCs w:val="24"/>
        </w:rPr>
      </w:pPr>
      <w:r>
        <w:rPr>
          <w:rFonts w:hint="eastAsia" w:hAnsi="宋体"/>
          <w:sz w:val="24"/>
          <w:szCs w:val="24"/>
        </w:rPr>
        <w:t>电子投标文件的制作，参考《全国公共资源交易平台（河南省·许昌市）》公共资源交易系统——组件下载——交易系统操作手册（投标人、供应商）。</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3.7.5 使用电子介质存储的备份文件2份。</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3.7.6 同时生成与电子投标文件内容、水印码、</w:t>
      </w:r>
      <w:r>
        <w:rPr>
          <w:rFonts w:hint="eastAsia" w:hAnsi="宋体" w:cs="宋体"/>
          <w:b/>
          <w:sz w:val="24"/>
          <w:szCs w:val="24"/>
        </w:rPr>
        <w:t>电子签章</w:t>
      </w:r>
      <w:r>
        <w:rPr>
          <w:rFonts w:hint="eastAsia" w:hAnsi="宋体" w:cs="宋体"/>
          <w:sz w:val="24"/>
          <w:szCs w:val="24"/>
        </w:rPr>
        <w:t>一致的PDF文件。</w:t>
      </w:r>
    </w:p>
    <w:p>
      <w:pPr>
        <w:autoSpaceDE w:val="0"/>
        <w:autoSpaceDN w:val="0"/>
        <w:spacing w:line="440" w:lineRule="exact"/>
        <w:ind w:firstLine="480" w:firstLineChars="200"/>
        <w:jc w:val="left"/>
        <w:rPr>
          <w:rFonts w:hAnsi="宋体" w:cs="宋体"/>
          <w:sz w:val="24"/>
        </w:rPr>
      </w:pPr>
      <w:r>
        <w:rPr>
          <w:rFonts w:hint="eastAsia" w:hAnsi="宋体" w:cs="宋体"/>
          <w:sz w:val="24"/>
        </w:rPr>
        <w:t>3.7.7投标人须将招标文件要求的资质、业绩、荣誉及相关人员证明材料等资料原件扫描件(或图片)制作到所提交的电子投标文件中。投标文件内容应清晰，所附扫描件能清楚的看见其中内容。投标文件中由投标人的法定代表人或其委托代理人签字或盖单位章。委托代理人签字的，应附法定代表人签署的授权委托书。签字或盖章的具体要求见投标人须知前附表。</w:t>
      </w:r>
    </w:p>
    <w:p>
      <w:pPr>
        <w:autoSpaceDE w:val="0"/>
        <w:autoSpaceDN w:val="0"/>
        <w:adjustRightInd w:val="0"/>
        <w:snapToGrid w:val="0"/>
        <w:spacing w:line="420" w:lineRule="exact"/>
        <w:ind w:firstLine="480" w:firstLineChars="200"/>
        <w:jc w:val="left"/>
        <w:rPr>
          <w:rFonts w:hAnsi="宋体" w:cs="宋体"/>
          <w:sz w:val="24"/>
          <w:szCs w:val="24"/>
        </w:rPr>
      </w:pPr>
      <w:r>
        <w:rPr>
          <w:rFonts w:hint="eastAsia" w:hAnsi="宋体" w:cs="宋体"/>
          <w:bCs/>
          <w:sz w:val="24"/>
          <w:szCs w:val="24"/>
        </w:rPr>
        <w:t>3.7.8商务标投标文件制作注意事项：</w:t>
      </w:r>
    </w:p>
    <w:p>
      <w:pPr>
        <w:autoSpaceDE w:val="0"/>
        <w:autoSpaceDN w:val="0"/>
        <w:adjustRightInd w:val="0"/>
        <w:snapToGrid w:val="0"/>
        <w:spacing w:line="420" w:lineRule="exact"/>
        <w:ind w:firstLine="480" w:firstLineChars="200"/>
        <w:jc w:val="left"/>
        <w:rPr>
          <w:rFonts w:hAnsi="宋体" w:cs="宋体"/>
          <w:sz w:val="24"/>
          <w:szCs w:val="24"/>
        </w:rPr>
      </w:pPr>
      <w:r>
        <w:rPr>
          <w:rFonts w:hint="eastAsia" w:hAnsi="宋体" w:cs="宋体"/>
          <w:sz w:val="24"/>
          <w:szCs w:val="24"/>
        </w:rPr>
        <w:t>3.7.8.1 投标人登录《全国公共资源交易平台（河南省·许昌市）》公共资源交易系统下载“许昌投标文件制作系统SEARUN 最新版本” 和操作手册（工程项目），按招标文件要求制作商务标投标文件。</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3.7.8.2 商务标投标文件制作技术咨询：0374-2961598。</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3.7.9 当生成的电子投标文件投标报价大小写不一致时，以大写为准。</w:t>
      </w:r>
    </w:p>
    <w:p>
      <w:pPr>
        <w:autoSpaceDE w:val="0"/>
        <w:autoSpaceDN w:val="0"/>
        <w:adjustRightInd w:val="0"/>
        <w:spacing w:line="440" w:lineRule="exact"/>
        <w:jc w:val="left"/>
        <w:rPr>
          <w:rFonts w:hAnsi="宋体" w:cs="宋体"/>
          <w:b/>
          <w:sz w:val="24"/>
          <w:szCs w:val="24"/>
        </w:rPr>
      </w:pPr>
      <w:r>
        <w:rPr>
          <w:rFonts w:hint="eastAsia" w:hAnsi="宋体" w:cs="宋体"/>
          <w:b/>
          <w:sz w:val="24"/>
          <w:szCs w:val="24"/>
        </w:rPr>
        <w:t>4. 投标</w:t>
      </w:r>
      <w:bookmarkEnd w:id="54"/>
    </w:p>
    <w:p>
      <w:pPr>
        <w:autoSpaceDE w:val="0"/>
        <w:autoSpaceDN w:val="0"/>
        <w:adjustRightInd w:val="0"/>
        <w:spacing w:line="440" w:lineRule="exact"/>
        <w:jc w:val="left"/>
        <w:rPr>
          <w:rFonts w:hAnsi="宋体" w:cs="宋体"/>
          <w:b/>
          <w:sz w:val="24"/>
          <w:szCs w:val="24"/>
        </w:rPr>
      </w:pPr>
      <w:bookmarkStart w:id="55" w:name="_Toc283559962"/>
      <w:r>
        <w:rPr>
          <w:rFonts w:hint="eastAsia" w:hAnsi="宋体" w:cs="宋体"/>
          <w:b/>
          <w:sz w:val="24"/>
          <w:szCs w:val="24"/>
        </w:rPr>
        <w:t>4.1 投标文件的密封和标记</w:t>
      </w:r>
      <w:bookmarkEnd w:id="55"/>
    </w:p>
    <w:p>
      <w:pPr>
        <w:autoSpaceDE w:val="0"/>
        <w:autoSpaceDN w:val="0"/>
        <w:spacing w:line="440" w:lineRule="exact"/>
        <w:ind w:firstLine="480" w:firstLineChars="200"/>
        <w:jc w:val="left"/>
        <w:rPr>
          <w:rFonts w:hAnsi="宋体" w:cs="宋体"/>
          <w:sz w:val="24"/>
          <w:szCs w:val="24"/>
        </w:rPr>
      </w:pPr>
      <w:r>
        <w:rPr>
          <w:rFonts w:hint="eastAsia" w:hAnsi="宋体" w:cs="宋体"/>
          <w:sz w:val="24"/>
          <w:szCs w:val="24"/>
        </w:rPr>
        <w:t>4.1.1使用电子介质</w:t>
      </w:r>
      <w:r>
        <w:rPr>
          <w:rFonts w:hint="eastAsia" w:hAnsi="宋体" w:eastAsia="宋体" w:cs="宋体"/>
          <w:sz w:val="24"/>
        </w:rPr>
        <w:t>（U盘）</w:t>
      </w:r>
      <w:r>
        <w:rPr>
          <w:rFonts w:hint="eastAsia" w:hAnsi="宋体" w:cs="宋体"/>
          <w:sz w:val="24"/>
          <w:szCs w:val="24"/>
        </w:rPr>
        <w:t>存储的2份投标文件应分别密封包装在两个包装内，加贴封条，并在封套的封口处加盖投标人公章，法定代表人或委托代理人签名，在投标截止时间前递交。</w:t>
      </w:r>
    </w:p>
    <w:p>
      <w:pPr>
        <w:autoSpaceDE w:val="0"/>
        <w:autoSpaceDN w:val="0"/>
        <w:spacing w:line="440" w:lineRule="exact"/>
        <w:ind w:firstLine="480" w:firstLineChars="200"/>
        <w:jc w:val="left"/>
        <w:rPr>
          <w:rFonts w:hAnsi="宋体" w:cs="宋体"/>
          <w:sz w:val="24"/>
          <w:szCs w:val="24"/>
        </w:rPr>
      </w:pPr>
      <w:r>
        <w:rPr>
          <w:rFonts w:hint="eastAsia" w:hAnsi="宋体" w:cs="宋体"/>
          <w:sz w:val="24"/>
          <w:szCs w:val="24"/>
        </w:rPr>
        <w:t>4.1.2 未按本章第4.1.1项要求密封和加写标记的投标文件，招标人不予受理。</w:t>
      </w:r>
    </w:p>
    <w:p>
      <w:pPr>
        <w:autoSpaceDE w:val="0"/>
        <w:autoSpaceDN w:val="0"/>
        <w:spacing w:line="440" w:lineRule="exact"/>
        <w:jc w:val="left"/>
        <w:rPr>
          <w:rFonts w:hAnsi="宋体" w:cs="宋体"/>
          <w:b/>
          <w:sz w:val="24"/>
          <w:szCs w:val="24"/>
        </w:rPr>
      </w:pPr>
      <w:r>
        <w:rPr>
          <w:rFonts w:hint="eastAsia" w:hAnsi="宋体" w:cs="宋体"/>
          <w:b/>
          <w:sz w:val="24"/>
          <w:szCs w:val="24"/>
        </w:rPr>
        <w:t>4.2 投标文件的提交</w:t>
      </w:r>
    </w:p>
    <w:p>
      <w:pPr>
        <w:autoSpaceDE w:val="0"/>
        <w:autoSpaceDN w:val="0"/>
        <w:adjustRightInd w:val="0"/>
        <w:spacing w:line="420" w:lineRule="exact"/>
        <w:ind w:firstLine="480" w:firstLineChars="200"/>
        <w:jc w:val="left"/>
        <w:rPr>
          <w:rFonts w:hAnsi="宋体" w:cs="宋体"/>
          <w:sz w:val="24"/>
          <w:szCs w:val="24"/>
        </w:rPr>
      </w:pPr>
      <w:bookmarkStart w:id="56" w:name="_Toc283559964"/>
      <w:r>
        <w:rPr>
          <w:rFonts w:hint="eastAsia" w:hAnsi="宋体" w:cs="宋体"/>
          <w:sz w:val="24"/>
          <w:szCs w:val="24"/>
        </w:rPr>
        <w:t>4.2.1 投标人应在投标人须知前附表中规定的投标截止时间前成功上传电子投标文件、电子介质（U盘）存储的投标文件。</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4.2.2 投标人提交电子介质（U盘）存储的投标文件地点：见投标人须知前附表。</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4.2.3 除投标人须知前附表另有规定外，投标人所提交的电子投标文件、及电子介质</w:t>
      </w:r>
      <w:r>
        <w:rPr>
          <w:rFonts w:hint="eastAsia" w:hAnsi="宋体" w:eastAsia="宋体" w:cs="宋体"/>
          <w:sz w:val="24"/>
        </w:rPr>
        <w:t>（U盘）</w:t>
      </w:r>
      <w:r>
        <w:rPr>
          <w:rFonts w:hint="eastAsia" w:hAnsi="宋体" w:cs="宋体"/>
          <w:sz w:val="24"/>
          <w:szCs w:val="24"/>
        </w:rPr>
        <w:t>存储的投标文件不予退还。</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4.2.4 逾期送达的或者未送达指定地点的电子介质存储的投标文件，招标人不予受理。</w:t>
      </w:r>
    </w:p>
    <w:p>
      <w:pPr>
        <w:autoSpaceDE w:val="0"/>
        <w:autoSpaceDN w:val="0"/>
        <w:spacing w:line="440" w:lineRule="exact"/>
        <w:jc w:val="left"/>
        <w:rPr>
          <w:rFonts w:hAnsi="宋体" w:cs="宋体"/>
          <w:b/>
          <w:sz w:val="24"/>
          <w:szCs w:val="24"/>
        </w:rPr>
      </w:pPr>
      <w:r>
        <w:rPr>
          <w:rFonts w:hint="eastAsia" w:hAnsi="宋体" w:cs="宋体"/>
          <w:b/>
          <w:sz w:val="24"/>
          <w:szCs w:val="24"/>
        </w:rPr>
        <w:t>4.3 投标文件的修改与撤回</w:t>
      </w:r>
      <w:bookmarkEnd w:id="56"/>
    </w:p>
    <w:p>
      <w:pPr>
        <w:autoSpaceDE w:val="0"/>
        <w:autoSpaceDN w:val="0"/>
        <w:spacing w:line="440" w:lineRule="exact"/>
        <w:ind w:firstLine="480" w:firstLineChars="200"/>
        <w:jc w:val="left"/>
        <w:rPr>
          <w:rFonts w:hAnsi="宋体" w:cs="宋体"/>
          <w:sz w:val="24"/>
        </w:rPr>
      </w:pPr>
      <w:bookmarkStart w:id="57" w:name="_Toc283559967"/>
      <w:r>
        <w:rPr>
          <w:rFonts w:hint="eastAsia" w:hAnsi="宋体" w:cs="宋体"/>
          <w:sz w:val="24"/>
        </w:rPr>
        <w:t>4.3.1 在本章第2.2.2 项规定的投标截止时间前，投标人可以修改或撤回已提交的电子投标文件修改或撤回应以书面形式通知招标人。</w:t>
      </w:r>
    </w:p>
    <w:p>
      <w:pPr>
        <w:autoSpaceDE w:val="0"/>
        <w:autoSpaceDN w:val="0"/>
        <w:spacing w:line="440" w:lineRule="exact"/>
        <w:ind w:firstLine="480" w:firstLineChars="200"/>
        <w:jc w:val="left"/>
        <w:rPr>
          <w:rFonts w:hAnsi="宋体" w:cs="宋体"/>
          <w:sz w:val="24"/>
        </w:rPr>
      </w:pPr>
      <w:r>
        <w:rPr>
          <w:rFonts w:hint="eastAsia" w:hAnsi="宋体" w:cs="宋体"/>
          <w:sz w:val="24"/>
        </w:rPr>
        <w:t>4.3.2 投标人修改或撤回已提交电子投标文件的书面通知应按照投标人须知前附表第3.7.3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rPr>
          <w:rFonts w:hAnsi="宋体" w:cs="宋体"/>
          <w:sz w:val="24"/>
        </w:rPr>
      </w:pPr>
      <w:r>
        <w:rPr>
          <w:rFonts w:hint="eastAsia" w:hAnsi="宋体" w:cs="宋体"/>
          <w:sz w:val="24"/>
        </w:rPr>
        <w:t>4.3.3 修改的内容为投标文件的组成部分。修改的电子投标文件应按照本章第3条、第4条规定进行编制、密封、标记和提交，并标明“修改”字样。</w:t>
      </w:r>
    </w:p>
    <w:p>
      <w:pPr>
        <w:autoSpaceDE w:val="0"/>
        <w:autoSpaceDN w:val="0"/>
        <w:spacing w:line="440" w:lineRule="exact"/>
        <w:ind w:firstLine="480" w:firstLineChars="200"/>
        <w:jc w:val="left"/>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99"/>
        <w:spacing w:line="440" w:lineRule="exact"/>
        <w:jc w:val="both"/>
        <w:rPr>
          <w:rFonts w:hAnsi="宋体"/>
          <w:b/>
          <w:color w:val="auto"/>
        </w:rPr>
      </w:pPr>
      <w:r>
        <w:rPr>
          <w:rFonts w:hint="eastAsia" w:hAnsi="宋体"/>
          <w:b/>
          <w:color w:val="auto"/>
        </w:rPr>
        <w:t>5. 开标</w:t>
      </w:r>
      <w:bookmarkEnd w:id="57"/>
    </w:p>
    <w:p>
      <w:pPr>
        <w:autoSpaceDE w:val="0"/>
        <w:autoSpaceDN w:val="0"/>
        <w:adjustRightInd w:val="0"/>
        <w:spacing w:line="440" w:lineRule="exact"/>
        <w:jc w:val="left"/>
        <w:rPr>
          <w:rFonts w:hAnsi="宋体" w:cs="宋体"/>
          <w:b/>
          <w:sz w:val="24"/>
          <w:szCs w:val="24"/>
        </w:rPr>
      </w:pPr>
      <w:bookmarkStart w:id="58" w:name="_Toc283559968"/>
      <w:r>
        <w:rPr>
          <w:rFonts w:hint="eastAsia" w:hAnsi="宋体" w:cs="宋体"/>
          <w:b/>
          <w:sz w:val="24"/>
          <w:szCs w:val="24"/>
        </w:rPr>
        <w:t>5.1 开标时间和地点</w:t>
      </w:r>
      <w:bookmarkEnd w:id="58"/>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招标人在投标人须知前附表第2.2.2项规定的投标截止时间（开标时间）和投标人须知前附表规定的地点公开开标，并邀请所有投标人的法定代表人或授权委托人，准时参加。</w:t>
      </w:r>
    </w:p>
    <w:p>
      <w:pPr>
        <w:autoSpaceDE w:val="0"/>
        <w:autoSpaceDN w:val="0"/>
        <w:adjustRightInd w:val="0"/>
        <w:spacing w:line="440" w:lineRule="exact"/>
        <w:jc w:val="left"/>
        <w:rPr>
          <w:rFonts w:hAnsi="宋体" w:cs="宋体"/>
          <w:b/>
          <w:sz w:val="24"/>
          <w:szCs w:val="24"/>
        </w:rPr>
      </w:pPr>
      <w:bookmarkStart w:id="59" w:name="_Toc283559970"/>
      <w:r>
        <w:rPr>
          <w:rFonts w:hint="eastAsia" w:hAnsi="宋体" w:cs="宋体"/>
          <w:b/>
          <w:sz w:val="24"/>
          <w:szCs w:val="24"/>
        </w:rPr>
        <w:t>5.2 开标、解密、唱标程序</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5.2.1主持人按下列程序进行开标：</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（1）宣布投标截止时间，并公布招标人、代理机构、监督部门名称；</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（2）宣布开标纪律；</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（3）公布在投标截止时间前递交投标文件的投标人名称和投标保证金缴纳情况；</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（4）电子投标文件解密；</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（5）宣布唱标顺序，按已定顺序唱标，唱标内容为：投标人名称、投标报价、质量目标、工期及其他内容，并记录；</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w:t>
      </w:r>
      <w:r>
        <w:rPr>
          <w:rFonts w:hAnsi="宋体" w:cs="宋体"/>
          <w:sz w:val="24"/>
          <w:szCs w:val="24"/>
        </w:rPr>
        <w:t>6</w:t>
      </w:r>
      <w:r>
        <w:rPr>
          <w:rFonts w:hint="eastAsia" w:hAnsi="宋体" w:cs="宋体"/>
          <w:sz w:val="24"/>
          <w:szCs w:val="24"/>
        </w:rPr>
        <w:t>）现场抽取参与计算评标基准价的K值并宣布，同时公布招标控制价；</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w:t>
      </w:r>
      <w:r>
        <w:rPr>
          <w:rFonts w:hAnsi="宋体" w:cs="宋体"/>
          <w:sz w:val="24"/>
          <w:szCs w:val="24"/>
        </w:rPr>
        <w:t>7</w:t>
      </w:r>
      <w:r>
        <w:rPr>
          <w:rFonts w:hint="eastAsia" w:hAnsi="宋体" w:cs="宋体"/>
          <w:sz w:val="24"/>
          <w:szCs w:val="24"/>
        </w:rPr>
        <w:t>）投标人代表、招标人代表、监标人、记录人等有关人员在开标记录上签字确认；</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w:t>
      </w:r>
      <w:r>
        <w:rPr>
          <w:rFonts w:hAnsi="宋体" w:cs="宋体"/>
          <w:sz w:val="24"/>
          <w:szCs w:val="24"/>
        </w:rPr>
        <w:t>8</w:t>
      </w:r>
      <w:r>
        <w:rPr>
          <w:rFonts w:hint="eastAsia" w:hAnsi="宋体" w:cs="宋体"/>
          <w:sz w:val="24"/>
          <w:szCs w:val="24"/>
        </w:rPr>
        <w:t>）开标结束。</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5.</w:t>
      </w:r>
      <w:r>
        <w:rPr>
          <w:rFonts w:hAnsi="宋体" w:cs="宋体"/>
          <w:sz w:val="24"/>
          <w:szCs w:val="24"/>
        </w:rPr>
        <w:t>2</w:t>
      </w:r>
      <w:r>
        <w:rPr>
          <w:rFonts w:hint="eastAsia" w:hAnsi="宋体" w:cs="宋体"/>
          <w:sz w:val="24"/>
          <w:szCs w:val="24"/>
        </w:rPr>
        <w:t>.2 电子投标文件的解密</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5.2.2.1本项目为全流程电子化交易项目，电子投标文件采用双重加密。在投标截止时间到达后，分标段进行解密。</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(1)投标人解密：投标人使用本单位CA数字证书远程或现场进行解密。需现场使用一体机进行解密的，请在代理机构引导下进行。</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(2)代理机构解密：代理机构</w:t>
      </w:r>
      <w:r>
        <w:rPr>
          <w:rFonts w:hAnsi="宋体" w:cs="宋体"/>
          <w:sz w:val="24"/>
          <w:szCs w:val="24"/>
        </w:rPr>
        <w:t>按</w:t>
      </w:r>
      <w:r>
        <w:rPr>
          <w:rFonts w:hint="eastAsia" w:hAnsi="宋体" w:cs="宋体"/>
          <w:sz w:val="24"/>
          <w:szCs w:val="24"/>
        </w:rPr>
        <w:t>电子</w:t>
      </w:r>
      <w:r>
        <w:rPr>
          <w:rFonts w:hAnsi="宋体" w:cs="宋体"/>
          <w:sz w:val="24"/>
          <w:szCs w:val="24"/>
        </w:rPr>
        <w:t>投标</w:t>
      </w:r>
      <w:r>
        <w:rPr>
          <w:rFonts w:hint="eastAsia" w:hAnsi="宋体" w:cs="宋体"/>
          <w:sz w:val="24"/>
          <w:szCs w:val="24"/>
        </w:rPr>
        <w:t>文件到达交易系统</w:t>
      </w:r>
      <w:r>
        <w:rPr>
          <w:rFonts w:hAnsi="宋体" w:cs="宋体"/>
          <w:sz w:val="24"/>
          <w:szCs w:val="24"/>
        </w:rPr>
        <w:t>的先后顺序</w:t>
      </w:r>
      <w:r>
        <w:rPr>
          <w:rFonts w:hint="eastAsia" w:hAnsi="宋体" w:cs="宋体"/>
          <w:sz w:val="24"/>
          <w:szCs w:val="24"/>
        </w:rPr>
        <w:t>，使用本单位CA数字证书进行再次解密。</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5.2.2.2电子投标文件解密异常情况处理</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w:t>
      </w:r>
      <w:r>
        <w:rPr>
          <w:rFonts w:hAnsi="宋体" w:cs="宋体"/>
          <w:sz w:val="24"/>
          <w:szCs w:val="24"/>
        </w:rPr>
        <w:t>1</w:t>
      </w:r>
      <w:r>
        <w:rPr>
          <w:rFonts w:hint="eastAsia" w:hAnsi="宋体" w:cs="宋体"/>
          <w:sz w:val="24"/>
          <w:szCs w:val="24"/>
        </w:rPr>
        <w:t>）因电子交易系统异常无法解密电子投标文件的，以人工方式进行。</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99"/>
        <w:spacing w:line="440" w:lineRule="exact"/>
        <w:jc w:val="both"/>
        <w:rPr>
          <w:rFonts w:hAnsi="宋体"/>
          <w:b/>
          <w:color w:val="auto"/>
        </w:rPr>
      </w:pPr>
      <w:r>
        <w:rPr>
          <w:rFonts w:hint="eastAsia" w:hAnsi="宋体"/>
          <w:b/>
          <w:color w:val="auto"/>
        </w:rPr>
        <w:t>6. 评标</w:t>
      </w:r>
      <w:bookmarkEnd w:id="59"/>
    </w:p>
    <w:p>
      <w:pPr>
        <w:autoSpaceDE w:val="0"/>
        <w:autoSpaceDN w:val="0"/>
        <w:adjustRightInd w:val="0"/>
        <w:spacing w:line="440" w:lineRule="exact"/>
        <w:jc w:val="left"/>
        <w:rPr>
          <w:rFonts w:hAnsi="宋体" w:cs="宋体"/>
          <w:b/>
          <w:sz w:val="24"/>
          <w:szCs w:val="24"/>
        </w:rPr>
      </w:pPr>
      <w:bookmarkStart w:id="60" w:name="_Toc283559971"/>
      <w:r>
        <w:rPr>
          <w:rFonts w:hint="eastAsia" w:hAnsi="宋体" w:cs="宋体"/>
          <w:b/>
          <w:sz w:val="24"/>
          <w:szCs w:val="24"/>
        </w:rPr>
        <w:t>6.1 评标委员会</w:t>
      </w:r>
      <w:bookmarkEnd w:id="60"/>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6.1.1 评标由招标人依法组建的评标委员会负责。评标委员会成员由相关技术、经济等方面的专家组成，组成人数见投标人须知前附表。</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6.1.2 评标委员会成员有下列情形之一的，应当回避：</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（1）招标人或投标人的主要负责人的近亲属；</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（2）项目主管部门或者行政监督部门的人员；</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（3）与投标人有经济利益关系，可能影响对投标公正评审的；</w:t>
      </w:r>
    </w:p>
    <w:p>
      <w:pPr>
        <w:autoSpaceDE w:val="0"/>
        <w:autoSpaceDN w:val="0"/>
        <w:adjustRightInd w:val="0"/>
        <w:spacing w:line="420" w:lineRule="exact"/>
        <w:ind w:firstLine="480" w:firstLineChars="200"/>
        <w:jc w:val="left"/>
        <w:rPr>
          <w:rFonts w:hAnsi="宋体" w:cs="宋体"/>
          <w:sz w:val="24"/>
          <w:szCs w:val="24"/>
        </w:rPr>
      </w:pPr>
      <w:r>
        <w:rPr>
          <w:rFonts w:hint="eastAsia" w:hAnsi="宋体" w:cs="宋体"/>
          <w:sz w:val="24"/>
          <w:szCs w:val="24"/>
        </w:rPr>
        <w:t>（4）曾因在招标、评标以及其他与招标投标有关活动中从事违法行为而受过行政处罚或刑事处罚的。</w:t>
      </w:r>
    </w:p>
    <w:p>
      <w:pPr>
        <w:autoSpaceDE w:val="0"/>
        <w:autoSpaceDN w:val="0"/>
        <w:spacing w:line="440" w:lineRule="exact"/>
        <w:jc w:val="left"/>
        <w:rPr>
          <w:rFonts w:hAnsi="宋体" w:cs="宋体"/>
          <w:b/>
          <w:sz w:val="24"/>
          <w:szCs w:val="24"/>
        </w:rPr>
      </w:pPr>
      <w:bookmarkStart w:id="61" w:name="_Toc283559972"/>
      <w:r>
        <w:rPr>
          <w:rFonts w:hint="eastAsia" w:hAnsi="宋体" w:cs="宋体"/>
          <w:b/>
          <w:sz w:val="24"/>
          <w:szCs w:val="24"/>
        </w:rPr>
        <w:t>6.2 评标原则</w:t>
      </w:r>
      <w:bookmarkEnd w:id="61"/>
    </w:p>
    <w:p>
      <w:pPr>
        <w:autoSpaceDE w:val="0"/>
        <w:autoSpaceDN w:val="0"/>
        <w:spacing w:line="440" w:lineRule="exact"/>
        <w:ind w:firstLine="480" w:firstLineChars="200"/>
        <w:jc w:val="left"/>
        <w:rPr>
          <w:rFonts w:hAnsi="宋体" w:cs="宋体"/>
          <w:sz w:val="24"/>
          <w:szCs w:val="24"/>
        </w:rPr>
      </w:pPr>
      <w:r>
        <w:rPr>
          <w:rFonts w:hint="eastAsia" w:hAnsi="宋体" w:cs="宋体"/>
          <w:sz w:val="24"/>
          <w:szCs w:val="24"/>
        </w:rPr>
        <w:t>评标活动遵循公平、公正、科学和择优的原则。</w:t>
      </w:r>
    </w:p>
    <w:p>
      <w:pPr>
        <w:autoSpaceDE w:val="0"/>
        <w:autoSpaceDN w:val="0"/>
        <w:spacing w:line="440" w:lineRule="exact"/>
        <w:jc w:val="left"/>
        <w:rPr>
          <w:rFonts w:hAnsi="宋体" w:cs="宋体"/>
          <w:b/>
          <w:sz w:val="24"/>
          <w:szCs w:val="24"/>
        </w:rPr>
      </w:pPr>
      <w:bookmarkStart w:id="62" w:name="_Toc283559973"/>
      <w:r>
        <w:rPr>
          <w:rFonts w:hint="eastAsia" w:hAnsi="宋体" w:cs="宋体"/>
          <w:b/>
          <w:sz w:val="24"/>
          <w:szCs w:val="24"/>
        </w:rPr>
        <w:t>6.3 评标</w:t>
      </w:r>
      <w:bookmarkEnd w:id="62"/>
    </w:p>
    <w:p>
      <w:pPr>
        <w:autoSpaceDE w:val="0"/>
        <w:autoSpaceDN w:val="0"/>
        <w:spacing w:line="440" w:lineRule="exact"/>
        <w:ind w:firstLine="480" w:firstLineChars="200"/>
        <w:jc w:val="left"/>
        <w:rPr>
          <w:rFonts w:hAnsi="宋体" w:cs="宋体"/>
          <w:sz w:val="24"/>
          <w:szCs w:val="24"/>
        </w:rPr>
      </w:pPr>
      <w:r>
        <w:rPr>
          <w:rFonts w:hint="eastAsia" w:hAnsi="宋体" w:cs="宋体"/>
          <w:sz w:val="24"/>
          <w:szCs w:val="24"/>
        </w:rPr>
        <w:t>评标委员会按照第三章“评标办法”规定的方法、评审因素、标准和程序对投标文件进行评审。第三章“评标办法”没有规定的方法、评审因素和标准，不作为评标依据。</w:t>
      </w:r>
    </w:p>
    <w:p>
      <w:pPr>
        <w:pStyle w:val="99"/>
        <w:spacing w:line="440" w:lineRule="exact"/>
        <w:jc w:val="both"/>
        <w:rPr>
          <w:rFonts w:hAnsi="宋体"/>
          <w:b/>
          <w:color w:val="auto"/>
        </w:rPr>
      </w:pPr>
      <w:bookmarkStart w:id="63" w:name="_Toc283559974"/>
      <w:r>
        <w:rPr>
          <w:rFonts w:hint="eastAsia" w:hAnsi="宋体"/>
          <w:b/>
          <w:color w:val="auto"/>
        </w:rPr>
        <w:t>7. 合同授予</w:t>
      </w:r>
      <w:bookmarkEnd w:id="63"/>
    </w:p>
    <w:p>
      <w:pPr>
        <w:autoSpaceDE w:val="0"/>
        <w:autoSpaceDN w:val="0"/>
        <w:spacing w:line="440" w:lineRule="exact"/>
        <w:jc w:val="left"/>
        <w:rPr>
          <w:rFonts w:hAnsi="宋体" w:cs="宋体"/>
          <w:b/>
          <w:sz w:val="24"/>
          <w:szCs w:val="24"/>
        </w:rPr>
      </w:pPr>
      <w:bookmarkStart w:id="64" w:name="_Toc283559975"/>
      <w:r>
        <w:rPr>
          <w:rFonts w:hint="eastAsia" w:hAnsi="宋体" w:cs="宋体"/>
          <w:b/>
          <w:sz w:val="24"/>
          <w:szCs w:val="24"/>
        </w:rPr>
        <w:t>7.1 定标方式</w:t>
      </w:r>
      <w:bookmarkEnd w:id="64"/>
    </w:p>
    <w:p>
      <w:pPr>
        <w:autoSpaceDE w:val="0"/>
        <w:autoSpaceDN w:val="0"/>
        <w:spacing w:line="440" w:lineRule="exact"/>
        <w:ind w:firstLine="480" w:firstLineChars="200"/>
        <w:jc w:val="left"/>
        <w:rPr>
          <w:rFonts w:hAnsi="宋体" w:cs="宋体"/>
          <w:sz w:val="24"/>
          <w:szCs w:val="24"/>
        </w:rPr>
      </w:pPr>
      <w:r>
        <w:rPr>
          <w:rFonts w:hint="eastAsia" w:hAnsi="宋体" w:cs="宋体"/>
          <w:sz w:val="24"/>
          <w:szCs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rPr>
          <w:rFonts w:hAnsi="宋体" w:cs="宋体"/>
          <w:b/>
          <w:sz w:val="24"/>
          <w:szCs w:val="24"/>
        </w:rPr>
      </w:pPr>
      <w:bookmarkStart w:id="65" w:name="_Toc283559976"/>
      <w:r>
        <w:rPr>
          <w:rFonts w:hint="eastAsia" w:hAnsi="宋体" w:cs="宋体"/>
          <w:b/>
          <w:sz w:val="24"/>
          <w:szCs w:val="24"/>
        </w:rPr>
        <w:t>7.2 中标通知</w:t>
      </w:r>
      <w:bookmarkEnd w:id="65"/>
    </w:p>
    <w:p>
      <w:pPr>
        <w:autoSpaceDE w:val="0"/>
        <w:autoSpaceDN w:val="0"/>
        <w:spacing w:line="440" w:lineRule="exact"/>
        <w:ind w:firstLine="480" w:firstLineChars="200"/>
        <w:jc w:val="left"/>
        <w:rPr>
          <w:rFonts w:hAnsi="宋体" w:cs="宋体"/>
          <w:sz w:val="24"/>
          <w:szCs w:val="24"/>
        </w:rPr>
      </w:pPr>
      <w:r>
        <w:rPr>
          <w:rFonts w:hint="eastAsia" w:hAnsi="宋体" w:cs="宋体"/>
          <w:sz w:val="24"/>
          <w:szCs w:val="24"/>
        </w:rPr>
        <w:t>在本章第3.3 款规定的投标有效期内，招标人以书面形式向中标人发出中标通知书，同时将中标结果通知未中标的投标人。</w:t>
      </w:r>
      <w:bookmarkStart w:id="66" w:name="_Toc144974537"/>
      <w:bookmarkStart w:id="67" w:name="_Toc152042345"/>
      <w:bookmarkStart w:id="68" w:name="_Toc179632587"/>
      <w:bookmarkStart w:id="69" w:name="_Toc152045569"/>
    </w:p>
    <w:p>
      <w:pPr>
        <w:autoSpaceDE w:val="0"/>
        <w:autoSpaceDN w:val="0"/>
        <w:spacing w:line="440" w:lineRule="exact"/>
        <w:jc w:val="left"/>
        <w:rPr>
          <w:rFonts w:hAnsi="宋体" w:cs="宋体"/>
          <w:b/>
          <w:sz w:val="24"/>
          <w:szCs w:val="24"/>
        </w:rPr>
      </w:pPr>
      <w:r>
        <w:rPr>
          <w:rFonts w:hint="eastAsia" w:hAnsi="宋体" w:cs="宋体"/>
          <w:b/>
          <w:sz w:val="24"/>
          <w:szCs w:val="24"/>
        </w:rPr>
        <w:t>7.</w:t>
      </w:r>
      <w:bookmarkEnd w:id="66"/>
      <w:bookmarkEnd w:id="67"/>
      <w:bookmarkEnd w:id="68"/>
      <w:bookmarkEnd w:id="69"/>
      <w:bookmarkStart w:id="70" w:name="_Toc283559977"/>
      <w:r>
        <w:rPr>
          <w:rFonts w:hint="eastAsia" w:hAnsi="宋体" w:cs="宋体"/>
          <w:b/>
          <w:sz w:val="24"/>
          <w:szCs w:val="24"/>
        </w:rPr>
        <w:t>3签订合同</w:t>
      </w:r>
      <w:bookmarkEnd w:id="70"/>
    </w:p>
    <w:p>
      <w:pPr>
        <w:autoSpaceDE w:val="0"/>
        <w:autoSpaceDN w:val="0"/>
        <w:spacing w:line="440" w:lineRule="exact"/>
        <w:ind w:firstLine="472" w:firstLineChars="200"/>
        <w:jc w:val="left"/>
        <w:rPr>
          <w:rFonts w:hAnsi="宋体" w:cs="宋体"/>
          <w:spacing w:val="-2"/>
          <w:sz w:val="24"/>
          <w:szCs w:val="24"/>
        </w:rPr>
      </w:pPr>
      <w:r>
        <w:rPr>
          <w:rFonts w:hint="eastAsia" w:hAnsi="宋体" w:cs="宋体"/>
          <w:spacing w:val="-2"/>
          <w:sz w:val="24"/>
          <w:szCs w:val="24"/>
        </w:rPr>
        <w:t>7.3.1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rPr>
          <w:rFonts w:hAnsi="宋体" w:cs="宋体"/>
          <w:sz w:val="24"/>
          <w:szCs w:val="24"/>
        </w:rPr>
      </w:pPr>
      <w:r>
        <w:rPr>
          <w:rFonts w:hint="eastAsia" w:hAnsi="宋体" w:cs="宋体"/>
          <w:sz w:val="24"/>
          <w:szCs w:val="24"/>
        </w:rPr>
        <w:t>7.3.2 发出中标通知书后，招标人无正当理由拒签合同的，招标人向中标人退还投标保证金；给中标人造成损失的，还应当赔偿损失。</w:t>
      </w:r>
    </w:p>
    <w:p>
      <w:pPr>
        <w:autoSpaceDE w:val="0"/>
        <w:autoSpaceDN w:val="0"/>
        <w:spacing w:line="440" w:lineRule="exact"/>
        <w:jc w:val="left"/>
        <w:rPr>
          <w:rFonts w:hAnsi="宋体" w:cs="宋体"/>
          <w:b/>
          <w:sz w:val="24"/>
          <w:szCs w:val="24"/>
        </w:rPr>
      </w:pPr>
      <w:bookmarkStart w:id="71" w:name="_Toc283559978"/>
      <w:r>
        <w:rPr>
          <w:rFonts w:hint="eastAsia" w:hAnsi="宋体" w:cs="宋体"/>
          <w:b/>
          <w:sz w:val="24"/>
          <w:szCs w:val="24"/>
        </w:rPr>
        <w:t>8. 重新招标和不再招标</w:t>
      </w:r>
      <w:bookmarkEnd w:id="71"/>
    </w:p>
    <w:p>
      <w:pPr>
        <w:autoSpaceDE w:val="0"/>
        <w:autoSpaceDN w:val="0"/>
        <w:adjustRightInd w:val="0"/>
        <w:spacing w:line="440" w:lineRule="exact"/>
        <w:jc w:val="left"/>
        <w:rPr>
          <w:rFonts w:hAnsi="宋体" w:cs="宋体"/>
          <w:b/>
          <w:sz w:val="24"/>
          <w:szCs w:val="24"/>
        </w:rPr>
      </w:pPr>
      <w:bookmarkStart w:id="72" w:name="_Toc283559979"/>
      <w:r>
        <w:rPr>
          <w:rFonts w:hint="eastAsia" w:hAnsi="宋体" w:cs="宋体"/>
          <w:b/>
          <w:sz w:val="24"/>
          <w:szCs w:val="24"/>
        </w:rPr>
        <w:t>8.1 重新招标</w:t>
      </w:r>
      <w:bookmarkEnd w:id="72"/>
    </w:p>
    <w:p>
      <w:pPr>
        <w:autoSpaceDE w:val="0"/>
        <w:autoSpaceDN w:val="0"/>
        <w:spacing w:line="440" w:lineRule="exact"/>
        <w:ind w:firstLine="480" w:firstLineChars="200"/>
        <w:jc w:val="left"/>
        <w:rPr>
          <w:rFonts w:hAnsi="宋体" w:cs="宋体"/>
          <w:sz w:val="24"/>
          <w:szCs w:val="24"/>
        </w:rPr>
      </w:pPr>
      <w:r>
        <w:rPr>
          <w:rFonts w:hint="eastAsia" w:hAnsi="宋体" w:cs="宋体"/>
          <w:sz w:val="24"/>
          <w:szCs w:val="24"/>
        </w:rPr>
        <w:t>有下列情形之一的，招标人将重新招标：</w:t>
      </w:r>
    </w:p>
    <w:p>
      <w:pPr>
        <w:autoSpaceDE w:val="0"/>
        <w:autoSpaceDN w:val="0"/>
        <w:spacing w:line="440" w:lineRule="exact"/>
        <w:ind w:firstLine="480" w:firstLineChars="200"/>
        <w:jc w:val="left"/>
        <w:rPr>
          <w:rFonts w:hAnsi="宋体" w:cs="宋体"/>
          <w:sz w:val="24"/>
          <w:szCs w:val="24"/>
        </w:rPr>
      </w:pPr>
      <w:r>
        <w:rPr>
          <w:rFonts w:hint="eastAsia" w:hAnsi="宋体" w:cs="宋体"/>
          <w:sz w:val="24"/>
          <w:szCs w:val="24"/>
        </w:rPr>
        <w:t>（1）投标截止时间止，投标人少于3个的；</w:t>
      </w:r>
    </w:p>
    <w:p>
      <w:pPr>
        <w:autoSpaceDE w:val="0"/>
        <w:autoSpaceDN w:val="0"/>
        <w:spacing w:line="440" w:lineRule="exact"/>
        <w:ind w:firstLine="480" w:firstLineChars="200"/>
        <w:jc w:val="left"/>
        <w:rPr>
          <w:rFonts w:hAnsi="宋体" w:cs="宋体"/>
          <w:sz w:val="24"/>
          <w:szCs w:val="24"/>
        </w:rPr>
      </w:pPr>
      <w:r>
        <w:rPr>
          <w:rFonts w:hint="eastAsia" w:hAnsi="宋体" w:cs="宋体"/>
          <w:sz w:val="24"/>
          <w:szCs w:val="24"/>
        </w:rPr>
        <w:t>（2）经评标委员会评审后否决所有投标的。</w:t>
      </w:r>
    </w:p>
    <w:p>
      <w:pPr>
        <w:autoSpaceDE w:val="0"/>
        <w:autoSpaceDN w:val="0"/>
        <w:adjustRightInd w:val="0"/>
        <w:spacing w:line="440" w:lineRule="exact"/>
        <w:jc w:val="left"/>
        <w:rPr>
          <w:rFonts w:hAnsi="宋体" w:cs="宋体"/>
          <w:b/>
          <w:sz w:val="24"/>
          <w:szCs w:val="24"/>
        </w:rPr>
      </w:pPr>
      <w:bookmarkStart w:id="73" w:name="_Toc283559980"/>
      <w:r>
        <w:rPr>
          <w:rFonts w:hint="eastAsia" w:hAnsi="宋体" w:cs="宋体"/>
          <w:b/>
          <w:sz w:val="24"/>
          <w:szCs w:val="24"/>
        </w:rPr>
        <w:t>8.2 不再招标</w:t>
      </w:r>
      <w:bookmarkEnd w:id="73"/>
    </w:p>
    <w:p>
      <w:pPr>
        <w:autoSpaceDE w:val="0"/>
        <w:autoSpaceDN w:val="0"/>
        <w:spacing w:line="440" w:lineRule="exact"/>
        <w:ind w:firstLine="480" w:firstLineChars="200"/>
        <w:jc w:val="left"/>
        <w:rPr>
          <w:rFonts w:hAnsi="宋体" w:cs="宋体"/>
          <w:sz w:val="24"/>
          <w:szCs w:val="24"/>
        </w:rPr>
      </w:pPr>
      <w:r>
        <w:rPr>
          <w:rFonts w:hint="eastAsia" w:hAnsi="宋体" w:cs="宋体"/>
          <w:sz w:val="24"/>
          <w:szCs w:val="24"/>
        </w:rPr>
        <w:t>重新招标后投标人仍少于3个，属于必须审批或核准的工程建设项目，经原审批或核准部门批准后不再进行招标。</w:t>
      </w:r>
    </w:p>
    <w:p>
      <w:pPr>
        <w:pStyle w:val="99"/>
        <w:spacing w:line="440" w:lineRule="exact"/>
        <w:jc w:val="both"/>
        <w:rPr>
          <w:rFonts w:hAnsi="宋体"/>
          <w:b/>
          <w:color w:val="auto"/>
        </w:rPr>
      </w:pPr>
      <w:bookmarkStart w:id="74" w:name="_Toc283559981"/>
      <w:r>
        <w:rPr>
          <w:rFonts w:hint="eastAsia" w:hAnsi="宋体"/>
          <w:b/>
          <w:color w:val="auto"/>
        </w:rPr>
        <w:t>9. 纪律和监督</w:t>
      </w:r>
      <w:bookmarkEnd w:id="74"/>
    </w:p>
    <w:p>
      <w:pPr>
        <w:autoSpaceDE w:val="0"/>
        <w:autoSpaceDN w:val="0"/>
        <w:adjustRightInd w:val="0"/>
        <w:spacing w:line="440" w:lineRule="exact"/>
        <w:jc w:val="left"/>
        <w:rPr>
          <w:rFonts w:hAnsi="宋体" w:cs="宋体"/>
          <w:b/>
          <w:sz w:val="24"/>
          <w:szCs w:val="24"/>
        </w:rPr>
      </w:pPr>
      <w:bookmarkStart w:id="75" w:name="_Toc283559982"/>
      <w:r>
        <w:rPr>
          <w:rFonts w:hint="eastAsia" w:hAnsi="宋体" w:cs="宋体"/>
          <w:b/>
          <w:sz w:val="24"/>
          <w:szCs w:val="24"/>
        </w:rPr>
        <w:t>9.1 对招标人的纪律要求</w:t>
      </w:r>
      <w:bookmarkEnd w:id="75"/>
    </w:p>
    <w:p>
      <w:pPr>
        <w:autoSpaceDE w:val="0"/>
        <w:autoSpaceDN w:val="0"/>
        <w:spacing w:line="440" w:lineRule="exact"/>
        <w:ind w:firstLine="480" w:firstLineChars="200"/>
        <w:jc w:val="left"/>
        <w:rPr>
          <w:rFonts w:hAnsi="宋体" w:cs="宋体"/>
          <w:sz w:val="24"/>
          <w:szCs w:val="24"/>
        </w:rPr>
      </w:pPr>
      <w:r>
        <w:rPr>
          <w:rFonts w:hint="eastAsia" w:hAnsi="宋体" w:cs="宋体"/>
          <w:sz w:val="24"/>
          <w:szCs w:val="24"/>
        </w:rPr>
        <w:t>招标人不得泄漏招标投标活动中应当保密的信息和资料，不得与投标人串通损害国家利益、社会公共利益或者他人合法权益。</w:t>
      </w:r>
    </w:p>
    <w:p>
      <w:pPr>
        <w:autoSpaceDE w:val="0"/>
        <w:autoSpaceDN w:val="0"/>
        <w:adjustRightInd w:val="0"/>
        <w:spacing w:line="440" w:lineRule="exact"/>
        <w:jc w:val="left"/>
        <w:rPr>
          <w:rFonts w:hAnsi="宋体" w:cs="宋体"/>
          <w:b/>
          <w:sz w:val="24"/>
          <w:szCs w:val="24"/>
        </w:rPr>
      </w:pPr>
      <w:bookmarkStart w:id="76" w:name="_Toc283559983"/>
      <w:r>
        <w:rPr>
          <w:rFonts w:hint="eastAsia" w:hAnsi="宋体" w:cs="宋体"/>
          <w:b/>
          <w:sz w:val="24"/>
          <w:szCs w:val="24"/>
        </w:rPr>
        <w:t>9.2 对投标人的纪律要求</w:t>
      </w:r>
      <w:bookmarkEnd w:id="76"/>
    </w:p>
    <w:p>
      <w:pPr>
        <w:autoSpaceDE w:val="0"/>
        <w:autoSpaceDN w:val="0"/>
        <w:spacing w:line="440" w:lineRule="exact"/>
        <w:ind w:firstLine="480" w:firstLineChars="200"/>
        <w:jc w:val="left"/>
        <w:rPr>
          <w:rFonts w:hAnsi="宋体" w:cs="宋体"/>
          <w:sz w:val="24"/>
          <w:szCs w:val="24"/>
        </w:rPr>
      </w:pPr>
      <w:r>
        <w:rPr>
          <w:rFonts w:hint="eastAsia" w:hAnsi="宋体" w:cs="宋体"/>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rPr>
          <w:rFonts w:hAnsi="宋体" w:cs="宋体"/>
          <w:b/>
          <w:sz w:val="24"/>
          <w:szCs w:val="24"/>
        </w:rPr>
      </w:pPr>
      <w:bookmarkStart w:id="77" w:name="_Toc283559984"/>
      <w:r>
        <w:rPr>
          <w:rFonts w:hint="eastAsia" w:hAnsi="宋体" w:cs="宋体"/>
          <w:b/>
          <w:sz w:val="24"/>
          <w:szCs w:val="24"/>
        </w:rPr>
        <w:t>9.3 对评标委员会成员的纪律要求</w:t>
      </w:r>
      <w:bookmarkEnd w:id="77"/>
    </w:p>
    <w:p>
      <w:pPr>
        <w:autoSpaceDE w:val="0"/>
        <w:autoSpaceDN w:val="0"/>
        <w:adjustRightInd w:val="0"/>
        <w:spacing w:line="440" w:lineRule="exact"/>
        <w:ind w:firstLine="480" w:firstLineChars="200"/>
        <w:jc w:val="left"/>
        <w:rPr>
          <w:rFonts w:hAnsi="宋体" w:cs="宋体"/>
          <w:sz w:val="24"/>
          <w:szCs w:val="24"/>
        </w:rPr>
      </w:pPr>
      <w:r>
        <w:rPr>
          <w:rFonts w:hint="eastAsia" w:hAnsi="宋体" w:cs="宋体"/>
          <w:sz w:val="24"/>
          <w:szCs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rPr>
          <w:rFonts w:hAnsi="宋体" w:cs="宋体"/>
          <w:b/>
          <w:sz w:val="24"/>
          <w:szCs w:val="24"/>
        </w:rPr>
      </w:pPr>
      <w:bookmarkStart w:id="78" w:name="_Toc283559985"/>
      <w:r>
        <w:rPr>
          <w:rFonts w:hint="eastAsia" w:hAnsi="宋体" w:cs="宋体"/>
          <w:b/>
          <w:sz w:val="24"/>
          <w:szCs w:val="24"/>
        </w:rPr>
        <w:t>9.4 对与评标活动有关的工作人员的纪律要求</w:t>
      </w:r>
      <w:bookmarkEnd w:id="78"/>
    </w:p>
    <w:p>
      <w:pPr>
        <w:autoSpaceDE w:val="0"/>
        <w:autoSpaceDN w:val="0"/>
        <w:spacing w:line="440" w:lineRule="exact"/>
        <w:ind w:firstLine="480" w:firstLineChars="200"/>
        <w:jc w:val="left"/>
        <w:rPr>
          <w:rFonts w:hAnsi="宋体" w:cs="宋体"/>
          <w:sz w:val="24"/>
          <w:szCs w:val="24"/>
        </w:rPr>
      </w:pPr>
      <w:r>
        <w:rPr>
          <w:rFonts w:hint="eastAsia" w:hAnsi="宋体" w:cs="宋体"/>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rPr>
          <w:rFonts w:hAnsi="宋体" w:cs="宋体"/>
          <w:b/>
          <w:sz w:val="24"/>
          <w:szCs w:val="24"/>
        </w:rPr>
      </w:pPr>
      <w:bookmarkStart w:id="79" w:name="_Toc283559986"/>
      <w:r>
        <w:rPr>
          <w:rFonts w:hint="eastAsia" w:hAnsi="宋体" w:cs="宋体"/>
          <w:b/>
          <w:sz w:val="24"/>
          <w:szCs w:val="24"/>
        </w:rPr>
        <w:t>9.5 投诉</w:t>
      </w:r>
      <w:bookmarkEnd w:id="79"/>
    </w:p>
    <w:p>
      <w:pPr>
        <w:autoSpaceDE w:val="0"/>
        <w:autoSpaceDN w:val="0"/>
        <w:spacing w:line="440" w:lineRule="exact"/>
        <w:ind w:firstLine="480" w:firstLineChars="200"/>
        <w:jc w:val="left"/>
        <w:rPr>
          <w:rFonts w:hAnsi="宋体" w:cs="宋体"/>
          <w:sz w:val="24"/>
          <w:szCs w:val="24"/>
        </w:rPr>
      </w:pPr>
      <w:r>
        <w:rPr>
          <w:rFonts w:hint="eastAsia" w:hAnsi="宋体" w:cs="宋体"/>
          <w:sz w:val="24"/>
          <w:szCs w:val="24"/>
        </w:rPr>
        <w:t>投标人和其他利害关系人认为本次招标活动违反法律、法规和规章规定的，有权向有关行政监督部门投诉。</w:t>
      </w:r>
    </w:p>
    <w:p>
      <w:pPr>
        <w:pStyle w:val="99"/>
        <w:spacing w:line="440" w:lineRule="exact"/>
        <w:jc w:val="both"/>
        <w:rPr>
          <w:rFonts w:hAnsi="宋体"/>
          <w:b/>
          <w:color w:val="auto"/>
        </w:rPr>
      </w:pPr>
      <w:bookmarkStart w:id="80" w:name="_Toc283559987"/>
      <w:r>
        <w:rPr>
          <w:rFonts w:hint="eastAsia" w:hAnsi="宋体"/>
          <w:b/>
          <w:color w:val="auto"/>
        </w:rPr>
        <w:t>10. 需要补充的其他内容</w:t>
      </w:r>
      <w:bookmarkEnd w:id="80"/>
    </w:p>
    <w:p>
      <w:pPr>
        <w:autoSpaceDE w:val="0"/>
        <w:autoSpaceDN w:val="0"/>
        <w:spacing w:line="440" w:lineRule="exact"/>
        <w:ind w:firstLine="480" w:firstLineChars="200"/>
        <w:jc w:val="left"/>
        <w:rPr>
          <w:rFonts w:hAnsi="宋体" w:cs="宋体"/>
          <w:sz w:val="24"/>
          <w:szCs w:val="24"/>
        </w:rPr>
      </w:pPr>
      <w:r>
        <w:rPr>
          <w:rFonts w:hint="eastAsia" w:hAnsi="宋体" w:cs="宋体"/>
          <w:sz w:val="24"/>
          <w:szCs w:val="24"/>
        </w:rPr>
        <w:t>需要补充的其他内容：见投标人须知前附表。</w:t>
      </w:r>
    </w:p>
    <w:p>
      <w:pPr>
        <w:spacing w:beforeLines="100" w:afterLines="100" w:line="400" w:lineRule="exact"/>
        <w:rPr>
          <w:rFonts w:hAnsi="宋体" w:cs="宋体"/>
          <w:sz w:val="24"/>
        </w:rPr>
      </w:pPr>
      <w:r>
        <w:rPr>
          <w:rFonts w:ascii="新宋体" w:hAnsi="新宋体" w:eastAsia="新宋体"/>
          <w:b/>
          <w:sz w:val="24"/>
        </w:rPr>
        <w:br w:type="page"/>
      </w:r>
      <w:r>
        <w:rPr>
          <w:rFonts w:hint="eastAsia" w:hAnsi="宋体" w:cs="宋体"/>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p>
    <w:p>
      <w:pPr>
        <w:spacing w:line="400" w:lineRule="exact"/>
        <w:rPr>
          <w:rFonts w:hAnsi="宋体" w:cs="宋体"/>
          <w:sz w:val="24"/>
        </w:rPr>
      </w:pP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rPr>
        <w:t>（项目名称、标段）招标的评标委员会，对你方的投标文件进行了仔细的审查，现需你方对本通知所附质疑问卷中的问题以书面形式予以澄清、说明或者补正。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请将上述问题的澄清、说明或者补正于年月日时前密封递交至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color w:val="000000"/>
          <w:sz w:val="24"/>
        </w:rPr>
      </w:pPr>
      <w:r>
        <w:rPr>
          <w:rFonts w:hint="eastAsia"/>
          <w:color w:val="000000"/>
          <w:sz w:val="24"/>
        </w:rPr>
        <w:t xml:space="preserve"> （项目名称）</w:t>
      </w:r>
      <w:r>
        <w:rPr>
          <w:rFonts w:hint="eastAsia" w:hAnsi="宋体" w:cs="宋体"/>
          <w:color w:val="000000"/>
          <w:sz w:val="24"/>
        </w:rPr>
        <w:t>招标评标委员会</w:t>
      </w:r>
    </w:p>
    <w:p>
      <w:pPr>
        <w:spacing w:line="480" w:lineRule="exact"/>
        <w:jc w:val="right"/>
        <w:rPr>
          <w:color w:val="000000"/>
          <w:sz w:val="24"/>
        </w:rPr>
      </w:pPr>
      <w:r>
        <w:rPr>
          <w:rFonts w:hint="eastAsia"/>
          <w:color w:val="000000"/>
          <w:sz w:val="24"/>
        </w:rPr>
        <w:t>（经评标委员会授权的招标人代表签字或招标人加盖单位章）</w:t>
      </w:r>
    </w:p>
    <w:p>
      <w:pPr>
        <w:spacing w:line="480" w:lineRule="exact"/>
        <w:ind w:firstLine="5280" w:firstLineChars="2200"/>
        <w:rPr>
          <w:rFonts w:hAnsi="宋体" w:cs="宋体"/>
          <w:sz w:val="24"/>
        </w:rPr>
      </w:pPr>
      <w:r>
        <w:rPr>
          <w:rFonts w:hint="eastAsia"/>
          <w:color w:val="000000"/>
          <w:sz w:val="24"/>
        </w:rPr>
        <w:t>年月日</w:t>
      </w:r>
    </w:p>
    <w:p>
      <w:pPr>
        <w:spacing w:line="480" w:lineRule="exact"/>
        <w:rPr>
          <w:rFonts w:hAnsi="宋体" w:cs="宋体"/>
          <w:sz w:val="24"/>
        </w:rPr>
      </w:pPr>
    </w:p>
    <w:p>
      <w:pPr>
        <w:spacing w:line="400" w:lineRule="exact"/>
        <w:ind w:firstLine="480" w:firstLineChars="200"/>
        <w:rPr>
          <w:rFonts w:hAnsi="宋体" w:cs="宋体"/>
          <w:sz w:val="24"/>
        </w:rPr>
      </w:pPr>
    </w:p>
    <w:p>
      <w:pPr>
        <w:pStyle w:val="2"/>
        <w:ind w:firstLine="320"/>
        <w:rPr>
          <w:rFonts w:ascii="仿宋_GB2312"/>
          <w:b w:val="0"/>
          <w:sz w:val="32"/>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r>
        <w:rPr>
          <w:rFonts w:hint="eastAsia" w:hAnsi="宋体" w:cs="宋体"/>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rPr>
          <w:rFonts w:hAnsi="宋体" w:cs="宋体"/>
          <w:sz w:val="24"/>
        </w:rPr>
      </w:pPr>
      <w:r>
        <w:rPr>
          <w:rFonts w:hint="eastAsia" w:hAnsi="宋体" w:cs="宋体"/>
          <w:sz w:val="24"/>
        </w:rPr>
        <w:t>（项目名称、标段）招标评标委员会：</w:t>
      </w:r>
    </w:p>
    <w:p>
      <w:pPr>
        <w:spacing w:line="480" w:lineRule="exact"/>
        <w:ind w:firstLine="480" w:firstLineChars="200"/>
        <w:rPr>
          <w:rFonts w:hAnsi="宋体" w:cs="宋体"/>
          <w:sz w:val="24"/>
        </w:rPr>
      </w:pPr>
      <w:r>
        <w:rPr>
          <w:rFonts w:hint="eastAsia" w:hAnsi="宋体" w:cs="宋体"/>
          <w:sz w:val="24"/>
        </w:rPr>
        <w:t>问题澄清通知（编号：）已收悉，现澄清、说明或者补正如下：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 xml:space="preserve">投标人：（盖单位章） </w:t>
      </w:r>
    </w:p>
    <w:p>
      <w:pPr>
        <w:wordWrap w:val="0"/>
        <w:spacing w:beforeLines="50" w:afterLines="50" w:line="480" w:lineRule="exact"/>
        <w:ind w:right="210"/>
        <w:jc w:val="right"/>
        <w:rPr>
          <w:rFonts w:hAnsi="宋体" w:cs="宋体"/>
          <w:sz w:val="24"/>
        </w:rPr>
      </w:pPr>
      <w:r>
        <w:rPr>
          <w:rFonts w:hint="eastAsia" w:hAnsi="宋体" w:cs="宋体"/>
          <w:sz w:val="24"/>
        </w:rPr>
        <w:t xml:space="preserve">法定代表人或其委托代理人：（签字） </w:t>
      </w:r>
    </w:p>
    <w:p>
      <w:pPr>
        <w:spacing w:line="480" w:lineRule="exact"/>
        <w:rPr>
          <w:rFonts w:hAnsi="宋体" w:cs="宋体"/>
          <w:sz w:val="24"/>
        </w:rPr>
      </w:pPr>
      <w:r>
        <w:rPr>
          <w:rFonts w:hint="eastAsia" w:hAnsi="宋体" w:cs="宋体"/>
          <w:sz w:val="24"/>
        </w:rPr>
        <w:t>年月日</w:t>
      </w:r>
    </w:p>
    <w:p>
      <w:pPr>
        <w:spacing w:beforeLines="100" w:afterLines="100" w:line="400" w:lineRule="exact"/>
        <w:rPr>
          <w:rFonts w:hAnsi="宋体" w:cs="宋体"/>
          <w:sz w:val="24"/>
        </w:rPr>
      </w:pPr>
    </w:p>
    <w:p>
      <w:pPr>
        <w:snapToGrid w:val="0"/>
        <w:spacing w:line="360" w:lineRule="auto"/>
        <w:jc w:val="center"/>
        <w:rPr>
          <w:rFonts w:hAnsi="宋体" w:cs="宋体"/>
          <w:b/>
          <w:bCs/>
          <w:sz w:val="36"/>
          <w:szCs w:val="36"/>
        </w:rPr>
      </w:pPr>
    </w:p>
    <w:p>
      <w:pPr>
        <w:pStyle w:val="26"/>
        <w:tabs>
          <w:tab w:val="right" w:leader="dot" w:pos="9637"/>
          <w:tab w:val="clear" w:pos="9060"/>
        </w:tabs>
        <w:spacing w:before="120" w:after="120" w:line="600" w:lineRule="auto"/>
        <w:jc w:val="center"/>
        <w:rPr>
          <w:sz w:val="36"/>
          <w:szCs w:val="36"/>
        </w:rPr>
      </w:pPr>
      <w:r>
        <w:rPr>
          <w:rFonts w:hint="eastAsia"/>
          <w:b/>
          <w:sz w:val="36"/>
          <w:szCs w:val="36"/>
        </w:rPr>
        <w:br w:type="page"/>
      </w:r>
      <w:bookmarkStart w:id="81" w:name="_Toc508875507"/>
      <w:bookmarkStart w:id="82" w:name="_Toc2081"/>
      <w:r>
        <w:rPr>
          <w:rFonts w:hint="eastAsia"/>
          <w:sz w:val="36"/>
          <w:szCs w:val="36"/>
        </w:rPr>
        <w:t>第三章 评标办法（综合评标法）</w:t>
      </w:r>
      <w:bookmarkEnd w:id="81"/>
      <w:bookmarkEnd w:id="82"/>
    </w:p>
    <w:p>
      <w:pPr>
        <w:adjustRightInd w:val="0"/>
        <w:snapToGrid w:val="0"/>
        <w:spacing w:line="450" w:lineRule="exact"/>
        <w:ind w:firstLine="480" w:firstLineChars="200"/>
        <w:rPr>
          <w:rFonts w:hAnsi="宋体" w:cs="宋体"/>
          <w:sz w:val="24"/>
        </w:rPr>
      </w:pPr>
      <w:r>
        <w:rPr>
          <w:rFonts w:hint="eastAsia" w:hAnsi="宋体" w:cs="宋体"/>
          <w:sz w:val="24"/>
        </w:rPr>
        <w:t>一、评标应遵循公正、公平、择优的原则严格按照招标文件进行。</w:t>
      </w:r>
    </w:p>
    <w:p>
      <w:pPr>
        <w:adjustRightInd w:val="0"/>
        <w:snapToGrid w:val="0"/>
        <w:spacing w:line="450" w:lineRule="exact"/>
        <w:ind w:firstLine="480" w:firstLineChars="200"/>
        <w:rPr>
          <w:rFonts w:hAnsi="宋体" w:cs="宋体"/>
          <w:sz w:val="24"/>
        </w:rPr>
      </w:pPr>
      <w:r>
        <w:rPr>
          <w:rFonts w:hint="eastAsia" w:hAnsi="宋体" w:cs="宋体"/>
          <w:sz w:val="24"/>
        </w:rPr>
        <w:t>二、评标由招标人依法组建的评标委员会负责，评标委员会成员详见前附表。与投标人有利害关系的专家不得进入评标委员会。</w:t>
      </w:r>
    </w:p>
    <w:p>
      <w:pPr>
        <w:adjustRightInd w:val="0"/>
        <w:snapToGrid w:val="0"/>
        <w:spacing w:line="450" w:lineRule="exact"/>
        <w:ind w:firstLine="480" w:firstLineChars="200"/>
        <w:rPr>
          <w:rFonts w:hAnsi="宋体" w:cs="宋体"/>
          <w:sz w:val="24"/>
        </w:rPr>
      </w:pPr>
      <w:bookmarkStart w:id="83" w:name="_Toc270931534"/>
      <w:bookmarkStart w:id="84" w:name="_Toc295572535"/>
      <w:bookmarkStart w:id="85" w:name="_Toc273546398"/>
      <w:bookmarkStart w:id="86" w:name="_Toc272833453"/>
      <w:r>
        <w:rPr>
          <w:rFonts w:hint="eastAsia" w:hAnsi="宋体" w:cs="宋体"/>
          <w:sz w:val="24"/>
        </w:rPr>
        <w:t>三、评标采用综合评标法，是指评标委员会根据招标文件要求，应从技术标、商务标、综合标三部分进行综合评审。</w:t>
      </w:r>
    </w:p>
    <w:p>
      <w:pPr>
        <w:adjustRightInd w:val="0"/>
        <w:snapToGrid w:val="0"/>
        <w:spacing w:line="450" w:lineRule="exact"/>
        <w:ind w:firstLine="480" w:firstLineChars="200"/>
        <w:rPr>
          <w:rFonts w:hAnsi="宋体" w:cs="宋体"/>
          <w:sz w:val="24"/>
        </w:rPr>
      </w:pPr>
      <w:r>
        <w:rPr>
          <w:rFonts w:hint="eastAsia" w:hAnsi="宋体" w:cs="宋体"/>
          <w:sz w:val="24"/>
        </w:rPr>
        <w:t>四、评标程序为：</w:t>
      </w:r>
    </w:p>
    <w:p>
      <w:pPr>
        <w:adjustRightInd w:val="0"/>
        <w:snapToGrid w:val="0"/>
        <w:spacing w:line="430" w:lineRule="exact"/>
        <w:ind w:firstLine="480" w:firstLineChars="200"/>
        <w:rPr>
          <w:rFonts w:hAnsi="宋体" w:cs="宋体"/>
          <w:sz w:val="24"/>
        </w:rPr>
      </w:pPr>
      <w:r>
        <w:rPr>
          <w:rFonts w:hint="eastAsia" w:hAnsi="宋体" w:cs="宋体"/>
          <w:sz w:val="24"/>
        </w:rPr>
        <w:t>（一）初步评审；</w:t>
      </w:r>
    </w:p>
    <w:p>
      <w:pPr>
        <w:adjustRightInd w:val="0"/>
        <w:snapToGrid w:val="0"/>
        <w:spacing w:line="430" w:lineRule="exact"/>
        <w:ind w:firstLine="480" w:firstLineChars="200"/>
        <w:rPr>
          <w:rFonts w:hAnsi="宋体" w:cs="宋体"/>
          <w:sz w:val="24"/>
        </w:rPr>
      </w:pPr>
      <w:r>
        <w:rPr>
          <w:rFonts w:hint="eastAsia" w:hAnsi="宋体" w:cs="宋体"/>
          <w:sz w:val="24"/>
        </w:rPr>
        <w:t>（二）详细评审；</w:t>
      </w:r>
    </w:p>
    <w:p>
      <w:pPr>
        <w:adjustRightInd w:val="0"/>
        <w:snapToGrid w:val="0"/>
        <w:spacing w:line="430" w:lineRule="exact"/>
        <w:ind w:firstLine="480" w:firstLineChars="200"/>
        <w:rPr>
          <w:rFonts w:hAnsi="宋体" w:cs="宋体"/>
          <w:sz w:val="24"/>
        </w:rPr>
      </w:pPr>
      <w:r>
        <w:rPr>
          <w:rFonts w:hint="eastAsia" w:hAnsi="宋体" w:cs="宋体"/>
          <w:sz w:val="24"/>
        </w:rPr>
        <w:t>（三）问题的澄清、说明或补正；</w:t>
      </w:r>
    </w:p>
    <w:p>
      <w:pPr>
        <w:adjustRightInd w:val="0"/>
        <w:snapToGrid w:val="0"/>
        <w:spacing w:line="430" w:lineRule="exact"/>
        <w:ind w:firstLine="480" w:firstLineChars="200"/>
        <w:rPr>
          <w:rFonts w:hAnsi="宋体" w:cs="宋体"/>
          <w:sz w:val="24"/>
        </w:rPr>
      </w:pPr>
      <w:r>
        <w:rPr>
          <w:rFonts w:hint="eastAsia" w:hAnsi="宋体" w:cs="宋体"/>
          <w:sz w:val="24"/>
        </w:rPr>
        <w:t>（四）推荐中标候选人；</w:t>
      </w:r>
    </w:p>
    <w:p>
      <w:pPr>
        <w:adjustRightInd w:val="0"/>
        <w:snapToGrid w:val="0"/>
        <w:spacing w:line="430" w:lineRule="exact"/>
        <w:ind w:firstLine="480" w:firstLineChars="200"/>
        <w:rPr>
          <w:rFonts w:hAnsi="宋体" w:cs="宋体"/>
          <w:sz w:val="24"/>
        </w:rPr>
      </w:pPr>
      <w:r>
        <w:rPr>
          <w:rFonts w:hint="eastAsia" w:hAnsi="宋体" w:cs="宋体"/>
          <w:sz w:val="24"/>
        </w:rPr>
        <w:t>（五）评标现场宣布中标候选人确定结果并在指定媒体上进行公示。</w:t>
      </w:r>
    </w:p>
    <w:p>
      <w:pPr>
        <w:adjustRightInd w:val="0"/>
        <w:snapToGrid w:val="0"/>
        <w:spacing w:line="430" w:lineRule="exact"/>
        <w:ind w:firstLine="482" w:firstLineChars="200"/>
        <w:rPr>
          <w:rFonts w:hAnsi="宋体" w:cs="宋体"/>
          <w:b/>
          <w:sz w:val="24"/>
        </w:rPr>
      </w:pPr>
      <w:r>
        <w:rPr>
          <w:rFonts w:hint="eastAsia" w:hAnsi="宋体" w:cs="宋体"/>
          <w:b/>
          <w:sz w:val="24"/>
        </w:rPr>
        <w:t>五、初步评审</w:t>
      </w:r>
    </w:p>
    <w:p>
      <w:pPr>
        <w:adjustRightInd w:val="0"/>
        <w:snapToGrid w:val="0"/>
        <w:spacing w:line="430" w:lineRule="exact"/>
        <w:ind w:firstLine="480" w:firstLineChars="200"/>
        <w:rPr>
          <w:rFonts w:hAnsi="宋体" w:cs="宋体"/>
          <w:sz w:val="24"/>
        </w:rPr>
      </w:pPr>
      <w:r>
        <w:rPr>
          <w:rFonts w:hint="eastAsia" w:hAnsi="宋体" w:cs="宋体"/>
          <w:sz w:val="24"/>
        </w:rPr>
        <w:t>评标委员会按招标文件及商务标清标内容要求对投标文件的符合性、响应性、资格条件和重大偏差等逐一进行评审。经审查不符合招标文件要求的，不再进入详细评审阶段；符合招标文件要求的投标文件为有效投标文件，进入详细评审阶段，其报价为有效投标报价。</w:t>
      </w:r>
    </w:p>
    <w:p>
      <w:pPr>
        <w:adjustRightInd w:val="0"/>
        <w:snapToGrid w:val="0"/>
        <w:spacing w:line="430" w:lineRule="exact"/>
        <w:ind w:firstLine="482" w:firstLineChars="200"/>
        <w:rPr>
          <w:rFonts w:hAnsi="宋体" w:cs="宋体"/>
          <w:b/>
          <w:sz w:val="24"/>
        </w:rPr>
      </w:pPr>
      <w:r>
        <w:rPr>
          <w:rFonts w:hint="eastAsia" w:hAnsi="宋体" w:cs="宋体"/>
          <w:b/>
          <w:sz w:val="24"/>
        </w:rPr>
        <w:t xml:space="preserve">初步评审主要包括以下内容：  </w:t>
      </w:r>
    </w:p>
    <w:p>
      <w:pPr>
        <w:adjustRightInd w:val="0"/>
        <w:snapToGrid w:val="0"/>
        <w:spacing w:line="430" w:lineRule="exact"/>
        <w:ind w:firstLine="480" w:firstLineChars="200"/>
        <w:rPr>
          <w:rFonts w:hAnsi="宋体" w:cs="宋体"/>
          <w:sz w:val="24"/>
        </w:rPr>
      </w:pPr>
      <w:r>
        <w:rPr>
          <w:rFonts w:hint="eastAsia" w:hAnsi="宋体" w:cs="宋体"/>
          <w:sz w:val="24"/>
        </w:rPr>
        <w:t>（一）电子投标文件是否按招标文件要求签字盖章（无需逐页签字盖章）；</w:t>
      </w:r>
    </w:p>
    <w:p>
      <w:pPr>
        <w:adjustRightInd w:val="0"/>
        <w:snapToGrid w:val="0"/>
        <w:spacing w:line="430" w:lineRule="exact"/>
        <w:ind w:firstLine="480" w:firstLineChars="200"/>
        <w:rPr>
          <w:rFonts w:hAnsi="宋体" w:cs="宋体"/>
          <w:sz w:val="24"/>
        </w:rPr>
      </w:pPr>
      <w:r>
        <w:rPr>
          <w:rFonts w:hint="eastAsia" w:hAnsi="宋体" w:cs="宋体"/>
          <w:sz w:val="24"/>
        </w:rPr>
        <w:t>（二）投标联合体是否提交共同投标协议（允许联合体投标的）；</w:t>
      </w:r>
    </w:p>
    <w:p>
      <w:pPr>
        <w:adjustRightInd w:val="0"/>
        <w:snapToGrid w:val="0"/>
        <w:spacing w:line="430" w:lineRule="exact"/>
        <w:ind w:firstLine="480" w:firstLineChars="200"/>
        <w:rPr>
          <w:rFonts w:hAnsi="宋体" w:cs="宋体"/>
          <w:sz w:val="24"/>
        </w:rPr>
      </w:pPr>
      <w:r>
        <w:rPr>
          <w:rFonts w:hint="eastAsia" w:hAnsi="宋体" w:cs="宋体"/>
          <w:sz w:val="24"/>
        </w:rPr>
        <w:t>（三）投标人是否符合国家或者招标文件规定的资格条件，注册建造师注册单位与投标人是否一致；</w:t>
      </w:r>
    </w:p>
    <w:p>
      <w:pPr>
        <w:adjustRightInd w:val="0"/>
        <w:snapToGrid w:val="0"/>
        <w:spacing w:line="430" w:lineRule="exact"/>
        <w:ind w:firstLine="480" w:firstLineChars="200"/>
        <w:rPr>
          <w:rFonts w:hAnsi="宋体" w:cs="宋体"/>
          <w:sz w:val="24"/>
        </w:rPr>
      </w:pPr>
      <w:r>
        <w:rPr>
          <w:rFonts w:hint="eastAsia" w:hAnsi="宋体" w:cs="宋体"/>
          <w:sz w:val="24"/>
        </w:rPr>
        <w:t xml:space="preserve">（四）同一投标人是否提交两个以上不同的投标文件或者投标报价，但招标文件要求提交备选投标的除外； </w:t>
      </w:r>
    </w:p>
    <w:p>
      <w:pPr>
        <w:adjustRightInd w:val="0"/>
        <w:snapToGrid w:val="0"/>
        <w:spacing w:line="430" w:lineRule="exact"/>
        <w:ind w:firstLine="480" w:firstLineChars="200"/>
        <w:rPr>
          <w:rFonts w:hAnsi="宋体" w:cs="宋体"/>
          <w:sz w:val="24"/>
        </w:rPr>
      </w:pPr>
      <w:r>
        <w:rPr>
          <w:rFonts w:hint="eastAsia" w:hAnsi="宋体" w:cs="宋体"/>
          <w:sz w:val="24"/>
        </w:rPr>
        <w:t>（五）投标报价是否高于招标文件设定的最高投标限价；</w:t>
      </w:r>
    </w:p>
    <w:p>
      <w:pPr>
        <w:adjustRightInd w:val="0"/>
        <w:snapToGrid w:val="0"/>
        <w:spacing w:line="430" w:lineRule="exact"/>
        <w:ind w:firstLine="480" w:firstLineChars="200"/>
        <w:rPr>
          <w:rFonts w:hAnsi="宋体" w:cs="宋体"/>
          <w:sz w:val="24"/>
        </w:rPr>
      </w:pPr>
      <w:r>
        <w:rPr>
          <w:rFonts w:hint="eastAsia" w:hAnsi="宋体" w:cs="宋体"/>
          <w:sz w:val="24"/>
        </w:rPr>
        <w:t>（六）投标范围、工期、工程质量、投标有效期、付款方式是否符合招标文件规定；</w:t>
      </w:r>
    </w:p>
    <w:p>
      <w:pPr>
        <w:adjustRightInd w:val="0"/>
        <w:snapToGrid w:val="0"/>
        <w:spacing w:line="430" w:lineRule="exact"/>
        <w:ind w:firstLine="480" w:firstLineChars="200"/>
        <w:rPr>
          <w:rFonts w:hAnsi="宋体" w:cs="宋体"/>
          <w:sz w:val="24"/>
        </w:rPr>
      </w:pPr>
      <w:r>
        <w:rPr>
          <w:rFonts w:hint="eastAsia" w:hAnsi="宋体" w:cs="宋体"/>
          <w:sz w:val="24"/>
        </w:rPr>
        <w:t>（七）投标人是否有串通投标、弄虚作假、行贿等违法行为。</w:t>
      </w:r>
    </w:p>
    <w:p>
      <w:pPr>
        <w:adjustRightInd w:val="0"/>
        <w:snapToGrid w:val="0"/>
        <w:spacing w:line="430" w:lineRule="exact"/>
        <w:ind w:firstLine="480" w:firstLineChars="200"/>
        <w:rPr>
          <w:rFonts w:hAnsi="宋体" w:cs="宋体"/>
          <w:sz w:val="24"/>
        </w:rPr>
      </w:pPr>
    </w:p>
    <w:p>
      <w:pPr>
        <w:snapToGrid w:val="0"/>
        <w:spacing w:line="360" w:lineRule="auto"/>
        <w:ind w:firstLine="482" w:firstLineChars="200"/>
        <w:jc w:val="left"/>
        <w:rPr>
          <w:rFonts w:hAnsi="宋体" w:eastAsia="宋体"/>
          <w:b/>
          <w:sz w:val="24"/>
        </w:rPr>
      </w:pPr>
      <w:r>
        <w:rPr>
          <w:rFonts w:hint="eastAsia" w:hAnsi="宋体" w:eastAsia="宋体"/>
          <w:b/>
          <w:sz w:val="24"/>
        </w:rPr>
        <w:t>（八）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pPr>
        <w:adjustRightInd w:val="0"/>
        <w:snapToGrid w:val="0"/>
        <w:spacing w:line="430" w:lineRule="exact"/>
        <w:ind w:firstLine="480" w:firstLineChars="200"/>
        <w:rPr>
          <w:rFonts w:hAnsi="宋体" w:cs="宋体"/>
          <w:sz w:val="24"/>
        </w:rPr>
      </w:pPr>
      <w:r>
        <w:rPr>
          <w:rFonts w:hint="eastAsia" w:hAnsi="宋体" w:cs="宋体"/>
          <w:sz w:val="24"/>
        </w:rPr>
        <w:t>（九）评标委员会在评标过程中，发现投标文件中除不符合法律法规规定的情形外，还存在下列情况之一的，也可按否决投标处理：</w:t>
      </w:r>
    </w:p>
    <w:p>
      <w:pPr>
        <w:adjustRightInd w:val="0"/>
        <w:snapToGrid w:val="0"/>
        <w:spacing w:line="430" w:lineRule="exact"/>
        <w:ind w:firstLine="480" w:firstLineChars="200"/>
        <w:rPr>
          <w:rFonts w:hAnsi="宋体" w:cs="宋体"/>
          <w:sz w:val="24"/>
        </w:rPr>
      </w:pPr>
      <w:r>
        <w:rPr>
          <w:rFonts w:hint="eastAsia" w:hAnsi="宋体" w:cs="宋体"/>
          <w:sz w:val="24"/>
        </w:rPr>
        <w:t>（1）未按招标文件规定编制各项报价的；</w:t>
      </w:r>
    </w:p>
    <w:p>
      <w:pPr>
        <w:adjustRightInd w:val="0"/>
        <w:snapToGrid w:val="0"/>
        <w:spacing w:line="430" w:lineRule="exact"/>
        <w:ind w:firstLine="480" w:firstLineChars="200"/>
        <w:rPr>
          <w:rFonts w:hAnsi="宋体" w:cs="宋体"/>
          <w:sz w:val="24"/>
        </w:rPr>
      </w:pPr>
      <w:r>
        <w:rPr>
          <w:rFonts w:hint="eastAsia" w:hAnsi="宋体" w:cs="宋体"/>
          <w:sz w:val="24"/>
        </w:rPr>
        <w:t>（2）投标报价与其组成部分、工程量清单项目合价与综合单价、综合单价与人材机用量相互矛盾，致使评标委员会无法正常评审判定的；</w:t>
      </w:r>
    </w:p>
    <w:p>
      <w:pPr>
        <w:adjustRightInd w:val="0"/>
        <w:snapToGrid w:val="0"/>
        <w:spacing w:line="430" w:lineRule="exact"/>
        <w:ind w:firstLine="480" w:firstLineChars="200"/>
        <w:rPr>
          <w:rFonts w:hAnsi="宋体" w:cs="宋体"/>
          <w:sz w:val="24"/>
        </w:rPr>
      </w:pPr>
      <w:r>
        <w:rPr>
          <w:rFonts w:hint="eastAsia" w:hAnsi="宋体" w:cs="宋体"/>
          <w:sz w:val="24"/>
        </w:rPr>
        <w:t>（3）规费和安全文明施工费违反工程造价计价有关规定的；</w:t>
      </w:r>
    </w:p>
    <w:p>
      <w:pPr>
        <w:adjustRightInd w:val="0"/>
        <w:snapToGrid w:val="0"/>
        <w:spacing w:line="430" w:lineRule="exact"/>
        <w:ind w:firstLine="480" w:firstLineChars="200"/>
        <w:rPr>
          <w:rFonts w:hAnsi="宋体" w:cs="宋体"/>
          <w:sz w:val="24"/>
        </w:rPr>
      </w:pPr>
      <w:r>
        <w:rPr>
          <w:rFonts w:hint="eastAsia" w:hAnsi="宋体" w:cs="宋体"/>
          <w:sz w:val="24"/>
        </w:rPr>
        <w:t>（4）分部分项工程项目、措施项目报价中的项目编码、项目名称、项目特征、计量单位和工程量与招标文件的清单不一致的；</w:t>
      </w:r>
    </w:p>
    <w:p>
      <w:pPr>
        <w:adjustRightInd w:val="0"/>
        <w:snapToGrid w:val="0"/>
        <w:spacing w:line="430" w:lineRule="exact"/>
        <w:ind w:firstLine="480" w:firstLineChars="200"/>
        <w:rPr>
          <w:rFonts w:hAnsi="宋体" w:cs="宋体"/>
          <w:sz w:val="24"/>
        </w:rPr>
      </w:pPr>
      <w:r>
        <w:rPr>
          <w:rFonts w:hint="eastAsia" w:hAnsi="宋体" w:cs="宋体"/>
          <w:sz w:val="24"/>
        </w:rPr>
        <w:t>（5）未按照招标文件所列明的暂列金额、暂估价编制投标报价的；</w:t>
      </w:r>
    </w:p>
    <w:p>
      <w:pPr>
        <w:adjustRightInd w:val="0"/>
        <w:snapToGrid w:val="0"/>
        <w:spacing w:line="430" w:lineRule="exact"/>
        <w:ind w:firstLine="480" w:firstLineChars="200"/>
        <w:rPr>
          <w:rFonts w:hAnsi="宋体" w:cs="宋体"/>
          <w:sz w:val="24"/>
        </w:rPr>
      </w:pPr>
      <w:r>
        <w:rPr>
          <w:rFonts w:hint="eastAsia" w:hAnsi="宋体" w:cs="宋体"/>
          <w:sz w:val="24"/>
        </w:rPr>
        <w:t>（6）住房和城乡建设部《标准施工招标文件》规定的其他否决投标条件。</w:t>
      </w:r>
    </w:p>
    <w:p>
      <w:pPr>
        <w:adjustRightInd w:val="0"/>
        <w:snapToGrid w:val="0"/>
        <w:spacing w:line="430" w:lineRule="exact"/>
        <w:ind w:firstLine="482" w:firstLineChars="200"/>
        <w:rPr>
          <w:rFonts w:hAnsi="宋体" w:cs="宋体"/>
          <w:b/>
          <w:sz w:val="24"/>
        </w:rPr>
      </w:pPr>
      <w:r>
        <w:rPr>
          <w:rFonts w:hint="eastAsia" w:hAnsi="宋体" w:cs="宋体"/>
          <w:b/>
          <w:sz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adjustRightInd w:val="0"/>
        <w:snapToGrid w:val="0"/>
        <w:spacing w:after="240" w:line="430" w:lineRule="exact"/>
        <w:ind w:firstLine="482" w:firstLineChars="200"/>
        <w:rPr>
          <w:rFonts w:hAnsi="宋体" w:cs="宋体"/>
          <w:b/>
          <w:sz w:val="24"/>
        </w:rPr>
      </w:pPr>
      <w:r>
        <w:rPr>
          <w:rFonts w:hint="eastAsia" w:hAnsi="宋体" w:cs="宋体"/>
          <w:b/>
          <w:sz w:val="24"/>
        </w:rPr>
        <w:t>（十）商务标清标内容：</w:t>
      </w:r>
    </w:p>
    <w:tbl>
      <w:tblPr>
        <w:tblStyle w:val="30"/>
        <w:tblW w:w="96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567"/>
        <w:gridCol w:w="3428"/>
        <w:gridCol w:w="3999"/>
        <w:gridCol w:w="602"/>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135"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Ansi="宋体" w:cs="宋体"/>
                <w:b/>
                <w:szCs w:val="21"/>
              </w:rPr>
            </w:pPr>
            <w:r>
              <w:rPr>
                <w:rFonts w:hint="eastAsia" w:hAnsi="宋体" w:cs="宋体"/>
                <w:b/>
                <w:szCs w:val="21"/>
              </w:rPr>
              <w:t>序号</w:t>
            </w:r>
          </w:p>
        </w:tc>
        <w:tc>
          <w:tcPr>
            <w:tcW w:w="3428"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Ansi="宋体" w:cs="宋体"/>
                <w:b/>
                <w:szCs w:val="21"/>
              </w:rPr>
            </w:pPr>
            <w:r>
              <w:rPr>
                <w:rFonts w:hint="eastAsia" w:hAnsi="宋体" w:cs="宋体"/>
                <w:b/>
                <w:szCs w:val="21"/>
              </w:rPr>
              <w:t>清标项目</w:t>
            </w:r>
          </w:p>
        </w:tc>
        <w:tc>
          <w:tcPr>
            <w:tcW w:w="3999"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Ansi="宋体" w:cs="宋体"/>
                <w:b/>
                <w:szCs w:val="21"/>
              </w:rPr>
            </w:pPr>
            <w:r>
              <w:rPr>
                <w:rFonts w:hint="eastAsia" w:hAnsi="宋体" w:cs="宋体"/>
                <w:b/>
                <w:szCs w:val="21"/>
              </w:rPr>
              <w:t>清标内容</w:t>
            </w:r>
          </w:p>
        </w:tc>
        <w:tc>
          <w:tcPr>
            <w:tcW w:w="113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Ansi="宋体" w:cs="宋体"/>
                <w:b/>
                <w:szCs w:val="21"/>
              </w:rPr>
            </w:pPr>
            <w:r>
              <w:rPr>
                <w:rFonts w:hint="eastAsia" w:hAnsi="宋体" w:cs="宋体"/>
                <w:b/>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jc w:val="center"/>
        </w:trPr>
        <w:tc>
          <w:tcPr>
            <w:tcW w:w="1135"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exact"/>
              <w:rPr>
                <w:rFonts w:hAnsi="宋体" w:cs="宋体"/>
                <w:szCs w:val="21"/>
              </w:rPr>
            </w:pPr>
          </w:p>
        </w:tc>
        <w:tc>
          <w:tcPr>
            <w:tcW w:w="342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rPr>
                <w:rFonts w:hAnsi="宋体" w:cs="宋体"/>
                <w:szCs w:val="21"/>
              </w:rPr>
            </w:pPr>
          </w:p>
        </w:tc>
        <w:tc>
          <w:tcPr>
            <w:tcW w:w="399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rPr>
                <w:rFonts w:hAnsi="宋体" w:cs="宋体"/>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Ansi="宋体" w:cs="宋体"/>
                <w:b/>
                <w:szCs w:val="21"/>
              </w:rPr>
            </w:pPr>
            <w:r>
              <w:rPr>
                <w:rFonts w:hint="eastAsia" w:hAnsi="宋体" w:cs="宋体"/>
                <w:b/>
                <w:szCs w:val="21"/>
              </w:rPr>
              <w:t>是</w:t>
            </w:r>
          </w:p>
        </w:tc>
        <w:tc>
          <w:tcPr>
            <w:tcW w:w="52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Ansi="宋体" w:cs="宋体"/>
                <w:b/>
                <w:szCs w:val="21"/>
              </w:rPr>
            </w:pPr>
            <w:r>
              <w:rPr>
                <w:rFonts w:hint="eastAsia" w:hAnsi="宋体" w:cs="宋体"/>
                <w:b/>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568" w:type="dxa"/>
            <w:vMerge w:val="restar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Ansi="宋体" w:cs="宋体"/>
                <w:szCs w:val="21"/>
              </w:rPr>
            </w:pPr>
            <w:r>
              <w:rPr>
                <w:rFonts w:hint="eastAsia" w:hAnsi="宋体" w:cs="宋体"/>
                <w:szCs w:val="21"/>
              </w:rPr>
              <w:t>1</w:t>
            </w:r>
          </w:p>
        </w:tc>
        <w:tc>
          <w:tcPr>
            <w:tcW w:w="56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Ansi="宋体" w:cs="宋体"/>
                <w:szCs w:val="21"/>
              </w:rPr>
            </w:pPr>
            <w:r>
              <w:rPr>
                <w:rFonts w:hint="eastAsia" w:hAnsi="宋体" w:cs="宋体"/>
                <w:szCs w:val="21"/>
              </w:rPr>
              <w:t>1.1</w:t>
            </w:r>
          </w:p>
        </w:tc>
        <w:tc>
          <w:tcPr>
            <w:tcW w:w="342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Ansi="宋体" w:cs="宋体"/>
                <w:szCs w:val="21"/>
              </w:rPr>
            </w:pPr>
            <w:r>
              <w:rPr>
                <w:rFonts w:hint="eastAsia" w:hAnsi="宋体" w:cs="宋体"/>
                <w:szCs w:val="21"/>
              </w:rPr>
              <w:t>项目总报价</w:t>
            </w:r>
          </w:p>
        </w:tc>
        <w:tc>
          <w:tcPr>
            <w:tcW w:w="399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Ansi="宋体" w:cs="宋体"/>
                <w:szCs w:val="21"/>
              </w:rPr>
            </w:pPr>
            <w:r>
              <w:rPr>
                <w:rFonts w:hint="eastAsia" w:hAnsi="宋体" w:cs="宋体"/>
                <w:szCs w:val="21"/>
              </w:rPr>
              <w:t>是否等于各单项工程造价之和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Ansi="宋体" w:cs="宋体"/>
                <w:b/>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568" w:type="dxa"/>
            <w:vMerge w:val="continue"/>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Ansi="宋体" w:cs="宋体"/>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Ansi="宋体" w:cs="宋体"/>
                <w:szCs w:val="21"/>
              </w:rPr>
            </w:pPr>
            <w:r>
              <w:rPr>
                <w:rFonts w:hint="eastAsia" w:hAnsi="宋体" w:cs="宋体"/>
                <w:szCs w:val="21"/>
              </w:rPr>
              <w:t>1.2</w:t>
            </w:r>
          </w:p>
        </w:tc>
        <w:tc>
          <w:tcPr>
            <w:tcW w:w="342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Ansi="宋体" w:cs="宋体"/>
                <w:szCs w:val="21"/>
              </w:rPr>
            </w:pPr>
            <w:r>
              <w:rPr>
                <w:rFonts w:hint="eastAsia" w:hAnsi="宋体" w:cs="宋体"/>
                <w:szCs w:val="21"/>
              </w:rPr>
              <w:t>单项工程费</w:t>
            </w:r>
          </w:p>
        </w:tc>
        <w:tc>
          <w:tcPr>
            <w:tcW w:w="399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Ansi="宋体" w:cs="宋体"/>
                <w:szCs w:val="21"/>
              </w:rPr>
            </w:pPr>
            <w:r>
              <w:rPr>
                <w:rFonts w:hint="eastAsia" w:hAnsi="宋体" w:cs="宋体"/>
                <w:szCs w:val="21"/>
              </w:rPr>
              <w:t>是否等于各单位工程造价之和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Ansi="宋体" w:cs="宋体"/>
                <w:b/>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568" w:type="dxa"/>
            <w:vMerge w:val="continue"/>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Ansi="宋体" w:cs="宋体"/>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Ansi="宋体" w:cs="宋体"/>
                <w:szCs w:val="21"/>
              </w:rPr>
            </w:pPr>
            <w:r>
              <w:rPr>
                <w:rFonts w:hint="eastAsia" w:hAnsi="宋体" w:cs="宋体"/>
                <w:szCs w:val="21"/>
              </w:rPr>
              <w:t>1.3</w:t>
            </w:r>
          </w:p>
        </w:tc>
        <w:tc>
          <w:tcPr>
            <w:tcW w:w="342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Ansi="宋体" w:cs="宋体"/>
                <w:szCs w:val="21"/>
              </w:rPr>
            </w:pPr>
            <w:r>
              <w:rPr>
                <w:rFonts w:hint="eastAsia" w:hAnsi="宋体" w:cs="宋体"/>
                <w:szCs w:val="21"/>
              </w:rPr>
              <w:t>单位工程费</w:t>
            </w:r>
          </w:p>
        </w:tc>
        <w:tc>
          <w:tcPr>
            <w:tcW w:w="39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Ansi="宋体" w:cs="宋体"/>
                <w:szCs w:val="21"/>
              </w:rPr>
            </w:pPr>
            <w:r>
              <w:rPr>
                <w:rFonts w:hint="eastAsia" w:hAnsi="宋体" w:cs="宋体"/>
                <w:szCs w:val="21"/>
              </w:rPr>
              <w:t>是否等于分部分项工程费</w:t>
            </w:r>
            <w:r>
              <w:rPr>
                <w:rFonts w:hAnsi="宋体" w:cs="宋体"/>
                <w:szCs w:val="21"/>
              </w:rPr>
              <w:t>+</w:t>
            </w:r>
            <w:r>
              <w:rPr>
                <w:rFonts w:hint="eastAsia" w:hAnsi="宋体" w:cs="宋体"/>
                <w:szCs w:val="21"/>
              </w:rPr>
              <w:t>措施项目费</w:t>
            </w:r>
            <w:r>
              <w:rPr>
                <w:rFonts w:hAnsi="宋体" w:cs="宋体"/>
                <w:szCs w:val="21"/>
              </w:rPr>
              <w:t>+</w:t>
            </w:r>
            <w:r>
              <w:rPr>
                <w:rFonts w:hint="eastAsia" w:hAnsi="宋体" w:cs="宋体"/>
                <w:szCs w:val="21"/>
              </w:rPr>
              <w:t>其它项目费</w:t>
            </w:r>
            <w:r>
              <w:rPr>
                <w:rFonts w:hAnsi="宋体" w:cs="宋体"/>
                <w:szCs w:val="21"/>
              </w:rPr>
              <w:t>+</w:t>
            </w:r>
            <w:r>
              <w:rPr>
                <w:rFonts w:hint="eastAsia" w:hAnsi="宋体" w:cs="宋体"/>
                <w:szCs w:val="21"/>
              </w:rPr>
              <w:t>规费</w:t>
            </w:r>
            <w:r>
              <w:rPr>
                <w:rFonts w:hAnsi="宋体" w:cs="宋体"/>
                <w:szCs w:val="21"/>
              </w:rPr>
              <w:t>+</w:t>
            </w:r>
            <w:r>
              <w:rPr>
                <w:rFonts w:hint="eastAsia" w:hAnsi="宋体" w:cs="宋体"/>
                <w:szCs w:val="21"/>
              </w:rPr>
              <w:t>税金之和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Ansi="宋体" w:cs="宋体"/>
                <w:b/>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68" w:type="dxa"/>
            <w:vMerge w:val="restar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Ansi="宋体" w:cs="宋体"/>
                <w:szCs w:val="21"/>
              </w:rPr>
            </w:pPr>
            <w:r>
              <w:rPr>
                <w:rFonts w:hint="eastAsia" w:hAnsi="宋体" w:cs="宋体"/>
                <w:szCs w:val="21"/>
              </w:rPr>
              <w:t>2</w:t>
            </w:r>
          </w:p>
        </w:tc>
        <w:tc>
          <w:tcPr>
            <w:tcW w:w="56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Ansi="宋体" w:cs="宋体"/>
                <w:szCs w:val="21"/>
              </w:rPr>
            </w:pPr>
            <w:r>
              <w:rPr>
                <w:rFonts w:hint="eastAsia" w:hAnsi="宋体" w:cs="宋体"/>
                <w:szCs w:val="21"/>
              </w:rPr>
              <w:t>2.1</w:t>
            </w:r>
          </w:p>
        </w:tc>
        <w:tc>
          <w:tcPr>
            <w:tcW w:w="342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Ansi="宋体" w:cs="宋体"/>
                <w:szCs w:val="21"/>
              </w:rPr>
            </w:pPr>
            <w:r>
              <w:rPr>
                <w:rFonts w:hint="eastAsia" w:hAnsi="宋体" w:cs="宋体"/>
                <w:szCs w:val="21"/>
              </w:rPr>
              <w:t>分部分项工程费及单价措施费</w:t>
            </w:r>
          </w:p>
        </w:tc>
        <w:tc>
          <w:tcPr>
            <w:tcW w:w="39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Ansi="宋体" w:cs="宋体"/>
                <w:szCs w:val="21"/>
              </w:rPr>
            </w:pPr>
            <w:r>
              <w:rPr>
                <w:rFonts w:hint="eastAsia" w:hAnsi="宋体" w:cs="宋体"/>
                <w:szCs w:val="21"/>
              </w:rPr>
              <w:t>是否等于各分部分项清单（含单价措施项目）费之和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Ansi="宋体" w:cs="宋体"/>
                <w:b/>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Ansi="宋体" w:cs="宋体"/>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Ansi="宋体" w:cs="宋体"/>
                <w:szCs w:val="21"/>
              </w:rPr>
            </w:pPr>
            <w:r>
              <w:rPr>
                <w:rFonts w:hint="eastAsia" w:hAnsi="宋体" w:cs="宋体"/>
                <w:szCs w:val="21"/>
              </w:rPr>
              <w:t>2.2</w:t>
            </w:r>
          </w:p>
        </w:tc>
        <w:tc>
          <w:tcPr>
            <w:tcW w:w="34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Ansi="宋体" w:cs="宋体"/>
                <w:szCs w:val="21"/>
              </w:rPr>
            </w:pPr>
            <w:r>
              <w:rPr>
                <w:rFonts w:hint="eastAsia" w:hAnsi="宋体" w:cs="宋体"/>
                <w:szCs w:val="21"/>
              </w:rPr>
              <w:t>分部分项及单价措施项目编码</w:t>
            </w:r>
          </w:p>
        </w:tc>
        <w:tc>
          <w:tcPr>
            <w:tcW w:w="39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Ansi="宋体" w:cs="宋体"/>
                <w:szCs w:val="21"/>
              </w:rPr>
            </w:pPr>
            <w:r>
              <w:rPr>
                <w:rFonts w:hint="eastAsia" w:hAnsi="宋体" w:cs="宋体"/>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Ansi="宋体" w:cs="宋体"/>
                <w:b/>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Ansi="宋体" w:cs="宋体"/>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Ansi="宋体" w:cs="宋体"/>
                <w:szCs w:val="21"/>
              </w:rPr>
            </w:pPr>
            <w:r>
              <w:rPr>
                <w:rFonts w:hint="eastAsia" w:hAnsi="宋体" w:cs="宋体"/>
                <w:szCs w:val="21"/>
              </w:rPr>
              <w:t>2.3</w:t>
            </w:r>
          </w:p>
        </w:tc>
        <w:tc>
          <w:tcPr>
            <w:tcW w:w="34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Ansi="宋体" w:cs="宋体"/>
                <w:szCs w:val="21"/>
              </w:rPr>
            </w:pPr>
            <w:r>
              <w:rPr>
                <w:rFonts w:hint="eastAsia" w:hAnsi="宋体" w:cs="宋体"/>
                <w:szCs w:val="21"/>
              </w:rPr>
              <w:t>分部分项及单价措施项目名称</w:t>
            </w:r>
          </w:p>
        </w:tc>
        <w:tc>
          <w:tcPr>
            <w:tcW w:w="39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Ansi="宋体" w:cs="宋体"/>
                <w:szCs w:val="21"/>
              </w:rPr>
            </w:pPr>
            <w:r>
              <w:rPr>
                <w:rFonts w:hint="eastAsia" w:hAnsi="宋体" w:cs="宋体"/>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Ansi="宋体" w:cs="宋体"/>
                <w:b/>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Ansi="宋体" w:cs="宋体"/>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Ansi="宋体" w:cs="宋体"/>
                <w:szCs w:val="21"/>
              </w:rPr>
            </w:pPr>
            <w:r>
              <w:rPr>
                <w:rFonts w:hint="eastAsia" w:hAnsi="宋体" w:cs="宋体"/>
                <w:szCs w:val="21"/>
              </w:rPr>
              <w:t>2.4</w:t>
            </w:r>
          </w:p>
        </w:tc>
        <w:tc>
          <w:tcPr>
            <w:tcW w:w="34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Ansi="宋体" w:cs="宋体"/>
                <w:szCs w:val="21"/>
              </w:rPr>
            </w:pPr>
            <w:r>
              <w:rPr>
                <w:rFonts w:hint="eastAsia" w:hAnsi="宋体" w:cs="宋体"/>
                <w:szCs w:val="21"/>
              </w:rPr>
              <w:t>分部分项及单价措施项目特征</w:t>
            </w:r>
          </w:p>
        </w:tc>
        <w:tc>
          <w:tcPr>
            <w:tcW w:w="39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Ansi="宋体" w:cs="宋体"/>
                <w:szCs w:val="21"/>
              </w:rPr>
            </w:pPr>
            <w:r>
              <w:rPr>
                <w:rFonts w:hint="eastAsia" w:hAnsi="宋体" w:cs="宋体"/>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Ansi="宋体" w:cs="宋体"/>
                <w:b/>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Ansi="宋体" w:cs="宋体"/>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Ansi="宋体" w:cs="宋体"/>
                <w:szCs w:val="21"/>
              </w:rPr>
            </w:pPr>
            <w:r>
              <w:rPr>
                <w:rFonts w:hint="eastAsia" w:hAnsi="宋体" w:cs="宋体"/>
                <w:szCs w:val="21"/>
              </w:rPr>
              <w:t>2.5</w:t>
            </w:r>
          </w:p>
        </w:tc>
        <w:tc>
          <w:tcPr>
            <w:tcW w:w="34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Ansi="宋体" w:cs="宋体"/>
                <w:szCs w:val="21"/>
              </w:rPr>
            </w:pPr>
            <w:r>
              <w:rPr>
                <w:rFonts w:hint="eastAsia" w:hAnsi="宋体" w:cs="宋体"/>
                <w:szCs w:val="21"/>
              </w:rPr>
              <w:t>分部分项及单价措施项目计量单位</w:t>
            </w:r>
          </w:p>
        </w:tc>
        <w:tc>
          <w:tcPr>
            <w:tcW w:w="39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Ansi="宋体" w:cs="宋体"/>
                <w:szCs w:val="21"/>
              </w:rPr>
            </w:pPr>
            <w:r>
              <w:rPr>
                <w:rFonts w:hint="eastAsia" w:hAnsi="宋体" w:cs="宋体"/>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Ansi="宋体" w:cs="宋体"/>
                <w:b/>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Ansi="宋体" w:cs="宋体"/>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Ansi="宋体" w:cs="宋体"/>
                <w:szCs w:val="21"/>
              </w:rPr>
            </w:pPr>
            <w:r>
              <w:rPr>
                <w:rFonts w:hint="eastAsia" w:hAnsi="宋体" w:cs="宋体"/>
                <w:szCs w:val="21"/>
              </w:rPr>
              <w:t>2.6</w:t>
            </w:r>
          </w:p>
        </w:tc>
        <w:tc>
          <w:tcPr>
            <w:tcW w:w="34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Ansi="宋体" w:cs="宋体"/>
                <w:szCs w:val="21"/>
              </w:rPr>
            </w:pPr>
            <w:r>
              <w:rPr>
                <w:rFonts w:hint="eastAsia" w:hAnsi="宋体" w:cs="宋体"/>
                <w:szCs w:val="21"/>
              </w:rPr>
              <w:t>分部分项及单价措施项目工程量</w:t>
            </w:r>
          </w:p>
        </w:tc>
        <w:tc>
          <w:tcPr>
            <w:tcW w:w="39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Ansi="宋体" w:cs="宋体"/>
                <w:szCs w:val="21"/>
              </w:rPr>
            </w:pPr>
            <w:r>
              <w:rPr>
                <w:rFonts w:hint="eastAsia" w:hAnsi="宋体" w:cs="宋体"/>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Ansi="宋体" w:cs="宋体"/>
                <w:b/>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68" w:type="dxa"/>
            <w:vMerge w:val="continue"/>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Ansi="宋体" w:cs="宋体"/>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Ansi="宋体" w:cs="宋体"/>
                <w:szCs w:val="21"/>
              </w:rPr>
            </w:pPr>
            <w:r>
              <w:rPr>
                <w:rFonts w:hint="eastAsia" w:hAnsi="宋体" w:cs="宋体"/>
                <w:szCs w:val="21"/>
              </w:rPr>
              <w:t>2.7</w:t>
            </w:r>
          </w:p>
        </w:tc>
        <w:tc>
          <w:tcPr>
            <w:tcW w:w="342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cs="宋体"/>
                <w:szCs w:val="21"/>
              </w:rPr>
            </w:pPr>
            <w:r>
              <w:rPr>
                <w:rFonts w:hint="eastAsia" w:hAnsi="宋体" w:cs="宋体"/>
                <w:szCs w:val="21"/>
              </w:rPr>
              <w:t>分部分项工程费及单价措施费清单综合单价</w:t>
            </w:r>
          </w:p>
        </w:tc>
        <w:tc>
          <w:tcPr>
            <w:tcW w:w="399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cs="宋体"/>
                <w:szCs w:val="21"/>
              </w:rPr>
            </w:pPr>
            <w:r>
              <w:rPr>
                <w:rFonts w:hint="eastAsia" w:hAnsi="宋体" w:cs="宋体"/>
                <w:szCs w:val="21"/>
              </w:rPr>
              <w:t>综合单价＝人工费</w:t>
            </w:r>
            <w:r>
              <w:rPr>
                <w:rFonts w:hAnsi="宋体" w:cs="宋体"/>
                <w:szCs w:val="21"/>
              </w:rPr>
              <w:t>+</w:t>
            </w:r>
            <w:r>
              <w:rPr>
                <w:rFonts w:hint="eastAsia" w:hAnsi="宋体" w:cs="宋体"/>
                <w:szCs w:val="21"/>
              </w:rPr>
              <w:t>材料费</w:t>
            </w:r>
            <w:r>
              <w:rPr>
                <w:rFonts w:hAnsi="宋体" w:cs="宋体"/>
                <w:szCs w:val="21"/>
              </w:rPr>
              <w:t>+</w:t>
            </w:r>
            <w:r>
              <w:rPr>
                <w:rFonts w:hint="eastAsia" w:hAnsi="宋体" w:cs="宋体"/>
                <w:szCs w:val="21"/>
              </w:rPr>
              <w:t>机械费</w:t>
            </w:r>
            <w:r>
              <w:rPr>
                <w:rFonts w:hAnsi="宋体" w:cs="宋体"/>
                <w:szCs w:val="21"/>
              </w:rPr>
              <w:t>+</w:t>
            </w:r>
            <w:r>
              <w:rPr>
                <w:rFonts w:hint="eastAsia" w:hAnsi="宋体" w:cs="宋体"/>
                <w:szCs w:val="21"/>
              </w:rPr>
              <w:t>管理费</w:t>
            </w:r>
            <w:r>
              <w:rPr>
                <w:rFonts w:hAnsi="宋体" w:cs="宋体"/>
                <w:szCs w:val="21"/>
              </w:rPr>
              <w:t>+</w:t>
            </w:r>
            <w:r>
              <w:rPr>
                <w:rFonts w:hint="eastAsia" w:hAnsi="宋体" w:cs="宋体"/>
                <w:szCs w:val="21"/>
              </w:rPr>
              <w:t>利润之和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Ansi="宋体" w:cs="宋体"/>
                <w:b/>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568" w:type="dxa"/>
            <w:vMerge w:val="continue"/>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Ansi="宋体" w:cs="宋体"/>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Ansi="宋体" w:cs="宋体"/>
                <w:szCs w:val="21"/>
              </w:rPr>
            </w:pPr>
            <w:r>
              <w:rPr>
                <w:rFonts w:hint="eastAsia" w:hAnsi="宋体" w:cs="宋体"/>
                <w:szCs w:val="21"/>
              </w:rPr>
              <w:t>2.8</w:t>
            </w:r>
          </w:p>
        </w:tc>
        <w:tc>
          <w:tcPr>
            <w:tcW w:w="34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Ansi="宋体" w:cs="宋体"/>
                <w:szCs w:val="21"/>
              </w:rPr>
            </w:pPr>
            <w:r>
              <w:rPr>
                <w:rFonts w:hint="eastAsia" w:hAnsi="宋体" w:cs="宋体"/>
                <w:szCs w:val="21"/>
              </w:rPr>
              <w:t>材料单价</w:t>
            </w:r>
          </w:p>
        </w:tc>
        <w:tc>
          <w:tcPr>
            <w:tcW w:w="399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cs="宋体"/>
                <w:szCs w:val="21"/>
              </w:rPr>
            </w:pPr>
            <w:r>
              <w:rPr>
                <w:rFonts w:hint="eastAsia" w:hAnsi="宋体" w:cs="宋体"/>
                <w:szCs w:val="21"/>
              </w:rPr>
              <w:t>材料表中的单价与组成清单单价中的综合单价必须一致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Ansi="宋体" w:cs="宋体"/>
                <w:b/>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568" w:type="dxa"/>
            <w:vMerge w:val="restar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Ansi="宋体" w:cs="宋体"/>
                <w:szCs w:val="21"/>
              </w:rPr>
            </w:pPr>
            <w:r>
              <w:rPr>
                <w:rFonts w:hint="eastAsia" w:hAnsi="宋体" w:cs="宋体"/>
                <w:szCs w:val="21"/>
              </w:rPr>
              <w:t>3</w:t>
            </w:r>
          </w:p>
        </w:tc>
        <w:tc>
          <w:tcPr>
            <w:tcW w:w="56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Ansi="宋体" w:cs="宋体"/>
                <w:szCs w:val="21"/>
              </w:rPr>
            </w:pPr>
            <w:r>
              <w:rPr>
                <w:rFonts w:hint="eastAsia" w:hAnsi="宋体" w:cs="宋体"/>
                <w:szCs w:val="21"/>
              </w:rPr>
              <w:t>3.1</w:t>
            </w:r>
          </w:p>
        </w:tc>
        <w:tc>
          <w:tcPr>
            <w:tcW w:w="342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Ansi="宋体" w:cs="宋体"/>
                <w:szCs w:val="21"/>
              </w:rPr>
            </w:pPr>
            <w:r>
              <w:rPr>
                <w:rFonts w:hint="eastAsia" w:hAnsi="宋体" w:cs="宋体"/>
                <w:szCs w:val="21"/>
              </w:rPr>
              <w:t>安全文明施工费</w:t>
            </w:r>
          </w:p>
        </w:tc>
        <w:tc>
          <w:tcPr>
            <w:tcW w:w="399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Ansi="宋体" w:cs="宋体"/>
                <w:szCs w:val="21"/>
              </w:rPr>
            </w:pPr>
            <w:r>
              <w:rPr>
                <w:rFonts w:hint="eastAsia" w:hAnsi="宋体" w:cs="宋体"/>
                <w:szCs w:val="21"/>
              </w:rPr>
              <w:t>根据河南省计价依据规定计算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Ansi="宋体" w:cs="宋体"/>
                <w:b/>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568" w:type="dxa"/>
            <w:vMerge w:val="continue"/>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Ansi="宋体" w:cs="宋体"/>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Ansi="宋体" w:cs="宋体"/>
                <w:szCs w:val="21"/>
              </w:rPr>
            </w:pPr>
            <w:r>
              <w:rPr>
                <w:rFonts w:hint="eastAsia" w:hAnsi="宋体" w:cs="宋体"/>
                <w:szCs w:val="21"/>
              </w:rPr>
              <w:t>3.2</w:t>
            </w:r>
          </w:p>
        </w:tc>
        <w:tc>
          <w:tcPr>
            <w:tcW w:w="342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Ansi="宋体" w:cs="宋体"/>
                <w:szCs w:val="21"/>
              </w:rPr>
            </w:pPr>
            <w:r>
              <w:rPr>
                <w:rFonts w:hint="eastAsia" w:hAnsi="宋体" w:cs="宋体"/>
                <w:szCs w:val="21"/>
              </w:rPr>
              <w:t>其他措施费（费率类）项目</w:t>
            </w:r>
          </w:p>
        </w:tc>
        <w:tc>
          <w:tcPr>
            <w:tcW w:w="399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Ansi="宋体" w:cs="宋体"/>
                <w:szCs w:val="21"/>
              </w:rPr>
            </w:pPr>
            <w:r>
              <w:rPr>
                <w:rFonts w:hint="eastAsia" w:hAnsi="宋体" w:cs="宋体"/>
                <w:szCs w:val="21"/>
              </w:rPr>
              <w:t>根据招标文件要求自主报价</w:t>
            </w:r>
          </w:p>
        </w:tc>
        <w:tc>
          <w:tcPr>
            <w:tcW w:w="60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Ansi="宋体" w:cs="宋体"/>
                <w:b/>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568" w:type="dxa"/>
            <w:vMerge w:val="restar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Ansi="宋体" w:cs="宋体"/>
                <w:szCs w:val="21"/>
              </w:rPr>
            </w:pPr>
            <w:r>
              <w:rPr>
                <w:rFonts w:hint="eastAsia" w:hAnsi="宋体" w:cs="宋体"/>
                <w:szCs w:val="21"/>
              </w:rPr>
              <w:t>4</w:t>
            </w:r>
          </w:p>
        </w:tc>
        <w:tc>
          <w:tcPr>
            <w:tcW w:w="56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Ansi="宋体" w:cs="宋体"/>
                <w:szCs w:val="21"/>
              </w:rPr>
            </w:pPr>
            <w:r>
              <w:rPr>
                <w:rFonts w:hint="eastAsia" w:hAnsi="宋体" w:cs="宋体"/>
                <w:szCs w:val="21"/>
              </w:rPr>
              <w:t>4.1</w:t>
            </w:r>
          </w:p>
        </w:tc>
        <w:tc>
          <w:tcPr>
            <w:tcW w:w="342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Ansi="宋体" w:cs="宋体"/>
                <w:szCs w:val="21"/>
              </w:rPr>
            </w:pPr>
            <w:r>
              <w:rPr>
                <w:rFonts w:hint="eastAsia" w:hAnsi="宋体" w:cs="宋体"/>
                <w:szCs w:val="21"/>
              </w:rPr>
              <w:t>其它项目费</w:t>
            </w:r>
          </w:p>
        </w:tc>
        <w:tc>
          <w:tcPr>
            <w:tcW w:w="399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cs="宋体"/>
                <w:szCs w:val="21"/>
              </w:rPr>
            </w:pPr>
            <w:r>
              <w:rPr>
                <w:rFonts w:hint="eastAsia" w:hAnsi="宋体" w:cs="宋体"/>
                <w:szCs w:val="21"/>
              </w:rPr>
              <w:t>各组成部分之和（暂列金额</w:t>
            </w:r>
            <w:r>
              <w:rPr>
                <w:rFonts w:hAnsi="宋体" w:cs="宋体"/>
                <w:szCs w:val="21"/>
              </w:rPr>
              <w:t>+</w:t>
            </w:r>
            <w:r>
              <w:rPr>
                <w:rFonts w:hint="eastAsia" w:hAnsi="宋体" w:cs="宋体"/>
                <w:szCs w:val="21"/>
              </w:rPr>
              <w:t>专业暂估价</w:t>
            </w:r>
            <w:r>
              <w:rPr>
                <w:rFonts w:hAnsi="宋体" w:cs="宋体"/>
                <w:szCs w:val="21"/>
              </w:rPr>
              <w:t>+</w:t>
            </w:r>
            <w:r>
              <w:rPr>
                <w:rFonts w:hint="eastAsia" w:hAnsi="宋体" w:cs="宋体"/>
                <w:szCs w:val="21"/>
              </w:rPr>
              <w:t>计日工费</w:t>
            </w:r>
            <w:r>
              <w:rPr>
                <w:rFonts w:hAnsi="宋体" w:cs="宋体"/>
                <w:szCs w:val="21"/>
              </w:rPr>
              <w:t>+</w:t>
            </w:r>
            <w:r>
              <w:rPr>
                <w:rFonts w:hint="eastAsia" w:hAnsi="宋体" w:cs="宋体"/>
                <w:szCs w:val="21"/>
              </w:rPr>
              <w:t>总承包服务费）</w:t>
            </w:r>
          </w:p>
        </w:tc>
        <w:tc>
          <w:tcPr>
            <w:tcW w:w="60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Ansi="宋体" w:cs="宋体"/>
                <w:b/>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568" w:type="dxa"/>
            <w:vMerge w:val="continue"/>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Ansi="宋体" w:cs="宋体"/>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Ansi="宋体" w:cs="宋体"/>
                <w:szCs w:val="21"/>
              </w:rPr>
            </w:pPr>
            <w:r>
              <w:rPr>
                <w:rFonts w:hint="eastAsia" w:hAnsi="宋体" w:cs="宋体"/>
                <w:szCs w:val="21"/>
              </w:rPr>
              <w:t>4.2</w:t>
            </w:r>
          </w:p>
        </w:tc>
        <w:tc>
          <w:tcPr>
            <w:tcW w:w="342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Ansi="宋体" w:cs="宋体"/>
                <w:szCs w:val="21"/>
              </w:rPr>
            </w:pPr>
            <w:r>
              <w:rPr>
                <w:rFonts w:hint="eastAsia" w:hAnsi="宋体" w:cs="宋体"/>
                <w:szCs w:val="21"/>
              </w:rPr>
              <w:t>暂列金额</w:t>
            </w:r>
          </w:p>
        </w:tc>
        <w:tc>
          <w:tcPr>
            <w:tcW w:w="399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Ansi="宋体" w:cs="宋体"/>
                <w:szCs w:val="21"/>
              </w:rPr>
            </w:pPr>
            <w:r>
              <w:rPr>
                <w:rFonts w:hint="eastAsia" w:hAnsi="宋体" w:cs="宋体"/>
                <w:szCs w:val="21"/>
              </w:rPr>
              <w:t>应与招标人价格一致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Ansi="宋体" w:cs="宋体"/>
                <w:b/>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568" w:type="dxa"/>
            <w:vMerge w:val="continue"/>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Ansi="宋体" w:cs="宋体"/>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Ansi="宋体" w:cs="宋体"/>
                <w:szCs w:val="21"/>
              </w:rPr>
            </w:pPr>
            <w:r>
              <w:rPr>
                <w:rFonts w:hint="eastAsia" w:hAnsi="宋体" w:cs="宋体"/>
                <w:szCs w:val="21"/>
              </w:rPr>
              <w:t>4.3</w:t>
            </w:r>
          </w:p>
        </w:tc>
        <w:tc>
          <w:tcPr>
            <w:tcW w:w="342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Ansi="宋体" w:cs="宋体"/>
                <w:szCs w:val="21"/>
              </w:rPr>
            </w:pPr>
            <w:r>
              <w:rPr>
                <w:rFonts w:hint="eastAsia" w:hAnsi="宋体" w:cs="宋体"/>
                <w:szCs w:val="21"/>
              </w:rPr>
              <w:t>专业工程暂估价</w:t>
            </w:r>
          </w:p>
        </w:tc>
        <w:tc>
          <w:tcPr>
            <w:tcW w:w="399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Ansi="宋体" w:cs="宋体"/>
                <w:szCs w:val="21"/>
              </w:rPr>
            </w:pPr>
            <w:r>
              <w:rPr>
                <w:rFonts w:hint="eastAsia" w:hAnsi="宋体" w:cs="宋体"/>
                <w:szCs w:val="21"/>
              </w:rPr>
              <w:t>应与招标人价格一致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Ansi="宋体" w:cs="宋体"/>
                <w:b/>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568" w:type="dxa"/>
            <w:vMerge w:val="continue"/>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Ansi="宋体" w:cs="宋体"/>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Ansi="宋体" w:cs="宋体"/>
                <w:szCs w:val="21"/>
              </w:rPr>
            </w:pPr>
            <w:r>
              <w:rPr>
                <w:rFonts w:hint="eastAsia" w:hAnsi="宋体" w:cs="宋体"/>
                <w:szCs w:val="21"/>
              </w:rPr>
              <w:t>4.4</w:t>
            </w:r>
          </w:p>
        </w:tc>
        <w:tc>
          <w:tcPr>
            <w:tcW w:w="342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Ansi="宋体" w:cs="宋体"/>
                <w:szCs w:val="21"/>
              </w:rPr>
            </w:pPr>
            <w:r>
              <w:rPr>
                <w:rFonts w:hint="eastAsia" w:hAnsi="宋体" w:cs="宋体"/>
                <w:szCs w:val="21"/>
              </w:rPr>
              <w:t>计日工</w:t>
            </w:r>
          </w:p>
        </w:tc>
        <w:tc>
          <w:tcPr>
            <w:tcW w:w="399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Ansi="宋体" w:cs="宋体"/>
                <w:szCs w:val="21"/>
              </w:rPr>
            </w:pPr>
            <w:r>
              <w:rPr>
                <w:rFonts w:hint="eastAsia" w:hAnsi="宋体" w:cs="宋体"/>
                <w:szCs w:val="21"/>
              </w:rPr>
              <w:t>应与招标人数量一致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Ansi="宋体" w:cs="宋体"/>
                <w:b/>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568" w:type="dxa"/>
            <w:vMerge w:val="continue"/>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Ansi="宋体" w:cs="宋体"/>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Ansi="宋体" w:cs="宋体"/>
                <w:szCs w:val="21"/>
              </w:rPr>
            </w:pPr>
            <w:r>
              <w:rPr>
                <w:rFonts w:hint="eastAsia" w:hAnsi="宋体" w:cs="宋体"/>
                <w:szCs w:val="21"/>
              </w:rPr>
              <w:t>4.5</w:t>
            </w:r>
          </w:p>
        </w:tc>
        <w:tc>
          <w:tcPr>
            <w:tcW w:w="342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Ansi="宋体" w:cs="宋体"/>
                <w:szCs w:val="21"/>
              </w:rPr>
            </w:pPr>
            <w:r>
              <w:rPr>
                <w:rFonts w:hint="eastAsia" w:hAnsi="宋体" w:cs="宋体"/>
                <w:szCs w:val="21"/>
              </w:rPr>
              <w:t>总承包服务费</w:t>
            </w:r>
          </w:p>
        </w:tc>
        <w:tc>
          <w:tcPr>
            <w:tcW w:w="399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Ansi="宋体" w:cs="宋体"/>
                <w:szCs w:val="21"/>
              </w:rPr>
            </w:pPr>
            <w:r>
              <w:rPr>
                <w:rFonts w:hint="eastAsia" w:hAnsi="宋体" w:cs="宋体"/>
                <w:szCs w:val="21"/>
              </w:rPr>
              <w:t>是否按招标文件要求计算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Ansi="宋体" w:cs="宋体"/>
                <w:b/>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Ansi="宋体" w:cs="宋体"/>
                <w:szCs w:val="21"/>
              </w:rPr>
            </w:pPr>
            <w:r>
              <w:rPr>
                <w:rFonts w:hint="eastAsia" w:hAnsi="宋体" w:cs="宋体"/>
                <w:szCs w:val="21"/>
              </w:rPr>
              <w:t>5</w:t>
            </w:r>
          </w:p>
        </w:tc>
        <w:tc>
          <w:tcPr>
            <w:tcW w:w="56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Ansi="宋体" w:cs="宋体"/>
                <w:szCs w:val="21"/>
              </w:rPr>
            </w:pPr>
            <w:r>
              <w:rPr>
                <w:rFonts w:hint="eastAsia" w:hAnsi="宋体" w:cs="宋体"/>
                <w:szCs w:val="21"/>
              </w:rPr>
              <w:t>5</w:t>
            </w:r>
          </w:p>
        </w:tc>
        <w:tc>
          <w:tcPr>
            <w:tcW w:w="342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Ansi="宋体" w:cs="宋体"/>
                <w:szCs w:val="21"/>
              </w:rPr>
            </w:pPr>
            <w:r>
              <w:rPr>
                <w:rFonts w:hint="eastAsia" w:hAnsi="宋体" w:cs="宋体"/>
                <w:szCs w:val="21"/>
              </w:rPr>
              <w:t>规费</w:t>
            </w:r>
          </w:p>
        </w:tc>
        <w:tc>
          <w:tcPr>
            <w:tcW w:w="399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Ansi="宋体" w:cs="宋体"/>
                <w:szCs w:val="21"/>
              </w:rPr>
            </w:pPr>
            <w:r>
              <w:rPr>
                <w:rFonts w:hint="eastAsia" w:hAnsi="宋体" w:cs="宋体"/>
                <w:szCs w:val="21"/>
              </w:rPr>
              <w:t>根据河南省计价依据规定计算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Ansi="宋体" w:cs="宋体"/>
                <w:b/>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Ansi="宋体" w:cs="宋体"/>
                <w:szCs w:val="21"/>
              </w:rPr>
            </w:pPr>
            <w:r>
              <w:rPr>
                <w:rFonts w:hint="eastAsia" w:hAnsi="宋体" w:cs="宋体"/>
                <w:szCs w:val="21"/>
              </w:rPr>
              <w:t>6</w:t>
            </w:r>
          </w:p>
        </w:tc>
        <w:tc>
          <w:tcPr>
            <w:tcW w:w="56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Ansi="宋体" w:cs="宋体"/>
                <w:szCs w:val="21"/>
              </w:rPr>
            </w:pPr>
            <w:r>
              <w:rPr>
                <w:rFonts w:hint="eastAsia" w:hAnsi="宋体" w:cs="宋体"/>
                <w:szCs w:val="21"/>
              </w:rPr>
              <w:t>6</w:t>
            </w:r>
          </w:p>
        </w:tc>
        <w:tc>
          <w:tcPr>
            <w:tcW w:w="342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Ansi="宋体" w:cs="宋体"/>
                <w:szCs w:val="21"/>
              </w:rPr>
            </w:pPr>
            <w:r>
              <w:rPr>
                <w:rFonts w:hint="eastAsia" w:hAnsi="宋体" w:cs="宋体"/>
                <w:szCs w:val="21"/>
              </w:rPr>
              <w:t>增值税</w:t>
            </w:r>
          </w:p>
        </w:tc>
        <w:tc>
          <w:tcPr>
            <w:tcW w:w="399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Ansi="宋体" w:cs="宋体"/>
                <w:szCs w:val="21"/>
              </w:rPr>
            </w:pPr>
            <w:r>
              <w:rPr>
                <w:rFonts w:hint="eastAsia" w:hAnsi="宋体" w:cs="宋体"/>
                <w:szCs w:val="21"/>
              </w:rPr>
              <w:t>根据河南省计价依据规定计算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Ansi="宋体" w:cs="宋体"/>
                <w:b/>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Cs w:val="21"/>
              </w:rPr>
            </w:pPr>
            <w:r>
              <w:rPr>
                <w:rFonts w:hint="eastAsia" w:hAnsi="宋体" w:cs="宋体"/>
                <w:szCs w:val="21"/>
              </w:rPr>
              <w:t>7</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Cs w:val="21"/>
              </w:rPr>
            </w:pPr>
            <w:r>
              <w:rPr>
                <w:rFonts w:hint="eastAsia" w:hAnsi="宋体" w:cs="宋体"/>
                <w:szCs w:val="21"/>
              </w:rPr>
              <w:t>7</w:t>
            </w:r>
          </w:p>
        </w:tc>
        <w:tc>
          <w:tcPr>
            <w:tcW w:w="7427"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Ansi="宋体" w:cs="宋体"/>
                <w:szCs w:val="21"/>
              </w:rPr>
            </w:pPr>
            <w:r>
              <w:rPr>
                <w:rFonts w:hint="eastAsia" w:hAnsi="宋体" w:cs="宋体"/>
                <w:szCs w:val="21"/>
              </w:rPr>
              <w:t>不违反法律、法规、规章、规范性文件规定的其它情况</w:t>
            </w:r>
          </w:p>
        </w:tc>
        <w:tc>
          <w:tcPr>
            <w:tcW w:w="602" w:type="dxa"/>
            <w:tcBorders>
              <w:top w:val="single" w:color="auto" w:sz="4" w:space="0"/>
              <w:left w:val="single" w:color="auto" w:sz="4" w:space="0"/>
              <w:bottom w:val="single" w:color="auto" w:sz="4" w:space="0"/>
              <w:right w:val="single" w:color="auto" w:sz="4" w:space="0"/>
            </w:tcBorders>
          </w:tcPr>
          <w:p>
            <w:pPr>
              <w:jc w:val="center"/>
              <w:rPr>
                <w:rFonts w:hAnsi="宋体" w:cs="宋体"/>
                <w:b/>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b/>
                <w:szCs w:val="21"/>
              </w:rPr>
            </w:pPr>
          </w:p>
        </w:tc>
      </w:tr>
    </w:tbl>
    <w:p>
      <w:pPr>
        <w:tabs>
          <w:tab w:val="left" w:pos="1260"/>
        </w:tabs>
        <w:autoSpaceDE w:val="0"/>
        <w:autoSpaceDN w:val="0"/>
        <w:adjustRightInd w:val="0"/>
        <w:ind w:firstLine="482" w:firstLineChars="200"/>
        <w:jc w:val="left"/>
        <w:rPr>
          <w:rFonts w:hAnsi="宋体" w:cs="宋体"/>
          <w:sz w:val="24"/>
          <w:szCs w:val="24"/>
        </w:rPr>
      </w:pPr>
      <w:r>
        <w:rPr>
          <w:rFonts w:hint="eastAsia" w:hAnsi="宋体" w:cs="宋体"/>
          <w:b/>
          <w:sz w:val="24"/>
          <w:szCs w:val="24"/>
        </w:rPr>
        <w:t>注：</w:t>
      </w:r>
      <w:r>
        <w:rPr>
          <w:rFonts w:hint="eastAsia" w:hAnsi="宋体" w:cs="宋体"/>
          <w:sz w:val="24"/>
          <w:szCs w:val="24"/>
        </w:rPr>
        <w:t>不在上述范围内且不具有实质性影响的内容，均不能作为清标的依据或理由。</w:t>
      </w:r>
    </w:p>
    <w:p>
      <w:pPr>
        <w:ind w:firstLine="482" w:firstLineChars="200"/>
        <w:rPr>
          <w:rFonts w:hAnsi="宋体" w:eastAsia="宋体" w:cs="宋体"/>
          <w:b/>
          <w:sz w:val="24"/>
          <w:szCs w:val="24"/>
        </w:rPr>
      </w:pPr>
      <w:r>
        <w:rPr>
          <w:rFonts w:hint="eastAsia" w:hAnsi="宋体" w:eastAsia="宋体" w:cs="宋体"/>
          <w:b/>
          <w:sz w:val="24"/>
          <w:szCs w:val="24"/>
        </w:rPr>
        <w:t>按照住建部《建设工程工程量清单计价规范》（GB50500-2013）及省住建厅有关规定，规费、税金和安全文明施工费属不可竞争费。规费、税金、安全文明施工措施费计入投标总报价，并在投标函、投标函附录中单列，不参与商务标评审。</w:t>
      </w:r>
    </w:p>
    <w:p>
      <w:pPr>
        <w:spacing w:line="440" w:lineRule="exact"/>
        <w:ind w:firstLine="480" w:firstLineChars="200"/>
        <w:rPr>
          <w:rFonts w:ascii="新宋体" w:hAnsi="新宋体" w:eastAsia="新宋体"/>
          <w:sz w:val="24"/>
        </w:rPr>
      </w:pPr>
      <w:r>
        <w:rPr>
          <w:rFonts w:hint="eastAsia" w:ascii="新宋体" w:hAnsi="新宋体" w:eastAsia="新宋体"/>
          <w:sz w:val="24"/>
        </w:rPr>
        <w:t>初步评审经审查后应写出评审意见。</w:t>
      </w:r>
    </w:p>
    <w:p>
      <w:pPr>
        <w:spacing w:line="440" w:lineRule="exact"/>
        <w:ind w:firstLine="482" w:firstLineChars="200"/>
        <w:rPr>
          <w:rFonts w:ascii="新宋体" w:hAnsi="新宋体" w:eastAsia="新宋体"/>
          <w:b/>
          <w:sz w:val="24"/>
        </w:rPr>
      </w:pPr>
      <w:r>
        <w:rPr>
          <w:rFonts w:hint="eastAsia" w:hAnsi="宋体" w:cs="宋体"/>
          <w:b/>
          <w:sz w:val="24"/>
          <w:szCs w:val="24"/>
        </w:rPr>
        <w:t>六、</w:t>
      </w:r>
      <w:bookmarkEnd w:id="83"/>
      <w:bookmarkEnd w:id="84"/>
      <w:bookmarkEnd w:id="85"/>
      <w:bookmarkEnd w:id="86"/>
      <w:r>
        <w:rPr>
          <w:rFonts w:hint="eastAsia" w:ascii="新宋体" w:hAnsi="新宋体" w:eastAsia="新宋体"/>
          <w:b/>
          <w:sz w:val="24"/>
        </w:rPr>
        <w:t>详细评审</w:t>
      </w:r>
    </w:p>
    <w:p>
      <w:pPr>
        <w:snapToGrid w:val="0"/>
        <w:spacing w:line="360" w:lineRule="auto"/>
        <w:ind w:firstLine="481"/>
        <w:rPr>
          <w:rFonts w:hAnsi="宋体" w:eastAsia="宋体" w:cs="宋体"/>
          <w:sz w:val="24"/>
          <w:szCs w:val="24"/>
        </w:rPr>
      </w:pPr>
      <w:r>
        <w:rPr>
          <w:rFonts w:hint="eastAsia" w:hAnsi="宋体" w:eastAsia="宋体" w:cs="宋体"/>
          <w:sz w:val="24"/>
          <w:szCs w:val="24"/>
        </w:rPr>
        <w:t>评标委员会对通过初步评审合格的有效投标文件，按照招标文件中明确的评标方式进行技术标、商务标、综合标的评审。</w:t>
      </w:r>
    </w:p>
    <w:p>
      <w:pPr>
        <w:spacing w:line="440" w:lineRule="exact"/>
        <w:ind w:firstLine="482" w:firstLineChars="200"/>
        <w:rPr>
          <w:rFonts w:ascii="新宋体" w:hAnsi="新宋体" w:eastAsia="新宋体"/>
          <w:b/>
          <w:sz w:val="24"/>
        </w:rPr>
      </w:pPr>
      <w:r>
        <w:rPr>
          <w:rFonts w:hint="eastAsia" w:ascii="新宋体" w:hAnsi="新宋体" w:eastAsia="新宋体"/>
          <w:b/>
          <w:sz w:val="24"/>
        </w:rPr>
        <w:t>（一）技术标（25分）</w:t>
      </w:r>
    </w:p>
    <w:tbl>
      <w:tblPr>
        <w:tblStyle w:val="30"/>
        <w:tblW w:w="10170" w:type="dxa"/>
        <w:jc w:val="center"/>
        <w:tblCellSpacing w:w="0" w:type="dxa"/>
        <w:shd w:val="clear" w:color="auto" w:fill="FAFAFA"/>
        <w:tblLayout w:type="fixed"/>
        <w:tblCellMar>
          <w:top w:w="0" w:type="dxa"/>
          <w:left w:w="0" w:type="dxa"/>
          <w:bottom w:w="0" w:type="dxa"/>
          <w:right w:w="0" w:type="dxa"/>
        </w:tblCellMar>
      </w:tblPr>
      <w:tblGrid>
        <w:gridCol w:w="857"/>
        <w:gridCol w:w="1397"/>
        <w:gridCol w:w="1102"/>
        <w:gridCol w:w="5183"/>
        <w:gridCol w:w="1631"/>
      </w:tblGrid>
      <w:tr>
        <w:tblPrEx>
          <w:shd w:val="clear" w:color="auto" w:fill="FAFAFA"/>
          <w:tblCellMar>
            <w:top w:w="0" w:type="dxa"/>
            <w:left w:w="0" w:type="dxa"/>
            <w:bottom w:w="0" w:type="dxa"/>
            <w:right w:w="0" w:type="dxa"/>
          </w:tblCellMar>
        </w:tblPrEx>
        <w:trPr>
          <w:trHeight w:val="481" w:hRule="atLeast"/>
          <w:tblCellSpacing w:w="0" w:type="dxa"/>
          <w:jc w:val="center"/>
        </w:trPr>
        <w:tc>
          <w:tcPr>
            <w:tcW w:w="857" w:type="dxa"/>
            <w:tcBorders>
              <w:top w:val="single" w:color="auto" w:sz="8" w:space="0"/>
              <w:left w:val="single" w:color="auto" w:sz="8" w:space="0"/>
              <w:bottom w:val="single" w:color="auto" w:sz="8" w:space="0"/>
              <w:right w:val="single" w:color="auto" w:sz="8" w:space="0"/>
            </w:tcBorders>
            <w:shd w:val="clear" w:color="auto" w:fill="auto"/>
            <w:tcMar>
              <w:top w:w="0" w:type="dxa"/>
              <w:left w:w="131" w:type="dxa"/>
              <w:bottom w:w="0" w:type="dxa"/>
              <w:right w:w="131" w:type="dxa"/>
            </w:tcMar>
            <w:vAlign w:val="center"/>
          </w:tcPr>
          <w:p>
            <w:pPr>
              <w:widowControl/>
              <w:spacing w:line="276" w:lineRule="auto"/>
              <w:jc w:val="center"/>
              <w:rPr>
                <w:rFonts w:hAnsi="宋体" w:cs="宋体"/>
                <w:b/>
                <w:szCs w:val="21"/>
              </w:rPr>
            </w:pPr>
            <w:r>
              <w:rPr>
                <w:rFonts w:hint="eastAsia" w:hAnsi="宋体" w:cs="宋体"/>
                <w:b/>
                <w:szCs w:val="21"/>
              </w:rPr>
              <w:t>序号</w:t>
            </w:r>
          </w:p>
        </w:tc>
        <w:tc>
          <w:tcPr>
            <w:tcW w:w="1397" w:type="dxa"/>
            <w:tcBorders>
              <w:top w:val="single" w:color="auto" w:sz="8" w:space="0"/>
              <w:left w:val="nil"/>
              <w:bottom w:val="single" w:color="auto" w:sz="8" w:space="0"/>
              <w:right w:val="single" w:color="auto" w:sz="8" w:space="0"/>
            </w:tcBorders>
            <w:shd w:val="clear" w:color="auto" w:fill="auto"/>
            <w:tcMar>
              <w:top w:w="0" w:type="dxa"/>
              <w:left w:w="131" w:type="dxa"/>
              <w:bottom w:w="0" w:type="dxa"/>
              <w:right w:w="131" w:type="dxa"/>
            </w:tcMar>
            <w:vAlign w:val="center"/>
          </w:tcPr>
          <w:p>
            <w:pPr>
              <w:widowControl/>
              <w:spacing w:line="276" w:lineRule="auto"/>
              <w:jc w:val="center"/>
              <w:rPr>
                <w:rFonts w:hAnsi="宋体" w:cs="宋体"/>
                <w:b/>
                <w:szCs w:val="21"/>
              </w:rPr>
            </w:pPr>
            <w:r>
              <w:rPr>
                <w:rFonts w:hint="eastAsia" w:hAnsi="宋体" w:cs="宋体"/>
                <w:b/>
                <w:szCs w:val="21"/>
              </w:rPr>
              <w:t>内容</w:t>
            </w:r>
          </w:p>
        </w:tc>
        <w:tc>
          <w:tcPr>
            <w:tcW w:w="1102" w:type="dxa"/>
            <w:tcBorders>
              <w:top w:val="single" w:color="auto" w:sz="8" w:space="0"/>
              <w:left w:val="nil"/>
              <w:bottom w:val="single" w:color="auto" w:sz="8" w:space="0"/>
              <w:right w:val="single" w:color="auto" w:sz="8" w:space="0"/>
            </w:tcBorders>
            <w:shd w:val="clear" w:color="auto" w:fill="auto"/>
            <w:tcMar>
              <w:top w:w="0" w:type="dxa"/>
              <w:left w:w="131" w:type="dxa"/>
              <w:bottom w:w="0" w:type="dxa"/>
              <w:right w:w="131" w:type="dxa"/>
            </w:tcMar>
            <w:vAlign w:val="center"/>
          </w:tcPr>
          <w:p>
            <w:pPr>
              <w:widowControl/>
              <w:spacing w:line="276" w:lineRule="auto"/>
              <w:jc w:val="center"/>
              <w:rPr>
                <w:rFonts w:hAnsi="宋体" w:cs="宋体"/>
                <w:b/>
                <w:szCs w:val="21"/>
              </w:rPr>
            </w:pPr>
            <w:r>
              <w:rPr>
                <w:rFonts w:hint="eastAsia" w:hAnsi="宋体" w:cs="宋体"/>
                <w:b/>
                <w:szCs w:val="21"/>
              </w:rPr>
              <w:t>分值</w:t>
            </w:r>
          </w:p>
        </w:tc>
        <w:tc>
          <w:tcPr>
            <w:tcW w:w="5183" w:type="dxa"/>
            <w:tcBorders>
              <w:top w:val="single" w:color="auto" w:sz="8" w:space="0"/>
              <w:left w:val="nil"/>
              <w:bottom w:val="single" w:color="auto" w:sz="8" w:space="0"/>
              <w:right w:val="single" w:color="auto" w:sz="8" w:space="0"/>
            </w:tcBorders>
            <w:shd w:val="clear" w:color="auto" w:fill="auto"/>
            <w:tcMar>
              <w:top w:w="0" w:type="dxa"/>
              <w:left w:w="131" w:type="dxa"/>
              <w:bottom w:w="0" w:type="dxa"/>
              <w:right w:w="131" w:type="dxa"/>
            </w:tcMar>
            <w:vAlign w:val="center"/>
          </w:tcPr>
          <w:p>
            <w:pPr>
              <w:widowControl/>
              <w:spacing w:line="276" w:lineRule="auto"/>
              <w:jc w:val="center"/>
              <w:rPr>
                <w:rFonts w:hAnsi="宋体" w:cs="宋体"/>
                <w:b/>
                <w:szCs w:val="21"/>
              </w:rPr>
            </w:pPr>
            <w:r>
              <w:rPr>
                <w:rFonts w:hint="eastAsia" w:hAnsi="宋体" w:cs="宋体"/>
                <w:b/>
                <w:szCs w:val="21"/>
              </w:rPr>
              <w:t>评审标准</w:t>
            </w:r>
          </w:p>
        </w:tc>
        <w:tc>
          <w:tcPr>
            <w:tcW w:w="1631" w:type="dxa"/>
            <w:tcBorders>
              <w:top w:val="single" w:color="auto" w:sz="8" w:space="0"/>
              <w:left w:val="nil"/>
              <w:bottom w:val="single" w:color="auto" w:sz="8" w:space="0"/>
              <w:right w:val="single" w:color="auto" w:sz="8" w:space="0"/>
            </w:tcBorders>
            <w:shd w:val="clear" w:color="auto" w:fill="auto"/>
            <w:tcMar>
              <w:top w:w="0" w:type="dxa"/>
              <w:left w:w="131" w:type="dxa"/>
              <w:bottom w:w="0" w:type="dxa"/>
              <w:right w:w="131" w:type="dxa"/>
            </w:tcMar>
            <w:vAlign w:val="center"/>
          </w:tcPr>
          <w:p>
            <w:pPr>
              <w:widowControl/>
              <w:adjustRightInd w:val="0"/>
              <w:snapToGrid w:val="0"/>
              <w:spacing w:line="276" w:lineRule="auto"/>
              <w:jc w:val="center"/>
              <w:rPr>
                <w:rFonts w:hAnsi="宋体" w:cs="宋体"/>
                <w:b/>
                <w:szCs w:val="21"/>
              </w:rPr>
            </w:pPr>
            <w:r>
              <w:rPr>
                <w:rFonts w:hint="eastAsia" w:hAnsi="宋体" w:cs="宋体"/>
                <w:b/>
                <w:szCs w:val="21"/>
              </w:rPr>
              <w:t>评审得分</w:t>
            </w:r>
          </w:p>
        </w:tc>
      </w:tr>
      <w:tr>
        <w:tblPrEx>
          <w:tblCellMar>
            <w:top w:w="0" w:type="dxa"/>
            <w:left w:w="0" w:type="dxa"/>
            <w:bottom w:w="0" w:type="dxa"/>
            <w:right w:w="0" w:type="dxa"/>
          </w:tblCellMar>
        </w:tblPrEx>
        <w:trPr>
          <w:tblCellSpacing w:w="0" w:type="dxa"/>
          <w:jc w:val="center"/>
        </w:trPr>
        <w:tc>
          <w:tcPr>
            <w:tcW w:w="857" w:type="dxa"/>
            <w:vMerge w:val="restart"/>
            <w:tcBorders>
              <w:top w:val="nil"/>
              <w:left w:val="single" w:color="auto" w:sz="8" w:space="0"/>
              <w:bottom w:val="single" w:color="auto" w:sz="8" w:space="0"/>
              <w:right w:val="single" w:color="auto" w:sz="8" w:space="0"/>
            </w:tcBorders>
            <w:shd w:val="clear" w:color="auto" w:fill="auto"/>
            <w:tcMar>
              <w:top w:w="0" w:type="dxa"/>
              <w:left w:w="131" w:type="dxa"/>
              <w:bottom w:w="0" w:type="dxa"/>
              <w:right w:w="131" w:type="dxa"/>
            </w:tcMar>
            <w:vAlign w:val="center"/>
          </w:tcPr>
          <w:p>
            <w:pPr>
              <w:widowControl/>
              <w:spacing w:line="276" w:lineRule="auto"/>
              <w:jc w:val="center"/>
              <w:rPr>
                <w:rFonts w:hAnsi="宋体" w:cs="宋体"/>
                <w:szCs w:val="21"/>
              </w:rPr>
            </w:pPr>
            <w:r>
              <w:rPr>
                <w:rFonts w:hAnsi="宋体" w:cs="宋体"/>
                <w:szCs w:val="21"/>
              </w:rPr>
              <w:t>1</w:t>
            </w:r>
          </w:p>
        </w:tc>
        <w:tc>
          <w:tcPr>
            <w:tcW w:w="1397" w:type="dxa"/>
            <w:vMerge w:val="restart"/>
            <w:tcBorders>
              <w:top w:val="nil"/>
              <w:left w:val="nil"/>
              <w:bottom w:val="single" w:color="auto" w:sz="8" w:space="0"/>
              <w:right w:val="single" w:color="auto" w:sz="8" w:space="0"/>
            </w:tcBorders>
            <w:shd w:val="clear" w:color="auto" w:fill="auto"/>
            <w:tcMar>
              <w:top w:w="0" w:type="dxa"/>
              <w:left w:w="131" w:type="dxa"/>
              <w:bottom w:w="0" w:type="dxa"/>
              <w:right w:w="131" w:type="dxa"/>
            </w:tcMar>
            <w:vAlign w:val="center"/>
          </w:tcPr>
          <w:p>
            <w:pPr>
              <w:widowControl/>
              <w:spacing w:line="276" w:lineRule="auto"/>
              <w:jc w:val="center"/>
              <w:rPr>
                <w:rFonts w:hAnsi="宋体" w:cs="宋体"/>
                <w:szCs w:val="21"/>
              </w:rPr>
            </w:pPr>
            <w:r>
              <w:rPr>
                <w:rFonts w:hint="eastAsia" w:hAnsi="宋体" w:cs="宋体"/>
                <w:szCs w:val="21"/>
              </w:rPr>
              <w:t>内容完整性</w:t>
            </w:r>
          </w:p>
        </w:tc>
        <w:tc>
          <w:tcPr>
            <w:tcW w:w="1102" w:type="dxa"/>
            <w:vMerge w:val="restart"/>
            <w:tcBorders>
              <w:top w:val="nil"/>
              <w:left w:val="nil"/>
              <w:bottom w:val="single" w:color="auto" w:sz="8" w:space="0"/>
              <w:right w:val="single" w:color="auto" w:sz="8" w:space="0"/>
            </w:tcBorders>
            <w:shd w:val="clear" w:color="auto" w:fill="auto"/>
            <w:tcMar>
              <w:top w:w="0" w:type="dxa"/>
              <w:left w:w="131" w:type="dxa"/>
              <w:bottom w:w="0" w:type="dxa"/>
              <w:right w:w="131" w:type="dxa"/>
            </w:tcMar>
            <w:vAlign w:val="center"/>
          </w:tcPr>
          <w:p>
            <w:pPr>
              <w:widowControl/>
              <w:spacing w:line="276" w:lineRule="auto"/>
              <w:jc w:val="center"/>
              <w:rPr>
                <w:rFonts w:hAnsi="宋体" w:cs="宋体"/>
                <w:szCs w:val="21"/>
              </w:rPr>
            </w:pPr>
            <w:r>
              <w:rPr>
                <w:rFonts w:hAnsi="宋体" w:cs="宋体"/>
                <w:szCs w:val="21"/>
              </w:rPr>
              <w:t>0-0.5</w:t>
            </w:r>
            <w:r>
              <w:rPr>
                <w:rFonts w:hint="eastAsia" w:hAnsi="宋体" w:cs="宋体"/>
                <w:szCs w:val="21"/>
              </w:rPr>
              <w:t>分</w:t>
            </w:r>
          </w:p>
        </w:tc>
        <w:tc>
          <w:tcPr>
            <w:tcW w:w="5183" w:type="dxa"/>
            <w:tcBorders>
              <w:top w:val="nil"/>
              <w:left w:val="nil"/>
              <w:bottom w:val="single" w:color="auto" w:sz="8" w:space="0"/>
              <w:right w:val="single" w:color="auto" w:sz="8" w:space="0"/>
            </w:tcBorders>
            <w:shd w:val="clear" w:color="auto" w:fill="auto"/>
            <w:tcMar>
              <w:top w:w="0" w:type="dxa"/>
              <w:left w:w="131" w:type="dxa"/>
              <w:bottom w:w="0" w:type="dxa"/>
              <w:right w:w="131" w:type="dxa"/>
            </w:tcMar>
            <w:vAlign w:val="center"/>
          </w:tcPr>
          <w:p>
            <w:pPr>
              <w:widowControl/>
              <w:spacing w:line="276" w:lineRule="auto"/>
              <w:jc w:val="left"/>
              <w:rPr>
                <w:rFonts w:hAnsi="宋体" w:cs="宋体"/>
                <w:szCs w:val="21"/>
              </w:rPr>
            </w:pPr>
            <w:r>
              <w:rPr>
                <w:rFonts w:hint="eastAsia" w:hAnsi="宋体" w:cs="宋体"/>
                <w:szCs w:val="21"/>
              </w:rPr>
              <w:t>技术标的主要内容具有完整性，符合招标文件的要求。</w:t>
            </w:r>
          </w:p>
        </w:tc>
        <w:tc>
          <w:tcPr>
            <w:tcW w:w="1631" w:type="dxa"/>
            <w:tcBorders>
              <w:top w:val="nil"/>
              <w:left w:val="nil"/>
              <w:bottom w:val="single" w:color="auto" w:sz="8" w:space="0"/>
              <w:right w:val="single" w:color="auto" w:sz="8" w:space="0"/>
            </w:tcBorders>
            <w:shd w:val="clear" w:color="auto" w:fill="auto"/>
            <w:tcMar>
              <w:top w:w="0" w:type="dxa"/>
              <w:left w:w="131" w:type="dxa"/>
              <w:bottom w:w="0" w:type="dxa"/>
              <w:right w:w="131" w:type="dxa"/>
            </w:tcMar>
            <w:vAlign w:val="center"/>
          </w:tcPr>
          <w:p>
            <w:pPr>
              <w:widowControl/>
              <w:adjustRightInd w:val="0"/>
              <w:snapToGrid w:val="0"/>
              <w:spacing w:line="276" w:lineRule="auto"/>
              <w:jc w:val="center"/>
              <w:rPr>
                <w:rFonts w:hAnsi="宋体" w:cs="宋体"/>
                <w:szCs w:val="21"/>
              </w:rPr>
            </w:pPr>
            <w:r>
              <w:rPr>
                <w:rFonts w:hAnsi="宋体" w:cs="宋体"/>
                <w:szCs w:val="21"/>
              </w:rPr>
              <w:t>0.5</w:t>
            </w:r>
          </w:p>
        </w:tc>
      </w:tr>
      <w:tr>
        <w:tblPrEx>
          <w:tblCellMar>
            <w:top w:w="0" w:type="dxa"/>
            <w:left w:w="0" w:type="dxa"/>
            <w:bottom w:w="0" w:type="dxa"/>
            <w:right w:w="0" w:type="dxa"/>
          </w:tblCellMar>
        </w:tblPrEx>
        <w:trPr>
          <w:tblCellSpacing w:w="0" w:type="dxa"/>
          <w:jc w:val="center"/>
        </w:trPr>
        <w:tc>
          <w:tcPr>
            <w:tcW w:w="857" w:type="dxa"/>
            <w:vMerge w:val="continue"/>
            <w:tcBorders>
              <w:top w:val="nil"/>
              <w:left w:val="single" w:color="auto" w:sz="8" w:space="0"/>
              <w:bottom w:val="single" w:color="auto" w:sz="8" w:space="0"/>
              <w:right w:val="single" w:color="auto" w:sz="8" w:space="0"/>
            </w:tcBorders>
            <w:shd w:val="clear" w:color="auto" w:fill="FAFAFA"/>
            <w:vAlign w:val="center"/>
          </w:tcPr>
          <w:p>
            <w:pPr>
              <w:widowControl/>
              <w:spacing w:line="276" w:lineRule="auto"/>
              <w:jc w:val="left"/>
              <w:rPr>
                <w:rFonts w:hAnsi="宋体" w:cs="宋体"/>
                <w:szCs w:val="21"/>
              </w:rPr>
            </w:pPr>
          </w:p>
        </w:tc>
        <w:tc>
          <w:tcPr>
            <w:tcW w:w="1397" w:type="dxa"/>
            <w:vMerge w:val="continue"/>
            <w:tcBorders>
              <w:top w:val="nil"/>
              <w:left w:val="nil"/>
              <w:bottom w:val="single" w:color="auto" w:sz="8" w:space="0"/>
              <w:right w:val="single" w:color="auto" w:sz="8" w:space="0"/>
            </w:tcBorders>
            <w:shd w:val="clear" w:color="auto" w:fill="FAFAFA"/>
            <w:vAlign w:val="center"/>
          </w:tcPr>
          <w:p>
            <w:pPr>
              <w:widowControl/>
              <w:spacing w:line="276" w:lineRule="auto"/>
              <w:jc w:val="left"/>
              <w:rPr>
                <w:rFonts w:hAnsi="宋体" w:cs="宋体"/>
                <w:szCs w:val="21"/>
              </w:rPr>
            </w:pPr>
          </w:p>
        </w:tc>
        <w:tc>
          <w:tcPr>
            <w:tcW w:w="1102" w:type="dxa"/>
            <w:vMerge w:val="continue"/>
            <w:tcBorders>
              <w:top w:val="nil"/>
              <w:left w:val="nil"/>
              <w:bottom w:val="single" w:color="auto" w:sz="8" w:space="0"/>
              <w:right w:val="single" w:color="auto" w:sz="8" w:space="0"/>
            </w:tcBorders>
            <w:shd w:val="clear" w:color="auto" w:fill="FAFAFA"/>
            <w:vAlign w:val="center"/>
          </w:tcPr>
          <w:p>
            <w:pPr>
              <w:widowControl/>
              <w:spacing w:line="276" w:lineRule="auto"/>
              <w:jc w:val="left"/>
              <w:rPr>
                <w:rFonts w:hAnsi="宋体" w:cs="宋体"/>
                <w:szCs w:val="21"/>
              </w:rPr>
            </w:pPr>
          </w:p>
        </w:tc>
        <w:tc>
          <w:tcPr>
            <w:tcW w:w="5183" w:type="dxa"/>
            <w:tcBorders>
              <w:top w:val="nil"/>
              <w:left w:val="nil"/>
              <w:bottom w:val="single" w:color="auto" w:sz="8" w:space="0"/>
              <w:right w:val="single" w:color="auto" w:sz="8" w:space="0"/>
            </w:tcBorders>
            <w:shd w:val="clear" w:color="auto" w:fill="auto"/>
            <w:tcMar>
              <w:top w:w="0" w:type="dxa"/>
              <w:left w:w="131" w:type="dxa"/>
              <w:bottom w:w="0" w:type="dxa"/>
              <w:right w:w="131" w:type="dxa"/>
            </w:tcMar>
            <w:vAlign w:val="center"/>
          </w:tcPr>
          <w:p>
            <w:pPr>
              <w:widowControl/>
              <w:spacing w:line="276" w:lineRule="auto"/>
              <w:jc w:val="left"/>
              <w:rPr>
                <w:rFonts w:hAnsi="宋体" w:cs="宋体"/>
                <w:szCs w:val="21"/>
              </w:rPr>
            </w:pPr>
            <w:r>
              <w:rPr>
                <w:rFonts w:hint="eastAsia" w:hAnsi="宋体" w:cs="宋体"/>
                <w:szCs w:val="21"/>
              </w:rPr>
              <w:t>技术标不符合招标文件要求。</w:t>
            </w:r>
          </w:p>
        </w:tc>
        <w:tc>
          <w:tcPr>
            <w:tcW w:w="1631" w:type="dxa"/>
            <w:tcBorders>
              <w:top w:val="nil"/>
              <w:left w:val="nil"/>
              <w:bottom w:val="single" w:color="auto" w:sz="8" w:space="0"/>
              <w:right w:val="single" w:color="auto" w:sz="8" w:space="0"/>
            </w:tcBorders>
            <w:shd w:val="clear" w:color="auto" w:fill="auto"/>
            <w:tcMar>
              <w:top w:w="0" w:type="dxa"/>
              <w:left w:w="131" w:type="dxa"/>
              <w:bottom w:w="0" w:type="dxa"/>
              <w:right w:w="131" w:type="dxa"/>
            </w:tcMar>
            <w:vAlign w:val="center"/>
          </w:tcPr>
          <w:p>
            <w:pPr>
              <w:widowControl/>
              <w:adjustRightInd w:val="0"/>
              <w:snapToGrid w:val="0"/>
              <w:spacing w:line="276" w:lineRule="auto"/>
              <w:jc w:val="center"/>
              <w:rPr>
                <w:rFonts w:hAnsi="宋体" w:cs="宋体"/>
                <w:szCs w:val="21"/>
              </w:rPr>
            </w:pPr>
            <w:r>
              <w:rPr>
                <w:rFonts w:hAnsi="宋体" w:cs="宋体"/>
                <w:szCs w:val="21"/>
              </w:rPr>
              <w:t>0</w:t>
            </w:r>
          </w:p>
        </w:tc>
      </w:tr>
      <w:tr>
        <w:tblPrEx>
          <w:tblCellMar>
            <w:top w:w="0" w:type="dxa"/>
            <w:left w:w="0" w:type="dxa"/>
            <w:bottom w:w="0" w:type="dxa"/>
            <w:right w:w="0" w:type="dxa"/>
          </w:tblCellMar>
        </w:tblPrEx>
        <w:trPr>
          <w:tblCellSpacing w:w="0" w:type="dxa"/>
          <w:jc w:val="center"/>
        </w:trPr>
        <w:tc>
          <w:tcPr>
            <w:tcW w:w="857" w:type="dxa"/>
            <w:vMerge w:val="restart"/>
            <w:tcBorders>
              <w:top w:val="nil"/>
              <w:left w:val="single" w:color="auto" w:sz="8" w:space="0"/>
              <w:bottom w:val="single" w:color="auto" w:sz="8" w:space="0"/>
              <w:right w:val="single" w:color="auto" w:sz="8" w:space="0"/>
            </w:tcBorders>
            <w:shd w:val="clear" w:color="auto" w:fill="auto"/>
            <w:tcMar>
              <w:top w:w="0" w:type="dxa"/>
              <w:left w:w="131" w:type="dxa"/>
              <w:bottom w:w="0" w:type="dxa"/>
              <w:right w:w="131" w:type="dxa"/>
            </w:tcMar>
            <w:vAlign w:val="center"/>
          </w:tcPr>
          <w:p>
            <w:pPr>
              <w:widowControl/>
              <w:spacing w:line="276" w:lineRule="auto"/>
              <w:jc w:val="center"/>
              <w:rPr>
                <w:rFonts w:hAnsi="宋体" w:cs="宋体"/>
                <w:szCs w:val="21"/>
              </w:rPr>
            </w:pPr>
            <w:r>
              <w:rPr>
                <w:rFonts w:hAnsi="宋体" w:cs="宋体"/>
                <w:szCs w:val="21"/>
              </w:rPr>
              <w:t>2</w:t>
            </w:r>
          </w:p>
        </w:tc>
        <w:tc>
          <w:tcPr>
            <w:tcW w:w="1397" w:type="dxa"/>
            <w:vMerge w:val="restart"/>
            <w:tcBorders>
              <w:top w:val="nil"/>
              <w:left w:val="nil"/>
              <w:bottom w:val="single" w:color="auto" w:sz="8" w:space="0"/>
              <w:right w:val="single" w:color="auto" w:sz="8" w:space="0"/>
            </w:tcBorders>
            <w:shd w:val="clear" w:color="auto" w:fill="auto"/>
            <w:tcMar>
              <w:top w:w="0" w:type="dxa"/>
              <w:left w:w="131" w:type="dxa"/>
              <w:bottom w:w="0" w:type="dxa"/>
              <w:right w:w="131" w:type="dxa"/>
            </w:tcMar>
            <w:vAlign w:val="center"/>
          </w:tcPr>
          <w:p>
            <w:pPr>
              <w:widowControl/>
              <w:spacing w:line="276" w:lineRule="auto"/>
              <w:jc w:val="left"/>
              <w:rPr>
                <w:rFonts w:hAnsi="宋体" w:cs="宋体"/>
                <w:szCs w:val="21"/>
              </w:rPr>
            </w:pPr>
            <w:r>
              <w:rPr>
                <w:rFonts w:hint="eastAsia" w:hAnsi="宋体" w:cs="宋体"/>
                <w:szCs w:val="21"/>
              </w:rPr>
              <w:t>主要施工方案与技术措施</w:t>
            </w:r>
          </w:p>
        </w:tc>
        <w:tc>
          <w:tcPr>
            <w:tcW w:w="1102" w:type="dxa"/>
            <w:vMerge w:val="restart"/>
            <w:tcBorders>
              <w:top w:val="nil"/>
              <w:left w:val="nil"/>
              <w:bottom w:val="single" w:color="auto" w:sz="8" w:space="0"/>
              <w:right w:val="single" w:color="auto" w:sz="8" w:space="0"/>
            </w:tcBorders>
            <w:shd w:val="clear" w:color="auto" w:fill="auto"/>
            <w:tcMar>
              <w:top w:w="0" w:type="dxa"/>
              <w:left w:w="131" w:type="dxa"/>
              <w:bottom w:w="0" w:type="dxa"/>
              <w:right w:w="131" w:type="dxa"/>
            </w:tcMar>
            <w:vAlign w:val="center"/>
          </w:tcPr>
          <w:p>
            <w:pPr>
              <w:widowControl/>
              <w:spacing w:line="276" w:lineRule="auto"/>
              <w:jc w:val="center"/>
              <w:rPr>
                <w:rFonts w:hAnsi="宋体" w:cs="宋体"/>
                <w:szCs w:val="21"/>
              </w:rPr>
            </w:pPr>
            <w:r>
              <w:rPr>
                <w:rFonts w:hAnsi="宋体" w:cs="宋体"/>
                <w:szCs w:val="21"/>
              </w:rPr>
              <w:t>1-3</w:t>
            </w:r>
            <w:r>
              <w:rPr>
                <w:rFonts w:hint="eastAsia" w:hAnsi="宋体" w:cs="宋体"/>
                <w:szCs w:val="21"/>
              </w:rPr>
              <w:t>分</w:t>
            </w:r>
          </w:p>
        </w:tc>
        <w:tc>
          <w:tcPr>
            <w:tcW w:w="5183" w:type="dxa"/>
            <w:tcBorders>
              <w:top w:val="nil"/>
              <w:left w:val="nil"/>
              <w:bottom w:val="single" w:color="auto" w:sz="8" w:space="0"/>
              <w:right w:val="single" w:color="auto" w:sz="8" w:space="0"/>
            </w:tcBorders>
            <w:shd w:val="clear" w:color="auto" w:fill="auto"/>
            <w:tcMar>
              <w:top w:w="0" w:type="dxa"/>
              <w:left w:w="131" w:type="dxa"/>
              <w:bottom w:w="0" w:type="dxa"/>
              <w:right w:w="131" w:type="dxa"/>
            </w:tcMar>
            <w:vAlign w:val="center"/>
          </w:tcPr>
          <w:p>
            <w:pPr>
              <w:widowControl/>
              <w:spacing w:line="276" w:lineRule="auto"/>
              <w:jc w:val="left"/>
              <w:rPr>
                <w:rFonts w:hAnsi="宋体" w:cs="宋体"/>
                <w:szCs w:val="21"/>
              </w:rPr>
            </w:pPr>
            <w:r>
              <w:rPr>
                <w:rFonts w:hint="eastAsia" w:hAnsi="宋体" w:cs="宋体"/>
                <w:szCs w:val="21"/>
              </w:rPr>
              <w:t>施工方案（含工程特点、施工重点与难点及绿色施工）总体安排合理，运用先进、合理的施工工艺、施工机械；对施工难点有先进和合理的建议。</w:t>
            </w:r>
          </w:p>
        </w:tc>
        <w:tc>
          <w:tcPr>
            <w:tcW w:w="1631" w:type="dxa"/>
            <w:tcBorders>
              <w:top w:val="nil"/>
              <w:left w:val="nil"/>
              <w:bottom w:val="single" w:color="auto" w:sz="8" w:space="0"/>
              <w:right w:val="single" w:color="auto" w:sz="8" w:space="0"/>
            </w:tcBorders>
            <w:shd w:val="clear" w:color="auto" w:fill="auto"/>
            <w:tcMar>
              <w:top w:w="0" w:type="dxa"/>
              <w:left w:w="131" w:type="dxa"/>
              <w:bottom w:w="0" w:type="dxa"/>
              <w:right w:w="131" w:type="dxa"/>
            </w:tcMar>
            <w:vAlign w:val="center"/>
          </w:tcPr>
          <w:p>
            <w:pPr>
              <w:widowControl/>
              <w:adjustRightInd w:val="0"/>
              <w:snapToGrid w:val="0"/>
              <w:spacing w:line="276" w:lineRule="auto"/>
              <w:jc w:val="center"/>
              <w:rPr>
                <w:rFonts w:hAnsi="宋体" w:cs="宋体"/>
                <w:szCs w:val="21"/>
              </w:rPr>
            </w:pPr>
            <w:r>
              <w:rPr>
                <w:rFonts w:hAnsi="宋体" w:cs="宋体"/>
                <w:szCs w:val="21"/>
              </w:rPr>
              <w:t>2</w:t>
            </w:r>
            <w:r>
              <w:rPr>
                <w:rFonts w:hint="eastAsia" w:hAnsi="宋体" w:cs="宋体"/>
                <w:szCs w:val="21"/>
              </w:rPr>
              <w:t>＜得分</w:t>
            </w:r>
            <w:r>
              <w:rPr>
                <w:rFonts w:hAnsi="宋体" w:cs="宋体"/>
                <w:szCs w:val="21"/>
              </w:rPr>
              <w:t>≤3</w:t>
            </w:r>
          </w:p>
        </w:tc>
      </w:tr>
      <w:tr>
        <w:tblPrEx>
          <w:tblCellMar>
            <w:top w:w="0" w:type="dxa"/>
            <w:left w:w="0" w:type="dxa"/>
            <w:bottom w:w="0" w:type="dxa"/>
            <w:right w:w="0" w:type="dxa"/>
          </w:tblCellMar>
        </w:tblPrEx>
        <w:trPr>
          <w:tblCellSpacing w:w="0" w:type="dxa"/>
          <w:jc w:val="center"/>
        </w:trPr>
        <w:tc>
          <w:tcPr>
            <w:tcW w:w="857" w:type="dxa"/>
            <w:vMerge w:val="continue"/>
            <w:tcBorders>
              <w:top w:val="nil"/>
              <w:left w:val="single" w:color="auto" w:sz="8" w:space="0"/>
              <w:bottom w:val="single" w:color="auto" w:sz="8" w:space="0"/>
              <w:right w:val="single" w:color="auto" w:sz="8" w:space="0"/>
            </w:tcBorders>
            <w:shd w:val="clear" w:color="auto" w:fill="FAFAFA"/>
            <w:vAlign w:val="center"/>
          </w:tcPr>
          <w:p>
            <w:pPr>
              <w:widowControl/>
              <w:spacing w:line="276" w:lineRule="auto"/>
              <w:jc w:val="left"/>
              <w:rPr>
                <w:rFonts w:hAnsi="宋体" w:cs="宋体"/>
                <w:szCs w:val="21"/>
              </w:rPr>
            </w:pPr>
          </w:p>
        </w:tc>
        <w:tc>
          <w:tcPr>
            <w:tcW w:w="1397" w:type="dxa"/>
            <w:vMerge w:val="continue"/>
            <w:tcBorders>
              <w:top w:val="nil"/>
              <w:left w:val="nil"/>
              <w:bottom w:val="single" w:color="auto" w:sz="8" w:space="0"/>
              <w:right w:val="single" w:color="auto" w:sz="8" w:space="0"/>
            </w:tcBorders>
            <w:shd w:val="clear" w:color="auto" w:fill="FAFAFA"/>
            <w:vAlign w:val="center"/>
          </w:tcPr>
          <w:p>
            <w:pPr>
              <w:widowControl/>
              <w:spacing w:line="276" w:lineRule="auto"/>
              <w:jc w:val="left"/>
              <w:rPr>
                <w:rFonts w:hAnsi="宋体" w:cs="宋体"/>
                <w:szCs w:val="21"/>
              </w:rPr>
            </w:pPr>
          </w:p>
        </w:tc>
        <w:tc>
          <w:tcPr>
            <w:tcW w:w="1102" w:type="dxa"/>
            <w:vMerge w:val="continue"/>
            <w:tcBorders>
              <w:top w:val="nil"/>
              <w:left w:val="nil"/>
              <w:bottom w:val="single" w:color="auto" w:sz="8" w:space="0"/>
              <w:right w:val="single" w:color="auto" w:sz="8" w:space="0"/>
            </w:tcBorders>
            <w:shd w:val="clear" w:color="auto" w:fill="FAFAFA"/>
            <w:vAlign w:val="center"/>
          </w:tcPr>
          <w:p>
            <w:pPr>
              <w:widowControl/>
              <w:spacing w:line="276" w:lineRule="auto"/>
              <w:jc w:val="left"/>
              <w:rPr>
                <w:rFonts w:hAnsi="宋体" w:cs="宋体"/>
                <w:szCs w:val="21"/>
              </w:rPr>
            </w:pPr>
          </w:p>
        </w:tc>
        <w:tc>
          <w:tcPr>
            <w:tcW w:w="5183" w:type="dxa"/>
            <w:tcBorders>
              <w:top w:val="nil"/>
              <w:left w:val="nil"/>
              <w:bottom w:val="single" w:color="auto" w:sz="8" w:space="0"/>
              <w:right w:val="single" w:color="auto" w:sz="8" w:space="0"/>
            </w:tcBorders>
            <w:shd w:val="clear" w:color="auto" w:fill="auto"/>
            <w:tcMar>
              <w:top w:w="0" w:type="dxa"/>
              <w:left w:w="131" w:type="dxa"/>
              <w:bottom w:w="0" w:type="dxa"/>
              <w:right w:w="131" w:type="dxa"/>
            </w:tcMar>
            <w:vAlign w:val="center"/>
          </w:tcPr>
          <w:p>
            <w:pPr>
              <w:widowControl/>
              <w:spacing w:line="276" w:lineRule="auto"/>
              <w:jc w:val="left"/>
              <w:rPr>
                <w:rFonts w:hAnsi="宋体" w:cs="宋体"/>
                <w:szCs w:val="21"/>
              </w:rPr>
            </w:pPr>
            <w:r>
              <w:rPr>
                <w:rFonts w:hint="eastAsia" w:hAnsi="宋体" w:cs="宋体"/>
                <w:szCs w:val="21"/>
              </w:rPr>
              <w:t>施工方案（含工程特点、施工重点与难点及绿色施工）总体安排合理，施工工艺、施工机械合理、可行；对施工难点有合理的建议。</w:t>
            </w:r>
          </w:p>
        </w:tc>
        <w:tc>
          <w:tcPr>
            <w:tcW w:w="1631" w:type="dxa"/>
            <w:tcBorders>
              <w:top w:val="nil"/>
              <w:left w:val="nil"/>
              <w:bottom w:val="single" w:color="auto" w:sz="8" w:space="0"/>
              <w:right w:val="single" w:color="auto" w:sz="8" w:space="0"/>
            </w:tcBorders>
            <w:shd w:val="clear" w:color="auto" w:fill="auto"/>
            <w:tcMar>
              <w:top w:w="0" w:type="dxa"/>
              <w:left w:w="131" w:type="dxa"/>
              <w:bottom w:w="0" w:type="dxa"/>
              <w:right w:w="131" w:type="dxa"/>
            </w:tcMar>
            <w:vAlign w:val="center"/>
          </w:tcPr>
          <w:p>
            <w:pPr>
              <w:widowControl/>
              <w:adjustRightInd w:val="0"/>
              <w:snapToGrid w:val="0"/>
              <w:spacing w:line="276" w:lineRule="auto"/>
              <w:jc w:val="center"/>
              <w:rPr>
                <w:rFonts w:hAnsi="宋体" w:cs="宋体"/>
                <w:szCs w:val="21"/>
              </w:rPr>
            </w:pPr>
            <w:r>
              <w:rPr>
                <w:rFonts w:hAnsi="宋体" w:cs="宋体"/>
                <w:szCs w:val="21"/>
              </w:rPr>
              <w:t>1≤</w:t>
            </w:r>
            <w:r>
              <w:rPr>
                <w:rFonts w:hint="eastAsia" w:hAnsi="宋体" w:cs="宋体"/>
                <w:szCs w:val="21"/>
              </w:rPr>
              <w:t>得分</w:t>
            </w:r>
            <w:r>
              <w:rPr>
                <w:rFonts w:hAnsi="宋体" w:cs="宋体"/>
                <w:szCs w:val="21"/>
              </w:rPr>
              <w:t>≤2</w:t>
            </w:r>
          </w:p>
        </w:tc>
      </w:tr>
      <w:tr>
        <w:tblPrEx>
          <w:tblCellMar>
            <w:top w:w="0" w:type="dxa"/>
            <w:left w:w="0" w:type="dxa"/>
            <w:bottom w:w="0" w:type="dxa"/>
            <w:right w:w="0" w:type="dxa"/>
          </w:tblCellMar>
        </w:tblPrEx>
        <w:trPr>
          <w:tblCellSpacing w:w="0" w:type="dxa"/>
          <w:jc w:val="center"/>
        </w:trPr>
        <w:tc>
          <w:tcPr>
            <w:tcW w:w="857" w:type="dxa"/>
            <w:vMerge w:val="restart"/>
            <w:tcBorders>
              <w:top w:val="nil"/>
              <w:left w:val="single" w:color="auto" w:sz="8" w:space="0"/>
              <w:bottom w:val="single" w:color="auto" w:sz="8" w:space="0"/>
              <w:right w:val="single" w:color="auto" w:sz="8" w:space="0"/>
            </w:tcBorders>
            <w:shd w:val="clear" w:color="auto" w:fill="auto"/>
            <w:tcMar>
              <w:top w:w="0" w:type="dxa"/>
              <w:left w:w="131" w:type="dxa"/>
              <w:bottom w:w="0" w:type="dxa"/>
              <w:right w:w="131" w:type="dxa"/>
            </w:tcMar>
            <w:vAlign w:val="center"/>
          </w:tcPr>
          <w:p>
            <w:pPr>
              <w:widowControl/>
              <w:spacing w:line="276" w:lineRule="auto"/>
              <w:jc w:val="center"/>
              <w:rPr>
                <w:rFonts w:hAnsi="宋体" w:cs="宋体"/>
                <w:szCs w:val="21"/>
              </w:rPr>
            </w:pPr>
            <w:r>
              <w:rPr>
                <w:rFonts w:hAnsi="宋体" w:cs="宋体"/>
                <w:szCs w:val="21"/>
              </w:rPr>
              <w:t>3</w:t>
            </w:r>
          </w:p>
        </w:tc>
        <w:tc>
          <w:tcPr>
            <w:tcW w:w="1397" w:type="dxa"/>
            <w:vMerge w:val="restart"/>
            <w:tcBorders>
              <w:top w:val="nil"/>
              <w:left w:val="nil"/>
              <w:bottom w:val="single" w:color="auto" w:sz="8" w:space="0"/>
              <w:right w:val="single" w:color="auto" w:sz="8" w:space="0"/>
            </w:tcBorders>
            <w:shd w:val="clear" w:color="auto" w:fill="auto"/>
            <w:tcMar>
              <w:top w:w="0" w:type="dxa"/>
              <w:left w:w="131" w:type="dxa"/>
              <w:bottom w:w="0" w:type="dxa"/>
              <w:right w:w="131" w:type="dxa"/>
            </w:tcMar>
            <w:vAlign w:val="center"/>
          </w:tcPr>
          <w:p>
            <w:pPr>
              <w:widowControl/>
              <w:spacing w:line="276" w:lineRule="auto"/>
              <w:jc w:val="left"/>
              <w:rPr>
                <w:rFonts w:hAnsi="宋体" w:cs="宋体"/>
                <w:szCs w:val="21"/>
              </w:rPr>
            </w:pPr>
            <w:r>
              <w:rPr>
                <w:rFonts w:hint="eastAsia" w:hAnsi="宋体" w:cs="宋体"/>
                <w:szCs w:val="21"/>
              </w:rPr>
              <w:t>质量管理体系与措施</w:t>
            </w:r>
          </w:p>
        </w:tc>
        <w:tc>
          <w:tcPr>
            <w:tcW w:w="1102" w:type="dxa"/>
            <w:vMerge w:val="restart"/>
            <w:tcBorders>
              <w:top w:val="nil"/>
              <w:left w:val="nil"/>
              <w:bottom w:val="single" w:color="auto" w:sz="8" w:space="0"/>
              <w:right w:val="single" w:color="auto" w:sz="8" w:space="0"/>
            </w:tcBorders>
            <w:shd w:val="clear" w:color="auto" w:fill="auto"/>
            <w:tcMar>
              <w:top w:w="0" w:type="dxa"/>
              <w:left w:w="131" w:type="dxa"/>
              <w:bottom w:w="0" w:type="dxa"/>
              <w:right w:w="131" w:type="dxa"/>
            </w:tcMar>
            <w:vAlign w:val="center"/>
          </w:tcPr>
          <w:p>
            <w:pPr>
              <w:widowControl/>
              <w:spacing w:line="276" w:lineRule="auto"/>
              <w:jc w:val="center"/>
              <w:rPr>
                <w:rFonts w:hAnsi="宋体" w:cs="宋体"/>
                <w:szCs w:val="21"/>
              </w:rPr>
            </w:pPr>
            <w:r>
              <w:rPr>
                <w:rFonts w:hAnsi="宋体" w:cs="宋体"/>
                <w:szCs w:val="21"/>
              </w:rPr>
              <w:t>1-2</w:t>
            </w:r>
            <w:r>
              <w:rPr>
                <w:rFonts w:hint="eastAsia" w:hAnsi="宋体" w:cs="宋体"/>
                <w:szCs w:val="21"/>
              </w:rPr>
              <w:t>分</w:t>
            </w:r>
          </w:p>
        </w:tc>
        <w:tc>
          <w:tcPr>
            <w:tcW w:w="5183" w:type="dxa"/>
            <w:tcBorders>
              <w:top w:val="nil"/>
              <w:left w:val="nil"/>
              <w:bottom w:val="single" w:color="auto" w:sz="8" w:space="0"/>
              <w:right w:val="single" w:color="auto" w:sz="8" w:space="0"/>
            </w:tcBorders>
            <w:shd w:val="clear" w:color="auto" w:fill="auto"/>
            <w:tcMar>
              <w:top w:w="0" w:type="dxa"/>
              <w:left w:w="131" w:type="dxa"/>
              <w:bottom w:w="0" w:type="dxa"/>
              <w:right w:w="131" w:type="dxa"/>
            </w:tcMar>
            <w:vAlign w:val="center"/>
          </w:tcPr>
          <w:p>
            <w:pPr>
              <w:widowControl/>
              <w:spacing w:line="276" w:lineRule="auto"/>
              <w:jc w:val="left"/>
              <w:rPr>
                <w:rFonts w:hAnsi="宋体" w:cs="宋体"/>
                <w:szCs w:val="21"/>
              </w:rPr>
            </w:pPr>
            <w:r>
              <w:rPr>
                <w:rFonts w:hint="eastAsia" w:hAnsi="宋体" w:cs="宋体"/>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631" w:type="dxa"/>
            <w:tcBorders>
              <w:top w:val="nil"/>
              <w:left w:val="nil"/>
              <w:bottom w:val="single" w:color="auto" w:sz="8" w:space="0"/>
              <w:right w:val="single" w:color="auto" w:sz="8" w:space="0"/>
            </w:tcBorders>
            <w:shd w:val="clear" w:color="auto" w:fill="auto"/>
            <w:tcMar>
              <w:top w:w="0" w:type="dxa"/>
              <w:left w:w="131" w:type="dxa"/>
              <w:bottom w:w="0" w:type="dxa"/>
              <w:right w:w="131" w:type="dxa"/>
            </w:tcMar>
            <w:vAlign w:val="center"/>
          </w:tcPr>
          <w:p>
            <w:pPr>
              <w:widowControl/>
              <w:adjustRightInd w:val="0"/>
              <w:snapToGrid w:val="0"/>
              <w:spacing w:line="276" w:lineRule="auto"/>
              <w:jc w:val="center"/>
              <w:rPr>
                <w:rFonts w:hAnsi="宋体" w:cs="宋体"/>
                <w:szCs w:val="21"/>
              </w:rPr>
            </w:pPr>
            <w:r>
              <w:rPr>
                <w:rFonts w:hAnsi="宋体" w:cs="宋体"/>
                <w:szCs w:val="21"/>
              </w:rPr>
              <w:t>1.5</w:t>
            </w:r>
            <w:r>
              <w:rPr>
                <w:rFonts w:hint="eastAsia" w:hAnsi="宋体" w:cs="宋体"/>
                <w:szCs w:val="21"/>
              </w:rPr>
              <w:t>＜得分</w:t>
            </w:r>
            <w:r>
              <w:rPr>
                <w:rFonts w:hAnsi="宋体" w:cs="宋体"/>
                <w:szCs w:val="21"/>
              </w:rPr>
              <w:t>≤2</w:t>
            </w:r>
          </w:p>
        </w:tc>
      </w:tr>
      <w:tr>
        <w:tblPrEx>
          <w:tblCellMar>
            <w:top w:w="0" w:type="dxa"/>
            <w:left w:w="0" w:type="dxa"/>
            <w:bottom w:w="0" w:type="dxa"/>
            <w:right w:w="0" w:type="dxa"/>
          </w:tblCellMar>
        </w:tblPrEx>
        <w:trPr>
          <w:tblCellSpacing w:w="0" w:type="dxa"/>
          <w:jc w:val="center"/>
        </w:trPr>
        <w:tc>
          <w:tcPr>
            <w:tcW w:w="857" w:type="dxa"/>
            <w:vMerge w:val="continue"/>
            <w:tcBorders>
              <w:top w:val="nil"/>
              <w:left w:val="single" w:color="auto" w:sz="8" w:space="0"/>
              <w:bottom w:val="single" w:color="auto" w:sz="8" w:space="0"/>
              <w:right w:val="single" w:color="auto" w:sz="8" w:space="0"/>
            </w:tcBorders>
            <w:shd w:val="clear" w:color="auto" w:fill="FAFAFA"/>
            <w:vAlign w:val="center"/>
          </w:tcPr>
          <w:p>
            <w:pPr>
              <w:widowControl/>
              <w:spacing w:line="276" w:lineRule="auto"/>
              <w:jc w:val="left"/>
              <w:rPr>
                <w:rFonts w:hAnsi="宋体" w:cs="宋体"/>
                <w:szCs w:val="21"/>
              </w:rPr>
            </w:pPr>
          </w:p>
        </w:tc>
        <w:tc>
          <w:tcPr>
            <w:tcW w:w="1397" w:type="dxa"/>
            <w:vMerge w:val="continue"/>
            <w:tcBorders>
              <w:top w:val="nil"/>
              <w:left w:val="nil"/>
              <w:bottom w:val="single" w:color="auto" w:sz="8" w:space="0"/>
              <w:right w:val="single" w:color="auto" w:sz="8" w:space="0"/>
            </w:tcBorders>
            <w:shd w:val="clear" w:color="auto" w:fill="FAFAFA"/>
            <w:vAlign w:val="center"/>
          </w:tcPr>
          <w:p>
            <w:pPr>
              <w:widowControl/>
              <w:spacing w:line="276" w:lineRule="auto"/>
              <w:jc w:val="left"/>
              <w:rPr>
                <w:rFonts w:hAnsi="宋体" w:cs="宋体"/>
                <w:szCs w:val="21"/>
              </w:rPr>
            </w:pPr>
          </w:p>
        </w:tc>
        <w:tc>
          <w:tcPr>
            <w:tcW w:w="1102" w:type="dxa"/>
            <w:vMerge w:val="continue"/>
            <w:tcBorders>
              <w:top w:val="nil"/>
              <w:left w:val="nil"/>
              <w:bottom w:val="single" w:color="auto" w:sz="8" w:space="0"/>
              <w:right w:val="single" w:color="auto" w:sz="8" w:space="0"/>
            </w:tcBorders>
            <w:shd w:val="clear" w:color="auto" w:fill="FAFAFA"/>
            <w:vAlign w:val="center"/>
          </w:tcPr>
          <w:p>
            <w:pPr>
              <w:widowControl/>
              <w:spacing w:line="276" w:lineRule="auto"/>
              <w:jc w:val="left"/>
              <w:rPr>
                <w:rFonts w:hAnsi="宋体" w:cs="宋体"/>
                <w:szCs w:val="21"/>
              </w:rPr>
            </w:pPr>
          </w:p>
        </w:tc>
        <w:tc>
          <w:tcPr>
            <w:tcW w:w="5183" w:type="dxa"/>
            <w:tcBorders>
              <w:top w:val="nil"/>
              <w:left w:val="nil"/>
              <w:bottom w:val="single" w:color="auto" w:sz="8" w:space="0"/>
              <w:right w:val="single" w:color="auto" w:sz="8" w:space="0"/>
            </w:tcBorders>
            <w:shd w:val="clear" w:color="auto" w:fill="auto"/>
            <w:tcMar>
              <w:top w:w="0" w:type="dxa"/>
              <w:left w:w="131" w:type="dxa"/>
              <w:bottom w:w="0" w:type="dxa"/>
              <w:right w:w="131" w:type="dxa"/>
            </w:tcMar>
            <w:vAlign w:val="center"/>
          </w:tcPr>
          <w:p>
            <w:pPr>
              <w:widowControl/>
              <w:spacing w:line="276" w:lineRule="auto"/>
              <w:jc w:val="left"/>
              <w:rPr>
                <w:rFonts w:hAnsi="宋体" w:cs="宋体"/>
                <w:szCs w:val="21"/>
              </w:rPr>
            </w:pPr>
            <w:r>
              <w:rPr>
                <w:rFonts w:hint="eastAsia" w:hAnsi="宋体" w:cs="宋体"/>
                <w:szCs w:val="21"/>
              </w:rPr>
              <w:t>组织机构形式基本合理，指挥系统、质量监控系统、联络协调系统，具体措施可行。主体结构质量保证措施经济、安全、基本可行。主体结构、装饰装修符合工程建设强制性标准，不得偷工减料。</w:t>
            </w:r>
          </w:p>
        </w:tc>
        <w:tc>
          <w:tcPr>
            <w:tcW w:w="1631" w:type="dxa"/>
            <w:tcBorders>
              <w:top w:val="nil"/>
              <w:left w:val="nil"/>
              <w:bottom w:val="single" w:color="auto" w:sz="8" w:space="0"/>
              <w:right w:val="single" w:color="auto" w:sz="8" w:space="0"/>
            </w:tcBorders>
            <w:shd w:val="clear" w:color="auto" w:fill="auto"/>
            <w:tcMar>
              <w:top w:w="0" w:type="dxa"/>
              <w:left w:w="131" w:type="dxa"/>
              <w:bottom w:w="0" w:type="dxa"/>
              <w:right w:w="131" w:type="dxa"/>
            </w:tcMar>
            <w:vAlign w:val="center"/>
          </w:tcPr>
          <w:p>
            <w:pPr>
              <w:widowControl/>
              <w:adjustRightInd w:val="0"/>
              <w:snapToGrid w:val="0"/>
              <w:spacing w:line="276" w:lineRule="auto"/>
              <w:jc w:val="center"/>
              <w:rPr>
                <w:rFonts w:hAnsi="宋体" w:cs="宋体"/>
                <w:szCs w:val="21"/>
              </w:rPr>
            </w:pPr>
            <w:r>
              <w:rPr>
                <w:rFonts w:hAnsi="宋体" w:cs="宋体"/>
                <w:szCs w:val="21"/>
              </w:rPr>
              <w:t>1≤</w:t>
            </w:r>
            <w:r>
              <w:rPr>
                <w:rFonts w:hint="eastAsia" w:hAnsi="宋体" w:cs="宋体"/>
                <w:szCs w:val="21"/>
              </w:rPr>
              <w:t>得分</w:t>
            </w:r>
            <w:r>
              <w:rPr>
                <w:rFonts w:hAnsi="宋体" w:cs="宋体"/>
                <w:szCs w:val="21"/>
              </w:rPr>
              <w:t>≤1.5</w:t>
            </w:r>
          </w:p>
        </w:tc>
      </w:tr>
      <w:tr>
        <w:tblPrEx>
          <w:tblCellMar>
            <w:top w:w="0" w:type="dxa"/>
            <w:left w:w="0" w:type="dxa"/>
            <w:bottom w:w="0" w:type="dxa"/>
            <w:right w:w="0" w:type="dxa"/>
          </w:tblCellMar>
        </w:tblPrEx>
        <w:trPr>
          <w:tblCellSpacing w:w="0" w:type="dxa"/>
          <w:jc w:val="center"/>
        </w:trPr>
        <w:tc>
          <w:tcPr>
            <w:tcW w:w="857" w:type="dxa"/>
            <w:vMerge w:val="restart"/>
            <w:tcBorders>
              <w:top w:val="nil"/>
              <w:left w:val="single" w:color="auto" w:sz="8" w:space="0"/>
              <w:bottom w:val="single" w:color="auto" w:sz="8" w:space="0"/>
              <w:right w:val="single" w:color="auto" w:sz="8" w:space="0"/>
            </w:tcBorders>
            <w:shd w:val="clear" w:color="auto" w:fill="auto"/>
            <w:tcMar>
              <w:top w:w="0" w:type="dxa"/>
              <w:left w:w="131" w:type="dxa"/>
              <w:bottom w:w="0" w:type="dxa"/>
              <w:right w:w="131" w:type="dxa"/>
            </w:tcMar>
            <w:vAlign w:val="center"/>
          </w:tcPr>
          <w:p>
            <w:pPr>
              <w:widowControl/>
              <w:spacing w:line="276" w:lineRule="auto"/>
              <w:jc w:val="center"/>
              <w:rPr>
                <w:rFonts w:hAnsi="宋体" w:cs="宋体"/>
                <w:szCs w:val="21"/>
              </w:rPr>
            </w:pPr>
            <w:r>
              <w:rPr>
                <w:rFonts w:hAnsi="宋体" w:cs="宋体"/>
                <w:szCs w:val="21"/>
              </w:rPr>
              <w:t>4</w:t>
            </w:r>
          </w:p>
        </w:tc>
        <w:tc>
          <w:tcPr>
            <w:tcW w:w="1397" w:type="dxa"/>
            <w:vMerge w:val="restart"/>
            <w:tcBorders>
              <w:top w:val="nil"/>
              <w:left w:val="nil"/>
              <w:bottom w:val="single" w:color="auto" w:sz="8" w:space="0"/>
              <w:right w:val="single" w:color="auto" w:sz="8" w:space="0"/>
            </w:tcBorders>
            <w:shd w:val="clear" w:color="auto" w:fill="auto"/>
            <w:tcMar>
              <w:top w:w="0" w:type="dxa"/>
              <w:left w:w="131" w:type="dxa"/>
              <w:bottom w:w="0" w:type="dxa"/>
              <w:right w:w="131" w:type="dxa"/>
            </w:tcMar>
            <w:vAlign w:val="center"/>
          </w:tcPr>
          <w:p>
            <w:pPr>
              <w:widowControl/>
              <w:spacing w:line="276" w:lineRule="auto"/>
              <w:jc w:val="left"/>
              <w:rPr>
                <w:rFonts w:hAnsi="宋体" w:cs="宋体"/>
                <w:szCs w:val="21"/>
              </w:rPr>
            </w:pPr>
            <w:r>
              <w:rPr>
                <w:rFonts w:hint="eastAsia" w:hAnsi="宋体" w:cs="宋体"/>
                <w:szCs w:val="21"/>
              </w:rPr>
              <w:t>安全管理体系与措施</w:t>
            </w:r>
          </w:p>
        </w:tc>
        <w:tc>
          <w:tcPr>
            <w:tcW w:w="1102" w:type="dxa"/>
            <w:vMerge w:val="restart"/>
            <w:tcBorders>
              <w:top w:val="nil"/>
              <w:left w:val="nil"/>
              <w:bottom w:val="single" w:color="auto" w:sz="8" w:space="0"/>
              <w:right w:val="single" w:color="auto" w:sz="8" w:space="0"/>
            </w:tcBorders>
            <w:shd w:val="clear" w:color="auto" w:fill="auto"/>
            <w:tcMar>
              <w:top w:w="0" w:type="dxa"/>
              <w:left w:w="131" w:type="dxa"/>
              <w:bottom w:w="0" w:type="dxa"/>
              <w:right w:w="131" w:type="dxa"/>
            </w:tcMar>
            <w:vAlign w:val="center"/>
          </w:tcPr>
          <w:p>
            <w:pPr>
              <w:widowControl/>
              <w:spacing w:line="276" w:lineRule="auto"/>
              <w:jc w:val="center"/>
              <w:rPr>
                <w:rFonts w:hAnsi="宋体" w:cs="宋体"/>
                <w:szCs w:val="21"/>
              </w:rPr>
            </w:pPr>
            <w:r>
              <w:rPr>
                <w:rFonts w:hAnsi="宋体" w:cs="宋体"/>
                <w:szCs w:val="21"/>
              </w:rPr>
              <w:t>1-2</w:t>
            </w:r>
            <w:r>
              <w:rPr>
                <w:rFonts w:hint="eastAsia" w:hAnsi="宋体" w:cs="宋体"/>
                <w:szCs w:val="21"/>
              </w:rPr>
              <w:t>分</w:t>
            </w:r>
          </w:p>
        </w:tc>
        <w:tc>
          <w:tcPr>
            <w:tcW w:w="5183" w:type="dxa"/>
            <w:tcBorders>
              <w:top w:val="nil"/>
              <w:left w:val="nil"/>
              <w:bottom w:val="single" w:color="auto" w:sz="8" w:space="0"/>
              <w:right w:val="single" w:color="auto" w:sz="8" w:space="0"/>
            </w:tcBorders>
            <w:shd w:val="clear" w:color="auto" w:fill="auto"/>
            <w:tcMar>
              <w:top w:w="0" w:type="dxa"/>
              <w:left w:w="131" w:type="dxa"/>
              <w:bottom w:w="0" w:type="dxa"/>
              <w:right w:w="131" w:type="dxa"/>
            </w:tcMar>
            <w:vAlign w:val="center"/>
          </w:tcPr>
          <w:p>
            <w:pPr>
              <w:widowControl/>
              <w:spacing w:line="276" w:lineRule="auto"/>
              <w:jc w:val="left"/>
              <w:rPr>
                <w:rFonts w:hAnsi="宋体" w:cs="宋体"/>
                <w:szCs w:val="21"/>
              </w:rPr>
            </w:pPr>
            <w:r>
              <w:rPr>
                <w:rFonts w:hint="eastAsia" w:hAnsi="宋体" w:cs="宋体"/>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631" w:type="dxa"/>
            <w:tcBorders>
              <w:top w:val="nil"/>
              <w:left w:val="nil"/>
              <w:bottom w:val="single" w:color="auto" w:sz="8" w:space="0"/>
              <w:right w:val="single" w:color="auto" w:sz="8" w:space="0"/>
            </w:tcBorders>
            <w:shd w:val="clear" w:color="auto" w:fill="auto"/>
            <w:tcMar>
              <w:top w:w="0" w:type="dxa"/>
              <w:left w:w="131" w:type="dxa"/>
              <w:bottom w:w="0" w:type="dxa"/>
              <w:right w:w="131" w:type="dxa"/>
            </w:tcMar>
            <w:vAlign w:val="center"/>
          </w:tcPr>
          <w:p>
            <w:pPr>
              <w:widowControl/>
              <w:adjustRightInd w:val="0"/>
              <w:snapToGrid w:val="0"/>
              <w:spacing w:line="276" w:lineRule="auto"/>
              <w:jc w:val="center"/>
              <w:rPr>
                <w:rFonts w:hAnsi="宋体" w:cs="宋体"/>
                <w:szCs w:val="21"/>
              </w:rPr>
            </w:pPr>
            <w:r>
              <w:rPr>
                <w:rFonts w:hAnsi="宋体" w:cs="宋体"/>
                <w:szCs w:val="21"/>
              </w:rPr>
              <w:t>1.5</w:t>
            </w:r>
            <w:r>
              <w:rPr>
                <w:rFonts w:hint="eastAsia" w:hAnsi="宋体" w:cs="宋体"/>
                <w:szCs w:val="21"/>
              </w:rPr>
              <w:t>＜得分</w:t>
            </w:r>
            <w:r>
              <w:rPr>
                <w:rFonts w:hAnsi="宋体" w:cs="宋体"/>
                <w:szCs w:val="21"/>
              </w:rPr>
              <w:t>≤2</w:t>
            </w:r>
          </w:p>
        </w:tc>
      </w:tr>
      <w:tr>
        <w:tblPrEx>
          <w:tblCellMar>
            <w:top w:w="0" w:type="dxa"/>
            <w:left w:w="0" w:type="dxa"/>
            <w:bottom w:w="0" w:type="dxa"/>
            <w:right w:w="0" w:type="dxa"/>
          </w:tblCellMar>
        </w:tblPrEx>
        <w:trPr>
          <w:tblCellSpacing w:w="0" w:type="dxa"/>
          <w:jc w:val="center"/>
        </w:trPr>
        <w:tc>
          <w:tcPr>
            <w:tcW w:w="857" w:type="dxa"/>
            <w:vMerge w:val="continue"/>
            <w:tcBorders>
              <w:top w:val="nil"/>
              <w:left w:val="single" w:color="auto" w:sz="8" w:space="0"/>
              <w:bottom w:val="single" w:color="auto" w:sz="8" w:space="0"/>
              <w:right w:val="single" w:color="auto" w:sz="8" w:space="0"/>
            </w:tcBorders>
            <w:shd w:val="clear" w:color="auto" w:fill="FAFAFA"/>
            <w:vAlign w:val="center"/>
          </w:tcPr>
          <w:p>
            <w:pPr>
              <w:widowControl/>
              <w:spacing w:line="276" w:lineRule="auto"/>
              <w:jc w:val="left"/>
              <w:rPr>
                <w:rFonts w:hAnsi="宋体" w:cs="宋体"/>
                <w:szCs w:val="21"/>
              </w:rPr>
            </w:pPr>
          </w:p>
        </w:tc>
        <w:tc>
          <w:tcPr>
            <w:tcW w:w="1397" w:type="dxa"/>
            <w:vMerge w:val="continue"/>
            <w:tcBorders>
              <w:top w:val="nil"/>
              <w:left w:val="nil"/>
              <w:bottom w:val="single" w:color="auto" w:sz="8" w:space="0"/>
              <w:right w:val="single" w:color="auto" w:sz="8" w:space="0"/>
            </w:tcBorders>
            <w:shd w:val="clear" w:color="auto" w:fill="FAFAFA"/>
            <w:vAlign w:val="center"/>
          </w:tcPr>
          <w:p>
            <w:pPr>
              <w:widowControl/>
              <w:spacing w:line="276" w:lineRule="auto"/>
              <w:jc w:val="left"/>
              <w:rPr>
                <w:rFonts w:hAnsi="宋体" w:cs="宋体"/>
                <w:szCs w:val="21"/>
              </w:rPr>
            </w:pPr>
          </w:p>
        </w:tc>
        <w:tc>
          <w:tcPr>
            <w:tcW w:w="1102" w:type="dxa"/>
            <w:vMerge w:val="continue"/>
            <w:tcBorders>
              <w:top w:val="nil"/>
              <w:left w:val="nil"/>
              <w:bottom w:val="single" w:color="auto" w:sz="8" w:space="0"/>
              <w:right w:val="single" w:color="auto" w:sz="8" w:space="0"/>
            </w:tcBorders>
            <w:shd w:val="clear" w:color="auto" w:fill="FAFAFA"/>
            <w:vAlign w:val="center"/>
          </w:tcPr>
          <w:p>
            <w:pPr>
              <w:widowControl/>
              <w:spacing w:line="276" w:lineRule="auto"/>
              <w:jc w:val="left"/>
              <w:rPr>
                <w:rFonts w:hAnsi="宋体" w:cs="宋体"/>
                <w:szCs w:val="21"/>
              </w:rPr>
            </w:pPr>
          </w:p>
        </w:tc>
        <w:tc>
          <w:tcPr>
            <w:tcW w:w="5183" w:type="dxa"/>
            <w:tcBorders>
              <w:top w:val="nil"/>
              <w:left w:val="nil"/>
              <w:bottom w:val="single" w:color="auto" w:sz="8" w:space="0"/>
              <w:right w:val="single" w:color="auto" w:sz="8" w:space="0"/>
            </w:tcBorders>
            <w:shd w:val="clear" w:color="auto" w:fill="auto"/>
            <w:tcMar>
              <w:top w:w="0" w:type="dxa"/>
              <w:left w:w="131" w:type="dxa"/>
              <w:bottom w:w="0" w:type="dxa"/>
              <w:right w:w="131" w:type="dxa"/>
            </w:tcMar>
            <w:vAlign w:val="center"/>
          </w:tcPr>
          <w:p>
            <w:pPr>
              <w:widowControl/>
              <w:spacing w:line="276" w:lineRule="auto"/>
              <w:jc w:val="left"/>
              <w:rPr>
                <w:rFonts w:hAnsi="宋体" w:cs="宋体"/>
                <w:szCs w:val="21"/>
              </w:rPr>
            </w:pPr>
            <w:r>
              <w:rPr>
                <w:rFonts w:hint="eastAsia" w:hAnsi="宋体" w:cs="宋体"/>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631" w:type="dxa"/>
            <w:tcBorders>
              <w:top w:val="nil"/>
              <w:left w:val="nil"/>
              <w:bottom w:val="single" w:color="auto" w:sz="8" w:space="0"/>
              <w:right w:val="single" w:color="auto" w:sz="8" w:space="0"/>
            </w:tcBorders>
            <w:shd w:val="clear" w:color="auto" w:fill="auto"/>
            <w:tcMar>
              <w:top w:w="0" w:type="dxa"/>
              <w:left w:w="131" w:type="dxa"/>
              <w:bottom w:w="0" w:type="dxa"/>
              <w:right w:w="131" w:type="dxa"/>
            </w:tcMar>
            <w:vAlign w:val="center"/>
          </w:tcPr>
          <w:p>
            <w:pPr>
              <w:widowControl/>
              <w:adjustRightInd w:val="0"/>
              <w:snapToGrid w:val="0"/>
              <w:spacing w:line="276" w:lineRule="auto"/>
              <w:jc w:val="center"/>
              <w:rPr>
                <w:rFonts w:hAnsi="宋体" w:cs="宋体"/>
                <w:szCs w:val="21"/>
              </w:rPr>
            </w:pPr>
            <w:r>
              <w:rPr>
                <w:rFonts w:hAnsi="宋体" w:cs="宋体"/>
                <w:szCs w:val="21"/>
              </w:rPr>
              <w:t>1≤</w:t>
            </w:r>
            <w:r>
              <w:rPr>
                <w:rFonts w:hint="eastAsia" w:hAnsi="宋体" w:cs="宋体"/>
                <w:szCs w:val="21"/>
              </w:rPr>
              <w:t>得分</w:t>
            </w:r>
            <w:r>
              <w:rPr>
                <w:rFonts w:hAnsi="宋体" w:cs="宋体"/>
                <w:szCs w:val="21"/>
              </w:rPr>
              <w:t>≤1.5</w:t>
            </w:r>
          </w:p>
        </w:tc>
      </w:tr>
      <w:tr>
        <w:tblPrEx>
          <w:tblCellMar>
            <w:top w:w="0" w:type="dxa"/>
            <w:left w:w="0" w:type="dxa"/>
            <w:bottom w:w="0" w:type="dxa"/>
            <w:right w:w="0" w:type="dxa"/>
          </w:tblCellMar>
        </w:tblPrEx>
        <w:trPr>
          <w:tblCellSpacing w:w="0" w:type="dxa"/>
          <w:jc w:val="center"/>
        </w:trPr>
        <w:tc>
          <w:tcPr>
            <w:tcW w:w="857" w:type="dxa"/>
            <w:vMerge w:val="restart"/>
            <w:tcBorders>
              <w:top w:val="nil"/>
              <w:left w:val="single" w:color="auto" w:sz="8" w:space="0"/>
              <w:bottom w:val="single" w:color="auto" w:sz="8" w:space="0"/>
              <w:right w:val="single" w:color="auto" w:sz="8" w:space="0"/>
            </w:tcBorders>
            <w:shd w:val="clear" w:color="auto" w:fill="auto"/>
            <w:tcMar>
              <w:top w:w="0" w:type="dxa"/>
              <w:left w:w="131" w:type="dxa"/>
              <w:bottom w:w="0" w:type="dxa"/>
              <w:right w:w="131" w:type="dxa"/>
            </w:tcMar>
            <w:vAlign w:val="center"/>
          </w:tcPr>
          <w:p>
            <w:pPr>
              <w:widowControl/>
              <w:spacing w:line="276" w:lineRule="auto"/>
              <w:jc w:val="center"/>
              <w:rPr>
                <w:rFonts w:hAnsi="宋体" w:cs="宋体"/>
                <w:szCs w:val="21"/>
              </w:rPr>
            </w:pPr>
            <w:r>
              <w:rPr>
                <w:rFonts w:hAnsi="宋体" w:cs="宋体"/>
                <w:szCs w:val="21"/>
              </w:rPr>
              <w:t>5</w:t>
            </w:r>
          </w:p>
        </w:tc>
        <w:tc>
          <w:tcPr>
            <w:tcW w:w="1397" w:type="dxa"/>
            <w:vMerge w:val="restart"/>
            <w:tcBorders>
              <w:top w:val="nil"/>
              <w:left w:val="nil"/>
              <w:bottom w:val="single" w:color="auto" w:sz="8" w:space="0"/>
              <w:right w:val="single" w:color="auto" w:sz="8" w:space="0"/>
            </w:tcBorders>
            <w:shd w:val="clear" w:color="auto" w:fill="auto"/>
            <w:tcMar>
              <w:top w:w="0" w:type="dxa"/>
              <w:left w:w="131" w:type="dxa"/>
              <w:bottom w:w="0" w:type="dxa"/>
              <w:right w:w="131" w:type="dxa"/>
            </w:tcMar>
            <w:vAlign w:val="center"/>
          </w:tcPr>
          <w:p>
            <w:pPr>
              <w:widowControl/>
              <w:spacing w:line="276" w:lineRule="auto"/>
              <w:jc w:val="left"/>
              <w:rPr>
                <w:rFonts w:hAnsi="宋体" w:cs="宋体"/>
                <w:szCs w:val="21"/>
              </w:rPr>
            </w:pPr>
            <w:r>
              <w:rPr>
                <w:rFonts w:hint="eastAsia" w:hAnsi="宋体" w:cs="宋体"/>
                <w:szCs w:val="21"/>
              </w:rPr>
              <w:t>文明施工、环境保护管理体系及施工现场扬尘治理措施</w:t>
            </w:r>
          </w:p>
        </w:tc>
        <w:tc>
          <w:tcPr>
            <w:tcW w:w="1102" w:type="dxa"/>
            <w:vMerge w:val="restart"/>
            <w:tcBorders>
              <w:top w:val="nil"/>
              <w:left w:val="nil"/>
              <w:bottom w:val="single" w:color="auto" w:sz="8" w:space="0"/>
              <w:right w:val="single" w:color="auto" w:sz="8" w:space="0"/>
            </w:tcBorders>
            <w:shd w:val="clear" w:color="auto" w:fill="auto"/>
            <w:tcMar>
              <w:top w:w="0" w:type="dxa"/>
              <w:left w:w="131" w:type="dxa"/>
              <w:bottom w:w="0" w:type="dxa"/>
              <w:right w:w="131" w:type="dxa"/>
            </w:tcMar>
            <w:vAlign w:val="center"/>
          </w:tcPr>
          <w:p>
            <w:pPr>
              <w:widowControl/>
              <w:spacing w:line="276" w:lineRule="auto"/>
              <w:jc w:val="center"/>
              <w:rPr>
                <w:rFonts w:hAnsi="宋体" w:cs="宋体"/>
                <w:szCs w:val="21"/>
              </w:rPr>
            </w:pPr>
            <w:r>
              <w:rPr>
                <w:rFonts w:hAnsi="宋体" w:cs="宋体"/>
                <w:szCs w:val="21"/>
              </w:rPr>
              <w:t>1-3</w:t>
            </w:r>
            <w:r>
              <w:rPr>
                <w:rFonts w:hint="eastAsia" w:hAnsi="宋体" w:cs="宋体"/>
                <w:szCs w:val="21"/>
              </w:rPr>
              <w:t>分</w:t>
            </w:r>
          </w:p>
        </w:tc>
        <w:tc>
          <w:tcPr>
            <w:tcW w:w="5183" w:type="dxa"/>
            <w:tcBorders>
              <w:top w:val="nil"/>
              <w:left w:val="nil"/>
              <w:bottom w:val="single" w:color="auto" w:sz="8" w:space="0"/>
              <w:right w:val="single" w:color="auto" w:sz="8" w:space="0"/>
            </w:tcBorders>
            <w:shd w:val="clear" w:color="auto" w:fill="auto"/>
            <w:tcMar>
              <w:top w:w="0" w:type="dxa"/>
              <w:left w:w="131" w:type="dxa"/>
              <w:bottom w:w="0" w:type="dxa"/>
              <w:right w:w="131" w:type="dxa"/>
            </w:tcMar>
            <w:vAlign w:val="center"/>
          </w:tcPr>
          <w:p>
            <w:pPr>
              <w:widowControl/>
              <w:spacing w:line="276" w:lineRule="auto"/>
              <w:jc w:val="left"/>
              <w:rPr>
                <w:rFonts w:hAnsi="宋体" w:cs="宋体"/>
                <w:szCs w:val="21"/>
              </w:rPr>
            </w:pPr>
            <w:r>
              <w:rPr>
                <w:rFonts w:hint="eastAsia" w:hAnsi="宋体" w:cs="宋体"/>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w:t>
            </w:r>
            <w:r>
              <w:rPr>
                <w:rFonts w:hAnsi="宋体" w:cs="宋体"/>
                <w:szCs w:val="21"/>
              </w:rPr>
              <w:t>DBJ41/174</w:t>
            </w:r>
            <w:r>
              <w:rPr>
                <w:rFonts w:hint="eastAsia" w:hAnsi="宋体" w:cs="宋体"/>
                <w:szCs w:val="21"/>
              </w:rPr>
              <w:t>）的规定，防治方案科学、先进。</w:t>
            </w:r>
          </w:p>
        </w:tc>
        <w:tc>
          <w:tcPr>
            <w:tcW w:w="1631" w:type="dxa"/>
            <w:tcBorders>
              <w:top w:val="nil"/>
              <w:left w:val="nil"/>
              <w:bottom w:val="single" w:color="auto" w:sz="8" w:space="0"/>
              <w:right w:val="single" w:color="auto" w:sz="8" w:space="0"/>
            </w:tcBorders>
            <w:shd w:val="clear" w:color="auto" w:fill="auto"/>
            <w:tcMar>
              <w:top w:w="0" w:type="dxa"/>
              <w:left w:w="131" w:type="dxa"/>
              <w:bottom w:w="0" w:type="dxa"/>
              <w:right w:w="131" w:type="dxa"/>
            </w:tcMar>
            <w:vAlign w:val="center"/>
          </w:tcPr>
          <w:p>
            <w:pPr>
              <w:widowControl/>
              <w:adjustRightInd w:val="0"/>
              <w:snapToGrid w:val="0"/>
              <w:spacing w:line="276" w:lineRule="auto"/>
              <w:jc w:val="center"/>
              <w:rPr>
                <w:rFonts w:hAnsi="宋体" w:cs="宋体"/>
                <w:szCs w:val="21"/>
              </w:rPr>
            </w:pPr>
            <w:r>
              <w:rPr>
                <w:rFonts w:hAnsi="宋体" w:cs="宋体"/>
                <w:szCs w:val="21"/>
              </w:rPr>
              <w:t>2</w:t>
            </w:r>
            <w:r>
              <w:rPr>
                <w:rFonts w:hint="eastAsia" w:hAnsi="宋体" w:cs="宋体"/>
                <w:szCs w:val="21"/>
              </w:rPr>
              <w:t>＜得分</w:t>
            </w:r>
            <w:r>
              <w:rPr>
                <w:rFonts w:hAnsi="宋体" w:cs="宋体"/>
                <w:szCs w:val="21"/>
              </w:rPr>
              <w:t>≤3</w:t>
            </w:r>
          </w:p>
        </w:tc>
      </w:tr>
      <w:tr>
        <w:tblPrEx>
          <w:tblCellMar>
            <w:top w:w="0" w:type="dxa"/>
            <w:left w:w="0" w:type="dxa"/>
            <w:bottom w:w="0" w:type="dxa"/>
            <w:right w:w="0" w:type="dxa"/>
          </w:tblCellMar>
        </w:tblPrEx>
        <w:trPr>
          <w:tblCellSpacing w:w="0" w:type="dxa"/>
          <w:jc w:val="center"/>
        </w:trPr>
        <w:tc>
          <w:tcPr>
            <w:tcW w:w="857" w:type="dxa"/>
            <w:vMerge w:val="continue"/>
            <w:tcBorders>
              <w:top w:val="nil"/>
              <w:left w:val="single" w:color="auto" w:sz="8" w:space="0"/>
              <w:bottom w:val="single" w:color="auto" w:sz="8" w:space="0"/>
              <w:right w:val="single" w:color="auto" w:sz="8" w:space="0"/>
            </w:tcBorders>
            <w:shd w:val="clear" w:color="auto" w:fill="FAFAFA"/>
            <w:vAlign w:val="center"/>
          </w:tcPr>
          <w:p>
            <w:pPr>
              <w:widowControl/>
              <w:spacing w:line="276" w:lineRule="auto"/>
              <w:jc w:val="left"/>
              <w:rPr>
                <w:rFonts w:hAnsi="宋体" w:cs="宋体"/>
                <w:szCs w:val="21"/>
              </w:rPr>
            </w:pPr>
          </w:p>
        </w:tc>
        <w:tc>
          <w:tcPr>
            <w:tcW w:w="1397" w:type="dxa"/>
            <w:vMerge w:val="continue"/>
            <w:tcBorders>
              <w:top w:val="nil"/>
              <w:left w:val="nil"/>
              <w:bottom w:val="single" w:color="auto" w:sz="8" w:space="0"/>
              <w:right w:val="single" w:color="auto" w:sz="8" w:space="0"/>
            </w:tcBorders>
            <w:shd w:val="clear" w:color="auto" w:fill="FAFAFA"/>
            <w:vAlign w:val="center"/>
          </w:tcPr>
          <w:p>
            <w:pPr>
              <w:widowControl/>
              <w:spacing w:line="276" w:lineRule="auto"/>
              <w:jc w:val="left"/>
              <w:rPr>
                <w:rFonts w:hAnsi="宋体" w:cs="宋体"/>
                <w:szCs w:val="21"/>
              </w:rPr>
            </w:pPr>
          </w:p>
        </w:tc>
        <w:tc>
          <w:tcPr>
            <w:tcW w:w="1102" w:type="dxa"/>
            <w:vMerge w:val="continue"/>
            <w:tcBorders>
              <w:top w:val="nil"/>
              <w:left w:val="nil"/>
              <w:bottom w:val="single" w:color="auto" w:sz="8" w:space="0"/>
              <w:right w:val="single" w:color="auto" w:sz="8" w:space="0"/>
            </w:tcBorders>
            <w:shd w:val="clear" w:color="auto" w:fill="FAFAFA"/>
            <w:vAlign w:val="center"/>
          </w:tcPr>
          <w:p>
            <w:pPr>
              <w:widowControl/>
              <w:spacing w:line="276" w:lineRule="auto"/>
              <w:jc w:val="left"/>
              <w:rPr>
                <w:rFonts w:hAnsi="宋体" w:cs="宋体"/>
                <w:szCs w:val="21"/>
              </w:rPr>
            </w:pPr>
          </w:p>
        </w:tc>
        <w:tc>
          <w:tcPr>
            <w:tcW w:w="5183" w:type="dxa"/>
            <w:tcBorders>
              <w:top w:val="nil"/>
              <w:left w:val="nil"/>
              <w:bottom w:val="single" w:color="auto" w:sz="8" w:space="0"/>
              <w:right w:val="single" w:color="auto" w:sz="8" w:space="0"/>
            </w:tcBorders>
            <w:shd w:val="clear" w:color="auto" w:fill="auto"/>
            <w:tcMar>
              <w:top w:w="0" w:type="dxa"/>
              <w:left w:w="131" w:type="dxa"/>
              <w:bottom w:w="0" w:type="dxa"/>
              <w:right w:w="131" w:type="dxa"/>
            </w:tcMar>
            <w:vAlign w:val="center"/>
          </w:tcPr>
          <w:p>
            <w:pPr>
              <w:widowControl/>
              <w:spacing w:line="276" w:lineRule="auto"/>
              <w:jc w:val="left"/>
              <w:rPr>
                <w:rFonts w:hAnsi="宋体" w:cs="宋体"/>
                <w:szCs w:val="21"/>
              </w:rPr>
            </w:pPr>
            <w:r>
              <w:rPr>
                <w:rFonts w:hint="eastAsia" w:hAnsi="宋体" w:cs="宋体"/>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w:t>
            </w:r>
            <w:r>
              <w:rPr>
                <w:rFonts w:hAnsi="宋体" w:cs="宋体"/>
                <w:szCs w:val="21"/>
              </w:rPr>
              <w:t>DBJ41/174</w:t>
            </w:r>
            <w:r>
              <w:rPr>
                <w:rFonts w:hint="eastAsia" w:hAnsi="宋体" w:cs="宋体"/>
                <w:szCs w:val="21"/>
              </w:rPr>
              <w:t>）的规定，有防治方案。</w:t>
            </w:r>
          </w:p>
        </w:tc>
        <w:tc>
          <w:tcPr>
            <w:tcW w:w="1631" w:type="dxa"/>
            <w:tcBorders>
              <w:top w:val="nil"/>
              <w:left w:val="nil"/>
              <w:bottom w:val="single" w:color="auto" w:sz="8" w:space="0"/>
              <w:right w:val="single" w:color="auto" w:sz="8" w:space="0"/>
            </w:tcBorders>
            <w:shd w:val="clear" w:color="auto" w:fill="auto"/>
            <w:tcMar>
              <w:top w:w="0" w:type="dxa"/>
              <w:left w:w="131" w:type="dxa"/>
              <w:bottom w:w="0" w:type="dxa"/>
              <w:right w:w="131" w:type="dxa"/>
            </w:tcMar>
            <w:vAlign w:val="center"/>
          </w:tcPr>
          <w:p>
            <w:pPr>
              <w:widowControl/>
              <w:adjustRightInd w:val="0"/>
              <w:snapToGrid w:val="0"/>
              <w:spacing w:line="276" w:lineRule="auto"/>
              <w:jc w:val="center"/>
              <w:rPr>
                <w:rFonts w:hAnsi="宋体" w:cs="宋体"/>
                <w:szCs w:val="21"/>
              </w:rPr>
            </w:pPr>
            <w:r>
              <w:rPr>
                <w:rFonts w:hAnsi="宋体" w:cs="宋体"/>
                <w:szCs w:val="21"/>
              </w:rPr>
              <w:t>1≤</w:t>
            </w:r>
            <w:r>
              <w:rPr>
                <w:rFonts w:hint="eastAsia" w:hAnsi="宋体" w:cs="宋体"/>
                <w:szCs w:val="21"/>
              </w:rPr>
              <w:t>得分</w:t>
            </w:r>
            <w:r>
              <w:rPr>
                <w:rFonts w:hAnsi="宋体" w:cs="宋体"/>
                <w:szCs w:val="21"/>
              </w:rPr>
              <w:t>≤2</w:t>
            </w:r>
          </w:p>
        </w:tc>
      </w:tr>
      <w:tr>
        <w:tblPrEx>
          <w:tblCellMar>
            <w:top w:w="0" w:type="dxa"/>
            <w:left w:w="0" w:type="dxa"/>
            <w:bottom w:w="0" w:type="dxa"/>
            <w:right w:w="0" w:type="dxa"/>
          </w:tblCellMar>
        </w:tblPrEx>
        <w:trPr>
          <w:tblCellSpacing w:w="0" w:type="dxa"/>
          <w:jc w:val="center"/>
        </w:trPr>
        <w:tc>
          <w:tcPr>
            <w:tcW w:w="857" w:type="dxa"/>
            <w:vMerge w:val="restart"/>
            <w:tcBorders>
              <w:top w:val="nil"/>
              <w:left w:val="single" w:color="auto" w:sz="8" w:space="0"/>
              <w:bottom w:val="single" w:color="auto" w:sz="8" w:space="0"/>
              <w:right w:val="single" w:color="auto" w:sz="8" w:space="0"/>
            </w:tcBorders>
            <w:shd w:val="clear" w:color="auto" w:fill="auto"/>
            <w:tcMar>
              <w:top w:w="0" w:type="dxa"/>
              <w:left w:w="131" w:type="dxa"/>
              <w:bottom w:w="0" w:type="dxa"/>
              <w:right w:w="131" w:type="dxa"/>
            </w:tcMar>
            <w:vAlign w:val="center"/>
          </w:tcPr>
          <w:p>
            <w:pPr>
              <w:widowControl/>
              <w:spacing w:line="276" w:lineRule="auto"/>
              <w:jc w:val="center"/>
              <w:rPr>
                <w:rFonts w:hAnsi="宋体" w:cs="宋体"/>
                <w:szCs w:val="21"/>
              </w:rPr>
            </w:pPr>
            <w:r>
              <w:rPr>
                <w:rFonts w:hAnsi="宋体" w:cs="宋体"/>
                <w:szCs w:val="21"/>
              </w:rPr>
              <w:t>6</w:t>
            </w:r>
          </w:p>
        </w:tc>
        <w:tc>
          <w:tcPr>
            <w:tcW w:w="1397" w:type="dxa"/>
            <w:vMerge w:val="restart"/>
            <w:tcBorders>
              <w:top w:val="nil"/>
              <w:left w:val="nil"/>
              <w:bottom w:val="single" w:color="auto" w:sz="8" w:space="0"/>
              <w:right w:val="single" w:color="auto" w:sz="8" w:space="0"/>
            </w:tcBorders>
            <w:shd w:val="clear" w:color="auto" w:fill="auto"/>
            <w:tcMar>
              <w:top w:w="0" w:type="dxa"/>
              <w:left w:w="131" w:type="dxa"/>
              <w:bottom w:w="0" w:type="dxa"/>
              <w:right w:w="131" w:type="dxa"/>
            </w:tcMar>
            <w:vAlign w:val="center"/>
          </w:tcPr>
          <w:p>
            <w:pPr>
              <w:widowControl/>
              <w:spacing w:line="276" w:lineRule="auto"/>
              <w:jc w:val="left"/>
              <w:rPr>
                <w:rFonts w:hAnsi="宋体" w:cs="宋体"/>
                <w:szCs w:val="21"/>
              </w:rPr>
            </w:pPr>
            <w:r>
              <w:rPr>
                <w:rFonts w:hint="eastAsia" w:hAnsi="宋体" w:cs="宋体"/>
                <w:szCs w:val="21"/>
              </w:rPr>
              <w:t>工期保证措施</w:t>
            </w:r>
          </w:p>
        </w:tc>
        <w:tc>
          <w:tcPr>
            <w:tcW w:w="1102" w:type="dxa"/>
            <w:vMerge w:val="restart"/>
            <w:tcBorders>
              <w:top w:val="nil"/>
              <w:left w:val="nil"/>
              <w:bottom w:val="single" w:color="auto" w:sz="8" w:space="0"/>
              <w:right w:val="single" w:color="auto" w:sz="8" w:space="0"/>
            </w:tcBorders>
            <w:shd w:val="clear" w:color="auto" w:fill="auto"/>
            <w:tcMar>
              <w:top w:w="0" w:type="dxa"/>
              <w:left w:w="131" w:type="dxa"/>
              <w:bottom w:w="0" w:type="dxa"/>
              <w:right w:w="131" w:type="dxa"/>
            </w:tcMar>
            <w:vAlign w:val="center"/>
          </w:tcPr>
          <w:p>
            <w:pPr>
              <w:widowControl/>
              <w:spacing w:line="276" w:lineRule="auto"/>
              <w:jc w:val="center"/>
              <w:rPr>
                <w:rFonts w:hAnsi="宋体" w:cs="宋体"/>
                <w:szCs w:val="21"/>
              </w:rPr>
            </w:pPr>
            <w:r>
              <w:rPr>
                <w:rFonts w:hAnsi="宋体" w:cs="宋体"/>
                <w:szCs w:val="21"/>
              </w:rPr>
              <w:t>1-2</w:t>
            </w:r>
            <w:r>
              <w:rPr>
                <w:rFonts w:hint="eastAsia" w:hAnsi="宋体" w:cs="宋体"/>
                <w:szCs w:val="21"/>
              </w:rPr>
              <w:t>分</w:t>
            </w:r>
          </w:p>
        </w:tc>
        <w:tc>
          <w:tcPr>
            <w:tcW w:w="5183" w:type="dxa"/>
            <w:tcBorders>
              <w:top w:val="nil"/>
              <w:left w:val="nil"/>
              <w:bottom w:val="single" w:color="auto" w:sz="8" w:space="0"/>
              <w:right w:val="single" w:color="auto" w:sz="8" w:space="0"/>
            </w:tcBorders>
            <w:shd w:val="clear" w:color="auto" w:fill="auto"/>
            <w:tcMar>
              <w:top w:w="0" w:type="dxa"/>
              <w:left w:w="131" w:type="dxa"/>
              <w:bottom w:w="0" w:type="dxa"/>
              <w:right w:w="131" w:type="dxa"/>
            </w:tcMar>
            <w:vAlign w:val="center"/>
          </w:tcPr>
          <w:p>
            <w:pPr>
              <w:widowControl/>
              <w:spacing w:line="276" w:lineRule="auto"/>
              <w:jc w:val="left"/>
              <w:rPr>
                <w:rFonts w:hAnsi="宋体" w:cs="宋体"/>
                <w:szCs w:val="21"/>
              </w:rPr>
            </w:pPr>
            <w:r>
              <w:rPr>
                <w:rFonts w:hint="eastAsia" w:hAnsi="宋体" w:cs="宋体"/>
                <w:szCs w:val="21"/>
              </w:rPr>
              <w:t>工期承诺满足招标文件要求，工期保证措施合理且有针对性，有具体的违约责任承诺。</w:t>
            </w:r>
          </w:p>
        </w:tc>
        <w:tc>
          <w:tcPr>
            <w:tcW w:w="1631" w:type="dxa"/>
            <w:tcBorders>
              <w:top w:val="nil"/>
              <w:left w:val="nil"/>
              <w:bottom w:val="single" w:color="auto" w:sz="8" w:space="0"/>
              <w:right w:val="single" w:color="auto" w:sz="8" w:space="0"/>
            </w:tcBorders>
            <w:shd w:val="clear" w:color="auto" w:fill="auto"/>
            <w:tcMar>
              <w:top w:w="0" w:type="dxa"/>
              <w:left w:w="131" w:type="dxa"/>
              <w:bottom w:w="0" w:type="dxa"/>
              <w:right w:w="131" w:type="dxa"/>
            </w:tcMar>
            <w:vAlign w:val="center"/>
          </w:tcPr>
          <w:p>
            <w:pPr>
              <w:widowControl/>
              <w:adjustRightInd w:val="0"/>
              <w:snapToGrid w:val="0"/>
              <w:spacing w:line="276" w:lineRule="auto"/>
              <w:jc w:val="center"/>
              <w:rPr>
                <w:rFonts w:hAnsi="宋体" w:cs="宋体"/>
                <w:szCs w:val="21"/>
              </w:rPr>
            </w:pPr>
            <w:r>
              <w:rPr>
                <w:rFonts w:hAnsi="宋体" w:cs="宋体"/>
                <w:szCs w:val="21"/>
              </w:rPr>
              <w:t>1.5</w:t>
            </w:r>
            <w:r>
              <w:rPr>
                <w:rFonts w:hint="eastAsia" w:hAnsi="宋体" w:cs="宋体"/>
                <w:szCs w:val="21"/>
              </w:rPr>
              <w:t>＜得分</w:t>
            </w:r>
            <w:r>
              <w:rPr>
                <w:rFonts w:hAnsi="宋体" w:cs="宋体"/>
                <w:szCs w:val="21"/>
              </w:rPr>
              <w:t>≤2</w:t>
            </w:r>
          </w:p>
        </w:tc>
      </w:tr>
      <w:tr>
        <w:tblPrEx>
          <w:tblCellMar>
            <w:top w:w="0" w:type="dxa"/>
            <w:left w:w="0" w:type="dxa"/>
            <w:bottom w:w="0" w:type="dxa"/>
            <w:right w:w="0" w:type="dxa"/>
          </w:tblCellMar>
        </w:tblPrEx>
        <w:trPr>
          <w:tblCellSpacing w:w="0" w:type="dxa"/>
          <w:jc w:val="center"/>
        </w:trPr>
        <w:tc>
          <w:tcPr>
            <w:tcW w:w="857" w:type="dxa"/>
            <w:vMerge w:val="continue"/>
            <w:tcBorders>
              <w:top w:val="nil"/>
              <w:left w:val="single" w:color="auto" w:sz="8" w:space="0"/>
              <w:bottom w:val="single" w:color="auto" w:sz="8" w:space="0"/>
              <w:right w:val="single" w:color="auto" w:sz="8" w:space="0"/>
            </w:tcBorders>
            <w:shd w:val="clear" w:color="auto" w:fill="FAFAFA"/>
            <w:vAlign w:val="center"/>
          </w:tcPr>
          <w:p>
            <w:pPr>
              <w:widowControl/>
              <w:spacing w:line="276" w:lineRule="auto"/>
              <w:jc w:val="left"/>
              <w:rPr>
                <w:rFonts w:hAnsi="宋体" w:cs="宋体"/>
                <w:szCs w:val="21"/>
              </w:rPr>
            </w:pPr>
          </w:p>
        </w:tc>
        <w:tc>
          <w:tcPr>
            <w:tcW w:w="1397" w:type="dxa"/>
            <w:vMerge w:val="continue"/>
            <w:tcBorders>
              <w:top w:val="nil"/>
              <w:left w:val="nil"/>
              <w:bottom w:val="single" w:color="auto" w:sz="8" w:space="0"/>
              <w:right w:val="single" w:color="auto" w:sz="8" w:space="0"/>
            </w:tcBorders>
            <w:shd w:val="clear" w:color="auto" w:fill="FAFAFA"/>
            <w:vAlign w:val="center"/>
          </w:tcPr>
          <w:p>
            <w:pPr>
              <w:widowControl/>
              <w:spacing w:line="276" w:lineRule="auto"/>
              <w:jc w:val="left"/>
              <w:rPr>
                <w:rFonts w:hAnsi="宋体" w:cs="宋体"/>
                <w:szCs w:val="21"/>
              </w:rPr>
            </w:pPr>
          </w:p>
        </w:tc>
        <w:tc>
          <w:tcPr>
            <w:tcW w:w="1102" w:type="dxa"/>
            <w:vMerge w:val="continue"/>
            <w:tcBorders>
              <w:top w:val="nil"/>
              <w:left w:val="nil"/>
              <w:bottom w:val="single" w:color="auto" w:sz="8" w:space="0"/>
              <w:right w:val="single" w:color="auto" w:sz="8" w:space="0"/>
            </w:tcBorders>
            <w:shd w:val="clear" w:color="auto" w:fill="FAFAFA"/>
            <w:vAlign w:val="center"/>
          </w:tcPr>
          <w:p>
            <w:pPr>
              <w:widowControl/>
              <w:spacing w:line="276" w:lineRule="auto"/>
              <w:jc w:val="left"/>
              <w:rPr>
                <w:rFonts w:hAnsi="宋体" w:cs="宋体"/>
                <w:szCs w:val="21"/>
              </w:rPr>
            </w:pPr>
          </w:p>
        </w:tc>
        <w:tc>
          <w:tcPr>
            <w:tcW w:w="5183" w:type="dxa"/>
            <w:tcBorders>
              <w:top w:val="nil"/>
              <w:left w:val="nil"/>
              <w:bottom w:val="single" w:color="auto" w:sz="8" w:space="0"/>
              <w:right w:val="single" w:color="auto" w:sz="8" w:space="0"/>
            </w:tcBorders>
            <w:shd w:val="clear" w:color="auto" w:fill="auto"/>
            <w:tcMar>
              <w:top w:w="0" w:type="dxa"/>
              <w:left w:w="131" w:type="dxa"/>
              <w:bottom w:w="0" w:type="dxa"/>
              <w:right w:w="131" w:type="dxa"/>
            </w:tcMar>
            <w:vAlign w:val="center"/>
          </w:tcPr>
          <w:p>
            <w:pPr>
              <w:widowControl/>
              <w:spacing w:line="276" w:lineRule="auto"/>
              <w:jc w:val="left"/>
              <w:rPr>
                <w:rFonts w:hAnsi="宋体" w:cs="宋体"/>
                <w:szCs w:val="21"/>
              </w:rPr>
            </w:pPr>
            <w:r>
              <w:rPr>
                <w:rFonts w:hint="eastAsia" w:hAnsi="宋体" w:cs="宋体"/>
                <w:szCs w:val="21"/>
              </w:rPr>
              <w:t>工期承诺满足招标文件要求，工期保证措施基本合理，有具体的违约责任承诺。</w:t>
            </w:r>
          </w:p>
        </w:tc>
        <w:tc>
          <w:tcPr>
            <w:tcW w:w="1631" w:type="dxa"/>
            <w:tcBorders>
              <w:top w:val="nil"/>
              <w:left w:val="nil"/>
              <w:bottom w:val="single" w:color="auto" w:sz="8" w:space="0"/>
              <w:right w:val="single" w:color="auto" w:sz="8" w:space="0"/>
            </w:tcBorders>
            <w:shd w:val="clear" w:color="auto" w:fill="auto"/>
            <w:tcMar>
              <w:top w:w="0" w:type="dxa"/>
              <w:left w:w="131" w:type="dxa"/>
              <w:bottom w:w="0" w:type="dxa"/>
              <w:right w:w="131" w:type="dxa"/>
            </w:tcMar>
            <w:vAlign w:val="center"/>
          </w:tcPr>
          <w:p>
            <w:pPr>
              <w:widowControl/>
              <w:adjustRightInd w:val="0"/>
              <w:snapToGrid w:val="0"/>
              <w:spacing w:line="276" w:lineRule="auto"/>
              <w:jc w:val="center"/>
              <w:rPr>
                <w:rFonts w:hAnsi="宋体" w:cs="宋体"/>
                <w:szCs w:val="21"/>
              </w:rPr>
            </w:pPr>
            <w:r>
              <w:rPr>
                <w:rFonts w:hAnsi="宋体" w:cs="宋体"/>
                <w:szCs w:val="21"/>
              </w:rPr>
              <w:t>1≤</w:t>
            </w:r>
            <w:r>
              <w:rPr>
                <w:rFonts w:hint="eastAsia" w:hAnsi="宋体" w:cs="宋体"/>
                <w:szCs w:val="21"/>
              </w:rPr>
              <w:t>得分</w:t>
            </w:r>
            <w:r>
              <w:rPr>
                <w:rFonts w:hAnsi="宋体" w:cs="宋体"/>
                <w:szCs w:val="21"/>
              </w:rPr>
              <w:t>≤1.5</w:t>
            </w:r>
          </w:p>
        </w:tc>
      </w:tr>
      <w:tr>
        <w:tblPrEx>
          <w:tblCellMar>
            <w:top w:w="0" w:type="dxa"/>
            <w:left w:w="0" w:type="dxa"/>
            <w:bottom w:w="0" w:type="dxa"/>
            <w:right w:w="0" w:type="dxa"/>
          </w:tblCellMar>
        </w:tblPrEx>
        <w:trPr>
          <w:tblCellSpacing w:w="0" w:type="dxa"/>
          <w:jc w:val="center"/>
        </w:trPr>
        <w:tc>
          <w:tcPr>
            <w:tcW w:w="857" w:type="dxa"/>
            <w:vMerge w:val="restart"/>
            <w:tcBorders>
              <w:top w:val="nil"/>
              <w:left w:val="single" w:color="auto" w:sz="8" w:space="0"/>
              <w:bottom w:val="single" w:color="auto" w:sz="8" w:space="0"/>
              <w:right w:val="single" w:color="auto" w:sz="8" w:space="0"/>
            </w:tcBorders>
            <w:shd w:val="clear" w:color="auto" w:fill="auto"/>
            <w:tcMar>
              <w:top w:w="0" w:type="dxa"/>
              <w:left w:w="131" w:type="dxa"/>
              <w:bottom w:w="0" w:type="dxa"/>
              <w:right w:w="131" w:type="dxa"/>
            </w:tcMar>
            <w:vAlign w:val="center"/>
          </w:tcPr>
          <w:p>
            <w:pPr>
              <w:widowControl/>
              <w:spacing w:line="276" w:lineRule="auto"/>
              <w:jc w:val="center"/>
              <w:rPr>
                <w:rFonts w:hAnsi="宋体" w:cs="宋体"/>
                <w:szCs w:val="21"/>
              </w:rPr>
            </w:pPr>
            <w:r>
              <w:rPr>
                <w:rFonts w:hAnsi="宋体" w:cs="宋体"/>
                <w:szCs w:val="21"/>
              </w:rPr>
              <w:t>7</w:t>
            </w:r>
          </w:p>
        </w:tc>
        <w:tc>
          <w:tcPr>
            <w:tcW w:w="1397" w:type="dxa"/>
            <w:vMerge w:val="restart"/>
            <w:tcBorders>
              <w:top w:val="nil"/>
              <w:left w:val="nil"/>
              <w:bottom w:val="single" w:color="auto" w:sz="8" w:space="0"/>
              <w:right w:val="single" w:color="auto" w:sz="8" w:space="0"/>
            </w:tcBorders>
            <w:shd w:val="clear" w:color="auto" w:fill="auto"/>
            <w:tcMar>
              <w:top w:w="0" w:type="dxa"/>
              <w:left w:w="131" w:type="dxa"/>
              <w:bottom w:w="0" w:type="dxa"/>
              <w:right w:w="131" w:type="dxa"/>
            </w:tcMar>
            <w:vAlign w:val="center"/>
          </w:tcPr>
          <w:p>
            <w:pPr>
              <w:widowControl/>
              <w:spacing w:line="276" w:lineRule="auto"/>
              <w:jc w:val="center"/>
              <w:rPr>
                <w:rFonts w:hAnsi="宋体" w:cs="宋体"/>
                <w:szCs w:val="21"/>
              </w:rPr>
            </w:pPr>
            <w:r>
              <w:rPr>
                <w:rFonts w:hint="eastAsia" w:hAnsi="宋体" w:cs="宋体"/>
                <w:szCs w:val="21"/>
              </w:rPr>
              <w:t>拟投入资源配备计划</w:t>
            </w:r>
          </w:p>
        </w:tc>
        <w:tc>
          <w:tcPr>
            <w:tcW w:w="1102" w:type="dxa"/>
            <w:vMerge w:val="restart"/>
            <w:tcBorders>
              <w:top w:val="nil"/>
              <w:left w:val="nil"/>
              <w:bottom w:val="single" w:color="auto" w:sz="8" w:space="0"/>
              <w:right w:val="single" w:color="auto" w:sz="8" w:space="0"/>
            </w:tcBorders>
            <w:shd w:val="clear" w:color="auto" w:fill="auto"/>
            <w:tcMar>
              <w:top w:w="0" w:type="dxa"/>
              <w:left w:w="131" w:type="dxa"/>
              <w:bottom w:w="0" w:type="dxa"/>
              <w:right w:w="131" w:type="dxa"/>
            </w:tcMar>
            <w:vAlign w:val="center"/>
          </w:tcPr>
          <w:p>
            <w:pPr>
              <w:widowControl/>
              <w:spacing w:line="276" w:lineRule="auto"/>
              <w:jc w:val="center"/>
              <w:rPr>
                <w:rFonts w:hAnsi="宋体" w:cs="宋体"/>
                <w:szCs w:val="21"/>
              </w:rPr>
            </w:pPr>
            <w:r>
              <w:rPr>
                <w:rFonts w:hAnsi="宋体" w:cs="宋体"/>
                <w:szCs w:val="21"/>
              </w:rPr>
              <w:t>0.5-2</w:t>
            </w:r>
            <w:r>
              <w:rPr>
                <w:rFonts w:hint="eastAsia" w:hAnsi="宋体" w:cs="宋体"/>
                <w:szCs w:val="21"/>
              </w:rPr>
              <w:t>分</w:t>
            </w:r>
          </w:p>
        </w:tc>
        <w:tc>
          <w:tcPr>
            <w:tcW w:w="5183" w:type="dxa"/>
            <w:tcBorders>
              <w:top w:val="nil"/>
              <w:left w:val="nil"/>
              <w:bottom w:val="single" w:color="auto" w:sz="8" w:space="0"/>
              <w:right w:val="single" w:color="auto" w:sz="8" w:space="0"/>
            </w:tcBorders>
            <w:shd w:val="clear" w:color="auto" w:fill="auto"/>
            <w:tcMar>
              <w:top w:w="0" w:type="dxa"/>
              <w:left w:w="131" w:type="dxa"/>
              <w:bottom w:w="0" w:type="dxa"/>
              <w:right w:w="131" w:type="dxa"/>
            </w:tcMar>
            <w:vAlign w:val="center"/>
          </w:tcPr>
          <w:p>
            <w:pPr>
              <w:widowControl/>
              <w:spacing w:line="276" w:lineRule="auto"/>
              <w:jc w:val="left"/>
              <w:rPr>
                <w:rFonts w:hAnsi="宋体" w:cs="宋体"/>
                <w:szCs w:val="21"/>
              </w:rPr>
            </w:pPr>
            <w:r>
              <w:rPr>
                <w:rFonts w:hAnsi="宋体" w:cs="宋体"/>
                <w:szCs w:val="21"/>
              </w:rPr>
              <w:t>1.</w:t>
            </w:r>
            <w:r>
              <w:rPr>
                <w:rFonts w:hint="eastAsia" w:hAnsi="宋体" w:cs="宋体"/>
                <w:szCs w:val="21"/>
              </w:rPr>
              <w:t>机械：投入计划与进度计划呼应，采用先进机械设备且配置合理、先进，满足安全技术规范和施工进度需要；</w:t>
            </w:r>
            <w:r>
              <w:rPr>
                <w:rFonts w:hAnsi="宋体" w:cs="宋体"/>
                <w:szCs w:val="21"/>
              </w:rPr>
              <w:t>PC</w:t>
            </w:r>
            <w:r>
              <w:rPr>
                <w:rFonts w:hint="eastAsia" w:hAnsi="宋体" w:cs="宋体"/>
                <w:szCs w:val="21"/>
              </w:rPr>
              <w:t>构件运输、安装设备满足施工要求；</w:t>
            </w:r>
          </w:p>
          <w:p>
            <w:pPr>
              <w:widowControl/>
              <w:spacing w:line="276" w:lineRule="auto"/>
              <w:jc w:val="left"/>
              <w:rPr>
                <w:rFonts w:hAnsi="宋体" w:cs="宋体"/>
                <w:szCs w:val="21"/>
              </w:rPr>
            </w:pPr>
            <w:r>
              <w:rPr>
                <w:rFonts w:hAnsi="宋体" w:cs="宋体"/>
                <w:szCs w:val="21"/>
              </w:rPr>
              <w:t>2.</w:t>
            </w:r>
            <w:r>
              <w:rPr>
                <w:rFonts w:hint="eastAsia" w:hAnsi="宋体" w:cs="宋体"/>
                <w:szCs w:val="21"/>
              </w:rPr>
              <w:t>劳动力：投入计划与进度计划呼应，较好满足施工需要，调配投入计划合理、准确；</w:t>
            </w:r>
          </w:p>
          <w:p>
            <w:pPr>
              <w:widowControl/>
              <w:spacing w:line="276" w:lineRule="auto"/>
              <w:jc w:val="left"/>
              <w:rPr>
                <w:rFonts w:hAnsi="宋体" w:cs="宋体"/>
                <w:szCs w:val="21"/>
              </w:rPr>
            </w:pPr>
            <w:r>
              <w:rPr>
                <w:rFonts w:hAnsi="宋体" w:cs="宋体"/>
                <w:szCs w:val="21"/>
              </w:rPr>
              <w:t>3.</w:t>
            </w:r>
            <w:r>
              <w:rPr>
                <w:rFonts w:hint="eastAsia" w:hAnsi="宋体" w:cs="宋体"/>
                <w:szCs w:val="21"/>
              </w:rPr>
              <w:t>主要物资计划：主要物资（含</w:t>
            </w:r>
            <w:r>
              <w:rPr>
                <w:rFonts w:hAnsi="宋体" w:cs="宋体"/>
                <w:szCs w:val="21"/>
              </w:rPr>
              <w:t>PC</w:t>
            </w:r>
            <w:r>
              <w:rPr>
                <w:rFonts w:hint="eastAsia" w:hAnsi="宋体" w:cs="宋体"/>
                <w:szCs w:val="21"/>
              </w:rPr>
              <w:t>构件的供应需求）投入计划与进度计划呼应，较好满足施工需要，调配投入计划合理、准确。</w:t>
            </w:r>
          </w:p>
        </w:tc>
        <w:tc>
          <w:tcPr>
            <w:tcW w:w="1631" w:type="dxa"/>
            <w:tcBorders>
              <w:top w:val="nil"/>
              <w:left w:val="nil"/>
              <w:bottom w:val="single" w:color="auto" w:sz="8" w:space="0"/>
              <w:right w:val="single" w:color="auto" w:sz="8" w:space="0"/>
            </w:tcBorders>
            <w:shd w:val="clear" w:color="auto" w:fill="auto"/>
            <w:tcMar>
              <w:top w:w="0" w:type="dxa"/>
              <w:left w:w="131" w:type="dxa"/>
              <w:bottom w:w="0" w:type="dxa"/>
              <w:right w:w="131" w:type="dxa"/>
            </w:tcMar>
            <w:vAlign w:val="center"/>
          </w:tcPr>
          <w:p>
            <w:pPr>
              <w:widowControl/>
              <w:adjustRightInd w:val="0"/>
              <w:snapToGrid w:val="0"/>
              <w:spacing w:line="276" w:lineRule="auto"/>
              <w:jc w:val="center"/>
              <w:rPr>
                <w:rFonts w:hAnsi="宋体" w:cs="宋体"/>
                <w:szCs w:val="21"/>
              </w:rPr>
            </w:pPr>
            <w:r>
              <w:rPr>
                <w:rFonts w:hAnsi="宋体" w:cs="宋体"/>
                <w:szCs w:val="21"/>
              </w:rPr>
              <w:t>1</w:t>
            </w:r>
            <w:r>
              <w:rPr>
                <w:rFonts w:hint="eastAsia" w:hAnsi="宋体" w:cs="宋体"/>
                <w:szCs w:val="21"/>
              </w:rPr>
              <w:t>＜得分</w:t>
            </w:r>
            <w:r>
              <w:rPr>
                <w:rFonts w:hAnsi="宋体" w:cs="宋体"/>
                <w:szCs w:val="21"/>
              </w:rPr>
              <w:t>≤2</w:t>
            </w:r>
          </w:p>
        </w:tc>
      </w:tr>
      <w:tr>
        <w:tblPrEx>
          <w:tblCellMar>
            <w:top w:w="0" w:type="dxa"/>
            <w:left w:w="0" w:type="dxa"/>
            <w:bottom w:w="0" w:type="dxa"/>
            <w:right w:w="0" w:type="dxa"/>
          </w:tblCellMar>
        </w:tblPrEx>
        <w:trPr>
          <w:tblCellSpacing w:w="0" w:type="dxa"/>
          <w:jc w:val="center"/>
        </w:trPr>
        <w:tc>
          <w:tcPr>
            <w:tcW w:w="857" w:type="dxa"/>
            <w:vMerge w:val="continue"/>
            <w:tcBorders>
              <w:top w:val="nil"/>
              <w:left w:val="single" w:color="auto" w:sz="8" w:space="0"/>
              <w:bottom w:val="single" w:color="auto" w:sz="8" w:space="0"/>
              <w:right w:val="single" w:color="auto" w:sz="8" w:space="0"/>
            </w:tcBorders>
            <w:shd w:val="clear" w:color="auto" w:fill="FAFAFA"/>
            <w:vAlign w:val="center"/>
          </w:tcPr>
          <w:p>
            <w:pPr>
              <w:widowControl/>
              <w:spacing w:line="276" w:lineRule="auto"/>
              <w:jc w:val="left"/>
              <w:rPr>
                <w:rFonts w:hAnsi="宋体" w:cs="宋体"/>
                <w:szCs w:val="21"/>
              </w:rPr>
            </w:pPr>
          </w:p>
        </w:tc>
        <w:tc>
          <w:tcPr>
            <w:tcW w:w="1397" w:type="dxa"/>
            <w:vMerge w:val="continue"/>
            <w:tcBorders>
              <w:top w:val="nil"/>
              <w:left w:val="nil"/>
              <w:bottom w:val="single" w:color="auto" w:sz="8" w:space="0"/>
              <w:right w:val="single" w:color="auto" w:sz="8" w:space="0"/>
            </w:tcBorders>
            <w:shd w:val="clear" w:color="auto" w:fill="FAFAFA"/>
            <w:vAlign w:val="center"/>
          </w:tcPr>
          <w:p>
            <w:pPr>
              <w:widowControl/>
              <w:spacing w:line="276" w:lineRule="auto"/>
              <w:jc w:val="left"/>
              <w:rPr>
                <w:rFonts w:hAnsi="宋体" w:cs="宋体"/>
                <w:szCs w:val="21"/>
              </w:rPr>
            </w:pPr>
          </w:p>
        </w:tc>
        <w:tc>
          <w:tcPr>
            <w:tcW w:w="1102" w:type="dxa"/>
            <w:vMerge w:val="continue"/>
            <w:tcBorders>
              <w:top w:val="nil"/>
              <w:left w:val="nil"/>
              <w:bottom w:val="single" w:color="auto" w:sz="8" w:space="0"/>
              <w:right w:val="single" w:color="auto" w:sz="8" w:space="0"/>
            </w:tcBorders>
            <w:shd w:val="clear" w:color="auto" w:fill="FAFAFA"/>
            <w:vAlign w:val="center"/>
          </w:tcPr>
          <w:p>
            <w:pPr>
              <w:widowControl/>
              <w:spacing w:line="276" w:lineRule="auto"/>
              <w:jc w:val="left"/>
              <w:rPr>
                <w:rFonts w:hAnsi="宋体" w:cs="宋体"/>
                <w:szCs w:val="21"/>
              </w:rPr>
            </w:pPr>
          </w:p>
        </w:tc>
        <w:tc>
          <w:tcPr>
            <w:tcW w:w="5183" w:type="dxa"/>
            <w:tcBorders>
              <w:top w:val="nil"/>
              <w:left w:val="nil"/>
              <w:bottom w:val="single" w:color="auto" w:sz="8" w:space="0"/>
              <w:right w:val="single" w:color="auto" w:sz="8" w:space="0"/>
            </w:tcBorders>
            <w:shd w:val="clear" w:color="auto" w:fill="auto"/>
            <w:tcMar>
              <w:top w:w="0" w:type="dxa"/>
              <w:left w:w="131" w:type="dxa"/>
              <w:bottom w:w="0" w:type="dxa"/>
              <w:right w:w="131" w:type="dxa"/>
            </w:tcMar>
            <w:vAlign w:val="center"/>
          </w:tcPr>
          <w:p>
            <w:pPr>
              <w:widowControl/>
              <w:spacing w:line="276" w:lineRule="auto"/>
              <w:jc w:val="left"/>
              <w:rPr>
                <w:rFonts w:hAnsi="宋体" w:cs="宋体"/>
                <w:szCs w:val="21"/>
              </w:rPr>
            </w:pPr>
            <w:r>
              <w:rPr>
                <w:rFonts w:hAnsi="宋体" w:cs="宋体"/>
                <w:szCs w:val="21"/>
              </w:rPr>
              <w:t>1.</w:t>
            </w:r>
            <w:r>
              <w:rPr>
                <w:rFonts w:hint="eastAsia" w:hAnsi="宋体" w:cs="宋体"/>
                <w:szCs w:val="21"/>
              </w:rPr>
              <w:t>机械：投入计划与进度计划呼应，机械设备配置基本合理，满足安全技术规范和施工进度需要；</w:t>
            </w:r>
          </w:p>
          <w:p>
            <w:pPr>
              <w:widowControl/>
              <w:spacing w:line="276" w:lineRule="auto"/>
              <w:jc w:val="left"/>
              <w:rPr>
                <w:rFonts w:hAnsi="宋体" w:cs="宋体"/>
                <w:szCs w:val="21"/>
              </w:rPr>
            </w:pPr>
            <w:r>
              <w:rPr>
                <w:rFonts w:hAnsi="宋体" w:cs="宋体"/>
                <w:szCs w:val="21"/>
              </w:rPr>
              <w:t>2.</w:t>
            </w:r>
            <w:r>
              <w:rPr>
                <w:rFonts w:hint="eastAsia" w:hAnsi="宋体" w:cs="宋体"/>
                <w:szCs w:val="21"/>
              </w:rPr>
              <w:t>劳动力：投入计划与进度计划呼应，基本满足施工需要，调配投入计划基本合理；</w:t>
            </w:r>
          </w:p>
          <w:p>
            <w:pPr>
              <w:widowControl/>
              <w:spacing w:line="276" w:lineRule="auto"/>
              <w:jc w:val="left"/>
              <w:rPr>
                <w:rFonts w:hAnsi="宋体" w:cs="宋体"/>
                <w:szCs w:val="21"/>
              </w:rPr>
            </w:pPr>
            <w:r>
              <w:rPr>
                <w:rFonts w:hAnsi="宋体" w:cs="宋体"/>
                <w:szCs w:val="21"/>
              </w:rPr>
              <w:t>3.</w:t>
            </w:r>
            <w:r>
              <w:rPr>
                <w:rFonts w:hint="eastAsia" w:hAnsi="宋体" w:cs="宋体"/>
                <w:szCs w:val="21"/>
              </w:rPr>
              <w:t>主要物资计划：主要物资（含</w:t>
            </w:r>
            <w:r>
              <w:rPr>
                <w:rFonts w:hAnsi="宋体" w:cs="宋体"/>
                <w:szCs w:val="21"/>
              </w:rPr>
              <w:t>PC</w:t>
            </w:r>
            <w:r>
              <w:rPr>
                <w:rFonts w:hint="eastAsia" w:hAnsi="宋体" w:cs="宋体"/>
                <w:szCs w:val="21"/>
              </w:rPr>
              <w:t>构件的供应需求）投入计划与进度计划呼应，基本满足施工需要，调配投入计划基本合理。</w:t>
            </w:r>
          </w:p>
        </w:tc>
        <w:tc>
          <w:tcPr>
            <w:tcW w:w="1631" w:type="dxa"/>
            <w:tcBorders>
              <w:top w:val="nil"/>
              <w:left w:val="nil"/>
              <w:bottom w:val="single" w:color="auto" w:sz="8" w:space="0"/>
              <w:right w:val="single" w:color="auto" w:sz="8" w:space="0"/>
            </w:tcBorders>
            <w:shd w:val="clear" w:color="auto" w:fill="auto"/>
            <w:tcMar>
              <w:top w:w="0" w:type="dxa"/>
              <w:left w:w="131" w:type="dxa"/>
              <w:bottom w:w="0" w:type="dxa"/>
              <w:right w:w="131" w:type="dxa"/>
            </w:tcMar>
            <w:vAlign w:val="center"/>
          </w:tcPr>
          <w:p>
            <w:pPr>
              <w:widowControl/>
              <w:adjustRightInd w:val="0"/>
              <w:snapToGrid w:val="0"/>
              <w:spacing w:line="276" w:lineRule="auto"/>
              <w:jc w:val="center"/>
              <w:rPr>
                <w:rFonts w:hAnsi="宋体" w:cs="宋体"/>
                <w:szCs w:val="21"/>
              </w:rPr>
            </w:pPr>
            <w:r>
              <w:rPr>
                <w:rFonts w:hAnsi="宋体" w:cs="宋体"/>
                <w:szCs w:val="21"/>
              </w:rPr>
              <w:t>0.5≤</w:t>
            </w:r>
            <w:r>
              <w:rPr>
                <w:rFonts w:hint="eastAsia" w:hAnsi="宋体" w:cs="宋体"/>
                <w:szCs w:val="21"/>
              </w:rPr>
              <w:t>得分</w:t>
            </w:r>
            <w:r>
              <w:rPr>
                <w:rFonts w:hAnsi="宋体" w:cs="宋体"/>
                <w:szCs w:val="21"/>
              </w:rPr>
              <w:t>≤1</w:t>
            </w:r>
          </w:p>
        </w:tc>
      </w:tr>
      <w:tr>
        <w:tblPrEx>
          <w:tblCellMar>
            <w:top w:w="0" w:type="dxa"/>
            <w:left w:w="0" w:type="dxa"/>
            <w:bottom w:w="0" w:type="dxa"/>
            <w:right w:w="0" w:type="dxa"/>
          </w:tblCellMar>
        </w:tblPrEx>
        <w:trPr>
          <w:tblCellSpacing w:w="0" w:type="dxa"/>
          <w:jc w:val="center"/>
        </w:trPr>
        <w:tc>
          <w:tcPr>
            <w:tcW w:w="857" w:type="dxa"/>
            <w:vMerge w:val="restart"/>
            <w:tcBorders>
              <w:top w:val="nil"/>
              <w:left w:val="single" w:color="auto" w:sz="8" w:space="0"/>
              <w:bottom w:val="single" w:color="auto" w:sz="8" w:space="0"/>
              <w:right w:val="single" w:color="auto" w:sz="8" w:space="0"/>
            </w:tcBorders>
            <w:shd w:val="clear" w:color="auto" w:fill="auto"/>
            <w:tcMar>
              <w:top w:w="0" w:type="dxa"/>
              <w:left w:w="131" w:type="dxa"/>
              <w:bottom w:w="0" w:type="dxa"/>
              <w:right w:w="131" w:type="dxa"/>
            </w:tcMar>
            <w:vAlign w:val="center"/>
          </w:tcPr>
          <w:p>
            <w:pPr>
              <w:widowControl/>
              <w:spacing w:line="276" w:lineRule="auto"/>
              <w:jc w:val="center"/>
              <w:rPr>
                <w:rFonts w:hAnsi="宋体" w:cs="宋体"/>
                <w:szCs w:val="21"/>
              </w:rPr>
            </w:pPr>
            <w:r>
              <w:rPr>
                <w:rFonts w:hAnsi="宋体" w:cs="宋体"/>
                <w:szCs w:val="21"/>
              </w:rPr>
              <w:t>8</w:t>
            </w:r>
          </w:p>
        </w:tc>
        <w:tc>
          <w:tcPr>
            <w:tcW w:w="1397" w:type="dxa"/>
            <w:vMerge w:val="restart"/>
            <w:tcBorders>
              <w:top w:val="nil"/>
              <w:left w:val="nil"/>
              <w:bottom w:val="single" w:color="auto" w:sz="8" w:space="0"/>
              <w:right w:val="single" w:color="auto" w:sz="8" w:space="0"/>
            </w:tcBorders>
            <w:shd w:val="clear" w:color="auto" w:fill="auto"/>
            <w:tcMar>
              <w:top w:w="0" w:type="dxa"/>
              <w:left w:w="131" w:type="dxa"/>
              <w:bottom w:w="0" w:type="dxa"/>
              <w:right w:w="131" w:type="dxa"/>
            </w:tcMar>
            <w:vAlign w:val="center"/>
          </w:tcPr>
          <w:p>
            <w:pPr>
              <w:widowControl/>
              <w:spacing w:line="276" w:lineRule="auto"/>
              <w:jc w:val="left"/>
              <w:rPr>
                <w:rFonts w:hAnsi="宋体" w:cs="宋体"/>
                <w:szCs w:val="21"/>
              </w:rPr>
            </w:pPr>
            <w:r>
              <w:rPr>
                <w:rFonts w:hint="eastAsia" w:hAnsi="宋体" w:cs="宋体"/>
                <w:szCs w:val="21"/>
              </w:rPr>
              <w:t>施工进度表与网络计划图</w:t>
            </w:r>
          </w:p>
        </w:tc>
        <w:tc>
          <w:tcPr>
            <w:tcW w:w="1102" w:type="dxa"/>
            <w:vMerge w:val="restart"/>
            <w:tcBorders>
              <w:top w:val="nil"/>
              <w:left w:val="nil"/>
              <w:bottom w:val="single" w:color="auto" w:sz="8" w:space="0"/>
              <w:right w:val="single" w:color="auto" w:sz="8" w:space="0"/>
            </w:tcBorders>
            <w:shd w:val="clear" w:color="auto" w:fill="auto"/>
            <w:tcMar>
              <w:top w:w="0" w:type="dxa"/>
              <w:left w:w="131" w:type="dxa"/>
              <w:bottom w:w="0" w:type="dxa"/>
              <w:right w:w="131" w:type="dxa"/>
            </w:tcMar>
            <w:vAlign w:val="center"/>
          </w:tcPr>
          <w:p>
            <w:pPr>
              <w:widowControl/>
              <w:spacing w:line="276" w:lineRule="auto"/>
              <w:jc w:val="center"/>
              <w:rPr>
                <w:rFonts w:hAnsi="宋体" w:cs="宋体"/>
                <w:szCs w:val="21"/>
              </w:rPr>
            </w:pPr>
            <w:r>
              <w:rPr>
                <w:rFonts w:hAnsi="宋体" w:cs="宋体"/>
                <w:szCs w:val="21"/>
              </w:rPr>
              <w:t>0.5-2</w:t>
            </w:r>
            <w:r>
              <w:rPr>
                <w:rFonts w:hint="eastAsia" w:hAnsi="宋体" w:cs="宋体"/>
                <w:szCs w:val="21"/>
              </w:rPr>
              <w:t>分</w:t>
            </w:r>
          </w:p>
        </w:tc>
        <w:tc>
          <w:tcPr>
            <w:tcW w:w="5183" w:type="dxa"/>
            <w:tcBorders>
              <w:top w:val="nil"/>
              <w:left w:val="nil"/>
              <w:bottom w:val="single" w:color="auto" w:sz="8" w:space="0"/>
              <w:right w:val="single" w:color="auto" w:sz="8" w:space="0"/>
            </w:tcBorders>
            <w:shd w:val="clear" w:color="auto" w:fill="auto"/>
            <w:tcMar>
              <w:top w:w="0" w:type="dxa"/>
              <w:left w:w="131" w:type="dxa"/>
              <w:bottom w:w="0" w:type="dxa"/>
              <w:right w:w="131" w:type="dxa"/>
            </w:tcMar>
            <w:vAlign w:val="center"/>
          </w:tcPr>
          <w:p>
            <w:pPr>
              <w:widowControl/>
              <w:spacing w:line="276" w:lineRule="auto"/>
              <w:jc w:val="left"/>
              <w:rPr>
                <w:rFonts w:hAnsi="宋体" w:cs="宋体"/>
                <w:szCs w:val="21"/>
              </w:rPr>
            </w:pPr>
            <w:r>
              <w:rPr>
                <w:rFonts w:hint="eastAsia" w:hAnsi="宋体" w:cs="宋体"/>
                <w:szCs w:val="21"/>
              </w:rPr>
              <w:t>关键线路清晰、准确、完整、计划编制合理、可行、满足招标文件对工期的要求。</w:t>
            </w:r>
          </w:p>
        </w:tc>
        <w:tc>
          <w:tcPr>
            <w:tcW w:w="1631" w:type="dxa"/>
            <w:tcBorders>
              <w:top w:val="nil"/>
              <w:left w:val="nil"/>
              <w:bottom w:val="single" w:color="auto" w:sz="8" w:space="0"/>
              <w:right w:val="single" w:color="auto" w:sz="8" w:space="0"/>
            </w:tcBorders>
            <w:shd w:val="clear" w:color="auto" w:fill="auto"/>
            <w:tcMar>
              <w:top w:w="0" w:type="dxa"/>
              <w:left w:w="131" w:type="dxa"/>
              <w:bottom w:w="0" w:type="dxa"/>
              <w:right w:w="131" w:type="dxa"/>
            </w:tcMar>
            <w:vAlign w:val="center"/>
          </w:tcPr>
          <w:p>
            <w:pPr>
              <w:widowControl/>
              <w:adjustRightInd w:val="0"/>
              <w:snapToGrid w:val="0"/>
              <w:spacing w:line="276" w:lineRule="auto"/>
              <w:jc w:val="center"/>
              <w:rPr>
                <w:rFonts w:hAnsi="宋体" w:cs="宋体"/>
                <w:szCs w:val="21"/>
              </w:rPr>
            </w:pPr>
            <w:r>
              <w:rPr>
                <w:rFonts w:hAnsi="宋体" w:cs="宋体"/>
                <w:szCs w:val="21"/>
              </w:rPr>
              <w:t>1</w:t>
            </w:r>
            <w:r>
              <w:rPr>
                <w:rFonts w:hint="eastAsia" w:hAnsi="宋体" w:cs="宋体"/>
                <w:szCs w:val="21"/>
              </w:rPr>
              <w:t>＜得分</w:t>
            </w:r>
            <w:r>
              <w:rPr>
                <w:rFonts w:hAnsi="宋体" w:cs="宋体"/>
                <w:szCs w:val="21"/>
              </w:rPr>
              <w:t>≤2</w:t>
            </w:r>
          </w:p>
        </w:tc>
      </w:tr>
      <w:tr>
        <w:tblPrEx>
          <w:tblCellMar>
            <w:top w:w="0" w:type="dxa"/>
            <w:left w:w="0" w:type="dxa"/>
            <w:bottom w:w="0" w:type="dxa"/>
            <w:right w:w="0" w:type="dxa"/>
          </w:tblCellMar>
        </w:tblPrEx>
        <w:trPr>
          <w:tblCellSpacing w:w="0" w:type="dxa"/>
          <w:jc w:val="center"/>
        </w:trPr>
        <w:tc>
          <w:tcPr>
            <w:tcW w:w="857" w:type="dxa"/>
            <w:vMerge w:val="continue"/>
            <w:tcBorders>
              <w:top w:val="nil"/>
              <w:left w:val="single" w:color="auto" w:sz="8" w:space="0"/>
              <w:bottom w:val="single" w:color="auto" w:sz="8" w:space="0"/>
              <w:right w:val="single" w:color="auto" w:sz="8" w:space="0"/>
            </w:tcBorders>
            <w:shd w:val="clear" w:color="auto" w:fill="FAFAFA"/>
            <w:vAlign w:val="center"/>
          </w:tcPr>
          <w:p>
            <w:pPr>
              <w:widowControl/>
              <w:spacing w:line="276" w:lineRule="auto"/>
              <w:jc w:val="left"/>
              <w:rPr>
                <w:rFonts w:hAnsi="宋体" w:cs="宋体"/>
                <w:szCs w:val="21"/>
              </w:rPr>
            </w:pPr>
          </w:p>
        </w:tc>
        <w:tc>
          <w:tcPr>
            <w:tcW w:w="1397" w:type="dxa"/>
            <w:vMerge w:val="continue"/>
            <w:tcBorders>
              <w:top w:val="nil"/>
              <w:left w:val="nil"/>
              <w:bottom w:val="single" w:color="auto" w:sz="8" w:space="0"/>
              <w:right w:val="single" w:color="auto" w:sz="8" w:space="0"/>
            </w:tcBorders>
            <w:shd w:val="clear" w:color="auto" w:fill="FAFAFA"/>
            <w:vAlign w:val="center"/>
          </w:tcPr>
          <w:p>
            <w:pPr>
              <w:widowControl/>
              <w:spacing w:line="276" w:lineRule="auto"/>
              <w:jc w:val="left"/>
              <w:rPr>
                <w:rFonts w:hAnsi="宋体" w:cs="宋体"/>
                <w:szCs w:val="21"/>
              </w:rPr>
            </w:pPr>
          </w:p>
        </w:tc>
        <w:tc>
          <w:tcPr>
            <w:tcW w:w="1102" w:type="dxa"/>
            <w:vMerge w:val="continue"/>
            <w:tcBorders>
              <w:top w:val="nil"/>
              <w:left w:val="nil"/>
              <w:bottom w:val="single" w:color="auto" w:sz="8" w:space="0"/>
              <w:right w:val="single" w:color="auto" w:sz="8" w:space="0"/>
            </w:tcBorders>
            <w:shd w:val="clear" w:color="auto" w:fill="FAFAFA"/>
            <w:vAlign w:val="center"/>
          </w:tcPr>
          <w:p>
            <w:pPr>
              <w:widowControl/>
              <w:spacing w:line="276" w:lineRule="auto"/>
              <w:jc w:val="left"/>
              <w:rPr>
                <w:rFonts w:hAnsi="宋体" w:cs="宋体"/>
                <w:szCs w:val="21"/>
              </w:rPr>
            </w:pPr>
          </w:p>
        </w:tc>
        <w:tc>
          <w:tcPr>
            <w:tcW w:w="5183" w:type="dxa"/>
            <w:tcBorders>
              <w:top w:val="nil"/>
              <w:left w:val="nil"/>
              <w:bottom w:val="single" w:color="auto" w:sz="8" w:space="0"/>
              <w:right w:val="single" w:color="auto" w:sz="8" w:space="0"/>
            </w:tcBorders>
            <w:shd w:val="clear" w:color="auto" w:fill="auto"/>
            <w:tcMar>
              <w:top w:w="0" w:type="dxa"/>
              <w:left w:w="131" w:type="dxa"/>
              <w:bottom w:w="0" w:type="dxa"/>
              <w:right w:w="131" w:type="dxa"/>
            </w:tcMar>
            <w:vAlign w:val="center"/>
          </w:tcPr>
          <w:p>
            <w:pPr>
              <w:widowControl/>
              <w:spacing w:line="276" w:lineRule="auto"/>
              <w:jc w:val="left"/>
              <w:rPr>
                <w:rFonts w:hAnsi="宋体" w:cs="宋体"/>
                <w:szCs w:val="21"/>
              </w:rPr>
            </w:pPr>
            <w:r>
              <w:rPr>
                <w:rFonts w:hint="eastAsia" w:hAnsi="宋体" w:cs="宋体"/>
                <w:szCs w:val="21"/>
              </w:rPr>
              <w:t>关键线路基本准确，计划编制基本可行。</w:t>
            </w:r>
          </w:p>
        </w:tc>
        <w:tc>
          <w:tcPr>
            <w:tcW w:w="1631" w:type="dxa"/>
            <w:tcBorders>
              <w:top w:val="nil"/>
              <w:left w:val="nil"/>
              <w:bottom w:val="single" w:color="auto" w:sz="8" w:space="0"/>
              <w:right w:val="single" w:color="auto" w:sz="8" w:space="0"/>
            </w:tcBorders>
            <w:shd w:val="clear" w:color="auto" w:fill="auto"/>
            <w:tcMar>
              <w:top w:w="0" w:type="dxa"/>
              <w:left w:w="131" w:type="dxa"/>
              <w:bottom w:w="0" w:type="dxa"/>
              <w:right w:w="131" w:type="dxa"/>
            </w:tcMar>
            <w:vAlign w:val="center"/>
          </w:tcPr>
          <w:p>
            <w:pPr>
              <w:widowControl/>
              <w:adjustRightInd w:val="0"/>
              <w:snapToGrid w:val="0"/>
              <w:spacing w:line="276" w:lineRule="auto"/>
              <w:jc w:val="center"/>
              <w:rPr>
                <w:rFonts w:hAnsi="宋体" w:cs="宋体"/>
                <w:szCs w:val="21"/>
              </w:rPr>
            </w:pPr>
            <w:r>
              <w:rPr>
                <w:rFonts w:hAnsi="宋体" w:cs="宋体"/>
                <w:szCs w:val="21"/>
              </w:rPr>
              <w:t>0.5≤</w:t>
            </w:r>
            <w:r>
              <w:rPr>
                <w:rFonts w:hint="eastAsia" w:hAnsi="宋体" w:cs="宋体"/>
                <w:szCs w:val="21"/>
              </w:rPr>
              <w:t>得分</w:t>
            </w:r>
            <w:r>
              <w:rPr>
                <w:rFonts w:hAnsi="宋体" w:cs="宋体"/>
                <w:szCs w:val="21"/>
              </w:rPr>
              <w:t>≤1</w:t>
            </w:r>
          </w:p>
        </w:tc>
      </w:tr>
      <w:tr>
        <w:tblPrEx>
          <w:tblCellMar>
            <w:top w:w="0" w:type="dxa"/>
            <w:left w:w="0" w:type="dxa"/>
            <w:bottom w:w="0" w:type="dxa"/>
            <w:right w:w="0" w:type="dxa"/>
          </w:tblCellMar>
        </w:tblPrEx>
        <w:trPr>
          <w:tblCellSpacing w:w="0" w:type="dxa"/>
          <w:jc w:val="center"/>
        </w:trPr>
        <w:tc>
          <w:tcPr>
            <w:tcW w:w="857" w:type="dxa"/>
            <w:vMerge w:val="restart"/>
            <w:tcBorders>
              <w:top w:val="nil"/>
              <w:left w:val="single" w:color="auto" w:sz="8" w:space="0"/>
              <w:bottom w:val="single" w:color="auto" w:sz="8" w:space="0"/>
              <w:right w:val="single" w:color="auto" w:sz="8" w:space="0"/>
            </w:tcBorders>
            <w:shd w:val="clear" w:color="auto" w:fill="auto"/>
            <w:tcMar>
              <w:top w:w="0" w:type="dxa"/>
              <w:left w:w="131" w:type="dxa"/>
              <w:bottom w:w="0" w:type="dxa"/>
              <w:right w:w="131" w:type="dxa"/>
            </w:tcMar>
            <w:vAlign w:val="center"/>
          </w:tcPr>
          <w:p>
            <w:pPr>
              <w:widowControl/>
              <w:spacing w:line="276" w:lineRule="auto"/>
              <w:jc w:val="center"/>
              <w:rPr>
                <w:rFonts w:hAnsi="宋体" w:cs="宋体"/>
                <w:szCs w:val="21"/>
              </w:rPr>
            </w:pPr>
            <w:r>
              <w:rPr>
                <w:rFonts w:hAnsi="宋体" w:cs="宋体"/>
                <w:szCs w:val="21"/>
              </w:rPr>
              <w:t>9</w:t>
            </w:r>
          </w:p>
        </w:tc>
        <w:tc>
          <w:tcPr>
            <w:tcW w:w="1397" w:type="dxa"/>
            <w:vMerge w:val="restart"/>
            <w:tcBorders>
              <w:top w:val="nil"/>
              <w:left w:val="nil"/>
              <w:bottom w:val="single" w:color="auto" w:sz="8" w:space="0"/>
              <w:right w:val="single" w:color="auto" w:sz="8" w:space="0"/>
            </w:tcBorders>
            <w:shd w:val="clear" w:color="auto" w:fill="auto"/>
            <w:tcMar>
              <w:top w:w="0" w:type="dxa"/>
              <w:left w:w="131" w:type="dxa"/>
              <w:bottom w:w="0" w:type="dxa"/>
              <w:right w:w="131" w:type="dxa"/>
            </w:tcMar>
            <w:vAlign w:val="center"/>
          </w:tcPr>
          <w:p>
            <w:pPr>
              <w:widowControl/>
              <w:spacing w:line="276" w:lineRule="auto"/>
              <w:jc w:val="left"/>
              <w:rPr>
                <w:rFonts w:hAnsi="宋体" w:cs="宋体"/>
                <w:szCs w:val="21"/>
              </w:rPr>
            </w:pPr>
            <w:r>
              <w:rPr>
                <w:rFonts w:hint="eastAsia" w:hAnsi="宋体" w:cs="宋体"/>
                <w:szCs w:val="21"/>
              </w:rPr>
              <w:t>施工总平面图布置</w:t>
            </w:r>
          </w:p>
        </w:tc>
        <w:tc>
          <w:tcPr>
            <w:tcW w:w="1102" w:type="dxa"/>
            <w:vMerge w:val="restart"/>
            <w:tcBorders>
              <w:top w:val="nil"/>
              <w:left w:val="nil"/>
              <w:bottom w:val="single" w:color="auto" w:sz="8" w:space="0"/>
              <w:right w:val="single" w:color="auto" w:sz="8" w:space="0"/>
            </w:tcBorders>
            <w:shd w:val="clear" w:color="auto" w:fill="auto"/>
            <w:tcMar>
              <w:top w:w="0" w:type="dxa"/>
              <w:left w:w="131" w:type="dxa"/>
              <w:bottom w:w="0" w:type="dxa"/>
              <w:right w:w="131" w:type="dxa"/>
            </w:tcMar>
            <w:vAlign w:val="center"/>
          </w:tcPr>
          <w:p>
            <w:pPr>
              <w:widowControl/>
              <w:spacing w:line="276" w:lineRule="auto"/>
              <w:jc w:val="center"/>
              <w:rPr>
                <w:rFonts w:hAnsi="宋体" w:cs="宋体"/>
                <w:szCs w:val="21"/>
              </w:rPr>
            </w:pPr>
            <w:r>
              <w:rPr>
                <w:rFonts w:hAnsi="宋体" w:cs="宋体"/>
                <w:szCs w:val="21"/>
              </w:rPr>
              <w:t>0.5-1</w:t>
            </w:r>
            <w:r>
              <w:rPr>
                <w:rFonts w:hint="eastAsia" w:hAnsi="宋体" w:cs="宋体"/>
                <w:szCs w:val="21"/>
              </w:rPr>
              <w:t>分</w:t>
            </w:r>
          </w:p>
        </w:tc>
        <w:tc>
          <w:tcPr>
            <w:tcW w:w="5183" w:type="dxa"/>
            <w:tcBorders>
              <w:top w:val="nil"/>
              <w:left w:val="nil"/>
              <w:bottom w:val="single" w:color="auto" w:sz="8" w:space="0"/>
              <w:right w:val="single" w:color="auto" w:sz="8" w:space="0"/>
            </w:tcBorders>
            <w:shd w:val="clear" w:color="auto" w:fill="auto"/>
            <w:tcMar>
              <w:top w:w="0" w:type="dxa"/>
              <w:left w:w="131" w:type="dxa"/>
              <w:bottom w:w="0" w:type="dxa"/>
              <w:right w:w="131" w:type="dxa"/>
            </w:tcMar>
            <w:vAlign w:val="center"/>
          </w:tcPr>
          <w:p>
            <w:pPr>
              <w:widowControl/>
              <w:spacing w:line="276" w:lineRule="auto"/>
              <w:jc w:val="left"/>
              <w:rPr>
                <w:rFonts w:hAnsi="宋体" w:cs="宋体"/>
                <w:szCs w:val="21"/>
              </w:rPr>
            </w:pPr>
            <w:r>
              <w:rPr>
                <w:rFonts w:hint="eastAsia" w:hAnsi="宋体" w:cs="宋体"/>
                <w:szCs w:val="21"/>
              </w:rPr>
              <w:t>总体布置有针对性、合理、能较好满足施工需要，符合安全、文明施工要求；材料堆放有序。</w:t>
            </w:r>
          </w:p>
        </w:tc>
        <w:tc>
          <w:tcPr>
            <w:tcW w:w="1631" w:type="dxa"/>
            <w:tcBorders>
              <w:top w:val="nil"/>
              <w:left w:val="nil"/>
              <w:bottom w:val="single" w:color="auto" w:sz="8" w:space="0"/>
              <w:right w:val="single" w:color="auto" w:sz="8" w:space="0"/>
            </w:tcBorders>
            <w:shd w:val="clear" w:color="auto" w:fill="auto"/>
            <w:tcMar>
              <w:top w:w="0" w:type="dxa"/>
              <w:left w:w="131" w:type="dxa"/>
              <w:bottom w:w="0" w:type="dxa"/>
              <w:right w:w="131" w:type="dxa"/>
            </w:tcMar>
            <w:vAlign w:val="center"/>
          </w:tcPr>
          <w:p>
            <w:pPr>
              <w:widowControl/>
              <w:adjustRightInd w:val="0"/>
              <w:snapToGrid w:val="0"/>
              <w:spacing w:line="276" w:lineRule="auto"/>
              <w:jc w:val="center"/>
              <w:rPr>
                <w:rFonts w:hAnsi="宋体" w:cs="宋体"/>
                <w:szCs w:val="21"/>
              </w:rPr>
            </w:pPr>
            <w:r>
              <w:rPr>
                <w:rFonts w:hAnsi="宋体" w:cs="宋体"/>
                <w:szCs w:val="21"/>
              </w:rPr>
              <w:t>1</w:t>
            </w:r>
          </w:p>
        </w:tc>
      </w:tr>
      <w:tr>
        <w:tblPrEx>
          <w:tblCellMar>
            <w:top w:w="0" w:type="dxa"/>
            <w:left w:w="0" w:type="dxa"/>
            <w:bottom w:w="0" w:type="dxa"/>
            <w:right w:w="0" w:type="dxa"/>
          </w:tblCellMar>
        </w:tblPrEx>
        <w:trPr>
          <w:tblCellSpacing w:w="0" w:type="dxa"/>
          <w:jc w:val="center"/>
        </w:trPr>
        <w:tc>
          <w:tcPr>
            <w:tcW w:w="857" w:type="dxa"/>
            <w:vMerge w:val="continue"/>
            <w:tcBorders>
              <w:top w:val="nil"/>
              <w:left w:val="single" w:color="auto" w:sz="8" w:space="0"/>
              <w:bottom w:val="single" w:color="auto" w:sz="8" w:space="0"/>
              <w:right w:val="single" w:color="auto" w:sz="8" w:space="0"/>
            </w:tcBorders>
            <w:shd w:val="clear" w:color="auto" w:fill="FAFAFA"/>
            <w:vAlign w:val="center"/>
          </w:tcPr>
          <w:p>
            <w:pPr>
              <w:widowControl/>
              <w:spacing w:line="276" w:lineRule="auto"/>
              <w:jc w:val="left"/>
              <w:rPr>
                <w:rFonts w:hAnsi="宋体" w:cs="宋体"/>
                <w:szCs w:val="21"/>
              </w:rPr>
            </w:pPr>
          </w:p>
        </w:tc>
        <w:tc>
          <w:tcPr>
            <w:tcW w:w="1397" w:type="dxa"/>
            <w:vMerge w:val="continue"/>
            <w:tcBorders>
              <w:top w:val="nil"/>
              <w:left w:val="nil"/>
              <w:bottom w:val="single" w:color="auto" w:sz="8" w:space="0"/>
              <w:right w:val="single" w:color="auto" w:sz="8" w:space="0"/>
            </w:tcBorders>
            <w:shd w:val="clear" w:color="auto" w:fill="FAFAFA"/>
            <w:vAlign w:val="center"/>
          </w:tcPr>
          <w:p>
            <w:pPr>
              <w:widowControl/>
              <w:spacing w:line="276" w:lineRule="auto"/>
              <w:jc w:val="left"/>
              <w:rPr>
                <w:rFonts w:hAnsi="宋体" w:cs="宋体"/>
                <w:szCs w:val="21"/>
              </w:rPr>
            </w:pPr>
          </w:p>
        </w:tc>
        <w:tc>
          <w:tcPr>
            <w:tcW w:w="1102" w:type="dxa"/>
            <w:vMerge w:val="continue"/>
            <w:tcBorders>
              <w:top w:val="nil"/>
              <w:left w:val="nil"/>
              <w:bottom w:val="single" w:color="auto" w:sz="8" w:space="0"/>
              <w:right w:val="single" w:color="auto" w:sz="8" w:space="0"/>
            </w:tcBorders>
            <w:shd w:val="clear" w:color="auto" w:fill="FAFAFA"/>
            <w:vAlign w:val="center"/>
          </w:tcPr>
          <w:p>
            <w:pPr>
              <w:widowControl/>
              <w:spacing w:line="276" w:lineRule="auto"/>
              <w:jc w:val="left"/>
              <w:rPr>
                <w:rFonts w:hAnsi="宋体" w:cs="宋体"/>
                <w:szCs w:val="21"/>
              </w:rPr>
            </w:pPr>
          </w:p>
        </w:tc>
        <w:tc>
          <w:tcPr>
            <w:tcW w:w="5183" w:type="dxa"/>
            <w:tcBorders>
              <w:top w:val="nil"/>
              <w:left w:val="nil"/>
              <w:bottom w:val="single" w:color="auto" w:sz="8" w:space="0"/>
              <w:right w:val="single" w:color="auto" w:sz="8" w:space="0"/>
            </w:tcBorders>
            <w:shd w:val="clear" w:color="auto" w:fill="auto"/>
            <w:tcMar>
              <w:top w:w="0" w:type="dxa"/>
              <w:left w:w="131" w:type="dxa"/>
              <w:bottom w:w="0" w:type="dxa"/>
              <w:right w:w="131" w:type="dxa"/>
            </w:tcMar>
            <w:vAlign w:val="center"/>
          </w:tcPr>
          <w:p>
            <w:pPr>
              <w:widowControl/>
              <w:spacing w:line="276" w:lineRule="auto"/>
              <w:jc w:val="left"/>
              <w:rPr>
                <w:rFonts w:hAnsi="宋体" w:cs="宋体"/>
                <w:szCs w:val="21"/>
              </w:rPr>
            </w:pPr>
            <w:r>
              <w:rPr>
                <w:rFonts w:hint="eastAsia" w:hAnsi="宋体" w:cs="宋体"/>
                <w:szCs w:val="21"/>
              </w:rPr>
              <w:t>总体布置基本合理、基本满足施工需要。</w:t>
            </w:r>
          </w:p>
        </w:tc>
        <w:tc>
          <w:tcPr>
            <w:tcW w:w="1631" w:type="dxa"/>
            <w:tcBorders>
              <w:top w:val="nil"/>
              <w:left w:val="nil"/>
              <w:bottom w:val="single" w:color="auto" w:sz="8" w:space="0"/>
              <w:right w:val="single" w:color="auto" w:sz="8" w:space="0"/>
            </w:tcBorders>
            <w:shd w:val="clear" w:color="auto" w:fill="auto"/>
            <w:tcMar>
              <w:top w:w="0" w:type="dxa"/>
              <w:left w:w="131" w:type="dxa"/>
              <w:bottom w:w="0" w:type="dxa"/>
              <w:right w:w="131" w:type="dxa"/>
            </w:tcMar>
            <w:vAlign w:val="center"/>
          </w:tcPr>
          <w:p>
            <w:pPr>
              <w:widowControl/>
              <w:adjustRightInd w:val="0"/>
              <w:snapToGrid w:val="0"/>
              <w:spacing w:line="276" w:lineRule="auto"/>
              <w:jc w:val="center"/>
              <w:rPr>
                <w:rFonts w:hAnsi="宋体" w:cs="宋体"/>
                <w:szCs w:val="21"/>
              </w:rPr>
            </w:pPr>
            <w:r>
              <w:rPr>
                <w:rFonts w:hAnsi="宋体" w:cs="宋体"/>
                <w:szCs w:val="21"/>
              </w:rPr>
              <w:t>0.5</w:t>
            </w:r>
          </w:p>
        </w:tc>
      </w:tr>
      <w:tr>
        <w:tblPrEx>
          <w:tblCellMar>
            <w:top w:w="0" w:type="dxa"/>
            <w:left w:w="0" w:type="dxa"/>
            <w:bottom w:w="0" w:type="dxa"/>
            <w:right w:w="0" w:type="dxa"/>
          </w:tblCellMar>
        </w:tblPrEx>
        <w:trPr>
          <w:tblCellSpacing w:w="0" w:type="dxa"/>
          <w:jc w:val="center"/>
        </w:trPr>
        <w:tc>
          <w:tcPr>
            <w:tcW w:w="857" w:type="dxa"/>
            <w:vMerge w:val="restart"/>
            <w:tcBorders>
              <w:top w:val="nil"/>
              <w:left w:val="single" w:color="auto" w:sz="8" w:space="0"/>
              <w:bottom w:val="single" w:color="auto" w:sz="8" w:space="0"/>
              <w:right w:val="single" w:color="auto" w:sz="8" w:space="0"/>
            </w:tcBorders>
            <w:shd w:val="clear" w:color="auto" w:fill="auto"/>
            <w:tcMar>
              <w:top w:w="0" w:type="dxa"/>
              <w:left w:w="131" w:type="dxa"/>
              <w:bottom w:w="0" w:type="dxa"/>
              <w:right w:w="131" w:type="dxa"/>
            </w:tcMar>
            <w:vAlign w:val="center"/>
          </w:tcPr>
          <w:p>
            <w:pPr>
              <w:widowControl/>
              <w:spacing w:line="276" w:lineRule="auto"/>
              <w:jc w:val="center"/>
              <w:rPr>
                <w:rFonts w:hAnsi="宋体" w:cs="宋体"/>
                <w:szCs w:val="21"/>
              </w:rPr>
            </w:pPr>
            <w:r>
              <w:rPr>
                <w:rFonts w:hAnsi="宋体" w:cs="宋体"/>
                <w:szCs w:val="21"/>
              </w:rPr>
              <w:t>10</w:t>
            </w:r>
          </w:p>
        </w:tc>
        <w:tc>
          <w:tcPr>
            <w:tcW w:w="1397" w:type="dxa"/>
            <w:vMerge w:val="restart"/>
            <w:tcBorders>
              <w:top w:val="nil"/>
              <w:left w:val="nil"/>
              <w:bottom w:val="single" w:color="auto" w:sz="8" w:space="0"/>
              <w:right w:val="single" w:color="auto" w:sz="8" w:space="0"/>
            </w:tcBorders>
            <w:shd w:val="clear" w:color="auto" w:fill="auto"/>
            <w:tcMar>
              <w:top w:w="0" w:type="dxa"/>
              <w:left w:w="131" w:type="dxa"/>
              <w:bottom w:w="0" w:type="dxa"/>
              <w:right w:w="131" w:type="dxa"/>
            </w:tcMar>
            <w:vAlign w:val="center"/>
          </w:tcPr>
          <w:p>
            <w:pPr>
              <w:widowControl/>
              <w:spacing w:line="276" w:lineRule="auto"/>
              <w:jc w:val="left"/>
              <w:rPr>
                <w:rFonts w:hAnsi="宋体" w:cs="宋体"/>
                <w:szCs w:val="21"/>
              </w:rPr>
            </w:pPr>
            <w:r>
              <w:rPr>
                <w:rFonts w:hint="eastAsia" w:hAnsi="宋体" w:cs="宋体"/>
                <w:szCs w:val="21"/>
              </w:rPr>
              <w:t>技术创新的应用实施措施</w:t>
            </w:r>
          </w:p>
        </w:tc>
        <w:tc>
          <w:tcPr>
            <w:tcW w:w="1102" w:type="dxa"/>
            <w:vMerge w:val="restart"/>
            <w:tcBorders>
              <w:top w:val="nil"/>
              <w:left w:val="nil"/>
              <w:bottom w:val="single" w:color="auto" w:sz="8" w:space="0"/>
              <w:right w:val="single" w:color="auto" w:sz="8" w:space="0"/>
            </w:tcBorders>
            <w:shd w:val="clear" w:color="auto" w:fill="auto"/>
            <w:tcMar>
              <w:top w:w="0" w:type="dxa"/>
              <w:left w:w="131" w:type="dxa"/>
              <w:bottom w:w="0" w:type="dxa"/>
              <w:right w:w="131" w:type="dxa"/>
            </w:tcMar>
            <w:vAlign w:val="center"/>
          </w:tcPr>
          <w:p>
            <w:pPr>
              <w:widowControl/>
              <w:spacing w:line="276" w:lineRule="auto"/>
              <w:jc w:val="center"/>
              <w:rPr>
                <w:rFonts w:hAnsi="宋体" w:cs="宋体"/>
                <w:szCs w:val="21"/>
              </w:rPr>
            </w:pPr>
            <w:r>
              <w:rPr>
                <w:rFonts w:hAnsi="宋体" w:cs="宋体"/>
                <w:szCs w:val="21"/>
              </w:rPr>
              <w:t>1-2</w:t>
            </w:r>
            <w:r>
              <w:rPr>
                <w:rFonts w:hint="eastAsia" w:hAnsi="宋体" w:cs="宋体"/>
                <w:szCs w:val="21"/>
              </w:rPr>
              <w:t>分</w:t>
            </w:r>
          </w:p>
        </w:tc>
        <w:tc>
          <w:tcPr>
            <w:tcW w:w="5183" w:type="dxa"/>
            <w:tcBorders>
              <w:top w:val="nil"/>
              <w:left w:val="nil"/>
              <w:bottom w:val="single" w:color="auto" w:sz="8" w:space="0"/>
              <w:right w:val="single" w:color="auto" w:sz="8" w:space="0"/>
            </w:tcBorders>
            <w:shd w:val="clear" w:color="auto" w:fill="auto"/>
            <w:tcMar>
              <w:top w:w="0" w:type="dxa"/>
              <w:left w:w="131" w:type="dxa"/>
              <w:bottom w:w="0" w:type="dxa"/>
              <w:right w:w="131" w:type="dxa"/>
            </w:tcMar>
            <w:vAlign w:val="center"/>
          </w:tcPr>
          <w:p>
            <w:pPr>
              <w:widowControl/>
              <w:spacing w:line="276" w:lineRule="auto"/>
              <w:jc w:val="left"/>
              <w:rPr>
                <w:rFonts w:hAnsi="宋体" w:cs="宋体"/>
                <w:szCs w:val="21"/>
              </w:rPr>
            </w:pPr>
            <w:r>
              <w:rPr>
                <w:rFonts w:hint="eastAsia" w:hAnsi="宋体" w:cs="宋体"/>
                <w:szCs w:val="21"/>
              </w:rPr>
              <w:t>（</w:t>
            </w:r>
            <w:r>
              <w:rPr>
                <w:rFonts w:hAnsi="宋体" w:cs="宋体"/>
                <w:szCs w:val="21"/>
              </w:rPr>
              <w:t>1</w:t>
            </w:r>
            <w:r>
              <w:rPr>
                <w:rFonts w:hint="eastAsia" w:hAnsi="宋体" w:cs="宋体"/>
                <w:szCs w:val="21"/>
              </w:rPr>
              <w:t>）节能减排、（</w:t>
            </w:r>
            <w:r>
              <w:rPr>
                <w:rFonts w:hAnsi="宋体" w:cs="宋体"/>
                <w:szCs w:val="21"/>
              </w:rPr>
              <w:t>2</w:t>
            </w:r>
            <w:r>
              <w:rPr>
                <w:rFonts w:hint="eastAsia" w:hAnsi="宋体" w:cs="宋体"/>
                <w:szCs w:val="21"/>
              </w:rPr>
              <w:t>）绿色施工、（</w:t>
            </w:r>
            <w:r>
              <w:rPr>
                <w:rFonts w:hAnsi="宋体" w:cs="宋体"/>
                <w:szCs w:val="21"/>
              </w:rPr>
              <w:t>3</w:t>
            </w:r>
            <w:r>
              <w:rPr>
                <w:rFonts w:hint="eastAsia" w:hAnsi="宋体" w:cs="宋体"/>
                <w:szCs w:val="21"/>
              </w:rPr>
              <w:t>）工艺创新、（</w:t>
            </w:r>
            <w:r>
              <w:rPr>
                <w:rFonts w:hAnsi="宋体" w:cs="宋体"/>
                <w:szCs w:val="21"/>
              </w:rPr>
              <w:t>4</w:t>
            </w:r>
            <w:r>
              <w:rPr>
                <w:rFonts w:hint="eastAsia" w:hAnsi="宋体" w:cs="宋体"/>
                <w:szCs w:val="21"/>
              </w:rPr>
              <w:t>）装配式建筑等技术创新的应用实施措施符合工程情况，具有针对性、可行性、经济适用性。</w:t>
            </w:r>
          </w:p>
        </w:tc>
        <w:tc>
          <w:tcPr>
            <w:tcW w:w="1631" w:type="dxa"/>
            <w:tcBorders>
              <w:top w:val="nil"/>
              <w:left w:val="nil"/>
              <w:bottom w:val="single" w:color="auto" w:sz="8" w:space="0"/>
              <w:right w:val="single" w:color="auto" w:sz="8" w:space="0"/>
            </w:tcBorders>
            <w:shd w:val="clear" w:color="auto" w:fill="auto"/>
            <w:tcMar>
              <w:top w:w="0" w:type="dxa"/>
              <w:left w:w="131" w:type="dxa"/>
              <w:bottom w:w="0" w:type="dxa"/>
              <w:right w:w="131" w:type="dxa"/>
            </w:tcMar>
            <w:vAlign w:val="center"/>
          </w:tcPr>
          <w:p>
            <w:pPr>
              <w:widowControl/>
              <w:adjustRightInd w:val="0"/>
              <w:snapToGrid w:val="0"/>
              <w:spacing w:line="276" w:lineRule="auto"/>
              <w:jc w:val="center"/>
              <w:rPr>
                <w:rFonts w:hAnsi="宋体" w:cs="宋体"/>
                <w:szCs w:val="21"/>
              </w:rPr>
            </w:pPr>
            <w:r>
              <w:rPr>
                <w:rFonts w:hAnsi="宋体" w:cs="宋体"/>
                <w:szCs w:val="21"/>
              </w:rPr>
              <w:t>1.5</w:t>
            </w:r>
            <w:r>
              <w:rPr>
                <w:rFonts w:hint="eastAsia" w:hAnsi="宋体" w:cs="宋体"/>
                <w:szCs w:val="21"/>
              </w:rPr>
              <w:t>＜得分</w:t>
            </w:r>
            <w:r>
              <w:rPr>
                <w:rFonts w:hAnsi="宋体" w:cs="宋体"/>
                <w:szCs w:val="21"/>
              </w:rPr>
              <w:t>≤2</w:t>
            </w:r>
          </w:p>
        </w:tc>
      </w:tr>
      <w:tr>
        <w:tblPrEx>
          <w:tblCellMar>
            <w:top w:w="0" w:type="dxa"/>
            <w:left w:w="0" w:type="dxa"/>
            <w:bottom w:w="0" w:type="dxa"/>
            <w:right w:w="0" w:type="dxa"/>
          </w:tblCellMar>
        </w:tblPrEx>
        <w:trPr>
          <w:tblCellSpacing w:w="0" w:type="dxa"/>
          <w:jc w:val="center"/>
        </w:trPr>
        <w:tc>
          <w:tcPr>
            <w:tcW w:w="857" w:type="dxa"/>
            <w:vMerge w:val="continue"/>
            <w:tcBorders>
              <w:top w:val="nil"/>
              <w:left w:val="single" w:color="auto" w:sz="8" w:space="0"/>
              <w:bottom w:val="single" w:color="auto" w:sz="8" w:space="0"/>
              <w:right w:val="single" w:color="auto" w:sz="8" w:space="0"/>
            </w:tcBorders>
            <w:shd w:val="clear" w:color="auto" w:fill="FAFAFA"/>
            <w:vAlign w:val="center"/>
          </w:tcPr>
          <w:p>
            <w:pPr>
              <w:widowControl/>
              <w:spacing w:line="276" w:lineRule="auto"/>
              <w:jc w:val="left"/>
              <w:rPr>
                <w:rFonts w:hAnsi="宋体" w:cs="宋体"/>
                <w:szCs w:val="21"/>
              </w:rPr>
            </w:pPr>
          </w:p>
        </w:tc>
        <w:tc>
          <w:tcPr>
            <w:tcW w:w="1397" w:type="dxa"/>
            <w:vMerge w:val="continue"/>
            <w:tcBorders>
              <w:top w:val="nil"/>
              <w:left w:val="nil"/>
              <w:bottom w:val="single" w:color="auto" w:sz="8" w:space="0"/>
              <w:right w:val="single" w:color="auto" w:sz="8" w:space="0"/>
            </w:tcBorders>
            <w:shd w:val="clear" w:color="auto" w:fill="FAFAFA"/>
            <w:vAlign w:val="center"/>
          </w:tcPr>
          <w:p>
            <w:pPr>
              <w:widowControl/>
              <w:spacing w:line="276" w:lineRule="auto"/>
              <w:jc w:val="left"/>
              <w:rPr>
                <w:rFonts w:hAnsi="宋体" w:cs="宋体"/>
                <w:szCs w:val="21"/>
              </w:rPr>
            </w:pPr>
          </w:p>
        </w:tc>
        <w:tc>
          <w:tcPr>
            <w:tcW w:w="1102" w:type="dxa"/>
            <w:vMerge w:val="continue"/>
            <w:tcBorders>
              <w:top w:val="nil"/>
              <w:left w:val="nil"/>
              <w:bottom w:val="single" w:color="auto" w:sz="8" w:space="0"/>
              <w:right w:val="single" w:color="auto" w:sz="8" w:space="0"/>
            </w:tcBorders>
            <w:shd w:val="clear" w:color="auto" w:fill="FAFAFA"/>
            <w:vAlign w:val="center"/>
          </w:tcPr>
          <w:p>
            <w:pPr>
              <w:widowControl/>
              <w:spacing w:line="276" w:lineRule="auto"/>
              <w:jc w:val="left"/>
              <w:rPr>
                <w:rFonts w:hAnsi="宋体" w:cs="宋体"/>
                <w:szCs w:val="21"/>
              </w:rPr>
            </w:pPr>
          </w:p>
        </w:tc>
        <w:tc>
          <w:tcPr>
            <w:tcW w:w="5183" w:type="dxa"/>
            <w:tcBorders>
              <w:top w:val="nil"/>
              <w:left w:val="nil"/>
              <w:bottom w:val="single" w:color="auto" w:sz="8" w:space="0"/>
              <w:right w:val="single" w:color="auto" w:sz="8" w:space="0"/>
            </w:tcBorders>
            <w:shd w:val="clear" w:color="auto" w:fill="auto"/>
            <w:tcMar>
              <w:top w:w="0" w:type="dxa"/>
              <w:left w:w="131" w:type="dxa"/>
              <w:bottom w:w="0" w:type="dxa"/>
              <w:right w:w="131" w:type="dxa"/>
            </w:tcMar>
            <w:vAlign w:val="center"/>
          </w:tcPr>
          <w:p>
            <w:pPr>
              <w:widowControl/>
              <w:spacing w:line="276" w:lineRule="auto"/>
              <w:jc w:val="left"/>
              <w:rPr>
                <w:rFonts w:hAnsi="宋体" w:cs="宋体"/>
                <w:szCs w:val="21"/>
              </w:rPr>
            </w:pPr>
            <w:r>
              <w:rPr>
                <w:rFonts w:hint="eastAsia" w:hAnsi="宋体" w:cs="宋体"/>
                <w:spacing w:val="-19"/>
                <w:szCs w:val="21"/>
              </w:rPr>
              <w:t>（</w:t>
            </w:r>
            <w:r>
              <w:rPr>
                <w:rFonts w:hAnsi="宋体" w:cs="宋体"/>
                <w:szCs w:val="21"/>
              </w:rPr>
              <w:t>1</w:t>
            </w:r>
            <w:r>
              <w:rPr>
                <w:rFonts w:hint="eastAsia" w:hAnsi="宋体" w:cs="宋体"/>
                <w:szCs w:val="21"/>
              </w:rPr>
              <w:t>）节能减排、（</w:t>
            </w:r>
            <w:r>
              <w:rPr>
                <w:rFonts w:hAnsi="宋体" w:cs="宋体"/>
                <w:szCs w:val="21"/>
              </w:rPr>
              <w:t>2</w:t>
            </w:r>
            <w:r>
              <w:rPr>
                <w:rFonts w:hint="eastAsia" w:hAnsi="宋体" w:cs="宋体"/>
                <w:szCs w:val="21"/>
              </w:rPr>
              <w:t>）绿色施工、（</w:t>
            </w:r>
            <w:r>
              <w:rPr>
                <w:rFonts w:hAnsi="宋体" w:cs="宋体"/>
                <w:szCs w:val="21"/>
              </w:rPr>
              <w:t>3</w:t>
            </w:r>
            <w:r>
              <w:rPr>
                <w:rFonts w:hint="eastAsia" w:hAnsi="宋体" w:cs="宋体"/>
                <w:szCs w:val="21"/>
              </w:rPr>
              <w:t>）工艺创新、（</w:t>
            </w:r>
            <w:r>
              <w:rPr>
                <w:rFonts w:hAnsi="宋体" w:cs="宋体"/>
                <w:szCs w:val="21"/>
              </w:rPr>
              <w:t>4</w:t>
            </w:r>
            <w:r>
              <w:rPr>
                <w:rFonts w:hint="eastAsia" w:hAnsi="宋体" w:cs="宋体"/>
                <w:szCs w:val="21"/>
              </w:rPr>
              <w:t>）装配式建筑等技术创新的应用实施措施基本符合工程情况，具有针对性。</w:t>
            </w:r>
          </w:p>
        </w:tc>
        <w:tc>
          <w:tcPr>
            <w:tcW w:w="1631" w:type="dxa"/>
            <w:tcBorders>
              <w:top w:val="nil"/>
              <w:left w:val="nil"/>
              <w:bottom w:val="single" w:color="auto" w:sz="8" w:space="0"/>
              <w:right w:val="single" w:color="auto" w:sz="8" w:space="0"/>
            </w:tcBorders>
            <w:shd w:val="clear" w:color="auto" w:fill="auto"/>
            <w:tcMar>
              <w:top w:w="0" w:type="dxa"/>
              <w:left w:w="131" w:type="dxa"/>
              <w:bottom w:w="0" w:type="dxa"/>
              <w:right w:w="131" w:type="dxa"/>
            </w:tcMar>
            <w:vAlign w:val="center"/>
          </w:tcPr>
          <w:p>
            <w:pPr>
              <w:widowControl/>
              <w:adjustRightInd w:val="0"/>
              <w:snapToGrid w:val="0"/>
              <w:spacing w:line="276" w:lineRule="auto"/>
              <w:jc w:val="center"/>
              <w:rPr>
                <w:rFonts w:hAnsi="宋体" w:cs="宋体"/>
                <w:szCs w:val="21"/>
              </w:rPr>
            </w:pPr>
            <w:r>
              <w:rPr>
                <w:rFonts w:hAnsi="宋体" w:cs="宋体"/>
                <w:szCs w:val="21"/>
              </w:rPr>
              <w:t>1≤</w:t>
            </w:r>
            <w:r>
              <w:rPr>
                <w:rFonts w:hint="eastAsia" w:hAnsi="宋体" w:cs="宋体"/>
                <w:szCs w:val="21"/>
              </w:rPr>
              <w:t>得分</w:t>
            </w:r>
            <w:r>
              <w:rPr>
                <w:rFonts w:hAnsi="宋体" w:cs="宋体"/>
                <w:szCs w:val="21"/>
              </w:rPr>
              <w:t>≤1.5</w:t>
            </w:r>
          </w:p>
        </w:tc>
      </w:tr>
      <w:tr>
        <w:tblPrEx>
          <w:tblCellMar>
            <w:top w:w="0" w:type="dxa"/>
            <w:left w:w="0" w:type="dxa"/>
            <w:bottom w:w="0" w:type="dxa"/>
            <w:right w:w="0" w:type="dxa"/>
          </w:tblCellMar>
        </w:tblPrEx>
        <w:trPr>
          <w:tblCellSpacing w:w="0" w:type="dxa"/>
          <w:jc w:val="center"/>
        </w:trPr>
        <w:tc>
          <w:tcPr>
            <w:tcW w:w="857" w:type="dxa"/>
            <w:vMerge w:val="restart"/>
            <w:tcBorders>
              <w:top w:val="nil"/>
              <w:left w:val="single" w:color="auto" w:sz="8" w:space="0"/>
              <w:bottom w:val="single" w:color="auto" w:sz="8" w:space="0"/>
              <w:right w:val="single" w:color="auto" w:sz="8" w:space="0"/>
            </w:tcBorders>
            <w:shd w:val="clear" w:color="auto" w:fill="auto"/>
            <w:tcMar>
              <w:top w:w="0" w:type="dxa"/>
              <w:left w:w="131" w:type="dxa"/>
              <w:bottom w:w="0" w:type="dxa"/>
              <w:right w:w="131" w:type="dxa"/>
            </w:tcMar>
            <w:vAlign w:val="center"/>
          </w:tcPr>
          <w:p>
            <w:pPr>
              <w:widowControl/>
              <w:spacing w:line="276" w:lineRule="auto"/>
              <w:jc w:val="center"/>
              <w:rPr>
                <w:rFonts w:hAnsi="宋体" w:cs="宋体"/>
                <w:szCs w:val="21"/>
              </w:rPr>
            </w:pPr>
            <w:r>
              <w:rPr>
                <w:rFonts w:hAnsi="宋体" w:cs="宋体"/>
                <w:szCs w:val="21"/>
              </w:rPr>
              <w:t>11</w:t>
            </w:r>
          </w:p>
        </w:tc>
        <w:tc>
          <w:tcPr>
            <w:tcW w:w="1397" w:type="dxa"/>
            <w:vMerge w:val="restart"/>
            <w:tcBorders>
              <w:top w:val="nil"/>
              <w:left w:val="nil"/>
              <w:bottom w:val="single" w:color="auto" w:sz="8" w:space="0"/>
              <w:right w:val="single" w:color="auto" w:sz="8" w:space="0"/>
            </w:tcBorders>
            <w:shd w:val="clear" w:color="auto" w:fill="auto"/>
            <w:tcMar>
              <w:top w:w="0" w:type="dxa"/>
              <w:left w:w="131" w:type="dxa"/>
              <w:bottom w:w="0" w:type="dxa"/>
              <w:right w:w="131" w:type="dxa"/>
            </w:tcMar>
            <w:vAlign w:val="center"/>
          </w:tcPr>
          <w:p>
            <w:pPr>
              <w:widowControl/>
              <w:spacing w:line="276" w:lineRule="auto"/>
              <w:jc w:val="center"/>
              <w:rPr>
                <w:rFonts w:hAnsi="宋体" w:cs="宋体"/>
                <w:szCs w:val="21"/>
              </w:rPr>
            </w:pPr>
            <w:r>
              <w:rPr>
                <w:rFonts w:hint="eastAsia" w:hAnsi="宋体" w:cs="宋体"/>
                <w:szCs w:val="21"/>
              </w:rPr>
              <w:t>采用新工艺、新技术、新设备、新材料、</w:t>
            </w:r>
            <w:r>
              <w:rPr>
                <w:rFonts w:hAnsi="宋体" w:cs="宋体"/>
                <w:szCs w:val="21"/>
              </w:rPr>
              <w:t>BIM</w:t>
            </w:r>
            <w:r>
              <w:rPr>
                <w:rFonts w:hint="eastAsia" w:hAnsi="宋体" w:cs="宋体"/>
                <w:szCs w:val="21"/>
              </w:rPr>
              <w:t>等的程度</w:t>
            </w:r>
          </w:p>
        </w:tc>
        <w:tc>
          <w:tcPr>
            <w:tcW w:w="1102" w:type="dxa"/>
            <w:vMerge w:val="restart"/>
            <w:tcBorders>
              <w:top w:val="nil"/>
              <w:left w:val="nil"/>
              <w:bottom w:val="single" w:color="auto" w:sz="8" w:space="0"/>
              <w:right w:val="single" w:color="auto" w:sz="8" w:space="0"/>
            </w:tcBorders>
            <w:shd w:val="clear" w:color="auto" w:fill="auto"/>
            <w:tcMar>
              <w:top w:w="0" w:type="dxa"/>
              <w:left w:w="131" w:type="dxa"/>
              <w:bottom w:w="0" w:type="dxa"/>
              <w:right w:w="131" w:type="dxa"/>
            </w:tcMar>
            <w:vAlign w:val="center"/>
          </w:tcPr>
          <w:p>
            <w:pPr>
              <w:widowControl/>
              <w:spacing w:line="276" w:lineRule="auto"/>
              <w:jc w:val="center"/>
              <w:rPr>
                <w:rFonts w:hAnsi="宋体" w:cs="宋体"/>
                <w:szCs w:val="21"/>
              </w:rPr>
            </w:pPr>
            <w:r>
              <w:rPr>
                <w:rFonts w:hAnsi="宋体" w:cs="宋体"/>
                <w:szCs w:val="21"/>
              </w:rPr>
              <w:t>1-2</w:t>
            </w:r>
            <w:r>
              <w:rPr>
                <w:rFonts w:hint="eastAsia" w:hAnsi="宋体" w:cs="宋体"/>
                <w:szCs w:val="21"/>
              </w:rPr>
              <w:t>分</w:t>
            </w:r>
          </w:p>
        </w:tc>
        <w:tc>
          <w:tcPr>
            <w:tcW w:w="5183" w:type="dxa"/>
            <w:tcBorders>
              <w:top w:val="nil"/>
              <w:left w:val="nil"/>
              <w:bottom w:val="single" w:color="auto" w:sz="8" w:space="0"/>
              <w:right w:val="single" w:color="auto" w:sz="8" w:space="0"/>
            </w:tcBorders>
            <w:shd w:val="clear" w:color="auto" w:fill="auto"/>
            <w:tcMar>
              <w:top w:w="0" w:type="dxa"/>
              <w:left w:w="131" w:type="dxa"/>
              <w:bottom w:w="0" w:type="dxa"/>
              <w:right w:w="131" w:type="dxa"/>
            </w:tcMar>
            <w:vAlign w:val="center"/>
          </w:tcPr>
          <w:p>
            <w:pPr>
              <w:widowControl/>
              <w:spacing w:line="276" w:lineRule="auto"/>
              <w:jc w:val="left"/>
              <w:rPr>
                <w:rFonts w:hAnsi="宋体" w:cs="宋体"/>
                <w:szCs w:val="21"/>
              </w:rPr>
            </w:pPr>
            <w:r>
              <w:rPr>
                <w:rFonts w:hint="eastAsia" w:hAnsi="宋体" w:cs="宋体"/>
                <w:szCs w:val="21"/>
              </w:rPr>
              <w:t>采用新工艺、新技术、新设备、新材料、</w:t>
            </w:r>
            <w:r>
              <w:rPr>
                <w:rFonts w:hAnsi="宋体" w:cs="宋体"/>
                <w:szCs w:val="21"/>
              </w:rPr>
              <w:t>BIM</w:t>
            </w:r>
            <w:r>
              <w:rPr>
                <w:rFonts w:hint="eastAsia" w:hAnsi="宋体" w:cs="宋体"/>
                <w:szCs w:val="21"/>
              </w:rPr>
              <w:t>等的程度满足设计要求，符合施工需要和相应技术标准等规定，经济适用。</w:t>
            </w:r>
          </w:p>
        </w:tc>
        <w:tc>
          <w:tcPr>
            <w:tcW w:w="1631" w:type="dxa"/>
            <w:tcBorders>
              <w:top w:val="nil"/>
              <w:left w:val="nil"/>
              <w:bottom w:val="single" w:color="auto" w:sz="8" w:space="0"/>
              <w:right w:val="single" w:color="auto" w:sz="8" w:space="0"/>
            </w:tcBorders>
            <w:shd w:val="clear" w:color="auto" w:fill="auto"/>
            <w:tcMar>
              <w:top w:w="0" w:type="dxa"/>
              <w:left w:w="131" w:type="dxa"/>
              <w:bottom w:w="0" w:type="dxa"/>
              <w:right w:w="131" w:type="dxa"/>
            </w:tcMar>
            <w:vAlign w:val="center"/>
          </w:tcPr>
          <w:p>
            <w:pPr>
              <w:widowControl/>
              <w:adjustRightInd w:val="0"/>
              <w:snapToGrid w:val="0"/>
              <w:spacing w:line="276" w:lineRule="auto"/>
              <w:jc w:val="center"/>
              <w:rPr>
                <w:rFonts w:hAnsi="宋体" w:cs="宋体"/>
                <w:szCs w:val="21"/>
              </w:rPr>
            </w:pPr>
            <w:r>
              <w:rPr>
                <w:rFonts w:hAnsi="宋体" w:cs="宋体"/>
                <w:szCs w:val="21"/>
              </w:rPr>
              <w:t>1.5≤</w:t>
            </w:r>
            <w:r>
              <w:rPr>
                <w:rFonts w:hint="eastAsia" w:hAnsi="宋体" w:cs="宋体"/>
                <w:szCs w:val="21"/>
              </w:rPr>
              <w:t>得分</w:t>
            </w:r>
            <w:r>
              <w:rPr>
                <w:rFonts w:hAnsi="宋体" w:cs="宋体"/>
                <w:szCs w:val="21"/>
              </w:rPr>
              <w:t>≤2</w:t>
            </w:r>
          </w:p>
        </w:tc>
      </w:tr>
      <w:tr>
        <w:tblPrEx>
          <w:tblCellMar>
            <w:top w:w="0" w:type="dxa"/>
            <w:left w:w="0" w:type="dxa"/>
            <w:bottom w:w="0" w:type="dxa"/>
            <w:right w:w="0" w:type="dxa"/>
          </w:tblCellMar>
        </w:tblPrEx>
        <w:trPr>
          <w:tblCellSpacing w:w="0" w:type="dxa"/>
          <w:jc w:val="center"/>
        </w:trPr>
        <w:tc>
          <w:tcPr>
            <w:tcW w:w="857" w:type="dxa"/>
            <w:vMerge w:val="continue"/>
            <w:tcBorders>
              <w:top w:val="nil"/>
              <w:left w:val="single" w:color="auto" w:sz="8" w:space="0"/>
              <w:bottom w:val="single" w:color="auto" w:sz="8" w:space="0"/>
              <w:right w:val="single" w:color="auto" w:sz="8" w:space="0"/>
            </w:tcBorders>
            <w:shd w:val="clear" w:color="auto" w:fill="FAFAFA"/>
            <w:vAlign w:val="center"/>
          </w:tcPr>
          <w:p>
            <w:pPr>
              <w:widowControl/>
              <w:spacing w:line="276" w:lineRule="auto"/>
              <w:jc w:val="left"/>
              <w:rPr>
                <w:rFonts w:hAnsi="宋体" w:cs="宋体"/>
                <w:szCs w:val="21"/>
              </w:rPr>
            </w:pPr>
          </w:p>
        </w:tc>
        <w:tc>
          <w:tcPr>
            <w:tcW w:w="1397" w:type="dxa"/>
            <w:vMerge w:val="continue"/>
            <w:tcBorders>
              <w:top w:val="nil"/>
              <w:left w:val="nil"/>
              <w:bottom w:val="single" w:color="auto" w:sz="8" w:space="0"/>
              <w:right w:val="single" w:color="auto" w:sz="8" w:space="0"/>
            </w:tcBorders>
            <w:shd w:val="clear" w:color="auto" w:fill="FAFAFA"/>
            <w:vAlign w:val="center"/>
          </w:tcPr>
          <w:p>
            <w:pPr>
              <w:widowControl/>
              <w:spacing w:line="276" w:lineRule="auto"/>
              <w:jc w:val="left"/>
              <w:rPr>
                <w:rFonts w:hAnsi="宋体" w:cs="宋体"/>
                <w:szCs w:val="21"/>
              </w:rPr>
            </w:pPr>
          </w:p>
        </w:tc>
        <w:tc>
          <w:tcPr>
            <w:tcW w:w="1102" w:type="dxa"/>
            <w:vMerge w:val="continue"/>
            <w:tcBorders>
              <w:top w:val="nil"/>
              <w:left w:val="nil"/>
              <w:bottom w:val="single" w:color="auto" w:sz="8" w:space="0"/>
              <w:right w:val="single" w:color="auto" w:sz="8" w:space="0"/>
            </w:tcBorders>
            <w:shd w:val="clear" w:color="auto" w:fill="FAFAFA"/>
            <w:vAlign w:val="center"/>
          </w:tcPr>
          <w:p>
            <w:pPr>
              <w:widowControl/>
              <w:spacing w:line="276" w:lineRule="auto"/>
              <w:jc w:val="left"/>
              <w:rPr>
                <w:rFonts w:hAnsi="宋体" w:cs="宋体"/>
                <w:szCs w:val="21"/>
              </w:rPr>
            </w:pPr>
          </w:p>
        </w:tc>
        <w:tc>
          <w:tcPr>
            <w:tcW w:w="5183" w:type="dxa"/>
            <w:tcBorders>
              <w:top w:val="nil"/>
              <w:left w:val="nil"/>
              <w:bottom w:val="single" w:color="auto" w:sz="8" w:space="0"/>
              <w:right w:val="single" w:color="auto" w:sz="8" w:space="0"/>
            </w:tcBorders>
            <w:shd w:val="clear" w:color="auto" w:fill="auto"/>
            <w:tcMar>
              <w:top w:w="0" w:type="dxa"/>
              <w:left w:w="131" w:type="dxa"/>
              <w:bottom w:w="0" w:type="dxa"/>
              <w:right w:w="131" w:type="dxa"/>
            </w:tcMar>
            <w:vAlign w:val="center"/>
          </w:tcPr>
          <w:p>
            <w:pPr>
              <w:widowControl/>
              <w:spacing w:line="276" w:lineRule="auto"/>
              <w:jc w:val="left"/>
              <w:rPr>
                <w:rFonts w:hAnsi="宋体" w:cs="宋体"/>
                <w:szCs w:val="21"/>
              </w:rPr>
            </w:pPr>
            <w:r>
              <w:rPr>
                <w:rFonts w:hint="eastAsia" w:hAnsi="宋体" w:cs="宋体"/>
                <w:szCs w:val="21"/>
              </w:rPr>
              <w:t>采用新工艺、新技术、新设备、新材料、</w:t>
            </w:r>
            <w:r>
              <w:rPr>
                <w:rFonts w:hAnsi="宋体" w:cs="宋体"/>
                <w:szCs w:val="21"/>
              </w:rPr>
              <w:t>BIM</w:t>
            </w:r>
            <w:r>
              <w:rPr>
                <w:rFonts w:hint="eastAsia" w:hAnsi="宋体" w:cs="宋体"/>
                <w:szCs w:val="21"/>
              </w:rPr>
              <w:t>等的程度满足设计要求，基本符合施工要求和相应技术标准等规定。</w:t>
            </w:r>
          </w:p>
        </w:tc>
        <w:tc>
          <w:tcPr>
            <w:tcW w:w="1631" w:type="dxa"/>
            <w:tcBorders>
              <w:top w:val="nil"/>
              <w:left w:val="nil"/>
              <w:bottom w:val="single" w:color="auto" w:sz="8" w:space="0"/>
              <w:right w:val="single" w:color="auto" w:sz="8" w:space="0"/>
            </w:tcBorders>
            <w:shd w:val="clear" w:color="auto" w:fill="auto"/>
            <w:tcMar>
              <w:top w:w="0" w:type="dxa"/>
              <w:left w:w="131" w:type="dxa"/>
              <w:bottom w:w="0" w:type="dxa"/>
              <w:right w:w="131" w:type="dxa"/>
            </w:tcMar>
            <w:vAlign w:val="center"/>
          </w:tcPr>
          <w:p>
            <w:pPr>
              <w:widowControl/>
              <w:adjustRightInd w:val="0"/>
              <w:snapToGrid w:val="0"/>
              <w:spacing w:line="276" w:lineRule="auto"/>
              <w:jc w:val="center"/>
              <w:rPr>
                <w:rFonts w:hAnsi="宋体" w:cs="宋体"/>
                <w:szCs w:val="21"/>
              </w:rPr>
            </w:pPr>
            <w:r>
              <w:rPr>
                <w:rFonts w:hAnsi="宋体" w:cs="宋体"/>
                <w:szCs w:val="21"/>
              </w:rPr>
              <w:t>1</w:t>
            </w:r>
            <w:r>
              <w:rPr>
                <w:rFonts w:hint="eastAsia" w:hAnsi="宋体" w:cs="宋体"/>
                <w:szCs w:val="21"/>
              </w:rPr>
              <w:t>＜得分</w:t>
            </w:r>
            <w:r>
              <w:rPr>
                <w:rFonts w:hAnsi="宋体" w:cs="宋体"/>
                <w:szCs w:val="21"/>
              </w:rPr>
              <w:t>≤1.5</w:t>
            </w:r>
          </w:p>
        </w:tc>
      </w:tr>
      <w:tr>
        <w:tblPrEx>
          <w:tblCellMar>
            <w:top w:w="0" w:type="dxa"/>
            <w:left w:w="0" w:type="dxa"/>
            <w:bottom w:w="0" w:type="dxa"/>
            <w:right w:w="0" w:type="dxa"/>
          </w:tblCellMar>
        </w:tblPrEx>
        <w:trPr>
          <w:tblCellSpacing w:w="0" w:type="dxa"/>
          <w:jc w:val="center"/>
        </w:trPr>
        <w:tc>
          <w:tcPr>
            <w:tcW w:w="857" w:type="dxa"/>
            <w:vMerge w:val="restart"/>
            <w:tcBorders>
              <w:top w:val="nil"/>
              <w:left w:val="single" w:color="auto" w:sz="8" w:space="0"/>
              <w:bottom w:val="single" w:color="auto" w:sz="8" w:space="0"/>
              <w:right w:val="single" w:color="auto" w:sz="8" w:space="0"/>
            </w:tcBorders>
            <w:shd w:val="clear" w:color="auto" w:fill="auto"/>
            <w:tcMar>
              <w:top w:w="0" w:type="dxa"/>
              <w:left w:w="131" w:type="dxa"/>
              <w:bottom w:w="0" w:type="dxa"/>
              <w:right w:w="131" w:type="dxa"/>
            </w:tcMar>
            <w:vAlign w:val="center"/>
          </w:tcPr>
          <w:p>
            <w:pPr>
              <w:widowControl/>
              <w:spacing w:line="276" w:lineRule="auto"/>
              <w:jc w:val="center"/>
              <w:rPr>
                <w:rFonts w:hAnsi="宋体" w:cs="宋体"/>
                <w:szCs w:val="21"/>
              </w:rPr>
            </w:pPr>
            <w:r>
              <w:rPr>
                <w:rFonts w:hAnsi="宋体" w:cs="宋体"/>
                <w:szCs w:val="21"/>
              </w:rPr>
              <w:t>12</w:t>
            </w:r>
          </w:p>
        </w:tc>
        <w:tc>
          <w:tcPr>
            <w:tcW w:w="1397" w:type="dxa"/>
            <w:vMerge w:val="restart"/>
            <w:tcBorders>
              <w:top w:val="nil"/>
              <w:left w:val="nil"/>
              <w:bottom w:val="single" w:color="auto" w:sz="8" w:space="0"/>
              <w:right w:val="single" w:color="auto" w:sz="8" w:space="0"/>
            </w:tcBorders>
            <w:shd w:val="clear" w:color="auto" w:fill="auto"/>
            <w:tcMar>
              <w:top w:w="0" w:type="dxa"/>
              <w:left w:w="131" w:type="dxa"/>
              <w:bottom w:w="0" w:type="dxa"/>
              <w:right w:w="131" w:type="dxa"/>
            </w:tcMar>
            <w:vAlign w:val="center"/>
          </w:tcPr>
          <w:p>
            <w:pPr>
              <w:widowControl/>
              <w:spacing w:line="276" w:lineRule="auto"/>
              <w:jc w:val="center"/>
              <w:rPr>
                <w:rFonts w:hAnsi="宋体" w:cs="宋体"/>
                <w:szCs w:val="21"/>
              </w:rPr>
            </w:pPr>
            <w:r>
              <w:rPr>
                <w:rFonts w:hint="eastAsia" w:hAnsi="宋体" w:cs="宋体"/>
                <w:szCs w:val="21"/>
              </w:rPr>
              <w:t>施工现场实施信息化监控和数据处理</w:t>
            </w:r>
          </w:p>
        </w:tc>
        <w:tc>
          <w:tcPr>
            <w:tcW w:w="1102" w:type="dxa"/>
            <w:vMerge w:val="restart"/>
            <w:tcBorders>
              <w:top w:val="nil"/>
              <w:left w:val="nil"/>
              <w:bottom w:val="single" w:color="auto" w:sz="8" w:space="0"/>
              <w:right w:val="single" w:color="auto" w:sz="8" w:space="0"/>
            </w:tcBorders>
            <w:shd w:val="clear" w:color="auto" w:fill="auto"/>
            <w:tcMar>
              <w:top w:w="0" w:type="dxa"/>
              <w:left w:w="131" w:type="dxa"/>
              <w:bottom w:w="0" w:type="dxa"/>
              <w:right w:w="131" w:type="dxa"/>
            </w:tcMar>
            <w:vAlign w:val="center"/>
          </w:tcPr>
          <w:p>
            <w:pPr>
              <w:widowControl/>
              <w:spacing w:line="276" w:lineRule="auto"/>
              <w:jc w:val="center"/>
              <w:rPr>
                <w:rFonts w:hAnsi="宋体" w:cs="宋体"/>
                <w:szCs w:val="21"/>
              </w:rPr>
            </w:pPr>
            <w:r>
              <w:rPr>
                <w:rFonts w:hAnsi="宋体" w:cs="宋体"/>
                <w:szCs w:val="21"/>
              </w:rPr>
              <w:t>0.5-1.5</w:t>
            </w:r>
            <w:r>
              <w:rPr>
                <w:rFonts w:hint="eastAsia" w:hAnsi="宋体" w:cs="宋体"/>
                <w:szCs w:val="21"/>
              </w:rPr>
              <w:t>分</w:t>
            </w:r>
          </w:p>
        </w:tc>
        <w:tc>
          <w:tcPr>
            <w:tcW w:w="5183" w:type="dxa"/>
            <w:tcBorders>
              <w:top w:val="nil"/>
              <w:left w:val="nil"/>
              <w:bottom w:val="single" w:color="auto" w:sz="8" w:space="0"/>
              <w:right w:val="single" w:color="auto" w:sz="8" w:space="0"/>
            </w:tcBorders>
            <w:shd w:val="clear" w:color="auto" w:fill="auto"/>
            <w:tcMar>
              <w:top w:w="0" w:type="dxa"/>
              <w:left w:w="131" w:type="dxa"/>
              <w:bottom w:w="0" w:type="dxa"/>
              <w:right w:w="131" w:type="dxa"/>
            </w:tcMar>
            <w:vAlign w:val="center"/>
          </w:tcPr>
          <w:p>
            <w:pPr>
              <w:widowControl/>
              <w:spacing w:line="276" w:lineRule="auto"/>
              <w:jc w:val="left"/>
              <w:rPr>
                <w:rFonts w:hAnsi="宋体" w:cs="宋体"/>
                <w:szCs w:val="21"/>
              </w:rPr>
            </w:pPr>
            <w:r>
              <w:rPr>
                <w:rFonts w:hint="eastAsia" w:hAnsi="宋体" w:cs="宋体"/>
                <w:szCs w:val="21"/>
              </w:rPr>
              <w:t>施工现场实施信息化监控和数据处理系统布置合理，满足需要。</w:t>
            </w:r>
          </w:p>
        </w:tc>
        <w:tc>
          <w:tcPr>
            <w:tcW w:w="1631" w:type="dxa"/>
            <w:tcBorders>
              <w:top w:val="nil"/>
              <w:left w:val="nil"/>
              <w:bottom w:val="single" w:color="auto" w:sz="8" w:space="0"/>
              <w:right w:val="single" w:color="auto" w:sz="8" w:space="0"/>
            </w:tcBorders>
            <w:shd w:val="clear" w:color="auto" w:fill="auto"/>
            <w:tcMar>
              <w:top w:w="0" w:type="dxa"/>
              <w:left w:w="131" w:type="dxa"/>
              <w:bottom w:w="0" w:type="dxa"/>
              <w:right w:w="131" w:type="dxa"/>
            </w:tcMar>
            <w:vAlign w:val="center"/>
          </w:tcPr>
          <w:p>
            <w:pPr>
              <w:widowControl/>
              <w:adjustRightInd w:val="0"/>
              <w:snapToGrid w:val="0"/>
              <w:spacing w:line="276" w:lineRule="auto"/>
              <w:jc w:val="center"/>
              <w:rPr>
                <w:rFonts w:hAnsi="宋体" w:cs="宋体"/>
                <w:szCs w:val="21"/>
              </w:rPr>
            </w:pPr>
            <w:r>
              <w:rPr>
                <w:rFonts w:hAnsi="宋体" w:cs="宋体"/>
                <w:szCs w:val="21"/>
              </w:rPr>
              <w:t>1≤</w:t>
            </w:r>
            <w:r>
              <w:rPr>
                <w:rFonts w:hint="eastAsia" w:hAnsi="宋体" w:cs="宋体"/>
                <w:szCs w:val="21"/>
              </w:rPr>
              <w:t>得分</w:t>
            </w:r>
            <w:r>
              <w:rPr>
                <w:rFonts w:hAnsi="宋体" w:cs="宋体"/>
                <w:szCs w:val="21"/>
              </w:rPr>
              <w:t>≤1.5</w:t>
            </w:r>
          </w:p>
        </w:tc>
      </w:tr>
      <w:tr>
        <w:tblPrEx>
          <w:tblCellMar>
            <w:top w:w="0" w:type="dxa"/>
            <w:left w:w="0" w:type="dxa"/>
            <w:bottom w:w="0" w:type="dxa"/>
            <w:right w:w="0" w:type="dxa"/>
          </w:tblCellMar>
        </w:tblPrEx>
        <w:trPr>
          <w:tblCellSpacing w:w="0" w:type="dxa"/>
          <w:jc w:val="center"/>
        </w:trPr>
        <w:tc>
          <w:tcPr>
            <w:tcW w:w="857" w:type="dxa"/>
            <w:vMerge w:val="continue"/>
            <w:tcBorders>
              <w:top w:val="nil"/>
              <w:left w:val="single" w:color="auto" w:sz="8" w:space="0"/>
              <w:bottom w:val="single" w:color="auto" w:sz="8" w:space="0"/>
              <w:right w:val="single" w:color="auto" w:sz="8" w:space="0"/>
            </w:tcBorders>
            <w:shd w:val="clear" w:color="auto" w:fill="FAFAFA"/>
            <w:vAlign w:val="center"/>
          </w:tcPr>
          <w:p>
            <w:pPr>
              <w:widowControl/>
              <w:spacing w:line="276" w:lineRule="auto"/>
              <w:jc w:val="left"/>
              <w:rPr>
                <w:rFonts w:hAnsi="宋体" w:cs="宋体"/>
                <w:szCs w:val="21"/>
              </w:rPr>
            </w:pPr>
          </w:p>
        </w:tc>
        <w:tc>
          <w:tcPr>
            <w:tcW w:w="1397" w:type="dxa"/>
            <w:vMerge w:val="continue"/>
            <w:tcBorders>
              <w:top w:val="nil"/>
              <w:left w:val="nil"/>
              <w:bottom w:val="single" w:color="auto" w:sz="8" w:space="0"/>
              <w:right w:val="single" w:color="auto" w:sz="8" w:space="0"/>
            </w:tcBorders>
            <w:shd w:val="clear" w:color="auto" w:fill="FAFAFA"/>
            <w:vAlign w:val="center"/>
          </w:tcPr>
          <w:p>
            <w:pPr>
              <w:widowControl/>
              <w:spacing w:line="276" w:lineRule="auto"/>
              <w:jc w:val="left"/>
              <w:rPr>
                <w:rFonts w:hAnsi="宋体" w:cs="宋体"/>
                <w:szCs w:val="21"/>
              </w:rPr>
            </w:pPr>
          </w:p>
        </w:tc>
        <w:tc>
          <w:tcPr>
            <w:tcW w:w="1102" w:type="dxa"/>
            <w:vMerge w:val="continue"/>
            <w:tcBorders>
              <w:top w:val="nil"/>
              <w:left w:val="nil"/>
              <w:bottom w:val="single" w:color="auto" w:sz="8" w:space="0"/>
              <w:right w:val="single" w:color="auto" w:sz="8" w:space="0"/>
            </w:tcBorders>
            <w:shd w:val="clear" w:color="auto" w:fill="FAFAFA"/>
            <w:vAlign w:val="center"/>
          </w:tcPr>
          <w:p>
            <w:pPr>
              <w:widowControl/>
              <w:spacing w:line="276" w:lineRule="auto"/>
              <w:jc w:val="left"/>
              <w:rPr>
                <w:rFonts w:hAnsi="宋体" w:cs="宋体"/>
                <w:szCs w:val="21"/>
              </w:rPr>
            </w:pPr>
          </w:p>
        </w:tc>
        <w:tc>
          <w:tcPr>
            <w:tcW w:w="5183" w:type="dxa"/>
            <w:tcBorders>
              <w:top w:val="nil"/>
              <w:left w:val="nil"/>
              <w:bottom w:val="single" w:color="auto" w:sz="8" w:space="0"/>
              <w:right w:val="single" w:color="auto" w:sz="8" w:space="0"/>
            </w:tcBorders>
            <w:shd w:val="clear" w:color="auto" w:fill="auto"/>
            <w:tcMar>
              <w:top w:w="0" w:type="dxa"/>
              <w:left w:w="131" w:type="dxa"/>
              <w:bottom w:w="0" w:type="dxa"/>
              <w:right w:w="131" w:type="dxa"/>
            </w:tcMar>
            <w:vAlign w:val="center"/>
          </w:tcPr>
          <w:p>
            <w:pPr>
              <w:widowControl/>
              <w:spacing w:line="276" w:lineRule="auto"/>
              <w:jc w:val="left"/>
              <w:rPr>
                <w:rFonts w:hAnsi="宋体" w:cs="宋体"/>
                <w:szCs w:val="21"/>
              </w:rPr>
            </w:pPr>
            <w:r>
              <w:rPr>
                <w:rFonts w:hint="eastAsia" w:hAnsi="宋体" w:cs="宋体"/>
                <w:szCs w:val="21"/>
              </w:rPr>
              <w:t>施工现场实施信息化监控和数据处理系统布置基本符合需要。</w:t>
            </w:r>
          </w:p>
        </w:tc>
        <w:tc>
          <w:tcPr>
            <w:tcW w:w="1631" w:type="dxa"/>
            <w:tcBorders>
              <w:top w:val="nil"/>
              <w:left w:val="nil"/>
              <w:bottom w:val="single" w:color="auto" w:sz="8" w:space="0"/>
              <w:right w:val="single" w:color="auto" w:sz="8" w:space="0"/>
            </w:tcBorders>
            <w:shd w:val="clear" w:color="auto" w:fill="auto"/>
            <w:tcMar>
              <w:top w:w="0" w:type="dxa"/>
              <w:left w:w="131" w:type="dxa"/>
              <w:bottom w:w="0" w:type="dxa"/>
              <w:right w:w="131" w:type="dxa"/>
            </w:tcMar>
            <w:vAlign w:val="center"/>
          </w:tcPr>
          <w:p>
            <w:pPr>
              <w:widowControl/>
              <w:adjustRightInd w:val="0"/>
              <w:snapToGrid w:val="0"/>
              <w:spacing w:line="276" w:lineRule="auto"/>
              <w:jc w:val="center"/>
              <w:rPr>
                <w:rFonts w:hAnsi="宋体" w:cs="宋体"/>
                <w:szCs w:val="21"/>
              </w:rPr>
            </w:pPr>
            <w:r>
              <w:rPr>
                <w:rFonts w:hAnsi="宋体" w:cs="宋体"/>
                <w:szCs w:val="21"/>
              </w:rPr>
              <w:t>0.5</w:t>
            </w:r>
            <w:r>
              <w:rPr>
                <w:rFonts w:hint="eastAsia" w:hAnsi="宋体" w:cs="宋体"/>
                <w:szCs w:val="21"/>
              </w:rPr>
              <w:t>＜得分</w:t>
            </w:r>
            <w:r>
              <w:rPr>
                <w:rFonts w:hAnsi="宋体" w:cs="宋体"/>
                <w:szCs w:val="21"/>
              </w:rPr>
              <w:t>≤1</w:t>
            </w:r>
          </w:p>
        </w:tc>
      </w:tr>
      <w:tr>
        <w:tblPrEx>
          <w:tblCellMar>
            <w:top w:w="0" w:type="dxa"/>
            <w:left w:w="0" w:type="dxa"/>
            <w:bottom w:w="0" w:type="dxa"/>
            <w:right w:w="0" w:type="dxa"/>
          </w:tblCellMar>
        </w:tblPrEx>
        <w:trPr>
          <w:tblCellSpacing w:w="0" w:type="dxa"/>
          <w:jc w:val="center"/>
        </w:trPr>
        <w:tc>
          <w:tcPr>
            <w:tcW w:w="857" w:type="dxa"/>
            <w:vMerge w:val="restart"/>
            <w:tcBorders>
              <w:top w:val="nil"/>
              <w:left w:val="single" w:color="auto" w:sz="8" w:space="0"/>
              <w:bottom w:val="single" w:color="auto" w:sz="8" w:space="0"/>
              <w:right w:val="single" w:color="auto" w:sz="8" w:space="0"/>
            </w:tcBorders>
            <w:shd w:val="clear" w:color="auto" w:fill="auto"/>
            <w:tcMar>
              <w:top w:w="0" w:type="dxa"/>
              <w:left w:w="131" w:type="dxa"/>
              <w:bottom w:w="0" w:type="dxa"/>
              <w:right w:w="131" w:type="dxa"/>
            </w:tcMar>
            <w:vAlign w:val="center"/>
          </w:tcPr>
          <w:p>
            <w:pPr>
              <w:widowControl/>
              <w:spacing w:line="276" w:lineRule="auto"/>
              <w:jc w:val="center"/>
              <w:rPr>
                <w:rFonts w:hAnsi="宋体" w:cs="宋体"/>
                <w:szCs w:val="21"/>
              </w:rPr>
            </w:pPr>
            <w:r>
              <w:rPr>
                <w:rFonts w:hAnsi="宋体" w:cs="宋体"/>
                <w:szCs w:val="21"/>
              </w:rPr>
              <w:t>13</w:t>
            </w:r>
          </w:p>
        </w:tc>
        <w:tc>
          <w:tcPr>
            <w:tcW w:w="1397" w:type="dxa"/>
            <w:vMerge w:val="restart"/>
            <w:tcBorders>
              <w:top w:val="nil"/>
              <w:left w:val="nil"/>
              <w:bottom w:val="single" w:color="auto" w:sz="8" w:space="0"/>
              <w:right w:val="single" w:color="auto" w:sz="8" w:space="0"/>
            </w:tcBorders>
            <w:shd w:val="clear" w:color="auto" w:fill="auto"/>
            <w:tcMar>
              <w:top w:w="0" w:type="dxa"/>
              <w:left w:w="131" w:type="dxa"/>
              <w:bottom w:w="0" w:type="dxa"/>
              <w:right w:w="131" w:type="dxa"/>
            </w:tcMar>
            <w:vAlign w:val="center"/>
          </w:tcPr>
          <w:p>
            <w:pPr>
              <w:widowControl/>
              <w:spacing w:line="276" w:lineRule="auto"/>
              <w:jc w:val="center"/>
              <w:rPr>
                <w:rFonts w:hAnsi="宋体" w:cs="宋体"/>
                <w:szCs w:val="21"/>
              </w:rPr>
            </w:pPr>
            <w:r>
              <w:rPr>
                <w:rFonts w:hint="eastAsia" w:hAnsi="宋体" w:cs="宋体"/>
                <w:szCs w:val="21"/>
              </w:rPr>
              <w:t>风险管理措施</w:t>
            </w:r>
          </w:p>
        </w:tc>
        <w:tc>
          <w:tcPr>
            <w:tcW w:w="1102" w:type="dxa"/>
            <w:vMerge w:val="restart"/>
            <w:tcBorders>
              <w:top w:val="nil"/>
              <w:left w:val="nil"/>
              <w:bottom w:val="single" w:color="auto" w:sz="8" w:space="0"/>
              <w:right w:val="single" w:color="auto" w:sz="8" w:space="0"/>
            </w:tcBorders>
            <w:shd w:val="clear" w:color="auto" w:fill="auto"/>
            <w:tcMar>
              <w:top w:w="0" w:type="dxa"/>
              <w:left w:w="131" w:type="dxa"/>
              <w:bottom w:w="0" w:type="dxa"/>
              <w:right w:w="131" w:type="dxa"/>
            </w:tcMar>
            <w:vAlign w:val="center"/>
          </w:tcPr>
          <w:p>
            <w:pPr>
              <w:widowControl/>
              <w:spacing w:line="276" w:lineRule="auto"/>
              <w:jc w:val="center"/>
              <w:rPr>
                <w:rFonts w:hAnsi="宋体" w:cs="宋体"/>
                <w:szCs w:val="21"/>
              </w:rPr>
            </w:pPr>
            <w:r>
              <w:rPr>
                <w:rFonts w:hAnsi="宋体" w:cs="宋体"/>
                <w:szCs w:val="21"/>
              </w:rPr>
              <w:t>1-2</w:t>
            </w:r>
            <w:r>
              <w:rPr>
                <w:rFonts w:hint="eastAsia" w:hAnsi="宋体" w:cs="宋体"/>
                <w:szCs w:val="21"/>
              </w:rPr>
              <w:t>分</w:t>
            </w:r>
          </w:p>
        </w:tc>
        <w:tc>
          <w:tcPr>
            <w:tcW w:w="5183" w:type="dxa"/>
            <w:tcBorders>
              <w:top w:val="nil"/>
              <w:left w:val="nil"/>
              <w:bottom w:val="single" w:color="auto" w:sz="8" w:space="0"/>
              <w:right w:val="single" w:color="auto" w:sz="8" w:space="0"/>
            </w:tcBorders>
            <w:shd w:val="clear" w:color="auto" w:fill="auto"/>
            <w:tcMar>
              <w:top w:w="0" w:type="dxa"/>
              <w:left w:w="131" w:type="dxa"/>
              <w:bottom w:w="0" w:type="dxa"/>
              <w:right w:w="131" w:type="dxa"/>
            </w:tcMar>
            <w:vAlign w:val="center"/>
          </w:tcPr>
          <w:p>
            <w:pPr>
              <w:widowControl/>
              <w:spacing w:line="276" w:lineRule="auto"/>
              <w:jc w:val="left"/>
              <w:rPr>
                <w:rFonts w:hAnsi="宋体" w:cs="宋体"/>
                <w:szCs w:val="21"/>
              </w:rPr>
            </w:pPr>
            <w:r>
              <w:rPr>
                <w:rFonts w:hint="eastAsia" w:hAnsi="宋体" w:cs="宋体"/>
                <w:szCs w:val="21"/>
              </w:rPr>
              <w:t>风险防控管理措施齐全，风险预控符合规范要求，风险控制要点定位准确，各阶段风险控制及应急措施得力。</w:t>
            </w:r>
          </w:p>
        </w:tc>
        <w:tc>
          <w:tcPr>
            <w:tcW w:w="1631" w:type="dxa"/>
            <w:tcBorders>
              <w:top w:val="nil"/>
              <w:left w:val="nil"/>
              <w:bottom w:val="single" w:color="auto" w:sz="8" w:space="0"/>
              <w:right w:val="single" w:color="auto" w:sz="8" w:space="0"/>
            </w:tcBorders>
            <w:shd w:val="clear" w:color="auto" w:fill="auto"/>
            <w:tcMar>
              <w:top w:w="0" w:type="dxa"/>
              <w:left w:w="131" w:type="dxa"/>
              <w:bottom w:w="0" w:type="dxa"/>
              <w:right w:w="131" w:type="dxa"/>
            </w:tcMar>
            <w:vAlign w:val="center"/>
          </w:tcPr>
          <w:p>
            <w:pPr>
              <w:widowControl/>
              <w:adjustRightInd w:val="0"/>
              <w:snapToGrid w:val="0"/>
              <w:spacing w:line="276" w:lineRule="auto"/>
              <w:jc w:val="center"/>
              <w:rPr>
                <w:rFonts w:hAnsi="宋体" w:cs="宋体"/>
                <w:szCs w:val="21"/>
              </w:rPr>
            </w:pPr>
            <w:r>
              <w:rPr>
                <w:rFonts w:hAnsi="宋体" w:cs="宋体"/>
                <w:szCs w:val="21"/>
              </w:rPr>
              <w:t>1.5</w:t>
            </w:r>
            <w:r>
              <w:rPr>
                <w:rFonts w:hint="eastAsia" w:hAnsi="宋体" w:cs="宋体"/>
                <w:szCs w:val="21"/>
              </w:rPr>
              <w:t>＜得分</w:t>
            </w:r>
            <w:r>
              <w:rPr>
                <w:rFonts w:hAnsi="宋体" w:cs="宋体"/>
                <w:szCs w:val="21"/>
              </w:rPr>
              <w:t>≤2</w:t>
            </w:r>
          </w:p>
        </w:tc>
      </w:tr>
      <w:tr>
        <w:tblPrEx>
          <w:tblCellMar>
            <w:top w:w="0" w:type="dxa"/>
            <w:left w:w="0" w:type="dxa"/>
            <w:bottom w:w="0" w:type="dxa"/>
            <w:right w:w="0" w:type="dxa"/>
          </w:tblCellMar>
        </w:tblPrEx>
        <w:trPr>
          <w:tblCellSpacing w:w="0" w:type="dxa"/>
          <w:jc w:val="center"/>
        </w:trPr>
        <w:tc>
          <w:tcPr>
            <w:tcW w:w="857" w:type="dxa"/>
            <w:vMerge w:val="continue"/>
            <w:tcBorders>
              <w:top w:val="nil"/>
              <w:left w:val="single" w:color="auto" w:sz="8" w:space="0"/>
              <w:bottom w:val="single" w:color="auto" w:sz="8" w:space="0"/>
              <w:right w:val="single" w:color="auto" w:sz="8" w:space="0"/>
            </w:tcBorders>
            <w:shd w:val="clear" w:color="auto" w:fill="FAFAFA"/>
            <w:vAlign w:val="center"/>
          </w:tcPr>
          <w:p>
            <w:pPr>
              <w:widowControl/>
              <w:spacing w:line="276" w:lineRule="auto"/>
              <w:jc w:val="left"/>
              <w:rPr>
                <w:rFonts w:hAnsi="宋体" w:cs="宋体"/>
                <w:szCs w:val="21"/>
              </w:rPr>
            </w:pPr>
          </w:p>
        </w:tc>
        <w:tc>
          <w:tcPr>
            <w:tcW w:w="1397" w:type="dxa"/>
            <w:vMerge w:val="continue"/>
            <w:tcBorders>
              <w:top w:val="nil"/>
              <w:left w:val="nil"/>
              <w:bottom w:val="single" w:color="auto" w:sz="8" w:space="0"/>
              <w:right w:val="single" w:color="auto" w:sz="8" w:space="0"/>
            </w:tcBorders>
            <w:shd w:val="clear" w:color="auto" w:fill="FAFAFA"/>
            <w:vAlign w:val="center"/>
          </w:tcPr>
          <w:p>
            <w:pPr>
              <w:widowControl/>
              <w:spacing w:line="276" w:lineRule="auto"/>
              <w:jc w:val="left"/>
              <w:rPr>
                <w:rFonts w:hAnsi="宋体" w:cs="宋体"/>
                <w:szCs w:val="21"/>
              </w:rPr>
            </w:pPr>
          </w:p>
        </w:tc>
        <w:tc>
          <w:tcPr>
            <w:tcW w:w="1102" w:type="dxa"/>
            <w:vMerge w:val="continue"/>
            <w:tcBorders>
              <w:top w:val="nil"/>
              <w:left w:val="nil"/>
              <w:bottom w:val="single" w:color="auto" w:sz="8" w:space="0"/>
              <w:right w:val="single" w:color="auto" w:sz="8" w:space="0"/>
            </w:tcBorders>
            <w:shd w:val="clear" w:color="auto" w:fill="FAFAFA"/>
            <w:vAlign w:val="center"/>
          </w:tcPr>
          <w:p>
            <w:pPr>
              <w:widowControl/>
              <w:spacing w:line="276" w:lineRule="auto"/>
              <w:jc w:val="left"/>
              <w:rPr>
                <w:rFonts w:hAnsi="宋体" w:cs="宋体"/>
                <w:szCs w:val="21"/>
              </w:rPr>
            </w:pPr>
          </w:p>
        </w:tc>
        <w:tc>
          <w:tcPr>
            <w:tcW w:w="5183" w:type="dxa"/>
            <w:tcBorders>
              <w:top w:val="nil"/>
              <w:left w:val="nil"/>
              <w:bottom w:val="single" w:color="auto" w:sz="8" w:space="0"/>
              <w:right w:val="single" w:color="auto" w:sz="8" w:space="0"/>
            </w:tcBorders>
            <w:shd w:val="clear" w:color="auto" w:fill="auto"/>
            <w:tcMar>
              <w:top w:w="0" w:type="dxa"/>
              <w:left w:w="131" w:type="dxa"/>
              <w:bottom w:w="0" w:type="dxa"/>
              <w:right w:w="131" w:type="dxa"/>
            </w:tcMar>
            <w:vAlign w:val="center"/>
          </w:tcPr>
          <w:p>
            <w:pPr>
              <w:widowControl/>
              <w:spacing w:line="276" w:lineRule="auto"/>
              <w:jc w:val="left"/>
              <w:rPr>
                <w:rFonts w:hAnsi="宋体" w:cs="宋体"/>
                <w:szCs w:val="21"/>
              </w:rPr>
            </w:pPr>
            <w:r>
              <w:rPr>
                <w:rFonts w:hint="eastAsia" w:hAnsi="宋体" w:cs="宋体"/>
                <w:szCs w:val="21"/>
              </w:rPr>
              <w:t>风险防控管理措施基本齐全，风险预控符合规范要求，风险控制要点定位基本准确，有各阶段风险控制及应急措施。</w:t>
            </w:r>
          </w:p>
        </w:tc>
        <w:tc>
          <w:tcPr>
            <w:tcW w:w="1631" w:type="dxa"/>
            <w:tcBorders>
              <w:top w:val="nil"/>
              <w:left w:val="nil"/>
              <w:bottom w:val="single" w:color="auto" w:sz="8" w:space="0"/>
              <w:right w:val="single" w:color="auto" w:sz="8" w:space="0"/>
            </w:tcBorders>
            <w:shd w:val="clear" w:color="auto" w:fill="auto"/>
            <w:tcMar>
              <w:top w:w="0" w:type="dxa"/>
              <w:left w:w="131" w:type="dxa"/>
              <w:bottom w:w="0" w:type="dxa"/>
              <w:right w:w="131" w:type="dxa"/>
            </w:tcMar>
            <w:vAlign w:val="center"/>
          </w:tcPr>
          <w:p>
            <w:pPr>
              <w:widowControl/>
              <w:adjustRightInd w:val="0"/>
              <w:snapToGrid w:val="0"/>
              <w:spacing w:line="276" w:lineRule="auto"/>
              <w:jc w:val="center"/>
              <w:rPr>
                <w:rFonts w:hAnsi="宋体" w:cs="宋体"/>
                <w:szCs w:val="21"/>
              </w:rPr>
            </w:pPr>
            <w:r>
              <w:rPr>
                <w:rFonts w:hAnsi="宋体" w:cs="宋体"/>
                <w:szCs w:val="21"/>
              </w:rPr>
              <w:t>1≤</w:t>
            </w:r>
            <w:r>
              <w:rPr>
                <w:rFonts w:hint="eastAsia" w:hAnsi="宋体" w:cs="宋体"/>
                <w:szCs w:val="21"/>
              </w:rPr>
              <w:t>得分</w:t>
            </w:r>
            <w:r>
              <w:rPr>
                <w:rFonts w:hAnsi="宋体" w:cs="宋体"/>
                <w:szCs w:val="21"/>
              </w:rPr>
              <w:t>≤1.5</w:t>
            </w:r>
          </w:p>
        </w:tc>
      </w:tr>
      <w:tr>
        <w:tblPrEx>
          <w:tblCellMar>
            <w:top w:w="0" w:type="dxa"/>
            <w:left w:w="0" w:type="dxa"/>
            <w:bottom w:w="0" w:type="dxa"/>
            <w:right w:w="0" w:type="dxa"/>
          </w:tblCellMar>
        </w:tblPrEx>
        <w:trPr>
          <w:trHeight w:val="714" w:hRule="atLeast"/>
          <w:tblCellSpacing w:w="0" w:type="dxa"/>
          <w:jc w:val="center"/>
        </w:trPr>
        <w:tc>
          <w:tcPr>
            <w:tcW w:w="2254" w:type="dxa"/>
            <w:gridSpan w:val="2"/>
            <w:tcBorders>
              <w:top w:val="nil"/>
              <w:left w:val="single" w:color="auto" w:sz="8" w:space="0"/>
              <w:bottom w:val="single" w:color="auto" w:sz="8" w:space="0"/>
              <w:right w:val="single" w:color="auto" w:sz="8" w:space="0"/>
            </w:tcBorders>
            <w:shd w:val="clear" w:color="auto" w:fill="auto"/>
            <w:tcMar>
              <w:top w:w="0" w:type="dxa"/>
              <w:left w:w="131" w:type="dxa"/>
              <w:bottom w:w="0" w:type="dxa"/>
              <w:right w:w="131" w:type="dxa"/>
            </w:tcMar>
            <w:vAlign w:val="center"/>
          </w:tcPr>
          <w:p>
            <w:pPr>
              <w:widowControl/>
              <w:spacing w:line="276" w:lineRule="auto"/>
              <w:jc w:val="center"/>
              <w:rPr>
                <w:rFonts w:hAnsi="宋体" w:cs="宋体"/>
                <w:b/>
                <w:szCs w:val="21"/>
              </w:rPr>
            </w:pPr>
            <w:r>
              <w:rPr>
                <w:rFonts w:hint="eastAsia" w:hAnsi="宋体" w:cs="宋体"/>
                <w:b/>
                <w:szCs w:val="21"/>
              </w:rPr>
              <w:t>合计</w:t>
            </w:r>
          </w:p>
        </w:tc>
        <w:tc>
          <w:tcPr>
            <w:tcW w:w="1102" w:type="dxa"/>
            <w:tcBorders>
              <w:top w:val="nil"/>
              <w:left w:val="nil"/>
              <w:bottom w:val="single" w:color="auto" w:sz="8" w:space="0"/>
              <w:right w:val="single" w:color="auto" w:sz="8" w:space="0"/>
            </w:tcBorders>
            <w:shd w:val="clear" w:color="auto" w:fill="auto"/>
            <w:tcMar>
              <w:top w:w="0" w:type="dxa"/>
              <w:left w:w="131" w:type="dxa"/>
              <w:bottom w:w="0" w:type="dxa"/>
              <w:right w:w="131" w:type="dxa"/>
            </w:tcMar>
            <w:vAlign w:val="center"/>
          </w:tcPr>
          <w:p>
            <w:pPr>
              <w:widowControl/>
              <w:spacing w:line="276" w:lineRule="auto"/>
              <w:jc w:val="center"/>
              <w:rPr>
                <w:rFonts w:hAnsi="宋体" w:cs="宋体"/>
                <w:b/>
                <w:szCs w:val="21"/>
              </w:rPr>
            </w:pPr>
            <w:r>
              <w:rPr>
                <w:rFonts w:hint="eastAsia" w:hAnsi="宋体" w:cs="宋体"/>
                <w:b/>
                <w:szCs w:val="21"/>
              </w:rPr>
              <w:t>10-25分</w:t>
            </w:r>
          </w:p>
        </w:tc>
        <w:tc>
          <w:tcPr>
            <w:tcW w:w="5183" w:type="dxa"/>
            <w:tcBorders>
              <w:top w:val="nil"/>
              <w:left w:val="nil"/>
              <w:bottom w:val="single" w:color="auto" w:sz="8" w:space="0"/>
              <w:right w:val="single" w:color="auto" w:sz="8" w:space="0"/>
            </w:tcBorders>
            <w:shd w:val="clear" w:color="auto" w:fill="auto"/>
            <w:tcMar>
              <w:top w:w="0" w:type="dxa"/>
              <w:left w:w="131" w:type="dxa"/>
              <w:bottom w:w="0" w:type="dxa"/>
              <w:right w:w="131" w:type="dxa"/>
            </w:tcMar>
            <w:vAlign w:val="center"/>
          </w:tcPr>
          <w:p>
            <w:pPr>
              <w:widowControl/>
              <w:spacing w:line="276" w:lineRule="auto"/>
              <w:jc w:val="left"/>
              <w:rPr>
                <w:rFonts w:hAnsi="宋体" w:cs="宋体"/>
                <w:b/>
                <w:szCs w:val="21"/>
              </w:rPr>
            </w:pPr>
          </w:p>
        </w:tc>
        <w:tc>
          <w:tcPr>
            <w:tcW w:w="1631" w:type="dxa"/>
            <w:tcBorders>
              <w:top w:val="nil"/>
              <w:left w:val="nil"/>
              <w:bottom w:val="single" w:color="auto" w:sz="8" w:space="0"/>
              <w:right w:val="single" w:color="auto" w:sz="8" w:space="0"/>
            </w:tcBorders>
            <w:shd w:val="clear" w:color="auto" w:fill="auto"/>
            <w:tcMar>
              <w:top w:w="0" w:type="dxa"/>
              <w:left w:w="131" w:type="dxa"/>
              <w:bottom w:w="0" w:type="dxa"/>
              <w:right w:w="131" w:type="dxa"/>
            </w:tcMar>
            <w:vAlign w:val="center"/>
          </w:tcPr>
          <w:p>
            <w:pPr>
              <w:widowControl/>
              <w:adjustRightInd w:val="0"/>
              <w:snapToGrid w:val="0"/>
              <w:spacing w:line="276" w:lineRule="auto"/>
              <w:jc w:val="center"/>
              <w:rPr>
                <w:rFonts w:hAnsi="宋体" w:cs="宋体"/>
                <w:b/>
                <w:szCs w:val="21"/>
              </w:rPr>
            </w:pPr>
            <w:r>
              <w:rPr>
                <w:rFonts w:hint="eastAsia" w:hAnsi="宋体" w:cs="宋体"/>
                <w:b/>
                <w:szCs w:val="21"/>
              </w:rPr>
              <w:t>10≤得分≤25</w:t>
            </w:r>
          </w:p>
        </w:tc>
      </w:tr>
    </w:tbl>
    <w:p>
      <w:pPr>
        <w:autoSpaceDE w:val="0"/>
        <w:autoSpaceDN w:val="0"/>
        <w:adjustRightInd w:val="0"/>
        <w:spacing w:line="360" w:lineRule="auto"/>
        <w:ind w:firstLine="480" w:firstLineChars="200"/>
        <w:rPr>
          <w:rFonts w:hAnsi="宋体" w:cs="宋体"/>
          <w:bCs/>
          <w:sz w:val="24"/>
          <w:szCs w:val="24"/>
        </w:rPr>
      </w:pPr>
      <w:r>
        <w:rPr>
          <w:rFonts w:hint="eastAsia" w:hAnsi="宋体" w:cs="宋体"/>
          <w:bCs/>
          <w:sz w:val="24"/>
          <w:szCs w:val="24"/>
        </w:rPr>
        <w:t>以上项目若有缺项，该项为0分。</w:t>
      </w:r>
    </w:p>
    <w:p>
      <w:pPr>
        <w:snapToGrid w:val="0"/>
        <w:spacing w:line="360" w:lineRule="auto"/>
        <w:rPr>
          <w:rFonts w:hAnsi="宋体" w:cs="宋体"/>
          <w:b/>
          <w:bCs/>
          <w:sz w:val="24"/>
          <w:szCs w:val="24"/>
        </w:rPr>
      </w:pPr>
      <w:r>
        <w:rPr>
          <w:rFonts w:hint="eastAsia" w:hAnsi="宋体" w:cs="宋体"/>
          <w:b/>
          <w:bCs/>
          <w:sz w:val="24"/>
          <w:szCs w:val="24"/>
        </w:rPr>
        <w:t xml:space="preserve">   （二）商务标（50分）</w:t>
      </w:r>
    </w:p>
    <w:p>
      <w:pPr>
        <w:snapToGrid w:val="0"/>
        <w:spacing w:line="360" w:lineRule="auto"/>
        <w:rPr>
          <w:rFonts w:hAnsi="宋体" w:cs="宋体"/>
          <w:b/>
          <w:bCs/>
          <w:sz w:val="24"/>
          <w:szCs w:val="24"/>
        </w:rPr>
      </w:pPr>
      <w:r>
        <w:rPr>
          <w:rFonts w:hint="eastAsia" w:hAnsi="宋体" w:cs="宋体"/>
          <w:b/>
          <w:bCs/>
          <w:sz w:val="24"/>
          <w:szCs w:val="24"/>
        </w:rPr>
        <w:t xml:space="preserve">    1、投标报价（30分） </w:t>
      </w:r>
    </w:p>
    <w:p>
      <w:pPr>
        <w:adjustRightInd w:val="0"/>
        <w:snapToGrid w:val="0"/>
        <w:spacing w:line="360" w:lineRule="auto"/>
        <w:ind w:firstLine="484"/>
        <w:rPr>
          <w:rFonts w:hAnsi="宋体" w:cs="宋体"/>
          <w:sz w:val="24"/>
          <w:szCs w:val="24"/>
        </w:rPr>
      </w:pPr>
      <w:r>
        <w:rPr>
          <w:rFonts w:hint="eastAsia" w:hAnsi="宋体" w:cs="宋体"/>
          <w:sz w:val="24"/>
          <w:szCs w:val="24"/>
        </w:rPr>
        <w:t>工程量清单报价评标基准价计算公式为：</w:t>
      </w:r>
    </w:p>
    <w:p>
      <w:pPr>
        <w:adjustRightInd w:val="0"/>
        <w:snapToGrid w:val="0"/>
        <w:spacing w:line="360" w:lineRule="auto"/>
        <w:ind w:firstLine="484"/>
        <w:rPr>
          <w:rFonts w:hAnsi="宋体" w:cs="宋体"/>
          <w:sz w:val="24"/>
          <w:szCs w:val="24"/>
        </w:rPr>
      </w:pPr>
      <w:r>
        <w:rPr>
          <w:rFonts w:hint="eastAsia" w:hAnsi="宋体" w:cs="宋体"/>
          <w:sz w:val="24"/>
          <w:szCs w:val="24"/>
        </w:rPr>
        <w:t>评标基准价＝最高投标限价</w:t>
      </w:r>
      <w:r>
        <w:rPr>
          <w:rFonts w:hAnsi="宋体" w:cs="宋体"/>
          <w:sz w:val="24"/>
          <w:szCs w:val="24"/>
        </w:rPr>
        <w:t>×K+</w:t>
      </w:r>
      <w:r>
        <w:rPr>
          <w:rFonts w:hint="eastAsia" w:hAnsi="宋体" w:cs="宋体"/>
          <w:sz w:val="24"/>
          <w:szCs w:val="24"/>
        </w:rPr>
        <w:t>投标报价</w:t>
      </w:r>
      <w:r>
        <w:rPr>
          <w:rFonts w:hAnsi="宋体" w:cs="宋体"/>
          <w:sz w:val="24"/>
          <w:szCs w:val="24"/>
        </w:rPr>
        <w:t>×</w:t>
      </w:r>
      <w:r>
        <w:rPr>
          <w:rFonts w:hint="eastAsia" w:hAnsi="宋体" w:cs="宋体"/>
          <w:sz w:val="24"/>
          <w:szCs w:val="24"/>
        </w:rPr>
        <w:t>（</w:t>
      </w:r>
      <w:r>
        <w:rPr>
          <w:rFonts w:hAnsi="宋体" w:cs="宋体"/>
          <w:sz w:val="24"/>
          <w:szCs w:val="24"/>
        </w:rPr>
        <w:t>1</w:t>
      </w:r>
      <w:r>
        <w:rPr>
          <w:rFonts w:hint="eastAsia" w:hAnsi="宋体" w:cs="宋体"/>
          <w:sz w:val="24"/>
          <w:szCs w:val="24"/>
        </w:rPr>
        <w:t>－</w:t>
      </w:r>
      <w:r>
        <w:rPr>
          <w:rFonts w:hAnsi="宋体" w:cs="宋体"/>
          <w:sz w:val="24"/>
          <w:szCs w:val="24"/>
        </w:rPr>
        <w:t>K</w:t>
      </w:r>
      <w:r>
        <w:rPr>
          <w:rFonts w:hint="eastAsia" w:hAnsi="宋体" w:cs="宋体"/>
          <w:sz w:val="24"/>
          <w:szCs w:val="24"/>
        </w:rPr>
        <w:t>）。</w:t>
      </w:r>
    </w:p>
    <w:p>
      <w:pPr>
        <w:adjustRightInd w:val="0"/>
        <w:snapToGrid w:val="0"/>
        <w:spacing w:line="360" w:lineRule="auto"/>
        <w:ind w:firstLine="484"/>
        <w:rPr>
          <w:rFonts w:hAnsi="宋体" w:cs="宋体"/>
          <w:sz w:val="24"/>
          <w:szCs w:val="24"/>
        </w:rPr>
      </w:pPr>
      <w:r>
        <w:rPr>
          <w:rFonts w:hint="eastAsia" w:hAnsi="宋体" w:cs="宋体"/>
          <w:sz w:val="24"/>
          <w:szCs w:val="24"/>
        </w:rPr>
        <w:t>其中：</w:t>
      </w:r>
      <w:r>
        <w:rPr>
          <w:rFonts w:hAnsi="宋体" w:cs="宋体"/>
          <w:sz w:val="24"/>
          <w:szCs w:val="24"/>
        </w:rPr>
        <w:t>K</w:t>
      </w:r>
      <w:r>
        <w:rPr>
          <w:rFonts w:hint="eastAsia" w:hAnsi="宋体" w:cs="宋体"/>
          <w:sz w:val="24"/>
          <w:szCs w:val="24"/>
        </w:rPr>
        <w:t>为最高投标限价权重系数，取值范围为</w:t>
      </w:r>
      <w:r>
        <w:rPr>
          <w:rFonts w:hAnsi="宋体" w:cs="宋体"/>
          <w:sz w:val="24"/>
          <w:szCs w:val="24"/>
        </w:rPr>
        <w:t>0.3≤K≤0.5</w:t>
      </w:r>
      <w:r>
        <w:rPr>
          <w:rFonts w:hint="eastAsia" w:hAnsi="宋体" w:cs="宋体"/>
          <w:sz w:val="24"/>
          <w:szCs w:val="24"/>
        </w:rPr>
        <w:t>，在开标现场随机抽取。K的取值：0.3、0.4、0.5。投标报价为各投标人有效投标报价去掉一个最高和一个最低报价后的算术平均值。当有效投标少于</w:t>
      </w:r>
      <w:r>
        <w:rPr>
          <w:rFonts w:hAnsi="宋体" w:cs="宋体"/>
          <w:sz w:val="24"/>
          <w:szCs w:val="24"/>
        </w:rPr>
        <w:t>5</w:t>
      </w:r>
      <w:r>
        <w:rPr>
          <w:rFonts w:hint="eastAsia" w:hAnsi="宋体" w:cs="宋体"/>
          <w:sz w:val="24"/>
          <w:szCs w:val="24"/>
        </w:rPr>
        <w:t>家时（不含</w:t>
      </w:r>
      <w:r>
        <w:rPr>
          <w:rFonts w:hAnsi="宋体" w:cs="宋体"/>
          <w:sz w:val="24"/>
          <w:szCs w:val="24"/>
        </w:rPr>
        <w:t>5</w:t>
      </w:r>
      <w:r>
        <w:rPr>
          <w:rFonts w:hint="eastAsia" w:hAnsi="宋体" w:cs="宋体"/>
          <w:sz w:val="24"/>
          <w:szCs w:val="24"/>
        </w:rPr>
        <w:t>家），则以所有有效投标报价的算术平均值作为投标报价。上述最高投标限价、投标报价、有效投标报价在参与评标基准价计算时，均不含</w:t>
      </w:r>
      <w:r>
        <w:rPr>
          <w:rFonts w:hAnsi="宋体" w:cs="宋体"/>
          <w:sz w:val="24"/>
          <w:szCs w:val="24"/>
        </w:rPr>
        <w:t>:</w:t>
      </w:r>
      <w:r>
        <w:rPr>
          <w:rFonts w:hint="eastAsia" w:hAnsi="宋体" w:cs="宋体"/>
          <w:sz w:val="24"/>
          <w:szCs w:val="24"/>
        </w:rPr>
        <w:t>规费、安全文明施工措施费、暂列金额与专业暂估价、增值税。</w:t>
      </w:r>
    </w:p>
    <w:p>
      <w:pPr>
        <w:adjustRightInd w:val="0"/>
        <w:snapToGrid w:val="0"/>
        <w:spacing w:line="360" w:lineRule="auto"/>
        <w:ind w:firstLine="484"/>
        <w:rPr>
          <w:rFonts w:hAnsi="宋体" w:cs="宋体"/>
          <w:sz w:val="24"/>
          <w:szCs w:val="24"/>
        </w:rPr>
      </w:pPr>
      <w:r>
        <w:rPr>
          <w:rFonts w:hint="eastAsia" w:hAnsi="宋体" w:cs="宋体"/>
          <w:sz w:val="24"/>
          <w:szCs w:val="24"/>
        </w:rPr>
        <w:t>当投标报价与评标基准价相等时，得基本分</w:t>
      </w:r>
      <w:r>
        <w:rPr>
          <w:rFonts w:hAnsi="宋体" w:cs="宋体"/>
          <w:sz w:val="24"/>
          <w:szCs w:val="24"/>
        </w:rPr>
        <w:t>20</w:t>
      </w:r>
      <w:r>
        <w:rPr>
          <w:rFonts w:hint="eastAsia" w:hAnsi="宋体" w:cs="宋体"/>
          <w:sz w:val="24"/>
          <w:szCs w:val="24"/>
        </w:rPr>
        <w:t>分。当投标报价低于评标基准价时，每低</w:t>
      </w:r>
      <w:r>
        <w:rPr>
          <w:rFonts w:hAnsi="宋体" w:cs="宋体"/>
          <w:sz w:val="24"/>
          <w:szCs w:val="24"/>
        </w:rPr>
        <w:t>1%</w:t>
      </w:r>
      <w:r>
        <w:rPr>
          <w:rFonts w:hint="eastAsia" w:hAnsi="宋体" w:cs="宋体"/>
          <w:sz w:val="24"/>
          <w:szCs w:val="24"/>
        </w:rPr>
        <w:t>范围内在基本分</w:t>
      </w:r>
      <w:r>
        <w:rPr>
          <w:rFonts w:hAnsi="宋体" w:cs="宋体"/>
          <w:sz w:val="24"/>
          <w:szCs w:val="24"/>
        </w:rPr>
        <w:t>20</w:t>
      </w:r>
      <w:r>
        <w:rPr>
          <w:rFonts w:hint="eastAsia" w:hAnsi="宋体" w:cs="宋体"/>
          <w:sz w:val="24"/>
          <w:szCs w:val="24"/>
        </w:rPr>
        <w:t>分的基础上加</w:t>
      </w:r>
      <w:r>
        <w:rPr>
          <w:rFonts w:hAnsi="宋体" w:cs="宋体"/>
          <w:sz w:val="24"/>
          <w:szCs w:val="24"/>
        </w:rPr>
        <w:t>2</w:t>
      </w:r>
      <w:r>
        <w:rPr>
          <w:rFonts w:hint="eastAsia" w:hAnsi="宋体" w:cs="宋体"/>
          <w:sz w:val="24"/>
          <w:szCs w:val="24"/>
        </w:rPr>
        <w:t>分，最多加</w:t>
      </w:r>
      <w:r>
        <w:rPr>
          <w:rFonts w:hAnsi="宋体" w:cs="宋体"/>
          <w:sz w:val="24"/>
          <w:szCs w:val="24"/>
        </w:rPr>
        <w:t>10</w:t>
      </w:r>
      <w:r>
        <w:rPr>
          <w:rFonts w:hint="eastAsia" w:hAnsi="宋体" w:cs="宋体"/>
          <w:sz w:val="24"/>
          <w:szCs w:val="24"/>
        </w:rPr>
        <w:t>分；当投标报价低于评标基准价</w:t>
      </w:r>
      <w:r>
        <w:rPr>
          <w:rFonts w:hAnsi="宋体" w:cs="宋体"/>
          <w:sz w:val="24"/>
          <w:szCs w:val="24"/>
        </w:rPr>
        <w:t>5%</w:t>
      </w:r>
      <w:r>
        <w:rPr>
          <w:rFonts w:hint="eastAsia" w:hAnsi="宋体" w:cs="宋体"/>
          <w:sz w:val="24"/>
          <w:szCs w:val="24"/>
        </w:rPr>
        <w:t>以上（不含</w:t>
      </w:r>
      <w:r>
        <w:rPr>
          <w:rFonts w:hAnsi="宋体" w:cs="宋体"/>
          <w:sz w:val="24"/>
          <w:szCs w:val="24"/>
        </w:rPr>
        <w:t>5%</w:t>
      </w:r>
      <w:r>
        <w:rPr>
          <w:rFonts w:hint="eastAsia" w:hAnsi="宋体" w:cs="宋体"/>
          <w:sz w:val="24"/>
          <w:szCs w:val="24"/>
        </w:rPr>
        <w:t>）时，每再低</w:t>
      </w:r>
      <w:r>
        <w:rPr>
          <w:rFonts w:hAnsi="宋体" w:cs="宋体"/>
          <w:sz w:val="24"/>
          <w:szCs w:val="24"/>
        </w:rPr>
        <w:t>1%</w:t>
      </w:r>
      <w:r>
        <w:rPr>
          <w:rFonts w:hint="eastAsia" w:hAnsi="宋体" w:cs="宋体"/>
          <w:sz w:val="24"/>
          <w:szCs w:val="24"/>
        </w:rPr>
        <w:t>范围内在满分</w:t>
      </w:r>
      <w:r>
        <w:rPr>
          <w:rFonts w:hAnsi="宋体" w:cs="宋体"/>
          <w:sz w:val="24"/>
          <w:szCs w:val="24"/>
        </w:rPr>
        <w:t>30</w:t>
      </w:r>
      <w:r>
        <w:rPr>
          <w:rFonts w:hint="eastAsia" w:hAnsi="宋体" w:cs="宋体"/>
          <w:sz w:val="24"/>
          <w:szCs w:val="24"/>
        </w:rPr>
        <w:t>分的基础上扣</w:t>
      </w:r>
      <w:r>
        <w:rPr>
          <w:rFonts w:hAnsi="宋体" w:cs="宋体"/>
          <w:sz w:val="24"/>
          <w:szCs w:val="24"/>
        </w:rPr>
        <w:t>3</w:t>
      </w:r>
      <w:r>
        <w:rPr>
          <w:rFonts w:hint="eastAsia" w:hAnsi="宋体" w:cs="宋体"/>
          <w:sz w:val="24"/>
          <w:szCs w:val="24"/>
        </w:rPr>
        <w:t>分，扣完为止；当投标报价高于评标基准价时，每高</w:t>
      </w:r>
      <w:r>
        <w:rPr>
          <w:rFonts w:hAnsi="宋体" w:cs="宋体"/>
          <w:sz w:val="24"/>
          <w:szCs w:val="24"/>
        </w:rPr>
        <w:t>1%</w:t>
      </w:r>
      <w:r>
        <w:rPr>
          <w:rFonts w:hint="eastAsia" w:hAnsi="宋体" w:cs="宋体"/>
          <w:sz w:val="24"/>
          <w:szCs w:val="24"/>
        </w:rPr>
        <w:t>范围内在基本分</w:t>
      </w:r>
      <w:r>
        <w:rPr>
          <w:rFonts w:hAnsi="宋体" w:cs="宋体"/>
          <w:sz w:val="24"/>
          <w:szCs w:val="24"/>
        </w:rPr>
        <w:t>20</w:t>
      </w:r>
      <w:r>
        <w:rPr>
          <w:rFonts w:hint="eastAsia" w:hAnsi="宋体" w:cs="宋体"/>
          <w:sz w:val="24"/>
          <w:szCs w:val="24"/>
        </w:rPr>
        <w:t>分的基础上扣</w:t>
      </w:r>
      <w:r>
        <w:rPr>
          <w:rFonts w:hAnsi="宋体" w:cs="宋体"/>
          <w:sz w:val="24"/>
          <w:szCs w:val="24"/>
        </w:rPr>
        <w:t>2</w:t>
      </w:r>
      <w:r>
        <w:rPr>
          <w:rFonts w:hint="eastAsia" w:hAnsi="宋体" w:cs="宋体"/>
          <w:sz w:val="24"/>
          <w:szCs w:val="24"/>
        </w:rPr>
        <w:t>分，扣完为止。</w:t>
      </w:r>
    </w:p>
    <w:p>
      <w:pPr>
        <w:numPr>
          <w:ilvl w:val="0"/>
          <w:numId w:val="3"/>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分部分项工程项目综合单价（10分）</w:t>
      </w:r>
    </w:p>
    <w:p>
      <w:pPr>
        <w:adjustRightInd w:val="0"/>
        <w:snapToGrid w:val="0"/>
        <w:spacing w:line="360" w:lineRule="auto"/>
        <w:ind w:firstLine="484"/>
        <w:rPr>
          <w:rFonts w:hAnsi="宋体" w:cs="宋体"/>
          <w:sz w:val="24"/>
          <w:szCs w:val="24"/>
        </w:rPr>
      </w:pPr>
      <w:r>
        <w:rPr>
          <w:rFonts w:hint="eastAsia" w:hAnsi="宋体" w:cs="宋体"/>
          <w:sz w:val="24"/>
          <w:szCs w:val="24"/>
        </w:rPr>
        <w:t>从最高投标限价中分部分项工程项目权重最大的前</w:t>
      </w:r>
      <w:r>
        <w:rPr>
          <w:rFonts w:hAnsi="宋体" w:cs="宋体"/>
          <w:sz w:val="24"/>
          <w:szCs w:val="24"/>
        </w:rPr>
        <w:t>10-30</w:t>
      </w:r>
      <w:r>
        <w:rPr>
          <w:rFonts w:hint="eastAsia" w:hAnsi="宋体" w:cs="宋体"/>
          <w:sz w:val="24"/>
          <w:szCs w:val="24"/>
        </w:rPr>
        <w:t>项清单项目中抽取</w:t>
      </w:r>
      <w:r>
        <w:rPr>
          <w:rFonts w:hAnsi="宋体" w:cs="宋体"/>
          <w:sz w:val="24"/>
          <w:szCs w:val="24"/>
        </w:rPr>
        <w:t>15</w:t>
      </w:r>
      <w:r>
        <w:rPr>
          <w:rFonts w:hint="eastAsia" w:hAnsi="宋体" w:cs="宋体"/>
          <w:sz w:val="24"/>
          <w:szCs w:val="24"/>
        </w:rPr>
        <w:t>项，在剩余的分部分项工程项目清单项目中抽取</w:t>
      </w:r>
      <w:r>
        <w:rPr>
          <w:rFonts w:hAnsi="宋体" w:cs="宋体"/>
          <w:sz w:val="24"/>
          <w:szCs w:val="24"/>
        </w:rPr>
        <w:t>5</w:t>
      </w:r>
      <w:r>
        <w:rPr>
          <w:rFonts w:hint="eastAsia" w:hAnsi="宋体" w:cs="宋体"/>
          <w:sz w:val="24"/>
          <w:szCs w:val="24"/>
        </w:rPr>
        <w:t>项。</w:t>
      </w:r>
    </w:p>
    <w:p>
      <w:pPr>
        <w:adjustRightInd w:val="0"/>
        <w:snapToGrid w:val="0"/>
        <w:spacing w:line="360" w:lineRule="auto"/>
        <w:ind w:firstLine="484"/>
        <w:rPr>
          <w:rFonts w:hAnsi="宋体" w:cs="宋体"/>
          <w:sz w:val="24"/>
          <w:szCs w:val="24"/>
        </w:rPr>
      </w:pPr>
      <w:r>
        <w:rPr>
          <w:rFonts w:hint="eastAsia" w:hAnsi="宋体" w:cs="宋体"/>
          <w:sz w:val="24"/>
          <w:szCs w:val="24"/>
        </w:rPr>
        <w:t>综合单价基准值是以各有效投标报价中（当有效投标人</w:t>
      </w:r>
      <w:r>
        <w:rPr>
          <w:rFonts w:hAnsi="宋体" w:cs="宋体"/>
          <w:sz w:val="24"/>
          <w:szCs w:val="24"/>
        </w:rPr>
        <w:t>5</w:t>
      </w:r>
      <w:r>
        <w:rPr>
          <w:rFonts w:hint="eastAsia" w:hAnsi="宋体" w:cs="宋体"/>
          <w:sz w:val="24"/>
          <w:szCs w:val="24"/>
        </w:rPr>
        <w:t>名及以上时，去掉</w:t>
      </w:r>
      <w:r>
        <w:rPr>
          <w:rFonts w:hAnsi="宋体" w:cs="宋体"/>
          <w:sz w:val="24"/>
          <w:szCs w:val="24"/>
        </w:rPr>
        <w:t>1</w:t>
      </w:r>
      <w:r>
        <w:rPr>
          <w:rFonts w:hint="eastAsia" w:hAnsi="宋体" w:cs="宋体"/>
          <w:sz w:val="24"/>
          <w:szCs w:val="24"/>
        </w:rPr>
        <w:t>个最高、</w:t>
      </w:r>
      <w:r>
        <w:rPr>
          <w:rFonts w:hAnsi="宋体" w:cs="宋体"/>
          <w:sz w:val="24"/>
          <w:szCs w:val="24"/>
        </w:rPr>
        <w:t>1</w:t>
      </w:r>
      <w:r>
        <w:rPr>
          <w:rFonts w:hint="eastAsia" w:hAnsi="宋体" w:cs="宋体"/>
          <w:sz w:val="24"/>
          <w:szCs w:val="24"/>
        </w:rPr>
        <w:t>个最低值）对应抽取清单项目综合单价的算术平均值。</w:t>
      </w:r>
    </w:p>
    <w:p>
      <w:pPr>
        <w:adjustRightInd w:val="0"/>
        <w:snapToGrid w:val="0"/>
        <w:spacing w:line="360" w:lineRule="auto"/>
        <w:ind w:firstLine="484"/>
        <w:rPr>
          <w:rFonts w:hAnsi="宋体" w:cs="宋体"/>
          <w:sz w:val="24"/>
          <w:szCs w:val="24"/>
        </w:rPr>
      </w:pPr>
      <w:r>
        <w:rPr>
          <w:rFonts w:hint="eastAsia" w:hAnsi="宋体" w:cs="宋体"/>
          <w:sz w:val="24"/>
          <w:szCs w:val="24"/>
        </w:rPr>
        <w:t>投标人报价在综合单价基准值</w:t>
      </w:r>
      <w:r>
        <w:rPr>
          <w:rFonts w:hAnsi="宋体" w:cs="宋体"/>
          <w:sz w:val="24"/>
          <w:szCs w:val="24"/>
        </w:rPr>
        <w:t>95%–103%</w:t>
      </w:r>
      <w:r>
        <w:rPr>
          <w:rFonts w:hint="eastAsia" w:hAnsi="宋体" w:cs="宋体"/>
          <w:sz w:val="24"/>
          <w:szCs w:val="24"/>
        </w:rPr>
        <w:t>范围内（不含</w:t>
      </w:r>
      <w:r>
        <w:rPr>
          <w:rFonts w:hAnsi="宋体" w:cs="宋体"/>
          <w:sz w:val="24"/>
          <w:szCs w:val="24"/>
        </w:rPr>
        <w:t>95%</w:t>
      </w:r>
      <w:r>
        <w:rPr>
          <w:rFonts w:hint="eastAsia" w:hAnsi="宋体" w:cs="宋体"/>
          <w:sz w:val="24"/>
          <w:szCs w:val="24"/>
        </w:rPr>
        <w:t>和</w:t>
      </w:r>
      <w:r>
        <w:rPr>
          <w:rFonts w:hAnsi="宋体" w:cs="宋体"/>
          <w:sz w:val="24"/>
          <w:szCs w:val="24"/>
        </w:rPr>
        <w:t>103%</w:t>
      </w:r>
      <w:r>
        <w:rPr>
          <w:rFonts w:hint="eastAsia" w:hAnsi="宋体" w:cs="宋体"/>
          <w:sz w:val="24"/>
          <w:szCs w:val="24"/>
        </w:rPr>
        <w:t>）的，每项得</w:t>
      </w:r>
      <w:r>
        <w:rPr>
          <w:rFonts w:hAnsi="宋体" w:cs="宋体"/>
          <w:sz w:val="24"/>
          <w:szCs w:val="24"/>
        </w:rPr>
        <w:t>0.5</w:t>
      </w:r>
      <w:r>
        <w:rPr>
          <w:rFonts w:hint="eastAsia" w:hAnsi="宋体" w:cs="宋体"/>
          <w:sz w:val="24"/>
          <w:szCs w:val="24"/>
        </w:rPr>
        <w:t>分；在综合单价基准值</w:t>
      </w:r>
      <w:r>
        <w:rPr>
          <w:rFonts w:hAnsi="宋体" w:cs="宋体"/>
          <w:sz w:val="24"/>
          <w:szCs w:val="24"/>
        </w:rPr>
        <w:t>90%–95%</w:t>
      </w:r>
      <w:r>
        <w:rPr>
          <w:rFonts w:hint="eastAsia" w:hAnsi="宋体" w:cs="宋体"/>
          <w:sz w:val="24"/>
          <w:szCs w:val="24"/>
        </w:rPr>
        <w:t>范围内（含</w:t>
      </w:r>
      <w:r>
        <w:rPr>
          <w:rFonts w:hAnsi="宋体" w:cs="宋体"/>
          <w:sz w:val="24"/>
          <w:szCs w:val="24"/>
        </w:rPr>
        <w:t>90%</w:t>
      </w:r>
      <w:r>
        <w:rPr>
          <w:rFonts w:hint="eastAsia" w:hAnsi="宋体" w:cs="宋体"/>
          <w:sz w:val="24"/>
          <w:szCs w:val="24"/>
        </w:rPr>
        <w:t>和</w:t>
      </w:r>
      <w:r>
        <w:rPr>
          <w:rFonts w:hAnsi="宋体" w:cs="宋体"/>
          <w:sz w:val="24"/>
          <w:szCs w:val="24"/>
        </w:rPr>
        <w:t>95%</w:t>
      </w:r>
      <w:r>
        <w:rPr>
          <w:rFonts w:hint="eastAsia" w:hAnsi="宋体" w:cs="宋体"/>
          <w:sz w:val="24"/>
          <w:szCs w:val="24"/>
        </w:rPr>
        <w:t>）每项得</w:t>
      </w:r>
      <w:r>
        <w:rPr>
          <w:rFonts w:hAnsi="宋体" w:cs="宋体"/>
          <w:sz w:val="24"/>
          <w:szCs w:val="24"/>
        </w:rPr>
        <w:t>0.25</w:t>
      </w:r>
      <w:r>
        <w:rPr>
          <w:rFonts w:hint="eastAsia" w:hAnsi="宋体" w:cs="宋体"/>
          <w:sz w:val="24"/>
          <w:szCs w:val="24"/>
        </w:rPr>
        <w:t>分。满分共计</w:t>
      </w:r>
      <w:r>
        <w:rPr>
          <w:rFonts w:hAnsi="宋体" w:cs="宋体"/>
          <w:sz w:val="24"/>
          <w:szCs w:val="24"/>
        </w:rPr>
        <w:t>10</w:t>
      </w:r>
      <w:r>
        <w:rPr>
          <w:rFonts w:hint="eastAsia" w:hAnsi="宋体" w:cs="宋体"/>
          <w:sz w:val="24"/>
          <w:szCs w:val="24"/>
        </w:rPr>
        <w:t>分。超出该范围的不得分。</w:t>
      </w:r>
    </w:p>
    <w:p>
      <w:pPr>
        <w:adjustRightInd w:val="0"/>
        <w:snapToGrid w:val="0"/>
        <w:spacing w:line="360" w:lineRule="auto"/>
        <w:rPr>
          <w:rFonts w:hAnsi="宋体" w:cs="宋体"/>
          <w:sz w:val="24"/>
          <w:szCs w:val="24"/>
        </w:rPr>
      </w:pPr>
      <w:r>
        <w:rPr>
          <w:rFonts w:hint="eastAsia" w:hAnsi="宋体" w:cs="宋体"/>
          <w:b/>
          <w:bCs/>
          <w:sz w:val="24"/>
          <w:szCs w:val="24"/>
        </w:rPr>
        <w:t xml:space="preserve">    3、措施项目（5分）</w:t>
      </w:r>
    </w:p>
    <w:p>
      <w:pPr>
        <w:adjustRightInd w:val="0"/>
        <w:snapToGrid w:val="0"/>
        <w:spacing w:line="360" w:lineRule="auto"/>
        <w:ind w:firstLine="484"/>
        <w:rPr>
          <w:rFonts w:hAnsi="宋体" w:cs="宋体"/>
          <w:sz w:val="24"/>
          <w:szCs w:val="24"/>
        </w:rPr>
      </w:pPr>
      <w:r>
        <w:rPr>
          <w:rFonts w:hint="eastAsia" w:hAnsi="宋体" w:cs="宋体"/>
          <w:sz w:val="24"/>
          <w:szCs w:val="24"/>
        </w:rPr>
        <w:t>措施项目费基准值是在最高投标限价中措施项目费用</w:t>
      </w:r>
      <w:r>
        <w:rPr>
          <w:rFonts w:hAnsi="宋体" w:cs="宋体"/>
          <w:sz w:val="24"/>
          <w:szCs w:val="24"/>
        </w:rPr>
        <w:t>80%-110%</w:t>
      </w:r>
      <w:r>
        <w:rPr>
          <w:rFonts w:hint="eastAsia" w:hAnsi="宋体" w:cs="宋体"/>
          <w:sz w:val="24"/>
          <w:szCs w:val="24"/>
        </w:rPr>
        <w:t>范围之间的有效投标人所报措施项目费的算术平均值。投标所报措施费与措施项目基准值相等得基本分</w:t>
      </w:r>
      <w:r>
        <w:rPr>
          <w:rFonts w:hAnsi="宋体" w:cs="宋体"/>
          <w:sz w:val="24"/>
          <w:szCs w:val="24"/>
        </w:rPr>
        <w:t>3</w:t>
      </w:r>
      <w:r>
        <w:rPr>
          <w:rFonts w:hint="eastAsia" w:hAnsi="宋体" w:cs="宋体"/>
          <w:sz w:val="24"/>
          <w:szCs w:val="24"/>
        </w:rPr>
        <w:t>分。当投标报价低于措施项目基准值时，每低</w:t>
      </w:r>
      <w:r>
        <w:rPr>
          <w:rFonts w:hAnsi="宋体" w:cs="宋体"/>
          <w:sz w:val="24"/>
          <w:szCs w:val="24"/>
        </w:rPr>
        <w:t>1%</w:t>
      </w:r>
      <w:r>
        <w:rPr>
          <w:rFonts w:hint="eastAsia" w:hAnsi="宋体" w:cs="宋体"/>
          <w:sz w:val="24"/>
          <w:szCs w:val="24"/>
        </w:rPr>
        <w:t>在基本分</w:t>
      </w:r>
      <w:r>
        <w:rPr>
          <w:rFonts w:hAnsi="宋体" w:cs="宋体"/>
          <w:sz w:val="24"/>
          <w:szCs w:val="24"/>
        </w:rPr>
        <w:t>3</w:t>
      </w:r>
      <w:r>
        <w:rPr>
          <w:rFonts w:hint="eastAsia" w:hAnsi="宋体" w:cs="宋体"/>
          <w:sz w:val="24"/>
          <w:szCs w:val="24"/>
        </w:rPr>
        <w:t>分的基础上加</w:t>
      </w:r>
      <w:r>
        <w:rPr>
          <w:rFonts w:hAnsi="宋体" w:cs="宋体"/>
          <w:sz w:val="24"/>
          <w:szCs w:val="24"/>
        </w:rPr>
        <w:t>0.1</w:t>
      </w:r>
      <w:r>
        <w:rPr>
          <w:rFonts w:hint="eastAsia" w:hAnsi="宋体" w:cs="宋体"/>
          <w:sz w:val="24"/>
          <w:szCs w:val="24"/>
        </w:rPr>
        <w:t>分，最多加至</w:t>
      </w:r>
      <w:r>
        <w:rPr>
          <w:rFonts w:hAnsi="宋体" w:cs="宋体"/>
          <w:sz w:val="24"/>
          <w:szCs w:val="24"/>
        </w:rPr>
        <w:t>5</w:t>
      </w:r>
      <w:r>
        <w:rPr>
          <w:rFonts w:hint="eastAsia" w:hAnsi="宋体" w:cs="宋体"/>
          <w:sz w:val="24"/>
          <w:szCs w:val="24"/>
        </w:rPr>
        <w:t>分为止；当高于措施项目基准值时，每高于</w:t>
      </w:r>
      <w:r>
        <w:rPr>
          <w:rFonts w:hAnsi="宋体" w:cs="宋体"/>
          <w:sz w:val="24"/>
          <w:szCs w:val="24"/>
        </w:rPr>
        <w:t>1%</w:t>
      </w:r>
      <w:r>
        <w:rPr>
          <w:rFonts w:hint="eastAsia" w:hAnsi="宋体" w:cs="宋体"/>
          <w:sz w:val="24"/>
          <w:szCs w:val="24"/>
        </w:rPr>
        <w:t>时，在基本分</w:t>
      </w:r>
      <w:r>
        <w:rPr>
          <w:rFonts w:hAnsi="宋体" w:cs="宋体"/>
          <w:sz w:val="24"/>
          <w:szCs w:val="24"/>
        </w:rPr>
        <w:t>3</w:t>
      </w:r>
      <w:r>
        <w:rPr>
          <w:rFonts w:hint="eastAsia" w:hAnsi="宋体" w:cs="宋体"/>
          <w:sz w:val="24"/>
          <w:szCs w:val="24"/>
        </w:rPr>
        <w:t>分的基础上扣</w:t>
      </w:r>
      <w:r>
        <w:rPr>
          <w:rFonts w:hAnsi="宋体" w:cs="宋体"/>
          <w:sz w:val="24"/>
          <w:szCs w:val="24"/>
        </w:rPr>
        <w:t>0.2</w:t>
      </w:r>
      <w:r>
        <w:rPr>
          <w:rFonts w:hint="eastAsia" w:hAnsi="宋体" w:cs="宋体"/>
          <w:sz w:val="24"/>
          <w:szCs w:val="24"/>
        </w:rPr>
        <w:t>分，扣完为止。</w:t>
      </w:r>
    </w:p>
    <w:p>
      <w:pPr>
        <w:numPr>
          <w:ilvl w:val="0"/>
          <w:numId w:val="4"/>
        </w:numPr>
        <w:adjustRightInd w:val="0"/>
        <w:snapToGrid w:val="0"/>
        <w:spacing w:line="360" w:lineRule="auto"/>
        <w:ind w:firstLine="484"/>
        <w:rPr>
          <w:rFonts w:hAnsi="宋体" w:cs="宋体"/>
          <w:b/>
          <w:bCs/>
          <w:sz w:val="24"/>
          <w:szCs w:val="24"/>
        </w:rPr>
      </w:pPr>
      <w:r>
        <w:rPr>
          <w:rFonts w:hint="eastAsia" w:hAnsi="宋体" w:cs="宋体"/>
          <w:b/>
          <w:bCs/>
          <w:sz w:val="24"/>
          <w:szCs w:val="24"/>
        </w:rPr>
        <w:t>主要材料单价（5分）</w:t>
      </w:r>
    </w:p>
    <w:p>
      <w:pPr>
        <w:adjustRightInd w:val="0"/>
        <w:snapToGrid w:val="0"/>
        <w:spacing w:line="360" w:lineRule="auto"/>
        <w:ind w:firstLine="484"/>
        <w:rPr>
          <w:rFonts w:hAnsi="宋体" w:cs="宋体"/>
          <w:sz w:val="24"/>
          <w:szCs w:val="24"/>
        </w:rPr>
      </w:pPr>
      <w:r>
        <w:rPr>
          <w:rFonts w:hint="eastAsia" w:hAnsi="宋体" w:cs="宋体"/>
          <w:sz w:val="24"/>
          <w:szCs w:val="24"/>
        </w:rPr>
        <w:t>从最高投标限价中材料总价权重最大的前</w:t>
      </w:r>
      <w:r>
        <w:rPr>
          <w:rFonts w:hAnsi="宋体" w:cs="宋体"/>
          <w:sz w:val="24"/>
          <w:szCs w:val="24"/>
        </w:rPr>
        <w:t>10-20</w:t>
      </w:r>
      <w:r>
        <w:rPr>
          <w:rFonts w:hint="eastAsia" w:hAnsi="宋体" w:cs="宋体"/>
          <w:sz w:val="24"/>
          <w:szCs w:val="24"/>
        </w:rPr>
        <w:t>项材料中抽取</w:t>
      </w:r>
      <w:r>
        <w:rPr>
          <w:rFonts w:hAnsi="宋体" w:cs="宋体"/>
          <w:sz w:val="24"/>
          <w:szCs w:val="24"/>
        </w:rPr>
        <w:t>6</w:t>
      </w:r>
      <w:r>
        <w:rPr>
          <w:rFonts w:hint="eastAsia" w:hAnsi="宋体" w:cs="宋体"/>
          <w:sz w:val="24"/>
          <w:szCs w:val="24"/>
        </w:rPr>
        <w:t>项，在剩余材料中抽取</w:t>
      </w:r>
      <w:r>
        <w:rPr>
          <w:rFonts w:hAnsi="宋体" w:cs="宋体"/>
          <w:sz w:val="24"/>
          <w:szCs w:val="24"/>
        </w:rPr>
        <w:t>4</w:t>
      </w:r>
      <w:r>
        <w:rPr>
          <w:rFonts w:hint="eastAsia" w:hAnsi="宋体" w:cs="宋体"/>
          <w:sz w:val="24"/>
          <w:szCs w:val="24"/>
        </w:rPr>
        <w:t>项。</w:t>
      </w:r>
    </w:p>
    <w:p>
      <w:pPr>
        <w:adjustRightInd w:val="0"/>
        <w:snapToGrid w:val="0"/>
        <w:spacing w:line="360" w:lineRule="auto"/>
        <w:ind w:firstLine="484"/>
        <w:rPr>
          <w:rFonts w:hAnsi="宋体" w:cs="宋体"/>
          <w:sz w:val="24"/>
          <w:szCs w:val="24"/>
        </w:rPr>
      </w:pPr>
      <w:r>
        <w:rPr>
          <w:rFonts w:hint="eastAsia" w:hAnsi="宋体" w:cs="宋体"/>
          <w:sz w:val="24"/>
          <w:szCs w:val="24"/>
        </w:rPr>
        <w:t>主要材料单价基准值是以各有效投标报价中（当有效投标人</w:t>
      </w:r>
      <w:r>
        <w:rPr>
          <w:rFonts w:hAnsi="宋体" w:cs="宋体"/>
          <w:sz w:val="24"/>
          <w:szCs w:val="24"/>
        </w:rPr>
        <w:t>5</w:t>
      </w:r>
      <w:r>
        <w:rPr>
          <w:rFonts w:hint="eastAsia" w:hAnsi="宋体" w:cs="宋体"/>
          <w:sz w:val="24"/>
          <w:szCs w:val="24"/>
        </w:rPr>
        <w:t>名及以上时，去掉</w:t>
      </w:r>
      <w:r>
        <w:rPr>
          <w:rFonts w:hAnsi="宋体" w:cs="宋体"/>
          <w:sz w:val="24"/>
          <w:szCs w:val="24"/>
        </w:rPr>
        <w:t>1</w:t>
      </w:r>
      <w:r>
        <w:rPr>
          <w:rFonts w:hint="eastAsia" w:hAnsi="宋体" w:cs="宋体"/>
          <w:sz w:val="24"/>
          <w:szCs w:val="24"/>
        </w:rPr>
        <w:t>个最高、</w:t>
      </w:r>
      <w:r>
        <w:rPr>
          <w:rFonts w:hAnsi="宋体" w:cs="宋体"/>
          <w:sz w:val="24"/>
          <w:szCs w:val="24"/>
        </w:rPr>
        <w:t>1</w:t>
      </w:r>
      <w:r>
        <w:rPr>
          <w:rFonts w:hint="eastAsia" w:hAnsi="宋体" w:cs="宋体"/>
          <w:sz w:val="24"/>
          <w:szCs w:val="24"/>
        </w:rPr>
        <w:t>个最低值）对应抽取材料单价的算术平均值。</w:t>
      </w:r>
    </w:p>
    <w:p>
      <w:pPr>
        <w:adjustRightInd w:val="0"/>
        <w:snapToGrid w:val="0"/>
        <w:spacing w:line="360" w:lineRule="auto"/>
        <w:ind w:firstLine="484"/>
        <w:rPr>
          <w:rFonts w:hAnsi="宋体" w:cs="宋体"/>
          <w:sz w:val="24"/>
          <w:szCs w:val="24"/>
        </w:rPr>
      </w:pPr>
      <w:r>
        <w:rPr>
          <w:rFonts w:hint="eastAsia" w:hAnsi="宋体" w:cs="宋体"/>
          <w:sz w:val="24"/>
          <w:szCs w:val="24"/>
        </w:rPr>
        <w:t>当投标人报价在材料单价基准值</w:t>
      </w:r>
      <w:r>
        <w:rPr>
          <w:rFonts w:hAnsi="宋体" w:cs="宋体"/>
          <w:sz w:val="24"/>
          <w:szCs w:val="24"/>
        </w:rPr>
        <w:t>95%–103%</w:t>
      </w:r>
      <w:r>
        <w:rPr>
          <w:rFonts w:hint="eastAsia" w:hAnsi="宋体" w:cs="宋体"/>
          <w:sz w:val="24"/>
          <w:szCs w:val="24"/>
        </w:rPr>
        <w:t>范围内（不含</w:t>
      </w:r>
      <w:r>
        <w:rPr>
          <w:rFonts w:hAnsi="宋体" w:cs="宋体"/>
          <w:sz w:val="24"/>
          <w:szCs w:val="24"/>
        </w:rPr>
        <w:t>95%</w:t>
      </w:r>
      <w:r>
        <w:rPr>
          <w:rFonts w:hint="eastAsia" w:hAnsi="宋体" w:cs="宋体"/>
          <w:sz w:val="24"/>
          <w:szCs w:val="24"/>
        </w:rPr>
        <w:t>和</w:t>
      </w:r>
      <w:r>
        <w:rPr>
          <w:rFonts w:hAnsi="宋体" w:cs="宋体"/>
          <w:sz w:val="24"/>
          <w:szCs w:val="24"/>
        </w:rPr>
        <w:t>103%</w:t>
      </w:r>
      <w:r>
        <w:rPr>
          <w:rFonts w:hint="eastAsia" w:hAnsi="宋体" w:cs="宋体"/>
          <w:sz w:val="24"/>
          <w:szCs w:val="24"/>
        </w:rPr>
        <w:t>）每项得</w:t>
      </w:r>
      <w:r>
        <w:rPr>
          <w:rFonts w:hAnsi="宋体" w:cs="宋体"/>
          <w:sz w:val="24"/>
          <w:szCs w:val="24"/>
        </w:rPr>
        <w:t>0.5</w:t>
      </w:r>
      <w:r>
        <w:rPr>
          <w:rFonts w:hint="eastAsia" w:hAnsi="宋体" w:cs="宋体"/>
          <w:sz w:val="24"/>
          <w:szCs w:val="24"/>
        </w:rPr>
        <w:t>分，在材料单价基准值</w:t>
      </w:r>
      <w:r>
        <w:rPr>
          <w:rFonts w:hAnsi="宋体" w:cs="宋体"/>
          <w:sz w:val="24"/>
          <w:szCs w:val="24"/>
        </w:rPr>
        <w:t>90%–95%</w:t>
      </w:r>
      <w:r>
        <w:rPr>
          <w:rFonts w:hint="eastAsia" w:hAnsi="宋体" w:cs="宋体"/>
          <w:sz w:val="24"/>
          <w:szCs w:val="24"/>
        </w:rPr>
        <w:t>范围内（含</w:t>
      </w:r>
      <w:r>
        <w:rPr>
          <w:rFonts w:hAnsi="宋体" w:cs="宋体"/>
          <w:sz w:val="24"/>
          <w:szCs w:val="24"/>
        </w:rPr>
        <w:t>90%</w:t>
      </w:r>
      <w:r>
        <w:rPr>
          <w:rFonts w:hint="eastAsia" w:hAnsi="宋体" w:cs="宋体"/>
          <w:sz w:val="24"/>
          <w:szCs w:val="24"/>
        </w:rPr>
        <w:t>和</w:t>
      </w:r>
      <w:r>
        <w:rPr>
          <w:rFonts w:hAnsi="宋体" w:cs="宋体"/>
          <w:sz w:val="24"/>
          <w:szCs w:val="24"/>
        </w:rPr>
        <w:t>95%</w:t>
      </w:r>
      <w:r>
        <w:rPr>
          <w:rFonts w:hint="eastAsia" w:hAnsi="宋体" w:cs="宋体"/>
          <w:sz w:val="24"/>
          <w:szCs w:val="24"/>
        </w:rPr>
        <w:t>）每项得</w:t>
      </w:r>
      <w:r>
        <w:rPr>
          <w:rFonts w:hAnsi="宋体" w:cs="宋体"/>
          <w:sz w:val="24"/>
          <w:szCs w:val="24"/>
        </w:rPr>
        <w:t>0.25</w:t>
      </w:r>
      <w:r>
        <w:rPr>
          <w:rFonts w:hint="eastAsia" w:hAnsi="宋体" w:cs="宋体"/>
          <w:sz w:val="24"/>
          <w:szCs w:val="24"/>
        </w:rPr>
        <w:t>分。超出该范围的不得分。材料单价与综合单价组成中价格不一致时该项为</w:t>
      </w:r>
      <w:r>
        <w:rPr>
          <w:rFonts w:hAnsi="宋体" w:cs="宋体"/>
          <w:sz w:val="24"/>
          <w:szCs w:val="24"/>
        </w:rPr>
        <w:t>0</w:t>
      </w:r>
      <w:r>
        <w:rPr>
          <w:rFonts w:hint="eastAsia" w:hAnsi="宋体" w:cs="宋体"/>
          <w:sz w:val="24"/>
          <w:szCs w:val="24"/>
        </w:rPr>
        <w:t>分。</w:t>
      </w:r>
    </w:p>
    <w:p>
      <w:pPr>
        <w:adjustRightInd w:val="0"/>
        <w:snapToGrid w:val="0"/>
        <w:spacing w:line="360" w:lineRule="auto"/>
        <w:ind w:firstLine="484"/>
        <w:rPr>
          <w:rFonts w:hAnsi="宋体" w:cs="宋体"/>
          <w:sz w:val="24"/>
          <w:szCs w:val="24"/>
        </w:rPr>
      </w:pPr>
      <w:r>
        <w:rPr>
          <w:rFonts w:hint="eastAsia" w:hAnsi="宋体" w:cs="宋体"/>
          <w:b/>
          <w:sz w:val="24"/>
          <w:szCs w:val="24"/>
        </w:rPr>
        <w:t>注：针对上述</w:t>
      </w:r>
      <w:r>
        <w:rPr>
          <w:rFonts w:hAnsi="宋体" w:cs="宋体"/>
          <w:b/>
          <w:sz w:val="24"/>
          <w:szCs w:val="24"/>
        </w:rPr>
        <w:t>2</w:t>
      </w:r>
      <w:r>
        <w:rPr>
          <w:rFonts w:hint="eastAsia" w:hAnsi="宋体" w:cs="宋体"/>
          <w:b/>
          <w:sz w:val="24"/>
          <w:szCs w:val="24"/>
        </w:rPr>
        <w:t>、</w:t>
      </w:r>
      <w:r>
        <w:rPr>
          <w:rFonts w:hAnsi="宋体" w:cs="宋体"/>
          <w:b/>
          <w:sz w:val="24"/>
          <w:szCs w:val="24"/>
        </w:rPr>
        <w:t>4</w:t>
      </w:r>
      <w:r>
        <w:rPr>
          <w:rFonts w:hint="eastAsia" w:hAnsi="宋体" w:cs="宋体"/>
          <w:b/>
          <w:sz w:val="24"/>
          <w:szCs w:val="24"/>
        </w:rPr>
        <w:t>款项中部分分部分项工程项目数量较少、施工工艺简单、主材种类较少而不能满足最低抽项要求的，应将所有分部分项工程项目或主要材料项目纳入评审范围。</w:t>
      </w:r>
    </w:p>
    <w:p>
      <w:pPr>
        <w:snapToGrid w:val="0"/>
        <w:spacing w:afterLines="50"/>
        <w:ind w:firstLine="482"/>
        <w:rPr>
          <w:rFonts w:hAnsi="宋体" w:cs="宋体"/>
          <w:b/>
          <w:bCs/>
          <w:sz w:val="24"/>
          <w:szCs w:val="24"/>
        </w:rPr>
      </w:pPr>
      <w:r>
        <w:rPr>
          <w:rFonts w:hint="eastAsia" w:hAnsi="宋体" w:cs="宋体"/>
          <w:b/>
          <w:bCs/>
          <w:sz w:val="24"/>
          <w:szCs w:val="24"/>
        </w:rPr>
        <w:t>（三）综合标（25分）</w:t>
      </w:r>
    </w:p>
    <w:tbl>
      <w:tblPr>
        <w:tblStyle w:val="30"/>
        <w:tblW w:w="9694" w:type="dxa"/>
        <w:jc w:val="center"/>
        <w:tblCellSpacing w:w="0" w:type="dxa"/>
        <w:shd w:val="clear" w:color="auto" w:fill="FAFAFA"/>
        <w:tblLayout w:type="fixed"/>
        <w:tblCellMar>
          <w:top w:w="0" w:type="dxa"/>
          <w:left w:w="0" w:type="dxa"/>
          <w:bottom w:w="0" w:type="dxa"/>
          <w:right w:w="0" w:type="dxa"/>
        </w:tblCellMar>
      </w:tblPr>
      <w:tblGrid>
        <w:gridCol w:w="840"/>
        <w:gridCol w:w="1634"/>
        <w:gridCol w:w="5571"/>
        <w:gridCol w:w="1649"/>
      </w:tblGrid>
      <w:tr>
        <w:tblPrEx>
          <w:shd w:val="clear" w:color="auto" w:fill="FAFAFA"/>
          <w:tblCellMar>
            <w:top w:w="0" w:type="dxa"/>
            <w:left w:w="0" w:type="dxa"/>
            <w:bottom w:w="0" w:type="dxa"/>
            <w:right w:w="0" w:type="dxa"/>
          </w:tblCellMar>
        </w:tblPrEx>
        <w:trPr>
          <w:trHeight w:val="480" w:hRule="atLeast"/>
          <w:tblCellSpacing w:w="0" w:type="dxa"/>
          <w:jc w:val="center"/>
        </w:trPr>
        <w:tc>
          <w:tcPr>
            <w:tcW w:w="840" w:type="dxa"/>
            <w:tcBorders>
              <w:top w:val="single" w:color="auto" w:sz="8" w:space="0"/>
              <w:left w:val="single" w:color="auto" w:sz="8" w:space="0"/>
              <w:bottom w:val="single" w:color="auto" w:sz="8" w:space="0"/>
              <w:right w:val="single" w:color="auto" w:sz="8" w:space="0"/>
            </w:tcBorders>
            <w:shd w:val="clear" w:color="auto" w:fill="auto"/>
            <w:tcMar>
              <w:top w:w="0" w:type="dxa"/>
              <w:left w:w="131" w:type="dxa"/>
              <w:bottom w:w="0" w:type="dxa"/>
              <w:right w:w="131" w:type="dxa"/>
            </w:tcMar>
            <w:vAlign w:val="center"/>
          </w:tcPr>
          <w:p>
            <w:pPr>
              <w:widowControl/>
              <w:spacing w:after="94"/>
              <w:jc w:val="center"/>
              <w:rPr>
                <w:rFonts w:ascii="Verdana" w:hAnsi="Verdana" w:cs="宋体"/>
                <w:b/>
                <w:sz w:val="22"/>
              </w:rPr>
            </w:pPr>
            <w:r>
              <w:rPr>
                <w:rFonts w:hint="eastAsia" w:hAnsi="宋体" w:cs="宋体"/>
                <w:b/>
                <w:sz w:val="22"/>
              </w:rPr>
              <w:t>序号</w:t>
            </w:r>
          </w:p>
        </w:tc>
        <w:tc>
          <w:tcPr>
            <w:tcW w:w="1634" w:type="dxa"/>
            <w:tcBorders>
              <w:top w:val="single" w:color="auto" w:sz="8" w:space="0"/>
              <w:left w:val="nil"/>
              <w:bottom w:val="single" w:color="auto" w:sz="8" w:space="0"/>
              <w:right w:val="single" w:color="auto" w:sz="8" w:space="0"/>
            </w:tcBorders>
            <w:shd w:val="clear" w:color="auto" w:fill="auto"/>
            <w:tcMar>
              <w:top w:w="0" w:type="dxa"/>
              <w:left w:w="131" w:type="dxa"/>
              <w:bottom w:w="0" w:type="dxa"/>
              <w:right w:w="131" w:type="dxa"/>
            </w:tcMar>
            <w:vAlign w:val="center"/>
          </w:tcPr>
          <w:p>
            <w:pPr>
              <w:widowControl/>
              <w:spacing w:after="94"/>
              <w:jc w:val="center"/>
              <w:rPr>
                <w:rFonts w:ascii="Verdana" w:hAnsi="Verdana" w:cs="宋体"/>
                <w:b/>
                <w:sz w:val="22"/>
              </w:rPr>
            </w:pPr>
            <w:r>
              <w:rPr>
                <w:rFonts w:hint="eastAsia" w:hAnsi="宋体" w:cs="宋体"/>
                <w:b/>
                <w:sz w:val="22"/>
              </w:rPr>
              <w:t>项</w:t>
            </w:r>
            <w:r>
              <w:rPr>
                <w:rFonts w:ascii="Verdana" w:hAnsi="Verdana" w:cs="宋体"/>
                <w:b/>
                <w:sz w:val="22"/>
              </w:rPr>
              <w:t> </w:t>
            </w:r>
            <w:r>
              <w:rPr>
                <w:rFonts w:hint="eastAsia" w:hAnsi="宋体" w:cs="宋体"/>
                <w:b/>
                <w:sz w:val="22"/>
              </w:rPr>
              <w:t>目</w:t>
            </w:r>
          </w:p>
        </w:tc>
        <w:tc>
          <w:tcPr>
            <w:tcW w:w="5571" w:type="dxa"/>
            <w:tcBorders>
              <w:top w:val="single" w:color="auto" w:sz="8" w:space="0"/>
              <w:left w:val="nil"/>
              <w:bottom w:val="single" w:color="auto" w:sz="8" w:space="0"/>
              <w:right w:val="single" w:color="auto" w:sz="8" w:space="0"/>
            </w:tcBorders>
            <w:shd w:val="clear" w:color="auto" w:fill="auto"/>
            <w:tcMar>
              <w:top w:w="0" w:type="dxa"/>
              <w:left w:w="131" w:type="dxa"/>
              <w:bottom w:w="0" w:type="dxa"/>
              <w:right w:w="131" w:type="dxa"/>
            </w:tcMar>
            <w:vAlign w:val="center"/>
          </w:tcPr>
          <w:p>
            <w:pPr>
              <w:widowControl/>
              <w:spacing w:after="94"/>
              <w:jc w:val="center"/>
              <w:rPr>
                <w:rFonts w:ascii="Verdana" w:hAnsi="Verdana" w:cs="宋体"/>
                <w:b/>
                <w:sz w:val="22"/>
              </w:rPr>
            </w:pPr>
            <w:r>
              <w:rPr>
                <w:rFonts w:hint="eastAsia" w:hAnsi="宋体" w:cs="宋体"/>
                <w:b/>
                <w:sz w:val="22"/>
              </w:rPr>
              <w:t>评</w:t>
            </w:r>
            <w:r>
              <w:rPr>
                <w:rFonts w:ascii="Verdana" w:hAnsi="Verdana" w:cs="宋体"/>
                <w:b/>
                <w:sz w:val="22"/>
              </w:rPr>
              <w:t> </w:t>
            </w:r>
            <w:r>
              <w:rPr>
                <w:rFonts w:hint="eastAsia" w:hAnsi="宋体" w:cs="宋体"/>
                <w:b/>
                <w:sz w:val="22"/>
              </w:rPr>
              <w:t>审</w:t>
            </w:r>
            <w:r>
              <w:rPr>
                <w:rFonts w:ascii="Verdana" w:hAnsi="Verdana" w:cs="宋体"/>
                <w:b/>
                <w:sz w:val="22"/>
              </w:rPr>
              <w:t> </w:t>
            </w:r>
            <w:r>
              <w:rPr>
                <w:rFonts w:hint="eastAsia" w:hAnsi="宋体" w:cs="宋体"/>
                <w:b/>
                <w:sz w:val="22"/>
              </w:rPr>
              <w:t>标</w:t>
            </w:r>
            <w:r>
              <w:rPr>
                <w:rFonts w:ascii="Verdana" w:hAnsi="Verdana" w:cs="宋体"/>
                <w:b/>
                <w:sz w:val="22"/>
              </w:rPr>
              <w:t> </w:t>
            </w:r>
            <w:r>
              <w:rPr>
                <w:rFonts w:hint="eastAsia" w:hAnsi="宋体" w:cs="宋体"/>
                <w:b/>
                <w:sz w:val="22"/>
              </w:rPr>
              <w:t>准</w:t>
            </w:r>
          </w:p>
        </w:tc>
        <w:tc>
          <w:tcPr>
            <w:tcW w:w="1649" w:type="dxa"/>
            <w:tcBorders>
              <w:top w:val="single" w:color="auto" w:sz="8" w:space="0"/>
              <w:left w:val="nil"/>
              <w:bottom w:val="single" w:color="auto" w:sz="8" w:space="0"/>
              <w:right w:val="single" w:color="auto" w:sz="8" w:space="0"/>
            </w:tcBorders>
            <w:shd w:val="clear" w:color="auto" w:fill="auto"/>
            <w:tcMar>
              <w:top w:w="0" w:type="dxa"/>
              <w:left w:w="131" w:type="dxa"/>
              <w:bottom w:w="0" w:type="dxa"/>
              <w:right w:w="131" w:type="dxa"/>
            </w:tcMar>
            <w:vAlign w:val="center"/>
          </w:tcPr>
          <w:p>
            <w:pPr>
              <w:widowControl/>
              <w:spacing w:after="94"/>
              <w:jc w:val="center"/>
              <w:rPr>
                <w:rFonts w:ascii="Verdana" w:hAnsi="Verdana" w:cs="宋体"/>
                <w:b/>
                <w:sz w:val="22"/>
              </w:rPr>
            </w:pPr>
            <w:r>
              <w:rPr>
                <w:rFonts w:hint="eastAsia" w:hAnsi="宋体" w:cs="宋体"/>
                <w:b/>
                <w:sz w:val="22"/>
              </w:rPr>
              <w:t>评审计分</w:t>
            </w:r>
          </w:p>
        </w:tc>
      </w:tr>
      <w:tr>
        <w:tblPrEx>
          <w:tblCellMar>
            <w:top w:w="0" w:type="dxa"/>
            <w:left w:w="0" w:type="dxa"/>
            <w:bottom w:w="0" w:type="dxa"/>
            <w:right w:w="0" w:type="dxa"/>
          </w:tblCellMar>
        </w:tblPrEx>
        <w:trPr>
          <w:trHeight w:val="465" w:hRule="atLeast"/>
          <w:tblCellSpacing w:w="0" w:type="dxa"/>
          <w:jc w:val="center"/>
        </w:trPr>
        <w:tc>
          <w:tcPr>
            <w:tcW w:w="840" w:type="dxa"/>
            <w:tcBorders>
              <w:top w:val="nil"/>
              <w:left w:val="single" w:color="auto" w:sz="8" w:space="0"/>
              <w:bottom w:val="single" w:color="auto" w:sz="8" w:space="0"/>
              <w:right w:val="single" w:color="auto" w:sz="8" w:space="0"/>
            </w:tcBorders>
            <w:shd w:val="clear" w:color="auto" w:fill="auto"/>
            <w:tcMar>
              <w:top w:w="0" w:type="dxa"/>
              <w:left w:w="131" w:type="dxa"/>
              <w:bottom w:w="0" w:type="dxa"/>
              <w:right w:w="131" w:type="dxa"/>
            </w:tcMar>
            <w:vAlign w:val="center"/>
          </w:tcPr>
          <w:p>
            <w:pPr>
              <w:widowControl/>
              <w:spacing w:after="94"/>
              <w:jc w:val="center"/>
              <w:rPr>
                <w:rFonts w:ascii="Verdana" w:hAnsi="Verdana" w:cs="宋体"/>
                <w:sz w:val="22"/>
              </w:rPr>
            </w:pPr>
            <w:r>
              <w:rPr>
                <w:rFonts w:ascii="Verdana" w:hAnsi="Verdana" w:cs="宋体"/>
                <w:sz w:val="22"/>
              </w:rPr>
              <w:t>1</w:t>
            </w:r>
          </w:p>
        </w:tc>
        <w:tc>
          <w:tcPr>
            <w:tcW w:w="1634" w:type="dxa"/>
            <w:tcBorders>
              <w:top w:val="nil"/>
              <w:left w:val="nil"/>
              <w:bottom w:val="single" w:color="auto" w:sz="8" w:space="0"/>
              <w:right w:val="single" w:color="auto" w:sz="8" w:space="0"/>
            </w:tcBorders>
            <w:shd w:val="clear" w:color="auto" w:fill="auto"/>
            <w:tcMar>
              <w:top w:w="0" w:type="dxa"/>
              <w:left w:w="131" w:type="dxa"/>
              <w:bottom w:w="0" w:type="dxa"/>
              <w:right w:w="131" w:type="dxa"/>
            </w:tcMar>
            <w:vAlign w:val="center"/>
          </w:tcPr>
          <w:p>
            <w:pPr>
              <w:widowControl/>
              <w:spacing w:after="94"/>
              <w:jc w:val="center"/>
              <w:rPr>
                <w:rFonts w:ascii="Verdana" w:hAnsi="Verdana" w:cs="宋体"/>
                <w:sz w:val="22"/>
              </w:rPr>
            </w:pPr>
            <w:r>
              <w:rPr>
                <w:rFonts w:hint="eastAsia" w:hAnsi="宋体" w:cs="宋体"/>
                <w:sz w:val="22"/>
              </w:rPr>
              <w:t>企业业绩</w:t>
            </w:r>
          </w:p>
        </w:tc>
        <w:tc>
          <w:tcPr>
            <w:tcW w:w="5571" w:type="dxa"/>
            <w:tcBorders>
              <w:top w:val="nil"/>
              <w:left w:val="nil"/>
              <w:bottom w:val="single" w:color="auto" w:sz="8" w:space="0"/>
              <w:right w:val="single" w:color="auto" w:sz="8" w:space="0"/>
            </w:tcBorders>
            <w:shd w:val="clear" w:color="auto" w:fill="auto"/>
            <w:tcMar>
              <w:top w:w="0" w:type="dxa"/>
              <w:left w:w="131" w:type="dxa"/>
              <w:bottom w:w="0" w:type="dxa"/>
              <w:right w:w="131" w:type="dxa"/>
            </w:tcMar>
            <w:vAlign w:val="center"/>
          </w:tcPr>
          <w:p>
            <w:pPr>
              <w:widowControl/>
              <w:spacing w:after="94"/>
              <w:jc w:val="left"/>
              <w:rPr>
                <w:rFonts w:ascii="Verdana" w:hAnsi="Verdana" w:cs="宋体"/>
                <w:sz w:val="22"/>
              </w:rPr>
            </w:pPr>
            <w:r>
              <w:rPr>
                <w:rFonts w:hint="eastAsia" w:hAnsi="宋体" w:cs="宋体"/>
                <w:sz w:val="22"/>
              </w:rPr>
              <w:t>自2017年1月1日以来企业具有类似业绩者，每项得1分，本项最高得4分。（以中标通知书和合同协议书或合同协议书和工程竣工验收备案表（或工程竣工验收证书）为准）。</w:t>
            </w:r>
          </w:p>
        </w:tc>
        <w:tc>
          <w:tcPr>
            <w:tcW w:w="1649" w:type="dxa"/>
            <w:tcBorders>
              <w:top w:val="nil"/>
              <w:left w:val="nil"/>
              <w:bottom w:val="single" w:color="auto" w:sz="8" w:space="0"/>
              <w:right w:val="single" w:color="auto" w:sz="8" w:space="0"/>
            </w:tcBorders>
            <w:shd w:val="clear" w:color="auto" w:fill="auto"/>
            <w:tcMar>
              <w:top w:w="0" w:type="dxa"/>
              <w:left w:w="131" w:type="dxa"/>
              <w:bottom w:w="0" w:type="dxa"/>
              <w:right w:w="131" w:type="dxa"/>
            </w:tcMar>
            <w:vAlign w:val="center"/>
          </w:tcPr>
          <w:p>
            <w:pPr>
              <w:widowControl/>
              <w:spacing w:after="94"/>
              <w:jc w:val="center"/>
              <w:rPr>
                <w:rFonts w:ascii="Verdana" w:hAnsi="Verdana" w:cs="宋体"/>
                <w:sz w:val="22"/>
              </w:rPr>
            </w:pPr>
            <w:r>
              <w:rPr>
                <w:rFonts w:ascii="Verdana" w:hAnsi="Verdana" w:cs="宋体"/>
                <w:sz w:val="22"/>
              </w:rPr>
              <w:t>0</w:t>
            </w:r>
            <w:r>
              <w:rPr>
                <w:rFonts w:hint="eastAsia" w:hAnsi="宋体" w:cs="宋体"/>
                <w:sz w:val="22"/>
              </w:rPr>
              <w:t>＜得分</w:t>
            </w:r>
            <w:r>
              <w:rPr>
                <w:rFonts w:ascii="Verdana" w:hAnsi="Verdana" w:cs="宋体"/>
                <w:sz w:val="22"/>
              </w:rPr>
              <w:t>≤4</w:t>
            </w:r>
          </w:p>
        </w:tc>
      </w:tr>
      <w:tr>
        <w:tblPrEx>
          <w:tblCellMar>
            <w:top w:w="0" w:type="dxa"/>
            <w:left w:w="0" w:type="dxa"/>
            <w:bottom w:w="0" w:type="dxa"/>
            <w:right w:w="0" w:type="dxa"/>
          </w:tblCellMar>
        </w:tblPrEx>
        <w:trPr>
          <w:trHeight w:val="555" w:hRule="atLeast"/>
          <w:tblCellSpacing w:w="0" w:type="dxa"/>
          <w:jc w:val="center"/>
        </w:trPr>
        <w:tc>
          <w:tcPr>
            <w:tcW w:w="840" w:type="dxa"/>
            <w:tcBorders>
              <w:top w:val="nil"/>
              <w:left w:val="single" w:color="auto" w:sz="8" w:space="0"/>
              <w:bottom w:val="single" w:color="auto" w:sz="8" w:space="0"/>
              <w:right w:val="single" w:color="auto" w:sz="8" w:space="0"/>
            </w:tcBorders>
            <w:shd w:val="clear" w:color="auto" w:fill="auto"/>
            <w:tcMar>
              <w:top w:w="0" w:type="dxa"/>
              <w:left w:w="131" w:type="dxa"/>
              <w:bottom w:w="0" w:type="dxa"/>
              <w:right w:w="131" w:type="dxa"/>
            </w:tcMar>
            <w:vAlign w:val="center"/>
          </w:tcPr>
          <w:p>
            <w:pPr>
              <w:widowControl/>
              <w:spacing w:after="94"/>
              <w:jc w:val="center"/>
              <w:rPr>
                <w:rFonts w:ascii="Verdana" w:hAnsi="Verdana" w:cs="宋体"/>
                <w:sz w:val="22"/>
              </w:rPr>
            </w:pPr>
            <w:r>
              <w:rPr>
                <w:rFonts w:ascii="Verdana" w:hAnsi="Verdana" w:cs="宋体"/>
                <w:sz w:val="22"/>
              </w:rPr>
              <w:t>2</w:t>
            </w:r>
          </w:p>
        </w:tc>
        <w:tc>
          <w:tcPr>
            <w:tcW w:w="1634" w:type="dxa"/>
            <w:tcBorders>
              <w:top w:val="nil"/>
              <w:left w:val="nil"/>
              <w:bottom w:val="single" w:color="auto" w:sz="8" w:space="0"/>
              <w:right w:val="single" w:color="auto" w:sz="8" w:space="0"/>
            </w:tcBorders>
            <w:shd w:val="clear" w:color="auto" w:fill="auto"/>
            <w:tcMar>
              <w:top w:w="0" w:type="dxa"/>
              <w:left w:w="131" w:type="dxa"/>
              <w:bottom w:w="0" w:type="dxa"/>
              <w:right w:w="131" w:type="dxa"/>
            </w:tcMar>
            <w:vAlign w:val="center"/>
          </w:tcPr>
          <w:p>
            <w:pPr>
              <w:widowControl/>
              <w:spacing w:after="94"/>
              <w:jc w:val="center"/>
              <w:rPr>
                <w:rFonts w:ascii="Verdana" w:hAnsi="Verdana" w:cs="宋体"/>
                <w:sz w:val="22"/>
              </w:rPr>
            </w:pPr>
            <w:r>
              <w:rPr>
                <w:rFonts w:hint="eastAsia" w:hAnsi="宋体" w:cs="宋体"/>
                <w:sz w:val="22"/>
              </w:rPr>
              <w:t>项目经理业绩</w:t>
            </w:r>
          </w:p>
        </w:tc>
        <w:tc>
          <w:tcPr>
            <w:tcW w:w="5571" w:type="dxa"/>
            <w:tcBorders>
              <w:top w:val="nil"/>
              <w:left w:val="nil"/>
              <w:bottom w:val="single" w:color="auto" w:sz="8" w:space="0"/>
              <w:right w:val="single" w:color="auto" w:sz="8" w:space="0"/>
            </w:tcBorders>
            <w:shd w:val="clear" w:color="auto" w:fill="auto"/>
            <w:tcMar>
              <w:top w:w="0" w:type="dxa"/>
              <w:left w:w="131" w:type="dxa"/>
              <w:bottom w:w="0" w:type="dxa"/>
              <w:right w:w="131" w:type="dxa"/>
            </w:tcMar>
            <w:vAlign w:val="center"/>
          </w:tcPr>
          <w:p>
            <w:pPr>
              <w:widowControl/>
              <w:spacing w:after="94"/>
              <w:jc w:val="left"/>
              <w:rPr>
                <w:rFonts w:ascii="Verdana" w:hAnsi="Verdana" w:cs="宋体"/>
                <w:sz w:val="22"/>
              </w:rPr>
            </w:pPr>
            <w:r>
              <w:rPr>
                <w:rFonts w:hint="eastAsia" w:hAnsi="宋体" w:cs="宋体"/>
                <w:sz w:val="22"/>
              </w:rPr>
              <w:t>自2017年1月1日以来拟派项目经理具有类似业绩者，每项得6分，本项最高得6分。（以中标通知书和合同协议书或合同协议书和工程竣工验收备案表（或工程竣工验收证书）为准，若不显示项目经理姓名者需提供建设单位或招投标监管部门出具的相关证明文件）。</w:t>
            </w:r>
          </w:p>
        </w:tc>
        <w:tc>
          <w:tcPr>
            <w:tcW w:w="1649" w:type="dxa"/>
            <w:tcBorders>
              <w:top w:val="nil"/>
              <w:left w:val="nil"/>
              <w:bottom w:val="single" w:color="auto" w:sz="8" w:space="0"/>
              <w:right w:val="single" w:color="auto" w:sz="8" w:space="0"/>
            </w:tcBorders>
            <w:shd w:val="clear" w:color="auto" w:fill="auto"/>
            <w:tcMar>
              <w:top w:w="0" w:type="dxa"/>
              <w:left w:w="131" w:type="dxa"/>
              <w:bottom w:w="0" w:type="dxa"/>
              <w:right w:w="131" w:type="dxa"/>
            </w:tcMar>
            <w:vAlign w:val="center"/>
          </w:tcPr>
          <w:p>
            <w:pPr>
              <w:widowControl/>
              <w:spacing w:after="94"/>
              <w:jc w:val="center"/>
              <w:rPr>
                <w:rFonts w:ascii="Verdana" w:hAnsi="Verdana" w:cs="宋体"/>
                <w:sz w:val="22"/>
              </w:rPr>
            </w:pPr>
            <w:r>
              <w:rPr>
                <w:rFonts w:ascii="Verdana" w:hAnsi="Verdana" w:cs="宋体"/>
                <w:sz w:val="22"/>
              </w:rPr>
              <w:t>0</w:t>
            </w:r>
            <w:r>
              <w:rPr>
                <w:rFonts w:hint="eastAsia" w:hAnsi="宋体" w:cs="宋体"/>
                <w:sz w:val="22"/>
              </w:rPr>
              <w:t>＜得分</w:t>
            </w:r>
            <w:r>
              <w:rPr>
                <w:rFonts w:ascii="Verdana" w:hAnsi="Verdana" w:cs="宋体"/>
                <w:sz w:val="22"/>
              </w:rPr>
              <w:t>≤6</w:t>
            </w:r>
          </w:p>
        </w:tc>
      </w:tr>
      <w:tr>
        <w:tblPrEx>
          <w:tblCellMar>
            <w:top w:w="0" w:type="dxa"/>
            <w:left w:w="0" w:type="dxa"/>
            <w:bottom w:w="0" w:type="dxa"/>
            <w:right w:w="0" w:type="dxa"/>
          </w:tblCellMar>
        </w:tblPrEx>
        <w:trPr>
          <w:trHeight w:val="630" w:hRule="atLeast"/>
          <w:tblCellSpacing w:w="0" w:type="dxa"/>
          <w:jc w:val="center"/>
        </w:trPr>
        <w:tc>
          <w:tcPr>
            <w:tcW w:w="840" w:type="dxa"/>
            <w:vMerge w:val="restart"/>
            <w:tcBorders>
              <w:top w:val="nil"/>
              <w:left w:val="single" w:color="auto" w:sz="8" w:space="0"/>
              <w:bottom w:val="single" w:color="auto" w:sz="8" w:space="0"/>
              <w:right w:val="single" w:color="auto" w:sz="8" w:space="0"/>
            </w:tcBorders>
            <w:shd w:val="clear" w:color="auto" w:fill="auto"/>
            <w:tcMar>
              <w:top w:w="0" w:type="dxa"/>
              <w:left w:w="131" w:type="dxa"/>
              <w:bottom w:w="0" w:type="dxa"/>
              <w:right w:w="131" w:type="dxa"/>
            </w:tcMar>
            <w:vAlign w:val="center"/>
          </w:tcPr>
          <w:p>
            <w:pPr>
              <w:widowControl/>
              <w:spacing w:after="94"/>
              <w:jc w:val="center"/>
              <w:rPr>
                <w:rFonts w:ascii="Verdana" w:hAnsi="Verdana" w:cs="宋体"/>
                <w:sz w:val="22"/>
              </w:rPr>
            </w:pPr>
            <w:r>
              <w:rPr>
                <w:rFonts w:ascii="Verdana" w:hAnsi="Verdana" w:cs="宋体"/>
                <w:sz w:val="22"/>
              </w:rPr>
              <w:t>3</w:t>
            </w:r>
          </w:p>
        </w:tc>
        <w:tc>
          <w:tcPr>
            <w:tcW w:w="1634" w:type="dxa"/>
            <w:vMerge w:val="restart"/>
            <w:tcBorders>
              <w:top w:val="nil"/>
              <w:left w:val="nil"/>
              <w:bottom w:val="single" w:color="auto" w:sz="8" w:space="0"/>
              <w:right w:val="single" w:color="auto" w:sz="8" w:space="0"/>
            </w:tcBorders>
            <w:shd w:val="clear" w:color="auto" w:fill="auto"/>
            <w:tcMar>
              <w:top w:w="0" w:type="dxa"/>
              <w:left w:w="131" w:type="dxa"/>
              <w:bottom w:w="0" w:type="dxa"/>
              <w:right w:w="131" w:type="dxa"/>
            </w:tcMar>
            <w:vAlign w:val="center"/>
          </w:tcPr>
          <w:p>
            <w:pPr>
              <w:widowControl/>
              <w:spacing w:after="94"/>
              <w:jc w:val="center"/>
              <w:rPr>
                <w:rFonts w:ascii="Verdana" w:hAnsi="Verdana" w:cs="宋体"/>
                <w:sz w:val="22"/>
              </w:rPr>
            </w:pPr>
            <w:r>
              <w:rPr>
                <w:rFonts w:hint="eastAsia" w:hAnsi="宋体" w:cs="宋体"/>
                <w:sz w:val="22"/>
              </w:rPr>
              <w:t>优惠承诺</w:t>
            </w:r>
          </w:p>
        </w:tc>
        <w:tc>
          <w:tcPr>
            <w:tcW w:w="5571" w:type="dxa"/>
            <w:tcBorders>
              <w:top w:val="nil"/>
              <w:left w:val="nil"/>
              <w:bottom w:val="single" w:color="auto" w:sz="8" w:space="0"/>
              <w:right w:val="single" w:color="auto" w:sz="8" w:space="0"/>
            </w:tcBorders>
            <w:shd w:val="clear" w:color="auto" w:fill="auto"/>
            <w:tcMar>
              <w:top w:w="0" w:type="dxa"/>
              <w:left w:w="131" w:type="dxa"/>
              <w:bottom w:w="0" w:type="dxa"/>
              <w:right w:w="131" w:type="dxa"/>
            </w:tcMar>
            <w:vAlign w:val="center"/>
          </w:tcPr>
          <w:p>
            <w:pPr>
              <w:widowControl/>
              <w:spacing w:after="94"/>
              <w:jc w:val="left"/>
              <w:rPr>
                <w:rFonts w:ascii="Verdana" w:hAnsi="Verdana" w:cs="宋体"/>
                <w:sz w:val="22"/>
              </w:rPr>
            </w:pPr>
            <w:r>
              <w:rPr>
                <w:rFonts w:hint="eastAsia" w:hAnsi="宋体" w:cs="宋体"/>
                <w:sz w:val="22"/>
              </w:rPr>
              <w:t>优惠承诺应是书面的符合工程实际情况，确保依法依规，优惠合理，详实可行。</w:t>
            </w:r>
          </w:p>
        </w:tc>
        <w:tc>
          <w:tcPr>
            <w:tcW w:w="1649" w:type="dxa"/>
            <w:tcBorders>
              <w:top w:val="nil"/>
              <w:left w:val="nil"/>
              <w:bottom w:val="single" w:color="auto" w:sz="8" w:space="0"/>
              <w:right w:val="single" w:color="auto" w:sz="8" w:space="0"/>
            </w:tcBorders>
            <w:shd w:val="clear" w:color="auto" w:fill="auto"/>
            <w:tcMar>
              <w:top w:w="0" w:type="dxa"/>
              <w:left w:w="131" w:type="dxa"/>
              <w:bottom w:w="0" w:type="dxa"/>
              <w:right w:w="131" w:type="dxa"/>
            </w:tcMar>
            <w:vAlign w:val="center"/>
          </w:tcPr>
          <w:p>
            <w:pPr>
              <w:widowControl/>
              <w:spacing w:after="94"/>
              <w:jc w:val="center"/>
              <w:rPr>
                <w:rFonts w:ascii="Verdana" w:hAnsi="Verdana" w:cs="宋体"/>
                <w:sz w:val="22"/>
              </w:rPr>
            </w:pPr>
            <w:r>
              <w:rPr>
                <w:rFonts w:ascii="Verdana" w:hAnsi="Verdana" w:cs="宋体"/>
                <w:sz w:val="22"/>
              </w:rPr>
              <w:t>3</w:t>
            </w:r>
            <w:r>
              <w:rPr>
                <w:rFonts w:hint="eastAsia" w:hAnsi="宋体" w:cs="宋体"/>
                <w:sz w:val="22"/>
              </w:rPr>
              <w:t>＜得分</w:t>
            </w:r>
            <w:r>
              <w:rPr>
                <w:rFonts w:ascii="Verdana" w:hAnsi="Verdana" w:cs="宋体"/>
                <w:sz w:val="22"/>
              </w:rPr>
              <w:t>≤4</w:t>
            </w:r>
          </w:p>
        </w:tc>
      </w:tr>
      <w:tr>
        <w:tblPrEx>
          <w:tblCellMar>
            <w:top w:w="0" w:type="dxa"/>
            <w:left w:w="0" w:type="dxa"/>
            <w:bottom w:w="0" w:type="dxa"/>
            <w:right w:w="0" w:type="dxa"/>
          </w:tblCellMar>
        </w:tblPrEx>
        <w:trPr>
          <w:trHeight w:val="735" w:hRule="atLeast"/>
          <w:tblCellSpacing w:w="0" w:type="dxa"/>
          <w:jc w:val="center"/>
        </w:trPr>
        <w:tc>
          <w:tcPr>
            <w:tcW w:w="840" w:type="dxa"/>
            <w:vMerge w:val="continue"/>
            <w:tcBorders>
              <w:top w:val="nil"/>
              <w:left w:val="single" w:color="auto" w:sz="8" w:space="0"/>
              <w:bottom w:val="single" w:color="auto" w:sz="8" w:space="0"/>
              <w:right w:val="single" w:color="auto" w:sz="8" w:space="0"/>
            </w:tcBorders>
            <w:shd w:val="clear" w:color="auto" w:fill="FAFAFA"/>
            <w:vAlign w:val="center"/>
          </w:tcPr>
          <w:p>
            <w:pPr>
              <w:widowControl/>
              <w:jc w:val="left"/>
              <w:rPr>
                <w:rFonts w:ascii="Verdana" w:hAnsi="Verdana" w:cs="宋体"/>
                <w:sz w:val="22"/>
              </w:rPr>
            </w:pPr>
          </w:p>
        </w:tc>
        <w:tc>
          <w:tcPr>
            <w:tcW w:w="1634" w:type="dxa"/>
            <w:vMerge w:val="continue"/>
            <w:tcBorders>
              <w:top w:val="nil"/>
              <w:left w:val="nil"/>
              <w:bottom w:val="single" w:color="auto" w:sz="8" w:space="0"/>
              <w:right w:val="single" w:color="auto" w:sz="8" w:space="0"/>
            </w:tcBorders>
            <w:shd w:val="clear" w:color="auto" w:fill="FAFAFA"/>
            <w:vAlign w:val="center"/>
          </w:tcPr>
          <w:p>
            <w:pPr>
              <w:widowControl/>
              <w:jc w:val="left"/>
              <w:rPr>
                <w:rFonts w:ascii="Verdana" w:hAnsi="Verdana" w:cs="宋体"/>
                <w:sz w:val="22"/>
              </w:rPr>
            </w:pPr>
          </w:p>
        </w:tc>
        <w:tc>
          <w:tcPr>
            <w:tcW w:w="5571" w:type="dxa"/>
            <w:tcBorders>
              <w:top w:val="nil"/>
              <w:left w:val="nil"/>
              <w:bottom w:val="single" w:color="auto" w:sz="8" w:space="0"/>
              <w:right w:val="single" w:color="auto" w:sz="8" w:space="0"/>
            </w:tcBorders>
            <w:shd w:val="clear" w:color="auto" w:fill="auto"/>
            <w:tcMar>
              <w:top w:w="0" w:type="dxa"/>
              <w:left w:w="131" w:type="dxa"/>
              <w:bottom w:w="0" w:type="dxa"/>
              <w:right w:w="131" w:type="dxa"/>
            </w:tcMar>
            <w:vAlign w:val="center"/>
          </w:tcPr>
          <w:p>
            <w:pPr>
              <w:widowControl/>
              <w:spacing w:after="94"/>
              <w:jc w:val="left"/>
              <w:rPr>
                <w:rFonts w:ascii="Verdana" w:hAnsi="Verdana" w:cs="宋体"/>
                <w:sz w:val="22"/>
              </w:rPr>
            </w:pPr>
            <w:r>
              <w:rPr>
                <w:rFonts w:hint="eastAsia" w:hAnsi="宋体" w:cs="宋体"/>
                <w:sz w:val="22"/>
              </w:rPr>
              <w:t>优惠承诺符合工程实际情况，确保依法依规，优惠基本合理，基本详实可行。</w:t>
            </w:r>
          </w:p>
        </w:tc>
        <w:tc>
          <w:tcPr>
            <w:tcW w:w="1649" w:type="dxa"/>
            <w:tcBorders>
              <w:top w:val="nil"/>
              <w:left w:val="nil"/>
              <w:bottom w:val="single" w:color="auto" w:sz="8" w:space="0"/>
              <w:right w:val="single" w:color="auto" w:sz="8" w:space="0"/>
            </w:tcBorders>
            <w:shd w:val="clear" w:color="auto" w:fill="auto"/>
            <w:tcMar>
              <w:top w:w="0" w:type="dxa"/>
              <w:left w:w="131" w:type="dxa"/>
              <w:bottom w:w="0" w:type="dxa"/>
              <w:right w:w="131" w:type="dxa"/>
            </w:tcMar>
            <w:vAlign w:val="center"/>
          </w:tcPr>
          <w:p>
            <w:pPr>
              <w:widowControl/>
              <w:spacing w:after="94"/>
              <w:jc w:val="center"/>
              <w:rPr>
                <w:rFonts w:ascii="Verdana" w:hAnsi="Verdana" w:cs="宋体"/>
                <w:sz w:val="22"/>
              </w:rPr>
            </w:pPr>
            <w:r>
              <w:rPr>
                <w:rFonts w:ascii="Verdana" w:hAnsi="Verdana" w:cs="宋体"/>
                <w:sz w:val="22"/>
              </w:rPr>
              <w:t>1≤</w:t>
            </w:r>
            <w:r>
              <w:rPr>
                <w:rFonts w:hint="eastAsia" w:hAnsi="宋体" w:cs="宋体"/>
                <w:sz w:val="22"/>
              </w:rPr>
              <w:t>得分</w:t>
            </w:r>
            <w:r>
              <w:rPr>
                <w:rFonts w:ascii="Verdana" w:hAnsi="Verdana" w:cs="宋体"/>
                <w:sz w:val="22"/>
              </w:rPr>
              <w:t>≤3</w:t>
            </w:r>
          </w:p>
        </w:tc>
      </w:tr>
      <w:tr>
        <w:tblPrEx>
          <w:tblCellMar>
            <w:top w:w="0" w:type="dxa"/>
            <w:left w:w="0" w:type="dxa"/>
            <w:bottom w:w="0" w:type="dxa"/>
            <w:right w:w="0" w:type="dxa"/>
          </w:tblCellMar>
        </w:tblPrEx>
        <w:trPr>
          <w:trHeight w:val="825" w:hRule="atLeast"/>
          <w:tblCellSpacing w:w="0" w:type="dxa"/>
          <w:jc w:val="center"/>
        </w:trPr>
        <w:tc>
          <w:tcPr>
            <w:tcW w:w="840" w:type="dxa"/>
            <w:vMerge w:val="restart"/>
            <w:tcBorders>
              <w:top w:val="nil"/>
              <w:left w:val="single" w:color="auto" w:sz="8" w:space="0"/>
              <w:bottom w:val="single" w:color="auto" w:sz="8" w:space="0"/>
              <w:right w:val="single" w:color="auto" w:sz="8" w:space="0"/>
            </w:tcBorders>
            <w:shd w:val="clear" w:color="auto" w:fill="auto"/>
            <w:tcMar>
              <w:top w:w="0" w:type="dxa"/>
              <w:left w:w="131" w:type="dxa"/>
              <w:bottom w:w="0" w:type="dxa"/>
              <w:right w:w="131" w:type="dxa"/>
            </w:tcMar>
            <w:vAlign w:val="center"/>
          </w:tcPr>
          <w:p>
            <w:pPr>
              <w:widowControl/>
              <w:spacing w:after="94"/>
              <w:jc w:val="center"/>
              <w:rPr>
                <w:rFonts w:ascii="Verdana" w:hAnsi="Verdana" w:cs="宋体"/>
                <w:sz w:val="22"/>
              </w:rPr>
            </w:pPr>
            <w:r>
              <w:rPr>
                <w:rFonts w:ascii="Verdana" w:hAnsi="Verdana" w:cs="宋体"/>
                <w:sz w:val="22"/>
              </w:rPr>
              <w:t>4</w:t>
            </w:r>
          </w:p>
        </w:tc>
        <w:tc>
          <w:tcPr>
            <w:tcW w:w="1634" w:type="dxa"/>
            <w:vMerge w:val="restart"/>
            <w:tcBorders>
              <w:top w:val="nil"/>
              <w:left w:val="nil"/>
              <w:bottom w:val="single" w:color="auto" w:sz="8" w:space="0"/>
              <w:right w:val="single" w:color="auto" w:sz="8" w:space="0"/>
            </w:tcBorders>
            <w:shd w:val="clear" w:color="auto" w:fill="auto"/>
            <w:tcMar>
              <w:top w:w="0" w:type="dxa"/>
              <w:left w:w="131" w:type="dxa"/>
              <w:bottom w:w="0" w:type="dxa"/>
              <w:right w:w="131" w:type="dxa"/>
            </w:tcMar>
            <w:vAlign w:val="center"/>
          </w:tcPr>
          <w:p>
            <w:pPr>
              <w:widowControl/>
              <w:spacing w:after="94"/>
              <w:jc w:val="center"/>
              <w:rPr>
                <w:rFonts w:ascii="Verdana" w:hAnsi="Verdana" w:cs="宋体"/>
                <w:sz w:val="22"/>
              </w:rPr>
            </w:pPr>
            <w:r>
              <w:rPr>
                <w:rFonts w:hint="eastAsia" w:hAnsi="宋体" w:cs="宋体"/>
                <w:sz w:val="22"/>
              </w:rPr>
              <w:t>履职尽责承诺</w:t>
            </w:r>
          </w:p>
        </w:tc>
        <w:tc>
          <w:tcPr>
            <w:tcW w:w="5571" w:type="dxa"/>
            <w:tcBorders>
              <w:top w:val="nil"/>
              <w:left w:val="nil"/>
              <w:bottom w:val="single" w:color="auto" w:sz="8" w:space="0"/>
              <w:right w:val="single" w:color="auto" w:sz="8" w:space="0"/>
            </w:tcBorders>
            <w:shd w:val="clear" w:color="auto" w:fill="auto"/>
            <w:tcMar>
              <w:top w:w="0" w:type="dxa"/>
              <w:left w:w="131" w:type="dxa"/>
              <w:bottom w:w="0" w:type="dxa"/>
              <w:right w:w="131" w:type="dxa"/>
            </w:tcMar>
            <w:vAlign w:val="center"/>
          </w:tcPr>
          <w:p>
            <w:pPr>
              <w:widowControl/>
              <w:spacing w:after="94"/>
              <w:jc w:val="left"/>
              <w:rPr>
                <w:rFonts w:ascii="Verdana" w:hAnsi="Verdana" w:cs="宋体"/>
                <w:sz w:val="22"/>
              </w:rPr>
            </w:pPr>
            <w:r>
              <w:rPr>
                <w:rFonts w:hint="eastAsia" w:hAnsi="宋体" w:cs="宋体"/>
                <w:sz w:val="22"/>
              </w:rPr>
              <w:t>具有全面、详实、可行、合法有效的书面保证技术措施落实到位的承诺和落实不到位的处理承诺，其中包括各关键岗位人员（项目经理、技术负责人及相关技术人员、质量员、安全员、材料员、检测员等）的在岗、更换等履职尽责承诺，提供承包商履约保证。</w:t>
            </w:r>
          </w:p>
        </w:tc>
        <w:tc>
          <w:tcPr>
            <w:tcW w:w="1649" w:type="dxa"/>
            <w:tcBorders>
              <w:top w:val="nil"/>
              <w:left w:val="nil"/>
              <w:bottom w:val="single" w:color="auto" w:sz="8" w:space="0"/>
              <w:right w:val="single" w:color="auto" w:sz="8" w:space="0"/>
            </w:tcBorders>
            <w:shd w:val="clear" w:color="auto" w:fill="auto"/>
            <w:tcMar>
              <w:top w:w="0" w:type="dxa"/>
              <w:left w:w="131" w:type="dxa"/>
              <w:bottom w:w="0" w:type="dxa"/>
              <w:right w:w="131" w:type="dxa"/>
            </w:tcMar>
            <w:vAlign w:val="center"/>
          </w:tcPr>
          <w:p>
            <w:pPr>
              <w:widowControl/>
              <w:spacing w:after="94"/>
              <w:jc w:val="center"/>
              <w:rPr>
                <w:rFonts w:ascii="Verdana" w:hAnsi="Verdana" w:cs="宋体"/>
                <w:sz w:val="22"/>
              </w:rPr>
            </w:pPr>
            <w:r>
              <w:rPr>
                <w:rFonts w:ascii="Verdana" w:hAnsi="Verdana" w:cs="宋体"/>
                <w:sz w:val="22"/>
              </w:rPr>
              <w:t>2</w:t>
            </w:r>
            <w:r>
              <w:rPr>
                <w:rFonts w:hint="eastAsia" w:hAnsi="宋体" w:cs="宋体"/>
                <w:sz w:val="22"/>
              </w:rPr>
              <w:t>＜得分</w:t>
            </w:r>
            <w:r>
              <w:rPr>
                <w:rFonts w:ascii="Verdana" w:hAnsi="Verdana" w:cs="宋体"/>
                <w:sz w:val="22"/>
              </w:rPr>
              <w:t>≤3</w:t>
            </w:r>
          </w:p>
        </w:tc>
      </w:tr>
      <w:tr>
        <w:tblPrEx>
          <w:tblCellMar>
            <w:top w:w="0" w:type="dxa"/>
            <w:left w:w="0" w:type="dxa"/>
            <w:bottom w:w="0" w:type="dxa"/>
            <w:right w:w="0" w:type="dxa"/>
          </w:tblCellMar>
        </w:tblPrEx>
        <w:trPr>
          <w:trHeight w:val="660" w:hRule="atLeast"/>
          <w:tblCellSpacing w:w="0" w:type="dxa"/>
          <w:jc w:val="center"/>
        </w:trPr>
        <w:tc>
          <w:tcPr>
            <w:tcW w:w="840" w:type="dxa"/>
            <w:vMerge w:val="continue"/>
            <w:tcBorders>
              <w:top w:val="nil"/>
              <w:left w:val="single" w:color="auto" w:sz="8" w:space="0"/>
              <w:bottom w:val="single" w:color="auto" w:sz="8" w:space="0"/>
              <w:right w:val="single" w:color="auto" w:sz="8" w:space="0"/>
            </w:tcBorders>
            <w:shd w:val="clear" w:color="auto" w:fill="FAFAFA"/>
            <w:vAlign w:val="center"/>
          </w:tcPr>
          <w:p>
            <w:pPr>
              <w:widowControl/>
              <w:jc w:val="left"/>
              <w:rPr>
                <w:rFonts w:ascii="Verdana" w:hAnsi="Verdana" w:cs="宋体"/>
                <w:color w:val="FF0000"/>
                <w:sz w:val="22"/>
              </w:rPr>
            </w:pPr>
          </w:p>
        </w:tc>
        <w:tc>
          <w:tcPr>
            <w:tcW w:w="1634" w:type="dxa"/>
            <w:vMerge w:val="continue"/>
            <w:tcBorders>
              <w:top w:val="nil"/>
              <w:left w:val="nil"/>
              <w:bottom w:val="single" w:color="auto" w:sz="8" w:space="0"/>
              <w:right w:val="single" w:color="auto" w:sz="8" w:space="0"/>
            </w:tcBorders>
            <w:shd w:val="clear" w:color="auto" w:fill="FAFAFA"/>
            <w:vAlign w:val="center"/>
          </w:tcPr>
          <w:p>
            <w:pPr>
              <w:widowControl/>
              <w:jc w:val="left"/>
              <w:rPr>
                <w:rFonts w:ascii="Verdana" w:hAnsi="Verdana" w:cs="宋体"/>
                <w:sz w:val="22"/>
              </w:rPr>
            </w:pPr>
          </w:p>
        </w:tc>
        <w:tc>
          <w:tcPr>
            <w:tcW w:w="5571" w:type="dxa"/>
            <w:tcBorders>
              <w:top w:val="nil"/>
              <w:left w:val="nil"/>
              <w:bottom w:val="single" w:color="auto" w:sz="8" w:space="0"/>
              <w:right w:val="single" w:color="auto" w:sz="8" w:space="0"/>
            </w:tcBorders>
            <w:shd w:val="clear" w:color="auto" w:fill="auto"/>
            <w:tcMar>
              <w:top w:w="0" w:type="dxa"/>
              <w:left w:w="131" w:type="dxa"/>
              <w:bottom w:w="0" w:type="dxa"/>
              <w:right w:w="131" w:type="dxa"/>
            </w:tcMar>
            <w:vAlign w:val="center"/>
          </w:tcPr>
          <w:p>
            <w:pPr>
              <w:widowControl/>
              <w:spacing w:after="94"/>
              <w:jc w:val="left"/>
              <w:rPr>
                <w:rFonts w:ascii="Verdana" w:hAnsi="Verdana" w:cs="宋体"/>
                <w:sz w:val="22"/>
              </w:rPr>
            </w:pPr>
            <w:r>
              <w:rPr>
                <w:rFonts w:hint="eastAsia" w:hAnsi="宋体" w:cs="宋体"/>
                <w:sz w:val="22"/>
              </w:rPr>
              <w:t>具有可行、合法有效的书面保证技术措施落实到位的承诺和落实不到位的处理承诺，其中包括各关键岗位人员（项目负责人（项目经理）、技术负责人及相关技术人员、质量员、安全员、材料员、检测员等）的在岗、更换等履职尽责承诺，提供承包商履约保证。</w:t>
            </w:r>
          </w:p>
        </w:tc>
        <w:tc>
          <w:tcPr>
            <w:tcW w:w="1649" w:type="dxa"/>
            <w:tcBorders>
              <w:top w:val="nil"/>
              <w:left w:val="nil"/>
              <w:bottom w:val="single" w:color="auto" w:sz="8" w:space="0"/>
              <w:right w:val="single" w:color="auto" w:sz="8" w:space="0"/>
            </w:tcBorders>
            <w:shd w:val="clear" w:color="auto" w:fill="auto"/>
            <w:tcMar>
              <w:top w:w="0" w:type="dxa"/>
              <w:left w:w="131" w:type="dxa"/>
              <w:bottom w:w="0" w:type="dxa"/>
              <w:right w:w="131" w:type="dxa"/>
            </w:tcMar>
            <w:vAlign w:val="center"/>
          </w:tcPr>
          <w:p>
            <w:pPr>
              <w:widowControl/>
              <w:spacing w:after="94"/>
              <w:jc w:val="center"/>
              <w:rPr>
                <w:rFonts w:ascii="Verdana" w:hAnsi="Verdana" w:cs="宋体"/>
                <w:sz w:val="22"/>
              </w:rPr>
            </w:pPr>
            <w:r>
              <w:rPr>
                <w:rFonts w:ascii="Verdana" w:hAnsi="Verdana" w:cs="宋体"/>
                <w:sz w:val="22"/>
              </w:rPr>
              <w:t>1≤</w:t>
            </w:r>
            <w:r>
              <w:rPr>
                <w:rFonts w:hint="eastAsia" w:hAnsi="宋体" w:cs="宋体"/>
                <w:sz w:val="22"/>
              </w:rPr>
              <w:t>得分</w:t>
            </w:r>
            <w:r>
              <w:rPr>
                <w:rFonts w:ascii="Verdana" w:hAnsi="Verdana" w:cs="宋体"/>
                <w:sz w:val="22"/>
              </w:rPr>
              <w:t>≤2</w:t>
            </w:r>
          </w:p>
        </w:tc>
      </w:tr>
      <w:tr>
        <w:tblPrEx>
          <w:tblCellMar>
            <w:top w:w="0" w:type="dxa"/>
            <w:left w:w="0" w:type="dxa"/>
            <w:bottom w:w="0" w:type="dxa"/>
            <w:right w:w="0" w:type="dxa"/>
          </w:tblCellMar>
        </w:tblPrEx>
        <w:trPr>
          <w:trHeight w:val="645" w:hRule="atLeast"/>
          <w:tblCellSpacing w:w="0" w:type="dxa"/>
          <w:jc w:val="center"/>
        </w:trPr>
        <w:tc>
          <w:tcPr>
            <w:tcW w:w="840" w:type="dxa"/>
            <w:tcBorders>
              <w:top w:val="nil"/>
              <w:left w:val="single" w:color="auto" w:sz="8" w:space="0"/>
              <w:bottom w:val="single" w:color="auto" w:sz="8" w:space="0"/>
              <w:right w:val="single" w:color="auto" w:sz="8" w:space="0"/>
            </w:tcBorders>
            <w:shd w:val="clear" w:color="auto" w:fill="auto"/>
            <w:tcMar>
              <w:top w:w="0" w:type="dxa"/>
              <w:left w:w="131" w:type="dxa"/>
              <w:bottom w:w="0" w:type="dxa"/>
              <w:right w:w="131" w:type="dxa"/>
            </w:tcMar>
            <w:vAlign w:val="center"/>
          </w:tcPr>
          <w:p>
            <w:pPr>
              <w:widowControl/>
              <w:spacing w:after="94"/>
              <w:jc w:val="center"/>
              <w:rPr>
                <w:rFonts w:ascii="Verdana" w:hAnsi="Verdana" w:cs="宋体"/>
                <w:sz w:val="22"/>
              </w:rPr>
            </w:pPr>
            <w:r>
              <w:rPr>
                <w:rFonts w:ascii="Verdana" w:hAnsi="Verdana" w:cs="宋体"/>
                <w:sz w:val="22"/>
              </w:rPr>
              <w:t>5</w:t>
            </w:r>
          </w:p>
        </w:tc>
        <w:tc>
          <w:tcPr>
            <w:tcW w:w="1634" w:type="dxa"/>
            <w:tcBorders>
              <w:top w:val="nil"/>
              <w:left w:val="nil"/>
              <w:bottom w:val="single" w:color="auto" w:sz="8" w:space="0"/>
              <w:right w:val="single" w:color="auto" w:sz="8" w:space="0"/>
            </w:tcBorders>
            <w:shd w:val="clear" w:color="auto" w:fill="auto"/>
            <w:tcMar>
              <w:top w:w="0" w:type="dxa"/>
              <w:left w:w="131" w:type="dxa"/>
              <w:bottom w:w="0" w:type="dxa"/>
              <w:right w:w="131" w:type="dxa"/>
            </w:tcMar>
            <w:vAlign w:val="center"/>
          </w:tcPr>
          <w:p>
            <w:pPr>
              <w:widowControl/>
              <w:spacing w:after="94"/>
              <w:jc w:val="center"/>
              <w:rPr>
                <w:rFonts w:ascii="Verdana" w:hAnsi="Verdana" w:cs="宋体"/>
                <w:sz w:val="22"/>
              </w:rPr>
            </w:pPr>
            <w:r>
              <w:rPr>
                <w:rFonts w:hint="eastAsia" w:hAnsi="宋体" w:cs="宋体"/>
                <w:sz w:val="22"/>
              </w:rPr>
              <w:t>企业信用（含纳税诚信）</w:t>
            </w:r>
          </w:p>
        </w:tc>
        <w:tc>
          <w:tcPr>
            <w:tcW w:w="5571" w:type="dxa"/>
            <w:tcBorders>
              <w:top w:val="nil"/>
              <w:left w:val="nil"/>
              <w:bottom w:val="single" w:color="auto" w:sz="8" w:space="0"/>
              <w:right w:val="single" w:color="auto" w:sz="8" w:space="0"/>
            </w:tcBorders>
            <w:shd w:val="clear" w:color="auto" w:fill="auto"/>
            <w:tcMar>
              <w:top w:w="0" w:type="dxa"/>
              <w:left w:w="131" w:type="dxa"/>
              <w:bottom w:w="0" w:type="dxa"/>
              <w:right w:w="131" w:type="dxa"/>
            </w:tcMar>
            <w:vAlign w:val="center"/>
          </w:tcPr>
          <w:p>
            <w:pPr>
              <w:pStyle w:val="2"/>
              <w:ind w:firstLine="220"/>
              <w:rPr>
                <w:rFonts w:hAnsi="宋体" w:cs="宋体" w:asciiTheme="minorHAnsi" w:eastAsiaTheme="minorEastAsia"/>
                <w:b w:val="0"/>
                <w:sz w:val="22"/>
                <w:szCs w:val="22"/>
              </w:rPr>
            </w:pPr>
            <w:r>
              <w:rPr>
                <w:rFonts w:hint="eastAsia" w:hAnsi="宋体" w:cs="宋体" w:asciiTheme="minorHAnsi" w:eastAsiaTheme="minorEastAsia"/>
                <w:b w:val="0"/>
                <w:sz w:val="22"/>
                <w:szCs w:val="22"/>
              </w:rPr>
              <w:t>企业2017年1月1日以来获得河南省建设工程“中州杯”、“金杯奖”等省级质量奖项的每提供一项得得1分，最高得2分；发明专利每项得1分，最高得2分（提供相关奖项获奖证书原件的扫描件或图片，时间以颁发时间为准。）</w:t>
            </w:r>
          </w:p>
          <w:p>
            <w:pPr>
              <w:pStyle w:val="2"/>
              <w:ind w:firstLine="211"/>
              <w:rPr>
                <w:rFonts w:hAnsi="宋体" w:cs="宋体"/>
                <w:sz w:val="22"/>
              </w:rPr>
            </w:pPr>
            <w:r>
              <w:rPr>
                <w:rFonts w:hint="eastAsia" w:hAnsi="宋体" w:eastAsia="宋体"/>
                <w:sz w:val="21"/>
                <w:szCs w:val="21"/>
              </w:rPr>
              <w:t>（提供相关奖项获奖证书原件的扫描件或图片，时间以颁发时间为准。）</w:t>
            </w:r>
          </w:p>
        </w:tc>
        <w:tc>
          <w:tcPr>
            <w:tcW w:w="1649" w:type="dxa"/>
            <w:tcBorders>
              <w:top w:val="nil"/>
              <w:left w:val="nil"/>
              <w:bottom w:val="single" w:color="auto" w:sz="8" w:space="0"/>
              <w:right w:val="single" w:color="auto" w:sz="8" w:space="0"/>
            </w:tcBorders>
            <w:shd w:val="clear" w:color="auto" w:fill="auto"/>
            <w:tcMar>
              <w:top w:w="0" w:type="dxa"/>
              <w:left w:w="131" w:type="dxa"/>
              <w:bottom w:w="0" w:type="dxa"/>
              <w:right w:w="131" w:type="dxa"/>
            </w:tcMar>
            <w:vAlign w:val="center"/>
          </w:tcPr>
          <w:p>
            <w:pPr>
              <w:widowControl/>
              <w:spacing w:after="94"/>
              <w:jc w:val="center"/>
              <w:rPr>
                <w:rFonts w:ascii="Verdana" w:hAnsi="Verdana" w:cs="宋体"/>
                <w:sz w:val="22"/>
              </w:rPr>
            </w:pPr>
            <w:r>
              <w:rPr>
                <w:rFonts w:hint="eastAsia" w:ascii="Verdana" w:hAnsi="Verdana" w:cs="宋体"/>
                <w:sz w:val="22"/>
              </w:rPr>
              <w:t>0</w:t>
            </w:r>
            <w:r>
              <w:rPr>
                <w:rFonts w:ascii="Verdana" w:hAnsi="Verdana" w:cs="宋体"/>
                <w:sz w:val="22"/>
              </w:rPr>
              <w:t>≤</w:t>
            </w:r>
            <w:r>
              <w:rPr>
                <w:rFonts w:hint="eastAsia" w:hAnsi="宋体" w:cs="宋体"/>
                <w:sz w:val="22"/>
              </w:rPr>
              <w:t>得分</w:t>
            </w:r>
            <w:r>
              <w:rPr>
                <w:rFonts w:ascii="Verdana" w:hAnsi="Verdana" w:cs="宋体"/>
                <w:sz w:val="22"/>
              </w:rPr>
              <w:t>≤4</w:t>
            </w:r>
          </w:p>
        </w:tc>
      </w:tr>
      <w:tr>
        <w:tblPrEx>
          <w:tblCellMar>
            <w:top w:w="0" w:type="dxa"/>
            <w:left w:w="0" w:type="dxa"/>
            <w:bottom w:w="0" w:type="dxa"/>
            <w:right w:w="0" w:type="dxa"/>
          </w:tblCellMar>
        </w:tblPrEx>
        <w:trPr>
          <w:trHeight w:val="465" w:hRule="atLeast"/>
          <w:tblCellSpacing w:w="0" w:type="dxa"/>
          <w:jc w:val="center"/>
        </w:trPr>
        <w:tc>
          <w:tcPr>
            <w:tcW w:w="840" w:type="dxa"/>
            <w:tcBorders>
              <w:top w:val="nil"/>
              <w:left w:val="single" w:color="auto" w:sz="8" w:space="0"/>
              <w:bottom w:val="single" w:color="auto" w:sz="8" w:space="0"/>
              <w:right w:val="single" w:color="auto" w:sz="8" w:space="0"/>
            </w:tcBorders>
            <w:shd w:val="clear" w:color="auto" w:fill="auto"/>
            <w:tcMar>
              <w:top w:w="0" w:type="dxa"/>
              <w:left w:w="131" w:type="dxa"/>
              <w:bottom w:w="0" w:type="dxa"/>
              <w:right w:w="131" w:type="dxa"/>
            </w:tcMar>
            <w:vAlign w:val="center"/>
          </w:tcPr>
          <w:p>
            <w:pPr>
              <w:widowControl/>
              <w:spacing w:after="94"/>
              <w:jc w:val="center"/>
              <w:rPr>
                <w:rFonts w:ascii="Verdana" w:hAnsi="Verdana" w:cs="宋体"/>
                <w:sz w:val="22"/>
              </w:rPr>
            </w:pPr>
            <w:r>
              <w:rPr>
                <w:rFonts w:ascii="Verdana" w:hAnsi="Verdana" w:cs="宋体"/>
                <w:sz w:val="22"/>
              </w:rPr>
              <w:t>6</w:t>
            </w:r>
          </w:p>
        </w:tc>
        <w:tc>
          <w:tcPr>
            <w:tcW w:w="1634" w:type="dxa"/>
            <w:tcBorders>
              <w:top w:val="nil"/>
              <w:left w:val="nil"/>
              <w:bottom w:val="single" w:color="auto" w:sz="8" w:space="0"/>
              <w:right w:val="single" w:color="auto" w:sz="8" w:space="0"/>
            </w:tcBorders>
            <w:shd w:val="clear" w:color="auto" w:fill="auto"/>
            <w:tcMar>
              <w:top w:w="0" w:type="dxa"/>
              <w:left w:w="131" w:type="dxa"/>
              <w:bottom w:w="0" w:type="dxa"/>
              <w:right w:w="131" w:type="dxa"/>
            </w:tcMar>
            <w:vAlign w:val="center"/>
          </w:tcPr>
          <w:p>
            <w:pPr>
              <w:widowControl/>
              <w:spacing w:after="94"/>
              <w:jc w:val="center"/>
              <w:rPr>
                <w:rFonts w:ascii="Verdana" w:hAnsi="Verdana" w:cs="宋体"/>
                <w:sz w:val="22"/>
              </w:rPr>
            </w:pPr>
            <w:r>
              <w:rPr>
                <w:rFonts w:hint="eastAsia" w:hAnsi="宋体" w:cs="宋体"/>
                <w:sz w:val="22"/>
              </w:rPr>
              <w:t>项目经理信用</w:t>
            </w:r>
          </w:p>
        </w:tc>
        <w:tc>
          <w:tcPr>
            <w:tcW w:w="5571" w:type="dxa"/>
            <w:tcBorders>
              <w:top w:val="nil"/>
              <w:left w:val="nil"/>
              <w:bottom w:val="single" w:color="auto" w:sz="8" w:space="0"/>
              <w:right w:val="single" w:color="auto" w:sz="8" w:space="0"/>
            </w:tcBorders>
            <w:shd w:val="clear" w:color="auto" w:fill="auto"/>
            <w:tcMar>
              <w:top w:w="0" w:type="dxa"/>
              <w:left w:w="131" w:type="dxa"/>
              <w:bottom w:w="0" w:type="dxa"/>
              <w:right w:w="131" w:type="dxa"/>
            </w:tcMar>
            <w:vAlign w:val="center"/>
          </w:tcPr>
          <w:p>
            <w:pPr>
              <w:widowControl/>
              <w:spacing w:after="94"/>
              <w:jc w:val="left"/>
              <w:rPr>
                <w:rFonts w:hAnsi="宋体" w:cs="宋体"/>
                <w:sz w:val="22"/>
              </w:rPr>
            </w:pPr>
            <w:r>
              <w:rPr>
                <w:rFonts w:hint="eastAsia" w:hAnsi="宋体" w:cs="宋体"/>
                <w:sz w:val="22"/>
              </w:rPr>
              <w:t>自2017年1月1日以来项目经理获得过河南省建设工程“中州杯”、“金杯奖”等省级及以上（含省级）质量奖的得2分。</w:t>
            </w:r>
          </w:p>
          <w:p>
            <w:pPr>
              <w:widowControl/>
              <w:spacing w:after="94"/>
              <w:jc w:val="left"/>
              <w:rPr>
                <w:rFonts w:hAnsi="宋体" w:cs="宋体"/>
                <w:b/>
                <w:sz w:val="22"/>
              </w:rPr>
            </w:pPr>
            <w:r>
              <w:rPr>
                <w:rFonts w:hint="eastAsia" w:hAnsi="宋体" w:eastAsia="宋体"/>
                <w:b/>
                <w:szCs w:val="21"/>
              </w:rPr>
              <w:t>（提供相关奖项获奖证书原件的扫描件或图片，时间以颁发时间为准。）</w:t>
            </w:r>
          </w:p>
        </w:tc>
        <w:tc>
          <w:tcPr>
            <w:tcW w:w="1649" w:type="dxa"/>
            <w:tcBorders>
              <w:top w:val="nil"/>
              <w:left w:val="nil"/>
              <w:bottom w:val="single" w:color="auto" w:sz="8" w:space="0"/>
              <w:right w:val="single" w:color="auto" w:sz="8" w:space="0"/>
            </w:tcBorders>
            <w:shd w:val="clear" w:color="auto" w:fill="auto"/>
            <w:tcMar>
              <w:top w:w="0" w:type="dxa"/>
              <w:left w:w="131" w:type="dxa"/>
              <w:bottom w:w="0" w:type="dxa"/>
              <w:right w:w="131" w:type="dxa"/>
            </w:tcMar>
            <w:vAlign w:val="center"/>
          </w:tcPr>
          <w:p>
            <w:pPr>
              <w:widowControl/>
              <w:spacing w:after="94"/>
              <w:jc w:val="center"/>
              <w:rPr>
                <w:rFonts w:ascii="Verdana" w:hAnsi="Verdana" w:cs="宋体"/>
                <w:sz w:val="22"/>
              </w:rPr>
            </w:pPr>
            <w:r>
              <w:rPr>
                <w:rFonts w:hint="eastAsia" w:ascii="Verdana" w:hAnsi="Verdana" w:cs="宋体"/>
                <w:sz w:val="22"/>
              </w:rPr>
              <w:t>0</w:t>
            </w:r>
            <w:r>
              <w:rPr>
                <w:rFonts w:ascii="Verdana" w:hAnsi="Verdana" w:cs="宋体"/>
                <w:sz w:val="22"/>
              </w:rPr>
              <w:t>≤</w:t>
            </w:r>
            <w:r>
              <w:rPr>
                <w:rFonts w:hint="eastAsia" w:hAnsi="宋体" w:cs="宋体"/>
                <w:sz w:val="22"/>
              </w:rPr>
              <w:t>得分</w:t>
            </w:r>
            <w:r>
              <w:rPr>
                <w:rFonts w:ascii="Verdana" w:hAnsi="Verdana" w:cs="宋体"/>
                <w:sz w:val="22"/>
              </w:rPr>
              <w:t>≤2</w:t>
            </w:r>
          </w:p>
        </w:tc>
      </w:tr>
      <w:tr>
        <w:tblPrEx>
          <w:tblCellMar>
            <w:top w:w="0" w:type="dxa"/>
            <w:left w:w="0" w:type="dxa"/>
            <w:bottom w:w="0" w:type="dxa"/>
            <w:right w:w="0" w:type="dxa"/>
          </w:tblCellMar>
        </w:tblPrEx>
        <w:trPr>
          <w:trHeight w:val="465" w:hRule="atLeast"/>
          <w:tblCellSpacing w:w="0" w:type="dxa"/>
          <w:jc w:val="center"/>
        </w:trPr>
        <w:tc>
          <w:tcPr>
            <w:tcW w:w="840" w:type="dxa"/>
            <w:tcBorders>
              <w:top w:val="nil"/>
              <w:left w:val="single" w:color="auto" w:sz="8" w:space="0"/>
              <w:bottom w:val="single" w:color="auto" w:sz="8" w:space="0"/>
              <w:right w:val="single" w:color="auto" w:sz="8" w:space="0"/>
            </w:tcBorders>
            <w:shd w:val="clear" w:color="auto" w:fill="auto"/>
            <w:tcMar>
              <w:top w:w="0" w:type="dxa"/>
              <w:left w:w="131" w:type="dxa"/>
              <w:bottom w:w="0" w:type="dxa"/>
              <w:right w:w="131" w:type="dxa"/>
            </w:tcMar>
            <w:vAlign w:val="center"/>
          </w:tcPr>
          <w:p>
            <w:pPr>
              <w:widowControl/>
              <w:spacing w:after="94"/>
              <w:jc w:val="center"/>
              <w:rPr>
                <w:rFonts w:ascii="Verdana" w:hAnsi="Verdana" w:cs="宋体"/>
                <w:sz w:val="22"/>
              </w:rPr>
            </w:pPr>
            <w:r>
              <w:rPr>
                <w:rFonts w:ascii="Verdana" w:hAnsi="Verdana" w:cs="宋体"/>
                <w:sz w:val="22"/>
              </w:rPr>
              <w:t>7</w:t>
            </w:r>
          </w:p>
        </w:tc>
        <w:tc>
          <w:tcPr>
            <w:tcW w:w="1634" w:type="dxa"/>
            <w:tcBorders>
              <w:top w:val="nil"/>
              <w:left w:val="nil"/>
              <w:bottom w:val="single" w:color="auto" w:sz="8" w:space="0"/>
              <w:right w:val="single" w:color="auto" w:sz="8" w:space="0"/>
            </w:tcBorders>
            <w:shd w:val="clear" w:color="auto" w:fill="auto"/>
            <w:tcMar>
              <w:top w:w="0" w:type="dxa"/>
              <w:left w:w="131" w:type="dxa"/>
              <w:bottom w:w="0" w:type="dxa"/>
              <w:right w:w="131" w:type="dxa"/>
            </w:tcMar>
            <w:vAlign w:val="center"/>
          </w:tcPr>
          <w:p>
            <w:pPr>
              <w:widowControl/>
              <w:spacing w:after="94"/>
              <w:jc w:val="center"/>
              <w:rPr>
                <w:rFonts w:ascii="Verdana" w:hAnsi="Verdana" w:cs="宋体"/>
                <w:sz w:val="22"/>
              </w:rPr>
            </w:pPr>
            <w:r>
              <w:rPr>
                <w:rFonts w:hint="eastAsia" w:hAnsi="宋体" w:cs="宋体"/>
                <w:sz w:val="22"/>
              </w:rPr>
              <w:t>招标人意见</w:t>
            </w:r>
          </w:p>
        </w:tc>
        <w:tc>
          <w:tcPr>
            <w:tcW w:w="5571" w:type="dxa"/>
            <w:tcBorders>
              <w:top w:val="nil"/>
              <w:left w:val="nil"/>
              <w:bottom w:val="single" w:color="auto" w:sz="8" w:space="0"/>
              <w:right w:val="single" w:color="auto" w:sz="8" w:space="0"/>
            </w:tcBorders>
            <w:shd w:val="clear" w:color="auto" w:fill="auto"/>
            <w:tcMar>
              <w:top w:w="0" w:type="dxa"/>
              <w:left w:w="131" w:type="dxa"/>
              <w:bottom w:w="0" w:type="dxa"/>
              <w:right w:w="131" w:type="dxa"/>
            </w:tcMar>
            <w:vAlign w:val="center"/>
          </w:tcPr>
          <w:p>
            <w:pPr>
              <w:widowControl/>
              <w:jc w:val="left"/>
              <w:rPr>
                <w:rFonts w:ascii="Verdana" w:hAnsi="Verdana" w:cs="宋体"/>
                <w:sz w:val="22"/>
              </w:rPr>
            </w:pPr>
            <w:r>
              <w:rPr>
                <w:rFonts w:hint="eastAsia" w:ascii="Verdana" w:hAnsi="Verdana" w:cs="宋体"/>
                <w:sz w:val="22"/>
              </w:rPr>
              <w:t>招标人根据投标人投标文件编制的详实、合理、认真程度等综合印象进行打分。</w:t>
            </w:r>
          </w:p>
        </w:tc>
        <w:tc>
          <w:tcPr>
            <w:tcW w:w="1649" w:type="dxa"/>
            <w:tcBorders>
              <w:top w:val="nil"/>
              <w:left w:val="nil"/>
              <w:bottom w:val="single" w:color="auto" w:sz="8" w:space="0"/>
              <w:right w:val="single" w:color="auto" w:sz="8" w:space="0"/>
            </w:tcBorders>
            <w:shd w:val="clear" w:color="auto" w:fill="auto"/>
            <w:tcMar>
              <w:top w:w="0" w:type="dxa"/>
              <w:left w:w="131" w:type="dxa"/>
              <w:bottom w:w="0" w:type="dxa"/>
              <w:right w:w="131" w:type="dxa"/>
            </w:tcMar>
            <w:vAlign w:val="center"/>
          </w:tcPr>
          <w:p>
            <w:pPr>
              <w:widowControl/>
              <w:spacing w:after="94"/>
              <w:jc w:val="center"/>
              <w:rPr>
                <w:rFonts w:ascii="Verdana" w:hAnsi="Verdana" w:cs="宋体"/>
                <w:sz w:val="22"/>
              </w:rPr>
            </w:pPr>
            <w:r>
              <w:rPr>
                <w:rFonts w:ascii="Verdana" w:hAnsi="Verdana" w:cs="宋体"/>
                <w:sz w:val="22"/>
              </w:rPr>
              <w:t>0≤</w:t>
            </w:r>
            <w:r>
              <w:rPr>
                <w:rFonts w:hint="eastAsia" w:hAnsi="宋体" w:cs="宋体"/>
                <w:sz w:val="22"/>
              </w:rPr>
              <w:t>得分</w:t>
            </w:r>
            <w:r>
              <w:rPr>
                <w:rFonts w:ascii="Verdana" w:hAnsi="Verdana" w:cs="宋体"/>
                <w:sz w:val="22"/>
              </w:rPr>
              <w:t>≤2</w:t>
            </w:r>
            <w:r>
              <w:rPr>
                <w:rFonts w:hint="eastAsia" w:hAnsi="宋体" w:cs="宋体"/>
                <w:sz w:val="22"/>
              </w:rPr>
              <w:t>分</w:t>
            </w:r>
          </w:p>
        </w:tc>
      </w:tr>
    </w:tbl>
    <w:p>
      <w:pPr>
        <w:adjustRightInd w:val="0"/>
        <w:snapToGrid w:val="0"/>
        <w:spacing w:before="240" w:line="360" w:lineRule="auto"/>
        <w:ind w:firstLine="484"/>
        <w:rPr>
          <w:rFonts w:hint="eastAsia" w:hAnsi="宋体" w:cs="宋体"/>
          <w:b/>
          <w:sz w:val="24"/>
          <w:szCs w:val="24"/>
        </w:rPr>
      </w:pPr>
    </w:p>
    <w:p>
      <w:pPr>
        <w:adjustRightInd w:val="0"/>
        <w:snapToGrid w:val="0"/>
        <w:spacing w:before="240" w:line="360" w:lineRule="auto"/>
        <w:ind w:firstLine="484"/>
        <w:rPr>
          <w:rFonts w:hint="eastAsia" w:hAnsi="宋体" w:cs="宋体"/>
          <w:b/>
          <w:sz w:val="24"/>
          <w:szCs w:val="24"/>
        </w:rPr>
      </w:pPr>
    </w:p>
    <w:p>
      <w:pPr>
        <w:adjustRightInd w:val="0"/>
        <w:snapToGrid w:val="0"/>
        <w:spacing w:before="240" w:line="360" w:lineRule="auto"/>
        <w:ind w:firstLine="484"/>
        <w:rPr>
          <w:rFonts w:hint="eastAsia" w:hAnsi="宋体" w:cs="宋体"/>
          <w:b/>
          <w:sz w:val="24"/>
          <w:szCs w:val="24"/>
        </w:rPr>
      </w:pPr>
    </w:p>
    <w:p>
      <w:pPr>
        <w:adjustRightInd w:val="0"/>
        <w:snapToGrid w:val="0"/>
        <w:spacing w:before="240" w:line="360" w:lineRule="auto"/>
        <w:ind w:firstLine="484"/>
        <w:rPr>
          <w:rFonts w:hint="eastAsia" w:hAnsi="宋体" w:cs="宋体"/>
          <w:b/>
          <w:sz w:val="24"/>
          <w:szCs w:val="24"/>
        </w:rPr>
      </w:pPr>
    </w:p>
    <w:p>
      <w:pPr>
        <w:adjustRightInd w:val="0"/>
        <w:snapToGrid w:val="0"/>
        <w:spacing w:before="240" w:line="360" w:lineRule="auto"/>
        <w:ind w:firstLine="484"/>
        <w:rPr>
          <w:rFonts w:hint="eastAsia" w:hAnsi="宋体" w:cs="宋体"/>
          <w:b/>
          <w:sz w:val="24"/>
          <w:szCs w:val="24"/>
        </w:rPr>
      </w:pPr>
    </w:p>
    <w:p>
      <w:pPr>
        <w:adjustRightInd w:val="0"/>
        <w:snapToGrid w:val="0"/>
        <w:spacing w:before="240" w:line="360" w:lineRule="auto"/>
        <w:ind w:firstLine="484"/>
        <w:rPr>
          <w:rFonts w:hAnsi="宋体" w:cs="宋体"/>
          <w:b/>
          <w:sz w:val="24"/>
          <w:szCs w:val="24"/>
        </w:rPr>
      </w:pPr>
      <w:r>
        <w:rPr>
          <w:rFonts w:hint="eastAsia" w:hAnsi="宋体" w:cs="宋体"/>
          <w:b/>
          <w:sz w:val="24"/>
          <w:szCs w:val="24"/>
        </w:rPr>
        <w:t>注：</w:t>
      </w:r>
    </w:p>
    <w:p>
      <w:pPr>
        <w:adjustRightInd w:val="0"/>
        <w:snapToGrid w:val="0"/>
        <w:spacing w:line="360" w:lineRule="auto"/>
        <w:ind w:firstLine="484"/>
        <w:rPr>
          <w:rFonts w:hAnsi="宋体" w:cs="宋体"/>
          <w:b/>
          <w:sz w:val="24"/>
          <w:szCs w:val="24"/>
        </w:rPr>
      </w:pPr>
      <w:r>
        <w:rPr>
          <w:rFonts w:hint="eastAsia" w:hAnsi="宋体" w:cs="宋体"/>
          <w:b/>
          <w:sz w:val="24"/>
          <w:szCs w:val="24"/>
        </w:rPr>
        <w:t>1）近年年份要求：2017年1月1日以来；</w:t>
      </w:r>
    </w:p>
    <w:p>
      <w:pPr>
        <w:adjustRightInd w:val="0"/>
        <w:snapToGrid w:val="0"/>
        <w:spacing w:line="360" w:lineRule="auto"/>
        <w:ind w:firstLine="484"/>
        <w:rPr>
          <w:rFonts w:hAnsi="宋体" w:cs="宋体"/>
          <w:b/>
          <w:sz w:val="24"/>
          <w:szCs w:val="24"/>
        </w:rPr>
      </w:pPr>
      <w:r>
        <w:rPr>
          <w:rFonts w:hint="eastAsia" w:hAnsi="宋体" w:cs="宋体"/>
          <w:b/>
          <w:sz w:val="24"/>
          <w:szCs w:val="24"/>
        </w:rPr>
        <w:t>2）类似工程：第一标段：类似项目是指单项合同金额不低于本次招标控制价的市政道路施工项目(时间以合同签订时间为准，合同期内项目不予计算）。</w:t>
      </w:r>
    </w:p>
    <w:p>
      <w:pPr>
        <w:adjustRightInd w:val="0"/>
        <w:snapToGrid w:val="0"/>
        <w:spacing w:line="360" w:lineRule="auto"/>
        <w:ind w:firstLine="484"/>
        <w:rPr>
          <w:rFonts w:hAnsi="宋体" w:cs="宋体"/>
          <w:b/>
          <w:sz w:val="24"/>
          <w:szCs w:val="24"/>
        </w:rPr>
      </w:pPr>
      <w:r>
        <w:rPr>
          <w:rFonts w:hint="eastAsia" w:hAnsi="宋体" w:cs="宋体"/>
          <w:b/>
          <w:sz w:val="24"/>
          <w:szCs w:val="24"/>
        </w:rPr>
        <w:t>第二标段：类似项目是指单项合同金额不低于本次招标控制价的市政绿化施工项目(时间以合同签订时间为准，合同期内项目不予计算）。</w:t>
      </w:r>
    </w:p>
    <w:p>
      <w:pPr>
        <w:adjustRightInd w:val="0"/>
        <w:snapToGrid w:val="0"/>
        <w:spacing w:line="360" w:lineRule="auto"/>
        <w:ind w:firstLine="484"/>
        <w:rPr>
          <w:rFonts w:hAnsi="宋体" w:cs="宋体"/>
          <w:b/>
          <w:sz w:val="24"/>
          <w:szCs w:val="24"/>
        </w:rPr>
      </w:pPr>
      <w:r>
        <w:rPr>
          <w:rFonts w:hint="eastAsia" w:hAnsi="宋体" w:cs="宋体"/>
          <w:b/>
          <w:sz w:val="24"/>
          <w:szCs w:val="24"/>
        </w:rPr>
        <w:t>3）业绩合同以合同签订日期为准，获奖证书以发证日期为准。</w:t>
      </w:r>
    </w:p>
    <w:p>
      <w:pPr>
        <w:adjustRightInd w:val="0"/>
        <w:snapToGrid w:val="0"/>
        <w:spacing w:line="360" w:lineRule="auto"/>
        <w:ind w:firstLine="472" w:firstLineChars="196"/>
        <w:rPr>
          <w:rFonts w:hAnsi="宋体" w:cs="宋体"/>
          <w:b/>
          <w:bCs/>
          <w:sz w:val="24"/>
          <w:szCs w:val="24"/>
        </w:rPr>
      </w:pPr>
      <w:r>
        <w:rPr>
          <w:rFonts w:hint="eastAsia" w:hAnsi="宋体" w:cs="宋体"/>
          <w:b/>
          <w:sz w:val="24"/>
          <w:szCs w:val="24"/>
        </w:rPr>
        <w:t>4）</w:t>
      </w:r>
      <w:r>
        <w:rPr>
          <w:rFonts w:hint="eastAsia" w:hAnsi="宋体" w:cs="宋体"/>
          <w:b/>
          <w:bCs/>
          <w:sz w:val="24"/>
          <w:szCs w:val="24"/>
        </w:rPr>
        <w:t>凡评标办法里涉及到的证书、证件、业绩及其它材料等，均以投标文件中所提供的原件扫描件或图片（加盖公章）为准。项目负责人业绩与企业业绩不可重复计分。</w:t>
      </w:r>
    </w:p>
    <w:p>
      <w:pPr>
        <w:adjustRightInd w:val="0"/>
        <w:snapToGrid w:val="0"/>
        <w:spacing w:line="360" w:lineRule="auto"/>
        <w:ind w:firstLine="472" w:firstLineChars="196"/>
        <w:rPr>
          <w:rFonts w:hAnsi="宋体" w:cs="宋体"/>
          <w:b/>
          <w:bCs/>
          <w:sz w:val="24"/>
          <w:szCs w:val="24"/>
        </w:rPr>
      </w:pPr>
      <w:r>
        <w:rPr>
          <w:rFonts w:hint="eastAsia" w:hAnsi="宋体" w:cs="宋体"/>
          <w:b/>
          <w:sz w:val="24"/>
          <w:szCs w:val="24"/>
        </w:rPr>
        <w:t>5）</w:t>
      </w:r>
      <w:r>
        <w:rPr>
          <w:rFonts w:hint="eastAsia" w:hAnsi="宋体" w:cs="宋体"/>
          <w:b/>
          <w:bCs/>
          <w:sz w:val="24"/>
          <w:szCs w:val="24"/>
        </w:rPr>
        <w:t>投标人应确保并专项承诺投标文件中所提供的所有资料真实、有效，并承担相应的法律后果。</w:t>
      </w:r>
    </w:p>
    <w:p>
      <w:pPr>
        <w:adjustRightInd w:val="0"/>
        <w:snapToGrid w:val="0"/>
        <w:spacing w:line="360" w:lineRule="auto"/>
        <w:ind w:firstLine="472" w:firstLineChars="196"/>
        <w:rPr>
          <w:rFonts w:hAnsi="宋体" w:cs="宋体"/>
          <w:sz w:val="24"/>
          <w:szCs w:val="24"/>
        </w:rPr>
      </w:pPr>
      <w:r>
        <w:rPr>
          <w:rFonts w:hint="eastAsia" w:hAnsi="宋体" w:cs="宋体"/>
          <w:b/>
          <w:bCs/>
          <w:sz w:val="24"/>
          <w:szCs w:val="24"/>
        </w:rPr>
        <w:t>（四）投标人综合得分按下列公式计算：</w:t>
      </w:r>
    </w:p>
    <w:p>
      <w:pPr>
        <w:adjustRightInd w:val="0"/>
        <w:snapToGrid w:val="0"/>
        <w:spacing w:line="360" w:lineRule="auto"/>
        <w:ind w:firstLine="480"/>
        <w:rPr>
          <w:rFonts w:hAnsi="宋体" w:cs="宋体"/>
          <w:sz w:val="24"/>
          <w:szCs w:val="24"/>
        </w:rPr>
      </w:pPr>
      <w:r>
        <w:rPr>
          <w:rFonts w:hint="eastAsia" w:hAnsi="宋体" w:cs="宋体"/>
          <w:sz w:val="24"/>
          <w:szCs w:val="24"/>
        </w:rPr>
        <w:t>投标人综合得分＝技术标得分＋商务标得分＋综合标得分。</w:t>
      </w:r>
    </w:p>
    <w:p>
      <w:pPr>
        <w:adjustRightInd w:val="0"/>
        <w:snapToGrid w:val="0"/>
        <w:spacing w:line="360" w:lineRule="auto"/>
        <w:rPr>
          <w:rFonts w:hAnsi="宋体" w:cs="宋体"/>
          <w:sz w:val="24"/>
          <w:szCs w:val="24"/>
        </w:rPr>
      </w:pPr>
      <w:r>
        <w:rPr>
          <w:rFonts w:hint="eastAsia" w:hAnsi="宋体" w:cs="宋体"/>
          <w:b/>
          <w:bCs/>
          <w:sz w:val="24"/>
          <w:szCs w:val="24"/>
        </w:rPr>
        <w:t>（五）投标人的最终得分及中标候选人排序</w:t>
      </w:r>
    </w:p>
    <w:p>
      <w:pPr>
        <w:snapToGrid w:val="0"/>
        <w:spacing w:line="360" w:lineRule="auto"/>
        <w:ind w:firstLine="481"/>
        <w:rPr>
          <w:rFonts w:hAnsi="宋体" w:cs="宋体"/>
          <w:sz w:val="24"/>
          <w:szCs w:val="24"/>
        </w:rPr>
      </w:pPr>
      <w:r>
        <w:rPr>
          <w:rFonts w:hint="eastAsia" w:hAnsi="宋体" w:cs="宋体"/>
          <w:sz w:val="24"/>
          <w:szCs w:val="24"/>
        </w:rPr>
        <w:t xml:space="preserve">评标委员会按照投标人的得分，由高到低排序，向招标人推荐1-3名中标候选人。当得分相等时，依次以商务标、综合标、技术标得分高低进行排序；若三项得分均相等时，可以通过公开随机抽取方式确定中标候选人的排序。 </w:t>
      </w:r>
    </w:p>
    <w:p>
      <w:pPr>
        <w:spacing w:line="360" w:lineRule="auto"/>
        <w:ind w:firstLine="482" w:firstLineChars="200"/>
        <w:rPr>
          <w:rFonts w:hAnsi="宋体" w:cs="宋体"/>
          <w:b/>
          <w:bCs/>
          <w:sz w:val="24"/>
          <w:szCs w:val="24"/>
        </w:rPr>
      </w:pPr>
      <w:r>
        <w:rPr>
          <w:rFonts w:hint="eastAsia" w:hAnsi="宋体" w:cs="宋体"/>
          <w:b/>
          <w:sz w:val="24"/>
          <w:szCs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adjustRightInd w:val="0"/>
        <w:snapToGrid w:val="0"/>
        <w:spacing w:line="360" w:lineRule="auto"/>
        <w:ind w:firstLine="482" w:firstLineChars="200"/>
        <w:rPr>
          <w:rFonts w:hAnsi="宋体" w:cs="宋体"/>
          <w:b/>
          <w:sz w:val="24"/>
          <w:szCs w:val="24"/>
        </w:rPr>
      </w:pPr>
      <w:r>
        <w:rPr>
          <w:rFonts w:hint="eastAsia" w:hAnsi="宋体" w:cs="宋体"/>
          <w:b/>
          <w:sz w:val="24"/>
          <w:szCs w:val="24"/>
        </w:rPr>
        <w:t>八、定标</w:t>
      </w:r>
    </w:p>
    <w:p>
      <w:pPr>
        <w:adjustRightInd w:val="0"/>
        <w:snapToGrid w:val="0"/>
        <w:spacing w:line="360" w:lineRule="auto"/>
        <w:ind w:firstLine="480" w:firstLineChars="200"/>
        <w:rPr>
          <w:rFonts w:hAnsi="宋体" w:cs="宋体"/>
          <w:sz w:val="24"/>
          <w:szCs w:val="24"/>
        </w:rPr>
      </w:pPr>
      <w:r>
        <w:rPr>
          <w:rFonts w:hint="eastAsia" w:hAnsi="宋体"/>
          <w:sz w:val="24"/>
          <w:szCs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int="eastAsia" w:hAnsi="宋体" w:cs="宋体"/>
          <w:sz w:val="24"/>
          <w:szCs w:val="24"/>
        </w:rPr>
        <w:t>。</w:t>
      </w:r>
    </w:p>
    <w:p>
      <w:pPr>
        <w:pStyle w:val="86"/>
        <w:keepNext w:val="0"/>
        <w:keepLines w:val="0"/>
        <w:adjustRightInd w:val="0"/>
        <w:snapToGrid w:val="0"/>
        <w:spacing w:line="360" w:lineRule="auto"/>
        <w:ind w:firstLine="482" w:firstLineChars="200"/>
        <w:outlineLvl w:val="9"/>
        <w:rPr>
          <w:rFonts w:hAnsi="宋体" w:eastAsia="宋体"/>
          <w:b/>
          <w:szCs w:val="24"/>
        </w:rPr>
      </w:pPr>
      <w:bookmarkStart w:id="87" w:name="_Toc508875508"/>
      <w:r>
        <w:rPr>
          <w:rFonts w:hint="eastAsia" w:hAnsi="宋体" w:eastAsia="宋体"/>
          <w:b/>
          <w:szCs w:val="24"/>
        </w:rPr>
        <w:t>九、评标报告</w:t>
      </w:r>
      <w:bookmarkEnd w:id="87"/>
    </w:p>
    <w:p>
      <w:pPr>
        <w:adjustRightInd w:val="0"/>
        <w:snapToGrid w:val="0"/>
        <w:spacing w:line="360" w:lineRule="auto"/>
        <w:ind w:firstLine="480" w:firstLineChars="200"/>
        <w:rPr>
          <w:rFonts w:hAnsi="宋体" w:eastAsia="宋体" w:cs="宋体"/>
          <w:sz w:val="24"/>
        </w:rPr>
      </w:pPr>
      <w:bookmarkStart w:id="88" w:name="_Toc508875509"/>
      <w:r>
        <w:rPr>
          <w:rFonts w:hint="eastAsia" w:hAnsi="宋体" w:eastAsia="宋体" w:cs="宋体"/>
          <w:sz w:val="24"/>
        </w:rPr>
        <w:t>评标委员会完成评标后，应出具由评标委员会全体成员签名的评标报告。对评标结论有异议的评标委员会成员可以书面方式阐述其不同意见和理由。评标委员会成员拒绝在评标报告上签字且不以书面阐述其不同意见和理由的，视为同意评标结论。评标委员会应当对此作出书面说明并记录在案。评标委员会依据招标文件规定，对评审为合理报价的投标人，按照得分由高到低推荐中标候选人。由招标人按照有关规定确定中标人。</w:t>
      </w:r>
    </w:p>
    <w:p>
      <w:pPr>
        <w:pStyle w:val="86"/>
        <w:keepNext w:val="0"/>
        <w:keepLines w:val="0"/>
        <w:adjustRightInd w:val="0"/>
        <w:snapToGrid w:val="0"/>
        <w:spacing w:line="360" w:lineRule="auto"/>
        <w:ind w:firstLine="482" w:firstLineChars="200"/>
        <w:outlineLvl w:val="9"/>
        <w:rPr>
          <w:rFonts w:hAnsi="宋体" w:eastAsia="宋体"/>
          <w:b/>
          <w:szCs w:val="24"/>
        </w:rPr>
      </w:pPr>
      <w:r>
        <w:rPr>
          <w:rFonts w:hint="eastAsia" w:hAnsi="宋体" w:eastAsia="宋体"/>
          <w:b/>
          <w:szCs w:val="24"/>
        </w:rPr>
        <w:t>十、公示</w:t>
      </w:r>
      <w:bookmarkEnd w:id="88"/>
    </w:p>
    <w:p>
      <w:pPr>
        <w:adjustRightInd w:val="0"/>
        <w:snapToGrid w:val="0"/>
        <w:spacing w:line="360" w:lineRule="auto"/>
        <w:ind w:firstLine="480" w:firstLineChars="200"/>
        <w:rPr>
          <w:rFonts w:hAnsi="宋体" w:cs="宋体"/>
          <w:sz w:val="24"/>
          <w:szCs w:val="24"/>
        </w:rPr>
      </w:pPr>
      <w:r>
        <w:rPr>
          <w:rFonts w:hint="eastAsia" w:hAnsi="宋体" w:cs="宋体"/>
          <w:sz w:val="24"/>
          <w:szCs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adjustRightInd w:val="0"/>
        <w:snapToGrid w:val="0"/>
        <w:spacing w:line="360" w:lineRule="auto"/>
        <w:ind w:firstLine="482" w:firstLineChars="200"/>
        <w:rPr>
          <w:rFonts w:hAnsi="宋体" w:cs="宋体"/>
          <w:b/>
          <w:sz w:val="24"/>
          <w:szCs w:val="24"/>
        </w:rPr>
      </w:pPr>
      <w:r>
        <w:rPr>
          <w:rFonts w:hint="eastAsia" w:hAnsi="宋体" w:cs="宋体"/>
          <w:b/>
          <w:sz w:val="24"/>
          <w:szCs w:val="24"/>
        </w:rPr>
        <w:t>十一、特殊情况的处置程序</w:t>
      </w:r>
    </w:p>
    <w:p>
      <w:pPr>
        <w:adjustRightInd w:val="0"/>
        <w:snapToGrid w:val="0"/>
        <w:spacing w:line="360" w:lineRule="auto"/>
        <w:ind w:firstLine="482" w:firstLineChars="200"/>
        <w:rPr>
          <w:rFonts w:hAnsi="宋体" w:cs="宋体"/>
          <w:b/>
          <w:sz w:val="24"/>
          <w:szCs w:val="24"/>
        </w:rPr>
      </w:pPr>
      <w:r>
        <w:rPr>
          <w:rFonts w:hint="eastAsia" w:hAnsi="宋体" w:cs="宋体"/>
          <w:b/>
          <w:sz w:val="24"/>
          <w:szCs w:val="24"/>
        </w:rPr>
        <w:t>11.1关于澄清、说明或补正</w:t>
      </w:r>
    </w:p>
    <w:p>
      <w:pPr>
        <w:adjustRightInd w:val="0"/>
        <w:snapToGrid w:val="0"/>
        <w:spacing w:line="360" w:lineRule="auto"/>
        <w:ind w:firstLine="480" w:firstLineChars="200"/>
        <w:rPr>
          <w:rFonts w:hAnsi="宋体" w:cs="宋体"/>
          <w:sz w:val="24"/>
          <w:szCs w:val="24"/>
        </w:rPr>
      </w:pPr>
      <w:r>
        <w:rPr>
          <w:rFonts w:hint="eastAsia" w:hAnsi="宋体" w:cs="宋体"/>
          <w:sz w:val="24"/>
          <w:szCs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w:t>
      </w:r>
    </w:p>
    <w:p>
      <w:pPr>
        <w:adjustRightInd w:val="0"/>
        <w:snapToGrid w:val="0"/>
        <w:spacing w:line="360" w:lineRule="auto"/>
        <w:ind w:firstLine="482" w:firstLineChars="200"/>
        <w:rPr>
          <w:rFonts w:hAnsi="宋体" w:cs="宋体"/>
          <w:b/>
          <w:sz w:val="24"/>
          <w:szCs w:val="24"/>
        </w:rPr>
      </w:pPr>
      <w:r>
        <w:rPr>
          <w:rFonts w:hint="eastAsia" w:hAnsi="宋体" w:cs="宋体"/>
          <w:b/>
          <w:sz w:val="24"/>
          <w:szCs w:val="24"/>
        </w:rPr>
        <w:t>11.2关于评标活动暂停</w:t>
      </w:r>
    </w:p>
    <w:p>
      <w:pPr>
        <w:adjustRightInd w:val="0"/>
        <w:snapToGrid w:val="0"/>
        <w:spacing w:line="360" w:lineRule="auto"/>
        <w:ind w:firstLine="480" w:firstLineChars="200"/>
        <w:rPr>
          <w:rFonts w:hAnsi="宋体" w:cs="宋体"/>
          <w:sz w:val="24"/>
          <w:szCs w:val="24"/>
        </w:rPr>
      </w:pPr>
      <w:r>
        <w:rPr>
          <w:rFonts w:hint="eastAsia" w:hAnsi="宋体" w:cs="宋体"/>
          <w:sz w:val="24"/>
          <w:szCs w:val="24"/>
        </w:rPr>
        <w:t>11.2.1评标委员会应当执行连续评标的原则，按评标办法中规定的程序、内容、方法、标准完成全部评标工作。只有发生不可抗力导致评标工作无法继续时，评标活动方可暂停。</w:t>
      </w:r>
    </w:p>
    <w:p>
      <w:pPr>
        <w:adjustRightInd w:val="0"/>
        <w:snapToGrid w:val="0"/>
        <w:spacing w:line="360" w:lineRule="auto"/>
        <w:ind w:firstLine="480" w:firstLineChars="200"/>
        <w:rPr>
          <w:rFonts w:hAnsi="宋体" w:cs="宋体"/>
          <w:sz w:val="24"/>
          <w:szCs w:val="24"/>
        </w:rPr>
      </w:pPr>
      <w:r>
        <w:rPr>
          <w:rFonts w:hint="eastAsia" w:hAnsi="宋体" w:cs="宋体"/>
          <w:sz w:val="24"/>
          <w:szCs w:val="24"/>
        </w:rPr>
        <w:t>11.2.2发生评标暂停情况时，评标委员会应当封存全部投标文件和评标记录，待不可抗力的影响结束且具备继续评标的条件时，由原评标委员会继续评标。</w:t>
      </w:r>
    </w:p>
    <w:p>
      <w:pPr>
        <w:adjustRightInd w:val="0"/>
        <w:snapToGrid w:val="0"/>
        <w:spacing w:line="360" w:lineRule="auto"/>
        <w:ind w:firstLine="482" w:firstLineChars="200"/>
        <w:rPr>
          <w:rFonts w:hAnsi="宋体" w:cs="宋体"/>
          <w:b/>
          <w:sz w:val="24"/>
          <w:szCs w:val="24"/>
        </w:rPr>
      </w:pPr>
      <w:r>
        <w:rPr>
          <w:rFonts w:hint="eastAsia" w:hAnsi="宋体" w:cs="宋体"/>
          <w:b/>
          <w:sz w:val="24"/>
          <w:szCs w:val="24"/>
        </w:rPr>
        <w:t>11.3关于评标中途更换评标委员会成员</w:t>
      </w:r>
    </w:p>
    <w:p>
      <w:pPr>
        <w:adjustRightInd w:val="0"/>
        <w:snapToGrid w:val="0"/>
        <w:spacing w:line="360" w:lineRule="auto"/>
        <w:ind w:firstLine="480" w:firstLineChars="200"/>
        <w:rPr>
          <w:rFonts w:hAnsi="宋体" w:cs="宋体"/>
          <w:sz w:val="24"/>
          <w:szCs w:val="24"/>
        </w:rPr>
      </w:pPr>
      <w:r>
        <w:rPr>
          <w:rFonts w:hint="eastAsia" w:hAnsi="宋体" w:cs="宋体"/>
          <w:sz w:val="24"/>
          <w:szCs w:val="24"/>
        </w:rPr>
        <w:t>11.3.1除非发生下列情况之一，评标委员会成员不得在评标中途更换：</w:t>
      </w:r>
    </w:p>
    <w:p>
      <w:pPr>
        <w:adjustRightInd w:val="0"/>
        <w:snapToGrid w:val="0"/>
        <w:spacing w:line="360" w:lineRule="auto"/>
        <w:ind w:firstLine="480" w:firstLineChars="200"/>
        <w:rPr>
          <w:rFonts w:hAnsi="宋体" w:cs="宋体"/>
          <w:sz w:val="24"/>
          <w:szCs w:val="24"/>
        </w:rPr>
      </w:pPr>
      <w:r>
        <w:rPr>
          <w:rFonts w:hint="eastAsia" w:hAnsi="宋体" w:cs="宋体"/>
          <w:sz w:val="24"/>
          <w:szCs w:val="24"/>
        </w:rPr>
        <w:t>（1）因不可抗拒的客观原因，不能到场或需在评标中途退出评标活动。</w:t>
      </w:r>
    </w:p>
    <w:p>
      <w:pPr>
        <w:adjustRightInd w:val="0"/>
        <w:snapToGrid w:val="0"/>
        <w:spacing w:line="360" w:lineRule="auto"/>
        <w:ind w:firstLine="480" w:firstLineChars="200"/>
        <w:rPr>
          <w:rFonts w:hAnsi="宋体" w:cs="宋体"/>
          <w:sz w:val="24"/>
          <w:szCs w:val="24"/>
        </w:rPr>
      </w:pPr>
      <w:r>
        <w:rPr>
          <w:rFonts w:hint="eastAsia" w:hAnsi="宋体" w:cs="宋体"/>
          <w:sz w:val="24"/>
          <w:szCs w:val="24"/>
        </w:rPr>
        <w:t>（2）根据法律法规规定，某个或某几个评标委员会成员需要回避。</w:t>
      </w:r>
    </w:p>
    <w:p>
      <w:pPr>
        <w:adjustRightInd w:val="0"/>
        <w:snapToGrid w:val="0"/>
        <w:spacing w:line="360" w:lineRule="auto"/>
        <w:ind w:firstLine="480" w:firstLineChars="200"/>
        <w:rPr>
          <w:rFonts w:hAnsi="宋体" w:cs="宋体"/>
          <w:sz w:val="24"/>
          <w:szCs w:val="24"/>
        </w:rPr>
      </w:pPr>
      <w:r>
        <w:rPr>
          <w:rFonts w:hint="eastAsia" w:hAnsi="宋体" w:cs="宋体"/>
          <w:sz w:val="24"/>
          <w:szCs w:val="24"/>
        </w:rPr>
        <w:t>11.3.2退出评标的评标委员会成员，其已完成的评标行为无效。由招标人根据本招标文件规定的评标委员会成员产生方式另行确定替代者进行评标。</w:t>
      </w:r>
    </w:p>
    <w:p>
      <w:pPr>
        <w:adjustRightInd w:val="0"/>
        <w:snapToGrid w:val="0"/>
        <w:spacing w:line="360" w:lineRule="auto"/>
        <w:ind w:firstLine="482" w:firstLineChars="200"/>
        <w:rPr>
          <w:rFonts w:hAnsi="宋体" w:cs="宋体"/>
          <w:b/>
          <w:sz w:val="24"/>
          <w:szCs w:val="24"/>
        </w:rPr>
      </w:pPr>
      <w:r>
        <w:rPr>
          <w:rFonts w:hint="eastAsia" w:hAnsi="宋体" w:cs="宋体"/>
          <w:b/>
          <w:sz w:val="24"/>
          <w:szCs w:val="24"/>
        </w:rPr>
        <w:t>11.4记名投票</w:t>
      </w:r>
    </w:p>
    <w:p>
      <w:pPr>
        <w:adjustRightInd w:val="0"/>
        <w:snapToGrid w:val="0"/>
        <w:spacing w:line="360" w:lineRule="auto"/>
        <w:ind w:firstLine="480" w:firstLineChars="200"/>
        <w:rPr>
          <w:rFonts w:hAnsi="宋体" w:cs="宋体"/>
          <w:sz w:val="24"/>
          <w:szCs w:val="24"/>
        </w:rPr>
      </w:pPr>
      <w:r>
        <w:rPr>
          <w:rFonts w:hint="eastAsia" w:hAnsi="宋体" w:cs="宋体"/>
          <w:sz w:val="24"/>
          <w:szCs w:val="24"/>
        </w:rPr>
        <w:t>在任何评标环节中，需评标委员会就某项定性的评审结论做出表决的，由评标委员会全体成员按照少数服从多数的原则，以记名投票方式表决。</w:t>
      </w:r>
    </w:p>
    <w:p>
      <w:pPr>
        <w:adjustRightInd w:val="0"/>
        <w:snapToGrid w:val="0"/>
        <w:spacing w:line="360" w:lineRule="auto"/>
        <w:ind w:firstLine="482" w:firstLineChars="200"/>
        <w:rPr>
          <w:rFonts w:hAnsi="宋体" w:cs="宋体"/>
          <w:b/>
          <w:sz w:val="24"/>
          <w:szCs w:val="24"/>
        </w:rPr>
      </w:pPr>
      <w:r>
        <w:rPr>
          <w:rFonts w:hint="eastAsia" w:hAnsi="宋体" w:cs="宋体"/>
          <w:b/>
          <w:sz w:val="24"/>
          <w:szCs w:val="24"/>
        </w:rPr>
        <w:t>11.5评标委员会对评标结果有异议的</w:t>
      </w:r>
    </w:p>
    <w:p>
      <w:pPr>
        <w:adjustRightInd w:val="0"/>
        <w:snapToGrid w:val="0"/>
        <w:spacing w:line="360" w:lineRule="auto"/>
        <w:ind w:firstLine="468" w:firstLineChars="200"/>
        <w:rPr>
          <w:rFonts w:ascii="仿宋_GB2312"/>
          <w:b w:val="0"/>
          <w:sz w:val="32"/>
        </w:rPr>
      </w:pPr>
      <w:r>
        <w:rPr>
          <w:rFonts w:hint="eastAsia" w:hAnsi="宋体" w:cs="宋体"/>
          <w:spacing w:val="-3"/>
          <w:sz w:val="24"/>
          <w:szCs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rPr>
          <w:rFonts w:ascii="仿宋_GB2312"/>
          <w:b w:val="0"/>
          <w:sz w:val="32"/>
        </w:rPr>
      </w:pPr>
      <w:r>
        <w:rPr>
          <w:rFonts w:ascii="仿宋_GB2312"/>
          <w:b w:val="0"/>
          <w:sz w:val="32"/>
        </w:rPr>
        <w:br w:type="page"/>
      </w:r>
    </w:p>
    <w:p>
      <w:pPr>
        <w:pStyle w:val="4"/>
      </w:pPr>
    </w:p>
    <w:p>
      <w:pPr>
        <w:pStyle w:val="2"/>
        <w:ind w:firstLine="320"/>
        <w:rPr>
          <w:rFonts w:ascii="仿宋_GB2312"/>
          <w:b w:val="0"/>
          <w:sz w:val="32"/>
        </w:rPr>
      </w:pPr>
    </w:p>
    <w:p>
      <w:pPr>
        <w:pStyle w:val="26"/>
        <w:tabs>
          <w:tab w:val="right" w:leader="dot" w:pos="9637"/>
          <w:tab w:val="clear" w:pos="9060"/>
        </w:tabs>
        <w:spacing w:before="120" w:after="120" w:line="600" w:lineRule="auto"/>
        <w:jc w:val="center"/>
        <w:rPr>
          <w:sz w:val="36"/>
          <w:szCs w:val="36"/>
        </w:rPr>
      </w:pPr>
      <w:bookmarkStart w:id="89" w:name="_Toc508875510"/>
      <w:bookmarkStart w:id="90" w:name="_Toc13587"/>
      <w:r>
        <w:rPr>
          <w:rFonts w:hint="eastAsia"/>
          <w:sz w:val="36"/>
          <w:szCs w:val="36"/>
        </w:rPr>
        <w:t>第四章合同条款及格式</w:t>
      </w:r>
      <w:bookmarkEnd w:id="11"/>
      <w:bookmarkEnd w:id="89"/>
      <w:bookmarkEnd w:id="90"/>
    </w:p>
    <w:p>
      <w:pPr>
        <w:adjustRightInd w:val="0"/>
        <w:snapToGrid w:val="0"/>
        <w:spacing w:line="440" w:lineRule="exact"/>
        <w:ind w:firstLine="480" w:firstLineChars="200"/>
        <w:rPr>
          <w:rFonts w:hAnsi="宋体" w:cs="宋体"/>
          <w:sz w:val="24"/>
        </w:rPr>
      </w:pPr>
      <w:bookmarkStart w:id="91" w:name="_Toc278443518"/>
    </w:p>
    <w:p>
      <w:pPr>
        <w:adjustRightInd w:val="0"/>
        <w:snapToGrid w:val="0"/>
        <w:spacing w:line="360" w:lineRule="auto"/>
        <w:ind w:firstLine="482" w:firstLineChars="200"/>
        <w:rPr>
          <w:rFonts w:hAnsi="宋体" w:cs="宋体"/>
          <w:b/>
          <w:sz w:val="24"/>
        </w:rPr>
      </w:pPr>
      <w:r>
        <w:rPr>
          <w:rFonts w:hint="eastAsia" w:hAnsi="宋体" w:cs="宋体"/>
          <w:b/>
          <w:sz w:val="24"/>
        </w:rPr>
        <w:t>采用由中华人民共和国住房和城乡建设部与国家工商行政管理局联合制定的《建设工程施工合同》(GF2017-0201)签订合同。</w:t>
      </w:r>
    </w:p>
    <w:p>
      <w:pPr>
        <w:autoSpaceDE w:val="0"/>
        <w:autoSpaceDN w:val="0"/>
        <w:adjustRightInd w:val="0"/>
        <w:jc w:val="center"/>
        <w:rPr>
          <w:rFonts w:hAnsi="宋体" w:cs="黑体"/>
          <w:b/>
          <w:sz w:val="36"/>
          <w:szCs w:val="36"/>
        </w:rPr>
      </w:pPr>
    </w:p>
    <w:p>
      <w:pPr>
        <w:pStyle w:val="26"/>
        <w:tabs>
          <w:tab w:val="right" w:leader="dot" w:pos="9637"/>
          <w:tab w:val="clear" w:pos="9060"/>
        </w:tabs>
        <w:spacing w:before="120" w:after="120" w:line="600" w:lineRule="auto"/>
        <w:jc w:val="center"/>
        <w:rPr>
          <w:sz w:val="36"/>
          <w:szCs w:val="36"/>
        </w:rPr>
      </w:pPr>
      <w:r>
        <w:rPr>
          <w:rFonts w:cs="黑体"/>
          <w:b/>
          <w:sz w:val="36"/>
          <w:szCs w:val="36"/>
        </w:rPr>
        <w:br w:type="page"/>
      </w:r>
      <w:bookmarkStart w:id="92" w:name="_Toc2321"/>
      <w:bookmarkStart w:id="93" w:name="_Toc508875511"/>
      <w:r>
        <w:rPr>
          <w:rFonts w:hint="eastAsia"/>
          <w:sz w:val="36"/>
          <w:szCs w:val="36"/>
        </w:rPr>
        <w:t>第五章 工程量清单</w:t>
      </w:r>
      <w:bookmarkEnd w:id="92"/>
      <w:bookmarkEnd w:id="93"/>
    </w:p>
    <w:p>
      <w:pPr>
        <w:spacing w:line="440" w:lineRule="exact"/>
        <w:rPr>
          <w:rFonts w:hAnsi="宋体"/>
          <w:b/>
          <w:sz w:val="24"/>
          <w:szCs w:val="24"/>
        </w:rPr>
      </w:pPr>
      <w:r>
        <w:rPr>
          <w:rFonts w:hint="eastAsia" w:hAnsi="宋体"/>
          <w:b/>
          <w:sz w:val="24"/>
          <w:szCs w:val="24"/>
        </w:rPr>
        <w:t>1、工程量清单说明</w:t>
      </w:r>
    </w:p>
    <w:p>
      <w:pPr>
        <w:spacing w:line="440" w:lineRule="exact"/>
        <w:ind w:left="1" w:firstLine="480" w:firstLineChars="200"/>
        <w:rPr>
          <w:rFonts w:hAnsi="宋体"/>
          <w:sz w:val="24"/>
          <w:szCs w:val="24"/>
        </w:rPr>
      </w:pPr>
      <w:r>
        <w:rPr>
          <w:rFonts w:hint="eastAsia" w:hAnsi="宋体"/>
          <w:sz w:val="24"/>
          <w:szCs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hAnsi="宋体"/>
          <w:sz w:val="24"/>
          <w:szCs w:val="24"/>
        </w:rPr>
      </w:pPr>
      <w:r>
        <w:rPr>
          <w:rFonts w:hint="eastAsia" w:hAnsi="宋体"/>
          <w:sz w:val="24"/>
          <w:szCs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hAnsi="宋体"/>
          <w:sz w:val="24"/>
          <w:szCs w:val="24"/>
        </w:rPr>
      </w:pPr>
      <w:r>
        <w:rPr>
          <w:rFonts w:hint="eastAsia" w:hAnsi="宋体"/>
          <w:sz w:val="24"/>
          <w:szCs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hAnsi="宋体"/>
          <w:color w:val="FF0000"/>
          <w:sz w:val="24"/>
          <w:szCs w:val="24"/>
          <w:u w:val="single"/>
        </w:rPr>
      </w:pPr>
      <w:r>
        <w:rPr>
          <w:rFonts w:hint="eastAsia" w:hAnsi="宋体"/>
          <w:sz w:val="24"/>
          <w:szCs w:val="24"/>
        </w:rPr>
        <w:t>1.4补充子目的子目特征、计量单位、工程量计算规则及工作内容说明如下：</w:t>
      </w:r>
      <w:r>
        <w:rPr>
          <w:rFonts w:hint="eastAsia" w:hAnsi="宋体"/>
          <w:sz w:val="24"/>
          <w:szCs w:val="24"/>
          <w:u w:val="single"/>
        </w:rPr>
        <w:t>本工程使用《建设工程工程量清单计价规范》（GB50500-2013）</w:t>
      </w:r>
    </w:p>
    <w:p>
      <w:pPr>
        <w:spacing w:line="440" w:lineRule="exact"/>
        <w:ind w:left="1" w:firstLine="480" w:firstLineChars="200"/>
        <w:rPr>
          <w:rFonts w:hAnsi="宋体"/>
          <w:sz w:val="24"/>
          <w:szCs w:val="24"/>
        </w:rPr>
      </w:pPr>
      <w:r>
        <w:rPr>
          <w:rFonts w:hint="eastAsia" w:hAnsi="宋体"/>
          <w:sz w:val="24"/>
          <w:szCs w:val="24"/>
        </w:rPr>
        <w:t>1.5 本条第1.1款中约定的计量和计价规则适用于合同履约过程中工程量计量与价款支付、工程变更、索赔和工程结算。</w:t>
      </w:r>
    </w:p>
    <w:p>
      <w:pPr>
        <w:spacing w:line="440" w:lineRule="exact"/>
        <w:ind w:left="1" w:firstLine="480" w:firstLineChars="200"/>
        <w:rPr>
          <w:rFonts w:hAnsi="宋体"/>
          <w:spacing w:val="-8"/>
          <w:sz w:val="24"/>
          <w:szCs w:val="24"/>
        </w:rPr>
      </w:pPr>
      <w:r>
        <w:rPr>
          <w:rFonts w:hint="eastAsia" w:hAnsi="宋体"/>
          <w:sz w:val="24"/>
          <w:szCs w:val="24"/>
        </w:rPr>
        <w:t xml:space="preserve">1.6 </w:t>
      </w:r>
      <w:r>
        <w:rPr>
          <w:rFonts w:hint="eastAsia" w:hAnsi="宋体"/>
          <w:spacing w:val="-8"/>
          <w:sz w:val="24"/>
          <w:szCs w:val="24"/>
        </w:rPr>
        <w:t>本条与下述第2条和第3条的说明内容是构成合同文件的已标价工程量清单的组成部分。</w:t>
      </w:r>
    </w:p>
    <w:p>
      <w:pPr>
        <w:spacing w:line="440" w:lineRule="exact"/>
        <w:rPr>
          <w:rFonts w:hAnsi="宋体"/>
          <w:b/>
          <w:sz w:val="24"/>
          <w:szCs w:val="24"/>
        </w:rPr>
      </w:pPr>
      <w:r>
        <w:rPr>
          <w:rFonts w:hint="eastAsia" w:hAnsi="宋体"/>
          <w:b/>
          <w:sz w:val="24"/>
          <w:szCs w:val="24"/>
        </w:rPr>
        <w:t>2、投标报价说明</w:t>
      </w:r>
    </w:p>
    <w:p>
      <w:pPr>
        <w:spacing w:line="440" w:lineRule="exact"/>
        <w:ind w:left="1" w:firstLine="480" w:firstLineChars="200"/>
        <w:rPr>
          <w:rFonts w:hAnsi="宋体"/>
          <w:sz w:val="24"/>
          <w:szCs w:val="24"/>
        </w:rPr>
      </w:pPr>
      <w:r>
        <w:rPr>
          <w:rFonts w:hint="eastAsia" w:hAnsi="宋体"/>
          <w:sz w:val="24"/>
          <w:szCs w:val="24"/>
        </w:rPr>
        <w:t>2.1 投标报价应根据招标文件中的有关计价要求，并按照下列依据自主报价。</w:t>
      </w:r>
    </w:p>
    <w:p>
      <w:pPr>
        <w:spacing w:line="440" w:lineRule="exact"/>
        <w:ind w:left="1" w:firstLine="480" w:firstLineChars="200"/>
        <w:rPr>
          <w:rFonts w:hAnsi="宋体"/>
          <w:sz w:val="24"/>
          <w:szCs w:val="24"/>
        </w:rPr>
      </w:pPr>
      <w:r>
        <w:rPr>
          <w:rFonts w:hint="eastAsia" w:hAnsi="宋体"/>
          <w:sz w:val="24"/>
          <w:szCs w:val="24"/>
        </w:rPr>
        <w:t>(1) 本招标文件；</w:t>
      </w:r>
    </w:p>
    <w:p>
      <w:pPr>
        <w:spacing w:line="440" w:lineRule="exact"/>
        <w:ind w:left="1" w:firstLine="480" w:firstLineChars="200"/>
        <w:rPr>
          <w:rFonts w:hAnsi="宋体"/>
          <w:sz w:val="24"/>
          <w:szCs w:val="24"/>
        </w:rPr>
      </w:pPr>
      <w:r>
        <w:rPr>
          <w:rFonts w:hint="eastAsia" w:hAnsi="宋体"/>
          <w:sz w:val="24"/>
          <w:szCs w:val="24"/>
        </w:rPr>
        <w:t>(2) 《建设工程工程量清单计价规范》（GB50500-2013）；</w:t>
      </w:r>
    </w:p>
    <w:p>
      <w:pPr>
        <w:spacing w:line="440" w:lineRule="exact"/>
        <w:ind w:left="1" w:firstLine="480" w:firstLineChars="200"/>
        <w:rPr>
          <w:rFonts w:hAnsi="宋体"/>
          <w:sz w:val="24"/>
          <w:szCs w:val="24"/>
        </w:rPr>
      </w:pPr>
      <w:r>
        <w:rPr>
          <w:rFonts w:hint="eastAsia" w:hAnsi="宋体"/>
          <w:sz w:val="24"/>
          <w:szCs w:val="24"/>
        </w:rPr>
        <w:t>(3) 《河南省市政工程工程预算定额》（HA-A1-31-2016）、《河南省建设工程工程量清单综合单价》2008版（E园林绿化工程）及相关定额解释并结合现行相关取费文件；</w:t>
      </w:r>
    </w:p>
    <w:p>
      <w:pPr>
        <w:spacing w:line="440" w:lineRule="exact"/>
        <w:ind w:left="1" w:firstLine="480" w:firstLineChars="200"/>
        <w:rPr>
          <w:rFonts w:hAnsi="宋体"/>
          <w:sz w:val="24"/>
          <w:szCs w:val="24"/>
        </w:rPr>
      </w:pPr>
      <w:r>
        <w:rPr>
          <w:rFonts w:hint="eastAsia" w:hAnsi="宋体"/>
          <w:sz w:val="24"/>
          <w:szCs w:val="24"/>
        </w:rPr>
        <w:t>(4) 国家或省级、行业建设主管部门颁发的计价办法；</w:t>
      </w:r>
    </w:p>
    <w:p>
      <w:pPr>
        <w:spacing w:line="440" w:lineRule="exact"/>
        <w:ind w:left="1" w:firstLine="480" w:firstLineChars="200"/>
        <w:rPr>
          <w:rFonts w:hAnsi="宋体"/>
          <w:sz w:val="24"/>
          <w:szCs w:val="24"/>
        </w:rPr>
      </w:pPr>
      <w:r>
        <w:rPr>
          <w:rFonts w:hint="eastAsia" w:hAnsi="宋体"/>
          <w:sz w:val="24"/>
          <w:szCs w:val="24"/>
        </w:rPr>
        <w:t>(5) 企业定额，国家或省级、行业建设主管部门颁发的计价定额；</w:t>
      </w:r>
    </w:p>
    <w:p>
      <w:pPr>
        <w:spacing w:line="440" w:lineRule="exact"/>
        <w:ind w:left="1" w:firstLine="480" w:firstLineChars="200"/>
        <w:rPr>
          <w:rFonts w:hAnsi="宋体"/>
          <w:sz w:val="24"/>
          <w:szCs w:val="24"/>
        </w:rPr>
      </w:pPr>
      <w:r>
        <w:rPr>
          <w:rFonts w:hint="eastAsia" w:hAnsi="宋体"/>
          <w:sz w:val="24"/>
          <w:szCs w:val="24"/>
        </w:rPr>
        <w:t>(6) 招标文件(包括工程量清单)的澄清、补充和修改文件；</w:t>
      </w:r>
    </w:p>
    <w:p>
      <w:pPr>
        <w:spacing w:line="440" w:lineRule="exact"/>
        <w:ind w:left="1" w:firstLine="480" w:firstLineChars="200"/>
        <w:rPr>
          <w:rFonts w:hAnsi="宋体"/>
          <w:sz w:val="24"/>
          <w:szCs w:val="24"/>
        </w:rPr>
      </w:pPr>
      <w:r>
        <w:rPr>
          <w:rFonts w:hint="eastAsia" w:hAnsi="宋体"/>
          <w:sz w:val="24"/>
          <w:szCs w:val="24"/>
        </w:rPr>
        <w:t>(7) 建设工程设计文件及相关资料；</w:t>
      </w:r>
    </w:p>
    <w:p>
      <w:pPr>
        <w:spacing w:line="440" w:lineRule="exact"/>
        <w:ind w:left="1" w:firstLine="480" w:firstLineChars="200"/>
        <w:rPr>
          <w:rFonts w:hAnsi="宋体"/>
          <w:sz w:val="24"/>
          <w:szCs w:val="24"/>
        </w:rPr>
      </w:pPr>
      <w:r>
        <w:rPr>
          <w:rFonts w:hint="eastAsia" w:hAnsi="宋体"/>
          <w:sz w:val="24"/>
          <w:szCs w:val="24"/>
        </w:rPr>
        <w:t>(8) 施工现场情况、工程特点及拟定的投标施工组织设计或施工方案；</w:t>
      </w:r>
    </w:p>
    <w:p>
      <w:pPr>
        <w:spacing w:line="440" w:lineRule="exact"/>
        <w:ind w:left="1" w:firstLine="480" w:firstLineChars="200"/>
        <w:rPr>
          <w:rFonts w:hAnsi="宋体"/>
          <w:sz w:val="24"/>
          <w:szCs w:val="24"/>
        </w:rPr>
      </w:pPr>
      <w:r>
        <w:rPr>
          <w:rFonts w:hint="eastAsia" w:hAnsi="宋体"/>
          <w:sz w:val="24"/>
          <w:szCs w:val="24"/>
        </w:rPr>
        <w:t>(9) 与建设项目相关的标准、规定等技术资料；</w:t>
      </w:r>
    </w:p>
    <w:p>
      <w:pPr>
        <w:spacing w:line="440" w:lineRule="exact"/>
        <w:ind w:left="1" w:firstLine="480" w:firstLineChars="200"/>
        <w:rPr>
          <w:rFonts w:hAnsi="宋体"/>
          <w:sz w:val="24"/>
          <w:szCs w:val="24"/>
        </w:rPr>
      </w:pPr>
      <w:r>
        <w:rPr>
          <w:rFonts w:hint="eastAsia" w:hAnsi="宋体"/>
          <w:sz w:val="24"/>
          <w:szCs w:val="24"/>
        </w:rPr>
        <w:t xml:space="preserve">(10) 本工程税金按豫建设标定【2019】39号文件9%计取增值税； </w:t>
      </w:r>
    </w:p>
    <w:p>
      <w:pPr>
        <w:spacing w:line="440" w:lineRule="exact"/>
        <w:ind w:left="1" w:firstLine="480" w:firstLineChars="200"/>
        <w:rPr>
          <w:rFonts w:hAnsi="宋体"/>
          <w:sz w:val="24"/>
          <w:szCs w:val="24"/>
        </w:rPr>
      </w:pPr>
      <w:r>
        <w:rPr>
          <w:rFonts w:hint="eastAsia" w:hAnsi="宋体"/>
          <w:sz w:val="24"/>
          <w:szCs w:val="24"/>
        </w:rPr>
        <w:t>(11)人工费指数、机械类指数、管理类指数按豫建标定【2019】26号文件计入；</w:t>
      </w:r>
    </w:p>
    <w:p>
      <w:pPr>
        <w:spacing w:line="440" w:lineRule="exact"/>
        <w:ind w:left="1" w:firstLine="480" w:firstLineChars="200"/>
        <w:rPr>
          <w:rFonts w:hAnsi="宋体"/>
          <w:b/>
          <w:color w:val="FF0000"/>
          <w:sz w:val="24"/>
          <w:szCs w:val="24"/>
        </w:rPr>
      </w:pPr>
      <w:r>
        <w:rPr>
          <w:rFonts w:hint="eastAsia" w:hAnsi="宋体"/>
          <w:sz w:val="24"/>
          <w:szCs w:val="24"/>
        </w:rPr>
        <w:t>(12) 主要材料价格参考《许昌信息价》，2019年第五期，并结合市场询价。</w:t>
      </w:r>
    </w:p>
    <w:p>
      <w:pPr>
        <w:spacing w:line="440" w:lineRule="exact"/>
        <w:ind w:left="1" w:firstLine="480" w:firstLineChars="200"/>
        <w:rPr>
          <w:rFonts w:hAnsi="宋体"/>
          <w:sz w:val="24"/>
          <w:szCs w:val="24"/>
        </w:rPr>
      </w:pPr>
      <w:r>
        <w:rPr>
          <w:rFonts w:hint="eastAsia" w:hAnsi="宋体"/>
          <w:sz w:val="24"/>
          <w:szCs w:val="24"/>
        </w:rPr>
        <w:t>2.2 工程量清单中的每一子目须填入单价或价格，且只允许有一个报价。</w:t>
      </w:r>
    </w:p>
    <w:p>
      <w:pPr>
        <w:spacing w:line="440" w:lineRule="exact"/>
        <w:ind w:left="1" w:firstLine="480" w:firstLineChars="200"/>
        <w:rPr>
          <w:rFonts w:hAnsi="宋体"/>
          <w:sz w:val="24"/>
          <w:szCs w:val="24"/>
        </w:rPr>
      </w:pPr>
      <w:r>
        <w:rPr>
          <w:rFonts w:hint="eastAsia" w:hAnsi="宋体"/>
          <w:sz w:val="24"/>
          <w:szCs w:val="24"/>
        </w:rPr>
        <w:t>2.3 工程量清单中标价的单价或金额，应包括所需人工费、材料费、施工机械使用费和</w:t>
      </w:r>
      <w:r>
        <w:rPr>
          <w:rFonts w:hint="eastAsia" w:hAnsi="宋体"/>
          <w:spacing w:val="-6"/>
          <w:sz w:val="24"/>
          <w:szCs w:val="24"/>
        </w:rPr>
        <w:t>管理费及利润，以及一定范围内的风险费用。所谓“一定范围内的风险”是指合同约定的风险。</w:t>
      </w:r>
    </w:p>
    <w:p>
      <w:pPr>
        <w:spacing w:line="440" w:lineRule="exact"/>
        <w:ind w:left="1" w:firstLine="480" w:firstLineChars="200"/>
        <w:rPr>
          <w:rFonts w:hAnsi="宋体"/>
          <w:sz w:val="24"/>
          <w:szCs w:val="24"/>
        </w:rPr>
      </w:pPr>
      <w:r>
        <w:rPr>
          <w:rFonts w:hint="eastAsia" w:hAnsi="宋体"/>
          <w:sz w:val="24"/>
          <w:szCs w:val="24"/>
        </w:rPr>
        <w:t>2.4 已标价工程量清单中投标人没有填入单价或价格的子目，其费用视为已分摊在工程量清单中其他已标价的相关子目的单价或价格之中。</w:t>
      </w:r>
    </w:p>
    <w:p>
      <w:pPr>
        <w:spacing w:line="440" w:lineRule="exact"/>
        <w:ind w:left="1" w:firstLine="480" w:firstLineChars="200"/>
        <w:rPr>
          <w:rFonts w:hAnsi="宋体"/>
          <w:sz w:val="24"/>
          <w:szCs w:val="24"/>
        </w:rPr>
      </w:pPr>
      <w:r>
        <w:rPr>
          <w:rFonts w:hint="eastAsia" w:hAnsi="宋体"/>
          <w:sz w:val="24"/>
          <w:szCs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40" w:lineRule="exact"/>
        <w:ind w:left="1" w:firstLine="480" w:firstLineChars="200"/>
        <w:rPr>
          <w:rFonts w:hAnsi="宋体"/>
          <w:sz w:val="24"/>
          <w:szCs w:val="24"/>
        </w:rPr>
      </w:pPr>
      <w:r>
        <w:rPr>
          <w:rFonts w:hint="eastAsia" w:hAnsi="宋体"/>
          <w:sz w:val="24"/>
          <w:szCs w:val="24"/>
        </w:rPr>
        <w:t>2.6 分部分项工程项目按下列要求报价：</w:t>
      </w:r>
    </w:p>
    <w:p>
      <w:pPr>
        <w:spacing w:line="440" w:lineRule="exact"/>
        <w:ind w:left="1" w:firstLine="480" w:firstLineChars="200"/>
        <w:rPr>
          <w:rFonts w:hAnsi="宋体"/>
          <w:sz w:val="24"/>
          <w:szCs w:val="24"/>
        </w:rPr>
      </w:pPr>
      <w:r>
        <w:rPr>
          <w:rFonts w:hint="eastAsia" w:hAnsi="宋体"/>
          <w:sz w:val="24"/>
          <w:szCs w:val="24"/>
        </w:rPr>
        <w:t>2.6.1 分部分项工程量清单计价应依据计价规范中关于综合单价的组成内容确定报价。</w:t>
      </w:r>
    </w:p>
    <w:p>
      <w:pPr>
        <w:spacing w:line="440" w:lineRule="exact"/>
        <w:ind w:left="1" w:firstLine="480" w:firstLineChars="200"/>
        <w:rPr>
          <w:rFonts w:hAnsi="宋体"/>
          <w:sz w:val="24"/>
          <w:szCs w:val="24"/>
        </w:rPr>
      </w:pPr>
      <w:r>
        <w:rPr>
          <w:rFonts w:hint="eastAsia" w:hAnsi="宋体"/>
          <w:sz w:val="24"/>
          <w:szCs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40" w:lineRule="exact"/>
        <w:ind w:left="1" w:firstLine="464" w:firstLineChars="200"/>
        <w:rPr>
          <w:rFonts w:hAnsi="宋体"/>
          <w:spacing w:val="-4"/>
          <w:sz w:val="24"/>
          <w:szCs w:val="24"/>
        </w:rPr>
      </w:pPr>
      <w:r>
        <w:rPr>
          <w:rFonts w:hint="eastAsia" w:hAnsi="宋体"/>
          <w:spacing w:val="-4"/>
          <w:sz w:val="24"/>
          <w:szCs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40" w:lineRule="exact"/>
        <w:ind w:left="1" w:firstLine="480" w:firstLineChars="200"/>
        <w:rPr>
          <w:rFonts w:hAnsi="宋体"/>
          <w:sz w:val="24"/>
          <w:szCs w:val="24"/>
        </w:rPr>
      </w:pPr>
      <w:r>
        <w:rPr>
          <w:rFonts w:hint="eastAsia" w:hAnsi="宋体"/>
          <w:sz w:val="24"/>
          <w:szCs w:val="24"/>
        </w:rPr>
        <w:t xml:space="preserve">2.6.4 </w:t>
      </w:r>
      <w:r>
        <w:rPr>
          <w:rFonts w:hint="eastAsia" w:hAnsi="宋体"/>
          <w:spacing w:val="-4"/>
          <w:sz w:val="24"/>
          <w:szCs w:val="24"/>
        </w:rPr>
        <w:t>“分部分项工程量清单与计价表”所列各子目的综合单价组成中，各子目的人工、材料和机械台班消耗量由投标人按照其自身情况做充分的、竞争性考虑。材料消耗量包括损耗量。</w:t>
      </w:r>
    </w:p>
    <w:p>
      <w:pPr>
        <w:spacing w:line="440" w:lineRule="exact"/>
        <w:ind w:left="1" w:firstLine="480" w:firstLineChars="200"/>
        <w:rPr>
          <w:rFonts w:hAnsi="宋体"/>
          <w:sz w:val="24"/>
          <w:szCs w:val="24"/>
        </w:rPr>
      </w:pPr>
      <w:r>
        <w:rPr>
          <w:rFonts w:hint="eastAsia" w:hAnsi="宋体"/>
          <w:sz w:val="24"/>
          <w:szCs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40" w:lineRule="exact"/>
        <w:ind w:left="1" w:firstLine="480" w:firstLineChars="200"/>
        <w:rPr>
          <w:rFonts w:hAnsi="宋体"/>
          <w:sz w:val="24"/>
          <w:szCs w:val="24"/>
        </w:rPr>
      </w:pPr>
      <w:r>
        <w:rPr>
          <w:rFonts w:hint="eastAsia" w:hAnsi="宋体"/>
          <w:sz w:val="24"/>
          <w:szCs w:val="24"/>
        </w:rPr>
        <w:t>2.7 措施项目按下列要求报价：</w:t>
      </w:r>
    </w:p>
    <w:p>
      <w:pPr>
        <w:spacing w:line="440" w:lineRule="exact"/>
        <w:ind w:left="1" w:firstLine="480" w:firstLineChars="200"/>
        <w:rPr>
          <w:rFonts w:hAnsi="宋体"/>
          <w:sz w:val="24"/>
          <w:szCs w:val="24"/>
        </w:rPr>
      </w:pPr>
      <w:r>
        <w:rPr>
          <w:rFonts w:hint="eastAsia" w:hAnsi="宋体"/>
          <w:sz w:val="24"/>
          <w:szCs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40" w:lineRule="exact"/>
        <w:ind w:left="1" w:firstLine="480" w:firstLineChars="200"/>
        <w:rPr>
          <w:rFonts w:hAnsi="宋体"/>
          <w:sz w:val="24"/>
          <w:szCs w:val="24"/>
        </w:rPr>
      </w:pPr>
      <w:r>
        <w:rPr>
          <w:rFonts w:hint="eastAsia" w:hAnsi="宋体"/>
          <w:sz w:val="24"/>
          <w:szCs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40" w:lineRule="exact"/>
        <w:ind w:left="1" w:firstLine="480" w:firstLineChars="200"/>
        <w:rPr>
          <w:rFonts w:hAnsi="宋体"/>
          <w:sz w:val="24"/>
          <w:szCs w:val="24"/>
        </w:rPr>
      </w:pPr>
      <w:r>
        <w:rPr>
          <w:rFonts w:hint="eastAsia" w:hAnsi="宋体"/>
          <w:sz w:val="24"/>
          <w:szCs w:val="24"/>
        </w:rPr>
        <w:t>2.7.3 “措施项目清单与计价表”中所填写的报价金额，应全面涵盖招标文件约定的投标人中标后施工、竣工、交付本工程并维修其任何缺陷所需要履行的责任和义务的全部费用。</w:t>
      </w:r>
    </w:p>
    <w:p>
      <w:pPr>
        <w:spacing w:line="440" w:lineRule="exact"/>
        <w:ind w:left="1" w:firstLine="480" w:firstLineChars="200"/>
        <w:rPr>
          <w:rFonts w:hAnsi="宋体"/>
          <w:sz w:val="24"/>
          <w:szCs w:val="24"/>
        </w:rPr>
      </w:pPr>
      <w:r>
        <w:rPr>
          <w:rFonts w:hint="eastAsia" w:hAnsi="宋体"/>
          <w:sz w:val="24"/>
          <w:szCs w:val="24"/>
        </w:rPr>
        <w:t>2.7.4 对于“措施项目清单与计价表”中所填写的报价金额，应按照“措施项目清单报价分析表”对措施项目报价的组成进行详细的列项和分析。</w:t>
      </w:r>
    </w:p>
    <w:p>
      <w:pPr>
        <w:spacing w:line="440" w:lineRule="exact"/>
        <w:ind w:left="1" w:firstLine="480" w:firstLineChars="200"/>
        <w:rPr>
          <w:rFonts w:hAnsi="宋体"/>
          <w:sz w:val="24"/>
          <w:szCs w:val="24"/>
        </w:rPr>
      </w:pPr>
      <w:r>
        <w:rPr>
          <w:rFonts w:hint="eastAsia" w:hAnsi="宋体"/>
          <w:sz w:val="24"/>
          <w:szCs w:val="24"/>
        </w:rPr>
        <w:t>2.8 其他项目清单费应按下列规定报价：</w:t>
      </w:r>
    </w:p>
    <w:p>
      <w:pPr>
        <w:spacing w:line="440" w:lineRule="exact"/>
        <w:ind w:left="1" w:firstLine="480" w:firstLineChars="200"/>
        <w:rPr>
          <w:rFonts w:hAnsi="宋体"/>
          <w:sz w:val="24"/>
          <w:szCs w:val="24"/>
        </w:rPr>
      </w:pPr>
      <w:r>
        <w:rPr>
          <w:rFonts w:hint="eastAsia" w:hAnsi="宋体"/>
          <w:sz w:val="24"/>
          <w:szCs w:val="24"/>
        </w:rPr>
        <w:t>2.8.1 暂列金额按“暂列金额明细表”中列出的金额报价，此处的暂列金额是招标人在招标文件中统一给定的，并不包括本章第2.8.3项的计日工金额。</w:t>
      </w:r>
    </w:p>
    <w:p>
      <w:pPr>
        <w:spacing w:line="440" w:lineRule="exact"/>
        <w:ind w:left="1" w:firstLine="480" w:firstLineChars="200"/>
        <w:rPr>
          <w:rFonts w:hAnsi="宋体"/>
          <w:sz w:val="24"/>
          <w:szCs w:val="24"/>
        </w:rPr>
      </w:pPr>
      <w:r>
        <w:rPr>
          <w:rFonts w:hint="eastAsia" w:hAnsi="宋体"/>
          <w:sz w:val="24"/>
          <w:szCs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40" w:lineRule="exact"/>
        <w:ind w:left="1" w:firstLine="480" w:firstLineChars="200"/>
        <w:rPr>
          <w:rFonts w:hAnsi="宋体"/>
          <w:sz w:val="24"/>
          <w:szCs w:val="24"/>
        </w:rPr>
      </w:pPr>
      <w:r>
        <w:rPr>
          <w:rFonts w:hint="eastAsia" w:hAnsi="宋体"/>
          <w:sz w:val="24"/>
          <w:szCs w:val="24"/>
        </w:rPr>
        <w:t>2.8.3 计日工按“计日工表”中列出的子目和估算数量，自主确定综合单价并计算计日工金额。计日工综合单价均不包括规费和税金，其中：</w:t>
      </w:r>
    </w:p>
    <w:p>
      <w:pPr>
        <w:spacing w:line="440" w:lineRule="exact"/>
        <w:ind w:left="1" w:firstLine="480" w:firstLineChars="200"/>
        <w:rPr>
          <w:rFonts w:hAnsi="宋体"/>
          <w:sz w:val="24"/>
          <w:szCs w:val="24"/>
        </w:rPr>
      </w:pPr>
      <w:r>
        <w:rPr>
          <w:rFonts w:hint="eastAsia" w:hAnsi="宋体"/>
          <w:sz w:val="24"/>
          <w:szCs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40" w:lineRule="exact"/>
        <w:ind w:left="1" w:firstLine="480" w:firstLineChars="200"/>
        <w:rPr>
          <w:rFonts w:hAnsi="宋体"/>
          <w:sz w:val="24"/>
          <w:szCs w:val="24"/>
        </w:rPr>
      </w:pPr>
      <w:r>
        <w:rPr>
          <w:rFonts w:hint="eastAsia" w:hAnsi="宋体"/>
          <w:sz w:val="24"/>
          <w:szCs w:val="24"/>
        </w:rPr>
        <w:t>(2) 材料价格包括材料运到现场的价格以及现场搬运、仓储、二次搬运、损耗、保险、企业管理费和利润；</w:t>
      </w:r>
    </w:p>
    <w:p>
      <w:pPr>
        <w:spacing w:line="440" w:lineRule="exact"/>
        <w:ind w:left="1" w:firstLine="480" w:firstLineChars="200"/>
        <w:rPr>
          <w:rFonts w:hAnsi="宋体"/>
          <w:sz w:val="24"/>
          <w:szCs w:val="24"/>
        </w:rPr>
      </w:pPr>
      <w:r>
        <w:rPr>
          <w:rFonts w:hint="eastAsia" w:hAnsi="宋体"/>
          <w:sz w:val="24"/>
          <w:szCs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40" w:lineRule="exact"/>
        <w:ind w:left="1" w:firstLine="480" w:firstLineChars="200"/>
        <w:rPr>
          <w:rFonts w:hAnsi="宋体"/>
          <w:sz w:val="24"/>
          <w:szCs w:val="24"/>
        </w:rPr>
      </w:pPr>
      <w:r>
        <w:rPr>
          <w:rFonts w:hint="eastAsia" w:hAnsi="宋体"/>
          <w:sz w:val="24"/>
          <w:szCs w:val="24"/>
        </w:rPr>
        <w:t>2.8.4 总承包服务费根据招标文件中列出的内容和要求，按“总承包服务费计价表”所列格式自主报价。</w:t>
      </w:r>
    </w:p>
    <w:p>
      <w:pPr>
        <w:spacing w:line="440" w:lineRule="exact"/>
        <w:ind w:left="1" w:firstLine="480" w:firstLineChars="200"/>
        <w:rPr>
          <w:rFonts w:hAnsi="宋体"/>
          <w:sz w:val="24"/>
          <w:szCs w:val="24"/>
        </w:rPr>
      </w:pPr>
      <w:r>
        <w:rPr>
          <w:rFonts w:hint="eastAsia" w:hAnsi="宋体"/>
          <w:sz w:val="24"/>
          <w:szCs w:val="24"/>
        </w:rPr>
        <w:t>2.9 规费和税金应按“规费、税金项目清单与计价表”所列项目并根据国家、省级或行业建设主管部门的有关规定列项和计算，不得作为竞争性费用。</w:t>
      </w:r>
    </w:p>
    <w:p>
      <w:pPr>
        <w:spacing w:line="440" w:lineRule="exact"/>
        <w:ind w:left="1" w:firstLine="480" w:firstLineChars="200"/>
        <w:rPr>
          <w:rFonts w:hAnsi="宋体"/>
          <w:sz w:val="24"/>
          <w:szCs w:val="24"/>
        </w:rPr>
      </w:pPr>
      <w:r>
        <w:rPr>
          <w:rFonts w:hint="eastAsia" w:hAnsi="宋体"/>
          <w:sz w:val="24"/>
          <w:szCs w:val="24"/>
        </w:rPr>
        <w:t>2.10 除招标文件有强制性规定外，投标报价由投标人自主确定，但不得低于其成本。</w:t>
      </w:r>
    </w:p>
    <w:p>
      <w:pPr>
        <w:spacing w:line="440" w:lineRule="exact"/>
        <w:ind w:left="1" w:firstLine="480" w:firstLineChars="200"/>
        <w:rPr>
          <w:rFonts w:hAnsi="宋体"/>
          <w:sz w:val="24"/>
          <w:szCs w:val="24"/>
        </w:rPr>
      </w:pPr>
      <w:r>
        <w:rPr>
          <w:rFonts w:hint="eastAsia" w:hAnsi="宋体"/>
          <w:sz w:val="24"/>
          <w:szCs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40" w:lineRule="exact"/>
        <w:ind w:left="1" w:firstLine="480" w:firstLineChars="200"/>
        <w:rPr>
          <w:rFonts w:hAnsi="宋体"/>
          <w:sz w:val="24"/>
          <w:szCs w:val="24"/>
        </w:rPr>
      </w:pPr>
      <w:r>
        <w:rPr>
          <w:rFonts w:hint="eastAsia" w:hAnsi="宋体"/>
          <w:sz w:val="24"/>
          <w:szCs w:val="24"/>
        </w:rPr>
        <w:t>2.12 管理费应由投标人在保证不低于其成本的基础上做竞争性考虑；利润由投标人根据自身情况和综合实力做竞争性考虑。</w:t>
      </w:r>
    </w:p>
    <w:p>
      <w:pPr>
        <w:spacing w:line="440" w:lineRule="exact"/>
        <w:ind w:left="1" w:firstLine="480" w:firstLineChars="200"/>
        <w:rPr>
          <w:rFonts w:hAnsi="宋体"/>
          <w:sz w:val="24"/>
          <w:szCs w:val="24"/>
        </w:rPr>
      </w:pPr>
      <w:r>
        <w:rPr>
          <w:rFonts w:hint="eastAsia" w:hAnsi="宋体"/>
          <w:sz w:val="24"/>
          <w:szCs w:val="24"/>
        </w:rPr>
        <w:t>2.13 投标报价中应考虑招标文件中要求投标人承担的风险范围以及相关的费用。</w:t>
      </w:r>
    </w:p>
    <w:p>
      <w:pPr>
        <w:spacing w:line="440" w:lineRule="exact"/>
        <w:ind w:left="1" w:firstLine="480" w:firstLineChars="200"/>
        <w:rPr>
          <w:rFonts w:hAnsi="宋体"/>
          <w:sz w:val="24"/>
          <w:szCs w:val="24"/>
        </w:rPr>
      </w:pPr>
      <w:r>
        <w:rPr>
          <w:rFonts w:hint="eastAsia" w:hAnsi="宋体"/>
          <w:sz w:val="24"/>
          <w:szCs w:val="24"/>
        </w:rPr>
        <w:t>2.14 投标总价为投标人在投标文件中提出的各项支付金额的总和，为实施、完成招标工程并修补缺陷以及履行招标文件中约定的风险范围内的所有责任和义务所发生的全部费用。</w:t>
      </w:r>
    </w:p>
    <w:p>
      <w:pPr>
        <w:spacing w:line="440" w:lineRule="exact"/>
        <w:ind w:left="1" w:firstLine="482" w:firstLineChars="200"/>
        <w:rPr>
          <w:rFonts w:hAnsi="宋体"/>
          <w:b/>
          <w:sz w:val="24"/>
          <w:szCs w:val="24"/>
        </w:rPr>
      </w:pPr>
      <w:r>
        <w:rPr>
          <w:rFonts w:hint="eastAsia" w:hAnsi="宋体"/>
          <w:b/>
          <w:sz w:val="24"/>
          <w:szCs w:val="24"/>
        </w:rPr>
        <w:t>2.15 有关投标报价的其他说明：</w:t>
      </w:r>
    </w:p>
    <w:p>
      <w:pPr>
        <w:spacing w:line="440" w:lineRule="exact"/>
        <w:ind w:left="1" w:firstLine="482" w:firstLineChars="200"/>
        <w:rPr>
          <w:rFonts w:hAnsi="宋体"/>
          <w:b/>
          <w:sz w:val="24"/>
          <w:szCs w:val="24"/>
        </w:rPr>
      </w:pPr>
      <w:r>
        <w:rPr>
          <w:rFonts w:hint="eastAsia" w:hAnsi="宋体"/>
          <w:b/>
          <w:sz w:val="24"/>
          <w:szCs w:val="24"/>
        </w:rPr>
        <w:t>2.15.1“规费和税金”的规定按照住建部《建设工程工程量清单计价规范》（GB50500-2013）及省住建厅有关规定，规费和税金应按规定费（税）率足额计取，即费（税）率不可竞争。</w:t>
      </w:r>
    </w:p>
    <w:p>
      <w:pPr>
        <w:adjustRightInd w:val="0"/>
        <w:snapToGrid w:val="0"/>
        <w:spacing w:line="420" w:lineRule="exact"/>
        <w:ind w:firstLine="481"/>
        <w:rPr>
          <w:rFonts w:hAnsi="宋体"/>
          <w:b/>
          <w:sz w:val="24"/>
          <w:szCs w:val="24"/>
        </w:rPr>
      </w:pPr>
      <w:r>
        <w:rPr>
          <w:rFonts w:hint="eastAsia" w:hAnsi="宋体"/>
          <w:b/>
          <w:sz w:val="24"/>
          <w:szCs w:val="24"/>
        </w:rPr>
        <w:t>规费、安全文明施工措施费、暂列金额与专业暂估价、增值税计入投标总报价，并在投标函、投标函附录中单列，不参与商务标评审。</w:t>
      </w:r>
    </w:p>
    <w:p>
      <w:pPr>
        <w:spacing w:line="440" w:lineRule="exact"/>
        <w:ind w:firstLine="481"/>
        <w:rPr>
          <w:rFonts w:hAnsi="宋体"/>
          <w:sz w:val="24"/>
          <w:szCs w:val="24"/>
        </w:rPr>
      </w:pPr>
      <w:r>
        <w:rPr>
          <w:rFonts w:hint="eastAsia" w:hAnsi="宋体"/>
          <w:sz w:val="24"/>
          <w:szCs w:val="24"/>
        </w:rPr>
        <w:t>3、其他说明</w:t>
      </w:r>
    </w:p>
    <w:p>
      <w:pPr>
        <w:spacing w:line="440" w:lineRule="exact"/>
        <w:ind w:left="1" w:firstLine="480" w:firstLineChars="200"/>
        <w:rPr>
          <w:rFonts w:hAnsi="宋体"/>
          <w:sz w:val="24"/>
          <w:szCs w:val="24"/>
        </w:rPr>
      </w:pPr>
      <w:r>
        <w:rPr>
          <w:rFonts w:hint="eastAsia" w:hAnsi="宋体"/>
          <w:sz w:val="24"/>
          <w:szCs w:val="24"/>
        </w:rPr>
        <w:t>3.1词语和定义</w:t>
      </w:r>
    </w:p>
    <w:p>
      <w:pPr>
        <w:spacing w:line="440" w:lineRule="exact"/>
        <w:ind w:left="1" w:firstLine="480" w:firstLineChars="200"/>
        <w:rPr>
          <w:rFonts w:hAnsi="宋体"/>
          <w:sz w:val="24"/>
          <w:szCs w:val="24"/>
        </w:rPr>
      </w:pPr>
      <w:r>
        <w:rPr>
          <w:rFonts w:hint="eastAsia" w:hAnsi="宋体"/>
          <w:sz w:val="24"/>
          <w:szCs w:val="24"/>
        </w:rPr>
        <w:t>3.1.1 工程量清单</w:t>
      </w:r>
    </w:p>
    <w:p>
      <w:pPr>
        <w:spacing w:line="440" w:lineRule="exact"/>
        <w:ind w:left="1" w:firstLine="480" w:firstLineChars="200"/>
        <w:rPr>
          <w:rFonts w:hAnsi="宋体"/>
          <w:sz w:val="24"/>
          <w:szCs w:val="24"/>
        </w:rPr>
      </w:pPr>
      <w:r>
        <w:rPr>
          <w:rFonts w:hint="eastAsia" w:hAnsi="宋体"/>
          <w:sz w:val="24"/>
          <w:szCs w:val="24"/>
        </w:rPr>
        <w:t>是表现本工程分部分项工程项目、措施项目、其他项目、规费项目和税金的名称和相应数量等的明细清单。</w:t>
      </w:r>
    </w:p>
    <w:p>
      <w:pPr>
        <w:spacing w:line="440" w:lineRule="exact"/>
        <w:ind w:left="1" w:firstLine="480" w:firstLineChars="200"/>
        <w:rPr>
          <w:rFonts w:hAnsi="宋体"/>
          <w:sz w:val="24"/>
          <w:szCs w:val="24"/>
        </w:rPr>
      </w:pPr>
      <w:r>
        <w:rPr>
          <w:rFonts w:hint="eastAsia" w:hAnsi="宋体"/>
          <w:sz w:val="24"/>
          <w:szCs w:val="24"/>
        </w:rPr>
        <w:t>3.1.2 总价子目</w:t>
      </w:r>
    </w:p>
    <w:p>
      <w:pPr>
        <w:spacing w:line="440" w:lineRule="exact"/>
        <w:ind w:left="1" w:firstLine="464" w:firstLineChars="200"/>
        <w:rPr>
          <w:rFonts w:hAnsi="宋体"/>
          <w:spacing w:val="-4"/>
          <w:sz w:val="24"/>
          <w:szCs w:val="24"/>
        </w:rPr>
      </w:pPr>
      <w:r>
        <w:rPr>
          <w:rFonts w:hint="eastAsia" w:hAnsi="宋体"/>
          <w:spacing w:val="-4"/>
          <w:sz w:val="24"/>
          <w:szCs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40" w:lineRule="exact"/>
        <w:ind w:left="1" w:firstLine="480" w:firstLineChars="200"/>
        <w:rPr>
          <w:rFonts w:hAnsi="宋体"/>
          <w:sz w:val="24"/>
          <w:szCs w:val="24"/>
        </w:rPr>
      </w:pPr>
      <w:r>
        <w:rPr>
          <w:rFonts w:hint="eastAsia" w:hAnsi="宋体"/>
          <w:sz w:val="24"/>
          <w:szCs w:val="24"/>
        </w:rPr>
        <w:t>3.1.3 单价子目</w:t>
      </w:r>
    </w:p>
    <w:p>
      <w:pPr>
        <w:spacing w:line="440" w:lineRule="exact"/>
        <w:ind w:left="1" w:firstLine="480" w:firstLineChars="200"/>
        <w:rPr>
          <w:rFonts w:hAnsi="宋体"/>
          <w:sz w:val="24"/>
          <w:szCs w:val="24"/>
        </w:rPr>
      </w:pPr>
      <w:r>
        <w:rPr>
          <w:rFonts w:hint="eastAsia" w:hAnsi="宋体"/>
          <w:sz w:val="24"/>
          <w:szCs w:val="24"/>
        </w:rPr>
        <w:t>工程量清单中以单价计价，根据有合同约束力的图纸和工程量计算规则进行计量，以实际完成数量乘以相应单价进行结算的子目。</w:t>
      </w:r>
    </w:p>
    <w:p>
      <w:pPr>
        <w:spacing w:line="440" w:lineRule="exact"/>
        <w:ind w:left="1" w:firstLine="480" w:firstLineChars="200"/>
        <w:rPr>
          <w:rFonts w:hAnsi="宋体"/>
          <w:sz w:val="24"/>
          <w:szCs w:val="24"/>
        </w:rPr>
      </w:pPr>
      <w:r>
        <w:rPr>
          <w:rFonts w:hint="eastAsia" w:hAnsi="宋体"/>
          <w:sz w:val="24"/>
          <w:szCs w:val="24"/>
        </w:rPr>
        <w:t>3.1.4 子目编码</w:t>
      </w:r>
    </w:p>
    <w:p>
      <w:pPr>
        <w:spacing w:line="440" w:lineRule="exact"/>
        <w:ind w:left="1" w:firstLine="480" w:firstLineChars="200"/>
        <w:rPr>
          <w:rFonts w:hAnsi="宋体"/>
          <w:sz w:val="24"/>
          <w:szCs w:val="24"/>
        </w:rPr>
      </w:pPr>
      <w:r>
        <w:rPr>
          <w:rFonts w:hint="eastAsia" w:hAnsi="宋体"/>
          <w:sz w:val="24"/>
          <w:szCs w:val="24"/>
        </w:rPr>
        <w:t>分部分项工程项目清单中所列的子目名称的数字标识和代码，子目编码与项目编码同义。</w:t>
      </w:r>
    </w:p>
    <w:p>
      <w:pPr>
        <w:spacing w:line="440" w:lineRule="exact"/>
        <w:ind w:left="1" w:firstLine="480" w:firstLineChars="200"/>
        <w:rPr>
          <w:rFonts w:hAnsi="宋体"/>
          <w:sz w:val="24"/>
          <w:szCs w:val="24"/>
        </w:rPr>
      </w:pPr>
      <w:r>
        <w:rPr>
          <w:rFonts w:hint="eastAsia" w:hAnsi="宋体"/>
          <w:sz w:val="24"/>
          <w:szCs w:val="24"/>
        </w:rPr>
        <w:t>3.1.5 子目特征</w:t>
      </w:r>
    </w:p>
    <w:p>
      <w:pPr>
        <w:spacing w:line="440" w:lineRule="exact"/>
        <w:ind w:left="1" w:firstLine="480" w:firstLineChars="200"/>
        <w:rPr>
          <w:rFonts w:hAnsi="宋体"/>
          <w:sz w:val="24"/>
          <w:szCs w:val="24"/>
        </w:rPr>
      </w:pPr>
      <w:r>
        <w:rPr>
          <w:rFonts w:hint="eastAsia" w:hAnsi="宋体"/>
          <w:sz w:val="24"/>
          <w:szCs w:val="24"/>
        </w:rPr>
        <w:t>构成分部分项工程项目清单子目、措施项目的实质内容、决定其自身价值的本质特征，子目特征与项目特征同义。</w:t>
      </w:r>
    </w:p>
    <w:p>
      <w:pPr>
        <w:spacing w:line="440" w:lineRule="exact"/>
        <w:ind w:left="1" w:firstLine="480" w:firstLineChars="200"/>
        <w:rPr>
          <w:rFonts w:hAnsi="宋体"/>
          <w:sz w:val="24"/>
          <w:szCs w:val="24"/>
        </w:rPr>
      </w:pPr>
      <w:r>
        <w:rPr>
          <w:rFonts w:hint="eastAsia" w:hAnsi="宋体"/>
          <w:sz w:val="24"/>
          <w:szCs w:val="24"/>
        </w:rPr>
        <w:t>3.1.6 规费</w:t>
      </w:r>
    </w:p>
    <w:p>
      <w:pPr>
        <w:spacing w:line="440" w:lineRule="exact"/>
        <w:ind w:left="1" w:firstLine="480" w:firstLineChars="200"/>
        <w:rPr>
          <w:rFonts w:hAnsi="宋体"/>
          <w:sz w:val="24"/>
          <w:szCs w:val="24"/>
        </w:rPr>
      </w:pPr>
      <w:r>
        <w:rPr>
          <w:rFonts w:hint="eastAsia" w:hAnsi="宋体"/>
          <w:sz w:val="24"/>
          <w:szCs w:val="24"/>
        </w:rPr>
        <w:t>承包人根据省级政府或省级有关权力部门规定必须缴纳的，应计入建筑安装工程造价的费用。</w:t>
      </w:r>
    </w:p>
    <w:p>
      <w:pPr>
        <w:spacing w:line="440" w:lineRule="exact"/>
        <w:ind w:left="1" w:firstLine="480" w:firstLineChars="200"/>
        <w:rPr>
          <w:rFonts w:hAnsi="宋体"/>
          <w:sz w:val="24"/>
          <w:szCs w:val="24"/>
        </w:rPr>
      </w:pPr>
      <w:r>
        <w:rPr>
          <w:rFonts w:hint="eastAsia" w:hAnsi="宋体"/>
          <w:sz w:val="24"/>
          <w:szCs w:val="24"/>
        </w:rPr>
        <w:t>3.1.7 税金</w:t>
      </w:r>
    </w:p>
    <w:p>
      <w:pPr>
        <w:spacing w:line="440" w:lineRule="exact"/>
        <w:ind w:left="1" w:firstLine="480" w:firstLineChars="200"/>
        <w:rPr>
          <w:rFonts w:hAnsi="宋体"/>
          <w:sz w:val="24"/>
          <w:szCs w:val="24"/>
        </w:rPr>
      </w:pPr>
      <w:r>
        <w:rPr>
          <w:rFonts w:hint="eastAsia" w:hAnsi="宋体"/>
          <w:sz w:val="24"/>
          <w:szCs w:val="24"/>
        </w:rPr>
        <w:t>国家税法规定的应计入建筑安装工程造价内的营业税、城市维护建设税及教育费附加等。</w:t>
      </w:r>
    </w:p>
    <w:p>
      <w:pPr>
        <w:spacing w:line="440" w:lineRule="exact"/>
        <w:ind w:left="1" w:firstLine="480" w:firstLineChars="200"/>
        <w:rPr>
          <w:rFonts w:hAnsi="宋体"/>
          <w:sz w:val="24"/>
          <w:szCs w:val="24"/>
        </w:rPr>
      </w:pPr>
      <w:r>
        <w:rPr>
          <w:rFonts w:hint="eastAsia" w:hAnsi="宋体"/>
          <w:sz w:val="24"/>
          <w:szCs w:val="24"/>
        </w:rPr>
        <w:t>3.1.8 总承包服务费</w:t>
      </w:r>
    </w:p>
    <w:p>
      <w:pPr>
        <w:spacing w:line="440" w:lineRule="exact"/>
        <w:ind w:left="1" w:firstLine="480" w:firstLineChars="200"/>
        <w:rPr>
          <w:rFonts w:hAnsi="宋体"/>
          <w:sz w:val="24"/>
          <w:szCs w:val="24"/>
        </w:rPr>
      </w:pPr>
      <w:r>
        <w:rPr>
          <w:rFonts w:hint="eastAsia" w:hAnsi="宋体"/>
          <w:sz w:val="24"/>
          <w:szCs w:val="24"/>
        </w:rPr>
        <w:t>总承包人为配合协调发包人发包的专业工程以及发包人采购的材料和工程设备等进行管理、服务以及施工现场管理、竣工资料汇总整理等所需的费用。</w:t>
      </w:r>
    </w:p>
    <w:p>
      <w:pPr>
        <w:spacing w:line="440" w:lineRule="exact"/>
        <w:ind w:left="1" w:firstLine="480" w:firstLineChars="200"/>
        <w:rPr>
          <w:rFonts w:hAnsi="宋体"/>
          <w:sz w:val="24"/>
          <w:szCs w:val="24"/>
        </w:rPr>
      </w:pPr>
      <w:r>
        <w:rPr>
          <w:rFonts w:hint="eastAsia" w:hAnsi="宋体"/>
          <w:sz w:val="24"/>
          <w:szCs w:val="24"/>
        </w:rPr>
        <w:t>3.1.9 同义词语</w:t>
      </w:r>
    </w:p>
    <w:p>
      <w:pPr>
        <w:spacing w:line="440" w:lineRule="exact"/>
        <w:ind w:left="1" w:firstLine="480" w:firstLineChars="200"/>
        <w:rPr>
          <w:rFonts w:hAnsi="宋体"/>
          <w:sz w:val="24"/>
          <w:szCs w:val="24"/>
        </w:rPr>
      </w:pPr>
      <w:r>
        <w:rPr>
          <w:rFonts w:hint="eastAsia" w:hAnsi="宋体"/>
          <w:sz w:val="24"/>
          <w:szCs w:val="24"/>
        </w:rPr>
        <w:t>本章中使用的词语“招标人”和“投标人”分别与合同条款中定义的“发包人”和“承包人”同义；就工程量清单而言，“子目”与“项目”同义。</w:t>
      </w:r>
    </w:p>
    <w:p>
      <w:pPr>
        <w:spacing w:line="440" w:lineRule="exact"/>
        <w:ind w:left="1" w:firstLine="480" w:firstLineChars="200"/>
        <w:rPr>
          <w:rFonts w:hAnsi="宋体"/>
          <w:sz w:val="24"/>
          <w:szCs w:val="24"/>
        </w:rPr>
      </w:pPr>
      <w:r>
        <w:rPr>
          <w:rFonts w:hint="eastAsia" w:hAnsi="宋体"/>
          <w:sz w:val="24"/>
          <w:szCs w:val="24"/>
        </w:rPr>
        <w:t>3.2工程量差异调整</w:t>
      </w:r>
    </w:p>
    <w:p>
      <w:pPr>
        <w:spacing w:line="440" w:lineRule="exact"/>
        <w:ind w:left="1" w:firstLine="480" w:firstLineChars="200"/>
        <w:rPr>
          <w:rFonts w:hAnsi="宋体"/>
          <w:sz w:val="24"/>
          <w:szCs w:val="24"/>
        </w:rPr>
      </w:pPr>
      <w:r>
        <w:rPr>
          <w:rFonts w:hint="eastAsia" w:hAnsi="宋体"/>
          <w:sz w:val="24"/>
          <w:szCs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40" w:lineRule="exact"/>
        <w:ind w:left="1" w:firstLine="480" w:firstLineChars="200"/>
        <w:rPr>
          <w:rFonts w:hAnsi="宋体"/>
          <w:sz w:val="24"/>
          <w:szCs w:val="24"/>
        </w:rPr>
      </w:pPr>
      <w:r>
        <w:rPr>
          <w:rFonts w:hint="eastAsia" w:hAnsi="宋体"/>
          <w:sz w:val="24"/>
          <w:szCs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40" w:lineRule="exact"/>
        <w:ind w:left="1" w:firstLine="480" w:firstLineChars="200"/>
        <w:rPr>
          <w:rFonts w:hAnsi="宋体"/>
          <w:sz w:val="24"/>
          <w:szCs w:val="24"/>
        </w:rPr>
      </w:pPr>
      <w:r>
        <w:rPr>
          <w:rFonts w:hint="eastAsia" w:hAnsi="宋体"/>
          <w:sz w:val="24"/>
          <w:szCs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40" w:lineRule="exact"/>
        <w:ind w:left="1" w:firstLine="480" w:firstLineChars="200"/>
        <w:rPr>
          <w:rFonts w:hAnsi="宋体"/>
          <w:sz w:val="24"/>
          <w:szCs w:val="24"/>
        </w:rPr>
      </w:pPr>
      <w:r>
        <w:rPr>
          <w:rFonts w:hint="eastAsia" w:hAnsi="宋体"/>
          <w:sz w:val="24"/>
          <w:szCs w:val="24"/>
        </w:rPr>
        <w:t>3.3暂列金额和暂估价</w:t>
      </w:r>
    </w:p>
    <w:p>
      <w:pPr>
        <w:spacing w:line="440" w:lineRule="exact"/>
        <w:ind w:left="1" w:firstLine="480" w:firstLineChars="200"/>
        <w:rPr>
          <w:rFonts w:hAnsi="宋体"/>
          <w:sz w:val="24"/>
          <w:szCs w:val="24"/>
        </w:rPr>
      </w:pPr>
      <w:r>
        <w:rPr>
          <w:rFonts w:hint="eastAsia" w:hAnsi="宋体"/>
          <w:sz w:val="24"/>
          <w:szCs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40" w:lineRule="exact"/>
        <w:ind w:left="1" w:firstLine="480" w:firstLineChars="200"/>
        <w:rPr>
          <w:rFonts w:hAnsi="宋体"/>
          <w:sz w:val="24"/>
          <w:szCs w:val="24"/>
        </w:rPr>
      </w:pPr>
      <w:r>
        <w:rPr>
          <w:rFonts w:hint="eastAsia" w:hAnsi="宋体"/>
          <w:sz w:val="24"/>
          <w:szCs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40" w:lineRule="exact"/>
        <w:ind w:left="1" w:firstLine="480" w:firstLineChars="200"/>
        <w:rPr>
          <w:rFonts w:hAnsi="宋体"/>
          <w:sz w:val="24"/>
          <w:szCs w:val="24"/>
        </w:rPr>
      </w:pPr>
      <w:r>
        <w:rPr>
          <w:rFonts w:hint="eastAsia" w:hAnsi="宋体"/>
          <w:sz w:val="24"/>
          <w:szCs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40" w:lineRule="exact"/>
        <w:ind w:left="1" w:firstLine="480" w:firstLineChars="200"/>
        <w:rPr>
          <w:rFonts w:hAnsi="宋体"/>
          <w:sz w:val="24"/>
          <w:szCs w:val="24"/>
          <w:u w:val="single"/>
        </w:rPr>
      </w:pPr>
      <w:r>
        <w:rPr>
          <w:rFonts w:hint="eastAsia" w:hAnsi="宋体"/>
          <w:sz w:val="24"/>
          <w:szCs w:val="24"/>
        </w:rPr>
        <w:t>3.4其他补充说明：</w:t>
      </w:r>
      <w:r>
        <w:rPr>
          <w:rFonts w:hint="eastAsia" w:hAnsi="宋体"/>
          <w:sz w:val="24"/>
          <w:szCs w:val="24"/>
          <w:u w:val="single"/>
        </w:rPr>
        <w:t xml:space="preserve">                       /                        。</w:t>
      </w:r>
    </w:p>
    <w:p>
      <w:pPr>
        <w:spacing w:line="440" w:lineRule="exact"/>
        <w:rPr>
          <w:rFonts w:hAnsi="宋体"/>
          <w:b/>
          <w:sz w:val="24"/>
          <w:szCs w:val="24"/>
        </w:rPr>
      </w:pPr>
      <w:r>
        <w:rPr>
          <w:rFonts w:hint="eastAsia" w:hAnsi="宋体"/>
          <w:b/>
          <w:sz w:val="24"/>
          <w:szCs w:val="24"/>
        </w:rPr>
        <w:t>4．工程量清单</w:t>
      </w:r>
    </w:p>
    <w:p>
      <w:pPr>
        <w:spacing w:line="440" w:lineRule="exact"/>
        <w:ind w:left="1" w:firstLine="480" w:firstLineChars="200"/>
        <w:rPr>
          <w:rFonts w:hAnsi="宋体"/>
          <w:sz w:val="24"/>
          <w:szCs w:val="24"/>
        </w:rPr>
      </w:pPr>
      <w:r>
        <w:rPr>
          <w:rFonts w:hint="eastAsia" w:hAnsi="宋体"/>
          <w:sz w:val="24"/>
          <w:szCs w:val="24"/>
        </w:rPr>
        <w:t>工程量清单在《全国公共资源交易平台（河南省•许昌市）》（http://www.ggzy.xuchang.gov.cn/），通过“投标人/供应商登录”后自行下载。</w:t>
      </w:r>
    </w:p>
    <w:p>
      <w:pPr>
        <w:spacing w:line="440" w:lineRule="exact"/>
        <w:ind w:left="1" w:firstLine="480" w:firstLineChars="200"/>
        <w:rPr>
          <w:rFonts w:hAnsi="宋体"/>
          <w:sz w:val="24"/>
          <w:szCs w:val="24"/>
        </w:rPr>
      </w:pPr>
      <w:r>
        <w:rPr>
          <w:rFonts w:hint="eastAsia" w:hAnsi="宋体"/>
          <w:sz w:val="24"/>
          <w:szCs w:val="24"/>
        </w:rPr>
        <w:t>投标人按照下载的工程量清单编制投标报价，未尽事宜按照国家、省、市、行业现行的文件执行。</w:t>
      </w:r>
    </w:p>
    <w:p>
      <w:pPr>
        <w:spacing w:line="440" w:lineRule="exact"/>
        <w:jc w:val="center"/>
        <w:rPr>
          <w:sz w:val="36"/>
          <w:szCs w:val="36"/>
        </w:rPr>
      </w:pPr>
      <w:r>
        <w:rPr>
          <w:rFonts w:ascii="新宋体" w:hAnsi="新宋体" w:eastAsia="新宋体"/>
          <w:sz w:val="24"/>
          <w:u w:val="single"/>
        </w:rPr>
        <w:br w:type="page"/>
      </w:r>
      <w:bookmarkStart w:id="94" w:name="_Toc508875512"/>
      <w:bookmarkStart w:id="95" w:name="_Toc8264"/>
      <w:r>
        <w:rPr>
          <w:rFonts w:hint="eastAsia" w:ascii="黑体" w:hAnsi="宋体" w:eastAsia="黑体" w:cs="TimesNewRomanPSMT"/>
          <w:sz w:val="36"/>
          <w:szCs w:val="36"/>
        </w:rPr>
        <w:t>第六章图纸</w:t>
      </w:r>
      <w:bookmarkEnd w:id="91"/>
      <w:bookmarkEnd w:id="94"/>
      <w:bookmarkEnd w:id="95"/>
    </w:p>
    <w:p>
      <w:pPr>
        <w:autoSpaceDE w:val="0"/>
        <w:autoSpaceDN w:val="0"/>
        <w:adjustRightInd w:val="0"/>
        <w:jc w:val="center"/>
        <w:rPr>
          <w:rFonts w:hAnsi="宋体" w:cs="黑体"/>
          <w:b/>
          <w:sz w:val="24"/>
        </w:rPr>
      </w:pPr>
    </w:p>
    <w:p>
      <w:pPr>
        <w:spacing w:line="500" w:lineRule="exact"/>
        <w:ind w:firstLine="480" w:firstLineChars="200"/>
        <w:jc w:val="left"/>
        <w:rPr>
          <w:rFonts w:hAnsi="宋体" w:cs="宋体"/>
          <w:sz w:val="24"/>
        </w:rPr>
      </w:pPr>
      <w:r>
        <w:rPr>
          <w:rFonts w:hint="eastAsia" w:hAnsi="宋体" w:cs="宋体"/>
          <w:sz w:val="24"/>
        </w:rPr>
        <w:t>按照招标文件中第二章投标人须知前附表第2.1项所给的方式自行下载。</w:t>
      </w:r>
      <w:bookmarkStart w:id="96" w:name="_Toc278443522"/>
    </w:p>
    <w:p>
      <w:pPr>
        <w:pStyle w:val="2"/>
        <w:ind w:firstLine="320"/>
        <w:rPr>
          <w:rFonts w:ascii="仿宋_GB2312"/>
          <w:b w:val="0"/>
          <w:sz w:val="32"/>
        </w:rPr>
      </w:pPr>
    </w:p>
    <w:p>
      <w:pPr>
        <w:pStyle w:val="2"/>
        <w:ind w:firstLine="320"/>
        <w:rPr>
          <w:rFonts w:ascii="仿宋_GB2312"/>
          <w:b w:val="0"/>
          <w:sz w:val="32"/>
        </w:rPr>
      </w:pPr>
    </w:p>
    <w:p>
      <w:pPr>
        <w:pStyle w:val="2"/>
        <w:ind w:firstLine="320"/>
        <w:rPr>
          <w:rFonts w:ascii="仿宋_GB2312"/>
          <w:b w:val="0"/>
          <w:sz w:val="32"/>
        </w:rPr>
      </w:pPr>
    </w:p>
    <w:p>
      <w:pPr>
        <w:pStyle w:val="2"/>
        <w:ind w:firstLine="320"/>
        <w:rPr>
          <w:rFonts w:ascii="仿宋_GB2312"/>
          <w:b w:val="0"/>
          <w:sz w:val="32"/>
        </w:rPr>
      </w:pPr>
    </w:p>
    <w:p>
      <w:pPr>
        <w:widowControl/>
        <w:jc w:val="left"/>
        <w:rPr>
          <w:rFonts w:ascii="黑体" w:hAnsi="宋体" w:eastAsia="黑体" w:cs="TimesNewRomanPSMT"/>
          <w:kern w:val="0"/>
          <w:sz w:val="36"/>
          <w:szCs w:val="36"/>
        </w:rPr>
      </w:pPr>
      <w:bookmarkStart w:id="97" w:name="_Toc508875513"/>
      <w:bookmarkStart w:id="98" w:name="_Toc30209"/>
      <w:r>
        <w:rPr>
          <w:sz w:val="36"/>
          <w:szCs w:val="36"/>
        </w:rPr>
        <w:br w:type="page"/>
      </w:r>
    </w:p>
    <w:p>
      <w:pPr>
        <w:pStyle w:val="26"/>
        <w:tabs>
          <w:tab w:val="right" w:leader="dot" w:pos="9637"/>
          <w:tab w:val="clear" w:pos="9060"/>
        </w:tabs>
        <w:spacing w:before="120" w:after="120" w:line="600" w:lineRule="auto"/>
        <w:jc w:val="center"/>
        <w:rPr>
          <w:sz w:val="36"/>
          <w:szCs w:val="36"/>
        </w:rPr>
      </w:pPr>
      <w:r>
        <w:rPr>
          <w:rFonts w:hint="eastAsia"/>
          <w:sz w:val="36"/>
          <w:szCs w:val="36"/>
        </w:rPr>
        <w:t>第七章技术标准和要求</w:t>
      </w:r>
      <w:bookmarkEnd w:id="96"/>
      <w:bookmarkEnd w:id="97"/>
      <w:bookmarkEnd w:id="98"/>
    </w:p>
    <w:p>
      <w:pPr>
        <w:pStyle w:val="2"/>
        <w:ind w:firstLine="320"/>
        <w:rPr>
          <w:rFonts w:ascii="仿宋_GB2312"/>
          <w:b w:val="0"/>
          <w:sz w:val="32"/>
        </w:rPr>
      </w:pPr>
    </w:p>
    <w:p>
      <w:pPr>
        <w:numPr>
          <w:ilvl w:val="0"/>
          <w:numId w:val="5"/>
        </w:numPr>
        <w:spacing w:line="360" w:lineRule="auto"/>
        <w:ind w:firstLine="480" w:firstLineChars="200"/>
        <w:jc w:val="left"/>
        <w:rPr>
          <w:rFonts w:ascii="新宋体" w:eastAsia="新宋体"/>
          <w:sz w:val="24"/>
        </w:rPr>
      </w:pPr>
      <w:r>
        <w:rPr>
          <w:rFonts w:hint="eastAsia" w:ascii="新宋体" w:eastAsia="新宋体"/>
          <w:sz w:val="24"/>
        </w:rPr>
        <w:t>本工程技术标准和要求以本工程施工图纸和适用的国家、行业以及地方规范、标准和规程为准。</w:t>
      </w:r>
    </w:p>
    <w:p>
      <w:pPr>
        <w:spacing w:line="500" w:lineRule="exact"/>
        <w:ind w:firstLine="480" w:firstLineChars="200"/>
        <w:jc w:val="left"/>
        <w:rPr>
          <w:rFonts w:hAnsi="宋体" w:cs="宋体"/>
          <w:sz w:val="24"/>
        </w:rPr>
      </w:pPr>
      <w:r>
        <w:rPr>
          <w:rFonts w:hint="eastAsia" w:cs="宋体"/>
          <w:sz w:val="24"/>
          <w:szCs w:val="24"/>
        </w:rPr>
        <w:t>2、</w:t>
      </w:r>
      <w:r>
        <w:rPr>
          <w:rFonts w:hint="eastAsia" w:hAnsi="宋体" w:cs="宋体"/>
          <w:sz w:val="24"/>
        </w:rPr>
        <w:t>施工工地扬尘污染整治标准以《许昌市施工工地扬尘污染综合整治工作方案》许气联办【2016】21号文件为准。</w:t>
      </w:r>
      <w:bookmarkStart w:id="99" w:name="_Toc278443525"/>
    </w:p>
    <w:p>
      <w:pPr>
        <w:pStyle w:val="26"/>
        <w:tabs>
          <w:tab w:val="right" w:leader="dot" w:pos="9637"/>
          <w:tab w:val="clear" w:pos="9060"/>
        </w:tabs>
        <w:spacing w:before="120" w:after="120" w:line="600" w:lineRule="auto"/>
        <w:jc w:val="center"/>
        <w:rPr>
          <w:sz w:val="36"/>
          <w:szCs w:val="36"/>
        </w:rPr>
      </w:pPr>
      <w:r>
        <w:rPr>
          <w:rFonts w:hint="eastAsia" w:cs="黑体"/>
          <w:b/>
          <w:sz w:val="44"/>
          <w:szCs w:val="44"/>
        </w:rPr>
        <w:br w:type="page"/>
      </w:r>
      <w:bookmarkEnd w:id="99"/>
      <w:bookmarkStart w:id="100" w:name="_Toc25579"/>
      <w:bookmarkStart w:id="101" w:name="_Toc508875514"/>
      <w:r>
        <w:rPr>
          <w:rFonts w:hint="eastAsia"/>
          <w:sz w:val="36"/>
          <w:szCs w:val="36"/>
        </w:rPr>
        <w:t>第八章 投标文件格式</w:t>
      </w:r>
      <w:bookmarkEnd w:id="100"/>
      <w:bookmarkEnd w:id="101"/>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（项目名称、标段）</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szCs w:val="32"/>
        </w:rPr>
      </w:pPr>
      <w:r>
        <w:rPr>
          <w:rFonts w:hint="eastAsia" w:hAnsi="宋体" w:cs="宋体"/>
          <w:b/>
          <w:sz w:val="32"/>
          <w:szCs w:val="32"/>
        </w:rPr>
        <w:t>综合标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rPr>
        <w:t>年月日</w:t>
      </w: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jc w:val="center"/>
        <w:rPr>
          <w:rFonts w:hAnsi="宋体" w:cs="宋体"/>
          <w:sz w:val="36"/>
          <w:szCs w:val="36"/>
        </w:rPr>
      </w:pPr>
      <w:r>
        <w:rPr>
          <w:rFonts w:hint="eastAsia" w:hAnsi="宋体" w:cs="宋体"/>
          <w:b/>
          <w:sz w:val="36"/>
          <w:szCs w:val="36"/>
        </w:rPr>
        <w:t>目    录</w:t>
      </w:r>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jc w:val="center"/>
        <w:rPr>
          <w:rFonts w:hAnsi="宋体" w:cs="宋体"/>
          <w:sz w:val="28"/>
          <w:szCs w:val="28"/>
        </w:rPr>
      </w:pPr>
    </w:p>
    <w:p>
      <w:pPr>
        <w:autoSpaceDE w:val="0"/>
        <w:autoSpaceDN w:val="0"/>
        <w:adjustRightInd w:val="0"/>
        <w:spacing w:line="480" w:lineRule="auto"/>
        <w:ind w:left="718" w:leftChars="342"/>
        <w:jc w:val="left"/>
        <w:rPr>
          <w:rFonts w:hAnsi="宋体" w:cs="宋体"/>
          <w:b/>
          <w:sz w:val="24"/>
        </w:rPr>
      </w:pPr>
      <w:bookmarkStart w:id="102" w:name="OLE_LINK8"/>
      <w:r>
        <w:rPr>
          <w:rFonts w:hint="eastAsia" w:hAnsi="宋体" w:cs="宋体"/>
          <w:b/>
          <w:sz w:val="24"/>
        </w:rPr>
        <w:t>一、投标函及投标函附录；</w:t>
      </w:r>
    </w:p>
    <w:p>
      <w:pPr>
        <w:autoSpaceDE w:val="0"/>
        <w:autoSpaceDN w:val="0"/>
        <w:adjustRightInd w:val="0"/>
        <w:spacing w:line="480" w:lineRule="auto"/>
        <w:ind w:left="718" w:leftChars="342"/>
        <w:jc w:val="left"/>
        <w:rPr>
          <w:rFonts w:hAnsi="宋体" w:cs="宋体"/>
          <w:b/>
          <w:sz w:val="24"/>
        </w:rPr>
      </w:pPr>
      <w:r>
        <w:rPr>
          <w:rFonts w:hint="eastAsia" w:hAnsi="宋体" w:cs="宋体"/>
          <w:b/>
          <w:sz w:val="24"/>
        </w:rPr>
        <w:t>二、法定代表人身份证明、授权委托书；</w:t>
      </w:r>
    </w:p>
    <w:p>
      <w:pPr>
        <w:autoSpaceDE w:val="0"/>
        <w:autoSpaceDN w:val="0"/>
        <w:adjustRightInd w:val="0"/>
        <w:spacing w:line="480" w:lineRule="auto"/>
        <w:ind w:left="718" w:leftChars="342"/>
        <w:jc w:val="left"/>
        <w:rPr>
          <w:rFonts w:hAnsi="宋体" w:cs="宋体"/>
          <w:b/>
          <w:sz w:val="24"/>
        </w:rPr>
      </w:pPr>
      <w:r>
        <w:rPr>
          <w:rFonts w:hint="eastAsia" w:hAnsi="宋体" w:cs="宋体"/>
          <w:b/>
          <w:sz w:val="24"/>
        </w:rPr>
        <w:t>三、投标保证金；</w:t>
      </w:r>
    </w:p>
    <w:p>
      <w:pPr>
        <w:autoSpaceDE w:val="0"/>
        <w:autoSpaceDN w:val="0"/>
        <w:adjustRightInd w:val="0"/>
        <w:spacing w:line="480" w:lineRule="auto"/>
        <w:ind w:left="718" w:leftChars="342"/>
        <w:jc w:val="left"/>
        <w:rPr>
          <w:rFonts w:hAnsi="宋体" w:cs="宋体"/>
          <w:b/>
          <w:sz w:val="24"/>
        </w:rPr>
      </w:pPr>
      <w:r>
        <w:rPr>
          <w:rFonts w:hint="eastAsia" w:hAnsi="宋体" w:cs="宋体"/>
          <w:b/>
          <w:sz w:val="24"/>
        </w:rPr>
        <w:t>四、项目管理机构配备情况；</w:t>
      </w:r>
    </w:p>
    <w:p>
      <w:pPr>
        <w:autoSpaceDE w:val="0"/>
        <w:autoSpaceDN w:val="0"/>
        <w:adjustRightInd w:val="0"/>
        <w:spacing w:line="480" w:lineRule="auto"/>
        <w:ind w:left="718" w:leftChars="342"/>
        <w:jc w:val="left"/>
        <w:rPr>
          <w:rFonts w:hAnsi="宋体" w:cs="宋体"/>
          <w:b/>
          <w:sz w:val="24"/>
        </w:rPr>
      </w:pPr>
      <w:r>
        <w:rPr>
          <w:rFonts w:hint="eastAsia" w:hAnsi="宋体" w:cs="宋体"/>
          <w:b/>
          <w:sz w:val="24"/>
        </w:rPr>
        <w:t>五、投标单位基本情况表；</w:t>
      </w:r>
    </w:p>
    <w:p>
      <w:pPr>
        <w:autoSpaceDE w:val="0"/>
        <w:autoSpaceDN w:val="0"/>
        <w:adjustRightInd w:val="0"/>
        <w:spacing w:line="480" w:lineRule="auto"/>
        <w:ind w:left="718" w:leftChars="342"/>
        <w:jc w:val="left"/>
        <w:rPr>
          <w:rFonts w:hAnsi="宋体" w:cs="宋体"/>
          <w:b/>
          <w:sz w:val="24"/>
        </w:rPr>
      </w:pPr>
      <w:r>
        <w:rPr>
          <w:rFonts w:hint="eastAsia" w:hAnsi="宋体" w:cs="宋体"/>
          <w:b/>
          <w:sz w:val="24"/>
        </w:rPr>
        <w:t>六、资格证明文件；</w:t>
      </w:r>
    </w:p>
    <w:p>
      <w:pPr>
        <w:autoSpaceDE w:val="0"/>
        <w:autoSpaceDN w:val="0"/>
        <w:adjustRightInd w:val="0"/>
        <w:spacing w:line="480" w:lineRule="auto"/>
        <w:ind w:left="718" w:leftChars="342"/>
        <w:jc w:val="left"/>
        <w:rPr>
          <w:rFonts w:hAnsi="宋体" w:cs="仿宋_GB2312"/>
          <w:b/>
          <w:color w:val="000000"/>
          <w:sz w:val="24"/>
        </w:rPr>
      </w:pPr>
      <w:r>
        <w:rPr>
          <w:rFonts w:hint="eastAsia" w:hAnsi="宋体" w:cs="仿宋_GB2312"/>
          <w:b/>
          <w:color w:val="000000"/>
          <w:sz w:val="24"/>
        </w:rPr>
        <w:t>七、近3年财务状况；</w:t>
      </w:r>
    </w:p>
    <w:p>
      <w:pPr>
        <w:autoSpaceDE w:val="0"/>
        <w:autoSpaceDN w:val="0"/>
        <w:adjustRightInd w:val="0"/>
        <w:spacing w:line="480" w:lineRule="auto"/>
        <w:ind w:left="718" w:leftChars="342"/>
        <w:jc w:val="left"/>
        <w:rPr>
          <w:rFonts w:hAnsi="宋体" w:cs="宋体"/>
          <w:b/>
          <w:sz w:val="24"/>
        </w:rPr>
      </w:pPr>
      <w:r>
        <w:rPr>
          <w:rFonts w:hint="eastAsia" w:hAnsi="宋体" w:cs="宋体"/>
          <w:b/>
          <w:sz w:val="24"/>
        </w:rPr>
        <w:t>八、近3年完成的类似项目情况表；</w:t>
      </w:r>
    </w:p>
    <w:p>
      <w:pPr>
        <w:autoSpaceDE w:val="0"/>
        <w:autoSpaceDN w:val="0"/>
        <w:adjustRightInd w:val="0"/>
        <w:spacing w:line="480" w:lineRule="auto"/>
        <w:ind w:left="718" w:leftChars="342"/>
        <w:jc w:val="left"/>
        <w:rPr>
          <w:rFonts w:hAnsi="宋体" w:cs="宋体"/>
          <w:b/>
          <w:sz w:val="24"/>
        </w:rPr>
      </w:pPr>
      <w:r>
        <w:rPr>
          <w:rFonts w:hint="eastAsia" w:hAnsi="宋体" w:cs="宋体"/>
          <w:b/>
          <w:sz w:val="24"/>
        </w:rPr>
        <w:t>九、正在施工的和新承接的项目情况表；</w:t>
      </w:r>
    </w:p>
    <w:p>
      <w:pPr>
        <w:autoSpaceDE w:val="0"/>
        <w:autoSpaceDN w:val="0"/>
        <w:adjustRightInd w:val="0"/>
        <w:spacing w:line="480" w:lineRule="auto"/>
        <w:ind w:left="718" w:leftChars="342"/>
        <w:jc w:val="left"/>
        <w:rPr>
          <w:rFonts w:hAnsi="宋体" w:cs="宋体"/>
          <w:b/>
          <w:sz w:val="24"/>
        </w:rPr>
      </w:pPr>
      <w:r>
        <w:rPr>
          <w:rFonts w:hint="eastAsia" w:hAnsi="宋体" w:cs="宋体"/>
          <w:b/>
          <w:sz w:val="24"/>
        </w:rPr>
        <w:t>十、近3年发生的诉讼及仲裁；</w:t>
      </w:r>
    </w:p>
    <w:p>
      <w:pPr>
        <w:autoSpaceDE w:val="0"/>
        <w:autoSpaceDN w:val="0"/>
        <w:adjustRightInd w:val="0"/>
        <w:spacing w:line="480" w:lineRule="auto"/>
        <w:ind w:left="718" w:leftChars="342"/>
        <w:jc w:val="left"/>
        <w:rPr>
          <w:rFonts w:hAnsi="宋体" w:cs="宋体"/>
          <w:b/>
          <w:sz w:val="24"/>
        </w:rPr>
      </w:pPr>
      <w:r>
        <w:rPr>
          <w:rFonts w:hint="eastAsia" w:hAnsi="宋体" w:cs="宋体"/>
          <w:b/>
          <w:sz w:val="24"/>
        </w:rPr>
        <w:t>十一、其它材料。</w:t>
      </w:r>
    </w:p>
    <w:bookmarkEnd w:id="102"/>
    <w:p>
      <w:pPr>
        <w:autoSpaceDE w:val="0"/>
        <w:autoSpaceDN w:val="0"/>
        <w:adjustRightInd w:val="0"/>
        <w:spacing w:line="480" w:lineRule="auto"/>
        <w:ind w:left="718" w:leftChars="342"/>
        <w:jc w:val="left"/>
        <w:rPr>
          <w:rFonts w:hAnsi="宋体" w:cs="宋体"/>
          <w:b/>
          <w:sz w:val="24"/>
        </w:rPr>
      </w:pPr>
    </w:p>
    <w:p>
      <w:pPr>
        <w:autoSpaceDE w:val="0"/>
        <w:autoSpaceDN w:val="0"/>
        <w:adjustRightInd w:val="0"/>
        <w:spacing w:line="480" w:lineRule="auto"/>
        <w:ind w:left="718" w:leftChars="342"/>
        <w:jc w:val="left"/>
        <w:rPr>
          <w:rFonts w:hAnsi="宋体" w:cs="宋体"/>
          <w:b/>
          <w:sz w:val="24"/>
        </w:rPr>
      </w:pPr>
    </w:p>
    <w:p>
      <w:pPr>
        <w:spacing w:line="600" w:lineRule="exact"/>
        <w:ind w:left="850" w:leftChars="405"/>
        <w:rPr>
          <w:rFonts w:hAnsi="宋体" w:cs="宋体"/>
          <w:b/>
          <w:sz w:val="24"/>
        </w:rPr>
      </w:pPr>
      <w:r>
        <w:rPr>
          <w:rFonts w:hint="eastAsia" w:hAnsi="宋体" w:cs="宋体"/>
          <w:b/>
          <w:sz w:val="24"/>
        </w:rPr>
        <w:t>投标文件编制过程中应按本章提供的格式填报。</w:t>
      </w:r>
    </w:p>
    <w:p>
      <w:pPr>
        <w:spacing w:line="600" w:lineRule="exact"/>
        <w:ind w:left="850" w:leftChars="405"/>
        <w:rPr>
          <w:rFonts w:hAnsi="宋体" w:cs="宋体"/>
          <w:b/>
          <w:sz w:val="24"/>
        </w:rPr>
      </w:pPr>
      <w:r>
        <w:rPr>
          <w:rFonts w:hint="eastAsia" w:hAnsi="宋体" w:cs="宋体"/>
          <w:b/>
          <w:sz w:val="24"/>
        </w:rPr>
        <w:t>如有本章未提供的格式，投标人可自行编制。</w:t>
      </w:r>
    </w:p>
    <w:p>
      <w:pPr>
        <w:tabs>
          <w:tab w:val="center" w:pos="4739"/>
        </w:tabs>
        <w:spacing w:line="600" w:lineRule="auto"/>
        <w:ind w:left="180"/>
        <w:jc w:val="center"/>
        <w:rPr>
          <w:rFonts w:hAnsi="宋体" w:cs="宋体"/>
          <w:b/>
          <w:sz w:val="32"/>
        </w:rPr>
      </w:pPr>
      <w:r>
        <w:rPr>
          <w:rFonts w:hint="eastAsia" w:hAnsi="宋体" w:cs="宋体"/>
          <w:b/>
          <w:sz w:val="32"/>
        </w:rPr>
        <w:br w:type="page"/>
      </w:r>
      <w:r>
        <w:rPr>
          <w:rFonts w:hint="eastAsia" w:hAnsi="宋体" w:cs="宋体"/>
          <w:b/>
          <w:sz w:val="32"/>
        </w:rPr>
        <w:t>一、投标函及投标函附录</w:t>
      </w:r>
    </w:p>
    <w:p>
      <w:pPr>
        <w:pStyle w:val="2"/>
        <w:ind w:firstLine="0" w:firstLineChars="0"/>
        <w:jc w:val="center"/>
        <w:rPr>
          <w:rFonts w:ascii="仿宋_GB2312"/>
          <w:sz w:val="32"/>
        </w:rPr>
      </w:pPr>
      <w:bookmarkStart w:id="107" w:name="_GoBack"/>
      <w:bookmarkEnd w:id="107"/>
      <w:r>
        <w:rPr>
          <w:rFonts w:hint="eastAsia" w:hAnsi="宋体" w:cs="宋体"/>
          <w:b w:val="0"/>
          <w:sz w:val="28"/>
          <w:szCs w:val="28"/>
        </w:rPr>
        <w:t>（一）投标函</w:t>
      </w:r>
    </w:p>
    <w:p>
      <w:pPr>
        <w:spacing w:line="480" w:lineRule="exact"/>
        <w:rPr>
          <w:rFonts w:hAnsi="宋体" w:cs="宋体"/>
          <w:sz w:val="24"/>
        </w:rPr>
      </w:pPr>
      <w:bookmarkStart w:id="103" w:name="_Toc271787730"/>
      <w:r>
        <w:rPr>
          <w:rFonts w:hint="eastAsia" w:hAnsi="宋体" w:cs="宋体"/>
          <w:sz w:val="24"/>
        </w:rPr>
        <w:t>致：（招标人名称）</w:t>
      </w:r>
    </w:p>
    <w:p>
      <w:pPr>
        <w:spacing w:line="480" w:lineRule="exact"/>
        <w:ind w:firstLine="480" w:firstLineChars="200"/>
        <w:rPr>
          <w:rFonts w:hAnsi="宋体" w:cs="宋体"/>
          <w:sz w:val="24"/>
        </w:rPr>
      </w:pPr>
      <w:r>
        <w:rPr>
          <w:rFonts w:hint="eastAsia" w:hAnsi="宋体" w:cs="宋体"/>
          <w:sz w:val="24"/>
        </w:rPr>
        <w:t>在考察现场并充分研究（项目名称、标段）（以下简称“本工程”）施工招标文件的全部内容后，我方兹以：</w:t>
      </w:r>
    </w:p>
    <w:p>
      <w:pPr>
        <w:spacing w:line="480" w:lineRule="exact"/>
        <w:ind w:firstLine="943" w:firstLineChars="393"/>
        <w:rPr>
          <w:rFonts w:hAnsi="宋体" w:cs="宋体"/>
          <w:sz w:val="24"/>
        </w:rPr>
      </w:pPr>
      <w:r>
        <w:rPr>
          <w:rFonts w:hint="eastAsia" w:hAnsi="宋体" w:cs="宋体"/>
          <w:sz w:val="24"/>
        </w:rPr>
        <w:t>人民币（大写）：元</w:t>
      </w:r>
    </w:p>
    <w:p>
      <w:pPr>
        <w:spacing w:line="480" w:lineRule="exact"/>
        <w:ind w:firstLine="943" w:firstLineChars="393"/>
        <w:rPr>
          <w:rFonts w:hAnsi="宋体" w:cs="宋体"/>
          <w:sz w:val="24"/>
        </w:rPr>
      </w:pPr>
      <w:r>
        <w:rPr>
          <w:rFonts w:hint="eastAsia" w:hAnsi="宋体" w:cs="宋体"/>
          <w:sz w:val="24"/>
        </w:rPr>
        <w:t>RMB￥：元</w:t>
      </w:r>
    </w:p>
    <w:p>
      <w:pPr>
        <w:spacing w:line="480" w:lineRule="exact"/>
        <w:rPr>
          <w:rFonts w:hAnsi="宋体" w:cs="宋体"/>
          <w:sz w:val="24"/>
        </w:rPr>
      </w:pPr>
      <w:r>
        <w:rPr>
          <w:rFonts w:hint="eastAsia" w:hAnsi="宋体" w:cs="宋体"/>
          <w:sz w:val="24"/>
        </w:rPr>
        <w:t>的投标价格和按合同约定有权得到的其它金额，并严格按照合同约定，施工、竣工和交付本工程并维修其中的任何缺陷。</w:t>
      </w:r>
    </w:p>
    <w:p>
      <w:pPr>
        <w:spacing w:line="480" w:lineRule="exact"/>
        <w:ind w:firstLine="480" w:firstLineChars="200"/>
        <w:rPr>
          <w:rFonts w:hAnsi="宋体" w:cs="宋体"/>
          <w:sz w:val="24"/>
        </w:rPr>
      </w:pPr>
      <w:r>
        <w:rPr>
          <w:rFonts w:hint="eastAsia" w:hAnsi="宋体" w:cs="宋体"/>
          <w:sz w:val="24"/>
        </w:rPr>
        <w:t>在我方的上述投标总报价中，包括：</w:t>
      </w:r>
    </w:p>
    <w:p>
      <w:pPr>
        <w:spacing w:line="480" w:lineRule="exact"/>
        <w:ind w:firstLine="480" w:firstLineChars="200"/>
        <w:rPr>
          <w:rFonts w:hAnsi="宋体"/>
          <w:sz w:val="24"/>
        </w:rPr>
      </w:pPr>
      <w:r>
        <w:rPr>
          <w:rFonts w:hint="eastAsia" w:hAnsi="宋体"/>
          <w:sz w:val="24"/>
        </w:rPr>
        <w:t>投标报价</w:t>
      </w:r>
      <w:r>
        <w:rPr>
          <w:rFonts w:hint="eastAsia" w:hAnsi="宋体" w:cs="宋体"/>
          <w:sz w:val="24"/>
        </w:rPr>
        <w:t>RMB￥：元</w:t>
      </w:r>
    </w:p>
    <w:p>
      <w:pPr>
        <w:spacing w:line="480" w:lineRule="exact"/>
        <w:ind w:firstLine="480" w:firstLineChars="200"/>
        <w:rPr>
          <w:rFonts w:hAnsi="宋体" w:cs="宋体"/>
          <w:sz w:val="24"/>
        </w:rPr>
      </w:pPr>
      <w:r>
        <w:rPr>
          <w:rFonts w:hint="eastAsia" w:hAnsi="宋体" w:cs="宋体"/>
          <w:sz w:val="24"/>
        </w:rPr>
        <w:t>规费RMB￥：元</w:t>
      </w:r>
    </w:p>
    <w:p>
      <w:pPr>
        <w:spacing w:line="480" w:lineRule="exact"/>
        <w:ind w:firstLine="480" w:firstLineChars="200"/>
        <w:rPr>
          <w:rFonts w:hAnsi="宋体"/>
        </w:rPr>
      </w:pPr>
      <w:r>
        <w:rPr>
          <w:rFonts w:hint="eastAsia" w:hAnsi="宋体" w:cs="宋体"/>
          <w:sz w:val="24"/>
        </w:rPr>
        <w:t>安全文明施工措施费RMB￥：元</w:t>
      </w:r>
    </w:p>
    <w:p>
      <w:pPr>
        <w:spacing w:line="480" w:lineRule="exact"/>
        <w:ind w:firstLine="480" w:firstLineChars="200"/>
        <w:rPr>
          <w:rFonts w:hAnsi="宋体" w:cs="宋体"/>
          <w:sz w:val="24"/>
        </w:rPr>
      </w:pPr>
      <w:r>
        <w:rPr>
          <w:rFonts w:hint="eastAsia" w:hAnsi="宋体" w:cs="宋体"/>
          <w:sz w:val="24"/>
        </w:rPr>
        <w:t>暂列金额RMB￥：元</w:t>
      </w:r>
    </w:p>
    <w:p>
      <w:pPr>
        <w:spacing w:line="480" w:lineRule="exact"/>
        <w:ind w:firstLine="480" w:firstLineChars="200"/>
        <w:rPr>
          <w:rFonts w:hAnsi="宋体" w:cs="宋体"/>
          <w:sz w:val="24"/>
        </w:rPr>
      </w:pPr>
      <w:r>
        <w:rPr>
          <w:rFonts w:hint="eastAsia" w:hAnsi="宋体" w:cs="宋体"/>
          <w:sz w:val="24"/>
        </w:rPr>
        <w:t>专业工程暂估价RMB￥：元</w:t>
      </w:r>
    </w:p>
    <w:p>
      <w:pPr>
        <w:spacing w:line="480" w:lineRule="exact"/>
        <w:ind w:firstLine="480" w:firstLineChars="200"/>
        <w:rPr>
          <w:rFonts w:hAnsi="宋体" w:cs="宋体"/>
          <w:sz w:val="24"/>
        </w:rPr>
      </w:pPr>
      <w:r>
        <w:rPr>
          <w:rFonts w:hint="eastAsia" w:hAnsi="宋体" w:cs="宋体"/>
          <w:sz w:val="24"/>
        </w:rPr>
        <w:t>增值税RMB￥：元</w:t>
      </w:r>
    </w:p>
    <w:p>
      <w:pPr>
        <w:spacing w:line="480" w:lineRule="exact"/>
        <w:ind w:firstLine="480" w:firstLineChars="200"/>
        <w:rPr>
          <w:rFonts w:hAnsi="宋体" w:cs="宋体"/>
          <w:sz w:val="24"/>
        </w:rPr>
      </w:pPr>
      <w:r>
        <w:rPr>
          <w:rFonts w:hint="eastAsia" w:hAnsi="宋体" w:cs="宋体"/>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r>
        <w:rPr>
          <w:rFonts w:hint="eastAsia" w:ascii="新宋体" w:hAnsi="新宋体" w:eastAsia="新宋体"/>
          <w:b/>
          <w:bCs/>
          <w:sz w:val="24"/>
        </w:rPr>
        <w:t>我方承诺中标后按招标文件要求交纳代理费相关费用。</w:t>
      </w:r>
    </w:p>
    <w:p>
      <w:pPr>
        <w:spacing w:line="480" w:lineRule="exact"/>
        <w:ind w:firstLine="480" w:firstLineChars="200"/>
        <w:rPr>
          <w:rFonts w:hAnsi="宋体" w:cs="宋体"/>
          <w:sz w:val="24"/>
        </w:rPr>
      </w:pPr>
      <w:r>
        <w:rPr>
          <w:rFonts w:hint="eastAsia" w:hAnsi="宋体" w:cs="宋体"/>
          <w:sz w:val="24"/>
        </w:rPr>
        <w:t>随本投标函递交的投标函附录是本投标函的组成部分，对我方构成约束力。</w:t>
      </w:r>
    </w:p>
    <w:p>
      <w:pPr>
        <w:spacing w:line="480" w:lineRule="exact"/>
        <w:ind w:firstLine="480" w:firstLineChars="200"/>
        <w:rPr>
          <w:rFonts w:hAnsi="宋体" w:cs="宋体"/>
          <w:sz w:val="24"/>
        </w:rPr>
      </w:pPr>
      <w:r>
        <w:rPr>
          <w:rFonts w:hint="eastAsia" w:hAnsi="宋体" w:cs="宋体"/>
          <w:sz w:val="24"/>
        </w:rPr>
        <w:t>随同本投标函递交投标保证金一份，金额为人民币（大写）：元</w:t>
      </w:r>
      <w:r>
        <w:rPr>
          <w:rFonts w:hint="eastAsia" w:ascii="新宋体" w:hAnsi="新宋体" w:eastAsia="新宋体"/>
          <w:sz w:val="24"/>
        </w:rPr>
        <w:t>（￥：元）</w:t>
      </w:r>
      <w:r>
        <w:rPr>
          <w:rFonts w:hint="eastAsia" w:hAnsi="宋体" w:cs="宋体"/>
          <w:sz w:val="24"/>
        </w:rPr>
        <w:t>。</w:t>
      </w:r>
    </w:p>
    <w:p>
      <w:pPr>
        <w:spacing w:line="480" w:lineRule="exact"/>
        <w:ind w:firstLine="480" w:firstLineChars="200"/>
        <w:rPr>
          <w:rFonts w:hAnsi="宋体" w:cs="宋体"/>
          <w:sz w:val="24"/>
        </w:rPr>
      </w:pPr>
      <w:r>
        <w:rPr>
          <w:rFonts w:hint="eastAsia" w:hAnsi="宋体" w:cs="宋体"/>
          <w:sz w:val="24"/>
        </w:rPr>
        <w:t>在签署协议书之前，你方的中标通知书连同本投标函，包括投标函附录，对双方具有约束力。</w:t>
      </w:r>
    </w:p>
    <w:p>
      <w:pPr>
        <w:spacing w:line="480" w:lineRule="exact"/>
        <w:ind w:firstLine="3720" w:firstLineChars="1550"/>
        <w:rPr>
          <w:rFonts w:hAnsi="宋体" w:cs="宋体"/>
          <w:sz w:val="24"/>
        </w:rPr>
      </w:pPr>
      <w:r>
        <w:rPr>
          <w:rFonts w:hint="eastAsia" w:hAnsi="宋体" w:cs="宋体"/>
          <w:sz w:val="24"/>
        </w:rPr>
        <w:t>投标人（盖章）：</w:t>
      </w:r>
    </w:p>
    <w:p>
      <w:pPr>
        <w:spacing w:line="480" w:lineRule="exact"/>
        <w:ind w:firstLine="3720" w:firstLineChars="1550"/>
        <w:rPr>
          <w:rFonts w:hAnsi="宋体" w:cs="宋体"/>
          <w:sz w:val="24"/>
        </w:rPr>
      </w:pPr>
      <w:r>
        <w:rPr>
          <w:rFonts w:hint="eastAsia" w:hAnsi="宋体" w:cs="宋体"/>
          <w:sz w:val="24"/>
        </w:rPr>
        <w:t>法定代表人或委托代理人（签字）：</w:t>
      </w:r>
    </w:p>
    <w:p>
      <w:pPr>
        <w:spacing w:line="480" w:lineRule="exact"/>
        <w:ind w:firstLine="3720" w:firstLineChars="1550"/>
        <w:rPr>
          <w:rFonts w:hAnsi="宋体" w:cs="宋体"/>
          <w:sz w:val="24"/>
        </w:rPr>
      </w:pPr>
      <w:r>
        <w:rPr>
          <w:rFonts w:hint="eastAsia" w:hAnsi="宋体" w:cs="宋体"/>
          <w:sz w:val="24"/>
        </w:rPr>
        <w:t>日      期：年月日</w:t>
      </w:r>
    </w:p>
    <w:p>
      <w:pPr>
        <w:pStyle w:val="2"/>
        <w:ind w:firstLine="0" w:firstLineChars="0"/>
        <w:jc w:val="center"/>
        <w:rPr>
          <w:rFonts w:hAnsi="宋体" w:cs="宋体"/>
          <w:b w:val="0"/>
          <w:sz w:val="28"/>
          <w:szCs w:val="28"/>
        </w:rPr>
      </w:pPr>
      <w:r>
        <w:rPr>
          <w:rFonts w:hint="eastAsia" w:hAnsi="宋体" w:cs="宋体"/>
          <w:sz w:val="24"/>
        </w:rPr>
        <w:br w:type="page"/>
      </w:r>
      <w:r>
        <w:rPr>
          <w:rFonts w:hint="eastAsia" w:hAnsi="宋体" w:cs="宋体"/>
          <w:b w:val="0"/>
          <w:sz w:val="28"/>
          <w:szCs w:val="28"/>
        </w:rPr>
        <w:t>（二）投标函附录</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387"/>
        <w:gridCol w:w="709"/>
        <w:gridCol w:w="1224"/>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3242" w:type="dxa"/>
            <w:vAlign w:val="center"/>
          </w:tcPr>
          <w:p>
            <w:pPr>
              <w:jc w:val="center"/>
              <w:rPr>
                <w:rFonts w:hAnsi="宋体" w:cs="宋体"/>
                <w:sz w:val="24"/>
              </w:rPr>
            </w:pPr>
            <w:r>
              <w:rPr>
                <w:rFonts w:hint="eastAsia" w:hAnsi="宋体" w:cs="宋体"/>
                <w:sz w:val="24"/>
              </w:rPr>
              <w:t>工程名称/标段</w:t>
            </w:r>
          </w:p>
        </w:tc>
        <w:tc>
          <w:tcPr>
            <w:tcW w:w="6014" w:type="dxa"/>
            <w:gridSpan w:val="5"/>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3242" w:type="dxa"/>
            <w:vAlign w:val="center"/>
          </w:tcPr>
          <w:p>
            <w:pPr>
              <w:jc w:val="center"/>
              <w:rPr>
                <w:rFonts w:hAnsi="宋体" w:cs="宋体"/>
                <w:sz w:val="24"/>
              </w:rPr>
            </w:pPr>
            <w:r>
              <w:rPr>
                <w:rFonts w:hint="eastAsia" w:hAnsi="宋体" w:cs="宋体"/>
                <w:sz w:val="24"/>
              </w:rPr>
              <w:t>投标人名称</w:t>
            </w:r>
          </w:p>
        </w:tc>
        <w:tc>
          <w:tcPr>
            <w:tcW w:w="6014" w:type="dxa"/>
            <w:gridSpan w:val="5"/>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cs="宋体"/>
                <w:sz w:val="24"/>
              </w:rPr>
            </w:pPr>
            <w:r>
              <w:rPr>
                <w:rFonts w:hint="eastAsia" w:hAnsi="宋体" w:cs="宋体"/>
                <w:sz w:val="24"/>
              </w:rPr>
              <w:t>项目负责人（项目经理）</w:t>
            </w:r>
          </w:p>
        </w:tc>
        <w:tc>
          <w:tcPr>
            <w:tcW w:w="1387" w:type="dxa"/>
            <w:vAlign w:val="center"/>
          </w:tcPr>
          <w:p>
            <w:pPr>
              <w:jc w:val="center"/>
              <w:rPr>
                <w:rFonts w:hAnsi="宋体" w:cs="宋体"/>
                <w:sz w:val="24"/>
              </w:rPr>
            </w:pPr>
          </w:p>
        </w:tc>
        <w:tc>
          <w:tcPr>
            <w:tcW w:w="709" w:type="dxa"/>
            <w:vAlign w:val="center"/>
          </w:tcPr>
          <w:p>
            <w:pPr>
              <w:jc w:val="center"/>
              <w:rPr>
                <w:rFonts w:hAnsi="宋体" w:cs="宋体"/>
                <w:sz w:val="24"/>
              </w:rPr>
            </w:pPr>
            <w:r>
              <w:rPr>
                <w:rFonts w:hint="eastAsia" w:hAnsi="宋体" w:cs="宋体"/>
                <w:sz w:val="24"/>
              </w:rPr>
              <w:t>级别</w:t>
            </w:r>
          </w:p>
        </w:tc>
        <w:tc>
          <w:tcPr>
            <w:tcW w:w="1224" w:type="dxa"/>
            <w:vAlign w:val="center"/>
          </w:tcPr>
          <w:p>
            <w:pPr>
              <w:jc w:val="center"/>
              <w:rPr>
                <w:rFonts w:hAnsi="宋体" w:cs="宋体"/>
                <w:sz w:val="24"/>
              </w:rPr>
            </w:pPr>
          </w:p>
        </w:tc>
        <w:tc>
          <w:tcPr>
            <w:tcW w:w="790" w:type="dxa"/>
            <w:vAlign w:val="center"/>
          </w:tcPr>
          <w:p>
            <w:pPr>
              <w:jc w:val="center"/>
              <w:rPr>
                <w:rFonts w:hAnsi="宋体" w:cs="宋体"/>
                <w:sz w:val="24"/>
              </w:rPr>
            </w:pPr>
            <w:r>
              <w:rPr>
                <w:rFonts w:hint="eastAsia" w:hAnsi="宋体" w:cs="宋体"/>
                <w:sz w:val="24"/>
              </w:rPr>
              <w:t>证书编号</w:t>
            </w:r>
          </w:p>
        </w:tc>
        <w:tc>
          <w:tcPr>
            <w:tcW w:w="1904"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cs="宋体"/>
                <w:sz w:val="24"/>
              </w:rPr>
            </w:pPr>
            <w:r>
              <w:rPr>
                <w:rFonts w:hint="eastAsia" w:hAnsi="宋体" w:cs="宋体"/>
                <w:sz w:val="24"/>
              </w:rPr>
              <w:t>技术负责人</w:t>
            </w:r>
          </w:p>
        </w:tc>
        <w:tc>
          <w:tcPr>
            <w:tcW w:w="1387" w:type="dxa"/>
            <w:vAlign w:val="center"/>
          </w:tcPr>
          <w:p>
            <w:pPr>
              <w:jc w:val="center"/>
              <w:rPr>
                <w:rFonts w:hAnsi="宋体" w:cs="宋体"/>
                <w:sz w:val="24"/>
              </w:rPr>
            </w:pPr>
          </w:p>
        </w:tc>
        <w:tc>
          <w:tcPr>
            <w:tcW w:w="709" w:type="dxa"/>
            <w:vAlign w:val="center"/>
          </w:tcPr>
          <w:p>
            <w:pPr>
              <w:jc w:val="center"/>
              <w:rPr>
                <w:rFonts w:hAnsi="宋体" w:cs="宋体"/>
                <w:sz w:val="24"/>
              </w:rPr>
            </w:pPr>
            <w:r>
              <w:rPr>
                <w:rFonts w:hint="eastAsia" w:hAnsi="宋体" w:cs="宋体"/>
                <w:sz w:val="24"/>
              </w:rPr>
              <w:t>级别</w:t>
            </w:r>
          </w:p>
        </w:tc>
        <w:tc>
          <w:tcPr>
            <w:tcW w:w="1224" w:type="dxa"/>
            <w:vAlign w:val="center"/>
          </w:tcPr>
          <w:p>
            <w:pPr>
              <w:jc w:val="center"/>
              <w:rPr>
                <w:rFonts w:hAnsi="宋体" w:cs="宋体"/>
                <w:sz w:val="24"/>
              </w:rPr>
            </w:pPr>
          </w:p>
        </w:tc>
        <w:tc>
          <w:tcPr>
            <w:tcW w:w="790" w:type="dxa"/>
            <w:vAlign w:val="center"/>
          </w:tcPr>
          <w:p>
            <w:pPr>
              <w:jc w:val="center"/>
              <w:rPr>
                <w:rFonts w:hAnsi="宋体" w:cs="宋体"/>
                <w:sz w:val="24"/>
              </w:rPr>
            </w:pPr>
            <w:r>
              <w:rPr>
                <w:rFonts w:hint="eastAsia" w:hAnsi="宋体" w:cs="宋体"/>
                <w:sz w:val="24"/>
              </w:rPr>
              <w:t>证书编号</w:t>
            </w:r>
          </w:p>
        </w:tc>
        <w:tc>
          <w:tcPr>
            <w:tcW w:w="1904"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3242" w:type="dxa"/>
            <w:vMerge w:val="restart"/>
            <w:vAlign w:val="center"/>
          </w:tcPr>
          <w:p>
            <w:pPr>
              <w:jc w:val="center"/>
              <w:rPr>
                <w:rFonts w:hAnsi="宋体" w:cs="宋体"/>
                <w:sz w:val="24"/>
              </w:rPr>
            </w:pPr>
            <w:r>
              <w:rPr>
                <w:rFonts w:hint="eastAsia" w:hAnsi="宋体" w:cs="宋体"/>
                <w:sz w:val="24"/>
              </w:rPr>
              <w:t>投标总报价</w:t>
            </w:r>
          </w:p>
        </w:tc>
        <w:tc>
          <w:tcPr>
            <w:tcW w:w="3320" w:type="dxa"/>
            <w:gridSpan w:val="3"/>
            <w:vAlign w:val="center"/>
          </w:tcPr>
          <w:p>
            <w:pPr>
              <w:rPr>
                <w:rFonts w:hAnsi="宋体" w:cs="宋体"/>
                <w:sz w:val="24"/>
              </w:rPr>
            </w:pPr>
            <w:r>
              <w:rPr>
                <w:rFonts w:hint="eastAsia" w:hAnsi="宋体" w:cs="宋体"/>
                <w:sz w:val="24"/>
              </w:rPr>
              <w:t>（大写）</w:t>
            </w:r>
          </w:p>
        </w:tc>
        <w:tc>
          <w:tcPr>
            <w:tcW w:w="2694" w:type="dxa"/>
            <w:gridSpan w:val="2"/>
            <w:vAlign w:val="center"/>
          </w:tcPr>
          <w:p>
            <w:pPr>
              <w:rPr>
                <w:rFonts w:hAnsi="宋体" w:cs="宋体"/>
                <w:sz w:val="24"/>
              </w:rPr>
            </w:pPr>
            <w:r>
              <w:rPr>
                <w:rFonts w:hint="eastAsia" w:hAnsi="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atLeast"/>
          <w:jc w:val="center"/>
        </w:trPr>
        <w:tc>
          <w:tcPr>
            <w:tcW w:w="3242" w:type="dxa"/>
            <w:vMerge w:val="continue"/>
            <w:vAlign w:val="center"/>
          </w:tcPr>
          <w:p>
            <w:pPr>
              <w:jc w:val="center"/>
              <w:rPr>
                <w:rFonts w:hAnsi="宋体" w:cs="宋体"/>
                <w:sz w:val="24"/>
              </w:rPr>
            </w:pPr>
          </w:p>
        </w:tc>
        <w:tc>
          <w:tcPr>
            <w:tcW w:w="6014" w:type="dxa"/>
            <w:gridSpan w:val="5"/>
            <w:vAlign w:val="center"/>
          </w:tcPr>
          <w:p>
            <w:pPr>
              <w:spacing w:line="480" w:lineRule="exact"/>
              <w:rPr>
                <w:rFonts w:hAnsi="宋体" w:cs="宋体"/>
                <w:sz w:val="24"/>
              </w:rPr>
            </w:pPr>
            <w:r>
              <w:rPr>
                <w:rFonts w:hint="eastAsia" w:hAnsi="宋体" w:cs="宋体"/>
                <w:sz w:val="24"/>
              </w:rPr>
              <w:t>其中：</w:t>
            </w:r>
          </w:p>
          <w:p>
            <w:pPr>
              <w:spacing w:line="480" w:lineRule="exact"/>
              <w:ind w:firstLine="480" w:firstLineChars="200"/>
              <w:rPr>
                <w:rFonts w:hAnsi="宋体"/>
                <w:sz w:val="24"/>
              </w:rPr>
            </w:pPr>
            <w:r>
              <w:rPr>
                <w:rFonts w:hint="eastAsia" w:hAnsi="宋体"/>
                <w:sz w:val="24"/>
              </w:rPr>
              <w:t>投标报价</w:t>
            </w:r>
            <w:r>
              <w:rPr>
                <w:rFonts w:hint="eastAsia" w:hAnsi="宋体" w:cs="宋体"/>
                <w:sz w:val="24"/>
              </w:rPr>
              <w:t>RMB￥：元</w:t>
            </w:r>
          </w:p>
          <w:p>
            <w:pPr>
              <w:spacing w:line="480" w:lineRule="exact"/>
              <w:ind w:firstLine="480" w:firstLineChars="200"/>
              <w:rPr>
                <w:rFonts w:hAnsi="宋体" w:cs="宋体"/>
                <w:sz w:val="24"/>
              </w:rPr>
            </w:pPr>
            <w:r>
              <w:rPr>
                <w:rFonts w:hint="eastAsia" w:hAnsi="宋体" w:cs="宋体"/>
                <w:sz w:val="24"/>
              </w:rPr>
              <w:t>规费RMB￥：元</w:t>
            </w:r>
          </w:p>
          <w:p>
            <w:pPr>
              <w:spacing w:line="480" w:lineRule="exact"/>
              <w:ind w:firstLine="480" w:firstLineChars="200"/>
              <w:rPr>
                <w:rFonts w:hAnsi="宋体"/>
              </w:rPr>
            </w:pPr>
            <w:r>
              <w:rPr>
                <w:rFonts w:hint="eastAsia" w:hAnsi="宋体" w:cs="宋体"/>
                <w:sz w:val="24"/>
              </w:rPr>
              <w:t>安全文明施工措施费RMB￥：元</w:t>
            </w:r>
          </w:p>
          <w:p>
            <w:pPr>
              <w:spacing w:line="480" w:lineRule="exact"/>
              <w:ind w:firstLine="480" w:firstLineChars="200"/>
              <w:rPr>
                <w:rFonts w:hAnsi="宋体" w:cs="宋体"/>
                <w:sz w:val="24"/>
              </w:rPr>
            </w:pPr>
            <w:r>
              <w:rPr>
                <w:rFonts w:hint="eastAsia" w:hAnsi="宋体" w:cs="宋体"/>
                <w:sz w:val="24"/>
              </w:rPr>
              <w:t>暂列金额RMB￥：元</w:t>
            </w:r>
          </w:p>
          <w:p>
            <w:pPr>
              <w:spacing w:line="480" w:lineRule="exact"/>
              <w:ind w:firstLine="480" w:firstLineChars="200"/>
              <w:rPr>
                <w:rFonts w:hAnsi="宋体" w:cs="宋体"/>
                <w:sz w:val="24"/>
              </w:rPr>
            </w:pPr>
            <w:r>
              <w:rPr>
                <w:rFonts w:hint="eastAsia" w:hAnsi="宋体" w:cs="宋体"/>
                <w:sz w:val="24"/>
              </w:rPr>
              <w:t>专业工程暂估价RMB￥：元</w:t>
            </w:r>
          </w:p>
          <w:p>
            <w:pPr>
              <w:spacing w:line="480" w:lineRule="exact"/>
              <w:ind w:firstLine="480" w:firstLineChars="200"/>
              <w:rPr>
                <w:rFonts w:hAnsi="宋体" w:cs="宋体"/>
                <w:sz w:val="24"/>
              </w:rPr>
            </w:pPr>
            <w:r>
              <w:rPr>
                <w:rFonts w:hint="eastAsia" w:hAnsi="宋体" w:cs="宋体"/>
                <w:sz w:val="24"/>
              </w:rPr>
              <w:t>增值税RMB￥：元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3242" w:type="dxa"/>
            <w:vAlign w:val="center"/>
          </w:tcPr>
          <w:p>
            <w:pPr>
              <w:jc w:val="center"/>
              <w:rPr>
                <w:rFonts w:hAnsi="宋体" w:cs="宋体"/>
                <w:sz w:val="24"/>
              </w:rPr>
            </w:pPr>
            <w:r>
              <w:rPr>
                <w:rFonts w:hint="eastAsia" w:hAnsi="宋体" w:cs="宋体"/>
                <w:sz w:val="24"/>
              </w:rPr>
              <w:t>投标质量等级</w:t>
            </w:r>
          </w:p>
        </w:tc>
        <w:tc>
          <w:tcPr>
            <w:tcW w:w="6014" w:type="dxa"/>
            <w:gridSpan w:val="5"/>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3242" w:type="dxa"/>
            <w:vAlign w:val="center"/>
          </w:tcPr>
          <w:p>
            <w:pPr>
              <w:jc w:val="center"/>
              <w:rPr>
                <w:rFonts w:hAnsi="宋体" w:cs="宋体"/>
                <w:sz w:val="24"/>
              </w:rPr>
            </w:pPr>
            <w:r>
              <w:rPr>
                <w:rFonts w:hint="eastAsia" w:hAnsi="宋体" w:cs="宋体"/>
                <w:sz w:val="24"/>
              </w:rPr>
              <w:t>投标工期</w:t>
            </w:r>
          </w:p>
        </w:tc>
        <w:tc>
          <w:tcPr>
            <w:tcW w:w="6014" w:type="dxa"/>
            <w:gridSpan w:val="5"/>
            <w:vAlign w:val="center"/>
          </w:tcPr>
          <w:p>
            <w:pPr>
              <w:jc w:val="center"/>
              <w:rPr>
                <w:rFonts w:hAnsi="宋体" w:cs="宋体"/>
                <w:sz w:val="24"/>
              </w:rPr>
            </w:pPr>
            <w:r>
              <w:rPr>
                <w:rFonts w:hint="eastAsia" w:hAnsi="宋体" w:cs="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3242" w:type="dxa"/>
            <w:vAlign w:val="center"/>
          </w:tcPr>
          <w:p>
            <w:pPr>
              <w:jc w:val="center"/>
              <w:rPr>
                <w:rFonts w:hAnsi="宋体" w:cs="宋体"/>
                <w:sz w:val="24"/>
              </w:rPr>
            </w:pPr>
            <w:r>
              <w:rPr>
                <w:rFonts w:hint="eastAsia" w:hAnsi="宋体" w:cs="宋体"/>
                <w:sz w:val="24"/>
              </w:rPr>
              <w:t>投标有效期</w:t>
            </w:r>
          </w:p>
        </w:tc>
        <w:tc>
          <w:tcPr>
            <w:tcW w:w="6014" w:type="dxa"/>
            <w:gridSpan w:val="5"/>
            <w:vAlign w:val="center"/>
          </w:tcPr>
          <w:p>
            <w:pPr>
              <w:jc w:val="center"/>
              <w:rPr>
                <w:rFonts w:hAnsi="宋体" w:cs="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9256" w:type="dxa"/>
            <w:gridSpan w:val="6"/>
          </w:tcPr>
          <w:p>
            <w:pPr>
              <w:rPr>
                <w:rFonts w:hAnsi="宋体" w:cs="宋体"/>
                <w:sz w:val="24"/>
              </w:rPr>
            </w:pPr>
            <w:r>
              <w:rPr>
                <w:rFonts w:hint="eastAsia" w:hAnsi="宋体" w:cs="宋体"/>
                <w:sz w:val="24"/>
              </w:rPr>
              <w:t xml:space="preserve"> 优惠与服务承诺：</w:t>
            </w:r>
          </w:p>
          <w:p>
            <w:pPr>
              <w:rPr>
                <w:rFonts w:hAnsi="宋体" w:cs="宋体"/>
                <w:sz w:val="24"/>
              </w:rPr>
            </w:pPr>
          </w:p>
          <w:p>
            <w:pPr>
              <w:rPr>
                <w:rFonts w:hAnsi="宋体" w:cs="宋体"/>
                <w:sz w:val="24"/>
              </w:rPr>
            </w:pPr>
          </w:p>
          <w:p>
            <w:pPr>
              <w:widowControl/>
              <w:spacing w:line="450" w:lineRule="atLeast"/>
              <w:jc w:val="left"/>
              <w:rPr>
                <w:rFonts w:ascii="微软雅黑" w:hAnsi="微软雅黑" w:eastAsia="微软雅黑" w:cs="宋体"/>
                <w:sz w:val="18"/>
                <w:szCs w:val="18"/>
              </w:rPr>
            </w:pPr>
          </w:p>
        </w:tc>
      </w:tr>
    </w:tbl>
    <w:p>
      <w:pPr>
        <w:ind w:right="475"/>
        <w:jc w:val="right"/>
        <w:rPr>
          <w:rFonts w:hAnsi="宋体" w:cs="宋体"/>
        </w:rPr>
      </w:pPr>
    </w:p>
    <w:p>
      <w:pPr>
        <w:ind w:right="475"/>
        <w:jc w:val="right"/>
        <w:rPr>
          <w:rFonts w:hAnsi="宋体" w:cs="宋体"/>
          <w:sz w:val="24"/>
        </w:rPr>
      </w:pPr>
    </w:p>
    <w:p>
      <w:pPr>
        <w:overflowPunct w:val="0"/>
        <w:spacing w:line="360" w:lineRule="auto"/>
        <w:ind w:right="714"/>
        <w:jc w:val="center"/>
        <w:rPr>
          <w:rFonts w:hAnsi="宋体" w:cs="宋体"/>
          <w:sz w:val="24"/>
        </w:rPr>
      </w:pPr>
      <w:r>
        <w:rPr>
          <w:rFonts w:hint="eastAsia" w:hAnsi="宋体" w:cs="宋体"/>
          <w:sz w:val="24"/>
        </w:rPr>
        <w:t xml:space="preserve">               投标单位（盖章）：</w:t>
      </w:r>
    </w:p>
    <w:p>
      <w:pPr>
        <w:spacing w:line="360" w:lineRule="auto"/>
        <w:ind w:right="315"/>
        <w:jc w:val="center"/>
        <w:rPr>
          <w:rFonts w:hAnsi="宋体" w:cs="宋体"/>
          <w:sz w:val="24"/>
        </w:rPr>
      </w:pPr>
      <w:r>
        <w:rPr>
          <w:rFonts w:hint="eastAsia" w:hAnsi="宋体" w:cs="宋体"/>
          <w:sz w:val="24"/>
        </w:rPr>
        <w:t xml:space="preserve">                          法定代表人或委托代理人（签字）：</w:t>
      </w:r>
    </w:p>
    <w:p>
      <w:pPr>
        <w:wordWrap w:val="0"/>
        <w:spacing w:line="360" w:lineRule="auto"/>
        <w:ind w:right="1590"/>
        <w:jc w:val="right"/>
        <w:rPr>
          <w:rFonts w:hAnsi="宋体" w:cs="宋体"/>
          <w:sz w:val="28"/>
          <w:szCs w:val="28"/>
        </w:rPr>
      </w:pPr>
      <w:r>
        <w:rPr>
          <w:rFonts w:hint="eastAsia" w:hAnsi="宋体" w:cs="宋体"/>
          <w:sz w:val="24"/>
        </w:rPr>
        <w:t>年月日</w:t>
      </w:r>
    </w:p>
    <w:p>
      <w:pPr>
        <w:tabs>
          <w:tab w:val="center" w:pos="4739"/>
        </w:tabs>
        <w:spacing w:line="600" w:lineRule="auto"/>
        <w:ind w:left="180"/>
        <w:jc w:val="center"/>
        <w:rPr>
          <w:rFonts w:hAnsi="宋体" w:cs="宋体"/>
          <w:b/>
          <w:sz w:val="32"/>
        </w:rPr>
      </w:pPr>
      <w:r>
        <w:rPr>
          <w:rFonts w:hint="eastAsia" w:hAnsi="宋体" w:cs="宋体"/>
          <w:sz w:val="28"/>
          <w:szCs w:val="28"/>
        </w:rPr>
        <w:br w:type="page"/>
      </w:r>
      <w:r>
        <w:rPr>
          <w:rFonts w:hint="eastAsia" w:hAnsi="宋体" w:cs="宋体"/>
          <w:b/>
          <w:sz w:val="32"/>
        </w:rPr>
        <w:t>二、</w:t>
      </w:r>
      <w:bookmarkEnd w:id="103"/>
      <w:r>
        <w:rPr>
          <w:rFonts w:hint="eastAsia" w:hAnsi="宋体" w:cs="宋体"/>
          <w:b/>
          <w:sz w:val="32"/>
        </w:rPr>
        <w:t>法定代表人身份证明、授权委托书</w:t>
      </w:r>
    </w:p>
    <w:p>
      <w:pPr>
        <w:pStyle w:val="2"/>
        <w:ind w:firstLine="0" w:firstLineChars="0"/>
        <w:jc w:val="center"/>
        <w:rPr>
          <w:rFonts w:hAnsi="宋体" w:cs="宋体"/>
          <w:b w:val="0"/>
          <w:sz w:val="28"/>
          <w:szCs w:val="28"/>
        </w:rPr>
      </w:pPr>
      <w:bookmarkStart w:id="104" w:name="_Toc271787731"/>
      <w:r>
        <w:rPr>
          <w:rFonts w:hint="eastAsia" w:hAnsi="宋体" w:cs="宋体"/>
          <w:b w:val="0"/>
          <w:sz w:val="28"/>
          <w:szCs w:val="28"/>
        </w:rPr>
        <w:t>（一）法定代表人身份证明</w:t>
      </w:r>
      <w:bookmarkEnd w:id="104"/>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ind w:firstLine="480" w:firstLineChars="200"/>
        <w:jc w:val="left"/>
        <w:rPr>
          <w:rFonts w:hAnsi="宋体" w:cs="宋体"/>
          <w:sz w:val="24"/>
          <w:u w:val="single"/>
        </w:rPr>
      </w:pPr>
      <w:r>
        <w:rPr>
          <w:rFonts w:hint="eastAsia" w:hAnsi="宋体" w:cs="宋体"/>
          <w:sz w:val="24"/>
        </w:rPr>
        <w:t>投标人名称：</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单位性质：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地址：</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成立时间：年月日</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经营期限：</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姓名：性别：年龄：职务：</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系（投标人名称）的法定代表人。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特此证明。</w:t>
      </w:r>
    </w:p>
    <w:p>
      <w:pPr>
        <w:autoSpaceDE w:val="0"/>
        <w:autoSpaceDN w:val="0"/>
        <w:adjustRightInd w:val="0"/>
        <w:spacing w:line="420" w:lineRule="exact"/>
        <w:ind w:firstLine="480" w:firstLineChars="200"/>
        <w:jc w:val="right"/>
        <w:rPr>
          <w:rFonts w:hAnsi="宋体" w:cs="宋体"/>
          <w:sz w:val="24"/>
        </w:rPr>
      </w:pP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rPr>
        <w:t>投标人：（盖单位章）</w:t>
      </w:r>
    </w:p>
    <w:p>
      <w:pPr>
        <w:autoSpaceDE w:val="0"/>
        <w:autoSpaceDN w:val="0"/>
        <w:adjustRightInd w:val="0"/>
        <w:spacing w:line="420" w:lineRule="exact"/>
        <w:ind w:right="480"/>
        <w:jc w:val="right"/>
        <w:rPr>
          <w:rFonts w:hAnsi="宋体" w:cs="宋体"/>
          <w:sz w:val="24"/>
        </w:rPr>
      </w:pPr>
      <w:r>
        <w:rPr>
          <w:rFonts w:hint="eastAsia" w:hAnsi="宋体" w:cs="宋体"/>
          <w:sz w:val="24"/>
        </w:rPr>
        <w:t>年月日</w:t>
      </w:r>
    </w:p>
    <w:p>
      <w:pPr>
        <w:autoSpaceDE w:val="0"/>
        <w:autoSpaceDN w:val="0"/>
        <w:adjustRightInd w:val="0"/>
        <w:spacing w:line="420" w:lineRule="exact"/>
        <w:ind w:firstLine="420" w:firstLineChars="200"/>
        <w:jc w:val="right"/>
        <w:rPr>
          <w:rFonts w:hAnsi="宋体" w:cs="宋体"/>
          <w:szCs w:val="21"/>
        </w:rPr>
      </w:pPr>
    </w:p>
    <w:p>
      <w:pPr>
        <w:pStyle w:val="2"/>
        <w:ind w:firstLine="320"/>
        <w:rPr>
          <w:rFonts w:ascii="仿宋_GB2312"/>
          <w:b w:val="0"/>
          <w:sz w:val="32"/>
        </w:rPr>
      </w:pPr>
    </w:p>
    <w:p>
      <w:pPr>
        <w:pStyle w:val="2"/>
        <w:ind w:firstLine="320"/>
        <w:rPr>
          <w:rFonts w:ascii="仿宋_GB2312"/>
          <w:b w:val="0"/>
          <w:sz w:val="32"/>
        </w:rPr>
      </w:pPr>
    </w:p>
    <w:p>
      <w:pPr>
        <w:pStyle w:val="2"/>
        <w:ind w:firstLine="320"/>
        <w:rPr>
          <w:rFonts w:ascii="仿宋_GB2312"/>
          <w:b w:val="0"/>
          <w:sz w:val="32"/>
        </w:rPr>
      </w:pPr>
    </w:p>
    <w:p>
      <w:pPr>
        <w:pStyle w:val="2"/>
        <w:ind w:firstLine="320"/>
        <w:rPr>
          <w:rFonts w:ascii="仿宋_GB2312"/>
          <w:b w:val="0"/>
          <w:sz w:val="32"/>
        </w:rPr>
      </w:pPr>
    </w:p>
    <w:p>
      <w:pPr>
        <w:pStyle w:val="2"/>
        <w:ind w:firstLine="320"/>
        <w:rPr>
          <w:rFonts w:ascii="仿宋_GB2312"/>
          <w:b w:val="0"/>
          <w:sz w:val="32"/>
        </w:rPr>
      </w:pPr>
    </w:p>
    <w:p>
      <w:pPr>
        <w:pStyle w:val="2"/>
        <w:ind w:firstLine="320"/>
        <w:rPr>
          <w:rFonts w:ascii="仿宋_GB2312"/>
          <w:b w:val="0"/>
          <w:sz w:val="32"/>
        </w:rPr>
      </w:pPr>
    </w:p>
    <w:p>
      <w:pPr>
        <w:pStyle w:val="2"/>
        <w:ind w:firstLine="320"/>
        <w:rPr>
          <w:rFonts w:ascii="仿宋_GB2312"/>
          <w:b w:val="0"/>
          <w:sz w:val="32"/>
        </w:rPr>
      </w:pPr>
    </w:p>
    <w:p>
      <w:pPr>
        <w:pStyle w:val="2"/>
        <w:ind w:firstLine="320"/>
        <w:rPr>
          <w:rFonts w:ascii="仿宋_GB2312"/>
          <w:b w:val="0"/>
          <w:sz w:val="32"/>
        </w:rPr>
      </w:pPr>
    </w:p>
    <w:p>
      <w:pPr>
        <w:pStyle w:val="2"/>
        <w:ind w:firstLine="320"/>
        <w:rPr>
          <w:rFonts w:ascii="仿宋_GB2312"/>
          <w:b w:val="0"/>
          <w:sz w:val="32"/>
        </w:rPr>
      </w:pPr>
    </w:p>
    <w:p>
      <w:pPr>
        <w:pStyle w:val="2"/>
        <w:ind w:firstLine="320"/>
        <w:rPr>
          <w:rFonts w:ascii="仿宋_GB2312"/>
          <w:b w:val="0"/>
          <w:sz w:val="32"/>
        </w:rPr>
      </w:pPr>
    </w:p>
    <w:p>
      <w:pPr>
        <w:pStyle w:val="2"/>
        <w:ind w:firstLine="0" w:firstLineChars="0"/>
        <w:jc w:val="center"/>
        <w:rPr>
          <w:rFonts w:hAnsi="宋体" w:cs="宋体"/>
          <w:b w:val="0"/>
          <w:sz w:val="28"/>
          <w:szCs w:val="28"/>
        </w:rPr>
      </w:pPr>
      <w:bookmarkStart w:id="105" w:name="_Toc271787732"/>
      <w:r>
        <w:rPr>
          <w:rFonts w:hint="eastAsia" w:hAnsi="宋体" w:cs="宋体"/>
          <w:b w:val="0"/>
          <w:sz w:val="28"/>
          <w:szCs w:val="28"/>
        </w:rPr>
        <w:t>（二）授权委托书</w:t>
      </w:r>
      <w:bookmarkEnd w:id="105"/>
    </w:p>
    <w:p>
      <w:pPr>
        <w:autoSpaceDE w:val="0"/>
        <w:autoSpaceDN w:val="0"/>
        <w:adjustRightInd w:val="0"/>
        <w:spacing w:line="420" w:lineRule="exact"/>
        <w:jc w:val="center"/>
        <w:rPr>
          <w:rFonts w:hAnsi="宋体" w:cs="宋体"/>
          <w:sz w:val="28"/>
          <w:szCs w:val="28"/>
        </w:rPr>
      </w:pP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本人 （姓名）系（投标人名称）的法定代表人，现委托（姓名）为我方代理人。代理人根据授权，以我方名义签署、澄清、说明、补正、递交、撤回、修改</w:t>
      </w:r>
    </w:p>
    <w:p>
      <w:pPr>
        <w:autoSpaceDE w:val="0"/>
        <w:autoSpaceDN w:val="0"/>
        <w:adjustRightInd w:val="0"/>
        <w:spacing w:line="440" w:lineRule="exact"/>
        <w:jc w:val="left"/>
        <w:rPr>
          <w:rFonts w:hAnsi="宋体" w:cs="宋体"/>
          <w:sz w:val="24"/>
        </w:rPr>
      </w:pPr>
      <w:r>
        <w:rPr>
          <w:rFonts w:hint="eastAsia" w:hAnsi="宋体" w:cs="宋体"/>
          <w:sz w:val="24"/>
        </w:rPr>
        <w:t xml:space="preserve"> （项目名称、标段）施工投标文件、签订合同和处理有关事宜，其法律后果由我方承担。</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委托期限：。</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代理人无转委托权。</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附：法定代表人身份证明和授权委托人身份证明的原件扫描件或图片</w:t>
      </w:r>
    </w:p>
    <w:p>
      <w:pPr>
        <w:autoSpaceDE w:val="0"/>
        <w:autoSpaceDN w:val="0"/>
        <w:adjustRightInd w:val="0"/>
        <w:spacing w:line="440" w:lineRule="exact"/>
        <w:ind w:firstLine="480" w:firstLineChars="200"/>
        <w:jc w:val="left"/>
        <w:rPr>
          <w:rFonts w:hAnsi="宋体" w:cs="宋体"/>
          <w:sz w:val="24"/>
        </w:rPr>
      </w:pP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投标人：（盖单位章）</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法定代表人： （签字）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委托代理人： （签字）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p>
    <w:p>
      <w:pPr>
        <w:autoSpaceDE w:val="0"/>
        <w:autoSpaceDN w:val="0"/>
        <w:adjustRightInd w:val="0"/>
        <w:spacing w:line="440" w:lineRule="exact"/>
        <w:ind w:firstLine="4900" w:firstLineChars="2042"/>
        <w:jc w:val="left"/>
        <w:rPr>
          <w:rFonts w:hAnsi="宋体" w:cs="宋体"/>
          <w:sz w:val="24"/>
        </w:rPr>
      </w:pPr>
      <w:r>
        <w:rPr>
          <w:rFonts w:hint="eastAsia" w:hAnsi="宋体" w:cs="宋体"/>
          <w:sz w:val="24"/>
        </w:rPr>
        <w:t>年月 日</w:t>
      </w:r>
    </w:p>
    <w:p>
      <w:pPr>
        <w:tabs>
          <w:tab w:val="center" w:pos="4739"/>
        </w:tabs>
        <w:spacing w:line="600" w:lineRule="auto"/>
        <w:ind w:left="180"/>
        <w:jc w:val="center"/>
        <w:rPr>
          <w:rFonts w:hAnsi="宋体" w:cs="宋体"/>
          <w:b/>
          <w:sz w:val="32"/>
        </w:rPr>
      </w:pPr>
    </w:p>
    <w:p>
      <w:pPr>
        <w:tabs>
          <w:tab w:val="center" w:pos="4739"/>
        </w:tabs>
        <w:spacing w:line="600" w:lineRule="auto"/>
        <w:ind w:left="180"/>
        <w:jc w:val="center"/>
        <w:rPr>
          <w:rFonts w:hAnsi="宋体" w:cs="宋体"/>
          <w:b/>
          <w:sz w:val="32"/>
        </w:rPr>
      </w:pPr>
    </w:p>
    <w:p>
      <w:pPr>
        <w:tabs>
          <w:tab w:val="center" w:pos="4739"/>
        </w:tabs>
        <w:spacing w:line="600" w:lineRule="auto"/>
        <w:ind w:left="180"/>
        <w:jc w:val="center"/>
        <w:rPr>
          <w:rFonts w:hAnsi="宋体" w:cs="宋体"/>
          <w:b/>
          <w:sz w:val="32"/>
        </w:rPr>
      </w:pPr>
    </w:p>
    <w:p>
      <w:pPr>
        <w:tabs>
          <w:tab w:val="center" w:pos="4739"/>
        </w:tabs>
        <w:spacing w:line="600" w:lineRule="auto"/>
        <w:ind w:left="180"/>
        <w:jc w:val="center"/>
        <w:rPr>
          <w:rFonts w:hAnsi="宋体" w:cs="宋体"/>
          <w:b/>
          <w:sz w:val="32"/>
        </w:rPr>
      </w:pPr>
    </w:p>
    <w:p>
      <w:pPr>
        <w:tabs>
          <w:tab w:val="center" w:pos="4739"/>
        </w:tabs>
        <w:spacing w:line="600" w:lineRule="auto"/>
        <w:ind w:left="180"/>
        <w:jc w:val="center"/>
        <w:rPr>
          <w:rFonts w:hAnsi="宋体" w:cs="宋体"/>
          <w:b/>
          <w:sz w:val="32"/>
        </w:rPr>
      </w:pPr>
    </w:p>
    <w:p>
      <w:pPr>
        <w:tabs>
          <w:tab w:val="center" w:pos="4739"/>
        </w:tabs>
        <w:spacing w:line="600" w:lineRule="auto"/>
        <w:ind w:left="180"/>
        <w:jc w:val="center"/>
        <w:rPr>
          <w:rFonts w:hAnsi="宋体" w:cs="宋体"/>
          <w:b/>
          <w:sz w:val="32"/>
        </w:rPr>
      </w:pPr>
    </w:p>
    <w:p>
      <w:pPr>
        <w:tabs>
          <w:tab w:val="center" w:pos="4739"/>
        </w:tabs>
        <w:spacing w:line="600" w:lineRule="auto"/>
        <w:ind w:left="180"/>
        <w:jc w:val="center"/>
        <w:rPr>
          <w:rFonts w:hAnsi="宋体" w:cs="宋体"/>
          <w:b/>
          <w:sz w:val="32"/>
        </w:rPr>
      </w:pPr>
    </w:p>
    <w:p>
      <w:pPr>
        <w:tabs>
          <w:tab w:val="center" w:pos="4739"/>
        </w:tabs>
        <w:spacing w:line="600" w:lineRule="auto"/>
        <w:ind w:left="180"/>
        <w:jc w:val="center"/>
        <w:rPr>
          <w:rFonts w:hAnsi="宋体" w:cs="宋体"/>
          <w:b/>
          <w:sz w:val="32"/>
        </w:rPr>
      </w:pPr>
      <w:r>
        <w:rPr>
          <w:rFonts w:hint="eastAsia" w:hAnsi="宋体" w:cs="宋体"/>
          <w:b/>
          <w:sz w:val="32"/>
        </w:rPr>
        <w:drawing>
          <wp:anchor distT="0" distB="0" distL="114300" distR="114300" simplePos="0" relativeHeight="251660288"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3"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66"/>
                    <pic:cNvPicPr>
                      <a:picLocks noChangeAspect="1" noChangeArrowheads="1"/>
                    </pic:cNvPicPr>
                  </pic:nvPicPr>
                  <pic:blipFill>
                    <a:blip r:embed="rId6"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cs="宋体"/>
          <w:b/>
          <w:sz w:val="32"/>
        </w:rPr>
        <w:t>三、投标保证金</w:t>
      </w:r>
    </w:p>
    <w:p>
      <w:pPr>
        <w:rPr>
          <w:szCs w:val="21"/>
        </w:rPr>
      </w:pPr>
    </w:p>
    <w:p>
      <w:pPr>
        <w:autoSpaceDE w:val="0"/>
        <w:autoSpaceDN w:val="0"/>
        <w:adjustRightInd w:val="0"/>
        <w:spacing w:line="420" w:lineRule="exact"/>
        <w:ind w:firstLine="480" w:firstLineChars="200"/>
        <w:jc w:val="center"/>
        <w:rPr>
          <w:rFonts w:hAnsi="宋体" w:cs="宋体"/>
          <w:sz w:val="24"/>
          <w:szCs w:val="24"/>
        </w:rPr>
      </w:pPr>
      <w:r>
        <w:rPr>
          <w:rFonts w:hint="eastAsia" w:hAnsi="宋体" w:cs="宋体"/>
          <w:sz w:val="24"/>
          <w:szCs w:val="24"/>
        </w:rPr>
        <w:t>附“</w:t>
      </w:r>
      <w:r>
        <w:rPr>
          <w:rFonts w:hint="eastAsia" w:hAnsi="宋体" w:cs="宋体"/>
          <w:sz w:val="24"/>
          <w:szCs w:val="21"/>
          <w:lang w:val="zh-CN"/>
        </w:rPr>
        <w:t>襄城县公共资源交易中心保证金缴纳回执单</w:t>
      </w:r>
      <w:r>
        <w:rPr>
          <w:rFonts w:hint="eastAsia" w:hAnsi="宋体" w:cs="宋体"/>
          <w:sz w:val="24"/>
          <w:szCs w:val="24"/>
        </w:rPr>
        <w:t>”原件扫描件或图片；</w:t>
      </w:r>
    </w:p>
    <w:p>
      <w:pPr>
        <w:pStyle w:val="2"/>
        <w:ind w:firstLine="320"/>
        <w:rPr>
          <w:rFonts w:ascii="仿宋_GB2312"/>
          <w:b w:val="0"/>
          <w:sz w:val="32"/>
        </w:rPr>
      </w:pPr>
    </w:p>
    <w:p>
      <w:pPr>
        <w:pStyle w:val="2"/>
        <w:ind w:firstLine="0" w:firstLineChars="0"/>
        <w:rPr>
          <w:rFonts w:ascii="仿宋_GB2312"/>
          <w:b w:val="0"/>
          <w:sz w:val="32"/>
        </w:rPr>
      </w:pPr>
    </w:p>
    <w:p>
      <w:pPr>
        <w:pageBreakBefore/>
        <w:tabs>
          <w:tab w:val="center" w:pos="4739"/>
        </w:tabs>
        <w:spacing w:line="600" w:lineRule="auto"/>
        <w:jc w:val="center"/>
        <w:rPr>
          <w:rFonts w:hAnsi="宋体" w:cs="宋体"/>
          <w:b/>
          <w:sz w:val="32"/>
        </w:rPr>
      </w:pPr>
      <w:r>
        <w:rPr>
          <w:rFonts w:hint="eastAsia" w:hAnsi="宋体" w:cs="宋体"/>
          <w:b/>
          <w:sz w:val="32"/>
        </w:rPr>
        <w:t>四、项目管理机构配备情况</w:t>
      </w:r>
    </w:p>
    <w:p>
      <w:pPr>
        <w:pStyle w:val="2"/>
        <w:ind w:firstLine="0" w:firstLineChars="0"/>
        <w:jc w:val="center"/>
        <w:rPr>
          <w:rFonts w:hAnsi="宋体" w:cs="宋体"/>
          <w:b w:val="0"/>
          <w:sz w:val="28"/>
          <w:szCs w:val="28"/>
        </w:rPr>
      </w:pPr>
      <w:r>
        <w:rPr>
          <w:rFonts w:hint="eastAsia" w:hAnsi="宋体" w:cs="宋体"/>
          <w:b w:val="0"/>
          <w:sz w:val="28"/>
          <w:szCs w:val="28"/>
        </w:rPr>
        <w:t>（一）项目管理机构组成表</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职务</w:t>
            </w:r>
          </w:p>
        </w:tc>
        <w:tc>
          <w:tcPr>
            <w:tcW w:w="914" w:type="dxa"/>
            <w:vMerge w:val="restart"/>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姓名</w:t>
            </w:r>
          </w:p>
        </w:tc>
        <w:tc>
          <w:tcPr>
            <w:tcW w:w="914" w:type="dxa"/>
            <w:vMerge w:val="restart"/>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职称</w:t>
            </w:r>
          </w:p>
        </w:tc>
        <w:tc>
          <w:tcPr>
            <w:tcW w:w="5710"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执业或职业资格证明</w:t>
            </w:r>
          </w:p>
        </w:tc>
        <w:tc>
          <w:tcPr>
            <w:tcW w:w="1036"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913" w:type="dxa"/>
            <w:vMerge w:val="continue"/>
            <w:vAlign w:val="center"/>
          </w:tcPr>
          <w:p>
            <w:pPr>
              <w:autoSpaceDE w:val="0"/>
              <w:autoSpaceDN w:val="0"/>
              <w:adjustRightInd w:val="0"/>
              <w:spacing w:line="360" w:lineRule="auto"/>
              <w:ind w:right="215"/>
              <w:jc w:val="center"/>
              <w:rPr>
                <w:rFonts w:hAnsi="宋体" w:cs="宋体"/>
                <w:sz w:val="24"/>
              </w:rPr>
            </w:pPr>
          </w:p>
        </w:tc>
        <w:tc>
          <w:tcPr>
            <w:tcW w:w="914" w:type="dxa"/>
            <w:vMerge w:val="continue"/>
            <w:vAlign w:val="center"/>
          </w:tcPr>
          <w:p>
            <w:pPr>
              <w:autoSpaceDE w:val="0"/>
              <w:autoSpaceDN w:val="0"/>
              <w:adjustRightInd w:val="0"/>
              <w:spacing w:line="360" w:lineRule="auto"/>
              <w:ind w:right="215"/>
              <w:jc w:val="center"/>
              <w:rPr>
                <w:rFonts w:hAnsi="宋体" w:cs="宋体"/>
                <w:sz w:val="24"/>
              </w:rPr>
            </w:pPr>
          </w:p>
        </w:tc>
        <w:tc>
          <w:tcPr>
            <w:tcW w:w="914" w:type="dxa"/>
            <w:vMerge w:val="continue"/>
            <w:vAlign w:val="center"/>
          </w:tcPr>
          <w:p>
            <w:pPr>
              <w:autoSpaceDE w:val="0"/>
              <w:autoSpaceDN w:val="0"/>
              <w:adjustRightInd w:val="0"/>
              <w:spacing w:line="360" w:lineRule="auto"/>
              <w:ind w:right="215"/>
              <w:jc w:val="center"/>
              <w:rPr>
                <w:rFonts w:hAnsi="宋体" w:cs="宋体"/>
                <w:sz w:val="24"/>
              </w:rPr>
            </w:pPr>
          </w:p>
        </w:tc>
        <w:tc>
          <w:tcPr>
            <w:tcW w:w="14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证书名称</w:t>
            </w:r>
          </w:p>
        </w:tc>
        <w:tc>
          <w:tcPr>
            <w:tcW w:w="94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级别</w:t>
            </w:r>
          </w:p>
        </w:tc>
        <w:tc>
          <w:tcPr>
            <w:tcW w:w="94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证号</w:t>
            </w:r>
          </w:p>
        </w:tc>
        <w:tc>
          <w:tcPr>
            <w:tcW w:w="94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专业</w:t>
            </w:r>
          </w:p>
        </w:tc>
        <w:tc>
          <w:tcPr>
            <w:tcW w:w="1470"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养老保险</w:t>
            </w:r>
          </w:p>
        </w:tc>
        <w:tc>
          <w:tcPr>
            <w:tcW w:w="103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13" w:type="dxa"/>
            <w:vAlign w:val="center"/>
          </w:tcPr>
          <w:p>
            <w:pPr>
              <w:autoSpaceDE w:val="0"/>
              <w:autoSpaceDN w:val="0"/>
              <w:adjustRightInd w:val="0"/>
              <w:spacing w:line="360" w:lineRule="auto"/>
              <w:ind w:right="215"/>
              <w:jc w:val="center"/>
              <w:rPr>
                <w:rFonts w:hAnsi="宋体" w:cs="宋体"/>
                <w:sz w:val="24"/>
              </w:rPr>
            </w:pPr>
          </w:p>
        </w:tc>
        <w:tc>
          <w:tcPr>
            <w:tcW w:w="914" w:type="dxa"/>
            <w:vAlign w:val="center"/>
          </w:tcPr>
          <w:p>
            <w:pPr>
              <w:autoSpaceDE w:val="0"/>
              <w:autoSpaceDN w:val="0"/>
              <w:adjustRightInd w:val="0"/>
              <w:spacing w:line="360" w:lineRule="auto"/>
              <w:ind w:right="215"/>
              <w:jc w:val="center"/>
              <w:rPr>
                <w:rFonts w:hAnsi="宋体" w:cs="宋体"/>
                <w:sz w:val="24"/>
              </w:rPr>
            </w:pPr>
          </w:p>
        </w:tc>
        <w:tc>
          <w:tcPr>
            <w:tcW w:w="914" w:type="dxa"/>
            <w:vAlign w:val="center"/>
          </w:tcPr>
          <w:p>
            <w:pPr>
              <w:autoSpaceDE w:val="0"/>
              <w:autoSpaceDN w:val="0"/>
              <w:adjustRightInd w:val="0"/>
              <w:spacing w:line="360" w:lineRule="auto"/>
              <w:ind w:right="215"/>
              <w:jc w:val="center"/>
              <w:rPr>
                <w:rFonts w:hAnsi="宋体" w:cs="宋体"/>
                <w:sz w:val="24"/>
              </w:rPr>
            </w:pPr>
          </w:p>
        </w:tc>
        <w:tc>
          <w:tcPr>
            <w:tcW w:w="1405" w:type="dxa"/>
            <w:vAlign w:val="center"/>
          </w:tcPr>
          <w:p>
            <w:pPr>
              <w:autoSpaceDE w:val="0"/>
              <w:autoSpaceDN w:val="0"/>
              <w:adjustRightInd w:val="0"/>
              <w:spacing w:line="360" w:lineRule="auto"/>
              <w:ind w:right="215"/>
              <w:jc w:val="center"/>
              <w:rPr>
                <w:rFonts w:hAnsi="宋体" w:cs="宋体"/>
                <w:sz w:val="24"/>
              </w:rPr>
            </w:pPr>
          </w:p>
        </w:tc>
        <w:tc>
          <w:tcPr>
            <w:tcW w:w="945" w:type="dxa"/>
            <w:vAlign w:val="center"/>
          </w:tcPr>
          <w:p>
            <w:pPr>
              <w:autoSpaceDE w:val="0"/>
              <w:autoSpaceDN w:val="0"/>
              <w:adjustRightInd w:val="0"/>
              <w:spacing w:line="360" w:lineRule="auto"/>
              <w:ind w:right="215"/>
              <w:jc w:val="center"/>
              <w:rPr>
                <w:rFonts w:hAnsi="宋体" w:cs="宋体"/>
                <w:sz w:val="24"/>
              </w:rPr>
            </w:pPr>
          </w:p>
        </w:tc>
        <w:tc>
          <w:tcPr>
            <w:tcW w:w="945" w:type="dxa"/>
            <w:vAlign w:val="center"/>
          </w:tcPr>
          <w:p>
            <w:pPr>
              <w:autoSpaceDE w:val="0"/>
              <w:autoSpaceDN w:val="0"/>
              <w:adjustRightInd w:val="0"/>
              <w:spacing w:line="360" w:lineRule="auto"/>
              <w:ind w:right="215"/>
              <w:jc w:val="center"/>
              <w:rPr>
                <w:rFonts w:hAnsi="宋体" w:cs="宋体"/>
                <w:sz w:val="24"/>
              </w:rPr>
            </w:pPr>
          </w:p>
        </w:tc>
        <w:tc>
          <w:tcPr>
            <w:tcW w:w="945" w:type="dxa"/>
            <w:vAlign w:val="center"/>
          </w:tcPr>
          <w:p>
            <w:pPr>
              <w:autoSpaceDE w:val="0"/>
              <w:autoSpaceDN w:val="0"/>
              <w:adjustRightInd w:val="0"/>
              <w:spacing w:line="360" w:lineRule="auto"/>
              <w:ind w:right="215"/>
              <w:jc w:val="center"/>
              <w:rPr>
                <w:rFonts w:hAnsi="宋体" w:cs="宋体"/>
                <w:sz w:val="24"/>
              </w:rPr>
            </w:pPr>
          </w:p>
        </w:tc>
        <w:tc>
          <w:tcPr>
            <w:tcW w:w="1470" w:type="dxa"/>
            <w:vAlign w:val="center"/>
          </w:tcPr>
          <w:p>
            <w:pPr>
              <w:autoSpaceDE w:val="0"/>
              <w:autoSpaceDN w:val="0"/>
              <w:adjustRightInd w:val="0"/>
              <w:spacing w:line="360" w:lineRule="auto"/>
              <w:ind w:right="215"/>
              <w:jc w:val="center"/>
              <w:rPr>
                <w:rFonts w:hAnsi="宋体" w:cs="宋体"/>
                <w:sz w:val="24"/>
              </w:rPr>
            </w:pPr>
          </w:p>
        </w:tc>
        <w:tc>
          <w:tcPr>
            <w:tcW w:w="103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vAlign w:val="center"/>
          </w:tcPr>
          <w:p>
            <w:pPr>
              <w:autoSpaceDE w:val="0"/>
              <w:autoSpaceDN w:val="0"/>
              <w:adjustRightInd w:val="0"/>
              <w:spacing w:line="360" w:lineRule="auto"/>
              <w:ind w:right="215"/>
              <w:jc w:val="center"/>
              <w:rPr>
                <w:rFonts w:hAnsi="宋体" w:cs="宋体"/>
                <w:sz w:val="24"/>
              </w:rPr>
            </w:pPr>
          </w:p>
        </w:tc>
        <w:tc>
          <w:tcPr>
            <w:tcW w:w="914" w:type="dxa"/>
            <w:vAlign w:val="center"/>
          </w:tcPr>
          <w:p>
            <w:pPr>
              <w:autoSpaceDE w:val="0"/>
              <w:autoSpaceDN w:val="0"/>
              <w:adjustRightInd w:val="0"/>
              <w:spacing w:line="360" w:lineRule="auto"/>
              <w:ind w:right="215"/>
              <w:jc w:val="center"/>
              <w:rPr>
                <w:rFonts w:hAnsi="宋体" w:cs="宋体"/>
                <w:sz w:val="24"/>
              </w:rPr>
            </w:pPr>
          </w:p>
        </w:tc>
        <w:tc>
          <w:tcPr>
            <w:tcW w:w="914" w:type="dxa"/>
            <w:vAlign w:val="center"/>
          </w:tcPr>
          <w:p>
            <w:pPr>
              <w:autoSpaceDE w:val="0"/>
              <w:autoSpaceDN w:val="0"/>
              <w:adjustRightInd w:val="0"/>
              <w:spacing w:line="360" w:lineRule="auto"/>
              <w:ind w:right="215"/>
              <w:jc w:val="center"/>
              <w:rPr>
                <w:rFonts w:hAnsi="宋体" w:cs="宋体"/>
                <w:sz w:val="24"/>
              </w:rPr>
            </w:pPr>
          </w:p>
        </w:tc>
        <w:tc>
          <w:tcPr>
            <w:tcW w:w="1405" w:type="dxa"/>
            <w:vAlign w:val="center"/>
          </w:tcPr>
          <w:p>
            <w:pPr>
              <w:autoSpaceDE w:val="0"/>
              <w:autoSpaceDN w:val="0"/>
              <w:adjustRightInd w:val="0"/>
              <w:spacing w:line="360" w:lineRule="auto"/>
              <w:ind w:right="215"/>
              <w:jc w:val="center"/>
              <w:rPr>
                <w:rFonts w:hAnsi="宋体" w:cs="宋体"/>
                <w:sz w:val="24"/>
              </w:rPr>
            </w:pPr>
          </w:p>
        </w:tc>
        <w:tc>
          <w:tcPr>
            <w:tcW w:w="945" w:type="dxa"/>
            <w:vAlign w:val="center"/>
          </w:tcPr>
          <w:p>
            <w:pPr>
              <w:autoSpaceDE w:val="0"/>
              <w:autoSpaceDN w:val="0"/>
              <w:adjustRightInd w:val="0"/>
              <w:spacing w:line="360" w:lineRule="auto"/>
              <w:ind w:right="215"/>
              <w:jc w:val="center"/>
              <w:rPr>
                <w:rFonts w:hAnsi="宋体" w:cs="宋体"/>
                <w:sz w:val="24"/>
              </w:rPr>
            </w:pPr>
          </w:p>
        </w:tc>
        <w:tc>
          <w:tcPr>
            <w:tcW w:w="945" w:type="dxa"/>
            <w:vAlign w:val="center"/>
          </w:tcPr>
          <w:p>
            <w:pPr>
              <w:autoSpaceDE w:val="0"/>
              <w:autoSpaceDN w:val="0"/>
              <w:adjustRightInd w:val="0"/>
              <w:spacing w:line="360" w:lineRule="auto"/>
              <w:ind w:right="215"/>
              <w:jc w:val="center"/>
              <w:rPr>
                <w:rFonts w:hAnsi="宋体" w:cs="宋体"/>
                <w:sz w:val="24"/>
              </w:rPr>
            </w:pPr>
          </w:p>
        </w:tc>
        <w:tc>
          <w:tcPr>
            <w:tcW w:w="945" w:type="dxa"/>
            <w:vAlign w:val="center"/>
          </w:tcPr>
          <w:p>
            <w:pPr>
              <w:autoSpaceDE w:val="0"/>
              <w:autoSpaceDN w:val="0"/>
              <w:adjustRightInd w:val="0"/>
              <w:spacing w:line="360" w:lineRule="auto"/>
              <w:ind w:right="215"/>
              <w:jc w:val="center"/>
              <w:rPr>
                <w:rFonts w:hAnsi="宋体" w:cs="宋体"/>
                <w:sz w:val="24"/>
              </w:rPr>
            </w:pPr>
          </w:p>
        </w:tc>
        <w:tc>
          <w:tcPr>
            <w:tcW w:w="1470" w:type="dxa"/>
            <w:vAlign w:val="center"/>
          </w:tcPr>
          <w:p>
            <w:pPr>
              <w:autoSpaceDE w:val="0"/>
              <w:autoSpaceDN w:val="0"/>
              <w:adjustRightInd w:val="0"/>
              <w:spacing w:line="360" w:lineRule="auto"/>
              <w:ind w:right="215"/>
              <w:jc w:val="center"/>
              <w:rPr>
                <w:rFonts w:hAnsi="宋体" w:cs="宋体"/>
                <w:sz w:val="24"/>
              </w:rPr>
            </w:pPr>
          </w:p>
        </w:tc>
        <w:tc>
          <w:tcPr>
            <w:tcW w:w="103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vAlign w:val="center"/>
          </w:tcPr>
          <w:p>
            <w:pPr>
              <w:autoSpaceDE w:val="0"/>
              <w:autoSpaceDN w:val="0"/>
              <w:adjustRightInd w:val="0"/>
              <w:spacing w:line="360" w:lineRule="auto"/>
              <w:ind w:right="215"/>
              <w:jc w:val="center"/>
              <w:rPr>
                <w:rFonts w:hAnsi="宋体" w:cs="宋体"/>
                <w:sz w:val="24"/>
              </w:rPr>
            </w:pPr>
          </w:p>
        </w:tc>
        <w:tc>
          <w:tcPr>
            <w:tcW w:w="914" w:type="dxa"/>
            <w:vAlign w:val="center"/>
          </w:tcPr>
          <w:p>
            <w:pPr>
              <w:autoSpaceDE w:val="0"/>
              <w:autoSpaceDN w:val="0"/>
              <w:adjustRightInd w:val="0"/>
              <w:spacing w:line="360" w:lineRule="auto"/>
              <w:ind w:right="215"/>
              <w:jc w:val="center"/>
              <w:rPr>
                <w:rFonts w:hAnsi="宋体" w:cs="宋体"/>
                <w:sz w:val="24"/>
              </w:rPr>
            </w:pPr>
          </w:p>
        </w:tc>
        <w:tc>
          <w:tcPr>
            <w:tcW w:w="914" w:type="dxa"/>
            <w:vAlign w:val="center"/>
          </w:tcPr>
          <w:p>
            <w:pPr>
              <w:autoSpaceDE w:val="0"/>
              <w:autoSpaceDN w:val="0"/>
              <w:adjustRightInd w:val="0"/>
              <w:spacing w:line="360" w:lineRule="auto"/>
              <w:ind w:right="215"/>
              <w:jc w:val="center"/>
              <w:rPr>
                <w:rFonts w:hAnsi="宋体" w:cs="宋体"/>
                <w:sz w:val="24"/>
              </w:rPr>
            </w:pPr>
          </w:p>
        </w:tc>
        <w:tc>
          <w:tcPr>
            <w:tcW w:w="1405" w:type="dxa"/>
            <w:vAlign w:val="center"/>
          </w:tcPr>
          <w:p>
            <w:pPr>
              <w:autoSpaceDE w:val="0"/>
              <w:autoSpaceDN w:val="0"/>
              <w:adjustRightInd w:val="0"/>
              <w:spacing w:line="360" w:lineRule="auto"/>
              <w:ind w:right="215"/>
              <w:jc w:val="center"/>
              <w:rPr>
                <w:rFonts w:hAnsi="宋体" w:cs="宋体"/>
                <w:sz w:val="24"/>
              </w:rPr>
            </w:pPr>
          </w:p>
        </w:tc>
        <w:tc>
          <w:tcPr>
            <w:tcW w:w="945" w:type="dxa"/>
            <w:vAlign w:val="center"/>
          </w:tcPr>
          <w:p>
            <w:pPr>
              <w:autoSpaceDE w:val="0"/>
              <w:autoSpaceDN w:val="0"/>
              <w:adjustRightInd w:val="0"/>
              <w:spacing w:line="360" w:lineRule="auto"/>
              <w:ind w:right="215"/>
              <w:jc w:val="center"/>
              <w:rPr>
                <w:rFonts w:hAnsi="宋体" w:cs="宋体"/>
                <w:sz w:val="24"/>
              </w:rPr>
            </w:pPr>
          </w:p>
        </w:tc>
        <w:tc>
          <w:tcPr>
            <w:tcW w:w="945" w:type="dxa"/>
            <w:vAlign w:val="center"/>
          </w:tcPr>
          <w:p>
            <w:pPr>
              <w:autoSpaceDE w:val="0"/>
              <w:autoSpaceDN w:val="0"/>
              <w:adjustRightInd w:val="0"/>
              <w:spacing w:line="360" w:lineRule="auto"/>
              <w:ind w:right="215"/>
              <w:jc w:val="center"/>
              <w:rPr>
                <w:rFonts w:hAnsi="宋体" w:cs="宋体"/>
                <w:sz w:val="24"/>
              </w:rPr>
            </w:pPr>
          </w:p>
        </w:tc>
        <w:tc>
          <w:tcPr>
            <w:tcW w:w="945" w:type="dxa"/>
            <w:vAlign w:val="center"/>
          </w:tcPr>
          <w:p>
            <w:pPr>
              <w:autoSpaceDE w:val="0"/>
              <w:autoSpaceDN w:val="0"/>
              <w:adjustRightInd w:val="0"/>
              <w:spacing w:line="360" w:lineRule="auto"/>
              <w:ind w:right="215"/>
              <w:jc w:val="center"/>
              <w:rPr>
                <w:rFonts w:hAnsi="宋体" w:cs="宋体"/>
                <w:sz w:val="24"/>
              </w:rPr>
            </w:pPr>
          </w:p>
        </w:tc>
        <w:tc>
          <w:tcPr>
            <w:tcW w:w="1470" w:type="dxa"/>
            <w:vAlign w:val="center"/>
          </w:tcPr>
          <w:p>
            <w:pPr>
              <w:autoSpaceDE w:val="0"/>
              <w:autoSpaceDN w:val="0"/>
              <w:adjustRightInd w:val="0"/>
              <w:spacing w:line="360" w:lineRule="auto"/>
              <w:ind w:right="215"/>
              <w:jc w:val="center"/>
              <w:rPr>
                <w:rFonts w:hAnsi="宋体" w:cs="宋体"/>
                <w:sz w:val="24"/>
              </w:rPr>
            </w:pPr>
          </w:p>
        </w:tc>
        <w:tc>
          <w:tcPr>
            <w:tcW w:w="103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vAlign w:val="center"/>
          </w:tcPr>
          <w:p>
            <w:pPr>
              <w:autoSpaceDE w:val="0"/>
              <w:autoSpaceDN w:val="0"/>
              <w:adjustRightInd w:val="0"/>
              <w:spacing w:line="360" w:lineRule="auto"/>
              <w:ind w:right="215"/>
              <w:jc w:val="center"/>
              <w:rPr>
                <w:rFonts w:hAnsi="宋体" w:cs="宋体"/>
                <w:sz w:val="24"/>
              </w:rPr>
            </w:pPr>
          </w:p>
        </w:tc>
        <w:tc>
          <w:tcPr>
            <w:tcW w:w="914" w:type="dxa"/>
            <w:vAlign w:val="center"/>
          </w:tcPr>
          <w:p>
            <w:pPr>
              <w:autoSpaceDE w:val="0"/>
              <w:autoSpaceDN w:val="0"/>
              <w:adjustRightInd w:val="0"/>
              <w:spacing w:line="360" w:lineRule="auto"/>
              <w:ind w:right="215"/>
              <w:jc w:val="center"/>
              <w:rPr>
                <w:rFonts w:hAnsi="宋体" w:cs="宋体"/>
                <w:sz w:val="24"/>
              </w:rPr>
            </w:pPr>
          </w:p>
        </w:tc>
        <w:tc>
          <w:tcPr>
            <w:tcW w:w="914" w:type="dxa"/>
            <w:vAlign w:val="center"/>
          </w:tcPr>
          <w:p>
            <w:pPr>
              <w:autoSpaceDE w:val="0"/>
              <w:autoSpaceDN w:val="0"/>
              <w:adjustRightInd w:val="0"/>
              <w:spacing w:line="360" w:lineRule="auto"/>
              <w:ind w:right="215"/>
              <w:jc w:val="center"/>
              <w:rPr>
                <w:rFonts w:hAnsi="宋体" w:cs="宋体"/>
                <w:sz w:val="24"/>
              </w:rPr>
            </w:pPr>
          </w:p>
        </w:tc>
        <w:tc>
          <w:tcPr>
            <w:tcW w:w="1405" w:type="dxa"/>
            <w:vAlign w:val="center"/>
          </w:tcPr>
          <w:p>
            <w:pPr>
              <w:autoSpaceDE w:val="0"/>
              <w:autoSpaceDN w:val="0"/>
              <w:adjustRightInd w:val="0"/>
              <w:spacing w:line="360" w:lineRule="auto"/>
              <w:ind w:right="215"/>
              <w:jc w:val="center"/>
              <w:rPr>
                <w:rFonts w:hAnsi="宋体" w:cs="宋体"/>
                <w:sz w:val="24"/>
              </w:rPr>
            </w:pPr>
          </w:p>
        </w:tc>
        <w:tc>
          <w:tcPr>
            <w:tcW w:w="945" w:type="dxa"/>
            <w:vAlign w:val="center"/>
          </w:tcPr>
          <w:p>
            <w:pPr>
              <w:autoSpaceDE w:val="0"/>
              <w:autoSpaceDN w:val="0"/>
              <w:adjustRightInd w:val="0"/>
              <w:spacing w:line="360" w:lineRule="auto"/>
              <w:ind w:right="215"/>
              <w:jc w:val="center"/>
              <w:rPr>
                <w:rFonts w:hAnsi="宋体" w:cs="宋体"/>
                <w:sz w:val="24"/>
              </w:rPr>
            </w:pPr>
          </w:p>
        </w:tc>
        <w:tc>
          <w:tcPr>
            <w:tcW w:w="945" w:type="dxa"/>
            <w:vAlign w:val="center"/>
          </w:tcPr>
          <w:p>
            <w:pPr>
              <w:autoSpaceDE w:val="0"/>
              <w:autoSpaceDN w:val="0"/>
              <w:adjustRightInd w:val="0"/>
              <w:spacing w:line="360" w:lineRule="auto"/>
              <w:ind w:right="215"/>
              <w:jc w:val="center"/>
              <w:rPr>
                <w:rFonts w:hAnsi="宋体" w:cs="宋体"/>
                <w:sz w:val="24"/>
              </w:rPr>
            </w:pPr>
          </w:p>
        </w:tc>
        <w:tc>
          <w:tcPr>
            <w:tcW w:w="945" w:type="dxa"/>
            <w:vAlign w:val="center"/>
          </w:tcPr>
          <w:p>
            <w:pPr>
              <w:autoSpaceDE w:val="0"/>
              <w:autoSpaceDN w:val="0"/>
              <w:adjustRightInd w:val="0"/>
              <w:spacing w:line="360" w:lineRule="auto"/>
              <w:ind w:right="215"/>
              <w:jc w:val="center"/>
              <w:rPr>
                <w:rFonts w:hAnsi="宋体" w:cs="宋体"/>
                <w:sz w:val="24"/>
              </w:rPr>
            </w:pPr>
          </w:p>
        </w:tc>
        <w:tc>
          <w:tcPr>
            <w:tcW w:w="1470" w:type="dxa"/>
            <w:vAlign w:val="center"/>
          </w:tcPr>
          <w:p>
            <w:pPr>
              <w:autoSpaceDE w:val="0"/>
              <w:autoSpaceDN w:val="0"/>
              <w:adjustRightInd w:val="0"/>
              <w:spacing w:line="360" w:lineRule="auto"/>
              <w:ind w:right="215"/>
              <w:jc w:val="center"/>
              <w:rPr>
                <w:rFonts w:hAnsi="宋体" w:cs="宋体"/>
                <w:sz w:val="24"/>
              </w:rPr>
            </w:pPr>
          </w:p>
        </w:tc>
        <w:tc>
          <w:tcPr>
            <w:tcW w:w="103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vAlign w:val="center"/>
          </w:tcPr>
          <w:p>
            <w:pPr>
              <w:autoSpaceDE w:val="0"/>
              <w:autoSpaceDN w:val="0"/>
              <w:adjustRightInd w:val="0"/>
              <w:spacing w:line="360" w:lineRule="auto"/>
              <w:ind w:right="215"/>
              <w:jc w:val="center"/>
              <w:rPr>
                <w:rFonts w:hAnsi="宋体" w:cs="宋体"/>
                <w:sz w:val="24"/>
              </w:rPr>
            </w:pPr>
          </w:p>
        </w:tc>
        <w:tc>
          <w:tcPr>
            <w:tcW w:w="914" w:type="dxa"/>
            <w:vAlign w:val="center"/>
          </w:tcPr>
          <w:p>
            <w:pPr>
              <w:autoSpaceDE w:val="0"/>
              <w:autoSpaceDN w:val="0"/>
              <w:adjustRightInd w:val="0"/>
              <w:spacing w:line="360" w:lineRule="auto"/>
              <w:ind w:right="215"/>
              <w:jc w:val="center"/>
              <w:rPr>
                <w:rFonts w:hAnsi="宋体" w:cs="宋体"/>
                <w:sz w:val="24"/>
              </w:rPr>
            </w:pPr>
          </w:p>
        </w:tc>
        <w:tc>
          <w:tcPr>
            <w:tcW w:w="914" w:type="dxa"/>
            <w:vAlign w:val="center"/>
          </w:tcPr>
          <w:p>
            <w:pPr>
              <w:autoSpaceDE w:val="0"/>
              <w:autoSpaceDN w:val="0"/>
              <w:adjustRightInd w:val="0"/>
              <w:spacing w:line="360" w:lineRule="auto"/>
              <w:ind w:right="215"/>
              <w:jc w:val="center"/>
              <w:rPr>
                <w:rFonts w:hAnsi="宋体" w:cs="宋体"/>
                <w:sz w:val="24"/>
              </w:rPr>
            </w:pPr>
          </w:p>
        </w:tc>
        <w:tc>
          <w:tcPr>
            <w:tcW w:w="1405" w:type="dxa"/>
            <w:vAlign w:val="center"/>
          </w:tcPr>
          <w:p>
            <w:pPr>
              <w:autoSpaceDE w:val="0"/>
              <w:autoSpaceDN w:val="0"/>
              <w:adjustRightInd w:val="0"/>
              <w:spacing w:line="360" w:lineRule="auto"/>
              <w:ind w:right="215"/>
              <w:jc w:val="center"/>
              <w:rPr>
                <w:rFonts w:hAnsi="宋体" w:cs="宋体"/>
                <w:sz w:val="24"/>
              </w:rPr>
            </w:pPr>
          </w:p>
        </w:tc>
        <w:tc>
          <w:tcPr>
            <w:tcW w:w="945" w:type="dxa"/>
            <w:vAlign w:val="center"/>
          </w:tcPr>
          <w:p>
            <w:pPr>
              <w:autoSpaceDE w:val="0"/>
              <w:autoSpaceDN w:val="0"/>
              <w:adjustRightInd w:val="0"/>
              <w:spacing w:line="360" w:lineRule="auto"/>
              <w:ind w:right="215"/>
              <w:jc w:val="center"/>
              <w:rPr>
                <w:rFonts w:hAnsi="宋体" w:cs="宋体"/>
                <w:sz w:val="24"/>
              </w:rPr>
            </w:pPr>
          </w:p>
        </w:tc>
        <w:tc>
          <w:tcPr>
            <w:tcW w:w="945" w:type="dxa"/>
            <w:vAlign w:val="center"/>
          </w:tcPr>
          <w:p>
            <w:pPr>
              <w:autoSpaceDE w:val="0"/>
              <w:autoSpaceDN w:val="0"/>
              <w:adjustRightInd w:val="0"/>
              <w:spacing w:line="360" w:lineRule="auto"/>
              <w:ind w:right="215"/>
              <w:jc w:val="center"/>
              <w:rPr>
                <w:rFonts w:hAnsi="宋体" w:cs="宋体"/>
                <w:sz w:val="24"/>
              </w:rPr>
            </w:pPr>
          </w:p>
        </w:tc>
        <w:tc>
          <w:tcPr>
            <w:tcW w:w="945" w:type="dxa"/>
            <w:vAlign w:val="center"/>
          </w:tcPr>
          <w:p>
            <w:pPr>
              <w:autoSpaceDE w:val="0"/>
              <w:autoSpaceDN w:val="0"/>
              <w:adjustRightInd w:val="0"/>
              <w:spacing w:line="360" w:lineRule="auto"/>
              <w:ind w:right="215"/>
              <w:jc w:val="center"/>
              <w:rPr>
                <w:rFonts w:hAnsi="宋体" w:cs="宋体"/>
                <w:sz w:val="24"/>
              </w:rPr>
            </w:pPr>
          </w:p>
        </w:tc>
        <w:tc>
          <w:tcPr>
            <w:tcW w:w="1470" w:type="dxa"/>
            <w:vAlign w:val="center"/>
          </w:tcPr>
          <w:p>
            <w:pPr>
              <w:autoSpaceDE w:val="0"/>
              <w:autoSpaceDN w:val="0"/>
              <w:adjustRightInd w:val="0"/>
              <w:spacing w:line="360" w:lineRule="auto"/>
              <w:ind w:right="215"/>
              <w:jc w:val="center"/>
              <w:rPr>
                <w:rFonts w:hAnsi="宋体" w:cs="宋体"/>
                <w:sz w:val="24"/>
              </w:rPr>
            </w:pPr>
          </w:p>
        </w:tc>
        <w:tc>
          <w:tcPr>
            <w:tcW w:w="103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vAlign w:val="center"/>
          </w:tcPr>
          <w:p>
            <w:pPr>
              <w:autoSpaceDE w:val="0"/>
              <w:autoSpaceDN w:val="0"/>
              <w:adjustRightInd w:val="0"/>
              <w:spacing w:line="360" w:lineRule="auto"/>
              <w:ind w:right="215"/>
              <w:jc w:val="center"/>
              <w:rPr>
                <w:rFonts w:hAnsi="宋体" w:cs="宋体"/>
                <w:sz w:val="24"/>
              </w:rPr>
            </w:pPr>
          </w:p>
        </w:tc>
        <w:tc>
          <w:tcPr>
            <w:tcW w:w="914" w:type="dxa"/>
            <w:vAlign w:val="center"/>
          </w:tcPr>
          <w:p>
            <w:pPr>
              <w:autoSpaceDE w:val="0"/>
              <w:autoSpaceDN w:val="0"/>
              <w:adjustRightInd w:val="0"/>
              <w:spacing w:line="360" w:lineRule="auto"/>
              <w:ind w:right="215"/>
              <w:jc w:val="center"/>
              <w:rPr>
                <w:rFonts w:hAnsi="宋体" w:cs="宋体"/>
                <w:sz w:val="24"/>
              </w:rPr>
            </w:pPr>
          </w:p>
        </w:tc>
        <w:tc>
          <w:tcPr>
            <w:tcW w:w="914" w:type="dxa"/>
            <w:vAlign w:val="center"/>
          </w:tcPr>
          <w:p>
            <w:pPr>
              <w:autoSpaceDE w:val="0"/>
              <w:autoSpaceDN w:val="0"/>
              <w:adjustRightInd w:val="0"/>
              <w:spacing w:line="360" w:lineRule="auto"/>
              <w:ind w:right="215"/>
              <w:jc w:val="center"/>
              <w:rPr>
                <w:rFonts w:hAnsi="宋体" w:cs="宋体"/>
                <w:sz w:val="24"/>
              </w:rPr>
            </w:pPr>
          </w:p>
        </w:tc>
        <w:tc>
          <w:tcPr>
            <w:tcW w:w="1405" w:type="dxa"/>
            <w:vAlign w:val="center"/>
          </w:tcPr>
          <w:p>
            <w:pPr>
              <w:autoSpaceDE w:val="0"/>
              <w:autoSpaceDN w:val="0"/>
              <w:adjustRightInd w:val="0"/>
              <w:spacing w:line="360" w:lineRule="auto"/>
              <w:ind w:right="215"/>
              <w:jc w:val="center"/>
              <w:rPr>
                <w:rFonts w:hAnsi="宋体" w:cs="宋体"/>
                <w:sz w:val="24"/>
              </w:rPr>
            </w:pPr>
          </w:p>
        </w:tc>
        <w:tc>
          <w:tcPr>
            <w:tcW w:w="945" w:type="dxa"/>
            <w:vAlign w:val="center"/>
          </w:tcPr>
          <w:p>
            <w:pPr>
              <w:autoSpaceDE w:val="0"/>
              <w:autoSpaceDN w:val="0"/>
              <w:adjustRightInd w:val="0"/>
              <w:spacing w:line="360" w:lineRule="auto"/>
              <w:ind w:right="215"/>
              <w:jc w:val="center"/>
              <w:rPr>
                <w:rFonts w:hAnsi="宋体" w:cs="宋体"/>
                <w:sz w:val="24"/>
              </w:rPr>
            </w:pPr>
          </w:p>
        </w:tc>
        <w:tc>
          <w:tcPr>
            <w:tcW w:w="945" w:type="dxa"/>
            <w:vAlign w:val="center"/>
          </w:tcPr>
          <w:p>
            <w:pPr>
              <w:autoSpaceDE w:val="0"/>
              <w:autoSpaceDN w:val="0"/>
              <w:adjustRightInd w:val="0"/>
              <w:spacing w:line="360" w:lineRule="auto"/>
              <w:ind w:right="215"/>
              <w:jc w:val="center"/>
              <w:rPr>
                <w:rFonts w:hAnsi="宋体" w:cs="宋体"/>
                <w:sz w:val="24"/>
              </w:rPr>
            </w:pPr>
          </w:p>
        </w:tc>
        <w:tc>
          <w:tcPr>
            <w:tcW w:w="945" w:type="dxa"/>
            <w:vAlign w:val="center"/>
          </w:tcPr>
          <w:p>
            <w:pPr>
              <w:autoSpaceDE w:val="0"/>
              <w:autoSpaceDN w:val="0"/>
              <w:adjustRightInd w:val="0"/>
              <w:spacing w:line="360" w:lineRule="auto"/>
              <w:ind w:right="215"/>
              <w:jc w:val="center"/>
              <w:rPr>
                <w:rFonts w:hAnsi="宋体" w:cs="宋体"/>
                <w:sz w:val="24"/>
              </w:rPr>
            </w:pPr>
          </w:p>
        </w:tc>
        <w:tc>
          <w:tcPr>
            <w:tcW w:w="1470" w:type="dxa"/>
            <w:vAlign w:val="center"/>
          </w:tcPr>
          <w:p>
            <w:pPr>
              <w:autoSpaceDE w:val="0"/>
              <w:autoSpaceDN w:val="0"/>
              <w:adjustRightInd w:val="0"/>
              <w:spacing w:line="360" w:lineRule="auto"/>
              <w:ind w:right="215"/>
              <w:jc w:val="center"/>
              <w:rPr>
                <w:rFonts w:hAnsi="宋体" w:cs="宋体"/>
                <w:sz w:val="24"/>
              </w:rPr>
            </w:pPr>
          </w:p>
        </w:tc>
        <w:tc>
          <w:tcPr>
            <w:tcW w:w="103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vAlign w:val="center"/>
          </w:tcPr>
          <w:p>
            <w:pPr>
              <w:autoSpaceDE w:val="0"/>
              <w:autoSpaceDN w:val="0"/>
              <w:adjustRightInd w:val="0"/>
              <w:spacing w:line="360" w:lineRule="auto"/>
              <w:ind w:right="215"/>
              <w:jc w:val="center"/>
              <w:rPr>
                <w:rFonts w:hAnsi="宋体" w:cs="宋体"/>
                <w:sz w:val="24"/>
              </w:rPr>
            </w:pPr>
          </w:p>
        </w:tc>
        <w:tc>
          <w:tcPr>
            <w:tcW w:w="914"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w:t>
            </w:r>
          </w:p>
        </w:tc>
        <w:tc>
          <w:tcPr>
            <w:tcW w:w="914" w:type="dxa"/>
            <w:vAlign w:val="center"/>
          </w:tcPr>
          <w:p>
            <w:pPr>
              <w:autoSpaceDE w:val="0"/>
              <w:autoSpaceDN w:val="0"/>
              <w:adjustRightInd w:val="0"/>
              <w:spacing w:line="360" w:lineRule="auto"/>
              <w:ind w:right="215"/>
              <w:jc w:val="center"/>
              <w:rPr>
                <w:rFonts w:hAnsi="宋体" w:cs="宋体"/>
                <w:sz w:val="24"/>
              </w:rPr>
            </w:pPr>
          </w:p>
        </w:tc>
        <w:tc>
          <w:tcPr>
            <w:tcW w:w="1405" w:type="dxa"/>
            <w:vAlign w:val="center"/>
          </w:tcPr>
          <w:p>
            <w:pPr>
              <w:autoSpaceDE w:val="0"/>
              <w:autoSpaceDN w:val="0"/>
              <w:adjustRightInd w:val="0"/>
              <w:spacing w:line="360" w:lineRule="auto"/>
              <w:ind w:right="215"/>
              <w:jc w:val="center"/>
              <w:rPr>
                <w:rFonts w:hAnsi="宋体" w:cs="宋体"/>
                <w:sz w:val="24"/>
              </w:rPr>
            </w:pPr>
          </w:p>
        </w:tc>
        <w:tc>
          <w:tcPr>
            <w:tcW w:w="945" w:type="dxa"/>
            <w:vAlign w:val="center"/>
          </w:tcPr>
          <w:p>
            <w:pPr>
              <w:autoSpaceDE w:val="0"/>
              <w:autoSpaceDN w:val="0"/>
              <w:adjustRightInd w:val="0"/>
              <w:spacing w:line="360" w:lineRule="auto"/>
              <w:ind w:right="215"/>
              <w:jc w:val="center"/>
              <w:rPr>
                <w:rFonts w:hAnsi="宋体" w:cs="宋体"/>
                <w:sz w:val="24"/>
              </w:rPr>
            </w:pPr>
          </w:p>
        </w:tc>
        <w:tc>
          <w:tcPr>
            <w:tcW w:w="945" w:type="dxa"/>
            <w:vAlign w:val="center"/>
          </w:tcPr>
          <w:p>
            <w:pPr>
              <w:autoSpaceDE w:val="0"/>
              <w:autoSpaceDN w:val="0"/>
              <w:adjustRightInd w:val="0"/>
              <w:spacing w:line="360" w:lineRule="auto"/>
              <w:ind w:right="215"/>
              <w:jc w:val="center"/>
              <w:rPr>
                <w:rFonts w:hAnsi="宋体" w:cs="宋体"/>
                <w:sz w:val="24"/>
              </w:rPr>
            </w:pPr>
          </w:p>
        </w:tc>
        <w:tc>
          <w:tcPr>
            <w:tcW w:w="945" w:type="dxa"/>
            <w:vAlign w:val="center"/>
          </w:tcPr>
          <w:p>
            <w:pPr>
              <w:autoSpaceDE w:val="0"/>
              <w:autoSpaceDN w:val="0"/>
              <w:adjustRightInd w:val="0"/>
              <w:spacing w:line="360" w:lineRule="auto"/>
              <w:ind w:right="215"/>
              <w:jc w:val="center"/>
              <w:rPr>
                <w:rFonts w:hAnsi="宋体" w:cs="宋体"/>
                <w:sz w:val="24"/>
              </w:rPr>
            </w:pPr>
          </w:p>
        </w:tc>
        <w:tc>
          <w:tcPr>
            <w:tcW w:w="1470" w:type="dxa"/>
            <w:vAlign w:val="center"/>
          </w:tcPr>
          <w:p>
            <w:pPr>
              <w:autoSpaceDE w:val="0"/>
              <w:autoSpaceDN w:val="0"/>
              <w:adjustRightInd w:val="0"/>
              <w:spacing w:line="360" w:lineRule="auto"/>
              <w:ind w:right="215"/>
              <w:jc w:val="center"/>
              <w:rPr>
                <w:rFonts w:hAnsi="宋体" w:cs="宋体"/>
                <w:sz w:val="24"/>
              </w:rPr>
            </w:pPr>
          </w:p>
        </w:tc>
        <w:tc>
          <w:tcPr>
            <w:tcW w:w="1036" w:type="dxa"/>
            <w:vAlign w:val="center"/>
          </w:tcPr>
          <w:p>
            <w:pPr>
              <w:autoSpaceDE w:val="0"/>
              <w:autoSpaceDN w:val="0"/>
              <w:adjustRightInd w:val="0"/>
              <w:spacing w:line="360" w:lineRule="auto"/>
              <w:ind w:right="215"/>
              <w:jc w:val="center"/>
              <w:rPr>
                <w:rFonts w:hAnsi="宋体" w:cs="宋体"/>
                <w:sz w:val="24"/>
              </w:rPr>
            </w:pPr>
          </w:p>
        </w:tc>
      </w:tr>
    </w:tbl>
    <w:p>
      <w:pPr>
        <w:autoSpaceDE w:val="0"/>
        <w:autoSpaceDN w:val="0"/>
        <w:adjustRightInd w:val="0"/>
        <w:spacing w:line="360" w:lineRule="auto"/>
        <w:ind w:right="215"/>
        <w:rPr>
          <w:rFonts w:hAnsi="宋体" w:cs="宋体"/>
        </w:rPr>
      </w:pPr>
    </w:p>
    <w:p>
      <w:pPr>
        <w:pStyle w:val="2"/>
        <w:ind w:firstLine="0" w:firstLineChars="0"/>
        <w:jc w:val="center"/>
        <w:rPr>
          <w:rFonts w:hAnsi="宋体" w:cs="宋体"/>
          <w:b w:val="0"/>
          <w:sz w:val="28"/>
          <w:szCs w:val="28"/>
        </w:rPr>
      </w:pPr>
      <w:r>
        <w:rPr>
          <w:rFonts w:hAnsi="宋体" w:cs="宋体"/>
          <w:b w:val="0"/>
          <w:sz w:val="28"/>
          <w:szCs w:val="28"/>
        </w:rPr>
        <w:br w:type="page"/>
      </w:r>
      <w:r>
        <w:rPr>
          <w:rFonts w:hint="eastAsia" w:hAnsi="宋体" w:cs="宋体"/>
          <w:b w:val="0"/>
          <w:sz w:val="28"/>
          <w:szCs w:val="28"/>
        </w:rPr>
        <w:t>（二）主要人员简历表</w:t>
      </w:r>
    </w:p>
    <w:p>
      <w:pPr>
        <w:spacing w:line="420" w:lineRule="exact"/>
        <w:rPr>
          <w:rFonts w:hAnsi="宋体" w:cs="宋体"/>
          <w:sz w:val="28"/>
          <w:szCs w:val="28"/>
        </w:rPr>
      </w:pPr>
      <w:r>
        <w:rPr>
          <w:rFonts w:hint="eastAsia" w:hAnsi="宋体" w:cs="宋体"/>
          <w:sz w:val="28"/>
          <w:szCs w:val="28"/>
        </w:rPr>
        <w:t>附1：项目负责人（项目经理）简历表</w:t>
      </w:r>
    </w:p>
    <w:p>
      <w:pPr>
        <w:spacing w:line="420" w:lineRule="exact"/>
        <w:ind w:firstLine="480" w:firstLineChars="200"/>
        <w:rPr>
          <w:rFonts w:hAnsi="宋体" w:cs="宋体"/>
          <w:sz w:val="24"/>
          <w:szCs w:val="24"/>
        </w:rPr>
      </w:pPr>
      <w:r>
        <w:rPr>
          <w:rFonts w:hint="eastAsia" w:hAnsi="宋体" w:cs="宋体"/>
          <w:sz w:val="24"/>
          <w:szCs w:val="24"/>
        </w:rPr>
        <w:t>项目负责人（项目经理）应附项目负责人（项目经理）执业资格证书、注册证书、安全生产考核合格证书、身份证、职称证、学历证、养老保险原件扫描件或图片，管理过的项目业绩须附中标通知书和合同协议书或合同协议书和工程竣工验收备案表（或工程竣工验收证书）原件扫描件或图片。类似项目限于以项目负责人（项目经理）身份参与的项目。</w:t>
      </w:r>
    </w:p>
    <w:p>
      <w:pPr>
        <w:spacing w:line="420" w:lineRule="exact"/>
        <w:rPr>
          <w:rFonts w:hAnsi="宋体" w:cs="宋体"/>
          <w:sz w:val="24"/>
        </w:rPr>
      </w:pP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1001"/>
        <w:gridCol w:w="1204"/>
        <w:gridCol w:w="1355"/>
        <w:gridCol w:w="195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261" w:type="dxa"/>
            <w:vAlign w:val="center"/>
          </w:tcPr>
          <w:p>
            <w:pPr>
              <w:spacing w:line="360" w:lineRule="auto"/>
              <w:jc w:val="center"/>
              <w:rPr>
                <w:rFonts w:hAnsi="宋体" w:cs="宋体"/>
                <w:sz w:val="24"/>
              </w:rPr>
            </w:pPr>
            <w:r>
              <w:rPr>
                <w:rFonts w:hint="eastAsia" w:hAnsi="宋体" w:cs="宋体"/>
                <w:sz w:val="24"/>
              </w:rPr>
              <w:t>姓  名</w:t>
            </w:r>
          </w:p>
        </w:tc>
        <w:tc>
          <w:tcPr>
            <w:tcW w:w="1001" w:type="dxa"/>
            <w:vAlign w:val="center"/>
          </w:tcPr>
          <w:p>
            <w:pPr>
              <w:spacing w:line="360" w:lineRule="auto"/>
              <w:jc w:val="center"/>
              <w:rPr>
                <w:rFonts w:hAnsi="宋体" w:cs="宋体"/>
                <w:sz w:val="24"/>
              </w:rPr>
            </w:pPr>
          </w:p>
        </w:tc>
        <w:tc>
          <w:tcPr>
            <w:tcW w:w="1204" w:type="dxa"/>
            <w:vAlign w:val="center"/>
          </w:tcPr>
          <w:p>
            <w:pPr>
              <w:spacing w:line="360" w:lineRule="auto"/>
              <w:jc w:val="center"/>
              <w:rPr>
                <w:rFonts w:hAnsi="宋体" w:cs="宋体"/>
                <w:sz w:val="24"/>
              </w:rPr>
            </w:pPr>
            <w:r>
              <w:rPr>
                <w:rFonts w:hint="eastAsia" w:hAnsi="宋体" w:cs="宋体"/>
                <w:sz w:val="24"/>
              </w:rPr>
              <w:t>年  龄</w:t>
            </w:r>
          </w:p>
        </w:tc>
        <w:tc>
          <w:tcPr>
            <w:tcW w:w="1355" w:type="dxa"/>
            <w:vAlign w:val="center"/>
          </w:tcPr>
          <w:p>
            <w:pPr>
              <w:spacing w:line="360" w:lineRule="auto"/>
              <w:jc w:val="center"/>
              <w:rPr>
                <w:rFonts w:hAnsi="宋体" w:cs="宋体"/>
                <w:sz w:val="24"/>
              </w:rPr>
            </w:pPr>
          </w:p>
        </w:tc>
        <w:tc>
          <w:tcPr>
            <w:tcW w:w="1959" w:type="dxa"/>
            <w:vAlign w:val="center"/>
          </w:tcPr>
          <w:p>
            <w:pPr>
              <w:spacing w:line="360" w:lineRule="auto"/>
              <w:jc w:val="center"/>
              <w:rPr>
                <w:rFonts w:hAnsi="宋体" w:cs="宋体"/>
                <w:sz w:val="24"/>
              </w:rPr>
            </w:pPr>
            <w:r>
              <w:rPr>
                <w:rFonts w:hint="eastAsia" w:hAnsi="宋体" w:cs="宋体"/>
                <w:sz w:val="24"/>
              </w:rPr>
              <w:t>学历</w:t>
            </w:r>
          </w:p>
        </w:tc>
        <w:tc>
          <w:tcPr>
            <w:tcW w:w="2259" w:type="dxa"/>
            <w:vAlign w:val="center"/>
          </w:tcPr>
          <w:p>
            <w:pPr>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261" w:type="dxa"/>
            <w:vAlign w:val="center"/>
          </w:tcPr>
          <w:p>
            <w:pPr>
              <w:spacing w:line="360" w:lineRule="auto"/>
              <w:jc w:val="center"/>
              <w:rPr>
                <w:rFonts w:hAnsi="宋体" w:cs="宋体"/>
                <w:sz w:val="24"/>
              </w:rPr>
            </w:pPr>
            <w:r>
              <w:rPr>
                <w:rFonts w:hint="eastAsia" w:hAnsi="宋体" w:cs="宋体"/>
                <w:sz w:val="24"/>
              </w:rPr>
              <w:t>职  称</w:t>
            </w:r>
          </w:p>
        </w:tc>
        <w:tc>
          <w:tcPr>
            <w:tcW w:w="1001" w:type="dxa"/>
            <w:vAlign w:val="center"/>
          </w:tcPr>
          <w:p>
            <w:pPr>
              <w:spacing w:line="360" w:lineRule="auto"/>
              <w:jc w:val="center"/>
              <w:rPr>
                <w:rFonts w:hAnsi="宋体" w:cs="宋体"/>
                <w:sz w:val="24"/>
              </w:rPr>
            </w:pPr>
          </w:p>
        </w:tc>
        <w:tc>
          <w:tcPr>
            <w:tcW w:w="1204" w:type="dxa"/>
            <w:vAlign w:val="center"/>
          </w:tcPr>
          <w:p>
            <w:pPr>
              <w:spacing w:line="360" w:lineRule="auto"/>
              <w:jc w:val="center"/>
              <w:rPr>
                <w:rFonts w:hAnsi="宋体" w:cs="宋体"/>
                <w:sz w:val="24"/>
              </w:rPr>
            </w:pPr>
            <w:r>
              <w:rPr>
                <w:rFonts w:hint="eastAsia" w:hAnsi="宋体" w:cs="宋体"/>
                <w:sz w:val="24"/>
              </w:rPr>
              <w:t>职  务</w:t>
            </w:r>
          </w:p>
        </w:tc>
        <w:tc>
          <w:tcPr>
            <w:tcW w:w="1355" w:type="dxa"/>
            <w:vAlign w:val="center"/>
          </w:tcPr>
          <w:p>
            <w:pPr>
              <w:spacing w:line="360" w:lineRule="auto"/>
              <w:jc w:val="center"/>
              <w:rPr>
                <w:rFonts w:hAnsi="宋体" w:cs="宋体"/>
                <w:sz w:val="24"/>
              </w:rPr>
            </w:pPr>
          </w:p>
        </w:tc>
        <w:tc>
          <w:tcPr>
            <w:tcW w:w="1959" w:type="dxa"/>
            <w:vAlign w:val="center"/>
          </w:tcPr>
          <w:p>
            <w:pPr>
              <w:spacing w:line="360" w:lineRule="auto"/>
              <w:jc w:val="center"/>
              <w:rPr>
                <w:rFonts w:hAnsi="宋体" w:cs="宋体"/>
                <w:sz w:val="24"/>
              </w:rPr>
            </w:pPr>
            <w:r>
              <w:rPr>
                <w:rFonts w:hint="eastAsia" w:hAnsi="宋体" w:cs="宋体"/>
                <w:sz w:val="24"/>
              </w:rPr>
              <w:t>拟在本工程任职</w:t>
            </w:r>
          </w:p>
        </w:tc>
        <w:tc>
          <w:tcPr>
            <w:tcW w:w="2259" w:type="dxa"/>
            <w:vAlign w:val="center"/>
          </w:tcPr>
          <w:p>
            <w:pPr>
              <w:jc w:val="center"/>
              <w:rPr>
                <w:rFonts w:hAnsi="宋体" w:cs="宋体"/>
                <w:sz w:val="24"/>
              </w:rPr>
            </w:pPr>
            <w:r>
              <w:rPr>
                <w:rFonts w:hint="eastAsia" w:hAnsi="宋体" w:cs="宋体"/>
                <w:sz w:val="24"/>
              </w:rPr>
              <w:t>项目负责人（项目经理）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466" w:type="dxa"/>
            <w:gridSpan w:val="3"/>
            <w:vAlign w:val="center"/>
          </w:tcPr>
          <w:p>
            <w:pPr>
              <w:spacing w:line="360" w:lineRule="auto"/>
              <w:jc w:val="center"/>
              <w:rPr>
                <w:rFonts w:hAnsi="宋体" w:cs="宋体"/>
                <w:sz w:val="24"/>
              </w:rPr>
            </w:pPr>
            <w:r>
              <w:rPr>
                <w:rFonts w:hint="eastAsia" w:hAnsi="宋体" w:cs="宋体"/>
                <w:sz w:val="24"/>
              </w:rPr>
              <w:t>注册建造师执业资格等级</w:t>
            </w:r>
          </w:p>
        </w:tc>
        <w:tc>
          <w:tcPr>
            <w:tcW w:w="1355" w:type="dxa"/>
            <w:vAlign w:val="center"/>
          </w:tcPr>
          <w:p>
            <w:pPr>
              <w:spacing w:line="360" w:lineRule="auto"/>
              <w:jc w:val="center"/>
              <w:rPr>
                <w:rFonts w:hAnsi="宋体" w:cs="宋体"/>
                <w:sz w:val="24"/>
              </w:rPr>
            </w:pPr>
            <w:r>
              <w:rPr>
                <w:rFonts w:hint="eastAsia" w:hAnsi="宋体" w:cs="宋体"/>
                <w:sz w:val="24"/>
              </w:rPr>
              <w:t>级</w:t>
            </w:r>
          </w:p>
        </w:tc>
        <w:tc>
          <w:tcPr>
            <w:tcW w:w="1959" w:type="dxa"/>
            <w:vAlign w:val="center"/>
          </w:tcPr>
          <w:p>
            <w:pPr>
              <w:spacing w:line="360" w:lineRule="auto"/>
              <w:jc w:val="center"/>
              <w:rPr>
                <w:rFonts w:hAnsi="宋体" w:cs="宋体"/>
                <w:sz w:val="24"/>
              </w:rPr>
            </w:pPr>
            <w:r>
              <w:rPr>
                <w:rFonts w:hint="eastAsia" w:hAnsi="宋体" w:cs="宋体"/>
                <w:sz w:val="24"/>
              </w:rPr>
              <w:t>建造师专业</w:t>
            </w:r>
          </w:p>
        </w:tc>
        <w:tc>
          <w:tcPr>
            <w:tcW w:w="2259" w:type="dxa"/>
            <w:vAlign w:val="center"/>
          </w:tcPr>
          <w:p>
            <w:pPr>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466" w:type="dxa"/>
            <w:gridSpan w:val="3"/>
            <w:vAlign w:val="center"/>
          </w:tcPr>
          <w:p>
            <w:pPr>
              <w:spacing w:line="360" w:lineRule="auto"/>
              <w:jc w:val="center"/>
              <w:rPr>
                <w:rFonts w:hAnsi="宋体" w:cs="宋体"/>
                <w:sz w:val="24"/>
              </w:rPr>
            </w:pPr>
            <w:r>
              <w:rPr>
                <w:rFonts w:hint="eastAsia" w:hAnsi="宋体" w:cs="宋体"/>
                <w:sz w:val="24"/>
              </w:rPr>
              <w:t>安全生产考核合格证书</w:t>
            </w:r>
          </w:p>
        </w:tc>
        <w:tc>
          <w:tcPr>
            <w:tcW w:w="5573" w:type="dxa"/>
            <w:gridSpan w:val="3"/>
            <w:vAlign w:val="center"/>
          </w:tcPr>
          <w:p>
            <w:pPr>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261" w:type="dxa"/>
            <w:vAlign w:val="center"/>
          </w:tcPr>
          <w:p>
            <w:pPr>
              <w:spacing w:line="360" w:lineRule="auto"/>
              <w:jc w:val="center"/>
              <w:rPr>
                <w:rFonts w:hAnsi="宋体" w:cs="宋体"/>
                <w:sz w:val="24"/>
              </w:rPr>
            </w:pPr>
            <w:r>
              <w:rPr>
                <w:rFonts w:hint="eastAsia" w:hAnsi="宋体" w:cs="宋体"/>
                <w:sz w:val="24"/>
              </w:rPr>
              <w:t>毕业学校</w:t>
            </w:r>
          </w:p>
        </w:tc>
        <w:tc>
          <w:tcPr>
            <w:tcW w:w="7778" w:type="dxa"/>
            <w:gridSpan w:val="5"/>
            <w:vAlign w:val="center"/>
          </w:tcPr>
          <w:p>
            <w:pPr>
              <w:spacing w:line="360" w:lineRule="auto"/>
              <w:ind w:firstLine="480" w:firstLineChars="200"/>
              <w:rPr>
                <w:rFonts w:hAnsi="宋体" w:cs="宋体"/>
                <w:sz w:val="24"/>
              </w:rPr>
            </w:pPr>
            <w:r>
              <w:rPr>
                <w:rFonts w:hint="eastAsia" w:hAnsi="宋体" w:cs="宋体"/>
                <w:sz w:val="24"/>
              </w:rPr>
              <w:t>年毕业于学校专业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9039" w:type="dxa"/>
            <w:gridSpan w:val="6"/>
            <w:vAlign w:val="center"/>
          </w:tcPr>
          <w:p>
            <w:pPr>
              <w:spacing w:line="360" w:lineRule="auto"/>
              <w:jc w:val="center"/>
              <w:rPr>
                <w:rFonts w:hAnsi="宋体" w:cs="宋体"/>
                <w:sz w:val="24"/>
              </w:rPr>
            </w:pPr>
            <w:r>
              <w:rPr>
                <w:rFonts w:hint="eastAsia" w:hAnsi="宋体" w:cs="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261" w:type="dxa"/>
            <w:vAlign w:val="center"/>
          </w:tcPr>
          <w:p>
            <w:pPr>
              <w:spacing w:line="360" w:lineRule="auto"/>
              <w:jc w:val="center"/>
              <w:rPr>
                <w:rFonts w:hAnsi="宋体" w:cs="宋体"/>
                <w:sz w:val="24"/>
              </w:rPr>
            </w:pPr>
            <w:r>
              <w:rPr>
                <w:rFonts w:hint="eastAsia" w:hAnsi="宋体" w:cs="宋体"/>
                <w:sz w:val="24"/>
              </w:rPr>
              <w:t>时  间</w:t>
            </w:r>
          </w:p>
        </w:tc>
        <w:tc>
          <w:tcPr>
            <w:tcW w:w="3560" w:type="dxa"/>
            <w:gridSpan w:val="3"/>
            <w:vAlign w:val="center"/>
          </w:tcPr>
          <w:p>
            <w:pPr>
              <w:spacing w:line="360" w:lineRule="auto"/>
              <w:jc w:val="center"/>
              <w:rPr>
                <w:rFonts w:hAnsi="宋体" w:cs="宋体"/>
                <w:sz w:val="24"/>
              </w:rPr>
            </w:pPr>
            <w:r>
              <w:rPr>
                <w:rFonts w:hint="eastAsia" w:hAnsi="宋体" w:cs="宋体"/>
                <w:sz w:val="24"/>
              </w:rPr>
              <w:t>参加过的类似项目名称</w:t>
            </w:r>
          </w:p>
        </w:tc>
        <w:tc>
          <w:tcPr>
            <w:tcW w:w="1959" w:type="dxa"/>
            <w:vAlign w:val="center"/>
          </w:tcPr>
          <w:p>
            <w:pPr>
              <w:spacing w:line="360" w:lineRule="auto"/>
              <w:jc w:val="center"/>
              <w:rPr>
                <w:rFonts w:hAnsi="宋体" w:cs="宋体"/>
                <w:sz w:val="24"/>
              </w:rPr>
            </w:pPr>
            <w:r>
              <w:rPr>
                <w:rFonts w:hint="eastAsia" w:hAnsi="宋体" w:cs="宋体"/>
                <w:sz w:val="24"/>
              </w:rPr>
              <w:t>工程概况说明</w:t>
            </w:r>
          </w:p>
        </w:tc>
        <w:tc>
          <w:tcPr>
            <w:tcW w:w="2259" w:type="dxa"/>
            <w:vAlign w:val="center"/>
          </w:tcPr>
          <w:p>
            <w:pPr>
              <w:spacing w:line="360" w:lineRule="auto"/>
              <w:jc w:val="center"/>
              <w:rPr>
                <w:rFonts w:hAnsi="宋体" w:cs="宋体"/>
                <w:sz w:val="24"/>
              </w:rPr>
            </w:pPr>
            <w:r>
              <w:rPr>
                <w:rFonts w:hint="eastAsia" w:hAnsi="宋体" w:cs="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261" w:type="dxa"/>
            <w:vAlign w:val="center"/>
          </w:tcPr>
          <w:p>
            <w:pPr>
              <w:spacing w:line="360" w:lineRule="auto"/>
              <w:jc w:val="center"/>
              <w:rPr>
                <w:rFonts w:hAnsi="宋体" w:cs="宋体"/>
                <w:sz w:val="24"/>
              </w:rPr>
            </w:pPr>
          </w:p>
        </w:tc>
        <w:tc>
          <w:tcPr>
            <w:tcW w:w="3560" w:type="dxa"/>
            <w:gridSpan w:val="3"/>
            <w:vAlign w:val="center"/>
          </w:tcPr>
          <w:p>
            <w:pPr>
              <w:spacing w:line="360" w:lineRule="auto"/>
              <w:jc w:val="center"/>
              <w:rPr>
                <w:rFonts w:hAnsi="宋体" w:cs="宋体"/>
                <w:sz w:val="24"/>
              </w:rPr>
            </w:pPr>
          </w:p>
        </w:tc>
        <w:tc>
          <w:tcPr>
            <w:tcW w:w="1959" w:type="dxa"/>
            <w:vAlign w:val="center"/>
          </w:tcPr>
          <w:p>
            <w:pPr>
              <w:spacing w:line="360" w:lineRule="auto"/>
              <w:jc w:val="center"/>
              <w:rPr>
                <w:rFonts w:hAnsi="宋体" w:cs="宋体"/>
                <w:sz w:val="24"/>
              </w:rPr>
            </w:pPr>
          </w:p>
        </w:tc>
        <w:tc>
          <w:tcPr>
            <w:tcW w:w="2259" w:type="dxa"/>
            <w:vAlign w:val="center"/>
          </w:tcPr>
          <w:p>
            <w:pPr>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261" w:type="dxa"/>
            <w:vAlign w:val="center"/>
          </w:tcPr>
          <w:p>
            <w:pPr>
              <w:spacing w:line="360" w:lineRule="auto"/>
              <w:jc w:val="center"/>
              <w:rPr>
                <w:rFonts w:hAnsi="宋体" w:cs="宋体"/>
                <w:sz w:val="24"/>
              </w:rPr>
            </w:pPr>
          </w:p>
        </w:tc>
        <w:tc>
          <w:tcPr>
            <w:tcW w:w="3560" w:type="dxa"/>
            <w:gridSpan w:val="3"/>
            <w:vAlign w:val="center"/>
          </w:tcPr>
          <w:p>
            <w:pPr>
              <w:spacing w:line="360" w:lineRule="auto"/>
              <w:jc w:val="center"/>
              <w:rPr>
                <w:rFonts w:hAnsi="宋体" w:cs="宋体"/>
                <w:sz w:val="24"/>
              </w:rPr>
            </w:pPr>
          </w:p>
        </w:tc>
        <w:tc>
          <w:tcPr>
            <w:tcW w:w="1959" w:type="dxa"/>
            <w:vAlign w:val="center"/>
          </w:tcPr>
          <w:p>
            <w:pPr>
              <w:spacing w:line="360" w:lineRule="auto"/>
              <w:jc w:val="center"/>
              <w:rPr>
                <w:rFonts w:hAnsi="宋体" w:cs="宋体"/>
                <w:sz w:val="24"/>
              </w:rPr>
            </w:pPr>
          </w:p>
        </w:tc>
        <w:tc>
          <w:tcPr>
            <w:tcW w:w="2259" w:type="dxa"/>
            <w:vAlign w:val="center"/>
          </w:tcPr>
          <w:p>
            <w:pPr>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261" w:type="dxa"/>
            <w:vAlign w:val="center"/>
          </w:tcPr>
          <w:p>
            <w:pPr>
              <w:spacing w:line="360" w:lineRule="auto"/>
              <w:jc w:val="center"/>
              <w:rPr>
                <w:rFonts w:hAnsi="宋体" w:cs="宋体"/>
                <w:sz w:val="24"/>
              </w:rPr>
            </w:pPr>
          </w:p>
        </w:tc>
        <w:tc>
          <w:tcPr>
            <w:tcW w:w="3560" w:type="dxa"/>
            <w:gridSpan w:val="3"/>
            <w:vAlign w:val="center"/>
          </w:tcPr>
          <w:p>
            <w:pPr>
              <w:spacing w:line="360" w:lineRule="auto"/>
              <w:jc w:val="center"/>
              <w:rPr>
                <w:rFonts w:hAnsi="宋体" w:cs="宋体"/>
                <w:sz w:val="24"/>
              </w:rPr>
            </w:pPr>
          </w:p>
        </w:tc>
        <w:tc>
          <w:tcPr>
            <w:tcW w:w="1959" w:type="dxa"/>
            <w:vAlign w:val="center"/>
          </w:tcPr>
          <w:p>
            <w:pPr>
              <w:spacing w:line="360" w:lineRule="auto"/>
              <w:jc w:val="center"/>
              <w:rPr>
                <w:rFonts w:hAnsi="宋体" w:cs="宋体"/>
                <w:sz w:val="24"/>
              </w:rPr>
            </w:pPr>
          </w:p>
        </w:tc>
        <w:tc>
          <w:tcPr>
            <w:tcW w:w="2259" w:type="dxa"/>
            <w:vAlign w:val="center"/>
          </w:tcPr>
          <w:p>
            <w:pPr>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261" w:type="dxa"/>
            <w:vAlign w:val="center"/>
          </w:tcPr>
          <w:p>
            <w:pPr>
              <w:spacing w:line="360" w:lineRule="auto"/>
              <w:jc w:val="center"/>
              <w:rPr>
                <w:rFonts w:hAnsi="宋体" w:cs="宋体"/>
                <w:sz w:val="24"/>
              </w:rPr>
            </w:pPr>
          </w:p>
        </w:tc>
        <w:tc>
          <w:tcPr>
            <w:tcW w:w="3560" w:type="dxa"/>
            <w:gridSpan w:val="3"/>
            <w:vAlign w:val="center"/>
          </w:tcPr>
          <w:p>
            <w:pPr>
              <w:spacing w:line="360" w:lineRule="auto"/>
              <w:jc w:val="center"/>
              <w:rPr>
                <w:rFonts w:hAnsi="宋体" w:cs="宋体"/>
                <w:sz w:val="24"/>
              </w:rPr>
            </w:pPr>
          </w:p>
        </w:tc>
        <w:tc>
          <w:tcPr>
            <w:tcW w:w="1959" w:type="dxa"/>
            <w:vAlign w:val="center"/>
          </w:tcPr>
          <w:p>
            <w:pPr>
              <w:spacing w:line="360" w:lineRule="auto"/>
              <w:jc w:val="center"/>
              <w:rPr>
                <w:rFonts w:hAnsi="宋体" w:cs="宋体"/>
                <w:sz w:val="24"/>
              </w:rPr>
            </w:pPr>
          </w:p>
        </w:tc>
        <w:tc>
          <w:tcPr>
            <w:tcW w:w="2259" w:type="dxa"/>
            <w:vAlign w:val="center"/>
          </w:tcPr>
          <w:p>
            <w:pPr>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261" w:type="dxa"/>
            <w:vAlign w:val="center"/>
          </w:tcPr>
          <w:p>
            <w:pPr>
              <w:spacing w:line="360" w:lineRule="auto"/>
              <w:jc w:val="center"/>
              <w:rPr>
                <w:rFonts w:hAnsi="宋体" w:cs="宋体"/>
                <w:sz w:val="24"/>
              </w:rPr>
            </w:pPr>
          </w:p>
        </w:tc>
        <w:tc>
          <w:tcPr>
            <w:tcW w:w="3560" w:type="dxa"/>
            <w:gridSpan w:val="3"/>
            <w:vAlign w:val="center"/>
          </w:tcPr>
          <w:p>
            <w:pPr>
              <w:spacing w:line="360" w:lineRule="auto"/>
              <w:jc w:val="center"/>
              <w:rPr>
                <w:rFonts w:hAnsi="宋体" w:cs="宋体"/>
                <w:sz w:val="24"/>
              </w:rPr>
            </w:pPr>
          </w:p>
        </w:tc>
        <w:tc>
          <w:tcPr>
            <w:tcW w:w="1959" w:type="dxa"/>
            <w:vAlign w:val="center"/>
          </w:tcPr>
          <w:p>
            <w:pPr>
              <w:spacing w:line="360" w:lineRule="auto"/>
              <w:jc w:val="center"/>
              <w:rPr>
                <w:rFonts w:hAnsi="宋体" w:cs="宋体"/>
                <w:sz w:val="24"/>
              </w:rPr>
            </w:pPr>
          </w:p>
        </w:tc>
        <w:tc>
          <w:tcPr>
            <w:tcW w:w="2259" w:type="dxa"/>
            <w:vAlign w:val="center"/>
          </w:tcPr>
          <w:p>
            <w:pPr>
              <w:spacing w:line="360" w:lineRule="auto"/>
              <w:jc w:val="center"/>
              <w:rPr>
                <w:rFonts w:hAnsi="宋体" w:cs="宋体"/>
                <w:sz w:val="24"/>
              </w:rPr>
            </w:pPr>
          </w:p>
        </w:tc>
      </w:tr>
    </w:tbl>
    <w:p>
      <w:pPr>
        <w:spacing w:line="420" w:lineRule="exact"/>
        <w:rPr>
          <w:rFonts w:hAnsi="宋体" w:cs="宋体"/>
          <w:sz w:val="28"/>
          <w:szCs w:val="28"/>
        </w:rPr>
      </w:pPr>
      <w:r>
        <w:rPr>
          <w:rFonts w:hint="eastAsia" w:hAnsi="宋体" w:cs="宋体"/>
          <w:szCs w:val="21"/>
        </w:rPr>
        <w:br w:type="page"/>
      </w:r>
      <w:r>
        <w:rPr>
          <w:rFonts w:hint="eastAsia" w:hAnsi="宋体" w:cs="宋体"/>
          <w:sz w:val="28"/>
          <w:szCs w:val="28"/>
        </w:rPr>
        <w:t>附2：主要项目管理人员简历表</w:t>
      </w:r>
    </w:p>
    <w:p>
      <w:pPr>
        <w:spacing w:line="420" w:lineRule="exact"/>
        <w:ind w:firstLine="480" w:firstLineChars="200"/>
        <w:rPr>
          <w:rFonts w:hAnsi="宋体" w:cs="宋体"/>
          <w:sz w:val="24"/>
          <w:szCs w:val="24"/>
        </w:rPr>
      </w:pPr>
      <w:r>
        <w:rPr>
          <w:rFonts w:hint="eastAsia" w:hAnsi="宋体" w:cs="宋体"/>
          <w:sz w:val="24"/>
          <w:szCs w:val="24"/>
        </w:rPr>
        <w:t>主要项目管理人员是指项目副经理、技术负责人、专职安全生产管理员等岗位人员。应附注册资格证书、身份证、职称证、学历证、养老保险原件扫描件或图片，专职安全生产管理人员应附安全生产考核合格证书，主要业绩须附合同协议书。</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276" w:lineRule="auto"/>
              <w:rPr>
                <w:rFonts w:hAnsi="宋体" w:cs="宋体"/>
                <w:sz w:val="24"/>
              </w:rPr>
            </w:pPr>
            <w:r>
              <w:rPr>
                <w:rFonts w:hint="eastAsia" w:hAnsi="宋体" w:cs="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276" w:lineRule="auto"/>
              <w:rPr>
                <w:rFonts w:hAnsi="宋体" w:cs="宋体"/>
                <w:sz w:val="24"/>
              </w:rPr>
            </w:pPr>
            <w:r>
              <w:rPr>
                <w:rFonts w:hint="eastAsia" w:hAnsi="宋体" w:cs="宋体"/>
                <w:sz w:val="24"/>
              </w:rPr>
              <w:t>姓    名</w:t>
            </w:r>
          </w:p>
        </w:tc>
        <w:tc>
          <w:tcPr>
            <w:tcW w:w="4458" w:type="dxa"/>
            <w:tcBorders>
              <w:left w:val="nil"/>
            </w:tcBorders>
            <w:vAlign w:val="center"/>
          </w:tcPr>
          <w:p>
            <w:pPr>
              <w:spacing w:line="276" w:lineRule="auto"/>
              <w:rPr>
                <w:rFonts w:hAnsi="宋体" w:cs="宋体"/>
                <w:sz w:val="24"/>
              </w:rPr>
            </w:pPr>
            <w:r>
              <w:rPr>
                <w:rFonts w:hint="eastAsia" w:hAnsi="宋体" w:cs="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226" w:type="dxa"/>
            <w:gridSpan w:val="2"/>
            <w:vAlign w:val="center"/>
          </w:tcPr>
          <w:p>
            <w:pPr>
              <w:spacing w:line="276" w:lineRule="auto"/>
              <w:rPr>
                <w:rFonts w:hAnsi="宋体" w:cs="宋体"/>
                <w:sz w:val="24"/>
              </w:rPr>
            </w:pPr>
            <w:r>
              <w:rPr>
                <w:rFonts w:hint="eastAsia" w:hAnsi="宋体" w:cs="宋体"/>
                <w:sz w:val="24"/>
              </w:rPr>
              <w:t>性    别</w:t>
            </w:r>
          </w:p>
        </w:tc>
        <w:tc>
          <w:tcPr>
            <w:tcW w:w="4458" w:type="dxa"/>
            <w:vAlign w:val="center"/>
          </w:tcPr>
          <w:p>
            <w:pPr>
              <w:spacing w:line="276" w:lineRule="auto"/>
              <w:rPr>
                <w:rFonts w:hAnsi="宋体" w:cs="宋体"/>
                <w:sz w:val="24"/>
              </w:rPr>
            </w:pPr>
            <w:r>
              <w:rPr>
                <w:rFonts w:hint="eastAsia" w:hAnsi="宋体" w:cs="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226" w:type="dxa"/>
            <w:gridSpan w:val="2"/>
            <w:vAlign w:val="center"/>
          </w:tcPr>
          <w:p>
            <w:pPr>
              <w:spacing w:line="276" w:lineRule="auto"/>
              <w:rPr>
                <w:rFonts w:hAnsi="宋体" w:cs="宋体"/>
                <w:sz w:val="24"/>
              </w:rPr>
            </w:pPr>
            <w:r>
              <w:rPr>
                <w:rFonts w:hint="eastAsia" w:hAnsi="宋体" w:cs="宋体"/>
                <w:sz w:val="24"/>
              </w:rPr>
              <w:t>学历和专业</w:t>
            </w:r>
          </w:p>
        </w:tc>
        <w:tc>
          <w:tcPr>
            <w:tcW w:w="4458" w:type="dxa"/>
            <w:vAlign w:val="center"/>
          </w:tcPr>
          <w:p>
            <w:pPr>
              <w:spacing w:line="276" w:lineRule="auto"/>
              <w:rPr>
                <w:rFonts w:hAnsi="宋体" w:cs="宋体"/>
                <w:sz w:val="24"/>
              </w:rPr>
            </w:pPr>
            <w:r>
              <w:rPr>
                <w:rFonts w:hint="eastAsia" w:hAnsi="宋体" w:cs="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226" w:type="dxa"/>
            <w:gridSpan w:val="2"/>
            <w:vAlign w:val="center"/>
          </w:tcPr>
          <w:p>
            <w:pPr>
              <w:spacing w:line="276" w:lineRule="auto"/>
              <w:rPr>
                <w:rFonts w:hAnsi="宋体" w:cs="宋体"/>
                <w:sz w:val="24"/>
              </w:rPr>
            </w:pPr>
            <w:r>
              <w:rPr>
                <w:rFonts w:hint="eastAsia" w:hAnsi="宋体" w:cs="宋体"/>
                <w:sz w:val="24"/>
              </w:rPr>
              <w:t>拥有的执业资格</w:t>
            </w:r>
          </w:p>
        </w:tc>
        <w:tc>
          <w:tcPr>
            <w:tcW w:w="4458" w:type="dxa"/>
            <w:vAlign w:val="center"/>
          </w:tcPr>
          <w:p>
            <w:pPr>
              <w:spacing w:line="276" w:lineRule="auto"/>
              <w:rPr>
                <w:rFonts w:hAnsi="宋体" w:cs="宋体"/>
                <w:sz w:val="24"/>
              </w:rPr>
            </w:pPr>
            <w:r>
              <w:rPr>
                <w:rFonts w:hint="eastAsia" w:hAnsi="宋体" w:cs="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4226" w:type="dxa"/>
            <w:gridSpan w:val="2"/>
            <w:vAlign w:val="center"/>
          </w:tcPr>
          <w:p>
            <w:pPr>
              <w:spacing w:line="276" w:lineRule="auto"/>
              <w:rPr>
                <w:rFonts w:hAnsi="宋体" w:cs="宋体"/>
                <w:sz w:val="24"/>
              </w:rPr>
            </w:pPr>
            <w:r>
              <w:rPr>
                <w:rFonts w:hint="eastAsia" w:hAnsi="宋体" w:cs="宋体"/>
                <w:sz w:val="24"/>
              </w:rPr>
              <w:t>执业资格证书编号</w:t>
            </w:r>
          </w:p>
        </w:tc>
        <w:tc>
          <w:tcPr>
            <w:tcW w:w="4458" w:type="dxa"/>
            <w:vAlign w:val="center"/>
          </w:tcPr>
          <w:p>
            <w:pPr>
              <w:spacing w:line="276" w:lineRule="auto"/>
              <w:rPr>
                <w:rFonts w:hAnsi="宋体" w:cs="宋体"/>
                <w:sz w:val="24"/>
              </w:rPr>
            </w:pPr>
            <w:r>
              <w:rPr>
                <w:rFonts w:hint="eastAsia" w:hAnsi="宋体" w:cs="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atLeast"/>
          <w:jc w:val="center"/>
        </w:trPr>
        <w:tc>
          <w:tcPr>
            <w:tcW w:w="1098" w:type="dxa"/>
            <w:vAlign w:val="center"/>
          </w:tcPr>
          <w:p>
            <w:pPr>
              <w:spacing w:line="276" w:lineRule="auto"/>
              <w:jc w:val="center"/>
              <w:rPr>
                <w:rFonts w:hAnsi="宋体" w:cs="宋体"/>
                <w:sz w:val="24"/>
              </w:rPr>
            </w:pPr>
            <w:r>
              <w:rPr>
                <w:rFonts w:hint="eastAsia" w:hAnsi="宋体" w:cs="宋体"/>
                <w:sz w:val="24"/>
              </w:rPr>
              <w:t>主要</w:t>
            </w:r>
          </w:p>
          <w:p>
            <w:pPr>
              <w:spacing w:line="276" w:lineRule="auto"/>
              <w:jc w:val="center"/>
              <w:rPr>
                <w:rFonts w:hAnsi="宋体" w:cs="宋体"/>
                <w:sz w:val="24"/>
              </w:rPr>
            </w:pPr>
            <w:r>
              <w:rPr>
                <w:rFonts w:hint="eastAsia" w:hAnsi="宋体" w:cs="宋体"/>
                <w:sz w:val="24"/>
              </w:rPr>
              <w:t>工作</w:t>
            </w:r>
          </w:p>
          <w:p>
            <w:pPr>
              <w:spacing w:line="276" w:lineRule="auto"/>
              <w:jc w:val="center"/>
              <w:rPr>
                <w:rFonts w:hAnsi="宋体" w:cs="宋体"/>
                <w:sz w:val="24"/>
              </w:rPr>
            </w:pPr>
            <w:r>
              <w:rPr>
                <w:rFonts w:hint="eastAsia" w:hAnsi="宋体" w:cs="宋体"/>
                <w:sz w:val="24"/>
              </w:rPr>
              <w:t>业绩</w:t>
            </w:r>
          </w:p>
          <w:p>
            <w:pPr>
              <w:spacing w:line="276" w:lineRule="auto"/>
              <w:jc w:val="center"/>
              <w:rPr>
                <w:rFonts w:hAnsi="宋体" w:cs="宋体"/>
                <w:sz w:val="24"/>
              </w:rPr>
            </w:pPr>
            <w:r>
              <w:rPr>
                <w:rFonts w:hint="eastAsia" w:hAnsi="宋体" w:cs="宋体"/>
                <w:sz w:val="24"/>
              </w:rPr>
              <w:t>及担</w:t>
            </w:r>
          </w:p>
          <w:p>
            <w:pPr>
              <w:spacing w:line="276" w:lineRule="auto"/>
              <w:jc w:val="center"/>
              <w:rPr>
                <w:rFonts w:hAnsi="宋体" w:cs="宋体"/>
                <w:sz w:val="24"/>
              </w:rPr>
            </w:pPr>
            <w:r>
              <w:rPr>
                <w:rFonts w:hint="eastAsia" w:hAnsi="宋体" w:cs="宋体"/>
                <w:sz w:val="24"/>
              </w:rPr>
              <w:t>任的</w:t>
            </w:r>
          </w:p>
          <w:p>
            <w:pPr>
              <w:spacing w:line="276" w:lineRule="auto"/>
              <w:jc w:val="center"/>
              <w:rPr>
                <w:rFonts w:hAnsi="宋体" w:cs="宋体"/>
                <w:sz w:val="24"/>
              </w:rPr>
            </w:pPr>
            <w:r>
              <w:rPr>
                <w:rFonts w:hint="eastAsia" w:hAnsi="宋体" w:cs="宋体"/>
                <w:sz w:val="24"/>
              </w:rPr>
              <w:t>主要</w:t>
            </w:r>
          </w:p>
          <w:p>
            <w:pPr>
              <w:spacing w:line="276" w:lineRule="auto"/>
              <w:jc w:val="center"/>
              <w:rPr>
                <w:rFonts w:hAnsi="宋体" w:cs="宋体"/>
                <w:sz w:val="24"/>
              </w:rPr>
            </w:pPr>
            <w:r>
              <w:rPr>
                <w:rFonts w:hint="eastAsia" w:hAnsi="宋体" w:cs="宋体"/>
                <w:sz w:val="24"/>
              </w:rPr>
              <w:t>工作</w:t>
            </w:r>
          </w:p>
        </w:tc>
        <w:tc>
          <w:tcPr>
            <w:tcW w:w="7586" w:type="dxa"/>
            <w:gridSpan w:val="2"/>
            <w:vAlign w:val="center"/>
          </w:tcPr>
          <w:p>
            <w:pPr>
              <w:spacing w:line="276" w:lineRule="auto"/>
              <w:rPr>
                <w:rFonts w:hAnsi="宋体" w:cs="宋体"/>
                <w:sz w:val="24"/>
              </w:rPr>
            </w:pPr>
          </w:p>
        </w:tc>
      </w:tr>
    </w:tbl>
    <w:p>
      <w:pPr>
        <w:rPr>
          <w:rFonts w:hAnsi="宋体" w:cs="宋体"/>
          <w:szCs w:val="21"/>
        </w:rPr>
      </w:pPr>
    </w:p>
    <w:p>
      <w:pPr>
        <w:spacing w:line="420" w:lineRule="exact"/>
        <w:rPr>
          <w:rFonts w:hAnsi="宋体" w:cs="宋体"/>
          <w:sz w:val="28"/>
          <w:szCs w:val="28"/>
        </w:rPr>
      </w:pPr>
      <w:r>
        <w:rPr>
          <w:rFonts w:hint="eastAsia" w:hAnsi="宋体" w:cs="宋体"/>
          <w:sz w:val="28"/>
          <w:szCs w:val="28"/>
        </w:rPr>
        <w:t>附3：承诺书</w:t>
      </w:r>
    </w:p>
    <w:p>
      <w:pPr>
        <w:jc w:val="center"/>
        <w:rPr>
          <w:rFonts w:hAnsi="宋体" w:cs="宋体"/>
          <w:b/>
          <w:bCs/>
          <w:sz w:val="24"/>
        </w:rPr>
      </w:pPr>
      <w:r>
        <w:rPr>
          <w:rFonts w:hint="eastAsia" w:hAnsi="宋体" w:cs="宋体"/>
          <w:b/>
          <w:bCs/>
          <w:sz w:val="24"/>
        </w:rPr>
        <w:t>承诺书</w:t>
      </w:r>
    </w:p>
    <w:p>
      <w:pPr>
        <w:spacing w:line="440" w:lineRule="exact"/>
        <w:rPr>
          <w:rFonts w:hAnsi="宋体" w:cs="宋体"/>
          <w:sz w:val="24"/>
        </w:rPr>
      </w:pPr>
      <w:r>
        <w:rPr>
          <w:rFonts w:hint="eastAsia" w:hAnsi="宋体" w:cs="宋体"/>
          <w:sz w:val="24"/>
        </w:rPr>
        <w:t>（招标人名称）：</w:t>
      </w:r>
    </w:p>
    <w:p>
      <w:pPr>
        <w:spacing w:line="440" w:lineRule="exact"/>
        <w:ind w:firstLine="480" w:firstLineChars="200"/>
        <w:rPr>
          <w:rFonts w:hAnsi="宋体" w:cs="宋体"/>
          <w:sz w:val="24"/>
        </w:rPr>
      </w:pPr>
      <w:r>
        <w:rPr>
          <w:rFonts w:hint="eastAsia" w:hAnsi="宋体" w:cs="宋体"/>
          <w:sz w:val="24"/>
        </w:rPr>
        <w:t>我方在此声明，我方拟派往（项目名称）（以下简称“本工程”）的项目负责人（项目经理）（项目负责人（项目经理）姓名）现阶段没有担任任何在施建设工程项目的项目负责人（项目经理）。</w:t>
      </w:r>
    </w:p>
    <w:p>
      <w:pPr>
        <w:spacing w:line="440" w:lineRule="exact"/>
        <w:ind w:firstLine="480" w:firstLineChars="200"/>
        <w:rPr>
          <w:rFonts w:hAnsi="宋体" w:cs="宋体"/>
          <w:sz w:val="24"/>
        </w:rPr>
      </w:pPr>
      <w:r>
        <w:rPr>
          <w:rFonts w:hint="eastAsia" w:hAnsi="宋体" w:cs="宋体"/>
          <w:sz w:val="24"/>
        </w:rPr>
        <w:t>我方保证上述信息的真实和准确，并愿意承担因我方就此弄虚作假所引起的一切法律后果。</w:t>
      </w:r>
    </w:p>
    <w:p>
      <w:pPr>
        <w:spacing w:line="440" w:lineRule="exact"/>
        <w:ind w:firstLine="480" w:firstLineChars="200"/>
        <w:rPr>
          <w:rFonts w:hAnsi="宋体" w:cs="宋体"/>
          <w:sz w:val="24"/>
        </w:rPr>
      </w:pPr>
      <w:r>
        <w:rPr>
          <w:rFonts w:hint="eastAsia" w:hAnsi="宋体" w:cs="宋体"/>
          <w:sz w:val="24"/>
        </w:rPr>
        <w:t>特此承诺。</w:t>
      </w:r>
    </w:p>
    <w:p>
      <w:pPr>
        <w:spacing w:line="440" w:lineRule="exact"/>
        <w:jc w:val="right"/>
        <w:rPr>
          <w:rFonts w:hAnsi="宋体" w:cs="宋体"/>
          <w:sz w:val="24"/>
        </w:rPr>
      </w:pPr>
      <w:r>
        <w:rPr>
          <w:rFonts w:hint="eastAsia" w:hAnsi="宋体" w:cs="宋体"/>
          <w:sz w:val="24"/>
        </w:rPr>
        <w:t>投标人：（盖单位章）</w:t>
      </w:r>
    </w:p>
    <w:p>
      <w:pPr>
        <w:wordWrap w:val="0"/>
        <w:spacing w:line="440" w:lineRule="exact"/>
        <w:ind w:right="75"/>
        <w:jc w:val="right"/>
        <w:rPr>
          <w:rFonts w:hAnsi="宋体" w:cs="宋体"/>
          <w:sz w:val="24"/>
        </w:rPr>
      </w:pPr>
      <w:r>
        <w:rPr>
          <w:rFonts w:hint="eastAsia" w:hAnsi="宋体" w:cs="宋体"/>
          <w:sz w:val="24"/>
        </w:rPr>
        <w:t xml:space="preserve"> 法定代表人：（签字）</w:t>
      </w:r>
    </w:p>
    <w:p>
      <w:pPr>
        <w:spacing w:line="440" w:lineRule="exact"/>
        <w:jc w:val="right"/>
        <w:rPr>
          <w:rFonts w:hAnsi="宋体" w:cs="宋体"/>
          <w:sz w:val="24"/>
        </w:rPr>
      </w:pPr>
      <w:r>
        <w:rPr>
          <w:rFonts w:hint="eastAsia" w:hAnsi="宋体" w:cs="宋体"/>
          <w:sz w:val="24"/>
        </w:rPr>
        <w:t>年月日</w:t>
      </w:r>
    </w:p>
    <w:p>
      <w:pPr>
        <w:tabs>
          <w:tab w:val="center" w:pos="4739"/>
        </w:tabs>
        <w:spacing w:line="600" w:lineRule="auto"/>
        <w:ind w:left="180"/>
        <w:jc w:val="center"/>
        <w:rPr>
          <w:rFonts w:hAnsi="宋体" w:cs="宋体"/>
          <w:b/>
          <w:sz w:val="32"/>
        </w:rPr>
      </w:pPr>
      <w:r>
        <w:rPr>
          <w:rFonts w:hint="eastAsia" w:hAnsi="宋体" w:cs="宋体"/>
          <w:b/>
          <w:sz w:val="32"/>
        </w:rPr>
        <w:br w:type="page"/>
      </w:r>
      <w:r>
        <w:rPr>
          <w:rFonts w:hint="eastAsia" w:hAnsi="宋体" w:cs="宋体"/>
          <w:b/>
          <w:sz w:val="32"/>
        </w:rPr>
        <w:t>五、投标单位基本情况表</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szCs w:val="24"/>
              </w:rPr>
            </w:pPr>
            <w:r>
              <w:rPr>
                <w:rFonts w:hint="eastAsia" w:hAnsi="宋体" w:cs="宋体"/>
                <w:sz w:val="24"/>
                <w:szCs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szCs w:val="24"/>
              </w:rPr>
            </w:pPr>
            <w:r>
              <w:rPr>
                <w:rFonts w:hint="eastAsia" w:hAnsi="宋体" w:cs="宋体"/>
                <w:sz w:val="24"/>
                <w:szCs w:val="24"/>
              </w:rPr>
              <w:t>注册地址</w:t>
            </w:r>
          </w:p>
        </w:tc>
        <w:tc>
          <w:tcPr>
            <w:tcW w:w="4134" w:type="dxa"/>
            <w:gridSpan w:val="5"/>
            <w:vAlign w:val="center"/>
          </w:tcPr>
          <w:p>
            <w:pPr>
              <w:autoSpaceDE w:val="0"/>
              <w:autoSpaceDN w:val="0"/>
              <w:adjustRightInd w:val="0"/>
              <w:spacing w:line="360" w:lineRule="auto"/>
              <w:ind w:right="215"/>
              <w:jc w:val="center"/>
              <w:rPr>
                <w:rFonts w:hAnsi="宋体" w:cs="宋体"/>
                <w:sz w:val="24"/>
                <w:szCs w:val="24"/>
              </w:rPr>
            </w:pPr>
          </w:p>
        </w:tc>
        <w:tc>
          <w:tcPr>
            <w:tcW w:w="1575" w:type="dxa"/>
            <w:gridSpan w:val="2"/>
            <w:vAlign w:val="center"/>
          </w:tcPr>
          <w:p>
            <w:pPr>
              <w:autoSpaceDE w:val="0"/>
              <w:autoSpaceDN w:val="0"/>
              <w:adjustRightInd w:val="0"/>
              <w:spacing w:line="360" w:lineRule="auto"/>
              <w:ind w:right="215"/>
              <w:jc w:val="center"/>
              <w:rPr>
                <w:rFonts w:hAnsi="宋体" w:cs="宋体"/>
                <w:sz w:val="24"/>
                <w:szCs w:val="24"/>
              </w:rPr>
            </w:pPr>
            <w:r>
              <w:rPr>
                <w:rFonts w:hint="eastAsia" w:hAnsi="宋体" w:cs="宋体"/>
                <w:sz w:val="24"/>
                <w:szCs w:val="24"/>
              </w:rPr>
              <w:t>邮政编码</w:t>
            </w:r>
          </w:p>
        </w:tc>
        <w:tc>
          <w:tcPr>
            <w:tcW w:w="1726" w:type="dxa"/>
            <w:gridSpan w:val="2"/>
            <w:vAlign w:val="center"/>
          </w:tcPr>
          <w:p>
            <w:pPr>
              <w:autoSpaceDE w:val="0"/>
              <w:autoSpaceDN w:val="0"/>
              <w:adjustRightInd w:val="0"/>
              <w:spacing w:line="360" w:lineRule="auto"/>
              <w:ind w:right="215"/>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hAnsi="宋体" w:cs="宋体"/>
                <w:sz w:val="24"/>
                <w:szCs w:val="24"/>
              </w:rPr>
            </w:pPr>
            <w:r>
              <w:rPr>
                <w:rFonts w:hint="eastAsia" w:hAnsi="宋体" w:cs="宋体"/>
                <w:sz w:val="24"/>
                <w:szCs w:val="24"/>
              </w:rPr>
              <w:t>联系方式</w:t>
            </w:r>
          </w:p>
        </w:tc>
        <w:tc>
          <w:tcPr>
            <w:tcW w:w="1205" w:type="dxa"/>
            <w:vAlign w:val="center"/>
          </w:tcPr>
          <w:p>
            <w:pPr>
              <w:autoSpaceDE w:val="0"/>
              <w:autoSpaceDN w:val="0"/>
              <w:adjustRightInd w:val="0"/>
              <w:spacing w:line="360" w:lineRule="auto"/>
              <w:ind w:right="215"/>
              <w:jc w:val="center"/>
              <w:rPr>
                <w:rFonts w:hAnsi="宋体" w:cs="宋体"/>
                <w:sz w:val="24"/>
                <w:szCs w:val="24"/>
              </w:rPr>
            </w:pPr>
            <w:r>
              <w:rPr>
                <w:rFonts w:hint="eastAsia" w:hAnsi="宋体" w:cs="宋体"/>
                <w:sz w:val="24"/>
                <w:szCs w:val="24"/>
              </w:rPr>
              <w:t>联系人</w:t>
            </w:r>
          </w:p>
        </w:tc>
        <w:tc>
          <w:tcPr>
            <w:tcW w:w="2929" w:type="dxa"/>
            <w:gridSpan w:val="4"/>
            <w:vAlign w:val="center"/>
          </w:tcPr>
          <w:p>
            <w:pPr>
              <w:autoSpaceDE w:val="0"/>
              <w:autoSpaceDN w:val="0"/>
              <w:adjustRightInd w:val="0"/>
              <w:spacing w:line="360" w:lineRule="auto"/>
              <w:ind w:right="215"/>
              <w:jc w:val="center"/>
              <w:rPr>
                <w:rFonts w:hAnsi="宋体" w:cs="宋体"/>
                <w:sz w:val="24"/>
                <w:szCs w:val="24"/>
              </w:rPr>
            </w:pPr>
          </w:p>
        </w:tc>
        <w:tc>
          <w:tcPr>
            <w:tcW w:w="1575" w:type="dxa"/>
            <w:gridSpan w:val="2"/>
            <w:vAlign w:val="center"/>
          </w:tcPr>
          <w:p>
            <w:pPr>
              <w:autoSpaceDE w:val="0"/>
              <w:autoSpaceDN w:val="0"/>
              <w:adjustRightInd w:val="0"/>
              <w:spacing w:line="360" w:lineRule="auto"/>
              <w:ind w:right="215"/>
              <w:jc w:val="center"/>
              <w:rPr>
                <w:rFonts w:hAnsi="宋体" w:cs="宋体"/>
                <w:sz w:val="24"/>
                <w:szCs w:val="24"/>
              </w:rPr>
            </w:pPr>
            <w:r>
              <w:rPr>
                <w:rFonts w:hint="eastAsia" w:hAnsi="宋体" w:cs="宋体"/>
                <w:sz w:val="24"/>
                <w:szCs w:val="24"/>
              </w:rPr>
              <w:t>电话</w:t>
            </w:r>
          </w:p>
        </w:tc>
        <w:tc>
          <w:tcPr>
            <w:tcW w:w="1726" w:type="dxa"/>
            <w:gridSpan w:val="2"/>
            <w:vAlign w:val="center"/>
          </w:tcPr>
          <w:p>
            <w:pPr>
              <w:autoSpaceDE w:val="0"/>
              <w:autoSpaceDN w:val="0"/>
              <w:adjustRightInd w:val="0"/>
              <w:spacing w:line="360" w:lineRule="auto"/>
              <w:ind w:right="215"/>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hAnsi="宋体" w:cs="宋体"/>
                <w:sz w:val="24"/>
                <w:szCs w:val="24"/>
              </w:rPr>
            </w:pPr>
          </w:p>
        </w:tc>
        <w:tc>
          <w:tcPr>
            <w:tcW w:w="1205" w:type="dxa"/>
            <w:vAlign w:val="center"/>
          </w:tcPr>
          <w:p>
            <w:pPr>
              <w:autoSpaceDE w:val="0"/>
              <w:autoSpaceDN w:val="0"/>
              <w:adjustRightInd w:val="0"/>
              <w:spacing w:line="360" w:lineRule="auto"/>
              <w:ind w:right="215"/>
              <w:jc w:val="center"/>
              <w:rPr>
                <w:rFonts w:hAnsi="宋体" w:cs="宋体"/>
                <w:sz w:val="24"/>
                <w:szCs w:val="24"/>
              </w:rPr>
            </w:pPr>
            <w:r>
              <w:rPr>
                <w:rFonts w:hint="eastAsia" w:hAnsi="宋体" w:cs="宋体"/>
                <w:sz w:val="24"/>
                <w:szCs w:val="24"/>
              </w:rPr>
              <w:t>传真</w:t>
            </w:r>
          </w:p>
        </w:tc>
        <w:tc>
          <w:tcPr>
            <w:tcW w:w="2929" w:type="dxa"/>
            <w:gridSpan w:val="4"/>
            <w:vAlign w:val="center"/>
          </w:tcPr>
          <w:p>
            <w:pPr>
              <w:autoSpaceDE w:val="0"/>
              <w:autoSpaceDN w:val="0"/>
              <w:adjustRightInd w:val="0"/>
              <w:spacing w:line="360" w:lineRule="auto"/>
              <w:ind w:right="215"/>
              <w:jc w:val="center"/>
              <w:rPr>
                <w:rFonts w:hAnsi="宋体" w:cs="宋体"/>
                <w:sz w:val="24"/>
                <w:szCs w:val="24"/>
              </w:rPr>
            </w:pPr>
          </w:p>
        </w:tc>
        <w:tc>
          <w:tcPr>
            <w:tcW w:w="1575" w:type="dxa"/>
            <w:gridSpan w:val="2"/>
            <w:vAlign w:val="center"/>
          </w:tcPr>
          <w:p>
            <w:pPr>
              <w:autoSpaceDE w:val="0"/>
              <w:autoSpaceDN w:val="0"/>
              <w:adjustRightInd w:val="0"/>
              <w:spacing w:line="360" w:lineRule="auto"/>
              <w:ind w:right="215"/>
              <w:jc w:val="center"/>
              <w:rPr>
                <w:rFonts w:hAnsi="宋体" w:cs="宋体"/>
                <w:sz w:val="24"/>
                <w:szCs w:val="24"/>
              </w:rPr>
            </w:pPr>
            <w:r>
              <w:rPr>
                <w:rFonts w:hint="eastAsia" w:hAnsi="宋体" w:cs="宋体"/>
                <w:sz w:val="24"/>
                <w:szCs w:val="24"/>
              </w:rPr>
              <w:t>网址</w:t>
            </w:r>
          </w:p>
        </w:tc>
        <w:tc>
          <w:tcPr>
            <w:tcW w:w="1726" w:type="dxa"/>
            <w:gridSpan w:val="2"/>
            <w:vAlign w:val="center"/>
          </w:tcPr>
          <w:p>
            <w:pPr>
              <w:autoSpaceDE w:val="0"/>
              <w:autoSpaceDN w:val="0"/>
              <w:adjustRightInd w:val="0"/>
              <w:spacing w:line="360" w:lineRule="auto"/>
              <w:ind w:right="215"/>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szCs w:val="24"/>
              </w:rPr>
            </w:pPr>
            <w:r>
              <w:rPr>
                <w:rFonts w:hint="eastAsia" w:hAnsi="宋体" w:cs="宋体"/>
                <w:sz w:val="24"/>
                <w:szCs w:val="24"/>
              </w:rPr>
              <w:t>组织结构</w:t>
            </w:r>
          </w:p>
        </w:tc>
        <w:tc>
          <w:tcPr>
            <w:tcW w:w="7435" w:type="dxa"/>
            <w:gridSpan w:val="9"/>
            <w:vAlign w:val="center"/>
          </w:tcPr>
          <w:p>
            <w:pPr>
              <w:autoSpaceDE w:val="0"/>
              <w:autoSpaceDN w:val="0"/>
              <w:adjustRightInd w:val="0"/>
              <w:spacing w:line="360" w:lineRule="auto"/>
              <w:ind w:right="215"/>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szCs w:val="24"/>
              </w:rPr>
            </w:pPr>
            <w:r>
              <w:rPr>
                <w:rFonts w:hint="eastAsia" w:hAnsi="宋体" w:cs="宋体"/>
                <w:sz w:val="24"/>
                <w:szCs w:val="24"/>
              </w:rPr>
              <w:t>法定代表人</w:t>
            </w:r>
          </w:p>
        </w:tc>
        <w:tc>
          <w:tcPr>
            <w:tcW w:w="1205" w:type="dxa"/>
            <w:vAlign w:val="center"/>
          </w:tcPr>
          <w:p>
            <w:pPr>
              <w:autoSpaceDE w:val="0"/>
              <w:autoSpaceDN w:val="0"/>
              <w:adjustRightInd w:val="0"/>
              <w:spacing w:line="360" w:lineRule="auto"/>
              <w:ind w:right="215"/>
              <w:jc w:val="center"/>
              <w:rPr>
                <w:rFonts w:hAnsi="宋体" w:cs="宋体"/>
                <w:sz w:val="24"/>
                <w:szCs w:val="24"/>
              </w:rPr>
            </w:pPr>
            <w:r>
              <w:rPr>
                <w:rFonts w:hint="eastAsia" w:hAnsi="宋体" w:cs="宋体"/>
                <w:sz w:val="24"/>
                <w:szCs w:val="24"/>
              </w:rPr>
              <w:t>姓名</w:t>
            </w:r>
          </w:p>
        </w:tc>
        <w:tc>
          <w:tcPr>
            <w:tcW w:w="1205" w:type="dxa"/>
            <w:vAlign w:val="center"/>
          </w:tcPr>
          <w:p>
            <w:pPr>
              <w:autoSpaceDE w:val="0"/>
              <w:autoSpaceDN w:val="0"/>
              <w:adjustRightInd w:val="0"/>
              <w:spacing w:line="360" w:lineRule="auto"/>
              <w:ind w:right="215"/>
              <w:jc w:val="center"/>
              <w:rPr>
                <w:rFonts w:hAnsi="宋体" w:cs="宋体"/>
                <w:sz w:val="24"/>
                <w:szCs w:val="24"/>
              </w:rPr>
            </w:pPr>
          </w:p>
        </w:tc>
        <w:tc>
          <w:tcPr>
            <w:tcW w:w="1689" w:type="dxa"/>
            <w:gridSpan w:val="2"/>
            <w:vAlign w:val="center"/>
          </w:tcPr>
          <w:p>
            <w:pPr>
              <w:autoSpaceDE w:val="0"/>
              <w:autoSpaceDN w:val="0"/>
              <w:adjustRightInd w:val="0"/>
              <w:spacing w:line="360" w:lineRule="auto"/>
              <w:ind w:right="215"/>
              <w:jc w:val="center"/>
              <w:rPr>
                <w:rFonts w:hAnsi="宋体" w:cs="宋体"/>
                <w:sz w:val="24"/>
                <w:szCs w:val="24"/>
              </w:rPr>
            </w:pPr>
            <w:r>
              <w:rPr>
                <w:rFonts w:hint="eastAsia" w:hAnsi="宋体" w:cs="宋体"/>
                <w:sz w:val="24"/>
                <w:szCs w:val="24"/>
              </w:rPr>
              <w:t>技术职称</w:t>
            </w:r>
          </w:p>
        </w:tc>
        <w:tc>
          <w:tcPr>
            <w:tcW w:w="1069" w:type="dxa"/>
            <w:gridSpan w:val="2"/>
            <w:vAlign w:val="center"/>
          </w:tcPr>
          <w:p>
            <w:pPr>
              <w:autoSpaceDE w:val="0"/>
              <w:autoSpaceDN w:val="0"/>
              <w:adjustRightInd w:val="0"/>
              <w:spacing w:line="360" w:lineRule="auto"/>
              <w:ind w:right="215"/>
              <w:jc w:val="center"/>
              <w:rPr>
                <w:rFonts w:hAnsi="宋体" w:cs="宋体"/>
                <w:sz w:val="24"/>
                <w:szCs w:val="24"/>
              </w:rPr>
            </w:pPr>
          </w:p>
        </w:tc>
        <w:tc>
          <w:tcPr>
            <w:tcW w:w="1061" w:type="dxa"/>
            <w:gridSpan w:val="2"/>
            <w:vAlign w:val="center"/>
          </w:tcPr>
          <w:p>
            <w:pPr>
              <w:autoSpaceDE w:val="0"/>
              <w:autoSpaceDN w:val="0"/>
              <w:adjustRightInd w:val="0"/>
              <w:spacing w:line="360" w:lineRule="auto"/>
              <w:ind w:right="215"/>
              <w:jc w:val="center"/>
              <w:rPr>
                <w:rFonts w:hAnsi="宋体" w:cs="宋体"/>
                <w:sz w:val="24"/>
                <w:szCs w:val="24"/>
              </w:rPr>
            </w:pPr>
            <w:r>
              <w:rPr>
                <w:rFonts w:hint="eastAsia" w:hAnsi="宋体" w:cs="宋体"/>
                <w:sz w:val="24"/>
                <w:szCs w:val="24"/>
              </w:rPr>
              <w:t>电话</w:t>
            </w:r>
          </w:p>
        </w:tc>
        <w:tc>
          <w:tcPr>
            <w:tcW w:w="1206" w:type="dxa"/>
            <w:vAlign w:val="center"/>
          </w:tcPr>
          <w:p>
            <w:pPr>
              <w:autoSpaceDE w:val="0"/>
              <w:autoSpaceDN w:val="0"/>
              <w:adjustRightInd w:val="0"/>
              <w:spacing w:line="360" w:lineRule="auto"/>
              <w:ind w:right="215"/>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szCs w:val="24"/>
              </w:rPr>
            </w:pPr>
            <w:r>
              <w:rPr>
                <w:rFonts w:hint="eastAsia" w:hAnsi="宋体" w:cs="宋体"/>
                <w:sz w:val="24"/>
                <w:szCs w:val="24"/>
              </w:rPr>
              <w:t>技术负责人</w:t>
            </w:r>
          </w:p>
        </w:tc>
        <w:tc>
          <w:tcPr>
            <w:tcW w:w="1205" w:type="dxa"/>
            <w:vAlign w:val="center"/>
          </w:tcPr>
          <w:p>
            <w:pPr>
              <w:autoSpaceDE w:val="0"/>
              <w:autoSpaceDN w:val="0"/>
              <w:adjustRightInd w:val="0"/>
              <w:spacing w:line="360" w:lineRule="auto"/>
              <w:ind w:right="215"/>
              <w:jc w:val="center"/>
              <w:rPr>
                <w:rFonts w:hAnsi="宋体" w:cs="宋体"/>
                <w:sz w:val="24"/>
                <w:szCs w:val="24"/>
              </w:rPr>
            </w:pPr>
            <w:r>
              <w:rPr>
                <w:rFonts w:hint="eastAsia" w:hAnsi="宋体" w:cs="宋体"/>
                <w:sz w:val="24"/>
                <w:szCs w:val="24"/>
              </w:rPr>
              <w:t>姓名</w:t>
            </w:r>
          </w:p>
        </w:tc>
        <w:tc>
          <w:tcPr>
            <w:tcW w:w="1205" w:type="dxa"/>
            <w:vAlign w:val="center"/>
          </w:tcPr>
          <w:p>
            <w:pPr>
              <w:autoSpaceDE w:val="0"/>
              <w:autoSpaceDN w:val="0"/>
              <w:adjustRightInd w:val="0"/>
              <w:spacing w:line="360" w:lineRule="auto"/>
              <w:ind w:right="215"/>
              <w:jc w:val="center"/>
              <w:rPr>
                <w:rFonts w:hAnsi="宋体" w:cs="宋体"/>
                <w:sz w:val="24"/>
                <w:szCs w:val="24"/>
              </w:rPr>
            </w:pPr>
          </w:p>
        </w:tc>
        <w:tc>
          <w:tcPr>
            <w:tcW w:w="1689" w:type="dxa"/>
            <w:gridSpan w:val="2"/>
            <w:vAlign w:val="center"/>
          </w:tcPr>
          <w:p>
            <w:pPr>
              <w:autoSpaceDE w:val="0"/>
              <w:autoSpaceDN w:val="0"/>
              <w:adjustRightInd w:val="0"/>
              <w:spacing w:line="360" w:lineRule="auto"/>
              <w:ind w:right="215"/>
              <w:jc w:val="center"/>
              <w:rPr>
                <w:rFonts w:hAnsi="宋体" w:cs="宋体"/>
                <w:sz w:val="24"/>
                <w:szCs w:val="24"/>
              </w:rPr>
            </w:pPr>
            <w:r>
              <w:rPr>
                <w:rFonts w:hint="eastAsia" w:hAnsi="宋体" w:cs="宋体"/>
                <w:sz w:val="24"/>
                <w:szCs w:val="24"/>
              </w:rPr>
              <w:t>技术职称</w:t>
            </w:r>
          </w:p>
        </w:tc>
        <w:tc>
          <w:tcPr>
            <w:tcW w:w="1069" w:type="dxa"/>
            <w:gridSpan w:val="2"/>
            <w:vAlign w:val="center"/>
          </w:tcPr>
          <w:p>
            <w:pPr>
              <w:autoSpaceDE w:val="0"/>
              <w:autoSpaceDN w:val="0"/>
              <w:adjustRightInd w:val="0"/>
              <w:spacing w:line="360" w:lineRule="auto"/>
              <w:ind w:right="215"/>
              <w:jc w:val="center"/>
              <w:rPr>
                <w:rFonts w:hAnsi="宋体" w:cs="宋体"/>
                <w:sz w:val="24"/>
                <w:szCs w:val="24"/>
              </w:rPr>
            </w:pPr>
          </w:p>
        </w:tc>
        <w:tc>
          <w:tcPr>
            <w:tcW w:w="1061" w:type="dxa"/>
            <w:gridSpan w:val="2"/>
            <w:vAlign w:val="center"/>
          </w:tcPr>
          <w:p>
            <w:pPr>
              <w:autoSpaceDE w:val="0"/>
              <w:autoSpaceDN w:val="0"/>
              <w:adjustRightInd w:val="0"/>
              <w:spacing w:line="360" w:lineRule="auto"/>
              <w:ind w:right="215"/>
              <w:jc w:val="center"/>
              <w:rPr>
                <w:rFonts w:hAnsi="宋体" w:cs="宋体"/>
                <w:sz w:val="24"/>
                <w:szCs w:val="24"/>
              </w:rPr>
            </w:pPr>
            <w:r>
              <w:rPr>
                <w:rFonts w:hint="eastAsia" w:hAnsi="宋体" w:cs="宋体"/>
                <w:sz w:val="24"/>
                <w:szCs w:val="24"/>
              </w:rPr>
              <w:t>电话</w:t>
            </w:r>
          </w:p>
        </w:tc>
        <w:tc>
          <w:tcPr>
            <w:tcW w:w="1206" w:type="dxa"/>
            <w:vAlign w:val="center"/>
          </w:tcPr>
          <w:p>
            <w:pPr>
              <w:autoSpaceDE w:val="0"/>
              <w:autoSpaceDN w:val="0"/>
              <w:adjustRightInd w:val="0"/>
              <w:spacing w:line="360" w:lineRule="auto"/>
              <w:ind w:right="215"/>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hAnsi="宋体" w:cs="宋体"/>
                <w:sz w:val="24"/>
                <w:szCs w:val="24"/>
              </w:rPr>
            </w:pPr>
            <w:r>
              <w:rPr>
                <w:rFonts w:hint="eastAsia" w:hAnsi="宋体" w:cs="宋体"/>
                <w:sz w:val="24"/>
                <w:szCs w:val="24"/>
              </w:rPr>
              <w:t>成立时间</w:t>
            </w:r>
          </w:p>
        </w:tc>
        <w:tc>
          <w:tcPr>
            <w:tcW w:w="2410" w:type="dxa"/>
            <w:gridSpan w:val="2"/>
            <w:vAlign w:val="center"/>
          </w:tcPr>
          <w:p>
            <w:pPr>
              <w:autoSpaceDE w:val="0"/>
              <w:autoSpaceDN w:val="0"/>
              <w:adjustRightInd w:val="0"/>
              <w:spacing w:line="360" w:lineRule="auto"/>
              <w:ind w:right="215"/>
              <w:jc w:val="center"/>
              <w:rPr>
                <w:rFonts w:hAnsi="宋体" w:cs="宋体"/>
                <w:sz w:val="24"/>
                <w:szCs w:val="24"/>
              </w:rPr>
            </w:pPr>
          </w:p>
        </w:tc>
        <w:tc>
          <w:tcPr>
            <w:tcW w:w="5025" w:type="dxa"/>
            <w:gridSpan w:val="7"/>
            <w:vAlign w:val="center"/>
          </w:tcPr>
          <w:p>
            <w:pPr>
              <w:autoSpaceDE w:val="0"/>
              <w:autoSpaceDN w:val="0"/>
              <w:adjustRightInd w:val="0"/>
              <w:spacing w:line="360" w:lineRule="auto"/>
              <w:ind w:right="215"/>
              <w:jc w:val="center"/>
              <w:rPr>
                <w:rFonts w:hAnsi="宋体" w:cs="宋体"/>
                <w:sz w:val="24"/>
                <w:szCs w:val="24"/>
              </w:rPr>
            </w:pPr>
            <w:r>
              <w:rPr>
                <w:rFonts w:hint="eastAsia" w:hAnsi="宋体" w:cs="宋体"/>
                <w:sz w:val="24"/>
                <w:szCs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pacing w:val="-20"/>
                <w:sz w:val="24"/>
                <w:szCs w:val="24"/>
              </w:rPr>
            </w:pPr>
            <w:r>
              <w:rPr>
                <w:rFonts w:hint="eastAsia" w:hAnsi="宋体" w:cs="宋体"/>
                <w:spacing w:val="-20"/>
                <w:sz w:val="24"/>
                <w:szCs w:val="24"/>
              </w:rPr>
              <w:t>企业资质等级</w:t>
            </w:r>
          </w:p>
        </w:tc>
        <w:tc>
          <w:tcPr>
            <w:tcW w:w="2410" w:type="dxa"/>
            <w:gridSpan w:val="2"/>
            <w:vAlign w:val="center"/>
          </w:tcPr>
          <w:p>
            <w:pPr>
              <w:autoSpaceDE w:val="0"/>
              <w:autoSpaceDN w:val="0"/>
              <w:adjustRightInd w:val="0"/>
              <w:spacing w:line="360" w:lineRule="auto"/>
              <w:ind w:right="215"/>
              <w:jc w:val="center"/>
              <w:rPr>
                <w:rFonts w:hAnsi="宋体" w:cs="宋体"/>
                <w:sz w:val="24"/>
                <w:szCs w:val="24"/>
              </w:rPr>
            </w:pPr>
          </w:p>
        </w:tc>
        <w:tc>
          <w:tcPr>
            <w:tcW w:w="1205" w:type="dxa"/>
            <w:vMerge w:val="restart"/>
            <w:vAlign w:val="center"/>
          </w:tcPr>
          <w:p>
            <w:pPr>
              <w:autoSpaceDE w:val="0"/>
              <w:autoSpaceDN w:val="0"/>
              <w:adjustRightInd w:val="0"/>
              <w:spacing w:line="360" w:lineRule="auto"/>
              <w:ind w:right="215"/>
              <w:jc w:val="center"/>
              <w:rPr>
                <w:rFonts w:hAnsi="宋体" w:cs="宋体"/>
                <w:sz w:val="24"/>
                <w:szCs w:val="24"/>
              </w:rPr>
            </w:pPr>
            <w:r>
              <w:rPr>
                <w:rFonts w:hint="eastAsia" w:hAnsi="宋体" w:cs="宋体"/>
                <w:sz w:val="24"/>
                <w:szCs w:val="24"/>
              </w:rPr>
              <w:t>其中</w:t>
            </w:r>
          </w:p>
        </w:tc>
        <w:tc>
          <w:tcPr>
            <w:tcW w:w="2614" w:type="dxa"/>
            <w:gridSpan w:val="5"/>
            <w:vAlign w:val="center"/>
          </w:tcPr>
          <w:p>
            <w:pPr>
              <w:autoSpaceDE w:val="0"/>
              <w:autoSpaceDN w:val="0"/>
              <w:adjustRightInd w:val="0"/>
              <w:ind w:right="215"/>
              <w:jc w:val="center"/>
              <w:rPr>
                <w:rFonts w:hAnsi="宋体" w:cs="宋体"/>
                <w:sz w:val="24"/>
                <w:szCs w:val="24"/>
              </w:rPr>
            </w:pPr>
            <w:r>
              <w:rPr>
                <w:rFonts w:hint="eastAsia" w:hAnsi="宋体" w:cs="宋体"/>
                <w:sz w:val="24"/>
                <w:szCs w:val="24"/>
              </w:rPr>
              <w:t>项目负责人（项目经理）</w:t>
            </w:r>
          </w:p>
        </w:tc>
        <w:tc>
          <w:tcPr>
            <w:tcW w:w="1206" w:type="dxa"/>
            <w:vAlign w:val="center"/>
          </w:tcPr>
          <w:p>
            <w:pPr>
              <w:autoSpaceDE w:val="0"/>
              <w:autoSpaceDN w:val="0"/>
              <w:adjustRightInd w:val="0"/>
              <w:spacing w:line="360" w:lineRule="auto"/>
              <w:ind w:right="215"/>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szCs w:val="24"/>
              </w:rPr>
            </w:pPr>
            <w:r>
              <w:rPr>
                <w:rFonts w:hint="eastAsia" w:hAnsi="宋体" w:cs="宋体"/>
                <w:sz w:val="24"/>
                <w:szCs w:val="24"/>
              </w:rPr>
              <w:t>营业执照号</w:t>
            </w:r>
          </w:p>
        </w:tc>
        <w:tc>
          <w:tcPr>
            <w:tcW w:w="2410" w:type="dxa"/>
            <w:gridSpan w:val="2"/>
            <w:vAlign w:val="center"/>
          </w:tcPr>
          <w:p>
            <w:pPr>
              <w:autoSpaceDE w:val="0"/>
              <w:autoSpaceDN w:val="0"/>
              <w:adjustRightInd w:val="0"/>
              <w:spacing w:line="360" w:lineRule="auto"/>
              <w:ind w:right="215"/>
              <w:jc w:val="center"/>
              <w:rPr>
                <w:rFonts w:hAnsi="宋体" w:cs="宋体"/>
                <w:sz w:val="24"/>
                <w:szCs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szCs w:val="24"/>
              </w:rPr>
            </w:pPr>
          </w:p>
        </w:tc>
        <w:tc>
          <w:tcPr>
            <w:tcW w:w="2614" w:type="dxa"/>
            <w:gridSpan w:val="5"/>
            <w:vAlign w:val="center"/>
          </w:tcPr>
          <w:p>
            <w:pPr>
              <w:autoSpaceDE w:val="0"/>
              <w:autoSpaceDN w:val="0"/>
              <w:adjustRightInd w:val="0"/>
              <w:spacing w:line="360" w:lineRule="auto"/>
              <w:ind w:right="215"/>
              <w:jc w:val="center"/>
              <w:rPr>
                <w:rFonts w:hAnsi="宋体" w:cs="宋体"/>
                <w:sz w:val="24"/>
                <w:szCs w:val="24"/>
              </w:rPr>
            </w:pPr>
            <w:r>
              <w:rPr>
                <w:rFonts w:hint="eastAsia" w:hAnsi="宋体" w:cs="宋体"/>
                <w:sz w:val="24"/>
                <w:szCs w:val="24"/>
              </w:rPr>
              <w:t>高级职称人员</w:t>
            </w:r>
          </w:p>
        </w:tc>
        <w:tc>
          <w:tcPr>
            <w:tcW w:w="1206" w:type="dxa"/>
            <w:vAlign w:val="center"/>
          </w:tcPr>
          <w:p>
            <w:pPr>
              <w:autoSpaceDE w:val="0"/>
              <w:autoSpaceDN w:val="0"/>
              <w:adjustRightInd w:val="0"/>
              <w:spacing w:line="360" w:lineRule="auto"/>
              <w:ind w:right="215"/>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cs="宋体"/>
                <w:sz w:val="24"/>
                <w:szCs w:val="24"/>
              </w:rPr>
            </w:pPr>
            <w:r>
              <w:rPr>
                <w:rFonts w:hint="eastAsia" w:hAnsi="宋体" w:cs="宋体"/>
                <w:sz w:val="24"/>
                <w:szCs w:val="24"/>
              </w:rPr>
              <w:t>注册资金</w:t>
            </w:r>
          </w:p>
        </w:tc>
        <w:tc>
          <w:tcPr>
            <w:tcW w:w="2410" w:type="dxa"/>
            <w:gridSpan w:val="2"/>
            <w:vAlign w:val="center"/>
          </w:tcPr>
          <w:p>
            <w:pPr>
              <w:autoSpaceDE w:val="0"/>
              <w:autoSpaceDN w:val="0"/>
              <w:adjustRightInd w:val="0"/>
              <w:spacing w:line="360" w:lineRule="auto"/>
              <w:ind w:right="215"/>
              <w:jc w:val="center"/>
              <w:rPr>
                <w:rFonts w:hAnsi="宋体" w:cs="宋体"/>
                <w:sz w:val="24"/>
                <w:szCs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szCs w:val="24"/>
              </w:rPr>
            </w:pPr>
          </w:p>
        </w:tc>
        <w:tc>
          <w:tcPr>
            <w:tcW w:w="2614" w:type="dxa"/>
            <w:gridSpan w:val="5"/>
            <w:vAlign w:val="center"/>
          </w:tcPr>
          <w:p>
            <w:pPr>
              <w:autoSpaceDE w:val="0"/>
              <w:autoSpaceDN w:val="0"/>
              <w:adjustRightInd w:val="0"/>
              <w:spacing w:line="360" w:lineRule="auto"/>
              <w:ind w:right="215"/>
              <w:jc w:val="center"/>
              <w:rPr>
                <w:rFonts w:hAnsi="宋体" w:cs="宋体"/>
                <w:sz w:val="24"/>
                <w:szCs w:val="24"/>
              </w:rPr>
            </w:pPr>
            <w:r>
              <w:rPr>
                <w:rFonts w:hint="eastAsia" w:hAnsi="宋体" w:cs="宋体"/>
                <w:sz w:val="24"/>
                <w:szCs w:val="24"/>
              </w:rPr>
              <w:t>中级职称人员</w:t>
            </w:r>
          </w:p>
        </w:tc>
        <w:tc>
          <w:tcPr>
            <w:tcW w:w="1206" w:type="dxa"/>
            <w:vAlign w:val="center"/>
          </w:tcPr>
          <w:p>
            <w:pPr>
              <w:autoSpaceDE w:val="0"/>
              <w:autoSpaceDN w:val="0"/>
              <w:adjustRightInd w:val="0"/>
              <w:spacing w:line="360" w:lineRule="auto"/>
              <w:ind w:right="215"/>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szCs w:val="24"/>
              </w:rPr>
            </w:pPr>
            <w:r>
              <w:rPr>
                <w:rFonts w:hint="eastAsia" w:hAnsi="宋体" w:cs="宋体"/>
                <w:sz w:val="24"/>
                <w:szCs w:val="24"/>
              </w:rPr>
              <w:t>开户银行</w:t>
            </w:r>
          </w:p>
        </w:tc>
        <w:tc>
          <w:tcPr>
            <w:tcW w:w="2410" w:type="dxa"/>
            <w:gridSpan w:val="2"/>
            <w:vAlign w:val="center"/>
          </w:tcPr>
          <w:p>
            <w:pPr>
              <w:autoSpaceDE w:val="0"/>
              <w:autoSpaceDN w:val="0"/>
              <w:adjustRightInd w:val="0"/>
              <w:spacing w:line="360" w:lineRule="auto"/>
              <w:ind w:right="215"/>
              <w:jc w:val="center"/>
              <w:rPr>
                <w:rFonts w:hAnsi="宋体" w:cs="宋体"/>
                <w:sz w:val="24"/>
                <w:szCs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szCs w:val="24"/>
              </w:rPr>
            </w:pPr>
          </w:p>
        </w:tc>
        <w:tc>
          <w:tcPr>
            <w:tcW w:w="2614" w:type="dxa"/>
            <w:gridSpan w:val="5"/>
            <w:vAlign w:val="center"/>
          </w:tcPr>
          <w:p>
            <w:pPr>
              <w:autoSpaceDE w:val="0"/>
              <w:autoSpaceDN w:val="0"/>
              <w:adjustRightInd w:val="0"/>
              <w:spacing w:line="360" w:lineRule="auto"/>
              <w:ind w:right="215"/>
              <w:jc w:val="center"/>
              <w:rPr>
                <w:rFonts w:hAnsi="宋体" w:cs="宋体"/>
                <w:sz w:val="24"/>
                <w:szCs w:val="24"/>
              </w:rPr>
            </w:pPr>
            <w:r>
              <w:rPr>
                <w:rFonts w:hint="eastAsia" w:hAnsi="宋体" w:cs="宋体"/>
                <w:sz w:val="24"/>
                <w:szCs w:val="24"/>
              </w:rPr>
              <w:t>初级职称人员</w:t>
            </w:r>
          </w:p>
        </w:tc>
        <w:tc>
          <w:tcPr>
            <w:tcW w:w="1206" w:type="dxa"/>
            <w:vAlign w:val="center"/>
          </w:tcPr>
          <w:p>
            <w:pPr>
              <w:autoSpaceDE w:val="0"/>
              <w:autoSpaceDN w:val="0"/>
              <w:adjustRightInd w:val="0"/>
              <w:spacing w:line="360" w:lineRule="auto"/>
              <w:ind w:right="215"/>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cs="宋体"/>
                <w:sz w:val="24"/>
                <w:szCs w:val="24"/>
              </w:rPr>
            </w:pPr>
            <w:r>
              <w:rPr>
                <w:rFonts w:hint="eastAsia" w:hAnsi="宋体" w:cs="宋体"/>
                <w:sz w:val="24"/>
                <w:szCs w:val="24"/>
              </w:rPr>
              <w:t>账号</w:t>
            </w:r>
          </w:p>
        </w:tc>
        <w:tc>
          <w:tcPr>
            <w:tcW w:w="2410" w:type="dxa"/>
            <w:gridSpan w:val="2"/>
            <w:vAlign w:val="center"/>
          </w:tcPr>
          <w:p>
            <w:pPr>
              <w:autoSpaceDE w:val="0"/>
              <w:autoSpaceDN w:val="0"/>
              <w:adjustRightInd w:val="0"/>
              <w:spacing w:line="360" w:lineRule="auto"/>
              <w:ind w:right="215"/>
              <w:jc w:val="center"/>
              <w:rPr>
                <w:rFonts w:hAnsi="宋体" w:cs="宋体"/>
                <w:sz w:val="24"/>
                <w:szCs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szCs w:val="24"/>
              </w:rPr>
            </w:pPr>
          </w:p>
        </w:tc>
        <w:tc>
          <w:tcPr>
            <w:tcW w:w="2614" w:type="dxa"/>
            <w:gridSpan w:val="5"/>
            <w:vAlign w:val="center"/>
          </w:tcPr>
          <w:p>
            <w:pPr>
              <w:autoSpaceDE w:val="0"/>
              <w:autoSpaceDN w:val="0"/>
              <w:adjustRightInd w:val="0"/>
              <w:spacing w:line="360" w:lineRule="auto"/>
              <w:ind w:right="215"/>
              <w:jc w:val="center"/>
              <w:rPr>
                <w:rFonts w:hAnsi="宋体" w:cs="宋体"/>
                <w:sz w:val="24"/>
                <w:szCs w:val="24"/>
              </w:rPr>
            </w:pPr>
            <w:r>
              <w:rPr>
                <w:rFonts w:hint="eastAsia" w:hAnsi="宋体" w:cs="宋体"/>
                <w:sz w:val="24"/>
                <w:szCs w:val="24"/>
              </w:rPr>
              <w:t>技工</w:t>
            </w:r>
          </w:p>
        </w:tc>
        <w:tc>
          <w:tcPr>
            <w:tcW w:w="1206" w:type="dxa"/>
            <w:vAlign w:val="center"/>
          </w:tcPr>
          <w:p>
            <w:pPr>
              <w:autoSpaceDE w:val="0"/>
              <w:autoSpaceDN w:val="0"/>
              <w:adjustRightInd w:val="0"/>
              <w:spacing w:line="360" w:lineRule="auto"/>
              <w:ind w:right="215"/>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1" w:hRule="atLeast"/>
          <w:jc w:val="center"/>
        </w:trPr>
        <w:tc>
          <w:tcPr>
            <w:tcW w:w="1709" w:type="dxa"/>
            <w:vAlign w:val="center"/>
          </w:tcPr>
          <w:p>
            <w:pPr>
              <w:autoSpaceDE w:val="0"/>
              <w:autoSpaceDN w:val="0"/>
              <w:adjustRightInd w:val="0"/>
              <w:spacing w:line="360" w:lineRule="auto"/>
              <w:ind w:right="215"/>
              <w:jc w:val="center"/>
              <w:rPr>
                <w:rFonts w:hAnsi="宋体" w:cs="宋体"/>
                <w:sz w:val="24"/>
                <w:szCs w:val="24"/>
              </w:rPr>
            </w:pPr>
            <w:r>
              <w:rPr>
                <w:rFonts w:hint="eastAsia" w:hAnsi="宋体" w:cs="宋体"/>
                <w:sz w:val="24"/>
                <w:szCs w:val="24"/>
              </w:rPr>
              <w:t>经营范围</w:t>
            </w:r>
          </w:p>
        </w:tc>
        <w:tc>
          <w:tcPr>
            <w:tcW w:w="7435" w:type="dxa"/>
            <w:gridSpan w:val="9"/>
            <w:vAlign w:val="center"/>
          </w:tcPr>
          <w:p>
            <w:pPr>
              <w:autoSpaceDE w:val="0"/>
              <w:autoSpaceDN w:val="0"/>
              <w:adjustRightInd w:val="0"/>
              <w:spacing w:line="360" w:lineRule="auto"/>
              <w:ind w:right="215"/>
              <w:jc w:val="center"/>
              <w:rPr>
                <w:rFonts w:hAnsi="宋体" w:cs="宋体"/>
                <w:sz w:val="24"/>
                <w:szCs w:val="24"/>
              </w:rPr>
            </w:pPr>
          </w:p>
          <w:p>
            <w:pPr>
              <w:autoSpaceDE w:val="0"/>
              <w:autoSpaceDN w:val="0"/>
              <w:adjustRightInd w:val="0"/>
              <w:spacing w:line="360" w:lineRule="auto"/>
              <w:ind w:right="215"/>
              <w:jc w:val="center"/>
              <w:rPr>
                <w:rFonts w:hAnsi="宋体" w:cs="宋体"/>
                <w:sz w:val="24"/>
                <w:szCs w:val="24"/>
              </w:rPr>
            </w:pPr>
          </w:p>
          <w:p>
            <w:pPr>
              <w:autoSpaceDE w:val="0"/>
              <w:autoSpaceDN w:val="0"/>
              <w:adjustRightInd w:val="0"/>
              <w:spacing w:line="360" w:lineRule="auto"/>
              <w:ind w:right="215"/>
              <w:jc w:val="center"/>
              <w:rPr>
                <w:rFonts w:hAnsi="宋体" w:cs="宋体"/>
                <w:sz w:val="24"/>
                <w:szCs w:val="24"/>
              </w:rPr>
            </w:pPr>
          </w:p>
          <w:p>
            <w:pPr>
              <w:autoSpaceDE w:val="0"/>
              <w:autoSpaceDN w:val="0"/>
              <w:adjustRightInd w:val="0"/>
              <w:spacing w:line="360" w:lineRule="auto"/>
              <w:ind w:right="215"/>
              <w:jc w:val="center"/>
              <w:rPr>
                <w:rFonts w:hAnsi="宋体" w:cs="宋体"/>
                <w:sz w:val="24"/>
                <w:szCs w:val="24"/>
              </w:rPr>
            </w:pPr>
          </w:p>
          <w:p>
            <w:pPr>
              <w:autoSpaceDE w:val="0"/>
              <w:autoSpaceDN w:val="0"/>
              <w:adjustRightInd w:val="0"/>
              <w:spacing w:line="360" w:lineRule="auto"/>
              <w:ind w:right="215"/>
              <w:jc w:val="center"/>
              <w:rPr>
                <w:rFonts w:hAnsi="宋体" w:cs="宋体"/>
                <w:sz w:val="24"/>
                <w:szCs w:val="24"/>
              </w:rPr>
            </w:pPr>
          </w:p>
          <w:p>
            <w:pPr>
              <w:autoSpaceDE w:val="0"/>
              <w:autoSpaceDN w:val="0"/>
              <w:adjustRightInd w:val="0"/>
              <w:spacing w:line="360" w:lineRule="auto"/>
              <w:ind w:right="215"/>
              <w:jc w:val="center"/>
              <w:rPr>
                <w:rFonts w:hAnsi="宋体" w:cs="宋体"/>
                <w:sz w:val="24"/>
                <w:szCs w:val="24"/>
              </w:rPr>
            </w:pPr>
          </w:p>
          <w:p>
            <w:pPr>
              <w:autoSpaceDE w:val="0"/>
              <w:autoSpaceDN w:val="0"/>
              <w:adjustRightInd w:val="0"/>
              <w:spacing w:line="360" w:lineRule="auto"/>
              <w:ind w:right="215"/>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hAnsi="宋体" w:cs="宋体"/>
                <w:sz w:val="24"/>
                <w:szCs w:val="24"/>
              </w:rPr>
            </w:pPr>
            <w:r>
              <w:rPr>
                <w:rFonts w:hint="eastAsia" w:hAnsi="宋体" w:cs="宋体"/>
                <w:sz w:val="24"/>
                <w:szCs w:val="24"/>
              </w:rPr>
              <w:t>备注</w:t>
            </w:r>
          </w:p>
        </w:tc>
        <w:tc>
          <w:tcPr>
            <w:tcW w:w="7435" w:type="dxa"/>
            <w:gridSpan w:val="9"/>
            <w:vAlign w:val="center"/>
          </w:tcPr>
          <w:p>
            <w:pPr>
              <w:autoSpaceDE w:val="0"/>
              <w:autoSpaceDN w:val="0"/>
              <w:adjustRightInd w:val="0"/>
              <w:spacing w:line="360" w:lineRule="auto"/>
              <w:ind w:right="215"/>
              <w:jc w:val="center"/>
              <w:rPr>
                <w:rFonts w:hAnsi="宋体" w:cs="宋体"/>
                <w:sz w:val="24"/>
                <w:szCs w:val="24"/>
              </w:rPr>
            </w:pPr>
          </w:p>
          <w:p>
            <w:pPr>
              <w:autoSpaceDE w:val="0"/>
              <w:autoSpaceDN w:val="0"/>
              <w:adjustRightInd w:val="0"/>
              <w:spacing w:line="360" w:lineRule="auto"/>
              <w:ind w:right="215"/>
              <w:jc w:val="center"/>
              <w:rPr>
                <w:rFonts w:hAnsi="宋体" w:cs="宋体"/>
                <w:sz w:val="24"/>
                <w:szCs w:val="24"/>
              </w:rPr>
            </w:pPr>
          </w:p>
        </w:tc>
      </w:tr>
    </w:tbl>
    <w:p>
      <w:pPr>
        <w:autoSpaceDE w:val="0"/>
        <w:autoSpaceDN w:val="0"/>
        <w:adjustRightInd w:val="0"/>
        <w:spacing w:line="360" w:lineRule="auto"/>
        <w:ind w:right="215" w:firstLine="420"/>
        <w:rPr>
          <w:rFonts w:hAnsi="宋体"/>
          <w:color w:val="000000"/>
          <w:sz w:val="24"/>
        </w:rPr>
      </w:pPr>
      <w:r>
        <w:rPr>
          <w:rFonts w:hint="eastAsia" w:hAnsi="宋体"/>
          <w:color w:val="000000"/>
          <w:sz w:val="24"/>
        </w:rPr>
        <w:t>备注：本表后应附企业法人营业执照副本、企业资质证书副本、安全生产许可证副本等材料的</w:t>
      </w:r>
      <w:r>
        <w:rPr>
          <w:rFonts w:hint="eastAsia" w:hAnsi="宋体" w:cs="仿宋_GB2312"/>
          <w:color w:val="000000"/>
          <w:sz w:val="24"/>
        </w:rPr>
        <w:t>原件扫描件或图片</w:t>
      </w:r>
      <w:r>
        <w:rPr>
          <w:rFonts w:hint="eastAsia" w:hAnsi="宋体"/>
          <w:color w:val="000000"/>
          <w:sz w:val="24"/>
        </w:rPr>
        <w:t>。</w:t>
      </w:r>
    </w:p>
    <w:p>
      <w:pPr>
        <w:tabs>
          <w:tab w:val="center" w:pos="4739"/>
        </w:tabs>
        <w:spacing w:line="600" w:lineRule="auto"/>
        <w:ind w:left="180"/>
        <w:jc w:val="center"/>
        <w:rPr>
          <w:rFonts w:hAnsi="宋体" w:cs="宋体"/>
          <w:b/>
          <w:sz w:val="32"/>
        </w:rPr>
      </w:pPr>
      <w:r>
        <w:rPr>
          <w:rFonts w:hint="eastAsia" w:hAnsi="宋体" w:cs="宋体"/>
          <w:sz w:val="24"/>
        </w:rPr>
        <w:br w:type="page"/>
      </w:r>
      <w:r>
        <w:rPr>
          <w:rFonts w:hint="eastAsia" w:hAnsi="宋体" w:cs="宋体"/>
          <w:b/>
          <w:sz w:val="32"/>
        </w:rPr>
        <w:t>六、资格证明文件</w:t>
      </w:r>
    </w:p>
    <w:p>
      <w:pPr>
        <w:autoSpaceDE w:val="0"/>
        <w:autoSpaceDN w:val="0"/>
        <w:adjustRightInd w:val="0"/>
        <w:spacing w:line="360" w:lineRule="auto"/>
        <w:ind w:right="215" w:firstLine="420"/>
        <w:jc w:val="center"/>
        <w:rPr>
          <w:rFonts w:hAnsi="宋体" w:cs="宋体"/>
          <w:sz w:val="24"/>
        </w:rPr>
      </w:pPr>
      <w:r>
        <w:rPr>
          <w:rFonts w:hint="eastAsia" w:hAnsi="宋体" w:cs="宋体"/>
          <w:sz w:val="24"/>
        </w:rPr>
        <w:t>（附原件扫描件或图片）</w:t>
      </w:r>
    </w:p>
    <w:p>
      <w:pPr>
        <w:pStyle w:val="2"/>
        <w:ind w:firstLine="320"/>
        <w:rPr>
          <w:rFonts w:ascii="仿宋_GB2312"/>
          <w:b w:val="0"/>
          <w:sz w:val="32"/>
        </w:rPr>
      </w:pPr>
    </w:p>
    <w:p>
      <w:pPr>
        <w:pStyle w:val="2"/>
        <w:ind w:firstLine="320"/>
        <w:rPr>
          <w:rFonts w:ascii="仿宋_GB2312"/>
          <w:b w:val="0"/>
          <w:sz w:val="32"/>
        </w:rPr>
      </w:pPr>
    </w:p>
    <w:p>
      <w:pPr>
        <w:autoSpaceDE w:val="0"/>
        <w:autoSpaceDN w:val="0"/>
        <w:adjustRightInd w:val="0"/>
        <w:spacing w:line="360" w:lineRule="auto"/>
        <w:ind w:right="215" w:firstLine="420"/>
        <w:jc w:val="center"/>
        <w:rPr>
          <w:rFonts w:hAnsi="宋体" w:cs="宋体"/>
          <w:sz w:val="24"/>
        </w:rPr>
      </w:pPr>
    </w:p>
    <w:p>
      <w:pPr>
        <w:tabs>
          <w:tab w:val="center" w:pos="4739"/>
        </w:tabs>
        <w:spacing w:line="600" w:lineRule="auto"/>
        <w:ind w:left="180"/>
        <w:jc w:val="center"/>
        <w:rPr>
          <w:rFonts w:hAnsi="宋体"/>
          <w:b/>
          <w:sz w:val="32"/>
          <w:szCs w:val="32"/>
        </w:rPr>
      </w:pPr>
      <w:r>
        <w:rPr>
          <w:rFonts w:hint="eastAsia" w:hAnsi="宋体" w:cs="宋体"/>
          <w:b/>
          <w:sz w:val="32"/>
        </w:rPr>
        <w:t>七、</w:t>
      </w:r>
      <w:r>
        <w:rPr>
          <w:rFonts w:hint="eastAsia" w:hAnsi="宋体"/>
          <w:b/>
          <w:sz w:val="32"/>
          <w:szCs w:val="32"/>
        </w:rPr>
        <w:t>近3年财务状况</w:t>
      </w:r>
    </w:p>
    <w:p>
      <w:pPr>
        <w:autoSpaceDE w:val="0"/>
        <w:autoSpaceDN w:val="0"/>
        <w:adjustRightInd w:val="0"/>
        <w:spacing w:line="360" w:lineRule="auto"/>
        <w:ind w:right="215" w:firstLine="420"/>
        <w:rPr>
          <w:rFonts w:hAnsi="宋体"/>
          <w:sz w:val="24"/>
        </w:rPr>
      </w:pPr>
      <w:r>
        <w:rPr>
          <w:rFonts w:hint="eastAsia" w:hAnsi="宋体"/>
          <w:sz w:val="24"/>
        </w:rPr>
        <w:t>备注：应附经会计师事务所或审计机构审计的财务财务会计报表，包括资产负债表、现金流量表、利润表和财务情况说明书的原件扫描件或图片，具体年份要求见投标人须知前附表。</w:t>
      </w:r>
    </w:p>
    <w:p>
      <w:pPr>
        <w:pStyle w:val="2"/>
        <w:ind w:firstLine="320"/>
        <w:rPr>
          <w:rFonts w:ascii="仿宋_GB2312"/>
          <w:b w:val="0"/>
          <w:sz w:val="32"/>
        </w:rPr>
      </w:pPr>
    </w:p>
    <w:p>
      <w:pPr>
        <w:pageBreakBefore/>
        <w:tabs>
          <w:tab w:val="center" w:pos="4739"/>
        </w:tabs>
        <w:spacing w:line="600" w:lineRule="auto"/>
        <w:ind w:left="181"/>
        <w:jc w:val="center"/>
        <w:rPr>
          <w:rFonts w:hAnsi="宋体" w:cs="宋体"/>
          <w:b/>
          <w:sz w:val="32"/>
        </w:rPr>
      </w:pPr>
      <w:r>
        <w:rPr>
          <w:rFonts w:hint="eastAsia" w:hAnsi="宋体" w:cs="宋体"/>
          <w:b/>
          <w:sz w:val="32"/>
        </w:rPr>
        <w:t>八、近3年完成的类似项目情况表</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项目名称</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项目所在地</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发包人名称</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发包人地址</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发包人电话</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合同价格</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开工日期</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竣工日期</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承担的工作</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工程质量</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ind w:right="215"/>
              <w:jc w:val="center"/>
              <w:rPr>
                <w:rFonts w:hAnsi="宋体" w:cs="宋体"/>
                <w:sz w:val="24"/>
              </w:rPr>
            </w:pPr>
            <w:r>
              <w:rPr>
                <w:rFonts w:hint="eastAsia" w:hAnsi="宋体" w:cs="宋体"/>
                <w:sz w:val="24"/>
              </w:rPr>
              <w:t>项目负责人（项目经理）</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技术负责人</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pacing w:val="-20"/>
                <w:sz w:val="24"/>
              </w:rPr>
            </w:pPr>
            <w:r>
              <w:rPr>
                <w:rFonts w:hint="eastAsia" w:hAnsi="宋体" w:cs="宋体"/>
                <w:spacing w:val="-20"/>
                <w:sz w:val="24"/>
              </w:rPr>
              <w:t>总监理工程师及电话</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项目描述</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备注</w:t>
            </w:r>
          </w:p>
        </w:tc>
        <w:tc>
          <w:tcPr>
            <w:tcW w:w="6721" w:type="dxa"/>
            <w:vAlign w:val="center"/>
          </w:tcPr>
          <w:p>
            <w:pPr>
              <w:autoSpaceDE w:val="0"/>
              <w:autoSpaceDN w:val="0"/>
              <w:adjustRightInd w:val="0"/>
              <w:spacing w:line="480" w:lineRule="auto"/>
              <w:ind w:right="215"/>
              <w:jc w:val="center"/>
              <w:rPr>
                <w:rFonts w:hAnsi="宋体" w:cs="宋体"/>
                <w:sz w:val="24"/>
              </w:rPr>
            </w:pPr>
          </w:p>
        </w:tc>
      </w:tr>
    </w:tbl>
    <w:p>
      <w:pPr>
        <w:autoSpaceDE w:val="0"/>
        <w:autoSpaceDN w:val="0"/>
        <w:adjustRightInd w:val="0"/>
        <w:spacing w:line="360" w:lineRule="auto"/>
        <w:ind w:right="215" w:firstLine="420"/>
        <w:rPr>
          <w:rFonts w:hAnsi="宋体" w:cs="宋体"/>
          <w:sz w:val="24"/>
        </w:rPr>
      </w:pPr>
      <w:r>
        <w:rPr>
          <w:rFonts w:hint="eastAsia" w:hAnsi="宋体" w:cs="宋体"/>
          <w:sz w:val="24"/>
        </w:rPr>
        <w:t>备注:附中标通知书和合同协议书或合同协议书和工程竣工验收备案表（或工程竣工验收证书）的原件扫描件或图片，具体年份要求见投标人须知前附表。每张表格只填写一个项目，并标明序号。</w:t>
      </w:r>
    </w:p>
    <w:p>
      <w:pPr>
        <w:tabs>
          <w:tab w:val="center" w:pos="4739"/>
        </w:tabs>
        <w:spacing w:line="600" w:lineRule="auto"/>
        <w:ind w:left="180"/>
        <w:jc w:val="center"/>
        <w:rPr>
          <w:rFonts w:hAnsi="宋体" w:cs="宋体"/>
          <w:b/>
          <w:sz w:val="32"/>
        </w:rPr>
      </w:pPr>
      <w:r>
        <w:rPr>
          <w:rFonts w:hAnsi="宋体" w:cs="宋体"/>
          <w:b/>
          <w:sz w:val="32"/>
        </w:rPr>
        <w:br w:type="page"/>
      </w:r>
      <w:r>
        <w:rPr>
          <w:rFonts w:hint="eastAsia" w:hAnsi="宋体" w:cs="宋体"/>
          <w:b/>
          <w:sz w:val="32"/>
        </w:rPr>
        <w:t>九、正在施工的和新承接的项目情况表</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项目名称</w:t>
            </w:r>
          </w:p>
        </w:tc>
        <w:tc>
          <w:tcPr>
            <w:tcW w:w="6727"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项目所在地</w:t>
            </w:r>
          </w:p>
        </w:tc>
        <w:tc>
          <w:tcPr>
            <w:tcW w:w="6727"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发包人名称</w:t>
            </w:r>
          </w:p>
        </w:tc>
        <w:tc>
          <w:tcPr>
            <w:tcW w:w="6727"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发包人地址</w:t>
            </w:r>
          </w:p>
        </w:tc>
        <w:tc>
          <w:tcPr>
            <w:tcW w:w="6727"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发包人电话</w:t>
            </w:r>
          </w:p>
        </w:tc>
        <w:tc>
          <w:tcPr>
            <w:tcW w:w="6727"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签约合同价</w:t>
            </w:r>
          </w:p>
        </w:tc>
        <w:tc>
          <w:tcPr>
            <w:tcW w:w="6727"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开工日期</w:t>
            </w:r>
          </w:p>
        </w:tc>
        <w:tc>
          <w:tcPr>
            <w:tcW w:w="6727"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计划竣工日期</w:t>
            </w:r>
          </w:p>
        </w:tc>
        <w:tc>
          <w:tcPr>
            <w:tcW w:w="6727"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承担的工作</w:t>
            </w:r>
          </w:p>
        </w:tc>
        <w:tc>
          <w:tcPr>
            <w:tcW w:w="6727"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工程质量</w:t>
            </w:r>
          </w:p>
        </w:tc>
        <w:tc>
          <w:tcPr>
            <w:tcW w:w="6727"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ind w:right="215"/>
              <w:jc w:val="center"/>
              <w:rPr>
                <w:rFonts w:hAnsi="宋体" w:cs="宋体"/>
                <w:sz w:val="24"/>
              </w:rPr>
            </w:pPr>
            <w:r>
              <w:rPr>
                <w:rFonts w:hint="eastAsia" w:hAnsi="宋体" w:cs="宋体"/>
                <w:sz w:val="24"/>
              </w:rPr>
              <w:t>项目负责人（项目经理）</w:t>
            </w:r>
          </w:p>
        </w:tc>
        <w:tc>
          <w:tcPr>
            <w:tcW w:w="6727"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技术负责人</w:t>
            </w:r>
          </w:p>
        </w:tc>
        <w:tc>
          <w:tcPr>
            <w:tcW w:w="6727"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480" w:lineRule="auto"/>
              <w:ind w:right="215"/>
              <w:jc w:val="center"/>
              <w:rPr>
                <w:rFonts w:hAnsi="宋体" w:cs="宋体"/>
                <w:spacing w:val="-20"/>
                <w:sz w:val="24"/>
              </w:rPr>
            </w:pPr>
            <w:r>
              <w:rPr>
                <w:rFonts w:hint="eastAsia" w:hAnsi="宋体" w:cs="宋体"/>
                <w:spacing w:val="-20"/>
                <w:sz w:val="24"/>
              </w:rPr>
              <w:t>总监理工程师及电话</w:t>
            </w:r>
          </w:p>
        </w:tc>
        <w:tc>
          <w:tcPr>
            <w:tcW w:w="6727"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3" w:hRule="atLeast"/>
          <w:jc w:val="center"/>
        </w:trPr>
        <w:tc>
          <w:tcPr>
            <w:tcW w:w="2291"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项目描述</w:t>
            </w:r>
          </w:p>
        </w:tc>
        <w:tc>
          <w:tcPr>
            <w:tcW w:w="6727" w:type="dxa"/>
            <w:vAlign w:val="center"/>
          </w:tcPr>
          <w:p>
            <w:pPr>
              <w:autoSpaceDE w:val="0"/>
              <w:autoSpaceDN w:val="0"/>
              <w:adjustRightInd w:val="0"/>
              <w:spacing w:line="480" w:lineRule="auto"/>
              <w:ind w:right="215"/>
              <w:jc w:val="center"/>
              <w:rPr>
                <w:rFonts w:hAnsi="宋体" w:cs="宋体"/>
                <w:sz w:val="24"/>
              </w:rPr>
            </w:pPr>
          </w:p>
          <w:p>
            <w:pPr>
              <w:autoSpaceDE w:val="0"/>
              <w:autoSpaceDN w:val="0"/>
              <w:adjustRightInd w:val="0"/>
              <w:spacing w:line="480" w:lineRule="auto"/>
              <w:ind w:right="215"/>
              <w:jc w:val="center"/>
              <w:rPr>
                <w:rFonts w:hAnsi="宋体" w:cs="宋体"/>
                <w:sz w:val="24"/>
              </w:rPr>
            </w:pPr>
          </w:p>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2291"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备注</w:t>
            </w:r>
          </w:p>
        </w:tc>
        <w:tc>
          <w:tcPr>
            <w:tcW w:w="6727" w:type="dxa"/>
            <w:vAlign w:val="center"/>
          </w:tcPr>
          <w:p>
            <w:pPr>
              <w:autoSpaceDE w:val="0"/>
              <w:autoSpaceDN w:val="0"/>
              <w:adjustRightInd w:val="0"/>
              <w:spacing w:line="480" w:lineRule="auto"/>
              <w:ind w:right="215"/>
              <w:jc w:val="center"/>
              <w:rPr>
                <w:rFonts w:hAnsi="宋体" w:cs="宋体"/>
                <w:sz w:val="24"/>
              </w:rPr>
            </w:pPr>
          </w:p>
        </w:tc>
      </w:tr>
    </w:tbl>
    <w:p>
      <w:pPr>
        <w:autoSpaceDE w:val="0"/>
        <w:autoSpaceDN w:val="0"/>
        <w:adjustRightInd w:val="0"/>
        <w:spacing w:line="360" w:lineRule="auto"/>
        <w:ind w:right="215" w:firstLine="420"/>
        <w:rPr>
          <w:rFonts w:hAnsi="宋体" w:cs="宋体"/>
          <w:sz w:val="24"/>
        </w:rPr>
      </w:pPr>
      <w:r>
        <w:rPr>
          <w:rFonts w:hint="eastAsia" w:hAnsi="宋体" w:cs="宋体"/>
          <w:sz w:val="24"/>
        </w:rPr>
        <w:t>备注：应附中标通知书和合同协议书的原件扫描件或图片。每张表格只填写一个项目，并标明序号。</w:t>
      </w:r>
    </w:p>
    <w:p>
      <w:pPr>
        <w:pStyle w:val="2"/>
        <w:ind w:firstLine="320"/>
        <w:rPr>
          <w:rFonts w:ascii="仿宋_GB2312"/>
          <w:b w:val="0"/>
          <w:sz w:val="32"/>
        </w:rPr>
      </w:pPr>
    </w:p>
    <w:p>
      <w:pPr>
        <w:tabs>
          <w:tab w:val="center" w:pos="4739"/>
        </w:tabs>
        <w:spacing w:line="600" w:lineRule="auto"/>
        <w:ind w:left="180"/>
        <w:jc w:val="center"/>
        <w:rPr>
          <w:rFonts w:hAnsi="宋体" w:cs="宋体"/>
          <w:b/>
          <w:sz w:val="32"/>
        </w:rPr>
      </w:pPr>
      <w:r>
        <w:rPr>
          <w:rFonts w:hint="eastAsia" w:hAnsi="宋体" w:cs="宋体"/>
          <w:b/>
          <w:sz w:val="32"/>
        </w:rPr>
        <w:t>十、近3年发生的诉讼及仲裁</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164"/>
        <w:gridCol w:w="1752"/>
        <w:gridCol w:w="3060"/>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Align w:val="center"/>
          </w:tcPr>
          <w:p>
            <w:pPr>
              <w:autoSpaceDE w:val="0"/>
              <w:autoSpaceDN w:val="0"/>
              <w:adjustRightInd w:val="0"/>
              <w:spacing w:line="480" w:lineRule="auto"/>
              <w:ind w:right="215"/>
              <w:jc w:val="center"/>
              <w:rPr>
                <w:rFonts w:hAnsi="宋体" w:cs="宋体"/>
                <w:bCs/>
                <w:sz w:val="24"/>
                <w:szCs w:val="24"/>
              </w:rPr>
            </w:pPr>
            <w:r>
              <w:rPr>
                <w:rFonts w:hint="eastAsia" w:hAnsi="宋体" w:cs="宋体"/>
                <w:bCs/>
                <w:sz w:val="24"/>
                <w:szCs w:val="24"/>
              </w:rPr>
              <w:t>类别</w:t>
            </w:r>
          </w:p>
        </w:tc>
        <w:tc>
          <w:tcPr>
            <w:tcW w:w="1164" w:type="dxa"/>
            <w:vAlign w:val="center"/>
          </w:tcPr>
          <w:p>
            <w:pPr>
              <w:autoSpaceDE w:val="0"/>
              <w:autoSpaceDN w:val="0"/>
              <w:adjustRightInd w:val="0"/>
              <w:spacing w:line="480" w:lineRule="auto"/>
              <w:ind w:right="215"/>
              <w:jc w:val="center"/>
              <w:rPr>
                <w:rFonts w:hAnsi="宋体" w:cs="宋体"/>
                <w:bCs/>
                <w:sz w:val="24"/>
                <w:szCs w:val="24"/>
              </w:rPr>
            </w:pPr>
            <w:r>
              <w:rPr>
                <w:rFonts w:hint="eastAsia" w:hAnsi="宋体" w:cs="宋体"/>
                <w:bCs/>
                <w:sz w:val="24"/>
                <w:szCs w:val="24"/>
              </w:rPr>
              <w:t>序号</w:t>
            </w:r>
          </w:p>
        </w:tc>
        <w:tc>
          <w:tcPr>
            <w:tcW w:w="1752" w:type="dxa"/>
            <w:vAlign w:val="center"/>
          </w:tcPr>
          <w:p>
            <w:pPr>
              <w:autoSpaceDE w:val="0"/>
              <w:autoSpaceDN w:val="0"/>
              <w:adjustRightInd w:val="0"/>
              <w:spacing w:line="480" w:lineRule="auto"/>
              <w:ind w:right="215"/>
              <w:jc w:val="center"/>
              <w:rPr>
                <w:rFonts w:hAnsi="宋体" w:cs="宋体"/>
                <w:bCs/>
                <w:sz w:val="24"/>
                <w:szCs w:val="24"/>
              </w:rPr>
            </w:pPr>
            <w:r>
              <w:rPr>
                <w:rFonts w:hint="eastAsia" w:hAnsi="宋体" w:cs="宋体"/>
                <w:bCs/>
                <w:sz w:val="24"/>
                <w:szCs w:val="24"/>
              </w:rPr>
              <w:t>发生时间</w:t>
            </w:r>
          </w:p>
        </w:tc>
        <w:tc>
          <w:tcPr>
            <w:tcW w:w="3060" w:type="dxa"/>
            <w:vAlign w:val="center"/>
          </w:tcPr>
          <w:p>
            <w:pPr>
              <w:autoSpaceDE w:val="0"/>
              <w:autoSpaceDN w:val="0"/>
              <w:adjustRightInd w:val="0"/>
              <w:spacing w:line="480" w:lineRule="auto"/>
              <w:ind w:right="215"/>
              <w:jc w:val="center"/>
              <w:rPr>
                <w:rFonts w:hAnsi="宋体" w:cs="宋体"/>
                <w:bCs/>
                <w:sz w:val="24"/>
                <w:szCs w:val="24"/>
              </w:rPr>
            </w:pPr>
            <w:r>
              <w:rPr>
                <w:rFonts w:hint="eastAsia" w:hAnsi="宋体" w:cs="宋体"/>
                <w:bCs/>
                <w:sz w:val="24"/>
                <w:szCs w:val="24"/>
              </w:rPr>
              <w:t>情况简介</w:t>
            </w:r>
          </w:p>
        </w:tc>
        <w:tc>
          <w:tcPr>
            <w:tcW w:w="2605" w:type="dxa"/>
            <w:vAlign w:val="center"/>
          </w:tcPr>
          <w:p>
            <w:pPr>
              <w:autoSpaceDE w:val="0"/>
              <w:autoSpaceDN w:val="0"/>
              <w:adjustRightInd w:val="0"/>
              <w:spacing w:line="480" w:lineRule="auto"/>
              <w:ind w:right="215"/>
              <w:jc w:val="center"/>
              <w:rPr>
                <w:rFonts w:hAnsi="宋体" w:cs="宋体"/>
                <w:bCs/>
                <w:sz w:val="24"/>
                <w:szCs w:val="24"/>
              </w:rPr>
            </w:pPr>
            <w:r>
              <w:rPr>
                <w:rFonts w:hint="eastAsia" w:hAnsi="宋体" w:cs="宋体"/>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restart"/>
            <w:vAlign w:val="center"/>
          </w:tcPr>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诉</w:t>
            </w:r>
          </w:p>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讼</w:t>
            </w:r>
          </w:p>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情</w:t>
            </w:r>
          </w:p>
          <w:p>
            <w:pPr>
              <w:autoSpaceDE w:val="0"/>
              <w:autoSpaceDN w:val="0"/>
              <w:adjustRightInd w:val="0"/>
              <w:spacing w:line="360" w:lineRule="auto"/>
              <w:ind w:right="215"/>
              <w:jc w:val="center"/>
              <w:rPr>
                <w:rFonts w:hAnsi="宋体" w:cs="宋体"/>
                <w:b/>
                <w:sz w:val="32"/>
                <w:szCs w:val="32"/>
              </w:rPr>
            </w:pPr>
            <w:r>
              <w:rPr>
                <w:rFonts w:hint="eastAsia" w:hAnsi="宋体" w:cs="宋体"/>
                <w:bCs/>
                <w:sz w:val="32"/>
                <w:szCs w:val="32"/>
              </w:rPr>
              <w:t>况</w:t>
            </w:r>
          </w:p>
        </w:tc>
        <w:tc>
          <w:tcPr>
            <w:tcW w:w="1164" w:type="dxa"/>
            <w:vAlign w:val="center"/>
          </w:tcPr>
          <w:p>
            <w:pPr>
              <w:autoSpaceDE w:val="0"/>
              <w:autoSpaceDN w:val="0"/>
              <w:adjustRightInd w:val="0"/>
              <w:spacing w:line="360" w:lineRule="auto"/>
              <w:ind w:right="215"/>
              <w:jc w:val="center"/>
              <w:rPr>
                <w:rFonts w:hAnsi="宋体" w:cs="宋体"/>
                <w:b/>
                <w:sz w:val="32"/>
                <w:szCs w:val="32"/>
              </w:rPr>
            </w:pPr>
          </w:p>
        </w:tc>
        <w:tc>
          <w:tcPr>
            <w:tcW w:w="1752" w:type="dxa"/>
            <w:vAlign w:val="center"/>
          </w:tcPr>
          <w:p>
            <w:pPr>
              <w:autoSpaceDE w:val="0"/>
              <w:autoSpaceDN w:val="0"/>
              <w:adjustRightInd w:val="0"/>
              <w:spacing w:line="360" w:lineRule="auto"/>
              <w:ind w:right="215"/>
              <w:jc w:val="center"/>
              <w:rPr>
                <w:rFonts w:hAnsi="宋体" w:cs="宋体"/>
                <w:b/>
                <w:sz w:val="32"/>
                <w:szCs w:val="32"/>
              </w:rPr>
            </w:pPr>
          </w:p>
        </w:tc>
        <w:tc>
          <w:tcPr>
            <w:tcW w:w="3060" w:type="dxa"/>
            <w:vAlign w:val="center"/>
          </w:tcPr>
          <w:p>
            <w:pPr>
              <w:autoSpaceDE w:val="0"/>
              <w:autoSpaceDN w:val="0"/>
              <w:adjustRightInd w:val="0"/>
              <w:spacing w:line="360" w:lineRule="auto"/>
              <w:ind w:right="215"/>
              <w:jc w:val="center"/>
              <w:rPr>
                <w:rFonts w:hAnsi="宋体" w:cs="宋体"/>
                <w:b/>
                <w:sz w:val="32"/>
                <w:szCs w:val="32"/>
              </w:rPr>
            </w:pPr>
          </w:p>
        </w:tc>
        <w:tc>
          <w:tcPr>
            <w:tcW w:w="2605" w:type="dxa"/>
            <w:vAlign w:val="center"/>
          </w:tcPr>
          <w:p>
            <w:pPr>
              <w:autoSpaceDE w:val="0"/>
              <w:autoSpaceDN w:val="0"/>
              <w:adjustRightInd w:val="0"/>
              <w:spacing w:line="360" w:lineRule="auto"/>
              <w:ind w:right="215"/>
              <w:jc w:val="center"/>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vAlign w:val="center"/>
          </w:tcPr>
          <w:p>
            <w:pPr>
              <w:autoSpaceDE w:val="0"/>
              <w:autoSpaceDN w:val="0"/>
              <w:adjustRightInd w:val="0"/>
              <w:spacing w:line="360" w:lineRule="auto"/>
              <w:ind w:right="215"/>
              <w:jc w:val="center"/>
              <w:rPr>
                <w:rFonts w:hAnsi="宋体" w:cs="宋体"/>
                <w:b/>
                <w:sz w:val="32"/>
                <w:szCs w:val="32"/>
              </w:rPr>
            </w:pPr>
          </w:p>
        </w:tc>
        <w:tc>
          <w:tcPr>
            <w:tcW w:w="1164" w:type="dxa"/>
            <w:vAlign w:val="center"/>
          </w:tcPr>
          <w:p>
            <w:pPr>
              <w:autoSpaceDE w:val="0"/>
              <w:autoSpaceDN w:val="0"/>
              <w:adjustRightInd w:val="0"/>
              <w:spacing w:line="360" w:lineRule="auto"/>
              <w:ind w:right="215"/>
              <w:jc w:val="center"/>
              <w:rPr>
                <w:rFonts w:hAnsi="宋体" w:cs="宋体"/>
                <w:b/>
                <w:sz w:val="32"/>
                <w:szCs w:val="32"/>
              </w:rPr>
            </w:pPr>
          </w:p>
        </w:tc>
        <w:tc>
          <w:tcPr>
            <w:tcW w:w="1752" w:type="dxa"/>
            <w:vAlign w:val="center"/>
          </w:tcPr>
          <w:p>
            <w:pPr>
              <w:autoSpaceDE w:val="0"/>
              <w:autoSpaceDN w:val="0"/>
              <w:adjustRightInd w:val="0"/>
              <w:spacing w:line="360" w:lineRule="auto"/>
              <w:ind w:right="215"/>
              <w:jc w:val="center"/>
              <w:rPr>
                <w:rFonts w:hAnsi="宋体" w:cs="宋体"/>
                <w:b/>
                <w:sz w:val="32"/>
                <w:szCs w:val="32"/>
              </w:rPr>
            </w:pPr>
          </w:p>
        </w:tc>
        <w:tc>
          <w:tcPr>
            <w:tcW w:w="3060" w:type="dxa"/>
            <w:vAlign w:val="center"/>
          </w:tcPr>
          <w:p>
            <w:pPr>
              <w:autoSpaceDE w:val="0"/>
              <w:autoSpaceDN w:val="0"/>
              <w:adjustRightInd w:val="0"/>
              <w:spacing w:line="360" w:lineRule="auto"/>
              <w:ind w:right="215"/>
              <w:jc w:val="center"/>
              <w:rPr>
                <w:rFonts w:hAnsi="宋体" w:cs="宋体"/>
                <w:b/>
                <w:sz w:val="32"/>
                <w:szCs w:val="32"/>
              </w:rPr>
            </w:pPr>
          </w:p>
        </w:tc>
        <w:tc>
          <w:tcPr>
            <w:tcW w:w="2605" w:type="dxa"/>
            <w:vAlign w:val="center"/>
          </w:tcPr>
          <w:p>
            <w:pPr>
              <w:autoSpaceDE w:val="0"/>
              <w:autoSpaceDN w:val="0"/>
              <w:adjustRightInd w:val="0"/>
              <w:spacing w:line="360" w:lineRule="auto"/>
              <w:ind w:right="215"/>
              <w:jc w:val="center"/>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vAlign w:val="center"/>
          </w:tcPr>
          <w:p>
            <w:pPr>
              <w:autoSpaceDE w:val="0"/>
              <w:autoSpaceDN w:val="0"/>
              <w:adjustRightInd w:val="0"/>
              <w:spacing w:line="360" w:lineRule="auto"/>
              <w:ind w:right="215"/>
              <w:jc w:val="center"/>
              <w:rPr>
                <w:rFonts w:hAnsi="宋体" w:cs="宋体"/>
                <w:b/>
                <w:sz w:val="32"/>
                <w:szCs w:val="32"/>
              </w:rPr>
            </w:pPr>
          </w:p>
        </w:tc>
        <w:tc>
          <w:tcPr>
            <w:tcW w:w="1164" w:type="dxa"/>
            <w:vAlign w:val="center"/>
          </w:tcPr>
          <w:p>
            <w:pPr>
              <w:autoSpaceDE w:val="0"/>
              <w:autoSpaceDN w:val="0"/>
              <w:adjustRightInd w:val="0"/>
              <w:spacing w:line="360" w:lineRule="auto"/>
              <w:ind w:right="215"/>
              <w:jc w:val="center"/>
              <w:rPr>
                <w:rFonts w:hAnsi="宋体" w:cs="宋体"/>
                <w:b/>
                <w:sz w:val="32"/>
                <w:szCs w:val="32"/>
              </w:rPr>
            </w:pPr>
          </w:p>
        </w:tc>
        <w:tc>
          <w:tcPr>
            <w:tcW w:w="1752" w:type="dxa"/>
            <w:vAlign w:val="center"/>
          </w:tcPr>
          <w:p>
            <w:pPr>
              <w:autoSpaceDE w:val="0"/>
              <w:autoSpaceDN w:val="0"/>
              <w:adjustRightInd w:val="0"/>
              <w:spacing w:line="360" w:lineRule="auto"/>
              <w:ind w:right="215"/>
              <w:jc w:val="center"/>
              <w:rPr>
                <w:rFonts w:hAnsi="宋体" w:cs="宋体"/>
                <w:b/>
                <w:sz w:val="32"/>
                <w:szCs w:val="32"/>
              </w:rPr>
            </w:pPr>
          </w:p>
        </w:tc>
        <w:tc>
          <w:tcPr>
            <w:tcW w:w="3060" w:type="dxa"/>
            <w:vAlign w:val="center"/>
          </w:tcPr>
          <w:p>
            <w:pPr>
              <w:autoSpaceDE w:val="0"/>
              <w:autoSpaceDN w:val="0"/>
              <w:adjustRightInd w:val="0"/>
              <w:spacing w:line="360" w:lineRule="auto"/>
              <w:ind w:right="215"/>
              <w:jc w:val="center"/>
              <w:rPr>
                <w:rFonts w:hAnsi="宋体" w:cs="宋体"/>
                <w:b/>
                <w:sz w:val="32"/>
                <w:szCs w:val="32"/>
              </w:rPr>
            </w:pPr>
          </w:p>
        </w:tc>
        <w:tc>
          <w:tcPr>
            <w:tcW w:w="2605" w:type="dxa"/>
            <w:vAlign w:val="center"/>
          </w:tcPr>
          <w:p>
            <w:pPr>
              <w:autoSpaceDE w:val="0"/>
              <w:autoSpaceDN w:val="0"/>
              <w:adjustRightInd w:val="0"/>
              <w:spacing w:line="360" w:lineRule="auto"/>
              <w:ind w:right="215"/>
              <w:jc w:val="center"/>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vAlign w:val="center"/>
          </w:tcPr>
          <w:p>
            <w:pPr>
              <w:autoSpaceDE w:val="0"/>
              <w:autoSpaceDN w:val="0"/>
              <w:adjustRightInd w:val="0"/>
              <w:spacing w:line="360" w:lineRule="auto"/>
              <w:ind w:right="215"/>
              <w:jc w:val="center"/>
              <w:rPr>
                <w:rFonts w:hAnsi="宋体" w:cs="宋体"/>
                <w:b/>
                <w:sz w:val="32"/>
                <w:szCs w:val="32"/>
              </w:rPr>
            </w:pPr>
          </w:p>
        </w:tc>
        <w:tc>
          <w:tcPr>
            <w:tcW w:w="1164" w:type="dxa"/>
            <w:vAlign w:val="center"/>
          </w:tcPr>
          <w:p>
            <w:pPr>
              <w:autoSpaceDE w:val="0"/>
              <w:autoSpaceDN w:val="0"/>
              <w:adjustRightInd w:val="0"/>
              <w:spacing w:line="360" w:lineRule="auto"/>
              <w:ind w:right="215"/>
              <w:jc w:val="center"/>
              <w:rPr>
                <w:rFonts w:hAnsi="宋体" w:cs="宋体"/>
                <w:b/>
                <w:sz w:val="32"/>
                <w:szCs w:val="32"/>
              </w:rPr>
            </w:pPr>
          </w:p>
        </w:tc>
        <w:tc>
          <w:tcPr>
            <w:tcW w:w="1752" w:type="dxa"/>
            <w:vAlign w:val="center"/>
          </w:tcPr>
          <w:p>
            <w:pPr>
              <w:autoSpaceDE w:val="0"/>
              <w:autoSpaceDN w:val="0"/>
              <w:adjustRightInd w:val="0"/>
              <w:spacing w:line="360" w:lineRule="auto"/>
              <w:ind w:right="215"/>
              <w:jc w:val="center"/>
              <w:rPr>
                <w:rFonts w:hAnsi="宋体" w:cs="宋体"/>
                <w:b/>
                <w:sz w:val="32"/>
                <w:szCs w:val="32"/>
              </w:rPr>
            </w:pPr>
          </w:p>
        </w:tc>
        <w:tc>
          <w:tcPr>
            <w:tcW w:w="3060" w:type="dxa"/>
            <w:vAlign w:val="center"/>
          </w:tcPr>
          <w:p>
            <w:pPr>
              <w:autoSpaceDE w:val="0"/>
              <w:autoSpaceDN w:val="0"/>
              <w:adjustRightInd w:val="0"/>
              <w:spacing w:line="360" w:lineRule="auto"/>
              <w:ind w:right="215"/>
              <w:jc w:val="center"/>
              <w:rPr>
                <w:rFonts w:hAnsi="宋体" w:cs="宋体"/>
                <w:b/>
                <w:sz w:val="32"/>
                <w:szCs w:val="32"/>
              </w:rPr>
            </w:pPr>
          </w:p>
        </w:tc>
        <w:tc>
          <w:tcPr>
            <w:tcW w:w="2605" w:type="dxa"/>
            <w:vAlign w:val="center"/>
          </w:tcPr>
          <w:p>
            <w:pPr>
              <w:autoSpaceDE w:val="0"/>
              <w:autoSpaceDN w:val="0"/>
              <w:adjustRightInd w:val="0"/>
              <w:spacing w:line="360" w:lineRule="auto"/>
              <w:ind w:right="215"/>
              <w:jc w:val="center"/>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vAlign w:val="center"/>
          </w:tcPr>
          <w:p>
            <w:pPr>
              <w:autoSpaceDE w:val="0"/>
              <w:autoSpaceDN w:val="0"/>
              <w:adjustRightInd w:val="0"/>
              <w:spacing w:line="360" w:lineRule="auto"/>
              <w:ind w:right="215"/>
              <w:jc w:val="center"/>
              <w:rPr>
                <w:rFonts w:hAnsi="宋体" w:cs="宋体"/>
                <w:b/>
                <w:sz w:val="32"/>
                <w:szCs w:val="32"/>
              </w:rPr>
            </w:pPr>
          </w:p>
        </w:tc>
        <w:tc>
          <w:tcPr>
            <w:tcW w:w="1164" w:type="dxa"/>
            <w:vAlign w:val="center"/>
          </w:tcPr>
          <w:p>
            <w:pPr>
              <w:autoSpaceDE w:val="0"/>
              <w:autoSpaceDN w:val="0"/>
              <w:adjustRightInd w:val="0"/>
              <w:spacing w:line="360" w:lineRule="auto"/>
              <w:ind w:right="215"/>
              <w:jc w:val="center"/>
              <w:rPr>
                <w:rFonts w:hAnsi="宋体" w:cs="宋体"/>
                <w:b/>
                <w:sz w:val="32"/>
                <w:szCs w:val="32"/>
              </w:rPr>
            </w:pPr>
          </w:p>
        </w:tc>
        <w:tc>
          <w:tcPr>
            <w:tcW w:w="1752" w:type="dxa"/>
            <w:vAlign w:val="center"/>
          </w:tcPr>
          <w:p>
            <w:pPr>
              <w:autoSpaceDE w:val="0"/>
              <w:autoSpaceDN w:val="0"/>
              <w:adjustRightInd w:val="0"/>
              <w:spacing w:line="360" w:lineRule="auto"/>
              <w:ind w:right="215"/>
              <w:jc w:val="center"/>
              <w:rPr>
                <w:rFonts w:hAnsi="宋体" w:cs="宋体"/>
                <w:b/>
                <w:sz w:val="32"/>
                <w:szCs w:val="32"/>
              </w:rPr>
            </w:pPr>
          </w:p>
        </w:tc>
        <w:tc>
          <w:tcPr>
            <w:tcW w:w="3060" w:type="dxa"/>
            <w:vAlign w:val="center"/>
          </w:tcPr>
          <w:p>
            <w:pPr>
              <w:autoSpaceDE w:val="0"/>
              <w:autoSpaceDN w:val="0"/>
              <w:adjustRightInd w:val="0"/>
              <w:spacing w:line="360" w:lineRule="auto"/>
              <w:ind w:right="215"/>
              <w:jc w:val="center"/>
              <w:rPr>
                <w:rFonts w:hAnsi="宋体" w:cs="宋体"/>
                <w:b/>
                <w:sz w:val="32"/>
                <w:szCs w:val="32"/>
              </w:rPr>
            </w:pPr>
          </w:p>
        </w:tc>
        <w:tc>
          <w:tcPr>
            <w:tcW w:w="2605" w:type="dxa"/>
            <w:vAlign w:val="center"/>
          </w:tcPr>
          <w:p>
            <w:pPr>
              <w:autoSpaceDE w:val="0"/>
              <w:autoSpaceDN w:val="0"/>
              <w:adjustRightInd w:val="0"/>
              <w:spacing w:line="360" w:lineRule="auto"/>
              <w:ind w:right="215"/>
              <w:jc w:val="center"/>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restart"/>
            <w:vAlign w:val="center"/>
          </w:tcPr>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仲</w:t>
            </w:r>
          </w:p>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裁</w:t>
            </w:r>
          </w:p>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情</w:t>
            </w:r>
          </w:p>
          <w:p>
            <w:pPr>
              <w:autoSpaceDE w:val="0"/>
              <w:autoSpaceDN w:val="0"/>
              <w:adjustRightInd w:val="0"/>
              <w:spacing w:line="360" w:lineRule="auto"/>
              <w:ind w:right="215"/>
              <w:jc w:val="center"/>
              <w:rPr>
                <w:rFonts w:hAnsi="宋体" w:cs="宋体"/>
                <w:b/>
                <w:sz w:val="32"/>
                <w:szCs w:val="32"/>
              </w:rPr>
            </w:pPr>
            <w:r>
              <w:rPr>
                <w:rFonts w:hint="eastAsia" w:hAnsi="宋体" w:cs="宋体"/>
                <w:bCs/>
                <w:sz w:val="32"/>
                <w:szCs w:val="32"/>
              </w:rPr>
              <w:t>况</w:t>
            </w:r>
          </w:p>
        </w:tc>
        <w:tc>
          <w:tcPr>
            <w:tcW w:w="1164" w:type="dxa"/>
            <w:vAlign w:val="center"/>
          </w:tcPr>
          <w:p>
            <w:pPr>
              <w:autoSpaceDE w:val="0"/>
              <w:autoSpaceDN w:val="0"/>
              <w:adjustRightInd w:val="0"/>
              <w:spacing w:line="360" w:lineRule="auto"/>
              <w:ind w:right="215"/>
              <w:jc w:val="center"/>
              <w:rPr>
                <w:rFonts w:hAnsi="宋体" w:cs="宋体"/>
                <w:b/>
                <w:sz w:val="32"/>
                <w:szCs w:val="32"/>
              </w:rPr>
            </w:pPr>
          </w:p>
        </w:tc>
        <w:tc>
          <w:tcPr>
            <w:tcW w:w="1752" w:type="dxa"/>
            <w:vAlign w:val="center"/>
          </w:tcPr>
          <w:p>
            <w:pPr>
              <w:autoSpaceDE w:val="0"/>
              <w:autoSpaceDN w:val="0"/>
              <w:adjustRightInd w:val="0"/>
              <w:spacing w:line="360" w:lineRule="auto"/>
              <w:ind w:right="215"/>
              <w:jc w:val="center"/>
              <w:rPr>
                <w:rFonts w:hAnsi="宋体" w:cs="宋体"/>
                <w:b/>
                <w:sz w:val="32"/>
                <w:szCs w:val="32"/>
              </w:rPr>
            </w:pPr>
          </w:p>
        </w:tc>
        <w:tc>
          <w:tcPr>
            <w:tcW w:w="3060" w:type="dxa"/>
            <w:vAlign w:val="center"/>
          </w:tcPr>
          <w:p>
            <w:pPr>
              <w:autoSpaceDE w:val="0"/>
              <w:autoSpaceDN w:val="0"/>
              <w:adjustRightInd w:val="0"/>
              <w:spacing w:line="360" w:lineRule="auto"/>
              <w:ind w:right="215"/>
              <w:jc w:val="center"/>
              <w:rPr>
                <w:rFonts w:hAnsi="宋体" w:cs="宋体"/>
                <w:b/>
                <w:sz w:val="32"/>
                <w:szCs w:val="32"/>
              </w:rPr>
            </w:pPr>
          </w:p>
        </w:tc>
        <w:tc>
          <w:tcPr>
            <w:tcW w:w="2605" w:type="dxa"/>
            <w:vAlign w:val="center"/>
          </w:tcPr>
          <w:p>
            <w:pPr>
              <w:autoSpaceDE w:val="0"/>
              <w:autoSpaceDN w:val="0"/>
              <w:adjustRightInd w:val="0"/>
              <w:spacing w:line="360" w:lineRule="auto"/>
              <w:ind w:right="215"/>
              <w:jc w:val="center"/>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vAlign w:val="center"/>
          </w:tcPr>
          <w:p>
            <w:pPr>
              <w:autoSpaceDE w:val="0"/>
              <w:autoSpaceDN w:val="0"/>
              <w:adjustRightInd w:val="0"/>
              <w:spacing w:line="360" w:lineRule="auto"/>
              <w:ind w:right="215"/>
              <w:jc w:val="center"/>
              <w:rPr>
                <w:rFonts w:hAnsi="宋体" w:cs="宋体"/>
                <w:b/>
                <w:sz w:val="32"/>
                <w:szCs w:val="32"/>
              </w:rPr>
            </w:pPr>
          </w:p>
        </w:tc>
        <w:tc>
          <w:tcPr>
            <w:tcW w:w="1164" w:type="dxa"/>
            <w:vAlign w:val="center"/>
          </w:tcPr>
          <w:p>
            <w:pPr>
              <w:autoSpaceDE w:val="0"/>
              <w:autoSpaceDN w:val="0"/>
              <w:adjustRightInd w:val="0"/>
              <w:spacing w:line="360" w:lineRule="auto"/>
              <w:ind w:right="215"/>
              <w:jc w:val="center"/>
              <w:rPr>
                <w:rFonts w:hAnsi="宋体" w:cs="宋体"/>
                <w:b/>
                <w:sz w:val="32"/>
                <w:szCs w:val="32"/>
              </w:rPr>
            </w:pPr>
          </w:p>
        </w:tc>
        <w:tc>
          <w:tcPr>
            <w:tcW w:w="1752" w:type="dxa"/>
            <w:vAlign w:val="center"/>
          </w:tcPr>
          <w:p>
            <w:pPr>
              <w:autoSpaceDE w:val="0"/>
              <w:autoSpaceDN w:val="0"/>
              <w:adjustRightInd w:val="0"/>
              <w:spacing w:line="360" w:lineRule="auto"/>
              <w:ind w:right="215"/>
              <w:jc w:val="center"/>
              <w:rPr>
                <w:rFonts w:hAnsi="宋体" w:cs="宋体"/>
                <w:b/>
                <w:sz w:val="32"/>
                <w:szCs w:val="32"/>
              </w:rPr>
            </w:pPr>
          </w:p>
        </w:tc>
        <w:tc>
          <w:tcPr>
            <w:tcW w:w="3060" w:type="dxa"/>
            <w:vAlign w:val="center"/>
          </w:tcPr>
          <w:p>
            <w:pPr>
              <w:autoSpaceDE w:val="0"/>
              <w:autoSpaceDN w:val="0"/>
              <w:adjustRightInd w:val="0"/>
              <w:spacing w:line="360" w:lineRule="auto"/>
              <w:ind w:right="215"/>
              <w:jc w:val="center"/>
              <w:rPr>
                <w:rFonts w:hAnsi="宋体" w:cs="宋体"/>
                <w:b/>
                <w:sz w:val="32"/>
                <w:szCs w:val="32"/>
              </w:rPr>
            </w:pPr>
          </w:p>
        </w:tc>
        <w:tc>
          <w:tcPr>
            <w:tcW w:w="2605" w:type="dxa"/>
            <w:vAlign w:val="center"/>
          </w:tcPr>
          <w:p>
            <w:pPr>
              <w:autoSpaceDE w:val="0"/>
              <w:autoSpaceDN w:val="0"/>
              <w:adjustRightInd w:val="0"/>
              <w:spacing w:line="360" w:lineRule="auto"/>
              <w:ind w:right="215"/>
              <w:jc w:val="center"/>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vAlign w:val="center"/>
          </w:tcPr>
          <w:p>
            <w:pPr>
              <w:autoSpaceDE w:val="0"/>
              <w:autoSpaceDN w:val="0"/>
              <w:adjustRightInd w:val="0"/>
              <w:spacing w:line="360" w:lineRule="auto"/>
              <w:ind w:right="215"/>
              <w:jc w:val="center"/>
              <w:rPr>
                <w:rFonts w:hAnsi="宋体" w:cs="宋体"/>
                <w:b/>
                <w:sz w:val="32"/>
                <w:szCs w:val="32"/>
              </w:rPr>
            </w:pPr>
          </w:p>
        </w:tc>
        <w:tc>
          <w:tcPr>
            <w:tcW w:w="1164" w:type="dxa"/>
            <w:vAlign w:val="center"/>
          </w:tcPr>
          <w:p>
            <w:pPr>
              <w:autoSpaceDE w:val="0"/>
              <w:autoSpaceDN w:val="0"/>
              <w:adjustRightInd w:val="0"/>
              <w:spacing w:line="360" w:lineRule="auto"/>
              <w:ind w:right="215"/>
              <w:jc w:val="center"/>
              <w:rPr>
                <w:rFonts w:hAnsi="宋体" w:cs="宋体"/>
                <w:b/>
                <w:sz w:val="32"/>
                <w:szCs w:val="32"/>
              </w:rPr>
            </w:pPr>
          </w:p>
        </w:tc>
        <w:tc>
          <w:tcPr>
            <w:tcW w:w="1752" w:type="dxa"/>
            <w:vAlign w:val="center"/>
          </w:tcPr>
          <w:p>
            <w:pPr>
              <w:autoSpaceDE w:val="0"/>
              <w:autoSpaceDN w:val="0"/>
              <w:adjustRightInd w:val="0"/>
              <w:spacing w:line="360" w:lineRule="auto"/>
              <w:ind w:right="215"/>
              <w:jc w:val="center"/>
              <w:rPr>
                <w:rFonts w:hAnsi="宋体" w:cs="宋体"/>
                <w:b/>
                <w:sz w:val="32"/>
                <w:szCs w:val="32"/>
              </w:rPr>
            </w:pPr>
          </w:p>
        </w:tc>
        <w:tc>
          <w:tcPr>
            <w:tcW w:w="3060" w:type="dxa"/>
            <w:vAlign w:val="center"/>
          </w:tcPr>
          <w:p>
            <w:pPr>
              <w:autoSpaceDE w:val="0"/>
              <w:autoSpaceDN w:val="0"/>
              <w:adjustRightInd w:val="0"/>
              <w:spacing w:line="360" w:lineRule="auto"/>
              <w:ind w:right="215"/>
              <w:jc w:val="center"/>
              <w:rPr>
                <w:rFonts w:hAnsi="宋体" w:cs="宋体"/>
                <w:b/>
                <w:sz w:val="32"/>
                <w:szCs w:val="32"/>
              </w:rPr>
            </w:pPr>
          </w:p>
        </w:tc>
        <w:tc>
          <w:tcPr>
            <w:tcW w:w="2605" w:type="dxa"/>
            <w:vAlign w:val="center"/>
          </w:tcPr>
          <w:p>
            <w:pPr>
              <w:autoSpaceDE w:val="0"/>
              <w:autoSpaceDN w:val="0"/>
              <w:adjustRightInd w:val="0"/>
              <w:spacing w:line="360" w:lineRule="auto"/>
              <w:ind w:right="215"/>
              <w:jc w:val="center"/>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vAlign w:val="center"/>
          </w:tcPr>
          <w:p>
            <w:pPr>
              <w:autoSpaceDE w:val="0"/>
              <w:autoSpaceDN w:val="0"/>
              <w:adjustRightInd w:val="0"/>
              <w:spacing w:line="360" w:lineRule="auto"/>
              <w:ind w:right="215"/>
              <w:jc w:val="center"/>
              <w:rPr>
                <w:rFonts w:hAnsi="宋体" w:cs="宋体"/>
                <w:b/>
                <w:sz w:val="32"/>
                <w:szCs w:val="32"/>
              </w:rPr>
            </w:pPr>
          </w:p>
        </w:tc>
        <w:tc>
          <w:tcPr>
            <w:tcW w:w="1164" w:type="dxa"/>
            <w:vAlign w:val="center"/>
          </w:tcPr>
          <w:p>
            <w:pPr>
              <w:autoSpaceDE w:val="0"/>
              <w:autoSpaceDN w:val="0"/>
              <w:adjustRightInd w:val="0"/>
              <w:spacing w:line="360" w:lineRule="auto"/>
              <w:ind w:right="215"/>
              <w:jc w:val="center"/>
              <w:rPr>
                <w:rFonts w:hAnsi="宋体" w:cs="宋体"/>
                <w:b/>
                <w:sz w:val="32"/>
                <w:szCs w:val="32"/>
              </w:rPr>
            </w:pPr>
          </w:p>
        </w:tc>
        <w:tc>
          <w:tcPr>
            <w:tcW w:w="1752" w:type="dxa"/>
            <w:vAlign w:val="center"/>
          </w:tcPr>
          <w:p>
            <w:pPr>
              <w:autoSpaceDE w:val="0"/>
              <w:autoSpaceDN w:val="0"/>
              <w:adjustRightInd w:val="0"/>
              <w:spacing w:line="360" w:lineRule="auto"/>
              <w:ind w:right="215"/>
              <w:jc w:val="center"/>
              <w:rPr>
                <w:rFonts w:hAnsi="宋体" w:cs="宋体"/>
                <w:b/>
                <w:sz w:val="32"/>
                <w:szCs w:val="32"/>
              </w:rPr>
            </w:pPr>
          </w:p>
        </w:tc>
        <w:tc>
          <w:tcPr>
            <w:tcW w:w="3060" w:type="dxa"/>
            <w:vAlign w:val="center"/>
          </w:tcPr>
          <w:p>
            <w:pPr>
              <w:autoSpaceDE w:val="0"/>
              <w:autoSpaceDN w:val="0"/>
              <w:adjustRightInd w:val="0"/>
              <w:spacing w:line="360" w:lineRule="auto"/>
              <w:ind w:right="215"/>
              <w:jc w:val="center"/>
              <w:rPr>
                <w:rFonts w:hAnsi="宋体" w:cs="宋体"/>
                <w:b/>
                <w:sz w:val="32"/>
                <w:szCs w:val="32"/>
              </w:rPr>
            </w:pPr>
          </w:p>
        </w:tc>
        <w:tc>
          <w:tcPr>
            <w:tcW w:w="2605" w:type="dxa"/>
            <w:vAlign w:val="center"/>
          </w:tcPr>
          <w:p>
            <w:pPr>
              <w:autoSpaceDE w:val="0"/>
              <w:autoSpaceDN w:val="0"/>
              <w:adjustRightInd w:val="0"/>
              <w:spacing w:line="360" w:lineRule="auto"/>
              <w:ind w:right="215"/>
              <w:jc w:val="center"/>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vAlign w:val="center"/>
          </w:tcPr>
          <w:p>
            <w:pPr>
              <w:autoSpaceDE w:val="0"/>
              <w:autoSpaceDN w:val="0"/>
              <w:adjustRightInd w:val="0"/>
              <w:spacing w:line="360" w:lineRule="auto"/>
              <w:ind w:right="215"/>
              <w:jc w:val="center"/>
              <w:rPr>
                <w:rFonts w:hAnsi="宋体" w:cs="宋体"/>
                <w:b/>
                <w:sz w:val="32"/>
                <w:szCs w:val="32"/>
              </w:rPr>
            </w:pPr>
          </w:p>
        </w:tc>
        <w:tc>
          <w:tcPr>
            <w:tcW w:w="1164" w:type="dxa"/>
            <w:vAlign w:val="center"/>
          </w:tcPr>
          <w:p>
            <w:pPr>
              <w:autoSpaceDE w:val="0"/>
              <w:autoSpaceDN w:val="0"/>
              <w:adjustRightInd w:val="0"/>
              <w:spacing w:line="360" w:lineRule="auto"/>
              <w:ind w:right="215"/>
              <w:jc w:val="center"/>
              <w:rPr>
                <w:rFonts w:hAnsi="宋体" w:cs="宋体"/>
                <w:b/>
                <w:sz w:val="32"/>
                <w:szCs w:val="32"/>
              </w:rPr>
            </w:pPr>
          </w:p>
        </w:tc>
        <w:tc>
          <w:tcPr>
            <w:tcW w:w="1752" w:type="dxa"/>
            <w:vAlign w:val="center"/>
          </w:tcPr>
          <w:p>
            <w:pPr>
              <w:autoSpaceDE w:val="0"/>
              <w:autoSpaceDN w:val="0"/>
              <w:adjustRightInd w:val="0"/>
              <w:spacing w:line="360" w:lineRule="auto"/>
              <w:ind w:right="215"/>
              <w:jc w:val="center"/>
              <w:rPr>
                <w:rFonts w:hAnsi="宋体" w:cs="宋体"/>
                <w:b/>
                <w:sz w:val="32"/>
                <w:szCs w:val="32"/>
              </w:rPr>
            </w:pPr>
          </w:p>
        </w:tc>
        <w:tc>
          <w:tcPr>
            <w:tcW w:w="3060" w:type="dxa"/>
            <w:vAlign w:val="center"/>
          </w:tcPr>
          <w:p>
            <w:pPr>
              <w:autoSpaceDE w:val="0"/>
              <w:autoSpaceDN w:val="0"/>
              <w:adjustRightInd w:val="0"/>
              <w:spacing w:line="360" w:lineRule="auto"/>
              <w:ind w:right="215"/>
              <w:jc w:val="center"/>
              <w:rPr>
                <w:rFonts w:hAnsi="宋体" w:cs="宋体"/>
                <w:b/>
                <w:sz w:val="32"/>
                <w:szCs w:val="32"/>
              </w:rPr>
            </w:pPr>
          </w:p>
        </w:tc>
        <w:tc>
          <w:tcPr>
            <w:tcW w:w="2605" w:type="dxa"/>
            <w:vAlign w:val="center"/>
          </w:tcPr>
          <w:p>
            <w:pPr>
              <w:autoSpaceDE w:val="0"/>
              <w:autoSpaceDN w:val="0"/>
              <w:adjustRightInd w:val="0"/>
              <w:spacing w:line="360" w:lineRule="auto"/>
              <w:ind w:right="215"/>
              <w:jc w:val="center"/>
              <w:rPr>
                <w:rFonts w:hAnsi="宋体" w:cs="宋体"/>
                <w:b/>
                <w:sz w:val="32"/>
                <w:szCs w:val="32"/>
              </w:rPr>
            </w:pPr>
          </w:p>
        </w:tc>
      </w:tr>
    </w:tbl>
    <w:p>
      <w:pPr>
        <w:autoSpaceDE w:val="0"/>
        <w:autoSpaceDN w:val="0"/>
        <w:adjustRightInd w:val="0"/>
        <w:spacing w:line="360" w:lineRule="auto"/>
        <w:ind w:right="215" w:firstLine="420"/>
        <w:rPr>
          <w:rFonts w:hAnsi="宋体" w:cs="宋体"/>
          <w:sz w:val="24"/>
          <w:szCs w:val="24"/>
        </w:rPr>
      </w:pPr>
      <w:r>
        <w:rPr>
          <w:rFonts w:hint="eastAsia" w:hAnsi="宋体" w:cs="宋体"/>
          <w:sz w:val="24"/>
          <w:szCs w:val="24"/>
        </w:rPr>
        <w:t>备注：应说明相关情况，并附法院或仲裁机构作出的判决、裁决等有关法律文书原件扫描件或图片，具体年份要求见投标人须知前附表。</w:t>
      </w:r>
    </w:p>
    <w:p>
      <w:pPr>
        <w:tabs>
          <w:tab w:val="center" w:pos="4739"/>
        </w:tabs>
        <w:spacing w:line="600" w:lineRule="auto"/>
        <w:ind w:left="180"/>
        <w:jc w:val="center"/>
        <w:rPr>
          <w:rFonts w:hAnsi="宋体" w:cs="宋体"/>
          <w:b/>
          <w:sz w:val="32"/>
        </w:rPr>
      </w:pPr>
    </w:p>
    <w:p>
      <w:pPr>
        <w:pStyle w:val="2"/>
        <w:ind w:firstLine="320"/>
        <w:rPr>
          <w:rFonts w:ascii="仿宋_GB2312"/>
          <w:b w:val="0"/>
          <w:sz w:val="32"/>
        </w:rPr>
      </w:pPr>
    </w:p>
    <w:p>
      <w:pPr>
        <w:tabs>
          <w:tab w:val="center" w:pos="4739"/>
        </w:tabs>
        <w:spacing w:line="600" w:lineRule="auto"/>
        <w:ind w:left="180"/>
        <w:jc w:val="center"/>
        <w:rPr>
          <w:rFonts w:hAnsi="宋体" w:cs="宋体"/>
          <w:b/>
          <w:sz w:val="32"/>
        </w:rPr>
      </w:pPr>
      <w:r>
        <w:rPr>
          <w:rFonts w:hint="eastAsia" w:hAnsi="宋体" w:cs="宋体"/>
          <w:b/>
          <w:sz w:val="32"/>
        </w:rPr>
        <w:t>十一、其它材料</w:t>
      </w:r>
    </w:p>
    <w:p>
      <w:pPr>
        <w:tabs>
          <w:tab w:val="center" w:pos="4739"/>
        </w:tabs>
        <w:jc w:val="center"/>
        <w:rPr>
          <w:rFonts w:hAnsi="宋体" w:cs="宋体"/>
          <w:b/>
          <w:bCs/>
          <w:sz w:val="28"/>
          <w:szCs w:val="28"/>
        </w:rPr>
      </w:pPr>
      <w:r>
        <w:rPr>
          <w:rFonts w:hint="eastAsia" w:hAnsi="宋体" w:cs="宋体"/>
          <w:b/>
          <w:bCs/>
          <w:sz w:val="28"/>
          <w:szCs w:val="28"/>
        </w:rPr>
        <w:t>投标人认为须附的其他材料，格式可自行编制。</w:t>
      </w:r>
    </w:p>
    <w:p>
      <w:pPr>
        <w:tabs>
          <w:tab w:val="center" w:pos="4739"/>
        </w:tabs>
        <w:jc w:val="center"/>
        <w:rPr>
          <w:rFonts w:hAnsi="宋体" w:cs="宋体"/>
          <w:b/>
          <w:bCs/>
          <w:sz w:val="28"/>
          <w:szCs w:val="28"/>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r>
        <w:rPr>
          <w:rFonts w:hint="eastAsia" w:hAnsi="宋体" w:cs="宋体"/>
          <w:b/>
          <w:sz w:val="32"/>
        </w:rPr>
        <w:br w:type="page"/>
      </w:r>
    </w:p>
    <w:p>
      <w:pPr>
        <w:tabs>
          <w:tab w:val="center" w:pos="4739"/>
        </w:tabs>
        <w:ind w:left="180"/>
        <w:jc w:val="right"/>
        <w:rPr>
          <w:rFonts w:hAnsi="宋体" w:cs="宋体"/>
          <w:sz w:val="32"/>
          <w:szCs w:val="32"/>
        </w:rPr>
      </w:pPr>
    </w:p>
    <w:p>
      <w:pPr>
        <w:tabs>
          <w:tab w:val="center" w:pos="4739"/>
        </w:tabs>
        <w:ind w:left="180"/>
        <w:jc w:val="center"/>
        <w:rPr>
          <w:rFonts w:hAnsi="宋体" w:cs="宋体"/>
          <w:b/>
          <w:sz w:val="32"/>
        </w:rPr>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（项目名称、标段）</w:t>
      </w:r>
    </w:p>
    <w:p>
      <w:pPr>
        <w:autoSpaceDE w:val="0"/>
        <w:autoSpaceDN w:val="0"/>
        <w:adjustRightInd w:val="0"/>
        <w:jc w:val="center"/>
        <w:rPr>
          <w:rFonts w:hAnsi="宋体" w:cs="宋体"/>
          <w:sz w:val="36"/>
          <w:szCs w:val="36"/>
        </w:rPr>
      </w:pPr>
    </w:p>
    <w:p>
      <w:pPr>
        <w:autoSpaceDE w:val="0"/>
        <w:autoSpaceDN w:val="0"/>
        <w:adjustRightInd w:val="0"/>
        <w:jc w:val="center"/>
        <w:rPr>
          <w:rFonts w:hAnsi="宋体" w:cs="宋体"/>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jc w:val="center"/>
        <w:rPr>
          <w:rFonts w:hAnsi="宋体" w:cs="宋体"/>
          <w:b/>
          <w:sz w:val="32"/>
          <w:szCs w:val="32"/>
        </w:rPr>
      </w:pPr>
      <w:r>
        <w:rPr>
          <w:rFonts w:hint="eastAsia" w:hAnsi="宋体" w:cs="宋体"/>
          <w:b/>
          <w:sz w:val="32"/>
          <w:szCs w:val="32"/>
        </w:rPr>
        <w:t>（技术标）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法定代表人或其委托代理人:(签字)</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年月日</w:t>
      </w:r>
    </w:p>
    <w:p>
      <w:pPr>
        <w:autoSpaceDE w:val="0"/>
        <w:autoSpaceDN w:val="0"/>
        <w:spacing w:line="540" w:lineRule="exact"/>
        <w:jc w:val="center"/>
        <w:rPr>
          <w:rFonts w:hAnsi="宋体" w:cs="宋体"/>
          <w:b/>
          <w:sz w:val="36"/>
          <w:szCs w:val="36"/>
        </w:rPr>
      </w:pPr>
      <w:r>
        <w:rPr>
          <w:rFonts w:hint="eastAsia" w:hAnsi="宋体" w:cs="宋体"/>
          <w:b/>
          <w:sz w:val="36"/>
          <w:szCs w:val="36"/>
        </w:rPr>
        <w:br w:type="page"/>
      </w:r>
    </w:p>
    <w:p>
      <w:pPr>
        <w:autoSpaceDE w:val="0"/>
        <w:autoSpaceDN w:val="0"/>
        <w:spacing w:line="540" w:lineRule="exact"/>
        <w:jc w:val="center"/>
        <w:rPr>
          <w:rFonts w:hAnsi="宋体" w:cs="宋体"/>
          <w:b/>
          <w:sz w:val="44"/>
          <w:szCs w:val="44"/>
        </w:rPr>
      </w:pPr>
      <w:bookmarkStart w:id="106" w:name="_Toc30564"/>
      <w:r>
        <w:rPr>
          <w:rFonts w:hint="eastAsia" w:hAnsi="宋体" w:cs="宋体"/>
          <w:b/>
          <w:sz w:val="44"/>
          <w:szCs w:val="44"/>
        </w:rPr>
        <w:t>目  录</w:t>
      </w:r>
      <w:bookmarkEnd w:id="106"/>
    </w:p>
    <w:p>
      <w:pPr>
        <w:autoSpaceDE w:val="0"/>
        <w:autoSpaceDN w:val="0"/>
        <w:spacing w:line="540" w:lineRule="exact"/>
        <w:jc w:val="center"/>
        <w:rPr>
          <w:rFonts w:hAnsi="宋体" w:cs="宋体"/>
          <w:b/>
          <w:sz w:val="36"/>
          <w:szCs w:val="36"/>
        </w:rPr>
      </w:pP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（1）内容完整性；</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（2）主要施工方案与技术措施；</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（3）质量管理体系与措施；</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（4）安全管理体系与措施；</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（5）文明施工、环境保护管理体系及施工现场扬尘治理措施；</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（6）工期保证措施；</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（7）拟投入资源配备计划；</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（8）施工进度表与网络计划图；</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（9）施工总平面图布置；</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（10）技术创新的应用实施措施；</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（11）采用新工艺、新技术、新设备、新材料、BIM等的程度；</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（12）施工现场实施信息化监控和数据处理；</w:t>
      </w:r>
    </w:p>
    <w:p>
      <w:pPr>
        <w:autoSpaceDE w:val="0"/>
        <w:autoSpaceDN w:val="0"/>
        <w:spacing w:line="540" w:lineRule="exact"/>
        <w:ind w:firstLine="522" w:firstLineChars="200"/>
        <w:jc w:val="left"/>
        <w:rPr>
          <w:rFonts w:hAnsi="宋体" w:cs="宋体"/>
          <w:b/>
          <w:sz w:val="26"/>
          <w:szCs w:val="26"/>
        </w:rPr>
      </w:pPr>
      <w:r>
        <w:rPr>
          <w:rFonts w:hint="eastAsia" w:hAnsi="宋体" w:cs="宋体"/>
          <w:b/>
          <w:sz w:val="26"/>
          <w:szCs w:val="26"/>
        </w:rPr>
        <w:t>（13）风险管理措施。</w:t>
      </w:r>
    </w:p>
    <w:p>
      <w:pPr>
        <w:autoSpaceDE w:val="0"/>
        <w:autoSpaceDN w:val="0"/>
        <w:spacing w:line="540" w:lineRule="exact"/>
        <w:ind w:firstLine="522" w:firstLineChars="200"/>
        <w:jc w:val="left"/>
        <w:rPr>
          <w:rFonts w:hAnsi="宋体" w:cs="宋体"/>
          <w:b/>
          <w:sz w:val="26"/>
          <w:szCs w:val="26"/>
        </w:rPr>
      </w:pPr>
    </w:p>
    <w:p>
      <w:pPr>
        <w:autoSpaceDE w:val="0"/>
        <w:autoSpaceDN w:val="0"/>
        <w:adjustRightInd w:val="0"/>
        <w:jc w:val="center"/>
        <w:rPr>
          <w:rFonts w:hAnsi="宋体" w:cs="宋体"/>
          <w:b/>
          <w:spacing w:val="60"/>
          <w:sz w:val="52"/>
          <w:szCs w:val="52"/>
          <w:u w:val="single"/>
        </w:rPr>
      </w:pPr>
    </w:p>
    <w:p>
      <w:pPr>
        <w:autoSpaceDE w:val="0"/>
        <w:autoSpaceDN w:val="0"/>
        <w:adjustRightInd w:val="0"/>
        <w:jc w:val="center"/>
        <w:rPr>
          <w:rFonts w:hAnsi="宋体" w:cs="宋体"/>
          <w:b/>
          <w:spacing w:val="60"/>
          <w:sz w:val="52"/>
          <w:szCs w:val="52"/>
          <w:u w:val="single"/>
        </w:rPr>
      </w:pPr>
    </w:p>
    <w:p>
      <w:pPr>
        <w:autoSpaceDE w:val="0"/>
        <w:autoSpaceDN w:val="0"/>
        <w:adjustRightInd w:val="0"/>
        <w:jc w:val="center"/>
        <w:rPr>
          <w:rFonts w:hAnsi="宋体" w:cs="宋体"/>
          <w:b/>
          <w:spacing w:val="60"/>
          <w:sz w:val="52"/>
          <w:szCs w:val="52"/>
          <w:u w:val="single"/>
        </w:rPr>
      </w:pPr>
    </w:p>
    <w:p>
      <w:pPr>
        <w:autoSpaceDE w:val="0"/>
        <w:autoSpaceDN w:val="0"/>
        <w:adjustRightInd w:val="0"/>
        <w:jc w:val="center"/>
        <w:rPr>
          <w:rFonts w:hAnsi="宋体" w:cs="宋体"/>
          <w:b/>
          <w:spacing w:val="60"/>
          <w:sz w:val="52"/>
          <w:szCs w:val="52"/>
          <w:u w:val="single"/>
        </w:rPr>
      </w:pPr>
    </w:p>
    <w:p>
      <w:pPr>
        <w:autoSpaceDE w:val="0"/>
        <w:autoSpaceDN w:val="0"/>
        <w:adjustRightInd w:val="0"/>
        <w:jc w:val="center"/>
        <w:rPr>
          <w:rFonts w:hAnsi="宋体" w:cs="宋体"/>
          <w:b/>
          <w:spacing w:val="60"/>
          <w:sz w:val="52"/>
          <w:szCs w:val="52"/>
          <w:u w:val="single"/>
        </w:rPr>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（项目名称、标段）</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szCs w:val="32"/>
        </w:rPr>
      </w:pPr>
      <w:r>
        <w:rPr>
          <w:rFonts w:hint="eastAsia" w:hAnsi="宋体" w:cs="宋体"/>
          <w:b/>
          <w:sz w:val="32"/>
          <w:szCs w:val="32"/>
        </w:rPr>
        <w:t>（商务标）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rPr>
        <w:t>年月日</w:t>
      </w: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br w:type="page"/>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t>已标价工程量清单</w:t>
      </w:r>
    </w:p>
    <w:p>
      <w:pPr>
        <w:autoSpaceDE w:val="0"/>
        <w:autoSpaceDN w:val="0"/>
        <w:adjustRightInd w:val="0"/>
        <w:spacing w:line="360" w:lineRule="auto"/>
        <w:ind w:right="215"/>
        <w:jc w:val="center"/>
        <w:rPr>
          <w:rFonts w:hAnsi="宋体" w:cs="宋体"/>
          <w:b/>
          <w:sz w:val="32"/>
        </w:rPr>
      </w:pPr>
      <w:r>
        <w:rPr>
          <w:rFonts w:hint="eastAsia" w:hAnsi="宋体" w:cs="宋体"/>
          <w:sz w:val="24"/>
        </w:rPr>
        <w:t xml:space="preserve">  （按所发放的工程量清单编制）</w:t>
      </w:r>
    </w:p>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imesNewRomanPSMT">
    <w:altName w:val="宋体"/>
    <w:panose1 w:val="00000000000000000000"/>
    <w:charset w:val="00"/>
    <w:family w:val="roman"/>
    <w:pitch w:val="default"/>
    <w:sig w:usb0="00000000" w:usb1="00000000" w:usb2="00000010" w:usb3="00000000" w:csb0="00040001"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A00002EF" w:usb1="4000004B" w:usb2="00000000" w:usb3="00000000" w:csb0="2000009F" w:csb1="00000000"/>
  </w:font>
  <w:font w:name="微软雅黑">
    <w:panose1 w:val="020B0503020204020204"/>
    <w:charset w:val="86"/>
    <w:family w:val="swiss"/>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7843"/>
      <w:docPartObj>
        <w:docPartGallery w:val="autotext"/>
      </w:docPartObj>
    </w:sdtPr>
    <w:sdtContent>
      <w:p>
        <w:pPr>
          <w:pStyle w:val="24"/>
          <w:jc w:val="center"/>
        </w:pPr>
        <w:r>
          <w:fldChar w:fldCharType="begin"/>
        </w:r>
        <w:r>
          <w:instrText xml:space="preserve"> PAGE   \* MERGEFORMAT </w:instrText>
        </w:r>
        <w:r>
          <w:fldChar w:fldCharType="separate"/>
        </w:r>
        <w:r>
          <w:rPr>
            <w:lang w:val="zh-CN"/>
          </w:rPr>
          <w:t>-</w:t>
        </w:r>
        <w:r>
          <w:t xml:space="preserve"> 3 -</w:t>
        </w:r>
        <w:r>
          <w:fldChar w:fldCharType="end"/>
        </w:r>
      </w:p>
    </w:sdtContent>
  </w:sdt>
  <w:p>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left"/>
    </w:pPr>
    <w:r>
      <w:rPr>
        <w:rFonts w:hint="eastAsia" w:ascii="Calibri" w:hAnsi="宋体" w:eastAsia="宋体" w:cs="宋体"/>
        <w:bCs/>
        <w:szCs w:val="21"/>
      </w:rPr>
      <w:t>襄城县汝河北路（文化路-建设路）道路建设工程                                施工招标文件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2B55E632"/>
    <w:multiLevelType w:val="singleLevel"/>
    <w:tmpl w:val="2B55E632"/>
    <w:lvl w:ilvl="0" w:tentative="0">
      <w:start w:val="1"/>
      <w:numFmt w:val="decimal"/>
      <w:suff w:val="nothing"/>
      <w:lvlText w:val="%1、"/>
      <w:lvlJc w:val="left"/>
    </w:lvl>
  </w:abstractNum>
  <w:abstractNum w:abstractNumId="2">
    <w:nsid w:val="576405E1"/>
    <w:multiLevelType w:val="singleLevel"/>
    <w:tmpl w:val="576405E1"/>
    <w:lvl w:ilvl="0" w:tentative="0">
      <w:start w:val="2"/>
      <w:numFmt w:val="decimal"/>
      <w:suff w:val="nothing"/>
      <w:lvlText w:val="%1、"/>
      <w:lvlJc w:val="left"/>
    </w:lvl>
  </w:abstractNum>
  <w:abstractNum w:abstractNumId="3">
    <w:nsid w:val="576406D4"/>
    <w:multiLevelType w:val="singleLevel"/>
    <w:tmpl w:val="576406D4"/>
    <w:lvl w:ilvl="0" w:tentative="0">
      <w:start w:val="4"/>
      <w:numFmt w:val="decimal"/>
      <w:suff w:val="nothing"/>
      <w:lvlText w:val="%1、"/>
      <w:lvlJc w:val="left"/>
    </w:lvl>
  </w:abstractNum>
  <w:abstractNum w:abstractNumId="4">
    <w:nsid w:val="577A1D7E"/>
    <w:multiLevelType w:val="singleLevel"/>
    <w:tmpl w:val="577A1D7E"/>
    <w:lvl w:ilvl="0" w:tentative="0">
      <w:start w:val="1"/>
      <w:numFmt w:val="decimal"/>
      <w:suff w:val="nothing"/>
      <w:lvlText w:val="%1、"/>
      <w:lvlJc w:val="left"/>
      <w:pPr>
        <w:tabs>
          <w:tab w:val="left" w:pos="0"/>
        </w:tabs>
        <w:ind w:left="0" w:firstLine="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045DF"/>
    <w:rsid w:val="000527F9"/>
    <w:rsid w:val="000570DB"/>
    <w:rsid w:val="000B17EA"/>
    <w:rsid w:val="000E2265"/>
    <w:rsid w:val="0015062A"/>
    <w:rsid w:val="00163A5D"/>
    <w:rsid w:val="001901DC"/>
    <w:rsid w:val="00194ED7"/>
    <w:rsid w:val="001C637A"/>
    <w:rsid w:val="001E77C1"/>
    <w:rsid w:val="002045DF"/>
    <w:rsid w:val="00250BE3"/>
    <w:rsid w:val="002723AB"/>
    <w:rsid w:val="00293BAE"/>
    <w:rsid w:val="00295B60"/>
    <w:rsid w:val="002A146D"/>
    <w:rsid w:val="002B11C6"/>
    <w:rsid w:val="002B3CAF"/>
    <w:rsid w:val="002C725A"/>
    <w:rsid w:val="002D5EA3"/>
    <w:rsid w:val="00322E20"/>
    <w:rsid w:val="003622CA"/>
    <w:rsid w:val="003702A1"/>
    <w:rsid w:val="00382642"/>
    <w:rsid w:val="00392336"/>
    <w:rsid w:val="003D0AC8"/>
    <w:rsid w:val="003E26EB"/>
    <w:rsid w:val="003F55CB"/>
    <w:rsid w:val="0043722C"/>
    <w:rsid w:val="00442F95"/>
    <w:rsid w:val="00465CDE"/>
    <w:rsid w:val="0047002C"/>
    <w:rsid w:val="004705E9"/>
    <w:rsid w:val="00476534"/>
    <w:rsid w:val="00494313"/>
    <w:rsid w:val="0058504F"/>
    <w:rsid w:val="005A65A5"/>
    <w:rsid w:val="005B68F4"/>
    <w:rsid w:val="005C3FEB"/>
    <w:rsid w:val="005E1F5F"/>
    <w:rsid w:val="005E65FA"/>
    <w:rsid w:val="005F426C"/>
    <w:rsid w:val="006160C4"/>
    <w:rsid w:val="00626A3D"/>
    <w:rsid w:val="006358A8"/>
    <w:rsid w:val="006C2867"/>
    <w:rsid w:val="006C7B32"/>
    <w:rsid w:val="006D40C4"/>
    <w:rsid w:val="006F4724"/>
    <w:rsid w:val="007113FB"/>
    <w:rsid w:val="0074558C"/>
    <w:rsid w:val="00746BEE"/>
    <w:rsid w:val="007A42D0"/>
    <w:rsid w:val="007B3E62"/>
    <w:rsid w:val="007E305B"/>
    <w:rsid w:val="007E5B3A"/>
    <w:rsid w:val="008052D9"/>
    <w:rsid w:val="00830BA1"/>
    <w:rsid w:val="00837A4F"/>
    <w:rsid w:val="008633A8"/>
    <w:rsid w:val="00895F1B"/>
    <w:rsid w:val="008A6059"/>
    <w:rsid w:val="008D16B3"/>
    <w:rsid w:val="008E361F"/>
    <w:rsid w:val="008F2A9F"/>
    <w:rsid w:val="009316CB"/>
    <w:rsid w:val="00946A72"/>
    <w:rsid w:val="00973AF8"/>
    <w:rsid w:val="0099222C"/>
    <w:rsid w:val="009A5F0D"/>
    <w:rsid w:val="009B47ED"/>
    <w:rsid w:val="009E3A6A"/>
    <w:rsid w:val="00A53AA5"/>
    <w:rsid w:val="00A71BE6"/>
    <w:rsid w:val="00A81A64"/>
    <w:rsid w:val="00AA6520"/>
    <w:rsid w:val="00AC7E2F"/>
    <w:rsid w:val="00AD6898"/>
    <w:rsid w:val="00B06899"/>
    <w:rsid w:val="00B37D19"/>
    <w:rsid w:val="00B47D43"/>
    <w:rsid w:val="00B5150B"/>
    <w:rsid w:val="00B569BC"/>
    <w:rsid w:val="00B57D32"/>
    <w:rsid w:val="00BE2258"/>
    <w:rsid w:val="00BF632F"/>
    <w:rsid w:val="00C07D87"/>
    <w:rsid w:val="00C3227F"/>
    <w:rsid w:val="00C54360"/>
    <w:rsid w:val="00C72D9A"/>
    <w:rsid w:val="00C8033E"/>
    <w:rsid w:val="00C81010"/>
    <w:rsid w:val="00CD0D00"/>
    <w:rsid w:val="00D14DCC"/>
    <w:rsid w:val="00D46E3E"/>
    <w:rsid w:val="00D63C9F"/>
    <w:rsid w:val="00D972A6"/>
    <w:rsid w:val="00DB796B"/>
    <w:rsid w:val="00DC44F7"/>
    <w:rsid w:val="00DF1A8A"/>
    <w:rsid w:val="00DF1E86"/>
    <w:rsid w:val="00DF3210"/>
    <w:rsid w:val="00E27B96"/>
    <w:rsid w:val="00E30820"/>
    <w:rsid w:val="00EC5290"/>
    <w:rsid w:val="00EE0C33"/>
    <w:rsid w:val="00EE7230"/>
    <w:rsid w:val="00EF5130"/>
    <w:rsid w:val="00EF6414"/>
    <w:rsid w:val="00F01ED8"/>
    <w:rsid w:val="00F363D7"/>
    <w:rsid w:val="00F42526"/>
    <w:rsid w:val="00F4262B"/>
    <w:rsid w:val="00F62F88"/>
    <w:rsid w:val="00F74AB4"/>
    <w:rsid w:val="00F966EF"/>
    <w:rsid w:val="00FC23B3"/>
    <w:rsid w:val="00FE3314"/>
    <w:rsid w:val="00FE3BDD"/>
    <w:rsid w:val="2A9A5CB8"/>
    <w:rsid w:val="3B343E84"/>
    <w:rsid w:val="55D767BC"/>
    <w:rsid w:val="60A851FE"/>
    <w:rsid w:val="65C3052E"/>
    <w:rsid w:val="65D64F45"/>
    <w:rsid w:val="704F5FDD"/>
    <w:rsid w:val="71A75F46"/>
    <w:rsid w:val="7ECE34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iPriority="99"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link w:val="42"/>
    <w:qFormat/>
    <w:uiPriority w:val="0"/>
    <w:pPr>
      <w:keepNext/>
      <w:keepLines/>
      <w:spacing w:before="340" w:after="330" w:line="578" w:lineRule="auto"/>
      <w:outlineLvl w:val="0"/>
    </w:pPr>
    <w:rPr>
      <w:rFonts w:ascii="宋体" w:hAnsi="Times New Roman" w:eastAsia="宋体" w:cs="Times New Roman"/>
      <w:b/>
      <w:bCs/>
      <w:kern w:val="44"/>
      <w:sz w:val="44"/>
      <w:szCs w:val="44"/>
    </w:rPr>
  </w:style>
  <w:style w:type="paragraph" w:styleId="7">
    <w:name w:val="heading 2"/>
    <w:basedOn w:val="1"/>
    <w:next w:val="1"/>
    <w:link w:val="43"/>
    <w:qFormat/>
    <w:uiPriority w:val="0"/>
    <w:pPr>
      <w:keepNext/>
      <w:keepLines/>
      <w:spacing w:before="260" w:after="260" w:line="416" w:lineRule="auto"/>
      <w:outlineLvl w:val="1"/>
    </w:pPr>
    <w:rPr>
      <w:rFonts w:ascii="Arial" w:hAnsi="Arial" w:eastAsia="黑体" w:cs="Times New Roman"/>
      <w:b/>
      <w:bCs/>
      <w:sz w:val="32"/>
      <w:szCs w:val="32"/>
    </w:rPr>
  </w:style>
  <w:style w:type="paragraph" w:styleId="8">
    <w:name w:val="heading 3"/>
    <w:basedOn w:val="1"/>
    <w:next w:val="1"/>
    <w:link w:val="44"/>
    <w:qFormat/>
    <w:uiPriority w:val="0"/>
    <w:pPr>
      <w:keepNext/>
      <w:keepLines/>
      <w:spacing w:before="260" w:after="260" w:line="416" w:lineRule="auto"/>
      <w:outlineLvl w:val="2"/>
    </w:pPr>
    <w:rPr>
      <w:rFonts w:ascii="宋体" w:hAnsi="Times New Roman" w:eastAsia="宋体" w:cs="Times New Roman"/>
      <w:b/>
      <w:bCs/>
      <w:kern w:val="0"/>
      <w:sz w:val="32"/>
      <w:szCs w:val="32"/>
    </w:rPr>
  </w:style>
  <w:style w:type="paragraph" w:styleId="9">
    <w:name w:val="heading 4"/>
    <w:basedOn w:val="1"/>
    <w:next w:val="1"/>
    <w:link w:val="45"/>
    <w:qFormat/>
    <w:uiPriority w:val="0"/>
    <w:pPr>
      <w:keepNext/>
      <w:keepLines/>
      <w:spacing w:line="360" w:lineRule="auto"/>
      <w:outlineLvl w:val="3"/>
    </w:pPr>
    <w:rPr>
      <w:rFonts w:ascii="Arial" w:hAnsi="Arial" w:eastAsia="宋体" w:cs="Times New Roman"/>
      <w:b/>
      <w:bCs/>
      <w:kern w:val="0"/>
      <w:sz w:val="34"/>
      <w:szCs w:val="28"/>
    </w:rPr>
  </w:style>
  <w:style w:type="paragraph" w:styleId="10">
    <w:name w:val="heading 5"/>
    <w:basedOn w:val="1"/>
    <w:next w:val="1"/>
    <w:link w:val="46"/>
    <w:qFormat/>
    <w:uiPriority w:val="0"/>
    <w:pPr>
      <w:keepNext/>
      <w:keepLines/>
      <w:spacing w:before="280" w:after="290" w:line="376" w:lineRule="auto"/>
      <w:outlineLvl w:val="4"/>
    </w:pPr>
    <w:rPr>
      <w:rFonts w:ascii="宋体" w:hAnsi="Times New Roman" w:eastAsia="宋体" w:cs="Times New Roman"/>
      <w:b/>
      <w:bCs/>
      <w:kern w:val="0"/>
      <w:sz w:val="28"/>
      <w:szCs w:val="28"/>
    </w:rPr>
  </w:style>
  <w:style w:type="paragraph" w:styleId="11">
    <w:name w:val="heading 6"/>
    <w:basedOn w:val="1"/>
    <w:next w:val="1"/>
    <w:link w:val="47"/>
    <w:qFormat/>
    <w:uiPriority w:val="0"/>
    <w:pPr>
      <w:keepNext/>
      <w:keepLines/>
      <w:widowControl/>
      <w:tabs>
        <w:tab w:val="left" w:pos="1440"/>
      </w:tabs>
      <w:spacing w:before="240" w:after="64" w:line="320" w:lineRule="auto"/>
      <w:ind w:left="1152" w:hanging="1152"/>
      <w:jc w:val="left"/>
      <w:outlineLvl w:val="5"/>
    </w:pPr>
    <w:rPr>
      <w:rFonts w:ascii="Arial" w:hAnsi="Arial" w:eastAsia="黑体" w:cs="Times New Roman"/>
      <w:b/>
      <w:bCs/>
      <w:kern w:val="0"/>
      <w:sz w:val="24"/>
      <w:szCs w:val="20"/>
    </w:rPr>
  </w:style>
  <w:style w:type="paragraph" w:styleId="12">
    <w:name w:val="heading 7"/>
    <w:basedOn w:val="1"/>
    <w:next w:val="1"/>
    <w:link w:val="48"/>
    <w:qFormat/>
    <w:uiPriority w:val="0"/>
    <w:pPr>
      <w:keepNext/>
      <w:keepLines/>
      <w:widowControl/>
      <w:tabs>
        <w:tab w:val="left" w:pos="2520"/>
      </w:tabs>
      <w:spacing w:before="240" w:after="64" w:line="320" w:lineRule="auto"/>
      <w:ind w:left="1296" w:hanging="1296"/>
      <w:jc w:val="left"/>
      <w:outlineLvl w:val="6"/>
    </w:pPr>
    <w:rPr>
      <w:rFonts w:ascii="宋体" w:hAnsi="Times New Roman" w:eastAsia="宋体" w:cs="Times New Roman"/>
      <w:b/>
      <w:bCs/>
      <w:kern w:val="0"/>
      <w:sz w:val="24"/>
      <w:szCs w:val="20"/>
    </w:rPr>
  </w:style>
  <w:style w:type="paragraph" w:styleId="13">
    <w:name w:val="heading 8"/>
    <w:basedOn w:val="1"/>
    <w:next w:val="1"/>
    <w:link w:val="49"/>
    <w:qFormat/>
    <w:uiPriority w:val="0"/>
    <w:pPr>
      <w:keepNext/>
      <w:keepLines/>
      <w:widowControl/>
      <w:tabs>
        <w:tab w:val="left" w:pos="1440"/>
      </w:tabs>
      <w:spacing w:before="240" w:after="64" w:line="320" w:lineRule="auto"/>
      <w:ind w:left="1440" w:hanging="1440"/>
      <w:jc w:val="left"/>
      <w:outlineLvl w:val="7"/>
    </w:pPr>
    <w:rPr>
      <w:rFonts w:ascii="Arial" w:hAnsi="Arial" w:eastAsia="黑体" w:cs="Times New Roman"/>
      <w:kern w:val="0"/>
      <w:sz w:val="24"/>
      <w:szCs w:val="20"/>
    </w:rPr>
  </w:style>
  <w:style w:type="paragraph" w:styleId="14">
    <w:name w:val="heading 9"/>
    <w:basedOn w:val="1"/>
    <w:next w:val="1"/>
    <w:link w:val="50"/>
    <w:qFormat/>
    <w:uiPriority w:val="0"/>
    <w:pPr>
      <w:keepNext/>
      <w:keepLines/>
      <w:widowControl/>
      <w:tabs>
        <w:tab w:val="left" w:pos="1584"/>
      </w:tabs>
      <w:spacing w:before="240" w:after="64" w:line="320" w:lineRule="auto"/>
      <w:ind w:left="1584" w:hanging="1584"/>
      <w:jc w:val="left"/>
      <w:outlineLvl w:val="8"/>
    </w:pPr>
    <w:rPr>
      <w:rFonts w:ascii="Arial" w:hAnsi="Arial" w:eastAsia="黑体" w:cs="Times New Roman"/>
      <w:kern w:val="0"/>
      <w:sz w:val="34"/>
      <w:szCs w:val="21"/>
    </w:rPr>
  </w:style>
  <w:style w:type="character" w:default="1" w:styleId="31">
    <w:name w:val="Default Paragraph Font"/>
    <w:semiHidden/>
    <w:unhideWhenUsed/>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41"/>
    <w:qFormat/>
    <w:uiPriority w:val="99"/>
    <w:pPr>
      <w:ind w:firstLine="420" w:firstLineChars="100"/>
    </w:pPr>
    <w:rPr>
      <w:rFonts w:ascii="宋体" w:eastAsia="仿宋_GB2312"/>
      <w:b/>
      <w:sz w:val="34"/>
      <w:szCs w:val="32"/>
    </w:rPr>
  </w:style>
  <w:style w:type="paragraph" w:styleId="3">
    <w:name w:val="Body Text"/>
    <w:basedOn w:val="1"/>
    <w:link w:val="40"/>
    <w:unhideWhenUsed/>
    <w:qFormat/>
    <w:uiPriority w:val="0"/>
    <w:pPr>
      <w:spacing w:after="120"/>
    </w:pPr>
  </w:style>
  <w:style w:type="paragraph" w:styleId="4">
    <w:name w:val="Body Text First Indent 2"/>
    <w:basedOn w:val="5"/>
    <w:qFormat/>
    <w:uiPriority w:val="0"/>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paragraph" w:styleId="5">
    <w:name w:val="Body Text Indent"/>
    <w:basedOn w:val="1"/>
    <w:link w:val="89"/>
    <w:uiPriority w:val="0"/>
    <w:pPr>
      <w:spacing w:after="120"/>
      <w:ind w:left="420" w:leftChars="200"/>
    </w:pPr>
    <w:rPr>
      <w:rFonts w:ascii="宋体" w:hAnsi="Times New Roman" w:eastAsia="宋体" w:cs="Times New Roman"/>
      <w:kern w:val="0"/>
      <w:sz w:val="34"/>
      <w:szCs w:val="20"/>
    </w:rPr>
  </w:style>
  <w:style w:type="paragraph" w:styleId="15">
    <w:name w:val="Normal Indent"/>
    <w:basedOn w:val="1"/>
    <w:uiPriority w:val="0"/>
    <w:pPr>
      <w:ind w:firstLine="420" w:firstLineChars="200"/>
    </w:pPr>
    <w:rPr>
      <w:rFonts w:ascii="宋体" w:hAnsi="Times New Roman" w:eastAsia="宋体" w:cs="Times New Roman"/>
      <w:kern w:val="0"/>
      <w:sz w:val="34"/>
      <w:szCs w:val="20"/>
    </w:rPr>
  </w:style>
  <w:style w:type="paragraph" w:styleId="16">
    <w:name w:val="Document Map"/>
    <w:basedOn w:val="1"/>
    <w:link w:val="77"/>
    <w:semiHidden/>
    <w:qFormat/>
    <w:uiPriority w:val="0"/>
    <w:pPr>
      <w:shd w:val="clear" w:color="auto" w:fill="000080"/>
    </w:pPr>
    <w:rPr>
      <w:rFonts w:ascii="宋体" w:hAnsi="Times New Roman" w:eastAsia="宋体" w:cs="Times New Roman"/>
      <w:kern w:val="0"/>
      <w:sz w:val="34"/>
      <w:szCs w:val="20"/>
    </w:rPr>
  </w:style>
  <w:style w:type="paragraph" w:styleId="17">
    <w:name w:val="annotation text"/>
    <w:basedOn w:val="1"/>
    <w:link w:val="98"/>
    <w:qFormat/>
    <w:uiPriority w:val="0"/>
    <w:rPr>
      <w:rFonts w:ascii="宋体" w:hAnsi="Times New Roman" w:eastAsia="宋体" w:cs="Times New Roman"/>
      <w:kern w:val="0"/>
      <w:sz w:val="34"/>
      <w:szCs w:val="20"/>
    </w:rPr>
  </w:style>
  <w:style w:type="paragraph" w:styleId="18">
    <w:name w:val="Body Text 3"/>
    <w:basedOn w:val="1"/>
    <w:link w:val="95"/>
    <w:qFormat/>
    <w:uiPriority w:val="0"/>
    <w:rPr>
      <w:rFonts w:ascii="宋体" w:hAnsi="Times New Roman" w:eastAsia="宋体" w:cs="Times New Roman"/>
      <w:kern w:val="0"/>
      <w:sz w:val="24"/>
      <w:szCs w:val="20"/>
    </w:rPr>
  </w:style>
  <w:style w:type="paragraph" w:styleId="19">
    <w:name w:val="toc 3"/>
    <w:basedOn w:val="1"/>
    <w:next w:val="1"/>
    <w:qFormat/>
    <w:uiPriority w:val="39"/>
    <w:pPr>
      <w:ind w:left="840" w:leftChars="400"/>
    </w:pPr>
    <w:rPr>
      <w:rFonts w:ascii="宋体" w:hAnsi="Times New Roman" w:eastAsia="宋体" w:cs="Times New Roman"/>
      <w:kern w:val="0"/>
      <w:sz w:val="34"/>
      <w:szCs w:val="20"/>
    </w:rPr>
  </w:style>
  <w:style w:type="paragraph" w:styleId="20">
    <w:name w:val="Plain Text"/>
    <w:basedOn w:val="1"/>
    <w:link w:val="85"/>
    <w:qFormat/>
    <w:uiPriority w:val="0"/>
    <w:rPr>
      <w:rFonts w:ascii="宋体" w:hAnsi="Courier New" w:eastAsia="宋体" w:cs="Courier New"/>
      <w:szCs w:val="21"/>
    </w:rPr>
  </w:style>
  <w:style w:type="paragraph" w:styleId="21">
    <w:name w:val="Date"/>
    <w:basedOn w:val="1"/>
    <w:next w:val="1"/>
    <w:link w:val="92"/>
    <w:uiPriority w:val="0"/>
    <w:pPr>
      <w:ind w:left="100" w:leftChars="2500"/>
    </w:pPr>
    <w:rPr>
      <w:rFonts w:ascii="宋体" w:hAnsi="Times New Roman" w:eastAsia="宋体" w:cs="Times New Roman"/>
      <w:kern w:val="0"/>
      <w:sz w:val="34"/>
      <w:szCs w:val="20"/>
    </w:rPr>
  </w:style>
  <w:style w:type="paragraph" w:styleId="22">
    <w:name w:val="Body Text Indent 2"/>
    <w:basedOn w:val="1"/>
    <w:link w:val="102"/>
    <w:uiPriority w:val="0"/>
    <w:pPr>
      <w:spacing w:after="120" w:line="480" w:lineRule="auto"/>
      <w:ind w:left="420" w:leftChars="200"/>
    </w:pPr>
    <w:rPr>
      <w:rFonts w:ascii="宋体" w:hAnsi="Times New Roman" w:eastAsia="宋体" w:cs="Times New Roman"/>
      <w:kern w:val="0"/>
      <w:sz w:val="34"/>
      <w:szCs w:val="20"/>
    </w:rPr>
  </w:style>
  <w:style w:type="paragraph" w:styleId="23">
    <w:name w:val="Balloon Text"/>
    <w:basedOn w:val="1"/>
    <w:link w:val="80"/>
    <w:semiHidden/>
    <w:uiPriority w:val="0"/>
    <w:rPr>
      <w:rFonts w:ascii="宋体" w:hAnsi="Times New Roman" w:eastAsia="宋体" w:cs="Times New Roman"/>
      <w:kern w:val="0"/>
      <w:sz w:val="18"/>
      <w:szCs w:val="18"/>
    </w:rPr>
  </w:style>
  <w:style w:type="paragraph" w:styleId="24">
    <w:name w:val="footer"/>
    <w:basedOn w:val="1"/>
    <w:link w:val="38"/>
    <w:unhideWhenUsed/>
    <w:qFormat/>
    <w:uiPriority w:val="99"/>
    <w:pPr>
      <w:tabs>
        <w:tab w:val="center" w:pos="4153"/>
        <w:tab w:val="right" w:pos="8306"/>
      </w:tabs>
      <w:snapToGrid w:val="0"/>
      <w:jc w:val="left"/>
    </w:pPr>
    <w:rPr>
      <w:sz w:val="18"/>
      <w:szCs w:val="18"/>
    </w:rPr>
  </w:style>
  <w:style w:type="paragraph" w:styleId="25">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pPr>
      <w:tabs>
        <w:tab w:val="right" w:leader="dot" w:pos="9060"/>
      </w:tabs>
      <w:spacing w:line="580" w:lineRule="exact"/>
    </w:pPr>
    <w:rPr>
      <w:rFonts w:ascii="黑体" w:hAnsi="宋体" w:eastAsia="黑体" w:cs="TimesNewRomanPSMT"/>
      <w:kern w:val="0"/>
      <w:sz w:val="34"/>
      <w:szCs w:val="20"/>
    </w:rPr>
  </w:style>
  <w:style w:type="paragraph" w:styleId="27">
    <w:name w:val="Body Text Indent 3"/>
    <w:basedOn w:val="1"/>
    <w:link w:val="94"/>
    <w:uiPriority w:val="0"/>
    <w:pPr>
      <w:ind w:firstLine="420" w:firstLineChars="200"/>
    </w:pPr>
    <w:rPr>
      <w:rFonts w:ascii="宋体" w:hAnsi="宋体" w:eastAsia="宋体" w:cs="Times New Roman"/>
      <w:kern w:val="0"/>
      <w:sz w:val="34"/>
      <w:szCs w:val="20"/>
    </w:rPr>
  </w:style>
  <w:style w:type="paragraph" w:styleId="28">
    <w:name w:val="Normal (Web)"/>
    <w:basedOn w:val="1"/>
    <w:qFormat/>
    <w:uiPriority w:val="99"/>
    <w:pPr>
      <w:widowControl/>
      <w:spacing w:before="100" w:beforeAutospacing="1" w:after="100" w:afterAutospacing="1"/>
      <w:jc w:val="left"/>
    </w:pPr>
    <w:rPr>
      <w:rFonts w:ascii="宋体" w:hAnsi="宋体" w:eastAsia="宋体" w:cs="宋体"/>
      <w:kern w:val="0"/>
      <w:sz w:val="24"/>
      <w:szCs w:val="20"/>
    </w:rPr>
  </w:style>
  <w:style w:type="paragraph" w:styleId="29">
    <w:name w:val="Title"/>
    <w:basedOn w:val="1"/>
    <w:link w:val="88"/>
    <w:qFormat/>
    <w:uiPriority w:val="0"/>
    <w:pPr>
      <w:adjustRightInd w:val="0"/>
      <w:spacing w:before="240" w:after="60" w:line="420" w:lineRule="atLeast"/>
      <w:jc w:val="center"/>
      <w:textAlignment w:val="baseline"/>
      <w:outlineLvl w:val="0"/>
    </w:pPr>
    <w:rPr>
      <w:rFonts w:ascii="Arial" w:hAnsi="Arial" w:eastAsia="宋体" w:cs="Times New Roman"/>
      <w:b/>
      <w:kern w:val="0"/>
      <w:sz w:val="32"/>
      <w:szCs w:val="20"/>
    </w:rPr>
  </w:style>
  <w:style w:type="character" w:styleId="32">
    <w:name w:val="Strong"/>
    <w:qFormat/>
    <w:uiPriority w:val="22"/>
    <w:rPr>
      <w:b/>
      <w:bCs/>
    </w:rPr>
  </w:style>
  <w:style w:type="character" w:styleId="33">
    <w:name w:val="page number"/>
    <w:basedOn w:val="31"/>
    <w:qFormat/>
    <w:uiPriority w:val="0"/>
    <w:rPr>
      <w:rFonts w:ascii="仿宋_GB2312" w:eastAsia="仿宋_GB2312"/>
      <w:b/>
      <w:sz w:val="32"/>
      <w:szCs w:val="32"/>
    </w:rPr>
  </w:style>
  <w:style w:type="character" w:styleId="34">
    <w:name w:val="FollowedHyperlink"/>
    <w:uiPriority w:val="0"/>
    <w:rPr>
      <w:color w:val="000000"/>
      <w:u w:val="none"/>
    </w:rPr>
  </w:style>
  <w:style w:type="character" w:styleId="35">
    <w:name w:val="Emphasis"/>
    <w:qFormat/>
    <w:uiPriority w:val="0"/>
    <w:rPr>
      <w:rFonts w:ascii="仿宋_GB2312" w:eastAsia="仿宋_GB2312"/>
      <w:sz w:val="32"/>
      <w:szCs w:val="32"/>
    </w:rPr>
  </w:style>
  <w:style w:type="character" w:styleId="36">
    <w:name w:val="Hyperlink"/>
    <w:basedOn w:val="31"/>
    <w:unhideWhenUsed/>
    <w:qFormat/>
    <w:uiPriority w:val="99"/>
    <w:rPr>
      <w:color w:val="000000"/>
      <w:u w:val="none"/>
    </w:rPr>
  </w:style>
  <w:style w:type="character" w:customStyle="1" w:styleId="37">
    <w:name w:val="页眉 Char"/>
    <w:basedOn w:val="31"/>
    <w:link w:val="25"/>
    <w:qFormat/>
    <w:uiPriority w:val="99"/>
    <w:rPr>
      <w:sz w:val="18"/>
      <w:szCs w:val="18"/>
    </w:rPr>
  </w:style>
  <w:style w:type="character" w:customStyle="1" w:styleId="38">
    <w:name w:val="页脚 Char"/>
    <w:basedOn w:val="31"/>
    <w:link w:val="24"/>
    <w:qFormat/>
    <w:uiPriority w:val="99"/>
    <w:rPr>
      <w:sz w:val="18"/>
      <w:szCs w:val="18"/>
    </w:rPr>
  </w:style>
  <w:style w:type="character" w:customStyle="1" w:styleId="39">
    <w:name w:val="正文首行缩进 Char"/>
    <w:basedOn w:val="31"/>
    <w:link w:val="2"/>
    <w:qFormat/>
    <w:uiPriority w:val="99"/>
    <w:rPr>
      <w:rFonts w:ascii="宋体" w:eastAsia="仿宋_GB2312"/>
      <w:b/>
      <w:sz w:val="34"/>
      <w:szCs w:val="32"/>
    </w:rPr>
  </w:style>
  <w:style w:type="character" w:customStyle="1" w:styleId="40">
    <w:name w:val="正文文本 Char"/>
    <w:basedOn w:val="31"/>
    <w:link w:val="3"/>
    <w:semiHidden/>
    <w:qFormat/>
    <w:uiPriority w:val="99"/>
  </w:style>
  <w:style w:type="character" w:customStyle="1" w:styleId="41">
    <w:name w:val="正文首行缩进 Char1"/>
    <w:basedOn w:val="40"/>
    <w:link w:val="2"/>
    <w:semiHidden/>
    <w:uiPriority w:val="99"/>
  </w:style>
  <w:style w:type="character" w:customStyle="1" w:styleId="42">
    <w:name w:val="标题 1 Char"/>
    <w:basedOn w:val="31"/>
    <w:link w:val="6"/>
    <w:uiPriority w:val="0"/>
    <w:rPr>
      <w:rFonts w:ascii="宋体" w:hAnsi="Times New Roman" w:eastAsia="宋体" w:cs="Times New Roman"/>
      <w:b/>
      <w:bCs/>
      <w:kern w:val="44"/>
      <w:sz w:val="44"/>
      <w:szCs w:val="44"/>
    </w:rPr>
  </w:style>
  <w:style w:type="character" w:customStyle="1" w:styleId="43">
    <w:name w:val="标题 2 Char"/>
    <w:basedOn w:val="31"/>
    <w:link w:val="7"/>
    <w:uiPriority w:val="0"/>
    <w:rPr>
      <w:rFonts w:ascii="Arial" w:hAnsi="Arial" w:eastAsia="黑体" w:cs="Times New Roman"/>
      <w:b/>
      <w:bCs/>
      <w:sz w:val="32"/>
      <w:szCs w:val="32"/>
    </w:rPr>
  </w:style>
  <w:style w:type="character" w:customStyle="1" w:styleId="44">
    <w:name w:val="标题 3 Char"/>
    <w:basedOn w:val="31"/>
    <w:link w:val="8"/>
    <w:uiPriority w:val="0"/>
    <w:rPr>
      <w:rFonts w:ascii="宋体" w:hAnsi="Times New Roman" w:eastAsia="宋体" w:cs="Times New Roman"/>
      <w:b/>
      <w:bCs/>
      <w:kern w:val="0"/>
      <w:sz w:val="32"/>
      <w:szCs w:val="32"/>
    </w:rPr>
  </w:style>
  <w:style w:type="character" w:customStyle="1" w:styleId="45">
    <w:name w:val="标题 4 Char"/>
    <w:basedOn w:val="31"/>
    <w:link w:val="9"/>
    <w:uiPriority w:val="0"/>
    <w:rPr>
      <w:rFonts w:ascii="Arial" w:hAnsi="Arial" w:eastAsia="宋体" w:cs="Times New Roman"/>
      <w:b/>
      <w:bCs/>
      <w:kern w:val="0"/>
      <w:sz w:val="34"/>
      <w:szCs w:val="28"/>
    </w:rPr>
  </w:style>
  <w:style w:type="character" w:customStyle="1" w:styleId="46">
    <w:name w:val="标题 5 Char"/>
    <w:basedOn w:val="31"/>
    <w:link w:val="10"/>
    <w:uiPriority w:val="0"/>
    <w:rPr>
      <w:rFonts w:ascii="宋体" w:hAnsi="Times New Roman" w:eastAsia="宋体" w:cs="Times New Roman"/>
      <w:b/>
      <w:bCs/>
      <w:kern w:val="0"/>
      <w:sz w:val="28"/>
      <w:szCs w:val="28"/>
    </w:rPr>
  </w:style>
  <w:style w:type="character" w:customStyle="1" w:styleId="47">
    <w:name w:val="标题 6 Char"/>
    <w:basedOn w:val="31"/>
    <w:link w:val="11"/>
    <w:uiPriority w:val="0"/>
    <w:rPr>
      <w:rFonts w:ascii="Arial" w:hAnsi="Arial" w:eastAsia="黑体" w:cs="Times New Roman"/>
      <w:b/>
      <w:bCs/>
      <w:kern w:val="0"/>
      <w:sz w:val="24"/>
      <w:szCs w:val="20"/>
    </w:rPr>
  </w:style>
  <w:style w:type="character" w:customStyle="1" w:styleId="48">
    <w:name w:val="标题 7 Char"/>
    <w:basedOn w:val="31"/>
    <w:link w:val="12"/>
    <w:uiPriority w:val="0"/>
    <w:rPr>
      <w:rFonts w:ascii="宋体" w:hAnsi="Times New Roman" w:eastAsia="宋体" w:cs="Times New Roman"/>
      <w:b/>
      <w:bCs/>
      <w:kern w:val="0"/>
      <w:sz w:val="24"/>
      <w:szCs w:val="20"/>
    </w:rPr>
  </w:style>
  <w:style w:type="character" w:customStyle="1" w:styleId="49">
    <w:name w:val="标题 8 Char"/>
    <w:basedOn w:val="31"/>
    <w:link w:val="13"/>
    <w:uiPriority w:val="0"/>
    <w:rPr>
      <w:rFonts w:ascii="Arial" w:hAnsi="Arial" w:eastAsia="黑体" w:cs="Times New Roman"/>
      <w:kern w:val="0"/>
      <w:sz w:val="24"/>
      <w:szCs w:val="20"/>
    </w:rPr>
  </w:style>
  <w:style w:type="character" w:customStyle="1" w:styleId="50">
    <w:name w:val="标题 9 Char"/>
    <w:basedOn w:val="31"/>
    <w:link w:val="14"/>
    <w:uiPriority w:val="0"/>
    <w:rPr>
      <w:rFonts w:ascii="Arial" w:hAnsi="Arial" w:eastAsia="黑体" w:cs="Times New Roman"/>
      <w:kern w:val="0"/>
      <w:sz w:val="34"/>
      <w:szCs w:val="21"/>
    </w:rPr>
  </w:style>
  <w:style w:type="character" w:customStyle="1" w:styleId="51">
    <w:name w:val="green"/>
    <w:uiPriority w:val="0"/>
    <w:rPr>
      <w:rFonts w:ascii="仿宋_GB2312" w:eastAsia="仿宋_GB2312"/>
      <w:b/>
      <w:color w:val="66AE00"/>
      <w:sz w:val="18"/>
      <w:szCs w:val="18"/>
    </w:rPr>
  </w:style>
  <w:style w:type="character" w:customStyle="1" w:styleId="52">
    <w:name w:val="red3"/>
    <w:basedOn w:val="31"/>
    <w:uiPriority w:val="0"/>
    <w:rPr>
      <w:rFonts w:ascii="仿宋_GB2312" w:eastAsia="仿宋_GB2312"/>
      <w:b/>
      <w:color w:val="CC0000"/>
      <w:sz w:val="32"/>
      <w:szCs w:val="32"/>
    </w:rPr>
  </w:style>
  <w:style w:type="character" w:customStyle="1" w:styleId="53">
    <w:name w:val="apple-converted-space"/>
    <w:basedOn w:val="31"/>
    <w:uiPriority w:val="0"/>
    <w:rPr>
      <w:rFonts w:ascii="仿宋_GB2312" w:eastAsia="仿宋_GB2312"/>
      <w:b/>
      <w:sz w:val="32"/>
      <w:szCs w:val="32"/>
    </w:rPr>
  </w:style>
  <w:style w:type="character" w:customStyle="1" w:styleId="54">
    <w:name w:val="textcontents"/>
    <w:basedOn w:val="31"/>
    <w:uiPriority w:val="0"/>
    <w:rPr>
      <w:rFonts w:ascii="仿宋_GB2312" w:eastAsia="仿宋_GB2312"/>
      <w:b/>
      <w:sz w:val="32"/>
      <w:szCs w:val="32"/>
    </w:rPr>
  </w:style>
  <w:style w:type="character" w:customStyle="1" w:styleId="55">
    <w:name w:val="red"/>
    <w:uiPriority w:val="0"/>
    <w:rPr>
      <w:rFonts w:ascii="仿宋_GB2312" w:eastAsia="仿宋_GB2312"/>
      <w:b/>
      <w:color w:val="FF0000"/>
      <w:sz w:val="18"/>
      <w:szCs w:val="18"/>
    </w:rPr>
  </w:style>
  <w:style w:type="character" w:customStyle="1" w:styleId="56">
    <w:name w:val="red1"/>
    <w:uiPriority w:val="0"/>
    <w:rPr>
      <w:rFonts w:ascii="仿宋_GB2312" w:eastAsia="仿宋_GB2312"/>
      <w:b/>
      <w:color w:val="FF0000"/>
      <w:sz w:val="18"/>
      <w:szCs w:val="18"/>
    </w:rPr>
  </w:style>
  <w:style w:type="character" w:customStyle="1" w:styleId="57">
    <w:name w:val="sl"/>
    <w:basedOn w:val="31"/>
    <w:uiPriority w:val="0"/>
    <w:rPr>
      <w:rFonts w:ascii="仿宋_GB2312" w:eastAsia="仿宋_GB2312"/>
      <w:b/>
      <w:sz w:val="32"/>
      <w:szCs w:val="32"/>
    </w:rPr>
  </w:style>
  <w:style w:type="character" w:customStyle="1" w:styleId="58">
    <w:name w:val="hover3"/>
    <w:uiPriority w:val="0"/>
    <w:rPr>
      <w:bdr w:val="single" w:color="FFCC33" w:sz="6" w:space="0"/>
    </w:rPr>
  </w:style>
  <w:style w:type="character" w:customStyle="1" w:styleId="59">
    <w:name w:val="lsl"/>
    <w:basedOn w:val="31"/>
    <w:uiPriority w:val="0"/>
    <w:rPr>
      <w:rFonts w:ascii="仿宋_GB2312" w:eastAsia="仿宋_GB2312"/>
      <w:b/>
      <w:sz w:val="32"/>
      <w:szCs w:val="32"/>
    </w:rPr>
  </w:style>
  <w:style w:type="character" w:customStyle="1" w:styleId="60">
    <w:name w:val="lsr"/>
    <w:basedOn w:val="31"/>
    <w:uiPriority w:val="0"/>
    <w:rPr>
      <w:rFonts w:ascii="仿宋_GB2312" w:eastAsia="仿宋_GB2312"/>
      <w:b/>
      <w:sz w:val="32"/>
      <w:szCs w:val="32"/>
    </w:rPr>
  </w:style>
  <w:style w:type="character" w:customStyle="1" w:styleId="61">
    <w:name w:val="gb-jt"/>
    <w:basedOn w:val="31"/>
    <w:uiPriority w:val="0"/>
    <w:rPr>
      <w:rFonts w:ascii="仿宋_GB2312" w:eastAsia="仿宋_GB2312"/>
      <w:b/>
      <w:sz w:val="32"/>
      <w:szCs w:val="32"/>
    </w:rPr>
  </w:style>
  <w:style w:type="character" w:customStyle="1" w:styleId="62">
    <w:name w:val="down1"/>
    <w:uiPriority w:val="0"/>
    <w:rPr>
      <w:rFonts w:ascii="仿宋_GB2312" w:eastAsia="仿宋_GB2312"/>
      <w:b/>
      <w:sz w:val="32"/>
      <w:szCs w:val="32"/>
      <w:shd w:val="clear" w:color="auto" w:fill="DAEEF9"/>
    </w:rPr>
  </w:style>
  <w:style w:type="character" w:customStyle="1" w:styleId="63">
    <w:name w:val="font161"/>
    <w:uiPriority w:val="0"/>
    <w:rPr>
      <w:b/>
      <w:bCs/>
      <w:sz w:val="32"/>
      <w:szCs w:val="32"/>
    </w:rPr>
  </w:style>
  <w:style w:type="character" w:customStyle="1" w:styleId="64">
    <w:name w:val="cpb"/>
    <w:uiPriority w:val="0"/>
    <w:rPr>
      <w:color w:val="FFFFFF"/>
    </w:rPr>
  </w:style>
  <w:style w:type="character" w:customStyle="1" w:styleId="65">
    <w:name w:val="sr"/>
    <w:basedOn w:val="31"/>
    <w:uiPriority w:val="0"/>
    <w:rPr>
      <w:rFonts w:ascii="仿宋_GB2312" w:eastAsia="仿宋_GB2312"/>
      <w:b/>
      <w:sz w:val="32"/>
      <w:szCs w:val="32"/>
    </w:rPr>
  </w:style>
  <w:style w:type="character" w:customStyle="1" w:styleId="66">
    <w:name w:val="15"/>
    <w:qFormat/>
    <w:uiPriority w:val="0"/>
    <w:rPr>
      <w:rFonts w:hint="default" w:ascii="Times New Roman" w:hAnsi="Times New Roman" w:cs="Times New Roman"/>
      <w:color w:val="0000FF"/>
      <w:u w:val="single"/>
    </w:rPr>
  </w:style>
  <w:style w:type="character" w:customStyle="1" w:styleId="67">
    <w:name w:val="red2"/>
    <w:uiPriority w:val="0"/>
    <w:rPr>
      <w:rFonts w:ascii="仿宋_GB2312" w:eastAsia="仿宋_GB2312"/>
      <w:b/>
      <w:color w:val="FF0000"/>
      <w:sz w:val="32"/>
      <w:szCs w:val="32"/>
    </w:rPr>
  </w:style>
  <w:style w:type="character" w:customStyle="1" w:styleId="68">
    <w:name w:val="down"/>
    <w:uiPriority w:val="0"/>
    <w:rPr>
      <w:shd w:val="clear" w:color="auto" w:fill="DAEEF9"/>
    </w:rPr>
  </w:style>
  <w:style w:type="character" w:customStyle="1" w:styleId="69">
    <w:name w:val="green1"/>
    <w:uiPriority w:val="0"/>
    <w:rPr>
      <w:rFonts w:ascii="仿宋_GB2312" w:eastAsia="仿宋_GB2312"/>
      <w:b/>
      <w:color w:val="66AE00"/>
      <w:sz w:val="18"/>
      <w:szCs w:val="18"/>
    </w:rPr>
  </w:style>
  <w:style w:type="character" w:customStyle="1" w:styleId="70">
    <w:name w:val="blue"/>
    <w:uiPriority w:val="0"/>
    <w:rPr>
      <w:rFonts w:ascii="仿宋_GB2312" w:eastAsia="仿宋_GB2312"/>
      <w:b/>
      <w:color w:val="0371C6"/>
      <w:sz w:val="21"/>
      <w:szCs w:val="21"/>
    </w:rPr>
  </w:style>
  <w:style w:type="character" w:customStyle="1" w:styleId="71">
    <w:name w:val="纯文本 Char"/>
    <w:link w:val="20"/>
    <w:uiPriority w:val="0"/>
    <w:rPr>
      <w:rFonts w:ascii="宋体" w:hAnsi="Courier New" w:eastAsia="宋体" w:cs="Courier New"/>
      <w:szCs w:val="21"/>
    </w:rPr>
  </w:style>
  <w:style w:type="character" w:customStyle="1" w:styleId="72">
    <w:name w:val="tit"/>
    <w:basedOn w:val="31"/>
    <w:uiPriority w:val="0"/>
    <w:rPr>
      <w:rFonts w:ascii="仿宋_GB2312" w:eastAsia="仿宋_GB2312"/>
      <w:b/>
      <w:sz w:val="32"/>
      <w:szCs w:val="32"/>
    </w:rPr>
  </w:style>
  <w:style w:type="character" w:customStyle="1" w:styleId="73">
    <w:name w:val="hover25"/>
    <w:basedOn w:val="31"/>
    <w:uiPriority w:val="0"/>
    <w:rPr>
      <w:rFonts w:ascii="仿宋_GB2312" w:eastAsia="仿宋_GB2312"/>
      <w:b/>
      <w:sz w:val="32"/>
      <w:szCs w:val="32"/>
    </w:rPr>
  </w:style>
  <w:style w:type="character" w:customStyle="1" w:styleId="74">
    <w:name w:val="up"/>
    <w:basedOn w:val="31"/>
    <w:uiPriority w:val="0"/>
    <w:rPr>
      <w:rFonts w:ascii="仿宋_GB2312" w:eastAsia="仿宋_GB2312"/>
      <w:b/>
      <w:sz w:val="32"/>
      <w:szCs w:val="32"/>
    </w:rPr>
  </w:style>
  <w:style w:type="character" w:customStyle="1" w:styleId="75">
    <w:name w:val="right"/>
    <w:uiPriority w:val="0"/>
    <w:rPr>
      <w:rFonts w:ascii="仿宋_GB2312" w:eastAsia="仿宋_GB2312"/>
      <w:b/>
      <w:color w:val="999999"/>
      <w:sz w:val="18"/>
      <w:szCs w:val="18"/>
    </w:rPr>
  </w:style>
  <w:style w:type="character" w:customStyle="1" w:styleId="76">
    <w:name w:val="tit1"/>
    <w:basedOn w:val="31"/>
    <w:uiPriority w:val="0"/>
    <w:rPr>
      <w:rFonts w:ascii="仿宋_GB2312" w:eastAsia="仿宋_GB2312"/>
      <w:b/>
      <w:sz w:val="32"/>
      <w:szCs w:val="32"/>
    </w:rPr>
  </w:style>
  <w:style w:type="character" w:customStyle="1" w:styleId="77">
    <w:name w:val="文档结构图 Char"/>
    <w:basedOn w:val="31"/>
    <w:link w:val="16"/>
    <w:semiHidden/>
    <w:uiPriority w:val="0"/>
    <w:rPr>
      <w:rFonts w:ascii="宋体" w:hAnsi="Times New Roman" w:eastAsia="宋体" w:cs="Times New Roman"/>
      <w:kern w:val="0"/>
      <w:sz w:val="34"/>
      <w:szCs w:val="20"/>
      <w:shd w:val="clear" w:color="auto" w:fill="000080"/>
    </w:rPr>
  </w:style>
  <w:style w:type="paragraph" w:customStyle="1" w:styleId="78">
    <w:name w:val="Char Char Char Char Char Char Char Char Char Char Char Char Char Char Char Char"/>
    <w:basedOn w:val="1"/>
    <w:qFormat/>
    <w:uiPriority w:val="0"/>
    <w:pPr>
      <w:snapToGrid w:val="0"/>
      <w:spacing w:line="360" w:lineRule="auto"/>
      <w:ind w:firstLine="200" w:firstLineChars="200"/>
    </w:pPr>
    <w:rPr>
      <w:rFonts w:ascii="Times New Roman" w:hAnsi="Times New Roman" w:eastAsia="宋体" w:cs="Times New Roman"/>
      <w:szCs w:val="24"/>
    </w:rPr>
  </w:style>
  <w:style w:type="paragraph" w:customStyle="1" w:styleId="79">
    <w:name w:val="cjk"/>
    <w:basedOn w:val="1"/>
    <w:qFormat/>
    <w:uiPriority w:val="0"/>
    <w:pPr>
      <w:widowControl/>
      <w:jc w:val="left"/>
    </w:pPr>
    <w:rPr>
      <w:rFonts w:ascii="宋体" w:hAnsi="宋体" w:eastAsia="宋体" w:cs="宋体"/>
      <w:kern w:val="0"/>
      <w:sz w:val="24"/>
      <w:szCs w:val="24"/>
    </w:rPr>
  </w:style>
  <w:style w:type="character" w:customStyle="1" w:styleId="80">
    <w:name w:val="批注框文本 Char"/>
    <w:basedOn w:val="31"/>
    <w:link w:val="23"/>
    <w:semiHidden/>
    <w:uiPriority w:val="0"/>
    <w:rPr>
      <w:rFonts w:ascii="宋体" w:hAnsi="Times New Roman" w:eastAsia="宋体" w:cs="Times New Roman"/>
      <w:kern w:val="0"/>
      <w:sz w:val="18"/>
      <w:szCs w:val="18"/>
    </w:rPr>
  </w:style>
  <w:style w:type="paragraph" w:customStyle="1" w:styleId="81">
    <w:name w:val="列出段落1"/>
    <w:basedOn w:val="1"/>
    <w:qFormat/>
    <w:uiPriority w:val="0"/>
    <w:pPr>
      <w:adjustRightInd w:val="0"/>
      <w:snapToGrid w:val="0"/>
      <w:spacing w:line="360" w:lineRule="auto"/>
      <w:ind w:firstLine="420" w:firstLineChars="200"/>
    </w:pPr>
    <w:rPr>
      <w:rFonts w:ascii="宋体" w:hAnsi="Times New Roman" w:eastAsia="宋体" w:cs="Times New Roman"/>
      <w:color w:val="000000"/>
      <w:kern w:val="0"/>
      <w:sz w:val="34"/>
      <w:szCs w:val="21"/>
    </w:rPr>
  </w:style>
  <w:style w:type="paragraph" w:customStyle="1" w:styleId="82">
    <w:name w:val="Char"/>
    <w:basedOn w:val="1"/>
    <w:uiPriority w:val="0"/>
    <w:rPr>
      <w:rFonts w:ascii="仿宋_GB2312" w:hAnsi="Times New Roman" w:eastAsia="仿宋_GB2312" w:cs="Times New Roman"/>
      <w:b/>
      <w:kern w:val="0"/>
      <w:sz w:val="32"/>
      <w:szCs w:val="32"/>
    </w:rPr>
  </w:style>
  <w:style w:type="paragraph" w:customStyle="1" w:styleId="83">
    <w:name w:val="样式 标题 2 + Times New Roman 四号 非加粗 段前: 5 磅 段后: 0 磅 行距: 固定值 20..."/>
    <w:basedOn w:val="7"/>
    <w:qFormat/>
    <w:uiPriority w:val="0"/>
    <w:pPr>
      <w:spacing w:before="100" w:after="0" w:line="400" w:lineRule="exact"/>
    </w:pPr>
    <w:rPr>
      <w:rFonts w:ascii="Times New Roman" w:hAnsi="Times New Roman" w:cs="宋体"/>
      <w:b w:val="0"/>
      <w:bCs w:val="0"/>
      <w:sz w:val="28"/>
      <w:szCs w:val="20"/>
    </w:rPr>
  </w:style>
  <w:style w:type="paragraph" w:customStyle="1" w:styleId="84">
    <w:name w:val="p0"/>
    <w:basedOn w:val="1"/>
    <w:uiPriority w:val="0"/>
    <w:pPr>
      <w:widowControl/>
      <w:spacing w:line="408" w:lineRule="auto"/>
      <w:ind w:left="1"/>
      <w:textAlignment w:val="bottom"/>
    </w:pPr>
    <w:rPr>
      <w:rFonts w:ascii="宋体" w:hAnsi="Times New Roman" w:eastAsia="宋体" w:cs="Times New Roman"/>
      <w:color w:val="000000"/>
      <w:kern w:val="0"/>
      <w:sz w:val="34"/>
      <w:szCs w:val="20"/>
    </w:rPr>
  </w:style>
  <w:style w:type="character" w:customStyle="1" w:styleId="85">
    <w:name w:val="纯文本 Char1"/>
    <w:basedOn w:val="31"/>
    <w:link w:val="20"/>
    <w:semiHidden/>
    <w:uiPriority w:val="99"/>
    <w:rPr>
      <w:rFonts w:ascii="宋体" w:hAnsi="Courier New" w:eastAsia="宋体" w:cs="Courier New"/>
      <w:szCs w:val="21"/>
    </w:rPr>
  </w:style>
  <w:style w:type="paragraph" w:customStyle="1" w:styleId="86">
    <w:name w:val="样式 标题 3 + (中文) 黑体 小四 非加粗 段前: 7.8 磅 段后: 0 磅 行距: 固定值 20 磅"/>
    <w:basedOn w:val="8"/>
    <w:uiPriority w:val="0"/>
    <w:pPr>
      <w:spacing w:before="0" w:after="0" w:line="400" w:lineRule="exact"/>
    </w:pPr>
    <w:rPr>
      <w:rFonts w:eastAsia="黑体" w:cs="宋体"/>
      <w:b w:val="0"/>
      <w:bCs w:val="0"/>
      <w:sz w:val="24"/>
      <w:szCs w:val="20"/>
    </w:rPr>
  </w:style>
  <w:style w:type="paragraph" w:customStyle="1" w:styleId="87">
    <w:name w:val="z-窗体底端1"/>
    <w:basedOn w:val="1"/>
    <w:next w:val="1"/>
    <w:uiPriority w:val="0"/>
    <w:pPr>
      <w:pBdr>
        <w:top w:val="single" w:color="auto" w:sz="6" w:space="1"/>
      </w:pBdr>
      <w:jc w:val="center"/>
    </w:pPr>
    <w:rPr>
      <w:rFonts w:ascii="Arial" w:hAnsi="Times New Roman" w:eastAsia="宋体" w:cs="Times New Roman"/>
      <w:vanish/>
      <w:kern w:val="0"/>
      <w:sz w:val="16"/>
      <w:szCs w:val="20"/>
    </w:rPr>
  </w:style>
  <w:style w:type="character" w:customStyle="1" w:styleId="88">
    <w:name w:val="标题 Char"/>
    <w:basedOn w:val="31"/>
    <w:link w:val="29"/>
    <w:uiPriority w:val="0"/>
    <w:rPr>
      <w:rFonts w:ascii="Arial" w:hAnsi="Arial" w:eastAsia="宋体" w:cs="Times New Roman"/>
      <w:b/>
      <w:kern w:val="0"/>
      <w:sz w:val="32"/>
      <w:szCs w:val="20"/>
    </w:rPr>
  </w:style>
  <w:style w:type="character" w:customStyle="1" w:styleId="89">
    <w:name w:val="正文文本缩进 Char"/>
    <w:basedOn w:val="31"/>
    <w:link w:val="5"/>
    <w:uiPriority w:val="0"/>
    <w:rPr>
      <w:rFonts w:ascii="宋体" w:hAnsi="Times New Roman" w:eastAsia="宋体" w:cs="Times New Roman"/>
      <w:kern w:val="0"/>
      <w:sz w:val="34"/>
      <w:szCs w:val="20"/>
    </w:rPr>
  </w:style>
  <w:style w:type="paragraph" w:customStyle="1" w:styleId="90">
    <w:name w:val="默认段落字体 Para Char Char Char Char Char Char Char"/>
    <w:basedOn w:val="1"/>
    <w:uiPriority w:val="0"/>
    <w:rPr>
      <w:rFonts w:ascii="Tahoma" w:hAnsi="Tahoma" w:eastAsia="宋体" w:cs="Times New Roman"/>
      <w:kern w:val="0"/>
      <w:sz w:val="24"/>
      <w:szCs w:val="20"/>
    </w:rPr>
  </w:style>
  <w:style w:type="paragraph" w:customStyle="1" w:styleId="91">
    <w:name w:val="正文 + 自动设置"/>
    <w:basedOn w:val="6"/>
    <w:uiPriority w:val="0"/>
    <w:pPr>
      <w:tabs>
        <w:tab w:val="left" w:pos="840"/>
      </w:tabs>
      <w:spacing w:before="360" w:after="360" w:line="480" w:lineRule="auto"/>
      <w:jc w:val="center"/>
    </w:pPr>
    <w:rPr>
      <w:rFonts w:eastAsia="黑体"/>
      <w:bCs w:val="0"/>
      <w:sz w:val="36"/>
      <w:szCs w:val="20"/>
    </w:rPr>
  </w:style>
  <w:style w:type="character" w:customStyle="1" w:styleId="92">
    <w:name w:val="日期 Char"/>
    <w:basedOn w:val="31"/>
    <w:link w:val="21"/>
    <w:uiPriority w:val="0"/>
    <w:rPr>
      <w:rFonts w:ascii="宋体" w:hAnsi="Times New Roman" w:eastAsia="宋体" w:cs="Times New Roman"/>
      <w:kern w:val="0"/>
      <w:sz w:val="34"/>
      <w:szCs w:val="20"/>
    </w:rPr>
  </w:style>
  <w:style w:type="paragraph" w:customStyle="1" w:styleId="93">
    <w:name w:val="样式 标题 1 + 黑体 三号 非加粗 居中 段前: 6 磅 段后: 6 磅 行距: 固定值 20 磅"/>
    <w:basedOn w:val="6"/>
    <w:uiPriority w:val="0"/>
    <w:pPr>
      <w:spacing w:before="120" w:after="120" w:line="400" w:lineRule="exact"/>
      <w:jc w:val="center"/>
    </w:pPr>
    <w:rPr>
      <w:rFonts w:ascii="黑体" w:hAnsi="黑体" w:eastAsia="黑体" w:cs="宋体"/>
      <w:b w:val="0"/>
      <w:bCs w:val="0"/>
      <w:sz w:val="32"/>
      <w:szCs w:val="20"/>
    </w:rPr>
  </w:style>
  <w:style w:type="character" w:customStyle="1" w:styleId="94">
    <w:name w:val="正文文本缩进 3 Char"/>
    <w:basedOn w:val="31"/>
    <w:link w:val="27"/>
    <w:uiPriority w:val="0"/>
    <w:rPr>
      <w:rFonts w:ascii="宋体" w:hAnsi="宋体" w:eastAsia="宋体" w:cs="Times New Roman"/>
      <w:kern w:val="0"/>
      <w:sz w:val="34"/>
      <w:szCs w:val="20"/>
    </w:rPr>
  </w:style>
  <w:style w:type="character" w:customStyle="1" w:styleId="95">
    <w:name w:val="正文文本 3 Char"/>
    <w:basedOn w:val="31"/>
    <w:link w:val="18"/>
    <w:uiPriority w:val="0"/>
    <w:rPr>
      <w:rFonts w:ascii="宋体" w:hAnsi="Times New Roman" w:eastAsia="宋体" w:cs="Times New Roman"/>
      <w:kern w:val="0"/>
      <w:sz w:val="24"/>
      <w:szCs w:val="20"/>
    </w:rPr>
  </w:style>
  <w:style w:type="paragraph" w:customStyle="1" w:styleId="96">
    <w:name w:val="Char1"/>
    <w:basedOn w:val="1"/>
    <w:uiPriority w:val="0"/>
    <w:pPr>
      <w:adjustRightInd w:val="0"/>
      <w:spacing w:line="600" w:lineRule="exact"/>
      <w:ind w:firstLine="560" w:firstLineChars="200"/>
      <w:jc w:val="center"/>
    </w:pPr>
    <w:rPr>
      <w:rFonts w:ascii="宋体" w:hAnsi="Times New Roman" w:eastAsia="宋体" w:cs="Times New Roman"/>
      <w:kern w:val="0"/>
      <w:sz w:val="34"/>
      <w:szCs w:val="20"/>
    </w:rPr>
  </w:style>
  <w:style w:type="paragraph" w:customStyle="1" w:styleId="97">
    <w:name w:val="正文1"/>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98">
    <w:name w:val="批注文字 Char"/>
    <w:basedOn w:val="31"/>
    <w:link w:val="17"/>
    <w:uiPriority w:val="0"/>
    <w:rPr>
      <w:rFonts w:ascii="宋体" w:hAnsi="Times New Roman" w:eastAsia="宋体" w:cs="Times New Roman"/>
      <w:kern w:val="0"/>
      <w:sz w:val="34"/>
      <w:szCs w:val="20"/>
    </w:rPr>
  </w:style>
  <w:style w:type="paragraph" w:customStyle="1" w:styleId="9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0">
    <w:name w:val="表格文字"/>
    <w:basedOn w:val="1"/>
    <w:qFormat/>
    <w:uiPriority w:val="0"/>
    <w:pPr>
      <w:adjustRightInd w:val="0"/>
      <w:spacing w:line="420" w:lineRule="atLeast"/>
      <w:jc w:val="left"/>
      <w:textAlignment w:val="baseline"/>
    </w:pPr>
    <w:rPr>
      <w:rFonts w:ascii="宋体" w:hAnsi="Times New Roman" w:eastAsia="宋体" w:cs="Times New Roman"/>
      <w:kern w:val="0"/>
      <w:sz w:val="34"/>
      <w:szCs w:val="20"/>
    </w:rPr>
  </w:style>
  <w:style w:type="paragraph" w:customStyle="1" w:styleId="101">
    <w:name w:val="6'"/>
    <w:basedOn w:val="1"/>
    <w:qFormat/>
    <w:uiPriority w:val="0"/>
    <w:pPr>
      <w:autoSpaceDE w:val="0"/>
      <w:autoSpaceDN w:val="0"/>
      <w:adjustRightInd w:val="0"/>
      <w:snapToGrid w:val="0"/>
      <w:spacing w:line="320" w:lineRule="exact"/>
      <w:jc w:val="center"/>
      <w:textAlignment w:val="baseline"/>
    </w:pPr>
    <w:rPr>
      <w:rFonts w:ascii="宋体" w:hAnsi="Times New Roman" w:eastAsia="宋体" w:cs="Times New Roman"/>
      <w:spacing w:val="20"/>
      <w:kern w:val="28"/>
      <w:sz w:val="34"/>
      <w:szCs w:val="20"/>
    </w:rPr>
  </w:style>
  <w:style w:type="character" w:customStyle="1" w:styleId="102">
    <w:name w:val="正文文本缩进 2 Char"/>
    <w:basedOn w:val="31"/>
    <w:link w:val="22"/>
    <w:uiPriority w:val="0"/>
    <w:rPr>
      <w:rFonts w:ascii="宋体" w:hAnsi="Times New Roman" w:eastAsia="宋体" w:cs="Times New Roman"/>
      <w:kern w:val="0"/>
      <w:sz w:val="34"/>
      <w:szCs w:val="20"/>
    </w:rPr>
  </w:style>
  <w:style w:type="paragraph" w:customStyle="1" w:styleId="103">
    <w:name w:val="WPSOffice手动目录 1"/>
    <w:uiPriority w:val="0"/>
    <w:rPr>
      <w:rFonts w:ascii="Times New Roman" w:hAnsi="Times New Roman" w:eastAsia="宋体" w:cs="Times New Roman"/>
      <w:lang w:val="en-US" w:eastAsia="zh-CN" w:bidi="ar-SA"/>
    </w:rPr>
  </w:style>
  <w:style w:type="paragraph" w:customStyle="1" w:styleId="104">
    <w:name w:val="1"/>
    <w:basedOn w:val="1"/>
    <w:next w:val="1"/>
    <w:qFormat/>
    <w:uiPriority w:val="0"/>
    <w:rPr>
      <w:rFonts w:ascii="宋体" w:hAnsi="Times New Roman" w:eastAsia="宋体" w:cs="Times New Roman"/>
      <w:kern w:val="0"/>
      <w:sz w:val="34"/>
      <w:szCs w:val="20"/>
    </w:rPr>
  </w:style>
  <w:style w:type="paragraph" w:customStyle="1" w:styleId="105">
    <w:name w:val="Char2"/>
    <w:basedOn w:val="1"/>
    <w:qFormat/>
    <w:uiPriority w:val="0"/>
    <w:rPr>
      <w:rFonts w:ascii="仿宋_GB2312" w:hAnsi="Times New Roman" w:eastAsia="仿宋_GB2312" w:cs="Times New Roman"/>
      <w:b/>
      <w:kern w:val="0"/>
      <w:sz w:val="32"/>
      <w:szCs w:val="32"/>
    </w:rPr>
  </w:style>
  <w:style w:type="paragraph" w:customStyle="1" w:styleId="106">
    <w:name w:val="表格"/>
    <w:basedOn w:val="1"/>
    <w:uiPriority w:val="0"/>
    <w:pPr>
      <w:jc w:val="center"/>
      <w:textAlignment w:val="center"/>
    </w:pPr>
    <w:rPr>
      <w:rFonts w:ascii="华文细黑" w:hAnsi="华文细黑" w:eastAsia="宋体" w:cs="Times New Roman"/>
      <w:kern w:val="0"/>
      <w:sz w:val="34"/>
      <w:szCs w:val="20"/>
    </w:rPr>
  </w:style>
  <w:style w:type="paragraph" w:customStyle="1" w:styleId="107">
    <w:name w:val="z-窗体顶端1"/>
    <w:basedOn w:val="1"/>
    <w:next w:val="1"/>
    <w:uiPriority w:val="0"/>
    <w:pPr>
      <w:pBdr>
        <w:bottom w:val="single" w:color="auto" w:sz="6" w:space="1"/>
      </w:pBdr>
      <w:jc w:val="center"/>
    </w:pPr>
    <w:rPr>
      <w:rFonts w:ascii="Arial" w:hAnsi="Times New Roman" w:eastAsia="宋体" w:cs="Times New Roman"/>
      <w:vanish/>
      <w:kern w:val="0"/>
      <w:sz w:val="16"/>
      <w:szCs w:val="20"/>
    </w:rPr>
  </w:style>
  <w:style w:type="paragraph" w:customStyle="1" w:styleId="108">
    <w:name w:val="TOC 标题1"/>
    <w:basedOn w:val="6"/>
    <w:next w:val="1"/>
    <w:qFormat/>
    <w:uiPriority w:val="39"/>
    <w:pPr>
      <w:widowControl/>
      <w:spacing w:before="480" w:after="0" w:line="276" w:lineRule="auto"/>
      <w:jc w:val="left"/>
      <w:outlineLvl w:val="9"/>
    </w:pPr>
    <w:rPr>
      <w:rFonts w:ascii="Cambria" w:hAnsi="Cambria"/>
      <w:color w:val="365F91"/>
      <w:kern w:val="0"/>
      <w:sz w:val="28"/>
      <w:szCs w:val="28"/>
    </w:rPr>
  </w:style>
  <w:style w:type="paragraph" w:styleId="109">
    <w:name w:val="List Paragraph"/>
    <w:basedOn w:val="1"/>
    <w:qFormat/>
    <w:uiPriority w:val="34"/>
    <w:pPr>
      <w:ind w:firstLine="420" w:firstLineChars="200"/>
    </w:pPr>
  </w:style>
  <w:style w:type="character" w:customStyle="1" w:styleId="110">
    <w:name w:val="hover24"/>
    <w:basedOn w:val="31"/>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37A2B8-CA4A-4FE4-940C-64FD51DC5D22}">
  <ds:schemaRefs/>
</ds:datastoreItem>
</file>

<file path=docProps/app.xml><?xml version="1.0" encoding="utf-8"?>
<Properties xmlns="http://schemas.openxmlformats.org/officeDocument/2006/extended-properties" xmlns:vt="http://schemas.openxmlformats.org/officeDocument/2006/docPropsVTypes">
  <Template>Normal</Template>
  <Pages>69</Pages>
  <Words>5818</Words>
  <Characters>33168</Characters>
  <Lines>276</Lines>
  <Paragraphs>77</Paragraphs>
  <TotalTime>10</TotalTime>
  <ScaleCrop>false</ScaleCrop>
  <LinksUpToDate>false</LinksUpToDate>
  <CharactersWithSpaces>38909</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2019-09-19T01:45:00Z</dcterms:created>
  <dc:creator>河南英华咨询有限公司:郝鹏远</dc:creator>
  <cp:lastModifiedBy>Administrator</cp:lastModifiedBy>
  <dcterms:modified xsi:type="dcterms:W3CDTF">2020-01-09T03:38:15Z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