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jc w:val="center"/>
        <w:rPr>
          <w:rFonts w:hint="eastAsia" w:ascii="黑体" w:hAnsi="黑体" w:eastAsia="黑体" w:cs="黑体"/>
          <w:b/>
          <w:bCs/>
          <w:color w:val="000000"/>
          <w:sz w:val="44"/>
          <w:szCs w:val="44"/>
          <w:u w:val="none"/>
          <w:shd w:val="clear" w:fill="FFFFFF"/>
          <w:lang w:val="en-US" w:eastAsia="zh-CN"/>
        </w:rPr>
      </w:pPr>
      <w:r>
        <w:rPr>
          <w:rFonts w:hint="eastAsia" w:ascii="黑体" w:hAnsi="黑体" w:eastAsia="黑体" w:cs="黑体"/>
          <w:b/>
          <w:bCs/>
          <w:sz w:val="44"/>
          <w:szCs w:val="44"/>
        </w:rPr>
        <w:t>禹州市</w:t>
      </w:r>
      <w:r>
        <w:rPr>
          <w:rFonts w:hint="eastAsia" w:ascii="黑体" w:hAnsi="黑体" w:eastAsia="黑体" w:cs="黑体"/>
          <w:b/>
          <w:bCs/>
          <w:sz w:val="44"/>
          <w:szCs w:val="44"/>
          <w:lang w:val="en-US" w:eastAsia="zh-CN"/>
        </w:rPr>
        <w:t>武警中队“智慧磐石”执勤装备采购项目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cs="仿宋"/>
          <w:sz w:val="32"/>
          <w:szCs w:val="32"/>
          <w:lang w:val="en-US" w:eastAsia="zh-CN"/>
        </w:rPr>
        <w:t>禹州市公安局</w:t>
      </w:r>
      <w:r>
        <w:rPr>
          <w:rFonts w:hint="eastAsia" w:ascii="仿宋" w:hAnsi="仿宋" w:eastAsia="仿宋" w:cs="仿宋"/>
          <w:sz w:val="32"/>
          <w:szCs w:val="32"/>
        </w:rPr>
        <w:t xml:space="preserve"> </w:t>
      </w:r>
    </w:p>
    <w:p>
      <w:pPr>
        <w:pStyle w:val="2"/>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2、项目名称：</w:t>
      </w:r>
      <w:r>
        <w:rPr>
          <w:rFonts w:hint="eastAsia" w:ascii="仿宋" w:hAnsi="仿宋" w:eastAsia="仿宋"/>
          <w:sz w:val="30"/>
          <w:szCs w:val="22"/>
        </w:rPr>
        <w:t>禹州市</w:t>
      </w:r>
      <w:r>
        <w:rPr>
          <w:rFonts w:hint="eastAsia" w:ascii="仿宋" w:hAnsi="仿宋" w:eastAsia="仿宋"/>
          <w:sz w:val="30"/>
          <w:szCs w:val="22"/>
          <w:lang w:val="en-US" w:eastAsia="zh-CN"/>
        </w:rPr>
        <w:t>武警中队“智慧磐石”执勤装备采购项目</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3、采购编号：YZCG-</w:t>
      </w:r>
      <w:r>
        <w:rPr>
          <w:rFonts w:hint="eastAsia" w:ascii="仿宋" w:hAnsi="仿宋" w:eastAsia="仿宋" w:cs="仿宋"/>
          <w:sz w:val="32"/>
          <w:szCs w:val="32"/>
          <w:lang w:val="en-US" w:eastAsia="zh-CN"/>
        </w:rPr>
        <w:t>G2019318</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widowControl/>
        <w:suppressLineNumbers w:val="0"/>
        <w:shd w:val="clear" w:fill="FFFFFF"/>
        <w:spacing w:before="0" w:beforeAutospacing="0" w:after="0" w:afterAutospacing="0" w:line="400" w:lineRule="atLeast"/>
        <w:ind w:left="0" w:right="0"/>
        <w:jc w:val="left"/>
        <w:rPr>
          <w:rFonts w:hint="default" w:ascii="仿宋" w:hAnsi="仿宋" w:eastAsia="仿宋" w:cs="仿宋"/>
          <w:sz w:val="32"/>
          <w:szCs w:val="32"/>
          <w:lang w:val="en-US"/>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60.2万元。</w:t>
      </w:r>
    </w:p>
    <w:p>
      <w:pPr>
        <w:keepNext w:val="0"/>
        <w:keepLines w:val="0"/>
        <w:widowControl/>
        <w:suppressLineNumbers w:val="0"/>
        <w:shd w:val="clear" w:fill="FFFFFF"/>
        <w:spacing w:before="0" w:beforeAutospacing="0" w:after="0" w:afterAutospacing="0" w:line="400" w:lineRule="atLeast"/>
        <w:ind w:left="0" w:right="0"/>
        <w:jc w:val="left"/>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60.2万元。</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13</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4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6</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09:00</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综合评标法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11、招标公告刊登的媒体：中国政府采购网、河南省政府采购网、许昌市政府采购网、全国公共资源交易平台（河南省·许昌市）。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tbl>
      <w:tblPr>
        <w:tblStyle w:val="8"/>
        <w:tblW w:w="8791"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260"/>
        <w:gridCol w:w="1867"/>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禹州市新世纪电脑有限公司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b w:val="0"/>
                <w:bCs w:val="0"/>
                <w:color w:val="000000"/>
                <w:kern w:val="0"/>
                <w:sz w:val="21"/>
                <w:szCs w:val="21"/>
                <w:lang w:val="en-US" w:eastAsia="zh-CN" w:bidi="ar"/>
              </w:rPr>
            </w:pPr>
            <w:r>
              <w:rPr>
                <w:rFonts w:hint="eastAsia" w:asciiTheme="minorEastAsia" w:hAnsiTheme="minorEastAsia" w:cstheme="minorEastAsia"/>
                <w:b w:val="0"/>
                <w:bCs w:val="0"/>
                <w:kern w:val="0"/>
                <w:sz w:val="21"/>
                <w:szCs w:val="21"/>
                <w:lang w:val="en-US" w:eastAsia="zh-CN" w:bidi="ar"/>
              </w:rPr>
              <w:t>586400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禹州市开创电子有限公司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b w:val="0"/>
                <w:bCs w:val="0"/>
                <w:kern w:val="0"/>
                <w:sz w:val="21"/>
                <w:szCs w:val="21"/>
                <w:lang w:val="en-US" w:eastAsia="zh-CN" w:bidi="ar"/>
              </w:rPr>
            </w:pPr>
            <w:r>
              <w:rPr>
                <w:rFonts w:hint="eastAsia" w:asciiTheme="minorEastAsia" w:hAnsiTheme="minorEastAsia" w:cstheme="minorEastAsia"/>
                <w:b w:val="0"/>
                <w:bCs w:val="0"/>
                <w:kern w:val="0"/>
                <w:sz w:val="21"/>
                <w:szCs w:val="21"/>
                <w:lang w:val="en-US" w:eastAsia="zh-CN" w:bidi="ar"/>
              </w:rPr>
              <w:t>562500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426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b w:val="0"/>
                <w:bCs/>
                <w:kern w:val="0"/>
                <w:sz w:val="21"/>
                <w:szCs w:val="21"/>
                <w:lang w:val="en-US" w:eastAsia="zh-CN" w:bidi="ar-SA"/>
              </w:rPr>
            </w:pPr>
            <w:r>
              <w:rPr>
                <w:rFonts w:hint="eastAsia" w:asciiTheme="minorEastAsia" w:hAnsiTheme="minorEastAsia" w:cstheme="minorEastAsia"/>
                <w:b w:val="0"/>
                <w:bCs/>
                <w:kern w:val="0"/>
                <w:sz w:val="21"/>
                <w:szCs w:val="21"/>
                <w:lang w:val="en-US" w:eastAsia="zh-CN" w:bidi="ar-SA"/>
              </w:rPr>
              <w:t>禹州市天地仁和科技有限公司</w:t>
            </w:r>
          </w:p>
        </w:tc>
        <w:tc>
          <w:tcPr>
            <w:tcW w:w="1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Theme="minorEastAsia" w:hAnsiTheme="minorEastAsia" w:eastAsiaTheme="minorEastAsia" w:cstheme="minorEastAsia"/>
                <w:b w:val="0"/>
                <w:bCs w:val="0"/>
                <w:kern w:val="0"/>
                <w:sz w:val="21"/>
                <w:szCs w:val="21"/>
                <w:lang w:val="en-US" w:eastAsia="zh-CN" w:bidi="ar"/>
              </w:rPr>
            </w:pPr>
            <w:r>
              <w:rPr>
                <w:rFonts w:hint="eastAsia" w:asciiTheme="minorEastAsia" w:hAnsiTheme="minorEastAsia" w:cstheme="minorEastAsia"/>
                <w:b w:val="0"/>
                <w:bCs w:val="0"/>
                <w:color w:val="000000"/>
                <w:kern w:val="0"/>
                <w:sz w:val="21"/>
                <w:szCs w:val="21"/>
                <w:lang w:val="en-US" w:eastAsia="zh-CN" w:bidi="ar"/>
              </w:rPr>
              <w:t>454850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Theme="minorEastAsia" w:hAnsiTheme="minorEastAsia" w:eastAsiaTheme="minorEastAsia" w:cstheme="minorEastAsia"/>
                <w:kern w:val="0"/>
                <w:sz w:val="21"/>
                <w:szCs w:val="21"/>
                <w:lang w:val="en-US" w:eastAsia="zh-CN" w:bidi="ar"/>
              </w:rPr>
            </w:pPr>
            <w:r>
              <w:rPr>
                <w:rFonts w:hint="eastAsia" w:ascii="宋体" w:hAnsi="宋体" w:eastAsia="宋体" w:cs="宋体"/>
                <w:color w:val="000000"/>
                <w:kern w:val="0"/>
                <w:sz w:val="24"/>
                <w:szCs w:val="24"/>
                <w:lang w:val="en-US" w:eastAsia="zh-CN" w:bidi="ar"/>
              </w:rPr>
              <w:t>以签订合同为准</w:t>
            </w:r>
          </w:p>
        </w:tc>
      </w:tr>
    </w:tbl>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640" w:firstLineChars="200"/>
        <w:jc w:val="left"/>
        <w:rPr>
          <w:rFonts w:hint="default"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以上三家供应商均通过了资格审查。</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keepNext w:val="0"/>
        <w:keepLines w:val="0"/>
        <w:widowControl/>
        <w:suppressLineNumbers w:val="0"/>
        <w:ind w:firstLine="640" w:firstLineChars="20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三家供应商硬件特征码均无异常。</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三家供应商均通过了符合性审查。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（二）综合比较与评价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tbl>
      <w:tblPr>
        <w:tblStyle w:val="8"/>
        <w:tblW w:w="8300" w:type="dxa"/>
        <w:jc w:val="center"/>
        <w:shd w:val="clear" w:color="auto" w:fill="auto"/>
        <w:tblLayout w:type="fixed"/>
        <w:tblCellMar>
          <w:top w:w="0" w:type="dxa"/>
          <w:left w:w="0" w:type="dxa"/>
          <w:bottom w:w="0" w:type="dxa"/>
          <w:right w:w="0" w:type="dxa"/>
        </w:tblCellMar>
      </w:tblPr>
      <w:tblGrid>
        <w:gridCol w:w="1726"/>
        <w:gridCol w:w="1396"/>
        <w:gridCol w:w="1904"/>
        <w:gridCol w:w="1875"/>
        <w:gridCol w:w="1399"/>
      </w:tblGrid>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lang w:val="en-US" w:eastAsia="zh-CN"/>
              </w:rPr>
              <w:t>禹州市新世纪电脑有限公司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38.78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49.78</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38.78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49.78</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38.78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49.78</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38.78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49.78</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38.78</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49.78</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49.78</w:t>
            </w:r>
          </w:p>
        </w:tc>
      </w:tr>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Theme="minorEastAsia" w:hAnsiTheme="minorEastAsia" w:cstheme="minorEastAsia"/>
                <w:sz w:val="21"/>
                <w:szCs w:val="21"/>
                <w:lang w:val="en-US" w:eastAsia="zh-CN"/>
              </w:rPr>
              <w:t>禹州市开创电子有限公司</w:t>
            </w:r>
          </w:p>
        </w:tc>
      </w:tr>
      <w:tr>
        <w:tblPrEx>
          <w:shd w:val="clear" w:color="auto" w:fill="auto"/>
          <w:tblCellMar>
            <w:top w:w="0" w:type="dxa"/>
            <w:left w:w="0" w:type="dxa"/>
            <w:bottom w:w="0" w:type="dxa"/>
            <w:right w:w="0" w:type="dxa"/>
          </w:tblCellMar>
        </w:tblPrEx>
        <w:trPr>
          <w:trHeight w:val="133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40.43</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55.43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40.43</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55.43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40.43</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55.43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40.43</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55.43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40.43</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11</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55.43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55.43</w:t>
            </w:r>
          </w:p>
        </w:tc>
      </w:tr>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Theme="minorEastAsia" w:hAnsiTheme="minorEastAsia" w:cstheme="minorEastAsia"/>
                <w:b w:val="0"/>
                <w:bCs/>
                <w:kern w:val="0"/>
                <w:sz w:val="21"/>
                <w:szCs w:val="21"/>
                <w:lang w:val="en-US" w:eastAsia="zh-CN" w:bidi="ar-SA"/>
              </w:rPr>
              <w:t>禹州市天地仁和科技有限公司</w:t>
            </w:r>
          </w:p>
        </w:tc>
      </w:tr>
      <w:tr>
        <w:tblPrEx>
          <w:shd w:val="clear" w:color="auto" w:fill="auto"/>
          <w:tblCellMar>
            <w:top w:w="0" w:type="dxa"/>
            <w:left w:w="0" w:type="dxa"/>
            <w:bottom w:w="0" w:type="dxa"/>
            <w:right w:w="0" w:type="dxa"/>
          </w:tblCellMar>
        </w:tblPrEx>
        <w:trPr>
          <w:trHeight w:val="90"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42分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39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bl>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最终得分如下：</w:t>
      </w:r>
    </w:p>
    <w:tbl>
      <w:tblPr>
        <w:tblStyle w:val="8"/>
        <w:tblpPr w:leftFromText="180" w:rightFromText="180" w:vertAnchor="text" w:horzAnchor="page" w:tblpXSpec="center" w:tblpY="113"/>
        <w:tblOverlap w:val="never"/>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5097"/>
        <w:gridCol w:w="136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2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097"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6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28"/>
                <w:szCs w:val="28"/>
                <w:u w:val="none"/>
                <w:shd w:val="clear" w:fill="FFFFFF"/>
                <w:lang w:val="en-US" w:eastAsia="zh-CN"/>
              </w:rPr>
            </w:pPr>
            <w:r>
              <w:rPr>
                <w:rFonts w:hint="eastAsia" w:ascii="仿宋" w:hAnsi="仿宋" w:eastAsia="仿宋" w:cs="仿宋"/>
                <w:b w:val="0"/>
                <w:bCs/>
                <w:kern w:val="0"/>
                <w:sz w:val="28"/>
                <w:szCs w:val="28"/>
                <w:lang w:val="en-US" w:eastAsia="zh-CN" w:bidi="ar-SA"/>
              </w:rPr>
              <w:t>禹州市天地仁和科技有限公司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96</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28"/>
                <w:szCs w:val="28"/>
                <w:u w:val="none"/>
                <w:shd w:val="clear" w:fill="FFFFFF"/>
                <w:lang w:val="en-US" w:eastAsia="zh-CN"/>
              </w:rPr>
            </w:pPr>
            <w:r>
              <w:rPr>
                <w:rFonts w:hint="eastAsia" w:ascii="仿宋" w:hAnsi="仿宋" w:eastAsia="仿宋" w:cs="仿宋"/>
                <w:sz w:val="28"/>
                <w:szCs w:val="28"/>
                <w:lang w:val="en-US" w:eastAsia="zh-CN"/>
              </w:rPr>
              <w:t>禹州市开创电子有限公司</w:t>
            </w:r>
          </w:p>
        </w:tc>
        <w:tc>
          <w:tcPr>
            <w:tcW w:w="1365"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55.43</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23"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097" w:type="dxa"/>
            <w:noWrap w:val="0"/>
            <w:vAlign w:val="center"/>
          </w:tcPr>
          <w:p>
            <w:pPr>
              <w:keepNext w:val="0"/>
              <w:keepLines w:val="0"/>
              <w:widowControl/>
              <w:suppressLineNumbers w:val="0"/>
              <w:jc w:val="both"/>
              <w:rPr>
                <w:rFonts w:hint="eastAsia" w:ascii="仿宋" w:hAnsi="仿宋" w:eastAsia="仿宋" w:cs="仿宋"/>
                <w:b w:val="0"/>
                <w:i w:val="0"/>
                <w:color w:val="auto"/>
                <w:sz w:val="28"/>
                <w:szCs w:val="28"/>
                <w:u w:val="none"/>
                <w:shd w:val="clear" w:fill="FFFFFF"/>
                <w:lang w:val="en-US" w:eastAsia="zh-CN"/>
              </w:rPr>
            </w:pPr>
            <w:r>
              <w:rPr>
                <w:rFonts w:hint="eastAsia" w:ascii="仿宋" w:hAnsi="仿宋" w:eastAsia="仿宋" w:cs="仿宋"/>
                <w:sz w:val="28"/>
                <w:szCs w:val="28"/>
                <w:lang w:val="en-US" w:eastAsia="zh-CN"/>
              </w:rPr>
              <w:t>禹州市新世纪电脑有限公司</w:t>
            </w:r>
          </w:p>
        </w:tc>
        <w:tc>
          <w:tcPr>
            <w:tcW w:w="1365"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49.78</w:t>
            </w:r>
          </w:p>
        </w:tc>
        <w:tc>
          <w:tcPr>
            <w:tcW w:w="1035"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default" w:ascii="仿宋" w:hAnsi="仿宋" w:eastAsia="仿宋" w:cs="仿宋"/>
          <w:color w:val="000000"/>
          <w:kern w:val="2"/>
          <w:sz w:val="28"/>
          <w:szCs w:val="28"/>
          <w:u w:val="none"/>
          <w:shd w:val="clear" w:fill="FFFFFF"/>
          <w:lang w:val="en-US" w:eastAsia="zh-CN" w:bidi="ar-SA"/>
        </w:rPr>
      </w:pP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numPr>
          <w:ilvl w:val="0"/>
          <w:numId w:val="3"/>
        </w:num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评标委</w:t>
      </w:r>
      <w:r>
        <w:rPr>
          <w:rFonts w:hint="eastAsia" w:ascii="黑体" w:hAnsi="宋体" w:eastAsia="黑体" w:cs="黑体"/>
          <w:color w:val="000000"/>
          <w:sz w:val="32"/>
          <w:szCs w:val="32"/>
          <w:u w:val="none"/>
          <w:shd w:val="clear" w:fill="FFFFFF"/>
        </w:rPr>
        <w:t>员会推荐中标候选人情况</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第一中标候选人：</w:t>
      </w:r>
      <w:r>
        <w:rPr>
          <w:rFonts w:hint="eastAsia" w:ascii="仿宋" w:hAnsi="仿宋" w:eastAsia="仿宋" w:cs="仿宋"/>
          <w:color w:val="000000"/>
          <w:sz w:val="30"/>
          <w:szCs w:val="30"/>
          <w:u w:val="none"/>
          <w:shd w:val="clear" w:fill="FFFFFF"/>
          <w:lang w:val="en-US" w:eastAsia="zh-CN"/>
        </w:rPr>
        <w:t>禹州市天地仁和科技有限公司</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址：禹州市东商贸零号街 10 号</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联系人：徐闪闪.   电 话： 0374-8609886.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 肆拾伍万肆仟捌佰伍拾整 （454850.00元）</w:t>
      </w:r>
    </w:p>
    <w:p>
      <w:pPr>
        <w:keepNext w:val="0"/>
        <w:keepLines w:val="0"/>
        <w:widowControl/>
        <w:suppressLineNumbers w:val="0"/>
        <w:jc w:val="left"/>
        <w:rPr>
          <w:rFonts w:hint="eastAsia" w:ascii="仿宋" w:hAnsi="仿宋" w:eastAsia="仿宋" w:cs="仿宋"/>
          <w:b/>
          <w:bCs/>
          <w:color w:val="000000"/>
          <w:sz w:val="30"/>
          <w:szCs w:val="30"/>
          <w:u w:val="none"/>
          <w:shd w:val="clear" w:fill="FFFFFF"/>
          <w:lang w:val="en-US" w:eastAsia="zh-CN"/>
        </w:rPr>
      </w:pP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第二中标候选人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sz w:val="28"/>
          <w:szCs w:val="28"/>
          <w:lang w:val="en-US" w:eastAsia="zh-CN"/>
        </w:rPr>
        <w:t>禹州市开创电子有限公司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地址：禹州市药城路中段恒信电脑超市</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联系人：孙晓娜    电 话：0374-8109111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中标金额：伍拾陆万零贰仟伍佰元整 （562500.00 元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第三中标候选人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sz w:val="28"/>
          <w:szCs w:val="28"/>
          <w:lang w:val="en-US" w:eastAsia="zh-CN"/>
        </w:rPr>
        <w:t>禹州市新世纪电脑有限公司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widowControl/>
        <w:suppressLineNumbers w:val="0"/>
        <w:jc w:val="left"/>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址：禹州市药城路中段</w:t>
      </w:r>
    </w:p>
    <w:p>
      <w:pPr>
        <w:keepNext w:val="0"/>
        <w:keepLines w:val="0"/>
        <w:widowControl/>
        <w:suppressLineNumbers w:val="0"/>
        <w:jc w:val="left"/>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联系人：张永刚  电 话：0374-8193333     </w:t>
      </w:r>
    </w:p>
    <w:p>
      <w:pPr>
        <w:keepNext w:val="0"/>
        <w:keepLines w:val="0"/>
        <w:widowControl/>
        <w:suppressLineNumbers w:val="0"/>
        <w:jc w:val="left"/>
        <w:rPr>
          <w:rFonts w:hint="eastAsia"/>
          <w:lang w:val="en-US" w:eastAsia="zh-CN"/>
        </w:rPr>
      </w:pPr>
      <w:r>
        <w:rPr>
          <w:rFonts w:hint="eastAsia" w:ascii="仿宋" w:hAnsi="仿宋" w:eastAsia="仿宋" w:cs="仿宋"/>
          <w:color w:val="000000"/>
          <w:sz w:val="30"/>
          <w:szCs w:val="30"/>
          <w:u w:val="none"/>
          <w:shd w:val="clear" w:fill="FFFFFF"/>
          <w:lang w:val="en-US" w:eastAsia="zh-CN"/>
        </w:rPr>
        <w:t>中标金额：伍拾捌万陆仟肆佰元整（586400.00元 ）</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是否存在评标委员会成员更换：</w:t>
      </w: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2020年1月9</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BCB0E5"/>
    <w:multiLevelType w:val="singleLevel"/>
    <w:tmpl w:val="DBBCB0E5"/>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12B07FC4"/>
    <w:multiLevelType w:val="singleLevel"/>
    <w:tmpl w:val="12B07FC4"/>
    <w:lvl w:ilvl="0" w:tentative="0">
      <w:start w:val="5"/>
      <w:numFmt w:val="chineseCounting"/>
      <w:suff w:val="nothing"/>
      <w:lvlText w:val="%1、"/>
      <w:lvlJc w:val="left"/>
      <w:rPr>
        <w:rFonts w:hint="eastAsia"/>
      </w:rPr>
    </w:lvl>
  </w:abstractNum>
  <w:abstractNum w:abstractNumId="3">
    <w:nsid w:val="1FAF154C"/>
    <w:multiLevelType w:val="singleLevel"/>
    <w:tmpl w:val="1FAF154C"/>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46A30F2"/>
    <w:rsid w:val="050E61B3"/>
    <w:rsid w:val="05664BDF"/>
    <w:rsid w:val="0568416F"/>
    <w:rsid w:val="06AD1E3E"/>
    <w:rsid w:val="06BB1302"/>
    <w:rsid w:val="07E44978"/>
    <w:rsid w:val="07F800D3"/>
    <w:rsid w:val="08D75275"/>
    <w:rsid w:val="091D1846"/>
    <w:rsid w:val="099C3E00"/>
    <w:rsid w:val="09F03305"/>
    <w:rsid w:val="0D21183A"/>
    <w:rsid w:val="0E3D02A4"/>
    <w:rsid w:val="0E4735CB"/>
    <w:rsid w:val="0F6B7734"/>
    <w:rsid w:val="0FD802D1"/>
    <w:rsid w:val="10373852"/>
    <w:rsid w:val="109A17DA"/>
    <w:rsid w:val="10E03116"/>
    <w:rsid w:val="122D4621"/>
    <w:rsid w:val="12BB5366"/>
    <w:rsid w:val="13005478"/>
    <w:rsid w:val="13A7762A"/>
    <w:rsid w:val="14245DBC"/>
    <w:rsid w:val="143425F3"/>
    <w:rsid w:val="144A3A3E"/>
    <w:rsid w:val="148841C8"/>
    <w:rsid w:val="15033594"/>
    <w:rsid w:val="157129DD"/>
    <w:rsid w:val="15FC2A9B"/>
    <w:rsid w:val="17D926FA"/>
    <w:rsid w:val="1A5042D6"/>
    <w:rsid w:val="1BD00BD8"/>
    <w:rsid w:val="1C7D7544"/>
    <w:rsid w:val="1D03587C"/>
    <w:rsid w:val="1D2F1724"/>
    <w:rsid w:val="1D772A7E"/>
    <w:rsid w:val="1D863BDB"/>
    <w:rsid w:val="1DA95CDC"/>
    <w:rsid w:val="1E196947"/>
    <w:rsid w:val="1E231C6E"/>
    <w:rsid w:val="1E6F5D9D"/>
    <w:rsid w:val="2004781A"/>
    <w:rsid w:val="203854D7"/>
    <w:rsid w:val="20D653DC"/>
    <w:rsid w:val="219845BA"/>
    <w:rsid w:val="22034C9F"/>
    <w:rsid w:val="220719F2"/>
    <w:rsid w:val="22BF2B0F"/>
    <w:rsid w:val="22FA2B81"/>
    <w:rsid w:val="23D527F8"/>
    <w:rsid w:val="24347A56"/>
    <w:rsid w:val="250F79CA"/>
    <w:rsid w:val="281C3862"/>
    <w:rsid w:val="28B2034C"/>
    <w:rsid w:val="28FD5F6A"/>
    <w:rsid w:val="29B06DA3"/>
    <w:rsid w:val="29D6412C"/>
    <w:rsid w:val="2B1A2E58"/>
    <w:rsid w:val="2C580DD3"/>
    <w:rsid w:val="2C7A62AD"/>
    <w:rsid w:val="2C8C5314"/>
    <w:rsid w:val="2CF750BA"/>
    <w:rsid w:val="2D080062"/>
    <w:rsid w:val="2D723D7C"/>
    <w:rsid w:val="2D9C085B"/>
    <w:rsid w:val="2ED67925"/>
    <w:rsid w:val="2F4C455E"/>
    <w:rsid w:val="2FDC63C1"/>
    <w:rsid w:val="313C2C12"/>
    <w:rsid w:val="31534C8B"/>
    <w:rsid w:val="31A42F31"/>
    <w:rsid w:val="321D771D"/>
    <w:rsid w:val="33A37472"/>
    <w:rsid w:val="33DB07DB"/>
    <w:rsid w:val="34E763F5"/>
    <w:rsid w:val="361A28B4"/>
    <w:rsid w:val="363A185F"/>
    <w:rsid w:val="386B5961"/>
    <w:rsid w:val="387E3CE9"/>
    <w:rsid w:val="3A745AA5"/>
    <w:rsid w:val="3B1C631F"/>
    <w:rsid w:val="3B5F0241"/>
    <w:rsid w:val="3B9F5F6E"/>
    <w:rsid w:val="3BDA5757"/>
    <w:rsid w:val="3BDF2532"/>
    <w:rsid w:val="3C2C4265"/>
    <w:rsid w:val="3C492603"/>
    <w:rsid w:val="3CC736A9"/>
    <w:rsid w:val="3CC9487F"/>
    <w:rsid w:val="3D375DAF"/>
    <w:rsid w:val="3D6D10E3"/>
    <w:rsid w:val="3D90594C"/>
    <w:rsid w:val="3DD7020A"/>
    <w:rsid w:val="3E2B58F7"/>
    <w:rsid w:val="3E504CFE"/>
    <w:rsid w:val="3FDD4378"/>
    <w:rsid w:val="42703A08"/>
    <w:rsid w:val="42A668D7"/>
    <w:rsid w:val="44EB3951"/>
    <w:rsid w:val="4522252F"/>
    <w:rsid w:val="45B82664"/>
    <w:rsid w:val="462721B8"/>
    <w:rsid w:val="463B1FB6"/>
    <w:rsid w:val="471813B4"/>
    <w:rsid w:val="478817AD"/>
    <w:rsid w:val="493123CC"/>
    <w:rsid w:val="49DE41DD"/>
    <w:rsid w:val="4A747741"/>
    <w:rsid w:val="4AFD0F3D"/>
    <w:rsid w:val="4B7B39BE"/>
    <w:rsid w:val="4C6A5EC8"/>
    <w:rsid w:val="4C702E23"/>
    <w:rsid w:val="4D2103BD"/>
    <w:rsid w:val="4D5170A1"/>
    <w:rsid w:val="4D565D01"/>
    <w:rsid w:val="4DD70C15"/>
    <w:rsid w:val="4EC84EC9"/>
    <w:rsid w:val="4ECF48F5"/>
    <w:rsid w:val="4F1149FB"/>
    <w:rsid w:val="4FB242F0"/>
    <w:rsid w:val="4FCE6222"/>
    <w:rsid w:val="5198609B"/>
    <w:rsid w:val="5364221D"/>
    <w:rsid w:val="54B368C9"/>
    <w:rsid w:val="55F515B1"/>
    <w:rsid w:val="563F1657"/>
    <w:rsid w:val="57133B04"/>
    <w:rsid w:val="575E34E9"/>
    <w:rsid w:val="59272954"/>
    <w:rsid w:val="592F4437"/>
    <w:rsid w:val="59743366"/>
    <w:rsid w:val="59851187"/>
    <w:rsid w:val="59D950BD"/>
    <w:rsid w:val="5C1437CD"/>
    <w:rsid w:val="5C3C5905"/>
    <w:rsid w:val="5D781309"/>
    <w:rsid w:val="5DE74906"/>
    <w:rsid w:val="5E943DC4"/>
    <w:rsid w:val="5E944783"/>
    <w:rsid w:val="5F7475E7"/>
    <w:rsid w:val="604133F7"/>
    <w:rsid w:val="61676F9F"/>
    <w:rsid w:val="61B4681C"/>
    <w:rsid w:val="62094375"/>
    <w:rsid w:val="622F2B3C"/>
    <w:rsid w:val="623807CE"/>
    <w:rsid w:val="62DF2949"/>
    <w:rsid w:val="632F4F38"/>
    <w:rsid w:val="639635CF"/>
    <w:rsid w:val="63B02821"/>
    <w:rsid w:val="642057C7"/>
    <w:rsid w:val="64207847"/>
    <w:rsid w:val="64776005"/>
    <w:rsid w:val="647A2192"/>
    <w:rsid w:val="66C75080"/>
    <w:rsid w:val="681C0391"/>
    <w:rsid w:val="68796F19"/>
    <w:rsid w:val="68FF76E4"/>
    <w:rsid w:val="6A4D3015"/>
    <w:rsid w:val="6A7F5A88"/>
    <w:rsid w:val="6C191A6E"/>
    <w:rsid w:val="6C2D42C5"/>
    <w:rsid w:val="6C6726DC"/>
    <w:rsid w:val="6E902FFD"/>
    <w:rsid w:val="6EC648B5"/>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EC55AB"/>
    <w:rsid w:val="79F82657"/>
    <w:rsid w:val="7A732E56"/>
    <w:rsid w:val="7AAE5BAF"/>
    <w:rsid w:val="7AC65398"/>
    <w:rsid w:val="7AD02F53"/>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3"/>
    <w:qFormat/>
    <w:uiPriority w:val="0"/>
    <w:pPr>
      <w:tabs>
        <w:tab w:val="center" w:pos="4153"/>
        <w:tab w:val="right" w:pos="8306"/>
      </w:tabs>
      <w:snapToGrid w:val="0"/>
      <w:jc w:val="left"/>
    </w:pPr>
    <w:rPr>
      <w:sz w:val="18"/>
    </w:rPr>
  </w:style>
  <w:style w:type="paragraph" w:styleId="6">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眉 Char"/>
    <w:basedOn w:val="10"/>
    <w:link w:val="6"/>
    <w:qFormat/>
    <w:uiPriority w:val="0"/>
  </w:style>
  <w:style w:type="character" w:customStyle="1" w:styleId="83">
    <w:name w:val="页脚 Char"/>
    <w:basedOn w:val="10"/>
    <w:link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2020-01-06T03:50:00Z</cp:lastPrinted>
  <dcterms:modified xsi:type="dcterms:W3CDTF">2020-01-09T03:04:56Z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