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rFonts w:hint="eastAsia" w:hAnsi="宋体" w:cs="宋体" w:eastAsiaTheme="minorEastAsia"/>
          <w:b/>
          <w:spacing w:val="60"/>
          <w:sz w:val="52"/>
          <w:szCs w:val="52"/>
          <w:lang w:val="en-US" w:eastAsia="zh-CN"/>
        </w:rPr>
      </w:pPr>
      <w:r>
        <w:rPr>
          <w:rFonts w:hint="eastAsia" w:hAnsi="宋体" w:cs="宋体"/>
          <w:b/>
          <w:spacing w:val="60"/>
          <w:sz w:val="52"/>
          <w:szCs w:val="52"/>
          <w:lang w:val="en-US" w:eastAsia="zh-CN"/>
        </w:rPr>
        <w:t>付夏齐社区污水改造工程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autoSpaceDE w:val="0"/>
        <w:autoSpaceDN w:val="0"/>
        <w:adjustRightInd w:val="0"/>
        <w:jc w:val="center"/>
        <w:rPr>
          <w:rFonts w:hint="eastAsia" w:hAnsi="宋体" w:cs="宋体"/>
          <w:b/>
          <w:sz w:val="72"/>
          <w:szCs w:val="72"/>
        </w:rPr>
      </w:pPr>
      <w:r>
        <w:rPr>
          <w:rFonts w:hint="eastAsia" w:hAnsi="宋体" w:cs="宋体"/>
          <w:b/>
          <w:sz w:val="72"/>
          <w:szCs w:val="72"/>
        </w:rPr>
        <w:t xml:space="preserve"> </w:t>
      </w:r>
    </w:p>
    <w:p>
      <w:pPr>
        <w:autoSpaceDE w:val="0"/>
        <w:autoSpaceDN w:val="0"/>
        <w:adjustRightInd w:val="0"/>
        <w:jc w:val="center"/>
        <w:rPr>
          <w:rFonts w:hAnsi="宋体" w:cs="宋体"/>
          <w:b/>
          <w:sz w:val="72"/>
          <w:szCs w:val="72"/>
        </w:rPr>
      </w:pPr>
      <w:r>
        <w:rPr>
          <w:rFonts w:hint="eastAsia" w:hAnsi="宋体" w:cs="宋体"/>
          <w:b/>
          <w:sz w:val="72"/>
          <w:szCs w:val="72"/>
        </w:rPr>
        <w:t>招 标 文 件</w:t>
      </w:r>
    </w:p>
    <w:p>
      <w:pPr>
        <w:autoSpaceDE w:val="0"/>
        <w:autoSpaceDN w:val="0"/>
        <w:adjustRightInd w:val="0"/>
        <w:jc w:val="center"/>
        <w:rPr>
          <w:rFonts w:hAnsi="宋体" w:cs="宋体"/>
          <w:b/>
          <w:sz w:val="52"/>
          <w:szCs w:val="52"/>
        </w:rPr>
      </w:pPr>
      <w:r>
        <w:rPr>
          <w:rFonts w:hint="eastAsia" w:hAnsi="宋体" w:cs="宋体"/>
          <w:b/>
          <w:sz w:val="36"/>
          <w:szCs w:val="36"/>
        </w:rPr>
        <w:t>项目编号：XCGC-F</w:t>
      </w:r>
      <w:r>
        <w:rPr>
          <w:rFonts w:hint="eastAsia" w:hAnsi="宋体" w:cs="宋体"/>
          <w:b/>
          <w:color w:val="000000" w:themeColor="text1"/>
          <w:sz w:val="36"/>
          <w:szCs w:val="36"/>
        </w:rPr>
        <w:t>20</w:t>
      </w:r>
      <w:r>
        <w:rPr>
          <w:rFonts w:hint="eastAsia" w:hAnsi="宋体" w:cs="宋体"/>
          <w:b/>
          <w:color w:val="000000" w:themeColor="text1"/>
          <w:sz w:val="36"/>
          <w:szCs w:val="36"/>
          <w:lang w:val="en-US" w:eastAsia="zh-CN"/>
        </w:rPr>
        <w:t>20007</w:t>
      </w:r>
      <w:r>
        <w:rPr>
          <w:rFonts w:hint="eastAsia" w:hAnsi="宋体" w:cs="宋体"/>
          <w:b/>
          <w:sz w:val="36"/>
          <w:szCs w:val="36"/>
        </w:rPr>
        <w:t xml:space="preserve">号 </w:t>
      </w:r>
    </w:p>
    <w:p>
      <w:pPr>
        <w:autoSpaceDE w:val="0"/>
        <w:autoSpaceDN w:val="0"/>
        <w:adjustRightInd w:val="0"/>
        <w:rPr>
          <w:rFonts w:hAnsi="宋体" w:cs="宋体"/>
          <w:b/>
          <w:sz w:val="32"/>
          <w:szCs w:val="32"/>
        </w:rPr>
      </w:pPr>
    </w:p>
    <w:p>
      <w:pPr>
        <w:pStyle w:val="18"/>
        <w:tabs>
          <w:tab w:val="left" w:pos="1980"/>
        </w:tabs>
        <w:spacing w:line="1000" w:lineRule="exact"/>
        <w:rPr>
          <w:rFonts w:hAnsi="宋体"/>
          <w:b/>
          <w:color w:val="auto"/>
          <w:sz w:val="32"/>
          <w:szCs w:val="32"/>
        </w:rPr>
      </w:pPr>
    </w:p>
    <w:p>
      <w:pPr>
        <w:pStyle w:val="18"/>
        <w:tabs>
          <w:tab w:val="left" w:pos="1980"/>
        </w:tabs>
        <w:spacing w:line="1000" w:lineRule="exact"/>
        <w:rPr>
          <w:rFonts w:hAnsi="宋体"/>
          <w:b/>
          <w:color w:val="auto"/>
          <w:sz w:val="32"/>
          <w:szCs w:val="32"/>
        </w:rPr>
      </w:pPr>
    </w:p>
    <w:p>
      <w:pPr>
        <w:pStyle w:val="18"/>
        <w:tabs>
          <w:tab w:val="left" w:pos="1980"/>
        </w:tabs>
        <w:spacing w:line="1000" w:lineRule="exact"/>
        <w:rPr>
          <w:rFonts w:hAnsi="宋体"/>
          <w:b/>
          <w:color w:val="auto"/>
          <w:sz w:val="32"/>
          <w:szCs w:val="32"/>
        </w:rPr>
      </w:pPr>
    </w:p>
    <w:p>
      <w:pPr>
        <w:pStyle w:val="18"/>
        <w:tabs>
          <w:tab w:val="left" w:pos="1980"/>
        </w:tabs>
        <w:spacing w:line="1000" w:lineRule="exact"/>
        <w:rPr>
          <w:rFonts w:hAnsi="宋体"/>
          <w:b/>
          <w:color w:val="auto"/>
          <w:sz w:val="32"/>
          <w:szCs w:val="32"/>
        </w:rPr>
      </w:pPr>
    </w:p>
    <w:p>
      <w:pPr>
        <w:pStyle w:val="18"/>
        <w:tabs>
          <w:tab w:val="left" w:pos="1980"/>
        </w:tabs>
        <w:spacing w:line="1000" w:lineRule="exact"/>
        <w:rPr>
          <w:rFonts w:hAnsi="宋体"/>
          <w:b/>
          <w:color w:val="auto"/>
          <w:sz w:val="32"/>
          <w:szCs w:val="32"/>
        </w:rPr>
      </w:pPr>
    </w:p>
    <w:p>
      <w:pPr>
        <w:pStyle w:val="18"/>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w:t>
      </w:r>
      <w:r>
        <w:rPr>
          <w:rFonts w:hint="eastAsia" w:hAnsi="宋体"/>
          <w:b/>
          <w:color w:val="auto"/>
          <w:sz w:val="32"/>
          <w:szCs w:val="32"/>
          <w:lang w:eastAsia="zh-CN"/>
        </w:rPr>
        <w:t>许昌市魏都区七里店街道办事处</w:t>
      </w:r>
    </w:p>
    <w:p>
      <w:pPr>
        <w:pStyle w:val="18"/>
        <w:tabs>
          <w:tab w:val="left" w:pos="1980"/>
        </w:tabs>
        <w:spacing w:line="480" w:lineRule="auto"/>
        <w:ind w:firstLine="1120" w:firstLineChars="350"/>
        <w:rPr>
          <w:rFonts w:hint="eastAsia" w:hAnsi="宋体" w:eastAsiaTheme="minorEastAsia"/>
          <w:b/>
          <w:color w:val="auto"/>
          <w:sz w:val="32"/>
          <w:szCs w:val="32"/>
          <w:lang w:eastAsia="zh-CN"/>
        </w:rPr>
      </w:pPr>
      <w:r>
        <w:rPr>
          <w:rFonts w:hint="eastAsia" w:hAnsi="宋体"/>
          <w:b/>
          <w:color w:val="auto"/>
          <w:sz w:val="32"/>
          <w:szCs w:val="32"/>
        </w:rPr>
        <w:t>招标代理机构：</w:t>
      </w:r>
      <w:r>
        <w:rPr>
          <w:rFonts w:hint="eastAsia" w:hAnsi="宋体"/>
          <w:b/>
          <w:color w:val="auto"/>
          <w:sz w:val="32"/>
          <w:szCs w:val="32"/>
          <w:lang w:eastAsia="zh-CN"/>
        </w:rPr>
        <w:t>河南永安工程管理有限公司</w:t>
      </w:r>
    </w:p>
    <w:p>
      <w:pPr>
        <w:rPr>
          <w:rFonts w:hint="eastAsia" w:hAnsi="宋体" w:cs="宋体"/>
          <w:b/>
          <w:sz w:val="44"/>
        </w:rPr>
      </w:pPr>
      <w:r>
        <w:rPr>
          <w:rFonts w:hint="eastAsia" w:hAnsi="宋体" w:cs="宋体"/>
          <w:b/>
          <w:sz w:val="44"/>
        </w:rPr>
        <w:br w:type="page"/>
      </w: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rPr>
          <w:rFonts w:hAnsi="宋体" w:cs="宋体"/>
          <w:b/>
          <w:sz w:val="28"/>
          <w:szCs w:val="28"/>
        </w:rPr>
      </w:pPr>
      <w:r>
        <w:rPr>
          <w:rFonts w:hint="eastAsia" w:hAnsi="宋体" w:cs="宋体"/>
          <w:b/>
          <w:sz w:val="28"/>
          <w:szCs w:val="28"/>
        </w:rPr>
        <w:t>第二章  投标须知</w:t>
      </w:r>
      <w:r>
        <w:rPr>
          <w:rFonts w:hint="eastAsia" w:hAnsi="宋体" w:cs="宋体"/>
          <w:b/>
          <w:sz w:val="28"/>
          <w:szCs w:val="28"/>
        </w:rPr>
        <w:tab/>
      </w:r>
    </w:p>
    <w:p>
      <w:pPr>
        <w:tabs>
          <w:tab w:val="left" w:leader="hyphen" w:pos="8060"/>
        </w:tabs>
        <w:snapToGrid w:val="0"/>
        <w:spacing w:line="480" w:lineRule="auto"/>
        <w:rPr>
          <w:rFonts w:hAnsi="宋体" w:cs="宋体"/>
          <w:b/>
          <w:sz w:val="28"/>
          <w:szCs w:val="28"/>
        </w:rPr>
      </w:pPr>
      <w:r>
        <w:rPr>
          <w:rFonts w:hint="eastAsia" w:hAnsi="宋体" w:cs="宋体"/>
          <w:b/>
          <w:sz w:val="28"/>
          <w:szCs w:val="28"/>
        </w:rPr>
        <w:t>第三章  评标办法</w:t>
      </w:r>
      <w:r>
        <w:rPr>
          <w:rFonts w:hint="eastAsia" w:hAnsi="宋体" w:cs="宋体"/>
          <w:b/>
          <w:sz w:val="28"/>
          <w:szCs w:val="28"/>
        </w:rPr>
        <w:tab/>
      </w:r>
    </w:p>
    <w:p>
      <w:pPr>
        <w:tabs>
          <w:tab w:val="left" w:leader="hyphen" w:pos="8060"/>
        </w:tabs>
        <w:snapToGrid w:val="0"/>
        <w:spacing w:line="480" w:lineRule="auto"/>
        <w:rPr>
          <w:rFonts w:hAnsi="宋体" w:cs="宋体"/>
          <w:b/>
          <w:sz w:val="28"/>
          <w:szCs w:val="28"/>
        </w:rPr>
      </w:pPr>
      <w:r>
        <w:rPr>
          <w:rFonts w:hint="eastAsia" w:hAnsi="宋体" w:cs="宋体"/>
          <w:b/>
          <w:sz w:val="28"/>
          <w:szCs w:val="28"/>
        </w:rPr>
        <w:t>第四章  合同条款</w:t>
      </w:r>
      <w:r>
        <w:rPr>
          <w:rFonts w:hint="eastAsia" w:hAnsi="宋体" w:cs="宋体"/>
          <w:b/>
          <w:sz w:val="28"/>
          <w:szCs w:val="28"/>
        </w:rPr>
        <w:tab/>
      </w:r>
    </w:p>
    <w:p>
      <w:pPr>
        <w:tabs>
          <w:tab w:val="left" w:leader="hyphen" w:pos="8060"/>
        </w:tabs>
        <w:snapToGrid w:val="0"/>
        <w:spacing w:line="480" w:lineRule="auto"/>
        <w:rPr>
          <w:rFonts w:hAnsi="宋体" w:cs="宋体"/>
          <w:b/>
          <w:sz w:val="28"/>
          <w:szCs w:val="28"/>
        </w:rPr>
      </w:pPr>
      <w:r>
        <w:rPr>
          <w:rFonts w:hint="eastAsia" w:hAnsi="宋体" w:cs="宋体"/>
          <w:b/>
          <w:sz w:val="28"/>
          <w:szCs w:val="28"/>
        </w:rPr>
        <w:t>第五章  工程量清单</w:t>
      </w:r>
      <w:r>
        <w:rPr>
          <w:rFonts w:hint="eastAsia" w:hAnsi="宋体" w:cs="宋体"/>
          <w:b/>
          <w:sz w:val="28"/>
          <w:szCs w:val="28"/>
        </w:rPr>
        <w:tab/>
      </w:r>
    </w:p>
    <w:p>
      <w:pPr>
        <w:tabs>
          <w:tab w:val="left" w:leader="hyphen" w:pos="7774"/>
        </w:tabs>
        <w:snapToGrid w:val="0"/>
        <w:spacing w:line="480" w:lineRule="auto"/>
        <w:rPr>
          <w:rFonts w:hAnsi="宋体" w:cs="宋体"/>
          <w:b/>
          <w:sz w:val="28"/>
          <w:szCs w:val="28"/>
        </w:rPr>
      </w:pPr>
      <w:r>
        <w:rPr>
          <w:rFonts w:hint="eastAsia" w:hAnsi="宋体" w:cs="宋体"/>
          <w:b/>
          <w:sz w:val="28"/>
          <w:szCs w:val="28"/>
        </w:rPr>
        <w:t xml:space="preserve">第六章  图  纸 </w:t>
      </w:r>
      <w:r>
        <w:rPr>
          <w:rFonts w:hint="eastAsia" w:hAnsi="宋体" w:cs="宋体"/>
          <w:b/>
          <w:sz w:val="28"/>
          <w:szCs w:val="28"/>
        </w:rPr>
        <w:tab/>
      </w:r>
      <w:r>
        <w:rPr>
          <w:rFonts w:hint="eastAsia" w:hAnsi="宋体" w:cs="宋体"/>
          <w:b/>
          <w:sz w:val="28"/>
          <w:szCs w:val="28"/>
        </w:rPr>
        <w:tab/>
      </w:r>
    </w:p>
    <w:p>
      <w:pPr>
        <w:tabs>
          <w:tab w:val="left" w:leader="hyphen" w:pos="8060"/>
        </w:tabs>
        <w:snapToGrid w:val="0"/>
        <w:spacing w:line="480" w:lineRule="auto"/>
        <w:rPr>
          <w:rFonts w:hAnsi="宋体" w:cs="宋体"/>
          <w:b/>
          <w:sz w:val="28"/>
          <w:szCs w:val="28"/>
        </w:rPr>
      </w:pPr>
      <w:r>
        <w:rPr>
          <w:rFonts w:hint="eastAsia" w:hAnsi="宋体" w:cs="宋体"/>
          <w:b/>
          <w:sz w:val="28"/>
          <w:szCs w:val="28"/>
        </w:rPr>
        <w:t>第七章  技术标准和要求</w:t>
      </w:r>
      <w:r>
        <w:rPr>
          <w:rFonts w:hint="eastAsia" w:hAnsi="宋体" w:cs="宋体"/>
          <w:b/>
          <w:sz w:val="28"/>
          <w:szCs w:val="28"/>
        </w:rPr>
        <w:tab/>
      </w:r>
    </w:p>
    <w:p>
      <w:pPr>
        <w:tabs>
          <w:tab w:val="left" w:leader="hyphen" w:pos="8060"/>
        </w:tabs>
        <w:snapToGrid w:val="0"/>
        <w:spacing w:line="480" w:lineRule="auto"/>
        <w:rPr>
          <w:rFonts w:hAnsi="宋体" w:cs="宋体"/>
          <w:b/>
          <w:sz w:val="28"/>
          <w:szCs w:val="28"/>
        </w:rPr>
      </w:pPr>
      <w:r>
        <w:rPr>
          <w:rFonts w:hint="eastAsia" w:hAnsi="宋体" w:cs="宋体"/>
          <w:b/>
          <w:sz w:val="28"/>
          <w:szCs w:val="28"/>
        </w:rPr>
        <w:t>第八章  投标文件格式</w:t>
      </w:r>
      <w:r>
        <w:rPr>
          <w:rFonts w:hint="eastAsia" w:hAnsi="宋体" w:cs="宋体"/>
          <w:b/>
          <w:sz w:val="28"/>
          <w:szCs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440" w:lineRule="exact"/>
        <w:outlineLvl w:val="0"/>
        <w:rPr>
          <w:rFonts w:hAnsi="宋体" w:cs="宋体"/>
          <w:b/>
          <w:sz w:val="24"/>
          <w:szCs w:val="24"/>
        </w:rPr>
      </w:pPr>
      <w:r>
        <w:rPr>
          <w:rFonts w:hint="eastAsia" w:hAnsi="宋体" w:cs="宋体"/>
          <w:b/>
          <w:sz w:val="24"/>
          <w:szCs w:val="24"/>
        </w:rPr>
        <w:t>1.招标条件</w:t>
      </w:r>
    </w:p>
    <w:p>
      <w:pPr>
        <w:tabs>
          <w:tab w:val="left" w:pos="982"/>
        </w:tabs>
        <w:spacing w:line="440" w:lineRule="exact"/>
        <w:ind w:firstLine="480" w:firstLineChars="200"/>
        <w:jc w:val="left"/>
        <w:rPr>
          <w:rFonts w:hAnsi="宋体" w:cs="宋体"/>
          <w:b/>
          <w:sz w:val="24"/>
          <w:szCs w:val="24"/>
          <w:u w:val="single"/>
        </w:rPr>
      </w:pPr>
      <w:r>
        <w:rPr>
          <w:rFonts w:hint="eastAsia" w:hAnsi="宋体" w:eastAsia="宋体" w:cs="宋体"/>
          <w:bCs/>
          <w:sz w:val="24"/>
          <w:szCs w:val="24"/>
          <w:lang w:val="en-US" w:eastAsia="zh-CN"/>
        </w:rPr>
        <w:t>XCGC-F2020007许昌市魏都区七里店街道办事处“付夏齐社区污水改造工程”</w:t>
      </w:r>
      <w:r>
        <w:rPr>
          <w:rFonts w:hint="eastAsia" w:hAnsi="宋体" w:eastAsia="宋体" w:cs="宋体"/>
          <w:bCs/>
          <w:sz w:val="24"/>
          <w:szCs w:val="24"/>
        </w:rPr>
        <w:t>已由</w:t>
      </w:r>
      <w:r>
        <w:rPr>
          <w:rFonts w:hint="eastAsia" w:hAnsi="宋体" w:eastAsia="宋体" w:cs="宋体"/>
          <w:bCs/>
          <w:sz w:val="24"/>
          <w:szCs w:val="24"/>
          <w:lang w:eastAsia="zh-CN"/>
        </w:rPr>
        <w:t>许昌市魏都区发展和改革委员会文件许魏发改【</w:t>
      </w:r>
      <w:r>
        <w:rPr>
          <w:rFonts w:hint="eastAsia" w:hAnsi="宋体" w:eastAsia="宋体" w:cs="宋体"/>
          <w:bCs/>
          <w:sz w:val="24"/>
          <w:szCs w:val="24"/>
          <w:lang w:val="en-US" w:eastAsia="zh-CN"/>
        </w:rPr>
        <w:t>2019</w:t>
      </w:r>
      <w:r>
        <w:rPr>
          <w:rFonts w:hint="eastAsia" w:hAnsi="宋体" w:eastAsia="宋体" w:cs="宋体"/>
          <w:bCs/>
          <w:sz w:val="24"/>
          <w:szCs w:val="24"/>
          <w:lang w:eastAsia="zh-CN"/>
        </w:rPr>
        <w:t>】</w:t>
      </w:r>
      <w:r>
        <w:rPr>
          <w:rFonts w:hint="eastAsia" w:hAnsi="宋体" w:eastAsia="宋体" w:cs="宋体"/>
          <w:bCs/>
          <w:sz w:val="24"/>
          <w:szCs w:val="24"/>
          <w:lang w:val="en-US" w:eastAsia="zh-CN"/>
        </w:rPr>
        <w:t>153号文件</w:t>
      </w:r>
      <w:r>
        <w:rPr>
          <w:rFonts w:hint="eastAsia" w:hAnsi="宋体" w:eastAsia="宋体" w:cs="宋体"/>
          <w:bCs/>
          <w:sz w:val="24"/>
          <w:szCs w:val="24"/>
        </w:rPr>
        <w:t>批准建设，招标人为</w:t>
      </w:r>
      <w:r>
        <w:rPr>
          <w:rFonts w:hint="eastAsia" w:hAnsi="宋体" w:eastAsia="宋体" w:cs="宋体"/>
          <w:bCs/>
          <w:sz w:val="24"/>
          <w:szCs w:val="24"/>
          <w:lang w:val="en-US" w:eastAsia="zh-CN"/>
        </w:rPr>
        <w:t>许昌市魏都区七里店街道办事处</w:t>
      </w:r>
      <w:r>
        <w:rPr>
          <w:rFonts w:hint="eastAsia" w:hAnsi="宋体" w:eastAsia="宋体" w:cs="宋体"/>
          <w:bCs/>
          <w:sz w:val="24"/>
          <w:szCs w:val="24"/>
        </w:rPr>
        <w:t>，建设资金为</w:t>
      </w:r>
      <w:r>
        <w:rPr>
          <w:rFonts w:hint="eastAsia" w:hAnsi="宋体" w:eastAsia="宋体" w:cs="宋体"/>
          <w:bCs/>
          <w:sz w:val="24"/>
          <w:szCs w:val="24"/>
          <w:lang w:eastAsia="zh-CN"/>
        </w:rPr>
        <w:t>财政</w:t>
      </w:r>
      <w:r>
        <w:rPr>
          <w:rFonts w:hint="eastAsia" w:hAnsi="宋体" w:eastAsia="宋体" w:cs="宋体"/>
          <w:bCs/>
          <w:sz w:val="24"/>
          <w:szCs w:val="24"/>
        </w:rPr>
        <w:t>资金，项目出资比例为100%。项目已具备招标条件，现对该项目的施工进行公开招标。</w:t>
      </w:r>
    </w:p>
    <w:p>
      <w:pPr>
        <w:tabs>
          <w:tab w:val="left" w:pos="4420"/>
        </w:tabs>
        <w:spacing w:line="44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2.1项目编号：XCGC-F</w:t>
      </w:r>
      <w:r>
        <w:rPr>
          <w:rFonts w:hint="eastAsia" w:hAnsi="宋体" w:eastAsia="宋体" w:cs="宋体"/>
          <w:bCs/>
          <w:sz w:val="24"/>
          <w:szCs w:val="24"/>
          <w:lang w:val="en-US" w:eastAsia="zh-CN"/>
        </w:rPr>
        <w:t>2020007</w:t>
      </w:r>
      <w:r>
        <w:rPr>
          <w:rFonts w:hint="eastAsia" w:hAnsi="宋体" w:eastAsia="宋体" w:cs="宋体"/>
          <w:bCs/>
          <w:sz w:val="24"/>
          <w:szCs w:val="24"/>
        </w:rPr>
        <w:t xml:space="preserve">号    </w:t>
      </w:r>
    </w:p>
    <w:p>
      <w:pPr>
        <w:tabs>
          <w:tab w:val="left" w:pos="982"/>
        </w:tabs>
        <w:spacing w:line="440" w:lineRule="exact"/>
        <w:ind w:firstLine="480" w:firstLineChars="200"/>
        <w:jc w:val="left"/>
        <w:rPr>
          <w:rFonts w:hint="default" w:hAnsi="宋体" w:eastAsia="宋体" w:cs="宋体"/>
          <w:bCs/>
          <w:sz w:val="24"/>
          <w:szCs w:val="24"/>
          <w:lang w:val="en-US" w:eastAsia="zh-CN"/>
        </w:rPr>
      </w:pPr>
      <w:r>
        <w:rPr>
          <w:rFonts w:hint="eastAsia" w:hAnsi="宋体" w:eastAsia="宋体" w:cs="宋体"/>
          <w:bCs/>
          <w:color w:val="auto"/>
          <w:sz w:val="24"/>
          <w:szCs w:val="24"/>
        </w:rPr>
        <w:t>2.2项目概况：</w:t>
      </w:r>
      <w:r>
        <w:rPr>
          <w:rFonts w:hint="eastAsia" w:hAnsi="宋体" w:eastAsia="宋体" w:cs="宋体"/>
          <w:bCs/>
          <w:sz w:val="24"/>
          <w:szCs w:val="24"/>
          <w:lang w:eastAsia="zh-CN"/>
        </w:rPr>
        <w:t>付夏齐社区污水改造工程位于许昌市魏都区七里店付夏齐社区，设计</w:t>
      </w:r>
      <w:r>
        <w:rPr>
          <w:rFonts w:hint="eastAsia" w:hAnsi="宋体" w:eastAsia="宋体" w:cs="宋体"/>
          <w:bCs/>
          <w:sz w:val="24"/>
          <w:szCs w:val="24"/>
          <w:lang w:val="en-US" w:eastAsia="zh-CN"/>
        </w:rPr>
        <w:t>D600污水管全长约258M，D400污水管位全长约119.5m，D300污水管位全长约16m，D200污水管位全长约1.3m,污水管线均采用开槽法施工。</w:t>
      </w:r>
    </w:p>
    <w:p>
      <w:pPr>
        <w:tabs>
          <w:tab w:val="left" w:pos="982"/>
        </w:tabs>
        <w:spacing w:line="440" w:lineRule="exact"/>
        <w:ind w:firstLine="480" w:firstLineChars="200"/>
        <w:jc w:val="left"/>
        <w:rPr>
          <w:rFonts w:hAnsi="宋体" w:eastAsia="宋体" w:cs="宋体"/>
          <w:bCs/>
          <w:color w:val="FF0000"/>
          <w:sz w:val="24"/>
          <w:szCs w:val="24"/>
        </w:rPr>
      </w:pPr>
      <w:r>
        <w:rPr>
          <w:rFonts w:hint="eastAsia" w:hAnsi="宋体" w:eastAsia="宋体" w:cs="宋体"/>
          <w:bCs/>
          <w:color w:val="000000" w:themeColor="text1"/>
          <w:sz w:val="24"/>
          <w:szCs w:val="24"/>
        </w:rPr>
        <w:t>2.3招标控制价：</w:t>
      </w:r>
      <w:r>
        <w:rPr>
          <w:rFonts w:hint="eastAsia" w:hAnsi="宋体" w:eastAsia="宋体" w:cs="宋体"/>
          <w:bCs/>
          <w:color w:val="000000" w:themeColor="text1"/>
          <w:sz w:val="24"/>
          <w:szCs w:val="24"/>
          <w:lang w:val="en-US" w:eastAsia="zh-CN"/>
        </w:rPr>
        <w:t>791032.95</w:t>
      </w:r>
      <w:r>
        <w:rPr>
          <w:rFonts w:hint="eastAsia" w:hAnsi="宋体" w:eastAsia="宋体" w:cs="宋体"/>
          <w:bCs/>
          <w:color w:val="000000" w:themeColor="text1"/>
          <w:sz w:val="24"/>
          <w:szCs w:val="24"/>
        </w:rPr>
        <w:t>元。</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2.4招标范围：招标文件、施工图纸、工程量清单、答疑纪要和补充文件（如有）范围内的所有建设内容。</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2.5标段划分：一个施工标段。</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2.6计划工期:</w:t>
      </w:r>
      <w:r>
        <w:rPr>
          <w:rFonts w:hint="eastAsia" w:hAnsi="宋体" w:cs="宋体"/>
          <w:bCs/>
          <w:sz w:val="24"/>
          <w:szCs w:val="24"/>
        </w:rPr>
        <w:t xml:space="preserve"> </w:t>
      </w:r>
      <w:r>
        <w:rPr>
          <w:rFonts w:hint="eastAsia" w:hAnsi="宋体" w:cs="宋体"/>
          <w:bCs/>
          <w:sz w:val="24"/>
          <w:szCs w:val="24"/>
          <w:lang w:val="en-US" w:eastAsia="zh-CN"/>
        </w:rPr>
        <w:t xml:space="preserve"> 40</w:t>
      </w:r>
      <w:r>
        <w:rPr>
          <w:rFonts w:hint="eastAsia" w:hAnsi="宋体" w:cs="宋体"/>
          <w:bCs/>
          <w:color w:val="auto"/>
          <w:sz w:val="24"/>
          <w:szCs w:val="24"/>
        </w:rPr>
        <w:t>日历天。</w:t>
      </w:r>
      <w:r>
        <w:rPr>
          <w:rFonts w:hint="eastAsia" w:hAnsi="宋体" w:eastAsia="宋体" w:cs="宋体"/>
          <w:bCs/>
          <w:sz w:val="24"/>
          <w:szCs w:val="24"/>
        </w:rPr>
        <w:t xml:space="preserve">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2.7质量要求：合格。</w:t>
      </w:r>
    </w:p>
    <w:p>
      <w:pPr>
        <w:spacing w:line="440" w:lineRule="exact"/>
        <w:outlineLvl w:val="0"/>
        <w:rPr>
          <w:rFonts w:hAnsi="宋体" w:cs="宋体"/>
          <w:b/>
          <w:sz w:val="24"/>
          <w:szCs w:val="24"/>
        </w:rPr>
      </w:pPr>
      <w:r>
        <w:rPr>
          <w:rFonts w:hint="eastAsia" w:hAnsi="宋体" w:cs="宋体"/>
          <w:b/>
          <w:sz w:val="24"/>
          <w:szCs w:val="24"/>
        </w:rPr>
        <w:t>3.投标人资格要求</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3.1投标人须具有市政工程施工总承包</w:t>
      </w:r>
      <w:r>
        <w:rPr>
          <w:rFonts w:hint="eastAsia" w:hAnsi="宋体" w:eastAsia="宋体" w:cs="宋体"/>
          <w:bCs/>
          <w:sz w:val="24"/>
          <w:szCs w:val="24"/>
          <w:lang w:eastAsia="zh-CN"/>
        </w:rPr>
        <w:t>叁</w:t>
      </w:r>
      <w:r>
        <w:rPr>
          <w:rFonts w:hint="eastAsia" w:hAnsi="宋体" w:eastAsia="宋体" w:cs="宋体"/>
          <w:bCs/>
          <w:sz w:val="24"/>
          <w:szCs w:val="24"/>
        </w:rPr>
        <w:t>级企业资质，具有有效的安全生产许可证的独立法人企业，并在人员、设备、资金等方面具有相应的施工能力。拟派项目负责人具有</w:t>
      </w:r>
      <w:r>
        <w:rPr>
          <w:rFonts w:hint="eastAsia" w:hAnsi="宋体" w:eastAsia="宋体" w:cs="宋体"/>
          <w:bCs/>
          <w:sz w:val="24"/>
          <w:szCs w:val="24"/>
          <w:lang w:eastAsia="zh-CN"/>
        </w:rPr>
        <w:t>贰</w:t>
      </w:r>
      <w:r>
        <w:rPr>
          <w:rFonts w:hint="eastAsia" w:hAnsi="宋体" w:eastAsia="宋体" w:cs="宋体"/>
          <w:bCs/>
          <w:sz w:val="24"/>
          <w:szCs w:val="24"/>
        </w:rPr>
        <w:t>级市政工程专业注册建造师执业资格和有效的安全生产考核合格证，且未担任其它在施建设工程的项目负责人。</w:t>
      </w:r>
    </w:p>
    <w:p>
      <w:pPr>
        <w:tabs>
          <w:tab w:val="left" w:pos="982"/>
        </w:tabs>
        <w:spacing w:line="440" w:lineRule="exact"/>
        <w:ind w:firstLine="480" w:firstLineChars="200"/>
        <w:jc w:val="left"/>
        <w:rPr>
          <w:rFonts w:hint="eastAsia" w:hAnsi="宋体" w:eastAsia="宋体" w:cs="宋体"/>
          <w:bCs/>
          <w:sz w:val="24"/>
          <w:szCs w:val="24"/>
        </w:rPr>
      </w:pPr>
      <w:r>
        <w:rPr>
          <w:rFonts w:hint="eastAsia" w:hAnsi="宋体" w:eastAsia="宋体" w:cs="宋体"/>
          <w:bCs/>
          <w:sz w:val="24"/>
          <w:szCs w:val="24"/>
        </w:rPr>
        <w:t>3.2</w:t>
      </w:r>
      <w:r>
        <w:rPr>
          <w:rFonts w:hint="eastAsia" w:hAnsi="宋体" w:eastAsia="宋体" w:cs="宋体"/>
          <w:bCs/>
          <w:sz w:val="24"/>
          <w:szCs w:val="24"/>
          <w:lang w:val="en-US" w:eastAsia="zh-CN"/>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 xml:space="preserve"> 3.3本次招标不接受联合体投标。</w:t>
      </w:r>
    </w:p>
    <w:p>
      <w:pPr>
        <w:tabs>
          <w:tab w:val="left" w:pos="982"/>
        </w:tabs>
        <w:spacing w:line="440" w:lineRule="exact"/>
        <w:ind w:firstLine="480" w:firstLineChars="200"/>
        <w:jc w:val="left"/>
        <w:rPr>
          <w:rFonts w:hAnsi="宋体" w:cs="宋体"/>
          <w:sz w:val="24"/>
          <w:szCs w:val="24"/>
        </w:rPr>
      </w:pPr>
      <w:r>
        <w:rPr>
          <w:rFonts w:hint="eastAsia" w:hAnsi="宋体" w:eastAsia="宋体" w:cs="宋体"/>
          <w:bCs/>
          <w:sz w:val="24"/>
          <w:szCs w:val="24"/>
        </w:rPr>
        <w:t xml:space="preserve"> 3.4本次招标实行资格后审。</w:t>
      </w:r>
    </w:p>
    <w:p>
      <w:pPr>
        <w:spacing w:line="440" w:lineRule="exact"/>
        <w:outlineLvl w:val="0"/>
        <w:rPr>
          <w:rFonts w:hAnsi="宋体"/>
          <w:b/>
          <w:sz w:val="24"/>
          <w:szCs w:val="24"/>
        </w:rPr>
      </w:pPr>
      <w:r>
        <w:rPr>
          <w:rFonts w:hint="eastAsia" w:hAnsi="宋体"/>
          <w:b/>
          <w:sz w:val="24"/>
          <w:szCs w:val="24"/>
        </w:rPr>
        <w:t>4.网上下载招标文件</w:t>
      </w:r>
    </w:p>
    <w:p>
      <w:pPr>
        <w:pStyle w:val="10"/>
        <w:wordWrap w:val="0"/>
        <w:spacing w:beforeAutospacing="0" w:afterAutospacing="0" w:line="44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spacing w:beforeAutospacing="0" w:afterAutospacing="0" w:line="44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Ansi="宋体"/>
          <w:b/>
          <w:sz w:val="24"/>
          <w:szCs w:val="24"/>
        </w:rPr>
      </w:pPr>
      <w:r>
        <w:rPr>
          <w:rFonts w:hint="eastAsia" w:hAnsi="宋体"/>
          <w:b/>
          <w:sz w:val="24"/>
          <w:szCs w:val="24"/>
        </w:rPr>
        <w:t>5.招标文件和施工图纸的获取</w:t>
      </w:r>
    </w:p>
    <w:p>
      <w:pPr>
        <w:spacing w:line="440" w:lineRule="exact"/>
        <w:ind w:firstLine="480" w:firstLineChars="200"/>
        <w:outlineLvl w:val="0"/>
        <w:rPr>
          <w:rFonts w:hAnsi="宋体"/>
          <w:b/>
          <w:sz w:val="24"/>
          <w:szCs w:val="24"/>
        </w:rPr>
      </w:pPr>
      <w:r>
        <w:rPr>
          <w:rFonts w:hint="eastAsia" w:hAnsi="宋体" w:eastAsia="宋体" w:cs="宋体"/>
          <w:bCs/>
          <w:sz w:val="24"/>
          <w:szCs w:val="24"/>
        </w:rPr>
        <w:t>5.1招标文件的获取：投标人于投标文件递交截止时间前均可登录《全国公共资源交易平台(河南省▪许昌市)》（http://www.xcggzy.gov.cn/），通过“投标人/供应商登录” 入口自行下载。</w:t>
      </w:r>
    </w:p>
    <w:p>
      <w:pPr>
        <w:tabs>
          <w:tab w:val="left" w:pos="7095"/>
        </w:tabs>
        <w:spacing w:line="440" w:lineRule="exact"/>
        <w:ind w:firstLine="360" w:firstLineChars="150"/>
        <w:rPr>
          <w:rFonts w:hAnsi="宋体" w:eastAsia="宋体" w:cs="宋体"/>
          <w:bCs/>
          <w:sz w:val="24"/>
          <w:szCs w:val="24"/>
        </w:rPr>
      </w:pPr>
      <w:r>
        <w:rPr>
          <w:rFonts w:hint="eastAsia" w:hAnsi="宋体" w:eastAsia="宋体" w:cs="宋体"/>
          <w:bCs/>
          <w:sz w:val="24"/>
          <w:szCs w:val="24"/>
        </w:rPr>
        <w:t xml:space="preserve"> 5.2施工图纸下载：按照施工招标文件中第二章投标人须知前附表第2.1项自行下载。</w:t>
      </w:r>
    </w:p>
    <w:p>
      <w:pPr>
        <w:autoSpaceDE w:val="0"/>
        <w:autoSpaceDN w:val="0"/>
        <w:adjustRightInd w:val="0"/>
        <w:spacing w:line="440" w:lineRule="exact"/>
        <w:ind w:firstLine="480"/>
        <w:jc w:val="left"/>
        <w:rPr>
          <w:rFonts w:hAnsi="宋体" w:eastAsia="宋体" w:cs="宋体"/>
          <w:bCs/>
          <w:sz w:val="24"/>
          <w:szCs w:val="24"/>
        </w:rPr>
      </w:pPr>
      <w:r>
        <w:rPr>
          <w:rFonts w:hint="eastAsia" w:hAnsi="宋体" w:eastAsia="宋体" w:cs="宋体"/>
          <w:bCs/>
          <w:sz w:val="24"/>
          <w:szCs w:val="24"/>
        </w:rPr>
        <w:t>5.3招标文件每套售价300元/标段，于提交电子投标文件时缴纳给招标代理机构，售后不退。</w:t>
      </w:r>
    </w:p>
    <w:p>
      <w:pPr>
        <w:autoSpaceDE w:val="0"/>
        <w:autoSpaceDN w:val="0"/>
        <w:adjustRightInd w:val="0"/>
        <w:spacing w:line="440" w:lineRule="exact"/>
        <w:jc w:val="left"/>
        <w:rPr>
          <w:rFonts w:hAnsi="宋体" w:cs="宋体"/>
          <w:b/>
          <w:bCs/>
          <w:sz w:val="24"/>
        </w:rPr>
      </w:pPr>
      <w:r>
        <w:rPr>
          <w:rFonts w:hint="eastAsia" w:hAnsi="宋体" w:cs="宋体"/>
          <w:b/>
          <w:bCs/>
          <w:sz w:val="24"/>
        </w:rPr>
        <w:t>6.投标文件的提交</w:t>
      </w:r>
    </w:p>
    <w:p>
      <w:pPr>
        <w:spacing w:line="440" w:lineRule="exact"/>
        <w:ind w:firstLine="465"/>
        <w:rPr>
          <w:rFonts w:hAnsi="宋体" w:cs="宋体"/>
          <w:sz w:val="24"/>
          <w:szCs w:val="24"/>
        </w:rPr>
      </w:pPr>
      <w:r>
        <w:rPr>
          <w:rFonts w:hint="eastAsia" w:hAnsi="宋体" w:cs="宋体"/>
          <w:sz w:val="24"/>
          <w:szCs w:val="24"/>
        </w:rPr>
        <w:t>6.1 本项目为全流程电子化交易项目，</w:t>
      </w:r>
      <w:r>
        <w:rPr>
          <w:rFonts w:hint="eastAsia" w:hAnsi="宋体" w:eastAsia="宋体" w:cs="宋体"/>
          <w:sz w:val="24"/>
          <w:szCs w:val="24"/>
          <w:shd w:val="clear" w:color="auto" w:fill="FFFFFF"/>
        </w:rPr>
        <w:t>须提交电子投标文件和电子介质存储的投标文件</w:t>
      </w:r>
      <w:r>
        <w:rPr>
          <w:rFonts w:hint="eastAsia" w:hAnsi="宋体" w:cs="宋体"/>
          <w:sz w:val="24"/>
          <w:szCs w:val="24"/>
        </w:rPr>
        <w:t>。</w:t>
      </w:r>
    </w:p>
    <w:p>
      <w:pPr>
        <w:spacing w:line="440" w:lineRule="exact"/>
        <w:ind w:firstLine="465"/>
        <w:rPr>
          <w:rFonts w:hAnsi="宋体" w:cs="宋体"/>
          <w:sz w:val="24"/>
          <w:szCs w:val="24"/>
        </w:rPr>
      </w:pPr>
      <w:r>
        <w:rPr>
          <w:rFonts w:hint="eastAsia" w:hAnsi="宋体" w:cs="宋体"/>
          <w:sz w:val="24"/>
          <w:szCs w:val="24"/>
        </w:rPr>
        <w:t>6.2 投标文件提交的截止时间及开标时间：</w:t>
      </w:r>
      <w:r>
        <w:rPr>
          <w:rFonts w:hint="eastAsia" w:hAnsi="宋体" w:cs="宋体"/>
          <w:color w:val="000000" w:themeColor="text1"/>
          <w:sz w:val="24"/>
          <w:szCs w:val="24"/>
        </w:rPr>
        <w:t>20</w:t>
      </w:r>
      <w:r>
        <w:rPr>
          <w:rFonts w:hint="eastAsia" w:hAnsi="宋体" w:cs="宋体"/>
          <w:color w:val="000000" w:themeColor="text1"/>
          <w:sz w:val="24"/>
          <w:szCs w:val="24"/>
          <w:lang w:val="en-US" w:eastAsia="zh-CN"/>
        </w:rPr>
        <w:t>20</w:t>
      </w:r>
      <w:r>
        <w:rPr>
          <w:rFonts w:hint="eastAsia" w:hAnsi="宋体" w:cs="宋体"/>
          <w:color w:val="000000" w:themeColor="text1"/>
          <w:sz w:val="24"/>
          <w:szCs w:val="24"/>
        </w:rPr>
        <w:t>年</w:t>
      </w:r>
      <w:r>
        <w:rPr>
          <w:rFonts w:hint="eastAsia" w:hAnsi="宋体" w:cs="宋体"/>
          <w:color w:val="000000" w:themeColor="text1"/>
          <w:sz w:val="24"/>
          <w:szCs w:val="24"/>
          <w:u w:val="single"/>
          <w:lang w:val="en-US" w:eastAsia="zh-CN"/>
        </w:rPr>
        <w:t xml:space="preserve">  2  </w:t>
      </w:r>
      <w:r>
        <w:rPr>
          <w:rFonts w:hint="eastAsia" w:hAnsi="宋体" w:cs="宋体"/>
          <w:color w:val="000000" w:themeColor="text1"/>
          <w:sz w:val="24"/>
          <w:szCs w:val="24"/>
        </w:rPr>
        <w:t>月</w:t>
      </w:r>
      <w:r>
        <w:rPr>
          <w:rFonts w:hint="eastAsia" w:hAnsi="宋体" w:cs="宋体"/>
          <w:color w:val="000000" w:themeColor="text1"/>
          <w:sz w:val="24"/>
          <w:szCs w:val="24"/>
          <w:u w:val="single"/>
        </w:rPr>
        <w:t xml:space="preserve"> </w:t>
      </w:r>
      <w:r>
        <w:rPr>
          <w:rFonts w:hint="eastAsia" w:hAnsi="宋体" w:cs="宋体"/>
          <w:color w:val="000000" w:themeColor="text1"/>
          <w:sz w:val="24"/>
          <w:szCs w:val="24"/>
          <w:u w:val="single"/>
          <w:lang w:val="en-US" w:eastAsia="zh-CN"/>
        </w:rPr>
        <w:t xml:space="preserve"> 5</w:t>
      </w:r>
      <w:r>
        <w:rPr>
          <w:rFonts w:hint="eastAsia" w:hAnsi="宋体" w:cs="宋体"/>
          <w:color w:val="000000" w:themeColor="text1"/>
          <w:sz w:val="24"/>
          <w:szCs w:val="24"/>
          <w:u w:val="single"/>
        </w:rPr>
        <w:t xml:space="preserve"> </w:t>
      </w:r>
      <w:r>
        <w:rPr>
          <w:rFonts w:hint="eastAsia" w:hAnsi="宋体" w:cs="宋体"/>
          <w:color w:val="000000" w:themeColor="text1"/>
          <w:sz w:val="24"/>
          <w:szCs w:val="24"/>
        </w:rPr>
        <w:t>日</w:t>
      </w:r>
      <w:r>
        <w:rPr>
          <w:rFonts w:hint="eastAsia" w:hAnsi="宋体" w:cs="宋体"/>
          <w:color w:val="000000" w:themeColor="text1"/>
          <w:sz w:val="24"/>
          <w:szCs w:val="24"/>
          <w:u w:val="single"/>
          <w:lang w:val="en-US" w:eastAsia="zh-CN"/>
        </w:rPr>
        <w:t xml:space="preserve">  8 </w:t>
      </w:r>
      <w:r>
        <w:rPr>
          <w:rFonts w:hint="eastAsia" w:hAnsi="宋体" w:cs="宋体"/>
          <w:color w:val="000000" w:themeColor="text1"/>
          <w:sz w:val="24"/>
          <w:szCs w:val="24"/>
        </w:rPr>
        <w:t>时</w:t>
      </w:r>
      <w:r>
        <w:rPr>
          <w:rFonts w:hint="eastAsia" w:hAnsi="宋体" w:cs="宋体"/>
          <w:color w:val="000000" w:themeColor="text1"/>
          <w:sz w:val="24"/>
          <w:szCs w:val="24"/>
          <w:u w:val="single"/>
          <w:lang w:val="en-US" w:eastAsia="zh-CN"/>
        </w:rPr>
        <w:t xml:space="preserve"> 30 </w:t>
      </w:r>
      <w:r>
        <w:rPr>
          <w:rFonts w:hint="eastAsia" w:hAnsi="宋体" w:cs="宋体"/>
          <w:color w:val="000000" w:themeColor="text1"/>
          <w:sz w:val="24"/>
          <w:szCs w:val="24"/>
        </w:rPr>
        <w:t>分。</w:t>
      </w:r>
    </w:p>
    <w:p>
      <w:pPr>
        <w:spacing w:line="440" w:lineRule="exact"/>
        <w:ind w:firstLine="465"/>
        <w:rPr>
          <w:rFonts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w:t>
      </w:r>
      <w:r>
        <w:rPr>
          <w:rFonts w:hint="eastAsia" w:hAnsi="宋体" w:cs="宋体"/>
          <w:sz w:val="24"/>
          <w:szCs w:val="24"/>
          <w:lang w:val="en-US" w:eastAsia="zh-CN"/>
        </w:rPr>
        <w:t>2</w:t>
      </w:r>
      <w:r>
        <w:rPr>
          <w:rFonts w:hint="eastAsia" w:hAnsi="宋体" w:cs="宋体"/>
          <w:sz w:val="24"/>
          <w:szCs w:val="24"/>
        </w:rPr>
        <w:t>份</w:t>
      </w:r>
      <w:r>
        <w:rPr>
          <w:rFonts w:hint="eastAsia" w:hAnsi="宋体" w:cs="宋体"/>
          <w:sz w:val="24"/>
        </w:rPr>
        <w:t>使用电子介质存储的备份文件。</w:t>
      </w:r>
    </w:p>
    <w:p>
      <w:pPr>
        <w:spacing w:line="440" w:lineRule="exact"/>
        <w:ind w:firstLine="465"/>
        <w:rPr>
          <w:rFonts w:hAnsi="宋体" w:cs="宋体"/>
          <w:sz w:val="24"/>
        </w:rPr>
      </w:pPr>
      <w:r>
        <w:rPr>
          <w:rFonts w:hint="eastAsia" w:hAnsi="宋体" w:cs="宋体"/>
          <w:sz w:val="24"/>
        </w:rPr>
        <w:t>6.4电子投标文件提交地点：许昌市公共资源交易中心（龙兴路与竹林路交汇处创业服务中心C 座）三楼开标</w:t>
      </w:r>
      <w:r>
        <w:rPr>
          <w:rFonts w:hint="eastAsia" w:hAnsi="宋体" w:cs="宋体"/>
          <w:color w:val="000000" w:themeColor="text1"/>
          <w:sz w:val="24"/>
        </w:rPr>
        <w:t>（</w:t>
      </w:r>
      <w:r>
        <w:rPr>
          <w:rFonts w:hint="eastAsia" w:hAnsi="宋体" w:cs="宋体"/>
          <w:color w:val="000000" w:themeColor="text1"/>
          <w:sz w:val="24"/>
          <w:lang w:val="en-US" w:eastAsia="zh-CN"/>
        </w:rPr>
        <w:t xml:space="preserve"> 四  </w:t>
      </w:r>
      <w:r>
        <w:rPr>
          <w:rFonts w:hint="eastAsia" w:hAnsi="宋体" w:cs="宋体"/>
          <w:color w:val="000000" w:themeColor="text1"/>
          <w:sz w:val="24"/>
        </w:rPr>
        <w:t>）室。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440" w:lineRule="exact"/>
        <w:outlineLvl w:val="0"/>
        <w:rPr>
          <w:rFonts w:hAnsi="宋体" w:cs="宋体"/>
          <w:b/>
          <w:sz w:val="24"/>
          <w:szCs w:val="24"/>
        </w:rPr>
      </w:pPr>
      <w:r>
        <w:rPr>
          <w:rFonts w:hint="eastAsia" w:hAnsi="宋体" w:cs="宋体"/>
          <w:b/>
          <w:sz w:val="24"/>
          <w:szCs w:val="24"/>
        </w:rPr>
        <w:t>7.发布公告的媒介</w:t>
      </w:r>
    </w:p>
    <w:p>
      <w:pPr>
        <w:spacing w:line="440" w:lineRule="exact"/>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440" w:lineRule="exact"/>
        <w:outlineLvl w:val="0"/>
        <w:rPr>
          <w:rFonts w:hAnsi="宋体" w:cs="宋体"/>
          <w:b/>
          <w:sz w:val="24"/>
          <w:szCs w:val="24"/>
        </w:rPr>
      </w:pPr>
      <w:r>
        <w:rPr>
          <w:rFonts w:hint="eastAsia" w:hAnsi="宋体" w:cs="宋体"/>
          <w:b/>
          <w:sz w:val="24"/>
          <w:szCs w:val="24"/>
        </w:rPr>
        <w:t>8.联系方式</w:t>
      </w:r>
    </w:p>
    <w:p>
      <w:pPr>
        <w:spacing w:line="440" w:lineRule="exact"/>
        <w:ind w:firstLine="480" w:firstLineChars="200"/>
        <w:outlineLvl w:val="0"/>
        <w:rPr>
          <w:rFonts w:hint="eastAsia" w:hAnsi="宋体" w:eastAsia="宋体" w:cs="宋体"/>
          <w:bCs/>
          <w:sz w:val="24"/>
          <w:szCs w:val="24"/>
          <w:lang w:eastAsia="zh-CN"/>
        </w:rPr>
      </w:pPr>
      <w:r>
        <w:rPr>
          <w:rFonts w:hint="eastAsia" w:hAnsi="宋体" w:eastAsia="宋体" w:cs="宋体"/>
          <w:bCs/>
          <w:sz w:val="24"/>
          <w:szCs w:val="24"/>
        </w:rPr>
        <w:t>招 标 人：</w:t>
      </w:r>
      <w:r>
        <w:rPr>
          <w:rFonts w:hint="eastAsia" w:hAnsi="宋体" w:eastAsia="宋体" w:cs="宋体"/>
          <w:bCs/>
          <w:sz w:val="24"/>
          <w:szCs w:val="24"/>
          <w:lang w:eastAsia="zh-CN"/>
        </w:rPr>
        <w:t>许昌市魏都区七里店街道办事处</w:t>
      </w:r>
    </w:p>
    <w:p>
      <w:pPr>
        <w:spacing w:line="440" w:lineRule="exact"/>
        <w:ind w:firstLine="480" w:firstLineChars="200"/>
        <w:outlineLvl w:val="0"/>
        <w:rPr>
          <w:rFonts w:hint="eastAsia" w:hAnsi="宋体" w:eastAsia="宋体" w:cs="宋体"/>
          <w:bCs/>
          <w:sz w:val="24"/>
          <w:szCs w:val="24"/>
          <w:lang w:eastAsia="zh-CN"/>
        </w:rPr>
      </w:pPr>
      <w:r>
        <w:rPr>
          <w:rFonts w:hint="eastAsia" w:hAnsi="宋体" w:eastAsia="宋体" w:cs="宋体"/>
          <w:bCs/>
          <w:sz w:val="24"/>
          <w:szCs w:val="24"/>
        </w:rPr>
        <w:t>地    址：许昌市</w:t>
      </w:r>
      <w:r>
        <w:rPr>
          <w:rFonts w:hint="eastAsia" w:hAnsi="宋体" w:eastAsia="宋体" w:cs="宋体"/>
          <w:bCs/>
          <w:sz w:val="24"/>
          <w:szCs w:val="24"/>
          <w:lang w:eastAsia="zh-CN"/>
        </w:rPr>
        <w:t>魏都区帝豪路西段</w:t>
      </w:r>
    </w:p>
    <w:p>
      <w:pPr>
        <w:ind w:firstLine="480" w:firstLineChars="200"/>
        <w:rPr>
          <w:rFonts w:hint="eastAsia" w:hAnsi="宋体" w:eastAsia="宋体" w:cs="宋体"/>
          <w:bCs/>
          <w:sz w:val="24"/>
          <w:szCs w:val="24"/>
          <w:lang w:eastAsia="zh-CN"/>
        </w:rPr>
      </w:pPr>
      <w:r>
        <w:rPr>
          <w:rFonts w:hint="eastAsia" w:hAnsi="宋体" w:eastAsia="宋体" w:cs="宋体"/>
          <w:bCs/>
          <w:sz w:val="24"/>
          <w:szCs w:val="24"/>
        </w:rPr>
        <w:t>联 系 人：</w:t>
      </w:r>
      <w:r>
        <w:rPr>
          <w:rFonts w:hint="eastAsia" w:hAnsi="宋体" w:eastAsia="宋体" w:cs="宋体"/>
          <w:bCs/>
          <w:sz w:val="24"/>
          <w:szCs w:val="24"/>
          <w:lang w:eastAsia="zh-CN"/>
        </w:rPr>
        <w:t>郭先生</w:t>
      </w:r>
    </w:p>
    <w:p>
      <w:pPr>
        <w:spacing w:line="440" w:lineRule="exact"/>
        <w:ind w:firstLine="480" w:firstLineChars="200"/>
        <w:outlineLvl w:val="0"/>
        <w:rPr>
          <w:rFonts w:hint="default" w:hAnsi="宋体" w:eastAsia="宋体" w:cs="宋体"/>
          <w:bCs/>
          <w:sz w:val="24"/>
          <w:szCs w:val="24"/>
          <w:lang w:val="en-US" w:eastAsia="zh-CN"/>
        </w:rPr>
      </w:pPr>
      <w:r>
        <w:rPr>
          <w:rFonts w:hint="eastAsia" w:hAnsi="宋体" w:eastAsia="宋体" w:cs="宋体"/>
          <w:bCs/>
          <w:sz w:val="24"/>
          <w:szCs w:val="24"/>
        </w:rPr>
        <w:t>联系电话：</w:t>
      </w:r>
      <w:r>
        <w:rPr>
          <w:rFonts w:hint="eastAsia" w:hAnsi="宋体" w:eastAsia="宋体" w:cs="宋体"/>
          <w:bCs/>
          <w:sz w:val="24"/>
          <w:szCs w:val="24"/>
          <w:lang w:val="en-US" w:eastAsia="zh-CN"/>
        </w:rPr>
        <w:t>15837437125</w:t>
      </w:r>
    </w:p>
    <w:p>
      <w:pPr>
        <w:spacing w:line="440" w:lineRule="exact"/>
        <w:ind w:firstLine="480" w:firstLineChars="200"/>
        <w:outlineLvl w:val="0"/>
        <w:rPr>
          <w:rFonts w:hint="eastAsia" w:hAnsi="宋体" w:eastAsia="宋体" w:cs="宋体"/>
          <w:bCs/>
          <w:sz w:val="24"/>
          <w:szCs w:val="24"/>
          <w:lang w:eastAsia="zh-CN"/>
        </w:rPr>
      </w:pPr>
      <w:r>
        <w:rPr>
          <w:rFonts w:hint="eastAsia" w:hAnsi="宋体" w:eastAsia="宋体" w:cs="宋体"/>
          <w:bCs/>
          <w:sz w:val="24"/>
          <w:szCs w:val="24"/>
        </w:rPr>
        <w:t>代理机构：</w:t>
      </w:r>
      <w:r>
        <w:rPr>
          <w:rFonts w:hint="eastAsia" w:hAnsi="宋体" w:eastAsia="宋体" w:cs="宋体"/>
          <w:bCs/>
          <w:sz w:val="24"/>
          <w:szCs w:val="24"/>
          <w:lang w:eastAsia="zh-CN"/>
        </w:rPr>
        <w:t>河南永安工程管理有限公司</w:t>
      </w:r>
    </w:p>
    <w:p>
      <w:pPr>
        <w:spacing w:line="440" w:lineRule="exact"/>
        <w:ind w:firstLine="480" w:firstLineChars="200"/>
        <w:outlineLvl w:val="0"/>
        <w:rPr>
          <w:rFonts w:hint="eastAsia" w:hAnsi="宋体" w:eastAsia="宋体" w:cs="宋体"/>
          <w:bCs/>
          <w:sz w:val="24"/>
          <w:szCs w:val="24"/>
        </w:rPr>
      </w:pPr>
      <w:r>
        <w:rPr>
          <w:rFonts w:hint="eastAsia" w:hAnsi="宋体" w:eastAsia="宋体" w:cs="宋体"/>
          <w:bCs/>
          <w:sz w:val="24"/>
          <w:szCs w:val="24"/>
        </w:rPr>
        <w:t>地  址：许昌市城乡一体化示范区元鼎国际B座1612</w:t>
      </w:r>
    </w:p>
    <w:p>
      <w:pPr>
        <w:spacing w:line="440" w:lineRule="exact"/>
        <w:ind w:firstLine="480" w:firstLineChars="200"/>
        <w:outlineLvl w:val="0"/>
        <w:rPr>
          <w:rFonts w:hint="eastAsia" w:hAnsi="宋体" w:eastAsia="宋体" w:cs="宋体"/>
          <w:bCs/>
          <w:sz w:val="24"/>
          <w:szCs w:val="24"/>
          <w:lang w:eastAsia="zh-CN"/>
        </w:rPr>
      </w:pPr>
      <w:r>
        <w:rPr>
          <w:rFonts w:hint="eastAsia" w:hAnsi="宋体" w:eastAsia="宋体" w:cs="宋体"/>
          <w:bCs/>
          <w:sz w:val="24"/>
          <w:szCs w:val="24"/>
        </w:rPr>
        <w:t>联 系 人：</w:t>
      </w:r>
      <w:r>
        <w:rPr>
          <w:rFonts w:hint="eastAsia" w:hAnsi="宋体" w:eastAsia="宋体" w:cs="宋体"/>
          <w:bCs/>
          <w:sz w:val="24"/>
          <w:szCs w:val="24"/>
          <w:lang w:eastAsia="zh-CN"/>
        </w:rPr>
        <w:t>蔡女士</w:t>
      </w:r>
    </w:p>
    <w:p>
      <w:pPr>
        <w:spacing w:line="440" w:lineRule="exact"/>
        <w:ind w:firstLine="480" w:firstLineChars="200"/>
        <w:outlineLvl w:val="0"/>
        <w:rPr>
          <w:rFonts w:hint="default" w:hAnsi="宋体" w:eastAsia="宋体" w:cs="宋体"/>
          <w:bCs/>
          <w:sz w:val="24"/>
          <w:szCs w:val="24"/>
          <w:lang w:val="en-US" w:eastAsia="zh-CN"/>
        </w:rPr>
      </w:pPr>
      <w:r>
        <w:rPr>
          <w:rFonts w:hint="eastAsia" w:hAnsi="宋体" w:eastAsia="宋体" w:cs="宋体"/>
          <w:bCs/>
          <w:sz w:val="24"/>
          <w:szCs w:val="24"/>
        </w:rPr>
        <w:t>联系电话：</w:t>
      </w:r>
      <w:r>
        <w:rPr>
          <w:rFonts w:hint="eastAsia" w:hAnsi="宋体" w:eastAsia="宋体" w:cs="宋体"/>
          <w:bCs/>
          <w:sz w:val="24"/>
          <w:szCs w:val="24"/>
          <w:lang w:val="en-US" w:eastAsia="zh-CN"/>
        </w:rPr>
        <w:t>17537405352</w:t>
      </w:r>
    </w:p>
    <w:p>
      <w:pPr>
        <w:spacing w:line="440" w:lineRule="exact"/>
        <w:rPr>
          <w:rFonts w:hAnsi="宋体"/>
          <w:b/>
          <w:sz w:val="28"/>
          <w:szCs w:val="28"/>
        </w:rPr>
      </w:pPr>
    </w:p>
    <w:p>
      <w:pPr>
        <w:pStyle w:val="2"/>
        <w:wordWrap w:val="0"/>
        <w:ind w:firstLine="240"/>
        <w:jc w:val="right"/>
        <w:rPr>
          <w:rFonts w:hint="eastAsia" w:hAnsi="宋体" w:eastAsia="宋体" w:cs="宋体"/>
          <w:bCs/>
          <w:sz w:val="24"/>
          <w:szCs w:val="24"/>
          <w:lang w:eastAsia="zh-CN"/>
        </w:rPr>
      </w:pPr>
      <w:r>
        <w:rPr>
          <w:rFonts w:hint="eastAsia" w:hAnsi="宋体" w:eastAsia="宋体" w:cs="宋体"/>
          <w:bCs/>
          <w:sz w:val="24"/>
          <w:szCs w:val="24"/>
          <w:lang w:eastAsia="zh-CN"/>
        </w:rPr>
        <w:t>许昌市魏都区七里店街道办事处</w:t>
      </w:r>
    </w:p>
    <w:p>
      <w:pPr>
        <w:pStyle w:val="2"/>
        <w:ind w:firstLine="340"/>
      </w:pPr>
    </w:p>
    <w:p>
      <w:pPr>
        <w:spacing w:line="440" w:lineRule="exact"/>
        <w:rPr>
          <w:rFonts w:hAnsi="宋体"/>
          <w:b/>
          <w:sz w:val="28"/>
          <w:szCs w:val="28"/>
        </w:rPr>
      </w:pPr>
    </w:p>
    <w:p>
      <w:pPr>
        <w:spacing w:line="440" w:lineRule="exact"/>
        <w:rPr>
          <w:rFonts w:hAnsi="宋体"/>
          <w:b/>
          <w:sz w:val="28"/>
          <w:szCs w:val="28"/>
        </w:rPr>
      </w:pPr>
    </w:p>
    <w:p>
      <w:pPr>
        <w:spacing w:line="440" w:lineRule="exact"/>
        <w:rPr>
          <w:rFonts w:hAnsi="宋体"/>
          <w:b/>
          <w:sz w:val="28"/>
          <w:szCs w:val="28"/>
        </w:rPr>
      </w:pPr>
      <w:r>
        <w:rPr>
          <w:rFonts w:hint="eastAsia" w:hAnsi="宋体"/>
          <w:b/>
          <w:sz w:val="28"/>
          <w:szCs w:val="28"/>
        </w:rPr>
        <w:t>温馨提示：</w:t>
      </w:r>
    </w:p>
    <w:p>
      <w:pPr>
        <w:spacing w:line="440" w:lineRule="exact"/>
        <w:ind w:firstLine="560"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sz w:val="24"/>
          <w:szCs w:val="24"/>
        </w:rPr>
      </w:pPr>
      <w:r>
        <w:rPr>
          <w:rFonts w:hint="eastAsia" w:hAnsi="宋体"/>
          <w:b/>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Ansi="宋体"/>
          <w:b/>
          <w:sz w:val="24"/>
          <w:szCs w:val="24"/>
        </w:rPr>
      </w:pPr>
      <w:r>
        <w:rPr>
          <w:rFonts w:hint="eastAsia" w:hAnsi="宋体"/>
          <w:b/>
          <w:sz w:val="24"/>
          <w:szCs w:val="24"/>
        </w:rPr>
        <w:t>2.电子文件下载、制作、提交期间和开标（电子投标文件的解密）环节，投标人须使用CA数字证书（证书须在有效期内）。</w:t>
      </w:r>
    </w:p>
    <w:p>
      <w:pPr>
        <w:tabs>
          <w:tab w:val="left" w:pos="7095"/>
        </w:tabs>
        <w:spacing w:line="440" w:lineRule="exact"/>
        <w:ind w:firstLine="480"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440" w:lineRule="exact"/>
        <w:ind w:firstLine="480" w:firstLineChars="20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rPr>
          <w:rFonts w:hAnsi="宋体"/>
          <w:sz w:val="24"/>
          <w:szCs w:val="24"/>
        </w:rPr>
        <w:t>http://221.14.6.70:8088/ggzy/</w:t>
      </w:r>
      <w:r>
        <w:rPr>
          <w:rFonts w:hint="eastAsia" w:hAnsi="宋体"/>
          <w:sz w:val="24"/>
          <w:szCs w:val="24"/>
        </w:rPr>
        <w:t>）下载“许昌投标文件制作系统SEARUN V1.1”，按招标文件要求制作电子投标文件。</w:t>
      </w:r>
    </w:p>
    <w:p>
      <w:pPr>
        <w:tabs>
          <w:tab w:val="left" w:pos="7095"/>
        </w:tabs>
        <w:spacing w:line="440" w:lineRule="exact"/>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440" w:lineRule="exact"/>
        <w:ind w:left="170" w:leftChars="50" w:firstLine="360" w:firstLineChars="150"/>
        <w:contextualSpacing/>
        <w:rPr>
          <w:rFonts w:hAnsi="宋体"/>
          <w:sz w:val="24"/>
          <w:szCs w:val="24"/>
        </w:rPr>
      </w:pP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rPr>
          <w:rFonts w:hAnsi="宋体"/>
          <w:sz w:val="24"/>
          <w:szCs w:val="24"/>
        </w:rPr>
        <w:t>http://221.14.6.70:8088/ggzy/</w:t>
      </w:r>
      <w:r>
        <w:rPr>
          <w:rFonts w:hint="eastAsia" w:hAnsi="宋体"/>
          <w:sz w:val="24"/>
          <w:szCs w:val="24"/>
        </w:rPr>
        <w:t>）。投标人应充分考虑并预留技术处理和上传数据所需时间。</w:t>
      </w:r>
    </w:p>
    <w:p>
      <w:pPr>
        <w:tabs>
          <w:tab w:val="left" w:pos="7095"/>
        </w:tabs>
        <w:spacing w:line="440" w:lineRule="exact"/>
        <w:ind w:left="170" w:leftChars="50" w:firstLine="360" w:firstLineChars="15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440" w:lineRule="exact"/>
        <w:ind w:left="170" w:leftChars="50" w:firstLine="360" w:firstLineChars="15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w:t>
      </w:r>
      <w:r>
        <w:rPr>
          <w:rFonts w:hint="eastAsia" w:hAnsi="宋体"/>
          <w:color w:val="auto"/>
          <w:sz w:val="24"/>
          <w:szCs w:val="24"/>
        </w:rPr>
        <w:t>，</w:t>
      </w:r>
      <w:r>
        <w:rPr>
          <w:rFonts w:hint="eastAsia" w:hAnsi="宋体"/>
          <w:sz w:val="24"/>
          <w:szCs w:val="24"/>
        </w:rPr>
        <w:t>投标人应打印“投标文件提交回执单”，供开标现场备查。</w:t>
      </w:r>
    </w:p>
    <w:p>
      <w:pPr>
        <w:tabs>
          <w:tab w:val="left" w:pos="7095"/>
        </w:tabs>
        <w:spacing w:line="440" w:lineRule="exact"/>
        <w:ind w:firstLine="480"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440" w:lineRule="exact"/>
        <w:ind w:left="170" w:leftChars="50" w:firstLine="360" w:firstLineChars="15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440" w:lineRule="exact"/>
        <w:ind w:left="170" w:leftChars="50" w:firstLine="360" w:firstLineChars="150"/>
        <w:contextualSpacing/>
        <w:rPr>
          <w:rFonts w:hAnsi="宋体"/>
          <w:sz w:val="24"/>
          <w:szCs w:val="24"/>
        </w:rPr>
      </w:pPr>
      <w:r>
        <w:rPr>
          <w:rFonts w:hint="eastAsia" w:hAnsi="宋体"/>
          <w:sz w:val="24"/>
          <w:szCs w:val="24"/>
        </w:rPr>
        <w:t>5.2全流程电子化交易系统如因系统异常情况无法完成，将以人工方式进行。评标委员</w:t>
      </w:r>
    </w:p>
    <w:p>
      <w:pPr>
        <w:tabs>
          <w:tab w:val="left" w:pos="7095"/>
        </w:tabs>
        <w:spacing w:line="440" w:lineRule="exact"/>
        <w:ind w:left="170" w:leftChars="50" w:firstLine="360" w:firstLineChars="150"/>
        <w:contextualSpacing/>
        <w:rPr>
          <w:rFonts w:hAnsi="宋体"/>
          <w:sz w:val="24"/>
          <w:szCs w:val="24"/>
        </w:rPr>
      </w:pPr>
      <w:r>
        <w:rPr>
          <w:rFonts w:hint="eastAsia" w:hAnsi="宋体"/>
          <w:sz w:val="24"/>
          <w:szCs w:val="24"/>
        </w:rPr>
        <w:t>会以评标委员会以投标人提供的电子版投标文件为依据评标。</w:t>
      </w:r>
    </w:p>
    <w:p>
      <w:pPr>
        <w:widowControl/>
        <w:jc w:val="left"/>
        <w:rPr>
          <w:rFonts w:hAnsi="宋体" w:cs="宋体"/>
          <w:b/>
          <w:sz w:val="36"/>
          <w:szCs w:val="36"/>
        </w:rPr>
      </w:pPr>
      <w:r>
        <w:rPr>
          <w:rFonts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1"/>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spacing w:line="440" w:lineRule="exact"/>
              <w:outlineLvl w:val="0"/>
              <w:rPr>
                <w:rFonts w:hint="eastAsia" w:hAnsi="宋体" w:eastAsia="宋体" w:cs="宋体"/>
                <w:bCs/>
                <w:sz w:val="24"/>
                <w:szCs w:val="24"/>
                <w:lang w:eastAsia="zh-CN"/>
              </w:rPr>
            </w:pPr>
            <w:r>
              <w:rPr>
                <w:rFonts w:hint="eastAsia" w:hAnsi="宋体" w:eastAsia="宋体" w:cs="宋体"/>
                <w:bCs/>
                <w:sz w:val="24"/>
                <w:szCs w:val="24"/>
              </w:rPr>
              <w:t>招 标 人：</w:t>
            </w:r>
            <w:r>
              <w:rPr>
                <w:rFonts w:hint="eastAsia" w:hAnsi="宋体" w:eastAsia="宋体" w:cs="宋体"/>
                <w:bCs/>
                <w:sz w:val="24"/>
                <w:szCs w:val="24"/>
                <w:lang w:eastAsia="zh-CN"/>
              </w:rPr>
              <w:t>许昌市魏都区七里店街道办事处</w:t>
            </w:r>
          </w:p>
          <w:p>
            <w:pPr>
              <w:spacing w:line="440" w:lineRule="exact"/>
              <w:outlineLvl w:val="0"/>
              <w:rPr>
                <w:rFonts w:hint="eastAsia" w:hAnsi="宋体" w:eastAsia="宋体" w:cs="宋体"/>
                <w:bCs/>
                <w:sz w:val="24"/>
                <w:szCs w:val="24"/>
                <w:lang w:eastAsia="zh-CN"/>
              </w:rPr>
            </w:pPr>
            <w:r>
              <w:rPr>
                <w:rFonts w:hint="eastAsia" w:hAnsi="宋体" w:eastAsia="宋体" w:cs="宋体"/>
                <w:bCs/>
                <w:sz w:val="24"/>
                <w:szCs w:val="24"/>
              </w:rPr>
              <w:t>地    址：许昌市</w:t>
            </w:r>
            <w:r>
              <w:rPr>
                <w:rFonts w:hint="eastAsia" w:hAnsi="宋体" w:eastAsia="宋体" w:cs="宋体"/>
                <w:bCs/>
                <w:sz w:val="24"/>
                <w:szCs w:val="24"/>
                <w:lang w:eastAsia="zh-CN"/>
              </w:rPr>
              <w:t>魏都区帝豪路西段</w:t>
            </w:r>
          </w:p>
          <w:p>
            <w:pPr>
              <w:rPr>
                <w:rFonts w:hint="eastAsia" w:hAnsi="宋体" w:eastAsia="宋体" w:cs="宋体"/>
                <w:bCs/>
                <w:sz w:val="24"/>
                <w:szCs w:val="24"/>
                <w:lang w:eastAsia="zh-CN"/>
              </w:rPr>
            </w:pPr>
            <w:r>
              <w:rPr>
                <w:rFonts w:hint="eastAsia" w:hAnsi="宋体" w:eastAsia="宋体" w:cs="宋体"/>
                <w:bCs/>
                <w:sz w:val="24"/>
                <w:szCs w:val="24"/>
              </w:rPr>
              <w:t>联 系 人：</w:t>
            </w:r>
            <w:r>
              <w:rPr>
                <w:rFonts w:hint="eastAsia" w:hAnsi="宋体" w:eastAsia="宋体" w:cs="宋体"/>
                <w:bCs/>
                <w:sz w:val="24"/>
                <w:szCs w:val="24"/>
                <w:lang w:eastAsia="zh-CN"/>
              </w:rPr>
              <w:t>郭先生</w:t>
            </w:r>
          </w:p>
          <w:p>
            <w:pPr>
              <w:spacing w:line="440" w:lineRule="exact"/>
              <w:outlineLvl w:val="0"/>
              <w:rPr>
                <w:rFonts w:hAnsi="宋体" w:eastAsia="宋体" w:cs="宋体"/>
                <w:bCs/>
                <w:sz w:val="24"/>
                <w:szCs w:val="24"/>
              </w:rPr>
            </w:pPr>
            <w:r>
              <w:rPr>
                <w:rFonts w:hint="eastAsia" w:hAnsi="宋体" w:eastAsia="宋体" w:cs="宋体"/>
                <w:bCs/>
                <w:sz w:val="24"/>
                <w:szCs w:val="24"/>
              </w:rPr>
              <w:t>联系电话：</w:t>
            </w:r>
            <w:r>
              <w:rPr>
                <w:rFonts w:hint="eastAsia" w:hAnsi="宋体" w:eastAsia="宋体" w:cs="宋体"/>
                <w:bCs/>
                <w:sz w:val="24"/>
                <w:szCs w:val="24"/>
                <w:lang w:val="en-US" w:eastAsia="zh-CN"/>
              </w:rPr>
              <w:t>15837437125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rPr>
                <w:rFonts w:hint="eastAsia" w:hAnsi="宋体" w:eastAsia="宋体" w:cs="宋体"/>
                <w:sz w:val="24"/>
                <w:lang w:eastAsia="zh-CN"/>
              </w:rPr>
            </w:pPr>
            <w:r>
              <w:rPr>
                <w:rFonts w:hint="eastAsia" w:hAnsi="宋体" w:eastAsia="宋体" w:cs="宋体"/>
                <w:sz w:val="24"/>
              </w:rPr>
              <w:t>代理机构：</w:t>
            </w:r>
            <w:r>
              <w:rPr>
                <w:rFonts w:hint="eastAsia" w:hAnsi="宋体" w:eastAsia="宋体" w:cs="宋体"/>
                <w:sz w:val="24"/>
                <w:lang w:eastAsia="zh-CN"/>
              </w:rPr>
              <w:t>河南永安工程管理有限公司</w:t>
            </w:r>
          </w:p>
          <w:p>
            <w:pPr>
              <w:rPr>
                <w:rFonts w:hint="eastAsia" w:hAnsi="宋体" w:eastAsia="宋体" w:cs="宋体"/>
                <w:sz w:val="24"/>
              </w:rPr>
            </w:pPr>
            <w:r>
              <w:rPr>
                <w:rFonts w:hint="eastAsia" w:hAnsi="宋体" w:eastAsia="宋体" w:cs="宋体"/>
                <w:sz w:val="24"/>
              </w:rPr>
              <w:t>地  址：许昌市城乡一体化示范区元鼎国际B座1612</w:t>
            </w:r>
          </w:p>
          <w:p>
            <w:pPr>
              <w:rPr>
                <w:rFonts w:hint="eastAsia" w:hAnsi="宋体" w:eastAsia="宋体" w:cs="宋体"/>
                <w:sz w:val="24"/>
                <w:lang w:eastAsia="zh-CN"/>
              </w:rPr>
            </w:pPr>
            <w:r>
              <w:rPr>
                <w:rFonts w:hint="eastAsia" w:hAnsi="宋体" w:eastAsia="宋体" w:cs="宋体"/>
                <w:sz w:val="24"/>
              </w:rPr>
              <w:t>联 系 人：</w:t>
            </w:r>
            <w:r>
              <w:rPr>
                <w:rFonts w:hint="eastAsia" w:hAnsi="宋体" w:eastAsia="宋体" w:cs="宋体"/>
                <w:sz w:val="24"/>
                <w:lang w:eastAsia="zh-CN"/>
              </w:rPr>
              <w:t>蔡女士</w:t>
            </w:r>
          </w:p>
          <w:p>
            <w:pPr>
              <w:rPr>
                <w:rFonts w:hAnsi="宋体" w:eastAsia="宋体" w:cs="宋体"/>
                <w:sz w:val="24"/>
              </w:rPr>
            </w:pPr>
            <w:r>
              <w:rPr>
                <w:rFonts w:hint="eastAsia" w:hAnsi="宋体" w:eastAsia="宋体" w:cs="宋体"/>
                <w:sz w:val="24"/>
              </w:rPr>
              <w:t>联系电话：</w:t>
            </w:r>
            <w:r>
              <w:rPr>
                <w:rFonts w:hint="eastAsia" w:hAnsi="宋体" w:eastAsia="宋体" w:cs="宋体"/>
                <w:sz w:val="24"/>
                <w:lang w:val="en-US" w:eastAsia="zh-CN"/>
              </w:rPr>
              <w:t>17537405352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rPr>
                <w:rFonts w:hAnsi="宋体" w:eastAsia="宋体" w:cs="宋体"/>
                <w:sz w:val="24"/>
              </w:rPr>
            </w:pPr>
            <w:r>
              <w:rPr>
                <w:rFonts w:hint="eastAsia" w:hAnsi="宋体" w:eastAsia="宋体" w:cs="宋体"/>
                <w:sz w:val="24"/>
                <w:lang w:val="en-US" w:eastAsia="zh-CN"/>
              </w:rPr>
              <w:t>许昌市魏都区七里店街道办事处付夏齐社区污水改造工程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rPr>
                <w:rFonts w:hint="eastAsia" w:hAnsi="宋体" w:eastAsia="宋体" w:cs="宋体"/>
                <w:sz w:val="24"/>
                <w:lang w:val="en-US" w:eastAsia="zh-CN"/>
              </w:rPr>
            </w:pPr>
            <w:r>
              <w:rPr>
                <w:rFonts w:hAnsi="宋体" w:eastAsia="宋体" w:cs="宋体"/>
                <w:color w:val="000000" w:themeColor="text1"/>
                <w:sz w:val="24"/>
              </w:rPr>
              <w:t>许昌市</w:t>
            </w:r>
            <w:r>
              <w:rPr>
                <w:rFonts w:hint="eastAsia" w:hAnsi="宋体" w:eastAsia="宋体" w:cs="宋体"/>
                <w:color w:val="000000" w:themeColor="text1"/>
                <w:sz w:val="24"/>
                <w:lang w:eastAsia="zh-CN"/>
              </w:rPr>
              <w:t>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lang w:eastAsia="zh-CN"/>
              </w:rPr>
              <w:t>财政</w:t>
            </w:r>
            <w:r>
              <w:rPr>
                <w:rFonts w:hAnsi="宋体" w:eastAsia="宋体" w:cs="宋体"/>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auto"/>
                <w:sz w:val="24"/>
                <w:szCs w:val="24"/>
              </w:rPr>
            </w:pPr>
            <w:r>
              <w:rPr>
                <w:rFonts w:hint="eastAsia" w:hAnsi="宋体" w:eastAsia="宋体" w:cs="宋体"/>
                <w:color w:val="auto"/>
                <w:sz w:val="24"/>
                <w:szCs w:val="24"/>
                <w:lang w:val="en-US" w:eastAsia="zh-CN"/>
              </w:rPr>
              <w:t>40</w:t>
            </w:r>
            <w:r>
              <w:rPr>
                <w:rFonts w:hint="eastAsia"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1</w:t>
            </w:r>
            <w:r>
              <w:rPr>
                <w:rFonts w:hint="eastAsia" w:hAnsi="宋体" w:eastAsia="宋体" w:cs="宋体"/>
                <w:bCs/>
                <w:sz w:val="24"/>
                <w:szCs w:val="24"/>
                <w:lang w:val="en-US" w:eastAsia="zh-CN"/>
              </w:rPr>
              <w:t>.</w:t>
            </w:r>
            <w:r>
              <w:rPr>
                <w:rFonts w:hint="eastAsia" w:hAnsi="宋体" w:eastAsia="宋体" w:cs="宋体"/>
                <w:bCs/>
                <w:sz w:val="24"/>
                <w:szCs w:val="24"/>
              </w:rPr>
              <w:t>投标人须具有市政工程施工总承包</w:t>
            </w:r>
            <w:r>
              <w:rPr>
                <w:rFonts w:hint="eastAsia" w:hAnsi="宋体" w:eastAsia="宋体" w:cs="宋体"/>
                <w:bCs/>
                <w:sz w:val="24"/>
                <w:szCs w:val="24"/>
                <w:lang w:eastAsia="zh-CN"/>
              </w:rPr>
              <w:t>叁</w:t>
            </w:r>
            <w:r>
              <w:rPr>
                <w:rFonts w:hint="eastAsia" w:hAnsi="宋体" w:eastAsia="宋体" w:cs="宋体"/>
                <w:bCs/>
                <w:sz w:val="24"/>
                <w:szCs w:val="24"/>
              </w:rPr>
              <w:t>级企业资质，具有有效的安全生产许可证的独立法人企业，并在人员、设备、资金等方面具有相应的施工能力。拟派项目负责人具有</w:t>
            </w:r>
            <w:r>
              <w:rPr>
                <w:rFonts w:hint="eastAsia" w:hAnsi="宋体" w:eastAsia="宋体" w:cs="宋体"/>
                <w:bCs/>
                <w:sz w:val="24"/>
                <w:szCs w:val="24"/>
                <w:lang w:eastAsia="zh-CN"/>
              </w:rPr>
              <w:t>贰</w:t>
            </w:r>
            <w:r>
              <w:rPr>
                <w:rFonts w:hint="eastAsia" w:hAnsi="宋体" w:eastAsia="宋体" w:cs="宋体"/>
                <w:bCs/>
                <w:sz w:val="24"/>
                <w:szCs w:val="24"/>
              </w:rPr>
              <w:t>级市政工程专业注册建造师执业资格和有效的安全生产考核合格证，且未担任其它在施建设工程的项目负责人。</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w:t>
            </w:r>
            <w:r>
              <w:rPr>
                <w:rFonts w:hint="eastAsia" w:hAnsi="宋体" w:eastAsia="宋体" w:cs="宋体"/>
                <w:bCs/>
                <w:sz w:val="24"/>
                <w:szCs w:val="24"/>
                <w:lang w:val="en-US" w:eastAsia="zh-CN"/>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tabs>
                <w:tab w:val="left" w:pos="982"/>
              </w:tabs>
              <w:spacing w:line="440" w:lineRule="exact"/>
              <w:jc w:val="left"/>
              <w:rPr>
                <w:rFonts w:hAnsi="宋体" w:eastAsia="宋体" w:cs="宋体"/>
                <w:bCs/>
                <w:sz w:val="24"/>
                <w:szCs w:val="24"/>
              </w:rPr>
            </w:pPr>
            <w:r>
              <w:rPr>
                <w:rFonts w:hint="eastAsia" w:hAnsi="宋体" w:eastAsia="宋体" w:cs="宋体"/>
                <w:bCs/>
                <w:sz w:val="24"/>
                <w:szCs w:val="24"/>
              </w:rPr>
              <w:t>3</w:t>
            </w:r>
            <w:r>
              <w:rPr>
                <w:rFonts w:hint="eastAsia" w:hAnsi="宋体" w:eastAsia="宋体" w:cs="宋体"/>
                <w:bCs/>
                <w:sz w:val="24"/>
                <w:szCs w:val="24"/>
                <w:lang w:val="en-US" w:eastAsia="zh-CN"/>
              </w:rPr>
              <w:t>.</w:t>
            </w:r>
            <w:r>
              <w:rPr>
                <w:rFonts w:hint="eastAsia" w:hAnsi="宋体" w:eastAsia="宋体" w:cs="宋体"/>
                <w:bCs/>
                <w:sz w:val="24"/>
                <w:szCs w:val="24"/>
              </w:rPr>
              <w:t>本次招标不接受联合体投标。</w:t>
            </w:r>
          </w:p>
          <w:p>
            <w:pPr>
              <w:tabs>
                <w:tab w:val="left" w:pos="982"/>
              </w:tabs>
              <w:spacing w:line="440" w:lineRule="exact"/>
              <w:jc w:val="left"/>
              <w:rPr>
                <w:rFonts w:hAnsi="宋体" w:cs="宋体"/>
                <w:sz w:val="24"/>
                <w:szCs w:val="24"/>
              </w:rPr>
            </w:pPr>
            <w:r>
              <w:rPr>
                <w:rFonts w:hint="eastAsia" w:hAnsi="宋体" w:eastAsia="宋体" w:cs="宋体"/>
                <w:bCs/>
                <w:sz w:val="24"/>
                <w:szCs w:val="24"/>
              </w:rPr>
              <w:t>4</w:t>
            </w:r>
            <w:r>
              <w:rPr>
                <w:rFonts w:hint="eastAsia" w:hAnsi="宋体" w:eastAsia="宋体" w:cs="宋体"/>
                <w:bCs/>
                <w:sz w:val="24"/>
                <w:szCs w:val="24"/>
                <w:lang w:val="en-US" w:eastAsia="zh-CN"/>
              </w:rPr>
              <w:t>.</w:t>
            </w:r>
            <w:r>
              <w:rPr>
                <w:rFonts w:hint="eastAsia" w:hAnsi="宋体" w:eastAsia="宋体" w:cs="宋体"/>
                <w:bCs/>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vAlign w:val="center"/>
          </w:tcPr>
          <w:p>
            <w:pPr>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vAlign w:val="center"/>
          </w:tcPr>
          <w:p>
            <w:pPr>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招标文件和工程量清单及图纸的获取：投标人于投标文件递交截止时间前均可登录【全国公共资源交易平台(河南省▪许昌市)】（http://www.xcggzy.gov.cn/），通过“投标人/供应商登录”后自行下载。</w:t>
            </w:r>
          </w:p>
          <w:p>
            <w:pPr>
              <w:pStyle w:val="2"/>
              <w:ind w:firstLine="0" w:firstLineChars="0"/>
              <w:rPr>
                <w:rFonts w:hint="eastAsia" w:hAnsi="宋体" w:eastAsia="宋体" w:cs="宋体"/>
                <w:color w:val="000000" w:themeColor="text1"/>
                <w:sz w:val="24"/>
              </w:rPr>
            </w:pPr>
            <w:r>
              <w:rPr>
                <w:rFonts w:hint="eastAsia" w:hAnsi="宋体" w:eastAsia="宋体" w:cs="宋体"/>
                <w:color w:val="000000" w:themeColor="text1"/>
                <w:sz w:val="24"/>
              </w:rPr>
              <w:t xml:space="preserve">图纸下载地址：链接：https://pan.baidu.com/s/1ltJ0wcoAkA6M6GSd0QP_xQ </w:t>
            </w:r>
          </w:p>
          <w:p>
            <w:pPr>
              <w:pStyle w:val="2"/>
              <w:ind w:firstLine="0" w:firstLineChars="0"/>
              <w:rPr>
                <w:rFonts w:hAnsi="宋体" w:eastAsia="宋体" w:cs="宋体"/>
                <w:sz w:val="24"/>
              </w:rPr>
            </w:pPr>
            <w:r>
              <w:rPr>
                <w:rFonts w:hint="eastAsia" w:hAnsi="宋体" w:eastAsia="宋体" w:cs="宋体"/>
                <w:color w:val="000000" w:themeColor="text1"/>
                <w:sz w:val="24"/>
              </w:rPr>
              <w:t xml:space="preserve">提取码：ar7r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color w:val="000000" w:themeColor="text1"/>
                <w:sz w:val="24"/>
                <w:szCs w:val="24"/>
              </w:rPr>
              <w:t>20</w:t>
            </w:r>
            <w:r>
              <w:rPr>
                <w:rFonts w:hint="eastAsia" w:hAnsi="宋体" w:cs="宋体"/>
                <w:color w:val="000000" w:themeColor="text1"/>
                <w:sz w:val="24"/>
                <w:szCs w:val="24"/>
                <w:lang w:val="en-US" w:eastAsia="zh-CN"/>
              </w:rPr>
              <w:t>20</w:t>
            </w:r>
            <w:r>
              <w:rPr>
                <w:rFonts w:hint="eastAsia" w:hAnsi="宋体" w:cs="宋体"/>
                <w:color w:val="000000" w:themeColor="text1"/>
                <w:sz w:val="24"/>
                <w:szCs w:val="24"/>
              </w:rPr>
              <w:t>年</w:t>
            </w:r>
            <w:r>
              <w:rPr>
                <w:rFonts w:hint="eastAsia" w:hAnsi="宋体" w:cs="宋体"/>
                <w:color w:val="000000" w:themeColor="text1"/>
                <w:sz w:val="24"/>
                <w:szCs w:val="24"/>
                <w:u w:val="single"/>
              </w:rPr>
              <w:t xml:space="preserve"> </w:t>
            </w:r>
            <w:r>
              <w:rPr>
                <w:rFonts w:hint="eastAsia" w:hAnsi="宋体" w:cs="宋体"/>
                <w:color w:val="000000" w:themeColor="text1"/>
                <w:sz w:val="24"/>
                <w:szCs w:val="24"/>
                <w:u w:val="single"/>
                <w:lang w:val="en-US" w:eastAsia="zh-CN"/>
              </w:rPr>
              <w:t xml:space="preserve"> 2 </w:t>
            </w:r>
            <w:r>
              <w:rPr>
                <w:rFonts w:hint="eastAsia" w:hAnsi="宋体" w:cs="宋体"/>
                <w:color w:val="000000" w:themeColor="text1"/>
                <w:sz w:val="24"/>
                <w:szCs w:val="24"/>
              </w:rPr>
              <w:t>月</w:t>
            </w:r>
            <w:r>
              <w:rPr>
                <w:rFonts w:hint="eastAsia" w:hAnsi="宋体" w:cs="宋体"/>
                <w:color w:val="000000" w:themeColor="text1"/>
                <w:sz w:val="24"/>
                <w:szCs w:val="24"/>
                <w:u w:val="single"/>
              </w:rPr>
              <w:t xml:space="preserve"> </w:t>
            </w:r>
            <w:r>
              <w:rPr>
                <w:rFonts w:hint="eastAsia" w:hAnsi="宋体" w:cs="宋体"/>
                <w:color w:val="000000" w:themeColor="text1"/>
                <w:sz w:val="24"/>
                <w:szCs w:val="24"/>
                <w:u w:val="single"/>
                <w:lang w:val="en-US" w:eastAsia="zh-CN"/>
              </w:rPr>
              <w:t xml:space="preserve"> 5 </w:t>
            </w:r>
            <w:r>
              <w:rPr>
                <w:rFonts w:hint="eastAsia" w:hAnsi="宋体" w:cs="宋体"/>
                <w:color w:val="000000" w:themeColor="text1"/>
                <w:sz w:val="24"/>
                <w:szCs w:val="24"/>
                <w:u w:val="single"/>
              </w:rPr>
              <w:t xml:space="preserve"> </w:t>
            </w:r>
            <w:r>
              <w:rPr>
                <w:rFonts w:hint="eastAsia" w:hAnsi="宋体" w:cs="宋体"/>
                <w:color w:val="000000" w:themeColor="text1"/>
                <w:sz w:val="24"/>
                <w:szCs w:val="24"/>
              </w:rPr>
              <w:t>日</w:t>
            </w:r>
            <w:r>
              <w:rPr>
                <w:rFonts w:hint="eastAsia" w:hAnsi="宋体" w:cs="宋体"/>
                <w:color w:val="000000" w:themeColor="text1"/>
                <w:sz w:val="24"/>
                <w:szCs w:val="24"/>
                <w:u w:val="single"/>
              </w:rPr>
              <w:t xml:space="preserve"> </w:t>
            </w:r>
            <w:r>
              <w:rPr>
                <w:rFonts w:hint="eastAsia" w:hAnsi="宋体" w:cs="宋体"/>
                <w:color w:val="000000" w:themeColor="text1"/>
                <w:sz w:val="24"/>
                <w:szCs w:val="24"/>
                <w:u w:val="single"/>
                <w:lang w:val="en-US" w:eastAsia="zh-CN"/>
              </w:rPr>
              <w:t xml:space="preserve">8  </w:t>
            </w:r>
            <w:r>
              <w:rPr>
                <w:rFonts w:hint="eastAsia" w:hAnsi="宋体" w:cs="宋体"/>
                <w:color w:val="000000" w:themeColor="text1"/>
                <w:sz w:val="24"/>
                <w:szCs w:val="24"/>
                <w:u w:val="single"/>
              </w:rPr>
              <w:t xml:space="preserve"> </w:t>
            </w:r>
            <w:r>
              <w:rPr>
                <w:rFonts w:hint="eastAsia" w:hAnsi="宋体" w:cs="宋体"/>
                <w:color w:val="000000" w:themeColor="text1"/>
                <w:sz w:val="24"/>
                <w:szCs w:val="24"/>
              </w:rPr>
              <w:t>时</w:t>
            </w:r>
            <w:r>
              <w:rPr>
                <w:rFonts w:hint="eastAsia" w:hAnsi="宋体" w:cs="宋体"/>
                <w:color w:val="000000" w:themeColor="text1"/>
                <w:sz w:val="24"/>
                <w:szCs w:val="24"/>
                <w:u w:val="single"/>
              </w:rPr>
              <w:t xml:space="preserve"> </w:t>
            </w:r>
            <w:r>
              <w:rPr>
                <w:rFonts w:hint="eastAsia" w:hAnsi="宋体" w:cs="宋体"/>
                <w:color w:val="000000" w:themeColor="text1"/>
                <w:sz w:val="24"/>
                <w:szCs w:val="24"/>
                <w:u w:val="single"/>
                <w:lang w:val="en-US" w:eastAsia="zh-CN"/>
              </w:rPr>
              <w:t xml:space="preserve"> 30 </w:t>
            </w:r>
            <w:r>
              <w:rPr>
                <w:rFonts w:hint="eastAsia" w:hAnsi="宋体" w:cs="宋体"/>
                <w:color w:val="000000" w:themeColor="text1"/>
                <w:sz w:val="24"/>
                <w:szCs w:val="24"/>
                <w:u w:val="single"/>
              </w:rPr>
              <w:t xml:space="preserve"> </w:t>
            </w:r>
            <w:r>
              <w:rPr>
                <w:rFonts w:hint="eastAsia" w:hAnsi="宋体" w:cs="宋体"/>
                <w:color w:val="000000" w:themeColor="text1"/>
                <w:sz w:val="24"/>
                <w:szCs w:val="24"/>
              </w:rPr>
              <w:t>分</w:t>
            </w:r>
            <w:r>
              <w:rPr>
                <w:rFonts w:hint="eastAsia" w:hAnsi="宋体" w:eastAsia="宋体" w:cs="宋体"/>
                <w:color w:val="000000" w:themeColor="text1"/>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sz w:val="24"/>
              </w:rPr>
            </w:pPr>
            <w:r>
              <w:rPr>
                <w:rFonts w:hint="eastAsia" w:hAnsi="宋体" w:eastAsia="宋体" w:cs="宋体"/>
                <w:sz w:val="24"/>
              </w:rPr>
              <w:t xml:space="preserve">2、基本户备案流程： </w:t>
            </w:r>
          </w:p>
          <w:p>
            <w:pPr>
              <w:autoSpaceDE w:val="0"/>
              <w:autoSpaceDN w:val="0"/>
              <w:adjustRightInd w:val="0"/>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sz w:val="24"/>
              </w:rPr>
            </w:pPr>
            <w:r>
              <w:rPr>
                <w:rFonts w:hint="eastAsia" w:hAnsi="宋体" w:eastAsia="宋体" w:cs="宋体"/>
                <w:sz w:val="24"/>
              </w:rPr>
              <w:t>3、特殊情况处理：</w:t>
            </w:r>
          </w:p>
          <w:p>
            <w:pPr>
              <w:autoSpaceDE w:val="0"/>
              <w:autoSpaceDN w:val="0"/>
              <w:adjustRightInd w:val="0"/>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_Hlk424659721"/>
            <w:bookmarkStart w:id="3" w:name="OLE_LINK3" w:colFirst="0" w:colLast="2"/>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rPr>
                <w:rFonts w:hAnsi="宋体" w:eastAsia="宋体" w:cs="宋体"/>
                <w:b/>
                <w:sz w:val="24"/>
              </w:rPr>
            </w:pPr>
            <w:r>
              <w:rPr>
                <w:rFonts w:hint="eastAsia" w:hAnsi="宋体" w:eastAsia="宋体" w:cs="宋体"/>
                <w:b/>
                <w:sz w:val="24"/>
              </w:rPr>
              <w:t>投标保证金递交截止时间：同投标截止时间。</w:t>
            </w:r>
          </w:p>
          <w:p>
            <w:pPr>
              <w:autoSpaceDE w:val="0"/>
              <w:autoSpaceDN w:val="0"/>
              <w:adjustRightInd w:val="0"/>
              <w:ind w:firstLine="480" w:firstLineChars="200"/>
              <w:rPr>
                <w:rFonts w:hAnsi="宋体" w:eastAsia="宋体" w:cs="宋体"/>
                <w:sz w:val="24"/>
              </w:rPr>
            </w:pPr>
            <w:r>
              <w:rPr>
                <w:rFonts w:hint="eastAsia" w:hAnsi="宋体" w:eastAsia="宋体" w:cs="宋体"/>
                <w:b/>
                <w:sz w:val="24"/>
              </w:rPr>
              <w:t>金额：</w:t>
            </w:r>
            <w:r>
              <w:rPr>
                <w:rFonts w:hint="eastAsia" w:hAnsi="宋体" w:eastAsia="宋体" w:cs="宋体"/>
                <w:b/>
                <w:sz w:val="24"/>
                <w:lang w:eastAsia="zh-CN"/>
              </w:rPr>
              <w:t>壹万伍仟元整</w:t>
            </w:r>
            <w:r>
              <w:rPr>
                <w:rFonts w:hint="eastAsia" w:hAnsi="宋体" w:eastAsia="宋体" w:cs="宋体"/>
                <w:b/>
                <w:sz w:val="24"/>
              </w:rPr>
              <w:t>（¥</w:t>
            </w:r>
            <w:r>
              <w:rPr>
                <w:rFonts w:hint="eastAsia" w:hAnsi="宋体" w:eastAsia="宋体" w:cs="宋体"/>
                <w:b/>
                <w:sz w:val="24"/>
                <w:lang w:val="en-US" w:eastAsia="zh-CN"/>
              </w:rPr>
              <w:t>15000</w:t>
            </w:r>
            <w:r>
              <w:rPr>
                <w:rFonts w:hint="eastAsia" w:hAnsi="宋体" w:eastAsia="宋体" w:cs="宋体"/>
                <w:b/>
                <w:sz w:val="24"/>
              </w:rPr>
              <w:t>元）</w:t>
            </w:r>
          </w:p>
          <w:p>
            <w:pPr>
              <w:autoSpaceDE w:val="0"/>
              <w:autoSpaceDN w:val="0"/>
              <w:adjustRightInd w:val="0"/>
              <w:rPr>
                <w:rFonts w:hAnsi="宋体" w:eastAsia="宋体" w:cs="宋体"/>
                <w:sz w:val="24"/>
              </w:rPr>
            </w:pPr>
            <w:r>
              <w:rPr>
                <w:rFonts w:hint="eastAsia" w:hAnsi="宋体" w:eastAsia="宋体" w:cs="宋体"/>
                <w:sz w:val="24"/>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rPr>
                <w:rFonts w:hAnsi="宋体" w:eastAsia="宋体" w:cs="宋体"/>
                <w:sz w:val="24"/>
              </w:rPr>
            </w:pPr>
            <w:r>
              <w:rPr>
                <w:rFonts w:hint="eastAsia" w:hAnsi="宋体" w:eastAsia="宋体" w:cs="宋体"/>
                <w:sz w:val="24"/>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rPr>
                <w:rFonts w:hAnsi="宋体" w:eastAsia="宋体" w:cs="宋体"/>
                <w:sz w:val="24"/>
              </w:rPr>
            </w:pPr>
            <w:r>
              <w:rPr>
                <w:rFonts w:hint="eastAsia" w:hAnsi="宋体" w:eastAsia="宋体" w:cs="宋体"/>
                <w:sz w:val="24"/>
              </w:rPr>
              <w:t>2、投标保证金缴纳方式：</w:t>
            </w:r>
          </w:p>
          <w:p>
            <w:pPr>
              <w:autoSpaceDE w:val="0"/>
              <w:autoSpaceDN w:val="0"/>
              <w:adjustRightInd w:val="0"/>
              <w:rPr>
                <w:rFonts w:hAnsi="宋体" w:eastAsia="宋体" w:cs="宋体"/>
                <w:sz w:val="24"/>
              </w:rPr>
            </w:pPr>
            <w:r>
              <w:rPr>
                <w:rFonts w:hint="eastAsia" w:hAnsi="宋体" w:eastAsia="宋体" w:cs="宋体"/>
                <w:sz w:val="24"/>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rPr>
                <w:rFonts w:hAnsi="宋体" w:eastAsia="宋体" w:cs="宋体"/>
                <w:sz w:val="24"/>
              </w:rPr>
            </w:pPr>
            <w:r>
              <w:rPr>
                <w:rFonts w:hint="eastAsia" w:hAnsi="宋体" w:eastAsia="宋体" w:cs="宋体"/>
                <w:sz w:val="24"/>
              </w:rPr>
              <w:t>2.2成功缴纳后重新登录前述系统，依次点击“会员向导”→“参与投标”→“保证金绑定”→“绑定”进行投标保证金绑定。</w:t>
            </w:r>
          </w:p>
          <w:p>
            <w:pPr>
              <w:autoSpaceDE w:val="0"/>
              <w:autoSpaceDN w:val="0"/>
              <w:adjustRightInd w:val="0"/>
              <w:rPr>
                <w:rFonts w:hAnsi="宋体" w:eastAsia="宋体" w:cs="宋体"/>
                <w:sz w:val="24"/>
              </w:rPr>
            </w:pPr>
            <w:r>
              <w:rPr>
                <w:rFonts w:hint="eastAsia" w:hAnsi="宋体" w:eastAsia="宋体" w:cs="宋体"/>
                <w:sz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rPr>
                <w:rFonts w:hAnsi="宋体" w:eastAsia="宋体" w:cs="宋体"/>
                <w:sz w:val="24"/>
              </w:rPr>
            </w:pPr>
            <w:r>
              <w:rPr>
                <w:rFonts w:hint="eastAsia" w:hAnsi="宋体" w:eastAsia="宋体" w:cs="宋体"/>
                <w:sz w:val="24"/>
              </w:rPr>
              <w:t>2.4每个投标人每个项目每个标段只有唯一缴纳账号，切勿重复缴纳或错误缴纳。</w:t>
            </w:r>
          </w:p>
          <w:p>
            <w:pPr>
              <w:autoSpaceDE w:val="0"/>
              <w:autoSpaceDN w:val="0"/>
              <w:adjustRightInd w:val="0"/>
              <w:rPr>
                <w:rFonts w:hAnsi="宋体" w:eastAsia="宋体" w:cs="宋体"/>
                <w:sz w:val="24"/>
              </w:rPr>
            </w:pPr>
            <w:r>
              <w:rPr>
                <w:rFonts w:hint="eastAsia" w:hAnsi="宋体" w:eastAsia="宋体" w:cs="宋体"/>
                <w:sz w:val="24"/>
              </w:rPr>
              <w:t>3、未按上述规定操作引起的无效投标，由投标人自行负责。</w:t>
            </w:r>
          </w:p>
          <w:p>
            <w:pPr>
              <w:autoSpaceDE w:val="0"/>
              <w:autoSpaceDN w:val="0"/>
              <w:adjustRightInd w:val="0"/>
              <w:rPr>
                <w:rFonts w:hAnsi="宋体" w:eastAsia="宋体" w:cs="宋体"/>
                <w:sz w:val="24"/>
              </w:rPr>
            </w:pPr>
            <w:r>
              <w:rPr>
                <w:rFonts w:hint="eastAsia" w:hAnsi="宋体" w:eastAsia="宋体" w:cs="宋体"/>
                <w:sz w:val="24"/>
              </w:rPr>
              <w:t>4、汇款凭证无须备注项目编号和项目名称。</w:t>
            </w:r>
          </w:p>
          <w:p>
            <w:pPr>
              <w:autoSpaceDE w:val="0"/>
              <w:autoSpaceDN w:val="0"/>
              <w:adjustRightInd w:val="0"/>
              <w:rPr>
                <w:rFonts w:hAnsi="宋体" w:eastAsia="宋体" w:cs="宋体"/>
                <w:sz w:val="24"/>
              </w:rPr>
            </w:pPr>
            <w:r>
              <w:rPr>
                <w:rFonts w:hint="eastAsia" w:hAnsi="宋体" w:eastAsia="宋体" w:cs="宋体"/>
                <w:sz w:val="24"/>
              </w:rPr>
              <w:t>5、出现以下情形造成的投标保证金无效，由投标人自行负责。</w:t>
            </w:r>
          </w:p>
          <w:p>
            <w:pPr>
              <w:autoSpaceDE w:val="0"/>
              <w:autoSpaceDN w:val="0"/>
              <w:adjustRightInd w:val="0"/>
              <w:rPr>
                <w:rFonts w:hAnsi="宋体" w:eastAsia="宋体" w:cs="宋体"/>
                <w:sz w:val="24"/>
              </w:rPr>
            </w:pPr>
            <w:r>
              <w:rPr>
                <w:rFonts w:hint="eastAsia" w:hAnsi="宋体" w:eastAsia="宋体" w:cs="宋体"/>
                <w:sz w:val="24"/>
              </w:rPr>
              <w:t>(1)投标保证金未从投标人的基本账户转出；</w:t>
            </w:r>
          </w:p>
          <w:p>
            <w:pPr>
              <w:autoSpaceDE w:val="0"/>
              <w:autoSpaceDN w:val="0"/>
              <w:adjustRightInd w:val="0"/>
              <w:rPr>
                <w:rFonts w:hAnsi="宋体" w:eastAsia="宋体" w:cs="宋体"/>
                <w:sz w:val="24"/>
              </w:rPr>
            </w:pPr>
            <w:r>
              <w:rPr>
                <w:rFonts w:hint="eastAsia" w:hAnsi="宋体" w:eastAsia="宋体" w:cs="宋体"/>
                <w:sz w:val="24"/>
              </w:rPr>
              <w:t>(2)投标保证金未按照招标文件划分的标段转账。</w:t>
            </w:r>
          </w:p>
          <w:p>
            <w:pPr>
              <w:autoSpaceDE w:val="0"/>
              <w:autoSpaceDN w:val="0"/>
              <w:adjustRightInd w:val="0"/>
              <w:rPr>
                <w:rFonts w:hAnsi="宋体" w:eastAsia="宋体" w:cs="宋体"/>
                <w:sz w:val="24"/>
              </w:rPr>
            </w:pPr>
            <w:r>
              <w:rPr>
                <w:rFonts w:hint="eastAsia" w:hAnsi="宋体" w:eastAsia="宋体" w:cs="宋体"/>
                <w:sz w:val="24"/>
              </w:rPr>
              <w:t>6、《保证金缴纳绑定操作指南》获取方法：</w:t>
            </w:r>
          </w:p>
          <w:p>
            <w:pPr>
              <w:autoSpaceDE w:val="0"/>
              <w:autoSpaceDN w:val="0"/>
              <w:adjustRightInd w:val="0"/>
              <w:rPr>
                <w:rFonts w:hAnsi="宋体" w:eastAsia="宋体" w:cs="宋体"/>
                <w:sz w:val="24"/>
              </w:rPr>
            </w:pPr>
            <w:r>
              <w:rPr>
                <w:rFonts w:hint="eastAsia" w:hAnsi="宋体" w:eastAsia="宋体" w:cs="宋体"/>
                <w:sz w:val="24"/>
              </w:rPr>
              <w:t>登录许昌公共资源交易系统-组件下载-《保证金缴纳绑定操作指南》。</w:t>
            </w:r>
          </w:p>
          <w:p>
            <w:pPr>
              <w:autoSpaceDE w:val="0"/>
              <w:autoSpaceDN w:val="0"/>
              <w:adjustRightInd w:val="0"/>
              <w:rPr>
                <w:rFonts w:hAnsi="宋体" w:eastAsia="宋体" w:cs="宋体"/>
                <w:sz w:val="24"/>
              </w:rPr>
            </w:pPr>
            <w:r>
              <w:rPr>
                <w:rFonts w:hint="eastAsia" w:hAnsi="宋体" w:eastAsia="宋体" w:cs="宋体"/>
                <w:sz w:val="24"/>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2016、2017、2018</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w:t>
            </w:r>
            <w:r>
              <w:rPr>
                <w:rFonts w:hint="eastAsia" w:hAnsi="宋体" w:eastAsia="宋体" w:cs="宋体"/>
                <w:color w:val="FF0000"/>
                <w:sz w:val="24"/>
              </w:rPr>
              <w:t xml:space="preserve"> </w:t>
            </w:r>
            <w:r>
              <w:rPr>
                <w:rFonts w:hint="eastAsia" w:hAnsi="宋体" w:eastAsia="宋体" w:cs="宋体"/>
                <w:color w:val="000000" w:themeColor="text1"/>
                <w:sz w:val="24"/>
              </w:rPr>
              <w:t>2016年</w:t>
            </w:r>
            <w:r>
              <w:rPr>
                <w:rFonts w:hint="eastAsia" w:hAnsi="宋体" w:eastAsia="宋体" w:cs="宋体"/>
                <w:color w:val="000000" w:themeColor="text1"/>
                <w:sz w:val="24"/>
                <w:lang w:val="en-US" w:eastAsia="zh-CN"/>
              </w:rPr>
              <w:t>1</w:t>
            </w:r>
            <w:r>
              <w:rPr>
                <w:rFonts w:hint="eastAsia" w:hAnsi="宋体" w:eastAsia="宋体" w:cs="宋体"/>
                <w:color w:val="000000" w:themeColor="text1"/>
                <w:sz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1、电子投标文件</w:t>
            </w:r>
          </w:p>
          <w:p>
            <w:pPr>
              <w:autoSpaceDE w:val="0"/>
              <w:autoSpaceDN w:val="0"/>
              <w:adjustRightInd w:val="0"/>
              <w:rPr>
                <w:rFonts w:hAnsi="宋体" w:eastAsia="宋体" w:cs="宋体"/>
                <w:sz w:val="24"/>
              </w:rPr>
            </w:pPr>
            <w:r>
              <w:rPr>
                <w:rFonts w:hint="eastAsia" w:hAnsi="宋体" w:eastAsia="宋体" w:cs="宋体"/>
                <w:sz w:val="24"/>
              </w:rPr>
              <w:t>（1）成功上传至【全国公共资源交易平台（河南省·许昌市）】公共资源交易系统电子投标文件1份（文件格式为：XX公司XXX项目编号.file）。</w:t>
            </w:r>
          </w:p>
          <w:p>
            <w:pPr>
              <w:autoSpaceDE w:val="0"/>
              <w:autoSpaceDN w:val="0"/>
              <w:adjustRightInd w:val="0"/>
              <w:rPr>
                <w:rFonts w:hAnsi="宋体" w:eastAsia="宋体" w:cs="宋体"/>
                <w:sz w:val="24"/>
              </w:rPr>
            </w:pPr>
            <w:r>
              <w:rPr>
                <w:rFonts w:hint="eastAsia" w:hAnsi="宋体" w:eastAsia="宋体" w:cs="宋体"/>
                <w:sz w:val="24"/>
              </w:rPr>
              <w:t>（2）使用电子介质存储的投标文件</w:t>
            </w:r>
            <w:r>
              <w:rPr>
                <w:rFonts w:hint="eastAsia" w:hAnsi="宋体" w:eastAsia="宋体" w:cs="宋体"/>
                <w:sz w:val="24"/>
                <w:lang w:val="en-US" w:eastAsia="zh-CN"/>
              </w:rPr>
              <w:t>2</w:t>
            </w:r>
            <w:r>
              <w:rPr>
                <w:rFonts w:hint="eastAsia" w:hAnsi="宋体" w:eastAsia="宋体" w:cs="宋体"/>
                <w:sz w:val="24"/>
              </w:rPr>
              <w:t>份文件格式为：xxx公司XXX（项目编号）.bin）。</w:t>
            </w:r>
          </w:p>
          <w:p>
            <w:pPr>
              <w:rPr>
                <w:rFonts w:hAnsi="宋体" w:eastAsia="宋体" w:cs="宋体"/>
                <w:sz w:val="24"/>
              </w:rPr>
            </w:pPr>
            <w:r>
              <w:rPr>
                <w:rFonts w:hint="eastAsia" w:hAnsi="宋体" w:eastAsia="宋体" w:cs="宋体"/>
                <w:sz w:val="24"/>
              </w:rPr>
              <w:t>2、电子投标文件和使用电子介质存储的承包文件的内容、格式、水印码、</w:t>
            </w:r>
            <w:r>
              <w:rPr>
                <w:rFonts w:hint="eastAsia" w:hAnsi="宋体" w:eastAsia="宋体" w:cs="宋体"/>
                <w:b/>
                <w:sz w:val="24"/>
              </w:rPr>
              <w:t>电子签章</w:t>
            </w:r>
            <w:r>
              <w:rPr>
                <w:rFonts w:hint="eastAsia" w:hAnsi="宋体" w:eastAsia="宋体" w:cs="宋体"/>
                <w:sz w:val="24"/>
              </w:rPr>
              <w:t>应一致。</w:t>
            </w:r>
          </w:p>
          <w:p>
            <w:pPr>
              <w:rPr>
                <w:rFonts w:hAnsi="宋体" w:eastAsia="宋体" w:cs="宋体"/>
                <w:b/>
                <w:sz w:val="24"/>
              </w:rPr>
            </w:pPr>
            <w:r>
              <w:rPr>
                <w:rFonts w:hint="eastAsia" w:hAnsi="宋体" w:eastAsia="宋体" w:cs="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sz w:val="24"/>
                <w:szCs w:val="24"/>
              </w:rPr>
              <w:t>电子介质存储的投标文件应密封包装，并加盖单位公章。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投标人名称：</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（项目名称）     </w:t>
            </w:r>
            <w:r>
              <w:rPr>
                <w:rFonts w:hint="eastAsia" w:hAnsi="宋体" w:eastAsia="宋体" w:cs="宋体"/>
                <w:sz w:val="24"/>
              </w:rPr>
              <w:t>投标文件</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在</w:t>
            </w:r>
            <w:r>
              <w:rPr>
                <w:rFonts w:hint="eastAsia" w:hAnsi="宋体" w:eastAsia="宋体" w:cs="宋体"/>
                <w:sz w:val="24"/>
                <w:u w:val="single"/>
              </w:rPr>
              <w:t xml:space="preserve">   </w:t>
            </w:r>
            <w:r>
              <w:rPr>
                <w:rFonts w:hint="eastAsia" w:hAnsi="宋体" w:eastAsia="宋体" w:cs="宋体"/>
                <w:sz w:val="24"/>
              </w:rPr>
              <w:t>年</w:t>
            </w:r>
            <w:r>
              <w:rPr>
                <w:rFonts w:hint="eastAsia" w:hAnsi="宋体" w:eastAsia="宋体" w:cs="宋体"/>
                <w:sz w:val="24"/>
                <w:u w:val="single"/>
              </w:rPr>
              <w:t xml:space="preserve">   </w:t>
            </w:r>
            <w:r>
              <w:rPr>
                <w:rFonts w:hint="eastAsia" w:hAnsi="宋体" w:eastAsia="宋体" w:cs="宋体"/>
                <w:sz w:val="24"/>
              </w:rPr>
              <w:t>月</w:t>
            </w:r>
            <w:r>
              <w:rPr>
                <w:rFonts w:hint="eastAsia" w:hAnsi="宋体" w:eastAsia="宋体" w:cs="宋体"/>
                <w:sz w:val="24"/>
                <w:u w:val="single"/>
              </w:rPr>
              <w:t xml:space="preserve">   </w:t>
            </w:r>
            <w:r>
              <w:rPr>
                <w:rFonts w:hint="eastAsia" w:hAnsi="宋体" w:eastAsia="宋体" w:cs="宋体"/>
                <w:sz w:val="24"/>
              </w:rPr>
              <w:t>日</w:t>
            </w:r>
            <w:r>
              <w:rPr>
                <w:rFonts w:hint="eastAsia" w:hAnsi="宋体" w:eastAsia="宋体" w:cs="宋体"/>
                <w:sz w:val="24"/>
                <w:u w:val="single"/>
              </w:rPr>
              <w:t xml:space="preserve">   </w:t>
            </w:r>
            <w:r>
              <w:rPr>
                <w:rFonts w:hint="eastAsia" w:hAnsi="宋体" w:eastAsia="宋体" w:cs="宋体"/>
                <w:sz w:val="24"/>
              </w:rPr>
              <w:t>时</w:t>
            </w:r>
            <w:r>
              <w:rPr>
                <w:rFonts w:hint="eastAsia" w:hAnsi="宋体" w:eastAsia="宋体" w:cs="宋体"/>
                <w:sz w:val="24"/>
                <w:u w:val="single"/>
              </w:rPr>
              <w:t xml:space="preserve">   </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cs="宋体"/>
                <w:sz w:val="24"/>
              </w:rPr>
              <w:t>许昌市公共资源交易中心（龙兴路与竹林路交汇处创业服务中心C 座）三楼开标</w:t>
            </w:r>
            <w:r>
              <w:rPr>
                <w:rFonts w:hint="eastAsia" w:hAnsi="宋体" w:cs="宋体"/>
                <w:color w:val="000000" w:themeColor="text1"/>
                <w:sz w:val="24"/>
              </w:rPr>
              <w:t>（</w:t>
            </w:r>
            <w:r>
              <w:rPr>
                <w:rFonts w:hint="eastAsia" w:hAnsi="宋体" w:cs="宋体"/>
                <w:color w:val="000000" w:themeColor="text1"/>
                <w:sz w:val="24"/>
                <w:lang w:eastAsia="zh-CN"/>
              </w:rPr>
              <w:t>四</w:t>
            </w:r>
            <w:r>
              <w:rPr>
                <w:rFonts w:hint="eastAsia" w:hAnsi="宋体" w:cs="宋体"/>
                <w:color w:val="000000" w:themeColor="text1"/>
                <w:sz w:val="24"/>
                <w:lang w:val="en-US" w:eastAsia="zh-CN"/>
              </w:rPr>
              <w:t xml:space="preserve"> </w:t>
            </w:r>
            <w:r>
              <w:rPr>
                <w:rFonts w:hint="eastAsia" w:hAnsi="宋体" w:cs="宋体"/>
                <w:color w:val="000000" w:themeColor="text1"/>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w:t>
            </w:r>
            <w:r>
              <w:rPr>
                <w:rFonts w:hint="eastAsia" w:hAnsi="宋体" w:cs="宋体"/>
                <w:sz w:val="24"/>
              </w:rPr>
              <w:t>许昌市公共资源交易中心（龙兴路与竹林路交汇处创业服务中心C 座）三楼开标</w:t>
            </w:r>
            <w:r>
              <w:rPr>
                <w:rFonts w:hint="eastAsia" w:hAnsi="宋体" w:cs="宋体"/>
                <w:color w:val="000000" w:themeColor="text1"/>
                <w:sz w:val="24"/>
              </w:rPr>
              <w:t>（</w:t>
            </w:r>
            <w:r>
              <w:rPr>
                <w:rFonts w:hint="eastAsia" w:hAnsi="宋体" w:cs="宋体"/>
                <w:color w:val="000000" w:themeColor="text1"/>
                <w:sz w:val="24"/>
                <w:lang w:val="en-US" w:eastAsia="zh-CN"/>
              </w:rPr>
              <w:t xml:space="preserve"> 四</w:t>
            </w:r>
            <w:r>
              <w:rPr>
                <w:rFonts w:hint="eastAsia" w:hAnsi="宋体" w:cs="宋体"/>
                <w:color w:val="000000" w:themeColor="text1"/>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hAnsi="宋体" w:eastAsia="宋体" w:cs="宋体"/>
                <w:sz w:val="24"/>
                <w:lang w:val="en-US" w:eastAsia="zh-CN"/>
              </w:rPr>
              <w:t>5</w:t>
            </w:r>
            <w:r>
              <w:rPr>
                <w:rFonts w:hint="eastAsia" w:hAnsi="宋体" w:eastAsia="宋体" w:cs="宋体"/>
                <w:sz w:val="24"/>
              </w:rPr>
              <w:t>人，从河南省综合评标专家库中随机抽取（其中工程造价专家不应少于五分之二）。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color w:val="000000" w:themeColor="text1"/>
                <w:sz w:val="24"/>
              </w:rPr>
            </w:pPr>
            <w:r>
              <w:rPr>
                <w:rFonts w:hint="eastAsia" w:hAnsi="宋体" w:eastAsia="宋体" w:cs="宋体"/>
                <w:b/>
                <w:bCs/>
                <w:color w:val="000000" w:themeColor="text1"/>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color w:val="000000" w:themeColor="text1"/>
                <w:sz w:val="24"/>
              </w:rPr>
            </w:pPr>
            <w:r>
              <w:rPr>
                <w:rFonts w:hint="eastAsia" w:hAnsi="宋体" w:eastAsia="宋体" w:cs="宋体"/>
                <w:b/>
                <w:bCs/>
                <w:color w:val="000000" w:themeColor="text1"/>
                <w:sz w:val="24"/>
              </w:rPr>
              <w:t>指2016年1月1日（以合同签订时间为准）以来已经完成的的市政工程。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本工程设招标控制价：</w:t>
            </w:r>
          </w:p>
          <w:p>
            <w:pPr>
              <w:autoSpaceDE w:val="0"/>
              <w:autoSpaceDN w:val="0"/>
              <w:adjustRightInd w:val="0"/>
              <w:spacing w:line="420" w:lineRule="exact"/>
              <w:rPr>
                <w:rFonts w:hint="eastAsia" w:hAnsi="宋体" w:eastAsia="宋体" w:cs="宋体"/>
                <w:sz w:val="24"/>
                <w:lang w:eastAsia="zh-CN"/>
              </w:rPr>
            </w:pPr>
            <w:r>
              <w:rPr>
                <w:rFonts w:hint="eastAsia" w:hAnsi="宋体" w:eastAsia="宋体" w:cs="宋体"/>
                <w:sz w:val="24"/>
              </w:rPr>
              <w:t>大写：</w:t>
            </w:r>
            <w:r>
              <w:rPr>
                <w:rFonts w:hint="eastAsia" w:hAnsi="宋体" w:eastAsia="宋体" w:cs="宋体"/>
                <w:sz w:val="24"/>
                <w:lang w:eastAsia="zh-CN"/>
              </w:rPr>
              <w:t>柒拾玖万壹仟零叁拾贰元玖角伍分</w:t>
            </w:r>
          </w:p>
          <w:p>
            <w:pPr>
              <w:autoSpaceDE w:val="0"/>
              <w:autoSpaceDN w:val="0"/>
              <w:adjustRightInd w:val="0"/>
              <w:spacing w:line="420" w:lineRule="exact"/>
              <w:rPr>
                <w:rFonts w:hAnsi="宋体" w:eastAsia="宋体" w:cs="宋体"/>
                <w:sz w:val="24"/>
              </w:rPr>
            </w:pPr>
            <w:r>
              <w:rPr>
                <w:rFonts w:hint="eastAsia" w:hAnsi="宋体" w:eastAsia="宋体" w:cs="宋体"/>
                <w:sz w:val="24"/>
              </w:rPr>
              <w:t>小写：</w:t>
            </w:r>
            <w:r>
              <w:rPr>
                <w:rFonts w:hint="eastAsia" w:hAnsi="宋体" w:eastAsia="宋体" w:cs="宋体"/>
                <w:sz w:val="24"/>
                <w:lang w:val="en-US" w:eastAsia="zh-CN"/>
              </w:rPr>
              <w:t>791032.95</w:t>
            </w:r>
            <w:r>
              <w:rPr>
                <w:rFonts w:hint="eastAsia" w:hAnsi="宋体" w:eastAsia="宋体" w:cs="宋体"/>
                <w:sz w:val="24"/>
              </w:rPr>
              <w:t>元。</w:t>
            </w:r>
            <w:r>
              <w:rPr>
                <w:rFonts w:hint="eastAsia" w:hAnsi="宋体" w:eastAsia="宋体" w:cs="宋体"/>
                <w:bCs/>
                <w:sz w:val="24"/>
                <w:szCs w:val="24"/>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adjustRightInd w:val="0"/>
              <w:rPr>
                <w:rFonts w:hAnsi="宋体" w:eastAsia="宋体" w:cs="宋体"/>
                <w:sz w:val="24"/>
              </w:rPr>
            </w:pPr>
            <w:r>
              <w:rPr>
                <w:rFonts w:hint="eastAsia" w:hAnsi="宋体" w:eastAsia="宋体" w:cs="宋体"/>
                <w:sz w:val="24"/>
              </w:rPr>
              <w:t>开标时各投标人的法定代表人或授权委托人（持有效的授权委托书原件）持身份证原件到开标现场签到，缺席或逾期不到者视为放弃。各投标单位参加会议人数不得多于三人。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adjustRightInd w:val="0"/>
              <w:rPr>
                <w:rFonts w:hAnsi="宋体" w:eastAsia="宋体" w:cs="宋体"/>
                <w:sz w:val="24"/>
              </w:rPr>
            </w:pPr>
            <w:r>
              <w:rPr>
                <w:rFonts w:hint="eastAsia" w:hAnsi="宋体" w:eastAsia="宋体" w:cs="宋体"/>
                <w:sz w:val="24"/>
              </w:rPr>
              <w:t>1、在中标通知书发出前，招标人将中标候选人的情况在《全国公共资源交易平台（河南省·许昌市）》、《河南省电子招标投标公共服务平台》予以公示，公示期不少于3日。</w:t>
            </w:r>
          </w:p>
          <w:p>
            <w:pPr>
              <w:autoSpaceDE w:val="0"/>
              <w:autoSpaceDN w:val="0"/>
              <w:adjustRightInd w:val="0"/>
              <w:rPr>
                <w:rFonts w:hAnsi="宋体" w:eastAsia="宋体" w:cs="宋体"/>
                <w:sz w:val="24"/>
              </w:rPr>
            </w:pPr>
            <w:r>
              <w:rPr>
                <w:rFonts w:hint="eastAsia" w:hAnsi="宋体" w:eastAsia="宋体" w:cs="宋体"/>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adjustRightInd w:val="0"/>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adjustRightInd w:val="0"/>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adjustRightInd w:val="0"/>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adjustRightInd w:val="0"/>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adjustRightInd w:val="0"/>
              <w:rPr>
                <w:rFonts w:hAnsi="宋体" w:eastAsia="宋体" w:cs="宋体"/>
                <w:sz w:val="24"/>
              </w:rPr>
            </w:pPr>
            <w:r>
              <w:rPr>
                <w:rFonts w:hint="eastAsia" w:hAnsi="宋体" w:eastAsia="宋体" w:cs="宋体"/>
                <w:sz w:val="24"/>
              </w:rPr>
              <w:t>构成本招标文件的各个组成文件应互为解释，互为说明；</w:t>
            </w:r>
          </w:p>
          <w:p>
            <w:pPr>
              <w:autoSpaceDE w:val="0"/>
              <w:autoSpaceDN w:val="0"/>
              <w:adjustRightInd w:val="0"/>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autoSpaceDE w:val="0"/>
              <w:autoSpaceDN w:val="0"/>
              <w:adjustRightInd w:val="0"/>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autoSpaceDE w:val="0"/>
              <w:autoSpaceDN w:val="0"/>
              <w:adjustRightInd w:val="0"/>
              <w:rPr>
                <w:rFonts w:hAnsi="宋体" w:eastAsia="宋体" w:cs="宋体"/>
                <w:sz w:val="24"/>
              </w:rPr>
            </w:pPr>
            <w:r>
              <w:rPr>
                <w:rFonts w:hint="eastAsia" w:hAnsi="宋体" w:eastAsia="宋体" w:cs="宋体"/>
                <w:sz w:val="24"/>
              </w:rPr>
              <w:t>3、同一组成文件中就同一事项的规定或约定不一致的，以编排顺序在后者为准；</w:t>
            </w:r>
          </w:p>
          <w:p>
            <w:pPr>
              <w:autoSpaceDE w:val="0"/>
              <w:autoSpaceDN w:val="0"/>
              <w:adjustRightInd w:val="0"/>
              <w:rPr>
                <w:rFonts w:hAnsi="宋体" w:eastAsia="宋体" w:cs="宋体"/>
                <w:sz w:val="24"/>
              </w:rPr>
            </w:pPr>
            <w:r>
              <w:rPr>
                <w:rFonts w:hint="eastAsia" w:hAnsi="宋体" w:eastAsia="宋体" w:cs="宋体"/>
                <w:sz w:val="24"/>
              </w:rPr>
              <w:t>4、同一组成文件不同版本之间有不一致的，以形成时间在后者为准。</w:t>
            </w:r>
          </w:p>
          <w:p>
            <w:pPr>
              <w:autoSpaceDE w:val="0"/>
              <w:autoSpaceDN w:val="0"/>
              <w:adjustRightInd w:val="0"/>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4、开标时法人或授权委托人（持有效的授权委托书原件）未携带本人身份证原件到开标现场并签到的。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adjustRightInd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rPr>
                <w:rFonts w:hAnsi="宋体" w:eastAsia="宋体" w:cs="宋体"/>
                <w:sz w:val="24"/>
              </w:rPr>
            </w:pPr>
            <w:r>
              <w:rPr>
                <w:rFonts w:hint="eastAsia" w:hAnsi="宋体" w:eastAsia="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rPr>
                <w:rFonts w:hAnsi="宋体" w:eastAsia="宋体" w:cs="宋体"/>
                <w:sz w:val="24"/>
              </w:rPr>
            </w:pPr>
            <w:r>
              <w:rPr>
                <w:rFonts w:hint="eastAsia" w:hAnsi="宋体" w:eastAsia="宋体" w:cs="宋体"/>
                <w:sz w:val="24"/>
              </w:rPr>
              <w:t>3、投标人在投标截止时间前应随时关注《全国公共资源交易平台（河南省·许昌市）》公共资源交易系统发出的有关本项目的答疑、修改等相关内容。</w:t>
            </w:r>
          </w:p>
          <w:p>
            <w:pPr>
              <w:autoSpaceDE w:val="0"/>
              <w:autoSpaceDN w:val="0"/>
              <w:adjustRightInd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adjustRightInd w:val="0"/>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adjustRightInd w:val="0"/>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adjustRightInd w:val="0"/>
              <w:rPr>
                <w:rFonts w:hAnsi="宋体" w:eastAsia="宋体" w:cs="宋体"/>
                <w:sz w:val="24"/>
              </w:rPr>
            </w:pPr>
            <w:r>
              <w:rPr>
                <w:rFonts w:hint="eastAsia" w:hAnsi="宋体" w:eastAsia="宋体" w:cs="宋体"/>
                <w:sz w:val="24"/>
              </w:rPr>
              <w:t>7、商务标投标文件制作注意事项：</w:t>
            </w:r>
          </w:p>
          <w:p>
            <w:pPr>
              <w:autoSpaceDE w:val="0"/>
              <w:autoSpaceDN w:val="0"/>
              <w:adjustRightInd w:val="0"/>
              <w:rPr>
                <w:rFonts w:hAnsi="宋体" w:eastAsia="宋体" w:cs="宋体"/>
                <w:sz w:val="24"/>
              </w:rPr>
            </w:pPr>
            <w:r>
              <w:rPr>
                <w:rFonts w:hint="eastAsia" w:hAnsi="宋体" w:eastAsia="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rPr>
                <w:rFonts w:hAnsi="宋体" w:eastAsia="宋体" w:cs="宋体"/>
                <w:sz w:val="24"/>
              </w:rPr>
            </w:pPr>
            <w:r>
              <w:rPr>
                <w:rFonts w:hint="eastAsia" w:hAnsi="宋体" w:eastAsia="宋体" w:cs="宋体"/>
                <w:sz w:val="24"/>
              </w:rPr>
              <w:t>7.2 商务标投标文件制作技术咨询：0374-2961598。</w:t>
            </w:r>
          </w:p>
          <w:p>
            <w:pPr>
              <w:autoSpaceDE w:val="0"/>
              <w:autoSpaceDN w:val="0"/>
              <w:adjustRightInd w:val="0"/>
              <w:rPr>
                <w:rFonts w:hAnsi="宋体" w:eastAsia="宋体" w:cs="宋体"/>
                <w:sz w:val="24"/>
              </w:rPr>
            </w:pPr>
            <w:r>
              <w:rPr>
                <w:rFonts w:hint="eastAsia" w:hAnsi="宋体" w:eastAsia="宋体" w:cs="宋体"/>
                <w:sz w:val="24"/>
                <w:lang w:val="zh-CN"/>
              </w:rPr>
              <w:t>8、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7" w:name="_Toc283559947"/>
    </w:p>
    <w:p>
      <w:pPr>
        <w:pStyle w:val="2"/>
        <w:ind w:left="0" w:leftChars="0" w:firstLine="0" w:firstLineChars="0"/>
        <w:rPr>
          <w:rFonts w:hAnsi="宋体" w:cs="宋体"/>
          <w:sz w:val="24"/>
        </w:rPr>
      </w:pPr>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79632555"/>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8"/>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2322"/>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（8）施工进度表或网络计划图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bookmarkEnd w:id="36"/>
    <w:p>
      <w:pPr>
        <w:tabs>
          <w:tab w:val="left" w:pos="1260"/>
        </w:tabs>
        <w:autoSpaceDE w:val="0"/>
        <w:autoSpaceDN w:val="0"/>
        <w:adjustRightInd w:val="0"/>
        <w:spacing w:line="50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500" w:lineRule="exact"/>
        <w:jc w:val="left"/>
        <w:rPr>
          <w:rFonts w:hAnsi="宋体" w:cs="宋体"/>
          <w:b/>
          <w:sz w:val="24"/>
          <w:szCs w:val="24"/>
        </w:rPr>
      </w:pPr>
      <w:r>
        <w:rPr>
          <w:rFonts w:hint="eastAsia" w:hAnsi="宋体" w:cs="宋体"/>
          <w:b/>
          <w:sz w:val="24"/>
          <w:szCs w:val="24"/>
        </w:rPr>
        <w:t>规费、安全文明施工措施费、暂列金额与专业暂估价、增值税计入投标总报价，并在投标函、投标函附录中单列，不参与商务标评审。</w:t>
      </w:r>
    </w:p>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rPr>
          <w:rFonts w:hint="eastAsia" w:hAnsi="宋体"/>
          <w:sz w:val="24"/>
          <w:szCs w:val="24"/>
        </w:rPr>
        <w:t>（</w:t>
      </w:r>
      <w:r>
        <w:rPr>
          <w:rFonts w:hAnsi="宋体"/>
          <w:sz w:val="24"/>
          <w:szCs w:val="24"/>
        </w:rPr>
        <w:t>http://221.14.6.70:8088/ggzy/</w:t>
      </w:r>
      <w:r>
        <w:rPr>
          <w:rFonts w:hint="eastAsia" w:hAnsi="宋体"/>
          <w:sz w:val="24"/>
          <w:szCs w:val="24"/>
        </w:rPr>
        <w:t>）</w:t>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52045553"/>
      <w:bookmarkStart w:id="41" w:name="_Toc179632571"/>
      <w:bookmarkStart w:id="42" w:name="_Toc152042329"/>
      <w:r>
        <w:rPr>
          <w:rFonts w:hint="eastAsia" w:hAnsi="宋体" w:cs="宋体"/>
          <w:b/>
          <w:sz w:val="24"/>
        </w:rPr>
        <w:t>备选投标方案</w:t>
      </w:r>
    </w:p>
    <w:bookmarkEnd w:id="39"/>
    <w:bookmarkEnd w:id="40"/>
    <w:bookmarkEnd w:id="41"/>
    <w:bookmarkEnd w:id="42"/>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投标人编制的投标文件应分为商务标、综合标和技术标。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w:t>
      </w:r>
      <w:r>
        <w:rPr>
          <w:rFonts w:hint="eastAsia" w:hAnsi="宋体" w:cs="宋体"/>
          <w:sz w:val="24"/>
          <w:lang w:val="en-US" w:eastAsia="zh-CN"/>
        </w:rPr>
        <w:t>2</w:t>
      </w:r>
      <w:r>
        <w:rPr>
          <w:rFonts w:hint="eastAsia" w:hAnsi="宋体" w:cs="宋体"/>
          <w:sz w:val="24"/>
        </w:rPr>
        <w:t>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tabs>
          <w:tab w:val="left" w:pos="1260"/>
        </w:tabs>
        <w:autoSpaceDE w:val="0"/>
        <w:autoSpaceDN w:val="0"/>
        <w:adjustRightInd w:val="0"/>
        <w:spacing w:line="460" w:lineRule="exact"/>
        <w:ind w:firstLine="480" w:firstLineChars="200"/>
        <w:jc w:val="left"/>
        <w:rPr>
          <w:rFonts w:hAnsi="宋体" w:cs="宋体"/>
          <w:sz w:val="24"/>
        </w:rPr>
      </w:pPr>
      <w:bookmarkStart w:id="43" w:name="_Toc283559961"/>
      <w:r>
        <w:rPr>
          <w:rFonts w:hint="eastAsia" w:hAnsi="宋体" w:cs="宋体"/>
          <w:sz w:val="24"/>
        </w:rPr>
        <w:t>3.7.7 当生成的电子投标文件投标报价大小写不一致时，以大写为准。</w:t>
      </w:r>
    </w:p>
    <w:p>
      <w:pPr>
        <w:autoSpaceDE w:val="0"/>
        <w:autoSpaceDN w:val="0"/>
        <w:adjustRightInd w:val="0"/>
        <w:spacing w:line="460" w:lineRule="exact"/>
        <w:jc w:val="left"/>
        <w:rPr>
          <w:rFonts w:hAnsi="宋体" w:cs="宋体"/>
          <w:sz w:val="24"/>
        </w:rPr>
      </w:pPr>
      <w:r>
        <w:rPr>
          <w:rFonts w:hint="eastAsia" w:hAnsi="宋体" w:cs="宋体"/>
          <w:b/>
          <w:bCs/>
          <w:sz w:val="24"/>
        </w:rPr>
        <w:t>3.7.8 商务标投标文件制作注意事项：</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18"/>
        <w:spacing w:line="440" w:lineRule="exact"/>
        <w:jc w:val="both"/>
        <w:outlineLvl w:val="0"/>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电子介质存储的投标文件应单独密封，封套上写明“招标人名称、投标人名称、项目名称，在年月日时分前不得开启”，并加盖单位公章，法定代表人或委托代理人签名，在投标截止时间前递交。</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项规定的投标截止时间前，投标人可以修改或撤回已提交的电子投标文件修改或撤回应以书面形式通知招标人。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8"/>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tabs>
          <w:tab w:val="left" w:pos="1260"/>
        </w:tabs>
        <w:autoSpaceDE w:val="0"/>
        <w:autoSpaceDN w:val="0"/>
        <w:adjustRightInd w:val="0"/>
        <w:spacing w:line="460" w:lineRule="exact"/>
        <w:ind w:firstLine="480" w:firstLineChars="200"/>
        <w:jc w:val="left"/>
        <w:rPr>
          <w:rFonts w:hAnsi="宋体" w:cs="宋体"/>
          <w:sz w:val="24"/>
        </w:rPr>
      </w:pPr>
      <w:bookmarkStart w:id="48" w:name="_Toc283559970"/>
      <w:r>
        <w:rPr>
          <w:rFonts w:hint="eastAsia" w:hAnsi="宋体" w:cs="宋体"/>
          <w:sz w:val="24"/>
        </w:rPr>
        <w:t>5.2.1主持人按下列程序进行开标：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（1）宣布投标截止时间，并公布招标人、代理机构、监督部门名称；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（2）宣布开标纪律；</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（3）公布在投标截止时间前递交投标文件的投标人名称和投标保证金缴纳情况。</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w:t>
      </w:r>
      <w:r>
        <w:rPr>
          <w:rFonts w:hAnsi="宋体" w:cs="宋体"/>
          <w:sz w:val="24"/>
        </w:rPr>
        <w:t>2</w:t>
      </w:r>
      <w:r>
        <w:rPr>
          <w:rFonts w:hint="eastAsia" w:hAnsi="宋体" w:cs="宋体"/>
          <w:sz w:val="24"/>
        </w:rPr>
        <w:t>.2 电子投标文件的解密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5.2.2.2电子投标文件解密异常情况处理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（1）因电子交易系统异常无法解密电子投标文件的，以人工方式进行。</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8"/>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6.1.2 评标委员会成员有下列情形之一的，应当回避：</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（1）招标人或投标人的主要负责人的近亲属；</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（2）项目主管部门或者行政监督部门的人员；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有下列情形之一的，招标人将重新招标：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（1）投标截止时间止，投标人少于3 个的；</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8"/>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8"/>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widowControl/>
        <w:jc w:val="left"/>
        <w:rPr>
          <w:rFonts w:hAnsi="宋体" w:cs="宋体"/>
          <w:sz w:val="24"/>
        </w:rPr>
      </w:pPr>
      <w:r>
        <w:rPr>
          <w:rFonts w:hAnsi="宋体" w:cs="宋体"/>
          <w:sz w:val="24"/>
        </w:rPr>
        <w:br w:type="page"/>
      </w: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rPr>
          <w:rFonts w:hint="eastAsia" w:hAnsi="宋体" w:cs="宋体"/>
          <w:b/>
          <w:bCs/>
          <w:sz w:val="36"/>
          <w:szCs w:val="36"/>
        </w:rPr>
      </w:pPr>
      <w:r>
        <w:rPr>
          <w:rFonts w:hint="eastAsia" w:hAnsi="宋体" w:cs="宋体"/>
          <w:b/>
          <w:bCs/>
          <w:sz w:val="36"/>
          <w:szCs w:val="36"/>
        </w:rPr>
        <w:br w:type="page"/>
      </w: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snapToGrid w:val="0"/>
        <w:spacing w:line="360" w:lineRule="auto"/>
        <w:rPr>
          <w:rFonts w:hAnsi="宋体" w:cs="宋体"/>
          <w:sz w:val="24"/>
        </w:rPr>
      </w:pPr>
      <w:r>
        <w:rPr>
          <w:rFonts w:hint="eastAsia" w:hAnsi="宋体" w:cs="宋体"/>
          <w:sz w:val="24"/>
        </w:rPr>
        <w:t xml:space="preserve">     </w:t>
      </w:r>
      <w:bookmarkStart w:id="70" w:name="_Toc283559990"/>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二、从评标委员会构成：</w:t>
      </w:r>
      <w:r>
        <w:rPr>
          <w:rFonts w:hint="eastAsia" w:hAnsi="宋体" w:cs="宋体"/>
          <w:sz w:val="24"/>
          <w:lang w:val="en-US" w:eastAsia="zh-CN"/>
        </w:rPr>
        <w:t>5</w:t>
      </w:r>
      <w:r>
        <w:rPr>
          <w:rFonts w:hint="eastAsia" w:hAnsi="宋体" w:cs="宋体"/>
          <w:sz w:val="24"/>
        </w:rPr>
        <w:t>人，从河南省综合评标专家库中随机抽取（其中工程造价专家不应少于五分之二）。评标委员会主任从</w:t>
      </w:r>
      <w:r>
        <w:rPr>
          <w:rFonts w:hint="eastAsia" w:hAnsi="宋体" w:cs="宋体"/>
          <w:sz w:val="24"/>
          <w:lang w:val="en-US" w:eastAsia="zh-CN"/>
        </w:rPr>
        <w:t>5</w:t>
      </w:r>
      <w:r>
        <w:rPr>
          <w:rFonts w:hint="eastAsia" w:hAnsi="宋体" w:cs="宋体"/>
          <w:sz w:val="24"/>
        </w:rPr>
        <w:t>名随机抽取的评标专家中产生，与投标人有利害关系的专家不得进入评标委员会。</w:t>
      </w:r>
    </w:p>
    <w:p>
      <w:pPr>
        <w:snapToGrid w:val="0"/>
        <w:spacing w:line="360" w:lineRule="auto"/>
        <w:rPr>
          <w:rFonts w:ascii="新宋体" w:hAnsi="新宋体" w:eastAsia="新宋体"/>
          <w:sz w:val="24"/>
        </w:rPr>
      </w:pPr>
      <w:r>
        <w:rPr>
          <w:rFonts w:hint="eastAsia" w:hAnsi="宋体" w:cs="宋体"/>
          <w:sz w:val="24"/>
        </w:rPr>
        <w:t xml:space="preserve">     </w:t>
      </w:r>
      <w:r>
        <w:rPr>
          <w:rFonts w:hint="eastAsia" w:ascii="新宋体" w:hAnsi="新宋体" w:eastAsia="新宋体"/>
          <w:sz w:val="24"/>
        </w:rPr>
        <w:t>三、评标采用综合评标法，是指评标委员会根据招标文件要求，应从技术标、商务标、综合标三部分进行综合评审。</w:t>
      </w:r>
    </w:p>
    <w:p>
      <w:pPr>
        <w:snapToGrid w:val="0"/>
        <w:spacing w:line="360" w:lineRule="auto"/>
        <w:rPr>
          <w:rFonts w:hAnsi="宋体" w:cs="宋体"/>
          <w:sz w:val="24"/>
        </w:rPr>
      </w:pPr>
      <w:r>
        <w:rPr>
          <w:rFonts w:hint="eastAsia" w:hAnsi="宋体" w:cs="宋体"/>
          <w:sz w:val="24"/>
        </w:rPr>
        <w:t>四、评标程序为：</w:t>
      </w:r>
    </w:p>
    <w:p>
      <w:pPr>
        <w:snapToGrid w:val="0"/>
        <w:spacing w:line="360" w:lineRule="auto"/>
        <w:rPr>
          <w:rFonts w:hAnsi="宋体" w:cs="宋体"/>
          <w:sz w:val="24"/>
        </w:rPr>
      </w:pPr>
      <w:r>
        <w:rPr>
          <w:rFonts w:hint="eastAsia" w:hAnsi="宋体" w:cs="宋体"/>
          <w:sz w:val="24"/>
        </w:rPr>
        <w:t>（一）清标；</w:t>
      </w:r>
    </w:p>
    <w:p>
      <w:pPr>
        <w:snapToGrid w:val="0"/>
        <w:spacing w:line="360" w:lineRule="auto"/>
        <w:rPr>
          <w:rFonts w:hAnsi="宋体" w:cs="宋体"/>
          <w:sz w:val="24"/>
        </w:rPr>
      </w:pPr>
      <w:r>
        <w:rPr>
          <w:rFonts w:hint="eastAsia" w:hAnsi="宋体" w:cs="宋体"/>
          <w:sz w:val="24"/>
        </w:rPr>
        <w:t>（二）初步评审；</w:t>
      </w:r>
    </w:p>
    <w:p>
      <w:pPr>
        <w:snapToGrid w:val="0"/>
        <w:spacing w:line="360" w:lineRule="auto"/>
        <w:rPr>
          <w:rFonts w:hAnsi="宋体" w:cs="宋体"/>
          <w:sz w:val="24"/>
        </w:rPr>
      </w:pPr>
      <w:r>
        <w:rPr>
          <w:rFonts w:hint="eastAsia" w:hAnsi="宋体" w:cs="宋体"/>
          <w:sz w:val="24"/>
        </w:rPr>
        <w:t>（三）详细评审；</w:t>
      </w:r>
    </w:p>
    <w:p>
      <w:pPr>
        <w:snapToGrid w:val="0"/>
        <w:spacing w:line="360" w:lineRule="auto"/>
        <w:rPr>
          <w:rFonts w:hAnsi="宋体" w:cs="宋体"/>
          <w:sz w:val="24"/>
        </w:rPr>
      </w:pPr>
      <w:r>
        <w:rPr>
          <w:rFonts w:hint="eastAsia" w:hAnsi="宋体" w:cs="宋体"/>
          <w:sz w:val="24"/>
        </w:rPr>
        <w:t>（四）问题的澄清、说明或补正；</w:t>
      </w:r>
    </w:p>
    <w:p>
      <w:pPr>
        <w:snapToGrid w:val="0"/>
        <w:spacing w:line="360" w:lineRule="auto"/>
        <w:rPr>
          <w:rFonts w:hAnsi="宋体" w:cs="宋体"/>
          <w:sz w:val="24"/>
        </w:rPr>
      </w:pPr>
      <w:r>
        <w:rPr>
          <w:rFonts w:hint="eastAsia" w:hAnsi="宋体" w:cs="宋体"/>
          <w:sz w:val="24"/>
        </w:rPr>
        <w:t>（五）推荐中标候选人；</w:t>
      </w:r>
    </w:p>
    <w:p>
      <w:pPr>
        <w:snapToGrid w:val="0"/>
        <w:spacing w:line="360" w:lineRule="auto"/>
        <w:rPr>
          <w:rFonts w:hAnsi="宋体" w:cs="宋体"/>
          <w:sz w:val="24"/>
        </w:rPr>
      </w:pPr>
      <w:r>
        <w:rPr>
          <w:rFonts w:hint="eastAsia" w:hAnsi="宋体" w:cs="宋体"/>
          <w:sz w:val="24"/>
        </w:rPr>
        <w:t>（六）评标现场宣布中标候选人确定结果并在指定媒体上进行公示。</w:t>
      </w:r>
    </w:p>
    <w:p>
      <w:pPr>
        <w:snapToGrid w:val="0"/>
        <w:spacing w:line="360" w:lineRule="auto"/>
        <w:rPr>
          <w:rFonts w:hAnsi="宋体" w:cs="宋体"/>
          <w:sz w:val="24"/>
        </w:rPr>
      </w:pPr>
      <w:r>
        <w:rPr>
          <w:rFonts w:hint="eastAsia" w:hAnsi="宋体" w:cs="宋体"/>
          <w:sz w:val="24"/>
        </w:rPr>
        <w:t>五、初步评审</w:t>
      </w:r>
    </w:p>
    <w:p>
      <w:pPr>
        <w:snapToGrid w:val="0"/>
        <w:spacing w:line="360" w:lineRule="auto"/>
        <w:ind w:firstLine="480" w:firstLineChars="200"/>
        <w:rPr>
          <w:rFonts w:hAnsi="宋体" w:cs="宋体"/>
          <w:sz w:val="24"/>
        </w:rPr>
      </w:pPr>
      <w:r>
        <w:rPr>
          <w:rFonts w:hint="eastAsia" w:hAnsi="宋体" w:cs="宋体"/>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pPr>
        <w:snapToGrid w:val="0"/>
        <w:spacing w:line="360" w:lineRule="auto"/>
        <w:ind w:firstLine="480" w:firstLineChars="200"/>
        <w:rPr>
          <w:rFonts w:hAnsi="宋体" w:cs="宋体"/>
          <w:sz w:val="24"/>
        </w:rPr>
      </w:pPr>
      <w:r>
        <w:rPr>
          <w:rFonts w:hint="eastAsia" w:hAnsi="宋体" w:cs="宋体"/>
          <w:sz w:val="24"/>
        </w:rPr>
        <w:t>重大偏差是指投标文件存在标的物、价格、工期、质量、付款方式等不符合《评标委员会和评标方法暂行规定》第二十五条规定及招标文件实质性要求的情况。</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rPr>
          <w:rFonts w:hAnsi="宋体" w:cs="宋体"/>
          <w:sz w:val="24"/>
        </w:rPr>
      </w:pPr>
      <w:r>
        <w:rPr>
          <w:rFonts w:hint="eastAsia" w:hAnsi="宋体" w:cs="宋体"/>
          <w:sz w:val="24"/>
        </w:rPr>
        <w:t>5.1 投标文件存在下列情形之一的，按废标处理：</w:t>
      </w:r>
    </w:p>
    <w:p>
      <w:pPr>
        <w:snapToGrid w:val="0"/>
        <w:spacing w:line="360" w:lineRule="auto"/>
        <w:rPr>
          <w:rFonts w:hAnsi="宋体" w:cs="宋体"/>
          <w:sz w:val="24"/>
        </w:rPr>
      </w:pPr>
      <w:r>
        <w:rPr>
          <w:rFonts w:hint="eastAsia" w:hAnsi="宋体" w:cs="宋体"/>
          <w:sz w:val="24"/>
        </w:rPr>
        <w:t>（1）投标文件是否按招标文件要求签字盖章；</w:t>
      </w:r>
    </w:p>
    <w:p>
      <w:pPr>
        <w:snapToGrid w:val="0"/>
        <w:spacing w:line="360" w:lineRule="auto"/>
        <w:rPr>
          <w:rFonts w:hAnsi="宋体" w:cs="宋体"/>
          <w:sz w:val="24"/>
        </w:rPr>
      </w:pPr>
      <w:r>
        <w:rPr>
          <w:rFonts w:hint="eastAsia" w:hAnsi="宋体" w:cs="宋体"/>
          <w:sz w:val="24"/>
        </w:rPr>
        <w:t>（2）投标联合体是否提交共同投标协议（允许联合体投标的）；</w:t>
      </w:r>
    </w:p>
    <w:p>
      <w:pPr>
        <w:snapToGrid w:val="0"/>
        <w:spacing w:line="360" w:lineRule="auto"/>
        <w:rPr>
          <w:rFonts w:hAnsi="宋体" w:cs="宋体"/>
          <w:sz w:val="24"/>
        </w:rPr>
      </w:pPr>
      <w:r>
        <w:rPr>
          <w:rFonts w:hint="eastAsia" w:hAnsi="宋体" w:cs="宋体"/>
          <w:sz w:val="24"/>
        </w:rPr>
        <w:t>（3）投标人是否符合国家或者招标文件规定的资格条件，注册建造师注册单位与投标人是否一致；</w:t>
      </w:r>
    </w:p>
    <w:p>
      <w:pPr>
        <w:snapToGrid w:val="0"/>
        <w:spacing w:line="360" w:lineRule="auto"/>
        <w:rPr>
          <w:rFonts w:hAnsi="宋体" w:cs="宋体"/>
          <w:sz w:val="24"/>
        </w:rPr>
      </w:pPr>
      <w:r>
        <w:rPr>
          <w:rFonts w:hint="eastAsia" w:hAnsi="宋体" w:cs="宋体"/>
          <w:sz w:val="24"/>
        </w:rPr>
        <w:t xml:space="preserve">（4）同一投标人是否提交两个以上不同的投标文件或者投标报价，但招标文件要求提交备选投标的除外； </w:t>
      </w:r>
    </w:p>
    <w:p>
      <w:pPr>
        <w:snapToGrid w:val="0"/>
        <w:spacing w:line="360" w:lineRule="auto"/>
        <w:rPr>
          <w:rFonts w:hAnsi="宋体" w:cs="宋体"/>
          <w:sz w:val="24"/>
        </w:rPr>
      </w:pPr>
      <w:r>
        <w:rPr>
          <w:rFonts w:hint="eastAsia" w:hAnsi="宋体" w:cs="宋体"/>
          <w:sz w:val="24"/>
        </w:rPr>
        <w:t>（5）投标报价是否高于招标文件设定的最高投标限价；</w:t>
      </w:r>
    </w:p>
    <w:p>
      <w:pPr>
        <w:snapToGrid w:val="0"/>
        <w:spacing w:line="360" w:lineRule="auto"/>
        <w:rPr>
          <w:rFonts w:hAnsi="宋体" w:cs="宋体"/>
          <w:sz w:val="24"/>
        </w:rPr>
      </w:pPr>
      <w:r>
        <w:rPr>
          <w:rFonts w:hint="eastAsia" w:hAnsi="宋体" w:cs="宋体"/>
          <w:sz w:val="24"/>
        </w:rPr>
        <w:t>（6）投标范围、工期、工程质量、投标有效期、付款方式是否符合招标文件规定；</w:t>
      </w:r>
    </w:p>
    <w:p>
      <w:pPr>
        <w:snapToGrid w:val="0"/>
        <w:spacing w:line="360" w:lineRule="auto"/>
        <w:rPr>
          <w:rFonts w:hAnsi="宋体" w:cs="宋体"/>
          <w:sz w:val="24"/>
        </w:rPr>
      </w:pPr>
      <w:r>
        <w:rPr>
          <w:rFonts w:hint="eastAsia" w:hAnsi="宋体" w:cs="宋体"/>
          <w:sz w:val="24"/>
        </w:rPr>
        <w:t>（7）投标人是否有串通投标、弄虚作假、行贿等违法行为；</w:t>
      </w:r>
    </w:p>
    <w:p>
      <w:pPr>
        <w:snapToGrid w:val="0"/>
        <w:spacing w:line="360" w:lineRule="auto"/>
        <w:rPr>
          <w:rFonts w:hAnsi="宋体" w:cs="宋体"/>
          <w:sz w:val="24"/>
        </w:rPr>
      </w:pPr>
      <w:r>
        <w:rPr>
          <w:rFonts w:hint="eastAsia" w:hAnsi="宋体" w:cs="宋体"/>
          <w:sz w:val="24"/>
        </w:rPr>
        <w:t>5.2投标文件存在下列情形之一的，按废标处理：</w:t>
      </w:r>
    </w:p>
    <w:p>
      <w:pPr>
        <w:snapToGrid w:val="0"/>
        <w:spacing w:line="360" w:lineRule="auto"/>
        <w:rPr>
          <w:rFonts w:hAnsi="宋体" w:cs="宋体"/>
          <w:sz w:val="24"/>
        </w:rPr>
      </w:pPr>
      <w:r>
        <w:rPr>
          <w:rFonts w:hint="eastAsia" w:hAnsi="宋体" w:cs="宋体"/>
          <w:sz w:val="24"/>
        </w:rPr>
        <w:t xml:space="preserve">（1）未按招标文件规定编制各项报价的； </w:t>
      </w:r>
    </w:p>
    <w:p>
      <w:pPr>
        <w:snapToGrid w:val="0"/>
        <w:spacing w:line="360" w:lineRule="auto"/>
        <w:rPr>
          <w:rFonts w:hAnsi="宋体" w:cs="宋体"/>
          <w:sz w:val="24"/>
        </w:rPr>
      </w:pPr>
      <w:r>
        <w:rPr>
          <w:rFonts w:hint="eastAsia" w:hAnsi="宋体" w:cs="宋体"/>
          <w:sz w:val="24"/>
        </w:rPr>
        <w:t xml:space="preserve">（2）投标总报价与其组成部分、工程量清单项目合价与综合单价、综合单价与人材机用量相互矛盾，致使评标委员会无法正常评审判定的； </w:t>
      </w:r>
    </w:p>
    <w:p>
      <w:pPr>
        <w:snapToGrid w:val="0"/>
        <w:spacing w:line="360" w:lineRule="auto"/>
        <w:rPr>
          <w:rFonts w:hAnsi="宋体" w:cs="宋体"/>
          <w:sz w:val="24"/>
        </w:rPr>
      </w:pPr>
      <w:r>
        <w:rPr>
          <w:rFonts w:hint="eastAsia" w:hAnsi="宋体" w:cs="宋体"/>
          <w:sz w:val="24"/>
        </w:rPr>
        <w:t xml:space="preserve">（3）规费和安全文明施工措施费违背工程造价计价有关规定的； </w:t>
      </w:r>
    </w:p>
    <w:p>
      <w:pPr>
        <w:snapToGrid w:val="0"/>
        <w:spacing w:line="360" w:lineRule="auto"/>
        <w:rPr>
          <w:rFonts w:hAnsi="宋体" w:cs="宋体"/>
          <w:sz w:val="24"/>
        </w:rPr>
      </w:pPr>
      <w:r>
        <w:rPr>
          <w:rFonts w:hint="eastAsia" w:hAnsi="宋体" w:cs="宋体"/>
          <w:sz w:val="24"/>
        </w:rPr>
        <w:t xml:space="preserve">（4）分部分项工程项目、措施项目报价中的项目编码、项目名称、项目特征、计量单位和工程量与招标文件的清单不一致的； </w:t>
      </w:r>
    </w:p>
    <w:p>
      <w:pPr>
        <w:snapToGrid w:val="0"/>
        <w:spacing w:line="360" w:lineRule="auto"/>
        <w:rPr>
          <w:rFonts w:hAnsi="宋体" w:cs="宋体"/>
          <w:sz w:val="24"/>
        </w:rPr>
      </w:pPr>
      <w:r>
        <w:rPr>
          <w:rFonts w:hint="eastAsia" w:hAnsi="宋体" w:cs="宋体"/>
          <w:sz w:val="24"/>
        </w:rPr>
        <w:t>（5）未按照招标文件所列明的暂列金额、暂估价编制投标报价的。</w:t>
      </w:r>
    </w:p>
    <w:p>
      <w:pPr>
        <w:spacing w:line="440" w:lineRule="exact"/>
        <w:rPr>
          <w:rFonts w:hint="eastAsia" w:ascii="新宋体" w:hAnsi="新宋体" w:eastAsia="新宋体"/>
          <w:sz w:val="24"/>
        </w:rPr>
      </w:pPr>
      <w:r>
        <w:rPr>
          <w:rFonts w:hint="eastAsia" w:ascii="新宋体" w:hAnsi="新宋体" w:eastAsia="新宋体"/>
          <w:sz w:val="24"/>
        </w:rPr>
        <w:t>（6）住房和城乡建设部《标准施工招标文件》规定的其他否决投标条件。</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1"/>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napToGrid w:val="0"/>
        <w:spacing w:line="360" w:lineRule="auto"/>
        <w:ind w:firstLine="480" w:firstLineChars="200"/>
        <w:rPr>
          <w:rFonts w:hAnsi="宋体" w:cs="宋体"/>
          <w:sz w:val="24"/>
        </w:rPr>
      </w:pPr>
      <w:r>
        <w:rPr>
          <w:rFonts w:hint="eastAsia" w:hAnsi="宋体" w:cs="宋体"/>
          <w:sz w:val="24"/>
        </w:rPr>
        <w:t>注：不在上述范围内且不具有实质性影响的内容，均不能作为清标的依据或理由。</w:t>
      </w:r>
    </w:p>
    <w:p>
      <w:pPr>
        <w:snapToGrid w:val="0"/>
        <w:spacing w:line="360" w:lineRule="auto"/>
        <w:rPr>
          <w:rFonts w:hAnsi="宋体" w:cs="宋体"/>
          <w:b/>
          <w:sz w:val="24"/>
        </w:rPr>
      </w:pPr>
      <w:r>
        <w:rPr>
          <w:rFonts w:hint="eastAsia" w:hAnsi="宋体" w:cs="宋体"/>
          <w:b/>
          <w:sz w:val="24"/>
        </w:rPr>
        <w:t>六、详细评审</w:t>
      </w:r>
    </w:p>
    <w:p>
      <w:pPr>
        <w:snapToGrid w:val="0"/>
        <w:spacing w:line="360" w:lineRule="auto"/>
        <w:ind w:firstLine="480" w:firstLineChars="200"/>
        <w:rPr>
          <w:rFonts w:hAnsi="宋体" w:cs="宋体"/>
          <w:sz w:val="24"/>
        </w:rPr>
      </w:pPr>
      <w:r>
        <w:rPr>
          <w:rFonts w:hint="eastAsia" w:hAnsi="宋体" w:cs="宋体"/>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hAnsi="宋体" w:cs="宋体"/>
          <w:sz w:val="24"/>
        </w:rPr>
      </w:pPr>
      <w:r>
        <w:rPr>
          <w:rFonts w:hAnsi="宋体" w:cs="宋体"/>
          <w:sz w:val="24"/>
        </w:rPr>
        <w:t>评审内容</w:t>
      </w:r>
      <w:r>
        <w:rPr>
          <w:rFonts w:hint="eastAsia" w:hAnsi="宋体" w:cs="宋体"/>
          <w:sz w:val="24"/>
        </w:rPr>
        <w:t>：</w:t>
      </w:r>
    </w:p>
    <w:tbl>
      <w:tblPr>
        <w:tblStyle w:val="11"/>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sz w:val="21"/>
                <w:szCs w:val="21"/>
              </w:rPr>
            </w:pPr>
            <w:bookmarkStart w:id="71" w:name="_Toc295572535"/>
            <w:bookmarkStart w:id="72" w:name="_Toc270931534"/>
            <w:bookmarkStart w:id="73" w:name="_Toc273546398"/>
            <w:bookmarkStart w:id="74" w:name="_Toc272833453"/>
            <w:r>
              <w:rPr>
                <w:rFonts w:hint="eastAsia" w:hAnsi="宋体" w:eastAsia="宋体" w:cs="宋体"/>
                <w:b/>
                <w:bCs/>
                <w:sz w:val="21"/>
                <w:szCs w:val="21"/>
              </w:rPr>
              <w:t>序号</w:t>
            </w:r>
          </w:p>
        </w:tc>
        <w:tc>
          <w:tcPr>
            <w:tcW w:w="1123"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内容</w:t>
            </w:r>
          </w:p>
        </w:tc>
        <w:tc>
          <w:tcPr>
            <w:tcW w:w="980"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分值</w:t>
            </w:r>
          </w:p>
        </w:tc>
        <w:tc>
          <w:tcPr>
            <w:tcW w:w="5344"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评审标准</w:t>
            </w:r>
          </w:p>
        </w:tc>
        <w:tc>
          <w:tcPr>
            <w:tcW w:w="1241"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 w:val="21"/>
                <w:szCs w:val="21"/>
              </w:rPr>
            </w:pPr>
            <w:r>
              <w:rPr>
                <w:sz w:val="21"/>
                <w:szCs w:val="21"/>
              </w:rPr>
              <w:t>1</w:t>
            </w:r>
          </w:p>
        </w:tc>
        <w:tc>
          <w:tcPr>
            <w:tcW w:w="1123" w:type="dxa"/>
            <w:vMerge w:val="restart"/>
            <w:tcBorders>
              <w:tl2br w:val="nil"/>
              <w:tr2bl w:val="nil"/>
            </w:tcBorders>
            <w:vAlign w:val="center"/>
          </w:tcPr>
          <w:p>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pPr>
              <w:jc w:val="cente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 w:val="21"/>
                <w:szCs w:val="21"/>
              </w:rPr>
            </w:pPr>
            <w:r>
              <w:rPr>
                <w:sz w:val="21"/>
                <w:szCs w:val="21"/>
              </w:rPr>
              <w:t>2</w:t>
            </w:r>
          </w:p>
        </w:tc>
        <w:tc>
          <w:tcPr>
            <w:tcW w:w="1123" w:type="dxa"/>
            <w:vMerge w:val="restart"/>
            <w:tcBorders>
              <w:tl2br w:val="nil"/>
              <w:tr2bl w:val="nil"/>
            </w:tcBorders>
            <w:vAlign w:val="center"/>
          </w:tcPr>
          <w:p>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 w:val="21"/>
                <w:szCs w:val="21"/>
              </w:rPr>
            </w:pPr>
            <w:r>
              <w:rPr>
                <w:sz w:val="21"/>
                <w:szCs w:val="21"/>
              </w:rPr>
              <w:t xml:space="preserve"> 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 w:val="21"/>
                <w:szCs w:val="21"/>
              </w:rPr>
            </w:pPr>
            <w:r>
              <w:rPr>
                <w:sz w:val="21"/>
                <w:szCs w:val="21"/>
              </w:rPr>
              <w:t>3</w:t>
            </w:r>
          </w:p>
        </w:tc>
        <w:tc>
          <w:tcPr>
            <w:tcW w:w="1123" w:type="dxa"/>
            <w:vMerge w:val="restart"/>
            <w:tcBorders>
              <w:tl2br w:val="nil"/>
              <w:tr2bl w:val="nil"/>
            </w:tcBorders>
            <w:vAlign w:val="center"/>
          </w:tcPr>
          <w:p>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 w:val="21"/>
                <w:szCs w:val="21"/>
              </w:rPr>
            </w:pPr>
            <w:r>
              <w:rPr>
                <w:sz w:val="21"/>
                <w:szCs w:val="21"/>
              </w:rPr>
              <w:t>4</w:t>
            </w:r>
          </w:p>
        </w:tc>
        <w:tc>
          <w:tcPr>
            <w:tcW w:w="1123" w:type="dxa"/>
            <w:vMerge w:val="restart"/>
            <w:tcBorders>
              <w:tl2br w:val="nil"/>
              <w:tr2bl w:val="nil"/>
            </w:tcBorders>
            <w:vAlign w:val="center"/>
          </w:tcPr>
          <w:p>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 w:val="21"/>
                <w:szCs w:val="21"/>
              </w:rPr>
            </w:pPr>
            <w:r>
              <w:rPr>
                <w:sz w:val="21"/>
                <w:szCs w:val="21"/>
              </w:rPr>
              <w:t>5</w:t>
            </w:r>
          </w:p>
        </w:tc>
        <w:tc>
          <w:tcPr>
            <w:tcW w:w="1123" w:type="dxa"/>
            <w:vMerge w:val="restart"/>
            <w:tcBorders>
              <w:tl2br w:val="nil"/>
              <w:tr2bl w:val="nil"/>
            </w:tcBorders>
            <w:vAlign w:val="center"/>
          </w:tcPr>
          <w:p>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pPr>
              <w:jc w:val="center"/>
              <w:rPr>
                <w:rFonts w:eastAsia="宋体"/>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6</w:t>
            </w:r>
          </w:p>
        </w:tc>
        <w:tc>
          <w:tcPr>
            <w:tcW w:w="1123" w:type="dxa"/>
            <w:vMerge w:val="restart"/>
            <w:tcBorders>
              <w:tl2br w:val="nil"/>
              <w:tr2bl w:val="nil"/>
            </w:tcBorders>
            <w:vAlign w:val="center"/>
          </w:tcPr>
          <w:p>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 w:val="21"/>
                <w:szCs w:val="21"/>
              </w:rPr>
            </w:pPr>
            <w:r>
              <w:rPr>
                <w:sz w:val="21"/>
                <w:szCs w:val="21"/>
              </w:rPr>
              <w:t>7</w:t>
            </w:r>
          </w:p>
        </w:tc>
        <w:tc>
          <w:tcPr>
            <w:tcW w:w="1123" w:type="dxa"/>
            <w:vMerge w:val="restart"/>
            <w:tcBorders>
              <w:tl2br w:val="nil"/>
              <w:tr2bl w:val="nil"/>
            </w:tcBorders>
            <w:vAlign w:val="center"/>
          </w:tcPr>
          <w:p>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8</w:t>
            </w:r>
          </w:p>
        </w:tc>
        <w:tc>
          <w:tcPr>
            <w:tcW w:w="1123" w:type="dxa"/>
            <w:vMerge w:val="restart"/>
            <w:tcBorders>
              <w:tl2br w:val="nil"/>
              <w:tr2bl w:val="nil"/>
            </w:tcBorders>
            <w:vAlign w:val="center"/>
          </w:tcPr>
          <w:p>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9</w:t>
            </w:r>
          </w:p>
        </w:tc>
        <w:tc>
          <w:tcPr>
            <w:tcW w:w="1123" w:type="dxa"/>
            <w:vMerge w:val="restart"/>
            <w:tcBorders>
              <w:tl2br w:val="nil"/>
              <w:tr2bl w:val="nil"/>
            </w:tcBorders>
            <w:vAlign w:val="center"/>
          </w:tcPr>
          <w:p>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 w:val="21"/>
                <w:szCs w:val="21"/>
              </w:rPr>
            </w:pPr>
            <w:r>
              <w:rPr>
                <w:sz w:val="21"/>
                <w:szCs w:val="21"/>
              </w:rPr>
              <w:t>10</w:t>
            </w:r>
          </w:p>
        </w:tc>
        <w:tc>
          <w:tcPr>
            <w:tcW w:w="1123" w:type="dxa"/>
            <w:vMerge w:val="restart"/>
            <w:tcBorders>
              <w:tl2br w:val="nil"/>
              <w:tr2bl w:val="nil"/>
            </w:tcBorders>
            <w:vAlign w:val="center"/>
          </w:tcPr>
          <w:p>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 w:val="21"/>
                <w:szCs w:val="21"/>
              </w:rPr>
            </w:pPr>
            <w:r>
              <w:rPr>
                <w:sz w:val="21"/>
                <w:szCs w:val="21"/>
              </w:rPr>
              <w:t>11</w:t>
            </w:r>
          </w:p>
        </w:tc>
        <w:tc>
          <w:tcPr>
            <w:tcW w:w="1123" w:type="dxa"/>
            <w:vMerge w:val="restart"/>
            <w:tcBorders>
              <w:tl2br w:val="nil"/>
              <w:tr2bl w:val="nil"/>
            </w:tcBorders>
            <w:vAlign w:val="center"/>
          </w:tcPr>
          <w:p>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12</w:t>
            </w:r>
          </w:p>
        </w:tc>
        <w:tc>
          <w:tcPr>
            <w:tcW w:w="1123" w:type="dxa"/>
            <w:vMerge w:val="restart"/>
            <w:tcBorders>
              <w:tl2br w:val="nil"/>
              <w:tr2bl w:val="nil"/>
            </w:tcBorders>
            <w:vAlign w:val="center"/>
          </w:tcPr>
          <w:p>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13</w:t>
            </w:r>
          </w:p>
        </w:tc>
        <w:tc>
          <w:tcPr>
            <w:tcW w:w="1123" w:type="dxa"/>
            <w:vMerge w:val="restart"/>
            <w:tcBorders>
              <w:tl2br w:val="nil"/>
              <w:tr2bl w:val="nil"/>
            </w:tcBorders>
            <w:vAlign w:val="center"/>
          </w:tcPr>
          <w:p>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 w:val="21"/>
                <w:szCs w:val="21"/>
              </w:rPr>
            </w:pPr>
            <w:r>
              <w:rPr>
                <w:rFonts w:hint="eastAsia"/>
                <w:sz w:val="21"/>
                <w:szCs w:val="21"/>
              </w:rPr>
              <w:t>合计</w:t>
            </w:r>
          </w:p>
        </w:tc>
        <w:tc>
          <w:tcPr>
            <w:tcW w:w="980" w:type="dxa"/>
            <w:tcBorders>
              <w:tl2br w:val="nil"/>
              <w:tr2bl w:val="nil"/>
            </w:tcBorders>
            <w:vAlign w:val="center"/>
          </w:tcPr>
          <w:p>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pPr>
              <w:rPr>
                <w:sz w:val="21"/>
                <w:szCs w:val="21"/>
              </w:rPr>
            </w:pPr>
          </w:p>
        </w:tc>
        <w:tc>
          <w:tcPr>
            <w:tcW w:w="1241" w:type="dxa"/>
            <w:tcBorders>
              <w:tl2br w:val="nil"/>
              <w:tr2bl w:val="nil"/>
            </w:tcBorders>
            <w:vAlign w:val="center"/>
          </w:tcPr>
          <w:p>
            <w:pPr>
              <w:jc w:val="center"/>
              <w:rPr>
                <w:sz w:val="21"/>
                <w:szCs w:val="21"/>
              </w:rPr>
            </w:pPr>
            <w:r>
              <w:rPr>
                <w:sz w:val="21"/>
                <w:szCs w:val="21"/>
              </w:rPr>
              <w:t>10≤</w:t>
            </w:r>
            <w:r>
              <w:rPr>
                <w:rFonts w:hint="eastAsia"/>
                <w:sz w:val="21"/>
                <w:szCs w:val="21"/>
              </w:rPr>
              <w:t>得分</w:t>
            </w:r>
            <w:r>
              <w:rPr>
                <w:sz w:val="21"/>
                <w:szCs w:val="21"/>
              </w:rPr>
              <w:t>≤25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pStyle w:val="31"/>
        <w:snapToGrid w:val="0"/>
        <w:spacing w:line="360" w:lineRule="auto"/>
        <w:ind w:left="420" w:firstLine="0" w:firstLineChars="0"/>
        <w:rPr>
          <w:rFonts w:hAnsi="宋体" w:eastAsia="宋体" w:cs="宋体"/>
          <w:sz w:val="24"/>
          <w:szCs w:val="24"/>
        </w:rPr>
      </w:pPr>
      <w:r>
        <w:rPr>
          <w:rFonts w:hint="eastAsia" w:hAnsi="宋体" w:eastAsia="宋体" w:cs="宋体"/>
          <w:sz w:val="24"/>
          <w:szCs w:val="24"/>
        </w:rPr>
        <w:t>1、工程量清单报价评标基准价计算公式为：</w:t>
      </w:r>
    </w:p>
    <w:p>
      <w:pPr>
        <w:snapToGrid w:val="0"/>
        <w:spacing w:line="360" w:lineRule="auto"/>
        <w:ind w:firstLine="480" w:firstLineChars="200"/>
        <w:rPr>
          <w:rFonts w:hAnsi="宋体" w:eastAsia="宋体" w:cs="宋体"/>
          <w:sz w:val="24"/>
          <w:szCs w:val="24"/>
        </w:rPr>
      </w:pPr>
      <w:r>
        <w:rPr>
          <w:rFonts w:hint="eastAsia" w:hAnsi="宋体" w:eastAsia="宋体" w:cs="宋体"/>
          <w:sz w:val="24"/>
          <w:szCs w:val="24"/>
        </w:rPr>
        <w:t>2、评标基准价＝最高投标限价×K+投标报价×（1－K）。</w:t>
      </w:r>
    </w:p>
    <w:p>
      <w:pPr>
        <w:snapToGrid w:val="0"/>
        <w:spacing w:line="360" w:lineRule="auto"/>
        <w:ind w:firstLine="480" w:firstLineChars="200"/>
        <w:rPr>
          <w:rFonts w:hAnsi="宋体" w:eastAsia="宋体" w:cs="宋体"/>
          <w:sz w:val="24"/>
          <w:szCs w:val="24"/>
        </w:rPr>
      </w:pPr>
      <w:r>
        <w:rPr>
          <w:rFonts w:hint="eastAsia" w:hAnsi="宋体" w:eastAsia="宋体" w:cs="宋体"/>
          <w:sz w:val="24"/>
          <w:szCs w:val="24"/>
        </w:rPr>
        <w:t>3、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snapToGrid w:val="0"/>
        <w:spacing w:line="360" w:lineRule="auto"/>
        <w:ind w:firstLine="480" w:firstLineChars="200"/>
        <w:rPr>
          <w:rFonts w:hAnsi="宋体" w:eastAsia="宋体" w:cs="宋体"/>
          <w:sz w:val="24"/>
          <w:szCs w:val="24"/>
        </w:rPr>
      </w:pPr>
      <w:r>
        <w:rPr>
          <w:rFonts w:hint="eastAsia" w:hAnsi="宋体" w:eastAsia="宋体" w:cs="宋体"/>
          <w:sz w:val="24"/>
          <w:szCs w:val="24"/>
        </w:rPr>
        <w:t>4、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snapToGrid w:val="0"/>
        <w:spacing w:line="360" w:lineRule="auto"/>
        <w:ind w:left="481"/>
        <w:rPr>
          <w:rFonts w:hAnsi="宋体" w:cs="宋体"/>
          <w:b/>
          <w:bCs/>
          <w:sz w:val="24"/>
          <w:szCs w:val="24"/>
        </w:rPr>
      </w:pPr>
      <w:r>
        <w:rPr>
          <w:rFonts w:hint="eastAsia" w:hAnsi="宋体" w:cs="宋体"/>
          <w:b/>
          <w:bCs/>
          <w:sz w:val="24"/>
          <w:szCs w:val="24"/>
        </w:rPr>
        <w:t>2、分部分项工程项目清单单价评审（10分）</w:t>
      </w:r>
    </w:p>
    <w:p>
      <w:pPr>
        <w:snapToGrid w:val="0"/>
        <w:spacing w:line="360" w:lineRule="auto"/>
        <w:ind w:firstLine="484"/>
        <w:rPr>
          <w:rFonts w:hAnsi="宋体" w:eastAsia="宋体" w:cs="宋体"/>
          <w:sz w:val="24"/>
          <w:szCs w:val="24"/>
        </w:rPr>
      </w:pPr>
      <w:r>
        <w:rPr>
          <w:rFonts w:hint="eastAsia" w:hAnsi="宋体" w:eastAsia="宋体" w:cs="宋体"/>
          <w:sz w:val="24"/>
          <w:szCs w:val="24"/>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eastAsia="宋体" w:cs="宋体"/>
          <w:sz w:val="24"/>
          <w:szCs w:val="24"/>
        </w:rPr>
      </w:pPr>
      <w:r>
        <w:rPr>
          <w:rFonts w:hint="eastAsia" w:hAnsi="宋体" w:eastAsia="宋体" w:cs="宋体"/>
          <w:sz w:val="24"/>
          <w:szCs w:val="24"/>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eastAsia="宋体" w:cs="宋体"/>
          <w:sz w:val="24"/>
          <w:szCs w:val="24"/>
        </w:rPr>
      </w:pPr>
      <w:r>
        <w:rPr>
          <w:rFonts w:hint="eastAsia" w:hAnsi="宋体" w:eastAsia="宋体" w:cs="宋体"/>
          <w:sz w:val="24"/>
          <w:szCs w:val="24"/>
        </w:rPr>
        <w:t xml:space="preserve">投标人报价在综合单价基准值95%–103%范围内（不含95%和103%）的，每项得0.5分；在综合单价基准值90%–95%范围内（含90%和95%）每项得0.25分。满分共计10分。超出该范围的不得分。    </w:t>
      </w:r>
    </w:p>
    <w:p>
      <w:pPr>
        <w:snapToGrid w:val="0"/>
        <w:spacing w:line="360" w:lineRule="auto"/>
        <w:ind w:left="481"/>
        <w:rPr>
          <w:rFonts w:hAnsi="宋体" w:cs="宋体"/>
          <w:b/>
          <w:bCs/>
          <w:sz w:val="24"/>
          <w:szCs w:val="24"/>
        </w:rPr>
      </w:pPr>
      <w:r>
        <w:rPr>
          <w:rFonts w:hint="eastAsia" w:hAnsi="宋体" w:cs="宋体"/>
          <w:b/>
          <w:bCs/>
          <w:sz w:val="24"/>
          <w:szCs w:val="24"/>
        </w:rPr>
        <w:t>3、措施项目费的评审（不含安全文明措施费）（5分）</w:t>
      </w:r>
    </w:p>
    <w:p>
      <w:pPr>
        <w:snapToGrid w:val="0"/>
        <w:spacing w:line="360" w:lineRule="auto"/>
        <w:ind w:firstLine="484"/>
        <w:rPr>
          <w:rFonts w:hAnsi="宋体" w:eastAsia="宋体" w:cs="宋体"/>
          <w:sz w:val="24"/>
          <w:szCs w:val="24"/>
        </w:rPr>
      </w:pPr>
      <w:r>
        <w:rPr>
          <w:rFonts w:hint="eastAsia" w:hAnsi="宋体" w:eastAsia="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snapToGrid w:val="0"/>
        <w:spacing w:line="360" w:lineRule="auto"/>
        <w:ind w:left="481"/>
        <w:rPr>
          <w:rFonts w:hAnsi="宋体" w:cs="宋体"/>
          <w:b/>
          <w:bCs/>
          <w:sz w:val="24"/>
          <w:szCs w:val="24"/>
        </w:rPr>
      </w:pPr>
      <w:r>
        <w:rPr>
          <w:rFonts w:hint="eastAsia" w:hAnsi="宋体" w:cs="宋体"/>
          <w:b/>
          <w:bCs/>
          <w:sz w:val="24"/>
          <w:szCs w:val="24"/>
        </w:rPr>
        <w:t>4、主要材料单价的评审（5分）</w:t>
      </w:r>
    </w:p>
    <w:p>
      <w:pPr>
        <w:snapToGrid w:val="0"/>
        <w:spacing w:line="360" w:lineRule="auto"/>
        <w:ind w:firstLine="484"/>
        <w:rPr>
          <w:rFonts w:hAnsi="宋体" w:eastAsia="宋体" w:cs="宋体"/>
          <w:sz w:val="24"/>
          <w:szCs w:val="24"/>
        </w:rPr>
      </w:pPr>
      <w:r>
        <w:rPr>
          <w:rFonts w:hint="eastAsia" w:hAnsi="宋体" w:eastAsia="宋体" w:cs="宋体"/>
          <w:sz w:val="24"/>
          <w:szCs w:val="24"/>
        </w:rPr>
        <w:t>从最高投标限价中材料总价权重最大的前10-20项材料中抽取6项，在剩余材料中抽取4项。</w:t>
      </w:r>
    </w:p>
    <w:p>
      <w:pPr>
        <w:snapToGrid w:val="0"/>
        <w:spacing w:line="360" w:lineRule="auto"/>
        <w:ind w:firstLine="484"/>
        <w:rPr>
          <w:rFonts w:hAnsi="宋体" w:eastAsia="宋体" w:cs="宋体"/>
          <w:sz w:val="24"/>
          <w:szCs w:val="24"/>
        </w:rPr>
      </w:pPr>
      <w:r>
        <w:rPr>
          <w:rFonts w:hint="eastAsia" w:hAnsi="宋体" w:eastAsia="宋体" w:cs="宋体"/>
          <w:sz w:val="24"/>
          <w:szCs w:val="24"/>
        </w:rPr>
        <w:t>主要材料单价基准值是以各有效投标报价中（当有效投标人5名及以上时，去掉1个最高、1个最低值）对应抽取材料单价的算术平均值。</w:t>
      </w:r>
    </w:p>
    <w:p>
      <w:pPr>
        <w:snapToGrid w:val="0"/>
        <w:spacing w:line="360" w:lineRule="auto"/>
        <w:ind w:firstLine="484"/>
        <w:rPr>
          <w:rFonts w:hAnsi="宋体" w:eastAsia="宋体" w:cs="宋体"/>
          <w:sz w:val="24"/>
          <w:szCs w:val="24"/>
        </w:rPr>
      </w:pPr>
      <w:r>
        <w:rPr>
          <w:rFonts w:hint="eastAsia" w:hAnsi="宋体" w:eastAsia="宋体" w:cs="宋体"/>
          <w:sz w:val="24"/>
          <w:szCs w:val="24"/>
        </w:rPr>
        <w:t>注：主材价格不应调整，中标后价格不可改变。</w:t>
      </w:r>
    </w:p>
    <w:p>
      <w:pPr>
        <w:snapToGrid w:val="0"/>
        <w:spacing w:line="360" w:lineRule="auto"/>
        <w:ind w:firstLine="484"/>
        <w:rPr>
          <w:rFonts w:hAnsi="宋体" w:eastAsia="宋体" w:cs="宋体"/>
          <w:sz w:val="24"/>
          <w:szCs w:val="24"/>
        </w:rPr>
      </w:pPr>
      <w:r>
        <w:rPr>
          <w:rFonts w:hint="eastAsia" w:hAnsi="宋体" w:eastAsia="宋体" w:cs="宋体"/>
          <w:sz w:val="24"/>
          <w:szCs w:val="24"/>
        </w:rPr>
        <w:t xml:space="preserve">当投标人报价在材料单价基准值95%–103%范围内（不含95%和103%）每项得0.5分，在材料单价基准值90%–95%范围内（含90%和95%）每项得0.25分。超出该范围的不得分。 </w:t>
      </w:r>
    </w:p>
    <w:p>
      <w:pPr>
        <w:snapToGrid w:val="0"/>
        <w:spacing w:line="360" w:lineRule="auto"/>
        <w:ind w:firstLine="484"/>
        <w:rPr>
          <w:rFonts w:hAnsi="宋体" w:eastAsia="宋体" w:cs="宋体"/>
          <w:sz w:val="24"/>
          <w:szCs w:val="24"/>
        </w:rPr>
      </w:pPr>
      <w:r>
        <w:rPr>
          <w:rFonts w:hint="eastAsia" w:hAnsi="宋体" w:eastAsia="宋体" w:cs="宋体"/>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（四）综合标（25分）</w:t>
      </w:r>
    </w:p>
    <w:tbl>
      <w:tblPr>
        <w:tblStyle w:val="1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08"/>
        <w:gridCol w:w="568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76" w:type="dxa"/>
            <w:vAlign w:val="center"/>
          </w:tcPr>
          <w:p>
            <w:pPr>
              <w:spacing w:line="500" w:lineRule="exact"/>
              <w:jc w:val="center"/>
              <w:rPr>
                <w:rFonts w:hAnsi="宋体" w:cs="宋体"/>
                <w:kern w:val="2"/>
                <w:sz w:val="24"/>
                <w:szCs w:val="24"/>
              </w:rPr>
            </w:pPr>
            <w:r>
              <w:rPr>
                <w:rFonts w:hint="eastAsia" w:hAnsi="宋体" w:cs="宋体"/>
                <w:kern w:val="2"/>
                <w:sz w:val="24"/>
                <w:szCs w:val="24"/>
              </w:rPr>
              <w:t>序号</w:t>
            </w:r>
          </w:p>
        </w:tc>
        <w:tc>
          <w:tcPr>
            <w:tcW w:w="1508" w:type="dxa"/>
            <w:vAlign w:val="center"/>
          </w:tcPr>
          <w:p>
            <w:pPr>
              <w:spacing w:line="500" w:lineRule="exact"/>
              <w:jc w:val="center"/>
              <w:rPr>
                <w:rFonts w:hAnsi="宋体" w:cs="宋体"/>
                <w:kern w:val="2"/>
                <w:sz w:val="24"/>
                <w:szCs w:val="24"/>
              </w:rPr>
            </w:pPr>
            <w:r>
              <w:rPr>
                <w:rFonts w:hint="eastAsia" w:hAnsi="宋体" w:cs="宋体"/>
                <w:kern w:val="2"/>
                <w:sz w:val="24"/>
                <w:szCs w:val="24"/>
              </w:rPr>
              <w:t>项     目</w:t>
            </w:r>
          </w:p>
        </w:tc>
        <w:tc>
          <w:tcPr>
            <w:tcW w:w="5686" w:type="dxa"/>
            <w:vAlign w:val="center"/>
          </w:tcPr>
          <w:p>
            <w:pPr>
              <w:spacing w:line="500" w:lineRule="exact"/>
              <w:jc w:val="center"/>
              <w:rPr>
                <w:rFonts w:hAnsi="宋体" w:cs="宋体"/>
                <w:kern w:val="2"/>
                <w:sz w:val="24"/>
                <w:szCs w:val="24"/>
              </w:rPr>
            </w:pPr>
            <w:r>
              <w:rPr>
                <w:rFonts w:hint="eastAsia" w:hAnsi="宋体" w:cs="宋体"/>
                <w:kern w:val="2"/>
                <w:sz w:val="24"/>
                <w:szCs w:val="24"/>
              </w:rPr>
              <w:t>评  审   标   准</w:t>
            </w:r>
          </w:p>
        </w:tc>
        <w:tc>
          <w:tcPr>
            <w:tcW w:w="1561" w:type="dxa"/>
            <w:vAlign w:val="center"/>
          </w:tcPr>
          <w:p>
            <w:pPr>
              <w:spacing w:line="500" w:lineRule="exact"/>
              <w:jc w:val="center"/>
              <w:rPr>
                <w:rFonts w:hAnsi="宋体" w:cs="宋体"/>
                <w:kern w:val="2"/>
                <w:sz w:val="24"/>
                <w:szCs w:val="24"/>
              </w:rPr>
            </w:pPr>
            <w:r>
              <w:rPr>
                <w:rFonts w:hint="eastAsia" w:hAnsi="宋体" w:cs="宋体"/>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76" w:type="dxa"/>
            <w:vAlign w:val="center"/>
          </w:tcPr>
          <w:p>
            <w:pPr>
              <w:spacing w:line="300" w:lineRule="exact"/>
              <w:jc w:val="center"/>
              <w:rPr>
                <w:sz w:val="21"/>
                <w:szCs w:val="21"/>
              </w:rPr>
            </w:pPr>
            <w:r>
              <w:rPr>
                <w:rFonts w:hint="eastAsia"/>
                <w:sz w:val="21"/>
                <w:szCs w:val="21"/>
              </w:rPr>
              <w:t>1</w:t>
            </w:r>
          </w:p>
        </w:tc>
        <w:tc>
          <w:tcPr>
            <w:tcW w:w="1508" w:type="dxa"/>
            <w:vAlign w:val="center"/>
          </w:tcPr>
          <w:p>
            <w:pPr>
              <w:spacing w:line="300" w:lineRule="exact"/>
              <w:rPr>
                <w:sz w:val="21"/>
                <w:szCs w:val="21"/>
              </w:rPr>
            </w:pPr>
            <w:r>
              <w:rPr>
                <w:rFonts w:hint="eastAsia"/>
                <w:sz w:val="21"/>
                <w:szCs w:val="21"/>
              </w:rPr>
              <w:t>企业业绩</w:t>
            </w:r>
          </w:p>
        </w:tc>
        <w:tc>
          <w:tcPr>
            <w:tcW w:w="5686" w:type="dxa"/>
            <w:vAlign w:val="center"/>
          </w:tcPr>
          <w:p>
            <w:pPr>
              <w:spacing w:line="300" w:lineRule="exact"/>
              <w:rPr>
                <w:sz w:val="21"/>
                <w:szCs w:val="21"/>
              </w:rPr>
            </w:pPr>
            <w:r>
              <w:rPr>
                <w:rFonts w:hint="eastAsia"/>
                <w:sz w:val="21"/>
                <w:szCs w:val="21"/>
              </w:rPr>
              <w:t>企业近年来承建过类似项目者每项得2分，本项最高得4分。（</w:t>
            </w:r>
            <w:r>
              <w:rPr>
                <w:rFonts w:hint="eastAsia"/>
                <w:sz w:val="21"/>
                <w:szCs w:val="21"/>
                <w:lang w:eastAsia="zh-CN"/>
              </w:rPr>
              <w:t>以</w:t>
            </w:r>
            <w:r>
              <w:rPr>
                <w:rFonts w:hint="eastAsia"/>
                <w:sz w:val="21"/>
                <w:szCs w:val="21"/>
              </w:rPr>
              <w:t>中标通知书和合同协议书或合同协议书和工程竣工验收备案表（或工程竣工验收证书）的原件扫描件</w:t>
            </w:r>
            <w:r>
              <w:rPr>
                <w:rFonts w:hint="eastAsia"/>
                <w:sz w:val="21"/>
                <w:szCs w:val="21"/>
                <w:lang w:eastAsia="zh-CN"/>
              </w:rPr>
              <w:t>为准）</w:t>
            </w:r>
            <w:r>
              <w:rPr>
                <w:rFonts w:hint="eastAsia"/>
                <w:sz w:val="21"/>
                <w:szCs w:val="21"/>
              </w:rPr>
              <w:t>。</w:t>
            </w:r>
          </w:p>
        </w:tc>
        <w:tc>
          <w:tcPr>
            <w:tcW w:w="1561" w:type="dxa"/>
            <w:vAlign w:val="center"/>
          </w:tcPr>
          <w:p>
            <w:pPr>
              <w:spacing w:line="300" w:lineRule="exact"/>
              <w:rPr>
                <w:sz w:val="21"/>
                <w:szCs w:val="21"/>
              </w:rPr>
            </w:pPr>
            <w:r>
              <w:rPr>
                <w:rFonts w:hint="eastAsia"/>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76" w:type="dxa"/>
            <w:vAlign w:val="center"/>
          </w:tcPr>
          <w:p>
            <w:pPr>
              <w:spacing w:line="300" w:lineRule="exact"/>
              <w:jc w:val="center"/>
              <w:rPr>
                <w:sz w:val="21"/>
                <w:szCs w:val="21"/>
              </w:rPr>
            </w:pPr>
            <w:r>
              <w:rPr>
                <w:rFonts w:hint="eastAsia"/>
                <w:sz w:val="21"/>
                <w:szCs w:val="21"/>
              </w:rPr>
              <w:t>2</w:t>
            </w:r>
          </w:p>
        </w:tc>
        <w:tc>
          <w:tcPr>
            <w:tcW w:w="1508" w:type="dxa"/>
            <w:vAlign w:val="center"/>
          </w:tcPr>
          <w:p>
            <w:pPr>
              <w:spacing w:line="300" w:lineRule="exact"/>
              <w:rPr>
                <w:color w:val="000000" w:themeColor="text1"/>
                <w:sz w:val="21"/>
                <w:szCs w:val="21"/>
              </w:rPr>
            </w:pPr>
            <w:r>
              <w:rPr>
                <w:rFonts w:hint="eastAsia"/>
                <w:color w:val="000000" w:themeColor="text1"/>
                <w:sz w:val="21"/>
                <w:szCs w:val="21"/>
              </w:rPr>
              <w:t>项目负责人业绩</w:t>
            </w:r>
          </w:p>
        </w:tc>
        <w:tc>
          <w:tcPr>
            <w:tcW w:w="5686" w:type="dxa"/>
            <w:vAlign w:val="center"/>
          </w:tcPr>
          <w:p>
            <w:pPr>
              <w:spacing w:line="300" w:lineRule="exact"/>
              <w:rPr>
                <w:color w:val="000000" w:themeColor="text1"/>
                <w:sz w:val="21"/>
                <w:szCs w:val="21"/>
              </w:rPr>
            </w:pPr>
            <w:r>
              <w:rPr>
                <w:rFonts w:hint="eastAsia"/>
                <w:color w:val="000000" w:themeColor="text1"/>
                <w:sz w:val="21"/>
                <w:szCs w:val="21"/>
              </w:rPr>
              <w:t>近年来拟派建造师承建过类似项目者每项得</w:t>
            </w:r>
            <w:r>
              <w:rPr>
                <w:rFonts w:hint="eastAsia"/>
                <w:color w:val="000000" w:themeColor="text1"/>
                <w:sz w:val="21"/>
                <w:szCs w:val="21"/>
                <w:lang w:val="en-US" w:eastAsia="zh-CN"/>
              </w:rPr>
              <w:t>6</w:t>
            </w:r>
            <w:r>
              <w:rPr>
                <w:rFonts w:hint="eastAsia"/>
                <w:color w:val="000000" w:themeColor="text1"/>
                <w:sz w:val="21"/>
                <w:szCs w:val="21"/>
              </w:rPr>
              <w:t>分，本项最高得</w:t>
            </w:r>
            <w:r>
              <w:rPr>
                <w:rFonts w:hint="eastAsia"/>
                <w:color w:val="000000" w:themeColor="text1"/>
                <w:sz w:val="21"/>
                <w:szCs w:val="21"/>
                <w:lang w:val="en-US" w:eastAsia="zh-CN"/>
              </w:rPr>
              <w:t>6</w:t>
            </w:r>
            <w:r>
              <w:rPr>
                <w:rFonts w:hint="eastAsia"/>
                <w:color w:val="000000" w:themeColor="text1"/>
                <w:sz w:val="21"/>
                <w:szCs w:val="21"/>
              </w:rPr>
              <w:t>分。（</w:t>
            </w:r>
            <w:r>
              <w:rPr>
                <w:rFonts w:hint="eastAsia"/>
                <w:color w:val="000000" w:themeColor="text1"/>
                <w:sz w:val="21"/>
                <w:szCs w:val="21"/>
                <w:lang w:eastAsia="zh-CN"/>
              </w:rPr>
              <w:t>以</w:t>
            </w:r>
            <w:r>
              <w:rPr>
                <w:rFonts w:hint="eastAsia"/>
                <w:color w:val="000000" w:themeColor="text1"/>
                <w:sz w:val="21"/>
                <w:szCs w:val="21"/>
              </w:rPr>
              <w:t>中标通知书和合同协议书或合同协议书和工程竣工验收备案表（或工程竣工验收证书）的原件扫描件</w:t>
            </w:r>
            <w:r>
              <w:rPr>
                <w:rFonts w:hint="eastAsia"/>
                <w:color w:val="000000" w:themeColor="text1"/>
                <w:sz w:val="21"/>
                <w:szCs w:val="21"/>
                <w:lang w:eastAsia="zh-CN"/>
              </w:rPr>
              <w:t>为准）</w:t>
            </w:r>
            <w:r>
              <w:rPr>
                <w:rFonts w:hint="eastAsia"/>
                <w:color w:val="000000" w:themeColor="text1"/>
                <w:sz w:val="21"/>
                <w:szCs w:val="21"/>
              </w:rPr>
              <w:t>，若上述资料不显示项目负责人姓名，还须同时提供建设单位出具的相关证明文件。</w:t>
            </w:r>
          </w:p>
        </w:tc>
        <w:tc>
          <w:tcPr>
            <w:tcW w:w="1561" w:type="dxa"/>
            <w:vAlign w:val="center"/>
          </w:tcPr>
          <w:p>
            <w:pPr>
              <w:spacing w:line="300" w:lineRule="exact"/>
              <w:rPr>
                <w:sz w:val="21"/>
                <w:szCs w:val="21"/>
              </w:rPr>
            </w:pPr>
            <w:r>
              <w:rPr>
                <w:rFonts w:hint="eastAsia"/>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76" w:type="dxa"/>
            <w:vMerge w:val="restart"/>
            <w:vAlign w:val="center"/>
          </w:tcPr>
          <w:p>
            <w:pPr>
              <w:spacing w:line="300" w:lineRule="exact"/>
              <w:jc w:val="center"/>
              <w:rPr>
                <w:sz w:val="21"/>
                <w:szCs w:val="21"/>
              </w:rPr>
            </w:pPr>
            <w:r>
              <w:rPr>
                <w:rFonts w:hint="eastAsia"/>
                <w:sz w:val="21"/>
                <w:szCs w:val="21"/>
              </w:rPr>
              <w:t>3</w:t>
            </w:r>
          </w:p>
        </w:tc>
        <w:tc>
          <w:tcPr>
            <w:tcW w:w="1508" w:type="dxa"/>
            <w:vMerge w:val="restart"/>
            <w:vAlign w:val="center"/>
          </w:tcPr>
          <w:p>
            <w:pPr>
              <w:spacing w:line="300" w:lineRule="exact"/>
              <w:rPr>
                <w:sz w:val="21"/>
                <w:szCs w:val="21"/>
              </w:rPr>
            </w:pPr>
            <w:r>
              <w:rPr>
                <w:rFonts w:hint="eastAsia"/>
                <w:sz w:val="21"/>
                <w:szCs w:val="21"/>
              </w:rPr>
              <w:t>优惠承诺</w:t>
            </w:r>
          </w:p>
        </w:tc>
        <w:tc>
          <w:tcPr>
            <w:tcW w:w="5686" w:type="dxa"/>
            <w:vAlign w:val="center"/>
          </w:tcPr>
          <w:p>
            <w:pPr>
              <w:spacing w:line="300" w:lineRule="exact"/>
              <w:rPr>
                <w:sz w:val="21"/>
                <w:szCs w:val="21"/>
              </w:rPr>
            </w:pPr>
            <w:r>
              <w:rPr>
                <w:rFonts w:hint="eastAsia"/>
                <w:sz w:val="21"/>
                <w:szCs w:val="21"/>
              </w:rPr>
              <w:t>优惠承诺应是书面的符合工程实际情况，确保依法依规，优惠合理，详实可行。</w:t>
            </w:r>
          </w:p>
        </w:tc>
        <w:tc>
          <w:tcPr>
            <w:tcW w:w="1561" w:type="dxa"/>
            <w:vAlign w:val="center"/>
          </w:tcPr>
          <w:p>
            <w:pPr>
              <w:spacing w:line="300" w:lineRule="exact"/>
              <w:rPr>
                <w:sz w:val="21"/>
                <w:szCs w:val="21"/>
              </w:rPr>
            </w:pPr>
            <w:r>
              <w:rPr>
                <w:rFonts w:hint="eastAsia"/>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76" w:type="dxa"/>
            <w:vMerge w:val="continue"/>
            <w:vAlign w:val="center"/>
          </w:tcPr>
          <w:p>
            <w:pPr>
              <w:spacing w:line="300" w:lineRule="exact"/>
              <w:jc w:val="center"/>
              <w:rPr>
                <w:sz w:val="21"/>
                <w:szCs w:val="21"/>
              </w:rPr>
            </w:pPr>
          </w:p>
        </w:tc>
        <w:tc>
          <w:tcPr>
            <w:tcW w:w="1508" w:type="dxa"/>
            <w:vMerge w:val="continue"/>
            <w:vAlign w:val="center"/>
          </w:tcPr>
          <w:p>
            <w:pPr>
              <w:spacing w:line="300" w:lineRule="exact"/>
              <w:rPr>
                <w:sz w:val="21"/>
                <w:szCs w:val="21"/>
              </w:rPr>
            </w:pPr>
          </w:p>
        </w:tc>
        <w:tc>
          <w:tcPr>
            <w:tcW w:w="5686" w:type="dxa"/>
            <w:vAlign w:val="center"/>
          </w:tcPr>
          <w:p>
            <w:pPr>
              <w:spacing w:line="300" w:lineRule="exact"/>
              <w:rPr>
                <w:sz w:val="21"/>
                <w:szCs w:val="21"/>
              </w:rPr>
            </w:pPr>
            <w:r>
              <w:rPr>
                <w:rFonts w:hint="eastAsia"/>
                <w:sz w:val="21"/>
                <w:szCs w:val="21"/>
              </w:rPr>
              <w:t>优惠承诺符合工程实际情况，确保依法依规，优惠基本合理，基本详实可行。</w:t>
            </w:r>
          </w:p>
        </w:tc>
        <w:tc>
          <w:tcPr>
            <w:tcW w:w="1561" w:type="dxa"/>
            <w:vAlign w:val="center"/>
          </w:tcPr>
          <w:p>
            <w:pPr>
              <w:spacing w:line="300" w:lineRule="exact"/>
              <w:rPr>
                <w:sz w:val="21"/>
                <w:szCs w:val="21"/>
              </w:rPr>
            </w:pPr>
            <w:r>
              <w:rPr>
                <w:rFonts w:hint="eastAsia"/>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76" w:type="dxa"/>
            <w:vMerge w:val="restart"/>
            <w:vAlign w:val="center"/>
          </w:tcPr>
          <w:p>
            <w:pPr>
              <w:spacing w:line="300" w:lineRule="exact"/>
              <w:jc w:val="center"/>
              <w:rPr>
                <w:sz w:val="21"/>
                <w:szCs w:val="21"/>
              </w:rPr>
            </w:pPr>
            <w:r>
              <w:rPr>
                <w:rFonts w:hint="eastAsia"/>
                <w:sz w:val="21"/>
                <w:szCs w:val="21"/>
              </w:rPr>
              <w:t>4</w:t>
            </w:r>
          </w:p>
        </w:tc>
        <w:tc>
          <w:tcPr>
            <w:tcW w:w="1508" w:type="dxa"/>
            <w:vMerge w:val="restart"/>
            <w:vAlign w:val="center"/>
          </w:tcPr>
          <w:p>
            <w:pPr>
              <w:spacing w:line="300" w:lineRule="exact"/>
              <w:rPr>
                <w:sz w:val="21"/>
                <w:szCs w:val="21"/>
              </w:rPr>
            </w:pPr>
            <w:r>
              <w:rPr>
                <w:rFonts w:hint="eastAsia"/>
                <w:sz w:val="21"/>
                <w:szCs w:val="21"/>
              </w:rPr>
              <w:t>履职尽责承诺</w:t>
            </w:r>
          </w:p>
        </w:tc>
        <w:tc>
          <w:tcPr>
            <w:tcW w:w="5686" w:type="dxa"/>
            <w:vAlign w:val="center"/>
          </w:tcPr>
          <w:p>
            <w:pPr>
              <w:spacing w:line="300" w:lineRule="exact"/>
              <w:rPr>
                <w:sz w:val="21"/>
                <w:szCs w:val="21"/>
              </w:rPr>
            </w:pPr>
            <w:r>
              <w:rPr>
                <w:rFonts w:hint="eastAsia"/>
                <w:sz w:val="21"/>
                <w:szCs w:val="21"/>
              </w:rPr>
              <w:t>具有全面、详实、可行、合法有效的书面保证技术措施落实到位的承诺和落实不到位的处理承诺，其中包括各关键岗位人员（项目负责人、技术负责人及相关技术人员、质量员、安全员、材料员、</w:t>
            </w:r>
            <w:r>
              <w:rPr>
                <w:rFonts w:hint="eastAsia"/>
                <w:sz w:val="21"/>
                <w:szCs w:val="21"/>
                <w:lang w:eastAsia="zh-CN"/>
              </w:rPr>
              <w:t>施工员</w:t>
            </w:r>
            <w:r>
              <w:rPr>
                <w:rFonts w:hint="eastAsia"/>
                <w:sz w:val="21"/>
                <w:szCs w:val="21"/>
              </w:rPr>
              <w:t>等）的在岗、更换等履职尽责承诺，提供承包商履约保证。</w:t>
            </w:r>
          </w:p>
        </w:tc>
        <w:tc>
          <w:tcPr>
            <w:tcW w:w="1561" w:type="dxa"/>
            <w:vAlign w:val="center"/>
          </w:tcPr>
          <w:p>
            <w:pPr>
              <w:spacing w:line="300" w:lineRule="exact"/>
              <w:rPr>
                <w:sz w:val="21"/>
                <w:szCs w:val="21"/>
              </w:rPr>
            </w:pPr>
            <w:r>
              <w:rPr>
                <w:rFonts w:hint="eastAsia"/>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6" w:type="dxa"/>
            <w:vMerge w:val="continue"/>
            <w:vAlign w:val="center"/>
          </w:tcPr>
          <w:p>
            <w:pPr>
              <w:spacing w:line="300" w:lineRule="exact"/>
              <w:jc w:val="center"/>
              <w:rPr>
                <w:sz w:val="21"/>
                <w:szCs w:val="21"/>
              </w:rPr>
            </w:pPr>
          </w:p>
        </w:tc>
        <w:tc>
          <w:tcPr>
            <w:tcW w:w="1508" w:type="dxa"/>
            <w:vMerge w:val="continue"/>
            <w:vAlign w:val="center"/>
          </w:tcPr>
          <w:p>
            <w:pPr>
              <w:spacing w:line="300" w:lineRule="exact"/>
              <w:rPr>
                <w:sz w:val="21"/>
                <w:szCs w:val="21"/>
              </w:rPr>
            </w:pPr>
          </w:p>
        </w:tc>
        <w:tc>
          <w:tcPr>
            <w:tcW w:w="5686" w:type="dxa"/>
            <w:vAlign w:val="center"/>
          </w:tcPr>
          <w:p>
            <w:pPr>
              <w:spacing w:line="300" w:lineRule="exact"/>
              <w:rPr>
                <w:sz w:val="21"/>
                <w:szCs w:val="21"/>
              </w:rPr>
            </w:pPr>
            <w:r>
              <w:rPr>
                <w:rFonts w:hint="eastAsia"/>
                <w:sz w:val="21"/>
                <w:szCs w:val="21"/>
              </w:rPr>
              <w:t>具有可行、合法有效的书面保证技术措施落实到位的承诺和落实不到位的处理承诺，其中包括各关键岗位人员（项目负责人、技术负责人及相关技术人员、质量员、安全员、材料员、</w:t>
            </w:r>
            <w:r>
              <w:rPr>
                <w:rFonts w:hint="eastAsia"/>
                <w:sz w:val="21"/>
                <w:szCs w:val="21"/>
                <w:lang w:eastAsia="zh-CN"/>
              </w:rPr>
              <w:t>施工员</w:t>
            </w:r>
            <w:r>
              <w:rPr>
                <w:rFonts w:hint="eastAsia"/>
                <w:sz w:val="21"/>
                <w:szCs w:val="21"/>
              </w:rPr>
              <w:t>等）的在岗、更换等履职尽责承诺，提供承包商履约保证。</w:t>
            </w:r>
          </w:p>
        </w:tc>
        <w:tc>
          <w:tcPr>
            <w:tcW w:w="1561" w:type="dxa"/>
            <w:vAlign w:val="center"/>
          </w:tcPr>
          <w:p>
            <w:pPr>
              <w:spacing w:line="300" w:lineRule="exact"/>
              <w:rPr>
                <w:sz w:val="21"/>
                <w:szCs w:val="21"/>
              </w:rPr>
            </w:pPr>
            <w:r>
              <w:rPr>
                <w:rFonts w:hint="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76" w:type="dxa"/>
            <w:vAlign w:val="center"/>
          </w:tcPr>
          <w:p>
            <w:pPr>
              <w:spacing w:line="300" w:lineRule="exact"/>
              <w:jc w:val="center"/>
              <w:rPr>
                <w:sz w:val="21"/>
                <w:szCs w:val="21"/>
              </w:rPr>
            </w:pPr>
            <w:r>
              <w:rPr>
                <w:rFonts w:hint="eastAsia"/>
                <w:sz w:val="21"/>
                <w:szCs w:val="21"/>
              </w:rPr>
              <w:t>5</w:t>
            </w:r>
          </w:p>
        </w:tc>
        <w:tc>
          <w:tcPr>
            <w:tcW w:w="1508" w:type="dxa"/>
            <w:vAlign w:val="center"/>
          </w:tcPr>
          <w:p>
            <w:pPr>
              <w:spacing w:line="300" w:lineRule="exact"/>
              <w:rPr>
                <w:sz w:val="21"/>
                <w:szCs w:val="21"/>
              </w:rPr>
            </w:pPr>
            <w:r>
              <w:rPr>
                <w:rFonts w:hint="eastAsia"/>
                <w:sz w:val="21"/>
                <w:szCs w:val="21"/>
              </w:rPr>
              <w:t>企业信用（含纳税诚信）</w:t>
            </w:r>
          </w:p>
        </w:tc>
        <w:tc>
          <w:tcPr>
            <w:tcW w:w="5686" w:type="dxa"/>
            <w:vAlign w:val="center"/>
          </w:tcPr>
          <w:p>
            <w:pPr>
              <w:numPr>
                <w:ilvl w:val="0"/>
                <w:numId w:val="2"/>
              </w:numPr>
              <w:spacing w:line="300" w:lineRule="exact"/>
              <w:jc w:val="left"/>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近年来获得</w:t>
            </w:r>
            <w:r>
              <w:rPr>
                <w:rFonts w:hint="eastAsia" w:asciiTheme="minorEastAsia" w:hAnsiTheme="minorEastAsia" w:eastAsiaTheme="minorEastAsia" w:cstheme="minorEastAsia"/>
                <w:color w:val="000000" w:themeColor="text1"/>
                <w:sz w:val="21"/>
                <w:szCs w:val="21"/>
                <w:highlight w:val="none"/>
                <w:lang w:val="en-US" w:eastAsia="zh-CN"/>
              </w:rPr>
              <w:t>质量管理先进企业</w:t>
            </w:r>
            <w:r>
              <w:rPr>
                <w:rFonts w:hint="eastAsia" w:asciiTheme="minorEastAsia" w:hAnsiTheme="minorEastAsia" w:eastAsiaTheme="minorEastAsia" w:cstheme="minorEastAsia"/>
                <w:color w:val="000000" w:themeColor="text1"/>
                <w:sz w:val="21"/>
                <w:szCs w:val="21"/>
                <w:highlight w:val="none"/>
              </w:rPr>
              <w:t>、安全先进</w:t>
            </w:r>
            <w:r>
              <w:rPr>
                <w:rFonts w:hint="eastAsia" w:asciiTheme="minorEastAsia" w:hAnsiTheme="minorEastAsia" w:eastAsiaTheme="minorEastAsia" w:cstheme="minorEastAsia"/>
                <w:color w:val="000000" w:themeColor="text1"/>
                <w:sz w:val="21"/>
                <w:szCs w:val="21"/>
                <w:highlight w:val="none"/>
                <w:lang w:val="en-US" w:eastAsia="zh-CN"/>
              </w:rPr>
              <w:t>企业</w:t>
            </w:r>
            <w:r>
              <w:rPr>
                <w:rFonts w:hint="eastAsia" w:asciiTheme="minorEastAsia" w:hAnsiTheme="minorEastAsia" w:eastAsiaTheme="minorEastAsia" w:cstheme="minorEastAsia"/>
                <w:color w:val="000000" w:themeColor="text1"/>
                <w:sz w:val="21"/>
                <w:szCs w:val="21"/>
                <w:highlight w:val="none"/>
              </w:rPr>
              <w:t>市级</w:t>
            </w:r>
            <w:r>
              <w:rPr>
                <w:rFonts w:hint="eastAsia" w:asciiTheme="minorEastAsia" w:hAnsiTheme="minorEastAsia" w:eastAsiaTheme="minorEastAsia" w:cstheme="minorEastAsia"/>
                <w:color w:val="000000" w:themeColor="text1"/>
                <w:sz w:val="21"/>
                <w:szCs w:val="21"/>
                <w:highlight w:val="none"/>
                <w:lang w:val="en-US" w:eastAsia="zh-CN"/>
              </w:rPr>
              <w:t>荣誉</w:t>
            </w:r>
            <w:r>
              <w:rPr>
                <w:rFonts w:hint="eastAsia" w:asciiTheme="minorEastAsia" w:hAnsiTheme="minorEastAsia" w:eastAsiaTheme="minorEastAsia" w:cstheme="minorEastAsia"/>
                <w:color w:val="000000" w:themeColor="text1"/>
                <w:sz w:val="21"/>
                <w:szCs w:val="21"/>
                <w:highlight w:val="none"/>
              </w:rPr>
              <w:t>及以上者每项得</w:t>
            </w:r>
            <w:r>
              <w:rPr>
                <w:rFonts w:hint="eastAsia" w:asciiTheme="minorEastAsia" w:hAnsiTheme="minorEastAsia" w:cstheme="minorEastAsia"/>
                <w:color w:val="000000" w:themeColor="text1"/>
                <w:sz w:val="21"/>
                <w:szCs w:val="21"/>
                <w:highlight w:val="none"/>
                <w:lang w:val="en-US" w:eastAsia="zh-CN"/>
              </w:rPr>
              <w:t>1</w:t>
            </w:r>
            <w:r>
              <w:rPr>
                <w:rFonts w:hint="eastAsia" w:asciiTheme="minorEastAsia" w:hAnsiTheme="minorEastAsia" w:eastAsiaTheme="minorEastAsia" w:cstheme="minorEastAsia"/>
                <w:color w:val="000000" w:themeColor="text1"/>
                <w:sz w:val="21"/>
                <w:szCs w:val="21"/>
                <w:highlight w:val="none"/>
              </w:rPr>
              <w:t>分；本项最高得</w:t>
            </w:r>
            <w:r>
              <w:rPr>
                <w:rFonts w:hint="eastAsia" w:asciiTheme="minorEastAsia" w:hAnsiTheme="minorEastAsia" w:cstheme="minorEastAsia"/>
                <w:color w:val="000000" w:themeColor="text1"/>
                <w:sz w:val="21"/>
                <w:szCs w:val="21"/>
                <w:highlight w:val="none"/>
                <w:lang w:val="en-US" w:eastAsia="zh-CN"/>
              </w:rPr>
              <w:t>2</w:t>
            </w:r>
            <w:r>
              <w:rPr>
                <w:rFonts w:hint="eastAsia" w:asciiTheme="minorEastAsia" w:hAnsiTheme="minorEastAsia" w:eastAsiaTheme="minorEastAsia" w:cstheme="minorEastAsia"/>
                <w:color w:val="000000" w:themeColor="text1"/>
                <w:sz w:val="21"/>
                <w:szCs w:val="21"/>
                <w:highlight w:val="none"/>
              </w:rPr>
              <w:t>分</w:t>
            </w: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eastAsiaTheme="minorEastAsia" w:cstheme="minorEastAsia"/>
                <w:color w:val="000000" w:themeColor="text1"/>
                <w:sz w:val="21"/>
                <w:szCs w:val="21"/>
                <w:highlight w:val="none"/>
                <w:lang w:val="en-US" w:eastAsia="zh-CN"/>
              </w:rPr>
              <w:t>以同级奖励文件为准</w:t>
            </w: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eastAsiaTheme="minorEastAsia" w:cstheme="minorEastAsia"/>
                <w:color w:val="000000" w:themeColor="text1"/>
                <w:sz w:val="21"/>
                <w:szCs w:val="21"/>
                <w:highlight w:val="none"/>
              </w:rPr>
              <w:t>。</w:t>
            </w:r>
          </w:p>
          <w:p>
            <w:pPr>
              <w:spacing w:line="300" w:lineRule="exact"/>
              <w:rPr>
                <w:color w:val="000000" w:themeColor="text1"/>
                <w:sz w:val="21"/>
                <w:szCs w:val="21"/>
              </w:rPr>
            </w:pP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cstheme="minorEastAsia"/>
                <w:color w:val="000000" w:themeColor="text1"/>
                <w:sz w:val="21"/>
                <w:szCs w:val="21"/>
                <w:highlight w:val="none"/>
                <w:lang w:val="en-US" w:eastAsia="zh-CN"/>
              </w:rPr>
              <w:t>2</w:t>
            </w:r>
            <w:r>
              <w:rPr>
                <w:rFonts w:hint="eastAsia" w:asciiTheme="minorEastAsia" w:hAnsiTheme="minorEastAsia" w:eastAsiaTheme="minorEastAsia" w:cstheme="minorEastAsia"/>
                <w:color w:val="000000" w:themeColor="text1"/>
                <w:sz w:val="21"/>
                <w:szCs w:val="21"/>
                <w:highlight w:val="none"/>
                <w:lang w:eastAsia="zh-CN"/>
              </w:rPr>
              <w:t>）</w:t>
            </w:r>
            <w:r>
              <w:rPr>
                <w:rFonts w:hint="eastAsia" w:hAnsi="宋体" w:cs="宋体"/>
                <w:color w:val="000000" w:themeColor="text1"/>
                <w:sz w:val="21"/>
                <w:szCs w:val="21"/>
              </w:rPr>
              <w:t>企业2018年度纳税信用等级为A级或B级的，得2分，其他不得分。（以税务部门颁发的信用等级证书或国家税务总局网上截图为准，若为网上截图，须加盖税务部门公章）</w:t>
            </w:r>
            <w:r>
              <w:rPr>
                <w:rFonts w:hint="eastAsia" w:asciiTheme="minorEastAsia" w:hAnsiTheme="minorEastAsia" w:eastAsiaTheme="minorEastAsia" w:cstheme="minorEastAsia"/>
                <w:color w:val="000000" w:themeColor="text1"/>
                <w:sz w:val="21"/>
                <w:szCs w:val="21"/>
                <w:highlight w:val="none"/>
              </w:rPr>
              <w:t>。</w:t>
            </w:r>
          </w:p>
        </w:tc>
        <w:tc>
          <w:tcPr>
            <w:tcW w:w="1561" w:type="dxa"/>
            <w:vAlign w:val="center"/>
          </w:tcPr>
          <w:p>
            <w:pPr>
              <w:spacing w:line="300" w:lineRule="exact"/>
              <w:rPr>
                <w:sz w:val="21"/>
                <w:szCs w:val="21"/>
              </w:rPr>
            </w:pPr>
            <w:r>
              <w:rPr>
                <w:rFonts w:hint="eastAsia"/>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76" w:type="dxa"/>
            <w:vAlign w:val="center"/>
          </w:tcPr>
          <w:p>
            <w:pPr>
              <w:spacing w:line="300" w:lineRule="exact"/>
              <w:jc w:val="center"/>
              <w:rPr>
                <w:sz w:val="21"/>
                <w:szCs w:val="21"/>
              </w:rPr>
            </w:pPr>
            <w:r>
              <w:rPr>
                <w:rFonts w:hint="eastAsia"/>
                <w:sz w:val="21"/>
                <w:szCs w:val="21"/>
              </w:rPr>
              <w:t>6</w:t>
            </w:r>
          </w:p>
        </w:tc>
        <w:tc>
          <w:tcPr>
            <w:tcW w:w="1508" w:type="dxa"/>
            <w:vAlign w:val="center"/>
          </w:tcPr>
          <w:p>
            <w:pPr>
              <w:spacing w:line="300" w:lineRule="exact"/>
              <w:rPr>
                <w:sz w:val="21"/>
                <w:szCs w:val="21"/>
              </w:rPr>
            </w:pPr>
            <w:r>
              <w:rPr>
                <w:rFonts w:hint="eastAsia"/>
                <w:sz w:val="21"/>
                <w:szCs w:val="21"/>
              </w:rPr>
              <w:t>项目负责人信用</w:t>
            </w:r>
          </w:p>
        </w:tc>
        <w:tc>
          <w:tcPr>
            <w:tcW w:w="5686" w:type="dxa"/>
            <w:vAlign w:val="center"/>
          </w:tcPr>
          <w:p>
            <w:pPr>
              <w:spacing w:line="300" w:lineRule="exact"/>
              <w:rPr>
                <w:color w:val="000000" w:themeColor="text1"/>
                <w:sz w:val="21"/>
                <w:szCs w:val="21"/>
              </w:rPr>
            </w:pPr>
            <w:r>
              <w:rPr>
                <w:rFonts w:hint="eastAsia" w:hAnsi="宋体" w:cs="宋体"/>
                <w:color w:val="000000" w:themeColor="text1"/>
                <w:sz w:val="21"/>
                <w:szCs w:val="21"/>
              </w:rPr>
              <w:t>项目经理近年来获得过</w:t>
            </w:r>
            <w:r>
              <w:rPr>
                <w:rFonts w:hint="eastAsia" w:hAnsi="宋体" w:cs="宋体"/>
                <w:color w:val="000000" w:themeColor="text1"/>
                <w:sz w:val="21"/>
                <w:szCs w:val="21"/>
                <w:lang w:val="en-US" w:eastAsia="zh-CN"/>
              </w:rPr>
              <w:t>省</w:t>
            </w:r>
            <w:r>
              <w:rPr>
                <w:rFonts w:hint="eastAsia" w:hAnsi="宋体" w:cs="宋体"/>
                <w:color w:val="000000" w:themeColor="text1"/>
                <w:sz w:val="21"/>
                <w:szCs w:val="21"/>
              </w:rPr>
              <w:t>级及以上安全文明工地奖，一项得1分，本项最高得2分。</w:t>
            </w:r>
          </w:p>
        </w:tc>
        <w:tc>
          <w:tcPr>
            <w:tcW w:w="1561" w:type="dxa"/>
            <w:vAlign w:val="center"/>
          </w:tcPr>
          <w:p>
            <w:pPr>
              <w:spacing w:line="300" w:lineRule="exact"/>
              <w:rPr>
                <w:sz w:val="21"/>
                <w:szCs w:val="21"/>
              </w:rPr>
            </w:pPr>
            <w:r>
              <w:rPr>
                <w:rFonts w:hint="eastAsia"/>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Pr>
          <w:p>
            <w:pPr>
              <w:spacing w:line="300" w:lineRule="exact"/>
              <w:jc w:val="center"/>
              <w:rPr>
                <w:sz w:val="21"/>
                <w:szCs w:val="21"/>
              </w:rPr>
            </w:pPr>
            <w:r>
              <w:rPr>
                <w:rFonts w:hint="eastAsia"/>
                <w:sz w:val="21"/>
                <w:szCs w:val="21"/>
              </w:rPr>
              <w:t>7</w:t>
            </w:r>
          </w:p>
        </w:tc>
        <w:tc>
          <w:tcPr>
            <w:tcW w:w="1508" w:type="dxa"/>
            <w:vAlign w:val="center"/>
          </w:tcPr>
          <w:p>
            <w:pPr>
              <w:spacing w:line="300" w:lineRule="exact"/>
              <w:rPr>
                <w:sz w:val="21"/>
                <w:szCs w:val="21"/>
              </w:rPr>
            </w:pPr>
            <w:r>
              <w:rPr>
                <w:rFonts w:hint="eastAsia"/>
                <w:sz w:val="21"/>
                <w:szCs w:val="21"/>
              </w:rPr>
              <w:t>招标人意见</w:t>
            </w:r>
          </w:p>
        </w:tc>
        <w:tc>
          <w:tcPr>
            <w:tcW w:w="5686" w:type="dxa"/>
            <w:vAlign w:val="center"/>
          </w:tcPr>
          <w:p>
            <w:pPr>
              <w:spacing w:line="300" w:lineRule="exact"/>
              <w:jc w:val="center"/>
              <w:rPr>
                <w:sz w:val="21"/>
                <w:szCs w:val="21"/>
              </w:rPr>
            </w:pPr>
            <w:r>
              <w:rPr>
                <w:rFonts w:hint="eastAsia"/>
                <w:sz w:val="21"/>
                <w:szCs w:val="21"/>
              </w:rPr>
              <w:t>招标人意见均为2分。</w:t>
            </w:r>
          </w:p>
        </w:tc>
        <w:tc>
          <w:tcPr>
            <w:tcW w:w="1561" w:type="dxa"/>
            <w:vAlign w:val="center"/>
          </w:tcPr>
          <w:p>
            <w:pPr>
              <w:spacing w:line="300" w:lineRule="exact"/>
              <w:rPr>
                <w:sz w:val="21"/>
                <w:szCs w:val="21"/>
              </w:rPr>
            </w:pPr>
            <w:r>
              <w:rPr>
                <w:rFonts w:hint="eastAsia"/>
                <w:sz w:val="21"/>
                <w:szCs w:val="21"/>
              </w:rPr>
              <w:t>0≤得分≤2分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531" w:type="dxa"/>
            <w:gridSpan w:val="4"/>
            <w:vAlign w:val="center"/>
          </w:tcPr>
          <w:p>
            <w:pPr>
              <w:spacing w:line="500" w:lineRule="exact"/>
              <w:jc w:val="center"/>
              <w:rPr>
                <w:rFonts w:hAnsi="宋体" w:cs="宋体"/>
                <w:kern w:val="2"/>
                <w:sz w:val="24"/>
                <w:szCs w:val="24"/>
              </w:rPr>
            </w:pPr>
            <w:r>
              <w:rPr>
                <w:rFonts w:hint="eastAsia" w:hAnsi="宋体" w:cs="宋体"/>
                <w:kern w:val="2"/>
                <w:sz w:val="24"/>
                <w:szCs w:val="24"/>
              </w:rPr>
              <w:t>以上各项评审内容缺项不得分</w:t>
            </w:r>
          </w:p>
        </w:tc>
      </w:tr>
    </w:tbl>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七、定标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ascii="新宋体" w:hAnsi="新宋体" w:eastAsia="新宋体"/>
          <w:sz w:val="24"/>
        </w:rPr>
      </w:pPr>
      <w:r>
        <w:rPr>
          <w:rFonts w:hint="eastAsia" w:hAnsi="宋体" w:cs="宋体"/>
          <w:bCs/>
          <w:sz w:val="24"/>
          <w:szCs w:val="24"/>
        </w:rPr>
        <w:t>2.评标委员会人数在5人以上时，去掉一个最高分和一个最低分取平均值；评标委员会人数在5人时，取所有评委评分的平均值。</w:t>
      </w:r>
    </w:p>
    <w:p>
      <w:pPr>
        <w:spacing w:line="400" w:lineRule="exact"/>
        <w:ind w:firstLine="480" w:firstLineChars="200"/>
        <w:rPr>
          <w:rFonts w:hAnsi="宋体" w:cs="宋体"/>
          <w:bCs/>
          <w:sz w:val="24"/>
          <w:szCs w:val="24"/>
        </w:rPr>
      </w:pPr>
      <w:r>
        <w:rPr>
          <w:rFonts w:hint="eastAsia" w:hAnsi="宋体" w:cs="宋体"/>
          <w:bCs/>
          <w:sz w:val="24"/>
          <w:szCs w:val="24"/>
        </w:rPr>
        <w:t>3.分数计算过程中，保留两位小数，小数点后第三位四舍五入。</w:t>
      </w:r>
    </w:p>
    <w:p>
      <w:pPr>
        <w:pStyle w:val="19"/>
        <w:keepNext w:val="0"/>
        <w:keepLines w:val="0"/>
        <w:ind w:firstLine="480" w:firstLineChars="200"/>
        <w:rPr>
          <w:rFonts w:ascii="新宋体" w:hAnsi="新宋体" w:eastAsia="新宋体"/>
          <w:b/>
          <w:szCs w:val="24"/>
        </w:rPr>
      </w:pPr>
      <w:r>
        <w:rPr>
          <w:rFonts w:hint="eastAsia" w:ascii="新宋体" w:hAnsi="新宋体" w:eastAsia="新宋体"/>
          <w:b/>
          <w:szCs w:val="24"/>
        </w:rPr>
        <w:t>九、评标报告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19"/>
        <w:keepNext w:val="0"/>
        <w:keepLines w:val="0"/>
        <w:ind w:firstLine="480" w:firstLineChars="200"/>
        <w:rPr>
          <w:rFonts w:ascii="新宋体" w:hAnsi="新宋体" w:eastAsia="新宋体"/>
          <w:b/>
          <w:szCs w:val="24"/>
        </w:rPr>
      </w:pPr>
      <w:r>
        <w:rPr>
          <w:rFonts w:hint="eastAsia" w:ascii="新宋体" w:hAnsi="新宋体" w:eastAsia="新宋体"/>
          <w:b/>
        </w:rPr>
        <w:t>十、</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w:t>
      </w:r>
      <w:r>
        <w:rPr>
          <w:rFonts w:hint="eastAsia" w:ascii="新宋体" w:hAnsi="新宋体" w:eastAsia="新宋体"/>
          <w:sz w:val="24"/>
        </w:rPr>
        <w:t>告知各投标人</w:t>
      </w:r>
      <w:r>
        <w:rPr>
          <w:rFonts w:ascii="新宋体" w:hAnsi="新宋体" w:eastAsia="新宋体"/>
          <w:sz w:val="24"/>
        </w:rPr>
        <w:t>，</w:t>
      </w:r>
      <w:r>
        <w:rPr>
          <w:rFonts w:hint="eastAsia" w:ascii="新宋体" w:hAnsi="新宋体" w:eastAsia="新宋体"/>
          <w:sz w:val="24"/>
        </w:rPr>
        <w:t>质疑</w:t>
      </w:r>
      <w:r>
        <w:rPr>
          <w:rFonts w:ascii="新宋体" w:hAnsi="新宋体" w:eastAsia="新宋体"/>
          <w:sz w:val="24"/>
        </w:rPr>
        <w:t>时间不少于3日。</w:t>
      </w:r>
      <w:r>
        <w:rPr>
          <w:rFonts w:hint="eastAsia" w:ascii="新宋体" w:hAnsi="新宋体" w:eastAsia="新宋体"/>
          <w:sz w:val="24"/>
        </w:rPr>
        <w:t>质疑</w:t>
      </w:r>
      <w:r>
        <w:rPr>
          <w:rFonts w:ascii="新宋体" w:hAnsi="新宋体" w:eastAsia="新宋体"/>
          <w:sz w:val="24"/>
        </w:rPr>
        <w:t>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十一、特殊情况的处置程序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11.4记名投票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11.5评标委员会对评标结果有异议的</w:t>
      </w:r>
    </w:p>
    <w:p>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br w:type="page"/>
      </w: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0"/>
    </w:p>
    <w:p>
      <w:pPr>
        <w:tabs>
          <w:tab w:val="left" w:pos="5000"/>
        </w:tabs>
        <w:spacing w:line="360" w:lineRule="auto"/>
        <w:ind w:firstLine="490"/>
        <w:rPr>
          <w:rFonts w:hAnsi="宋体" w:cs="宋体"/>
          <w:bCs/>
          <w:sz w:val="28"/>
          <w:szCs w:val="28"/>
        </w:rPr>
      </w:pPr>
      <w:bookmarkStart w:id="75"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color w:val="auto"/>
          <w:sz w:val="24"/>
          <w:u w:val="single"/>
        </w:rPr>
      </w:pPr>
      <w:r>
        <w:rPr>
          <w:rFonts w:hint="eastAsia" w:hAnsi="宋体" w:cs="宋体"/>
          <w:color w:val="auto"/>
          <w:sz w:val="24"/>
        </w:rPr>
        <w:t>(2)</w:t>
      </w:r>
      <w:r>
        <w:rPr>
          <w:rFonts w:hint="eastAsia"/>
          <w:color w:val="auto"/>
        </w:rPr>
        <w:t xml:space="preserve"> </w:t>
      </w:r>
      <w:r>
        <w:rPr>
          <w:rFonts w:hint="eastAsia" w:hAnsi="宋体" w:cs="宋体"/>
          <w:color w:val="auto"/>
          <w:sz w:val="24"/>
          <w:u w:val="single"/>
        </w:rPr>
        <w:t>《河南省市政工程预算定额》(HAA1-31-2016)、《河南省房屋建筑与装饰工程预算定额》(HA01-31-2016)、《建设工程工程量清单计价规范》（GB50500-2013）及</w:t>
      </w:r>
      <w:r>
        <w:rPr>
          <w:rFonts w:hint="eastAsia" w:hAnsi="宋体" w:cs="宋体"/>
          <w:color w:val="auto"/>
          <w:sz w:val="24"/>
          <w:u w:val="single"/>
          <w:lang w:eastAsia="zh-CN"/>
        </w:rPr>
        <w:t>相关定额解释并结合现行相关取费文件</w:t>
      </w:r>
      <w:r>
        <w:rPr>
          <w:rFonts w:hint="eastAsia" w:hAnsi="宋体" w:cs="宋体"/>
          <w:color w:val="auto"/>
          <w:sz w:val="24"/>
          <w:u w:val="single"/>
        </w:rPr>
        <w:t>；</w:t>
      </w:r>
    </w:p>
    <w:p>
      <w:pPr>
        <w:spacing w:line="440" w:lineRule="exact"/>
        <w:ind w:left="1" w:firstLine="480" w:firstLineChars="200"/>
        <w:rPr>
          <w:rFonts w:hint="eastAsia" w:hAnsi="宋体" w:cs="宋体" w:eastAsiaTheme="minorEastAsia"/>
          <w:color w:val="auto"/>
          <w:sz w:val="24"/>
          <w:lang w:eastAsia="zh-CN"/>
        </w:rPr>
      </w:pPr>
      <w:r>
        <w:rPr>
          <w:rFonts w:hint="eastAsia" w:hAnsi="宋体" w:cs="宋体"/>
          <w:color w:val="auto"/>
          <w:sz w:val="24"/>
        </w:rPr>
        <w:t>(3) 主要材料价格按2019年第</w:t>
      </w:r>
      <w:r>
        <w:rPr>
          <w:rFonts w:hint="eastAsia" w:hAnsi="宋体" w:cs="宋体"/>
          <w:color w:val="auto"/>
          <w:sz w:val="24"/>
          <w:lang w:val="en-US" w:eastAsia="zh-CN"/>
        </w:rPr>
        <w:t>4</w:t>
      </w:r>
      <w:r>
        <w:rPr>
          <w:rFonts w:hint="eastAsia" w:hAnsi="宋体" w:cs="宋体"/>
          <w:color w:val="auto"/>
          <w:sz w:val="24"/>
        </w:rPr>
        <w:t>期《许昌工程造价信息》，</w:t>
      </w:r>
      <w:r>
        <w:rPr>
          <w:rFonts w:hint="eastAsia" w:hAnsi="宋体" w:cs="宋体"/>
          <w:color w:val="auto"/>
          <w:sz w:val="24"/>
          <w:lang w:eastAsia="zh-CN"/>
        </w:rPr>
        <w:t>未包含材料价参考当前市场价。</w:t>
      </w:r>
    </w:p>
    <w:p>
      <w:pPr>
        <w:spacing w:line="440" w:lineRule="exact"/>
        <w:ind w:left="1" w:firstLine="480" w:firstLineChars="200"/>
        <w:rPr>
          <w:rFonts w:hAnsi="宋体" w:cs="宋体"/>
          <w:color w:val="auto"/>
          <w:sz w:val="24"/>
        </w:rPr>
      </w:pPr>
      <w:r>
        <w:rPr>
          <w:rFonts w:hint="eastAsia" w:hAnsi="宋体" w:cs="宋体"/>
          <w:color w:val="auto"/>
          <w:sz w:val="24"/>
        </w:rPr>
        <w:t>(4) 人工费依据豫建标定[2019]26号文</w:t>
      </w:r>
      <w:r>
        <w:rPr>
          <w:rFonts w:hint="eastAsia" w:hAnsi="宋体" w:cs="宋体"/>
          <w:color w:val="auto"/>
          <w:sz w:val="24"/>
          <w:lang w:eastAsia="zh-CN"/>
        </w:rPr>
        <w:t>发布的</w:t>
      </w:r>
      <w:r>
        <w:rPr>
          <w:rFonts w:hint="eastAsia" w:hAnsi="宋体" w:cs="宋体"/>
          <w:color w:val="auto"/>
          <w:sz w:val="24"/>
        </w:rPr>
        <w:t>第5期</w:t>
      </w:r>
      <w:r>
        <w:rPr>
          <w:rFonts w:hint="eastAsia" w:hAnsi="宋体" w:cs="宋体"/>
          <w:color w:val="auto"/>
          <w:sz w:val="24"/>
          <w:lang w:eastAsia="zh-CN"/>
        </w:rPr>
        <w:t>人工费指数进行</w:t>
      </w:r>
      <w:r>
        <w:rPr>
          <w:rFonts w:hint="eastAsia" w:hAnsi="宋体" w:cs="宋体"/>
          <w:color w:val="auto"/>
          <w:sz w:val="24"/>
        </w:rPr>
        <w:t>调整；</w:t>
      </w:r>
    </w:p>
    <w:p>
      <w:pPr>
        <w:spacing w:line="440" w:lineRule="exact"/>
        <w:ind w:left="1" w:firstLine="480" w:firstLineChars="200"/>
        <w:rPr>
          <w:rFonts w:hAnsi="宋体" w:cs="宋体"/>
          <w:color w:val="auto"/>
          <w:sz w:val="24"/>
        </w:rPr>
      </w:pPr>
      <w:r>
        <w:rPr>
          <w:rFonts w:hint="eastAsia" w:hAnsi="宋体" w:cs="宋体"/>
          <w:color w:val="auto"/>
          <w:sz w:val="24"/>
        </w:rPr>
        <w:t>(5) 税金依据建办标函[2019]193号文，按9%计入；</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spacing w:line="440" w:lineRule="exact"/>
        <w:ind w:firstLine="481"/>
      </w:pP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第八章 投标文件格式</w:t>
      </w: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五、投标单位基本情况表；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在考察现场并充分研究（项目名称）标段（以下简称“本工程”）招标文件的全部内容后，我方兹以投标总报价：</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在我方的上述投标总报价中，包括：</w:t>
      </w:r>
    </w:p>
    <w:p>
      <w:pPr>
        <w:spacing w:line="480" w:lineRule="exact"/>
        <w:ind w:firstLine="480" w:firstLineChars="200"/>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rPr>
      </w:pPr>
      <w:r>
        <w:rPr>
          <w:rFonts w:hint="eastAsia" w:hAnsi="宋体" w:cs="宋体"/>
          <w:sz w:val="24"/>
        </w:rPr>
        <w:t>安全文明施工措施费RMB￥：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增值税RMB￥：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rPr>
          <w:rFonts w:hint="eastAsia" w:hAnsi="宋体" w:cs="宋体"/>
          <w:sz w:val="28"/>
          <w:szCs w:val="28"/>
        </w:rPr>
      </w:pPr>
      <w:r>
        <w:rPr>
          <w:rFonts w:hint="eastAsia" w:hAnsi="宋体" w:cs="宋体"/>
          <w:sz w:val="28"/>
          <w:szCs w:val="28"/>
        </w:rPr>
        <w:br w:type="page"/>
      </w: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int="eastAsia" w:ascii="新宋体" w:hAnsi="新宋体" w:eastAsia="新宋体"/>
                <w:sz w:val="24"/>
              </w:rPr>
            </w:pPr>
            <w:r>
              <w:rPr>
                <w:rFonts w:hint="eastAsia" w:ascii="新宋体" w:hAnsi="新宋体" w:eastAsia="新宋体"/>
                <w:sz w:val="24"/>
              </w:rPr>
              <w:t>其中：</w:t>
            </w:r>
          </w:p>
          <w:p>
            <w:pPr>
              <w:spacing w:line="480" w:lineRule="exact"/>
              <w:ind w:firstLine="480" w:firstLineChars="200"/>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rPr>
            </w:pPr>
            <w:r>
              <w:rPr>
                <w:rFonts w:hint="eastAsia" w:hAnsi="宋体" w:cs="宋体"/>
                <w:sz w:val="24"/>
              </w:rPr>
              <w:t>安全文明施工措施费RMB￥：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eastAsia="宋体" w:cs="宋体"/>
                <w:sz w:val="24"/>
              </w:rPr>
            </w:pPr>
            <w:r>
              <w:rPr>
                <w:rFonts w:hint="eastAsia" w:hAnsi="宋体" w:cs="宋体"/>
                <w:sz w:val="24"/>
              </w:rPr>
              <w:t>增值税RMB￥：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sz w:val="24"/>
              </w:rPr>
            </w:pPr>
            <w:r>
              <w:rPr>
                <w:rFonts w:hint="eastAsia" w:hAnsi="宋体"/>
                <w:sz w:val="24"/>
              </w:rPr>
              <w:t>承  诺：</w:t>
            </w:r>
          </w:p>
          <w:p>
            <w:pPr>
              <w:spacing w:line="276" w:lineRule="auto"/>
              <w:rPr>
                <w:rFonts w:hAnsi="宋体"/>
                <w:sz w:val="24"/>
              </w:rPr>
            </w:pPr>
          </w:p>
          <w:p>
            <w:pPr>
              <w:rPr>
                <w:rFonts w:hAnsi="宋体" w:eastAsia="宋体" w:cs="宋体"/>
                <w:sz w:val="24"/>
              </w:rPr>
            </w:pPr>
            <w:r>
              <w:rPr>
                <w:rFonts w:hint="eastAsia" w:ascii="新宋体" w:hAnsi="新宋体" w:eastAsia="新宋体"/>
                <w:sz w:val="24"/>
              </w:rPr>
              <w:t>（包含优惠承诺、质量承诺、服务承诺及按扬尘污染整治标准进行各工序的施工等）</w:t>
            </w:r>
          </w:p>
        </w:tc>
      </w:tr>
    </w:tbl>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lang w:val="en-US" w:eastAsia="zh-CN"/>
        </w:rPr>
        <w:t xml:space="preserve">    </w:t>
      </w:r>
      <w:r>
        <w:rPr>
          <w:rFonts w:hint="eastAsia" w:hAnsi="宋体" w:cs="宋体"/>
          <w:sz w:val="24"/>
        </w:rPr>
        <w:t>（姓名）系</w:t>
      </w:r>
      <w:r>
        <w:rPr>
          <w:rFonts w:hint="eastAsia" w:hAnsi="宋体" w:cs="宋体"/>
          <w:sz w:val="24"/>
          <w:lang w:val="en-US" w:eastAsia="zh-CN"/>
        </w:rPr>
        <w:t xml:space="preserve">  </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（投标人名称）的法定代表人，现委托</w:t>
      </w:r>
      <w:r>
        <w:rPr>
          <w:rFonts w:hint="eastAsia" w:hAnsi="宋体" w:cs="宋体"/>
          <w:sz w:val="24"/>
          <w:lang w:val="en-US" w:eastAsia="zh-CN"/>
        </w:rPr>
        <w:t xml:space="preserve"> </w:t>
      </w:r>
      <w:r>
        <w:rPr>
          <w:rFonts w:hint="eastAsia" w:hAnsi="宋体" w:cs="宋体"/>
          <w:sz w:val="24"/>
          <w:u w:val="single"/>
          <w:lang w:val="en-US" w:eastAsia="zh-CN"/>
        </w:rPr>
        <w:t xml:space="preserve">   </w:t>
      </w:r>
      <w:r>
        <w:rPr>
          <w:rFonts w:hint="eastAsia" w:hAnsi="宋体" w:cs="宋体"/>
          <w:sz w:val="24"/>
        </w:rPr>
        <w:t xml:space="preserve">（姓名）为我方代理人。代理人根据授权，以我方名义签署、澄清、说明、补正、递交、撤回、修改 </w:t>
      </w:r>
      <w:r>
        <w:rPr>
          <w:rFonts w:hint="eastAsia" w:hAnsi="宋体" w:cs="宋体"/>
          <w:sz w:val="24"/>
          <w:u w:val="single"/>
          <w:lang w:val="en-US" w:eastAsia="zh-CN"/>
        </w:rPr>
        <w:t xml:space="preserve">       </w:t>
      </w:r>
      <w:r>
        <w:rPr>
          <w:rFonts w:hint="eastAsia" w:hAnsi="宋体" w:cs="宋体"/>
          <w:sz w:val="24"/>
        </w:rPr>
        <w:t>（项目名称）施工投标文件、签订合同和处理有关事宜，其法律后果由我方承担。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lang w:val="en-US" w:eastAsia="zh-CN"/>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bookmarkStart w:id="81" w:name="_GoBack"/>
      <w:r>
        <w:rPr>
          <w:rFonts w:hint="eastAsia" w:hAnsi="宋体" w:cs="宋体"/>
          <w:sz w:val="24"/>
          <w:szCs w:val="24"/>
        </w:rPr>
        <w:t>附投标保证金有效银行转账凭证复印件；</w:t>
      </w:r>
    </w:p>
    <w:bookmarkEnd w:id="81"/>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rPr>
          <w:rFonts w:hAnsi="宋体" w:cs="宋体"/>
          <w:sz w:val="24"/>
        </w:rPr>
      </w:pP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tbl>
      <w:tblPr>
        <w:tblStyle w:val="11"/>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lang w:val="en-US" w:eastAsia="zh-CN"/>
        </w:rPr>
        <w:t xml:space="preserve"> </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（项目名称）（以下简称“本工程”）的项目负责人</w:t>
      </w:r>
      <w:r>
        <w:rPr>
          <w:rFonts w:hint="eastAsia" w:hAnsi="宋体" w:cs="宋体"/>
          <w:sz w:val="24"/>
          <w:lang w:val="en-US" w:eastAsia="zh-CN"/>
        </w:rPr>
        <w:t xml:space="preserve">  </w:t>
      </w:r>
      <w:r>
        <w:rPr>
          <w:rFonts w:hint="eastAsia" w:hAnsi="宋体" w:cs="宋体"/>
          <w:sz w:val="24"/>
          <w:u w:val="single"/>
          <w:lang w:val="en-US" w:eastAsia="zh-CN"/>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tbl>
      <w:tblPr>
        <w:tblStyle w:val="11"/>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520" w:lineRule="exact"/>
              <w:ind w:right="215"/>
              <w:jc w:val="center"/>
              <w:rPr>
                <w:rFonts w:hAnsi="宋体" w:eastAsia="宋体" w:cs="宋体"/>
                <w:sz w:val="24"/>
              </w:rPr>
            </w:pPr>
          </w:p>
          <w:p>
            <w:pPr>
              <w:autoSpaceDE w:val="0"/>
              <w:autoSpaceDN w:val="0"/>
              <w:adjustRightInd w:val="0"/>
              <w:spacing w:line="520" w:lineRule="exact"/>
              <w:ind w:right="215"/>
              <w:rPr>
                <w:rFonts w:hAnsi="宋体" w:eastAsia="宋体" w:cs="宋体"/>
                <w:sz w:val="24"/>
              </w:rPr>
            </w:pPr>
          </w:p>
        </w:tc>
      </w:tr>
    </w:tbl>
    <w:p>
      <w:pPr>
        <w:autoSpaceDE w:val="0"/>
        <w:autoSpaceDN w:val="0"/>
        <w:adjustRightInd w:val="0"/>
        <w:spacing w:line="360" w:lineRule="auto"/>
        <w:ind w:right="215" w:firstLine="420"/>
        <w:jc w:val="center"/>
        <w:rPr>
          <w:rFonts w:hAnsi="宋体" w:cs="宋体"/>
          <w:b/>
          <w:sz w:val="32"/>
          <w:szCs w:val="32"/>
        </w:rPr>
      </w:pPr>
    </w:p>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520" w:lineRule="exact"/>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520" w:lineRule="exact"/>
              <w:ind w:right="215"/>
              <w:jc w:val="center"/>
              <w:rPr>
                <w:rFonts w:hAnsi="宋体" w:eastAsia="宋体" w:cs="宋体"/>
                <w:sz w:val="24"/>
              </w:rPr>
            </w:pPr>
          </w:p>
          <w:p>
            <w:pPr>
              <w:autoSpaceDE w:val="0"/>
              <w:autoSpaceDN w:val="0"/>
              <w:adjustRightInd w:val="0"/>
              <w:spacing w:line="520" w:lineRule="exact"/>
              <w:ind w:right="215"/>
              <w:rPr>
                <w:rFonts w:hAnsi="宋体" w:eastAsia="宋体" w:cs="宋体"/>
                <w:sz w:val="24"/>
              </w:rPr>
            </w:pPr>
          </w:p>
        </w:tc>
      </w:tr>
    </w:tbl>
    <w:p>
      <w:pPr>
        <w:rPr>
          <w:rFonts w:hAnsi="宋体" w:cs="宋体"/>
          <w:b/>
          <w:sz w:val="32"/>
          <w:szCs w:val="32"/>
        </w:rPr>
      </w:pPr>
      <w:r>
        <w:rPr>
          <w:rFonts w:hAnsi="宋体" w:cs="宋体"/>
          <w:b/>
          <w:sz w:val="32"/>
          <w:szCs w:val="32"/>
        </w:rPr>
        <w:br w:type="page"/>
      </w:r>
    </w:p>
    <w:p>
      <w:pPr>
        <w:pStyle w:val="2"/>
      </w:pPr>
    </w:p>
    <w:p>
      <w:pPr>
        <w:autoSpaceDE w:val="0"/>
        <w:autoSpaceDN w:val="0"/>
        <w:adjustRightInd w:val="0"/>
        <w:spacing w:line="360" w:lineRule="auto"/>
        <w:ind w:right="215"/>
        <w:jc w:val="center"/>
        <w:rPr>
          <w:rFonts w:hAnsi="宋体" w:cs="宋体"/>
          <w:b/>
          <w:sz w:val="32"/>
          <w:szCs w:val="32"/>
        </w:rPr>
      </w:pPr>
    </w:p>
    <w:p>
      <w:pPr>
        <w:numPr>
          <w:ilvl w:val="0"/>
          <w:numId w:val="3"/>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rPr>
          <w:rFonts w:hAnsi="宋体" w:cs="宋体"/>
          <w:b/>
          <w:sz w:val="32"/>
          <w:szCs w:val="32"/>
        </w:rPr>
      </w:pPr>
      <w:r>
        <w:rPr>
          <w:rFonts w:hAnsi="宋体" w:cs="宋体"/>
          <w:b/>
          <w:sz w:val="32"/>
          <w:szCs w:val="32"/>
        </w:rPr>
        <w:br w:type="page"/>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tabs>
          <w:tab w:val="center" w:pos="4739"/>
        </w:tabs>
        <w:ind w:left="180"/>
        <w:rPr>
          <w:rFonts w:hAnsi="宋体" w:cs="宋体"/>
          <w:b/>
          <w:bCs/>
          <w:sz w:val="26"/>
          <w:szCs w:val="26"/>
        </w:rPr>
      </w:pPr>
      <w:r>
        <w:rPr>
          <w:rFonts w:hint="eastAsia" w:hAnsi="宋体" w:cs="宋体"/>
          <w:b/>
          <w:bCs/>
          <w:sz w:val="26"/>
          <w:szCs w:val="26"/>
        </w:rPr>
        <w:t>（1）内容完整性</w:t>
      </w:r>
    </w:p>
    <w:p>
      <w:pPr>
        <w:tabs>
          <w:tab w:val="center" w:pos="4739"/>
        </w:tabs>
        <w:ind w:left="180"/>
        <w:rPr>
          <w:rFonts w:hAnsi="宋体" w:cs="宋体"/>
          <w:b/>
          <w:bCs/>
          <w:sz w:val="26"/>
          <w:szCs w:val="26"/>
        </w:rPr>
      </w:pPr>
      <w:r>
        <w:rPr>
          <w:rFonts w:hint="eastAsia" w:hAnsi="宋体" w:cs="宋体"/>
          <w:b/>
          <w:bCs/>
          <w:sz w:val="26"/>
          <w:szCs w:val="26"/>
        </w:rPr>
        <w:t>（2）主要施工方案与技术措施</w:t>
      </w:r>
    </w:p>
    <w:p>
      <w:pPr>
        <w:tabs>
          <w:tab w:val="center" w:pos="4739"/>
        </w:tabs>
        <w:ind w:left="180"/>
        <w:rPr>
          <w:rFonts w:hAnsi="宋体" w:cs="宋体"/>
          <w:b/>
          <w:bCs/>
          <w:sz w:val="26"/>
          <w:szCs w:val="26"/>
        </w:rPr>
      </w:pPr>
      <w:r>
        <w:rPr>
          <w:rFonts w:hint="eastAsia" w:hAnsi="宋体" w:cs="宋体"/>
          <w:b/>
          <w:bCs/>
          <w:sz w:val="26"/>
          <w:szCs w:val="26"/>
        </w:rPr>
        <w:t>（3）质量管理体系与措施</w:t>
      </w:r>
    </w:p>
    <w:p>
      <w:pPr>
        <w:tabs>
          <w:tab w:val="center" w:pos="4739"/>
        </w:tabs>
        <w:ind w:left="180"/>
        <w:rPr>
          <w:rFonts w:hAnsi="宋体" w:cs="宋体"/>
          <w:b/>
          <w:bCs/>
          <w:sz w:val="26"/>
          <w:szCs w:val="26"/>
        </w:rPr>
      </w:pPr>
      <w:r>
        <w:rPr>
          <w:rFonts w:hint="eastAsia" w:hAnsi="宋体" w:cs="宋体"/>
          <w:b/>
          <w:bCs/>
          <w:sz w:val="26"/>
          <w:szCs w:val="26"/>
        </w:rPr>
        <w:t>（4）安全管理体系与措施</w:t>
      </w:r>
    </w:p>
    <w:p>
      <w:pPr>
        <w:tabs>
          <w:tab w:val="center" w:pos="4739"/>
        </w:tabs>
        <w:ind w:left="180"/>
        <w:rPr>
          <w:rFonts w:hAnsi="宋体" w:cs="宋体"/>
          <w:b/>
          <w:bCs/>
          <w:sz w:val="26"/>
          <w:szCs w:val="26"/>
        </w:rPr>
      </w:pPr>
      <w:r>
        <w:rPr>
          <w:rFonts w:hint="eastAsia" w:hAnsi="宋体" w:cs="宋体"/>
          <w:b/>
          <w:bCs/>
          <w:sz w:val="26"/>
          <w:szCs w:val="26"/>
        </w:rPr>
        <w:t>（5）文明施工、环境保护管理体系及施工现场扬尘治理措施</w:t>
      </w:r>
    </w:p>
    <w:p>
      <w:pPr>
        <w:tabs>
          <w:tab w:val="center" w:pos="4739"/>
        </w:tabs>
        <w:ind w:left="180"/>
        <w:rPr>
          <w:rFonts w:hAnsi="宋体" w:cs="宋体"/>
          <w:b/>
          <w:bCs/>
          <w:sz w:val="26"/>
          <w:szCs w:val="26"/>
        </w:rPr>
      </w:pPr>
      <w:r>
        <w:rPr>
          <w:rFonts w:hint="eastAsia" w:hAnsi="宋体" w:cs="宋体"/>
          <w:b/>
          <w:bCs/>
          <w:sz w:val="26"/>
          <w:szCs w:val="26"/>
        </w:rPr>
        <w:t>（6）工期保证措施</w:t>
      </w:r>
    </w:p>
    <w:p>
      <w:pPr>
        <w:tabs>
          <w:tab w:val="center" w:pos="4739"/>
        </w:tabs>
        <w:ind w:left="180"/>
        <w:rPr>
          <w:rFonts w:hAnsi="宋体" w:cs="宋体"/>
          <w:b/>
          <w:bCs/>
          <w:sz w:val="26"/>
          <w:szCs w:val="26"/>
        </w:rPr>
      </w:pPr>
      <w:r>
        <w:rPr>
          <w:rFonts w:hint="eastAsia" w:hAnsi="宋体" w:cs="宋体"/>
          <w:b/>
          <w:bCs/>
          <w:sz w:val="26"/>
          <w:szCs w:val="26"/>
        </w:rPr>
        <w:t>（7）拟投入资源配备计划</w:t>
      </w:r>
    </w:p>
    <w:p>
      <w:pPr>
        <w:tabs>
          <w:tab w:val="center" w:pos="4739"/>
        </w:tabs>
        <w:ind w:left="180"/>
        <w:rPr>
          <w:rFonts w:hAnsi="宋体" w:cs="宋体"/>
          <w:b/>
          <w:bCs/>
          <w:sz w:val="26"/>
          <w:szCs w:val="26"/>
        </w:rPr>
      </w:pPr>
      <w:r>
        <w:rPr>
          <w:rFonts w:hint="eastAsia" w:hAnsi="宋体" w:cs="宋体"/>
          <w:b/>
          <w:bCs/>
          <w:sz w:val="26"/>
          <w:szCs w:val="26"/>
        </w:rPr>
        <w:t>（8）施工进度表或网络计划图</w:t>
      </w:r>
    </w:p>
    <w:p>
      <w:pPr>
        <w:tabs>
          <w:tab w:val="center" w:pos="4739"/>
        </w:tabs>
        <w:ind w:left="180"/>
        <w:rPr>
          <w:rFonts w:hAnsi="宋体" w:cs="宋体"/>
          <w:b/>
          <w:bCs/>
          <w:sz w:val="26"/>
          <w:szCs w:val="26"/>
        </w:rPr>
      </w:pPr>
      <w:r>
        <w:rPr>
          <w:rFonts w:hint="eastAsia" w:hAnsi="宋体" w:cs="宋体"/>
          <w:b/>
          <w:bCs/>
          <w:sz w:val="26"/>
          <w:szCs w:val="26"/>
        </w:rPr>
        <w:t>（9）施工总平面图布置</w:t>
      </w:r>
    </w:p>
    <w:p>
      <w:pPr>
        <w:tabs>
          <w:tab w:val="center" w:pos="4739"/>
        </w:tabs>
        <w:ind w:left="180"/>
        <w:rPr>
          <w:rFonts w:hAnsi="宋体" w:cs="宋体"/>
          <w:b/>
          <w:bCs/>
          <w:sz w:val="26"/>
          <w:szCs w:val="26"/>
        </w:rPr>
      </w:pPr>
      <w:r>
        <w:rPr>
          <w:rFonts w:hint="eastAsia" w:hAnsi="宋体" w:cs="宋体"/>
          <w:b/>
          <w:bCs/>
          <w:sz w:val="26"/>
          <w:szCs w:val="26"/>
        </w:rPr>
        <w:t>（10）技术创新的应用实施措施</w:t>
      </w:r>
    </w:p>
    <w:p>
      <w:pPr>
        <w:tabs>
          <w:tab w:val="center" w:pos="4739"/>
        </w:tabs>
        <w:ind w:left="180"/>
        <w:rPr>
          <w:rFonts w:hAnsi="宋体" w:cs="宋体"/>
          <w:b/>
          <w:bCs/>
          <w:sz w:val="26"/>
          <w:szCs w:val="26"/>
        </w:rPr>
      </w:pPr>
      <w:r>
        <w:rPr>
          <w:rFonts w:hint="eastAsia" w:hAnsi="宋体" w:cs="宋体"/>
          <w:b/>
          <w:bCs/>
          <w:sz w:val="26"/>
          <w:szCs w:val="26"/>
        </w:rPr>
        <w:t>（11）采用新工艺、新技术、新设备、新材料、BIM等的程度</w:t>
      </w:r>
    </w:p>
    <w:p>
      <w:pPr>
        <w:tabs>
          <w:tab w:val="center" w:pos="4739"/>
        </w:tabs>
        <w:ind w:left="180"/>
        <w:rPr>
          <w:rFonts w:hAnsi="宋体" w:cs="宋体"/>
          <w:b/>
          <w:bCs/>
          <w:sz w:val="26"/>
          <w:szCs w:val="26"/>
        </w:rPr>
      </w:pPr>
      <w:r>
        <w:rPr>
          <w:rFonts w:hint="eastAsia" w:hAnsi="宋体" w:cs="宋体"/>
          <w:b/>
          <w:bCs/>
          <w:sz w:val="26"/>
          <w:szCs w:val="26"/>
        </w:rPr>
        <w:t>（12）施工现场实施信息化监控和数据处理</w:t>
      </w:r>
    </w:p>
    <w:p>
      <w:pPr>
        <w:autoSpaceDE w:val="0"/>
        <w:autoSpaceDN w:val="0"/>
        <w:spacing w:line="540" w:lineRule="exact"/>
        <w:ind w:firstLine="130" w:firstLineChars="50"/>
        <w:jc w:val="left"/>
        <w:rPr>
          <w:rFonts w:hAnsi="宋体" w:cs="宋体"/>
          <w:b/>
          <w:sz w:val="26"/>
          <w:szCs w:val="26"/>
        </w:rPr>
      </w:pPr>
      <w:r>
        <w:rPr>
          <w:rFonts w:hint="eastAsia" w:hAnsi="宋体" w:cs="宋体"/>
          <w:b/>
          <w:bCs/>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5" w:type="first"/>
      <w:headerReference r:id="rId3" w:type="default"/>
      <w:footerReference r:id="rId4" w:type="default"/>
      <w:pgSz w:w="11906" w:h="16838"/>
      <w:pgMar w:top="1100" w:right="1266" w:bottom="1440" w:left="1800" w:header="851" w:footer="992" w:gutter="0"/>
      <w:pgNumType w:start="1"/>
      <w:cols w:space="720" w:num="1"/>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both"/>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Bdr>
                    <w:top w:val="single" w:color="auto" w:sz="4" w:space="0"/>
                  </w:pBdr>
                  <w:ind w:right="360"/>
                  <w:jc w:val="center"/>
                </w:pPr>
                <w:r>
                  <w:fldChar w:fldCharType="begin"/>
                </w:r>
                <w:r>
                  <w:rPr>
                    <w:rStyle w:val="14"/>
                  </w:rPr>
                  <w:instrText xml:space="preserve"> PAGE </w:instrText>
                </w:r>
                <w:r>
                  <w:fldChar w:fldCharType="separate"/>
                </w:r>
                <w:r>
                  <w:rPr>
                    <w:rStyle w:val="14"/>
                  </w:rPr>
                  <w:t>14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71EA8"/>
    <w:multiLevelType w:val="singleLevel"/>
    <w:tmpl w:val="A3771EA8"/>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A31E9E0"/>
    <w:multiLevelType w:val="singleLevel"/>
    <w:tmpl w:val="5A31E9E0"/>
    <w:lvl w:ilvl="0" w:tentative="0">
      <w:start w:val="9"/>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673"/>
    <w:rsid w:val="000028CA"/>
    <w:rsid w:val="00013820"/>
    <w:rsid w:val="00021092"/>
    <w:rsid w:val="000310D4"/>
    <w:rsid w:val="00041AC3"/>
    <w:rsid w:val="000432ED"/>
    <w:rsid w:val="0006136C"/>
    <w:rsid w:val="0007083C"/>
    <w:rsid w:val="00071018"/>
    <w:rsid w:val="00072591"/>
    <w:rsid w:val="000A24E3"/>
    <w:rsid w:val="000A4B94"/>
    <w:rsid w:val="000E3E23"/>
    <w:rsid w:val="000E5DE8"/>
    <w:rsid w:val="000F3E50"/>
    <w:rsid w:val="000F459D"/>
    <w:rsid w:val="000F66D9"/>
    <w:rsid w:val="000F6F95"/>
    <w:rsid w:val="001015B8"/>
    <w:rsid w:val="00106D22"/>
    <w:rsid w:val="00112BE9"/>
    <w:rsid w:val="0012336D"/>
    <w:rsid w:val="00123585"/>
    <w:rsid w:val="00124C0C"/>
    <w:rsid w:val="001268A5"/>
    <w:rsid w:val="001311B8"/>
    <w:rsid w:val="00153D65"/>
    <w:rsid w:val="00173EF6"/>
    <w:rsid w:val="00184B91"/>
    <w:rsid w:val="0018555F"/>
    <w:rsid w:val="00190CA3"/>
    <w:rsid w:val="001B3FB5"/>
    <w:rsid w:val="001D1431"/>
    <w:rsid w:val="001D3A89"/>
    <w:rsid w:val="001D3E9C"/>
    <w:rsid w:val="001D6C4E"/>
    <w:rsid w:val="001E4E94"/>
    <w:rsid w:val="001F2568"/>
    <w:rsid w:val="001F5720"/>
    <w:rsid w:val="0020445D"/>
    <w:rsid w:val="00204E6B"/>
    <w:rsid w:val="002173D2"/>
    <w:rsid w:val="002415A9"/>
    <w:rsid w:val="002639F8"/>
    <w:rsid w:val="00276551"/>
    <w:rsid w:val="00283BE6"/>
    <w:rsid w:val="002915DE"/>
    <w:rsid w:val="00294330"/>
    <w:rsid w:val="00294ACF"/>
    <w:rsid w:val="002963C0"/>
    <w:rsid w:val="00296B80"/>
    <w:rsid w:val="002A2A43"/>
    <w:rsid w:val="002A696E"/>
    <w:rsid w:val="002B535B"/>
    <w:rsid w:val="002B616B"/>
    <w:rsid w:val="002C0CBD"/>
    <w:rsid w:val="002C5BF9"/>
    <w:rsid w:val="002C61C6"/>
    <w:rsid w:val="002D33A7"/>
    <w:rsid w:val="002E2FFB"/>
    <w:rsid w:val="002F3583"/>
    <w:rsid w:val="00310336"/>
    <w:rsid w:val="0031627C"/>
    <w:rsid w:val="00336A88"/>
    <w:rsid w:val="00337A96"/>
    <w:rsid w:val="003702A0"/>
    <w:rsid w:val="00391E2F"/>
    <w:rsid w:val="00392100"/>
    <w:rsid w:val="003B1B57"/>
    <w:rsid w:val="003B534F"/>
    <w:rsid w:val="003C299D"/>
    <w:rsid w:val="003E10A3"/>
    <w:rsid w:val="003E740C"/>
    <w:rsid w:val="003F28E5"/>
    <w:rsid w:val="00411D1D"/>
    <w:rsid w:val="00425696"/>
    <w:rsid w:val="00470530"/>
    <w:rsid w:val="00470E7E"/>
    <w:rsid w:val="00471DC9"/>
    <w:rsid w:val="00472957"/>
    <w:rsid w:val="00493B81"/>
    <w:rsid w:val="004B334E"/>
    <w:rsid w:val="004B37FB"/>
    <w:rsid w:val="004B7AB0"/>
    <w:rsid w:val="004C2A5E"/>
    <w:rsid w:val="004F5208"/>
    <w:rsid w:val="00500738"/>
    <w:rsid w:val="0050085D"/>
    <w:rsid w:val="00522EE3"/>
    <w:rsid w:val="00524065"/>
    <w:rsid w:val="005458F0"/>
    <w:rsid w:val="00547524"/>
    <w:rsid w:val="0055452F"/>
    <w:rsid w:val="005738B7"/>
    <w:rsid w:val="005B2119"/>
    <w:rsid w:val="005B571B"/>
    <w:rsid w:val="005D27A6"/>
    <w:rsid w:val="005D3872"/>
    <w:rsid w:val="005E0C93"/>
    <w:rsid w:val="005E48F8"/>
    <w:rsid w:val="00611971"/>
    <w:rsid w:val="0061290A"/>
    <w:rsid w:val="0061481C"/>
    <w:rsid w:val="00615E17"/>
    <w:rsid w:val="006259AD"/>
    <w:rsid w:val="00627E1A"/>
    <w:rsid w:val="00631E65"/>
    <w:rsid w:val="00634E07"/>
    <w:rsid w:val="00682561"/>
    <w:rsid w:val="006B072C"/>
    <w:rsid w:val="006B7778"/>
    <w:rsid w:val="006D557F"/>
    <w:rsid w:val="006D5D6D"/>
    <w:rsid w:val="006E08B6"/>
    <w:rsid w:val="006E7BEB"/>
    <w:rsid w:val="0070276D"/>
    <w:rsid w:val="007122BF"/>
    <w:rsid w:val="0072725B"/>
    <w:rsid w:val="007318DC"/>
    <w:rsid w:val="007425C3"/>
    <w:rsid w:val="00772E5C"/>
    <w:rsid w:val="00776137"/>
    <w:rsid w:val="00790DBC"/>
    <w:rsid w:val="00792C2C"/>
    <w:rsid w:val="00794825"/>
    <w:rsid w:val="007B2BE7"/>
    <w:rsid w:val="007B2E30"/>
    <w:rsid w:val="007B6D1A"/>
    <w:rsid w:val="007C0EAF"/>
    <w:rsid w:val="007C1FB6"/>
    <w:rsid w:val="007E1335"/>
    <w:rsid w:val="007E6EC1"/>
    <w:rsid w:val="00807369"/>
    <w:rsid w:val="008612AE"/>
    <w:rsid w:val="00882E9E"/>
    <w:rsid w:val="00892C13"/>
    <w:rsid w:val="008C76E1"/>
    <w:rsid w:val="008D074E"/>
    <w:rsid w:val="008D2093"/>
    <w:rsid w:val="008E640B"/>
    <w:rsid w:val="008E6A24"/>
    <w:rsid w:val="008F5FB7"/>
    <w:rsid w:val="0090127E"/>
    <w:rsid w:val="00902390"/>
    <w:rsid w:val="00916381"/>
    <w:rsid w:val="00942073"/>
    <w:rsid w:val="009425BA"/>
    <w:rsid w:val="00945D0F"/>
    <w:rsid w:val="00950715"/>
    <w:rsid w:val="0095421D"/>
    <w:rsid w:val="0095656E"/>
    <w:rsid w:val="00957C23"/>
    <w:rsid w:val="00962BBF"/>
    <w:rsid w:val="00964592"/>
    <w:rsid w:val="0097156F"/>
    <w:rsid w:val="009725E8"/>
    <w:rsid w:val="00985A7A"/>
    <w:rsid w:val="00993CDA"/>
    <w:rsid w:val="009A5E0F"/>
    <w:rsid w:val="009B403B"/>
    <w:rsid w:val="009B642C"/>
    <w:rsid w:val="009D4DFC"/>
    <w:rsid w:val="009E5657"/>
    <w:rsid w:val="009F0235"/>
    <w:rsid w:val="00A016E5"/>
    <w:rsid w:val="00A11AEA"/>
    <w:rsid w:val="00A11B8C"/>
    <w:rsid w:val="00A14472"/>
    <w:rsid w:val="00A20BFD"/>
    <w:rsid w:val="00A335BB"/>
    <w:rsid w:val="00A33BB4"/>
    <w:rsid w:val="00A34834"/>
    <w:rsid w:val="00A410F4"/>
    <w:rsid w:val="00A422F6"/>
    <w:rsid w:val="00A45F8A"/>
    <w:rsid w:val="00A66AA6"/>
    <w:rsid w:val="00A7544A"/>
    <w:rsid w:val="00A948AA"/>
    <w:rsid w:val="00AA3728"/>
    <w:rsid w:val="00AB1839"/>
    <w:rsid w:val="00AD624F"/>
    <w:rsid w:val="00AD79EB"/>
    <w:rsid w:val="00AE07B7"/>
    <w:rsid w:val="00AE1046"/>
    <w:rsid w:val="00AE1A2D"/>
    <w:rsid w:val="00AE21F0"/>
    <w:rsid w:val="00AF29A7"/>
    <w:rsid w:val="00AF431D"/>
    <w:rsid w:val="00B2280C"/>
    <w:rsid w:val="00B258EF"/>
    <w:rsid w:val="00B31840"/>
    <w:rsid w:val="00B354CE"/>
    <w:rsid w:val="00B35EB0"/>
    <w:rsid w:val="00B5742F"/>
    <w:rsid w:val="00B66F77"/>
    <w:rsid w:val="00B80677"/>
    <w:rsid w:val="00BA26F0"/>
    <w:rsid w:val="00BC1F1F"/>
    <w:rsid w:val="00BC5B90"/>
    <w:rsid w:val="00BD134B"/>
    <w:rsid w:val="00BE0598"/>
    <w:rsid w:val="00BE4C44"/>
    <w:rsid w:val="00BE7B04"/>
    <w:rsid w:val="00C023FD"/>
    <w:rsid w:val="00C1707E"/>
    <w:rsid w:val="00C26BCD"/>
    <w:rsid w:val="00C43D25"/>
    <w:rsid w:val="00C53C9C"/>
    <w:rsid w:val="00C63C42"/>
    <w:rsid w:val="00C70C78"/>
    <w:rsid w:val="00C75350"/>
    <w:rsid w:val="00C81278"/>
    <w:rsid w:val="00C92076"/>
    <w:rsid w:val="00CA2F93"/>
    <w:rsid w:val="00CC5433"/>
    <w:rsid w:val="00CD1BD6"/>
    <w:rsid w:val="00CE106D"/>
    <w:rsid w:val="00CF1BCA"/>
    <w:rsid w:val="00D1292B"/>
    <w:rsid w:val="00D53566"/>
    <w:rsid w:val="00D55744"/>
    <w:rsid w:val="00D70280"/>
    <w:rsid w:val="00D77007"/>
    <w:rsid w:val="00D840C4"/>
    <w:rsid w:val="00DA6A64"/>
    <w:rsid w:val="00DA7ADB"/>
    <w:rsid w:val="00DB7688"/>
    <w:rsid w:val="00DC5756"/>
    <w:rsid w:val="00DC6A4F"/>
    <w:rsid w:val="00DD68BE"/>
    <w:rsid w:val="00DF203A"/>
    <w:rsid w:val="00DF67C1"/>
    <w:rsid w:val="00E52957"/>
    <w:rsid w:val="00E65D2F"/>
    <w:rsid w:val="00E71EFA"/>
    <w:rsid w:val="00EA7812"/>
    <w:rsid w:val="00EB1ECD"/>
    <w:rsid w:val="00ED4F12"/>
    <w:rsid w:val="00EF567C"/>
    <w:rsid w:val="00EF7D94"/>
    <w:rsid w:val="00F11597"/>
    <w:rsid w:val="00F21EAE"/>
    <w:rsid w:val="00F23030"/>
    <w:rsid w:val="00F244BB"/>
    <w:rsid w:val="00F37B6F"/>
    <w:rsid w:val="00F37CAC"/>
    <w:rsid w:val="00F45404"/>
    <w:rsid w:val="00F51DBA"/>
    <w:rsid w:val="00F5263A"/>
    <w:rsid w:val="00F65359"/>
    <w:rsid w:val="00F65C07"/>
    <w:rsid w:val="00F67028"/>
    <w:rsid w:val="00F67A2C"/>
    <w:rsid w:val="00F727C7"/>
    <w:rsid w:val="00F9449A"/>
    <w:rsid w:val="00F95ABF"/>
    <w:rsid w:val="00FE4A3E"/>
    <w:rsid w:val="01DB434E"/>
    <w:rsid w:val="02505549"/>
    <w:rsid w:val="025A1A0E"/>
    <w:rsid w:val="02B04759"/>
    <w:rsid w:val="04FC23F3"/>
    <w:rsid w:val="05B347DC"/>
    <w:rsid w:val="06E835F7"/>
    <w:rsid w:val="078926E2"/>
    <w:rsid w:val="07E778CA"/>
    <w:rsid w:val="07F46824"/>
    <w:rsid w:val="08CA67DF"/>
    <w:rsid w:val="08F13204"/>
    <w:rsid w:val="08F576CB"/>
    <w:rsid w:val="0A4866D0"/>
    <w:rsid w:val="0A8E6F0E"/>
    <w:rsid w:val="0A9A38CE"/>
    <w:rsid w:val="0B0010DA"/>
    <w:rsid w:val="0B4C6956"/>
    <w:rsid w:val="0B5A12B6"/>
    <w:rsid w:val="0BAC12EB"/>
    <w:rsid w:val="0C410EA5"/>
    <w:rsid w:val="0D8116DE"/>
    <w:rsid w:val="0E274A96"/>
    <w:rsid w:val="0EAD6E08"/>
    <w:rsid w:val="0EB217EF"/>
    <w:rsid w:val="0F3930AA"/>
    <w:rsid w:val="0FE557E4"/>
    <w:rsid w:val="10085E52"/>
    <w:rsid w:val="10FB578E"/>
    <w:rsid w:val="11BF2759"/>
    <w:rsid w:val="13CC49C6"/>
    <w:rsid w:val="14D972B5"/>
    <w:rsid w:val="14EC08FF"/>
    <w:rsid w:val="151E2293"/>
    <w:rsid w:val="15AC6033"/>
    <w:rsid w:val="15B305CC"/>
    <w:rsid w:val="17125DA7"/>
    <w:rsid w:val="1769612C"/>
    <w:rsid w:val="176C0E13"/>
    <w:rsid w:val="1A6627AB"/>
    <w:rsid w:val="1A8C3E4C"/>
    <w:rsid w:val="1AC14286"/>
    <w:rsid w:val="1ADA0CB9"/>
    <w:rsid w:val="1B8D32EB"/>
    <w:rsid w:val="1C063260"/>
    <w:rsid w:val="1C68308B"/>
    <w:rsid w:val="1CE276BD"/>
    <w:rsid w:val="1D004958"/>
    <w:rsid w:val="1D726CFF"/>
    <w:rsid w:val="203866A1"/>
    <w:rsid w:val="2119095A"/>
    <w:rsid w:val="21421D01"/>
    <w:rsid w:val="220075A0"/>
    <w:rsid w:val="22F50FD7"/>
    <w:rsid w:val="25361EA3"/>
    <w:rsid w:val="26166079"/>
    <w:rsid w:val="269D2D47"/>
    <w:rsid w:val="26AC047F"/>
    <w:rsid w:val="27500C72"/>
    <w:rsid w:val="27FD27F9"/>
    <w:rsid w:val="280D5608"/>
    <w:rsid w:val="28B00D83"/>
    <w:rsid w:val="28C01D96"/>
    <w:rsid w:val="2AB95941"/>
    <w:rsid w:val="2ABC6414"/>
    <w:rsid w:val="2AF84D8D"/>
    <w:rsid w:val="2D2C6D7A"/>
    <w:rsid w:val="2DEF4A1F"/>
    <w:rsid w:val="2F3A012D"/>
    <w:rsid w:val="2F93078B"/>
    <w:rsid w:val="2FFD3C00"/>
    <w:rsid w:val="307578E4"/>
    <w:rsid w:val="30D23E37"/>
    <w:rsid w:val="30E64908"/>
    <w:rsid w:val="30F03510"/>
    <w:rsid w:val="312F64A3"/>
    <w:rsid w:val="322A2B63"/>
    <w:rsid w:val="32D53070"/>
    <w:rsid w:val="3427237C"/>
    <w:rsid w:val="343C7DB6"/>
    <w:rsid w:val="34B64BCC"/>
    <w:rsid w:val="35254EA4"/>
    <w:rsid w:val="358E19EB"/>
    <w:rsid w:val="35DC23A2"/>
    <w:rsid w:val="375271E8"/>
    <w:rsid w:val="37B71904"/>
    <w:rsid w:val="382C792D"/>
    <w:rsid w:val="3945175B"/>
    <w:rsid w:val="39D40903"/>
    <w:rsid w:val="3A4820C8"/>
    <w:rsid w:val="3BCA3EEE"/>
    <w:rsid w:val="3BF21CDC"/>
    <w:rsid w:val="3C526FDA"/>
    <w:rsid w:val="3E0C767D"/>
    <w:rsid w:val="3EDE5F9D"/>
    <w:rsid w:val="3F557D77"/>
    <w:rsid w:val="3F653ECD"/>
    <w:rsid w:val="3FA73D0E"/>
    <w:rsid w:val="40B1193E"/>
    <w:rsid w:val="40B70C0B"/>
    <w:rsid w:val="411C56CB"/>
    <w:rsid w:val="41A24648"/>
    <w:rsid w:val="42B750E0"/>
    <w:rsid w:val="42E171A3"/>
    <w:rsid w:val="450E0883"/>
    <w:rsid w:val="45C149C9"/>
    <w:rsid w:val="46170712"/>
    <w:rsid w:val="46C97F82"/>
    <w:rsid w:val="476A20C4"/>
    <w:rsid w:val="49C75B91"/>
    <w:rsid w:val="4A1672AB"/>
    <w:rsid w:val="4B2411D6"/>
    <w:rsid w:val="4C536B94"/>
    <w:rsid w:val="4CEF3CF8"/>
    <w:rsid w:val="4D9D7117"/>
    <w:rsid w:val="4E1B15A0"/>
    <w:rsid w:val="4E841886"/>
    <w:rsid w:val="4F1047DD"/>
    <w:rsid w:val="51025EEC"/>
    <w:rsid w:val="51773CFC"/>
    <w:rsid w:val="51EB37D7"/>
    <w:rsid w:val="5208160E"/>
    <w:rsid w:val="525C2B2E"/>
    <w:rsid w:val="52CB4273"/>
    <w:rsid w:val="53335B41"/>
    <w:rsid w:val="559558C2"/>
    <w:rsid w:val="566A5FED"/>
    <w:rsid w:val="56BD391A"/>
    <w:rsid w:val="56E35A9C"/>
    <w:rsid w:val="591D3BA7"/>
    <w:rsid w:val="596E7B6E"/>
    <w:rsid w:val="5AA9798C"/>
    <w:rsid w:val="5B244A5A"/>
    <w:rsid w:val="5B621989"/>
    <w:rsid w:val="5B74382F"/>
    <w:rsid w:val="5C691376"/>
    <w:rsid w:val="5C7134DE"/>
    <w:rsid w:val="5C8367F9"/>
    <w:rsid w:val="5CAF735A"/>
    <w:rsid w:val="5E352002"/>
    <w:rsid w:val="5E6723DF"/>
    <w:rsid w:val="5EB10811"/>
    <w:rsid w:val="5F1C7AED"/>
    <w:rsid w:val="5F90413A"/>
    <w:rsid w:val="60565855"/>
    <w:rsid w:val="60895ECA"/>
    <w:rsid w:val="60F56473"/>
    <w:rsid w:val="60F86FD4"/>
    <w:rsid w:val="610A4B5F"/>
    <w:rsid w:val="61601390"/>
    <w:rsid w:val="616E4CF3"/>
    <w:rsid w:val="61ED3E3C"/>
    <w:rsid w:val="633B3EAB"/>
    <w:rsid w:val="647916AF"/>
    <w:rsid w:val="64805AB6"/>
    <w:rsid w:val="64B31810"/>
    <w:rsid w:val="650D1C96"/>
    <w:rsid w:val="6518479E"/>
    <w:rsid w:val="65853E6F"/>
    <w:rsid w:val="65F62BC5"/>
    <w:rsid w:val="6642520A"/>
    <w:rsid w:val="66882038"/>
    <w:rsid w:val="66CC144B"/>
    <w:rsid w:val="67236075"/>
    <w:rsid w:val="688641BC"/>
    <w:rsid w:val="69FA48EF"/>
    <w:rsid w:val="6AB32E4C"/>
    <w:rsid w:val="6B2D7184"/>
    <w:rsid w:val="6C965D84"/>
    <w:rsid w:val="6E452348"/>
    <w:rsid w:val="6FA96611"/>
    <w:rsid w:val="71EB3F0D"/>
    <w:rsid w:val="72F15351"/>
    <w:rsid w:val="737532B3"/>
    <w:rsid w:val="73AC73AC"/>
    <w:rsid w:val="742A7635"/>
    <w:rsid w:val="743773CC"/>
    <w:rsid w:val="749123F0"/>
    <w:rsid w:val="74FF5FC2"/>
    <w:rsid w:val="7551759F"/>
    <w:rsid w:val="76173E55"/>
    <w:rsid w:val="76731A9E"/>
    <w:rsid w:val="773B0D0D"/>
    <w:rsid w:val="77CA4249"/>
    <w:rsid w:val="78412583"/>
    <w:rsid w:val="7855496E"/>
    <w:rsid w:val="78C52C06"/>
    <w:rsid w:val="79A1156A"/>
    <w:rsid w:val="79A5544F"/>
    <w:rsid w:val="79B6126F"/>
    <w:rsid w:val="79C6269C"/>
    <w:rsid w:val="7A4E6CB4"/>
    <w:rsid w:val="7AA8546C"/>
    <w:rsid w:val="7ABD0011"/>
    <w:rsid w:val="7B521D5B"/>
    <w:rsid w:val="7B5A74E2"/>
    <w:rsid w:val="7B6D1EB3"/>
    <w:rsid w:val="7B853AC8"/>
    <w:rsid w:val="7C5E37E6"/>
    <w:rsid w:val="7DB36B56"/>
    <w:rsid w:val="7DD46915"/>
    <w:rsid w:val="7DF22565"/>
    <w:rsid w:val="7EBE4303"/>
    <w:rsid w:val="7F0707C4"/>
    <w:rsid w:val="7F177BDD"/>
    <w:rsid w:val="7F436895"/>
    <w:rsid w:val="7F590637"/>
    <w:rsid w:val="7F78421F"/>
    <w:rsid w:val="7FF55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6">
    <w:name w:val="heading 2"/>
    <w:basedOn w:val="1"/>
    <w:next w:val="1"/>
    <w:link w:val="3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unhideWhenUsed/>
    <w:qFormat/>
    <w:uiPriority w:val="0"/>
    <w:pPr>
      <w:keepNext/>
      <w:keepLines/>
      <w:spacing w:line="416" w:lineRule="auto"/>
      <w:outlineLvl w:val="2"/>
    </w:pPr>
    <w:rPr>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table" w:styleId="12">
    <w:name w:val="Table Grid"/>
    <w:basedOn w:val="1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9">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character" w:customStyle="1" w:styleId="20">
    <w:name w:val="red"/>
    <w:basedOn w:val="13"/>
    <w:qFormat/>
    <w:uiPriority w:val="0"/>
    <w:rPr>
      <w:color w:val="FF0000"/>
      <w:sz w:val="18"/>
      <w:szCs w:val="18"/>
    </w:rPr>
  </w:style>
  <w:style w:type="character" w:customStyle="1" w:styleId="21">
    <w:name w:val="red1"/>
    <w:basedOn w:val="13"/>
    <w:qFormat/>
    <w:uiPriority w:val="0"/>
    <w:rPr>
      <w:color w:val="FF0000"/>
      <w:sz w:val="18"/>
      <w:szCs w:val="18"/>
    </w:rPr>
  </w:style>
  <w:style w:type="character" w:customStyle="1" w:styleId="22">
    <w:name w:val="red2"/>
    <w:basedOn w:val="13"/>
    <w:qFormat/>
    <w:uiPriority w:val="0"/>
    <w:rPr>
      <w:color w:val="CC0000"/>
    </w:rPr>
  </w:style>
  <w:style w:type="character" w:customStyle="1" w:styleId="23">
    <w:name w:val="red3"/>
    <w:basedOn w:val="13"/>
    <w:qFormat/>
    <w:uiPriority w:val="0"/>
    <w:rPr>
      <w:color w:val="FF0000"/>
    </w:rPr>
  </w:style>
  <w:style w:type="character" w:customStyle="1" w:styleId="24">
    <w:name w:val="hover25"/>
    <w:basedOn w:val="13"/>
    <w:qFormat/>
    <w:uiPriority w:val="0"/>
  </w:style>
  <w:style w:type="character" w:customStyle="1" w:styleId="25">
    <w:name w:val="green"/>
    <w:basedOn w:val="13"/>
    <w:qFormat/>
    <w:uiPriority w:val="0"/>
    <w:rPr>
      <w:color w:val="66AE00"/>
      <w:sz w:val="18"/>
      <w:szCs w:val="18"/>
    </w:rPr>
  </w:style>
  <w:style w:type="character" w:customStyle="1" w:styleId="26">
    <w:name w:val="green1"/>
    <w:basedOn w:val="13"/>
    <w:qFormat/>
    <w:uiPriority w:val="0"/>
    <w:rPr>
      <w:color w:val="66AE00"/>
      <w:sz w:val="18"/>
      <w:szCs w:val="18"/>
    </w:rPr>
  </w:style>
  <w:style w:type="character" w:customStyle="1" w:styleId="27">
    <w:name w:val="blue"/>
    <w:basedOn w:val="13"/>
    <w:qFormat/>
    <w:uiPriority w:val="0"/>
    <w:rPr>
      <w:color w:val="0371C6"/>
      <w:sz w:val="21"/>
      <w:szCs w:val="21"/>
    </w:rPr>
  </w:style>
  <w:style w:type="character" w:customStyle="1" w:styleId="28">
    <w:name w:val="gb-jt"/>
    <w:basedOn w:val="13"/>
    <w:qFormat/>
    <w:uiPriority w:val="0"/>
  </w:style>
  <w:style w:type="character" w:customStyle="1" w:styleId="29">
    <w:name w:val="right"/>
    <w:basedOn w:val="13"/>
    <w:qFormat/>
    <w:uiPriority w:val="0"/>
    <w:rPr>
      <w:color w:val="999999"/>
      <w:sz w:val="18"/>
      <w:szCs w:val="18"/>
    </w:rPr>
  </w:style>
  <w:style w:type="character" w:customStyle="1" w:styleId="30">
    <w:name w:val="标题 2 Char"/>
    <w:basedOn w:val="13"/>
    <w:link w:val="6"/>
    <w:semiHidden/>
    <w:qFormat/>
    <w:uiPriority w:val="0"/>
    <w:rPr>
      <w:rFonts w:asciiTheme="majorHAnsi" w:hAnsiTheme="majorHAnsi" w:eastAsiaTheme="majorEastAsia" w:cstheme="majorBidi"/>
      <w:b/>
      <w:bCs/>
      <w:sz w:val="32"/>
      <w:szCs w:val="32"/>
    </w:rPr>
  </w:style>
  <w:style w:type="paragraph" w:styleId="31">
    <w:name w:val="List Paragraph"/>
    <w:basedOn w:val="1"/>
    <w:unhideWhenUsed/>
    <w:qFormat/>
    <w:uiPriority w:val="99"/>
    <w:pPr>
      <w:ind w:firstLine="420" w:firstLineChars="200"/>
    </w:pPr>
  </w:style>
  <w:style w:type="character" w:customStyle="1" w:styleId="32">
    <w:name w:val="hover24"/>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5230</Words>
  <Characters>29811</Characters>
  <Lines>248</Lines>
  <Paragraphs>69</Paragraphs>
  <TotalTime>16</TotalTime>
  <ScaleCrop>false</ScaleCrop>
  <LinksUpToDate>false</LinksUpToDate>
  <CharactersWithSpaces>34972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2019-10-12T08:16:00Z</dcterms:created>
  <dc:creator>Administrator</dc:creator>
  <cp:lastModifiedBy>风轻云淡</cp:lastModifiedBy>
  <cp:lastPrinted>2019-11-07T08:42:00Z</cp:lastPrinted>
  <dcterms:modified xsi:type="dcterms:W3CDTF">2020-01-08T12:46:58Z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