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48"/>
        </w:rPr>
      </w:pPr>
    </w:p>
    <w:p>
      <w:pPr>
        <w:pStyle w:val="2"/>
        <w:ind w:firstLine="340"/>
      </w:pPr>
    </w:p>
    <w:p>
      <w:pPr>
        <w:jc w:val="center"/>
        <w:rPr>
          <w:rFonts w:ascii="宋体" w:hAnsi="宋体" w:eastAsia="宋体" w:cs="宋体"/>
          <w:sz w:val="44"/>
          <w:szCs w:val="44"/>
        </w:rPr>
      </w:pPr>
      <w:r>
        <w:rPr>
          <w:rFonts w:hint="eastAsia" w:ascii="宋体" w:hAnsi="宋体" w:eastAsia="宋体" w:cs="宋体"/>
          <w:sz w:val="44"/>
          <w:szCs w:val="44"/>
        </w:rPr>
        <w:t>许昌经高科技发展有限公司“许昌经济技术</w:t>
      </w:r>
    </w:p>
    <w:p>
      <w:pPr>
        <w:jc w:val="center"/>
        <w:rPr>
          <w:rFonts w:ascii="宋体" w:hAnsi="宋体" w:eastAsia="宋体" w:cs="宋体"/>
          <w:sz w:val="48"/>
          <w:szCs w:val="48"/>
        </w:rPr>
      </w:pPr>
      <w:r>
        <w:rPr>
          <w:rFonts w:hint="eastAsia" w:ascii="宋体" w:hAnsi="宋体" w:eastAsia="宋体" w:cs="宋体"/>
          <w:sz w:val="44"/>
          <w:szCs w:val="44"/>
        </w:rPr>
        <w:t>开发区管委会智慧中心项目”</w:t>
      </w:r>
    </w:p>
    <w:p>
      <w:pPr>
        <w:jc w:val="center"/>
        <w:rPr>
          <w:rFonts w:ascii="宋体" w:hAnsi="宋体" w:eastAsia="宋体" w:cs="宋体"/>
          <w:sz w:val="48"/>
          <w:szCs w:val="48"/>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
          <w:bCs/>
          <w:sz w:val="90"/>
          <w:szCs w:val="90"/>
        </w:rPr>
      </w:pPr>
      <w:r>
        <w:rPr>
          <w:rFonts w:hint="eastAsia" w:asciiTheme="majorEastAsia" w:hAnsiTheme="majorEastAsia" w:eastAsiaTheme="majorEastAsia" w:cstheme="majorEastAsia"/>
          <w:b/>
          <w:bCs/>
          <w:sz w:val="90"/>
          <w:szCs w:val="9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hAnsi="宋体" w:cs="宋体"/>
        </w:rPr>
      </w:pPr>
    </w:p>
    <w:p>
      <w:pPr>
        <w:pStyle w:val="2"/>
        <w:ind w:firstLine="340"/>
      </w:pPr>
    </w:p>
    <w:p>
      <w:pPr>
        <w:pStyle w:val="2"/>
        <w:ind w:firstLine="340"/>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项目编号：GZCG-G2019030号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采购单位：许昌经高科技发展有限公司</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代理机构：河南永安工程管理有限公司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二〇一九年十二月</w:t>
      </w:r>
    </w:p>
    <w:p>
      <w:pPr>
        <w:pStyle w:val="2"/>
        <w:ind w:firstLine="340"/>
      </w:pPr>
    </w:p>
    <w:p>
      <w:pPr>
        <w:pStyle w:val="2"/>
        <w:ind w:firstLine="340"/>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2"/>
        <w:ind w:firstLine="0" w:firstLineChars="0"/>
      </w:pPr>
    </w:p>
    <w:p>
      <w:pPr>
        <w:widowControl/>
        <w:jc w:val="left"/>
        <w:rPr>
          <w:rFonts w:ascii="宋体" w:hAnsi="宋体" w:eastAsia="宋体" w:cs="宋体"/>
          <w:b/>
          <w:sz w:val="36"/>
          <w:szCs w:val="36"/>
        </w:rPr>
      </w:pPr>
      <w:r>
        <w:rPr>
          <w:rFonts w:ascii="宋体" w:hAnsi="宋体" w:cs="宋体"/>
          <w:b/>
          <w:sz w:val="36"/>
          <w:szCs w:val="36"/>
        </w:rPr>
        <w:br w:type="page"/>
      </w:r>
    </w:p>
    <w:p>
      <w:pPr>
        <w:pStyle w:val="24"/>
        <w:widowControl/>
        <w:spacing w:line="315" w:lineRule="atLeast"/>
        <w:jc w:val="center"/>
        <w:rPr>
          <w:rFonts w:ascii="宋体" w:hAnsi="宋体" w:cs="宋体"/>
          <w:b/>
          <w:sz w:val="36"/>
          <w:szCs w:val="36"/>
        </w:rPr>
      </w:pPr>
      <w:r>
        <w:rPr>
          <w:rFonts w:hint="eastAsia" w:ascii="宋体" w:hAnsi="宋体" w:cs="宋体"/>
          <w:b/>
          <w:sz w:val="36"/>
          <w:szCs w:val="36"/>
        </w:rPr>
        <w:t>第一章 投标邀请</w:t>
      </w:r>
    </w:p>
    <w:p>
      <w:pPr>
        <w:pStyle w:val="24"/>
        <w:widowControl/>
        <w:spacing w:before="240" w:line="360" w:lineRule="auto"/>
        <w:ind w:firstLine="472" w:firstLineChars="196"/>
        <w:jc w:val="left"/>
        <w:rPr>
          <w:rFonts w:cs="黑体" w:asciiTheme="minorEastAsia" w:hAnsiTheme="minorEastAsia" w:eastAsiaTheme="minorEastAsia"/>
          <w:b/>
          <w:bCs/>
        </w:rPr>
      </w:pPr>
      <w:r>
        <w:rPr>
          <w:rFonts w:hint="eastAsia" w:cs="黑体" w:asciiTheme="minorEastAsia" w:hAnsiTheme="minorEastAsia" w:eastAsiaTheme="minorEastAsia"/>
          <w:b/>
          <w:bCs/>
        </w:rPr>
        <w:t>一、项目基本情况</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（一）项目名称：许昌经济技术开发区管委会智慧中心项目</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（二）项目编号：GZCG-G2019030号</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（三）采购方式：公开招标</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（四）采购需求：许昌经济技术开发区管委会智慧中心项目。详见招标文件“项目需求”部分。</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（五）预算金额(最高限价)：15134842.41元</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（六）交付（服务、完工）时间：合同签订后210日历天。</w:t>
      </w:r>
    </w:p>
    <w:p>
      <w:pPr>
        <w:pStyle w:val="24"/>
        <w:widowControl/>
        <w:spacing w:line="360" w:lineRule="auto"/>
        <w:ind w:firstLine="420"/>
        <w:jc w:val="left"/>
        <w:rPr>
          <w:rFonts w:cs="仿宋_GB2312" w:asciiTheme="minorEastAsia" w:hAnsiTheme="minorEastAsia" w:eastAsiaTheme="minorEastAsia"/>
          <w:bCs/>
        </w:rPr>
      </w:pPr>
      <w:r>
        <w:rPr>
          <w:rFonts w:hint="eastAsia" w:cs="仿宋_GB2312" w:asciiTheme="minorEastAsia" w:hAnsiTheme="minorEastAsia" w:eastAsiaTheme="minorEastAsia"/>
        </w:rPr>
        <w:t>（七）交付（</w:t>
      </w:r>
      <w:r>
        <w:rPr>
          <w:rFonts w:cs="仿宋_GB2312" w:asciiTheme="minorEastAsia" w:hAnsiTheme="minorEastAsia" w:eastAsiaTheme="minorEastAsia"/>
        </w:rPr>
        <w:t>服务、施工）地点：</w:t>
      </w:r>
      <w:r>
        <w:rPr>
          <w:rFonts w:hint="eastAsia" w:cs="仿宋_GB2312" w:asciiTheme="minorEastAsia" w:hAnsiTheme="minorEastAsia" w:eastAsiaTheme="minorEastAsia"/>
        </w:rPr>
        <w:t>许昌经济技术开发区管委会智慧中心</w:t>
      </w:r>
      <w:r>
        <w:rPr>
          <w:rFonts w:hint="eastAsia" w:cs="仿宋_GB2312" w:asciiTheme="minorEastAsia" w:hAnsiTheme="minorEastAsia" w:eastAsiaTheme="minorEastAsia"/>
          <w:bCs/>
        </w:rPr>
        <w:t>。</w:t>
      </w:r>
    </w:p>
    <w:p>
      <w:pPr>
        <w:pStyle w:val="24"/>
        <w:widowControl/>
        <w:spacing w:line="360" w:lineRule="auto"/>
        <w:ind w:firstLine="420"/>
        <w:jc w:val="left"/>
        <w:rPr>
          <w:rFonts w:cs="黑体" w:asciiTheme="minorEastAsia" w:hAnsiTheme="minorEastAsia" w:eastAsiaTheme="minorEastAsia"/>
          <w:bCs/>
        </w:rPr>
      </w:pPr>
      <w:r>
        <w:rPr>
          <w:rFonts w:hint="eastAsia" w:cs="黑体" w:asciiTheme="minorEastAsia" w:hAnsiTheme="minorEastAsia" w:eastAsiaTheme="minorEastAsia"/>
          <w:bCs/>
        </w:rPr>
        <w:t>（八）进口产品：不允许。</w:t>
      </w:r>
    </w:p>
    <w:p>
      <w:pPr>
        <w:pStyle w:val="24"/>
        <w:widowControl/>
        <w:spacing w:line="360" w:lineRule="auto"/>
        <w:ind w:firstLine="420"/>
        <w:jc w:val="left"/>
        <w:rPr>
          <w:rFonts w:cs="黑体" w:asciiTheme="minorEastAsia" w:hAnsiTheme="minorEastAsia" w:eastAsiaTheme="minorEastAsia"/>
          <w:bCs/>
        </w:rPr>
      </w:pPr>
      <w:r>
        <w:rPr>
          <w:rFonts w:hint="eastAsia" w:cs="黑体" w:asciiTheme="minorEastAsia" w:hAnsiTheme="minorEastAsia" w:eastAsiaTheme="minorEastAsia"/>
          <w:bCs/>
        </w:rPr>
        <w:t>（九）分包：不允许。</w:t>
      </w:r>
    </w:p>
    <w:p>
      <w:pPr>
        <w:pStyle w:val="24"/>
        <w:widowControl/>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二、需要落实的政府采购政策</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本项目落实中小微型企业、</w:t>
      </w:r>
      <w:r>
        <w:rPr>
          <w:rFonts w:hint="eastAsia" w:ascii="宋体" w:hAnsi="宋体" w:cs="仿宋_GB2312"/>
        </w:rPr>
        <w:t>监狱企业、</w:t>
      </w:r>
      <w:r>
        <w:rPr>
          <w:rFonts w:hint="eastAsia" w:cs="仿宋_GB2312" w:asciiTheme="minorEastAsia" w:hAnsiTheme="minorEastAsia" w:eastAsiaTheme="minorEastAsia"/>
        </w:rPr>
        <w:t>残疾人福利性单位扶持等相关政府采购政策。</w:t>
      </w:r>
    </w:p>
    <w:p>
      <w:pPr>
        <w:pStyle w:val="24"/>
        <w:widowControl/>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三、投标人资格要求</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(一)具备《中华人民共和国政府采购法》第二十二条规定；</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pStyle w:val="24"/>
        <w:widowControl/>
        <w:spacing w:line="360" w:lineRule="auto"/>
        <w:ind w:firstLine="480" w:firstLineChars="200"/>
        <w:jc w:val="left"/>
        <w:rPr>
          <w:rFonts w:cs="仿宋_GB2312" w:asciiTheme="minorEastAsia" w:hAnsiTheme="minorEastAsia" w:eastAsiaTheme="minorEastAsia"/>
        </w:rPr>
      </w:pPr>
      <w:r>
        <w:rPr>
          <w:rFonts w:hint="eastAsia" w:cs="仿宋_GB2312" w:asciiTheme="minorEastAsia" w:hAnsiTheme="minorEastAsia" w:eastAsiaTheme="minorEastAsia"/>
        </w:rPr>
        <w:t>(三)本次招标不接受联合体投标。</w:t>
      </w:r>
    </w:p>
    <w:p>
      <w:pPr>
        <w:pStyle w:val="24"/>
        <w:widowControl/>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四、招标文件的获取</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（一）网上下载招标文件</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1、持CA数字认证证书，登录《全国公共资源交易平台（河南省·许昌市）》“系统用户注册”入口http://221.14.6.70:8088/ggzy/eps/public/RegistAllJcxx.html）进行免费注册登记（详见“常见问题解答-诚信库网上注册相关资料下载”）；</w:t>
      </w:r>
    </w:p>
    <w:p>
      <w:pPr>
        <w:pStyle w:val="24"/>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2、在投标截止时间前均可登录《全国公共资源交易平台（河南省·许昌市）》“投标人/供应商登录”入口（http://221.14.6.70:8088/ggzy/）自行下载招标文件（详见“常见问题解答-交易系统操作手册”）。</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（二）招标文件售价300元/套，投标人在递交投标文件时向采购代理机构交纳采购文件费用，售后不退。</w:t>
      </w:r>
    </w:p>
    <w:p>
      <w:pPr>
        <w:pStyle w:val="24"/>
        <w:widowControl/>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五、投标截止时间、开标时间及地点</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（一）投标截止及开标时间：2020年</w:t>
      </w:r>
      <w:r>
        <w:rPr>
          <w:rFonts w:hint="eastAsia" w:cs="仿宋_GB2312" w:asciiTheme="minorEastAsia" w:hAnsiTheme="minorEastAsia" w:eastAsiaTheme="minorEastAsia"/>
          <w:lang w:eastAsia="zh-CN"/>
        </w:rPr>
        <w:t>2月3日</w:t>
      </w:r>
      <w:r>
        <w:rPr>
          <w:rFonts w:hint="eastAsia" w:cs="仿宋_GB2312" w:asciiTheme="minorEastAsia" w:hAnsiTheme="minorEastAsia" w:eastAsiaTheme="minorEastAsia"/>
        </w:rPr>
        <w:t>8时30分（北京时间），逾期提交或不符合规定的投标文件不予接受。</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（二）开标地点：许昌市公共资源交易中心（龙兴路与竹林路交汇处创业服务中心C座）三楼</w:t>
      </w:r>
      <w:r>
        <w:rPr>
          <w:rFonts w:hint="eastAsia" w:cs="仿宋_GB2312" w:asciiTheme="minorEastAsia" w:hAnsiTheme="minorEastAsia" w:eastAsiaTheme="minorEastAsia"/>
          <w:lang w:eastAsia="zh-CN"/>
        </w:rPr>
        <w:t>开标一室</w:t>
      </w:r>
      <w:r>
        <w:rPr>
          <w:rFonts w:hint="eastAsia" w:cs="仿宋_GB2312" w:asciiTheme="minorEastAsia" w:hAnsiTheme="minorEastAsia" w:eastAsiaTheme="minorEastAsia"/>
        </w:rPr>
        <w:t>。</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（三）本项目为全流程电子化交易项目，投标人须提交电子投标文件和纸质投标文件。</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2、纸质投标文件（正本1份、副本1份）和备份文件2份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24"/>
        <w:widowControl/>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六、</w:t>
      </w:r>
      <w:r>
        <w:rPr>
          <w:rFonts w:hint="eastAsia" w:cs="黑体" w:asciiTheme="minorEastAsia" w:hAnsiTheme="minorEastAsia" w:eastAsiaTheme="minorEastAsia"/>
          <w:bCs/>
        </w:rPr>
        <w:t>本次招标公告同时在《河南省政府采购网》、《许昌市政府采购网》、《全国公共资源交易平台（河南省·许昌市）》发布。</w:t>
      </w:r>
    </w:p>
    <w:p>
      <w:pPr>
        <w:pStyle w:val="24"/>
        <w:widowControl/>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七、公告期限</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本招标公告自发布之日起公告期限为5个工作日。</w:t>
      </w:r>
    </w:p>
    <w:p>
      <w:pPr>
        <w:pStyle w:val="24"/>
        <w:widowControl/>
        <w:spacing w:line="360" w:lineRule="auto"/>
        <w:ind w:firstLine="420"/>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采购人：许昌经高科技发展有限公司</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地  址：许昌经济技术开发区瑞祥路中段</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联系人：宋京辉</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联系电话：18903746191</w:t>
      </w:r>
    </w:p>
    <w:p>
      <w:pPr>
        <w:pStyle w:val="24"/>
        <w:widowControl/>
        <w:spacing w:line="360" w:lineRule="auto"/>
        <w:ind w:firstLine="420"/>
        <w:jc w:val="left"/>
        <w:rPr>
          <w:rFonts w:cs="仿宋_GB2312" w:asciiTheme="minorEastAsia" w:hAnsiTheme="minorEastAsia" w:eastAsiaTheme="minorEastAsia"/>
        </w:rPr>
      </w:pPr>
      <w:r>
        <w:rPr>
          <w:rFonts w:hint="eastAsia" w:cs="仿宋_GB2312" w:asciiTheme="minorEastAsia" w:hAnsiTheme="minorEastAsia" w:eastAsiaTheme="minorEastAsia"/>
        </w:rPr>
        <w:t>代理机构：河南永安工程管理有限公司</w:t>
      </w:r>
    </w:p>
    <w:p>
      <w:pPr>
        <w:pStyle w:val="24"/>
        <w:widowControl/>
        <w:spacing w:line="360" w:lineRule="auto"/>
        <w:ind w:firstLine="420"/>
        <w:jc w:val="left"/>
        <w:rPr>
          <w:rFonts w:ascii="宋体" w:hAnsi="宋体" w:cs="仿宋_GB2312"/>
        </w:rPr>
      </w:pPr>
      <w:r>
        <w:rPr>
          <w:rFonts w:hint="eastAsia" w:ascii="宋体" w:hAnsi="宋体" w:cs="仿宋_GB2312"/>
        </w:rPr>
        <w:t>地    址：许昌市城乡一体化示范区元鼎国际B座1612</w:t>
      </w:r>
    </w:p>
    <w:p>
      <w:pPr>
        <w:pStyle w:val="24"/>
        <w:widowControl/>
        <w:spacing w:line="360" w:lineRule="auto"/>
        <w:ind w:firstLine="420"/>
        <w:jc w:val="left"/>
        <w:rPr>
          <w:rFonts w:ascii="宋体" w:hAnsi="宋体" w:cs="仿宋_GB2312"/>
        </w:rPr>
      </w:pPr>
      <w:r>
        <w:rPr>
          <w:rFonts w:hint="eastAsia" w:ascii="宋体" w:hAnsi="宋体" w:cs="仿宋_GB2312"/>
        </w:rPr>
        <w:t>联 系 人：蔡女士</w:t>
      </w:r>
    </w:p>
    <w:p>
      <w:pPr>
        <w:pStyle w:val="24"/>
        <w:widowControl/>
        <w:spacing w:line="360" w:lineRule="auto"/>
        <w:ind w:firstLine="420"/>
        <w:jc w:val="left"/>
        <w:rPr>
          <w:rFonts w:ascii="宋体" w:hAnsi="宋体" w:cs="仿宋_GB2312"/>
        </w:rPr>
      </w:pPr>
      <w:r>
        <w:rPr>
          <w:rFonts w:hint="eastAsia" w:ascii="宋体" w:hAnsi="宋体" w:cs="仿宋_GB2312"/>
        </w:rPr>
        <w:t>联系电话：0374-8318599</w:t>
      </w:r>
    </w:p>
    <w:p>
      <w:pPr>
        <w:pStyle w:val="24"/>
        <w:widowControl/>
        <w:spacing w:line="360" w:lineRule="auto"/>
        <w:ind w:firstLine="420"/>
        <w:jc w:val="left"/>
        <w:rPr>
          <w:rFonts w:cs="仿宋_GB2312" w:asciiTheme="minorEastAsia" w:hAnsiTheme="minorEastAsia" w:eastAsiaTheme="minorEastAsia"/>
        </w:rPr>
      </w:pPr>
    </w:p>
    <w:p>
      <w:pPr>
        <w:autoSpaceDE w:val="0"/>
        <w:autoSpaceDN w:val="0"/>
        <w:adjustRightInd w:val="0"/>
        <w:spacing w:line="360" w:lineRule="auto"/>
        <w:ind w:firstLine="560"/>
        <w:jc w:val="right"/>
        <w:rPr>
          <w:rFonts w:cs="仿宋_GB2312" w:asciiTheme="minorEastAsia" w:hAnsiTheme="minorEastAsia"/>
          <w:sz w:val="24"/>
          <w:szCs w:val="24"/>
        </w:rPr>
      </w:pPr>
      <w:r>
        <w:rPr>
          <w:rFonts w:hint="eastAsia" w:cs="仿宋_GB2312" w:asciiTheme="minorEastAsia" w:hAnsiTheme="minorEastAsia"/>
          <w:sz w:val="24"/>
        </w:rPr>
        <w:t>许昌经高科技发展有限公司</w:t>
      </w:r>
    </w:p>
    <w:p>
      <w:pPr>
        <w:wordWrap w:val="0"/>
        <w:autoSpaceDE w:val="0"/>
        <w:autoSpaceDN w:val="0"/>
        <w:adjustRightInd w:val="0"/>
        <w:spacing w:line="360" w:lineRule="auto"/>
        <w:ind w:firstLine="560"/>
        <w:jc w:val="right"/>
        <w:rPr>
          <w:rFonts w:hAnsi="宋体"/>
          <w:b/>
          <w:sz w:val="28"/>
          <w:szCs w:val="28"/>
        </w:rPr>
      </w:pPr>
      <w:r>
        <w:rPr>
          <w:rFonts w:hint="eastAsia" w:cs="仿宋_GB2312" w:asciiTheme="minorEastAsia" w:hAnsiTheme="minorEastAsia"/>
          <w:sz w:val="24"/>
          <w:szCs w:val="24"/>
        </w:rPr>
        <w:t>2019年12月</w:t>
      </w:r>
      <w:r>
        <w:rPr>
          <w:rFonts w:hint="eastAsia" w:cs="仿宋_GB2312" w:asciiTheme="minorEastAsia" w:hAnsiTheme="minorEastAsia"/>
          <w:sz w:val="24"/>
          <w:szCs w:val="24"/>
          <w:lang w:val="en-US" w:eastAsia="zh-CN"/>
        </w:rPr>
        <w:t>31</w:t>
      </w:r>
      <w:r>
        <w:rPr>
          <w:rFonts w:hint="eastAsia" w:cs="仿宋_GB2312" w:asciiTheme="minorEastAsia" w:hAnsiTheme="minorEastAsia"/>
          <w:sz w:val="24"/>
          <w:szCs w:val="24"/>
        </w:rPr>
        <w:t xml:space="preserve">日  </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szCs w:val="24"/>
        </w:rPr>
        <w:t>http://221.14.6.70:8088/ggzy/</w:t>
      </w:r>
      <w:r>
        <w:rPr>
          <w:rStyle w:val="33"/>
          <w:rFonts w:hAnsi="宋体"/>
          <w:color w:val="auto"/>
          <w:sz w:val="24"/>
          <w:szCs w:val="24"/>
        </w:rPr>
        <w:fldChar w:fldCharType="end"/>
      </w:r>
      <w:r>
        <w:rPr>
          <w:rFonts w:hint="eastAsia" w:hAnsi="宋体"/>
          <w:sz w:val="24"/>
          <w:szCs w:val="24"/>
        </w:rPr>
        <w:t>）下载“许昌投标文件制作系统SEARUN V1.1”，按招标文件要求制作电子投标文件。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hAnsi="宋体"/>
          <w:color w:val="auto"/>
          <w:sz w:val="24"/>
          <w:szCs w:val="24"/>
        </w:rPr>
        <w:t>http://221.14.6.70:8088/ggzy/</w:t>
      </w:r>
      <w:r>
        <w:rPr>
          <w:rStyle w:val="33"/>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全流程电子化交易如因系统异常情况无法完成，将以人工方式进行。评标委员会以纸质投标文件为依据评标。</w:t>
      </w:r>
    </w:p>
    <w:p>
      <w:pPr>
        <w:pStyle w:val="2"/>
        <w:ind w:firstLine="340"/>
      </w:pP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项目需求</w:t>
      </w:r>
    </w:p>
    <w:p>
      <w:pPr>
        <w:widowControl/>
        <w:spacing w:line="360" w:lineRule="auto"/>
        <w:ind w:firstLine="482" w:firstLineChars="200"/>
        <w:jc w:val="left"/>
        <w:rPr>
          <w:rFonts w:cs="黑体" w:asciiTheme="minorEastAsia" w:hAnsiTheme="minorEastAsia"/>
          <w:b/>
          <w:bCs/>
          <w:color w:val="000000"/>
          <w:sz w:val="24"/>
          <w:szCs w:val="24"/>
          <w:shd w:val="clear" w:color="auto" w:fill="FFFFFF"/>
        </w:rPr>
      </w:pPr>
      <w:bookmarkStart w:id="0" w:name="_Toc346208010"/>
      <w:bookmarkStart w:id="1" w:name="_Toc26739"/>
      <w:bookmarkStart w:id="2" w:name="_Toc297668007"/>
      <w:bookmarkStart w:id="3" w:name="_Toc261876241"/>
      <w:bookmarkStart w:id="4" w:name="_Toc268067962"/>
      <w:r>
        <w:rPr>
          <w:rFonts w:hint="eastAsia" w:hAnsi="宋体" w:cs="宋体"/>
          <w:b/>
          <w:bCs/>
          <w:sz w:val="24"/>
        </w:rPr>
        <w:t>一、</w:t>
      </w:r>
      <w:bookmarkEnd w:id="0"/>
      <w:bookmarkEnd w:id="1"/>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rPr>
          <w:rFonts w:hAnsi="宋体" w:cs="宋体"/>
          <w:sz w:val="24"/>
        </w:rPr>
      </w:pPr>
      <w:bookmarkStart w:id="5" w:name="_Toc598"/>
      <w:bookmarkStart w:id="6" w:name="_Toc346208011"/>
      <w:r>
        <w:rPr>
          <w:rFonts w:hint="eastAsia" w:hAnsi="宋体" w:cs="宋体"/>
          <w:sz w:val="24"/>
        </w:rPr>
        <w:t>按照党中央、国务院决策部署，牢固树立和贯彻落实创新、协调、绿色、开放、共享的发展理念，以促进简政放权、放管结合、优化服务改革措施落地为目标，进一步规范行政权力运行、优化政务服务供给，降低制度性交易成本，解决影响企业和群众办事创业的难点堵点，进一步激发社会和市场活力；以运用现代信息技术创新公共管理方式为手段，坚持问题导向，强化顶层设计，注重资源整合，优化各部门网上政务服务平台建设，促进网上政务服务运行规范、程序严密、过程透明、结果公开、监督有力，切实增强政务服务的主动性、精准性和便捷性，为推进政府治理的智慧化创新提供有力支撑和保障。</w:t>
      </w:r>
    </w:p>
    <w:bookmarkEnd w:id="5"/>
    <w:bookmarkEnd w:id="6"/>
    <w:p>
      <w:pPr>
        <w:spacing w:line="360" w:lineRule="auto"/>
        <w:ind w:firstLine="480" w:firstLineChars="200"/>
        <w:rPr>
          <w:rFonts w:hAnsi="宋体" w:cs="宋体"/>
          <w:sz w:val="24"/>
        </w:rPr>
      </w:pPr>
      <w:r>
        <w:rPr>
          <w:rFonts w:hint="eastAsia" w:hAnsi="宋体" w:cs="宋体"/>
          <w:sz w:val="24"/>
        </w:rPr>
        <w:t>为了进一步提升经开区对辖区内社会经济单元及社会发展的管控能力、进一步提升应用效能、进一步提升政府执法、服务水平，为经开区二次创业创造更好的条件，因此，国家许昌经济技术开发区管委会决定，对管委会大楼2层东侧原开发区办税大厅位置建设智慧联动中心项目。</w:t>
      </w:r>
    </w:p>
    <w:p>
      <w:pPr>
        <w:widowControl/>
        <w:spacing w:line="360" w:lineRule="auto"/>
        <w:ind w:firstLine="482" w:firstLineChars="200"/>
        <w:jc w:val="left"/>
        <w:rPr>
          <w:rFonts w:hAnsi="宋体" w:cs="宋体"/>
          <w:b/>
          <w:bCs/>
          <w:sz w:val="24"/>
        </w:rPr>
      </w:pPr>
      <w:r>
        <w:rPr>
          <w:rFonts w:hint="eastAsia" w:hAnsi="宋体" w:cs="宋体"/>
          <w:b/>
          <w:bCs/>
          <w:sz w:val="24"/>
        </w:rPr>
        <w:t>二、采购需求</w:t>
      </w:r>
    </w:p>
    <w:p>
      <w:pPr>
        <w:pStyle w:val="6"/>
        <w:spacing w:before="120" w:after="156"/>
        <w:ind w:firstLine="480" w:firstLineChars="200"/>
        <w:jc w:val="left"/>
        <w:rPr>
          <w:rFonts w:cs="宋体" w:asciiTheme="minorHAnsi" w:eastAsiaTheme="minorEastAsia"/>
          <w:b w:val="0"/>
          <w:color w:val="auto"/>
          <w:kern w:val="2"/>
          <w:szCs w:val="22"/>
          <w:lang w:val="en-US"/>
        </w:rPr>
      </w:pPr>
      <w:r>
        <w:rPr>
          <w:rFonts w:hint="eastAsia" w:cs="宋体" w:asciiTheme="minorHAnsi" w:eastAsiaTheme="minorEastAsia"/>
          <w:b w:val="0"/>
          <w:color w:val="auto"/>
          <w:kern w:val="2"/>
          <w:szCs w:val="22"/>
          <w:lang w:val="en-US"/>
        </w:rPr>
        <w:t>1、项目地址</w:t>
      </w:r>
    </w:p>
    <w:p>
      <w:pPr>
        <w:pStyle w:val="6"/>
        <w:spacing w:before="120" w:after="156"/>
        <w:ind w:firstLine="480" w:firstLineChars="200"/>
        <w:jc w:val="left"/>
        <w:rPr>
          <w:rFonts w:cs="宋体" w:asciiTheme="minorHAnsi" w:eastAsiaTheme="minorEastAsia"/>
          <w:b w:val="0"/>
          <w:color w:val="auto"/>
          <w:kern w:val="2"/>
          <w:szCs w:val="22"/>
          <w:lang w:val="en-US"/>
        </w:rPr>
      </w:pPr>
      <w:r>
        <w:rPr>
          <w:rFonts w:hint="eastAsia" w:cs="宋体" w:asciiTheme="minorHAnsi" w:eastAsiaTheme="minorEastAsia"/>
          <w:b w:val="0"/>
          <w:color w:val="auto"/>
          <w:kern w:val="2"/>
          <w:szCs w:val="22"/>
          <w:lang w:val="en-US"/>
        </w:rPr>
        <w:t>本项目位于许昌经济技术开发区管委会大楼2层东侧，原开发区办税大厅。</w:t>
      </w:r>
    </w:p>
    <w:p>
      <w:pPr>
        <w:pStyle w:val="6"/>
        <w:spacing w:before="120" w:after="156"/>
        <w:ind w:firstLine="480" w:firstLineChars="200"/>
        <w:jc w:val="left"/>
        <w:rPr>
          <w:rFonts w:cs="宋体" w:asciiTheme="minorHAnsi" w:eastAsiaTheme="minorEastAsia"/>
          <w:b w:val="0"/>
          <w:color w:val="auto"/>
          <w:kern w:val="2"/>
          <w:szCs w:val="22"/>
          <w:lang w:val="en-US"/>
        </w:rPr>
      </w:pPr>
      <w:r>
        <w:rPr>
          <w:rFonts w:hint="eastAsia" w:cs="宋体" w:asciiTheme="minorHAnsi" w:eastAsiaTheme="minorEastAsia"/>
          <w:b w:val="0"/>
          <w:color w:val="auto"/>
          <w:kern w:val="2"/>
          <w:szCs w:val="22"/>
          <w:lang w:val="en-US"/>
        </w:rPr>
        <w:t>2、项目建设内容</w:t>
      </w:r>
      <w:bookmarkEnd w:id="2"/>
      <w:bookmarkEnd w:id="3"/>
      <w:bookmarkEnd w:id="4"/>
      <w:bookmarkStart w:id="7" w:name="_Toc268067963"/>
      <w:bookmarkStart w:id="8" w:name="_Toc261876242"/>
      <w:bookmarkStart w:id="9" w:name="_Toc297668008"/>
    </w:p>
    <w:p>
      <w:pPr>
        <w:pStyle w:val="6"/>
        <w:spacing w:before="120" w:after="156"/>
        <w:ind w:firstLine="480" w:firstLineChars="200"/>
        <w:jc w:val="left"/>
        <w:rPr>
          <w:rFonts w:cs="宋体" w:asciiTheme="minorHAnsi" w:eastAsiaTheme="minorEastAsia"/>
          <w:b w:val="0"/>
          <w:color w:val="auto"/>
          <w:kern w:val="2"/>
          <w:szCs w:val="22"/>
          <w:lang w:val="en-US"/>
        </w:rPr>
      </w:pPr>
      <w:r>
        <w:rPr>
          <w:rFonts w:hint="eastAsia" w:cs="宋体" w:asciiTheme="minorHAnsi" w:eastAsiaTheme="minorEastAsia"/>
          <w:b w:val="0"/>
          <w:color w:val="auto"/>
          <w:kern w:val="2"/>
          <w:szCs w:val="22"/>
          <w:lang w:val="en-US"/>
        </w:rPr>
        <w:t>（1）由于本项目中，需要对管委会大楼2层</w:t>
      </w:r>
      <w:r>
        <w:rPr>
          <w:rFonts w:hint="eastAsia" w:cs="宋体" w:asciiTheme="minorHAnsi" w:eastAsiaTheme="minorEastAsia"/>
          <w:b w:val="0"/>
          <w:color w:val="auto"/>
          <w:kern w:val="2"/>
          <w:szCs w:val="22"/>
          <w:lang w:val="en-US" w:eastAsia="zh-CN"/>
        </w:rPr>
        <w:t>东侧</w:t>
      </w:r>
      <w:r>
        <w:rPr>
          <w:rFonts w:hint="eastAsia" w:cs="宋体" w:asciiTheme="minorHAnsi" w:eastAsiaTheme="minorEastAsia"/>
          <w:b w:val="0"/>
          <w:color w:val="auto"/>
          <w:kern w:val="2"/>
          <w:szCs w:val="22"/>
          <w:lang w:val="en-US"/>
        </w:rPr>
        <w:t>原开发区办税大厅内部分设施需要拆除及重装、需加装新风、空调等系统，并对有关部位进行加固等工序，同时开展智慧中心建设。</w:t>
      </w:r>
    </w:p>
    <w:p>
      <w:pPr>
        <w:spacing w:before="120" w:after="10" w:line="360" w:lineRule="auto"/>
        <w:rPr>
          <w:rFonts w:hAnsi="宋体" w:cs="宋体"/>
          <w:sz w:val="24"/>
        </w:rPr>
      </w:pPr>
      <w:r>
        <w:rPr>
          <w:rFonts w:hint="eastAsia" w:cs="宋体"/>
          <w:sz w:val="24"/>
        </w:rPr>
        <w:t xml:space="preserve">    </w:t>
      </w:r>
      <w:r>
        <w:rPr>
          <w:rFonts w:hint="eastAsia" w:hAnsi="宋体" w:cs="宋体"/>
          <w:sz w:val="24"/>
        </w:rPr>
        <w:t>（2）除上述内容外，主要建设内容：国标B级计算机机房一座，联动指挥大厅一座， 多功能会议室一个，大数据管理与应用平台系统一套，对与机房、指挥大厅、多功能会议室相对应的空间及附属空间的整修。</w:t>
      </w:r>
    </w:p>
    <w:bookmarkEnd w:id="7"/>
    <w:bookmarkEnd w:id="8"/>
    <w:tbl>
      <w:tblPr>
        <w:tblStyle w:val="2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055"/>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建设内容</w:t>
            </w:r>
          </w:p>
        </w:tc>
        <w:tc>
          <w:tcPr>
            <w:tcW w:w="1055" w:type="dxa"/>
            <w:vAlign w:val="center"/>
          </w:tcPr>
          <w:p>
            <w:pPr>
              <w:pStyle w:val="2"/>
              <w:spacing w:line="360" w:lineRule="auto"/>
              <w:ind w:firstLine="0" w:firstLineChars="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序号</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分项建设内容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计</w:t>
            </w:r>
          </w:p>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算</w:t>
            </w:r>
          </w:p>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机</w:t>
            </w:r>
          </w:p>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机</w:t>
            </w:r>
          </w:p>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房</w:t>
            </w: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模块架构设备、安装及调试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2</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机电配电设备、安装及调试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3</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制冷及空气调节设备、安装及调试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4</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弱电系统设备、安装及调试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5</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消防系统设备、安装及调试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6</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机房设备、安装及调试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Align w:val="center"/>
          </w:tcPr>
          <w:p>
            <w:pPr>
              <w:pStyle w:val="2"/>
              <w:spacing w:line="360" w:lineRule="auto"/>
              <w:ind w:left="239" w:leftChars="114" w:firstLine="0" w:firstLineChars="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指挥大厅</w:t>
            </w: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7</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指挥大厅设备、安装及系统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多功能会议厅</w:t>
            </w: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8</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多功能会议厅设备、安装及系统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数据管理与服务系统</w:t>
            </w: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9</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大数据基础系统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10</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数据资产服务系统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11</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数据应用服务平台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12</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大数据指挥大厅系统管理平台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noWrap/>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13</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数据信息安全系统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指挥大厅、多功能会议室及附属空间</w:t>
            </w:r>
          </w:p>
          <w:p>
            <w:pPr>
              <w:pStyle w:val="2"/>
              <w:spacing w:line="360" w:lineRule="auto"/>
              <w:ind w:firstLine="240"/>
              <w:jc w:val="center"/>
              <w:rPr>
                <w:rFonts w:hAnsi="宋体" w:cs="宋体" w:asciiTheme="minorHAnsi" w:eastAsiaTheme="minorEastAsia"/>
                <w:kern w:val="2"/>
                <w:sz w:val="24"/>
                <w:szCs w:val="22"/>
              </w:rPr>
            </w:pPr>
          </w:p>
        </w:tc>
        <w:tc>
          <w:tcPr>
            <w:tcW w:w="1055"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14</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整修（含机房加固）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15</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16</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17</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80" w:type="dxa"/>
            <w:vMerge w:val="continue"/>
            <w:vAlign w:val="center"/>
          </w:tcPr>
          <w:p>
            <w:pPr>
              <w:pStyle w:val="2"/>
              <w:spacing w:line="360" w:lineRule="auto"/>
              <w:ind w:firstLine="240"/>
              <w:jc w:val="center"/>
              <w:rPr>
                <w:rFonts w:hAnsi="宋体" w:cs="宋体" w:asciiTheme="minorHAnsi" w:eastAsiaTheme="minorEastAsia"/>
                <w:kern w:val="2"/>
                <w:sz w:val="24"/>
                <w:szCs w:val="22"/>
              </w:rPr>
            </w:pPr>
          </w:p>
        </w:tc>
        <w:tc>
          <w:tcPr>
            <w:tcW w:w="1055"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18</w:t>
            </w:r>
          </w:p>
        </w:tc>
        <w:tc>
          <w:tcPr>
            <w:tcW w:w="5864" w:type="dxa"/>
            <w:vAlign w:val="center"/>
          </w:tcPr>
          <w:p>
            <w:pPr>
              <w:pStyle w:val="2"/>
              <w:spacing w:line="360" w:lineRule="auto"/>
              <w:ind w:firstLine="240"/>
              <w:jc w:val="center"/>
              <w:rPr>
                <w:rFonts w:hAnsi="宋体" w:cs="宋体" w:asciiTheme="minorHAnsi" w:eastAsiaTheme="minorEastAsia"/>
                <w:kern w:val="2"/>
                <w:sz w:val="24"/>
                <w:szCs w:val="22"/>
              </w:rPr>
            </w:pPr>
            <w:r>
              <w:rPr>
                <w:rFonts w:hint="eastAsia" w:hAnsi="宋体" w:cs="宋体" w:asciiTheme="minorHAnsi" w:eastAsiaTheme="minorEastAsia"/>
                <w:kern w:val="2"/>
                <w:sz w:val="24"/>
                <w:szCs w:val="22"/>
              </w:rPr>
              <w:t>空调</w:t>
            </w:r>
          </w:p>
        </w:tc>
      </w:tr>
      <w:bookmarkEnd w:id="9"/>
    </w:tbl>
    <w:p>
      <w:pPr>
        <w:adjustRightInd w:val="0"/>
        <w:snapToGrid w:val="0"/>
        <w:ind w:firstLine="480" w:firstLineChars="200"/>
        <w:rPr>
          <w:rFonts w:hAnsi="宋体" w:cs="宋体"/>
          <w:sz w:val="24"/>
        </w:rPr>
      </w:pPr>
      <w:r>
        <w:rPr>
          <w:rFonts w:hint="eastAsia" w:hAnsi="宋体" w:cs="宋体"/>
          <w:sz w:val="24"/>
        </w:rPr>
        <w:t>3、采购清单</w:t>
      </w:r>
    </w:p>
    <w:p>
      <w:pPr>
        <w:pStyle w:val="2"/>
        <w:ind w:firstLine="321"/>
        <w:jc w:val="center"/>
        <w:rPr>
          <w:rFonts w:ascii="仿宋_GB2312" w:eastAsia="仿宋_GB2312"/>
          <w:b/>
          <w:sz w:val="32"/>
          <w:szCs w:val="32"/>
        </w:rPr>
      </w:pPr>
      <w:r>
        <w:rPr>
          <w:rFonts w:hint="eastAsia" w:ascii="仿宋_GB2312" w:eastAsia="仿宋_GB2312"/>
          <w:b/>
          <w:sz w:val="32"/>
          <w:szCs w:val="32"/>
        </w:rPr>
        <w:t>标准化机房采购清单</w:t>
      </w:r>
    </w:p>
    <w:tbl>
      <w:tblPr>
        <w:tblStyle w:val="26"/>
        <w:tblW w:w="87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
        <w:gridCol w:w="338"/>
        <w:gridCol w:w="73"/>
        <w:gridCol w:w="15"/>
        <w:gridCol w:w="1412"/>
        <w:gridCol w:w="1423"/>
        <w:gridCol w:w="77"/>
        <w:gridCol w:w="437"/>
        <w:gridCol w:w="513"/>
        <w:gridCol w:w="2768"/>
        <w:gridCol w:w="720"/>
        <w:gridCol w:w="4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98" w:type="dxa"/>
            <w:gridSpan w:val="13"/>
            <w:shd w:val="clear" w:color="auto" w:fill="FFFFFF"/>
            <w:noWrap/>
            <w:vAlign w:val="center"/>
          </w:tcPr>
          <w:p>
            <w:pPr>
              <w:widowControl/>
              <w:jc w:val="center"/>
              <w:rPr>
                <w:rFonts w:hAnsi="宋体" w:cs="宋体"/>
                <w:szCs w:val="21"/>
              </w:rPr>
            </w:pPr>
            <w:r>
              <w:rPr>
                <w:rFonts w:hint="eastAsia" w:hAnsi="宋体" w:cs="宋体"/>
                <w:b/>
                <w:bCs/>
                <w:szCs w:val="21"/>
              </w:rPr>
              <w:t>标准化机房-模块架构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98" w:type="dxa"/>
            <w:gridSpan w:val="3"/>
            <w:shd w:val="clear" w:color="auto" w:fill="FFFFFF"/>
            <w:noWrap/>
            <w:vAlign w:val="center"/>
          </w:tcPr>
          <w:p>
            <w:pPr>
              <w:widowControl/>
              <w:jc w:val="center"/>
              <w:rPr>
                <w:rFonts w:hAnsi="宋体" w:cs="宋体"/>
                <w:szCs w:val="21"/>
              </w:rPr>
            </w:pPr>
            <w:r>
              <w:rPr>
                <w:rFonts w:hint="eastAsia" w:hAnsi="宋体" w:cs="宋体"/>
                <w:szCs w:val="21"/>
              </w:rPr>
              <w:t>序号</w:t>
            </w:r>
          </w:p>
        </w:tc>
        <w:tc>
          <w:tcPr>
            <w:tcW w:w="2850" w:type="dxa"/>
            <w:gridSpan w:val="3"/>
            <w:shd w:val="clear" w:color="auto" w:fill="FFFFFF"/>
            <w:noWrap/>
            <w:vAlign w:val="center"/>
          </w:tcPr>
          <w:p>
            <w:pPr>
              <w:widowControl/>
              <w:jc w:val="center"/>
              <w:rPr>
                <w:rFonts w:hAnsi="宋体" w:cs="宋体"/>
                <w:szCs w:val="21"/>
              </w:rPr>
            </w:pPr>
            <w:r>
              <w:rPr>
                <w:rFonts w:hint="eastAsia" w:hAnsi="宋体" w:cs="宋体"/>
                <w:szCs w:val="21"/>
              </w:rPr>
              <w:t>产品名称</w:t>
            </w:r>
          </w:p>
        </w:tc>
        <w:tc>
          <w:tcPr>
            <w:tcW w:w="3795" w:type="dxa"/>
            <w:gridSpan w:val="4"/>
            <w:shd w:val="clear" w:color="auto" w:fill="FFFFFF"/>
            <w:noWrap/>
            <w:vAlign w:val="center"/>
          </w:tcPr>
          <w:p>
            <w:pPr>
              <w:widowControl/>
              <w:jc w:val="center"/>
              <w:rPr>
                <w:rFonts w:hAnsi="宋体" w:cs="宋体"/>
                <w:szCs w:val="21"/>
              </w:rPr>
            </w:pPr>
            <w:r>
              <w:rPr>
                <w:rFonts w:hint="eastAsia" w:hAnsi="宋体" w:cs="宋体"/>
                <w:szCs w:val="21"/>
              </w:rPr>
              <w:t>规格型号</w:t>
            </w:r>
          </w:p>
        </w:tc>
        <w:tc>
          <w:tcPr>
            <w:tcW w:w="720" w:type="dxa"/>
            <w:shd w:val="clear" w:color="auto" w:fill="FFFFFF"/>
            <w:noWrap/>
            <w:vAlign w:val="center"/>
          </w:tcPr>
          <w:p>
            <w:pPr>
              <w:widowControl/>
              <w:jc w:val="center"/>
              <w:rPr>
                <w:rFonts w:hAnsi="宋体" w:cs="宋体"/>
                <w:szCs w:val="21"/>
              </w:rPr>
            </w:pPr>
            <w:r>
              <w:rPr>
                <w:rFonts w:hint="eastAsia" w:hAnsi="宋体" w:cs="宋体"/>
                <w:szCs w:val="21"/>
              </w:rPr>
              <w:t>单位</w:t>
            </w:r>
          </w:p>
        </w:tc>
        <w:tc>
          <w:tcPr>
            <w:tcW w:w="735" w:type="dxa"/>
            <w:gridSpan w:val="2"/>
            <w:shd w:val="clear" w:color="auto" w:fill="FFFFFF"/>
            <w:noWrap/>
            <w:vAlign w:val="center"/>
          </w:tcPr>
          <w:p>
            <w:pPr>
              <w:widowControl/>
              <w:jc w:val="center"/>
              <w:rPr>
                <w:rFonts w:hAnsi="宋体" w:cs="宋体"/>
                <w:szCs w:val="21"/>
              </w:rPr>
            </w:pPr>
            <w:r>
              <w:rPr>
                <w:rFonts w:hint="eastAsia"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98" w:type="dxa"/>
            <w:gridSpan w:val="13"/>
            <w:shd w:val="clear" w:color="auto" w:fill="FFFFFF"/>
            <w:noWrap/>
            <w:vAlign w:val="center"/>
          </w:tcPr>
          <w:p>
            <w:pPr>
              <w:widowControl/>
              <w:jc w:val="left"/>
              <w:rPr>
                <w:rFonts w:hAnsi="宋体" w:cs="宋体"/>
                <w:szCs w:val="21"/>
              </w:rPr>
            </w:pPr>
            <w:r>
              <w:rPr>
                <w:rFonts w:hint="eastAsia" w:hAnsi="宋体" w:cs="宋体"/>
                <w:szCs w:val="21"/>
              </w:rPr>
              <w:t>一、核心机房-微模块架构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模块化柜体</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DT04-DC01-624456A</w:t>
            </w:r>
          </w:p>
        </w:tc>
        <w:tc>
          <w:tcPr>
            <w:tcW w:w="720" w:type="dxa"/>
            <w:shd w:val="clear" w:color="auto" w:fill="FFFFFF"/>
            <w:noWrap/>
            <w:vAlign w:val="center"/>
          </w:tcPr>
          <w:p>
            <w:pPr>
              <w:widowControl/>
              <w:jc w:val="center"/>
              <w:rPr>
                <w:rFonts w:hAnsi="宋体" w:cs="宋体"/>
                <w:szCs w:val="21"/>
              </w:rPr>
            </w:pPr>
            <w:r>
              <w:rPr>
                <w:rFonts w:hAnsi="宋体" w:cs="宋体"/>
                <w:szCs w:val="21"/>
              </w:rPr>
              <w:t>台</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2</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12侧板</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DT04-DC07-1244A</w:t>
            </w:r>
          </w:p>
        </w:tc>
        <w:tc>
          <w:tcPr>
            <w:tcW w:w="720" w:type="dxa"/>
            <w:shd w:val="clear" w:color="auto" w:fill="FFFFFF"/>
            <w:noWrap/>
            <w:vAlign w:val="center"/>
          </w:tcPr>
          <w:p>
            <w:pPr>
              <w:widowControl/>
              <w:jc w:val="center"/>
              <w:rPr>
                <w:rFonts w:hAnsi="宋体" w:cs="宋体"/>
                <w:szCs w:val="21"/>
              </w:rPr>
            </w:pPr>
            <w:r>
              <w:rPr>
                <w:rFonts w:hAnsi="宋体" w:cs="宋体"/>
                <w:szCs w:val="21"/>
              </w:rPr>
              <w:t>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3</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1U塑料盲板</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DT04-A03-1USA</w:t>
            </w:r>
          </w:p>
        </w:tc>
        <w:tc>
          <w:tcPr>
            <w:tcW w:w="720" w:type="dxa"/>
            <w:shd w:val="clear" w:color="auto" w:fill="FFFFFF"/>
            <w:noWrap/>
            <w:vAlign w:val="center"/>
          </w:tcPr>
          <w:p>
            <w:pPr>
              <w:widowControl/>
              <w:jc w:val="center"/>
              <w:rPr>
                <w:rFonts w:hAnsi="宋体" w:cs="宋体"/>
                <w:szCs w:val="21"/>
              </w:rPr>
            </w:pPr>
            <w:r>
              <w:rPr>
                <w:rFonts w:hAnsi="宋体" w:cs="宋体"/>
                <w:szCs w:val="21"/>
              </w:rPr>
              <w:t>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4</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翻转天窗</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DT04-DC02-1280LA</w:t>
            </w:r>
          </w:p>
        </w:tc>
        <w:tc>
          <w:tcPr>
            <w:tcW w:w="720" w:type="dxa"/>
            <w:shd w:val="clear" w:color="auto" w:fill="FFFFFF"/>
            <w:noWrap/>
            <w:vAlign w:val="center"/>
          </w:tcPr>
          <w:p>
            <w:pPr>
              <w:widowControl/>
              <w:jc w:val="center"/>
              <w:rPr>
                <w:rFonts w:hAnsi="宋体" w:cs="宋体"/>
                <w:szCs w:val="21"/>
              </w:rPr>
            </w:pPr>
            <w:r>
              <w:rPr>
                <w:rFonts w:hAnsi="宋体" w:cs="宋体"/>
                <w:szCs w:val="21"/>
              </w:rPr>
              <w:t>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5</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空调天窗</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DT04-DC02-1230AA</w:t>
            </w:r>
          </w:p>
        </w:tc>
        <w:tc>
          <w:tcPr>
            <w:tcW w:w="720" w:type="dxa"/>
            <w:shd w:val="clear" w:color="auto" w:fill="FFFFFF"/>
            <w:noWrap/>
            <w:vAlign w:val="center"/>
          </w:tcPr>
          <w:p>
            <w:pPr>
              <w:widowControl/>
              <w:jc w:val="center"/>
              <w:rPr>
                <w:rFonts w:hAnsi="宋体" w:cs="宋体"/>
                <w:szCs w:val="21"/>
              </w:rPr>
            </w:pPr>
            <w:r>
              <w:rPr>
                <w:rFonts w:hAnsi="宋体" w:cs="宋体"/>
                <w:szCs w:val="21"/>
              </w:rPr>
              <w:t>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6</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综合天窗</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DT04-DC02-1260SA</w:t>
            </w:r>
          </w:p>
        </w:tc>
        <w:tc>
          <w:tcPr>
            <w:tcW w:w="720" w:type="dxa"/>
            <w:shd w:val="clear" w:color="auto" w:fill="FFFFFF"/>
            <w:noWrap/>
            <w:vAlign w:val="center"/>
          </w:tcPr>
          <w:p>
            <w:pPr>
              <w:widowControl/>
              <w:jc w:val="center"/>
              <w:rPr>
                <w:rFonts w:hAnsi="宋体" w:cs="宋体"/>
                <w:szCs w:val="21"/>
              </w:rPr>
            </w:pPr>
            <w:r>
              <w:rPr>
                <w:rFonts w:hAnsi="宋体" w:cs="宋体"/>
                <w:szCs w:val="21"/>
              </w:rPr>
              <w:t>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7</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自动移门</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DT04-DC03-1212LA</w:t>
            </w:r>
          </w:p>
        </w:tc>
        <w:tc>
          <w:tcPr>
            <w:tcW w:w="720" w:type="dxa"/>
            <w:shd w:val="clear" w:color="auto" w:fill="FFFFFF"/>
            <w:noWrap/>
            <w:vAlign w:val="center"/>
          </w:tcPr>
          <w:p>
            <w:pPr>
              <w:widowControl/>
              <w:jc w:val="center"/>
              <w:rPr>
                <w:rFonts w:hAnsi="宋体" w:cs="宋体"/>
                <w:szCs w:val="21"/>
              </w:rPr>
            </w:pPr>
            <w:r>
              <w:rPr>
                <w:rFonts w:hAnsi="宋体" w:cs="宋体"/>
                <w:szCs w:val="21"/>
              </w:rPr>
              <w:t>樘</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8</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柜体底座</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定做</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9</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60顶部线槽</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DT04-A04-60A</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10</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30顶部线槽</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DT04-A04-30A</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11</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10A托盘</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DT04-A01-10AA</w:t>
            </w:r>
          </w:p>
        </w:tc>
        <w:tc>
          <w:tcPr>
            <w:tcW w:w="720" w:type="dxa"/>
            <w:shd w:val="clear" w:color="auto" w:fill="FFFFFF"/>
            <w:noWrap/>
            <w:vAlign w:val="center"/>
          </w:tcPr>
          <w:p>
            <w:pPr>
              <w:widowControl/>
              <w:jc w:val="center"/>
              <w:rPr>
                <w:rFonts w:hAnsi="宋体" w:cs="宋体"/>
                <w:szCs w:val="21"/>
              </w:rPr>
            </w:pPr>
            <w:r>
              <w:rPr>
                <w:rFonts w:hAnsi="宋体" w:cs="宋体"/>
                <w:szCs w:val="21"/>
              </w:rPr>
              <w:t>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12</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垂直安装板</w:t>
            </w:r>
          </w:p>
        </w:tc>
        <w:tc>
          <w:tcPr>
            <w:tcW w:w="3795" w:type="dxa"/>
            <w:gridSpan w:val="4"/>
            <w:shd w:val="clear" w:color="auto" w:fill="FFFFFF"/>
            <w:vAlign w:val="center"/>
          </w:tcPr>
          <w:p>
            <w:pPr>
              <w:widowControl/>
              <w:jc w:val="center"/>
              <w:rPr>
                <w:rFonts w:hAnsi="宋体" w:cs="宋体"/>
                <w:szCs w:val="21"/>
              </w:rPr>
            </w:pPr>
            <w:r>
              <w:rPr>
                <w:rFonts w:hAnsi="宋体" w:cs="宋体"/>
                <w:szCs w:val="21"/>
              </w:rPr>
              <w:t>DT04-DC05-1544A</w:t>
            </w:r>
          </w:p>
        </w:tc>
        <w:tc>
          <w:tcPr>
            <w:tcW w:w="720" w:type="dxa"/>
            <w:shd w:val="clear" w:color="auto" w:fill="FFFFFF"/>
            <w:noWrap/>
            <w:vAlign w:val="center"/>
          </w:tcPr>
          <w:p>
            <w:pPr>
              <w:widowControl/>
              <w:jc w:val="center"/>
              <w:rPr>
                <w:rFonts w:hAnsi="宋体" w:cs="宋体"/>
                <w:szCs w:val="21"/>
              </w:rPr>
            </w:pPr>
            <w:r>
              <w:rPr>
                <w:rFonts w:hAnsi="宋体" w:cs="宋体"/>
                <w:szCs w:val="21"/>
              </w:rPr>
              <w:t>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13</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通道控制箱</w:t>
            </w:r>
          </w:p>
        </w:tc>
        <w:tc>
          <w:tcPr>
            <w:tcW w:w="3795" w:type="dxa"/>
            <w:gridSpan w:val="4"/>
            <w:shd w:val="clear" w:color="auto" w:fill="FFFFFF"/>
            <w:vAlign w:val="center"/>
          </w:tcPr>
          <w:p>
            <w:pPr>
              <w:widowControl/>
              <w:jc w:val="center"/>
              <w:rPr>
                <w:rFonts w:hAnsi="宋体" w:cs="宋体"/>
                <w:szCs w:val="21"/>
              </w:rPr>
            </w:pPr>
            <w:r>
              <w:rPr>
                <w:rFonts w:hAnsi="宋体" w:cs="宋体"/>
                <w:szCs w:val="21"/>
              </w:rPr>
              <w:t>DT04-DC10-LA</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14</w:t>
            </w:r>
          </w:p>
        </w:tc>
        <w:tc>
          <w:tcPr>
            <w:tcW w:w="2850" w:type="dxa"/>
            <w:gridSpan w:val="3"/>
            <w:shd w:val="clear" w:color="auto" w:fill="FFFFFF"/>
            <w:vAlign w:val="center"/>
          </w:tcPr>
          <w:p>
            <w:pPr>
              <w:widowControl/>
              <w:jc w:val="center"/>
              <w:rPr>
                <w:rFonts w:hAnsi="宋体" w:cs="宋体"/>
                <w:szCs w:val="21"/>
              </w:rPr>
            </w:pPr>
            <w:r>
              <w:rPr>
                <w:rFonts w:hAnsi="宋体" w:cs="宋体"/>
                <w:szCs w:val="21"/>
              </w:rPr>
              <w:t>冷池照明</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DT04-DC08-12A</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15</w:t>
            </w:r>
          </w:p>
        </w:tc>
        <w:tc>
          <w:tcPr>
            <w:tcW w:w="2850" w:type="dxa"/>
            <w:gridSpan w:val="3"/>
            <w:shd w:val="clear" w:color="auto" w:fill="FFFFFF"/>
            <w:vAlign w:val="center"/>
          </w:tcPr>
          <w:p>
            <w:pPr>
              <w:widowControl/>
              <w:jc w:val="center"/>
              <w:rPr>
                <w:rFonts w:hAnsi="宋体" w:cs="宋体"/>
                <w:szCs w:val="21"/>
              </w:rPr>
            </w:pPr>
            <w:r>
              <w:rPr>
                <w:rFonts w:hAnsi="宋体" w:cs="宋体"/>
                <w:szCs w:val="21"/>
              </w:rPr>
              <w:t>背景照明</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DT04-DC09-44A</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16</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跨通道桥架</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DT04-DC13-12A</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8" w:type="dxa"/>
            <w:gridSpan w:val="3"/>
            <w:shd w:val="clear" w:color="auto" w:fill="FFFFFF"/>
            <w:noWrap/>
            <w:vAlign w:val="center"/>
          </w:tcPr>
          <w:p>
            <w:pPr>
              <w:widowControl/>
              <w:jc w:val="center"/>
              <w:rPr>
                <w:rFonts w:hAnsi="宋体" w:cs="宋体"/>
                <w:szCs w:val="21"/>
              </w:rPr>
            </w:pPr>
            <w:r>
              <w:rPr>
                <w:rFonts w:hAnsi="宋体" w:cs="宋体"/>
                <w:szCs w:val="21"/>
              </w:rPr>
              <w:t>17</w:t>
            </w:r>
          </w:p>
        </w:tc>
        <w:tc>
          <w:tcPr>
            <w:tcW w:w="2850" w:type="dxa"/>
            <w:gridSpan w:val="3"/>
            <w:shd w:val="clear" w:color="auto" w:fill="FFFFFF"/>
            <w:noWrap/>
            <w:vAlign w:val="center"/>
          </w:tcPr>
          <w:p>
            <w:pPr>
              <w:widowControl/>
              <w:jc w:val="center"/>
              <w:rPr>
                <w:rFonts w:hAnsi="宋体" w:cs="宋体"/>
                <w:szCs w:val="21"/>
              </w:rPr>
            </w:pPr>
            <w:r>
              <w:rPr>
                <w:rFonts w:hAnsi="宋体" w:cs="宋体"/>
                <w:szCs w:val="21"/>
              </w:rPr>
              <w:t>辅材</w:t>
            </w:r>
          </w:p>
        </w:tc>
        <w:tc>
          <w:tcPr>
            <w:tcW w:w="3795" w:type="dxa"/>
            <w:gridSpan w:val="4"/>
            <w:shd w:val="clear" w:color="auto" w:fill="FFFFFF"/>
            <w:noWrap/>
            <w:vAlign w:val="center"/>
          </w:tcPr>
          <w:p>
            <w:pPr>
              <w:widowControl/>
              <w:jc w:val="center"/>
              <w:rPr>
                <w:rFonts w:hAnsi="宋体" w:cs="宋体"/>
                <w:szCs w:val="21"/>
              </w:rPr>
            </w:pPr>
            <w:r>
              <w:rPr>
                <w:rFonts w:hAnsi="宋体" w:cs="宋体"/>
                <w:szCs w:val="21"/>
              </w:rPr>
              <w:t>定制</w:t>
            </w:r>
          </w:p>
        </w:tc>
        <w:tc>
          <w:tcPr>
            <w:tcW w:w="720" w:type="dxa"/>
            <w:shd w:val="clear" w:color="auto" w:fill="FFFFFF"/>
            <w:noWrap/>
            <w:vAlign w:val="center"/>
          </w:tcPr>
          <w:p>
            <w:pPr>
              <w:widowControl/>
              <w:jc w:val="center"/>
              <w:rPr>
                <w:rFonts w:hAnsi="宋体" w:cs="宋体"/>
                <w:szCs w:val="21"/>
              </w:rPr>
            </w:pPr>
            <w:r>
              <w:rPr>
                <w:rFonts w:hAnsi="宋体" w:cs="宋体"/>
                <w:szCs w:val="21"/>
              </w:rPr>
              <w:t>套</w:t>
            </w:r>
          </w:p>
        </w:tc>
        <w:tc>
          <w:tcPr>
            <w:tcW w:w="735" w:type="dxa"/>
            <w:gridSpan w:val="2"/>
            <w:shd w:val="clear" w:color="auto" w:fill="FFFFFF"/>
            <w:noWrap/>
            <w:vAlign w:val="center"/>
          </w:tcPr>
          <w:p>
            <w:pPr>
              <w:widowControl/>
              <w:jc w:val="center"/>
              <w:rPr>
                <w:rFonts w:hAnsi="宋体" w:cs="宋体"/>
                <w:szCs w:val="21"/>
              </w:rPr>
            </w:pPr>
            <w:r>
              <w:rPr>
                <w:rFonts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798" w:type="dxa"/>
            <w:gridSpan w:val="13"/>
            <w:shd w:val="clear" w:color="auto" w:fill="FFFFFF"/>
            <w:noWrap/>
            <w:vAlign w:val="center"/>
          </w:tcPr>
          <w:p>
            <w:pPr>
              <w:widowControl/>
              <w:spacing w:line="360" w:lineRule="exact"/>
              <w:jc w:val="center"/>
              <w:rPr>
                <w:rFonts w:hAnsi="宋体" w:cs="宋体"/>
                <w:szCs w:val="21"/>
              </w:rPr>
            </w:pPr>
            <w:r>
              <w:rPr>
                <w:rFonts w:hint="eastAsia" w:hAnsi="宋体" w:cs="宋体"/>
                <w:b/>
                <w:bCs/>
                <w:szCs w:val="21"/>
              </w:rPr>
              <w:t>标准化机房-机电配电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798" w:type="dxa"/>
            <w:gridSpan w:val="13"/>
            <w:shd w:val="clear" w:color="auto" w:fill="FFFFFF"/>
            <w:noWrap/>
            <w:vAlign w:val="center"/>
          </w:tcPr>
          <w:p>
            <w:pPr>
              <w:widowControl/>
              <w:spacing w:line="360" w:lineRule="exact"/>
              <w:jc w:val="left"/>
              <w:rPr>
                <w:rFonts w:hAnsi="宋体" w:cs="宋体"/>
                <w:szCs w:val="21"/>
              </w:rPr>
            </w:pPr>
            <w:r>
              <w:rPr>
                <w:rFonts w:hint="eastAsia" w:hAnsi="宋体" w:cs="宋体"/>
                <w:szCs w:val="21"/>
              </w:rPr>
              <w:t>一、核心机房-电气配线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800*600*2000mm</w:t>
            </w:r>
            <w:r>
              <w:rPr>
                <w:rStyle w:val="152"/>
                <w:rFonts w:hint="default"/>
                <w:color w:val="auto"/>
                <w:sz w:val="21"/>
                <w:szCs w:val="21"/>
                <w:lang w:bidi="ar"/>
              </w:rPr>
              <w:t>机房主市电配电柜</w:t>
            </w:r>
            <w:r>
              <w:rPr>
                <w:rStyle w:val="151"/>
                <w:color w:val="auto"/>
                <w:sz w:val="21"/>
                <w:szCs w:val="21"/>
                <w:lang w:bidi="ar"/>
              </w:rPr>
              <w:t>630A</w:t>
            </w:r>
            <w:r>
              <w:rPr>
                <w:rStyle w:val="152"/>
                <w:rFonts w:hint="default"/>
                <w:color w:val="auto"/>
                <w:sz w:val="21"/>
                <w:szCs w:val="21"/>
                <w:lang w:bidi="ar"/>
              </w:rPr>
              <w:t>互投柜</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定制</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800*600*2000mmUPS-A/B</w:t>
            </w:r>
            <w:r>
              <w:rPr>
                <w:rStyle w:val="152"/>
                <w:rFonts w:hint="default"/>
                <w:color w:val="auto"/>
                <w:sz w:val="21"/>
                <w:szCs w:val="21"/>
                <w:lang w:bidi="ar"/>
              </w:rPr>
              <w:t>输入输出柜</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定制</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全电路检测精密型配电柜</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定制</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精密空调室内机配线</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ZR-YJV 5X10mm2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精密空调室外机配线</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ZR-YJV 4X2.5mm2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市电柜输入电缆</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ZR-YJV 4*95+1*95mm2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精密型综合配电柜接入电缆</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ZR-YJV 4*35+1*70mm2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8</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AP-API</w:t>
            </w:r>
            <w:r>
              <w:rPr>
                <w:rStyle w:val="152"/>
                <w:rFonts w:hint="default"/>
                <w:color w:val="auto"/>
                <w:sz w:val="21"/>
                <w:szCs w:val="21"/>
                <w:lang w:bidi="ar"/>
              </w:rPr>
              <w:t>动力配电柜输入电缆</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ZR-YJV 4*35+1*95mm2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8</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UPS</w:t>
            </w:r>
            <w:r>
              <w:rPr>
                <w:rStyle w:val="152"/>
                <w:rFonts w:hint="default"/>
                <w:color w:val="auto"/>
                <w:sz w:val="21"/>
                <w:szCs w:val="21"/>
                <w:lang w:bidi="ar"/>
              </w:rPr>
              <w:t>输入输出电缆</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ZR-YJV 4*50+1*70mm2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9</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2"/>
                <w:rFonts w:hint="default"/>
                <w:color w:val="auto"/>
                <w:sz w:val="21"/>
                <w:szCs w:val="21"/>
                <w:lang w:bidi="ar"/>
              </w:rPr>
              <w:t>电池到</w:t>
            </w:r>
            <w:r>
              <w:rPr>
                <w:rStyle w:val="151"/>
                <w:color w:val="auto"/>
                <w:sz w:val="21"/>
                <w:szCs w:val="21"/>
                <w:lang w:bidi="ar"/>
              </w:rPr>
              <w:t>UPS</w:t>
            </w:r>
            <w:r>
              <w:rPr>
                <w:rStyle w:val="152"/>
                <w:rFonts w:hint="default"/>
                <w:color w:val="auto"/>
                <w:sz w:val="21"/>
                <w:szCs w:val="21"/>
                <w:lang w:bidi="ar"/>
              </w:rPr>
              <w:t>电缆</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ZR-BVR 70mm2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10</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PDU</w:t>
            </w:r>
            <w:r>
              <w:rPr>
                <w:rStyle w:val="152"/>
                <w:rFonts w:hint="default"/>
                <w:color w:val="auto"/>
                <w:sz w:val="21"/>
                <w:szCs w:val="21"/>
                <w:lang w:bidi="ar"/>
              </w:rPr>
              <w:t>电缆</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ZR-RVV3*6mm2</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11</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新风机电源线</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WDZ-YJV-3*6mm²</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12</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新风排风机电源线</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WDZ-YJV-3*6mm²</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13</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2"/>
                <w:rFonts w:hint="default"/>
                <w:color w:val="auto"/>
                <w:sz w:val="21"/>
                <w:szCs w:val="21"/>
                <w:lang w:bidi="ar"/>
              </w:rPr>
              <w:t>照明及检修插座配线</w:t>
            </w:r>
            <w:r>
              <w:rPr>
                <w:rStyle w:val="151"/>
                <w:color w:val="auto"/>
                <w:sz w:val="21"/>
                <w:szCs w:val="21"/>
                <w:lang w:bidi="ar"/>
              </w:rPr>
              <w:t xml:space="preserve"> 3</w:t>
            </w:r>
            <w:r>
              <w:rPr>
                <w:rStyle w:val="152"/>
                <w:rFonts w:hint="default"/>
                <w:color w:val="auto"/>
                <w:sz w:val="21"/>
                <w:szCs w:val="21"/>
                <w:lang w:bidi="ar"/>
              </w:rPr>
              <w:t>路</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NH-RVV-3*2.5mm²</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14</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消防系统配线</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NH-RVV-3*2.5mm²</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15</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A/B</w:t>
            </w:r>
            <w:r>
              <w:rPr>
                <w:rStyle w:val="152"/>
                <w:rFonts w:hint="default"/>
                <w:color w:val="auto"/>
                <w:sz w:val="21"/>
                <w:szCs w:val="21"/>
                <w:lang w:bidi="ar"/>
              </w:rPr>
              <w:t>路机柜</w:t>
            </w:r>
            <w:r>
              <w:rPr>
                <w:rStyle w:val="151"/>
                <w:color w:val="auto"/>
                <w:sz w:val="21"/>
                <w:szCs w:val="21"/>
                <w:lang w:bidi="ar"/>
              </w:rPr>
              <w:t>20A</w:t>
            </w:r>
            <w:r>
              <w:rPr>
                <w:rStyle w:val="152"/>
                <w:rFonts w:hint="default"/>
                <w:color w:val="auto"/>
                <w:sz w:val="21"/>
                <w:szCs w:val="21"/>
                <w:lang w:bidi="ar"/>
              </w:rPr>
              <w:t>工业连接器配线</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WDZ-YJV-3*6mm²</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08" w:type="dxa"/>
            <w:gridSpan w:val="12"/>
            <w:shd w:val="clear" w:color="auto" w:fill="FFFFFF"/>
            <w:noWrap/>
            <w:vAlign w:val="center"/>
          </w:tcPr>
          <w:p>
            <w:pPr>
              <w:jc w:val="left"/>
              <w:rPr>
                <w:rFonts w:ascii="DengXian" w:hAnsi="DengXian" w:cs="宋体"/>
                <w:szCs w:val="21"/>
              </w:rPr>
            </w:pPr>
            <w:r>
              <w:rPr>
                <w:rFonts w:hint="eastAsia" w:ascii="宋体" w:hAnsi="宋体" w:eastAsia="宋体" w:cs="宋体"/>
                <w:kern w:val="0"/>
                <w:szCs w:val="21"/>
                <w:lang w:bidi="ar"/>
              </w:rPr>
              <w:t>二、核心机房-不间断电源</w:t>
            </w:r>
          </w:p>
        </w:tc>
        <w:tc>
          <w:tcPr>
            <w:tcW w:w="690" w:type="dxa"/>
            <w:shd w:val="clear" w:color="auto" w:fill="FFFFFF"/>
            <w:noWrap/>
            <w:vAlign w:val="center"/>
          </w:tcPr>
          <w:p>
            <w:pPr>
              <w:jc w:val="center"/>
              <w:rPr>
                <w:rFonts w:ascii="DengXian" w:hAnsi="DengXi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8" w:type="dxa"/>
            <w:gridSpan w:val="3"/>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1</w:t>
            </w:r>
          </w:p>
        </w:tc>
        <w:tc>
          <w:tcPr>
            <w:tcW w:w="2850" w:type="dxa"/>
            <w:gridSpan w:val="3"/>
            <w:shd w:val="clear" w:color="auto" w:fill="FFFFFF"/>
            <w:noWrap/>
            <w:vAlign w:val="center"/>
          </w:tcPr>
          <w:p>
            <w:pPr>
              <w:widowControl/>
              <w:jc w:val="left"/>
              <w:textAlignment w:val="center"/>
              <w:rPr>
                <w:szCs w:val="21"/>
              </w:rPr>
            </w:pPr>
            <w:r>
              <w:rPr>
                <w:rStyle w:val="152"/>
                <w:rFonts w:hint="default"/>
                <w:color w:val="auto"/>
                <w:sz w:val="21"/>
                <w:szCs w:val="21"/>
                <w:lang w:bidi="ar"/>
              </w:rPr>
              <w:t>模块化</w:t>
            </w:r>
            <w:r>
              <w:rPr>
                <w:rStyle w:val="151"/>
                <w:color w:val="auto"/>
                <w:sz w:val="21"/>
                <w:szCs w:val="21"/>
                <w:lang w:bidi="ar"/>
              </w:rPr>
              <w:t>UPS</w:t>
            </w:r>
            <w:r>
              <w:rPr>
                <w:rStyle w:val="152"/>
                <w:rFonts w:hint="default"/>
                <w:color w:val="auto"/>
                <w:sz w:val="21"/>
                <w:szCs w:val="21"/>
                <w:lang w:bidi="ar"/>
              </w:rPr>
              <w:t>主机</w:t>
            </w:r>
            <w:r>
              <w:rPr>
                <w:rStyle w:val="151"/>
                <w:color w:val="auto"/>
                <w:sz w:val="21"/>
                <w:szCs w:val="21"/>
                <w:lang w:bidi="ar"/>
              </w:rPr>
              <w:t xml:space="preserve"> </w:t>
            </w:r>
            <w:r>
              <w:rPr>
                <w:rStyle w:val="152"/>
                <w:rFonts w:hint="default"/>
                <w:color w:val="auto"/>
                <w:sz w:val="21"/>
                <w:szCs w:val="21"/>
                <w:lang w:bidi="ar"/>
              </w:rPr>
              <w:t>模块</w:t>
            </w:r>
            <w:r>
              <w:rPr>
                <w:rStyle w:val="151"/>
                <w:color w:val="auto"/>
                <w:sz w:val="21"/>
                <w:szCs w:val="21"/>
                <w:lang w:bidi="ar"/>
              </w:rPr>
              <w:t>6</w:t>
            </w:r>
            <w:r>
              <w:rPr>
                <w:rStyle w:val="152"/>
                <w:rFonts w:hint="default"/>
                <w:color w:val="auto"/>
                <w:sz w:val="21"/>
                <w:szCs w:val="21"/>
                <w:lang w:bidi="ar"/>
              </w:rPr>
              <w:t>槽位</w:t>
            </w:r>
          </w:p>
        </w:tc>
        <w:tc>
          <w:tcPr>
            <w:tcW w:w="3795" w:type="dxa"/>
            <w:gridSpan w:val="4"/>
            <w:shd w:val="clear" w:color="auto" w:fill="FFFFFF"/>
            <w:noWrap/>
            <w:vAlign w:val="bottom"/>
          </w:tcPr>
          <w:p>
            <w:pPr>
              <w:widowControl/>
              <w:jc w:val="left"/>
              <w:textAlignment w:val="bottom"/>
              <w:rPr>
                <w:szCs w:val="21"/>
              </w:rPr>
            </w:pPr>
            <w:r>
              <w:rPr>
                <w:rFonts w:ascii="DengXian" w:hAnsi="DengXian" w:eastAsia="DengXian" w:cs="DengXian"/>
                <w:kern w:val="0"/>
                <w:szCs w:val="21"/>
                <w:lang w:bidi="ar"/>
              </w:rPr>
              <w:t>DT03-UM33150B</w:t>
            </w:r>
          </w:p>
        </w:tc>
        <w:tc>
          <w:tcPr>
            <w:tcW w:w="765" w:type="dxa"/>
            <w:gridSpan w:val="2"/>
            <w:shd w:val="clear" w:color="auto" w:fill="FFFFFF"/>
            <w:noWrap/>
            <w:vAlign w:val="center"/>
          </w:tcPr>
          <w:p>
            <w:pPr>
              <w:widowControl/>
              <w:jc w:val="center"/>
              <w:textAlignment w:val="center"/>
              <w:rPr>
                <w:szCs w:val="21"/>
              </w:rPr>
            </w:pPr>
            <w:r>
              <w:rPr>
                <w:rFonts w:hint="eastAsia" w:ascii="宋体" w:hAnsi="宋体" w:eastAsia="宋体" w:cs="宋体"/>
                <w:kern w:val="0"/>
                <w:szCs w:val="21"/>
                <w:lang w:bidi="ar"/>
              </w:rPr>
              <w:t>台</w:t>
            </w:r>
          </w:p>
        </w:tc>
        <w:tc>
          <w:tcPr>
            <w:tcW w:w="690" w:type="dxa"/>
            <w:shd w:val="clear" w:color="auto" w:fill="FFFFFF"/>
            <w:noWrap/>
            <w:vAlign w:val="center"/>
          </w:tcPr>
          <w:p>
            <w:pPr>
              <w:widowControl/>
              <w:jc w:val="center"/>
              <w:textAlignment w:val="center"/>
              <w:rPr>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2"/>
                <w:rFonts w:hint="default"/>
                <w:color w:val="auto"/>
                <w:sz w:val="21"/>
                <w:szCs w:val="21"/>
                <w:lang w:bidi="ar"/>
              </w:rPr>
              <w:t>模块化</w:t>
            </w:r>
            <w:r>
              <w:rPr>
                <w:rStyle w:val="151"/>
                <w:color w:val="auto"/>
                <w:sz w:val="21"/>
                <w:szCs w:val="21"/>
                <w:lang w:bidi="ar"/>
              </w:rPr>
              <w:t>UPS</w:t>
            </w:r>
            <w:r>
              <w:rPr>
                <w:rStyle w:val="152"/>
                <w:rFonts w:hint="default"/>
                <w:color w:val="auto"/>
                <w:sz w:val="21"/>
                <w:szCs w:val="21"/>
                <w:lang w:bidi="ar"/>
              </w:rPr>
              <w:t>功率模块</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DT03-UU33M30</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2"/>
                <w:rFonts w:hint="default"/>
                <w:color w:val="auto"/>
                <w:sz w:val="21"/>
                <w:szCs w:val="21"/>
                <w:lang w:bidi="ar"/>
              </w:rPr>
              <w:t>铅酸免维护电池</w:t>
            </w:r>
            <w:r>
              <w:rPr>
                <w:rStyle w:val="151"/>
                <w:color w:val="auto"/>
                <w:sz w:val="21"/>
                <w:szCs w:val="21"/>
                <w:lang w:bidi="ar"/>
              </w:rPr>
              <w:t xml:space="preserve"> 100AH/12V</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DT03-UB100</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块</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2"/>
                <w:rFonts w:hint="default"/>
                <w:color w:val="auto"/>
                <w:sz w:val="21"/>
                <w:szCs w:val="21"/>
                <w:lang w:bidi="ar"/>
              </w:rPr>
              <w:t>电池架</w:t>
            </w:r>
            <w:r>
              <w:rPr>
                <w:rStyle w:val="151"/>
                <w:color w:val="auto"/>
                <w:sz w:val="21"/>
                <w:szCs w:val="21"/>
                <w:lang w:bidi="ar"/>
              </w:rPr>
              <w:t>40</w:t>
            </w:r>
            <w:r>
              <w:rPr>
                <w:rStyle w:val="152"/>
                <w:rFonts w:hint="default"/>
                <w:color w:val="auto"/>
                <w:sz w:val="21"/>
                <w:szCs w:val="21"/>
                <w:lang w:bidi="ar"/>
              </w:rPr>
              <w:t>节容量</w:t>
            </w:r>
            <w:r>
              <w:rPr>
                <w:rStyle w:val="151"/>
                <w:color w:val="auto"/>
                <w:sz w:val="21"/>
                <w:szCs w:val="21"/>
                <w:lang w:bidi="ar"/>
              </w:rPr>
              <w:t>1000*920*1500mm</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DT03-UC04032100B</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2"/>
                <w:rFonts w:hint="default"/>
                <w:color w:val="auto"/>
                <w:sz w:val="21"/>
                <w:szCs w:val="21"/>
                <w:lang w:bidi="ar"/>
              </w:rPr>
              <w:t>电池开关柜</w:t>
            </w:r>
            <w:r>
              <w:rPr>
                <w:rStyle w:val="151"/>
                <w:color w:val="auto"/>
                <w:sz w:val="21"/>
                <w:szCs w:val="21"/>
                <w:lang w:bidi="ar"/>
              </w:rPr>
              <w:t>160A/3P</w:t>
            </w:r>
          </w:p>
        </w:tc>
        <w:tc>
          <w:tcPr>
            <w:tcW w:w="3795" w:type="dxa"/>
            <w:gridSpan w:val="4"/>
            <w:shd w:val="clear" w:color="auto" w:fill="FFFFFF"/>
            <w:vAlign w:val="bottom"/>
          </w:tcPr>
          <w:p>
            <w:pPr>
              <w:rPr>
                <w:rFonts w:ascii="DengXian" w:hAnsi="DengXian" w:cs="宋体"/>
                <w:szCs w:val="21"/>
              </w:rPr>
            </w:pP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08" w:type="dxa"/>
            <w:gridSpan w:val="12"/>
            <w:shd w:val="clear" w:color="auto" w:fill="FFFFFF"/>
            <w:noWrap/>
            <w:vAlign w:val="center"/>
          </w:tcPr>
          <w:p>
            <w:pPr>
              <w:jc w:val="left"/>
              <w:rPr>
                <w:rFonts w:ascii="DengXian" w:hAnsi="DengXian" w:cs="宋体"/>
                <w:szCs w:val="21"/>
              </w:rPr>
            </w:pPr>
            <w:r>
              <w:rPr>
                <w:rFonts w:hint="eastAsia" w:ascii="宋体" w:hAnsi="宋体" w:eastAsia="宋体" w:cs="宋体"/>
                <w:kern w:val="0"/>
                <w:szCs w:val="21"/>
                <w:lang w:bidi="ar"/>
              </w:rPr>
              <w:t>三、核心机房-小电器</w:t>
            </w:r>
          </w:p>
        </w:tc>
        <w:tc>
          <w:tcPr>
            <w:tcW w:w="690" w:type="dxa"/>
            <w:shd w:val="clear" w:color="auto" w:fill="FFFFFF"/>
            <w:noWrap/>
            <w:vAlign w:val="center"/>
          </w:tcPr>
          <w:p>
            <w:pPr>
              <w:jc w:val="center"/>
              <w:rPr>
                <w:rFonts w:ascii="DengXian" w:hAnsi="DengXi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2850" w:type="dxa"/>
            <w:gridSpan w:val="3"/>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PDU</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DT03-PDRH32A12B4F2NWJA</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套</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32A</w:t>
            </w:r>
            <w:r>
              <w:rPr>
                <w:rStyle w:val="152"/>
                <w:rFonts w:hint="default"/>
                <w:color w:val="auto"/>
                <w:sz w:val="21"/>
                <w:szCs w:val="21"/>
                <w:lang w:bidi="ar"/>
              </w:rPr>
              <w:t>智能</w:t>
            </w:r>
            <w:r>
              <w:rPr>
                <w:rStyle w:val="151"/>
                <w:color w:val="auto"/>
                <w:sz w:val="21"/>
                <w:szCs w:val="21"/>
                <w:lang w:bidi="ar"/>
              </w:rPr>
              <w:t>PDU</w:t>
            </w:r>
            <w:r>
              <w:rPr>
                <w:rStyle w:val="152"/>
                <w:rFonts w:hint="default"/>
                <w:color w:val="auto"/>
                <w:sz w:val="21"/>
                <w:szCs w:val="21"/>
                <w:lang w:bidi="ar"/>
              </w:rPr>
              <w:t>远程检测管理，</w:t>
            </w:r>
            <w:r>
              <w:rPr>
                <w:rStyle w:val="151"/>
                <w:color w:val="auto"/>
                <w:sz w:val="21"/>
                <w:szCs w:val="21"/>
                <w:lang w:bidi="ar"/>
              </w:rPr>
              <w:t>16C13+4</w:t>
            </w:r>
            <w:r>
              <w:rPr>
                <w:rStyle w:val="152"/>
                <w:rFonts w:hint="default"/>
                <w:color w:val="auto"/>
                <w:sz w:val="21"/>
                <w:szCs w:val="21"/>
                <w:lang w:bidi="ar"/>
              </w:rPr>
              <w:t>个</w:t>
            </w:r>
            <w:r>
              <w:rPr>
                <w:rStyle w:val="151"/>
                <w:color w:val="auto"/>
                <w:sz w:val="21"/>
                <w:szCs w:val="21"/>
                <w:lang w:bidi="ar"/>
              </w:rPr>
              <w:t>C19</w:t>
            </w:r>
            <w:r>
              <w:rPr>
                <w:rStyle w:val="152"/>
                <w:rFonts w:hint="default"/>
                <w:color w:val="auto"/>
                <w:sz w:val="21"/>
                <w:szCs w:val="21"/>
                <w:lang w:bidi="ar"/>
              </w:rPr>
              <w:t>输出</w:t>
            </w:r>
          </w:p>
        </w:tc>
        <w:tc>
          <w:tcPr>
            <w:tcW w:w="3795" w:type="dxa"/>
            <w:gridSpan w:val="4"/>
            <w:shd w:val="clear" w:color="auto" w:fill="FFFFFF"/>
            <w:noWrap/>
            <w:vAlign w:val="bottom"/>
          </w:tcPr>
          <w:p>
            <w:pPr>
              <w:widowControl/>
              <w:jc w:val="left"/>
              <w:textAlignment w:val="bottom"/>
              <w:rPr>
                <w:rFonts w:ascii="DengXian" w:hAnsi="DengXian" w:cs="宋体"/>
                <w:szCs w:val="21"/>
              </w:rPr>
            </w:pPr>
            <w:r>
              <w:rPr>
                <w:rFonts w:ascii="DengXian" w:hAnsi="DengXian" w:eastAsia="DengXian" w:cs="DengXian"/>
                <w:kern w:val="0"/>
                <w:szCs w:val="21"/>
                <w:lang w:bidi="ar"/>
              </w:rPr>
              <w:t>DT03-PDRH32A12B4F2NWJB</w:t>
            </w: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套</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98" w:type="dxa"/>
            <w:gridSpan w:val="3"/>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2850" w:type="dxa"/>
            <w:gridSpan w:val="3"/>
            <w:shd w:val="clear" w:color="auto" w:fill="FFFFFF"/>
            <w:noWrap/>
            <w:vAlign w:val="center"/>
          </w:tcPr>
          <w:p>
            <w:pPr>
              <w:widowControl/>
              <w:jc w:val="left"/>
              <w:textAlignment w:val="center"/>
              <w:rPr>
                <w:rFonts w:ascii="DengXian" w:hAnsi="DengXian" w:cs="宋体"/>
                <w:szCs w:val="21"/>
              </w:rPr>
            </w:pPr>
            <w:r>
              <w:rPr>
                <w:rStyle w:val="151"/>
                <w:color w:val="auto"/>
                <w:sz w:val="21"/>
                <w:szCs w:val="21"/>
                <w:lang w:bidi="ar"/>
              </w:rPr>
              <w:t xml:space="preserve">400*100 </w:t>
            </w:r>
            <w:r>
              <w:rPr>
                <w:rStyle w:val="152"/>
                <w:rFonts w:hint="default"/>
                <w:color w:val="auto"/>
                <w:sz w:val="21"/>
                <w:szCs w:val="21"/>
                <w:lang w:bidi="ar"/>
              </w:rPr>
              <w:t>网篮桥架</w:t>
            </w:r>
          </w:p>
        </w:tc>
        <w:tc>
          <w:tcPr>
            <w:tcW w:w="3795" w:type="dxa"/>
            <w:gridSpan w:val="4"/>
            <w:shd w:val="clear" w:color="auto" w:fill="FFFFFF"/>
            <w:noWrap/>
            <w:vAlign w:val="bottom"/>
          </w:tcPr>
          <w:p>
            <w:pPr>
              <w:rPr>
                <w:rFonts w:ascii="DengXian" w:hAnsi="DengXian" w:cs="宋体"/>
                <w:szCs w:val="21"/>
              </w:rPr>
            </w:pPr>
          </w:p>
        </w:tc>
        <w:tc>
          <w:tcPr>
            <w:tcW w:w="765" w:type="dxa"/>
            <w:gridSpan w:val="2"/>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8" w:type="dxa"/>
            <w:gridSpan w:val="3"/>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4</w:t>
            </w:r>
          </w:p>
        </w:tc>
        <w:tc>
          <w:tcPr>
            <w:tcW w:w="2850" w:type="dxa"/>
            <w:gridSpan w:val="3"/>
            <w:shd w:val="clear" w:color="auto" w:fill="FFFFFF"/>
            <w:noWrap/>
            <w:vAlign w:val="center"/>
          </w:tcPr>
          <w:p>
            <w:pPr>
              <w:widowControl/>
              <w:jc w:val="left"/>
              <w:textAlignment w:val="center"/>
              <w:rPr>
                <w:szCs w:val="21"/>
              </w:rPr>
            </w:pPr>
            <w:r>
              <w:rPr>
                <w:rStyle w:val="151"/>
                <w:color w:val="auto"/>
                <w:sz w:val="21"/>
                <w:szCs w:val="21"/>
                <w:lang w:bidi="ar"/>
              </w:rPr>
              <w:t xml:space="preserve">300*100 </w:t>
            </w:r>
            <w:r>
              <w:rPr>
                <w:rStyle w:val="152"/>
                <w:rFonts w:hint="default"/>
                <w:color w:val="auto"/>
                <w:sz w:val="21"/>
                <w:szCs w:val="21"/>
                <w:lang w:bidi="ar"/>
              </w:rPr>
              <w:t>镀锌金属桥架</w:t>
            </w:r>
          </w:p>
        </w:tc>
        <w:tc>
          <w:tcPr>
            <w:tcW w:w="3795" w:type="dxa"/>
            <w:gridSpan w:val="4"/>
            <w:shd w:val="clear" w:color="auto" w:fill="FFFFFF"/>
            <w:noWrap/>
            <w:vAlign w:val="bottom"/>
          </w:tcPr>
          <w:p>
            <w:pPr>
              <w:rPr>
                <w:szCs w:val="21"/>
              </w:rPr>
            </w:pPr>
          </w:p>
        </w:tc>
        <w:tc>
          <w:tcPr>
            <w:tcW w:w="765" w:type="dxa"/>
            <w:gridSpan w:val="2"/>
            <w:shd w:val="clear" w:color="auto" w:fill="FFFFFF"/>
            <w:noWrap/>
            <w:vAlign w:val="center"/>
          </w:tcPr>
          <w:p>
            <w:pPr>
              <w:widowControl/>
              <w:jc w:val="center"/>
              <w:textAlignment w:val="center"/>
              <w:rPr>
                <w:szCs w:val="21"/>
              </w:rPr>
            </w:pPr>
            <w:r>
              <w:rPr>
                <w:rFonts w:hint="eastAsia" w:ascii="宋体" w:hAnsi="宋体" w:eastAsia="宋体" w:cs="宋体"/>
                <w:kern w:val="0"/>
                <w:szCs w:val="21"/>
                <w:lang w:bidi="ar"/>
              </w:rPr>
              <w:t>米</w:t>
            </w:r>
          </w:p>
        </w:tc>
        <w:tc>
          <w:tcPr>
            <w:tcW w:w="690" w:type="dxa"/>
            <w:shd w:val="clear" w:color="auto" w:fill="FFFFFF"/>
            <w:noWrap/>
            <w:vAlign w:val="center"/>
          </w:tcPr>
          <w:p>
            <w:pPr>
              <w:widowControl/>
              <w:jc w:val="center"/>
              <w:textAlignment w:val="center"/>
              <w:rPr>
                <w:szCs w:val="21"/>
              </w:rPr>
            </w:pPr>
            <w:r>
              <w:rPr>
                <w:rFonts w:ascii="DengXian" w:hAnsi="DengXian" w:eastAsia="DengXian" w:cs="DengXian"/>
                <w:kern w:val="0"/>
                <w:szCs w:val="21"/>
                <w:lang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98" w:type="dxa"/>
            <w:gridSpan w:val="13"/>
            <w:shd w:val="clear" w:color="auto" w:fill="FFFFFF"/>
            <w:noWrap/>
            <w:vAlign w:val="center"/>
          </w:tcPr>
          <w:p>
            <w:pPr>
              <w:adjustRightInd w:val="0"/>
              <w:snapToGrid w:val="0"/>
              <w:spacing w:line="450" w:lineRule="exact"/>
              <w:jc w:val="center"/>
              <w:rPr>
                <w:rFonts w:hAnsi="宋体" w:cs="宋体"/>
                <w:b/>
                <w:bCs/>
                <w:szCs w:val="21"/>
              </w:rPr>
            </w:pPr>
            <w:r>
              <w:rPr>
                <w:b/>
                <w:bCs/>
                <w:sz w:val="36"/>
                <w:szCs w:val="36"/>
              </w:rPr>
              <w:br w:type="page"/>
            </w:r>
            <w:r>
              <w:rPr>
                <w:rFonts w:hint="eastAsia" w:hAnsi="宋体" w:cs="宋体"/>
                <w:b/>
                <w:bCs/>
                <w:szCs w:val="21"/>
              </w:rPr>
              <w:t>标准化机房-制冷及空气调节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98" w:type="dxa"/>
            <w:gridSpan w:val="13"/>
            <w:shd w:val="clear" w:color="auto" w:fill="FFFFFF"/>
            <w:noWrap/>
            <w:vAlign w:val="center"/>
          </w:tcPr>
          <w:p>
            <w:pPr>
              <w:widowControl/>
              <w:spacing w:line="360" w:lineRule="exact"/>
              <w:jc w:val="left"/>
              <w:rPr>
                <w:rFonts w:hAnsi="宋体" w:cs="宋体"/>
                <w:szCs w:val="21"/>
              </w:rPr>
            </w:pPr>
            <w:r>
              <w:rPr>
                <w:rFonts w:hint="eastAsia" w:hAnsi="宋体" w:cs="宋体"/>
                <w:szCs w:val="21"/>
              </w:rPr>
              <w:t>一、精密空调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1</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行间级精密空调内机</w:t>
            </w:r>
            <w:r>
              <w:rPr>
                <w:rFonts w:hAnsi="宋体" w:cs="宋体"/>
                <w:szCs w:val="21"/>
              </w:rPr>
              <w:t>30KW</w:t>
            </w:r>
            <w:r>
              <w:rPr>
                <w:rFonts w:hint="eastAsia" w:hAnsi="宋体" w:cs="宋体"/>
                <w:szCs w:val="21"/>
              </w:rPr>
              <w:t>制冷量</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DT02-LIH025</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2</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行间级精密空调外机</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DT02-LON040</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3</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精密空调辅材组件</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DT02-FCR030-30</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套</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4</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基站式</w:t>
            </w:r>
            <w:r>
              <w:rPr>
                <w:rFonts w:hAnsi="宋体" w:cs="宋体"/>
                <w:szCs w:val="21"/>
              </w:rPr>
              <w:t>12.5KW</w:t>
            </w:r>
            <w:r>
              <w:rPr>
                <w:rFonts w:hint="eastAsia" w:hAnsi="宋体" w:cs="宋体"/>
                <w:szCs w:val="21"/>
              </w:rPr>
              <w:t>空调（含外机）</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DT02-BCU012</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5</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基站式</w:t>
            </w:r>
            <w:r>
              <w:rPr>
                <w:rFonts w:hAnsi="宋体" w:cs="宋体"/>
                <w:szCs w:val="21"/>
              </w:rPr>
              <w:t>7.6KW</w:t>
            </w:r>
            <w:r>
              <w:rPr>
                <w:rFonts w:hint="eastAsia" w:hAnsi="宋体" w:cs="宋体"/>
                <w:szCs w:val="21"/>
              </w:rPr>
              <w:t>空调室内机（含外机）</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DT02-RID07</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6</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冷冻油</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R22</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桶</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98" w:type="dxa"/>
            <w:gridSpan w:val="13"/>
            <w:shd w:val="clear" w:color="auto" w:fill="FFFFFF"/>
            <w:noWrap/>
            <w:vAlign w:val="center"/>
          </w:tcPr>
          <w:p>
            <w:pPr>
              <w:widowControl/>
              <w:spacing w:line="360" w:lineRule="exact"/>
              <w:jc w:val="left"/>
              <w:rPr>
                <w:rFonts w:hAnsi="宋体" w:cs="宋体"/>
                <w:szCs w:val="21"/>
              </w:rPr>
            </w:pPr>
            <w:r>
              <w:rPr>
                <w:rFonts w:hint="eastAsia" w:hAnsi="宋体" w:cs="宋体"/>
                <w:szCs w:val="21"/>
              </w:rPr>
              <w:t>三、新、排（烟）风系统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1</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离心排烟风机</w:t>
            </w:r>
            <w:r>
              <w:rPr>
                <w:rFonts w:hAnsi="宋体" w:cs="宋体"/>
                <w:szCs w:val="21"/>
              </w:rPr>
              <w:t xml:space="preserve"> 6000m³</w:t>
            </w:r>
            <w:r>
              <w:rPr>
                <w:rFonts w:hint="eastAsia" w:hAnsi="宋体" w:cs="宋体"/>
                <w:szCs w:val="21"/>
              </w:rPr>
              <w:t>风量</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PY20</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2</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冷热预处理新风机</w:t>
            </w:r>
            <w:r>
              <w:rPr>
                <w:rFonts w:hAnsi="宋体" w:cs="宋体"/>
                <w:szCs w:val="21"/>
              </w:rPr>
              <w:t xml:space="preserve"> 3000m³</w:t>
            </w:r>
            <w:r>
              <w:rPr>
                <w:rFonts w:hint="eastAsia" w:hAnsi="宋体" w:cs="宋体"/>
                <w:szCs w:val="21"/>
              </w:rPr>
              <w:t>风量</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X-04D</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3</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新风风道</w:t>
            </w:r>
            <w:r>
              <w:rPr>
                <w:rFonts w:hAnsi="宋体" w:cs="宋体"/>
                <w:szCs w:val="21"/>
              </w:rPr>
              <w:t xml:space="preserve"> </w:t>
            </w:r>
            <w:r>
              <w:rPr>
                <w:rFonts w:hint="eastAsia" w:hAnsi="宋体" w:cs="宋体"/>
                <w:szCs w:val="21"/>
              </w:rPr>
              <w:t>镀锌钢板定制</w:t>
            </w:r>
            <w:r>
              <w:rPr>
                <w:rFonts w:hAnsi="宋体" w:cs="宋体"/>
                <w:szCs w:val="21"/>
              </w:rPr>
              <w:t xml:space="preserve"> 400*400</w:t>
            </w:r>
          </w:p>
        </w:tc>
        <w:tc>
          <w:tcPr>
            <w:tcW w:w="3795" w:type="dxa"/>
            <w:gridSpan w:val="4"/>
            <w:shd w:val="clear" w:color="auto" w:fill="FFFFFF"/>
            <w:noWrap/>
            <w:vAlign w:val="center"/>
          </w:tcPr>
          <w:p>
            <w:pPr>
              <w:widowControl/>
              <w:spacing w:line="360" w:lineRule="exact"/>
              <w:jc w:val="left"/>
              <w:rPr>
                <w:rFonts w:hAnsi="宋体" w:cs="宋体"/>
                <w:szCs w:val="21"/>
              </w:rPr>
            </w:pP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平米</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4</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新风风道（送风）保温</w:t>
            </w:r>
            <w:r>
              <w:rPr>
                <w:rFonts w:hAnsi="宋体" w:cs="宋体"/>
                <w:szCs w:val="21"/>
              </w:rPr>
              <w:t xml:space="preserve"> 20mm</w:t>
            </w:r>
            <w:r>
              <w:rPr>
                <w:rFonts w:hint="eastAsia" w:hAnsi="宋体" w:cs="宋体"/>
                <w:szCs w:val="21"/>
              </w:rPr>
              <w:t>橡塑</w:t>
            </w:r>
            <w:r>
              <w:rPr>
                <w:rFonts w:hAnsi="宋体" w:cs="宋体"/>
                <w:szCs w:val="21"/>
              </w:rPr>
              <w:t>+</w:t>
            </w:r>
            <w:r>
              <w:rPr>
                <w:rFonts w:hint="eastAsia" w:hAnsi="宋体" w:cs="宋体"/>
                <w:szCs w:val="21"/>
              </w:rPr>
              <w:t>铝箔</w:t>
            </w:r>
          </w:p>
        </w:tc>
        <w:tc>
          <w:tcPr>
            <w:tcW w:w="3795" w:type="dxa"/>
            <w:gridSpan w:val="4"/>
            <w:shd w:val="clear" w:color="auto" w:fill="FFFFFF"/>
            <w:noWrap/>
            <w:vAlign w:val="center"/>
          </w:tcPr>
          <w:p>
            <w:pPr>
              <w:widowControl/>
              <w:spacing w:line="360" w:lineRule="exact"/>
              <w:jc w:val="left"/>
              <w:rPr>
                <w:rFonts w:hAnsi="宋体" w:cs="宋体"/>
                <w:szCs w:val="21"/>
              </w:rPr>
            </w:pP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平米</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5</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铝合金风口（送风）</w:t>
            </w:r>
            <w:r>
              <w:rPr>
                <w:rFonts w:hAnsi="宋体" w:cs="宋体"/>
                <w:szCs w:val="21"/>
              </w:rPr>
              <w:t xml:space="preserve"> 300*300</w:t>
            </w:r>
          </w:p>
        </w:tc>
        <w:tc>
          <w:tcPr>
            <w:tcW w:w="3795" w:type="dxa"/>
            <w:gridSpan w:val="4"/>
            <w:shd w:val="clear" w:color="auto" w:fill="FFFFFF"/>
            <w:noWrap/>
            <w:vAlign w:val="center"/>
          </w:tcPr>
          <w:p>
            <w:pPr>
              <w:widowControl/>
              <w:spacing w:line="360" w:lineRule="exact"/>
              <w:jc w:val="left"/>
              <w:rPr>
                <w:rFonts w:hAnsi="宋体" w:cs="宋体"/>
                <w:szCs w:val="21"/>
              </w:rPr>
            </w:pP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6</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铝合金风口（回风）</w:t>
            </w:r>
            <w:r>
              <w:rPr>
                <w:rFonts w:hAnsi="宋体" w:cs="宋体"/>
                <w:szCs w:val="21"/>
              </w:rPr>
              <w:t xml:space="preserve"> φ150</w:t>
            </w:r>
          </w:p>
        </w:tc>
        <w:tc>
          <w:tcPr>
            <w:tcW w:w="3795" w:type="dxa"/>
            <w:gridSpan w:val="4"/>
            <w:shd w:val="clear" w:color="auto" w:fill="FFFFFF"/>
            <w:noWrap/>
            <w:vAlign w:val="center"/>
          </w:tcPr>
          <w:p>
            <w:pPr>
              <w:widowControl/>
              <w:spacing w:line="360" w:lineRule="exact"/>
              <w:jc w:val="left"/>
              <w:rPr>
                <w:rFonts w:hAnsi="宋体" w:cs="宋体"/>
                <w:szCs w:val="21"/>
              </w:rPr>
            </w:pP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7</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防火阀</w:t>
            </w:r>
            <w:r>
              <w:rPr>
                <w:rFonts w:hAnsi="宋体" w:cs="宋体"/>
                <w:szCs w:val="21"/>
              </w:rPr>
              <w:t xml:space="preserve"> 400*400</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DFF</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3"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8</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新风止回阀</w:t>
            </w:r>
            <w:r>
              <w:rPr>
                <w:rFonts w:hAnsi="宋体" w:cs="宋体"/>
                <w:szCs w:val="21"/>
              </w:rPr>
              <w:t xml:space="preserve"> 400*400</w:t>
            </w:r>
          </w:p>
        </w:tc>
        <w:tc>
          <w:tcPr>
            <w:tcW w:w="3795" w:type="dxa"/>
            <w:gridSpan w:val="4"/>
            <w:shd w:val="clear" w:color="auto" w:fill="FFFFFF"/>
            <w:noWrap/>
            <w:vAlign w:val="center"/>
          </w:tcPr>
          <w:p>
            <w:pPr>
              <w:widowControl/>
              <w:spacing w:line="360" w:lineRule="exact"/>
              <w:jc w:val="left"/>
              <w:rPr>
                <w:rFonts w:hAnsi="宋体" w:cs="宋体"/>
                <w:szCs w:val="21"/>
              </w:rPr>
            </w:pP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798" w:type="dxa"/>
            <w:gridSpan w:val="13"/>
            <w:shd w:val="clear" w:color="auto" w:fill="FFFFFF"/>
            <w:noWrap/>
            <w:vAlign w:val="center"/>
          </w:tcPr>
          <w:p>
            <w:pPr>
              <w:widowControl/>
              <w:spacing w:line="360" w:lineRule="exact"/>
              <w:jc w:val="center"/>
              <w:rPr>
                <w:rFonts w:hAnsi="宋体" w:cs="宋体"/>
                <w:b/>
                <w:bCs/>
                <w:szCs w:val="21"/>
              </w:rPr>
            </w:pPr>
            <w:r>
              <w:rPr>
                <w:rFonts w:hint="eastAsia" w:hAnsi="宋体" w:cs="宋体"/>
                <w:b/>
                <w:bCs/>
                <w:szCs w:val="21"/>
              </w:rPr>
              <w:t>标准化机房-弱电系统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8" w:type="dxa"/>
            <w:gridSpan w:val="13"/>
            <w:shd w:val="clear" w:color="auto" w:fill="FFFFFF"/>
            <w:noWrap/>
            <w:vAlign w:val="center"/>
          </w:tcPr>
          <w:p>
            <w:pPr>
              <w:widowControl/>
              <w:spacing w:line="360" w:lineRule="exact"/>
              <w:jc w:val="left"/>
              <w:rPr>
                <w:rFonts w:hAnsi="宋体" w:cs="宋体"/>
                <w:szCs w:val="21"/>
              </w:rPr>
            </w:pPr>
            <w:r>
              <w:rPr>
                <w:rFonts w:hint="eastAsia" w:hAnsi="宋体" w:cs="宋体"/>
                <w:szCs w:val="21"/>
              </w:rPr>
              <w:t>一、动力环境监控系统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动环集中监控中心软件</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DT01-PEM-C803</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套</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UPS</w:t>
            </w:r>
            <w:r>
              <w:rPr>
                <w:rFonts w:hint="eastAsia" w:hAnsi="宋体" w:cs="宋体"/>
                <w:szCs w:val="21"/>
              </w:rPr>
              <w:t>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DT01-MP-UPS/J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供配电系统软件模块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DT01-MP-PDU/J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4</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PDU</w:t>
            </w:r>
            <w:r>
              <w:rPr>
                <w:rFonts w:hint="eastAsia" w:hAnsi="宋体" w:cs="宋体"/>
                <w:szCs w:val="21"/>
              </w:rPr>
              <w:t>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DT01-MP-MPDU/J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5</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精密空调系统软件模块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DT01-MP-AC/J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6</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漏水系统软件模块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DT01-MP-LC/J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7</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温湿度系统软件模块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DT01-MP-THS/J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8</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消防系统软件模块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DT01-MP-FC/J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9</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短信报警软件系统</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DT01-MP-SMSA</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10</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邮件报警软件系统</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DT01-MP-MAIL</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11</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视频监控系统软件模块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DT01-MP-VMS</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12</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门禁监控系统软件模块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DT01-MP-AS/J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13</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APP</w:t>
            </w:r>
            <w:r>
              <w:rPr>
                <w:rFonts w:hint="eastAsia" w:hAnsi="宋体" w:cs="宋体"/>
                <w:szCs w:val="21"/>
              </w:rPr>
              <w:t>远程管理软件模块</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DT01-PM-APP/J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套</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14</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动环集中监控服务器</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DT01-SV-SEE3411</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15</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工业触摸屏</w:t>
            </w:r>
            <w:r>
              <w:rPr>
                <w:rFonts w:hAnsi="宋体" w:cs="宋体"/>
                <w:szCs w:val="21"/>
              </w:rPr>
              <w:t>9.7</w:t>
            </w:r>
            <w:r>
              <w:rPr>
                <w:rFonts w:hint="eastAsia" w:hAnsi="宋体" w:cs="宋体"/>
                <w:szCs w:val="21"/>
              </w:rPr>
              <w:t>寸</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DT01-PH-F010</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套</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16</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动环监控主机</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DT01-PM-C183</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17</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短信报警设备</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DT01-SMSA/J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18</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声光报警设备</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DT01-SLA/J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19</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数显温湿度传感器</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DT01-CD-TH21/J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20</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光电烟感探测器</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DT01-CD-LH94II/J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21</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非定位式漏水控制器</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DT01-LS</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套</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22</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3.5M</w:t>
            </w:r>
            <w:r>
              <w:rPr>
                <w:rFonts w:hint="eastAsia" w:hAnsi="宋体" w:cs="宋体"/>
                <w:szCs w:val="21"/>
              </w:rPr>
              <w:t>漏水绳</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DT01-WL-L3/J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根</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23</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200W</w:t>
            </w:r>
            <w:r>
              <w:rPr>
                <w:rFonts w:hint="eastAsia" w:hAnsi="宋体" w:cs="宋体"/>
                <w:szCs w:val="21"/>
              </w:rPr>
              <w:t>红外半球</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DT01-DS-2CD1321</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24</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网络硬盘录像机</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DT01-DS-7916N-2E16P</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25</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硬盘</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DT01-DS-D4T</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26</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四门门禁控制板</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FC-8940A</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27</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专用控制电源箱</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FC-02A</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28</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ID</w:t>
            </w:r>
            <w:r>
              <w:rPr>
                <w:rFonts w:hint="eastAsia" w:hAnsi="宋体" w:cs="宋体"/>
                <w:szCs w:val="21"/>
              </w:rPr>
              <w:t>卡指纹密码读卡器</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FC-9088</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29</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双门磁力锁</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FC-280KGS</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30</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单门磁力锁</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FC-280KG</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31</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出门开关</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FC-10K</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32</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ID</w:t>
            </w:r>
            <w:r>
              <w:rPr>
                <w:rFonts w:hint="eastAsia" w:hAnsi="宋体" w:cs="宋体"/>
                <w:szCs w:val="21"/>
              </w:rPr>
              <w:t>发卡器</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FC-502E</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33</w:t>
            </w:r>
          </w:p>
        </w:tc>
        <w:tc>
          <w:tcPr>
            <w:tcW w:w="2835" w:type="dxa"/>
            <w:gridSpan w:val="2"/>
            <w:shd w:val="clear" w:color="auto" w:fill="FFFFFF"/>
            <w:vAlign w:val="bottom"/>
          </w:tcPr>
          <w:p>
            <w:pPr>
              <w:widowControl/>
              <w:spacing w:line="360" w:lineRule="exact"/>
              <w:jc w:val="left"/>
              <w:rPr>
                <w:rFonts w:hAnsi="宋体" w:cs="宋体"/>
                <w:szCs w:val="21"/>
              </w:rPr>
            </w:pPr>
            <w:r>
              <w:rPr>
                <w:rFonts w:hAnsi="宋体" w:cs="宋体"/>
                <w:szCs w:val="21"/>
              </w:rPr>
              <w:t>ID</w:t>
            </w:r>
            <w:r>
              <w:rPr>
                <w:rFonts w:hint="eastAsia" w:hAnsi="宋体" w:cs="宋体"/>
                <w:szCs w:val="21"/>
              </w:rPr>
              <w:t>卡</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DT01-DR-CARD/J</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34</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交换机</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DT01-SW16</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台</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35</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托架</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DT04-A02-12A</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对</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36</w:t>
            </w:r>
          </w:p>
        </w:tc>
        <w:tc>
          <w:tcPr>
            <w:tcW w:w="2835" w:type="dxa"/>
            <w:gridSpan w:val="2"/>
            <w:shd w:val="clear" w:color="auto" w:fill="FFFFFF"/>
            <w:vAlign w:val="bottom"/>
          </w:tcPr>
          <w:p>
            <w:pPr>
              <w:widowControl/>
              <w:spacing w:line="360" w:lineRule="exact"/>
              <w:jc w:val="left"/>
              <w:rPr>
                <w:rFonts w:hAnsi="宋体" w:cs="宋体"/>
                <w:szCs w:val="21"/>
              </w:rPr>
            </w:pPr>
            <w:r>
              <w:rPr>
                <w:rFonts w:hint="eastAsia" w:hAnsi="宋体" w:cs="宋体"/>
                <w:szCs w:val="21"/>
              </w:rPr>
              <w:t>动环安装辅材</w:t>
            </w:r>
          </w:p>
        </w:tc>
        <w:tc>
          <w:tcPr>
            <w:tcW w:w="3795" w:type="dxa"/>
            <w:gridSpan w:val="4"/>
            <w:shd w:val="clear" w:color="auto" w:fill="FFFFFF"/>
            <w:noWrap/>
            <w:vAlign w:val="center"/>
          </w:tcPr>
          <w:p>
            <w:pPr>
              <w:widowControl/>
              <w:spacing w:line="360" w:lineRule="exact"/>
              <w:jc w:val="left"/>
              <w:rPr>
                <w:rFonts w:hAnsi="宋体" w:cs="宋体"/>
                <w:szCs w:val="21"/>
              </w:rPr>
            </w:pPr>
            <w:r>
              <w:rPr>
                <w:rFonts w:hAnsi="宋体" w:cs="宋体"/>
                <w:szCs w:val="21"/>
              </w:rPr>
              <w:t>DT01-FC</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套</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8" w:type="dxa"/>
            <w:gridSpan w:val="13"/>
            <w:shd w:val="clear" w:color="auto" w:fill="FFFFFF"/>
            <w:noWrap/>
            <w:vAlign w:val="center"/>
          </w:tcPr>
          <w:p>
            <w:pPr>
              <w:widowControl/>
              <w:spacing w:line="360" w:lineRule="exact"/>
              <w:jc w:val="left"/>
              <w:rPr>
                <w:rFonts w:hAnsi="宋体" w:cs="宋体"/>
                <w:szCs w:val="21"/>
              </w:rPr>
            </w:pPr>
            <w:r>
              <w:rPr>
                <w:rFonts w:hint="eastAsia" w:hAnsi="宋体" w:cs="宋体"/>
                <w:szCs w:val="21"/>
              </w:rPr>
              <w:t>二、综合布线系统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w:t>
            </w:r>
          </w:p>
        </w:tc>
        <w:tc>
          <w:tcPr>
            <w:tcW w:w="2835" w:type="dxa"/>
            <w:gridSpan w:val="2"/>
            <w:shd w:val="clear" w:color="auto" w:fill="FFFFFF"/>
            <w:noWrap/>
            <w:vAlign w:val="center"/>
          </w:tcPr>
          <w:p>
            <w:pPr>
              <w:widowControl/>
              <w:spacing w:line="360" w:lineRule="exact"/>
              <w:jc w:val="left"/>
              <w:rPr>
                <w:rFonts w:hAnsi="宋体" w:cs="宋体"/>
                <w:szCs w:val="21"/>
              </w:rPr>
            </w:pPr>
            <w:r>
              <w:rPr>
                <w:rFonts w:hAnsi="宋体" w:cs="宋体"/>
                <w:szCs w:val="21"/>
              </w:rPr>
              <w:t>UTP Cat.6</w:t>
            </w:r>
            <w:r>
              <w:rPr>
                <w:rFonts w:hint="eastAsia" w:hAnsi="宋体" w:cs="宋体"/>
                <w:szCs w:val="21"/>
              </w:rPr>
              <w:t>线缆</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DT05-SC211V03</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箱</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2</w:t>
            </w:r>
          </w:p>
        </w:tc>
        <w:tc>
          <w:tcPr>
            <w:tcW w:w="2835" w:type="dxa"/>
            <w:gridSpan w:val="2"/>
            <w:shd w:val="clear" w:color="auto" w:fill="FFFFFF"/>
            <w:noWrap/>
            <w:vAlign w:val="center"/>
          </w:tcPr>
          <w:p>
            <w:pPr>
              <w:widowControl/>
              <w:spacing w:line="360" w:lineRule="exact"/>
              <w:jc w:val="left"/>
              <w:rPr>
                <w:rFonts w:hAnsi="宋体" w:cs="宋体"/>
                <w:szCs w:val="21"/>
              </w:rPr>
            </w:pPr>
            <w:r>
              <w:rPr>
                <w:rFonts w:hAnsi="宋体" w:cs="宋体"/>
                <w:szCs w:val="21"/>
              </w:rPr>
              <w:t>UTP Cat.6</w:t>
            </w:r>
            <w:r>
              <w:rPr>
                <w:rFonts w:hint="eastAsia" w:hAnsi="宋体" w:cs="宋体"/>
                <w:szCs w:val="21"/>
              </w:rPr>
              <w:t>配线架</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DT05-SC213</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3</w:t>
            </w:r>
          </w:p>
        </w:tc>
        <w:tc>
          <w:tcPr>
            <w:tcW w:w="2835" w:type="dxa"/>
            <w:gridSpan w:val="2"/>
            <w:shd w:val="clear" w:color="auto" w:fill="FFFFFF"/>
            <w:noWrap/>
            <w:vAlign w:val="center"/>
          </w:tcPr>
          <w:p>
            <w:pPr>
              <w:widowControl/>
              <w:spacing w:line="360" w:lineRule="exact"/>
              <w:jc w:val="left"/>
              <w:rPr>
                <w:rFonts w:hAnsi="宋体" w:cs="宋体"/>
                <w:szCs w:val="21"/>
              </w:rPr>
            </w:pPr>
            <w:r>
              <w:rPr>
                <w:rFonts w:hAnsi="宋体" w:cs="宋体"/>
                <w:szCs w:val="21"/>
              </w:rPr>
              <w:t>UTP Cat.6</w:t>
            </w:r>
            <w:r>
              <w:rPr>
                <w:rFonts w:hint="eastAsia" w:hAnsi="宋体" w:cs="宋体"/>
                <w:szCs w:val="21"/>
              </w:rPr>
              <w:t>跳线</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DT05-SC21V2</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条</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576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4</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光纤配线架</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DT05-SF412L</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5</w:t>
            </w:r>
          </w:p>
        </w:tc>
        <w:tc>
          <w:tcPr>
            <w:tcW w:w="2835" w:type="dxa"/>
            <w:gridSpan w:val="2"/>
            <w:shd w:val="clear" w:color="auto" w:fill="FFFFFF"/>
            <w:noWrap/>
            <w:vAlign w:val="center"/>
          </w:tcPr>
          <w:p>
            <w:pPr>
              <w:widowControl/>
              <w:spacing w:line="360" w:lineRule="exact"/>
              <w:jc w:val="left"/>
              <w:rPr>
                <w:rFonts w:hAnsi="宋体" w:cs="宋体"/>
                <w:szCs w:val="21"/>
              </w:rPr>
            </w:pPr>
            <w:r>
              <w:rPr>
                <w:rFonts w:hAnsi="宋体" w:cs="宋体"/>
                <w:szCs w:val="21"/>
              </w:rPr>
              <w:t>ODF</w:t>
            </w:r>
            <w:r>
              <w:rPr>
                <w:rFonts w:hint="eastAsia" w:hAnsi="宋体" w:cs="宋体"/>
                <w:szCs w:val="21"/>
              </w:rPr>
              <w:t>架</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 xml:space="preserve"> DT05-SF548</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6</w:t>
            </w:r>
          </w:p>
        </w:tc>
        <w:tc>
          <w:tcPr>
            <w:tcW w:w="2835" w:type="dxa"/>
            <w:gridSpan w:val="2"/>
            <w:shd w:val="clear" w:color="auto" w:fill="FFFFFF"/>
            <w:noWrap/>
            <w:vAlign w:val="center"/>
          </w:tcPr>
          <w:p>
            <w:pPr>
              <w:widowControl/>
              <w:spacing w:line="360" w:lineRule="exact"/>
              <w:jc w:val="left"/>
              <w:rPr>
                <w:rFonts w:hAnsi="宋体" w:cs="宋体"/>
                <w:szCs w:val="21"/>
              </w:rPr>
            </w:pPr>
            <w:r>
              <w:rPr>
                <w:rFonts w:hAnsi="宋体" w:cs="宋体"/>
                <w:szCs w:val="21"/>
              </w:rPr>
              <w:t>LC</w:t>
            </w:r>
            <w:r>
              <w:rPr>
                <w:rFonts w:hint="eastAsia" w:hAnsi="宋体" w:cs="宋体"/>
                <w:szCs w:val="21"/>
              </w:rPr>
              <w:t>双工多模适配器</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DT05-SF613</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个</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8</w:t>
            </w:r>
          </w:p>
        </w:tc>
        <w:tc>
          <w:tcPr>
            <w:tcW w:w="2835" w:type="dxa"/>
            <w:gridSpan w:val="2"/>
            <w:shd w:val="clear" w:color="auto" w:fill="FFFFFF"/>
            <w:noWrap/>
            <w:vAlign w:val="center"/>
          </w:tcPr>
          <w:p>
            <w:pPr>
              <w:widowControl/>
              <w:spacing w:line="360" w:lineRule="exact"/>
              <w:jc w:val="left"/>
              <w:rPr>
                <w:rFonts w:hAnsi="宋体" w:cs="宋体"/>
                <w:szCs w:val="21"/>
              </w:rPr>
            </w:pPr>
            <w:r>
              <w:rPr>
                <w:rFonts w:hint="eastAsia" w:hAnsi="宋体" w:cs="宋体"/>
                <w:szCs w:val="21"/>
              </w:rPr>
              <w:t>室内多模</w:t>
            </w:r>
            <w:r>
              <w:rPr>
                <w:rFonts w:hAnsi="宋体" w:cs="宋体"/>
                <w:szCs w:val="21"/>
              </w:rPr>
              <w:t>12</w:t>
            </w:r>
            <w:r>
              <w:rPr>
                <w:rFonts w:hint="eastAsia" w:hAnsi="宋体" w:cs="宋体"/>
                <w:szCs w:val="21"/>
              </w:rPr>
              <w:t>芯光缆</w:t>
            </w:r>
            <w:r>
              <w:rPr>
                <w:rFonts w:hAnsi="宋体" w:cs="宋体"/>
                <w:szCs w:val="21"/>
              </w:rPr>
              <w:t xml:space="preserve"> OM3</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DT05-SF13112</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米</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9</w:t>
            </w:r>
          </w:p>
        </w:tc>
        <w:tc>
          <w:tcPr>
            <w:tcW w:w="2835" w:type="dxa"/>
            <w:gridSpan w:val="2"/>
            <w:shd w:val="clear" w:color="auto" w:fill="FFFFFF"/>
            <w:noWrap/>
            <w:vAlign w:val="center"/>
          </w:tcPr>
          <w:p>
            <w:pPr>
              <w:widowControl/>
              <w:spacing w:line="360" w:lineRule="exact"/>
              <w:jc w:val="left"/>
              <w:rPr>
                <w:rFonts w:hAnsi="宋体" w:cs="宋体"/>
                <w:szCs w:val="21"/>
              </w:rPr>
            </w:pPr>
            <w:r>
              <w:rPr>
                <w:rFonts w:hAnsi="宋体" w:cs="宋体"/>
                <w:szCs w:val="21"/>
              </w:rPr>
              <w:t>LC</w:t>
            </w:r>
            <w:r>
              <w:rPr>
                <w:rFonts w:hint="eastAsia" w:hAnsi="宋体" w:cs="宋体"/>
                <w:szCs w:val="21"/>
              </w:rPr>
              <w:t>双芯多模尾纤</w:t>
            </w:r>
            <w:r>
              <w:rPr>
                <w:rFonts w:hAnsi="宋体" w:cs="宋体"/>
                <w:szCs w:val="21"/>
              </w:rPr>
              <w:t xml:space="preserve"> OM3</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DT05-SF7316C2</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条</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288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13" w:type="dxa"/>
            <w:gridSpan w:val="4"/>
            <w:shd w:val="clear" w:color="auto" w:fill="FFFFFF"/>
            <w:noWrap/>
            <w:vAlign w:val="center"/>
          </w:tcPr>
          <w:p>
            <w:pPr>
              <w:widowControl/>
              <w:spacing w:line="360" w:lineRule="exact"/>
              <w:jc w:val="center"/>
              <w:rPr>
                <w:rFonts w:hAnsi="宋体" w:cs="宋体"/>
                <w:szCs w:val="21"/>
              </w:rPr>
            </w:pPr>
            <w:r>
              <w:rPr>
                <w:rFonts w:hAnsi="宋体" w:cs="宋体"/>
                <w:szCs w:val="21"/>
              </w:rPr>
              <w:t>10</w:t>
            </w:r>
          </w:p>
        </w:tc>
        <w:tc>
          <w:tcPr>
            <w:tcW w:w="2835" w:type="dxa"/>
            <w:gridSpan w:val="2"/>
            <w:shd w:val="clear" w:color="auto" w:fill="FFFFFF"/>
            <w:noWrap/>
            <w:vAlign w:val="center"/>
          </w:tcPr>
          <w:p>
            <w:pPr>
              <w:widowControl/>
              <w:spacing w:line="360" w:lineRule="exact"/>
              <w:jc w:val="left"/>
              <w:rPr>
                <w:rFonts w:hAnsi="宋体" w:cs="宋体"/>
                <w:szCs w:val="21"/>
              </w:rPr>
            </w:pPr>
            <w:r>
              <w:rPr>
                <w:rFonts w:hAnsi="宋体" w:cs="宋体"/>
                <w:szCs w:val="21"/>
              </w:rPr>
              <w:t>LC-LC</w:t>
            </w:r>
            <w:r>
              <w:rPr>
                <w:rFonts w:hint="eastAsia" w:hAnsi="宋体" w:cs="宋体"/>
                <w:szCs w:val="21"/>
              </w:rPr>
              <w:t>双芯多模跳线</w:t>
            </w:r>
            <w:r>
              <w:rPr>
                <w:rFonts w:hAnsi="宋体" w:cs="宋体"/>
                <w:szCs w:val="21"/>
              </w:rPr>
              <w:t xml:space="preserve"> OM3</w:t>
            </w:r>
          </w:p>
        </w:tc>
        <w:tc>
          <w:tcPr>
            <w:tcW w:w="3795" w:type="dxa"/>
            <w:gridSpan w:val="4"/>
            <w:shd w:val="clear" w:color="auto" w:fill="FFFFFF"/>
            <w:noWrap/>
            <w:vAlign w:val="bottom"/>
          </w:tcPr>
          <w:p>
            <w:pPr>
              <w:widowControl/>
              <w:spacing w:line="360" w:lineRule="exact"/>
              <w:jc w:val="left"/>
              <w:rPr>
                <w:rFonts w:hAnsi="宋体" w:cs="宋体"/>
                <w:szCs w:val="21"/>
              </w:rPr>
            </w:pPr>
            <w:r>
              <w:rPr>
                <w:rFonts w:hAnsi="宋体" w:cs="宋体"/>
                <w:szCs w:val="21"/>
              </w:rPr>
              <w:t>DT05-SF3326203</w:t>
            </w:r>
          </w:p>
        </w:tc>
        <w:tc>
          <w:tcPr>
            <w:tcW w:w="765" w:type="dxa"/>
            <w:gridSpan w:val="2"/>
            <w:shd w:val="clear" w:color="auto" w:fill="FFFFFF"/>
            <w:noWrap/>
            <w:vAlign w:val="center"/>
          </w:tcPr>
          <w:p>
            <w:pPr>
              <w:widowControl/>
              <w:spacing w:line="360" w:lineRule="exact"/>
              <w:jc w:val="center"/>
              <w:rPr>
                <w:rFonts w:hAnsi="宋体" w:cs="宋体"/>
                <w:szCs w:val="21"/>
              </w:rPr>
            </w:pPr>
            <w:r>
              <w:rPr>
                <w:rFonts w:hint="eastAsia" w:hAnsi="宋体" w:cs="宋体"/>
                <w:szCs w:val="21"/>
              </w:rPr>
              <w:t>条</w:t>
            </w:r>
          </w:p>
        </w:tc>
        <w:tc>
          <w:tcPr>
            <w:tcW w:w="690" w:type="dxa"/>
            <w:shd w:val="clear" w:color="auto" w:fill="FFFFFF"/>
            <w:noWrap/>
            <w:vAlign w:val="center"/>
          </w:tcPr>
          <w:p>
            <w:pPr>
              <w:widowControl/>
              <w:spacing w:line="360" w:lineRule="exact"/>
              <w:jc w:val="center"/>
              <w:rPr>
                <w:rFonts w:hAnsi="宋体" w:cs="宋体"/>
                <w:szCs w:val="21"/>
              </w:rPr>
            </w:pPr>
            <w:r>
              <w:rPr>
                <w:rFonts w:hAnsi="宋体" w:cs="宋体"/>
                <w:szCs w:val="21"/>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798" w:type="dxa"/>
            <w:gridSpan w:val="13"/>
            <w:shd w:val="clear" w:color="auto" w:fill="FFFFFF"/>
            <w:noWrap/>
            <w:vAlign w:val="center"/>
          </w:tcPr>
          <w:p>
            <w:pPr>
              <w:widowControl/>
              <w:jc w:val="center"/>
              <w:rPr>
                <w:rFonts w:hAnsi="宋体" w:cs="宋体"/>
                <w:b/>
                <w:bCs/>
                <w:szCs w:val="21"/>
              </w:rPr>
            </w:pPr>
            <w:r>
              <w:rPr>
                <w:rFonts w:hint="eastAsia" w:hAnsi="宋体" w:cs="宋体"/>
                <w:b/>
                <w:bCs/>
                <w:szCs w:val="21"/>
              </w:rPr>
              <w:t>标准化机房-消防系统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87" w:type="dxa"/>
            <w:shd w:val="clear" w:color="auto" w:fill="FFFFFF"/>
            <w:noWrap/>
            <w:vAlign w:val="center"/>
          </w:tcPr>
          <w:p>
            <w:pPr>
              <w:widowControl/>
              <w:jc w:val="center"/>
              <w:rPr>
                <w:rFonts w:hAnsi="宋体" w:cs="宋体"/>
                <w:szCs w:val="21"/>
              </w:rPr>
            </w:pPr>
            <w:r>
              <w:rPr>
                <w:rFonts w:hint="eastAsia" w:hAnsi="宋体" w:cs="宋体"/>
                <w:szCs w:val="21"/>
              </w:rPr>
              <w:t>类别</w:t>
            </w:r>
          </w:p>
        </w:tc>
        <w:tc>
          <w:tcPr>
            <w:tcW w:w="338" w:type="dxa"/>
            <w:shd w:val="clear" w:color="auto" w:fill="FFFFFF"/>
            <w:noWrap/>
            <w:vAlign w:val="center"/>
          </w:tcPr>
          <w:p>
            <w:pPr>
              <w:widowControl/>
              <w:jc w:val="center"/>
              <w:rPr>
                <w:rFonts w:hAnsi="宋体" w:cs="宋体"/>
                <w:szCs w:val="21"/>
              </w:rPr>
            </w:pPr>
            <w:r>
              <w:rPr>
                <w:rFonts w:hint="eastAsia" w:hAnsi="宋体" w:cs="宋体"/>
                <w:szCs w:val="21"/>
              </w:rPr>
              <w:t>序号</w:t>
            </w:r>
          </w:p>
        </w:tc>
        <w:tc>
          <w:tcPr>
            <w:tcW w:w="1500" w:type="dxa"/>
            <w:gridSpan w:val="3"/>
            <w:shd w:val="clear" w:color="auto" w:fill="FFFFFF"/>
            <w:noWrap/>
            <w:vAlign w:val="center"/>
          </w:tcPr>
          <w:p>
            <w:pPr>
              <w:widowControl/>
              <w:jc w:val="center"/>
              <w:rPr>
                <w:rFonts w:hAnsi="宋体" w:cs="宋体"/>
                <w:szCs w:val="21"/>
              </w:rPr>
            </w:pPr>
            <w:r>
              <w:rPr>
                <w:rFonts w:hint="eastAsia" w:hAnsi="宋体" w:cs="宋体"/>
                <w:szCs w:val="21"/>
              </w:rPr>
              <w:t>产品名称</w:t>
            </w:r>
          </w:p>
        </w:tc>
        <w:tc>
          <w:tcPr>
            <w:tcW w:w="1500" w:type="dxa"/>
            <w:gridSpan w:val="2"/>
            <w:shd w:val="clear" w:color="auto" w:fill="FFFFFF"/>
            <w:noWrap/>
            <w:vAlign w:val="center"/>
          </w:tcPr>
          <w:p>
            <w:pPr>
              <w:widowControl/>
              <w:jc w:val="center"/>
              <w:rPr>
                <w:rFonts w:hAnsi="宋体" w:cs="宋体"/>
                <w:szCs w:val="21"/>
              </w:rPr>
            </w:pPr>
            <w:r>
              <w:rPr>
                <w:rFonts w:hint="eastAsia" w:hAnsi="宋体" w:cs="宋体"/>
                <w:szCs w:val="21"/>
              </w:rPr>
              <w:t>规格型号</w:t>
            </w:r>
          </w:p>
        </w:tc>
        <w:tc>
          <w:tcPr>
            <w:tcW w:w="437" w:type="dxa"/>
            <w:shd w:val="clear" w:color="auto" w:fill="FFFFFF"/>
            <w:noWrap/>
            <w:vAlign w:val="center"/>
          </w:tcPr>
          <w:p>
            <w:pPr>
              <w:widowControl/>
              <w:jc w:val="center"/>
              <w:rPr>
                <w:rFonts w:hAnsi="宋体" w:cs="宋体"/>
                <w:szCs w:val="21"/>
              </w:rPr>
            </w:pPr>
            <w:r>
              <w:rPr>
                <w:rFonts w:hint="eastAsia" w:hAnsi="宋体" w:cs="宋体"/>
                <w:szCs w:val="21"/>
              </w:rPr>
              <w:t>单位</w:t>
            </w:r>
          </w:p>
        </w:tc>
        <w:tc>
          <w:tcPr>
            <w:tcW w:w="513" w:type="dxa"/>
            <w:shd w:val="clear" w:color="auto" w:fill="FFFFFF"/>
            <w:noWrap/>
            <w:vAlign w:val="center"/>
          </w:tcPr>
          <w:p>
            <w:pPr>
              <w:widowControl/>
              <w:jc w:val="center"/>
              <w:rPr>
                <w:rFonts w:hAnsi="宋体" w:cs="宋体"/>
                <w:szCs w:val="21"/>
              </w:rPr>
            </w:pPr>
            <w:r>
              <w:rPr>
                <w:rFonts w:hint="eastAsia" w:hAnsi="宋体" w:cs="宋体"/>
                <w:szCs w:val="21"/>
              </w:rPr>
              <w:t>数量</w:t>
            </w:r>
          </w:p>
        </w:tc>
        <w:tc>
          <w:tcPr>
            <w:tcW w:w="4223" w:type="dxa"/>
            <w:gridSpan w:val="4"/>
            <w:shd w:val="clear" w:color="auto" w:fill="FFFFFF"/>
            <w:noWrap/>
            <w:vAlign w:val="center"/>
          </w:tcPr>
          <w:p>
            <w:pPr>
              <w:widowControl/>
              <w:jc w:val="center"/>
              <w:rPr>
                <w:rFonts w:hAnsi="宋体" w:cs="宋体"/>
                <w:szCs w:val="21"/>
              </w:rPr>
            </w:pPr>
            <w:r>
              <w:rPr>
                <w:rFonts w:hint="eastAsia" w:hAnsi="宋体" w:cs="宋体"/>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98" w:type="dxa"/>
            <w:gridSpan w:val="13"/>
            <w:shd w:val="clear" w:color="auto" w:fill="FFFFFF"/>
            <w:noWrap/>
            <w:vAlign w:val="center"/>
          </w:tcPr>
          <w:p>
            <w:pPr>
              <w:widowControl/>
              <w:jc w:val="left"/>
              <w:rPr>
                <w:rFonts w:hAnsi="宋体" w:cs="宋体"/>
                <w:szCs w:val="21"/>
              </w:rPr>
            </w:pPr>
            <w:r>
              <w:rPr>
                <w:rFonts w:hint="eastAsia" w:hAnsi="宋体" w:cs="宋体"/>
                <w:szCs w:val="21"/>
              </w:rPr>
              <w:t>一、惰性气体灭火系统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left"/>
              <w:rPr>
                <w:rFonts w:hAnsi="宋体" w:cs="宋体"/>
                <w:szCs w:val="21"/>
              </w:rPr>
            </w:pPr>
            <w:r>
              <w:rPr>
                <w:rFonts w:hAnsi="宋体" w:cs="宋体"/>
                <w:szCs w:val="21"/>
              </w:rPr>
              <w:t>1</w:t>
            </w:r>
          </w:p>
        </w:tc>
        <w:tc>
          <w:tcPr>
            <w:tcW w:w="1500" w:type="dxa"/>
            <w:gridSpan w:val="3"/>
            <w:shd w:val="clear" w:color="auto" w:fill="FFFFFF"/>
            <w:noWrap/>
            <w:vAlign w:val="center"/>
          </w:tcPr>
          <w:p>
            <w:pPr>
              <w:widowControl/>
              <w:jc w:val="left"/>
              <w:rPr>
                <w:rFonts w:hAnsi="宋体" w:cs="宋体"/>
                <w:szCs w:val="21"/>
              </w:rPr>
            </w:pPr>
            <w:r>
              <w:rPr>
                <w:rFonts w:hint="eastAsia" w:hAnsi="宋体" w:cs="宋体"/>
                <w:szCs w:val="21"/>
              </w:rPr>
              <w:t>七氟丙烷灭火剂</w:t>
            </w:r>
          </w:p>
        </w:tc>
        <w:tc>
          <w:tcPr>
            <w:tcW w:w="1500" w:type="dxa"/>
            <w:gridSpan w:val="2"/>
            <w:shd w:val="clear" w:color="auto" w:fill="FFFFFF"/>
            <w:noWrap/>
            <w:vAlign w:val="center"/>
          </w:tcPr>
          <w:p>
            <w:pPr>
              <w:widowControl/>
              <w:jc w:val="left"/>
              <w:rPr>
                <w:rFonts w:hAnsi="宋体" w:cs="宋体"/>
                <w:szCs w:val="21"/>
              </w:rPr>
            </w:pPr>
            <w:r>
              <w:rPr>
                <w:rFonts w:hAnsi="宋体" w:cs="宋体"/>
                <w:szCs w:val="21"/>
              </w:rPr>
              <w:t>HFC-227ea</w:t>
            </w:r>
          </w:p>
        </w:tc>
        <w:tc>
          <w:tcPr>
            <w:tcW w:w="437" w:type="dxa"/>
            <w:shd w:val="clear" w:color="auto" w:fill="FFFFFF"/>
            <w:noWrap/>
            <w:vAlign w:val="center"/>
          </w:tcPr>
          <w:p>
            <w:pPr>
              <w:widowControl/>
              <w:jc w:val="center"/>
              <w:rPr>
                <w:rFonts w:hAnsi="宋体" w:cs="宋体"/>
                <w:szCs w:val="21"/>
              </w:rPr>
            </w:pPr>
            <w:r>
              <w:rPr>
                <w:rFonts w:hAnsi="宋体" w:cs="宋体"/>
                <w:szCs w:val="21"/>
              </w:rPr>
              <w:t>kg</w:t>
            </w:r>
          </w:p>
        </w:tc>
        <w:tc>
          <w:tcPr>
            <w:tcW w:w="513" w:type="dxa"/>
            <w:shd w:val="clear" w:color="auto" w:fill="FFFFFF"/>
            <w:noWrap/>
            <w:vAlign w:val="center"/>
          </w:tcPr>
          <w:p>
            <w:pPr>
              <w:widowControl/>
              <w:jc w:val="center"/>
              <w:rPr>
                <w:rFonts w:hAnsi="宋体" w:cs="宋体"/>
                <w:szCs w:val="21"/>
              </w:rPr>
            </w:pPr>
            <w:r>
              <w:rPr>
                <w:rFonts w:hAnsi="宋体" w:cs="宋体"/>
                <w:szCs w:val="21"/>
              </w:rPr>
              <w:t>406</w:t>
            </w:r>
          </w:p>
        </w:tc>
        <w:tc>
          <w:tcPr>
            <w:tcW w:w="4223" w:type="dxa"/>
            <w:gridSpan w:val="4"/>
            <w:shd w:val="clear" w:color="auto" w:fill="FFFFFF"/>
            <w:noWrap/>
            <w:vAlign w:val="center"/>
          </w:tcPr>
          <w:p>
            <w:pPr>
              <w:widowControl/>
              <w:jc w:val="left"/>
              <w:rPr>
                <w:rFonts w:hAnsi="宋体" w:cs="宋体"/>
                <w:szCs w:val="21"/>
              </w:rPr>
            </w:pPr>
            <w:r>
              <w:rPr>
                <w:rFonts w:hAnsi="宋体" w:cs="宋体"/>
                <w:szCs w:val="21"/>
              </w:rPr>
              <w:t>标准大气压下的沸点-16.4℃</w:t>
            </w:r>
          </w:p>
          <w:p>
            <w:pPr>
              <w:widowControl/>
              <w:jc w:val="left"/>
              <w:rPr>
                <w:rFonts w:hAnsi="宋体" w:cs="宋体"/>
                <w:szCs w:val="21"/>
              </w:rPr>
            </w:pPr>
            <w:r>
              <w:rPr>
                <w:rFonts w:hAnsi="宋体" w:cs="宋体"/>
                <w:szCs w:val="21"/>
              </w:rPr>
              <w:t>凝固点-131℃</w:t>
            </w:r>
          </w:p>
          <w:p>
            <w:pPr>
              <w:widowControl/>
              <w:jc w:val="left"/>
              <w:rPr>
                <w:rFonts w:hAnsi="宋体" w:cs="宋体"/>
                <w:szCs w:val="21"/>
              </w:rPr>
            </w:pPr>
            <w:r>
              <w:rPr>
                <w:rFonts w:hAnsi="宋体" w:cs="宋体"/>
                <w:szCs w:val="21"/>
              </w:rPr>
              <w:t>临界温度101.7℃</w:t>
            </w:r>
          </w:p>
          <w:p>
            <w:pPr>
              <w:widowControl/>
              <w:jc w:val="left"/>
              <w:rPr>
                <w:rFonts w:hAnsi="宋体" w:cs="宋体"/>
                <w:szCs w:val="21"/>
              </w:rPr>
            </w:pPr>
            <w:r>
              <w:rPr>
                <w:rFonts w:hAnsi="宋体" w:cs="宋体"/>
                <w:szCs w:val="21"/>
              </w:rPr>
              <w:t>临界压力2912Kpa</w:t>
            </w:r>
          </w:p>
          <w:p>
            <w:pPr>
              <w:widowControl/>
              <w:jc w:val="left"/>
              <w:rPr>
                <w:rFonts w:hAnsi="宋体" w:cs="宋体"/>
                <w:szCs w:val="21"/>
              </w:rPr>
            </w:pPr>
            <w:r>
              <w:rPr>
                <w:rFonts w:hAnsi="宋体" w:cs="宋体"/>
                <w:szCs w:val="21"/>
              </w:rPr>
              <w:t>临界体积274CC/mole</w:t>
            </w:r>
          </w:p>
          <w:p>
            <w:pPr>
              <w:widowControl/>
              <w:jc w:val="left"/>
              <w:rPr>
                <w:rFonts w:hAnsi="宋体" w:cs="宋体"/>
                <w:szCs w:val="21"/>
              </w:rPr>
            </w:pPr>
            <w:r>
              <w:rPr>
                <w:rFonts w:hAnsi="宋体" w:cs="宋体"/>
                <w:szCs w:val="21"/>
              </w:rPr>
              <w:t>临界密度621Kg/m&amp;sup3;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left"/>
              <w:rPr>
                <w:rFonts w:hAnsi="宋体" w:cs="宋体"/>
                <w:szCs w:val="21"/>
              </w:rPr>
            </w:pPr>
            <w:r>
              <w:rPr>
                <w:rFonts w:hAnsi="宋体" w:cs="宋体"/>
                <w:szCs w:val="21"/>
              </w:rPr>
              <w:t>2</w:t>
            </w:r>
          </w:p>
        </w:tc>
        <w:tc>
          <w:tcPr>
            <w:tcW w:w="1500" w:type="dxa"/>
            <w:gridSpan w:val="3"/>
            <w:shd w:val="clear" w:color="auto" w:fill="FFFFFF"/>
            <w:noWrap/>
            <w:vAlign w:val="center"/>
          </w:tcPr>
          <w:p>
            <w:pPr>
              <w:widowControl/>
              <w:jc w:val="left"/>
              <w:rPr>
                <w:rFonts w:hAnsi="宋体" w:cs="宋体"/>
                <w:szCs w:val="21"/>
              </w:rPr>
            </w:pPr>
            <w:r>
              <w:rPr>
                <w:rFonts w:hint="eastAsia" w:hAnsi="宋体" w:cs="宋体"/>
                <w:szCs w:val="21"/>
              </w:rPr>
              <w:t>柜式七氟丙烷气体灭火装置</w:t>
            </w:r>
          </w:p>
        </w:tc>
        <w:tc>
          <w:tcPr>
            <w:tcW w:w="1500" w:type="dxa"/>
            <w:gridSpan w:val="2"/>
            <w:shd w:val="clear" w:color="auto" w:fill="FFFFFF"/>
            <w:noWrap/>
            <w:vAlign w:val="center"/>
          </w:tcPr>
          <w:p>
            <w:pPr>
              <w:widowControl/>
              <w:jc w:val="left"/>
              <w:rPr>
                <w:rFonts w:hAnsi="宋体" w:cs="宋体"/>
                <w:szCs w:val="21"/>
              </w:rPr>
            </w:pPr>
            <w:r>
              <w:rPr>
                <w:rFonts w:hAnsi="宋体" w:cs="宋体"/>
                <w:szCs w:val="21"/>
              </w:rPr>
              <w:t>GQQ70/2.5-GSF</w:t>
            </w:r>
          </w:p>
        </w:tc>
        <w:tc>
          <w:tcPr>
            <w:tcW w:w="437" w:type="dxa"/>
            <w:shd w:val="clear" w:color="auto" w:fill="FFFFFF"/>
            <w:noWrap/>
            <w:vAlign w:val="center"/>
          </w:tcPr>
          <w:p>
            <w:pPr>
              <w:widowControl/>
              <w:jc w:val="center"/>
              <w:rPr>
                <w:rFonts w:hAnsi="宋体" w:cs="宋体"/>
                <w:szCs w:val="21"/>
              </w:rPr>
            </w:pPr>
            <w:r>
              <w:rPr>
                <w:rFonts w:hAnsi="宋体" w:cs="宋体"/>
                <w:szCs w:val="21"/>
              </w:rPr>
              <w:t>台</w:t>
            </w:r>
          </w:p>
        </w:tc>
        <w:tc>
          <w:tcPr>
            <w:tcW w:w="513" w:type="dxa"/>
            <w:shd w:val="clear" w:color="auto" w:fill="FFFFFF"/>
            <w:noWrap/>
            <w:vAlign w:val="center"/>
          </w:tcPr>
          <w:p>
            <w:pPr>
              <w:widowControl/>
              <w:jc w:val="center"/>
              <w:rPr>
                <w:rFonts w:hAnsi="宋体" w:cs="宋体"/>
                <w:szCs w:val="21"/>
              </w:rPr>
            </w:pPr>
            <w:r>
              <w:rPr>
                <w:rFonts w:hAnsi="宋体" w:cs="宋体"/>
                <w:szCs w:val="21"/>
              </w:rPr>
              <w:t>1</w:t>
            </w:r>
          </w:p>
        </w:tc>
        <w:tc>
          <w:tcPr>
            <w:tcW w:w="4223" w:type="dxa"/>
            <w:gridSpan w:val="4"/>
            <w:shd w:val="clear" w:color="auto" w:fill="FFFFFF"/>
            <w:noWrap/>
            <w:vAlign w:val="center"/>
          </w:tcPr>
          <w:p>
            <w:pPr>
              <w:widowControl/>
              <w:jc w:val="left"/>
              <w:rPr>
                <w:rFonts w:hAnsi="宋体" w:cs="宋体"/>
                <w:szCs w:val="21"/>
              </w:rPr>
            </w:pPr>
            <w:r>
              <w:rPr>
                <w:rFonts w:hAnsi="宋体" w:cs="宋体"/>
                <w:szCs w:val="21"/>
              </w:rPr>
              <w:t>★充装压力:2.5Mpa，气瓶容积:70L，使用环境温度：0~50℃，喷射时间：≤10S，电磁阀工作电压：DC24V，启动电流(每组 A)：1～1.5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left"/>
              <w:rPr>
                <w:rFonts w:hAnsi="宋体" w:cs="宋体"/>
                <w:szCs w:val="21"/>
              </w:rPr>
            </w:pPr>
            <w:r>
              <w:rPr>
                <w:rFonts w:hAnsi="宋体" w:cs="宋体"/>
                <w:szCs w:val="21"/>
              </w:rPr>
              <w:t>3</w:t>
            </w:r>
          </w:p>
        </w:tc>
        <w:tc>
          <w:tcPr>
            <w:tcW w:w="1500" w:type="dxa"/>
            <w:gridSpan w:val="3"/>
            <w:shd w:val="clear" w:color="auto" w:fill="FFFFFF"/>
            <w:noWrap/>
            <w:vAlign w:val="center"/>
          </w:tcPr>
          <w:p>
            <w:pPr>
              <w:widowControl/>
              <w:jc w:val="left"/>
              <w:rPr>
                <w:rFonts w:hAnsi="宋体" w:cs="宋体"/>
                <w:szCs w:val="21"/>
              </w:rPr>
            </w:pPr>
            <w:r>
              <w:rPr>
                <w:rFonts w:hint="eastAsia" w:hAnsi="宋体" w:cs="宋体"/>
                <w:szCs w:val="21"/>
              </w:rPr>
              <w:t>柜式七氟丙烷气体灭火装置</w:t>
            </w:r>
          </w:p>
        </w:tc>
        <w:tc>
          <w:tcPr>
            <w:tcW w:w="1500" w:type="dxa"/>
            <w:gridSpan w:val="2"/>
            <w:shd w:val="clear" w:color="auto" w:fill="FFFFFF"/>
            <w:noWrap/>
            <w:vAlign w:val="center"/>
          </w:tcPr>
          <w:p>
            <w:pPr>
              <w:widowControl/>
              <w:jc w:val="left"/>
              <w:rPr>
                <w:rFonts w:hAnsi="宋体" w:cs="宋体"/>
                <w:szCs w:val="21"/>
              </w:rPr>
            </w:pPr>
            <w:r>
              <w:rPr>
                <w:rFonts w:hAnsi="宋体" w:cs="宋体"/>
                <w:szCs w:val="21"/>
              </w:rPr>
              <w:t>GQQ90/2.5-GSF</w:t>
            </w:r>
          </w:p>
        </w:tc>
        <w:tc>
          <w:tcPr>
            <w:tcW w:w="437" w:type="dxa"/>
            <w:shd w:val="clear" w:color="auto" w:fill="FFFFFF"/>
            <w:noWrap/>
            <w:vAlign w:val="center"/>
          </w:tcPr>
          <w:p>
            <w:pPr>
              <w:widowControl/>
              <w:jc w:val="center"/>
              <w:rPr>
                <w:rFonts w:hAnsi="宋体" w:cs="宋体"/>
                <w:szCs w:val="21"/>
              </w:rPr>
            </w:pPr>
            <w:r>
              <w:rPr>
                <w:rFonts w:hAnsi="宋体" w:cs="宋体"/>
                <w:szCs w:val="21"/>
              </w:rPr>
              <w:t>台</w:t>
            </w:r>
          </w:p>
        </w:tc>
        <w:tc>
          <w:tcPr>
            <w:tcW w:w="513" w:type="dxa"/>
            <w:shd w:val="clear" w:color="auto" w:fill="FFFFFF"/>
            <w:noWrap/>
            <w:vAlign w:val="center"/>
          </w:tcPr>
          <w:p>
            <w:pPr>
              <w:widowControl/>
              <w:jc w:val="center"/>
              <w:rPr>
                <w:rFonts w:hAnsi="宋体" w:cs="宋体"/>
                <w:szCs w:val="21"/>
              </w:rPr>
            </w:pPr>
            <w:r>
              <w:rPr>
                <w:rFonts w:hAnsi="宋体" w:cs="宋体"/>
                <w:szCs w:val="21"/>
              </w:rPr>
              <w:t>1</w:t>
            </w:r>
          </w:p>
        </w:tc>
        <w:tc>
          <w:tcPr>
            <w:tcW w:w="4223" w:type="dxa"/>
            <w:gridSpan w:val="4"/>
            <w:shd w:val="clear" w:color="auto" w:fill="FFFFFF"/>
            <w:noWrap/>
            <w:vAlign w:val="center"/>
          </w:tcPr>
          <w:p>
            <w:pPr>
              <w:widowControl/>
              <w:jc w:val="left"/>
              <w:rPr>
                <w:rFonts w:hAnsi="宋体" w:cs="宋体"/>
                <w:szCs w:val="21"/>
              </w:rPr>
            </w:pPr>
            <w:r>
              <w:rPr>
                <w:rFonts w:hAnsi="宋体" w:cs="宋体"/>
                <w:szCs w:val="21"/>
              </w:rPr>
              <w:t>★充装压力:2.5Mpa，气瓶容积:90L，使用环境温度：0~50℃，喷射时间：≤10S，电磁阀工作电压：DC24V，启动电流(每组 A)：1～1.5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left"/>
              <w:rPr>
                <w:rFonts w:hAnsi="宋体" w:cs="宋体"/>
                <w:szCs w:val="21"/>
              </w:rPr>
            </w:pPr>
            <w:r>
              <w:rPr>
                <w:rFonts w:hAnsi="宋体" w:cs="宋体"/>
                <w:szCs w:val="21"/>
              </w:rPr>
              <w:t>4</w:t>
            </w:r>
          </w:p>
        </w:tc>
        <w:tc>
          <w:tcPr>
            <w:tcW w:w="1500" w:type="dxa"/>
            <w:gridSpan w:val="3"/>
            <w:shd w:val="clear" w:color="auto" w:fill="FFFFFF"/>
            <w:noWrap/>
            <w:vAlign w:val="center"/>
          </w:tcPr>
          <w:p>
            <w:pPr>
              <w:widowControl/>
              <w:jc w:val="left"/>
              <w:rPr>
                <w:rFonts w:hAnsi="宋体" w:cs="宋体"/>
                <w:szCs w:val="21"/>
              </w:rPr>
            </w:pPr>
            <w:r>
              <w:rPr>
                <w:rFonts w:hint="eastAsia" w:hAnsi="宋体" w:cs="宋体"/>
                <w:szCs w:val="21"/>
              </w:rPr>
              <w:t>柜式七氟丙烷气体灭火装置</w:t>
            </w:r>
          </w:p>
        </w:tc>
        <w:tc>
          <w:tcPr>
            <w:tcW w:w="1500" w:type="dxa"/>
            <w:gridSpan w:val="2"/>
            <w:shd w:val="clear" w:color="auto" w:fill="FFFFFF"/>
            <w:noWrap/>
            <w:vAlign w:val="center"/>
          </w:tcPr>
          <w:p>
            <w:pPr>
              <w:widowControl/>
              <w:jc w:val="left"/>
              <w:rPr>
                <w:rFonts w:hAnsi="宋体" w:cs="宋体"/>
                <w:szCs w:val="21"/>
              </w:rPr>
            </w:pPr>
            <w:r>
              <w:rPr>
                <w:rFonts w:hAnsi="宋体" w:cs="宋体"/>
                <w:szCs w:val="21"/>
              </w:rPr>
              <w:t>GQQ120/2.5-GSF</w:t>
            </w:r>
          </w:p>
        </w:tc>
        <w:tc>
          <w:tcPr>
            <w:tcW w:w="437" w:type="dxa"/>
            <w:shd w:val="clear" w:color="auto" w:fill="FFFFFF"/>
            <w:noWrap/>
            <w:vAlign w:val="center"/>
          </w:tcPr>
          <w:p>
            <w:pPr>
              <w:widowControl/>
              <w:jc w:val="center"/>
              <w:rPr>
                <w:rFonts w:hAnsi="宋体" w:cs="宋体"/>
                <w:szCs w:val="21"/>
              </w:rPr>
            </w:pPr>
            <w:r>
              <w:rPr>
                <w:rFonts w:hAnsi="宋体" w:cs="宋体"/>
                <w:szCs w:val="21"/>
              </w:rPr>
              <w:t>台</w:t>
            </w:r>
          </w:p>
        </w:tc>
        <w:tc>
          <w:tcPr>
            <w:tcW w:w="513" w:type="dxa"/>
            <w:shd w:val="clear" w:color="auto" w:fill="FFFFFF"/>
            <w:noWrap/>
            <w:vAlign w:val="center"/>
          </w:tcPr>
          <w:p>
            <w:pPr>
              <w:widowControl/>
              <w:jc w:val="center"/>
              <w:rPr>
                <w:rFonts w:hAnsi="宋体" w:cs="宋体"/>
                <w:szCs w:val="21"/>
              </w:rPr>
            </w:pPr>
            <w:r>
              <w:rPr>
                <w:rFonts w:hAnsi="宋体" w:cs="宋体"/>
                <w:szCs w:val="21"/>
              </w:rPr>
              <w:t>3</w:t>
            </w:r>
          </w:p>
        </w:tc>
        <w:tc>
          <w:tcPr>
            <w:tcW w:w="4223" w:type="dxa"/>
            <w:gridSpan w:val="4"/>
            <w:shd w:val="clear" w:color="auto" w:fill="FFFFFF"/>
            <w:noWrap/>
            <w:vAlign w:val="center"/>
          </w:tcPr>
          <w:p>
            <w:pPr>
              <w:widowControl/>
              <w:jc w:val="left"/>
              <w:rPr>
                <w:rFonts w:hAnsi="宋体" w:cs="宋体"/>
                <w:szCs w:val="21"/>
              </w:rPr>
            </w:pPr>
            <w:r>
              <w:rPr>
                <w:rFonts w:hAnsi="宋体" w:cs="宋体"/>
                <w:szCs w:val="21"/>
              </w:rPr>
              <w:t>★充装压力:2.5Mpa，气瓶容积:120L，使用环境温度：0~50℃，喷射时间：≤10S，电磁阀工作电压：DC24V，启动电流(每组 A)：1～1.5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left"/>
              <w:rPr>
                <w:rFonts w:hAnsi="宋体" w:cs="宋体"/>
                <w:szCs w:val="21"/>
              </w:rPr>
            </w:pPr>
            <w:r>
              <w:rPr>
                <w:rFonts w:hAnsi="宋体" w:cs="宋体"/>
                <w:szCs w:val="21"/>
              </w:rPr>
              <w:t>5</w:t>
            </w:r>
          </w:p>
        </w:tc>
        <w:tc>
          <w:tcPr>
            <w:tcW w:w="1500" w:type="dxa"/>
            <w:gridSpan w:val="3"/>
            <w:shd w:val="clear" w:color="auto" w:fill="FFFFFF"/>
            <w:noWrap/>
            <w:vAlign w:val="center"/>
          </w:tcPr>
          <w:p>
            <w:pPr>
              <w:widowControl/>
              <w:jc w:val="left"/>
              <w:rPr>
                <w:rFonts w:hAnsi="宋体" w:cs="宋体"/>
                <w:szCs w:val="21"/>
              </w:rPr>
            </w:pPr>
            <w:r>
              <w:rPr>
                <w:rFonts w:hint="eastAsia" w:hAnsi="宋体" w:cs="宋体"/>
                <w:szCs w:val="21"/>
              </w:rPr>
              <w:t>自动泄压装置</w:t>
            </w:r>
          </w:p>
        </w:tc>
        <w:tc>
          <w:tcPr>
            <w:tcW w:w="1500" w:type="dxa"/>
            <w:gridSpan w:val="2"/>
            <w:shd w:val="clear" w:color="auto" w:fill="FFFFFF"/>
            <w:noWrap/>
            <w:vAlign w:val="center"/>
          </w:tcPr>
          <w:p>
            <w:pPr>
              <w:widowControl/>
              <w:jc w:val="left"/>
              <w:rPr>
                <w:rFonts w:hAnsi="宋体" w:cs="宋体"/>
                <w:szCs w:val="21"/>
              </w:rPr>
            </w:pPr>
            <w:r>
              <w:rPr>
                <w:rFonts w:hAnsi="宋体" w:cs="宋体"/>
                <w:szCs w:val="21"/>
              </w:rPr>
              <w:t>XYJ-0.1-FURD</w:t>
            </w:r>
          </w:p>
        </w:tc>
        <w:tc>
          <w:tcPr>
            <w:tcW w:w="437" w:type="dxa"/>
            <w:shd w:val="clear" w:color="auto" w:fill="FFFFFF"/>
            <w:noWrap/>
            <w:vAlign w:val="center"/>
          </w:tcPr>
          <w:p>
            <w:pPr>
              <w:widowControl/>
              <w:jc w:val="center"/>
              <w:rPr>
                <w:rFonts w:hAnsi="宋体" w:cs="宋体"/>
                <w:szCs w:val="21"/>
              </w:rPr>
            </w:pPr>
            <w:r>
              <w:rPr>
                <w:rFonts w:hAnsi="宋体" w:cs="宋体"/>
                <w:szCs w:val="21"/>
              </w:rPr>
              <w:t>台</w:t>
            </w:r>
          </w:p>
        </w:tc>
        <w:tc>
          <w:tcPr>
            <w:tcW w:w="513" w:type="dxa"/>
            <w:shd w:val="clear" w:color="auto" w:fill="FFFFFF"/>
            <w:noWrap/>
            <w:vAlign w:val="center"/>
          </w:tcPr>
          <w:p>
            <w:pPr>
              <w:widowControl/>
              <w:jc w:val="center"/>
              <w:rPr>
                <w:rFonts w:hAnsi="宋体" w:cs="宋体"/>
                <w:szCs w:val="21"/>
              </w:rPr>
            </w:pPr>
            <w:r>
              <w:rPr>
                <w:rFonts w:hAnsi="宋体" w:cs="宋体"/>
                <w:szCs w:val="21"/>
              </w:rPr>
              <w:t>1</w:t>
            </w:r>
          </w:p>
        </w:tc>
        <w:tc>
          <w:tcPr>
            <w:tcW w:w="4223" w:type="dxa"/>
            <w:gridSpan w:val="4"/>
            <w:shd w:val="clear" w:color="auto" w:fill="FFFFFF"/>
            <w:noWrap/>
            <w:vAlign w:val="center"/>
          </w:tcPr>
          <w:p>
            <w:pPr>
              <w:widowControl/>
              <w:jc w:val="left"/>
              <w:rPr>
                <w:rFonts w:hAnsi="宋体" w:cs="宋体"/>
                <w:szCs w:val="21"/>
              </w:rPr>
            </w:pPr>
            <w:r>
              <w:rPr>
                <w:rFonts w:hAnsi="宋体" w:cs="宋体"/>
                <w:szCs w:val="21"/>
              </w:rPr>
              <w:t>房间内压力达到一定时,自动打开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left"/>
              <w:rPr>
                <w:rFonts w:hAnsi="宋体" w:cs="宋体"/>
                <w:szCs w:val="21"/>
              </w:rPr>
            </w:pPr>
            <w:r>
              <w:rPr>
                <w:rFonts w:hint="eastAsia" w:hAnsi="宋体" w:cs="宋体"/>
                <w:szCs w:val="21"/>
              </w:rPr>
              <w:t>6</w:t>
            </w:r>
          </w:p>
        </w:tc>
        <w:tc>
          <w:tcPr>
            <w:tcW w:w="1500" w:type="dxa"/>
            <w:gridSpan w:val="3"/>
            <w:shd w:val="clear" w:color="auto" w:fill="FFFFFF"/>
            <w:noWrap/>
            <w:vAlign w:val="center"/>
          </w:tcPr>
          <w:p>
            <w:pPr>
              <w:widowControl/>
              <w:jc w:val="left"/>
              <w:rPr>
                <w:rFonts w:hAnsi="宋体" w:cs="宋体"/>
                <w:szCs w:val="21"/>
              </w:rPr>
            </w:pPr>
            <w:r>
              <w:rPr>
                <w:rFonts w:hint="eastAsia" w:hAnsi="宋体" w:cs="宋体"/>
                <w:szCs w:val="21"/>
              </w:rPr>
              <w:t>自动泄压装置</w:t>
            </w:r>
          </w:p>
        </w:tc>
        <w:tc>
          <w:tcPr>
            <w:tcW w:w="1500" w:type="dxa"/>
            <w:gridSpan w:val="2"/>
            <w:shd w:val="clear" w:color="auto" w:fill="FFFFFF"/>
            <w:noWrap/>
            <w:vAlign w:val="center"/>
          </w:tcPr>
          <w:p>
            <w:pPr>
              <w:widowControl/>
              <w:jc w:val="left"/>
              <w:rPr>
                <w:rFonts w:hAnsi="宋体" w:cs="宋体"/>
                <w:szCs w:val="21"/>
              </w:rPr>
            </w:pPr>
            <w:r>
              <w:rPr>
                <w:rFonts w:hAnsi="宋体" w:cs="宋体"/>
                <w:szCs w:val="21"/>
              </w:rPr>
              <w:t>XYJ-0.1-FURD</w:t>
            </w:r>
          </w:p>
        </w:tc>
        <w:tc>
          <w:tcPr>
            <w:tcW w:w="437" w:type="dxa"/>
            <w:shd w:val="clear" w:color="auto" w:fill="FFFFFF"/>
            <w:noWrap/>
            <w:vAlign w:val="center"/>
          </w:tcPr>
          <w:p>
            <w:pPr>
              <w:widowControl/>
              <w:jc w:val="center"/>
              <w:rPr>
                <w:rFonts w:hAnsi="宋体" w:cs="宋体"/>
                <w:szCs w:val="21"/>
              </w:rPr>
            </w:pPr>
            <w:r>
              <w:rPr>
                <w:rFonts w:hAnsi="宋体" w:cs="宋体"/>
                <w:szCs w:val="21"/>
              </w:rPr>
              <w:t>台</w:t>
            </w:r>
          </w:p>
        </w:tc>
        <w:tc>
          <w:tcPr>
            <w:tcW w:w="513" w:type="dxa"/>
            <w:shd w:val="clear" w:color="auto" w:fill="FFFFFF"/>
            <w:noWrap/>
            <w:vAlign w:val="center"/>
          </w:tcPr>
          <w:p>
            <w:pPr>
              <w:widowControl/>
              <w:jc w:val="center"/>
              <w:rPr>
                <w:rFonts w:hAnsi="宋体" w:cs="宋体"/>
                <w:szCs w:val="21"/>
              </w:rPr>
            </w:pPr>
            <w:r>
              <w:rPr>
                <w:rFonts w:hAnsi="宋体" w:cs="宋体"/>
                <w:szCs w:val="21"/>
              </w:rPr>
              <w:t>2</w:t>
            </w:r>
          </w:p>
        </w:tc>
        <w:tc>
          <w:tcPr>
            <w:tcW w:w="4223" w:type="dxa"/>
            <w:gridSpan w:val="4"/>
            <w:shd w:val="clear" w:color="auto" w:fill="FFFFFF"/>
            <w:noWrap/>
            <w:vAlign w:val="center"/>
          </w:tcPr>
          <w:p>
            <w:pPr>
              <w:widowControl/>
              <w:jc w:val="left"/>
              <w:rPr>
                <w:rFonts w:hAnsi="宋体" w:cs="宋体"/>
                <w:szCs w:val="21"/>
              </w:rPr>
            </w:pPr>
            <w:r>
              <w:rPr>
                <w:rFonts w:hAnsi="宋体" w:cs="宋体"/>
                <w:szCs w:val="21"/>
              </w:rPr>
              <w:t>房间内压力达到一定时,自动打开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798" w:type="dxa"/>
            <w:gridSpan w:val="13"/>
            <w:shd w:val="clear" w:color="auto" w:fill="FFFFFF"/>
            <w:noWrap/>
            <w:vAlign w:val="center"/>
          </w:tcPr>
          <w:p>
            <w:pPr>
              <w:widowControl/>
              <w:jc w:val="left"/>
              <w:rPr>
                <w:rFonts w:hAnsi="宋体" w:cs="宋体"/>
                <w:szCs w:val="21"/>
              </w:rPr>
            </w:pPr>
            <w:r>
              <w:rPr>
                <w:rFonts w:hint="eastAsia" w:hAnsi="宋体" w:cs="宋体"/>
                <w:szCs w:val="21"/>
              </w:rPr>
              <w:t>二、火灾自动报警系统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1500" w:type="dxa"/>
            <w:gridSpan w:val="3"/>
            <w:shd w:val="clear" w:color="auto" w:fill="FFFFFF"/>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点型光电感烟火灾</w:t>
            </w:r>
          </w:p>
          <w:p>
            <w:pPr>
              <w:widowControl/>
              <w:jc w:val="left"/>
              <w:textAlignment w:val="center"/>
              <w:rPr>
                <w:rFonts w:ascii="DengXian" w:hAnsi="DengXian" w:cs="宋体"/>
                <w:szCs w:val="21"/>
              </w:rPr>
            </w:pPr>
            <w:r>
              <w:rPr>
                <w:rFonts w:hint="eastAsia" w:ascii="宋体" w:hAnsi="宋体" w:eastAsia="宋体" w:cs="宋体"/>
                <w:kern w:val="0"/>
                <w:szCs w:val="21"/>
                <w:lang w:bidi="ar"/>
              </w:rPr>
              <w:t>探测器</w:t>
            </w:r>
          </w:p>
        </w:tc>
        <w:tc>
          <w:tcPr>
            <w:tcW w:w="1500" w:type="dxa"/>
            <w:gridSpan w:val="2"/>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JTY-GD-G3T</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只</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点型光电感烟火灾探测器是采用红外散射原理研制而成的点型光电感烟火灾探测器。本探测器结构新颖、外形美观、性能稳定可靠、抗潮湿性强，适用于计算机房及配电室等场所。本探测器主要具有以下特点：</w:t>
            </w:r>
          </w:p>
          <w:p>
            <w:pPr>
              <w:widowControl/>
              <w:jc w:val="left"/>
              <w:rPr>
                <w:rFonts w:ascii="DengXian" w:hAnsi="DengXian" w:cs="宋体"/>
                <w:szCs w:val="21"/>
              </w:rPr>
            </w:pPr>
            <w:r>
              <w:rPr>
                <w:rFonts w:hint="eastAsia" w:ascii="DengXian" w:hAnsi="DengXian" w:cs="宋体"/>
                <w:szCs w:val="21"/>
              </w:rPr>
              <w:t>（1）地址编码可由电子编码器事先写入，也可由控制器直接更改，工程调试简便可靠。</w:t>
            </w:r>
          </w:p>
          <w:p>
            <w:pPr>
              <w:widowControl/>
              <w:jc w:val="left"/>
              <w:rPr>
                <w:rFonts w:ascii="DengXian" w:hAnsi="DengXian" w:cs="宋体"/>
                <w:szCs w:val="21"/>
              </w:rPr>
            </w:pPr>
            <w:r>
              <w:rPr>
                <w:rFonts w:hint="eastAsia" w:ascii="DengXian" w:hAnsi="DengXian" w:cs="宋体"/>
                <w:szCs w:val="21"/>
              </w:rPr>
              <w:t>（2）单片机实时采样处理数据、并能保存14个历史数据，曲线显示跟踪现场情况。</w:t>
            </w:r>
          </w:p>
          <w:p>
            <w:pPr>
              <w:widowControl/>
              <w:jc w:val="left"/>
              <w:rPr>
                <w:rFonts w:ascii="DengXian" w:hAnsi="DengXian" w:cs="宋体"/>
                <w:szCs w:val="21"/>
              </w:rPr>
            </w:pPr>
            <w:r>
              <w:rPr>
                <w:rFonts w:hint="eastAsia" w:ascii="DengXian" w:hAnsi="DengXian" w:cs="宋体"/>
                <w:szCs w:val="21"/>
              </w:rPr>
              <w:t>（3）具有温度、湿度漂移补偿，灰尘积累程度及故障探测功能。</w:t>
            </w:r>
          </w:p>
          <w:p>
            <w:pPr>
              <w:widowControl/>
              <w:jc w:val="left"/>
              <w:rPr>
                <w:rFonts w:ascii="DengXian" w:hAnsi="DengXian" w:cs="宋体"/>
                <w:szCs w:val="21"/>
              </w:rPr>
            </w:pPr>
            <w:r>
              <w:rPr>
                <w:rFonts w:hint="eastAsia" w:ascii="DengXian" w:hAnsi="DengXian" w:cs="宋体"/>
                <w:szCs w:val="21"/>
              </w:rPr>
              <w:t>（4）无极性二总线信号。</w:t>
            </w:r>
          </w:p>
          <w:p>
            <w:pPr>
              <w:widowControl/>
              <w:jc w:val="left"/>
              <w:rPr>
                <w:rFonts w:ascii="DengXian" w:hAnsi="DengXian" w:cs="宋体"/>
                <w:szCs w:val="21"/>
              </w:rPr>
            </w:pPr>
            <w:r>
              <w:rPr>
                <w:rFonts w:hint="eastAsia" w:ascii="DengXian" w:hAnsi="DengXian" w:cs="宋体"/>
                <w:szCs w:val="21"/>
              </w:rPr>
              <w:t>主要技术指标如下：</w:t>
            </w:r>
          </w:p>
          <w:p>
            <w:pPr>
              <w:widowControl/>
              <w:jc w:val="left"/>
              <w:rPr>
                <w:rFonts w:ascii="DengXian" w:hAnsi="DengXian" w:cs="宋体"/>
                <w:szCs w:val="21"/>
              </w:rPr>
            </w:pPr>
            <w:r>
              <w:rPr>
                <w:rFonts w:hint="eastAsia" w:ascii="DengXian" w:hAnsi="DengXian" w:cs="宋体"/>
                <w:szCs w:val="21"/>
              </w:rPr>
              <w:t>（1）工作电压：总线24V    允许范围：16V～28V</w:t>
            </w:r>
          </w:p>
          <w:p>
            <w:pPr>
              <w:widowControl/>
              <w:jc w:val="left"/>
              <w:rPr>
                <w:rFonts w:ascii="DengXian" w:hAnsi="DengXian" w:cs="宋体"/>
                <w:szCs w:val="21"/>
              </w:rPr>
            </w:pPr>
            <w:r>
              <w:rPr>
                <w:rFonts w:hint="eastAsia" w:ascii="DengXian" w:hAnsi="DengXian" w:cs="宋体"/>
                <w:szCs w:val="21"/>
              </w:rPr>
              <w:t>（2）监视电流≤0.8mA</w:t>
            </w:r>
          </w:p>
          <w:p>
            <w:pPr>
              <w:widowControl/>
              <w:jc w:val="left"/>
              <w:rPr>
                <w:rFonts w:ascii="DengXian" w:hAnsi="DengXian" w:cs="宋体"/>
                <w:szCs w:val="21"/>
              </w:rPr>
            </w:pPr>
            <w:r>
              <w:rPr>
                <w:rFonts w:hint="eastAsia" w:ascii="DengXian" w:hAnsi="DengXian" w:cs="宋体"/>
                <w:szCs w:val="21"/>
              </w:rPr>
              <w:t>（3）报警电流≤1.8mA</w:t>
            </w:r>
          </w:p>
          <w:p>
            <w:pPr>
              <w:widowControl/>
              <w:jc w:val="left"/>
              <w:rPr>
                <w:rFonts w:ascii="DengXian" w:hAnsi="DengXian" w:cs="宋体"/>
                <w:szCs w:val="21"/>
              </w:rPr>
            </w:pPr>
            <w:r>
              <w:rPr>
                <w:rFonts w:hint="eastAsia" w:ascii="DengXian" w:hAnsi="DengXian" w:cs="宋体"/>
                <w:szCs w:val="21"/>
              </w:rPr>
              <w:t>（4）指示灯：报警确认灯，红色，巡检时闪烁，报警时常亮</w:t>
            </w:r>
          </w:p>
          <w:p>
            <w:pPr>
              <w:widowControl/>
              <w:jc w:val="left"/>
              <w:rPr>
                <w:rFonts w:ascii="DengXian" w:hAnsi="DengXian" w:cs="宋体"/>
                <w:szCs w:val="21"/>
              </w:rPr>
            </w:pPr>
            <w:r>
              <w:rPr>
                <w:rFonts w:hint="eastAsia" w:ascii="DengXian" w:hAnsi="DengXian" w:cs="宋体"/>
                <w:szCs w:val="21"/>
              </w:rPr>
              <w:t>（5）使用环境：温度：-10℃～+55℃；相对湿度≤95%，不结露</w:t>
            </w:r>
          </w:p>
          <w:p>
            <w:pPr>
              <w:widowControl/>
              <w:jc w:val="left"/>
              <w:rPr>
                <w:rFonts w:ascii="DengXian" w:hAnsi="DengXian" w:cs="宋体"/>
                <w:szCs w:val="21"/>
              </w:rPr>
            </w:pPr>
            <w:r>
              <w:rPr>
                <w:rFonts w:hint="eastAsia" w:ascii="DengXian" w:hAnsi="DengXian" w:cs="宋体"/>
                <w:szCs w:val="21"/>
              </w:rPr>
              <w:t>（6）编码方式：电子编码（编码范围为1～242）</w:t>
            </w:r>
          </w:p>
          <w:p>
            <w:pPr>
              <w:widowControl/>
              <w:jc w:val="left"/>
              <w:rPr>
                <w:rFonts w:ascii="DengXian" w:hAnsi="DengXian" w:cs="宋体"/>
                <w:szCs w:val="21"/>
              </w:rPr>
            </w:pPr>
            <w:r>
              <w:rPr>
                <w:rFonts w:hint="eastAsia" w:ascii="DengXian" w:hAnsi="DengXian" w:cs="宋体"/>
                <w:szCs w:val="21"/>
              </w:rPr>
              <w:t>（7）外壳防护等级：IP23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150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点型感温火灾探测器（</w:t>
            </w:r>
            <w:r>
              <w:rPr>
                <w:rFonts w:ascii="DengXian" w:hAnsi="DengXian" w:eastAsia="DengXian" w:cs="DengXian"/>
                <w:kern w:val="0"/>
                <w:szCs w:val="21"/>
                <w:lang w:bidi="ar"/>
              </w:rPr>
              <w:t>A2S</w:t>
            </w:r>
            <w:r>
              <w:rPr>
                <w:rFonts w:hint="eastAsia" w:ascii="宋体" w:hAnsi="宋体" w:eastAsia="宋体" w:cs="宋体"/>
                <w:kern w:val="0"/>
                <w:szCs w:val="21"/>
                <w:lang w:bidi="ar"/>
              </w:rPr>
              <w:t>）</w:t>
            </w:r>
          </w:p>
        </w:tc>
        <w:tc>
          <w:tcPr>
            <w:tcW w:w="1500" w:type="dxa"/>
            <w:gridSpan w:val="2"/>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JTW-ZCD-G3N</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只</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J点型感温火灾探测器采用无极性信号二总线技术，可与各类火灾报警控制器的报警总线以任意方式并接，特别适用于发生火灾时有剧烈温升的场所，与感烟探测器配合使用更能可靠探测火灾，减少损失。本探测器具有以下特点：</w:t>
            </w:r>
          </w:p>
          <w:p>
            <w:pPr>
              <w:widowControl/>
              <w:jc w:val="left"/>
              <w:rPr>
                <w:rFonts w:ascii="DengXian" w:hAnsi="DengXian" w:cs="宋体"/>
                <w:szCs w:val="21"/>
              </w:rPr>
            </w:pPr>
            <w:r>
              <w:rPr>
                <w:rFonts w:hint="eastAsia" w:ascii="DengXian" w:hAnsi="DengXian" w:cs="宋体"/>
                <w:szCs w:val="21"/>
              </w:rPr>
              <w:t>（1）结构新颖、外形美观、性能稳定可靠；</w:t>
            </w:r>
          </w:p>
          <w:p>
            <w:pPr>
              <w:widowControl/>
              <w:jc w:val="left"/>
              <w:rPr>
                <w:rFonts w:ascii="DengXian" w:hAnsi="DengXian" w:cs="宋体"/>
                <w:szCs w:val="21"/>
              </w:rPr>
            </w:pPr>
            <w:r>
              <w:rPr>
                <w:rFonts w:hint="eastAsia" w:ascii="DengXian" w:hAnsi="DengXian" w:cs="宋体"/>
                <w:szCs w:val="21"/>
              </w:rPr>
              <w:t>（2）地址编码由电子编码器直接写入，工程调试简便可靠；</w:t>
            </w:r>
          </w:p>
          <w:p>
            <w:pPr>
              <w:widowControl/>
              <w:jc w:val="left"/>
              <w:rPr>
                <w:rFonts w:ascii="DengXian" w:hAnsi="DengXian" w:cs="宋体"/>
                <w:szCs w:val="21"/>
              </w:rPr>
            </w:pPr>
            <w:r>
              <w:rPr>
                <w:rFonts w:hint="eastAsia" w:ascii="DengXian" w:hAnsi="DengXian" w:cs="宋体"/>
                <w:szCs w:val="21"/>
              </w:rPr>
              <w:t>（3）探测器具有A1R和BS两种类别，可用于更广泛的温度环境，可使用编码器进行现场设置。</w:t>
            </w:r>
          </w:p>
          <w:p>
            <w:pPr>
              <w:widowControl/>
              <w:jc w:val="left"/>
              <w:rPr>
                <w:rFonts w:ascii="DengXian" w:hAnsi="DengXian" w:cs="宋体"/>
                <w:szCs w:val="21"/>
              </w:rPr>
            </w:pPr>
            <w:r>
              <w:rPr>
                <w:rFonts w:hint="eastAsia" w:ascii="DengXian" w:hAnsi="DengXian" w:cs="宋体"/>
                <w:szCs w:val="21"/>
              </w:rPr>
              <w:t>主要技术指标如下：</w:t>
            </w:r>
          </w:p>
          <w:p>
            <w:pPr>
              <w:widowControl/>
              <w:jc w:val="left"/>
              <w:rPr>
                <w:rFonts w:ascii="DengXian" w:hAnsi="DengXian" w:cs="宋体"/>
                <w:szCs w:val="21"/>
              </w:rPr>
            </w:pPr>
            <w:r>
              <w:rPr>
                <w:rFonts w:hint="eastAsia" w:ascii="DengXian" w:hAnsi="DengXian" w:cs="宋体"/>
                <w:szCs w:val="21"/>
              </w:rPr>
              <w:t>（1）探测器类别：P（A1R和BS可设，出厂默认类别在探测器铭牌上标注）</w:t>
            </w:r>
          </w:p>
          <w:p>
            <w:pPr>
              <w:widowControl/>
              <w:jc w:val="left"/>
              <w:rPr>
                <w:rFonts w:ascii="DengXian" w:hAnsi="DengXian" w:cs="宋体"/>
                <w:szCs w:val="21"/>
              </w:rPr>
            </w:pPr>
            <w:r>
              <w:rPr>
                <w:rFonts w:hint="eastAsia" w:ascii="DengXian" w:hAnsi="DengXian" w:cs="宋体"/>
                <w:szCs w:val="21"/>
              </w:rPr>
              <w:t>（2）工作电压：总线24V</w:t>
            </w:r>
          </w:p>
          <w:p>
            <w:pPr>
              <w:widowControl/>
              <w:jc w:val="left"/>
              <w:rPr>
                <w:rFonts w:ascii="DengXian" w:hAnsi="DengXian" w:cs="宋体"/>
                <w:szCs w:val="21"/>
              </w:rPr>
            </w:pPr>
            <w:r>
              <w:rPr>
                <w:rFonts w:hint="eastAsia" w:ascii="DengXian" w:hAnsi="DengXian" w:cs="宋体"/>
                <w:szCs w:val="21"/>
              </w:rPr>
              <w:t>（3）监视电流≤0.8mA</w:t>
            </w:r>
          </w:p>
          <w:p>
            <w:pPr>
              <w:widowControl/>
              <w:jc w:val="left"/>
              <w:rPr>
                <w:rFonts w:ascii="DengXian" w:hAnsi="DengXian" w:cs="宋体"/>
                <w:szCs w:val="21"/>
              </w:rPr>
            </w:pPr>
            <w:r>
              <w:rPr>
                <w:rFonts w:hint="eastAsia" w:ascii="DengXian" w:hAnsi="DengXian" w:cs="宋体"/>
                <w:szCs w:val="21"/>
              </w:rPr>
              <w:t>（4）报警电流≤1.8mA</w:t>
            </w:r>
          </w:p>
          <w:p>
            <w:pPr>
              <w:widowControl/>
              <w:jc w:val="left"/>
              <w:rPr>
                <w:rFonts w:ascii="DengXian" w:hAnsi="DengXian" w:cs="宋体"/>
                <w:szCs w:val="21"/>
              </w:rPr>
            </w:pPr>
            <w:r>
              <w:rPr>
                <w:rFonts w:hint="eastAsia" w:ascii="DengXian" w:hAnsi="DengXian" w:cs="宋体"/>
                <w:szCs w:val="21"/>
              </w:rPr>
              <w:t>（5）报警确认灯：红色，巡检时闪烁，报警时常亮</w:t>
            </w:r>
          </w:p>
          <w:p>
            <w:pPr>
              <w:widowControl/>
              <w:jc w:val="left"/>
              <w:rPr>
                <w:rFonts w:ascii="DengXian" w:hAnsi="DengXian" w:cs="宋体"/>
                <w:szCs w:val="21"/>
              </w:rPr>
            </w:pPr>
            <w:r>
              <w:rPr>
                <w:rFonts w:hint="eastAsia" w:ascii="DengXian" w:hAnsi="DengXian" w:cs="宋体"/>
                <w:szCs w:val="21"/>
              </w:rPr>
              <w:t>（6）使用环境：</w:t>
            </w:r>
          </w:p>
          <w:p>
            <w:pPr>
              <w:widowControl/>
              <w:jc w:val="left"/>
              <w:rPr>
                <w:rFonts w:ascii="DengXian" w:hAnsi="DengXian" w:cs="宋体"/>
                <w:szCs w:val="21"/>
              </w:rPr>
            </w:pPr>
            <w:r>
              <w:rPr>
                <w:rFonts w:hint="eastAsia" w:ascii="DengXian" w:hAnsi="DengXian" w:cs="宋体"/>
                <w:szCs w:val="21"/>
              </w:rPr>
              <w:t>温度： A1R类别：典型应用温度25℃；范围 -10℃～50℃</w:t>
            </w:r>
          </w:p>
          <w:p>
            <w:pPr>
              <w:widowControl/>
              <w:jc w:val="left"/>
              <w:rPr>
                <w:rFonts w:ascii="DengXian" w:hAnsi="DengXian" w:cs="宋体"/>
                <w:szCs w:val="21"/>
              </w:rPr>
            </w:pPr>
            <w:r>
              <w:rPr>
                <w:rFonts w:hint="eastAsia" w:ascii="DengXian" w:hAnsi="DengXian" w:cs="宋体"/>
                <w:szCs w:val="21"/>
              </w:rPr>
              <w:t>BS类别： 典型应用温度40℃；范围 -10℃～65℃</w:t>
            </w:r>
          </w:p>
          <w:p>
            <w:pPr>
              <w:widowControl/>
              <w:jc w:val="left"/>
              <w:rPr>
                <w:rFonts w:ascii="DengXian" w:hAnsi="DengXian" w:cs="宋体"/>
                <w:szCs w:val="21"/>
              </w:rPr>
            </w:pPr>
            <w:r>
              <w:rPr>
                <w:rFonts w:hint="eastAsia" w:ascii="DengXian" w:hAnsi="DengXian" w:cs="宋体"/>
                <w:szCs w:val="21"/>
              </w:rPr>
              <w:t>相对湿度≤95%，不结露</w:t>
            </w:r>
          </w:p>
          <w:p>
            <w:pPr>
              <w:widowControl/>
              <w:jc w:val="left"/>
              <w:rPr>
                <w:rFonts w:ascii="DengXian" w:hAnsi="DengXian" w:cs="宋体"/>
                <w:szCs w:val="21"/>
              </w:rPr>
            </w:pPr>
            <w:r>
              <w:rPr>
                <w:rFonts w:hint="eastAsia" w:ascii="DengXian" w:hAnsi="DengXian" w:cs="宋体"/>
                <w:szCs w:val="21"/>
              </w:rPr>
              <w:t>（7）编码方式：十进制电子编码</w:t>
            </w:r>
          </w:p>
          <w:p>
            <w:pPr>
              <w:widowControl/>
              <w:jc w:val="left"/>
              <w:rPr>
                <w:rFonts w:ascii="DengXian" w:hAnsi="DengXian" w:cs="宋体"/>
                <w:szCs w:val="21"/>
              </w:rPr>
            </w:pPr>
            <w:r>
              <w:rPr>
                <w:rFonts w:hint="eastAsia" w:ascii="DengXian" w:hAnsi="DengXian" w:cs="宋体"/>
                <w:szCs w:val="21"/>
              </w:rPr>
              <w:t>（8）外壳防护等级：IP33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150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编码通用底座</w:t>
            </w:r>
          </w:p>
        </w:tc>
        <w:tc>
          <w:tcPr>
            <w:tcW w:w="1500" w:type="dxa"/>
            <w:gridSpan w:val="2"/>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DZ-02</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只</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9</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配接点型复合式感烟感温火灾探测器、点型光电感烟火灾探测器、点型感温火灾探测器、点型紫外火焰探测器。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150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火灾声光警报器</w:t>
            </w:r>
            <w:r>
              <w:rPr>
                <w:rFonts w:ascii="DengXian" w:hAnsi="DengXian" w:eastAsia="DengXian" w:cs="DengXian"/>
                <w:kern w:val="0"/>
                <w:szCs w:val="21"/>
                <w:lang w:bidi="ar"/>
              </w:rPr>
              <w:t xml:space="preserve"> </w:t>
            </w:r>
          </w:p>
        </w:tc>
        <w:tc>
          <w:tcPr>
            <w:tcW w:w="1500" w:type="dxa"/>
            <w:gridSpan w:val="2"/>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HX-200B</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只</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火灾声光警报器是一种安装在现场的声光报警设备，当现场发生火灾并确认后，安装在现场的火灾声光警报器可由消防控制中心的火灾报警控制器启动，发出强烈的声光报警信号，以达到提醒现场人员注意的目的。</w:t>
            </w:r>
          </w:p>
          <w:p>
            <w:pPr>
              <w:widowControl/>
              <w:jc w:val="left"/>
              <w:rPr>
                <w:rFonts w:ascii="DengXian" w:hAnsi="DengXian" w:cs="宋体"/>
                <w:szCs w:val="21"/>
              </w:rPr>
            </w:pPr>
            <w:r>
              <w:rPr>
                <w:rFonts w:hint="eastAsia" w:ascii="DengXian" w:hAnsi="DengXian" w:cs="宋体"/>
                <w:szCs w:val="21"/>
              </w:rPr>
              <w:t>可直接接入火灾报警控制器的信号二总线（需由电源系统提供二根DC24V电源线）。</w:t>
            </w:r>
          </w:p>
          <w:p>
            <w:pPr>
              <w:widowControl/>
              <w:jc w:val="left"/>
              <w:rPr>
                <w:rFonts w:ascii="DengXian" w:hAnsi="DengXian" w:cs="宋体"/>
                <w:szCs w:val="21"/>
              </w:rPr>
            </w:pPr>
            <w:r>
              <w:rPr>
                <w:rFonts w:hint="eastAsia" w:ascii="DengXian" w:hAnsi="DengXian" w:cs="宋体"/>
                <w:szCs w:val="21"/>
              </w:rPr>
              <w:t>主要技术指标如下：</w:t>
            </w:r>
          </w:p>
          <w:p>
            <w:pPr>
              <w:widowControl/>
              <w:jc w:val="left"/>
              <w:rPr>
                <w:rFonts w:ascii="DengXian" w:hAnsi="DengXian" w:cs="宋体"/>
                <w:szCs w:val="21"/>
              </w:rPr>
            </w:pPr>
            <w:r>
              <w:rPr>
                <w:rFonts w:hint="eastAsia" w:ascii="DengXian" w:hAnsi="DengXian" w:cs="宋体"/>
                <w:szCs w:val="21"/>
              </w:rPr>
              <w:t>（1）工作电压：</w:t>
            </w:r>
          </w:p>
          <w:p>
            <w:pPr>
              <w:widowControl/>
              <w:jc w:val="left"/>
              <w:rPr>
                <w:rFonts w:ascii="DengXian" w:hAnsi="DengXian" w:cs="宋体"/>
                <w:szCs w:val="21"/>
              </w:rPr>
            </w:pPr>
            <w:r>
              <w:rPr>
                <w:rFonts w:hint="eastAsia" w:ascii="DengXian" w:hAnsi="DengXian" w:cs="宋体"/>
                <w:szCs w:val="21"/>
              </w:rPr>
              <w:t>信号总线电压：24V       允许范围：16V～28V</w:t>
            </w:r>
          </w:p>
          <w:p>
            <w:pPr>
              <w:widowControl/>
              <w:jc w:val="left"/>
              <w:rPr>
                <w:rFonts w:ascii="DengXian" w:hAnsi="DengXian" w:cs="宋体"/>
                <w:szCs w:val="21"/>
              </w:rPr>
            </w:pPr>
            <w:r>
              <w:rPr>
                <w:rFonts w:hint="eastAsia" w:ascii="DengXian" w:hAnsi="DengXian" w:cs="宋体"/>
                <w:szCs w:val="21"/>
              </w:rPr>
              <w:t>电源总线电压：DC24V     允许范围：DC20V～DC28V</w:t>
            </w:r>
          </w:p>
          <w:p>
            <w:pPr>
              <w:widowControl/>
              <w:jc w:val="left"/>
              <w:rPr>
                <w:rFonts w:ascii="DengXian" w:hAnsi="DengXian" w:cs="宋体"/>
                <w:szCs w:val="21"/>
              </w:rPr>
            </w:pPr>
            <w:r>
              <w:rPr>
                <w:rFonts w:hint="eastAsia" w:ascii="DengXian" w:hAnsi="DengXian" w:cs="宋体"/>
                <w:szCs w:val="21"/>
              </w:rPr>
              <w:t>（2）工作电流：</w:t>
            </w:r>
          </w:p>
          <w:p>
            <w:pPr>
              <w:widowControl/>
              <w:jc w:val="left"/>
              <w:rPr>
                <w:rFonts w:ascii="DengXian" w:hAnsi="DengXian" w:cs="宋体"/>
                <w:szCs w:val="21"/>
              </w:rPr>
            </w:pPr>
            <w:r>
              <w:rPr>
                <w:rFonts w:hint="eastAsia" w:ascii="DengXian" w:hAnsi="DengXian" w:cs="宋体"/>
                <w:szCs w:val="21"/>
              </w:rPr>
              <w:t>总线监视电流≤0.8mA      总线启动电流≤6.0mA</w:t>
            </w:r>
          </w:p>
          <w:p>
            <w:pPr>
              <w:widowControl/>
              <w:jc w:val="left"/>
              <w:rPr>
                <w:rFonts w:ascii="DengXian" w:hAnsi="DengXian" w:cs="宋体"/>
                <w:szCs w:val="21"/>
              </w:rPr>
            </w:pPr>
            <w:r>
              <w:rPr>
                <w:rFonts w:hint="eastAsia" w:ascii="DengXian" w:hAnsi="DengXian" w:cs="宋体"/>
                <w:szCs w:val="21"/>
              </w:rPr>
              <w:t>电源监视电流≤10mA       电源动作电流≤90mA</w:t>
            </w:r>
          </w:p>
          <w:p>
            <w:pPr>
              <w:widowControl/>
              <w:jc w:val="left"/>
              <w:rPr>
                <w:rFonts w:ascii="DengXian" w:hAnsi="DengXian" w:cs="宋体"/>
                <w:szCs w:val="21"/>
              </w:rPr>
            </w:pPr>
            <w:r>
              <w:rPr>
                <w:rFonts w:hint="eastAsia" w:ascii="DengXian" w:hAnsi="DengXian" w:cs="宋体"/>
                <w:szCs w:val="21"/>
              </w:rPr>
              <w:t>（3）线制：四线制，与控制器采用无极性信号二总线连接，与电源线采用无极性二线制连接</w:t>
            </w:r>
          </w:p>
          <w:p>
            <w:pPr>
              <w:widowControl/>
              <w:jc w:val="left"/>
              <w:rPr>
                <w:rFonts w:ascii="DengXian" w:hAnsi="DengXian" w:cs="宋体"/>
                <w:szCs w:val="21"/>
              </w:rPr>
            </w:pPr>
            <w:r>
              <w:rPr>
                <w:rFonts w:hint="eastAsia" w:ascii="DengXian" w:hAnsi="DengXian" w:cs="宋体"/>
                <w:szCs w:val="21"/>
              </w:rPr>
              <w:t>（4）声压级：80dB～115dB（前方3m水平处（A计权））</w:t>
            </w:r>
          </w:p>
          <w:p>
            <w:pPr>
              <w:widowControl/>
              <w:jc w:val="left"/>
              <w:rPr>
                <w:rFonts w:ascii="DengXian" w:hAnsi="DengXian" w:cs="宋体"/>
                <w:szCs w:val="21"/>
              </w:rPr>
            </w:pPr>
            <w:r>
              <w:rPr>
                <w:rFonts w:hint="eastAsia" w:ascii="DengXian" w:hAnsi="DengXian" w:cs="宋体"/>
                <w:szCs w:val="21"/>
              </w:rPr>
              <w:t>（5）闪光频率：1.4Hz±20％</w:t>
            </w:r>
          </w:p>
          <w:p>
            <w:pPr>
              <w:widowControl/>
              <w:jc w:val="left"/>
              <w:rPr>
                <w:rFonts w:ascii="DengXian" w:hAnsi="DengXian" w:cs="宋体"/>
                <w:szCs w:val="21"/>
              </w:rPr>
            </w:pPr>
            <w:r>
              <w:rPr>
                <w:rFonts w:hint="eastAsia" w:ascii="DengXian" w:hAnsi="DengXian" w:cs="宋体"/>
                <w:szCs w:val="21"/>
              </w:rPr>
              <w:t>（6）变调周期：4s（1±20％）</w:t>
            </w:r>
          </w:p>
          <w:p>
            <w:pPr>
              <w:widowControl/>
              <w:jc w:val="left"/>
              <w:rPr>
                <w:rFonts w:ascii="DengXian" w:hAnsi="DengXian" w:cs="宋体"/>
                <w:szCs w:val="21"/>
              </w:rPr>
            </w:pPr>
            <w:r>
              <w:rPr>
                <w:rFonts w:hint="eastAsia" w:ascii="DengXian" w:hAnsi="DengXian" w:cs="宋体"/>
                <w:szCs w:val="21"/>
              </w:rPr>
              <w:t>（7）声调：火警声</w:t>
            </w:r>
          </w:p>
          <w:p>
            <w:pPr>
              <w:widowControl/>
              <w:jc w:val="left"/>
              <w:rPr>
                <w:rFonts w:ascii="DengXian" w:hAnsi="DengXian" w:cs="宋体"/>
                <w:szCs w:val="21"/>
              </w:rPr>
            </w:pPr>
            <w:r>
              <w:rPr>
                <w:rFonts w:hint="eastAsia" w:ascii="DengXian" w:hAnsi="DengXian" w:cs="宋体"/>
                <w:szCs w:val="21"/>
              </w:rPr>
              <w:t>（8）使用环境：温度：-10℃～+50℃；相对湿度≤95%，不结露</w:t>
            </w:r>
          </w:p>
          <w:p>
            <w:pPr>
              <w:widowControl/>
              <w:jc w:val="left"/>
              <w:rPr>
                <w:rFonts w:ascii="DengXian" w:hAnsi="DengXian" w:cs="宋体"/>
                <w:szCs w:val="21"/>
              </w:rPr>
            </w:pPr>
            <w:r>
              <w:rPr>
                <w:rFonts w:hint="eastAsia" w:ascii="DengXian" w:hAnsi="DengXian" w:cs="宋体"/>
                <w:szCs w:val="21"/>
              </w:rPr>
              <w:t>（9）外壳防护等级：IP43</w:t>
            </w:r>
          </w:p>
          <w:p>
            <w:pPr>
              <w:widowControl/>
              <w:jc w:val="left"/>
              <w:rPr>
                <w:rFonts w:ascii="DengXian" w:hAnsi="DengXian" w:cs="宋体"/>
                <w:szCs w:val="21"/>
              </w:rPr>
            </w:pPr>
            <w:r>
              <w:rPr>
                <w:rFonts w:hint="eastAsia" w:ascii="DengXian" w:hAnsi="DengXian" w:cs="宋体"/>
                <w:szCs w:val="21"/>
              </w:rPr>
              <w:t>（10）执行标准：GB 26851-2011</w:t>
            </w:r>
          </w:p>
          <w:p>
            <w:pPr>
              <w:widowControl/>
              <w:jc w:val="left"/>
              <w:rPr>
                <w:rFonts w:ascii="DengXian" w:hAnsi="DengXian" w:cs="宋体"/>
                <w:szCs w:val="21"/>
              </w:rPr>
            </w:pPr>
            <w:r>
              <w:rPr>
                <w:rFonts w:hint="eastAsia" w:ascii="DengXian" w:hAnsi="DengXian" w:cs="宋体"/>
                <w:szCs w:val="21"/>
              </w:rPr>
              <w:t>（11）外形尺寸：90mm×144mm×60.5mm（带底壳）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150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现场紧急启停控制按钮</w:t>
            </w:r>
          </w:p>
        </w:tc>
        <w:tc>
          <w:tcPr>
            <w:tcW w:w="1500" w:type="dxa"/>
            <w:gridSpan w:val="2"/>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GST-LD-8318</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只</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紧急启/停按钮，用于控制气体灭火系统的启动及停动。当被保护的区域内发生火灾时，按下“按下喷洒”按键，即可向气体灭火控制器，发出气体喷洒请求信号。气体灭火控制器发出气体喷洒命令，经延时，启动气体喷洒电磁阀。在延时期间，若现场人员确认无火灾发生，可立即按下“停止”按键，终止启动。</w:t>
            </w:r>
          </w:p>
          <w:p>
            <w:pPr>
              <w:widowControl/>
              <w:jc w:val="left"/>
              <w:rPr>
                <w:rFonts w:ascii="DengXian" w:hAnsi="DengXian" w:cs="宋体"/>
                <w:szCs w:val="21"/>
              </w:rPr>
            </w:pPr>
            <w:r>
              <w:rPr>
                <w:rFonts w:hint="eastAsia" w:ascii="DengXian" w:hAnsi="DengXian" w:cs="宋体"/>
                <w:szCs w:val="21"/>
              </w:rPr>
              <w:t>按钮为编码方式，启动和停动共占一个编码点；按钮可提供输出无源常开触点信号，可直接控制声光警报器等设备。</w:t>
            </w:r>
          </w:p>
          <w:p>
            <w:pPr>
              <w:widowControl/>
              <w:jc w:val="left"/>
              <w:rPr>
                <w:rFonts w:ascii="DengXian" w:hAnsi="DengXian" w:cs="宋体"/>
                <w:szCs w:val="21"/>
              </w:rPr>
            </w:pPr>
            <w:r>
              <w:rPr>
                <w:rFonts w:hint="eastAsia" w:ascii="DengXian" w:hAnsi="DengXian" w:cs="宋体"/>
                <w:szCs w:val="21"/>
              </w:rPr>
              <w:t>主要技术指标如下：</w:t>
            </w:r>
          </w:p>
          <w:p>
            <w:pPr>
              <w:widowControl/>
              <w:jc w:val="left"/>
              <w:rPr>
                <w:rFonts w:ascii="DengXian" w:hAnsi="DengXian" w:cs="宋体"/>
                <w:szCs w:val="21"/>
              </w:rPr>
            </w:pPr>
            <w:r>
              <w:rPr>
                <w:rFonts w:hint="eastAsia" w:ascii="DengXian" w:hAnsi="DengXian" w:cs="宋体"/>
                <w:szCs w:val="21"/>
              </w:rPr>
              <w:t>（1）工作电压：总线24V，允许范围：16V～28V</w:t>
            </w:r>
          </w:p>
          <w:p>
            <w:pPr>
              <w:widowControl/>
              <w:jc w:val="left"/>
              <w:rPr>
                <w:rFonts w:ascii="DengXian" w:hAnsi="DengXian" w:cs="宋体"/>
                <w:szCs w:val="21"/>
              </w:rPr>
            </w:pPr>
            <w:r>
              <w:rPr>
                <w:rFonts w:hint="eastAsia" w:ascii="DengXian" w:hAnsi="DengXian" w:cs="宋体"/>
                <w:szCs w:val="21"/>
              </w:rPr>
              <w:t>（2）监视电流：≤0.8mA，报警电流≤10mA</w:t>
            </w:r>
          </w:p>
          <w:p>
            <w:pPr>
              <w:widowControl/>
              <w:jc w:val="left"/>
              <w:rPr>
                <w:rFonts w:ascii="DengXian" w:hAnsi="DengXian" w:cs="宋体"/>
                <w:szCs w:val="21"/>
              </w:rPr>
            </w:pPr>
            <w:r>
              <w:rPr>
                <w:rFonts w:hint="eastAsia" w:ascii="DengXian" w:hAnsi="DengXian" w:cs="宋体"/>
                <w:szCs w:val="21"/>
              </w:rPr>
              <w:t>（3）编码方式：电子编码方式，编码范围可在21～30之间任意设定</w:t>
            </w:r>
          </w:p>
          <w:p>
            <w:pPr>
              <w:widowControl/>
              <w:jc w:val="left"/>
              <w:rPr>
                <w:rFonts w:ascii="DengXian" w:hAnsi="DengXian" w:cs="宋体"/>
                <w:szCs w:val="21"/>
              </w:rPr>
            </w:pPr>
            <w:r>
              <w:rPr>
                <w:rFonts w:hint="eastAsia" w:ascii="DengXian" w:hAnsi="DengXian" w:cs="宋体"/>
                <w:szCs w:val="21"/>
              </w:rPr>
              <w:t>（4）常开输出触点：额定值DC60V、0.1A，接触电阻≤100m</w:t>
            </w:r>
          </w:p>
          <w:p>
            <w:pPr>
              <w:widowControl/>
              <w:jc w:val="left"/>
              <w:rPr>
                <w:rFonts w:ascii="DengXian" w:hAnsi="DengXian" w:cs="宋体"/>
                <w:szCs w:val="21"/>
              </w:rPr>
            </w:pPr>
            <w:r>
              <w:rPr>
                <w:rFonts w:hint="eastAsia" w:ascii="DengXian" w:hAnsi="DengXian" w:cs="宋体"/>
                <w:szCs w:val="21"/>
              </w:rPr>
              <w:t>（5）启动方式：击碎玻璃罩后，按下“按下喷洒”按键</w:t>
            </w:r>
          </w:p>
          <w:p>
            <w:pPr>
              <w:widowControl/>
              <w:jc w:val="left"/>
              <w:rPr>
                <w:rFonts w:ascii="DengXian" w:hAnsi="DengXian" w:cs="宋体"/>
                <w:szCs w:val="21"/>
              </w:rPr>
            </w:pPr>
            <w:r>
              <w:rPr>
                <w:rFonts w:hint="eastAsia" w:ascii="DengXian" w:hAnsi="DengXian" w:cs="宋体"/>
                <w:szCs w:val="21"/>
              </w:rPr>
              <w:t>（6）启动零件类型：重复使用型</w:t>
            </w:r>
          </w:p>
          <w:p>
            <w:pPr>
              <w:widowControl/>
              <w:jc w:val="left"/>
              <w:rPr>
                <w:rFonts w:ascii="DengXian" w:hAnsi="DengXian" w:cs="宋体"/>
                <w:szCs w:val="21"/>
              </w:rPr>
            </w:pPr>
            <w:r>
              <w:rPr>
                <w:rFonts w:hint="eastAsia" w:ascii="DengXian" w:hAnsi="DengXian" w:cs="宋体"/>
                <w:szCs w:val="21"/>
              </w:rPr>
              <w:t>（7）“按下喷洒”按键复位方式：用专用钥匙复位</w:t>
            </w:r>
          </w:p>
          <w:p>
            <w:pPr>
              <w:widowControl/>
              <w:jc w:val="left"/>
              <w:rPr>
                <w:rFonts w:ascii="DengXian" w:hAnsi="DengXian" w:cs="宋体"/>
                <w:szCs w:val="21"/>
              </w:rPr>
            </w:pPr>
            <w:r>
              <w:rPr>
                <w:rFonts w:hint="eastAsia" w:ascii="DengXian" w:hAnsi="DengXian" w:cs="宋体"/>
                <w:szCs w:val="21"/>
              </w:rPr>
              <w:t>（8）指示灯：“按下喷洒”按键：红色，按下时常亮            “停止”按键：绿色，按下时常亮</w:t>
            </w:r>
          </w:p>
          <w:p>
            <w:pPr>
              <w:widowControl/>
              <w:jc w:val="left"/>
              <w:rPr>
                <w:rFonts w:ascii="DengXian" w:hAnsi="DengXian" w:cs="宋体"/>
                <w:szCs w:val="21"/>
              </w:rPr>
            </w:pPr>
            <w:r>
              <w:rPr>
                <w:rFonts w:hint="eastAsia" w:ascii="DengXian" w:hAnsi="DengXian" w:cs="宋体"/>
                <w:szCs w:val="21"/>
              </w:rPr>
              <w:t>（9）线  制：与气体灭火控制器采用无极性两线制连接</w:t>
            </w:r>
          </w:p>
          <w:p>
            <w:pPr>
              <w:widowControl/>
              <w:jc w:val="left"/>
              <w:rPr>
                <w:rFonts w:ascii="DengXian" w:hAnsi="DengXian" w:cs="宋体"/>
                <w:szCs w:val="21"/>
              </w:rPr>
            </w:pPr>
            <w:r>
              <w:rPr>
                <w:rFonts w:hint="eastAsia" w:ascii="DengXian" w:hAnsi="DengXian" w:cs="宋体"/>
                <w:szCs w:val="21"/>
              </w:rPr>
              <w:t>（10）外壳防护等级：IP33</w:t>
            </w:r>
          </w:p>
          <w:p>
            <w:pPr>
              <w:widowControl/>
              <w:jc w:val="left"/>
              <w:rPr>
                <w:rFonts w:ascii="DengXian" w:hAnsi="DengXian" w:cs="宋体"/>
                <w:szCs w:val="21"/>
              </w:rPr>
            </w:pPr>
            <w:r>
              <w:rPr>
                <w:rFonts w:hint="eastAsia" w:ascii="DengXian" w:hAnsi="DengXian" w:cs="宋体"/>
                <w:szCs w:val="21"/>
              </w:rPr>
              <w:t>（11）使用环境：温度：-10℃～+55℃ ； 相对湿度≤95%，不凝露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150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放气指示灯</w:t>
            </w:r>
          </w:p>
        </w:tc>
        <w:tc>
          <w:tcPr>
            <w:tcW w:w="1500" w:type="dxa"/>
            <w:gridSpan w:val="2"/>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GST-LD-8317</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只</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气体喷洒指示灯是气体灭火系统的配套产品。安装在保护场所的入口处。当气体喷洒后，气体灭火控制器将启动喷洒灯发出灯光指示，提醒人员注意并采取相应的措施。本喷洒灯为编码型，可与气体灭火系统控制器配套使用。</w:t>
            </w:r>
          </w:p>
          <w:p>
            <w:pPr>
              <w:widowControl/>
              <w:jc w:val="left"/>
              <w:rPr>
                <w:rFonts w:ascii="DengXian" w:hAnsi="DengXian" w:cs="宋体"/>
                <w:szCs w:val="21"/>
              </w:rPr>
            </w:pPr>
            <w:r>
              <w:rPr>
                <w:rFonts w:hint="eastAsia" w:ascii="DengXian" w:hAnsi="DengXian" w:cs="宋体"/>
                <w:szCs w:val="21"/>
              </w:rPr>
              <w:t>气体喷洒指示灯与控制器进行通信采用数字信号，工作稳定可靠，对电磁干扰有良好的抑制能力；地址码为电子编码，可由电子编码器事先写入，也可由控制器直接改写，工程调试简便。</w:t>
            </w:r>
          </w:p>
          <w:p>
            <w:pPr>
              <w:widowControl/>
              <w:jc w:val="left"/>
              <w:rPr>
                <w:rFonts w:ascii="DengXian" w:hAnsi="DengXian" w:cs="宋体"/>
                <w:szCs w:val="21"/>
              </w:rPr>
            </w:pPr>
            <w:r>
              <w:rPr>
                <w:rFonts w:hint="eastAsia" w:ascii="DengXian" w:hAnsi="DengXian" w:cs="宋体"/>
                <w:szCs w:val="21"/>
              </w:rPr>
              <w:t>主要技术指标如下：</w:t>
            </w:r>
          </w:p>
          <w:p>
            <w:pPr>
              <w:widowControl/>
              <w:jc w:val="left"/>
              <w:rPr>
                <w:rFonts w:ascii="DengXian" w:hAnsi="DengXian" w:cs="宋体"/>
                <w:szCs w:val="21"/>
              </w:rPr>
            </w:pPr>
            <w:r>
              <w:rPr>
                <w:rFonts w:hint="eastAsia" w:ascii="DengXian" w:hAnsi="DengXian" w:cs="宋体"/>
                <w:szCs w:val="21"/>
              </w:rPr>
              <w:t>（1）工作电压：</w:t>
            </w:r>
          </w:p>
          <w:p>
            <w:pPr>
              <w:widowControl/>
              <w:jc w:val="left"/>
              <w:rPr>
                <w:rFonts w:ascii="DengXian" w:hAnsi="DengXian" w:cs="宋体"/>
                <w:szCs w:val="21"/>
              </w:rPr>
            </w:pPr>
            <w:r>
              <w:rPr>
                <w:rFonts w:hint="eastAsia" w:ascii="DengXian" w:hAnsi="DengXian" w:cs="宋体"/>
                <w:szCs w:val="21"/>
              </w:rPr>
              <w:t>信号总线电压：24V     允许范围：16V～28V</w:t>
            </w:r>
          </w:p>
          <w:p>
            <w:pPr>
              <w:widowControl/>
              <w:jc w:val="left"/>
              <w:rPr>
                <w:rFonts w:ascii="DengXian" w:hAnsi="DengXian" w:cs="宋体"/>
                <w:szCs w:val="21"/>
              </w:rPr>
            </w:pPr>
            <w:r>
              <w:rPr>
                <w:rFonts w:hint="eastAsia" w:ascii="DengXian" w:hAnsi="DengXian" w:cs="宋体"/>
                <w:szCs w:val="21"/>
              </w:rPr>
              <w:t>电源总线电压：DC24V   允许范围：DC20V～DC28V</w:t>
            </w:r>
          </w:p>
          <w:p>
            <w:pPr>
              <w:widowControl/>
              <w:jc w:val="left"/>
              <w:rPr>
                <w:rFonts w:ascii="DengXian" w:hAnsi="DengXian" w:cs="宋体"/>
                <w:szCs w:val="21"/>
              </w:rPr>
            </w:pPr>
            <w:r>
              <w:rPr>
                <w:rFonts w:hint="eastAsia" w:ascii="DengXian" w:hAnsi="DengXian" w:cs="宋体"/>
                <w:szCs w:val="21"/>
              </w:rPr>
              <w:t>（2）工作电流：信号总线监视电流≤1mA           电源总线监视电流≤2mA；信号总线动作电流≤2mA           电源总线动作电流≤25mA</w:t>
            </w:r>
          </w:p>
          <w:p>
            <w:pPr>
              <w:widowControl/>
              <w:jc w:val="left"/>
              <w:rPr>
                <w:rFonts w:ascii="DengXian" w:hAnsi="DengXian" w:cs="宋体"/>
                <w:szCs w:val="21"/>
              </w:rPr>
            </w:pPr>
            <w:r>
              <w:rPr>
                <w:rFonts w:hint="eastAsia" w:ascii="DengXian" w:hAnsi="DengXian" w:cs="宋体"/>
                <w:szCs w:val="21"/>
              </w:rPr>
              <w:t>（3）闪光频率：每分钟闪亮45±5次</w:t>
            </w:r>
          </w:p>
          <w:p>
            <w:pPr>
              <w:widowControl/>
              <w:jc w:val="left"/>
              <w:rPr>
                <w:rFonts w:ascii="DengXian" w:hAnsi="DengXian" w:cs="宋体"/>
                <w:szCs w:val="21"/>
              </w:rPr>
            </w:pPr>
            <w:r>
              <w:rPr>
                <w:rFonts w:hint="eastAsia" w:ascii="DengXian" w:hAnsi="DengXian" w:cs="宋体"/>
                <w:szCs w:val="21"/>
              </w:rPr>
              <w:t>（4）编码方式：电子编码方式，编码范围可在11～20之间任意设定</w:t>
            </w:r>
          </w:p>
          <w:p>
            <w:pPr>
              <w:widowControl/>
              <w:jc w:val="left"/>
              <w:rPr>
                <w:rFonts w:ascii="DengXian" w:hAnsi="DengXian" w:cs="宋体"/>
                <w:szCs w:val="21"/>
              </w:rPr>
            </w:pPr>
            <w:r>
              <w:rPr>
                <w:rFonts w:hint="eastAsia" w:ascii="DengXian" w:hAnsi="DengXian" w:cs="宋体"/>
                <w:szCs w:val="21"/>
              </w:rPr>
              <w:t>（5）线制：与气体灭火控制器采用四线连接。其中两线接总线，无极性；</w:t>
            </w:r>
          </w:p>
          <w:p>
            <w:pPr>
              <w:widowControl/>
              <w:jc w:val="left"/>
              <w:rPr>
                <w:rFonts w:ascii="DengXian" w:hAnsi="DengXian" w:cs="宋体"/>
                <w:szCs w:val="21"/>
              </w:rPr>
            </w:pPr>
            <w:r>
              <w:rPr>
                <w:rFonts w:hint="eastAsia" w:ascii="DengXian" w:hAnsi="DengXian" w:cs="宋体"/>
                <w:szCs w:val="21"/>
              </w:rPr>
              <w:t>另外两线接电源DC24V，无极性</w:t>
            </w:r>
          </w:p>
          <w:p>
            <w:pPr>
              <w:widowControl/>
              <w:jc w:val="left"/>
              <w:rPr>
                <w:rFonts w:ascii="DengXian" w:hAnsi="DengXian" w:cs="宋体"/>
                <w:szCs w:val="21"/>
              </w:rPr>
            </w:pPr>
            <w:r>
              <w:rPr>
                <w:rFonts w:hint="eastAsia" w:ascii="DengXian" w:hAnsi="DengXian" w:cs="宋体"/>
                <w:szCs w:val="21"/>
              </w:rPr>
              <w:t>（6）使用环境：温度：-10℃～+50℃ ；相对湿度≤95%，不凝露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150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气体灭火控制器</w:t>
            </w:r>
          </w:p>
        </w:tc>
        <w:tc>
          <w:tcPr>
            <w:tcW w:w="1500" w:type="dxa"/>
            <w:gridSpan w:val="2"/>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GST-QKP01</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气体灭火控制器 具有火灾探测报警和气体灭火控制双重功能，可配接各种编码火灾探测器、手动报警按钮、紧急启/停按钮、声光警报器、气体释放警报器、手自动转换开关以及输出模块，实现1个防火区的火灾报警和气体灭火控制。</w:t>
            </w:r>
          </w:p>
          <w:p>
            <w:pPr>
              <w:widowControl/>
              <w:jc w:val="left"/>
              <w:rPr>
                <w:rFonts w:ascii="DengXian" w:hAnsi="DengXian" w:cs="宋体"/>
                <w:szCs w:val="21"/>
              </w:rPr>
            </w:pPr>
            <w:r>
              <w:rPr>
                <w:rFonts w:hint="eastAsia" w:ascii="DengXian" w:hAnsi="DengXian" w:cs="宋体"/>
                <w:szCs w:val="21"/>
              </w:rPr>
              <w:t>（1）配置灵活、可靠性高</w:t>
            </w:r>
          </w:p>
          <w:p>
            <w:pPr>
              <w:widowControl/>
              <w:jc w:val="left"/>
              <w:rPr>
                <w:rFonts w:ascii="DengXian" w:hAnsi="DengXian" w:cs="宋体"/>
                <w:szCs w:val="21"/>
              </w:rPr>
            </w:pPr>
            <w:r>
              <w:rPr>
                <w:rFonts w:hint="eastAsia" w:ascii="DengXian" w:hAnsi="DengXian" w:cs="宋体"/>
                <w:szCs w:val="21"/>
              </w:rPr>
              <w:t>（2）功能强、控制方式灵活</w:t>
            </w:r>
          </w:p>
          <w:p>
            <w:pPr>
              <w:widowControl/>
              <w:jc w:val="left"/>
              <w:rPr>
                <w:rFonts w:ascii="DengXian" w:hAnsi="DengXian" w:cs="宋体"/>
                <w:szCs w:val="21"/>
              </w:rPr>
            </w:pPr>
            <w:r>
              <w:rPr>
                <w:rFonts w:hint="eastAsia" w:ascii="DengXian" w:hAnsi="DengXian" w:cs="宋体"/>
                <w:szCs w:val="21"/>
              </w:rPr>
              <w:t>（3）窗口化、汉字菜单式显示界面</w:t>
            </w:r>
          </w:p>
          <w:p>
            <w:pPr>
              <w:widowControl/>
              <w:jc w:val="left"/>
              <w:rPr>
                <w:rFonts w:ascii="DengXian" w:hAnsi="DengXian" w:cs="宋体"/>
                <w:szCs w:val="21"/>
              </w:rPr>
            </w:pPr>
            <w:r>
              <w:rPr>
                <w:rFonts w:hint="eastAsia" w:ascii="DengXian" w:hAnsi="DengXian" w:cs="宋体"/>
                <w:szCs w:val="21"/>
              </w:rPr>
              <w:t>（4）模块式开关电源</w:t>
            </w:r>
          </w:p>
          <w:p>
            <w:pPr>
              <w:widowControl/>
              <w:jc w:val="left"/>
              <w:rPr>
                <w:rFonts w:ascii="DengXian" w:hAnsi="DengXian" w:cs="宋体"/>
                <w:szCs w:val="21"/>
              </w:rPr>
            </w:pPr>
            <w:r>
              <w:rPr>
                <w:rFonts w:hint="eastAsia" w:ascii="DengXian" w:hAnsi="DengXian" w:cs="宋体"/>
                <w:szCs w:val="21"/>
              </w:rPr>
              <w:t>具有火灾探测及报警功能；能控制实现气体灭火设备的启动喷洒；控制主机收到启动控制信号后能启动现场的区域讯响器报警、自动显示延时且指示延时时间；并联动启动输出模块实现关闭门窗、防火阀和停止空调等功能；延时启动的延时时间在0～30秒连续可调；具有停动功能；具有手自动转换功能；自身带有备电，在主电缺失时可自动进入备电运行状态，能给备电充电并有备电保护功能；具有信息记录、查询功能，可保存最后的999条记录。</w:t>
            </w:r>
          </w:p>
          <w:p>
            <w:pPr>
              <w:widowControl/>
              <w:jc w:val="left"/>
              <w:rPr>
                <w:rFonts w:ascii="DengXian" w:hAnsi="DengXian" w:cs="宋体"/>
                <w:szCs w:val="21"/>
              </w:rPr>
            </w:pPr>
            <w:r>
              <w:rPr>
                <w:rFonts w:hint="eastAsia" w:ascii="DengXian" w:hAnsi="DengXian" w:cs="宋体"/>
                <w:szCs w:val="21"/>
              </w:rPr>
              <w:t>主要技术指标如下：（1）工作电压：交流AC220V  50/60Hz，允许电压变化范围AC176V～AC264V；</w:t>
            </w:r>
          </w:p>
          <w:p>
            <w:pPr>
              <w:widowControl/>
              <w:jc w:val="left"/>
              <w:rPr>
                <w:rFonts w:ascii="DengXian" w:hAnsi="DengXian" w:cs="宋体"/>
                <w:szCs w:val="21"/>
              </w:rPr>
            </w:pPr>
            <w:r>
              <w:rPr>
                <w:rFonts w:hint="eastAsia" w:ascii="DengXian" w:hAnsi="DengXian" w:cs="宋体"/>
                <w:szCs w:val="21"/>
              </w:rPr>
              <w:t>（2）功耗：监视状态功耗≤20W；最大功耗≤150W；</w:t>
            </w:r>
          </w:p>
          <w:p>
            <w:pPr>
              <w:widowControl/>
              <w:jc w:val="left"/>
              <w:rPr>
                <w:rFonts w:ascii="DengXian" w:hAnsi="DengXian" w:cs="宋体"/>
                <w:szCs w:val="21"/>
              </w:rPr>
            </w:pPr>
            <w:r>
              <w:rPr>
                <w:rFonts w:hint="eastAsia" w:ascii="DengXian" w:hAnsi="DengXian" w:cs="宋体"/>
                <w:szCs w:val="21"/>
              </w:rPr>
              <w:t>（3）备用电源：2个DC12V/7Ah密封铅酸电池；</w:t>
            </w:r>
          </w:p>
          <w:p>
            <w:pPr>
              <w:widowControl/>
              <w:jc w:val="left"/>
              <w:rPr>
                <w:rFonts w:ascii="DengXian" w:hAnsi="DengXian" w:cs="宋体"/>
                <w:szCs w:val="21"/>
              </w:rPr>
            </w:pPr>
            <w:r>
              <w:rPr>
                <w:rFonts w:hint="eastAsia" w:ascii="DengXian" w:hAnsi="DengXian" w:cs="宋体"/>
                <w:szCs w:val="21"/>
              </w:rPr>
              <w:t>（4）气体喷洒输出：DC24V/3A，脉冲方式/持续方式，可调；</w:t>
            </w:r>
          </w:p>
          <w:p>
            <w:pPr>
              <w:widowControl/>
              <w:jc w:val="left"/>
              <w:rPr>
                <w:rFonts w:ascii="DengXian" w:hAnsi="DengXian" w:cs="宋体"/>
                <w:szCs w:val="21"/>
              </w:rPr>
            </w:pPr>
            <w:r>
              <w:rPr>
                <w:rFonts w:hint="eastAsia" w:ascii="DengXian" w:hAnsi="DengXian" w:cs="宋体"/>
                <w:szCs w:val="21"/>
              </w:rPr>
              <w:t>（5）辅助24V电源输出：最大0.6A；</w:t>
            </w:r>
          </w:p>
          <w:p>
            <w:pPr>
              <w:widowControl/>
              <w:jc w:val="left"/>
              <w:rPr>
                <w:rFonts w:ascii="DengXian" w:hAnsi="DengXian" w:cs="宋体"/>
                <w:szCs w:val="21"/>
              </w:rPr>
            </w:pPr>
            <w:r>
              <w:rPr>
                <w:rFonts w:hint="eastAsia" w:ascii="DengXian" w:hAnsi="DengXian" w:cs="宋体"/>
                <w:szCs w:val="21"/>
              </w:rPr>
              <w:t>（6）电池充电电流：0.6A~0.8A；</w:t>
            </w:r>
          </w:p>
          <w:p>
            <w:pPr>
              <w:widowControl/>
              <w:jc w:val="left"/>
              <w:rPr>
                <w:rFonts w:ascii="DengXian" w:hAnsi="DengXian" w:cs="宋体"/>
                <w:szCs w:val="21"/>
              </w:rPr>
            </w:pPr>
            <w:r>
              <w:rPr>
                <w:rFonts w:hint="eastAsia" w:ascii="DengXian" w:hAnsi="DengXian" w:cs="宋体"/>
                <w:szCs w:val="21"/>
              </w:rPr>
              <w:t>（7）液晶屏规格：128×64点，可同屏显示32个汉字信息；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87" w:type="dxa"/>
            <w:shd w:val="clear" w:color="auto" w:fill="FFFFFF"/>
            <w:noWrap/>
            <w:vAlign w:val="bottom"/>
          </w:tcPr>
          <w:p>
            <w:pPr>
              <w:widowControl/>
              <w:jc w:val="left"/>
              <w:rPr>
                <w:rFonts w:ascii="DengXian" w:hAnsi="DengXian" w:cs="宋体"/>
                <w:szCs w:val="21"/>
              </w:rPr>
            </w:pPr>
          </w:p>
        </w:tc>
        <w:tc>
          <w:tcPr>
            <w:tcW w:w="33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8</w:t>
            </w:r>
          </w:p>
        </w:tc>
        <w:tc>
          <w:tcPr>
            <w:tcW w:w="1500"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消防信号线配线</w:t>
            </w:r>
          </w:p>
        </w:tc>
        <w:tc>
          <w:tcPr>
            <w:tcW w:w="1500" w:type="dxa"/>
            <w:gridSpan w:val="2"/>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ZR-RVS2*1.5mm²</w:t>
            </w:r>
          </w:p>
        </w:tc>
        <w:tc>
          <w:tcPr>
            <w:tcW w:w="437"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513"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500 </w:t>
            </w:r>
          </w:p>
        </w:tc>
        <w:tc>
          <w:tcPr>
            <w:tcW w:w="4223" w:type="dxa"/>
            <w:gridSpan w:val="4"/>
            <w:shd w:val="clear" w:color="auto" w:fill="FFFFFF"/>
            <w:noWrap/>
            <w:vAlign w:val="center"/>
          </w:tcPr>
          <w:p>
            <w:pPr>
              <w:widowControl/>
              <w:jc w:val="left"/>
              <w:rPr>
                <w:rFonts w:ascii="DengXian" w:hAnsi="DengXian" w:cs="宋体"/>
                <w:szCs w:val="21"/>
              </w:rPr>
            </w:pPr>
            <w:r>
              <w:rPr>
                <w:rFonts w:hint="eastAsia" w:ascii="DengXian" w:hAnsi="DengXian" w:cs="宋体"/>
                <w:szCs w:val="21"/>
              </w:rPr>
              <w:t>ZR-RVS2*1.5mm²（纯铜国标）</w:t>
            </w:r>
          </w:p>
        </w:tc>
      </w:tr>
    </w:tbl>
    <w:p>
      <w:pPr>
        <w:adjustRightInd w:val="0"/>
        <w:snapToGrid w:val="0"/>
        <w:spacing w:line="450" w:lineRule="exact"/>
        <w:ind w:firstLine="723" w:firstLineChars="200"/>
        <w:jc w:val="center"/>
        <w:rPr>
          <w:b/>
          <w:sz w:val="36"/>
          <w:szCs w:val="36"/>
        </w:rPr>
      </w:pPr>
      <w:r>
        <w:rPr>
          <w:rFonts w:hint="eastAsia"/>
          <w:b/>
          <w:sz w:val="36"/>
          <w:szCs w:val="36"/>
        </w:rPr>
        <w:t>指挥大厅采购清单</w:t>
      </w:r>
    </w:p>
    <w:tbl>
      <w:tblPr>
        <w:tblStyle w:val="26"/>
        <w:tblW w:w="89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555"/>
        <w:gridCol w:w="2685"/>
        <w:gridCol w:w="97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28"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序号</w:t>
            </w:r>
          </w:p>
        </w:tc>
        <w:tc>
          <w:tcPr>
            <w:tcW w:w="355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产品名称</w:t>
            </w:r>
          </w:p>
        </w:tc>
        <w:tc>
          <w:tcPr>
            <w:tcW w:w="268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规格型号</w:t>
            </w: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单位</w:t>
            </w:r>
          </w:p>
        </w:tc>
        <w:tc>
          <w:tcPr>
            <w:tcW w:w="70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8"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一、大屏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8"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1</w:t>
            </w:r>
          </w:p>
        </w:tc>
        <w:tc>
          <w:tcPr>
            <w:tcW w:w="3555" w:type="dxa"/>
            <w:shd w:val="clear" w:color="auto" w:fill="FFFFFF"/>
            <w:noWrap/>
            <w:vAlign w:val="center"/>
          </w:tcPr>
          <w:p>
            <w:pPr>
              <w:widowControl/>
              <w:jc w:val="left"/>
              <w:textAlignment w:val="center"/>
              <w:rPr>
                <w:rFonts w:hAnsi="宋体" w:cs="宋体"/>
                <w:szCs w:val="21"/>
              </w:rPr>
            </w:pPr>
            <w:r>
              <w:rPr>
                <w:rFonts w:hint="eastAsia" w:ascii="宋体" w:hAnsi="宋体" w:eastAsia="宋体" w:cs="宋体"/>
                <w:kern w:val="0"/>
                <w:szCs w:val="21"/>
                <w:lang w:bidi="ar"/>
              </w:rPr>
              <w:t>全彩色LED显示屏，8.00m× 2.4m</w:t>
            </w:r>
          </w:p>
        </w:tc>
        <w:tc>
          <w:tcPr>
            <w:tcW w:w="2685"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p1.5</w:t>
            </w: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台</w:t>
            </w:r>
          </w:p>
        </w:tc>
        <w:tc>
          <w:tcPr>
            <w:tcW w:w="705" w:type="dxa"/>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8"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2</w:t>
            </w:r>
          </w:p>
        </w:tc>
        <w:tc>
          <w:tcPr>
            <w:tcW w:w="3555" w:type="dxa"/>
            <w:shd w:val="clear" w:color="auto" w:fill="FFFFFF"/>
            <w:noWrap/>
            <w:vAlign w:val="center"/>
          </w:tcPr>
          <w:p>
            <w:pPr>
              <w:widowControl/>
              <w:jc w:val="left"/>
              <w:textAlignment w:val="center"/>
              <w:rPr>
                <w:rFonts w:hAnsi="宋体" w:cs="宋体"/>
                <w:szCs w:val="21"/>
              </w:rPr>
            </w:pPr>
            <w:r>
              <w:rPr>
                <w:rFonts w:hint="eastAsia" w:ascii="宋体" w:hAnsi="宋体" w:eastAsia="宋体" w:cs="宋体"/>
                <w:kern w:val="0"/>
                <w:szCs w:val="21"/>
                <w:lang w:bidi="ar"/>
              </w:rPr>
              <w:t>屏幕控制电脑，带HDMI一体机</w:t>
            </w:r>
          </w:p>
        </w:tc>
        <w:tc>
          <w:tcPr>
            <w:tcW w:w="2685" w:type="dxa"/>
            <w:shd w:val="clear" w:color="auto" w:fill="FFFFFF"/>
            <w:noWrap/>
            <w:vAlign w:val="center"/>
          </w:tcPr>
          <w:p>
            <w:pPr>
              <w:jc w:val="center"/>
              <w:rPr>
                <w:rFonts w:hAnsi="宋体" w:cs="宋体"/>
                <w:szCs w:val="21"/>
              </w:rPr>
            </w:pP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台</w:t>
            </w:r>
          </w:p>
        </w:tc>
        <w:tc>
          <w:tcPr>
            <w:tcW w:w="705" w:type="dxa"/>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3</w:t>
            </w:r>
          </w:p>
        </w:tc>
        <w:tc>
          <w:tcPr>
            <w:tcW w:w="3555" w:type="dxa"/>
            <w:shd w:val="clear" w:color="auto" w:fill="FFFFFF"/>
            <w:noWrap/>
            <w:vAlign w:val="center"/>
          </w:tcPr>
          <w:p>
            <w:pPr>
              <w:widowControl/>
              <w:jc w:val="left"/>
              <w:textAlignment w:val="center"/>
              <w:rPr>
                <w:rFonts w:hAnsi="宋体" w:cs="宋体"/>
                <w:szCs w:val="21"/>
              </w:rPr>
            </w:pPr>
            <w:r>
              <w:rPr>
                <w:rFonts w:hint="eastAsia" w:ascii="宋体" w:hAnsi="宋体" w:eastAsia="宋体" w:cs="宋体"/>
                <w:kern w:val="0"/>
                <w:szCs w:val="21"/>
                <w:lang w:bidi="ar"/>
              </w:rPr>
              <w:t>控制系统</w:t>
            </w:r>
          </w:p>
        </w:tc>
        <w:tc>
          <w:tcPr>
            <w:tcW w:w="2685" w:type="dxa"/>
            <w:shd w:val="clear" w:color="auto" w:fill="FFFFFF"/>
            <w:noWrap/>
            <w:vAlign w:val="center"/>
          </w:tcPr>
          <w:p>
            <w:pPr>
              <w:widowControl/>
              <w:jc w:val="center"/>
              <w:textAlignment w:val="center"/>
              <w:rPr>
                <w:rFonts w:hAnsi="宋体" w:cs="宋体"/>
                <w:szCs w:val="21"/>
              </w:rPr>
            </w:pPr>
            <w:r>
              <w:rPr>
                <w:rFonts w:ascii="Times New Roman" w:hAnsi="Times New Roman" w:eastAsia="DengXian" w:cs="Times New Roman"/>
                <w:kern w:val="0"/>
                <w:szCs w:val="21"/>
                <w:lang w:bidi="ar"/>
              </w:rPr>
              <w:t>KING 600</w:t>
            </w: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套</w:t>
            </w:r>
          </w:p>
        </w:tc>
        <w:tc>
          <w:tcPr>
            <w:tcW w:w="705" w:type="dxa"/>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8"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4</w:t>
            </w:r>
          </w:p>
        </w:tc>
        <w:tc>
          <w:tcPr>
            <w:tcW w:w="3555" w:type="dxa"/>
            <w:shd w:val="clear" w:color="auto" w:fill="FFFFFF"/>
            <w:noWrap/>
            <w:vAlign w:val="center"/>
          </w:tcPr>
          <w:p>
            <w:pPr>
              <w:widowControl/>
              <w:jc w:val="left"/>
              <w:textAlignment w:val="center"/>
              <w:rPr>
                <w:rFonts w:hAnsi="宋体" w:cs="宋体"/>
                <w:szCs w:val="21"/>
              </w:rPr>
            </w:pPr>
            <w:r>
              <w:rPr>
                <w:rFonts w:hint="eastAsia" w:ascii="宋体" w:hAnsi="宋体" w:eastAsia="宋体" w:cs="宋体"/>
                <w:kern w:val="0"/>
                <w:szCs w:val="21"/>
                <w:lang w:bidi="ar"/>
              </w:rPr>
              <w:t>信号线</w:t>
            </w:r>
          </w:p>
        </w:tc>
        <w:tc>
          <w:tcPr>
            <w:tcW w:w="2685" w:type="dxa"/>
            <w:shd w:val="clear" w:color="auto" w:fill="FFFFFF"/>
            <w:noWrap/>
            <w:vAlign w:val="center"/>
          </w:tcPr>
          <w:p>
            <w:pPr>
              <w:widowControl/>
              <w:jc w:val="center"/>
              <w:textAlignment w:val="center"/>
              <w:rPr>
                <w:rFonts w:hAnsi="宋体" w:cs="宋体"/>
                <w:szCs w:val="21"/>
              </w:rPr>
            </w:pPr>
            <w:r>
              <w:rPr>
                <w:rFonts w:ascii="Times New Roman" w:hAnsi="Times New Roman" w:eastAsia="DengXian" w:cs="Times New Roman"/>
                <w:kern w:val="0"/>
                <w:szCs w:val="21"/>
                <w:lang w:bidi="ar"/>
              </w:rPr>
              <w:t xml:space="preserve">  RJ45</w:t>
            </w: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根</w:t>
            </w:r>
          </w:p>
        </w:tc>
        <w:tc>
          <w:tcPr>
            <w:tcW w:w="705" w:type="dxa"/>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8"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5</w:t>
            </w:r>
          </w:p>
        </w:tc>
        <w:tc>
          <w:tcPr>
            <w:tcW w:w="3555" w:type="dxa"/>
            <w:shd w:val="clear" w:color="auto" w:fill="FFFFFF"/>
            <w:noWrap/>
            <w:vAlign w:val="center"/>
          </w:tcPr>
          <w:p>
            <w:pPr>
              <w:widowControl/>
              <w:jc w:val="left"/>
              <w:textAlignment w:val="center"/>
              <w:rPr>
                <w:rFonts w:hAnsi="宋体" w:cs="宋体"/>
                <w:szCs w:val="21"/>
              </w:rPr>
            </w:pPr>
            <w:r>
              <w:rPr>
                <w:rFonts w:hint="eastAsia" w:ascii="宋体" w:hAnsi="宋体" w:eastAsia="宋体" w:cs="宋体"/>
                <w:kern w:val="0"/>
                <w:szCs w:val="21"/>
                <w:lang w:bidi="ar"/>
              </w:rPr>
              <w:t>电源线</w:t>
            </w:r>
          </w:p>
        </w:tc>
        <w:tc>
          <w:tcPr>
            <w:tcW w:w="2685" w:type="dxa"/>
            <w:shd w:val="clear" w:color="auto" w:fill="FFFFFF"/>
            <w:noWrap/>
            <w:vAlign w:val="center"/>
          </w:tcPr>
          <w:p>
            <w:pPr>
              <w:widowControl/>
              <w:jc w:val="center"/>
              <w:textAlignment w:val="center"/>
              <w:rPr>
                <w:rFonts w:hAnsi="宋体" w:cs="宋体"/>
                <w:szCs w:val="21"/>
              </w:rPr>
            </w:pPr>
            <w:r>
              <w:rPr>
                <w:rFonts w:ascii="Times New Roman" w:hAnsi="Times New Roman" w:eastAsia="DengXian" w:cs="Times New Roman"/>
                <w:kern w:val="0"/>
                <w:szCs w:val="21"/>
                <w:lang w:bidi="ar"/>
              </w:rPr>
              <w:t>4X16+1</w:t>
            </w: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米</w:t>
            </w:r>
          </w:p>
        </w:tc>
        <w:tc>
          <w:tcPr>
            <w:tcW w:w="705" w:type="dxa"/>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8"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6</w:t>
            </w:r>
          </w:p>
        </w:tc>
        <w:tc>
          <w:tcPr>
            <w:tcW w:w="3555" w:type="dxa"/>
            <w:shd w:val="clear" w:color="auto" w:fill="FFFFFF"/>
            <w:noWrap/>
            <w:vAlign w:val="center"/>
          </w:tcPr>
          <w:p>
            <w:pPr>
              <w:widowControl/>
              <w:jc w:val="left"/>
              <w:textAlignment w:val="center"/>
              <w:rPr>
                <w:rFonts w:hAnsi="宋体" w:cs="宋体"/>
                <w:szCs w:val="21"/>
              </w:rPr>
            </w:pPr>
            <w:r>
              <w:rPr>
                <w:rFonts w:hint="eastAsia" w:ascii="宋体" w:hAnsi="宋体" w:eastAsia="宋体" w:cs="宋体"/>
                <w:kern w:val="0"/>
                <w:szCs w:val="21"/>
                <w:lang w:bidi="ar"/>
              </w:rPr>
              <w:t>视频拼接器</w:t>
            </w:r>
          </w:p>
        </w:tc>
        <w:tc>
          <w:tcPr>
            <w:tcW w:w="2685" w:type="dxa"/>
            <w:shd w:val="clear" w:color="auto" w:fill="FFFFFF"/>
            <w:noWrap/>
            <w:vAlign w:val="center"/>
          </w:tcPr>
          <w:p>
            <w:pPr>
              <w:widowControl/>
              <w:jc w:val="center"/>
              <w:textAlignment w:val="center"/>
              <w:rPr>
                <w:rFonts w:hAnsi="宋体" w:cs="宋体"/>
                <w:szCs w:val="21"/>
              </w:rPr>
            </w:pPr>
            <w:r>
              <w:rPr>
                <w:rFonts w:ascii="Times New Roman" w:hAnsi="Times New Roman" w:eastAsia="DengXian" w:cs="Times New Roman"/>
                <w:kern w:val="0"/>
                <w:szCs w:val="21"/>
                <w:lang w:bidi="ar"/>
              </w:rPr>
              <w:t>8</w:t>
            </w:r>
            <w:r>
              <w:rPr>
                <w:rStyle w:val="153"/>
                <w:rFonts w:hint="default"/>
                <w:color w:val="auto"/>
                <w:sz w:val="21"/>
                <w:szCs w:val="21"/>
                <w:lang w:bidi="ar"/>
              </w:rPr>
              <w:t>进</w:t>
            </w:r>
            <w:r>
              <w:rPr>
                <w:rFonts w:ascii="Times New Roman" w:hAnsi="Times New Roman" w:eastAsia="DengXian" w:cs="Times New Roman"/>
                <w:kern w:val="0"/>
                <w:szCs w:val="21"/>
                <w:lang w:bidi="ar"/>
              </w:rPr>
              <w:t>8</w:t>
            </w:r>
            <w:r>
              <w:rPr>
                <w:rStyle w:val="153"/>
                <w:rFonts w:hint="default"/>
                <w:color w:val="auto"/>
                <w:sz w:val="21"/>
                <w:szCs w:val="21"/>
                <w:lang w:bidi="ar"/>
              </w:rPr>
              <w:t>出</w:t>
            </w: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套</w:t>
            </w:r>
          </w:p>
        </w:tc>
        <w:tc>
          <w:tcPr>
            <w:tcW w:w="705" w:type="dxa"/>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28" w:type="dxa"/>
            <w:shd w:val="clear" w:color="auto" w:fill="FFFFFF"/>
            <w:noWrap/>
            <w:vAlign w:val="center"/>
          </w:tcPr>
          <w:p>
            <w:pPr>
              <w:widowControl/>
              <w:jc w:val="center"/>
              <w:textAlignment w:val="center"/>
              <w:rPr>
                <w:rFonts w:hAnsi="宋体" w:cs="宋体"/>
                <w:szCs w:val="21"/>
              </w:rPr>
            </w:pPr>
            <w:r>
              <w:rPr>
                <w:rFonts w:hint="eastAsia" w:ascii="宋体" w:hAnsi="宋体" w:eastAsia="宋体" w:cs="宋体"/>
                <w:kern w:val="0"/>
                <w:szCs w:val="21"/>
                <w:lang w:bidi="ar"/>
              </w:rPr>
              <w:t>7</w:t>
            </w:r>
          </w:p>
        </w:tc>
        <w:tc>
          <w:tcPr>
            <w:tcW w:w="3555" w:type="dxa"/>
            <w:shd w:val="clear" w:color="auto" w:fill="FFFFFF"/>
            <w:noWrap/>
            <w:vAlign w:val="center"/>
          </w:tcPr>
          <w:p>
            <w:pPr>
              <w:widowControl/>
              <w:jc w:val="left"/>
              <w:textAlignment w:val="center"/>
              <w:rPr>
                <w:rFonts w:hAnsi="宋体" w:cs="宋体"/>
                <w:szCs w:val="21"/>
              </w:rPr>
            </w:pPr>
            <w:r>
              <w:rPr>
                <w:rFonts w:hint="eastAsia" w:ascii="宋体" w:hAnsi="宋体" w:eastAsia="宋体" w:cs="宋体"/>
                <w:kern w:val="0"/>
                <w:szCs w:val="21"/>
                <w:lang w:bidi="ar"/>
              </w:rPr>
              <w:t>配电柜</w:t>
            </w:r>
          </w:p>
        </w:tc>
        <w:tc>
          <w:tcPr>
            <w:tcW w:w="2685" w:type="dxa"/>
            <w:shd w:val="clear" w:color="auto" w:fill="FFFFFF"/>
            <w:noWrap/>
            <w:vAlign w:val="center"/>
          </w:tcPr>
          <w:p>
            <w:pPr>
              <w:widowControl/>
              <w:jc w:val="center"/>
              <w:textAlignment w:val="center"/>
              <w:rPr>
                <w:rFonts w:hAnsi="宋体" w:cs="宋体"/>
                <w:szCs w:val="21"/>
              </w:rPr>
            </w:pPr>
            <w:r>
              <w:rPr>
                <w:rFonts w:ascii="Times New Roman" w:hAnsi="Times New Roman" w:eastAsia="DengXian" w:cs="Times New Roman"/>
                <w:kern w:val="0"/>
                <w:szCs w:val="21"/>
                <w:lang w:bidi="ar"/>
              </w:rPr>
              <w:t>45KW</w:t>
            </w:r>
          </w:p>
        </w:tc>
        <w:tc>
          <w:tcPr>
            <w:tcW w:w="975"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套</w:t>
            </w:r>
          </w:p>
        </w:tc>
        <w:tc>
          <w:tcPr>
            <w:tcW w:w="705" w:type="dxa"/>
            <w:shd w:val="clear" w:color="auto" w:fill="FFFFFF"/>
            <w:noWrap/>
            <w:vAlign w:val="center"/>
          </w:tcPr>
          <w:p>
            <w:pPr>
              <w:widowControl/>
              <w:jc w:val="center"/>
              <w:textAlignment w:val="center"/>
              <w:rPr>
                <w:rFonts w:hAnsi="宋体"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948"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二、扩声系统（本地/远程）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专业功放</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DAN-P650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专业音箱（含支架BY-01B）</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TD10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只</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专业功放</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DAN-P350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专业音箱（含支架BY-01B）</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TD08</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只</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调音台</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HT-VM122</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抑制器</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APS1003</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音频处理器</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HT-DSP0808E</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8</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无线话筒</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HT-168U</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9</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话筒呼叫控制嵌入软件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V1.0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48"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三、大厅指挥系统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指挥系统主机</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HT-9700M</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全数字指挥系统音频传输内嵌软件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V1.0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主席单元</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HT-8900c</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主席控制内嵌软件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V1.0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代表单元</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HT-8900d</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手拉手代表控制内嵌软件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V1.0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连接线</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HT-8P20M</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9</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插座</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HT-8DH</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指挥系统主机</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HT-9700M</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全数字指挥系统音频传输内嵌软件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V1.0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48"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四、信号处理及中控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分布式综合管理平台</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AVTRONSYS/E-Cluster</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可视化系统软件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AVTRONSYS/VSWITCH</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分布式输入节点</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AVTRONSYS/X-INPUT</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网络中控</w:t>
            </w:r>
          </w:p>
        </w:tc>
        <w:tc>
          <w:tcPr>
            <w:tcW w:w="2685" w:type="dxa"/>
            <w:shd w:val="clear" w:color="auto" w:fill="FFFFFF"/>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AVTRONSYS/MCS2</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分布式中控系统逻辑处理内嵌软件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AVTRONSYS/MCS2</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控制器</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AVTRONSYS/PCI-8</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8</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音量控制器</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AVTRONSYS/VC-4</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9</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10英寸彩色触摸屏</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AVMP-10MV</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10</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支架</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AVTRONSYS/AVTT</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0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平板  8.4英寸平板电脑</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M5</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无线接入点AP</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WAP712E</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13</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无线控制器AC</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MSG360</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14</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交换机</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S5130-54C-PWR-HI</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15</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高清摄像头</w:t>
            </w:r>
          </w:p>
        </w:tc>
        <w:tc>
          <w:tcPr>
            <w:tcW w:w="2685" w:type="dxa"/>
            <w:shd w:val="clear" w:color="auto" w:fill="FFFFFF"/>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润普RP-E3</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16</w:t>
            </w:r>
          </w:p>
        </w:tc>
        <w:tc>
          <w:tcPr>
            <w:tcW w:w="3555" w:type="dxa"/>
            <w:shd w:val="clear" w:color="auto" w:fill="FFFFFF"/>
            <w:noWrap/>
            <w:vAlign w:val="center"/>
          </w:tcPr>
          <w:p>
            <w:pPr>
              <w:widowControl/>
              <w:jc w:val="left"/>
              <w:textAlignment w:val="center"/>
              <w:rPr>
                <w:rFonts w:ascii="DengXian" w:hAnsi="DengXian" w:eastAsia="DengXian" w:cs="DengXian"/>
                <w:kern w:val="0"/>
                <w:szCs w:val="21"/>
                <w:lang w:bidi="ar"/>
              </w:rPr>
            </w:pPr>
            <w:r>
              <w:rPr>
                <w:rFonts w:ascii="DengXian" w:hAnsi="DengXian" w:eastAsia="DengXian" w:cs="DengXian"/>
                <w:kern w:val="0"/>
                <w:szCs w:val="21"/>
                <w:lang w:bidi="ar"/>
              </w:rPr>
              <w:t>控制键盘</w:t>
            </w:r>
          </w:p>
        </w:tc>
        <w:tc>
          <w:tcPr>
            <w:tcW w:w="2685" w:type="dxa"/>
            <w:shd w:val="clear" w:color="auto" w:fill="FFFFFF"/>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绿联 kvmhdmi</w:t>
            </w:r>
          </w:p>
        </w:tc>
        <w:tc>
          <w:tcPr>
            <w:tcW w:w="975"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48"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五、AV系统辅助配件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设备机柜</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时序电源</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TDP-1040i</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桌面集成桌插</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TBUS-10XL</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G音频连接线</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T-G1.8</w:t>
            </w:r>
          </w:p>
        </w:tc>
        <w:tc>
          <w:tcPr>
            <w:tcW w:w="975" w:type="dxa"/>
            <w:shd w:val="clear" w:color="auto" w:fill="FFFFFF"/>
            <w:vAlign w:val="center"/>
          </w:tcPr>
          <w:p>
            <w:pPr>
              <w:widowControl/>
              <w:jc w:val="center"/>
              <w:textAlignment w:val="center"/>
              <w:rPr>
                <w:rFonts w:hAnsi="宋体" w:cs="宋体"/>
                <w:szCs w:val="21"/>
              </w:rPr>
            </w:pPr>
            <w:r>
              <w:rPr>
                <w:rFonts w:hint="eastAsia" w:ascii="宋体" w:hAnsi="宋体" w:eastAsia="宋体" w:cs="宋体"/>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F音频连接线</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T-F1.8</w:t>
            </w:r>
          </w:p>
        </w:tc>
        <w:tc>
          <w:tcPr>
            <w:tcW w:w="975" w:type="dxa"/>
            <w:shd w:val="clear" w:color="auto" w:fill="FFFFFF"/>
            <w:vAlign w:val="center"/>
          </w:tcPr>
          <w:p>
            <w:pPr>
              <w:widowControl/>
              <w:jc w:val="center"/>
              <w:textAlignment w:val="center"/>
              <w:rPr>
                <w:rFonts w:hAnsi="宋体" w:cs="宋体"/>
                <w:szCs w:val="21"/>
              </w:rPr>
            </w:pPr>
            <w:r>
              <w:rPr>
                <w:rFonts w:hint="eastAsia" w:ascii="宋体" w:hAnsi="宋体" w:eastAsia="宋体" w:cs="宋体"/>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K音频连接线</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T-K5</w:t>
            </w:r>
          </w:p>
        </w:tc>
        <w:tc>
          <w:tcPr>
            <w:tcW w:w="975" w:type="dxa"/>
            <w:shd w:val="clear" w:color="auto" w:fill="FFFFFF"/>
            <w:vAlign w:val="center"/>
          </w:tcPr>
          <w:p>
            <w:pPr>
              <w:widowControl/>
              <w:jc w:val="center"/>
              <w:textAlignment w:val="center"/>
              <w:rPr>
                <w:rFonts w:hAnsi="宋体" w:cs="宋体"/>
                <w:szCs w:val="21"/>
              </w:rPr>
            </w:pPr>
            <w:r>
              <w:rPr>
                <w:rFonts w:hint="eastAsia" w:ascii="宋体" w:hAnsi="宋体" w:eastAsia="宋体" w:cs="宋体"/>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P音频连接线</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T-P5</w:t>
            </w:r>
          </w:p>
        </w:tc>
        <w:tc>
          <w:tcPr>
            <w:tcW w:w="975" w:type="dxa"/>
            <w:shd w:val="clear" w:color="auto" w:fill="FFFFFF"/>
            <w:vAlign w:val="center"/>
          </w:tcPr>
          <w:p>
            <w:pPr>
              <w:widowControl/>
              <w:jc w:val="center"/>
              <w:textAlignment w:val="center"/>
              <w:rPr>
                <w:rFonts w:hAnsi="宋体" w:cs="宋体"/>
                <w:szCs w:val="21"/>
              </w:rPr>
            </w:pPr>
            <w:r>
              <w:rPr>
                <w:rFonts w:hint="eastAsia" w:ascii="宋体" w:hAnsi="宋体" w:eastAsia="宋体" w:cs="宋体"/>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8</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屏蔽千兆网线</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箱</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9</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屏蔽配线架 24口</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10</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屏蔽模块 RJ45 白色</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屏蔽跳线 RJ45~RJ45 3米</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86型RJ45配套面板 白色</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13</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1U金属理线器</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14</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200芯 无氧铜专业音箱线</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米</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15</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HDMI 3米线材 V2.0版本高清</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C-HM/HM</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16</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HDMI 15米线材 V2.0版本高清</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C-HM/HM</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17</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D型信号配线架 16口 1U</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18</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D型86面板</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19</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 SpeakON 插座</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20</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 HDMI插座</w:t>
            </w:r>
          </w:p>
        </w:tc>
        <w:tc>
          <w:tcPr>
            <w:tcW w:w="2685" w:type="dxa"/>
            <w:shd w:val="clear" w:color="auto" w:fill="FFFFFF"/>
            <w:noWrap/>
            <w:vAlign w:val="center"/>
          </w:tcPr>
          <w:p>
            <w:pPr>
              <w:jc w:val="center"/>
              <w:rPr>
                <w:rFonts w:ascii="DengXian" w:hAnsi="DengXian" w:cs="宋体"/>
                <w:szCs w:val="21"/>
              </w:rPr>
            </w:pP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948"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六、不间断电源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20KVA UPS主机（消控室用）</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HPH20K</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1小时后备延时 12V-65AH</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12V-100AH</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节</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电池柜</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定制</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电池连接线</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BV-4mm²</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批</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UPS输入输出电缆</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ZR-YJV-4*10mm²</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米</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948"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七、人面识别门禁系统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人面识别主机 8000人面识别库 一体机</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D3</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28"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55"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电源模块</w:t>
            </w:r>
          </w:p>
        </w:tc>
        <w:tc>
          <w:tcPr>
            <w:tcW w:w="268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DS-2F</w:t>
            </w:r>
          </w:p>
        </w:tc>
        <w:tc>
          <w:tcPr>
            <w:tcW w:w="975"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节</w:t>
            </w:r>
          </w:p>
        </w:tc>
        <w:tc>
          <w:tcPr>
            <w:tcW w:w="705" w:type="dxa"/>
            <w:shd w:val="clear" w:color="auto" w:fill="FFFFFF"/>
            <w:noWrap/>
            <w:vAlign w:val="bottom"/>
          </w:tcPr>
          <w:p>
            <w:pPr>
              <w:widowControl/>
              <w:jc w:val="center"/>
              <w:textAlignment w:val="bottom"/>
              <w:rPr>
                <w:rFonts w:ascii="DengXian" w:hAnsi="DengXian" w:cs="宋体"/>
                <w:szCs w:val="21"/>
              </w:rPr>
            </w:pPr>
            <w:r>
              <w:rPr>
                <w:rFonts w:ascii="DengXian" w:hAnsi="DengXian" w:eastAsia="DengXian" w:cs="DengXian"/>
                <w:kern w:val="0"/>
                <w:szCs w:val="21"/>
                <w:lang w:bidi="ar"/>
              </w:rPr>
              <w:t>4</w:t>
            </w:r>
          </w:p>
        </w:tc>
      </w:tr>
    </w:tbl>
    <w:p>
      <w:pPr>
        <w:adjustRightInd w:val="0"/>
        <w:snapToGrid w:val="0"/>
        <w:spacing w:line="450" w:lineRule="exact"/>
        <w:ind w:firstLine="723" w:firstLineChars="200"/>
        <w:jc w:val="center"/>
        <w:rPr>
          <w:b/>
          <w:sz w:val="36"/>
          <w:szCs w:val="36"/>
        </w:rPr>
      </w:pPr>
      <w:r>
        <w:rPr>
          <w:rFonts w:hint="eastAsia"/>
          <w:b/>
          <w:sz w:val="36"/>
          <w:szCs w:val="36"/>
        </w:rPr>
        <w:t>多功能会议厅采购清单</w:t>
      </w:r>
    </w:p>
    <w:tbl>
      <w:tblPr>
        <w:tblStyle w:val="26"/>
        <w:tblW w:w="896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3548"/>
        <w:gridCol w:w="2673"/>
        <w:gridCol w:w="100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序号</w:t>
            </w:r>
          </w:p>
        </w:tc>
        <w:tc>
          <w:tcPr>
            <w:tcW w:w="3586"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产品名称</w:t>
            </w:r>
          </w:p>
        </w:tc>
        <w:tc>
          <w:tcPr>
            <w:tcW w:w="2611"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规格型号</w:t>
            </w:r>
          </w:p>
        </w:tc>
        <w:tc>
          <w:tcPr>
            <w:tcW w:w="1010"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单位</w:t>
            </w:r>
          </w:p>
        </w:tc>
        <w:tc>
          <w:tcPr>
            <w:tcW w:w="734" w:type="dxa"/>
            <w:shd w:val="clear" w:color="auto" w:fill="FFFFFF"/>
            <w:noWrap/>
            <w:vAlign w:val="center"/>
          </w:tcPr>
          <w:p>
            <w:pPr>
              <w:widowControl/>
              <w:spacing w:line="400" w:lineRule="exact"/>
              <w:jc w:val="center"/>
              <w:rPr>
                <w:rFonts w:hAnsi="宋体" w:cs="宋体"/>
                <w:szCs w:val="21"/>
              </w:rPr>
            </w:pPr>
            <w:r>
              <w:rPr>
                <w:rFonts w:hint="eastAsia"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7"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一、大屏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1</w:t>
            </w:r>
          </w:p>
        </w:tc>
        <w:tc>
          <w:tcPr>
            <w:tcW w:w="3586" w:type="dxa"/>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全彩色LED显示屏，4.80m× 2.1m</w:t>
            </w:r>
          </w:p>
        </w:tc>
        <w:tc>
          <w:tcPr>
            <w:tcW w:w="2611"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p1.6</w:t>
            </w:r>
          </w:p>
        </w:tc>
        <w:tc>
          <w:tcPr>
            <w:tcW w:w="1010"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2</w:t>
            </w:r>
          </w:p>
        </w:tc>
        <w:tc>
          <w:tcPr>
            <w:tcW w:w="3586" w:type="dxa"/>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屏幕控制电脑，带HDMI一体机</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3</w:t>
            </w:r>
          </w:p>
        </w:tc>
        <w:tc>
          <w:tcPr>
            <w:tcW w:w="3586" w:type="dxa"/>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控制系统</w:t>
            </w:r>
          </w:p>
        </w:tc>
        <w:tc>
          <w:tcPr>
            <w:tcW w:w="2611" w:type="dxa"/>
            <w:shd w:val="clear" w:color="auto" w:fill="FFFFFF"/>
            <w:noWrap/>
            <w:vAlign w:val="center"/>
          </w:tcPr>
          <w:p>
            <w:pPr>
              <w:widowControl/>
              <w:jc w:val="center"/>
              <w:textAlignment w:val="center"/>
              <w:rPr>
                <w:rFonts w:ascii="DengXian" w:hAnsi="DengXian" w:cs="宋体"/>
                <w:szCs w:val="21"/>
              </w:rPr>
            </w:pPr>
            <w:r>
              <w:rPr>
                <w:rFonts w:ascii="Times New Roman" w:hAnsi="Times New Roman" w:eastAsia="DengXian" w:cs="Times New Roman"/>
                <w:kern w:val="0"/>
                <w:szCs w:val="21"/>
                <w:lang w:bidi="ar"/>
              </w:rPr>
              <w:t>KING 600</w:t>
            </w:r>
          </w:p>
        </w:tc>
        <w:tc>
          <w:tcPr>
            <w:tcW w:w="1010"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4</w:t>
            </w:r>
          </w:p>
        </w:tc>
        <w:tc>
          <w:tcPr>
            <w:tcW w:w="3586" w:type="dxa"/>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信号线</w:t>
            </w:r>
          </w:p>
        </w:tc>
        <w:tc>
          <w:tcPr>
            <w:tcW w:w="2611" w:type="dxa"/>
            <w:shd w:val="clear" w:color="auto" w:fill="FFFFFF"/>
            <w:noWrap/>
            <w:vAlign w:val="center"/>
          </w:tcPr>
          <w:p>
            <w:pPr>
              <w:widowControl/>
              <w:jc w:val="center"/>
              <w:textAlignment w:val="center"/>
              <w:rPr>
                <w:rFonts w:ascii="DengXian" w:hAnsi="DengXian" w:cs="宋体"/>
                <w:szCs w:val="21"/>
              </w:rPr>
            </w:pPr>
            <w:r>
              <w:rPr>
                <w:rFonts w:ascii="Times New Roman" w:hAnsi="Times New Roman" w:eastAsia="DengXian" w:cs="Times New Roman"/>
                <w:kern w:val="0"/>
                <w:szCs w:val="21"/>
                <w:lang w:bidi="ar"/>
              </w:rPr>
              <w:t xml:space="preserve">  RJ45</w:t>
            </w:r>
          </w:p>
        </w:tc>
        <w:tc>
          <w:tcPr>
            <w:tcW w:w="1010"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根</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5</w:t>
            </w:r>
          </w:p>
        </w:tc>
        <w:tc>
          <w:tcPr>
            <w:tcW w:w="3586" w:type="dxa"/>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电源线</w:t>
            </w:r>
          </w:p>
        </w:tc>
        <w:tc>
          <w:tcPr>
            <w:tcW w:w="2611" w:type="dxa"/>
            <w:shd w:val="clear" w:color="auto" w:fill="FFFFFF"/>
            <w:noWrap/>
            <w:vAlign w:val="center"/>
          </w:tcPr>
          <w:p>
            <w:pPr>
              <w:widowControl/>
              <w:jc w:val="center"/>
              <w:textAlignment w:val="center"/>
              <w:rPr>
                <w:rFonts w:ascii="DengXian" w:hAnsi="DengXian" w:cs="宋体"/>
                <w:szCs w:val="21"/>
              </w:rPr>
            </w:pPr>
            <w:r>
              <w:rPr>
                <w:rFonts w:ascii="Times New Roman" w:hAnsi="Times New Roman" w:eastAsia="DengXian" w:cs="Times New Roman"/>
                <w:kern w:val="0"/>
                <w:szCs w:val="21"/>
                <w:lang w:bidi="ar"/>
              </w:rPr>
              <w:t>4X10+1</w:t>
            </w:r>
          </w:p>
        </w:tc>
        <w:tc>
          <w:tcPr>
            <w:tcW w:w="1010"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米</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6</w:t>
            </w:r>
          </w:p>
        </w:tc>
        <w:tc>
          <w:tcPr>
            <w:tcW w:w="3586" w:type="dxa"/>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视频拼接器</w:t>
            </w:r>
          </w:p>
        </w:tc>
        <w:tc>
          <w:tcPr>
            <w:tcW w:w="2611" w:type="dxa"/>
            <w:shd w:val="clear" w:color="auto" w:fill="FFFFFF"/>
            <w:noWrap/>
            <w:vAlign w:val="center"/>
          </w:tcPr>
          <w:p>
            <w:pPr>
              <w:widowControl/>
              <w:jc w:val="center"/>
              <w:textAlignment w:val="center"/>
              <w:rPr>
                <w:rFonts w:ascii="DengXian" w:hAnsi="DengXian" w:cs="宋体"/>
                <w:szCs w:val="21"/>
              </w:rPr>
            </w:pPr>
            <w:r>
              <w:rPr>
                <w:rFonts w:ascii="Times New Roman" w:hAnsi="Times New Roman" w:eastAsia="DengXian" w:cs="Times New Roman"/>
                <w:kern w:val="0"/>
                <w:szCs w:val="21"/>
                <w:lang w:bidi="ar"/>
              </w:rPr>
              <w:t>4</w:t>
            </w:r>
            <w:r>
              <w:rPr>
                <w:rFonts w:hint="eastAsia" w:ascii="宋体" w:hAnsi="宋体" w:eastAsia="宋体" w:cs="宋体"/>
                <w:kern w:val="0"/>
                <w:szCs w:val="21"/>
                <w:lang w:bidi="ar"/>
              </w:rPr>
              <w:t>进</w:t>
            </w:r>
            <w:r>
              <w:rPr>
                <w:rFonts w:ascii="Times New Roman" w:hAnsi="Times New Roman" w:eastAsia="DengXian" w:cs="Times New Roman"/>
                <w:kern w:val="0"/>
                <w:szCs w:val="21"/>
                <w:lang w:bidi="ar"/>
              </w:rPr>
              <w:t>4</w:t>
            </w:r>
            <w:r>
              <w:rPr>
                <w:rFonts w:hint="eastAsia" w:ascii="宋体" w:hAnsi="宋体" w:eastAsia="宋体" w:cs="宋体"/>
                <w:kern w:val="0"/>
                <w:szCs w:val="21"/>
                <w:lang w:bidi="ar"/>
              </w:rPr>
              <w:t>出</w:t>
            </w:r>
          </w:p>
        </w:tc>
        <w:tc>
          <w:tcPr>
            <w:tcW w:w="1010"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7</w:t>
            </w:r>
          </w:p>
        </w:tc>
        <w:tc>
          <w:tcPr>
            <w:tcW w:w="3586" w:type="dxa"/>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配电柜</w:t>
            </w:r>
          </w:p>
        </w:tc>
        <w:tc>
          <w:tcPr>
            <w:tcW w:w="2611" w:type="dxa"/>
            <w:shd w:val="clear" w:color="auto" w:fill="FFFFFF"/>
            <w:noWrap/>
            <w:vAlign w:val="center"/>
          </w:tcPr>
          <w:p>
            <w:pPr>
              <w:widowControl/>
              <w:jc w:val="center"/>
              <w:textAlignment w:val="center"/>
              <w:rPr>
                <w:rFonts w:ascii="DengXian" w:hAnsi="DengXian" w:cs="宋体"/>
                <w:szCs w:val="21"/>
              </w:rPr>
            </w:pPr>
            <w:r>
              <w:rPr>
                <w:rFonts w:ascii="Times New Roman" w:hAnsi="Times New Roman" w:eastAsia="DengXian" w:cs="Times New Roman"/>
                <w:kern w:val="0"/>
                <w:szCs w:val="21"/>
                <w:lang w:bidi="ar"/>
              </w:rPr>
              <w:t>20KW</w:t>
            </w:r>
          </w:p>
        </w:tc>
        <w:tc>
          <w:tcPr>
            <w:tcW w:w="1010"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7"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二、音频录播扩声系统（本地/远程）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专业功放</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TS-350PI</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录音器</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TS-PI</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专业音箱（含支架BY-01B）</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TS-608</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专业音箱（含支架BY-01B）</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TS-608A</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调音台</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TS-12P-2S</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抑制器</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TS-224</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音频处理器</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TS-P880</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无线话筒</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T-521UH</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7"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三、视频（录转播）会议系统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TE40视频会议终端</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TE40</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bottom"/>
          </w:tcPr>
          <w:p>
            <w:pPr>
              <w:widowControl/>
              <w:spacing w:line="400" w:lineRule="exact"/>
              <w:jc w:val="center"/>
              <w:rPr>
                <w:rFonts w:ascii="DengXian" w:hAnsi="DengXian" w:cs="宋体"/>
                <w:szCs w:val="21"/>
              </w:rPr>
            </w:pPr>
            <w:r>
              <w:rPr>
                <w:rFonts w:ascii="DengXian" w:hAnsi="DengXian"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高清摄像头</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AW-HE58HWMC</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bottom"/>
          </w:tcPr>
          <w:p>
            <w:pPr>
              <w:widowControl/>
              <w:spacing w:line="400" w:lineRule="exact"/>
              <w:jc w:val="center"/>
              <w:rPr>
                <w:rFonts w:ascii="DengXian" w:hAnsi="DengXian" w:cs="宋体"/>
                <w:szCs w:val="21"/>
              </w:rPr>
            </w:pPr>
            <w:r>
              <w:rPr>
                <w:rFonts w:ascii="DengXian" w:hAnsi="DengXian" w:cs="宋体"/>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控制键盘</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AW-RP50MC</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34" w:type="dxa"/>
            <w:shd w:val="clear" w:color="auto" w:fill="FFFFFF"/>
            <w:noWrap/>
            <w:vAlign w:val="bottom"/>
          </w:tcPr>
          <w:p>
            <w:pPr>
              <w:widowControl/>
              <w:spacing w:line="400" w:lineRule="exact"/>
              <w:jc w:val="center"/>
              <w:rPr>
                <w:rFonts w:ascii="DengXian" w:hAnsi="DengXian" w:cs="宋体"/>
                <w:szCs w:val="21"/>
              </w:rPr>
            </w:pPr>
            <w:r>
              <w:rPr>
                <w:rFonts w:ascii="DengXian" w:hAnsi="DengXian" w:cs="宋体"/>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7"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四、信号处理及中控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分布式综合管理平台</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AVTRONSYS/E-Cluster</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2</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可视化系统软件</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AVTRONSYS/VSWITCH</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3</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分布式输入节点</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AVTRONSYS/X-INPUT</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4</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分布式输出节点</w:t>
            </w:r>
          </w:p>
        </w:tc>
        <w:tc>
          <w:tcPr>
            <w:tcW w:w="2611" w:type="dxa"/>
            <w:shd w:val="clear" w:color="auto" w:fill="FFFFFF"/>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AVTRONSYS/X-OUTPUT</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5</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网络中控</w:t>
            </w:r>
          </w:p>
        </w:tc>
        <w:tc>
          <w:tcPr>
            <w:tcW w:w="2611" w:type="dxa"/>
            <w:shd w:val="clear" w:color="auto" w:fill="FFFFFF"/>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AVTRONSYS/MCS2</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6</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分布式中控系统逻辑处理内嵌软件</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AVTRONSYS/VLD2</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7</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控制器</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AVTRONSYS/PCI-8</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8</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音量控制器</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AVTRONSYS/VC-4</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9</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10英寸彩色触摸屏</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AVMP-10MV</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10</w:t>
            </w:r>
          </w:p>
        </w:tc>
        <w:tc>
          <w:tcPr>
            <w:tcW w:w="3586" w:type="dxa"/>
            <w:shd w:val="clear" w:color="auto" w:fill="FFFFFF"/>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支架</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AVTRONSYS/AVTT</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套</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hint="eastAsia" w:ascii="DengXian" w:hAnsi="DengXian" w:eastAsia="DengXian" w:cs="DengXian"/>
                <w:kern w:val="0"/>
                <w:szCs w:val="21"/>
                <w:lang w:bidi="ar"/>
              </w:rPr>
              <w:t>11</w:t>
            </w:r>
          </w:p>
        </w:tc>
        <w:tc>
          <w:tcPr>
            <w:tcW w:w="3586" w:type="dxa"/>
            <w:shd w:val="clear" w:color="auto" w:fill="FFFFFF"/>
            <w:vAlign w:val="center"/>
          </w:tcPr>
          <w:p>
            <w:pPr>
              <w:widowControl/>
              <w:jc w:val="left"/>
              <w:textAlignment w:val="center"/>
              <w:rPr>
                <w:rFonts w:ascii="DengXian" w:hAnsi="DengXian" w:eastAsia="DengXian" w:cs="DengXian"/>
                <w:kern w:val="0"/>
                <w:szCs w:val="21"/>
                <w:lang w:bidi="ar"/>
              </w:rPr>
            </w:pPr>
            <w:r>
              <w:rPr>
                <w:rFonts w:ascii="DengXian" w:hAnsi="DengXian" w:eastAsia="DengXian" w:cs="DengXian"/>
                <w:kern w:val="0"/>
                <w:szCs w:val="21"/>
                <w:lang w:bidi="ar"/>
              </w:rPr>
              <w:t>平板  8.4英寸平板电脑</w:t>
            </w:r>
          </w:p>
        </w:tc>
        <w:tc>
          <w:tcPr>
            <w:tcW w:w="2611"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M5</w:t>
            </w:r>
          </w:p>
        </w:tc>
        <w:tc>
          <w:tcPr>
            <w:tcW w:w="1010"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hint="eastAsia" w:ascii="DengXian" w:hAnsi="DengXian" w:eastAsia="DengXian" w:cs="DengXian"/>
                <w:kern w:val="0"/>
                <w:szCs w:val="21"/>
                <w:lang w:bidi="ar"/>
              </w:rPr>
              <w:t>12</w:t>
            </w:r>
          </w:p>
        </w:tc>
        <w:tc>
          <w:tcPr>
            <w:tcW w:w="3586" w:type="dxa"/>
            <w:shd w:val="clear" w:color="auto" w:fill="FFFFFF"/>
            <w:vAlign w:val="center"/>
          </w:tcPr>
          <w:p>
            <w:pPr>
              <w:widowControl/>
              <w:jc w:val="left"/>
              <w:textAlignment w:val="center"/>
              <w:rPr>
                <w:rFonts w:ascii="DengXian" w:hAnsi="DengXian" w:eastAsia="DengXian" w:cs="DengXian"/>
                <w:kern w:val="0"/>
                <w:szCs w:val="21"/>
                <w:lang w:bidi="ar"/>
              </w:rPr>
            </w:pPr>
            <w:r>
              <w:rPr>
                <w:rFonts w:ascii="DengXian" w:hAnsi="DengXian" w:eastAsia="DengXian" w:cs="DengXian"/>
                <w:kern w:val="0"/>
                <w:szCs w:val="21"/>
                <w:lang w:bidi="ar"/>
              </w:rPr>
              <w:t>无线接入点AP</w:t>
            </w:r>
          </w:p>
        </w:tc>
        <w:tc>
          <w:tcPr>
            <w:tcW w:w="2611"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TP-LINK-HDAP1800C-POE</w:t>
            </w:r>
          </w:p>
        </w:tc>
        <w:tc>
          <w:tcPr>
            <w:tcW w:w="1010"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hint="eastAsia" w:ascii="DengXian" w:hAnsi="DengXian" w:eastAsia="DengXian" w:cs="DengXian"/>
                <w:kern w:val="0"/>
                <w:szCs w:val="21"/>
                <w:lang w:bidi="ar"/>
              </w:rPr>
              <w:t>13</w:t>
            </w:r>
          </w:p>
        </w:tc>
        <w:tc>
          <w:tcPr>
            <w:tcW w:w="3586" w:type="dxa"/>
            <w:shd w:val="clear" w:color="auto" w:fill="FFFFFF"/>
            <w:vAlign w:val="center"/>
          </w:tcPr>
          <w:p>
            <w:pPr>
              <w:widowControl/>
              <w:jc w:val="left"/>
              <w:textAlignment w:val="center"/>
              <w:rPr>
                <w:rFonts w:ascii="DengXian" w:hAnsi="DengXian" w:eastAsia="DengXian" w:cs="DengXian"/>
                <w:kern w:val="0"/>
                <w:szCs w:val="21"/>
                <w:lang w:bidi="ar"/>
              </w:rPr>
            </w:pPr>
            <w:r>
              <w:rPr>
                <w:rFonts w:ascii="DengXian" w:hAnsi="DengXian" w:eastAsia="DengXian" w:cs="DengXian"/>
                <w:kern w:val="0"/>
                <w:szCs w:val="21"/>
                <w:lang w:bidi="ar"/>
              </w:rPr>
              <w:t>48口全千兆PoE网络交换机 4个万兆光口</w:t>
            </w:r>
          </w:p>
        </w:tc>
        <w:tc>
          <w:tcPr>
            <w:tcW w:w="2611"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S5130-54C-PWR-HI</w:t>
            </w:r>
          </w:p>
        </w:tc>
        <w:tc>
          <w:tcPr>
            <w:tcW w:w="1010" w:type="dxa"/>
            <w:shd w:val="clear" w:color="auto" w:fill="FFFFFF"/>
            <w:noWrap/>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967" w:type="dxa"/>
            <w:gridSpan w:val="5"/>
            <w:shd w:val="clear" w:color="auto" w:fill="FFFFFF"/>
            <w:noWrap/>
            <w:vAlign w:val="center"/>
          </w:tcPr>
          <w:p>
            <w:pPr>
              <w:widowControl/>
              <w:spacing w:line="400" w:lineRule="exact"/>
              <w:jc w:val="left"/>
              <w:rPr>
                <w:rFonts w:hAnsi="宋体" w:cs="宋体"/>
                <w:szCs w:val="21"/>
              </w:rPr>
            </w:pPr>
            <w:r>
              <w:rPr>
                <w:rFonts w:hint="eastAsia" w:hAnsi="宋体" w:cs="宋体"/>
                <w:szCs w:val="21"/>
              </w:rPr>
              <w:t>五、AV系统辅助配件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时序电源</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TDP-1040i</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2</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桌面集成桌插</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TBUS-10XL</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3</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G音频连接线</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T-G1.8</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根</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4</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F音频连接线</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T-F1.8</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根</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5</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K音频连接线</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T-K5</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根</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6</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P音频连接线</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T-P5</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根</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7</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屏蔽千兆网线</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箱</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8</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屏蔽配线架 24口</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9</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屏蔽模块 RJ45 白色</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10</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Cat.6 FTP 屏蔽跳线 RJ45~RJ45 3米</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11</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86型RJ45配套面板 白色</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12</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1U金属理线器</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13</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200芯 无氧铜专业音箱线</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米</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14</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HDMI 3米线材 V2.0版本高清</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C-HM/HM</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15</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HDMI 15米线材 V2.0版本高清</w:t>
            </w:r>
          </w:p>
        </w:tc>
        <w:tc>
          <w:tcPr>
            <w:tcW w:w="2611"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C-HM/HM</w:t>
            </w: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16</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D型信号配线架 16口 1U</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台</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17</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D型86面板</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条</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18</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 SpeakON 插座</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shd w:val="clear" w:color="auto" w:fill="FFFFFF"/>
            <w:noWrap/>
            <w:vAlign w:val="center"/>
          </w:tcPr>
          <w:p>
            <w:pPr>
              <w:widowControl/>
              <w:spacing w:line="400" w:lineRule="exact"/>
              <w:jc w:val="center"/>
              <w:rPr>
                <w:rFonts w:ascii="DengXian" w:hAnsi="DengXian" w:cs="宋体"/>
                <w:szCs w:val="21"/>
              </w:rPr>
            </w:pPr>
            <w:r>
              <w:rPr>
                <w:rFonts w:ascii="DengXian" w:hAnsi="DengXian" w:cs="宋体"/>
                <w:szCs w:val="21"/>
              </w:rPr>
              <w:t>19</w:t>
            </w:r>
          </w:p>
        </w:tc>
        <w:tc>
          <w:tcPr>
            <w:tcW w:w="3586" w:type="dxa"/>
            <w:shd w:val="clear" w:color="auto" w:fill="FFFFFF"/>
            <w:noWrap/>
            <w:vAlign w:val="center"/>
          </w:tcPr>
          <w:p>
            <w:pPr>
              <w:widowControl/>
              <w:jc w:val="left"/>
              <w:textAlignment w:val="center"/>
              <w:rPr>
                <w:rFonts w:ascii="DengXian" w:hAnsi="DengXian" w:cs="宋体"/>
                <w:szCs w:val="21"/>
              </w:rPr>
            </w:pPr>
            <w:r>
              <w:rPr>
                <w:rFonts w:ascii="DengXian" w:hAnsi="DengXian" w:eastAsia="DengXian" w:cs="DengXian"/>
                <w:kern w:val="0"/>
                <w:szCs w:val="21"/>
                <w:lang w:bidi="ar"/>
              </w:rPr>
              <w:t>D型 HDMI插座</w:t>
            </w:r>
          </w:p>
        </w:tc>
        <w:tc>
          <w:tcPr>
            <w:tcW w:w="2611" w:type="dxa"/>
            <w:shd w:val="clear" w:color="auto" w:fill="FFFFFF"/>
            <w:noWrap/>
            <w:vAlign w:val="center"/>
          </w:tcPr>
          <w:p>
            <w:pPr>
              <w:jc w:val="center"/>
              <w:rPr>
                <w:rFonts w:ascii="DengXian" w:hAnsi="DengXian" w:cs="宋体"/>
                <w:szCs w:val="21"/>
              </w:rPr>
            </w:pPr>
          </w:p>
        </w:tc>
        <w:tc>
          <w:tcPr>
            <w:tcW w:w="1010"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个</w:t>
            </w:r>
          </w:p>
        </w:tc>
        <w:tc>
          <w:tcPr>
            <w:tcW w:w="734" w:type="dxa"/>
            <w:shd w:val="clear" w:color="auto" w:fill="FFFFFF"/>
            <w:noWrap/>
            <w:vAlign w:val="center"/>
          </w:tcPr>
          <w:p>
            <w:pPr>
              <w:widowControl/>
              <w:jc w:val="center"/>
              <w:textAlignment w:val="center"/>
              <w:rPr>
                <w:rFonts w:ascii="DengXian" w:hAnsi="DengXian" w:cs="宋体"/>
                <w:szCs w:val="21"/>
              </w:rPr>
            </w:pPr>
            <w:r>
              <w:rPr>
                <w:rFonts w:ascii="DengXian" w:hAnsi="DengXian" w:eastAsia="DengXian" w:cs="DengXian"/>
                <w:kern w:val="0"/>
                <w:szCs w:val="21"/>
                <w:lang w:bidi="ar"/>
              </w:rPr>
              <w:t xml:space="preserve">6 </w:t>
            </w:r>
          </w:p>
        </w:tc>
      </w:tr>
    </w:tbl>
    <w:p>
      <w:pPr>
        <w:adjustRightInd w:val="0"/>
        <w:snapToGrid w:val="0"/>
        <w:spacing w:line="450" w:lineRule="exact"/>
        <w:ind w:firstLine="723" w:firstLineChars="200"/>
        <w:jc w:val="center"/>
        <w:rPr>
          <w:b/>
          <w:sz w:val="36"/>
          <w:szCs w:val="36"/>
        </w:rPr>
      </w:pPr>
      <w:r>
        <w:rPr>
          <w:rFonts w:hint="eastAsia"/>
          <w:b/>
          <w:sz w:val="36"/>
          <w:szCs w:val="36"/>
        </w:rPr>
        <w:t>大数据采购清单</w:t>
      </w:r>
    </w:p>
    <w:tbl>
      <w:tblPr>
        <w:tblStyle w:val="26"/>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4"/>
        <w:gridCol w:w="791"/>
        <w:gridCol w:w="58"/>
        <w:gridCol w:w="8"/>
        <w:gridCol w:w="1554"/>
        <w:gridCol w:w="4592"/>
        <w:gridCol w:w="703"/>
        <w:gridCol w:w="164"/>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948" w:type="dxa"/>
            <w:gridSpan w:val="9"/>
            <w:shd w:val="clear" w:color="auto" w:fill="auto"/>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大数据-机房设备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shd w:val="clear" w:color="auto" w:fill="auto"/>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序号</w:t>
            </w:r>
          </w:p>
        </w:tc>
        <w:tc>
          <w:tcPr>
            <w:tcW w:w="791" w:type="dxa"/>
            <w:shd w:val="clear" w:color="auto" w:fill="auto"/>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类型</w:t>
            </w:r>
          </w:p>
        </w:tc>
        <w:tc>
          <w:tcPr>
            <w:tcW w:w="1618" w:type="dxa"/>
            <w:gridSpan w:val="3"/>
            <w:shd w:val="clear" w:color="auto" w:fill="auto"/>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指标项</w:t>
            </w:r>
          </w:p>
        </w:tc>
        <w:tc>
          <w:tcPr>
            <w:tcW w:w="4592" w:type="dxa"/>
            <w:shd w:val="clear" w:color="auto" w:fill="auto"/>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指标要求</w:t>
            </w:r>
          </w:p>
        </w:tc>
        <w:tc>
          <w:tcPr>
            <w:tcW w:w="867" w:type="dxa"/>
            <w:gridSpan w:val="2"/>
            <w:shd w:val="clear" w:color="auto" w:fill="auto"/>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单位</w:t>
            </w:r>
          </w:p>
        </w:tc>
        <w:tc>
          <w:tcPr>
            <w:tcW w:w="646" w:type="dxa"/>
            <w:shd w:val="clear" w:color="auto" w:fill="auto"/>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hint="eastAsia" w:ascii="DengXian" w:hAnsi="DengXian" w:eastAsia="DengXian" w:cs="DengXian"/>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restart"/>
            <w:shd w:val="clear" w:color="auto" w:fill="FFFFFF"/>
            <w:tcMar>
              <w:top w:w="15" w:type="dxa"/>
              <w:left w:w="15" w:type="dxa"/>
              <w:right w:w="15" w:type="dxa"/>
            </w:tcMar>
            <w:vAlign w:val="center"/>
          </w:tcPr>
          <w:p>
            <w:pPr>
              <w:widowControl/>
              <w:jc w:val="left"/>
              <w:textAlignment w:val="center"/>
              <w:rPr>
                <w:rFonts w:ascii="DengXian" w:hAnsi="DengXian" w:eastAsia="DengXian" w:cs="DengXian"/>
                <w:szCs w:val="21"/>
              </w:rPr>
            </w:pPr>
            <w:r>
              <w:rPr>
                <w:rFonts w:ascii="DengXian" w:hAnsi="DengXian" w:eastAsia="DengXian" w:cs="DengXian"/>
                <w:kern w:val="0"/>
                <w:szCs w:val="21"/>
                <w:lang w:bidi="ar"/>
              </w:rPr>
              <w:t>1</w:t>
            </w:r>
          </w:p>
        </w:tc>
        <w:tc>
          <w:tcPr>
            <w:tcW w:w="791" w:type="dxa"/>
            <w:vMerge w:val="restart"/>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核心交换机</w:t>
            </w: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硬件规格</w:t>
            </w:r>
          </w:p>
        </w:tc>
        <w:tc>
          <w:tcPr>
            <w:tcW w:w="4592" w:type="dxa"/>
            <w:shd w:val="clear" w:color="auto" w:fill="FFFFFF"/>
            <w:tcMar>
              <w:top w:w="15" w:type="dxa"/>
              <w:left w:w="15" w:type="dxa"/>
              <w:right w:w="15" w:type="dxa"/>
            </w:tcMar>
          </w:tcPr>
          <w:p>
            <w:pPr>
              <w:widowControl/>
              <w:jc w:val="left"/>
              <w:textAlignment w:val="top"/>
              <w:rPr>
                <w:rFonts w:ascii="DengXian" w:hAnsi="DengXian" w:eastAsia="DengXian" w:cs="DengXian"/>
                <w:szCs w:val="21"/>
              </w:rPr>
            </w:pPr>
            <w:r>
              <w:rPr>
                <w:rFonts w:ascii="DengXian" w:hAnsi="DengXian" w:eastAsia="DengXian" w:cs="DengXian"/>
                <w:kern w:val="0"/>
                <w:szCs w:val="21"/>
                <w:lang w:bidi="ar"/>
              </w:rPr>
              <w:t>为保证设备后续性能的可扩展性并提高设备的稳定性，投标产品的硬件架构需要交换网板与线卡成垂直90°正交连接。</w:t>
            </w:r>
            <w:r>
              <w:rPr>
                <w:rFonts w:ascii="DengXian" w:hAnsi="DengXian" w:eastAsia="DengXian" w:cs="DengXian"/>
                <w:kern w:val="0"/>
                <w:szCs w:val="21"/>
                <w:lang w:bidi="ar"/>
              </w:rPr>
              <w:br w:type="textWrapping"/>
            </w:r>
            <w:r>
              <w:rPr>
                <w:rFonts w:ascii="DengXian" w:hAnsi="DengXian" w:eastAsia="DengXian" w:cs="DengXian"/>
                <w:kern w:val="0"/>
                <w:szCs w:val="21"/>
                <w:lang w:bidi="ar"/>
              </w:rPr>
              <w:t>★采用CLOS交换架构，交换网板有独立插槽且与主控引擎、业务板硬件分离，业务板槽位采用竖插槽方式设计，便于通风；需提供产品清晰正、背面实物照片各1张以展示各插槽分布，加盖原厂投标专用章或公章。</w:t>
            </w:r>
            <w:r>
              <w:rPr>
                <w:rFonts w:ascii="DengXian" w:hAnsi="DengXian" w:eastAsia="DengXian" w:cs="DengXian"/>
                <w:kern w:val="0"/>
                <w:szCs w:val="21"/>
                <w:lang w:bidi="ar"/>
              </w:rPr>
              <w:br w:type="textWrapping"/>
            </w:r>
            <w:r>
              <w:rPr>
                <w:rFonts w:ascii="DengXian" w:hAnsi="DengXian" w:eastAsia="DengXian" w:cs="DengXian"/>
                <w:kern w:val="0"/>
                <w:szCs w:val="21"/>
                <w:lang w:bidi="ar"/>
              </w:rPr>
              <w:t>独立主控引擎插槽≥2个，独立业务插槽≥10个，独立交换网板插槽≥4个，主控引擎故障情况下，不能影响整机转发能力。</w:t>
            </w:r>
          </w:p>
        </w:tc>
        <w:tc>
          <w:tcPr>
            <w:tcW w:w="867" w:type="dxa"/>
            <w:gridSpan w:val="2"/>
            <w:vMerge w:val="restart"/>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台</w:t>
            </w:r>
          </w:p>
        </w:tc>
        <w:tc>
          <w:tcPr>
            <w:tcW w:w="646" w:type="dxa"/>
            <w:vMerge w:val="restart"/>
            <w:shd w:val="clear" w:color="auto" w:fill="FFFFFF"/>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性能参数</w:t>
            </w:r>
          </w:p>
        </w:tc>
        <w:tc>
          <w:tcPr>
            <w:tcW w:w="4592" w:type="dxa"/>
            <w:shd w:val="clear" w:color="auto" w:fill="FFFFFF"/>
            <w:tcMar>
              <w:top w:w="15" w:type="dxa"/>
              <w:left w:w="15" w:type="dxa"/>
              <w:right w:w="15" w:type="dxa"/>
            </w:tcMar>
          </w:tcPr>
          <w:p>
            <w:pPr>
              <w:widowControl/>
              <w:jc w:val="left"/>
              <w:textAlignment w:val="top"/>
              <w:rPr>
                <w:rFonts w:ascii="DengXian" w:hAnsi="DengXian" w:eastAsia="DengXian" w:cs="DengXian"/>
                <w:szCs w:val="21"/>
              </w:rPr>
            </w:pPr>
            <w:r>
              <w:rPr>
                <w:rFonts w:ascii="DengXian" w:hAnsi="DengXian" w:eastAsia="DengXian" w:cs="DengXian"/>
                <w:kern w:val="0"/>
                <w:szCs w:val="21"/>
                <w:lang w:bidi="ar"/>
              </w:rPr>
              <w:t>交换容量≥500Tbps，包转发性能≥120,000Mpps                                                        单跳报文最小转发时延＜1μs，整机MAC地址表项≥512K，整机IPV4路由表项≥512K</w:t>
            </w:r>
          </w:p>
        </w:tc>
        <w:tc>
          <w:tcPr>
            <w:tcW w:w="867" w:type="dxa"/>
            <w:gridSpan w:val="2"/>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数据中心功能</w:t>
            </w:r>
          </w:p>
        </w:tc>
        <w:tc>
          <w:tcPr>
            <w:tcW w:w="4592" w:type="dxa"/>
            <w:shd w:val="clear" w:color="auto" w:fill="FFFFFF"/>
            <w:tcMar>
              <w:top w:w="15" w:type="dxa"/>
              <w:left w:w="15" w:type="dxa"/>
              <w:right w:w="15" w:type="dxa"/>
            </w:tcMar>
          </w:tcPr>
          <w:p>
            <w:pPr>
              <w:widowControl/>
              <w:jc w:val="left"/>
              <w:textAlignment w:val="top"/>
              <w:rPr>
                <w:rFonts w:ascii="DengXian" w:hAnsi="DengXian" w:eastAsia="DengXian" w:cs="DengXian"/>
                <w:szCs w:val="21"/>
              </w:rPr>
            </w:pPr>
            <w:r>
              <w:rPr>
                <w:rFonts w:ascii="DengXian" w:hAnsi="DengXian" w:eastAsia="DengXian" w:cs="DengXian"/>
                <w:kern w:val="0"/>
                <w:szCs w:val="21"/>
                <w:lang w:bidi="ar"/>
              </w:rPr>
              <w:t>N:1虚拟化：可将多台物理设备虚拟化为1台逻辑设备，虚拟组内设备具备统一的二层及三层转发表项，统一的管理界面，并可实现跨设备链路聚合。                                  为保障实际应用需求，要求支持≥1000终端每秒的802.1X认证报文处理速度，需提供权威第三方测试报告复印件，加盖厂商投标专用章或公章；                                       1：N虚拟化：可将一台物理设备最大虚拟化为8台逻辑设备，各虚拟交换机间具备独立的转发表项及配置界面，各虚拟交换机的配置/重启互不影响。且支持设备先“多虚一”再“一虚多”的功能联动，彻底实现资源池化                                                                  支持L2-GRE国际标准MAC in IP数据封装技术（或同类其他技术），可实现跨广域网数据中心间二层数据通信，扩大虚拟机漂移范围                                                         支持多对一镜像,基于流的镜像，一对多镜像。支持SPAN、RSPAN远程镜像，支持VLAN的镜像                                                                                                                 支持IPv6静态路由、RIPng、OSPF v3、BGP4+ 等路由协议、支持ICMP、ICMPv6、支持ND（neighbor discover）、手工配置（自动创建）本地地址、IPv6 Ping、IPv6 Tracert。支持手动隧道，自动隧道，ISATAP，IPv4 over IPv6。</w:t>
            </w:r>
          </w:p>
        </w:tc>
        <w:tc>
          <w:tcPr>
            <w:tcW w:w="867" w:type="dxa"/>
            <w:gridSpan w:val="2"/>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安全及可靠性</w:t>
            </w:r>
          </w:p>
        </w:tc>
        <w:tc>
          <w:tcPr>
            <w:tcW w:w="4592" w:type="dxa"/>
            <w:shd w:val="clear" w:color="auto" w:fill="FFFFFF"/>
            <w:tcMar>
              <w:top w:w="15" w:type="dxa"/>
              <w:left w:w="15" w:type="dxa"/>
              <w:right w:w="15" w:type="dxa"/>
            </w:tcMar>
          </w:tcPr>
          <w:p>
            <w:pPr>
              <w:widowControl/>
              <w:jc w:val="left"/>
              <w:textAlignment w:val="top"/>
              <w:rPr>
                <w:rFonts w:ascii="DengXian" w:hAnsi="DengXian" w:eastAsia="DengXian" w:cs="DengXian"/>
                <w:szCs w:val="21"/>
              </w:rPr>
            </w:pPr>
            <w:r>
              <w:rPr>
                <w:rFonts w:ascii="DengXian" w:hAnsi="DengXian" w:eastAsia="DengXian" w:cs="DengXian"/>
                <w:kern w:val="0"/>
                <w:szCs w:val="21"/>
                <w:lang w:bidi="ar"/>
              </w:rPr>
              <w:t>★为保障核心设备的安全可靠性，要求所投产品端口浪涌抗扰度≥6KV（即具备6KV的防雷能力），要求提供权威第三方测试报告复印件，加盖原厂投标专用章或公章</w:t>
            </w:r>
          </w:p>
        </w:tc>
        <w:tc>
          <w:tcPr>
            <w:tcW w:w="867" w:type="dxa"/>
            <w:gridSpan w:val="2"/>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多业务支持</w:t>
            </w:r>
          </w:p>
        </w:tc>
        <w:tc>
          <w:tcPr>
            <w:tcW w:w="4592" w:type="dxa"/>
            <w:shd w:val="clear" w:color="auto" w:fill="FFFFFF"/>
            <w:tcMar>
              <w:top w:w="15" w:type="dxa"/>
              <w:left w:w="15" w:type="dxa"/>
              <w:right w:w="15" w:type="dxa"/>
            </w:tcMar>
          </w:tcPr>
          <w:p>
            <w:pPr>
              <w:widowControl/>
              <w:jc w:val="left"/>
              <w:textAlignment w:val="top"/>
              <w:rPr>
                <w:rFonts w:ascii="DengXian" w:hAnsi="DengXian" w:eastAsia="DengXian" w:cs="DengXian"/>
                <w:szCs w:val="21"/>
              </w:rPr>
            </w:pPr>
            <w:r>
              <w:rPr>
                <w:rFonts w:ascii="DengXian" w:hAnsi="DengXian" w:eastAsia="DengXian" w:cs="DengXian"/>
                <w:kern w:val="0"/>
                <w:szCs w:val="21"/>
                <w:lang w:bidi="ar"/>
              </w:rPr>
              <w:t>支持无线控制器插卡，满足无线控制的需求。</w:t>
            </w:r>
          </w:p>
        </w:tc>
        <w:tc>
          <w:tcPr>
            <w:tcW w:w="867" w:type="dxa"/>
            <w:gridSpan w:val="2"/>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绿色低功耗</w:t>
            </w:r>
          </w:p>
        </w:tc>
        <w:tc>
          <w:tcPr>
            <w:tcW w:w="4592" w:type="dxa"/>
            <w:shd w:val="clear" w:color="auto" w:fill="FFFFFF"/>
            <w:tcMar>
              <w:top w:w="15" w:type="dxa"/>
              <w:left w:w="15" w:type="dxa"/>
              <w:right w:w="15" w:type="dxa"/>
            </w:tcMar>
          </w:tcPr>
          <w:p>
            <w:pPr>
              <w:widowControl/>
              <w:jc w:val="left"/>
              <w:textAlignment w:val="top"/>
              <w:rPr>
                <w:rFonts w:ascii="DengXian" w:hAnsi="DengXian" w:eastAsia="DengXian" w:cs="DengXian"/>
                <w:szCs w:val="21"/>
              </w:rPr>
            </w:pPr>
            <w:r>
              <w:rPr>
                <w:rFonts w:ascii="DengXian" w:hAnsi="DengXian" w:eastAsia="DengXian" w:cs="DengXian"/>
                <w:kern w:val="0"/>
                <w:szCs w:val="21"/>
                <w:lang w:bidi="ar"/>
              </w:rPr>
              <w:t xml:space="preserve">为了满足下一代数据中心建设要求，核心交换机40G端口在负载100%的情况下每端口功率需要≤10W，要求提供权威第三方测试报告复印件，加盖原厂投标专用章或公章。 ★为了满足下一代数据中心建设要求，核心交换机10G端口在负载100%的情况下每端口功率需要≤2W，要求提供权威第三方测试报告复印件，加盖原厂投标专用章或公章。     </w:t>
            </w:r>
          </w:p>
        </w:tc>
        <w:tc>
          <w:tcPr>
            <w:tcW w:w="867" w:type="dxa"/>
            <w:gridSpan w:val="2"/>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配置要求</w:t>
            </w:r>
          </w:p>
        </w:tc>
        <w:tc>
          <w:tcPr>
            <w:tcW w:w="4592" w:type="dxa"/>
            <w:shd w:val="clear" w:color="auto" w:fill="FFFFFF"/>
            <w:tcMar>
              <w:top w:w="15" w:type="dxa"/>
              <w:left w:w="15" w:type="dxa"/>
              <w:right w:w="15" w:type="dxa"/>
            </w:tcMar>
            <w:vAlign w:val="center"/>
          </w:tcPr>
          <w:p>
            <w:pPr>
              <w:widowControl/>
              <w:jc w:val="left"/>
              <w:textAlignment w:val="center"/>
              <w:rPr>
                <w:rFonts w:ascii="DengXian" w:hAnsi="DengXian" w:eastAsia="DengXian" w:cs="DengXian"/>
                <w:szCs w:val="21"/>
              </w:rPr>
            </w:pPr>
            <w:r>
              <w:rPr>
                <w:rFonts w:ascii="DengXian" w:hAnsi="DengXian" w:eastAsia="DengXian" w:cs="DengXian"/>
                <w:kern w:val="0"/>
                <w:szCs w:val="21"/>
                <w:lang w:bidi="ar"/>
              </w:rPr>
              <w:t>单台配置：高性能引擎≥2个、交换网板≥4个、1600W模块化电源≥4个、万兆以太网光接口≥48个，万兆多模光模块≥48个，5米10G Base SFP+ 光纤线缆（包含两边的模块）≥1根</w:t>
            </w:r>
          </w:p>
        </w:tc>
        <w:tc>
          <w:tcPr>
            <w:tcW w:w="867" w:type="dxa"/>
            <w:gridSpan w:val="2"/>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restart"/>
            <w:shd w:val="clear" w:color="auto" w:fill="FFFFFF"/>
            <w:tcMar>
              <w:top w:w="15" w:type="dxa"/>
              <w:left w:w="15" w:type="dxa"/>
              <w:right w:w="15" w:type="dxa"/>
            </w:tcMar>
            <w:vAlign w:val="center"/>
          </w:tcPr>
          <w:p>
            <w:pPr>
              <w:widowControl/>
              <w:jc w:val="left"/>
              <w:textAlignment w:val="center"/>
              <w:rPr>
                <w:rFonts w:ascii="DengXian" w:hAnsi="DengXian" w:eastAsia="DengXian" w:cs="DengXian"/>
                <w:szCs w:val="21"/>
              </w:rPr>
            </w:pPr>
            <w:r>
              <w:rPr>
                <w:rFonts w:ascii="DengXian" w:hAnsi="DengXian" w:eastAsia="DengXian" w:cs="DengXian"/>
                <w:kern w:val="0"/>
                <w:szCs w:val="21"/>
                <w:lang w:bidi="ar"/>
              </w:rPr>
              <w:t>2</w:t>
            </w:r>
          </w:p>
        </w:tc>
        <w:tc>
          <w:tcPr>
            <w:tcW w:w="791" w:type="dxa"/>
            <w:vMerge w:val="restart"/>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业务交换机</w:t>
            </w: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硬件指标及性能</w:t>
            </w:r>
          </w:p>
        </w:tc>
        <w:tc>
          <w:tcPr>
            <w:tcW w:w="4592" w:type="dxa"/>
            <w:shd w:val="clear" w:color="auto" w:fill="FFFFFF"/>
            <w:tcMar>
              <w:top w:w="15" w:type="dxa"/>
              <w:left w:w="15" w:type="dxa"/>
              <w:right w:w="15" w:type="dxa"/>
            </w:tcMar>
            <w:vAlign w:val="center"/>
          </w:tcPr>
          <w:p>
            <w:pPr>
              <w:widowControl/>
              <w:jc w:val="left"/>
              <w:textAlignment w:val="center"/>
              <w:rPr>
                <w:rFonts w:ascii="DengXian" w:hAnsi="DengXian" w:eastAsia="DengXian" w:cs="DengXian"/>
                <w:szCs w:val="21"/>
              </w:rPr>
            </w:pPr>
            <w:r>
              <w:rPr>
                <w:rFonts w:ascii="DengXian" w:hAnsi="DengXian" w:eastAsia="DengXian" w:cs="DengXian"/>
                <w:kern w:val="0"/>
                <w:szCs w:val="21"/>
                <w:lang w:bidi="ar"/>
              </w:rPr>
              <w:t>10G接口数≥48个，40G QSFP+接口接口数≥6个；支持模块化电源冗余、模块化风扇冗余，电压及风扇支持热拔插。交换容量≥2.56Tbps，包转发率≥1050Mpps</w:t>
            </w:r>
          </w:p>
        </w:tc>
        <w:tc>
          <w:tcPr>
            <w:tcW w:w="867" w:type="dxa"/>
            <w:gridSpan w:val="2"/>
            <w:vMerge w:val="restart"/>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台</w:t>
            </w:r>
          </w:p>
        </w:tc>
        <w:tc>
          <w:tcPr>
            <w:tcW w:w="646" w:type="dxa"/>
            <w:vMerge w:val="restart"/>
            <w:shd w:val="clear" w:color="auto" w:fill="FFFFFF"/>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产品功能</w:t>
            </w:r>
          </w:p>
        </w:tc>
        <w:tc>
          <w:tcPr>
            <w:tcW w:w="4592" w:type="dxa"/>
            <w:shd w:val="clear" w:color="auto" w:fill="FFFFFF"/>
            <w:tcMar>
              <w:top w:w="15" w:type="dxa"/>
              <w:left w:w="15" w:type="dxa"/>
              <w:right w:w="15" w:type="dxa"/>
            </w:tcMar>
          </w:tcPr>
          <w:p>
            <w:pPr>
              <w:widowControl/>
              <w:jc w:val="left"/>
              <w:textAlignment w:val="top"/>
              <w:rPr>
                <w:rFonts w:ascii="DengXian" w:hAnsi="DengXian" w:eastAsia="DengXian" w:cs="DengXian"/>
                <w:szCs w:val="21"/>
              </w:rPr>
            </w:pPr>
            <w:r>
              <w:rPr>
                <w:rFonts w:ascii="DengXian" w:hAnsi="DengXian" w:eastAsia="DengXian" w:cs="DengXian"/>
                <w:kern w:val="0"/>
                <w:szCs w:val="21"/>
                <w:lang w:bidi="ar"/>
              </w:rPr>
              <w:t>支持VXLAN routing 和VXLAN bridging，支持EVPN VXLAN                                            支持EVPN-VXLAN第三方对接；                                                                            ★实配支持VXLAN功能，无需另外购买授权，提供原厂证明材料，加盖原厂投标专用章或公章。                                                                                                            满端口支持三层VXLAN报文线速                                                                                  支持RIP、OSPF、IS-IS、BGP-4等三层路由协议                                                                 支持PIM-SM、IGMP 等组播路由协议                                                                         支持端口镜像功能，支持多对一端口镜像及一对多端口镜像，支持跨交换机的远程端口镜像功能 RSPAN，支持聚合链路的镜像                                                                 支持多虚一技术，可将多台物理设备虚拟化为一台逻辑设备统一管理，支持跨设备链路聚合及最快50ms 级故障链路收敛。                                                                           支持软件定义网络SDN，符合OpenFlow 1.3协议标准，支持SDN和SDN Ready功能</w:t>
            </w:r>
          </w:p>
        </w:tc>
        <w:tc>
          <w:tcPr>
            <w:tcW w:w="867" w:type="dxa"/>
            <w:gridSpan w:val="2"/>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配置要求</w:t>
            </w:r>
          </w:p>
        </w:tc>
        <w:tc>
          <w:tcPr>
            <w:tcW w:w="4592" w:type="dxa"/>
            <w:shd w:val="clear" w:color="auto" w:fill="FFFFFF"/>
            <w:tcMar>
              <w:top w:w="15" w:type="dxa"/>
              <w:left w:w="15" w:type="dxa"/>
              <w:right w:w="15" w:type="dxa"/>
            </w:tcMar>
            <w:vAlign w:val="center"/>
          </w:tcPr>
          <w:p>
            <w:pPr>
              <w:widowControl/>
              <w:jc w:val="left"/>
              <w:textAlignment w:val="center"/>
              <w:rPr>
                <w:rFonts w:ascii="DengXian" w:hAnsi="DengXian" w:eastAsia="DengXian" w:cs="DengXian"/>
                <w:szCs w:val="21"/>
              </w:rPr>
            </w:pPr>
            <w:r>
              <w:rPr>
                <w:rFonts w:ascii="DengXian" w:hAnsi="DengXian" w:eastAsia="DengXian" w:cs="DengXian"/>
                <w:kern w:val="0"/>
                <w:szCs w:val="21"/>
                <w:lang w:bidi="ar"/>
              </w:rPr>
              <w:t>★单台配置：模块化风扇≥3个，模块化电源≥2个，5米10G Base SFP+ 光纤线缆（包含两边的模块）≥1根；万兆多模光模块≥4个。</w:t>
            </w:r>
          </w:p>
        </w:tc>
        <w:tc>
          <w:tcPr>
            <w:tcW w:w="867" w:type="dxa"/>
            <w:gridSpan w:val="2"/>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restart"/>
            <w:shd w:val="clear" w:color="auto" w:fill="FFFFFF"/>
            <w:tcMar>
              <w:top w:w="15" w:type="dxa"/>
              <w:left w:w="15" w:type="dxa"/>
              <w:right w:w="15" w:type="dxa"/>
            </w:tcMar>
            <w:vAlign w:val="center"/>
          </w:tcPr>
          <w:p>
            <w:pPr>
              <w:widowControl/>
              <w:jc w:val="left"/>
              <w:textAlignment w:val="center"/>
              <w:rPr>
                <w:rFonts w:ascii="DengXian" w:hAnsi="DengXian" w:eastAsia="DengXian" w:cs="DengXian"/>
                <w:szCs w:val="21"/>
              </w:rPr>
            </w:pPr>
            <w:r>
              <w:rPr>
                <w:rFonts w:ascii="DengXian" w:hAnsi="DengXian" w:eastAsia="DengXian" w:cs="DengXian"/>
                <w:kern w:val="0"/>
                <w:szCs w:val="21"/>
                <w:lang w:bidi="ar"/>
              </w:rPr>
              <w:t>3</w:t>
            </w:r>
          </w:p>
        </w:tc>
        <w:tc>
          <w:tcPr>
            <w:tcW w:w="791" w:type="dxa"/>
            <w:vMerge w:val="restart"/>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服务器</w:t>
            </w: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指标项目</w:t>
            </w:r>
          </w:p>
        </w:tc>
        <w:tc>
          <w:tcPr>
            <w:tcW w:w="4592" w:type="dxa"/>
            <w:shd w:val="clear" w:color="auto" w:fill="FFFFFF"/>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指标要求</w:t>
            </w:r>
          </w:p>
        </w:tc>
        <w:tc>
          <w:tcPr>
            <w:tcW w:w="867" w:type="dxa"/>
            <w:gridSpan w:val="2"/>
            <w:vMerge w:val="restart"/>
            <w:shd w:val="clear" w:color="auto" w:fill="FFFFFF"/>
            <w:noWrap/>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台</w:t>
            </w:r>
          </w:p>
        </w:tc>
        <w:tc>
          <w:tcPr>
            <w:tcW w:w="646" w:type="dxa"/>
            <w:vMerge w:val="restart"/>
            <w:shd w:val="clear" w:color="auto" w:fill="FFFFFF"/>
            <w:noWrap/>
            <w:tcMar>
              <w:top w:w="15" w:type="dxa"/>
              <w:left w:w="15" w:type="dxa"/>
              <w:right w:w="15" w:type="dxa"/>
            </w:tcMar>
            <w:vAlign w:val="center"/>
          </w:tcPr>
          <w:p>
            <w:pPr>
              <w:widowControl/>
              <w:jc w:val="center"/>
              <w:textAlignment w:val="center"/>
              <w:rPr>
                <w:rFonts w:ascii="DengXian" w:hAnsi="DengXian" w:eastAsia="DengXian" w:cs="DengXian"/>
                <w:kern w:val="0"/>
                <w:szCs w:val="21"/>
                <w:lang w:bidi="ar"/>
              </w:rPr>
            </w:pPr>
            <w:r>
              <w:rPr>
                <w:rFonts w:ascii="DengXian" w:hAnsi="DengXian" w:eastAsia="DengXian" w:cs="DengXian"/>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总体架构</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国产自研品牌，非</w:t>
            </w:r>
            <w:r>
              <w:rPr>
                <w:rFonts w:ascii="DengXian" w:hAnsi="DengXian" w:eastAsia="DengXian" w:cs="DengXian"/>
                <w:kern w:val="0"/>
                <w:szCs w:val="21"/>
                <w:lang w:bidi="ar"/>
              </w:rPr>
              <w:t>OEM</w:t>
            </w:r>
            <w:r>
              <w:rPr>
                <w:rFonts w:hint="eastAsia" w:ascii="宋体" w:hAnsi="宋体" w:eastAsia="宋体" w:cs="宋体"/>
                <w:kern w:val="0"/>
                <w:szCs w:val="21"/>
                <w:lang w:bidi="ar"/>
              </w:rPr>
              <w:t>，标准</w:t>
            </w:r>
            <w:r>
              <w:rPr>
                <w:rFonts w:ascii="DengXian" w:hAnsi="DengXian" w:eastAsia="DengXian" w:cs="DengXian"/>
                <w:kern w:val="0"/>
                <w:szCs w:val="21"/>
                <w:lang w:bidi="ar"/>
              </w:rPr>
              <w:t>2U</w:t>
            </w:r>
            <w:r>
              <w:rPr>
                <w:rFonts w:hint="eastAsia" w:ascii="宋体" w:hAnsi="宋体" w:eastAsia="宋体" w:cs="宋体"/>
                <w:kern w:val="0"/>
                <w:szCs w:val="21"/>
                <w:lang w:bidi="ar"/>
              </w:rPr>
              <w:t>机架式服务器，机箱长度</w:t>
            </w:r>
            <w:r>
              <w:rPr>
                <w:rFonts w:ascii="DengXian" w:hAnsi="DengXian" w:eastAsia="DengXian" w:cs="DengXian"/>
                <w:kern w:val="0"/>
                <w:szCs w:val="21"/>
                <w:lang w:bidi="ar"/>
              </w:rPr>
              <w:t>&lt;780mm</w:t>
            </w:r>
            <w:r>
              <w:rPr>
                <w:rFonts w:hint="eastAsia" w:ascii="宋体" w:hAnsi="宋体" w:eastAsia="宋体" w:cs="宋体"/>
                <w:kern w:val="0"/>
                <w:szCs w:val="21"/>
                <w:lang w:bidi="ar"/>
              </w:rPr>
              <w:t>，满配重量</w:t>
            </w:r>
            <w:r>
              <w:rPr>
                <w:rFonts w:ascii="DengXian" w:hAnsi="DengXian" w:eastAsia="DengXian" w:cs="DengXian"/>
                <w:kern w:val="0"/>
                <w:szCs w:val="21"/>
                <w:lang w:bidi="ar"/>
              </w:rPr>
              <w:t>&lt;31kg</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处理器</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配置</w:t>
            </w:r>
            <w:r>
              <w:rPr>
                <w:rFonts w:ascii="DengXian" w:hAnsi="DengXian" w:eastAsia="DengXian" w:cs="DengXian"/>
                <w:kern w:val="0"/>
                <w:szCs w:val="21"/>
                <w:lang w:bidi="ar"/>
              </w:rPr>
              <w:t>2</w:t>
            </w:r>
            <w:r>
              <w:rPr>
                <w:rFonts w:hint="eastAsia" w:ascii="宋体" w:hAnsi="宋体" w:eastAsia="宋体" w:cs="宋体"/>
                <w:kern w:val="0"/>
                <w:szCs w:val="21"/>
                <w:lang w:bidi="ar"/>
              </w:rPr>
              <w:t>颗</w:t>
            </w:r>
            <w:r>
              <w:rPr>
                <w:rFonts w:ascii="DengXian" w:hAnsi="DengXian" w:eastAsia="DengXian" w:cs="DengXian"/>
                <w:kern w:val="0"/>
                <w:szCs w:val="21"/>
                <w:lang w:bidi="ar"/>
              </w:rPr>
              <w:t xml:space="preserve">Intel Xeon Gold 5218 </w:t>
            </w:r>
            <w:r>
              <w:rPr>
                <w:rFonts w:hint="eastAsia" w:ascii="宋体" w:hAnsi="宋体" w:eastAsia="宋体" w:cs="宋体"/>
                <w:kern w:val="0"/>
                <w:szCs w:val="21"/>
                <w:lang w:bidi="ar"/>
              </w:rPr>
              <w:t>可扩展处理器，单处理器核心</w:t>
            </w:r>
            <w:r>
              <w:rPr>
                <w:rFonts w:ascii="DengXian" w:hAnsi="DengXian" w:eastAsia="DengXian" w:cs="DengXian"/>
                <w:kern w:val="0"/>
                <w:szCs w:val="21"/>
                <w:lang w:bidi="ar"/>
              </w:rPr>
              <w:t>≥16</w:t>
            </w:r>
            <w:r>
              <w:rPr>
                <w:rFonts w:hint="eastAsia" w:ascii="宋体" w:hAnsi="宋体" w:eastAsia="宋体" w:cs="宋体"/>
                <w:kern w:val="0"/>
                <w:szCs w:val="21"/>
                <w:lang w:bidi="ar"/>
              </w:rPr>
              <w:t>，主频</w:t>
            </w:r>
            <w:r>
              <w:rPr>
                <w:rFonts w:ascii="DengXian" w:hAnsi="DengXian" w:eastAsia="DengXian" w:cs="DengXian"/>
                <w:kern w:val="0"/>
                <w:szCs w:val="21"/>
                <w:lang w:bidi="ar"/>
              </w:rPr>
              <w:t>≥2.3GHz</w:t>
            </w:r>
            <w:r>
              <w:rPr>
                <w:rFonts w:hint="eastAsia" w:ascii="宋体" w:hAnsi="宋体" w:eastAsia="宋体" w:cs="宋体"/>
                <w:kern w:val="0"/>
                <w:szCs w:val="21"/>
                <w:lang w:bidi="ar"/>
              </w:rPr>
              <w:t>，支持铂金、金牌、银牌、铜牌全系列级别</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内存</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配置</w:t>
            </w:r>
            <w:r>
              <w:rPr>
                <w:rFonts w:ascii="DengXian" w:hAnsi="DengXian" w:eastAsia="DengXian" w:cs="DengXian"/>
                <w:kern w:val="0"/>
                <w:szCs w:val="21"/>
                <w:lang w:bidi="ar"/>
              </w:rPr>
              <w:t>2</w:t>
            </w:r>
            <w:r>
              <w:rPr>
                <w:rFonts w:hint="eastAsia" w:ascii="宋体" w:hAnsi="宋体" w:eastAsia="宋体" w:cs="宋体"/>
                <w:kern w:val="0"/>
                <w:szCs w:val="21"/>
                <w:lang w:bidi="ar"/>
              </w:rPr>
              <w:t>条</w:t>
            </w:r>
            <w:r>
              <w:rPr>
                <w:rFonts w:ascii="DengXian" w:hAnsi="DengXian" w:eastAsia="DengXian" w:cs="DengXian"/>
                <w:kern w:val="0"/>
                <w:szCs w:val="21"/>
                <w:lang w:bidi="ar"/>
              </w:rPr>
              <w:t>16GB 2666MT/s DDR4</w:t>
            </w:r>
            <w:r>
              <w:rPr>
                <w:rFonts w:hint="eastAsia" w:ascii="宋体" w:hAnsi="宋体" w:eastAsia="宋体" w:cs="宋体"/>
                <w:kern w:val="0"/>
                <w:szCs w:val="21"/>
                <w:lang w:bidi="ar"/>
              </w:rPr>
              <w:t>内存，最大支持</w:t>
            </w:r>
            <w:r>
              <w:rPr>
                <w:rFonts w:ascii="DengXian" w:hAnsi="DengXian" w:eastAsia="DengXian" w:cs="DengXian"/>
                <w:kern w:val="0"/>
                <w:szCs w:val="21"/>
                <w:lang w:bidi="ar"/>
              </w:rPr>
              <w:t>24</w:t>
            </w:r>
            <w:r>
              <w:rPr>
                <w:rFonts w:hint="eastAsia" w:ascii="宋体" w:hAnsi="宋体" w:eastAsia="宋体" w:cs="宋体"/>
                <w:kern w:val="0"/>
                <w:szCs w:val="21"/>
                <w:lang w:bidi="ar"/>
              </w:rPr>
              <w:t>个内存插槽；支持高级内存纠错、内存镜像、内存热备等高级功能；</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存储</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配置</w:t>
            </w:r>
            <w:r>
              <w:rPr>
                <w:rFonts w:ascii="DengXian" w:hAnsi="DengXian" w:eastAsia="DengXian" w:cs="DengXian"/>
                <w:kern w:val="0"/>
                <w:szCs w:val="21"/>
                <w:lang w:bidi="ar"/>
              </w:rPr>
              <w:t>3</w:t>
            </w:r>
            <w:r>
              <w:rPr>
                <w:rFonts w:hint="eastAsia" w:ascii="宋体" w:hAnsi="宋体" w:eastAsia="宋体" w:cs="宋体"/>
                <w:kern w:val="0"/>
                <w:szCs w:val="21"/>
                <w:lang w:bidi="ar"/>
              </w:rPr>
              <w:t>块</w:t>
            </w:r>
            <w:r>
              <w:rPr>
                <w:rFonts w:ascii="DengXian" w:hAnsi="DengXian" w:eastAsia="DengXian" w:cs="DengXian"/>
                <w:kern w:val="0"/>
                <w:szCs w:val="21"/>
                <w:lang w:bidi="ar"/>
              </w:rPr>
              <w:t>600GB 10K 2.5</w:t>
            </w:r>
            <w:r>
              <w:rPr>
                <w:rFonts w:hint="eastAsia" w:ascii="宋体" w:hAnsi="宋体" w:eastAsia="宋体" w:cs="宋体"/>
                <w:kern w:val="0"/>
                <w:szCs w:val="21"/>
                <w:lang w:bidi="ar"/>
              </w:rPr>
              <w:t>寸</w:t>
            </w:r>
            <w:r>
              <w:rPr>
                <w:rFonts w:ascii="DengXian" w:hAnsi="DengXian" w:eastAsia="DengXian" w:cs="DengXian"/>
                <w:kern w:val="0"/>
                <w:szCs w:val="21"/>
                <w:lang w:bidi="ar"/>
              </w:rPr>
              <w:t>SAS</w:t>
            </w:r>
            <w:r>
              <w:rPr>
                <w:rFonts w:hint="eastAsia" w:ascii="宋体" w:hAnsi="宋体" w:eastAsia="宋体" w:cs="宋体"/>
                <w:kern w:val="0"/>
                <w:szCs w:val="21"/>
                <w:lang w:bidi="ar"/>
              </w:rPr>
              <w:t>硬盘，硬盘支持热插拔；</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存储扩展</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可支持最大</w:t>
            </w:r>
            <w:r>
              <w:rPr>
                <w:rFonts w:ascii="DengXian" w:hAnsi="DengXian" w:eastAsia="DengXian" w:cs="DengXian"/>
                <w:kern w:val="0"/>
                <w:szCs w:val="21"/>
                <w:lang w:bidi="ar"/>
              </w:rPr>
              <w:t>31</w:t>
            </w:r>
            <w:r>
              <w:rPr>
                <w:rFonts w:hint="eastAsia" w:ascii="宋体" w:hAnsi="宋体" w:eastAsia="宋体" w:cs="宋体"/>
                <w:kern w:val="0"/>
                <w:szCs w:val="21"/>
                <w:lang w:bidi="ar"/>
              </w:rPr>
              <w:t>个标准硬盘槽位，最大支持</w:t>
            </w:r>
            <w:r>
              <w:rPr>
                <w:rFonts w:ascii="DengXian" w:hAnsi="DengXian" w:eastAsia="DengXian" w:cs="DengXian"/>
                <w:kern w:val="0"/>
                <w:szCs w:val="21"/>
                <w:lang w:bidi="ar"/>
              </w:rPr>
              <w:t>24</w:t>
            </w:r>
            <w:r>
              <w:rPr>
                <w:rFonts w:hint="eastAsia" w:ascii="宋体" w:hAnsi="宋体" w:eastAsia="宋体" w:cs="宋体"/>
                <w:kern w:val="0"/>
                <w:szCs w:val="21"/>
                <w:lang w:bidi="ar"/>
              </w:rPr>
              <w:t>个</w:t>
            </w:r>
            <w:r>
              <w:rPr>
                <w:rFonts w:ascii="DengXian" w:hAnsi="DengXian" w:eastAsia="DengXian" w:cs="DengXian"/>
                <w:kern w:val="0"/>
                <w:szCs w:val="21"/>
                <w:lang w:bidi="ar"/>
              </w:rPr>
              <w:t>U.2 NVMe</w:t>
            </w:r>
            <w:r>
              <w:rPr>
                <w:rFonts w:hint="eastAsia" w:ascii="宋体" w:hAnsi="宋体" w:eastAsia="宋体" w:cs="宋体"/>
                <w:kern w:val="0"/>
                <w:szCs w:val="21"/>
                <w:lang w:bidi="ar"/>
              </w:rPr>
              <w:t>前置硬盘，支持</w:t>
            </w:r>
            <w:r>
              <w:rPr>
                <w:rFonts w:ascii="DengXian" w:hAnsi="DengXian" w:eastAsia="DengXian" w:cs="DengXian"/>
                <w:kern w:val="0"/>
                <w:szCs w:val="21"/>
                <w:lang w:bidi="ar"/>
              </w:rPr>
              <w:t>2</w:t>
            </w:r>
            <w:r>
              <w:rPr>
                <w:rFonts w:hint="eastAsia" w:ascii="宋体" w:hAnsi="宋体" w:eastAsia="宋体" w:cs="宋体"/>
                <w:kern w:val="0"/>
                <w:szCs w:val="21"/>
                <w:lang w:bidi="ar"/>
              </w:rPr>
              <w:t>个</w:t>
            </w:r>
            <w:r>
              <w:rPr>
                <w:rFonts w:ascii="DengXian" w:hAnsi="DengXian" w:eastAsia="DengXian" w:cs="DengXian"/>
                <w:kern w:val="0"/>
                <w:szCs w:val="21"/>
                <w:lang w:bidi="ar"/>
              </w:rPr>
              <w:t>M.2 SSD</w:t>
            </w:r>
            <w:r>
              <w:rPr>
                <w:rFonts w:hint="eastAsia" w:ascii="宋体" w:hAnsi="宋体" w:eastAsia="宋体" w:cs="宋体"/>
                <w:kern w:val="0"/>
                <w:szCs w:val="21"/>
                <w:lang w:bidi="ar"/>
              </w:rPr>
              <w:t>硬盘，支持</w:t>
            </w:r>
            <w:r>
              <w:rPr>
                <w:rFonts w:ascii="DengXian" w:hAnsi="DengXian" w:eastAsia="DengXian" w:cs="DengXian"/>
                <w:kern w:val="0"/>
                <w:szCs w:val="21"/>
                <w:lang w:bidi="ar"/>
              </w:rPr>
              <w:t>2</w:t>
            </w:r>
            <w:r>
              <w:rPr>
                <w:rFonts w:hint="eastAsia" w:ascii="宋体" w:hAnsi="宋体" w:eastAsia="宋体" w:cs="宋体"/>
                <w:kern w:val="0"/>
                <w:szCs w:val="21"/>
                <w:lang w:bidi="ar"/>
              </w:rPr>
              <w:t>个内置</w:t>
            </w:r>
            <w:r>
              <w:rPr>
                <w:rFonts w:ascii="DengXian" w:hAnsi="DengXian" w:eastAsia="DengXian" w:cs="DengXian"/>
                <w:kern w:val="0"/>
                <w:szCs w:val="21"/>
                <w:lang w:bidi="ar"/>
              </w:rPr>
              <w:t>SD</w:t>
            </w:r>
            <w:r>
              <w:rPr>
                <w:rFonts w:hint="eastAsia" w:ascii="宋体" w:hAnsi="宋体" w:eastAsia="宋体" w:cs="宋体"/>
                <w:kern w:val="0"/>
                <w:szCs w:val="21"/>
                <w:lang w:bidi="ar"/>
              </w:rPr>
              <w:t>存储器</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标准接口</w:t>
            </w:r>
          </w:p>
        </w:tc>
        <w:tc>
          <w:tcPr>
            <w:tcW w:w="4592" w:type="dxa"/>
            <w:shd w:val="clear" w:color="auto" w:fill="FFFFFF"/>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提供</w:t>
            </w:r>
            <w:r>
              <w:rPr>
                <w:rFonts w:ascii="DengXian" w:hAnsi="DengXian" w:eastAsia="DengXian" w:cs="DengXian"/>
                <w:kern w:val="0"/>
                <w:szCs w:val="21"/>
                <w:lang w:bidi="ar"/>
              </w:rPr>
              <w:t>6</w:t>
            </w:r>
            <w:r>
              <w:rPr>
                <w:rFonts w:hint="eastAsia" w:ascii="宋体" w:hAnsi="宋体" w:eastAsia="宋体" w:cs="宋体"/>
                <w:kern w:val="0"/>
                <w:szCs w:val="21"/>
                <w:lang w:bidi="ar"/>
              </w:rPr>
              <w:t>个</w:t>
            </w:r>
            <w:r>
              <w:rPr>
                <w:rFonts w:ascii="DengXian" w:hAnsi="DengXian" w:eastAsia="DengXian" w:cs="DengXian"/>
                <w:kern w:val="0"/>
                <w:szCs w:val="21"/>
                <w:lang w:bidi="ar"/>
              </w:rPr>
              <w:t>USB</w:t>
            </w:r>
            <w:r>
              <w:rPr>
                <w:rFonts w:hint="eastAsia" w:ascii="宋体" w:hAnsi="宋体" w:eastAsia="宋体" w:cs="宋体"/>
                <w:kern w:val="0"/>
                <w:szCs w:val="21"/>
                <w:lang w:bidi="ar"/>
              </w:rPr>
              <w:t>接口，</w:t>
            </w:r>
            <w:r>
              <w:rPr>
                <w:rFonts w:ascii="DengXian" w:hAnsi="DengXian" w:eastAsia="DengXian" w:cs="DengXian"/>
                <w:kern w:val="0"/>
                <w:szCs w:val="21"/>
                <w:lang w:bidi="ar"/>
              </w:rPr>
              <w:t>2</w:t>
            </w:r>
            <w:r>
              <w:rPr>
                <w:rFonts w:hint="eastAsia" w:ascii="宋体" w:hAnsi="宋体" w:eastAsia="宋体" w:cs="宋体"/>
                <w:kern w:val="0"/>
                <w:szCs w:val="21"/>
                <w:lang w:bidi="ar"/>
              </w:rPr>
              <w:t>个</w:t>
            </w:r>
            <w:r>
              <w:rPr>
                <w:rFonts w:ascii="DengXian" w:hAnsi="DengXian" w:eastAsia="DengXian" w:cs="DengXian"/>
                <w:kern w:val="0"/>
                <w:szCs w:val="21"/>
                <w:lang w:bidi="ar"/>
              </w:rPr>
              <w:t>VGA</w:t>
            </w:r>
            <w:r>
              <w:rPr>
                <w:rFonts w:hint="eastAsia" w:ascii="宋体" w:hAnsi="宋体" w:eastAsia="宋体" w:cs="宋体"/>
                <w:kern w:val="0"/>
                <w:szCs w:val="21"/>
                <w:lang w:bidi="ar"/>
              </w:rPr>
              <w:t>接口，</w:t>
            </w:r>
            <w:r>
              <w:rPr>
                <w:rFonts w:ascii="DengXian" w:hAnsi="DengXian" w:eastAsia="DengXian" w:cs="DengXian"/>
                <w:kern w:val="0"/>
                <w:szCs w:val="21"/>
                <w:lang w:bidi="ar"/>
              </w:rPr>
              <w:t xml:space="preserve"> 1</w:t>
            </w:r>
            <w:r>
              <w:rPr>
                <w:rFonts w:hint="eastAsia" w:ascii="宋体" w:hAnsi="宋体" w:eastAsia="宋体" w:cs="宋体"/>
                <w:kern w:val="0"/>
                <w:szCs w:val="21"/>
                <w:lang w:bidi="ar"/>
              </w:rPr>
              <w:t>个</w:t>
            </w:r>
            <w:r>
              <w:rPr>
                <w:rFonts w:ascii="DengXian" w:hAnsi="DengXian" w:eastAsia="DengXian" w:cs="DengXian"/>
                <w:kern w:val="0"/>
                <w:szCs w:val="21"/>
                <w:lang w:bidi="ar"/>
              </w:rPr>
              <w:t>UART</w:t>
            </w:r>
            <w:r>
              <w:rPr>
                <w:rFonts w:hint="eastAsia" w:ascii="宋体" w:hAnsi="宋体" w:eastAsia="宋体" w:cs="宋体"/>
                <w:kern w:val="0"/>
                <w:szCs w:val="21"/>
                <w:lang w:bidi="ar"/>
              </w:rPr>
              <w:t>串口，</w:t>
            </w:r>
            <w:r>
              <w:rPr>
                <w:rFonts w:ascii="DengXian" w:hAnsi="DengXian" w:eastAsia="DengXian" w:cs="DengXian"/>
                <w:kern w:val="0"/>
                <w:szCs w:val="21"/>
                <w:lang w:bidi="ar"/>
              </w:rPr>
              <w:t>1</w:t>
            </w:r>
            <w:r>
              <w:rPr>
                <w:rFonts w:hint="eastAsia" w:ascii="宋体" w:hAnsi="宋体" w:eastAsia="宋体" w:cs="宋体"/>
                <w:kern w:val="0"/>
                <w:szCs w:val="21"/>
                <w:lang w:bidi="ar"/>
              </w:rPr>
              <w:t>个独立管理口；支持外插</w:t>
            </w:r>
            <w:r>
              <w:rPr>
                <w:rFonts w:ascii="DengXian" w:hAnsi="DengXian" w:eastAsia="DengXian" w:cs="DengXian"/>
                <w:kern w:val="0"/>
                <w:szCs w:val="21"/>
                <w:lang w:bidi="ar"/>
              </w:rPr>
              <w:t>LCD</w:t>
            </w:r>
            <w:r>
              <w:rPr>
                <w:rFonts w:hint="eastAsia" w:ascii="宋体" w:hAnsi="宋体" w:eastAsia="宋体" w:cs="宋体"/>
                <w:kern w:val="0"/>
                <w:szCs w:val="21"/>
                <w:lang w:bidi="ar"/>
              </w:rPr>
              <w:t>液晶管理模块；</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RAID支持</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配置独立</w:t>
            </w:r>
            <w:r>
              <w:rPr>
                <w:rFonts w:ascii="DengXian" w:hAnsi="DengXian" w:eastAsia="DengXian" w:cs="DengXian"/>
                <w:kern w:val="0"/>
                <w:szCs w:val="21"/>
                <w:lang w:bidi="ar"/>
              </w:rPr>
              <w:t>12Gb/s RAID</w:t>
            </w:r>
            <w:r>
              <w:rPr>
                <w:rFonts w:hint="eastAsia" w:ascii="宋体" w:hAnsi="宋体" w:eastAsia="宋体" w:cs="宋体"/>
                <w:kern w:val="0"/>
                <w:szCs w:val="21"/>
                <w:lang w:bidi="ar"/>
              </w:rPr>
              <w:t>控制卡，，支持</w:t>
            </w:r>
            <w:r>
              <w:rPr>
                <w:rFonts w:ascii="DengXian" w:hAnsi="DengXian" w:eastAsia="DengXian" w:cs="DengXian"/>
                <w:kern w:val="0"/>
                <w:szCs w:val="21"/>
                <w:lang w:bidi="ar"/>
              </w:rPr>
              <w:t>RAID 0/1/5/6/10</w:t>
            </w:r>
            <w:r>
              <w:rPr>
                <w:rFonts w:hint="eastAsia" w:ascii="宋体" w:hAnsi="宋体" w:eastAsia="宋体" w:cs="宋体"/>
                <w:kern w:val="0"/>
                <w:szCs w:val="21"/>
                <w:lang w:bidi="ar"/>
              </w:rPr>
              <w:t>等，支持</w:t>
            </w:r>
            <w:r>
              <w:rPr>
                <w:rFonts w:ascii="DengXian" w:hAnsi="DengXian" w:eastAsia="DengXian" w:cs="DengXian"/>
                <w:kern w:val="0"/>
                <w:szCs w:val="21"/>
                <w:lang w:bidi="ar"/>
              </w:rPr>
              <w:t>SAS/SATA/NVME</w:t>
            </w:r>
            <w:r>
              <w:rPr>
                <w:rFonts w:hint="eastAsia" w:ascii="宋体" w:hAnsi="宋体" w:eastAsia="宋体" w:cs="宋体"/>
                <w:kern w:val="0"/>
                <w:szCs w:val="21"/>
                <w:lang w:bidi="ar"/>
              </w:rPr>
              <w:t>混合模式；</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网络接口</w:t>
            </w:r>
          </w:p>
        </w:tc>
        <w:tc>
          <w:tcPr>
            <w:tcW w:w="4592" w:type="dxa"/>
            <w:shd w:val="clear" w:color="auto" w:fill="FFFFFF"/>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配置</w:t>
            </w:r>
            <w:r>
              <w:rPr>
                <w:rFonts w:ascii="DengXian" w:hAnsi="DengXian" w:eastAsia="DengXian" w:cs="DengXian"/>
                <w:kern w:val="0"/>
                <w:szCs w:val="21"/>
                <w:lang w:bidi="ar"/>
              </w:rPr>
              <w:t>4</w:t>
            </w:r>
            <w:r>
              <w:rPr>
                <w:rFonts w:hint="eastAsia" w:ascii="宋体" w:hAnsi="宋体" w:eastAsia="宋体" w:cs="宋体"/>
                <w:kern w:val="0"/>
                <w:szCs w:val="21"/>
                <w:lang w:bidi="ar"/>
              </w:rPr>
              <w:t>个千兆以太网</w:t>
            </w:r>
            <w:r>
              <w:rPr>
                <w:rFonts w:ascii="DengXian" w:hAnsi="DengXian" w:eastAsia="DengXian" w:cs="DengXian"/>
                <w:kern w:val="0"/>
                <w:szCs w:val="21"/>
                <w:lang w:bidi="ar"/>
              </w:rPr>
              <w:t>RJ45</w:t>
            </w:r>
            <w:r>
              <w:rPr>
                <w:rFonts w:hint="eastAsia" w:ascii="宋体" w:hAnsi="宋体" w:eastAsia="宋体" w:cs="宋体"/>
                <w:kern w:val="0"/>
                <w:szCs w:val="21"/>
                <w:lang w:bidi="ar"/>
              </w:rPr>
              <w:t>接口；支持</w:t>
            </w:r>
            <w:r>
              <w:rPr>
                <w:rFonts w:ascii="DengXian" w:hAnsi="DengXian" w:eastAsia="DengXian" w:cs="DengXian"/>
                <w:kern w:val="0"/>
                <w:szCs w:val="21"/>
                <w:lang w:bidi="ar"/>
              </w:rPr>
              <w:t>OCP</w:t>
            </w:r>
            <w:r>
              <w:rPr>
                <w:rFonts w:hint="eastAsia" w:ascii="宋体" w:hAnsi="宋体" w:eastAsia="宋体" w:cs="宋体"/>
                <w:kern w:val="0"/>
                <w:szCs w:val="21"/>
                <w:lang w:bidi="ar"/>
              </w:rPr>
              <w:t>网络模块，支持</w:t>
            </w:r>
            <w:r>
              <w:rPr>
                <w:rFonts w:ascii="DengXian" w:hAnsi="DengXian" w:eastAsia="DengXian" w:cs="DengXian"/>
                <w:kern w:val="0"/>
                <w:szCs w:val="21"/>
                <w:lang w:bidi="ar"/>
              </w:rPr>
              <w:t>1Gb/10Gb/25Gb</w:t>
            </w:r>
            <w:r>
              <w:rPr>
                <w:rFonts w:hint="eastAsia" w:ascii="宋体" w:hAnsi="宋体" w:eastAsia="宋体" w:cs="宋体"/>
                <w:kern w:val="0"/>
                <w:szCs w:val="21"/>
                <w:lang w:bidi="ar"/>
              </w:rPr>
              <w:t>速率；</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I/O扩展</w:t>
            </w:r>
          </w:p>
        </w:tc>
        <w:tc>
          <w:tcPr>
            <w:tcW w:w="4592" w:type="dxa"/>
            <w:shd w:val="clear" w:color="auto" w:fill="FFFFFF"/>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w:t>
            </w:r>
            <w:r>
              <w:rPr>
                <w:rFonts w:ascii="DengXian" w:hAnsi="DengXian" w:eastAsia="DengXian" w:cs="DengXian"/>
                <w:kern w:val="0"/>
                <w:szCs w:val="21"/>
                <w:lang w:bidi="ar"/>
              </w:rPr>
              <w:t>≥9</w:t>
            </w:r>
            <w:r>
              <w:rPr>
                <w:rFonts w:hint="eastAsia" w:ascii="宋体" w:hAnsi="宋体" w:eastAsia="宋体" w:cs="宋体"/>
                <w:kern w:val="0"/>
                <w:szCs w:val="21"/>
                <w:lang w:bidi="ar"/>
              </w:rPr>
              <w:t>个</w:t>
            </w:r>
            <w:r>
              <w:rPr>
                <w:rFonts w:ascii="DengXian" w:hAnsi="DengXian" w:eastAsia="DengXian" w:cs="DengXian"/>
                <w:kern w:val="0"/>
                <w:szCs w:val="21"/>
                <w:lang w:bidi="ar"/>
              </w:rPr>
              <w:t>PCIE</w:t>
            </w:r>
            <w:r>
              <w:rPr>
                <w:rFonts w:hint="eastAsia" w:ascii="宋体" w:hAnsi="宋体" w:eastAsia="宋体" w:cs="宋体"/>
                <w:kern w:val="0"/>
                <w:szCs w:val="21"/>
                <w:lang w:bidi="ar"/>
              </w:rPr>
              <w:t>插槽（含</w:t>
            </w:r>
            <w:r>
              <w:rPr>
                <w:rFonts w:ascii="DengXian" w:hAnsi="DengXian" w:eastAsia="DengXian" w:cs="DengXian"/>
                <w:kern w:val="0"/>
                <w:szCs w:val="21"/>
                <w:lang w:bidi="ar"/>
              </w:rPr>
              <w:t>1</w:t>
            </w:r>
            <w:r>
              <w:rPr>
                <w:rFonts w:hint="eastAsia" w:ascii="宋体" w:hAnsi="宋体" w:eastAsia="宋体" w:cs="宋体"/>
                <w:kern w:val="0"/>
                <w:szCs w:val="21"/>
                <w:lang w:bidi="ar"/>
              </w:rPr>
              <w:t>个</w:t>
            </w:r>
            <w:r>
              <w:rPr>
                <w:rFonts w:ascii="DengXian" w:hAnsi="DengXian" w:eastAsia="DengXian" w:cs="DengXian"/>
                <w:kern w:val="0"/>
                <w:szCs w:val="21"/>
                <w:lang w:bidi="ar"/>
              </w:rPr>
              <w:t>OCP/PHY</w:t>
            </w:r>
            <w:r>
              <w:rPr>
                <w:rFonts w:hint="eastAsia" w:ascii="宋体" w:hAnsi="宋体" w:eastAsia="宋体" w:cs="宋体"/>
                <w:kern w:val="0"/>
                <w:szCs w:val="21"/>
                <w:lang w:bidi="ar"/>
              </w:rPr>
              <w:t>槽位）</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异构加速</w:t>
            </w:r>
          </w:p>
        </w:tc>
        <w:tc>
          <w:tcPr>
            <w:tcW w:w="4592" w:type="dxa"/>
            <w:shd w:val="clear" w:color="auto" w:fill="FFFFFF"/>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w:t>
            </w:r>
            <w:r>
              <w:rPr>
                <w:rFonts w:ascii="DengXian" w:hAnsi="DengXian" w:eastAsia="DengXian" w:cs="DengXian"/>
                <w:kern w:val="0"/>
                <w:szCs w:val="21"/>
                <w:lang w:bidi="ar"/>
              </w:rPr>
              <w:t>4</w:t>
            </w:r>
            <w:r>
              <w:rPr>
                <w:rFonts w:hint="eastAsia" w:ascii="宋体" w:hAnsi="宋体" w:eastAsia="宋体" w:cs="宋体"/>
                <w:kern w:val="0"/>
                <w:szCs w:val="21"/>
                <w:lang w:bidi="ar"/>
              </w:rPr>
              <w:t>个双宽</w:t>
            </w:r>
            <w:r>
              <w:rPr>
                <w:rFonts w:ascii="DengXian" w:hAnsi="DengXian" w:eastAsia="DengXian" w:cs="DengXian"/>
                <w:kern w:val="0"/>
                <w:szCs w:val="21"/>
                <w:lang w:bidi="ar"/>
              </w:rPr>
              <w:t>GPU</w:t>
            </w:r>
            <w:r>
              <w:rPr>
                <w:rFonts w:hint="eastAsia" w:ascii="宋体" w:hAnsi="宋体" w:eastAsia="宋体" w:cs="宋体"/>
                <w:kern w:val="0"/>
                <w:szCs w:val="21"/>
                <w:lang w:bidi="ar"/>
              </w:rPr>
              <w:t>或</w:t>
            </w:r>
            <w:r>
              <w:rPr>
                <w:rFonts w:ascii="DengXian" w:hAnsi="DengXian" w:eastAsia="DengXian" w:cs="DengXian"/>
                <w:kern w:val="0"/>
                <w:szCs w:val="21"/>
                <w:lang w:bidi="ar"/>
              </w:rPr>
              <w:t>8</w:t>
            </w:r>
            <w:r>
              <w:rPr>
                <w:rFonts w:hint="eastAsia" w:ascii="宋体" w:hAnsi="宋体" w:eastAsia="宋体" w:cs="宋体"/>
                <w:kern w:val="0"/>
                <w:szCs w:val="21"/>
                <w:lang w:bidi="ar"/>
              </w:rPr>
              <w:t>个单宽</w:t>
            </w:r>
            <w:r>
              <w:rPr>
                <w:rFonts w:ascii="DengXian" w:hAnsi="DengXian" w:eastAsia="DengXian" w:cs="DengXian"/>
                <w:kern w:val="0"/>
                <w:szCs w:val="21"/>
                <w:lang w:bidi="ar"/>
              </w:rPr>
              <w:t>GPU</w:t>
            </w:r>
            <w:r>
              <w:rPr>
                <w:rFonts w:hint="eastAsia" w:ascii="宋体" w:hAnsi="宋体" w:eastAsia="宋体" w:cs="宋体"/>
                <w:kern w:val="0"/>
                <w:szCs w:val="21"/>
                <w:lang w:bidi="ar"/>
              </w:rPr>
              <w:t>，提供电源接口</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电源模块</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配置两个冗余热插拔</w:t>
            </w:r>
            <w:r>
              <w:rPr>
                <w:rFonts w:ascii="DengXian" w:hAnsi="DengXian" w:eastAsia="DengXian" w:cs="DengXian"/>
                <w:kern w:val="0"/>
                <w:szCs w:val="21"/>
                <w:lang w:bidi="ar"/>
              </w:rPr>
              <w:t xml:space="preserve">550W </w:t>
            </w:r>
            <w:r>
              <w:rPr>
                <w:rFonts w:hint="eastAsia" w:ascii="宋体" w:hAnsi="宋体" w:eastAsia="宋体" w:cs="宋体"/>
                <w:kern w:val="0"/>
                <w:szCs w:val="21"/>
                <w:lang w:bidi="ar"/>
              </w:rPr>
              <w:t>高效铂金交流电源，支持</w:t>
            </w:r>
            <w:r>
              <w:rPr>
                <w:rFonts w:ascii="DengXian" w:hAnsi="DengXian" w:eastAsia="DengXian" w:cs="DengXian"/>
                <w:kern w:val="0"/>
                <w:szCs w:val="21"/>
                <w:lang w:bidi="ar"/>
              </w:rPr>
              <w:t>-48V / 336V</w:t>
            </w:r>
            <w:r>
              <w:rPr>
                <w:rFonts w:hint="eastAsia" w:ascii="宋体" w:hAnsi="宋体" w:eastAsia="宋体" w:cs="宋体"/>
                <w:kern w:val="0"/>
                <w:szCs w:val="21"/>
                <w:lang w:bidi="ar"/>
              </w:rPr>
              <w:t>直流电源；</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散热</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配置</w:t>
            </w:r>
            <w:r>
              <w:rPr>
                <w:rFonts w:ascii="DengXian" w:hAnsi="DengXian" w:eastAsia="DengXian" w:cs="DengXian"/>
                <w:kern w:val="0"/>
                <w:szCs w:val="21"/>
                <w:lang w:bidi="ar"/>
              </w:rPr>
              <w:t>4</w:t>
            </w:r>
            <w:r>
              <w:rPr>
                <w:rFonts w:hint="eastAsia" w:ascii="宋体" w:hAnsi="宋体" w:eastAsia="宋体" w:cs="宋体"/>
                <w:kern w:val="0"/>
                <w:szCs w:val="21"/>
                <w:lang w:bidi="ar"/>
              </w:rPr>
              <w:t>个冗余双转子风扇，支持免工具热插拔维护。风扇转速自动调节；风流向前进后出；具备防回流设计</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管理功能</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集成系统管理芯片，支持</w:t>
            </w:r>
            <w:r>
              <w:rPr>
                <w:rFonts w:ascii="DengXian" w:hAnsi="DengXian" w:eastAsia="DengXian" w:cs="DengXian"/>
                <w:kern w:val="0"/>
                <w:szCs w:val="21"/>
                <w:lang w:bidi="ar"/>
              </w:rPr>
              <w:t>IPMI2.0</w:t>
            </w:r>
            <w:r>
              <w:rPr>
                <w:rFonts w:hint="eastAsia" w:ascii="宋体" w:hAnsi="宋体" w:eastAsia="宋体" w:cs="宋体"/>
                <w:kern w:val="0"/>
                <w:szCs w:val="21"/>
                <w:lang w:bidi="ar"/>
              </w:rPr>
              <w:t>、</w:t>
            </w:r>
            <w:r>
              <w:rPr>
                <w:rFonts w:ascii="DengXian" w:hAnsi="DengXian" w:eastAsia="DengXian" w:cs="DengXian"/>
                <w:kern w:val="0"/>
                <w:szCs w:val="21"/>
                <w:lang w:bidi="ar"/>
              </w:rPr>
              <w:t>KVM over IP</w:t>
            </w:r>
            <w:r>
              <w:rPr>
                <w:rFonts w:hint="eastAsia" w:ascii="宋体" w:hAnsi="宋体" w:eastAsia="宋体" w:cs="宋体"/>
                <w:kern w:val="0"/>
                <w:szCs w:val="21"/>
                <w:lang w:bidi="ar"/>
              </w:rPr>
              <w:t>、虚拟媒体等管理功能，提供原厂服务器管理套件。</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安全可信</w:t>
            </w:r>
          </w:p>
        </w:tc>
        <w:tc>
          <w:tcPr>
            <w:tcW w:w="4592" w:type="dxa"/>
            <w:shd w:val="clear" w:color="auto" w:fill="FFFFFF"/>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w:t>
            </w:r>
            <w:r>
              <w:rPr>
                <w:rFonts w:ascii="DengXian" w:hAnsi="DengXian" w:eastAsia="DengXian" w:cs="DengXian"/>
                <w:kern w:val="0"/>
                <w:szCs w:val="21"/>
                <w:lang w:bidi="ar"/>
              </w:rPr>
              <w:t>TPM</w:t>
            </w:r>
            <w:r>
              <w:rPr>
                <w:rFonts w:hint="eastAsia" w:ascii="宋体" w:hAnsi="宋体" w:eastAsia="宋体" w:cs="宋体"/>
                <w:kern w:val="0"/>
                <w:szCs w:val="21"/>
                <w:lang w:bidi="ar"/>
              </w:rPr>
              <w:t>安全可信模块，支持主机安全增强系统；</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服务</w:t>
            </w:r>
          </w:p>
        </w:tc>
        <w:tc>
          <w:tcPr>
            <w:tcW w:w="4592" w:type="dxa"/>
            <w:shd w:val="clear" w:color="auto" w:fill="FFFFFF"/>
            <w:noWrap/>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三年免费硬件保修，原厂工程师上门服务，厂商授权</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厂商资质</w:t>
            </w:r>
          </w:p>
        </w:tc>
        <w:tc>
          <w:tcPr>
            <w:tcW w:w="4592" w:type="dxa"/>
            <w:shd w:val="clear" w:color="auto" w:fill="FFFFFF"/>
            <w:tcMar>
              <w:top w:w="15" w:type="dxa"/>
              <w:left w:w="15" w:type="dxa"/>
              <w:right w:w="15" w:type="dxa"/>
            </w:tcMar>
            <w:vAlign w:val="center"/>
          </w:tcPr>
          <w:p>
            <w:pPr>
              <w:widowControl/>
              <w:jc w:val="left"/>
              <w:textAlignment w:val="center"/>
              <w:rPr>
                <w:rFonts w:ascii="DengXian" w:hAnsi="DengXian" w:eastAsia="DengXian" w:cs="DengXian"/>
                <w:szCs w:val="21"/>
              </w:rPr>
            </w:pPr>
            <w:r>
              <w:rPr>
                <w:rFonts w:ascii="DengXian" w:hAnsi="DengXian" w:eastAsia="DengXian" w:cs="DengXian"/>
                <w:kern w:val="0"/>
                <w:szCs w:val="21"/>
                <w:lang w:bidi="ar"/>
              </w:rPr>
              <w:t>1.2017</w:t>
            </w:r>
            <w:r>
              <w:rPr>
                <w:rFonts w:hint="eastAsia" w:ascii="宋体" w:hAnsi="宋体" w:eastAsia="宋体" w:cs="宋体"/>
                <w:kern w:val="0"/>
                <w:szCs w:val="21"/>
                <w:lang w:bidi="ar"/>
              </w:rPr>
              <w:t>及</w:t>
            </w:r>
            <w:r>
              <w:rPr>
                <w:rFonts w:ascii="DengXian" w:hAnsi="DengXian" w:eastAsia="DengXian" w:cs="DengXian"/>
                <w:kern w:val="0"/>
                <w:szCs w:val="21"/>
                <w:lang w:bidi="ar"/>
              </w:rPr>
              <w:t>2018</w:t>
            </w:r>
            <w:r>
              <w:rPr>
                <w:rFonts w:hint="eastAsia" w:ascii="宋体" w:hAnsi="宋体" w:eastAsia="宋体" w:cs="宋体"/>
                <w:kern w:val="0"/>
                <w:szCs w:val="21"/>
                <w:lang w:bidi="ar"/>
              </w:rPr>
              <w:t>年</w:t>
            </w:r>
            <w:r>
              <w:rPr>
                <w:rFonts w:ascii="DengXian" w:hAnsi="DengXian" w:eastAsia="DengXian" w:cs="DengXian"/>
                <w:kern w:val="0"/>
                <w:szCs w:val="21"/>
                <w:lang w:bidi="ar"/>
              </w:rPr>
              <w:t>X86</w:t>
            </w:r>
            <w:r>
              <w:rPr>
                <w:rFonts w:hint="eastAsia" w:ascii="宋体" w:hAnsi="宋体" w:eastAsia="宋体" w:cs="宋体"/>
                <w:kern w:val="0"/>
                <w:szCs w:val="21"/>
                <w:lang w:bidi="ar"/>
              </w:rPr>
              <w:t>服务器中国市场销售市场占有率前三，提供</w:t>
            </w:r>
            <w:r>
              <w:rPr>
                <w:rFonts w:ascii="DengXian" w:hAnsi="DengXian" w:eastAsia="DengXian" w:cs="DengXian"/>
                <w:kern w:val="0"/>
                <w:szCs w:val="21"/>
                <w:lang w:bidi="ar"/>
              </w:rPr>
              <w:t>IDC</w:t>
            </w:r>
            <w:r>
              <w:rPr>
                <w:rFonts w:hint="eastAsia" w:ascii="宋体" w:hAnsi="宋体" w:eastAsia="宋体" w:cs="宋体"/>
                <w:kern w:val="0"/>
                <w:szCs w:val="21"/>
                <w:lang w:bidi="ar"/>
              </w:rPr>
              <w:t>出具的证明文件</w:t>
            </w:r>
            <w:r>
              <w:rPr>
                <w:rFonts w:ascii="DengXian" w:hAnsi="DengXian" w:eastAsia="DengXian" w:cs="DengXian"/>
                <w:kern w:val="0"/>
                <w:szCs w:val="21"/>
                <w:lang w:bidi="ar"/>
              </w:rPr>
              <w:t>;</w:t>
            </w:r>
            <w:r>
              <w:rPr>
                <w:rFonts w:ascii="DengXian" w:hAnsi="DengXian" w:eastAsia="DengXian" w:cs="DengXian"/>
                <w:kern w:val="0"/>
                <w:szCs w:val="21"/>
                <w:lang w:bidi="ar"/>
              </w:rPr>
              <w:br w:type="textWrapping"/>
            </w:r>
            <w:r>
              <w:rPr>
                <w:rFonts w:ascii="DengXian" w:hAnsi="DengXian" w:eastAsia="DengXian" w:cs="DengXian"/>
                <w:kern w:val="0"/>
                <w:szCs w:val="21"/>
                <w:lang w:bidi="ar"/>
              </w:rPr>
              <w:t>2.</w:t>
            </w:r>
            <w:r>
              <w:rPr>
                <w:rFonts w:hint="eastAsia" w:ascii="宋体" w:hAnsi="宋体" w:eastAsia="宋体" w:cs="宋体"/>
                <w:kern w:val="0"/>
                <w:szCs w:val="21"/>
                <w:lang w:bidi="ar"/>
              </w:rPr>
              <w:t>为保证系统可持续发展及架构领先，制造厂商具备业界引导实力，为</w:t>
            </w:r>
            <w:r>
              <w:rPr>
                <w:rFonts w:ascii="DengXian" w:hAnsi="DengXian" w:eastAsia="DengXian" w:cs="DengXian"/>
                <w:kern w:val="0"/>
                <w:szCs w:val="21"/>
                <w:lang w:bidi="ar"/>
              </w:rPr>
              <w:t xml:space="preserve">SPEC OSSC </w:t>
            </w:r>
            <w:r>
              <w:rPr>
                <w:rFonts w:hint="eastAsia" w:ascii="宋体" w:hAnsi="宋体" w:eastAsia="宋体" w:cs="宋体"/>
                <w:kern w:val="0"/>
                <w:szCs w:val="21"/>
                <w:lang w:bidi="ar"/>
              </w:rPr>
              <w:t>执行委</w:t>
            </w:r>
            <w:r>
              <w:rPr>
                <w:rFonts w:ascii="DengXian" w:hAnsi="DengXian" w:eastAsia="DengXian" w:cs="DengXian"/>
                <w:kern w:val="0"/>
                <w:szCs w:val="21"/>
                <w:lang w:bidi="ar"/>
              </w:rPr>
              <w:t xml:space="preserve">   </w:t>
            </w:r>
            <w:r>
              <w:rPr>
                <w:rFonts w:hint="eastAsia" w:ascii="宋体" w:hAnsi="宋体" w:eastAsia="宋体" w:cs="宋体"/>
                <w:kern w:val="0"/>
                <w:szCs w:val="21"/>
                <w:lang w:bidi="ar"/>
              </w:rPr>
              <w:t>员，提供组织方证明文件，并加盖厂商公章；</w:t>
            </w:r>
            <w:r>
              <w:rPr>
                <w:rFonts w:ascii="DengXian" w:hAnsi="DengXian" w:eastAsia="DengXian" w:cs="DengXian"/>
                <w:kern w:val="0"/>
                <w:szCs w:val="21"/>
                <w:lang w:bidi="ar"/>
              </w:rPr>
              <w:br w:type="textWrapping"/>
            </w:r>
            <w:r>
              <w:rPr>
                <w:rFonts w:ascii="DengXian" w:hAnsi="DengXian" w:eastAsia="DengXian" w:cs="DengXian"/>
                <w:kern w:val="0"/>
                <w:szCs w:val="21"/>
                <w:lang w:bidi="ar"/>
              </w:rPr>
              <w:t>3.</w:t>
            </w:r>
            <w:r>
              <w:rPr>
                <w:rFonts w:hint="eastAsia" w:ascii="宋体" w:hAnsi="宋体" w:eastAsia="宋体" w:cs="宋体"/>
                <w:kern w:val="0"/>
                <w:szCs w:val="21"/>
                <w:lang w:bidi="ar"/>
              </w:rPr>
              <w:t>为保证技术成熟度，制造商在计算机系统领域获得过国家科学进步一等奖，并出具证明文件</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434" w:type="dxa"/>
            <w:vMerge w:val="continue"/>
            <w:shd w:val="clear" w:color="auto" w:fill="FFFFFF"/>
            <w:tcMar>
              <w:top w:w="15" w:type="dxa"/>
              <w:left w:w="15" w:type="dxa"/>
              <w:right w:w="15" w:type="dxa"/>
            </w:tcMar>
            <w:vAlign w:val="center"/>
          </w:tcPr>
          <w:p>
            <w:pPr>
              <w:jc w:val="left"/>
              <w:rPr>
                <w:rFonts w:ascii="DengXian" w:hAnsi="DengXian" w:eastAsia="DengXian" w:cs="DengXian"/>
                <w:szCs w:val="21"/>
              </w:rPr>
            </w:pPr>
          </w:p>
        </w:tc>
        <w:tc>
          <w:tcPr>
            <w:tcW w:w="791" w:type="dxa"/>
            <w:vMerge w:val="continue"/>
            <w:shd w:val="clear" w:color="auto" w:fill="FFFFFF"/>
            <w:tcMar>
              <w:top w:w="15" w:type="dxa"/>
              <w:left w:w="15" w:type="dxa"/>
              <w:right w:w="15" w:type="dxa"/>
            </w:tcMar>
            <w:vAlign w:val="center"/>
          </w:tcPr>
          <w:p>
            <w:pPr>
              <w:jc w:val="center"/>
              <w:rPr>
                <w:rFonts w:ascii="DengXian" w:hAnsi="DengXian" w:eastAsia="DengXian" w:cs="DengXian"/>
                <w:szCs w:val="21"/>
              </w:rPr>
            </w:pPr>
          </w:p>
        </w:tc>
        <w:tc>
          <w:tcPr>
            <w:tcW w:w="1618" w:type="dxa"/>
            <w:gridSpan w:val="3"/>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安全可靠</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支持原厂商服务器系统安全加固软件，提供服务器操作系统安全增强软件的公安部销售许可证。</w:t>
            </w:r>
          </w:p>
        </w:tc>
        <w:tc>
          <w:tcPr>
            <w:tcW w:w="867" w:type="dxa"/>
            <w:gridSpan w:val="2"/>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c>
          <w:tcPr>
            <w:tcW w:w="646" w:type="dxa"/>
            <w:vMerge w:val="continue"/>
            <w:shd w:val="clear" w:color="auto" w:fill="FFFFFF"/>
            <w:noWrap/>
            <w:tcMar>
              <w:top w:w="15" w:type="dxa"/>
              <w:left w:w="15" w:type="dxa"/>
              <w:right w:w="15" w:type="dxa"/>
            </w:tcMar>
            <w:vAlign w:val="center"/>
          </w:tcPr>
          <w:p>
            <w:pPr>
              <w:jc w:val="center"/>
              <w:rPr>
                <w:rFonts w:ascii="DengXian" w:hAnsi="DengXian" w:eastAsia="DengXian" w:cs="DengXi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8948" w:type="dxa"/>
            <w:gridSpan w:val="9"/>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大数据-安全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83" w:type="dxa"/>
            <w:gridSpan w:val="3"/>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序号</w:t>
            </w:r>
          </w:p>
        </w:tc>
        <w:tc>
          <w:tcPr>
            <w:tcW w:w="1560"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类型</w:t>
            </w:r>
          </w:p>
        </w:tc>
        <w:tc>
          <w:tcPr>
            <w:tcW w:w="4592"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指标要求</w:t>
            </w:r>
          </w:p>
        </w:tc>
        <w:tc>
          <w:tcPr>
            <w:tcW w:w="703" w:type="dxa"/>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单位</w:t>
            </w:r>
          </w:p>
        </w:tc>
        <w:tc>
          <w:tcPr>
            <w:tcW w:w="810"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83" w:type="dxa"/>
            <w:gridSpan w:val="3"/>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56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全流量深度威胁检测平台</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标准</w:t>
            </w:r>
            <w:r>
              <w:rPr>
                <w:rFonts w:ascii="DengXian" w:hAnsi="DengXian" w:eastAsia="DengXian" w:cs="DengXian"/>
                <w:kern w:val="0"/>
                <w:szCs w:val="21"/>
                <w:lang w:bidi="ar"/>
              </w:rPr>
              <w:t>2U</w:t>
            </w:r>
            <w:r>
              <w:rPr>
                <w:rFonts w:hint="eastAsia" w:ascii="宋体" w:hAnsi="宋体" w:eastAsia="宋体" w:cs="宋体"/>
                <w:kern w:val="0"/>
                <w:szCs w:val="21"/>
                <w:lang w:bidi="ar"/>
              </w:rPr>
              <w:t>机架式平台和安全操作系统，</w:t>
            </w:r>
            <w:r>
              <w:rPr>
                <w:rFonts w:ascii="DengXian" w:hAnsi="DengXian" w:eastAsia="DengXian" w:cs="DengXian"/>
                <w:kern w:val="0"/>
                <w:szCs w:val="21"/>
                <w:lang w:bidi="ar"/>
              </w:rPr>
              <w:t>6</w:t>
            </w:r>
            <w:r>
              <w:rPr>
                <w:rFonts w:hint="eastAsia" w:ascii="宋体" w:hAnsi="宋体" w:eastAsia="宋体" w:cs="宋体"/>
                <w:kern w:val="0"/>
                <w:szCs w:val="21"/>
                <w:lang w:bidi="ar"/>
              </w:rPr>
              <w:t>个千兆电口（</w:t>
            </w:r>
            <w:r>
              <w:rPr>
                <w:rFonts w:ascii="DengXian" w:hAnsi="DengXian" w:eastAsia="DengXian" w:cs="DengXian"/>
                <w:kern w:val="0"/>
                <w:szCs w:val="21"/>
                <w:lang w:bidi="ar"/>
              </w:rPr>
              <w:t>1</w:t>
            </w:r>
            <w:r>
              <w:rPr>
                <w:rFonts w:hint="eastAsia" w:ascii="宋体" w:hAnsi="宋体" w:eastAsia="宋体" w:cs="宋体"/>
                <w:kern w:val="0"/>
                <w:szCs w:val="21"/>
                <w:lang w:bidi="ar"/>
              </w:rPr>
              <w:t>个管理口，含</w:t>
            </w:r>
            <w:r>
              <w:rPr>
                <w:rFonts w:ascii="DengXian" w:hAnsi="DengXian" w:eastAsia="DengXian" w:cs="DengXian"/>
                <w:kern w:val="0"/>
                <w:szCs w:val="21"/>
                <w:lang w:bidi="ar"/>
              </w:rPr>
              <w:t>2</w:t>
            </w:r>
            <w:r>
              <w:rPr>
                <w:rFonts w:hint="eastAsia" w:ascii="宋体" w:hAnsi="宋体" w:eastAsia="宋体" w:cs="宋体"/>
                <w:kern w:val="0"/>
                <w:szCs w:val="21"/>
                <w:lang w:bidi="ar"/>
              </w:rPr>
              <w:t>个探针口），支持</w:t>
            </w:r>
            <w:r>
              <w:rPr>
                <w:rFonts w:ascii="DengXian" w:hAnsi="DengXian" w:eastAsia="DengXian" w:cs="DengXian"/>
                <w:kern w:val="0"/>
                <w:szCs w:val="21"/>
                <w:lang w:bidi="ar"/>
              </w:rPr>
              <w:t>1</w:t>
            </w:r>
            <w:r>
              <w:rPr>
                <w:rFonts w:hint="eastAsia" w:ascii="宋体" w:hAnsi="宋体" w:eastAsia="宋体" w:cs="宋体"/>
                <w:kern w:val="0"/>
                <w:szCs w:val="21"/>
                <w:lang w:bidi="ar"/>
              </w:rPr>
              <w:t>个接口板扩展槽位，存储容量</w:t>
            </w:r>
            <w:r>
              <w:rPr>
                <w:rFonts w:ascii="DengXian" w:hAnsi="DengXian" w:eastAsia="DengXian" w:cs="DengXian"/>
                <w:kern w:val="0"/>
                <w:szCs w:val="21"/>
                <w:lang w:bidi="ar"/>
              </w:rPr>
              <w:t>4TB</w:t>
            </w:r>
            <w:r>
              <w:rPr>
                <w:rFonts w:hint="eastAsia" w:ascii="宋体" w:hAnsi="宋体" w:eastAsia="宋体" w:cs="宋体"/>
                <w:kern w:val="0"/>
                <w:szCs w:val="21"/>
                <w:lang w:bidi="ar"/>
              </w:rPr>
              <w:t>，冗余电源。可支持</w:t>
            </w:r>
            <w:r>
              <w:rPr>
                <w:rFonts w:ascii="DengXian" w:hAnsi="DengXian" w:eastAsia="DengXian" w:cs="DengXian"/>
                <w:kern w:val="0"/>
                <w:szCs w:val="21"/>
                <w:lang w:bidi="ar"/>
              </w:rPr>
              <w:t>2.5G</w:t>
            </w:r>
            <w:r>
              <w:rPr>
                <w:rFonts w:hint="eastAsia" w:ascii="宋体" w:hAnsi="宋体" w:eastAsia="宋体" w:cs="宋体"/>
                <w:kern w:val="0"/>
                <w:szCs w:val="21"/>
                <w:lang w:bidi="ar"/>
              </w:rPr>
              <w:t>网络流量的实时接收采集（多路），以深度流分析技术为基础，</w:t>
            </w:r>
            <w:r>
              <w:rPr>
                <w:rFonts w:ascii="DengXian" w:hAnsi="DengXian" w:eastAsia="DengXian" w:cs="DengXian"/>
                <w:kern w:val="0"/>
                <w:szCs w:val="21"/>
                <w:lang w:bidi="ar"/>
              </w:rPr>
              <w:t xml:space="preserve"> </w:t>
            </w:r>
            <w:r>
              <w:rPr>
                <w:rFonts w:hint="eastAsia" w:ascii="宋体" w:hAnsi="宋体" w:eastAsia="宋体" w:cs="宋体"/>
                <w:kern w:val="0"/>
                <w:szCs w:val="21"/>
                <w:lang w:bidi="ar"/>
              </w:rPr>
              <w:t>结合</w:t>
            </w:r>
            <w:r>
              <w:rPr>
                <w:rFonts w:ascii="DengXian" w:hAnsi="DengXian" w:eastAsia="DengXian" w:cs="DengXian"/>
                <w:kern w:val="0"/>
                <w:szCs w:val="21"/>
                <w:lang w:bidi="ar"/>
              </w:rPr>
              <w:t>DPI</w:t>
            </w:r>
            <w:r>
              <w:rPr>
                <w:rFonts w:hint="eastAsia" w:ascii="宋体" w:hAnsi="宋体" w:eastAsia="宋体" w:cs="宋体"/>
                <w:kern w:val="0"/>
                <w:szCs w:val="21"/>
                <w:lang w:bidi="ar"/>
              </w:rPr>
              <w:t>、日志分析等技术以一体化融合的威胁识别技术为客户提供资产持续监测、恶意流量发现、违规流量检测、故障流量定位，网络流量分析、历史流量回溯取证等功能，本次配置</w:t>
            </w:r>
            <w:r>
              <w:rPr>
                <w:rFonts w:ascii="DengXian" w:hAnsi="DengXian" w:eastAsia="DengXian" w:cs="DengXian"/>
                <w:kern w:val="0"/>
                <w:szCs w:val="21"/>
                <w:lang w:bidi="ar"/>
              </w:rPr>
              <w:t>20</w:t>
            </w:r>
            <w:r>
              <w:rPr>
                <w:rFonts w:hint="eastAsia" w:ascii="宋体" w:hAnsi="宋体" w:eastAsia="宋体" w:cs="宋体"/>
                <w:kern w:val="0"/>
                <w:szCs w:val="21"/>
                <w:lang w:bidi="ar"/>
              </w:rPr>
              <w:t>个资产管理数，提供三年免费软件维护升级服务，提供三年硬件保修和技术支持服务。</w:t>
            </w:r>
          </w:p>
        </w:tc>
        <w:tc>
          <w:tcPr>
            <w:tcW w:w="703" w:type="dxa"/>
            <w:shd w:val="clear" w:color="auto" w:fill="FFFFFF"/>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kern w:val="0"/>
                <w:szCs w:val="21"/>
                <w:lang w:bidi="ar"/>
              </w:rPr>
              <w:t>台</w:t>
            </w:r>
          </w:p>
        </w:tc>
        <w:tc>
          <w:tcPr>
            <w:tcW w:w="81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83" w:type="dxa"/>
            <w:gridSpan w:val="3"/>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560" w:type="dxa"/>
            <w:gridSpan w:val="2"/>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WEB</w:t>
            </w:r>
            <w:r>
              <w:rPr>
                <w:rFonts w:hint="eastAsia" w:ascii="宋体" w:hAnsi="宋体" w:eastAsia="宋体" w:cs="宋体"/>
                <w:kern w:val="0"/>
                <w:szCs w:val="21"/>
                <w:lang w:bidi="ar"/>
              </w:rPr>
              <w:t>应用防火墙</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标准</w:t>
            </w:r>
            <w:r>
              <w:rPr>
                <w:rFonts w:ascii="DengXian" w:hAnsi="DengXian" w:eastAsia="DengXian" w:cs="DengXian"/>
                <w:kern w:val="0"/>
                <w:szCs w:val="21"/>
                <w:lang w:bidi="ar"/>
              </w:rPr>
              <w:t>1U</w:t>
            </w:r>
            <w:r>
              <w:rPr>
                <w:rFonts w:hint="eastAsia" w:ascii="宋体" w:hAnsi="宋体" w:eastAsia="宋体" w:cs="宋体"/>
                <w:kern w:val="0"/>
                <w:szCs w:val="21"/>
                <w:lang w:bidi="ar"/>
              </w:rPr>
              <w:t>设备，单电源，具备</w:t>
            </w:r>
            <w:r>
              <w:rPr>
                <w:rFonts w:ascii="DengXian" w:hAnsi="DengXian" w:eastAsia="DengXian" w:cs="DengXian"/>
                <w:kern w:val="0"/>
                <w:szCs w:val="21"/>
                <w:lang w:bidi="ar"/>
              </w:rPr>
              <w:t>1</w:t>
            </w:r>
            <w:r>
              <w:rPr>
                <w:rFonts w:hint="eastAsia" w:ascii="宋体" w:hAnsi="宋体" w:eastAsia="宋体" w:cs="宋体"/>
                <w:kern w:val="0"/>
                <w:szCs w:val="21"/>
                <w:lang w:bidi="ar"/>
              </w:rPr>
              <w:t>个</w:t>
            </w:r>
            <w:r>
              <w:rPr>
                <w:rFonts w:ascii="DengXian" w:hAnsi="DengXian" w:eastAsia="DengXian" w:cs="DengXian"/>
                <w:kern w:val="0"/>
                <w:szCs w:val="21"/>
                <w:lang w:bidi="ar"/>
              </w:rPr>
              <w:t>10/100M</w:t>
            </w:r>
            <w:r>
              <w:rPr>
                <w:rFonts w:hint="eastAsia" w:ascii="宋体" w:hAnsi="宋体" w:eastAsia="宋体" w:cs="宋体"/>
                <w:kern w:val="0"/>
                <w:szCs w:val="21"/>
                <w:lang w:bidi="ar"/>
              </w:rPr>
              <w:t>管理接口，</w:t>
            </w:r>
            <w:r>
              <w:rPr>
                <w:rFonts w:ascii="DengXian" w:hAnsi="DengXian" w:eastAsia="DengXian" w:cs="DengXian"/>
                <w:kern w:val="0"/>
                <w:szCs w:val="21"/>
                <w:lang w:bidi="ar"/>
              </w:rPr>
              <w:t>1</w:t>
            </w:r>
            <w:r>
              <w:rPr>
                <w:rFonts w:hint="eastAsia" w:ascii="宋体" w:hAnsi="宋体" w:eastAsia="宋体" w:cs="宋体"/>
                <w:kern w:val="0"/>
                <w:szCs w:val="21"/>
                <w:lang w:bidi="ar"/>
              </w:rPr>
              <w:t>个</w:t>
            </w:r>
            <w:r>
              <w:rPr>
                <w:rFonts w:ascii="DengXian" w:hAnsi="DengXian" w:eastAsia="DengXian" w:cs="DengXian"/>
                <w:kern w:val="0"/>
                <w:szCs w:val="21"/>
                <w:lang w:bidi="ar"/>
              </w:rPr>
              <w:t>10/100/1000M HA</w:t>
            </w:r>
            <w:r>
              <w:rPr>
                <w:rFonts w:hint="eastAsia" w:ascii="宋体" w:hAnsi="宋体" w:eastAsia="宋体" w:cs="宋体"/>
                <w:kern w:val="0"/>
                <w:szCs w:val="21"/>
                <w:lang w:bidi="ar"/>
              </w:rPr>
              <w:t>口，</w:t>
            </w:r>
            <w:r>
              <w:rPr>
                <w:rFonts w:ascii="DengXian" w:hAnsi="DengXian" w:eastAsia="DengXian" w:cs="DengXian"/>
                <w:kern w:val="0"/>
                <w:szCs w:val="21"/>
                <w:lang w:bidi="ar"/>
              </w:rPr>
              <w:t>4</w:t>
            </w:r>
            <w:r>
              <w:rPr>
                <w:rFonts w:hint="eastAsia" w:ascii="宋体" w:hAnsi="宋体" w:eastAsia="宋体" w:cs="宋体"/>
                <w:kern w:val="0"/>
                <w:szCs w:val="21"/>
                <w:lang w:bidi="ar"/>
              </w:rPr>
              <w:t>个</w:t>
            </w:r>
            <w:r>
              <w:rPr>
                <w:rFonts w:ascii="DengXian" w:hAnsi="DengXian" w:eastAsia="DengXian" w:cs="DengXian"/>
                <w:kern w:val="0"/>
                <w:szCs w:val="21"/>
                <w:lang w:bidi="ar"/>
              </w:rPr>
              <w:t xml:space="preserve">10/100/1000M </w:t>
            </w:r>
            <w:r>
              <w:rPr>
                <w:rFonts w:hint="eastAsia" w:ascii="宋体" w:hAnsi="宋体" w:eastAsia="宋体" w:cs="宋体"/>
                <w:kern w:val="0"/>
                <w:szCs w:val="21"/>
                <w:lang w:bidi="ar"/>
              </w:rPr>
              <w:t>业务口（支持</w:t>
            </w:r>
            <w:r>
              <w:rPr>
                <w:rFonts w:ascii="DengXian" w:hAnsi="DengXian" w:eastAsia="DengXian" w:cs="DengXian"/>
                <w:kern w:val="0"/>
                <w:szCs w:val="21"/>
                <w:lang w:bidi="ar"/>
              </w:rPr>
              <w:t>bypass</w:t>
            </w:r>
            <w:r>
              <w:rPr>
                <w:rFonts w:hint="eastAsia" w:ascii="宋体" w:hAnsi="宋体" w:eastAsia="宋体" w:cs="宋体"/>
                <w:kern w:val="0"/>
                <w:szCs w:val="21"/>
                <w:lang w:bidi="ar"/>
              </w:rPr>
              <w:t>），含</w:t>
            </w:r>
            <w:r>
              <w:rPr>
                <w:rFonts w:ascii="DengXian" w:hAnsi="DengXian" w:eastAsia="DengXian" w:cs="DengXian"/>
                <w:kern w:val="0"/>
                <w:szCs w:val="21"/>
                <w:lang w:bidi="ar"/>
              </w:rPr>
              <w:t>3</w:t>
            </w:r>
            <w:r>
              <w:rPr>
                <w:rFonts w:hint="eastAsia" w:ascii="宋体" w:hAnsi="宋体" w:eastAsia="宋体" w:cs="宋体"/>
                <w:kern w:val="0"/>
                <w:szCs w:val="21"/>
                <w:lang w:bidi="ar"/>
              </w:rPr>
              <w:t>个接口永久使用授权，支持一个扩展插槽。设备网络层吞吐率：</w:t>
            </w:r>
            <w:r>
              <w:rPr>
                <w:rFonts w:ascii="DengXian" w:hAnsi="DengXian" w:eastAsia="DengXian" w:cs="DengXian"/>
                <w:kern w:val="0"/>
                <w:szCs w:val="21"/>
                <w:lang w:bidi="ar"/>
              </w:rPr>
              <w:t>5G</w:t>
            </w:r>
            <w:r>
              <w:rPr>
                <w:rFonts w:hint="eastAsia" w:ascii="宋体" w:hAnsi="宋体" w:eastAsia="宋体" w:cs="宋体"/>
                <w:kern w:val="0"/>
                <w:szCs w:val="21"/>
                <w:lang w:bidi="ar"/>
              </w:rPr>
              <w:t>，应用层吞吐率：</w:t>
            </w:r>
            <w:r>
              <w:rPr>
                <w:rFonts w:ascii="DengXian" w:hAnsi="DengXian" w:eastAsia="DengXian" w:cs="DengXian"/>
                <w:kern w:val="0"/>
                <w:szCs w:val="21"/>
                <w:lang w:bidi="ar"/>
              </w:rPr>
              <w:t>2G</w:t>
            </w:r>
            <w:r>
              <w:rPr>
                <w:rFonts w:hint="eastAsia" w:ascii="宋体" w:hAnsi="宋体" w:eastAsia="宋体" w:cs="宋体"/>
                <w:kern w:val="0"/>
                <w:szCs w:val="21"/>
                <w:lang w:bidi="ar"/>
              </w:rPr>
              <w:t>，最大</w:t>
            </w:r>
            <w:r>
              <w:rPr>
                <w:rFonts w:ascii="DengXian" w:hAnsi="DengXian" w:eastAsia="DengXian" w:cs="DengXian"/>
                <w:kern w:val="0"/>
                <w:szCs w:val="21"/>
                <w:lang w:bidi="ar"/>
              </w:rPr>
              <w:t>HTTP</w:t>
            </w:r>
            <w:r>
              <w:rPr>
                <w:rFonts w:hint="eastAsia" w:ascii="宋体" w:hAnsi="宋体" w:eastAsia="宋体" w:cs="宋体"/>
                <w:kern w:val="0"/>
                <w:szCs w:val="21"/>
                <w:lang w:bidi="ar"/>
              </w:rPr>
              <w:t>并发连接数：</w:t>
            </w:r>
            <w:r>
              <w:rPr>
                <w:rFonts w:ascii="DengXian" w:hAnsi="DengXian" w:eastAsia="DengXian" w:cs="DengXian"/>
                <w:kern w:val="0"/>
                <w:szCs w:val="21"/>
                <w:lang w:bidi="ar"/>
              </w:rPr>
              <w:t>280</w:t>
            </w:r>
            <w:r>
              <w:rPr>
                <w:rFonts w:hint="eastAsia" w:ascii="宋体" w:hAnsi="宋体" w:eastAsia="宋体" w:cs="宋体"/>
                <w:kern w:val="0"/>
                <w:szCs w:val="21"/>
                <w:lang w:bidi="ar"/>
              </w:rPr>
              <w:t>万，每秒新建</w:t>
            </w:r>
            <w:r>
              <w:rPr>
                <w:rFonts w:ascii="DengXian" w:hAnsi="DengXian" w:eastAsia="DengXian" w:cs="DengXian"/>
                <w:kern w:val="0"/>
                <w:szCs w:val="21"/>
                <w:lang w:bidi="ar"/>
              </w:rPr>
              <w:t>HTTP</w:t>
            </w:r>
            <w:r>
              <w:rPr>
                <w:rFonts w:hint="eastAsia" w:ascii="宋体" w:hAnsi="宋体" w:eastAsia="宋体" w:cs="宋体"/>
                <w:kern w:val="0"/>
                <w:szCs w:val="21"/>
                <w:lang w:bidi="ar"/>
              </w:rPr>
              <w:t>连接数：</w:t>
            </w:r>
            <w:r>
              <w:rPr>
                <w:rFonts w:ascii="DengXian" w:hAnsi="DengXian" w:eastAsia="DengXian" w:cs="DengXian"/>
                <w:kern w:val="0"/>
                <w:szCs w:val="21"/>
                <w:lang w:bidi="ar"/>
              </w:rPr>
              <w:t>3</w:t>
            </w:r>
            <w:r>
              <w:rPr>
                <w:rFonts w:hint="eastAsia" w:ascii="宋体" w:hAnsi="宋体" w:eastAsia="宋体" w:cs="宋体"/>
                <w:kern w:val="0"/>
                <w:szCs w:val="21"/>
                <w:lang w:bidi="ar"/>
              </w:rPr>
              <w:t>万，提供硬件三年保修和技术支持服务，提供三年应用特征库升级服务。</w:t>
            </w:r>
          </w:p>
        </w:tc>
        <w:tc>
          <w:tcPr>
            <w:tcW w:w="703" w:type="dxa"/>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81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83" w:type="dxa"/>
            <w:gridSpan w:val="3"/>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1560" w:type="dxa"/>
            <w:gridSpan w:val="2"/>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EDR</w:t>
            </w:r>
            <w:r>
              <w:rPr>
                <w:rFonts w:hint="eastAsia" w:ascii="宋体" w:hAnsi="宋体" w:eastAsia="宋体" w:cs="宋体"/>
                <w:kern w:val="0"/>
                <w:szCs w:val="21"/>
                <w:lang w:bidi="ar"/>
              </w:rPr>
              <w:t>系统</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w:t>
            </w:r>
            <w:r>
              <w:rPr>
                <w:rFonts w:ascii="DengXian" w:hAnsi="DengXian" w:eastAsia="DengXian" w:cs="DengXian"/>
                <w:kern w:val="0"/>
                <w:szCs w:val="21"/>
                <w:lang w:bidi="ar"/>
              </w:rPr>
              <w:t>Windows</w:t>
            </w:r>
            <w:r>
              <w:rPr>
                <w:rFonts w:hint="eastAsia" w:ascii="宋体" w:hAnsi="宋体" w:eastAsia="宋体" w:cs="宋体"/>
                <w:kern w:val="0"/>
                <w:szCs w:val="21"/>
                <w:lang w:bidi="ar"/>
              </w:rPr>
              <w:t>客户端，</w:t>
            </w:r>
            <w:r>
              <w:rPr>
                <w:rFonts w:ascii="DengXian" w:hAnsi="DengXian" w:eastAsia="DengXian" w:cs="DengXian"/>
                <w:kern w:val="0"/>
                <w:szCs w:val="21"/>
                <w:lang w:bidi="ar"/>
              </w:rPr>
              <w:t>Linux</w:t>
            </w:r>
            <w:r>
              <w:rPr>
                <w:rFonts w:hint="eastAsia" w:ascii="宋体" w:hAnsi="宋体" w:eastAsia="宋体" w:cs="宋体"/>
                <w:kern w:val="0"/>
                <w:szCs w:val="21"/>
                <w:lang w:bidi="ar"/>
              </w:rPr>
              <w:t>客户端，虚拟化平台，支持统一管理平台，终端威胁管理，支持漏洞修复及补丁分发，支持与</w:t>
            </w:r>
            <w:r>
              <w:rPr>
                <w:rFonts w:ascii="DengXian" w:hAnsi="DengXian" w:eastAsia="DengXian" w:cs="DengXian"/>
                <w:kern w:val="0"/>
                <w:szCs w:val="21"/>
                <w:lang w:bidi="ar"/>
              </w:rPr>
              <w:t>APT</w:t>
            </w:r>
            <w:r>
              <w:rPr>
                <w:rFonts w:hint="eastAsia" w:ascii="宋体" w:hAnsi="宋体" w:eastAsia="宋体" w:cs="宋体"/>
                <w:kern w:val="0"/>
                <w:szCs w:val="21"/>
                <w:lang w:bidi="ar"/>
              </w:rPr>
              <w:t>联动，支持病毒库更新，提供三年技术支持服务，三年应用特征库升级服务。本次配置</w:t>
            </w:r>
            <w:r>
              <w:rPr>
                <w:rFonts w:ascii="DengXian" w:hAnsi="DengXian" w:eastAsia="DengXian" w:cs="DengXian"/>
                <w:kern w:val="0"/>
                <w:szCs w:val="21"/>
                <w:lang w:bidi="ar"/>
              </w:rPr>
              <w:t>100</w:t>
            </w:r>
            <w:r>
              <w:rPr>
                <w:rFonts w:hint="eastAsia" w:ascii="宋体" w:hAnsi="宋体" w:eastAsia="宋体" w:cs="宋体"/>
                <w:kern w:val="0"/>
                <w:szCs w:val="21"/>
                <w:lang w:bidi="ar"/>
              </w:rPr>
              <w:t>个终端资产数。</w:t>
            </w:r>
          </w:p>
        </w:tc>
        <w:tc>
          <w:tcPr>
            <w:tcW w:w="703" w:type="dxa"/>
            <w:shd w:val="clear" w:color="auto" w:fill="FFFFFF"/>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kern w:val="0"/>
                <w:szCs w:val="21"/>
                <w:lang w:bidi="ar"/>
              </w:rPr>
              <w:t>台</w:t>
            </w:r>
          </w:p>
        </w:tc>
        <w:tc>
          <w:tcPr>
            <w:tcW w:w="81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83" w:type="dxa"/>
            <w:gridSpan w:val="3"/>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156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大数据态势感知系统</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硬件平台</w:t>
            </w:r>
            <w:r>
              <w:rPr>
                <w:rFonts w:ascii="DengXian" w:hAnsi="DengXian" w:eastAsia="DengXian" w:cs="DengXian"/>
                <w:kern w:val="0"/>
                <w:szCs w:val="21"/>
                <w:lang w:bidi="ar"/>
              </w:rPr>
              <w:t>2U</w:t>
            </w:r>
            <w:r>
              <w:rPr>
                <w:rFonts w:hint="eastAsia" w:ascii="宋体" w:hAnsi="宋体" w:eastAsia="宋体" w:cs="宋体"/>
                <w:kern w:val="0"/>
                <w:szCs w:val="21"/>
                <w:lang w:bidi="ar"/>
              </w:rPr>
              <w:t>上架设备，</w:t>
            </w:r>
            <w:r>
              <w:rPr>
                <w:rFonts w:ascii="DengXian" w:hAnsi="DengXian" w:eastAsia="DengXian" w:cs="DengXian"/>
                <w:kern w:val="0"/>
                <w:szCs w:val="21"/>
                <w:lang w:bidi="ar"/>
              </w:rPr>
              <w:t>1</w:t>
            </w:r>
            <w:r>
              <w:rPr>
                <w:rFonts w:hint="eastAsia" w:ascii="宋体" w:hAnsi="宋体" w:eastAsia="宋体" w:cs="宋体"/>
                <w:kern w:val="0"/>
                <w:szCs w:val="21"/>
                <w:lang w:bidi="ar"/>
              </w:rPr>
              <w:t>个</w:t>
            </w:r>
            <w:r>
              <w:rPr>
                <w:rFonts w:ascii="DengXian" w:hAnsi="DengXian" w:eastAsia="DengXian" w:cs="DengXian"/>
                <w:kern w:val="0"/>
                <w:szCs w:val="21"/>
                <w:lang w:bidi="ar"/>
              </w:rPr>
              <w:t>RJ45 Console</w:t>
            </w:r>
            <w:r>
              <w:rPr>
                <w:rFonts w:hint="eastAsia" w:ascii="宋体" w:hAnsi="宋体" w:eastAsia="宋体" w:cs="宋体"/>
                <w:kern w:val="0"/>
                <w:szCs w:val="21"/>
                <w:lang w:bidi="ar"/>
              </w:rPr>
              <w:t>口，</w:t>
            </w:r>
            <w:r>
              <w:rPr>
                <w:rFonts w:ascii="DengXian" w:hAnsi="DengXian" w:eastAsia="DengXian" w:cs="DengXian"/>
                <w:kern w:val="0"/>
                <w:szCs w:val="21"/>
                <w:lang w:bidi="ar"/>
              </w:rPr>
              <w:t>4</w:t>
            </w:r>
            <w:r>
              <w:rPr>
                <w:rFonts w:hint="eastAsia" w:ascii="宋体" w:hAnsi="宋体" w:eastAsia="宋体" w:cs="宋体"/>
                <w:kern w:val="0"/>
                <w:szCs w:val="21"/>
                <w:lang w:bidi="ar"/>
              </w:rPr>
              <w:t>个</w:t>
            </w:r>
            <w:r>
              <w:rPr>
                <w:rFonts w:ascii="DengXian" w:hAnsi="DengXian" w:eastAsia="DengXian" w:cs="DengXian"/>
                <w:kern w:val="0"/>
                <w:szCs w:val="21"/>
                <w:lang w:bidi="ar"/>
              </w:rPr>
              <w:t>10/100/1000 Base-T</w:t>
            </w:r>
            <w:r>
              <w:rPr>
                <w:rFonts w:hint="eastAsia" w:ascii="宋体" w:hAnsi="宋体" w:eastAsia="宋体" w:cs="宋体"/>
                <w:kern w:val="0"/>
                <w:szCs w:val="21"/>
                <w:lang w:bidi="ar"/>
              </w:rPr>
              <w:t>网络接口，冗余电源，</w:t>
            </w:r>
            <w:r>
              <w:rPr>
                <w:rFonts w:ascii="DengXian" w:hAnsi="DengXian" w:eastAsia="DengXian" w:cs="DengXian"/>
                <w:kern w:val="0"/>
                <w:szCs w:val="21"/>
                <w:lang w:bidi="ar"/>
              </w:rPr>
              <w:t>8T</w:t>
            </w:r>
            <w:r>
              <w:rPr>
                <w:rFonts w:hint="eastAsia" w:ascii="宋体" w:hAnsi="宋体" w:eastAsia="宋体" w:cs="宋体"/>
                <w:kern w:val="0"/>
                <w:szCs w:val="21"/>
                <w:lang w:bidi="ar"/>
              </w:rPr>
              <w:t>容量硬盘，含嵌入式软件，具有</w:t>
            </w:r>
            <w:r>
              <w:rPr>
                <w:rFonts w:ascii="DengXian" w:hAnsi="DengXian" w:eastAsia="DengXian" w:cs="DengXian"/>
                <w:kern w:val="0"/>
                <w:szCs w:val="21"/>
                <w:lang w:bidi="ar"/>
              </w:rPr>
              <w:t>4</w:t>
            </w:r>
            <w:r>
              <w:rPr>
                <w:rFonts w:hint="eastAsia" w:ascii="宋体" w:hAnsi="宋体" w:eastAsia="宋体" w:cs="宋体"/>
                <w:kern w:val="0"/>
                <w:szCs w:val="21"/>
                <w:lang w:bidi="ar"/>
              </w:rPr>
              <w:t>个扩展卡插槽，含第一年的功能模块（包括但不限于：</w:t>
            </w:r>
            <w:r>
              <w:rPr>
                <w:rFonts w:ascii="DengXian" w:hAnsi="DengXian" w:eastAsia="DengXian" w:cs="DengXian"/>
                <w:kern w:val="0"/>
                <w:szCs w:val="21"/>
                <w:lang w:bidi="ar"/>
              </w:rPr>
              <w:t>APT</w:t>
            </w:r>
            <w:r>
              <w:rPr>
                <w:rFonts w:hint="eastAsia" w:ascii="宋体" w:hAnsi="宋体" w:eastAsia="宋体" w:cs="宋体"/>
                <w:kern w:val="0"/>
                <w:szCs w:val="21"/>
                <w:lang w:bidi="ar"/>
              </w:rPr>
              <w:t>检测引擎模块、</w:t>
            </w:r>
            <w:r>
              <w:rPr>
                <w:rFonts w:ascii="DengXian" w:hAnsi="DengXian" w:eastAsia="DengXian" w:cs="DengXian"/>
                <w:kern w:val="0"/>
                <w:szCs w:val="21"/>
                <w:lang w:bidi="ar"/>
              </w:rPr>
              <w:t>IDS</w:t>
            </w:r>
            <w:r>
              <w:rPr>
                <w:rFonts w:hint="eastAsia" w:ascii="宋体" w:hAnsi="宋体" w:eastAsia="宋体" w:cs="宋体"/>
                <w:kern w:val="0"/>
                <w:szCs w:val="21"/>
                <w:lang w:bidi="ar"/>
              </w:rPr>
              <w:t>检测引擎模块、专业</w:t>
            </w:r>
            <w:r>
              <w:rPr>
                <w:rFonts w:ascii="DengXian" w:hAnsi="DengXian" w:eastAsia="DengXian" w:cs="DengXian"/>
                <w:kern w:val="0"/>
                <w:szCs w:val="21"/>
                <w:lang w:bidi="ar"/>
              </w:rPr>
              <w:t>WEB</w:t>
            </w:r>
            <w:r>
              <w:rPr>
                <w:rFonts w:hint="eastAsia" w:ascii="宋体" w:hAnsi="宋体" w:eastAsia="宋体" w:cs="宋体"/>
                <w:kern w:val="0"/>
                <w:szCs w:val="21"/>
                <w:lang w:bidi="ar"/>
              </w:rPr>
              <w:t>服务器攻击检测模块、病毒检测引擎模块等）升级授权。默认开启整机监听口授权，提供三年硬件保修和技术支持服务。</w:t>
            </w:r>
          </w:p>
        </w:tc>
        <w:tc>
          <w:tcPr>
            <w:tcW w:w="703" w:type="dxa"/>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81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83" w:type="dxa"/>
            <w:gridSpan w:val="3"/>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156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堡垒机</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标准</w:t>
            </w:r>
            <w:r>
              <w:rPr>
                <w:rFonts w:ascii="DengXian" w:hAnsi="DengXian" w:eastAsia="DengXian" w:cs="DengXian"/>
                <w:kern w:val="0"/>
                <w:szCs w:val="21"/>
                <w:lang w:bidi="ar"/>
              </w:rPr>
              <w:t>1U</w:t>
            </w:r>
            <w:r>
              <w:rPr>
                <w:rFonts w:hint="eastAsia" w:ascii="宋体" w:hAnsi="宋体" w:eastAsia="宋体" w:cs="宋体"/>
                <w:kern w:val="0"/>
                <w:szCs w:val="21"/>
                <w:lang w:bidi="ar"/>
              </w:rPr>
              <w:t>机架式软硬一体设备，单电源，内存：</w:t>
            </w:r>
            <w:r>
              <w:rPr>
                <w:rFonts w:ascii="DengXian" w:hAnsi="DengXian" w:eastAsia="DengXian" w:cs="DengXian"/>
                <w:kern w:val="0"/>
                <w:szCs w:val="21"/>
                <w:lang w:bidi="ar"/>
              </w:rPr>
              <w:t>4G</w:t>
            </w:r>
            <w:r>
              <w:rPr>
                <w:rFonts w:hint="eastAsia" w:ascii="宋体" w:hAnsi="宋体" w:eastAsia="宋体" w:cs="宋体"/>
                <w:kern w:val="0"/>
                <w:szCs w:val="21"/>
                <w:lang w:bidi="ar"/>
              </w:rPr>
              <w:t>；物理存储：</w:t>
            </w:r>
            <w:r>
              <w:rPr>
                <w:rFonts w:ascii="DengXian" w:hAnsi="DengXian" w:eastAsia="DengXian" w:cs="DengXian"/>
                <w:kern w:val="0"/>
                <w:szCs w:val="21"/>
                <w:lang w:bidi="ar"/>
              </w:rPr>
              <w:t>1TB</w:t>
            </w:r>
            <w:r>
              <w:rPr>
                <w:rFonts w:hint="eastAsia" w:ascii="宋体" w:hAnsi="宋体" w:eastAsia="宋体" w:cs="宋体"/>
                <w:kern w:val="0"/>
                <w:szCs w:val="21"/>
                <w:lang w:bidi="ar"/>
              </w:rPr>
              <w:t>；</w:t>
            </w:r>
            <w:r>
              <w:rPr>
                <w:rFonts w:ascii="DengXian" w:hAnsi="DengXian" w:eastAsia="DengXian" w:cs="DengXian"/>
                <w:kern w:val="0"/>
                <w:szCs w:val="21"/>
                <w:lang w:bidi="ar"/>
              </w:rPr>
              <w:br w:type="textWrapping"/>
            </w:r>
            <w:r>
              <w:rPr>
                <w:rFonts w:hint="eastAsia" w:ascii="宋体" w:hAnsi="宋体" w:eastAsia="宋体" w:cs="宋体"/>
                <w:kern w:val="0"/>
                <w:szCs w:val="21"/>
                <w:lang w:bidi="ar"/>
              </w:rPr>
              <w:t>具备：</w:t>
            </w:r>
            <w:r>
              <w:rPr>
                <w:rFonts w:ascii="DengXian" w:hAnsi="DengXian" w:eastAsia="DengXian" w:cs="DengXian"/>
                <w:kern w:val="0"/>
                <w:szCs w:val="21"/>
                <w:lang w:bidi="ar"/>
              </w:rPr>
              <w:t>6</w:t>
            </w:r>
            <w:r>
              <w:rPr>
                <w:rFonts w:hint="eastAsia" w:ascii="宋体" w:hAnsi="宋体" w:eastAsia="宋体" w:cs="宋体"/>
                <w:kern w:val="0"/>
                <w:szCs w:val="21"/>
                <w:lang w:bidi="ar"/>
              </w:rPr>
              <w:t>个千兆电口，一个扩展插槽，并发会话数：字符协议</w:t>
            </w:r>
            <w:r>
              <w:rPr>
                <w:rFonts w:ascii="DengXian" w:hAnsi="DengXian" w:eastAsia="DengXian" w:cs="DengXian"/>
                <w:kern w:val="0"/>
                <w:szCs w:val="21"/>
                <w:lang w:bidi="ar"/>
              </w:rPr>
              <w:t>700</w:t>
            </w:r>
            <w:r>
              <w:rPr>
                <w:rFonts w:hint="eastAsia" w:ascii="宋体" w:hAnsi="宋体" w:eastAsia="宋体" w:cs="宋体"/>
                <w:kern w:val="0"/>
                <w:szCs w:val="21"/>
                <w:lang w:bidi="ar"/>
              </w:rPr>
              <w:t>个；图形协议</w:t>
            </w:r>
            <w:r>
              <w:rPr>
                <w:rFonts w:ascii="DengXian" w:hAnsi="DengXian" w:eastAsia="DengXian" w:cs="DengXian"/>
                <w:kern w:val="0"/>
                <w:szCs w:val="21"/>
                <w:lang w:bidi="ar"/>
              </w:rPr>
              <w:t>200</w:t>
            </w:r>
            <w:r>
              <w:rPr>
                <w:rFonts w:hint="eastAsia" w:ascii="宋体" w:hAnsi="宋体" w:eastAsia="宋体" w:cs="宋体"/>
                <w:kern w:val="0"/>
                <w:szCs w:val="21"/>
                <w:lang w:bidi="ar"/>
              </w:rPr>
              <w:t>个；可管理设备数不少于</w:t>
            </w:r>
            <w:r>
              <w:rPr>
                <w:rFonts w:ascii="DengXian" w:hAnsi="DengXian" w:eastAsia="DengXian" w:cs="DengXian"/>
                <w:kern w:val="0"/>
                <w:szCs w:val="21"/>
                <w:lang w:bidi="ar"/>
              </w:rPr>
              <w:t>500</w:t>
            </w:r>
            <w:r>
              <w:rPr>
                <w:rFonts w:hint="eastAsia" w:ascii="宋体" w:hAnsi="宋体" w:eastAsia="宋体" w:cs="宋体"/>
                <w:kern w:val="0"/>
                <w:szCs w:val="21"/>
                <w:lang w:bidi="ar"/>
              </w:rPr>
              <w:t>台；本次配置</w:t>
            </w:r>
            <w:r>
              <w:rPr>
                <w:rFonts w:ascii="DengXian" w:hAnsi="DengXian" w:eastAsia="DengXian" w:cs="DengXian"/>
                <w:kern w:val="0"/>
                <w:szCs w:val="21"/>
                <w:lang w:bidi="ar"/>
              </w:rPr>
              <w:t>50</w:t>
            </w:r>
            <w:r>
              <w:rPr>
                <w:rFonts w:hint="eastAsia" w:ascii="宋体" w:hAnsi="宋体" w:eastAsia="宋体" w:cs="宋体"/>
                <w:kern w:val="0"/>
                <w:szCs w:val="21"/>
                <w:lang w:bidi="ar"/>
              </w:rPr>
              <w:t>台个资源管理数，提供硬件三年保修和技术支持服务。</w:t>
            </w:r>
          </w:p>
        </w:tc>
        <w:tc>
          <w:tcPr>
            <w:tcW w:w="703" w:type="dxa"/>
            <w:shd w:val="clear" w:color="auto" w:fill="FFFFFF"/>
            <w:tcMar>
              <w:top w:w="15" w:type="dxa"/>
              <w:left w:w="15" w:type="dxa"/>
              <w:right w:w="15" w:type="dxa"/>
            </w:tcMar>
            <w:vAlign w:val="center"/>
          </w:tcPr>
          <w:p>
            <w:pPr>
              <w:widowControl/>
              <w:jc w:val="center"/>
              <w:textAlignment w:val="top"/>
              <w:rPr>
                <w:rFonts w:ascii="宋体" w:hAnsi="宋体" w:eastAsia="宋体" w:cs="宋体"/>
                <w:szCs w:val="21"/>
              </w:rPr>
            </w:pPr>
            <w:r>
              <w:rPr>
                <w:rFonts w:hint="eastAsia" w:ascii="宋体" w:hAnsi="宋体" w:eastAsia="宋体" w:cs="宋体"/>
                <w:kern w:val="0"/>
                <w:szCs w:val="21"/>
                <w:lang w:bidi="ar"/>
              </w:rPr>
              <w:t>台</w:t>
            </w:r>
          </w:p>
        </w:tc>
        <w:tc>
          <w:tcPr>
            <w:tcW w:w="81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283" w:type="dxa"/>
            <w:gridSpan w:val="3"/>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1560" w:type="dxa"/>
            <w:gridSpan w:val="2"/>
            <w:shd w:val="clear" w:color="auto" w:fill="FFFFFF"/>
            <w:tcMar>
              <w:top w:w="15" w:type="dxa"/>
              <w:left w:w="15" w:type="dxa"/>
              <w:right w:w="15" w:type="dxa"/>
            </w:tcMar>
            <w:vAlign w:val="center"/>
          </w:tcPr>
          <w:p>
            <w:pPr>
              <w:widowControl/>
              <w:jc w:val="center"/>
              <w:textAlignment w:val="center"/>
              <w:rPr>
                <w:rFonts w:ascii="DengXian" w:hAnsi="DengXian" w:eastAsia="DengXian" w:cs="DengXian"/>
                <w:szCs w:val="21"/>
              </w:rPr>
            </w:pPr>
            <w:r>
              <w:rPr>
                <w:rFonts w:ascii="DengXian" w:hAnsi="DengXian" w:eastAsia="DengXian" w:cs="DengXian"/>
                <w:kern w:val="0"/>
                <w:szCs w:val="21"/>
                <w:lang w:bidi="ar"/>
              </w:rPr>
              <w:t>APT</w:t>
            </w:r>
            <w:r>
              <w:rPr>
                <w:rFonts w:hint="eastAsia" w:ascii="宋体" w:hAnsi="宋体" w:eastAsia="宋体" w:cs="宋体"/>
                <w:kern w:val="0"/>
                <w:szCs w:val="21"/>
                <w:lang w:bidi="ar"/>
              </w:rPr>
              <w:t>攻击预警平台</w:t>
            </w:r>
          </w:p>
        </w:tc>
        <w:tc>
          <w:tcPr>
            <w:tcW w:w="4592" w:type="dxa"/>
            <w:shd w:val="clear" w:color="auto" w:fill="FFFFFF"/>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硬件平台，</w:t>
            </w:r>
            <w:r>
              <w:rPr>
                <w:rFonts w:ascii="DengXian" w:hAnsi="DengXian" w:eastAsia="DengXian" w:cs="DengXian"/>
                <w:kern w:val="0"/>
                <w:szCs w:val="21"/>
                <w:lang w:bidi="ar"/>
              </w:rPr>
              <w:t>2U</w:t>
            </w:r>
            <w:r>
              <w:rPr>
                <w:rFonts w:hint="eastAsia" w:ascii="宋体" w:hAnsi="宋体" w:eastAsia="宋体" w:cs="宋体"/>
                <w:kern w:val="0"/>
                <w:szCs w:val="21"/>
                <w:lang w:bidi="ar"/>
              </w:rPr>
              <w:t>上架设备，</w:t>
            </w:r>
            <w:r>
              <w:rPr>
                <w:rFonts w:ascii="DengXian" w:hAnsi="DengXian" w:eastAsia="DengXian" w:cs="DengXian"/>
                <w:kern w:val="0"/>
                <w:szCs w:val="21"/>
                <w:lang w:bidi="ar"/>
              </w:rPr>
              <w:t>1</w:t>
            </w:r>
            <w:r>
              <w:rPr>
                <w:rFonts w:hint="eastAsia" w:ascii="宋体" w:hAnsi="宋体" w:eastAsia="宋体" w:cs="宋体"/>
                <w:kern w:val="0"/>
                <w:szCs w:val="21"/>
                <w:lang w:bidi="ar"/>
              </w:rPr>
              <w:t>个</w:t>
            </w:r>
            <w:r>
              <w:rPr>
                <w:rFonts w:ascii="DengXian" w:hAnsi="DengXian" w:eastAsia="DengXian" w:cs="DengXian"/>
                <w:kern w:val="0"/>
                <w:szCs w:val="21"/>
                <w:lang w:bidi="ar"/>
              </w:rPr>
              <w:t>RJ-232 Console</w:t>
            </w:r>
            <w:r>
              <w:rPr>
                <w:rFonts w:hint="eastAsia" w:ascii="宋体" w:hAnsi="宋体" w:eastAsia="宋体" w:cs="宋体"/>
                <w:kern w:val="0"/>
                <w:szCs w:val="21"/>
                <w:lang w:bidi="ar"/>
              </w:rPr>
              <w:t>口，</w:t>
            </w:r>
            <w:r>
              <w:rPr>
                <w:rFonts w:ascii="DengXian" w:hAnsi="DengXian" w:eastAsia="DengXian" w:cs="DengXian"/>
                <w:kern w:val="0"/>
                <w:szCs w:val="21"/>
                <w:lang w:bidi="ar"/>
              </w:rPr>
              <w:t>4</w:t>
            </w:r>
            <w:r>
              <w:rPr>
                <w:rFonts w:hint="eastAsia" w:ascii="宋体" w:hAnsi="宋体" w:eastAsia="宋体" w:cs="宋体"/>
                <w:kern w:val="0"/>
                <w:szCs w:val="21"/>
                <w:lang w:bidi="ar"/>
              </w:rPr>
              <w:t>个</w:t>
            </w:r>
            <w:r>
              <w:rPr>
                <w:rFonts w:ascii="DengXian" w:hAnsi="DengXian" w:eastAsia="DengXian" w:cs="DengXian"/>
                <w:kern w:val="0"/>
                <w:szCs w:val="21"/>
                <w:lang w:bidi="ar"/>
              </w:rPr>
              <w:t>10/100/1000 Base-T</w:t>
            </w:r>
            <w:r>
              <w:rPr>
                <w:rFonts w:hint="eastAsia" w:ascii="宋体" w:hAnsi="宋体" w:eastAsia="宋体" w:cs="宋体"/>
                <w:kern w:val="0"/>
                <w:szCs w:val="21"/>
                <w:lang w:bidi="ar"/>
              </w:rPr>
              <w:t>网络接口，冗余电源，</w:t>
            </w:r>
            <w:r>
              <w:rPr>
                <w:rFonts w:ascii="DengXian" w:hAnsi="DengXian" w:eastAsia="DengXian" w:cs="DengXian"/>
                <w:kern w:val="0"/>
                <w:szCs w:val="21"/>
                <w:lang w:bidi="ar"/>
              </w:rPr>
              <w:t>2T</w:t>
            </w:r>
            <w:r>
              <w:rPr>
                <w:rFonts w:hint="eastAsia" w:ascii="宋体" w:hAnsi="宋体" w:eastAsia="宋体" w:cs="宋体"/>
                <w:kern w:val="0"/>
                <w:szCs w:val="21"/>
                <w:lang w:bidi="ar"/>
              </w:rPr>
              <w:t>容量硬盘，含嵌入式软件，设备整机吞吐量</w:t>
            </w:r>
            <w:r>
              <w:rPr>
                <w:rFonts w:ascii="DengXian" w:hAnsi="DengXian" w:eastAsia="DengXian" w:cs="DengXian"/>
                <w:kern w:val="0"/>
                <w:szCs w:val="21"/>
                <w:lang w:bidi="ar"/>
              </w:rPr>
              <w:t>≥4G</w:t>
            </w:r>
            <w:r>
              <w:rPr>
                <w:rFonts w:hint="eastAsia" w:ascii="宋体" w:hAnsi="宋体" w:eastAsia="宋体" w:cs="宋体"/>
                <w:kern w:val="0"/>
                <w:szCs w:val="21"/>
                <w:lang w:bidi="ar"/>
              </w:rPr>
              <w:t>，动态处理文件性能</w:t>
            </w:r>
            <w:r>
              <w:rPr>
                <w:rFonts w:ascii="DengXian" w:hAnsi="DengXian" w:eastAsia="DengXian" w:cs="DengXian"/>
                <w:kern w:val="0"/>
                <w:szCs w:val="21"/>
                <w:lang w:bidi="ar"/>
              </w:rPr>
              <w:t>≥15000</w:t>
            </w:r>
            <w:r>
              <w:rPr>
                <w:rFonts w:hint="eastAsia" w:ascii="宋体" w:hAnsi="宋体" w:eastAsia="宋体" w:cs="宋体"/>
                <w:kern w:val="0"/>
                <w:szCs w:val="21"/>
                <w:lang w:bidi="ar"/>
              </w:rPr>
              <w:t>个</w:t>
            </w:r>
            <w:r>
              <w:rPr>
                <w:rFonts w:ascii="DengXian" w:hAnsi="DengXian" w:eastAsia="DengXian" w:cs="DengXian"/>
                <w:kern w:val="0"/>
                <w:szCs w:val="21"/>
                <w:lang w:bidi="ar"/>
              </w:rPr>
              <w:t>/</w:t>
            </w:r>
            <w:r>
              <w:rPr>
                <w:rFonts w:hint="eastAsia" w:ascii="宋体" w:hAnsi="宋体" w:eastAsia="宋体" w:cs="宋体"/>
                <w:kern w:val="0"/>
                <w:szCs w:val="21"/>
                <w:lang w:bidi="ar"/>
              </w:rPr>
              <w:t>天，提供硬件三年保修和技术支持服务，提供三年应用特征库升级服务。</w:t>
            </w:r>
          </w:p>
        </w:tc>
        <w:tc>
          <w:tcPr>
            <w:tcW w:w="703" w:type="dxa"/>
            <w:shd w:val="clear" w:color="auto" w:fill="FFFFFF"/>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810" w:type="dxa"/>
            <w:gridSpan w:val="2"/>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48" w:type="dxa"/>
            <w:gridSpan w:val="9"/>
            <w:shd w:val="clear" w:color="auto" w:fill="FFFFFF"/>
            <w:noWrap/>
            <w:vAlign w:val="center"/>
          </w:tcPr>
          <w:p>
            <w:pPr>
              <w:spacing w:line="420" w:lineRule="exact"/>
              <w:jc w:val="center"/>
              <w:rPr>
                <w:rFonts w:hAnsi="宋体" w:cs="宋体"/>
                <w:szCs w:val="21"/>
              </w:rPr>
            </w:pPr>
            <w:r>
              <w:rPr>
                <w:rFonts w:hint="eastAsia"/>
                <w:szCs w:val="21"/>
              </w:rPr>
              <w:t>大数据-数据资产服务系统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功能模块</w:t>
            </w: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功能列表</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功能描述</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单位</w:t>
            </w:r>
          </w:p>
        </w:tc>
        <w:tc>
          <w:tcPr>
            <w:tcW w:w="810" w:type="dxa"/>
            <w:gridSpan w:val="2"/>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数据源管理</w:t>
            </w: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数据库管理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对采集、融合需要的关系型数据库信息维护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数据源管理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采集、融合的数据来源信息和目标信息</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校验资源库</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对原始数据进行校验，不符合校验规则的数据的存储数据库；</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复制资源库</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将原始来源的数据交换复制存储的数据库，不对原始数据做任何改变；</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表管理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对采集、融合需要的关系型数据库的表信息维护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文件管理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对采集、融合需要的文件类型数据源信息维护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数据源管理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对采集、融合需要的数据的来源信息和目标信息维护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接口管理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采集、融合的接口类型数据信息维护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rest接口</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采集、融合的rest接口类型数据信息维护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webservice接口</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采集、融合的webservice接口类型数据信息维护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数据采集</w:t>
            </w: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采集节点</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数据采集流程运行的机器信息</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流程管理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设计数据采集业务流程</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流程日志</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数据采集流程的运行日志</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数据融合</w:t>
            </w: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规则管理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融合流程可使用基础规则和自定义脚本</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融合节点</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数据清洗流程运行机器信息</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流程管理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设计数据清洗业务流程</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流程日志</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数据清洗流程的运行日志</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数据融合分析</w:t>
            </w: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数据分析管理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对采集、清洗后的数据通过配置化的方式生成图表</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业务对象</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采集、清洗后的数据生成图表的数据源信息</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业务对象授权</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生成的图表赋权给指定的机构</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图表数据源配置</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数据库现有数据通过配置生成图表</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可视化图标配置</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配置图表</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可视化图表</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配置的图表展示</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插件管理</w:t>
            </w: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采集插件</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数据采集流程具备的插件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数据库</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操作数据库类型数据的插件分类</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Rest查询</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采集rest接口类型数据</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DB表查询(全量)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以全量方式采集关系型数据库类型数据</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DB表查询(增量)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以增量方式采集关系型数据库类型数据</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DB更新表</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更新关系型数据库类型表插件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CloudDB查询(全量)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以全量方式采集ES数据插件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CloudDB更新</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插入数据到ES插件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数据统计</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统计数据量等信息的插件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子流程</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一个流程内部可拆分为多个小的子流程</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DB子查询</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子流程中的查询数据库类型数据的插件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DB任务分解(全量)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关系型数据库的数据进行分解供子流程使用（全量）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DB任务分解(增量)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关系型数据库的数据进行分解供子流程使用（增量）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CloudDB子查询</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子流程中的查询ES的数据的插件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CloudDB任务分解(全量)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ES的数据进行分解供子流程使用（全量）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CloudDB任务分解(增量)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ES的数据进行分解供子流程使用（增量）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加密解密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数据采集、清洗过程中可进行加密解密操作</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数据解密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数据采集、清洗过程中对加密的数据进行解密操作</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数据加密</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数据采集、清洗过程中对加密的数据进行加密操作</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融合插件</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融合流程具备的插件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子流程</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一个融合流程内部可拆分为多个小的子流程</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DB任务分解(全量)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关系型数据库的数据进行分解供子流程使用（全量）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DB任务分解(增量)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关系型数据库的数据进行分解供子流程使用（增量）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FFFFFF"/>
            <w:noWrap/>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CloudDB子查询</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子流程中的查询ES的数据的插件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CloudDB任务分解(全量)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ES的数据进行分解供子流程使用（全量）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CloudDB任务分解(增量)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ES的数据进行分解供子流程使用（增量）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DB子查询</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融合子流程中的查询数据库类型数据的插件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输入插件</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读取数据的插件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DB表查询(全量)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以全量方式采集关系型数据库类型数据</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DB表查询(增量)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以增量方式采集关系型数据库类型数据</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CloudDB查询(全量)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以全量方式采集ES数据插件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Excel导入（全量）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从excel文件读取数据（全量）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Excel导入（增量）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从excel文件读取数据（增量）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csv导入（全量）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从csv文件读取数据（全量）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csv导入（增量）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从csv文件读取数据（增量）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文本导入（增量）</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从文本文件读取数据（增量）</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数据统计</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统计数据量等信息的插件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Rest查询</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读取rest接口类型数据</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webService查询</w:t>
            </w:r>
          </w:p>
        </w:tc>
        <w:tc>
          <w:tcPr>
            <w:tcW w:w="4592" w:type="dxa"/>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读取webservice接口类型数据</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输出插件</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数据入库的插件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DB表输出</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数据保存到关系型数据库的插件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DB表同步</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同步源数据到关系型数据库的插件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CloudDB输出</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数据保存到ES的插件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Excel输出</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数据保存到excel的插件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转换插件</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清洗数据插件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数值计算</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数值类型数据计算值</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内容替换</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字段值内容值的匹配替换</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字段赋值</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给字段赋值</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字符串拼接</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字符串类型字段值拼接</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字符串分割</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字符串类型字段值分割</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条件过滤</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根据指定的条件对数据进行过滤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数据去重</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数据内容去重</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重复数据标记</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对重复数据打标记</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数据聚合</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多个表的数据汇聚为一个表</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数据交集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对多个表的数据求交集</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添加字段</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对表添加字段</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java脚本</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使用自定义个java脚本的插件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规则脚本</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使用自定义个规则脚本的插件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平台管理</w:t>
            </w: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用户管理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对用户信息进行维护</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用户启用禁用</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维护用户的状态</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启用</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启用状态的用户才可以使用系统</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禁用</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禁用状态的用户不可以使用系统</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角色管理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维护用户角色信息</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用户授权</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对一个用户同时授予多个角色</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角色授权</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把一个角色同时授予多个用户</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菜单授权</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把指定的多个菜单授予一个角色，拥有这个角色的用户就能使用这些菜单</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审计日志</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所有用户操作系统的日志</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服务器管理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管理数据采集、融合流程可使用的服务器</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资源包管理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管理数据采集、融合流程需要的资源包</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部署应用</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部署资源包任务</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功能管理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系统所有接口信息维护（系统初始化时）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菜单功能管理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维护系统菜单对应的后台接口（系统初始化时）</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任务调度</w:t>
            </w: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任务管理</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自定义定时任务</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任务调度</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管理定时任务的时效、频率等信息</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任务监控</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自定义的定时任务运行监控</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gridSpan w:val="3"/>
            <w:shd w:val="clear" w:color="auto" w:fill="auto"/>
            <w:vAlign w:val="center"/>
          </w:tcPr>
          <w:p>
            <w:pPr>
              <w:jc w:val="left"/>
              <w:rPr>
                <w:rFonts w:ascii="DengXian" w:hAnsi="DengXian" w:cs="宋体"/>
                <w:szCs w:val="21"/>
              </w:rPr>
            </w:pPr>
          </w:p>
        </w:tc>
        <w:tc>
          <w:tcPr>
            <w:tcW w:w="1560" w:type="dxa"/>
            <w:gridSpan w:val="2"/>
            <w:shd w:val="clear" w:color="auto" w:fill="FFFFFF"/>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内部任务</w:t>
            </w:r>
          </w:p>
        </w:tc>
        <w:tc>
          <w:tcPr>
            <w:tcW w:w="4592" w:type="dxa"/>
            <w:shd w:val="clear" w:color="auto" w:fill="FFFFFF"/>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管理系统内部的定时任务</w:t>
            </w:r>
          </w:p>
        </w:tc>
        <w:tc>
          <w:tcPr>
            <w:tcW w:w="703" w:type="dxa"/>
            <w:shd w:val="clear" w:color="auto" w:fill="FFFFFF"/>
            <w:vAlign w:val="center"/>
          </w:tcPr>
          <w:p>
            <w:pPr>
              <w:widowControl/>
              <w:spacing w:line="420" w:lineRule="exact"/>
              <w:jc w:val="center"/>
              <w:rPr>
                <w:rFonts w:ascii="DengXian" w:hAnsi="DengXian" w:cs="宋体"/>
                <w:szCs w:val="21"/>
              </w:rPr>
            </w:pPr>
            <w:r>
              <w:rPr>
                <w:rFonts w:hint="eastAsia" w:ascii="DengXian" w:hAnsi="DengXian" w:cs="宋体"/>
                <w:szCs w:val="21"/>
              </w:rPr>
              <w:t>项</w:t>
            </w:r>
          </w:p>
        </w:tc>
        <w:tc>
          <w:tcPr>
            <w:tcW w:w="810" w:type="dxa"/>
            <w:gridSpan w:val="2"/>
            <w:shd w:val="clear" w:color="auto" w:fill="FFFFFF"/>
            <w:noWrap/>
            <w:vAlign w:val="center"/>
          </w:tcPr>
          <w:p>
            <w:pPr>
              <w:widowControl/>
              <w:spacing w:line="420" w:lineRule="exact"/>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50" w:type="dxa"/>
            <w:gridSpan w:val="9"/>
            <w:shd w:val="clear" w:color="auto" w:fill="FFFFFF"/>
            <w:noWrap/>
            <w:vAlign w:val="center"/>
          </w:tcPr>
          <w:p>
            <w:pPr>
              <w:widowControl/>
              <w:jc w:val="center"/>
              <w:rPr>
                <w:rFonts w:hAnsi="宋体" w:cs="宋体"/>
                <w:szCs w:val="21"/>
              </w:rPr>
            </w:pPr>
            <w:r>
              <w:rPr>
                <w:rFonts w:hint="eastAsia" w:hAnsi="宋体" w:cs="宋体"/>
                <w:szCs w:val="21"/>
              </w:rPr>
              <w:t>大数据-数据应用服务平台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shd w:val="clear" w:color="auto" w:fill="FFFFFF"/>
            <w:noWrap/>
            <w:vAlign w:val="center"/>
          </w:tcPr>
          <w:p>
            <w:pPr>
              <w:widowControl/>
              <w:jc w:val="center"/>
              <w:rPr>
                <w:rFonts w:ascii="DengXian" w:hAnsi="DengXian" w:cs="宋体"/>
                <w:szCs w:val="21"/>
              </w:rPr>
            </w:pPr>
            <w:r>
              <w:rPr>
                <w:rFonts w:hint="eastAsia" w:ascii="宋体" w:hAnsi="宋体" w:eastAsia="宋体" w:cs="宋体"/>
                <w:kern w:val="0"/>
                <w:szCs w:val="21"/>
                <w:lang w:bidi="ar"/>
              </w:rPr>
              <w:t>功能模块</w:t>
            </w: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功能列表</w:t>
            </w:r>
          </w:p>
        </w:tc>
        <w:tc>
          <w:tcPr>
            <w:tcW w:w="4592" w:type="dxa"/>
            <w:shd w:val="clear" w:color="auto" w:fill="FFFFFF"/>
            <w:vAlign w:val="center"/>
          </w:tcPr>
          <w:p>
            <w:pPr>
              <w:widowControl/>
              <w:jc w:val="center"/>
              <w:rPr>
                <w:rFonts w:ascii="DengXian" w:hAnsi="DengXian" w:cs="宋体"/>
                <w:szCs w:val="21"/>
              </w:rPr>
            </w:pP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单位</w:t>
            </w:r>
          </w:p>
        </w:tc>
        <w:tc>
          <w:tcPr>
            <w:tcW w:w="810" w:type="dxa"/>
            <w:gridSpan w:val="2"/>
            <w:shd w:val="clear" w:color="auto" w:fill="FFFFFF"/>
            <w:vAlign w:val="center"/>
          </w:tcPr>
          <w:p>
            <w:pPr>
              <w:widowControl/>
              <w:jc w:val="center"/>
              <w:rPr>
                <w:rFonts w:hAnsi="宋体" w:cs="宋体"/>
                <w:szCs w:val="21"/>
              </w:rPr>
            </w:pPr>
            <w:r>
              <w:rPr>
                <w:rFonts w:hint="eastAsia"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restart"/>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资源编目</w:t>
            </w: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资源添加</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通过资源编目的方式添加数据资源信息</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目录撤销</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对已经发布的目录进行撤销操作</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目录固定授权</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固定的目录申请，授权操作方式</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目录动态授权</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根据一定的规则，对符合条件的情况进行目录动态自动授权</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FFFFFF"/>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目录授权审批</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对已经发布的目录进行审批授权操作</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目录授权撤销</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对已经授权的目录权限进行撤销</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目录权限检查</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检查已经授权的目录访问权限信息；</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编目信息手动发布</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通过手动的方式将编目信息发布到数据门户</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FFFFFF"/>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编目信息自动发布</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以自动的方式将编目信息发布到数据门户</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编目信息状态同步</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同步编目信息状态到数据门户</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目录检索</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通过目录进行检索</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目录检索结果提取</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提前检索目录对应的资源目录树和列表信息内容</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FFFFFF"/>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基本查询（一般网页查询）</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通过搜索栏检索页面内容</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自定义查询</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通过自定义查询的方式提取检索结果</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集中式查询</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通过集中式查询的方式提取检索结果</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分布式查询</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通过分布式查询的方式提取检索结果</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FFFFFF"/>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查询结果树形显示</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在资源目录树显示具体是资源目录信息</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查询结果列表显示</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在资源列表显示具体是资源列表信息</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非授权用户结果显示</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展示资源编目的非授权用户</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查询服务引擎</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提供模糊查询服务的相关引擎</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restart"/>
            <w:shd w:val="clear" w:color="auto" w:fill="auto"/>
            <w:vAlign w:val="center"/>
          </w:tcPr>
          <w:p>
            <w:pPr>
              <w:widowControl/>
              <w:jc w:val="center"/>
              <w:rPr>
                <w:rFonts w:ascii="DengXian" w:hAnsi="DengXian" w:cs="宋体"/>
                <w:szCs w:val="21"/>
              </w:rPr>
            </w:pPr>
            <w:r>
              <w:rPr>
                <w:rFonts w:hint="eastAsia" w:ascii="宋体" w:hAnsi="宋体" w:eastAsia="宋体" w:cs="宋体"/>
                <w:kern w:val="0"/>
                <w:szCs w:val="21"/>
                <w:lang w:bidi="ar"/>
              </w:rPr>
              <w:t>服务接口</w:t>
            </w: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应用注册</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为相关的角色注册应用并且管理</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接口列表</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将平台内部资源封装为接口以列表展示</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接口授权</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对系统内的接口进行基于应用的授权</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接口接入</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将平台外部数据资源进行转发封装为标准统一的接口</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FFFFFF"/>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接口监控日志</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对接口的连接状态和调用信息进行监控统计</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接口调用示例</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为用户提供接口调用的示例内容</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接口调试</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调试接口信息，对接口进行管理</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DengXian" w:hAnsi="DengXian" w:cs="宋体"/>
                <w:szCs w:val="21"/>
              </w:rPr>
            </w:pPr>
            <w:r>
              <w:rPr>
                <w:rFonts w:hint="eastAsia" w:ascii="宋体" w:hAnsi="宋体" w:eastAsia="宋体" w:cs="宋体"/>
                <w:kern w:val="0"/>
                <w:szCs w:val="21"/>
                <w:lang w:bidi="ar"/>
              </w:rPr>
              <w:t>接口协议转换</w:t>
            </w:r>
          </w:p>
        </w:tc>
        <w:tc>
          <w:tcPr>
            <w:tcW w:w="4592" w:type="dxa"/>
            <w:shd w:val="clear" w:color="auto" w:fill="FFFFFF"/>
            <w:vAlign w:val="center"/>
          </w:tcPr>
          <w:p>
            <w:pPr>
              <w:widowControl/>
              <w:jc w:val="left"/>
              <w:rPr>
                <w:rFonts w:ascii="DengXian" w:hAnsi="DengXian" w:cs="宋体"/>
                <w:szCs w:val="21"/>
              </w:rPr>
            </w:pPr>
            <w:r>
              <w:rPr>
                <w:rFonts w:hint="eastAsia" w:ascii="宋体" w:hAnsi="宋体" w:eastAsia="宋体" w:cs="宋体"/>
                <w:kern w:val="0"/>
                <w:szCs w:val="21"/>
                <w:lang w:bidi="ar"/>
              </w:rPr>
              <w:t>提供web service类型接口转换为rest接口的协议</w:t>
            </w:r>
          </w:p>
        </w:tc>
        <w:tc>
          <w:tcPr>
            <w:tcW w:w="703" w:type="dxa"/>
            <w:shd w:val="clear" w:color="auto" w:fill="FFFFFF"/>
            <w:vAlign w:val="center"/>
          </w:tcPr>
          <w:p>
            <w:pPr>
              <w:widowControl/>
              <w:jc w:val="center"/>
              <w:rPr>
                <w:rFonts w:hAnsi="宋体"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r>
              <w:rPr>
                <w:rFonts w:hint="eastAsia"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restart"/>
            <w:shd w:val="clear" w:color="auto" w:fill="auto"/>
            <w:vAlign w:val="center"/>
          </w:tcPr>
          <w:p>
            <w:pPr>
              <w:widowControl/>
              <w:jc w:val="center"/>
              <w:rPr>
                <w:rFonts w:ascii="DengXian" w:hAnsi="DengXian" w:cs="宋体"/>
                <w:szCs w:val="21"/>
              </w:rPr>
            </w:pPr>
            <w:r>
              <w:rPr>
                <w:rFonts w:hint="eastAsia" w:ascii="宋体" w:hAnsi="宋体" w:eastAsia="宋体" w:cs="宋体"/>
                <w:kern w:val="0"/>
                <w:szCs w:val="21"/>
                <w:lang w:bidi="ar"/>
              </w:rPr>
              <w:t>数据请求处理</w:t>
            </w: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表达式的解析和计算</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对已经配置的数据处理表达式进行规则解析并进行计算</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表达式的管理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对数据请求的表达式管理操作</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数据校验</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根据一定的规则，对数据进行校验</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分配赋值</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对某一字段直接进行赋值操作</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计算字段</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对数据库资源进行四则运算</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restart"/>
            <w:shd w:val="clear" w:color="auto" w:fill="auto"/>
            <w:vAlign w:val="center"/>
          </w:tcPr>
          <w:p>
            <w:pPr>
              <w:widowControl/>
              <w:jc w:val="center"/>
              <w:rPr>
                <w:rFonts w:ascii="DengXian" w:hAnsi="DengXian" w:cs="宋体"/>
                <w:szCs w:val="21"/>
              </w:rPr>
            </w:pPr>
            <w:r>
              <w:rPr>
                <w:rFonts w:hint="eastAsia" w:ascii="宋体" w:hAnsi="宋体" w:eastAsia="宋体" w:cs="宋体"/>
                <w:kern w:val="0"/>
                <w:szCs w:val="21"/>
                <w:lang w:bidi="ar"/>
              </w:rPr>
              <w:t>安全管理</w:t>
            </w: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虚拟层权限</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对数据逻辑层，虚拟层进行权限操作</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库权限</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对数据库的访问权限进行授权管理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表权限</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对数据表的访问权限进行授权管理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字段权限</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对数据表中字段权限进行授权管理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记录权限</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对权限操作日志进行记录</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restart"/>
            <w:shd w:val="clear" w:color="auto" w:fill="auto"/>
            <w:vAlign w:val="center"/>
          </w:tcPr>
          <w:p>
            <w:pPr>
              <w:widowControl/>
              <w:jc w:val="center"/>
              <w:rPr>
                <w:rFonts w:ascii="DengXian" w:hAnsi="DengXian" w:cs="宋体"/>
                <w:szCs w:val="21"/>
              </w:rPr>
            </w:pPr>
            <w:r>
              <w:rPr>
                <w:rFonts w:hint="eastAsia" w:ascii="宋体" w:hAnsi="宋体" w:eastAsia="宋体" w:cs="宋体"/>
                <w:kern w:val="0"/>
                <w:szCs w:val="21"/>
                <w:lang w:bidi="ar"/>
              </w:rPr>
              <w:t>元数据管理</w:t>
            </w: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数据来源元数据管理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对平台中数据来源元数据管理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数据变迁元数据管理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数据治理过程中元数据变化的动态管理及调整；</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信息资源元数据管理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对数据信息资源的元数据进行各种管理功能</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系统运行元数据管理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对软件系统运行过程中的相关内容进行元数据管理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restart"/>
            <w:shd w:val="clear" w:color="auto" w:fill="auto"/>
            <w:vAlign w:val="center"/>
          </w:tcPr>
          <w:p>
            <w:pPr>
              <w:widowControl/>
              <w:jc w:val="center"/>
              <w:rPr>
                <w:rFonts w:ascii="DengXian" w:hAnsi="DengXian" w:cs="宋体"/>
                <w:szCs w:val="21"/>
              </w:rPr>
            </w:pPr>
            <w:r>
              <w:rPr>
                <w:rFonts w:hint="eastAsia" w:ascii="宋体" w:hAnsi="宋体" w:eastAsia="宋体" w:cs="宋体"/>
                <w:kern w:val="0"/>
                <w:szCs w:val="21"/>
                <w:lang w:bidi="ar"/>
              </w:rPr>
              <w:t>标准化管理</w:t>
            </w: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数据元管理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通过标准化规范管理数据元</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数据字典管理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使用数据字典对平台进行标准管理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核心模型管理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基于标准化规范管理数据核心模型</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shd w:val="clear" w:color="auto" w:fill="auto"/>
            <w:vAlign w:val="center"/>
          </w:tcPr>
          <w:p>
            <w:pPr>
              <w:widowControl/>
              <w:jc w:val="center"/>
              <w:rPr>
                <w:rFonts w:ascii="DengXian" w:hAnsi="DengXian" w:cs="宋体"/>
                <w:szCs w:val="21"/>
              </w:rPr>
            </w:pPr>
            <w:r>
              <w:rPr>
                <w:rFonts w:hint="eastAsia" w:ascii="宋体" w:hAnsi="宋体" w:eastAsia="宋体" w:cs="宋体"/>
                <w:kern w:val="0"/>
                <w:szCs w:val="21"/>
                <w:lang w:bidi="ar"/>
              </w:rPr>
              <w:t>资源审批</w:t>
            </w: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资源审批</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对资源申请（如，数据门户的申请）进行审批</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restart"/>
            <w:shd w:val="clear" w:color="auto" w:fill="auto"/>
            <w:vAlign w:val="center"/>
          </w:tcPr>
          <w:p>
            <w:pPr>
              <w:widowControl/>
              <w:jc w:val="center"/>
              <w:rPr>
                <w:rFonts w:ascii="DengXian" w:hAnsi="DengXian" w:cs="宋体"/>
                <w:szCs w:val="21"/>
              </w:rPr>
            </w:pPr>
            <w:r>
              <w:rPr>
                <w:rFonts w:hint="eastAsia" w:ascii="宋体" w:hAnsi="宋体" w:eastAsia="宋体" w:cs="宋体"/>
                <w:kern w:val="0"/>
                <w:szCs w:val="21"/>
                <w:lang w:bidi="ar"/>
              </w:rPr>
              <w:t>数据管理中心</w:t>
            </w: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主题库目录</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对主题库目录进行管理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数据浏览</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提供平台数据内容的展示</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数据融合管理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对平台数据融合进行管理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清晰规则</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基于标准化规范管理数据核心模型</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对比规则</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对平台数据的对比规则进行管理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资源发布管理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对平台数据的资源发布进行管理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原始数据</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对平台原始数据进行管理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主题数据</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对平台主题数据进行管理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服务管理</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对平台数据的服务进行管理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应用注册</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对平台数据的应用注册进行管理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服务定义</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对平台数据的服务定义进行管理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服务授权</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对平台数据的服务授权进行管理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调用日志</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对平台数据的调用日志进行记录查看等管理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审批中心</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对平台数据的审批中心中相关的审批进行管理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数据审批</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对平台数据的数据审批进行管理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91" w:type="dxa"/>
            <w:gridSpan w:val="4"/>
            <w:vMerge w:val="continue"/>
            <w:shd w:val="clear" w:color="auto" w:fill="auto"/>
            <w:vAlign w:val="center"/>
          </w:tcPr>
          <w:p>
            <w:pPr>
              <w:widowControl/>
              <w:jc w:val="center"/>
              <w:rPr>
                <w:rFonts w:ascii="DengXian" w:hAnsi="DengXian" w:cs="宋体"/>
                <w:szCs w:val="21"/>
              </w:rPr>
            </w:pPr>
          </w:p>
        </w:tc>
        <w:tc>
          <w:tcPr>
            <w:tcW w:w="1554"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服务审批</w:t>
            </w:r>
          </w:p>
        </w:tc>
        <w:tc>
          <w:tcPr>
            <w:tcW w:w="4592" w:type="dxa"/>
            <w:shd w:val="clear" w:color="auto" w:fill="FFFFFF"/>
            <w:vAlign w:val="center"/>
          </w:tcPr>
          <w:p>
            <w:pPr>
              <w:widowControl/>
              <w:jc w:val="left"/>
              <w:rPr>
                <w:rFonts w:ascii="宋体" w:hAnsi="宋体" w:eastAsia="宋体" w:cs="宋体"/>
                <w:kern w:val="0"/>
                <w:szCs w:val="21"/>
                <w:lang w:bidi="ar"/>
              </w:rPr>
            </w:pPr>
            <w:r>
              <w:rPr>
                <w:rFonts w:hint="eastAsia" w:ascii="宋体" w:hAnsi="宋体" w:eastAsia="宋体" w:cs="宋体"/>
                <w:kern w:val="0"/>
                <w:szCs w:val="21"/>
                <w:lang w:bidi="ar"/>
              </w:rPr>
              <w:t>对平台数据的服务审批进行管理</w:t>
            </w:r>
          </w:p>
        </w:tc>
        <w:tc>
          <w:tcPr>
            <w:tcW w:w="703" w:type="dxa"/>
            <w:shd w:val="clear" w:color="auto" w:fill="FFFFFF"/>
            <w:vAlign w:val="center"/>
          </w:tcPr>
          <w:p>
            <w:pPr>
              <w:widowControl/>
              <w:jc w:val="center"/>
              <w:rPr>
                <w:rFonts w:ascii="宋体" w:hAnsi="宋体" w:eastAsia="宋体" w:cs="宋体"/>
                <w:kern w:val="0"/>
                <w:szCs w:val="21"/>
                <w:lang w:bidi="ar"/>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948" w:type="dxa"/>
            <w:gridSpan w:val="9"/>
            <w:shd w:val="clear" w:color="auto" w:fill="FFFFFF"/>
            <w:vAlign w:val="center"/>
          </w:tcPr>
          <w:p>
            <w:pPr>
              <w:widowControl/>
              <w:jc w:val="center"/>
              <w:rPr>
                <w:rFonts w:ascii="DengXian" w:hAnsi="DengXian" w:cs="宋体"/>
                <w:szCs w:val="21"/>
              </w:rPr>
            </w:pPr>
            <w:r>
              <w:rPr>
                <w:rFonts w:hint="eastAsia" w:ascii="DengXian" w:hAnsi="DengXian" w:cs="宋体"/>
                <w:szCs w:val="21"/>
              </w:rPr>
              <w:t>大数据-大数据指挥大厅系统管理平台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产品名称</w:t>
            </w:r>
          </w:p>
        </w:tc>
        <w:tc>
          <w:tcPr>
            <w:tcW w:w="1554" w:type="dxa"/>
            <w:shd w:val="clear" w:color="auto" w:fill="FFFFFF"/>
            <w:noWrap/>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功能模块</w:t>
            </w:r>
          </w:p>
        </w:tc>
        <w:tc>
          <w:tcPr>
            <w:tcW w:w="4592"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功能描述</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单位</w:t>
            </w:r>
          </w:p>
        </w:tc>
        <w:tc>
          <w:tcPr>
            <w:tcW w:w="810" w:type="dxa"/>
            <w:gridSpan w:val="2"/>
            <w:shd w:val="clear" w:color="auto" w:fill="FFFFFF"/>
            <w:vAlign w:val="center"/>
          </w:tcPr>
          <w:p>
            <w:pPr>
              <w:widowControl/>
              <w:jc w:val="center"/>
              <w:rPr>
                <w:rFonts w:ascii="DengXian" w:hAnsi="DengXian" w:cs="宋体"/>
                <w:szCs w:val="21"/>
              </w:rPr>
            </w:pPr>
            <w:r>
              <w:rPr>
                <w:rFonts w:hint="eastAsia" w:ascii="DengXian" w:hAnsi="DengXian"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restart"/>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指挥中心权限管理系统</w:t>
            </w: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组织结构管理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许昌经开区各级别组织结构维护</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人员管理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指挥大厅工作人员信息管理</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设备管理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指挥大厅设备管理</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账号管理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人员与账号对应关系维护</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接入系统管理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各业务系统接入维护</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w w:val="90"/>
                <w:kern w:val="0"/>
                <w:szCs w:val="21"/>
                <w:lang w:bidi="ar"/>
              </w:rPr>
              <w:t>功能及权限配置</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用户可使用功能和数据权限管理</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使用日志</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系统账户接口</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restart"/>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指挥中心坐席终端授权</w:t>
            </w: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用户登录</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人脸识别验证模块</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业务系统选择入口</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业务系统统一认证模块</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restart"/>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指挥中心坐席控制系统</w:t>
            </w:r>
          </w:p>
        </w:tc>
        <w:tc>
          <w:tcPr>
            <w:tcW w:w="1554" w:type="dxa"/>
            <w:shd w:val="clear" w:color="auto" w:fill="FFFFFF"/>
            <w:vAlign w:val="bottom"/>
          </w:tcPr>
          <w:p>
            <w:pPr>
              <w:widowControl/>
              <w:jc w:val="center"/>
              <w:textAlignment w:val="bottom"/>
              <w:rPr>
                <w:rFonts w:ascii="DengXian" w:hAnsi="DengXian" w:cs="宋体"/>
                <w:szCs w:val="21"/>
              </w:rPr>
            </w:pPr>
            <w:r>
              <w:rPr>
                <w:rFonts w:hint="eastAsia" w:ascii="宋体" w:hAnsi="宋体" w:eastAsia="宋体" w:cs="宋体"/>
                <w:kern w:val="0"/>
                <w:szCs w:val="21"/>
                <w:lang w:bidi="ar"/>
              </w:rPr>
              <w:t>大屏展示内容切换</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音响系统控制</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照明系统控制</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空调系统控制</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门禁控制系统</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restart"/>
            <w:shd w:val="clear" w:color="auto" w:fill="FFFFFF"/>
            <w:vAlign w:val="center"/>
          </w:tcPr>
          <w:p>
            <w:pPr>
              <w:widowControl/>
              <w:jc w:val="left"/>
              <w:textAlignment w:val="center"/>
              <w:rPr>
                <w:rFonts w:ascii="DengXian" w:hAnsi="DengXian" w:cs="宋体"/>
                <w:szCs w:val="21"/>
              </w:rPr>
            </w:pPr>
            <w:r>
              <w:rPr>
                <w:rFonts w:hint="eastAsia" w:ascii="宋体" w:hAnsi="宋体" w:eastAsia="宋体" w:cs="宋体"/>
                <w:kern w:val="0"/>
                <w:szCs w:val="21"/>
                <w:lang w:bidi="ar"/>
              </w:rPr>
              <w:t>指挥中心数据融合展示系统</w:t>
            </w: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一级数据展示内容定制</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综合大屏内容显示</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二级数据钻取内容展示定制</w:t>
            </w:r>
          </w:p>
        </w:tc>
        <w:tc>
          <w:tcPr>
            <w:tcW w:w="4592" w:type="dxa"/>
            <w:shd w:val="clear" w:color="auto" w:fill="FFFFFF"/>
            <w:vAlign w:val="bottom"/>
          </w:tcPr>
          <w:p>
            <w:pPr>
              <w:jc w:val="left"/>
              <w:rPr>
                <w:rFonts w:ascii="DengXian" w:hAnsi="DengXian" w:cs="宋体"/>
                <w:szCs w:val="21"/>
              </w:rPr>
            </w:pP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分屏信息展示内容配置</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大屏内容分主题内容分屏显示设定</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数据预处理引擎</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展示数据信息前置处理模块</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数据融合引擎</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多业务系统融合展示设置</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数据预警模式管理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异常数据触发模式设定（短信、警灯、消息推送）</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数据信息响应管理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配置哪些数据需要重点处理</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9" w:type="dxa"/>
            <w:gridSpan w:val="4"/>
            <w:vMerge w:val="continue"/>
            <w:shd w:val="clear" w:color="auto" w:fill="auto"/>
            <w:vAlign w:val="center"/>
          </w:tcPr>
          <w:p>
            <w:pPr>
              <w:jc w:val="left"/>
              <w:rPr>
                <w:rFonts w:ascii="DengXian" w:hAnsi="DengXian" w:cs="宋体"/>
                <w:szCs w:val="21"/>
              </w:rPr>
            </w:pPr>
          </w:p>
        </w:tc>
        <w:tc>
          <w:tcPr>
            <w:tcW w:w="1554"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异常响应责任管理</w:t>
            </w:r>
          </w:p>
        </w:tc>
        <w:tc>
          <w:tcPr>
            <w:tcW w:w="4592" w:type="dxa"/>
            <w:shd w:val="clear" w:color="auto" w:fill="FFFFFF"/>
            <w:vAlign w:val="bottom"/>
          </w:tcPr>
          <w:p>
            <w:pPr>
              <w:widowControl/>
              <w:jc w:val="left"/>
              <w:textAlignment w:val="bottom"/>
              <w:rPr>
                <w:rFonts w:ascii="DengXian" w:hAnsi="DengXian" w:cs="宋体"/>
                <w:szCs w:val="21"/>
              </w:rPr>
            </w:pPr>
            <w:r>
              <w:rPr>
                <w:rFonts w:hint="eastAsia" w:ascii="宋体" w:hAnsi="宋体" w:eastAsia="宋体" w:cs="宋体"/>
                <w:kern w:val="0"/>
                <w:szCs w:val="21"/>
                <w:lang w:bidi="ar"/>
              </w:rPr>
              <w:t>相关主题异常数据责任组织、责任人配置</w:t>
            </w:r>
          </w:p>
        </w:tc>
        <w:tc>
          <w:tcPr>
            <w:tcW w:w="703" w:type="dxa"/>
            <w:shd w:val="clear" w:color="auto" w:fill="FFFFFF"/>
            <w:vAlign w:val="center"/>
          </w:tcPr>
          <w:p>
            <w:pPr>
              <w:widowControl/>
              <w:jc w:val="center"/>
              <w:textAlignment w:val="center"/>
              <w:rPr>
                <w:rFonts w:ascii="DengXian" w:hAnsi="DengXian" w:cs="宋体"/>
                <w:szCs w:val="21"/>
              </w:rPr>
            </w:pPr>
            <w:r>
              <w:rPr>
                <w:rFonts w:hint="eastAsia" w:ascii="宋体" w:hAnsi="宋体" w:eastAsia="宋体" w:cs="宋体"/>
                <w:kern w:val="0"/>
                <w:szCs w:val="21"/>
                <w:lang w:bidi="ar"/>
              </w:rPr>
              <w:t>项</w:t>
            </w:r>
          </w:p>
        </w:tc>
        <w:tc>
          <w:tcPr>
            <w:tcW w:w="810" w:type="dxa"/>
            <w:gridSpan w:val="2"/>
            <w:shd w:val="clear" w:color="auto" w:fill="FFFFFF"/>
            <w:noWrap/>
            <w:vAlign w:val="center"/>
          </w:tcPr>
          <w:p>
            <w:pPr>
              <w:widowControl/>
              <w:jc w:val="center"/>
              <w:rPr>
                <w:rFonts w:ascii="DengXian" w:hAnsi="DengXian" w:cs="宋体"/>
                <w:szCs w:val="21"/>
              </w:rPr>
            </w:pPr>
            <w:r>
              <w:rPr>
                <w:rFonts w:hint="eastAsia" w:ascii="DengXian" w:hAnsi="DengXian" w:cs="宋体"/>
                <w:szCs w:val="21"/>
              </w:rPr>
              <w:t>1</w:t>
            </w:r>
          </w:p>
        </w:tc>
      </w:tr>
    </w:tbl>
    <w:p>
      <w:pPr>
        <w:jc w:val="center"/>
        <w:rPr>
          <w:b/>
          <w:bCs/>
          <w:sz w:val="28"/>
          <w:szCs w:val="28"/>
        </w:rPr>
      </w:pPr>
      <w:r>
        <w:rPr>
          <w:rFonts w:hint="eastAsia"/>
          <w:b/>
          <w:bCs/>
          <w:sz w:val="28"/>
          <w:szCs w:val="28"/>
        </w:rPr>
        <w:t>智慧联动中心及附属空间材料设备采购及安装清单</w:t>
      </w:r>
    </w:p>
    <w:tbl>
      <w:tblPr>
        <w:tblStyle w:val="26"/>
        <w:tblW w:w="8711" w:type="dxa"/>
        <w:jc w:val="center"/>
        <w:tblLayout w:type="fixed"/>
        <w:tblCellMar>
          <w:top w:w="0" w:type="dxa"/>
          <w:left w:w="0" w:type="dxa"/>
          <w:bottom w:w="0" w:type="dxa"/>
          <w:right w:w="0" w:type="dxa"/>
        </w:tblCellMar>
      </w:tblPr>
      <w:tblGrid>
        <w:gridCol w:w="767"/>
        <w:gridCol w:w="2535"/>
        <w:gridCol w:w="3915"/>
        <w:gridCol w:w="660"/>
        <w:gridCol w:w="834"/>
      </w:tblGrid>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color w:val="000000"/>
                <w:kern w:val="0"/>
                <w:szCs w:val="21"/>
                <w:lang w:bidi="ar"/>
              </w:rPr>
              <w:t>序号</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color w:val="000000"/>
                <w:kern w:val="0"/>
                <w:szCs w:val="21"/>
                <w:lang w:bidi="ar"/>
              </w:rPr>
              <w:t>采购内容</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color w:val="000000"/>
                <w:kern w:val="0"/>
                <w:szCs w:val="21"/>
                <w:lang w:bidi="ar"/>
              </w:rPr>
              <w:t>规格型号及安装方式</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color w:val="000000"/>
                <w:kern w:val="0"/>
                <w:szCs w:val="21"/>
                <w:lang w:bidi="ar"/>
              </w:rPr>
              <w:t>单位</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color w:val="000000"/>
                <w:kern w:val="0"/>
                <w:szCs w:val="21"/>
                <w:lang w:bidi="ar"/>
              </w:rPr>
              <w:t>数量</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电气部分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1.名称:照明配电箱1AL主户箱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2.规格:1000*1000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3.安装方式:明装 距地1.6米</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1.名称:多功能会议厅配电箱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2.规格:430*550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 距地1.6米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4.接线端子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1.名称:指挥大厅配电箱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2.规格:430*550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3.安装方式:距地1.6米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4.接线端子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1.名称:办公室1配电箱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2.规格:300*450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 距地1.6米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4.接线端子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1.名称:办公室2配电箱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2.规格:300*450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3.安装方式:距地1.6米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4.接线端子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1.名称:卫生间配电箱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2.规格:300*450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3.安装方式:距地1.6米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4.接线端子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1.名称:值班室配电箱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2.规格:300*450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3.安装方式:距地1.6米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4.接线端子 4mm2、2.5mm2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配电箱</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1.名称:室外空调主机配电箱</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2.规格:300*450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3.安装方式:距地1.6米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4.接线端子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桥架</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1.名称:桥架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2.型号、规格: 200*100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179.99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小电器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1.名称;300*300换风扇</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照明开关</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1.名称：单联单控开关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2.安装方式：距地1.3m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照明开关</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1.名称：双联单控开关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2.安装方式：距地1.3m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照明开关</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1.名称：三联单控开关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2.安装方式：距地1.3m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照明开关</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1.名称:中央空调控制面板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2.安装方式:距地1.3米</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插座</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1.名称:单相二、三极插座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2.型号:250V 10A</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3.安装高度:距地0.3m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2.规格:YJV-4x50+1x25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3.材质:铜芯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4.敷设方式：室内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5.电压等级(kV):1KV</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2.规格:YJV-4x25+1x16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3.材质:铜芯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4.敷设方式：室内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5.电压等级(kV):1KV</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2.规格:YJV-5x16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3.材质:铜芯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4.敷设方式：室内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5.电压等级(kV):1KV</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53.19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2.规格:YJV-5x10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3.材质:铜芯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4.敷设方式：室内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5.电压等级(kV):1KV</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109.86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2.规格:YJV-4x50+1x25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3.材质、类型:铜芯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2.规格:YJV-4x25+1*16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3.材质、类型:铜芯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2.规格:YJV-5x16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3.材质、类型:铜芯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电力电缆头</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1.名称:电力电缆头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2.规格:YJV-5x10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3.材质、类型:铜芯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 JDG50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3.配置形式：明敷</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p>
          <w:p>
            <w:pPr>
              <w:widowControl/>
              <w:jc w:val="center"/>
              <w:textAlignment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 JDG50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3.配置形式：暗敷</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 JDG20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3.配置形式：明敷</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746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1.名称：电气配管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 JDG20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3.配置形式：暗敷</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194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1.名称：电气配线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2.配线形式：管内敷设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3.规格型号：BV-10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39.37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1.名称：电气配线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2.配线形式：管内敷设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3.规格型号：BV-6</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124.02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1.名称：电气配线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2.配线形式：管内敷设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3.规格型号：BV-2.5</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1257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1.名称：电气配线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2.配线形式：管内敷设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3.规格型号：BV-4</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1346.91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接线盒</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1.名称:地面插座接线盒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2.材质;钢制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接线盒</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1.名称:开关、插座盒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2.材质;钢制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接线盒</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1.名称:接线盒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2.材质;钢制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189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装饰灯</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1.名称:LED筒灯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2.型号:直径12cm,9W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3.安装方式:嵌入式安装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装饰灯</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1.名称:双头可调节射灯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2.型号:面经310mm*165mm，15W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3.安装方式:嵌入式安装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装饰灯</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1.名称:三头可调节射灯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2.型号:面经425mm*165mm，15W</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3.安装方式:嵌入式安装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装饰灯</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 灯带</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55.28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普通灯具</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 长条吊灯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凿（压)槽</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1.名称:剔砖槽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打洞（孔）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1.名称:打洞（孔）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2.规格:200*100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3.堵洞</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送配电装置系统</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1.送配电装置系统调试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系统</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2.介质：给水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3.材质、规格：PPR管De32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4.连接形式:热熔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5.消毒冲洗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2.介质：给水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3.材质、规格：PPR管De25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4.连接形式:热熔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5.消毒冲洗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2.介质：排水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3.材质、规格：UPVC管 De110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4.连接形式:粘接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5.阻火圈设计要求：按设计要求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2.介质：排水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3.材质、规格：UPVC管 De75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4.连接形式:粘接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5.阻火圈设计要求：按设计要求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2.介质：排水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3.材质、规格：UPVC管 De50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4.连接形式:粘接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5.阻火圈设计要求：按设计要求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21.48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大便器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1.名称:坐便（含五金配件）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大便器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1.名称:蹲便（含五金配件）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小便器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1.名称:智能感应小便器（含五金配件）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给、排水附(配)件</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1.名称:地漏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2.型号、规格:DN50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给、排水附(配)件</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1.名称:洗手台水龙头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2.型号、规格:DN15</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给、排水附(配)件</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1.名称:拖布池水龙头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2.型号、规格:DN15</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凿（压)槽</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1.剔砖槽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23.88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新风系统</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风机盘管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1.名称:双向流新风机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2.型号: CVD2-2500J </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1.名称:外墙侧送风口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2.规格:320*200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2.规格:300*300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1.名称:单层活动百叶风口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2.规格:400*400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2.规格:250*250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1.名称:单层活动百叶风口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2.规格:500*160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2.规格:200*160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2.规格:250*120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2.规格:320*160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2.规格:320*200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2.规格:400*160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2.规格:400*200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12.71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2.规格:500*200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41.57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2.规格:630*200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45.28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空调部分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风机盘管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1.名称:风机盘管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2.型号:FP-102WA-Y</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3.安装形式:吊顶式</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风机盘管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1.名称:风机盘管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2.型号:FP-204WA-Y</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3.安装形式:吊顶式</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风机盘管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1.名称:风机盘管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2.型号:FP-238WA-Z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3.安装形式:吊顶式</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台</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1.名称:单层活动百叶风口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2.规格:900*300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2.规格:800*200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1.名称:单层活动百叶风口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2.规格:1600*300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2.规格:1600*200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铝及铝合金风口、散流器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1.名称:双层活动百叶风口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2.规格:1500*200</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2.规格:900*150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2.规格:1600*150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复合型风管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1.名称:A6钢面型酚醛复合风管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2.规格:1800*150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3.板材厚度:20mm,单面复合0.2mm,压花镀锌航班内复合铝箔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92.41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镀锌钢管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2.材质;镀锌钢管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丝扣连接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51.48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镀锌钢管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2.材质;镀锌钢管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丝扣连接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28.09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镀锌钢管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2.材质;镀锌钢管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丝扣连接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镀锌钢管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2.材质;镀锌钢管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丝扣连接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镀锌钢管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2.材质;镀锌钢管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3.规格、压力等级;DN70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焊接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镀锌钢管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2.材质;镀锌钢管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丝扣连接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28.23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2.材质;UPVC管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粘接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36.95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2.材质;UPVC管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粘接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2.材质;UPVC管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粘接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1.安装部位;室内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2.材质;UPVC管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3.规格、压力等级;DN40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4.连接形式; 粘接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14.26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管道绝热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1.绝热材料品种:难燃B1级发泡橡塑保温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2.管道外径:DN80以下</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0.52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管道绝热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1.绝热材料品种:难燃B1级发泡橡塑保温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2.管道外径:DN50以下</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0.75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焊接法兰阀门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1.类型:蝶阀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2.规格、压力等级:DN80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3.连接形式:焊接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螺纹阀门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1.类型:铜球阀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2.规格、压力等级:DN20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3.连接形式:丝接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软接头(软管）</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1.类型:不锈钢软连接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2.规格、压力等级:DN20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3.连接形式:丝接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螺纹阀门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1.类型:Y型过滤器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2.规格、压力等级:DN20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3.连接形式:丝接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螺纹阀门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1.类型:手动放气阀</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2.规格、压力等级:按设计要求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3.连接形式:丝接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管道支架</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1、名称：管道支架制作安装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2、工作内容：除锈后刷银粉漆两道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kg</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74.57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墙体部分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实心砖墙</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1.部位：茶水间门洞处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2.墙体规格：120墙体，高度5.2m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0.468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基础梁</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1.混凝土种类:商砼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2.混凝土强度等级:C20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3.混凝土运距:自行考虑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0.254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过梁</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1.混凝土种类:商砼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2.混凝土强度等级:C20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3.混凝土运距:自行考虑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4.型材4*4*3角钢</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0.2784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墙面一般抹灰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1.名称 普通砖墙凿门洞处墙面抹灰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砖墙 240+两侧抹灰层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3.加固钢丝网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金属隔断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1.部位：多功能会议厅与办公室交接隔墙、指挥大厅于过道交接隔墙（一侧为硬包，一侧为壁布，面层另见清单项）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2.高度：5.2m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3.150隔墙轻钢龙骨骨架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4.内填充隔音岩棉，厚50mm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5.一侧双层18mm细木工板基层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6.一侧9mm厚双层石膏板封面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7.石膏板缝隙做纸胶带补缝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82.176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金属隔断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1.部位：多功能会议厅与指挥大厅交接隔墙（两侧均为硬包，面层另见清单项）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2.高度：5.2m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3.150隔墙轻钢龙骨骨架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4.内填充隔音岩棉，厚50mm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5.两侧双层18mm细木工板基层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46.145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金属隔断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1.部位：办公室/值班室与过道交接隔墙（两侧为壁布，面层另见清单项）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2.高度：5.2m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3.75隔墙轻钢龙骨骨架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4.内填充隔音岩棉，厚50mm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5.两侧9mm厚双层石膏板封面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6.石膏板缝隙做纸胶带补缝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62.44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金属隔断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1.部位：机房新建隔墙（双面）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2.高度：5.2m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3.隔墙轻钢龙骨骨架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4.内填50mm充防火岩棉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5.12mm石膏板封面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6.彩钢压型墙板0.5mm厚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7.石膏板缝隙做纸胶带补缝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116.22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玻璃隔断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1.部位：多功能会议厅与指挥厅交界处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2.材质：雾化调光玻璃隔断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3.高度：3.6m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23.76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指挥大厅部分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零星砌砖</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1.零星砌体 指挥大厅主席台地台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2.水泥砂浆抹灰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3.15mm厚实木踏步板，胡桃木饰面板饰面工艺</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6.450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1.800*800珍珠米白地砖铺贴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2.30厚水泥砂浆找平层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3.30厚水泥砂浆防水保护层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4.20厚水泥砂浆粘结层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5.界面剂一道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173.15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地毯楼地面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1.地面防静电带垫地毯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173.15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金属踢脚线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1.材质：80mm高1.5mm黑色拉丝不锈钢踢脚线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2.18mm厚木工板基层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4.518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石材墙面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1.部位：指挥大厅显示屏背景墙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2.镀锌钢结构基层框架，外挂黑金沙石材装饰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3.中填隔音棉</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1.原有墙体硬包造型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2.12mm多层板基层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49.52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1.新建墙体面层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2.硬包造型厚度15mm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60.57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柱面装饰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1.原立柱硬包造型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2.12mm多层板及基层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柱（梁）面装饰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1.新建立柱造型爵士白石材干挂装饰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2.规格厚度：20mm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3.双层18木工板造型基层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4.8#镀锌槽钢、5#镀锌角铁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5.5mm*5mm石材倒角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6.部位:指挥大厅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1.天棚艺术吊顶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4.凹龛18mm细木工板造型，刷防火涂料三遍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6.石膏板吊顶做纸胶带补缝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172.2568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地砖美缝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2.专业地砖美缝剂（立邦美缝剂）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173.15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多功能会议厅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木窗帘盒</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1.窗帘盒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2.18mm细木工板基层，防火涂料三遍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3.石膏板面层，乳胶漆三遍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1.800*800珍珠米白地砖铺贴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2.30厚水泥砂浆找平层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3.30厚水泥砂浆防水保护层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4.20厚水泥砂浆粘结层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5.界面剂一道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地毯楼地面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1.地面防静电带垫地毯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金属踢脚线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1.材质：80mm高1.5mm黑色拉丝不锈钢踢脚线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2.18mm厚木工板基层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4.652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石材墙面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1.大屏背景石材品种：黑金沙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2.规格厚度：20mm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3.钢挂石材钢骨架40*40*5mm镀锌角钢、40*40*5mm镀锌方钢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4.中填隔音棉</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25.92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柱（梁）面装饰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1.新建3mm原木纹立柱（实木，胡桃木饰面板工艺）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2.18mm厚细木工板框架造型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3.5#镀锌角钢连接加固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7.056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柱面装饰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1.原立柱硬包造型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2.12mm多层板及基层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25.95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1.新建墙体面层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2.硬包造型厚度15mm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51.178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1.原有墙体硬包造型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2.12mm多层板及基层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19.04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红旗墙红旗底座及边框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1、18mm细木工板框架，防火涂料三遍，12mm成品木饰面，胡桃木饰面板工艺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2、底座150*80mm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1.跌级天棚吊顶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3.灯箱位置18mm细木工板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5.刷腻子三遍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7.石膏吊顶板缝隙做纸胶带补缝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灯带（槽）</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1.灯槽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2.18mm细木工板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3.防火涂料三遍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4.石膏板面层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5.乳胶漆三遍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56.6884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国旗、党旗造型展示、党徽装饰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1.党徽材质：电镀铜640mm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2.党红旗及杆3m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地砖美缝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2.专业地砖美缝剂（立邦美缝剂）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机房部分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平面砂浆找平层</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1.机房地面找平30mm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2.环氧树脂地坪防潮层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3.地面保温防护层20mm厚保温棉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4.环氧自流平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5.地面底面防腐油漆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126.6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防静电活动地板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1.全钢PVC防静电活动地板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2.规格600*600*35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3.30x30边角钢</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123.37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金属踢脚线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1.踢脚线高度 80mm高1mm压光不锈钢踢脚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2.基层材料种类、规格   9mm板基层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1.原顶面做清理及水泥砂浆找平厚度30mm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2.聚合物水泥防水涂料 （做两遍）并向下延伸20公分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3.防尘油漆二遍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4.轻钢龙骨微孔铝板天花吊顶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123.37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墙面装饰板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1.部位：机房原有墙体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2.18mm厚细木工板基层打底，制作高度4米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3.彩钢压型墙板0.5mm厚，制作高度3.6米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147.82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中控室部分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1.800*800珍珠米白地砖铺贴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2.30厚水泥砂浆找平层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3.30厚水泥砂浆防水保护层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4.20厚水泥砂浆粘结层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5.界面剂一道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金属踢脚线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1.材质：80mm高1.5mm黑色拉丝不锈钢踢脚线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2.18mm厚木工板基层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1.天棚吊顶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5.石膏吊顶板缝隙做纸胶带补缝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墙纸裱糊</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1.基层类型  腻子基层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2.裱糊部位  墙面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3.腻子种类  成品腻子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4.刮腻子遍数  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5.专用壁布</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39.15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地砖美缝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2.专业地砖美缝剂（立邦美缝剂）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值班室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木窗帘盒</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1.窗帘盒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2.18mm细木工板基层，防火涂料三遍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3.石膏板面层、乳胶漆三遍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1.800*800珍珠米白地砖铺贴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2.30厚水泥砂浆找平层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3.30厚水泥砂浆防水保护层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4.20厚水泥砂浆粘结层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5.界面剂一道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金属踢脚线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1.材质：80mm高1.5mm黑色拉丝不锈钢踢脚线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2.18mm厚木工板基层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1.天棚吊顶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5.石膏吊顶板缝隙做纸胶带补缝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墙纸裱糊</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1.基层类型  腻子基层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2.裱糊部位  墙面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3.腻子种类  成品腻子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4.刮腻子遍数  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5.专用壁布</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46.87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地砖美缝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2.专业地砖美缝剂（立邦美缝剂）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办公室2及办公室1</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木窗帘盒</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1.窗帘盒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2.18mm细木工板基层，防火涂料三遍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3.石膏板面层、乳胶漆三遍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1.800*800珍珠米白地砖铺贴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2.30厚水泥砂浆找平层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3.30厚水泥砂浆防水保护层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4.20厚水泥砂浆粘结层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5.界面剂一道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金属踢脚线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1.材质：80mm高1.5mm黑色拉丝不锈钢踢脚线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2.18mm厚木工板基层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1.天棚吊顶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5.石膏吊顶板缝隙做纸胶带补缝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墙纸裱糊</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1.基层类型  腻子基层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2.裱糊部位  墙面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3.腻子种类  成品腻子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4.刮腻子遍数  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5.专用壁布</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158.28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地砖美缝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2.专业地砖美缝剂（立邦美缝剂）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过道部分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木窗帘盒</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1.窗帘盒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2.18mm细木工板基层，防火涂料三遍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3.石膏板面层、乳胶漆三遍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1.800*800珍珠米白地砖铺贴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2.30厚水泥砂浆找平层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3.30厚水泥砂浆防水保护层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4.20厚水泥砂浆粘结层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5.界面剂一道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金属踢脚线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1.材质：80mm高1.5mm黑色拉丝不锈钢踢脚线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2.18mm厚木工板基层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3.刷防火涂料三遍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5.5992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1.天棚吊顶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5.石膏吊顶板缝隙做纸胶带补缝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墙纸裱糊</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1.基层类型  腻子基层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2.裱糊部位  墙面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3.腻子种类  成品腻子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4.刮腻子遍数  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5.专用壁布</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237.72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地砖美缝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2.专业地砖美缝剂（立邦美缝剂）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卫生间\水吧间</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拖布池</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1.拖布池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2.砖砌拖布池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3.水泥砂浆批灰层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4.爵士白大理石铺贴</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零星砌砖</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2.砖砌拖地台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3.抹灰层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2.1200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块料楼地面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1.300*300爵士白地砖铺贴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2.20厚水泥砂浆粘接层层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3.1.5mm厚丙纶防水层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4.30厚水泥砂浆防水保护层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5.30厚水泥砂浆找平层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6.界面剂一道</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51.36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块料墙面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1.300*600爵士白石材砖粘贴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2.聚合物砂浆或专用粘合剂粘贴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3.1.5厚丙纶防水层，墙面高度按2米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4.15厚水泥砂浆找平层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155.48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成品隔断</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1.烟灰色效果专用防潮防火板隔断</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71.71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1.卫生间茶水间天棚吊顶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2.9mm双层防水纸面石膏饰面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4.批腻子灰三遍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6.石膏吊顶板缝隙作纸胶带补缝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51.36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开水间物品柜</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1.开水间物品柜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2.规格:2640*2620mm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厨房低柜</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1.茶水间茶水低柜</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厨房吊柜</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1.茶水间茶水吊柜</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洗漱台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1.大理石洗漱台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2.爵士白大理石面层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3.防潮板基层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4.原木色实木多层免漆洗面柜</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2.0608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镜面玻璃</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1.镜面玻璃带框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2.磨砂黑色不锈钢边框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地砖美缝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2.专业地砖美缝剂（立邦美缝剂）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51.36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墙面美缝</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1.墙面留缝2mm铺贴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2.专业墙砖美缝剂（立邦美缝剂）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156.88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其他</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木质门带套</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1.实木单扇平开门，面层胡桃木饰面板工艺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2.门头造型</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木质门带套</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1.实木双扇平开门，面层胡桃木饰面板工艺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2.门头造型</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木质门带套</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1.卫生间实木单扇平开门，面层胡桃木饰面板工艺</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钢质防火门</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1.机房钢质防火门尺寸：2.7*1.72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1.全钢甲级防火门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2.防火门五金件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3.防火门用隐蔽式闭门器（含顺位器）</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石材窗台板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1.咖网石材窗台板</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14.7300</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石材零星项目</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1.800*1600大板啡网过门石（其他房间）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2.水泥砂浆结合层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3.1:2水泥砂浆垫层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块料零星项目</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1.800*1600大板啡网过门石（卫生间、茶水间）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2.20厚1:3水泥砂浆结合层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3.1.5mm厚丙纶防水层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0.7176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机房隐形门制作及安装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1.部位：机房</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风口制作</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1.风口基层板制作、15mm厚细木工板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2.刷防火涂料三遍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3.乳胶漆三遍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窗帘</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1.窗帘设计为双层帘：布艺遮光和纱帘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2.窗帘高度3.9m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3.范围：指挥大厅、会议室、两个办公室、值班室及过道的窗户处</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85.11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楼梯间外</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挖灯孔</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1.挖灯孔、消防喇叭孔</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吊顶天棚</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1.天棚吊顶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2.9mm双层纸面石膏饰面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3.刷乳胶漆三遍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4.50系轻钢龙骨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5.石膏板吊顶做纸胶带补缝</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满堂脚手架</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1.满堂脚手架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684.96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加固部分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钢梁</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1.梁类型:HN350*175*7*11</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2.钢材品种、规格:Q345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3.构件运距:自行考虑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3.234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钢梁</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1.梁类型:HN300*150*6.5*9</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2.钢材品种、规格:Q345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3.构件运距:自行考虑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2.821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现浇构件钢筋</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1.钢筋种类、规格:Φ10以内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2.部位:型钢组合混凝土构件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0.789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预埋铁件</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1.预埋钢板</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0.449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金属面油漆</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1.钢结构除锈，喷两遍灰漆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6.504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钢板楼板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1.钢材品种、规格:YZY76-344-688-1.2，Q235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2.钢板厚度:1.2mm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123.37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平板</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1.混凝土种类:商品砼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2.混凝土强度等级:C20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3.商砼运距:自行考虑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行政大厅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1.拆除铝塑板吊顶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256.17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1.拆除大厅南侧生态木吊顶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隔断隔墙拆除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1.大厅南侧蓝色隔墙拆除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12.97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1.大厅地砖拆除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2.地砖规格800*800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342.57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1.墙柱干挂瓷砖拆除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132.224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91.312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办公室1（原值班室）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1.拆除石膏吊顶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隔断隔墙拆除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1.轻质隔墙高3.93m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23.58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铲除油漆面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1.墙面乳胶漆涂料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90.06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16.373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茶水间</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1.拆除石膏吊顶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1.墙面瓷砖拆除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17.1288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砖砌体拆除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1.拆除砖墙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15.17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26.6097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卫生间</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1.墙面瓷砖拆除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96.02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1.地面瓷砖拆除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44.98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隔断隔墙拆除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1.男女厕所蹲坑轻质隔断拆除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33.85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1.拆除铝扣板吊顶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44.98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木门窗拆除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1.男女厕所处木门拆除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2.门尺寸：2m*0.9m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3.个数：2个</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樘</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卫生洁具拆除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1.洗手台拆除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2.规格：长3.5m 宽0.8m 高0.6m 厚度0.018m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套</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砖砌体拆除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1.拆除男女厕所蹲便地台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22.568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办公室2</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1.拆除铝塑板吊顶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铲除油漆面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1.墙面乳胶漆涂料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66.82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隔断隔墙拆除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1.隔墙拆除高3.3m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35.31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1.地面地板砖拆除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15.039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过道</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1.拆除铝塑板吊顶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43.21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1.拆除石膏板吊顶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37.54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1.大厅地砖拆除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80.75</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立面块料拆除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1.墙柱干挂瓷砖拆除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128.76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铲除油漆面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1.墙柱乳胶漆拆除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62.48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31.4544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档案室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1.拆除石膏吊顶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60.14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60.14</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铲除油漆面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1.墙体乳胶漆拆除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78.32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砖砌体拆除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1.拆除砖墙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16.099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42.3048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文体活动室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1.拆除石膏板吊顶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64.76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铲除油漆面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1.墙面乳胶漆涂料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100.97</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隔断隔墙拆除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1.隔墙拆除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17.09</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1.地面地板砖拆除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64.76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22.2562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新建值班室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1.拆除铝塑板吊顶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17.66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1.值班室地砖拆除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17.66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铲除油漆面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1.墙面乳胶漆涂料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59.616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隔断隔墙拆除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1.轻质隔墙高3.93m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28.588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13.4358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楼梯厅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1.拆除石膏板吊顶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2.002</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中控室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隔断隔墙拆除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1.轻质隔墙高3.93m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0.4716</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天棚面龙骨及饰面拆除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1.拆除石膏板吊顶</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平面块料拆除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1.地砖拆除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2.铲除水泥砂浆找平层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6.11</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铲除油漆面</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1.墙面乳胶漆涂料</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37.4648</w:t>
            </w:r>
          </w:p>
        </w:tc>
      </w:tr>
      <w:tr>
        <w:tblPrEx>
          <w:tblCellMar>
            <w:top w:w="0" w:type="dxa"/>
            <w:left w:w="0" w:type="dxa"/>
            <w:bottom w:w="0" w:type="dxa"/>
            <w:right w:w="0" w:type="dxa"/>
          </w:tblCellMar>
        </w:tblPrEx>
        <w:trPr>
          <w:trHeight w:val="312" w:hRule="atLeast"/>
          <w:jc w:val="center"/>
        </w:trPr>
        <w:tc>
          <w:tcPr>
            <w:tcW w:w="767"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垃圾外运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1.垃圾外运运距自行考虑</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3.2864</w:t>
            </w:r>
          </w:p>
        </w:tc>
      </w:tr>
    </w:tbl>
    <w:p>
      <w:pPr>
        <w:pStyle w:val="2"/>
        <w:ind w:firstLine="562" w:firstLineChars="200"/>
        <w:jc w:val="center"/>
        <w:rPr>
          <w:rFonts w:hAnsi="宋体" w:cs="宋体"/>
          <w:b/>
          <w:bCs/>
          <w:sz w:val="28"/>
          <w:szCs w:val="28"/>
        </w:rPr>
      </w:pPr>
      <w:r>
        <w:rPr>
          <w:rFonts w:hint="eastAsia" w:hAnsi="宋体" w:cs="宋体"/>
          <w:b/>
          <w:bCs/>
          <w:sz w:val="28"/>
          <w:szCs w:val="28"/>
        </w:rPr>
        <w:t>智慧中心家具采购清单（由中标供应商按以下规格负责采购，已包含在总预算中）</w:t>
      </w:r>
    </w:p>
    <w:tbl>
      <w:tblPr>
        <w:tblStyle w:val="26"/>
        <w:tblW w:w="8700" w:type="dxa"/>
        <w:tblInd w:w="85" w:type="dxa"/>
        <w:tblLayout w:type="autofit"/>
        <w:tblCellMar>
          <w:top w:w="0" w:type="dxa"/>
          <w:left w:w="0" w:type="dxa"/>
          <w:bottom w:w="0" w:type="dxa"/>
          <w:right w:w="0" w:type="dxa"/>
        </w:tblCellMar>
      </w:tblPr>
      <w:tblGrid>
        <w:gridCol w:w="765"/>
        <w:gridCol w:w="2535"/>
        <w:gridCol w:w="3915"/>
        <w:gridCol w:w="645"/>
        <w:gridCol w:w="840"/>
      </w:tblGrid>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序号</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采购内容</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规格型号</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数量</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主席台弧形办公桌</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1.成品定制专业配套设施办公桌</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主席台办公椅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1.成品采购</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弧形办公桌子</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1.成品定制专业办公桌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2.每组3.1米  共4组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3.总计:12.4米</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1.成品采购</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多功能会议室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会议办公桌</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1.成品定制专业配套设施办公桌（实木贴皮工艺）</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米</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会议室办公椅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1.成品采购</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秘书台</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1.成品定制专业配套设施办公桌</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办公桌（每组）</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1.定制专业配套设施办公桌</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办公室资料柜</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1.成品定制及安装，原木纹饰面柜子（按正立面投影面积计算）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办公室1</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办公桌（每组）</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1.定制专业配套设施办公桌</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办公室资料柜</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1.成品定制及安装，原木纹饰面柜子（按正立面投影面积计算）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值班室</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办公桌（每组）</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1.定制专业配套设施办公桌</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办公椅</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ascii="宋体" w:hAnsi="宋体" w:eastAsia="宋体" w:cs="宋体"/>
                <w:color w:val="000000"/>
                <w:szCs w:val="21"/>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r>
      <w:tr>
        <w:tblPrEx>
          <w:tblCellMar>
            <w:top w:w="0" w:type="dxa"/>
            <w:left w:w="0" w:type="dxa"/>
            <w:bottom w:w="0" w:type="dxa"/>
            <w:right w:w="0" w:type="dxa"/>
          </w:tblCellMar>
        </w:tblPrEx>
        <w:trPr>
          <w:trHeight w:val="312" w:hRule="atLeast"/>
        </w:trPr>
        <w:tc>
          <w:tcPr>
            <w:tcW w:w="76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25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办公室资料柜</w:t>
            </w:r>
          </w:p>
        </w:tc>
        <w:tc>
          <w:tcPr>
            <w:tcW w:w="39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1.成品定制及安装，原木纹饰面柜子（按正立面投影面积计算）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m2</w:t>
            </w:r>
          </w:p>
        </w:tc>
        <w:tc>
          <w:tcPr>
            <w:tcW w:w="84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r>
    </w:tbl>
    <w:p>
      <w:pPr>
        <w:spacing w:line="360" w:lineRule="auto"/>
        <w:ind w:firstLine="482" w:firstLineChars="200"/>
        <w:contextualSpacing/>
        <w:rPr>
          <w:rFonts w:asciiTheme="minorEastAsia" w:hAnsiTheme="minorEastAsia" w:cstheme="minorEastAsia"/>
          <w:b/>
          <w:kern w:val="0"/>
          <w:sz w:val="24"/>
          <w:szCs w:val="24"/>
          <w:shd w:val="clear" w:color="auto" w:fill="FFFFFF"/>
        </w:rPr>
      </w:pPr>
      <w:r>
        <w:rPr>
          <w:rFonts w:hint="eastAsia" w:asciiTheme="minorEastAsia" w:hAnsiTheme="minorEastAsia" w:cstheme="minorEastAsia"/>
          <w:b/>
          <w:kern w:val="0"/>
          <w:sz w:val="24"/>
          <w:szCs w:val="24"/>
          <w:shd w:val="clear" w:color="auto" w:fill="FFFFFF"/>
        </w:rPr>
        <w:t>本采购清单中所列加★项技术规格或参数为最低要求，不允许负偏离，否则将承担其投标被视为非实质性响应投标的风险。</w:t>
      </w:r>
    </w:p>
    <w:p>
      <w:pPr>
        <w:spacing w:line="360" w:lineRule="auto"/>
        <w:ind w:firstLine="482" w:firstLineChars="200"/>
        <w:contextualSpacing/>
        <w:rPr>
          <w:rFonts w:ascii="楷体" w:hAnsi="楷体" w:eastAsia="楷体" w:cs="宋体"/>
          <w:kern w:val="0"/>
          <w:sz w:val="28"/>
          <w:szCs w:val="28"/>
          <w:lang w:val="zh-CN"/>
        </w:rPr>
      </w:pP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（2）信息安全产品强制性认证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投标人所投产品如被列入</w:t>
      </w:r>
      <w:r>
        <w:rPr>
          <w:rFonts w:ascii="宋体" w:hAnsi="宋体" w:cs="仿宋_GB2312"/>
          <w:sz w:val="24"/>
          <w:szCs w:val="24"/>
          <w:lang w:val="zh-CN"/>
        </w:rPr>
        <w:t>《信息安全产品强制性认证目录》，</w:t>
      </w:r>
      <w:r>
        <w:rPr>
          <w:rFonts w:hint="eastAsia" w:ascii="宋体" w:hAnsi="宋体" w:cs="仿宋_GB2312"/>
          <w:sz w:val="24"/>
          <w:szCs w:val="24"/>
          <w:lang w:val="zh-CN"/>
        </w:rPr>
        <w:t>则投标文件中应</w:t>
      </w:r>
      <w:r>
        <w:rPr>
          <w:rFonts w:ascii="宋体" w:hAnsi="宋体" w:cs="仿宋_GB2312"/>
          <w:sz w:val="24"/>
          <w:szCs w:val="24"/>
          <w:lang w:val="zh-CN"/>
        </w:rPr>
        <w:t>提供</w:t>
      </w:r>
      <w:r>
        <w:rPr>
          <w:rFonts w:hint="eastAsia" w:ascii="宋体" w:hAnsi="宋体" w:cs="仿宋_GB2312"/>
          <w:sz w:val="24"/>
          <w:szCs w:val="24"/>
          <w:lang w:val="zh-CN"/>
        </w:rPr>
        <w:t>中国信息安全认证中心官网（</w:t>
      </w:r>
      <w:r>
        <w:rPr>
          <w:rFonts w:ascii="宋体" w:hAnsi="宋体" w:cs="仿宋_GB2312"/>
          <w:sz w:val="24"/>
          <w:szCs w:val="24"/>
          <w:lang w:val="zh-CN"/>
        </w:rPr>
        <w:t>http://www.isccc.gov.cn/index.shtml</w:t>
      </w:r>
      <w:r>
        <w:rPr>
          <w:rFonts w:hint="eastAsia" w:ascii="宋体" w:hAnsi="宋体" w:cs="仿宋_GB2312"/>
          <w:sz w:val="24"/>
          <w:szCs w:val="24"/>
          <w:lang w:val="zh-CN"/>
        </w:rPr>
        <w:t>）产品查询结果截图并加盖投标人公章或中国信息安全认证中心颁发的《中国国家信息安全产品认证证书》加盖投标人公章的原件扫描件（或图片）。</w:t>
      </w:r>
    </w:p>
    <w:p>
      <w:pPr>
        <w:numPr>
          <w:ilvl w:val="0"/>
          <w:numId w:val="5"/>
        </w:num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符合国家和履约地相关安全质量标准、行业技术规范标准。</w:t>
      </w:r>
    </w:p>
    <w:p>
      <w:pPr>
        <w:spacing w:line="360" w:lineRule="auto"/>
        <w:ind w:firstLine="48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四、服务标准、期限、效率等要求</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1、投标人必须完全满足招标所列的文件技术功能要求，针对项目特点提出详细的技术及组织方案；各投标供应商应根据采购人具体需求进行软件升级。</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2、投标人所提供的系统软件平台须具有软件升级的能力，同时软件升级后的计算机程序源代码应与软件产品一并提交采购人，保证采购人在使用过程中对程序进行个性化开发和修改，</w:t>
      </w:r>
      <w:r>
        <w:rPr>
          <w:rFonts w:hint="eastAsia" w:cs="宋体" w:asciiTheme="minorEastAsia" w:hAnsiTheme="minorEastAsia"/>
          <w:b/>
          <w:kern w:val="0"/>
          <w:sz w:val="24"/>
          <w:szCs w:val="24"/>
        </w:rPr>
        <w:t>否则为无效投标。</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3、售后服务要求：质保期三年(36个月),质保期内提供免费维修、保养、调试、备品备件的更换等服务。</w:t>
      </w:r>
      <w:r>
        <w:rPr>
          <w:rFonts w:hint="eastAsia" w:ascii="宋体" w:cs="宋体"/>
          <w:sz w:val="24"/>
          <w:lang w:val="zh-CN"/>
        </w:rPr>
        <w:t>投标人需提供完善的售后服务计划与措施方案，</w:t>
      </w:r>
      <w:r>
        <w:rPr>
          <w:rFonts w:hint="eastAsia" w:cs="宋体" w:asciiTheme="minorEastAsia" w:hAnsiTheme="minorEastAsia"/>
          <w:kern w:val="0"/>
          <w:sz w:val="24"/>
          <w:szCs w:val="24"/>
        </w:rPr>
        <w:t>在平台或系统部署实施及推广过程中需派1-2名专业技术人员驻场一年，要求投标文件对此需求附加售后服务承诺函。</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五、采购标的的其他技术、服务等要求</w:t>
      </w:r>
    </w:p>
    <w:p>
      <w:pPr>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1、投标人须明确投标产品的厂家、品牌、型号、详细参数（仅限机房、指挥大厅、多功能厅部分的设备），</w:t>
      </w:r>
      <w:r>
        <w:rPr>
          <w:rFonts w:hint="eastAsia" w:ascii="宋体" w:cs="宋体"/>
          <w:b/>
          <w:sz w:val="24"/>
          <w:lang w:val="zh-CN"/>
        </w:rPr>
        <w:t>否则为无效投标。</w:t>
      </w:r>
    </w:p>
    <w:p>
      <w:pPr>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2、投标人应就本项目（每包或者标段）完整投标，</w:t>
      </w:r>
      <w:r>
        <w:rPr>
          <w:rFonts w:hint="eastAsia" w:ascii="宋体" w:cs="宋体"/>
          <w:b/>
          <w:sz w:val="24"/>
          <w:lang w:val="zh-CN"/>
        </w:rPr>
        <w:t>否则为无效投标。</w:t>
      </w:r>
    </w:p>
    <w:p>
      <w:pPr>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r>
        <w:rPr>
          <w:rFonts w:hint="eastAsia" w:cs="仿宋_GB2312" w:asciiTheme="minorEastAsia" w:hAnsiTheme="minorEastAsia"/>
          <w:sz w:val="24"/>
          <w:szCs w:val="24"/>
          <w:lang w:val="zh-CN"/>
        </w:rPr>
        <w:t>中标人应将所有项目的设备安装（含相关配件、线材等，中标人对于招标文件没有列出，而对系统的正常运行和维护必不可少的产品、配件、软件、线缆及其它辅助材料等，中标人有责任给予补充，并应同其它产品一并报价，并包含在投标总报价中）、调试费、培训费用（含培训教材费）等各项支出的费用必须分别报价并计入投标总价，合同签定后不再单独列支安装、调试等费用。</w:t>
      </w:r>
    </w:p>
    <w:p>
      <w:pPr>
        <w:wordWrap w:val="0"/>
        <w:topLinePunct/>
        <w:spacing w:line="360" w:lineRule="auto"/>
        <w:ind w:firstLine="480" w:firstLineChars="200"/>
        <w:rPr>
          <w:rFonts w:ascii="宋体" w:cs="宋体"/>
          <w:sz w:val="24"/>
          <w:lang w:val="zh-CN"/>
        </w:rPr>
      </w:pPr>
      <w:r>
        <w:rPr>
          <w:rFonts w:hint="eastAsia" w:cs="仿宋_GB2312" w:asciiTheme="minorEastAsia" w:hAnsiTheme="minorEastAsia"/>
          <w:sz w:val="24"/>
          <w:szCs w:val="24"/>
          <w:lang w:val="zh-CN"/>
        </w:rPr>
        <w:t>5、中标人应按每台或每套产品给采购人提供至少一套完整的技术资料随货物包装发运，其中包括产品的中文使用说明书、操作手册等内容。</w:t>
      </w:r>
    </w:p>
    <w:p>
      <w:pPr>
        <w:wordWrap w:val="0"/>
        <w:topLinePunct/>
        <w:spacing w:line="360" w:lineRule="auto"/>
        <w:ind w:firstLine="480" w:firstLineChars="200"/>
        <w:rPr>
          <w:rFonts w:ascii="宋体" w:cs="宋体"/>
          <w:sz w:val="24"/>
          <w:lang w:val="zh-CN"/>
        </w:rPr>
      </w:pPr>
      <w:r>
        <w:rPr>
          <w:rFonts w:hint="eastAsia" w:cs="仿宋_GB2312" w:asciiTheme="minorEastAsia" w:hAnsiTheme="minorEastAsia"/>
          <w:sz w:val="24"/>
          <w:szCs w:val="24"/>
          <w:lang w:val="zh-CN"/>
        </w:rPr>
        <w:t>6、本次采购所有产品应长期进行技术支持（含技术咨询等）。若中标人质保期内未能在规定时间内到达现场，采购人有权要求中标人给予合理的经济赔偿。在质保期内，由于项目本身缺陷发生故障或损坏而造成的损失，中标人应给予采购人经济赔偿。</w:t>
      </w:r>
    </w:p>
    <w:p>
      <w:pPr>
        <w:wordWrap w:val="0"/>
        <w:topLinePunct/>
        <w:spacing w:line="360" w:lineRule="auto"/>
        <w:ind w:firstLine="480" w:firstLineChars="200"/>
        <w:rPr>
          <w:rFonts w:ascii="宋体" w:cs="宋体"/>
          <w:sz w:val="24"/>
          <w:lang w:val="zh-CN"/>
        </w:rPr>
      </w:pPr>
      <w:r>
        <w:rPr>
          <w:rFonts w:hint="eastAsia" w:cs="仿宋_GB2312" w:asciiTheme="minorEastAsia" w:hAnsiTheme="minorEastAsia"/>
          <w:sz w:val="24"/>
          <w:szCs w:val="24"/>
          <w:lang w:val="zh-CN"/>
        </w:rPr>
        <w:t xml:space="preserve">7、本项目履行过程中产生的软件著作权及版权归采购方所有。 </w:t>
      </w:r>
    </w:p>
    <w:p>
      <w:pPr>
        <w:widowControl/>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六、验收标准</w:t>
      </w:r>
    </w:p>
    <w:p>
      <w:pPr>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2、按照招标文件要求、投标文件响应和承诺验收；</w:t>
      </w:r>
    </w:p>
    <w:p>
      <w:pPr>
        <w:topLinePunct/>
        <w:autoSpaceDE w:val="0"/>
        <w:autoSpaceDN w:val="0"/>
        <w:adjustRightInd w:val="0"/>
        <w:spacing w:line="360" w:lineRule="auto"/>
        <w:ind w:firstLine="482"/>
        <w:rPr>
          <w:rFonts w:cs="宋体" w:asciiTheme="minorEastAsia" w:hAnsiTheme="minorEastAsia"/>
          <w:kern w:val="0"/>
          <w:sz w:val="24"/>
          <w:szCs w:val="24"/>
        </w:rPr>
      </w:pPr>
      <w:r>
        <w:rPr>
          <w:rFonts w:hint="eastAsia" w:ascii="宋体" w:cs="宋体"/>
          <w:sz w:val="24"/>
        </w:rPr>
        <w:t>3</w:t>
      </w:r>
      <w:r>
        <w:rPr>
          <w:rFonts w:hint="eastAsia" w:ascii="宋体" w:cs="宋体"/>
          <w:sz w:val="24"/>
          <w:lang w:val="zh-CN"/>
        </w:rPr>
        <w:t>、本项目采用现场运行、测试验收方式验收。投标人完成的项</w:t>
      </w:r>
      <w:r>
        <w:rPr>
          <w:rFonts w:hint="eastAsia" w:cs="宋体" w:asciiTheme="minorEastAsia" w:hAnsiTheme="minorEastAsia"/>
          <w:kern w:val="0"/>
          <w:sz w:val="24"/>
          <w:szCs w:val="24"/>
        </w:rPr>
        <w:t>目应达到的质量标准应符合国家和履约地相关安全质量标准；行业技术规范标准；强制认证相关标准。</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七、本项目预算金额(最高限价)：15134842.41元。超出最高限价的投标无效。</w:t>
      </w:r>
    </w:p>
    <w:p>
      <w:pPr>
        <w:spacing w:line="360" w:lineRule="auto"/>
        <w:ind w:firstLine="482" w:firstLineChars="200"/>
        <w:contextualSpacing/>
        <w:rPr>
          <w:rFonts w:ascii="宋体" w:hAnsi="宋体" w:cs="微软雅黑"/>
          <w:sz w:val="24"/>
          <w:szCs w:val="24"/>
        </w:rPr>
      </w:pPr>
      <w:r>
        <w:rPr>
          <w:rFonts w:hint="eastAsia" w:ascii="宋体" w:hAnsi="宋体" w:cs="微软雅黑"/>
          <w:b/>
          <w:sz w:val="24"/>
          <w:szCs w:val="24"/>
        </w:rPr>
        <w:t>八、资金支付</w:t>
      </w:r>
    </w:p>
    <w:p>
      <w:pPr>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付款方式：银行转账。中标供应商完成委托项目由委托人向其付费，付费方式由双方另行约定。</w:t>
      </w:r>
    </w:p>
    <w:p>
      <w:pPr>
        <w:spacing w:line="360" w:lineRule="auto"/>
        <w:ind w:firstLine="590" w:firstLineChars="245"/>
        <w:contextualSpacing/>
        <w:rPr>
          <w:rFonts w:ascii="宋体" w:hAnsi="宋体" w:cs="微软雅黑"/>
          <w:sz w:val="24"/>
          <w:szCs w:val="24"/>
        </w:rPr>
      </w:pPr>
      <w:r>
        <w:rPr>
          <w:rFonts w:hint="eastAsia" w:ascii="宋体" w:hAnsi="宋体" w:cs="微软雅黑"/>
          <w:b/>
          <w:sz w:val="24"/>
          <w:szCs w:val="24"/>
        </w:rPr>
        <w:t>九、其他要求</w:t>
      </w:r>
    </w:p>
    <w:p>
      <w:pPr>
        <w:spacing w:line="360" w:lineRule="auto"/>
        <w:ind w:firstLine="588" w:firstLineChars="245"/>
        <w:contextualSpacing/>
        <w:rPr>
          <w:rFonts w:ascii="宋体" w:hAnsi="宋体" w:cs="微软雅黑"/>
          <w:sz w:val="24"/>
          <w:szCs w:val="24"/>
        </w:rPr>
      </w:pPr>
      <w:r>
        <w:rPr>
          <w:rFonts w:hint="eastAsia" w:cs="宋体" w:asciiTheme="minorEastAsia" w:hAnsiTheme="minorEastAsia"/>
          <w:sz w:val="24"/>
          <w:szCs w:val="24"/>
        </w:rPr>
        <w:t>1、</w:t>
      </w:r>
      <w:r>
        <w:rPr>
          <w:rFonts w:hint="eastAsia" w:cs="宋体" w:asciiTheme="minorEastAsia" w:hAnsiTheme="minorEastAsia"/>
          <w:kern w:val="0"/>
          <w:sz w:val="24"/>
          <w:szCs w:val="24"/>
        </w:rPr>
        <w:t>投标人应就该项目完整投标，否则为无效投标。</w:t>
      </w:r>
    </w:p>
    <w:p>
      <w:pPr>
        <w:spacing w:line="360" w:lineRule="auto"/>
        <w:ind w:firstLine="588" w:firstLineChars="245"/>
        <w:contextualSpacing/>
        <w:rPr>
          <w:rFonts w:ascii="宋体" w:hAnsi="宋体" w:cs="微软雅黑"/>
          <w:sz w:val="24"/>
          <w:szCs w:val="24"/>
        </w:rPr>
      </w:pPr>
      <w:r>
        <w:rPr>
          <w:rFonts w:hint="eastAsia" w:cs="宋体" w:asciiTheme="minorEastAsia" w:hAnsiTheme="minorEastAsia"/>
          <w:sz w:val="24"/>
          <w:szCs w:val="24"/>
        </w:rPr>
        <w:t>2、</w:t>
      </w:r>
      <w:r>
        <w:rPr>
          <w:rFonts w:ascii="宋体" w:hAnsi="宋体" w:eastAsia="宋体" w:cs="宋体"/>
          <w:kern w:val="0"/>
          <w:sz w:val="24"/>
          <w:szCs w:val="24"/>
        </w:rPr>
        <w:t>服务标准、期限、效率等要求</w:t>
      </w:r>
      <w:r>
        <w:rPr>
          <w:rFonts w:hint="eastAsia" w:ascii="宋体" w:hAnsi="宋体" w:eastAsia="宋体" w:cs="宋体"/>
          <w:kern w:val="0"/>
          <w:sz w:val="24"/>
          <w:szCs w:val="24"/>
        </w:rPr>
        <w:t>：在质保期内产品发生质量问题时应即时免费为使用方更换，保证产品正常使用。保修期结束后，仍负责提供维修服务，只能收取成本费。解决问题时间不得超过24小时。</w:t>
      </w:r>
    </w:p>
    <w:p>
      <w:pPr>
        <w:spacing w:line="360" w:lineRule="auto"/>
        <w:ind w:firstLine="588" w:firstLineChars="245"/>
        <w:contextualSpacing/>
        <w:rPr>
          <w:rFonts w:ascii="宋体" w:cs="宋体"/>
          <w:sz w:val="24"/>
          <w:lang w:val="zh-CN"/>
        </w:rPr>
      </w:pPr>
      <w:r>
        <w:rPr>
          <w:rFonts w:hint="eastAsia" w:ascii="宋体" w:cs="宋体"/>
          <w:sz w:val="24"/>
          <w:lang w:val="zh-CN"/>
        </w:rPr>
        <w:t>3、本项目为交钥匙项目。</w:t>
      </w:r>
    </w:p>
    <w:p>
      <w:pPr>
        <w:pStyle w:val="2"/>
        <w:ind w:firstLine="340"/>
      </w:pP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投标人须知前附表</w:t>
      </w:r>
    </w:p>
    <w:p>
      <w:pPr>
        <w:pStyle w:val="24"/>
        <w:widowControl/>
        <w:spacing w:line="360" w:lineRule="auto"/>
        <w:ind w:firstLine="420"/>
        <w:jc w:val="left"/>
        <w:rPr>
          <w:rFonts w:ascii="宋体" w:hAnsi="宋体" w:cs="仿宋_GB2312"/>
        </w:rPr>
      </w:pPr>
      <w:r>
        <w:rPr>
          <w:rFonts w:hint="eastAsia" w:cs="微软雅黑"/>
          <w:b/>
        </w:rPr>
        <w:t>招标文件中凡标有</w:t>
      </w:r>
      <w:r>
        <w:rPr>
          <w:rFonts w:hint="eastAsia" w:cs="微软雅黑" w:asciiTheme="minorEastAsia" w:hAnsiTheme="minorEastAsia"/>
          <w:b/>
        </w:rPr>
        <w:t>★</w:t>
      </w:r>
      <w:r>
        <w:rPr>
          <w:rFonts w:hint="eastAsia" w:cs="微软雅黑"/>
          <w:b/>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项目名称：许昌经济技术开发区管委会智慧中心项目</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项目编号：GZCG-G2019030号</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项目内容：许昌经济技术开发区管委会智慧中心项目（详见第二章“项目需求”）</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项目地址：许昌经济技术开发区管委会智慧中心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名称：许昌经高科技发展有限公司</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地址：许昌经济技术开发区瑞祥路中段</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联系人：宋京辉      联系电话：18903746191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名称：河南永安工程管理有限公司</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地址：许昌市城乡一体化示范区元鼎国际B座1612</w:t>
            </w:r>
          </w:p>
          <w:p>
            <w:pPr>
              <w:autoSpaceDE w:val="0"/>
              <w:autoSpaceDN w:val="0"/>
              <w:adjustRightInd w:val="0"/>
              <w:spacing w:line="276"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联系人：蔡女士      联系电话：0374-8318599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jc w:val="left"/>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w:t>
            </w:r>
            <w:r>
              <w:rPr>
                <w:rFonts w:hint="eastAsia" w:ascii="宋体" w:hAnsi="宋体" w:eastAsia="宋体" w:cs="仿宋_GB2312"/>
                <w:sz w:val="24"/>
                <w:szCs w:val="24"/>
              </w:rPr>
              <w:t>或者2018年度</w:t>
            </w:r>
            <w:r>
              <w:rPr>
                <w:rFonts w:hint="eastAsia" w:cs="宋体" w:asciiTheme="minorEastAsia" w:hAnsiTheme="minorEastAsia"/>
                <w:bCs/>
                <w:sz w:val="24"/>
                <w:szCs w:val="24"/>
                <w:lang w:val="zh-CN"/>
              </w:rPr>
              <w:t>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jc w:val="left"/>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jc w:val="left"/>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jc w:val="left"/>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jc w:val="left"/>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宋体" w:asciiTheme="minorEastAsia" w:hAnsiTheme="minorEastAsia"/>
                <w:b/>
                <w:bCs/>
                <w:sz w:val="24"/>
                <w:szCs w:val="24"/>
                <w:lang w:val="zh-CN"/>
              </w:rPr>
              <w:t>未被列入“信用中国”网站(www.creditchina.gov.cn)失信被执行人、重大税收违法案件当事人名单、政府采购严重违法失信名单的投标人；</w:t>
            </w:r>
            <w:r>
              <w:rPr>
                <w:rFonts w:hint="eastAsia" w:cs="宋体" w:asciiTheme="minorEastAsia" w:hAnsiTheme="minorEastAsia"/>
                <w:b/>
                <w:bCs/>
                <w:sz w:val="24"/>
                <w:szCs w:val="24"/>
                <w:lang w:val="zh-CN"/>
              </w:rPr>
              <w:t>“</w:t>
            </w:r>
            <w:r>
              <w:rPr>
                <w:rFonts w:cs="宋体" w:asciiTheme="minorEastAsia" w:hAnsiTheme="minorEastAsia"/>
                <w:b/>
                <w:bCs/>
                <w:sz w:val="24"/>
                <w:szCs w:val="24"/>
                <w:lang w:val="zh-CN"/>
              </w:rPr>
              <w:t>中国政府采购网</w:t>
            </w:r>
            <w:r>
              <w:rPr>
                <w:rFonts w:hint="eastAsia" w:cs="宋体" w:asciiTheme="minorEastAsia" w:hAnsiTheme="minorEastAsia"/>
                <w:b/>
                <w:bCs/>
                <w:sz w:val="24"/>
                <w:szCs w:val="24"/>
                <w:lang w:val="zh-CN"/>
              </w:rPr>
              <w:t>”</w:t>
            </w:r>
            <w:r>
              <w:rPr>
                <w:rFonts w:cs="宋体" w:asciiTheme="minorEastAsia" w:hAnsiTheme="minorEastAsia"/>
                <w:b/>
                <w:bCs/>
                <w:sz w:val="24"/>
                <w:szCs w:val="24"/>
                <w:lang w:val="zh-CN"/>
              </w:rPr>
              <w:t xml:space="preserve"> (www.ccgp.gov.cn)政府采购严重违法失信行为记录名单的投标人</w:t>
            </w:r>
            <w:r>
              <w:rPr>
                <w:rFonts w:hint="eastAsia" w:cs="宋体" w:asciiTheme="minorEastAsia" w:hAnsiTheme="minorEastAsia"/>
                <w:b/>
                <w:bCs/>
                <w:sz w:val="24"/>
                <w:szCs w:val="24"/>
                <w:lang w:val="zh-CN"/>
              </w:rPr>
              <w:t>；“中国社会组织公共服务平台”网站（</w:t>
            </w:r>
            <w:r>
              <w:rPr>
                <w:rFonts w:hint="eastAsia" w:cs="宋体" w:asciiTheme="minorEastAsia" w:hAnsiTheme="minorEastAsia"/>
                <w:b/>
                <w:bCs/>
                <w:sz w:val="24"/>
                <w:szCs w:val="24"/>
              </w:rPr>
              <w:t>www.chinanpo.gov.cn</w:t>
            </w:r>
            <w:r>
              <w:rPr>
                <w:rFonts w:hint="eastAsia" w:cs="宋体" w:asciiTheme="minorEastAsia" w:hAnsiTheme="minorEastAsia"/>
                <w:b/>
                <w:bCs/>
                <w:sz w:val="24"/>
                <w:szCs w:val="24"/>
                <w:lang w:val="zh-CN"/>
              </w:rPr>
              <w:t>）严重违法失信企业名单（黑名单）的投标人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）和“中国社会组织公共服务平台”网站（www.chinanpo.gov.cn）；</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pPr>
              <w:autoSpaceDE w:val="0"/>
              <w:autoSpaceDN w:val="0"/>
              <w:spacing w:line="360" w:lineRule="auto"/>
              <w:contextualSpacing/>
              <w:jc w:val="left"/>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jc w:val="left"/>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spacing w:line="360" w:lineRule="auto"/>
              <w:contextualSpacing/>
              <w:jc w:val="left"/>
              <w:rPr>
                <w:rFonts w:ascii="宋体" w:hAnsi="宋体" w:cs="微软雅黑"/>
                <w:b/>
                <w:sz w:val="24"/>
                <w:szCs w:val="24"/>
              </w:rPr>
            </w:pPr>
            <w:r>
              <w:rPr>
                <w:rFonts w:hint="eastAsia" w:ascii="宋体" w:hAnsi="宋体" w:cs="微软雅黑"/>
                <w:b/>
                <w:sz w:val="24"/>
                <w:szCs w:val="24"/>
              </w:rPr>
              <w:t>15134842.41元，</w:t>
            </w:r>
            <w:r>
              <w:rPr>
                <w:rFonts w:hint="eastAsia" w:cs="宋体" w:asciiTheme="minorEastAsia" w:hAnsiTheme="minorEastAsia"/>
                <w:b/>
                <w:kern w:val="0"/>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276" w:lineRule="auto"/>
              <w:jc w:val="left"/>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jc w:val="left"/>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276" w:lineRule="auto"/>
              <w:jc w:val="left"/>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jc w:val="left"/>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jc w:val="left"/>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napToGrid w:val="0"/>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napToGrid w:val="0"/>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jc w:val="left"/>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rPr>
              <w:t>2020年</w:t>
            </w:r>
            <w:r>
              <w:rPr>
                <w:rFonts w:hint="eastAsia" w:cs="宋体" w:asciiTheme="minorEastAsia" w:hAnsiTheme="minorEastAsia"/>
                <w:bCs/>
                <w:sz w:val="24"/>
                <w:szCs w:val="24"/>
                <w:lang w:eastAsia="zh-CN"/>
              </w:rPr>
              <w:t>2月3日</w:t>
            </w:r>
            <w:r>
              <w:rPr>
                <w:rFonts w:hint="eastAsia" w:cs="宋体" w:asciiTheme="minorEastAsia" w:hAnsiTheme="minorEastAsia"/>
                <w:bCs/>
                <w:sz w:val="24"/>
                <w:szCs w:val="24"/>
              </w:rPr>
              <w:t>8时30分</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lang w:val="zh-CN"/>
              </w:rPr>
              <w:t>许昌市公共资源交易中心（龙兴路与竹林路交汇处创业服务中心</w:t>
            </w:r>
            <w:r>
              <w:rPr>
                <w:rFonts w:hint="eastAsia" w:cs="仿宋_GB2312" w:asciiTheme="minorEastAsia" w:hAnsiTheme="minorEastAsia"/>
                <w:sz w:val="24"/>
                <w:szCs w:val="24"/>
              </w:rPr>
              <w:t>C</w:t>
            </w:r>
            <w:r>
              <w:rPr>
                <w:rFonts w:hint="eastAsia" w:cs="仿宋_GB2312" w:asciiTheme="minorEastAsia" w:hAnsiTheme="minorEastAsia"/>
                <w:sz w:val="24"/>
                <w:szCs w:val="24"/>
                <w:lang w:val="zh-CN"/>
              </w:rPr>
              <w:t>座）三楼开标一室。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jc w:val="left"/>
              <w:rPr>
                <w:rFonts w:cs="仿宋_GB2312" w:asciiTheme="minorEastAsia" w:hAnsiTheme="minorEastAsia"/>
                <w:b/>
                <w:bCs/>
                <w:sz w:val="24"/>
                <w:szCs w:val="24"/>
                <w:lang w:val="zh-CN"/>
              </w:rPr>
            </w:pPr>
            <w:r>
              <w:rPr>
                <w:rFonts w:hint="eastAsia" w:cs="仿宋_GB2312" w:asciiTheme="minorEastAsia" w:hAnsiTheme="minorEastAsia"/>
                <w:b/>
                <w:bCs/>
                <w:sz w:val="24"/>
                <w:szCs w:val="24"/>
                <w:lang w:val="zh-CN"/>
              </w:rPr>
              <w:t>本项目不收取。</w:t>
            </w:r>
          </w:p>
          <w:p>
            <w:pPr>
              <w:autoSpaceDE w:val="0"/>
              <w:autoSpaceDN w:val="0"/>
              <w:adjustRightInd w:val="0"/>
              <w:spacing w:line="360" w:lineRule="auto"/>
              <w:jc w:val="left"/>
              <w:rPr>
                <w:rFonts w:cs="仿宋_GB2312" w:asciiTheme="minorEastAsia" w:hAnsiTheme="minorEastAsia"/>
                <w:sz w:val="24"/>
                <w:szCs w:val="24"/>
                <w:lang w:val="zh-CN"/>
              </w:rPr>
            </w:pPr>
            <w:r>
              <w:rPr>
                <w:rFonts w:hint="eastAsia" w:cs="仿宋_GB2312" w:asciiTheme="minorEastAsia" w:hAnsiTheme="minorEastAsia"/>
                <w:b/>
                <w:bCs/>
                <w:sz w:val="24"/>
                <w:szCs w:val="24"/>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jc w:val="left"/>
              <w:rPr>
                <w:rFonts w:eastAsia="新宋体" w:cs="宋体" w:asciiTheme="minorEastAsia" w:hAnsiTheme="minorEastAsia"/>
                <w:bCs/>
                <w:sz w:val="24"/>
                <w:szCs w:val="24"/>
                <w:lang w:val="zh-CN"/>
              </w:rPr>
            </w:pPr>
            <w:r>
              <w:rPr>
                <w:rFonts w:hint="eastAsia" w:cs="宋体" w:asciiTheme="minorEastAsia" w:hAnsiTheme="minorEastAsia"/>
                <w:sz w:val="24"/>
                <w:szCs w:val="24"/>
              </w:rPr>
              <w:t>招标公告、中标公告、变更（更正）公告、现场勘察答复等相关信息同时在以下网站发布</w:t>
            </w:r>
            <w:r>
              <w:rPr>
                <w:rFonts w:hint="eastAsia" w:ascii="新宋体" w:hAnsi="新宋体" w:eastAsia="新宋体"/>
                <w:sz w:val="24"/>
              </w:rPr>
              <w:t>：《中国政府采购网》、《河南省政府采购网》、《许昌市政府采购网》、《全国公共资源交易平台（河南省·许昌市）》。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jc w:val="left"/>
              <w:rPr>
                <w:rFonts w:cs="宋体"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使用电子介质存储的备份文件2份（文件格式为：名称为“备份”的文件夹）。</w:t>
            </w:r>
          </w:p>
          <w:p>
            <w:pPr>
              <w:autoSpaceDE w:val="0"/>
              <w:autoSpaceDN w:val="0"/>
              <w:adjustRightInd w:val="0"/>
              <w:spacing w:line="360" w:lineRule="auto"/>
              <w:jc w:val="lef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w:t>
            </w:r>
            <w:r>
              <w:rPr>
                <w:rFonts w:hint="eastAsia" w:cs="仿宋_GB2312" w:asciiTheme="minorEastAsia" w:hAnsiTheme="minorEastAsia"/>
                <w:b/>
                <w:sz w:val="24"/>
                <w:szCs w:val="24"/>
              </w:rPr>
              <w:t>本二</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jc w:val="left"/>
              <w:rPr>
                <w:rFonts w:ascii="新宋体" w:hAnsi="新宋体" w:eastAsia="新宋体"/>
                <w:sz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jc w:val="left"/>
              <w:rPr>
                <w:rFonts w:cs="仿宋_GB2312" w:asciiTheme="minorEastAsia" w:hAnsiTheme="minorEastAsia"/>
                <w:sz w:val="24"/>
                <w:szCs w:val="24"/>
              </w:rPr>
            </w:pPr>
            <w:r>
              <w:rPr>
                <w:rFonts w:ascii="新宋体" w:hAnsi="新宋体" w:eastAsia="新宋体"/>
                <w:b/>
                <w:sz w:val="24"/>
              </w:rPr>
              <w:fldChar w:fldCharType="begin"/>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jc w:val="left"/>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jc w:val="left"/>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jc w:val="left"/>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sz w:val="24"/>
                <w:szCs w:val="24"/>
              </w:rPr>
              <w:t>收取标准:中标合同金额的</w:t>
            </w:r>
            <w:r>
              <w:rPr>
                <w:rFonts w:hint="eastAsia" w:cs="宋体" w:asciiTheme="minorEastAsia" w:hAnsiTheme="minorEastAsia"/>
                <w:sz w:val="24"/>
                <w:szCs w:val="24"/>
                <w:u w:val="single"/>
              </w:rPr>
              <w:t>1.5</w:t>
            </w:r>
            <w:r>
              <w:rPr>
                <w:rFonts w:hint="eastAsia" w:cs="宋体" w:asciiTheme="minorEastAsia" w:hAnsiTheme="minorEastAsia"/>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idowControl/>
              <w:snapToGrid w:val="0"/>
              <w:spacing w:before="226" w:line="312" w:lineRule="auto"/>
              <w:jc w:val="left"/>
              <w:rPr>
                <w:rFonts w:cs="宋体" w:asciiTheme="minorEastAsia" w:hAnsiTheme="minorEastAsia"/>
                <w:bCs/>
                <w:sz w:val="24"/>
                <w:szCs w:val="24"/>
                <w:lang w:val="zh-CN"/>
              </w:rPr>
            </w:pPr>
            <w:r>
              <w:rPr>
                <w:rFonts w:hint="eastAsia" w:cs="宋体" w:asciiTheme="minorEastAsia" w:hAnsiTheme="minorEastAsia"/>
                <w:sz w:val="24"/>
                <w:szCs w:val="24"/>
                <w:lang w:val="zh-CN"/>
              </w:rPr>
              <w:t>中标人在接到中标通知时，须向代理机构发送投标报价及分项报价一览表（包含主要中标标的的名称、规格型号、数量、单价、服务要求等）电子文档，并同时通知代理机构联系人，联系电话：</w:t>
            </w:r>
            <w:r>
              <w:rPr>
                <w:rFonts w:hint="eastAsia" w:cs="宋体" w:asciiTheme="minorEastAsia" w:hAnsiTheme="minorEastAsia"/>
                <w:sz w:val="24"/>
                <w:szCs w:val="24"/>
              </w:rPr>
              <w:t>0374-8318599</w:t>
            </w:r>
            <w:r>
              <w:rPr>
                <w:rFonts w:hint="eastAsia" w:cs="宋体" w:asciiTheme="minorEastAsia" w:hAnsiTheme="minorEastAsia"/>
                <w:sz w:val="24"/>
                <w:szCs w:val="24"/>
                <w:lang w:val="zh-CN"/>
              </w:rPr>
              <w:t>，邮箱：</w:t>
            </w:r>
            <w:r>
              <w:fldChar w:fldCharType="begin"/>
            </w:r>
            <w:r>
              <w:instrText xml:space="preserve"> HYPERLINK "mailto:hnhsdlxcgs@126.com" </w:instrText>
            </w:r>
            <w:r>
              <w:fldChar w:fldCharType="separate"/>
            </w:r>
            <w:r>
              <w:rPr>
                <w:rFonts w:hint="eastAsia" w:cs="宋体" w:asciiTheme="minorEastAsia" w:hAnsiTheme="minorEastAsia"/>
                <w:sz w:val="24"/>
                <w:szCs w:val="24"/>
                <w:lang w:val="zh-CN"/>
              </w:rPr>
              <w:t>892189247@</w:t>
            </w:r>
            <w:r>
              <w:rPr>
                <w:rFonts w:hint="eastAsia" w:cs="宋体" w:asciiTheme="minorEastAsia" w:hAnsiTheme="minorEastAsia"/>
                <w:sz w:val="24"/>
                <w:szCs w:val="24"/>
              </w:rPr>
              <w:t>qq</w:t>
            </w:r>
            <w:r>
              <w:rPr>
                <w:rFonts w:hint="eastAsia" w:cs="宋体" w:asciiTheme="minorEastAsia" w:hAnsiTheme="minorEastAsia"/>
                <w:sz w:val="24"/>
                <w:szCs w:val="24"/>
                <w:lang w:val="zh-CN"/>
              </w:rPr>
              <w:t>.com</w:t>
            </w:r>
            <w:r>
              <w:rPr>
                <w:rFonts w:hint="eastAsia" w:cs="宋体" w:asciiTheme="minorEastAsia" w:hAnsiTheme="minorEastAsia"/>
                <w:sz w:val="24"/>
                <w:szCs w:val="24"/>
                <w:lang w:val="zh-CN"/>
              </w:rPr>
              <w:fldChar w:fldCharType="end"/>
            </w:r>
            <w:r>
              <w:rPr>
                <w:rFonts w:hint="eastAsia" w:cs="宋体" w:asciiTheme="minorEastAsia" w:hAnsiTheme="minorEastAsia"/>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jc w:val="left"/>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jc w:val="left"/>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cs="宋体" w:asciiTheme="minorEastAsia" w:hAnsiTheme="minorEastAsia"/>
                <w:b/>
                <w:bCs/>
                <w:sz w:val="24"/>
                <w:szCs w:val="24"/>
                <w:lang w:val="zh-CN"/>
              </w:rPr>
            </w:pPr>
            <w:r>
              <w:rPr>
                <w:rFonts w:hint="eastAsia" w:cs="宋体" w:asciiTheme="minorEastAsia" w:hAnsiTheme="minorEastAsia"/>
                <w:b/>
                <w:bCs/>
                <w:sz w:val="24"/>
                <w:szCs w:val="24"/>
                <w:lang w:val="zh-CN"/>
              </w:rPr>
              <w:t>27</w:t>
            </w:r>
          </w:p>
        </w:tc>
        <w:tc>
          <w:tcPr>
            <w:tcW w:w="2268" w:type="dxa"/>
            <w:vAlign w:val="center"/>
          </w:tcPr>
          <w:p>
            <w:pPr>
              <w:autoSpaceDE w:val="0"/>
              <w:autoSpaceDN w:val="0"/>
              <w:adjustRightInd w:val="0"/>
              <w:spacing w:line="360" w:lineRule="auto"/>
              <w:jc w:val="center"/>
              <w:rPr>
                <w:rFonts w:cs="宋体" w:asciiTheme="minorEastAsia" w:hAnsiTheme="minorEastAsia"/>
                <w:b/>
                <w:bCs/>
                <w:sz w:val="24"/>
                <w:szCs w:val="24"/>
                <w:lang w:val="zh-CN"/>
              </w:rPr>
            </w:pPr>
            <w:r>
              <w:rPr>
                <w:rFonts w:hint="eastAsia" w:cs="宋体" w:asciiTheme="minorEastAsia" w:hAnsiTheme="minorEastAsia"/>
                <w:b/>
                <w:bCs/>
                <w:sz w:val="24"/>
                <w:szCs w:val="24"/>
                <w:lang w:val="zh-CN"/>
              </w:rPr>
              <w:t>特别提示</w:t>
            </w:r>
          </w:p>
        </w:tc>
        <w:tc>
          <w:tcPr>
            <w:tcW w:w="6813" w:type="dxa"/>
            <w:vAlign w:val="center"/>
          </w:tcPr>
          <w:p>
            <w:pPr>
              <w:autoSpaceDE w:val="0"/>
              <w:autoSpaceDN w:val="0"/>
              <w:adjustRightInd w:val="0"/>
              <w:spacing w:line="360" w:lineRule="exact"/>
              <w:contextualSpacing/>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按照《关于推进全流程电子化交易和在线监管工作有关问题的通知》（许公管办[2019]3号）规定：</w:t>
            </w:r>
          </w:p>
          <w:p>
            <w:pPr>
              <w:autoSpaceDE w:val="0"/>
              <w:autoSpaceDN w:val="0"/>
              <w:adjustRightInd w:val="0"/>
              <w:spacing w:line="360" w:lineRule="exact"/>
              <w:contextualSpacing/>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exact"/>
              <w:contextualSpacing/>
              <w:jc w:val="left"/>
              <w:rPr>
                <w:rFonts w:cs="宋体" w:asciiTheme="minorEastAsia" w:hAnsiTheme="minorEastAsia"/>
                <w:b/>
                <w:kern w:val="0"/>
                <w:szCs w:val="21"/>
                <w:lang w:val="zh-CN"/>
              </w:rPr>
            </w:pPr>
            <w:r>
              <w:rPr>
                <w:rFonts w:hint="eastAsia" w:cs="宋体" w:asciiTheme="minorEastAsia" w:hAnsiTheme="minorEastAsia"/>
                <w:b/>
                <w:kern w:val="0"/>
                <w:sz w:val="24"/>
                <w:szCs w:val="24"/>
                <w:lang w:val="zh-CN"/>
              </w:rPr>
              <w:t>评标专家应严格按照要求查看“硬件特征码”相关信息并进行评审，在评审报告中显示“不同投标人电子投标文件制作硬件特征码”是否雷同的分析及判定结果。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6"/>
          <w:szCs w:val="36"/>
        </w:rPr>
      </w:pP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投标人须知</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适用范围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1.1本招标文件仅适用于本次“投标邀请”中所述采购项目。</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1.2本招标文件解释权属于“投标邀请”所述的采购人。</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定义</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2.1 “采购项目”：“投标人须知前附表”中所述的采购项目。</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 “招标人”：“投标人须知前附表”中所述的组织本次招标的代理机构和采购人。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2.3 “采购人”：是指依法进行政府采购的国家机关、事业单位、团体组织。采购人名称、地址、电话、联系人见“投标人须知前附表”。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 “代理机构”：接受采购人委托，代理采购项目的采购代理机构。代理机构名称、地址、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2.7 “进口产品”：是指通过中国海关报关验放进入中国境内且产自关境外的产品，包括已经进入中国境内的进口产品。详见《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 招标文件中凡标有“★”的条款均系实质性要求条款。</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合格的投标人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3.1 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3.2 符合本项目“投标邀请”和“投标人须知前附表”中规定的合格投标人所必须具备的条件。</w:t>
      </w:r>
    </w:p>
    <w:p>
      <w:pPr>
        <w:autoSpaceDE w:val="0"/>
        <w:autoSpaceDN w:val="0"/>
        <w:adjustRightInd w:val="0"/>
        <w:snapToGrid w:val="0"/>
        <w:spacing w:line="360" w:lineRule="auto"/>
        <w:rPr>
          <w:rFonts w:cs="宋体" w:asciiTheme="minorEastAsia" w:hAnsiTheme="minorEastAsia"/>
          <w:spacing w:val="-2"/>
          <w:kern w:val="0"/>
          <w:szCs w:val="21"/>
        </w:rPr>
      </w:pPr>
      <w:r>
        <w:rPr>
          <w:rFonts w:hint="eastAsia" w:cs="宋体" w:asciiTheme="minorEastAsia" w:hAnsiTheme="minorEastAsia"/>
          <w:spacing w:val="-2"/>
          <w:kern w:val="0"/>
          <w:szCs w:val="21"/>
        </w:rPr>
        <w:t>3.3 政府采购活动中查询及使用投标人信用记录的具体要求为：投标人未被列入失信被执行人、</w:t>
      </w:r>
      <w:r>
        <w:rPr>
          <w:rFonts w:hint="eastAsia" w:cs="宋体" w:asciiTheme="minorEastAsia" w:hAnsiTheme="minorEastAsia"/>
          <w:kern w:val="0"/>
          <w:szCs w:val="21"/>
        </w:rPr>
        <w:t>重大税收违法案件当事人</w:t>
      </w:r>
      <w:r>
        <w:rPr>
          <w:rFonts w:hint="eastAsia" w:cs="宋体" w:asciiTheme="minorEastAsia" w:hAnsiTheme="minorEastAsia"/>
          <w:spacing w:val="-2"/>
          <w:kern w:val="0"/>
          <w:szCs w:val="21"/>
        </w:rPr>
        <w:t>名单、</w:t>
      </w:r>
      <w:r>
        <w:rPr>
          <w:rFonts w:cs="宋体" w:asciiTheme="minorEastAsia" w:hAnsiTheme="minorEastAsia"/>
          <w:spacing w:val="-2"/>
          <w:kern w:val="0"/>
          <w:szCs w:val="21"/>
        </w:rPr>
        <w:t>政府采购严重违法失信</w:t>
      </w:r>
      <w:r>
        <w:rPr>
          <w:rFonts w:hint="eastAsia" w:cs="宋体" w:asciiTheme="minorEastAsia" w:hAnsiTheme="minorEastAsia"/>
          <w:kern w:val="0"/>
          <w:szCs w:val="21"/>
        </w:rPr>
        <w:t>行为记录</w:t>
      </w:r>
      <w:r>
        <w:rPr>
          <w:rFonts w:cs="宋体" w:asciiTheme="minorEastAsia" w:hAnsiTheme="minorEastAsia"/>
          <w:spacing w:val="-2"/>
          <w:kern w:val="0"/>
          <w:szCs w:val="21"/>
        </w:rPr>
        <w:t>名单</w:t>
      </w:r>
      <w:r>
        <w:rPr>
          <w:rFonts w:hint="eastAsia" w:cs="宋体" w:asciiTheme="minorEastAsia" w:hAnsiTheme="minorEastAsia"/>
          <w:spacing w:val="-2"/>
          <w:kern w:val="0"/>
          <w:szCs w:val="21"/>
        </w:rPr>
        <w:t>、政府采购严重违法失信行为记录名单、严重违法失信企业名单(黑名单)（联合体形式投标的，联合体成员存在不良信用记录，视同联合体存在不良信用记录）。</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 查询渠道：“信用中国”网站(www.creditchina.gov.cn)失信被执行人、重大税收违法案件当事人名单的供应商；“中国政府采购网”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 截止时间：同投标截止时间；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 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 信用信息的使用原则：经采购人认定的被列入失信被执行人、重大税收违法案件当事人名单、</w:t>
      </w:r>
      <w:r>
        <w:rPr>
          <w:rFonts w:cs="宋体" w:asciiTheme="minorEastAsia" w:hAnsiTheme="minorEastAsia"/>
          <w:spacing w:val="-2"/>
          <w:kern w:val="0"/>
          <w:szCs w:val="21"/>
        </w:rPr>
        <w:t>政府采购严重违法失信名单</w:t>
      </w:r>
      <w:r>
        <w:rPr>
          <w:rFonts w:hint="eastAsia" w:cs="宋体" w:asciiTheme="minorEastAsia" w:hAnsiTheme="minorEastAsia"/>
          <w:spacing w:val="-2"/>
          <w:kern w:val="0"/>
          <w:szCs w:val="21"/>
        </w:rPr>
        <w:t>、政府采购严重违法失信行为记录名单</w:t>
      </w:r>
      <w:r>
        <w:rPr>
          <w:rFonts w:hint="eastAsia" w:cs="宋体" w:asciiTheme="minorEastAsia" w:hAnsiTheme="minorEastAsia"/>
          <w:kern w:val="0"/>
          <w:szCs w:val="21"/>
        </w:rPr>
        <w:t>、严重违法失信企业名单（黑名单）的投标人，将拒绝其参与政府采购活动。</w:t>
      </w:r>
    </w:p>
    <w:p>
      <w:pPr>
        <w:autoSpaceDE w:val="0"/>
        <w:autoSpaceDN w:val="0"/>
        <w:adjustRightInd w:val="0"/>
        <w:snapToGrid w:val="0"/>
        <w:spacing w:line="360" w:lineRule="auto"/>
        <w:rPr>
          <w:rFonts w:cs="宋体" w:asciiTheme="minorEastAsia" w:hAnsiTheme="minorEastAsia"/>
          <w:spacing w:val="-4"/>
          <w:kern w:val="0"/>
          <w:szCs w:val="21"/>
        </w:rPr>
      </w:pPr>
      <w:r>
        <w:rPr>
          <w:rFonts w:hint="eastAsia" w:cs="宋体" w:asciiTheme="minorEastAsia" w:hAnsiTheme="minorEastAsia"/>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rPr>
          <w:rFonts w:cs="宋体" w:asciiTheme="minorEastAsia" w:hAnsiTheme="minorEastAsia"/>
          <w:spacing w:val="-4"/>
          <w:kern w:val="0"/>
          <w:szCs w:val="21"/>
        </w:rPr>
      </w:pPr>
      <w:r>
        <w:rPr>
          <w:rFonts w:hint="eastAsia" w:cs="宋体" w:asciiTheme="minorEastAsia" w:hAnsiTheme="minorEastAsia"/>
          <w:spacing w:val="-4"/>
          <w:kern w:val="0"/>
          <w:szCs w:val="21"/>
        </w:rPr>
        <w:t>3.4 单位负责人为同一人或者存在直接控股、管理关系的不同供应商，不得参加同一合同项下的政府采购活动；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3.5 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合格的货物和服务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4.1 投标人提供的货物应当符合招标文件和设计方案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4.2 投标人所提供的服务应当没有侵犯任何第三方的知识产权、技术秘密等合法权利。</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4.3 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4.4 </w:t>
      </w:r>
      <w:r>
        <w:rPr>
          <w:rFonts w:hint="eastAsia" w:cs="宋体" w:asciiTheme="minorEastAsia" w:hAnsiTheme="minorEastAsia"/>
          <w:spacing w:val="-2"/>
          <w:kern w:val="0"/>
          <w:szCs w:val="21"/>
        </w:rPr>
        <w:t>投标人所投产品如被列入</w:t>
      </w:r>
      <w:r>
        <w:rPr>
          <w:rFonts w:cs="宋体" w:asciiTheme="minorEastAsia" w:hAnsiTheme="minorEastAsia"/>
          <w:spacing w:val="-2"/>
          <w:kern w:val="0"/>
          <w:szCs w:val="21"/>
        </w:rPr>
        <w:t>《信息安全产品强制性认证目录》，</w:t>
      </w:r>
      <w:r>
        <w:rPr>
          <w:rFonts w:hint="eastAsia" w:cs="宋体" w:asciiTheme="minorEastAsia" w:hAnsiTheme="minorEastAsia"/>
          <w:spacing w:val="-2"/>
          <w:kern w:val="0"/>
          <w:szCs w:val="21"/>
        </w:rPr>
        <w:t>则该产品应</w:t>
      </w:r>
      <w:r>
        <w:rPr>
          <w:rFonts w:cs="宋体" w:asciiTheme="minorEastAsia" w:hAnsiTheme="minorEastAsia"/>
          <w:spacing w:val="-2"/>
          <w:kern w:val="0"/>
          <w:szCs w:val="21"/>
        </w:rPr>
        <w:t>具备</w:t>
      </w:r>
      <w:r>
        <w:rPr>
          <w:rFonts w:hint="eastAsia" w:cs="宋体" w:asciiTheme="minorEastAsia" w:hAnsiTheme="minorEastAsia"/>
          <w:spacing w:val="-2"/>
          <w:kern w:val="0"/>
          <w:szCs w:val="21"/>
        </w:rPr>
        <w:t>中国信息安全认证中心</w:t>
      </w:r>
      <w:r>
        <w:rPr>
          <w:rFonts w:cs="宋体" w:asciiTheme="minorEastAsia" w:hAnsiTheme="minorEastAsia"/>
          <w:spacing w:val="-2"/>
          <w:kern w:val="0"/>
          <w:szCs w:val="21"/>
        </w:rPr>
        <w:t>颁</w:t>
      </w:r>
      <w:r>
        <w:rPr>
          <w:rFonts w:hint="eastAsia" w:cs="宋体" w:asciiTheme="minorEastAsia" w:hAnsiTheme="minorEastAsia"/>
          <w:spacing w:val="-2"/>
          <w:kern w:val="0"/>
          <w:szCs w:val="21"/>
        </w:rPr>
        <w:t>发的</w:t>
      </w:r>
      <w:r>
        <w:rPr>
          <w:rFonts w:cs="宋体" w:asciiTheme="minorEastAsia" w:hAnsiTheme="minorEastAsia"/>
          <w:spacing w:val="-2"/>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spacing w:val="-2"/>
          <w:kern w:val="0"/>
          <w:szCs w:val="21"/>
        </w:rPr>
        <w:t>中国国家信息安全产品认证证书</w:t>
      </w:r>
      <w:r>
        <w:rPr>
          <w:rFonts w:hint="eastAsia" w:cs="宋体" w:asciiTheme="minorEastAsia" w:hAnsiTheme="minorEastAsia"/>
          <w:spacing w:val="-2"/>
          <w:kern w:val="0"/>
          <w:szCs w:val="21"/>
        </w:rPr>
        <w:fldChar w:fldCharType="end"/>
      </w:r>
      <w:r>
        <w:rPr>
          <w:rFonts w:cs="宋体" w:asciiTheme="minorEastAsia" w:hAnsiTheme="minorEastAsia"/>
          <w:spacing w:val="-2"/>
          <w:kern w:val="0"/>
          <w:szCs w:val="21"/>
        </w:rPr>
        <w:t>》。</w:t>
      </w:r>
      <w:r>
        <w:rPr>
          <w:rFonts w:hint="eastAsia" w:cs="宋体" w:asciiTheme="minorEastAsia" w:hAnsiTheme="minorEastAsia"/>
          <w:spacing w:val="-2"/>
          <w:kern w:val="0"/>
          <w:szCs w:val="21"/>
        </w:rPr>
        <w:t>投标人</w:t>
      </w:r>
      <w:r>
        <w:rPr>
          <w:rFonts w:cs="宋体" w:asciiTheme="minorEastAsia" w:hAnsiTheme="minorEastAsia"/>
          <w:spacing w:val="-2"/>
          <w:kern w:val="0"/>
          <w:szCs w:val="21"/>
        </w:rPr>
        <w:t>不能提供超出此目录范畴外的替代品</w:t>
      </w:r>
      <w:r>
        <w:rPr>
          <w:rFonts w:hint="eastAsia" w:cs="宋体" w:asciiTheme="minorEastAsia" w:hAnsiTheme="minorEastAsia"/>
          <w:spacing w:val="-2"/>
          <w:kern w:val="0"/>
          <w:szCs w:val="21"/>
        </w:rPr>
        <w:t>。</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7.1 收取标准:按照中标合同金额的比例收取。详见投标人须知前附表。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7.2 收取方式：一次性以银行划账、电汇、汇票或支票的形式支付。</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招标文件构成</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9.1 招标文件由以下部分组成：</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本项目招标文件的澄清、答复、修改、补充内容（如有的话）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10.1 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10.4 现场考察及参加开标前答疑会所发生的费用及一切责任由投标人自行承担。</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11.1 在投标截止期前，无论出于何种原因，招标人可主动地或在解答潜在投标人提出的澄清问题时对招标文件进行修改。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11.2 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11.4 如果澄清或者修改发出的时间距规定的投标截止时间不足15日，招标人将顺延提交投标文件的截止时间。</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12.2 投标计量单位，招标文件已有明确规定的，使用招标文件规定的计量单位；招标文件没有规定的，一律采用中华人民共和国法定计量单位。</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投标报价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13.1 本次招标项目的投标均以人民币为计算单位。</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13.2 采购人不得向投标人索要或者接受其给予的赠品、回扣或者与采购无关的其他商品、服务。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13.3 投标人应对项目要求的全部内容进行报价，少报漏报将导致其投标为非实质性响应予以拒绝。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13.4 投标人应当按照国家相关规定，结合自身服务水平和承受能力进行报价。投标报价应是履行合同的最终价格，除“项目需求”中另有说明外，</w:t>
      </w:r>
      <w:r>
        <w:rPr>
          <w:rFonts w:hint="eastAsia" w:cs="宋体" w:asciiTheme="minorEastAsia" w:hAnsiTheme="minorEastAsia"/>
          <w:b/>
          <w:bCs/>
          <w:kern w:val="0"/>
          <w:szCs w:val="21"/>
        </w:rPr>
        <w:t>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13.5 </w:t>
      </w:r>
      <w:r>
        <w:rPr>
          <w:rFonts w:hint="eastAsia" w:cs="宋体" w:asciiTheme="minorEastAsia" w:hAnsiTheme="minorEastAsia"/>
          <w:b/>
          <w:bCs/>
          <w:kern w:val="0"/>
          <w:szCs w:val="21"/>
        </w:rPr>
        <w:t>本项目所涉及的运输、施工、安装、集成、调试、验收、备品和工具等费用均包含在投标报价中。</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13.6 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13.8 最低报价不能作为中标的保证。</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投标有效期</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14.2 投标有效期内投标人撤销投标文件的，招标人将不退还投标保证金。</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14.4 中标人的投标文件作为项目合同的附件，其有效期至中标人全部合同义务履行完毕为止。</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投标文件构成</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15.1 投标文件的构成应符合法律法规及招标文件的要求。</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15.2 投标人应当按照招标文件的要求编制投标文件。投标文件应当对招标文件提出的要求和条件作出明确响应。</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15.3 投标文件由资格证明材料、符合性证明材料、其它材料等组成。</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15.5 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投标文件格式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标包名称、项目编号、投标人名称、日期等字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16.2 投标人应按招标文件提供的格式编写投标文件。招标文件未提供标准格式的投标人可自行拟定。</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51"/>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17.1 本项目不收取投标保证金。</w:t>
      </w:r>
    </w:p>
    <w:p>
      <w:pPr>
        <w:pStyle w:val="51"/>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17.2 供应商应提供投标承诺函。</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18.1 投标人应提交投标文件份数见“投标人须知前附表”。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18.2 在招标文件中已明示需盖章及签名之处，电子投标文件应按招标文件要求加盖投标人电子印章和法人电子印章或授权代表电子印章。</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18.3 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18.4 纸质投标文件副本可以是纸质投标文件的正本复印而成。</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投标文件的密封</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19.1 投标人应将纸质投标文件“正本”、“ 副本”密封包装。使用电子介质存储的投标文件单独密封包装，并随纸质投标文件一并提交。</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19.2 投标文件如果未按规定密封，招标人将拒绝接收。</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投标截止时间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20.1 投标人必须在“投标邀请”和“投标人须知前附表”中规定的投标截止时间前，将所有投标文件送达招标文件指定的开标地点。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20.2 招标人收到投标文件后，应当如实记载投标文件的送达时间和密封情况，签收保存，并向投标人出具签收回执。任何单位和个人不得在开标前开启投标文件。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pStyle w:val="51"/>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22.1 投标人在投标截止时间前，对所递交的纸质投标文件进行补充、修改或者撤回的，须书面通知招标人。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22.2 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22.3 投标人在递交纸质投标文件后，可以撤回其投标，但投标人必须在规定的投标截止时间前以书面形式告知招标人。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22.4 投标人不得在投标有效期内撤销投标文件，否则招标人将不退还其投标保证金。</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23.除投标人须知前附表另有规定外，投标人所提交的电子投标文件、纸质投标文件及电子介质存储的备份文件不予退还。</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24.开标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24.1 招标人将按招标文件规定的时间和地点组织公开开标。开标由代理机构主持，邀请投标人参加。评标委员会成员不得参加开标活动。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24.2 招标人应当对开标、评标现场活动进行全程录音录像。录音录像应当清晰可辨，音像资料作为采购文件一并存档。</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（2）电子投标文件解密异常情况处理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24.4 投标人不足3家的，不得开标。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24.5 开标过程由采购代理机构负责记录，由参加开标的各投标人代表和相关工作人员签字确认后随采购文件一并存档。</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24.7 投标人未参加开标的，视同认可开标结果。</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25.资格审查</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开标结束后，采购人(采购代理机构)依法对投标人的资格进行审查。合格投标人不足3家的，不得评标。</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26.评标委员会的组成</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（3）社会影响较大。</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26.2 评审专家对本单位的采购项目只能作为采购人代表参与评标。采购代理机构工作人员不得参加由本机构代理的政府采购项目的评标。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26.3 评审专家与投标人存在下列利害关系之一的,应当回避:</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26.5 采购人不得担任评标小组长。</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26.6 采购人可以在评标前说明项目背景和采购需求，说明内容不得含有歧视性、倾向性意见，不得超出招标文件所述范围。说明应当提交书面材料，并随采购文件一并存档。</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26.7 评标委员会成员名单在评标结果公告前应当保密。</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27.符合性审查</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27.1 评标委员会依据有关法律法规和招标文件的规定，对符合资格的投标人的投标文件进行符合性审查，以确定其是否满足招标文件的实质性要求。</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27.2 审查、评价投标文件是否符合招标文件的商务、技术等实质性要求。</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27.3 可要求投标人对投标文件有关事项作出澄清或者说明。</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28.投标文件的澄清</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28.1 对于投标文件中含义不明确、同类问题表述不一致或者有明显文字和计算错误的内容，评标委员会应当以书面形式要求投标人作出必要的澄清、说明或者补正。</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28.3 投标人的澄清文件是其投标文件的组成部分。</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29.投标文件报价出现前后不一致的修正</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30.投标无效情形</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30.1 投标文件属下列情况之一的，按照无效投标处理：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(2)投标文件未按招标文件要求签署、盖章的；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(3)不具备招标文件中规定的资格要求的；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(4)报价超过招标文件中规定的预算金额或者最高限价的；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30.2 有下列情形之一的，视为投标人串通投标，其投标无效：</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(1)不同投标人的投标文件由同一单位或者个人编制；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(2)不同投标人委托同一单位或者个人办理投标事宜；</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(3)不同投标人的投标文件载明的项目管理成员或者联系人员为同一人；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(4)不同投标人的投标文件异常一致或者投标报价呈规律性差异；</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(5)不同投标人的投标文件相互混装；</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(6)不同投标人的投标保证金从同一单位或者个人的账户转出。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exact"/>
        <w:contextualSpacing/>
        <w:rPr>
          <w:rFonts w:hint="eastAsia" w:cs="宋体" w:asciiTheme="minorEastAsia" w:hAnsiTheme="minorEastAsia"/>
          <w:b/>
          <w:kern w:val="0"/>
          <w:szCs w:val="21"/>
          <w:lang w:val="zh-CN"/>
        </w:rPr>
      </w:pPr>
      <w:r>
        <w:rPr>
          <w:rFonts w:hint="eastAsia" w:cs="宋体" w:asciiTheme="minorEastAsia" w:hAnsiTheme="minorEastAsia"/>
          <w:b/>
          <w:kern w:val="0"/>
          <w:szCs w:val="21"/>
        </w:rPr>
        <w:t>30.5 按照《关于推进全流程电子化交易和在线监管工作有关问题的通知》（许公管办[2019]3号）规定，</w:t>
      </w:r>
      <w:r>
        <w:rPr>
          <w:rFonts w:hint="eastAsia" w:cs="宋体" w:asciiTheme="minorEastAsia" w:hAnsiTheme="minorEastAsia"/>
          <w:b/>
          <w:kern w:val="0"/>
          <w:szCs w:val="21"/>
          <w:lang w:val="zh-CN"/>
        </w:rPr>
        <w:t>不同投标人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30.6 </w:t>
      </w:r>
      <w:r>
        <w:rPr>
          <w:rFonts w:cs="宋体" w:asciiTheme="minorEastAsia" w:hAnsiTheme="minorEastAsia"/>
          <w:kern w:val="0"/>
          <w:szCs w:val="21"/>
        </w:rPr>
        <w:t>法律、法规和招标文件规定的其他无效情形。</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31.相同品牌投标人的认定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32.投标文件的比较与评价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33.评标方法、评标标准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33.1 评标方法分为最低评标价法和综合评分法。</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（1）最低评标价法</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（2）综合评分法，是指投标文件满足招标文件全部实质性要求，且按照评审因素的量化指标评审得分最高的投标人为中标候选人的评标方法。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33.2 价格分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（1）价格分采用低价优先法计算，即满足招标文件要求且投标价格最低的投标报价为评标基准价，其价格分为满分。其他投标人的价格分统一按照下列公式计算：</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adjustRightInd w:val="0"/>
        <w:snapToGrid w:val="0"/>
        <w:spacing w:line="360" w:lineRule="auto"/>
        <w:ind w:left="964"/>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（2）评标过程中，不得去掉报价中的最高报价和最低报价。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（3）因落实政府采购政策进行价格调整的，以调整后的价格计算评标基准价和投标报价。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33.3 本次评标具体评标方法、评标标准见（第六章 资格审查与评标）。</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34.推荐中标候选人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35.评审意见无效情形</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(1)确定参与评标至评标结束前私自接触投标人；</w:t>
      </w:r>
    </w:p>
    <w:p>
      <w:pPr>
        <w:autoSpaceDE w:val="0"/>
        <w:autoSpaceDN w:val="0"/>
        <w:adjustRightInd w:val="0"/>
        <w:snapToGrid w:val="0"/>
        <w:spacing w:line="360" w:lineRule="auto"/>
        <w:rPr>
          <w:rFonts w:cs="宋体" w:asciiTheme="minorEastAsia" w:hAnsiTheme="minorEastAsia"/>
          <w:spacing w:val="-4"/>
          <w:kern w:val="0"/>
          <w:szCs w:val="21"/>
        </w:rPr>
      </w:pPr>
      <w:r>
        <w:rPr>
          <w:rFonts w:hint="eastAsia" w:cs="宋体" w:asciiTheme="minorEastAsia" w:hAnsiTheme="minorEastAsia"/>
          <w:spacing w:val="-4"/>
          <w:kern w:val="0"/>
          <w:szCs w:val="21"/>
        </w:rPr>
        <w:t>(2)接受投标人提出的与投标文件不一致的澄清或者说明，《投标人须知》26条规定的情形除外；</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(3)违反评标纪律发表倾向性意见或者征询采购人的倾向性意见；</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(4)对需要专业判断的主观评审因素协商评分；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(5)在评标过程中擅离职守，影响评标程序正常进行的；</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(6)记录、复制或者带走任何评标资料；</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(7)其他不遵守评标纪律的行为。</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36.保密</w:t>
      </w:r>
    </w:p>
    <w:p>
      <w:pPr>
        <w:autoSpaceDE w:val="0"/>
        <w:autoSpaceDN w:val="0"/>
        <w:adjustRightInd w:val="0"/>
        <w:snapToGrid w:val="0"/>
        <w:spacing w:line="360" w:lineRule="auto"/>
        <w:rPr>
          <w:rFonts w:cs="宋体" w:asciiTheme="minorEastAsia" w:hAnsiTheme="minorEastAsia"/>
          <w:spacing w:val="-2"/>
          <w:kern w:val="0"/>
          <w:szCs w:val="21"/>
        </w:rPr>
      </w:pPr>
      <w:r>
        <w:rPr>
          <w:rFonts w:hint="eastAsia" w:cs="宋体" w:asciiTheme="minorEastAsia" w:hAnsiTheme="minorEastAsia"/>
          <w:spacing w:val="-2"/>
          <w:kern w:val="0"/>
          <w:szCs w:val="21"/>
        </w:rPr>
        <w:t>36.1 评审专家应当遵守评审工作纪律，不得泄露评审文件、评审情况和评审中获悉的商业秘密。</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37.确定中标人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37.1 采购人应当自收到评标报告之日起5个工作日内，在评标报告确定的中标候选人名单中按顺序确定中标人。中标候选人并列的，由采购人采取随机抽取的方式确定。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38.中标公告、发出中标通知书</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38.1 采购人确认中标人后，招标人在公告中标结果的同时，向中标人发出中标通知书。</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38.2 中标通知书发出后，采购人不得违法改变中标结果，中标人无正当理由不得放弃中标。</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38.3 中标人在接到中标通知时，须向代理机构发送投标报价及分项报价一览表（包含主要中标标的的名称、规格型号、数量、单价、服务要求等）电子文档，并同时通知代理机构联系人。</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39.质疑提出与答复</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39.1 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(2)对采购过程提出质疑的，为各采购程序环节结束之日起七个工作日内，以书面形式向采购人和采购代理机构一次性提出；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(3)对中标结果提出质疑的，为中标结果公告期限届满之日起七个工作日内，以书面形式向采购人和采购代理机构一次性提出。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39.2 </w:t>
      </w: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40.签订合同</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b/>
          <w:kern w:val="0"/>
          <w:szCs w:val="21"/>
        </w:rPr>
        <w:t>41.履约保证金</w:t>
      </w:r>
    </w:p>
    <w:p>
      <w:pPr>
        <w:autoSpaceDE w:val="0"/>
        <w:autoSpaceDN w:val="0"/>
        <w:adjustRightInd w:val="0"/>
        <w:snapToGrid w:val="0"/>
        <w:spacing w:line="360" w:lineRule="auto"/>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政府采购政策功能</w:t>
      </w:r>
    </w:p>
    <w:p>
      <w:pPr>
        <w:spacing w:before="240"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0" w:name="OLE_LINK6"/>
      <w:r>
        <w:rPr>
          <w:rFonts w:hint="eastAsia" w:cs="仿宋_GB2312" w:asciiTheme="minorEastAsia" w:hAnsiTheme="minorEastAsia"/>
          <w:szCs w:val="21"/>
          <w:lang w:val="zh-CN"/>
        </w:rPr>
        <w:t>财库[2014]68号</w:t>
      </w:r>
      <w:bookmarkEnd w:id="1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资格审查与评标</w:t>
      </w:r>
    </w:p>
    <w:p>
      <w:pPr>
        <w:pStyle w:val="16"/>
        <w:spacing w:before="240" w:line="360" w:lineRule="auto"/>
        <w:ind w:firstLine="211"/>
        <w:contextualSpacing/>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Cs/>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2017年度或者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4" w:hRule="atLeast"/>
        </w:trPr>
        <w:tc>
          <w:tcPr>
            <w:tcW w:w="9079" w:type="dxa"/>
            <w:vAlign w:val="center"/>
          </w:tcPr>
          <w:p>
            <w:pPr>
              <w:spacing w:line="336" w:lineRule="auto"/>
              <w:rPr>
                <w:rFonts w:cs="宋体" w:asciiTheme="minorEastAsia" w:hAnsiTheme="minorEastAsia"/>
                <w:b/>
                <w:bCs/>
                <w:szCs w:val="21"/>
              </w:rPr>
            </w:pPr>
            <w:r>
              <w:rPr>
                <w:rFonts w:hint="eastAsia" w:asciiTheme="minorEastAsia" w:hAnsiTheme="minorEastAsia"/>
                <w:b/>
                <w:bCs/>
                <w:szCs w:val="21"/>
              </w:rPr>
              <w:t>8、</w:t>
            </w:r>
            <w:r>
              <w:rPr>
                <w:rFonts w:cs="宋体" w:asciiTheme="minorEastAsia" w:hAnsiTheme="minorEastAsia"/>
                <w:b/>
                <w:bCs/>
                <w:szCs w:val="21"/>
                <w:lang w:val="zh-CN"/>
              </w:rPr>
              <w:t>未被列入</w:t>
            </w:r>
            <w:r>
              <w:rPr>
                <w:rFonts w:cs="宋体" w:asciiTheme="minorEastAsia" w:hAnsiTheme="minorEastAsia"/>
                <w:b/>
                <w:bCs/>
                <w:szCs w:val="21"/>
              </w:rPr>
              <w:t>“</w:t>
            </w:r>
            <w:r>
              <w:rPr>
                <w:rFonts w:cs="宋体" w:asciiTheme="minorEastAsia" w:hAnsiTheme="minorEastAsia"/>
                <w:b/>
                <w:bCs/>
                <w:szCs w:val="21"/>
                <w:lang w:val="zh-CN"/>
              </w:rPr>
              <w:t>信用中国</w:t>
            </w:r>
            <w:r>
              <w:rPr>
                <w:rFonts w:cs="宋体" w:asciiTheme="minorEastAsia" w:hAnsiTheme="minorEastAsia"/>
                <w:b/>
                <w:bCs/>
                <w:szCs w:val="21"/>
              </w:rPr>
              <w:t>”</w:t>
            </w:r>
            <w:r>
              <w:rPr>
                <w:rFonts w:cs="宋体" w:asciiTheme="minorEastAsia" w:hAnsiTheme="minorEastAsia"/>
                <w:b/>
                <w:bCs/>
                <w:szCs w:val="21"/>
                <w:lang w:val="zh-CN"/>
              </w:rPr>
              <w:t>网站</w:t>
            </w:r>
            <w:r>
              <w:rPr>
                <w:rFonts w:cs="宋体" w:asciiTheme="minorEastAsia" w:hAnsiTheme="minorEastAsia"/>
                <w:b/>
                <w:bCs/>
                <w:szCs w:val="21"/>
              </w:rPr>
              <w:t>(www.creditchina.gov.cn)</w:t>
            </w:r>
            <w:r>
              <w:rPr>
                <w:rFonts w:cs="宋体" w:asciiTheme="minorEastAsia" w:hAnsiTheme="minorEastAsia"/>
                <w:b/>
                <w:bCs/>
                <w:szCs w:val="21"/>
                <w:lang w:val="zh-CN"/>
              </w:rPr>
              <w:t>失信被执行人、重大税收违法案件当事人名单的</w:t>
            </w:r>
            <w:r>
              <w:rPr>
                <w:rFonts w:hint="eastAsia" w:cs="宋体" w:asciiTheme="minorEastAsia" w:hAnsiTheme="minorEastAsia"/>
                <w:b/>
                <w:bCs/>
                <w:szCs w:val="21"/>
                <w:lang w:val="zh-CN"/>
              </w:rPr>
              <w:t>供应商</w:t>
            </w:r>
            <w:r>
              <w:rPr>
                <w:rFonts w:cs="宋体" w:asciiTheme="minorEastAsia" w:hAnsiTheme="minorEastAsia"/>
                <w:b/>
                <w:bCs/>
                <w:szCs w:val="21"/>
              </w:rPr>
              <w:t>；</w:t>
            </w:r>
            <w:r>
              <w:rPr>
                <w:rFonts w:hint="eastAsia" w:cs="宋体" w:asciiTheme="minorEastAsia" w:hAnsiTheme="minorEastAsia"/>
                <w:b/>
                <w:bCs/>
                <w:szCs w:val="21"/>
              </w:rPr>
              <w:t>“</w:t>
            </w:r>
            <w:r>
              <w:rPr>
                <w:rFonts w:cs="宋体" w:asciiTheme="minorEastAsia" w:hAnsiTheme="minorEastAsia"/>
                <w:b/>
                <w:bCs/>
                <w:szCs w:val="21"/>
                <w:lang w:val="zh-CN"/>
              </w:rPr>
              <w:t>中国政府采购网</w:t>
            </w:r>
            <w:r>
              <w:rPr>
                <w:rFonts w:hint="eastAsia" w:cs="宋体" w:asciiTheme="minorEastAsia" w:hAnsiTheme="minorEastAsia"/>
                <w:b/>
                <w:bCs/>
                <w:szCs w:val="21"/>
              </w:rPr>
              <w:t>”</w:t>
            </w:r>
            <w:r>
              <w:rPr>
                <w:rFonts w:cs="宋体" w:asciiTheme="minorEastAsia" w:hAnsiTheme="minorEastAsia"/>
                <w:b/>
                <w:bCs/>
                <w:szCs w:val="21"/>
              </w:rPr>
              <w:t xml:space="preserve"> (www.ccgp.gov.cn)</w:t>
            </w:r>
            <w:r>
              <w:rPr>
                <w:rFonts w:cs="宋体" w:asciiTheme="minorEastAsia" w:hAnsiTheme="minorEastAsia"/>
                <w:b/>
                <w:bCs/>
                <w:szCs w:val="21"/>
                <w:lang w:val="zh-CN"/>
              </w:rPr>
              <w:t>政府采购严重违法失信行为记录名单的</w:t>
            </w:r>
            <w:r>
              <w:rPr>
                <w:rFonts w:hint="eastAsia" w:cs="宋体" w:asciiTheme="minorEastAsia" w:hAnsiTheme="minorEastAsia"/>
                <w:b/>
                <w:bCs/>
                <w:szCs w:val="21"/>
                <w:lang w:val="zh-CN"/>
              </w:rPr>
              <w:t>供应商</w:t>
            </w:r>
            <w:r>
              <w:rPr>
                <w:rFonts w:hint="eastAsia" w:cs="宋体" w:asciiTheme="minorEastAsia" w:hAnsiTheme="minorEastAsia"/>
                <w:b/>
                <w:bCs/>
                <w:szCs w:val="21"/>
              </w:rPr>
              <w:t>；“</w:t>
            </w:r>
            <w:r>
              <w:rPr>
                <w:rFonts w:hint="eastAsia" w:cs="宋体" w:asciiTheme="minorEastAsia" w:hAnsiTheme="minorEastAsia"/>
                <w:b/>
                <w:bCs/>
                <w:szCs w:val="21"/>
                <w:lang w:val="zh-CN"/>
              </w:rPr>
              <w:t>中国社会组织公共服务平台</w:t>
            </w:r>
            <w:r>
              <w:rPr>
                <w:rFonts w:hint="eastAsia" w:cs="宋体" w:asciiTheme="minorEastAsia" w:hAnsiTheme="minorEastAsia"/>
                <w:b/>
                <w:bCs/>
                <w:szCs w:val="21"/>
              </w:rPr>
              <w:t>”</w:t>
            </w:r>
            <w:r>
              <w:rPr>
                <w:rFonts w:hint="eastAsia" w:cs="宋体" w:asciiTheme="minorEastAsia" w:hAnsiTheme="minorEastAsia"/>
                <w:b/>
                <w:bCs/>
                <w:szCs w:val="21"/>
                <w:lang w:val="zh-CN"/>
              </w:rPr>
              <w:t>网站</w:t>
            </w:r>
            <w:r>
              <w:rPr>
                <w:rFonts w:hint="eastAsia" w:cs="宋体" w:asciiTheme="minorEastAsia" w:hAnsiTheme="minorEastAsia"/>
                <w:b/>
                <w:bCs/>
                <w:szCs w:val="21"/>
              </w:rPr>
              <w:t>（</w:t>
            </w:r>
            <w:r>
              <w:rPr>
                <w:rFonts w:cs="宋体" w:asciiTheme="minorEastAsia" w:hAnsiTheme="minorEastAsia"/>
                <w:b/>
                <w:bCs/>
                <w:szCs w:val="21"/>
              </w:rPr>
              <w:t>www.chinanpo.gov.cn</w:t>
            </w:r>
            <w:r>
              <w:rPr>
                <w:rFonts w:hint="eastAsia" w:cs="宋体" w:asciiTheme="minorEastAsia" w:hAnsiTheme="minorEastAsia"/>
                <w:b/>
                <w:bCs/>
                <w:szCs w:val="21"/>
              </w:rPr>
              <w:t>）</w:t>
            </w:r>
            <w:r>
              <w:rPr>
                <w:rFonts w:hint="eastAsia" w:cs="宋体" w:asciiTheme="minorEastAsia" w:hAnsiTheme="minorEastAsia"/>
                <w:b/>
                <w:bCs/>
                <w:szCs w:val="21"/>
                <w:lang w:val="zh-CN"/>
              </w:rPr>
              <w:t>严重违法失信名单的社会组织。</w:t>
            </w:r>
          </w:p>
          <w:p>
            <w:pPr>
              <w:spacing w:line="336"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、政府采购严重违法失信行为记录名单、严重违法失信企业名单（黑名单）（联合体形式投标的，联合体成员存在不良信用记录，视同联合体存在不良信用记录）。</w:t>
            </w:r>
          </w:p>
          <w:p>
            <w:pPr>
              <w:spacing w:line="336" w:lineRule="auto"/>
              <w:rPr>
                <w:rFonts w:asciiTheme="minorEastAsia" w:hAnsiTheme="minorEastAsia"/>
                <w:bCs/>
                <w:szCs w:val="21"/>
              </w:rPr>
            </w:pPr>
            <w:r>
              <w:rPr>
                <w:rFonts w:hint="eastAsia" w:asciiTheme="minorEastAsia" w:hAnsiTheme="minorEastAsia"/>
                <w:bCs/>
                <w:szCs w:val="21"/>
              </w:rPr>
              <w:t>（1）查询渠道：“信用中国”网站（www.creditchina.gov.cn）、“中国政府采购网”（www.ccgp.gov.cn）和“</w:t>
            </w:r>
            <w:r>
              <w:rPr>
                <w:rFonts w:hint="eastAsia" w:asciiTheme="minorEastAsia" w:hAnsiTheme="minorEastAsia"/>
                <w:bCs/>
                <w:szCs w:val="21"/>
                <w:lang w:val="zh-CN"/>
              </w:rPr>
              <w:t>中国社会组织公共服务平台</w:t>
            </w:r>
            <w:r>
              <w:rPr>
                <w:rFonts w:hint="eastAsia" w:asciiTheme="minorEastAsia" w:hAnsiTheme="minorEastAsia"/>
                <w:bCs/>
                <w:szCs w:val="21"/>
              </w:rPr>
              <w:t>”</w:t>
            </w:r>
            <w:r>
              <w:rPr>
                <w:rFonts w:hint="eastAsia" w:asciiTheme="minorEastAsia" w:hAnsiTheme="minorEastAsia"/>
                <w:bCs/>
                <w:szCs w:val="21"/>
                <w:lang w:val="zh-CN"/>
              </w:rPr>
              <w:t>网站</w:t>
            </w:r>
            <w:r>
              <w:rPr>
                <w:rFonts w:hint="eastAsia" w:asciiTheme="minorEastAsia" w:hAnsiTheme="minorEastAsia"/>
                <w:bCs/>
                <w:szCs w:val="21"/>
              </w:rPr>
              <w:t>（www.chinanpo.gov.cn）；</w:t>
            </w:r>
          </w:p>
          <w:p>
            <w:pPr>
              <w:spacing w:line="336" w:lineRule="auto"/>
              <w:rPr>
                <w:rFonts w:asciiTheme="minorEastAsia" w:hAnsiTheme="minorEastAsia"/>
                <w:bCs/>
                <w:szCs w:val="21"/>
              </w:rPr>
            </w:pPr>
            <w:r>
              <w:rPr>
                <w:rFonts w:hint="eastAsia" w:asciiTheme="minorEastAsia" w:hAnsiTheme="minorEastAsia"/>
                <w:bCs/>
                <w:szCs w:val="21"/>
              </w:rPr>
              <w:t>（2）截止时间：同投标截止时间；</w:t>
            </w:r>
          </w:p>
          <w:p>
            <w:pPr>
              <w:spacing w:line="336"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36"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名单、政府采购严重违法失信行为记录名单、严重违法失信企业名单（黑名单）的投标人，将拒绝其参与政府采购活动。</w:t>
            </w:r>
          </w:p>
          <w:p>
            <w:pPr>
              <w:spacing w:line="336" w:lineRule="auto"/>
            </w:pPr>
            <w:r>
              <w:rPr>
                <w:rFonts w:hint="eastAsia" w:asciiTheme="minorEastAsia" w:hAnsiTheme="minorEastAsia"/>
                <w:bCs/>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6"/>
        <w:spacing w:before="240" w:line="360" w:lineRule="auto"/>
        <w:contextualSpacing/>
        <w:jc w:val="left"/>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tabs>
          <w:tab w:val="left" w:pos="1260"/>
        </w:tabs>
        <w:autoSpaceDE w:val="0"/>
        <w:autoSpaceDN w:val="0"/>
        <w:spacing w:line="360" w:lineRule="auto"/>
        <w:ind w:firstLine="420" w:firstLineChars="200"/>
        <w:rPr>
          <w:rFonts w:cs="仿宋_GB2312" w:asciiTheme="minorEastAsia" w:hAnsiTheme="minorEastAsia"/>
          <w:szCs w:val="21"/>
          <w:lang w:val="zh-CN"/>
        </w:rPr>
      </w:pPr>
      <w:r>
        <w:rPr>
          <w:rFonts w:hint="eastAsia" w:cs="仿宋_GB2312" w:asciiTheme="minorEastAsia" w:hAnsiTheme="minorEastAsia"/>
          <w:szCs w:val="21"/>
          <w:lang w:val="zh-CN"/>
        </w:rPr>
        <w:t>6）</w:t>
      </w:r>
      <w:r>
        <w:rPr>
          <w:rFonts w:cs="仿宋_GB2312" w:asciiTheme="minorEastAsia" w:hAnsiTheme="minorEastAsia"/>
          <w:szCs w:val="21"/>
          <w:lang w:val="zh-CN"/>
        </w:rPr>
        <w:t>法律、法规和招标文件规定的其他无效情形。</w:t>
      </w:r>
    </w:p>
    <w:p>
      <w:pPr>
        <w:tabs>
          <w:tab w:val="left" w:pos="1260"/>
        </w:tabs>
        <w:autoSpaceDE w:val="0"/>
        <w:autoSpaceDN w:val="0"/>
        <w:adjustRightInd w:val="0"/>
        <w:snapToGrid w:val="0"/>
        <w:spacing w:before="240" w:after="240"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（5）评标标准</w:t>
      </w:r>
    </w:p>
    <w:tbl>
      <w:tblPr>
        <w:tblStyle w:val="26"/>
        <w:tblW w:w="9039" w:type="dxa"/>
        <w:tblInd w:w="0" w:type="dxa"/>
        <w:tblLayout w:type="fixed"/>
        <w:tblCellMar>
          <w:top w:w="0" w:type="dxa"/>
          <w:left w:w="108" w:type="dxa"/>
          <w:bottom w:w="0" w:type="dxa"/>
          <w:right w:w="108" w:type="dxa"/>
        </w:tblCellMar>
      </w:tblPr>
      <w:tblGrid>
        <w:gridCol w:w="1384"/>
        <w:gridCol w:w="1563"/>
        <w:gridCol w:w="6092"/>
      </w:tblGrid>
      <w:tr>
        <w:tblPrEx>
          <w:tblCellMar>
            <w:top w:w="0" w:type="dxa"/>
            <w:left w:w="108" w:type="dxa"/>
            <w:bottom w:w="0" w:type="dxa"/>
            <w:right w:w="108" w:type="dxa"/>
          </w:tblCellMar>
        </w:tblPrEx>
        <w:trPr>
          <w:trHeight w:val="1615" w:hRule="atLeast"/>
        </w:trPr>
        <w:tc>
          <w:tcPr>
            <w:tcW w:w="29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分值构成</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6092" w:type="dxa"/>
            <w:tcBorders>
              <w:top w:val="single" w:color="auto" w:sz="4" w:space="0"/>
              <w:left w:val="nil"/>
              <w:bottom w:val="single" w:color="auto" w:sz="4" w:space="0"/>
              <w:right w:val="single" w:color="auto" w:sz="4" w:space="0"/>
            </w:tcBorders>
            <w:noWrap/>
            <w:vAlign w:val="center"/>
          </w:tcPr>
          <w:p>
            <w:pPr>
              <w:pStyle w:val="154"/>
              <w:spacing w:line="420" w:lineRule="atLeast"/>
              <w:jc w:val="center"/>
              <w:rPr>
                <w:rFonts w:ascii="宋体" w:hAnsi="宋体" w:cs="宋体"/>
                <w:color w:val="auto"/>
                <w:sz w:val="21"/>
                <w:szCs w:val="21"/>
              </w:rPr>
            </w:pPr>
            <w:r>
              <w:rPr>
                <w:rFonts w:hint="eastAsia" w:ascii="宋体" w:hAnsi="宋体" w:cs="宋体"/>
                <w:color w:val="auto"/>
                <w:sz w:val="21"/>
                <w:szCs w:val="21"/>
              </w:rPr>
              <w:t>价格分值：30分</w:t>
            </w:r>
          </w:p>
          <w:p>
            <w:pPr>
              <w:pStyle w:val="154"/>
              <w:spacing w:line="420" w:lineRule="atLeast"/>
              <w:jc w:val="center"/>
              <w:rPr>
                <w:rFonts w:ascii="宋体" w:hAnsi="宋体" w:cs="宋体"/>
                <w:color w:val="auto"/>
                <w:sz w:val="21"/>
                <w:szCs w:val="21"/>
              </w:rPr>
            </w:pPr>
            <w:r>
              <w:rPr>
                <w:rFonts w:hint="eastAsia" w:ascii="宋体" w:hAnsi="宋体" w:cs="宋体"/>
                <w:color w:val="auto"/>
                <w:sz w:val="21"/>
                <w:szCs w:val="21"/>
              </w:rPr>
              <w:t>商务部分：20分</w:t>
            </w:r>
          </w:p>
          <w:p>
            <w:pPr>
              <w:pStyle w:val="154"/>
              <w:spacing w:line="420" w:lineRule="atLeast"/>
              <w:jc w:val="center"/>
              <w:rPr>
                <w:rFonts w:ascii="宋体" w:hAnsi="宋体" w:cs="宋体"/>
                <w:color w:val="auto"/>
                <w:sz w:val="21"/>
                <w:szCs w:val="21"/>
              </w:rPr>
            </w:pPr>
            <w:r>
              <w:rPr>
                <w:rFonts w:hint="eastAsia" w:ascii="宋体" w:hAnsi="宋体" w:cs="宋体"/>
                <w:color w:val="auto"/>
                <w:sz w:val="21"/>
                <w:szCs w:val="21"/>
              </w:rPr>
              <w:t>技术部分：40分</w:t>
            </w:r>
          </w:p>
          <w:p>
            <w:pPr>
              <w:pStyle w:val="154"/>
              <w:spacing w:line="420" w:lineRule="atLeast"/>
              <w:jc w:val="center"/>
              <w:rPr>
                <w:rFonts w:ascii="宋体" w:hAnsi="宋体" w:cs="宋体"/>
                <w:color w:val="auto"/>
                <w:sz w:val="21"/>
                <w:szCs w:val="21"/>
              </w:rPr>
            </w:pPr>
            <w:r>
              <w:rPr>
                <w:rFonts w:hint="eastAsia" w:ascii="宋体" w:hAnsi="宋体" w:cs="宋体"/>
                <w:color w:val="auto"/>
                <w:sz w:val="21"/>
                <w:szCs w:val="21"/>
              </w:rPr>
              <w:t>服务部分：10分</w:t>
            </w:r>
          </w:p>
        </w:tc>
      </w:tr>
      <w:tr>
        <w:tblPrEx>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评审项</w:t>
            </w: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评分因素</w:t>
            </w:r>
          </w:p>
        </w:tc>
        <w:tc>
          <w:tcPr>
            <w:tcW w:w="6092"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评标标准</w:t>
            </w:r>
          </w:p>
        </w:tc>
      </w:tr>
      <w:tr>
        <w:tblPrEx>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报价部分</w:t>
            </w:r>
          </w:p>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30</w:t>
            </w:r>
            <w:r>
              <w:rPr>
                <w:rFonts w:hint="eastAsia" w:ascii="宋体" w:hAnsi="宋体" w:eastAsia="宋体" w:cs="宋体"/>
                <w:color w:val="auto"/>
                <w:szCs w:val="21"/>
              </w:rPr>
              <w:t>分）</w:t>
            </w: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报价</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30</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rPr>
                <w:rFonts w:ascii="宋体" w:hAnsi="宋体" w:eastAsia="宋体" w:cs="宋体"/>
                <w:color w:val="auto"/>
                <w:szCs w:val="21"/>
              </w:rPr>
            </w:pPr>
            <w:r>
              <w:rPr>
                <w:rFonts w:hint="eastAsia" w:ascii="宋体" w:hAnsi="宋体" w:eastAsia="宋体" w:cs="宋体"/>
                <w:color w:val="auto"/>
                <w:szCs w:val="21"/>
              </w:rPr>
              <w:t>评标基准价：满足招标文件要求的有效投标报价中，最低的投标报价为评标基准价。</w:t>
            </w:r>
          </w:p>
          <w:p>
            <w:pPr>
              <w:widowControl/>
              <w:spacing w:line="420" w:lineRule="atLeast"/>
              <w:rPr>
                <w:rFonts w:ascii="宋体" w:hAnsi="宋体" w:eastAsia="宋体" w:cs="宋体"/>
                <w:color w:val="auto"/>
                <w:szCs w:val="21"/>
              </w:rPr>
            </w:pPr>
            <w:r>
              <w:rPr>
                <w:rFonts w:hint="eastAsia" w:ascii="宋体" w:hAnsi="宋体" w:eastAsia="宋体" w:cs="宋体"/>
                <w:color w:val="auto"/>
                <w:szCs w:val="21"/>
              </w:rPr>
              <w:t>投标报价得分=（评标基准价/投标报价）× 30</w:t>
            </w:r>
          </w:p>
        </w:tc>
      </w:tr>
      <w:tr>
        <w:tblPrEx>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商务部分</w:t>
            </w:r>
          </w:p>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20</w:t>
            </w:r>
            <w:r>
              <w:rPr>
                <w:rFonts w:hint="eastAsia" w:ascii="宋体" w:hAnsi="宋体" w:eastAsia="宋体" w:cs="宋体"/>
                <w:color w:val="auto"/>
                <w:szCs w:val="21"/>
              </w:rPr>
              <w:t>分）</w:t>
            </w:r>
          </w:p>
        </w:tc>
        <w:tc>
          <w:tcPr>
            <w:tcW w:w="1563"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atLeast"/>
              <w:jc w:val="center"/>
              <w:rPr>
                <w:rFonts w:ascii="宋体" w:hAnsi="宋体" w:eastAsia="宋体" w:cs="宋体"/>
                <w:color w:val="auto"/>
                <w:szCs w:val="21"/>
              </w:rPr>
            </w:pPr>
          </w:p>
          <w:p>
            <w:pPr>
              <w:snapToGrid w:val="0"/>
              <w:spacing w:line="420" w:lineRule="atLeast"/>
              <w:jc w:val="center"/>
              <w:rPr>
                <w:rFonts w:ascii="宋体" w:hAnsi="宋体" w:eastAsia="宋体" w:cs="宋体"/>
                <w:color w:val="auto"/>
                <w:szCs w:val="21"/>
              </w:rPr>
            </w:pPr>
            <w:r>
              <w:rPr>
                <w:rFonts w:hint="eastAsia" w:ascii="宋体" w:hAnsi="宋体" w:eastAsia="宋体" w:cs="宋体"/>
                <w:color w:val="auto"/>
                <w:szCs w:val="21"/>
              </w:rPr>
              <w:t>综合实力（10分）</w:t>
            </w:r>
          </w:p>
        </w:tc>
        <w:tc>
          <w:tcPr>
            <w:tcW w:w="6092" w:type="dxa"/>
            <w:tcBorders>
              <w:top w:val="single" w:color="auto" w:sz="4" w:space="0"/>
              <w:left w:val="single" w:color="auto" w:sz="4" w:space="0"/>
              <w:bottom w:val="single" w:color="auto" w:sz="4" w:space="0"/>
              <w:right w:val="single" w:color="auto" w:sz="4" w:space="0"/>
            </w:tcBorders>
            <w:noWrap/>
            <w:vAlign w:val="center"/>
          </w:tcPr>
          <w:p>
            <w:pPr>
              <w:pStyle w:val="10"/>
              <w:numPr>
                <w:ilvl w:val="0"/>
                <w:numId w:val="7"/>
              </w:numPr>
              <w:spacing w:line="420" w:lineRule="atLeast"/>
              <w:ind w:firstLine="420" w:firstLineChars="200"/>
              <w:jc w:val="both"/>
              <w:rPr>
                <w:rFonts w:ascii="宋体" w:hAnsi="宋体" w:cs="宋体"/>
                <w:color w:val="auto"/>
                <w:szCs w:val="21"/>
              </w:rPr>
            </w:pPr>
            <w:r>
              <w:rPr>
                <w:rFonts w:hint="eastAsia" w:ascii="宋体" w:hAnsi="宋体" w:cs="宋体"/>
                <w:color w:val="auto"/>
                <w:szCs w:val="21"/>
              </w:rPr>
              <w:t>投标人综合能力：</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（1）投标人具有电子与智能化工程专业承包二级及以上资质、建筑装修装饰工程专业承包二级及以上资质的，每具有一项加</w:t>
            </w:r>
            <w:r>
              <w:rPr>
                <w:rFonts w:ascii="宋体" w:hAnsi="宋体" w:cs="宋体"/>
                <w:color w:val="auto"/>
                <w:szCs w:val="21"/>
              </w:rPr>
              <w:t>1.5</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（2）投标人投标人具有高新技术企业证书、省级科技型企业证书的，每提供一项符合要求的得1分，本项共2分；</w:t>
            </w:r>
          </w:p>
          <w:p>
            <w:pPr>
              <w:pStyle w:val="10"/>
              <w:spacing w:line="420" w:lineRule="atLeast"/>
              <w:ind w:firstLine="420" w:firstLineChars="200"/>
              <w:jc w:val="both"/>
              <w:rPr>
                <w:rFonts w:hint="eastAsia" w:ascii="宋体" w:hAnsi="宋体" w:cs="宋体"/>
                <w:color w:val="auto"/>
                <w:szCs w:val="21"/>
                <w:lang w:eastAsia="zh-CN"/>
              </w:rPr>
            </w:pPr>
            <w:r>
              <w:rPr>
                <w:rFonts w:hint="eastAsia" w:ascii="宋体" w:hAnsi="宋体" w:cs="宋体"/>
                <w:color w:val="auto"/>
                <w:szCs w:val="21"/>
              </w:rPr>
              <w:t>（3）企业信用等级为AAA 的，得</w:t>
            </w:r>
            <w:r>
              <w:rPr>
                <w:rFonts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分，AA得</w:t>
            </w:r>
            <w:r>
              <w:rPr>
                <w:rFonts w:ascii="宋体" w:hAnsi="宋体" w:cs="宋体"/>
                <w:color w:val="auto"/>
                <w:szCs w:val="21"/>
              </w:rPr>
              <w:t>0.5</w:t>
            </w:r>
            <w:r>
              <w:rPr>
                <w:rFonts w:hint="eastAsia" w:ascii="宋体" w:hAnsi="宋体" w:cs="宋体"/>
                <w:color w:val="auto"/>
                <w:szCs w:val="21"/>
              </w:rPr>
              <w:t>分，本项共1</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eastAsia="zh-CN"/>
              </w:rPr>
              <w:t>；</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（4）提供ISO9000质量管理体系认证证书、 ISO14001 环境管理体系认证证书，OHSAS18001 职业健康安全管理体系证书，每提供一项符合要求的得</w:t>
            </w:r>
            <w:r>
              <w:rPr>
                <w:rFonts w:ascii="宋体" w:hAnsi="宋体" w:cs="宋体"/>
                <w:color w:val="auto"/>
                <w:szCs w:val="21"/>
              </w:rPr>
              <w:t>0.5</w:t>
            </w:r>
            <w:r>
              <w:rPr>
                <w:rFonts w:hint="eastAsia" w:ascii="宋体" w:hAnsi="宋体" w:cs="宋体"/>
                <w:color w:val="auto"/>
                <w:szCs w:val="21"/>
              </w:rPr>
              <w:t>分，本项共</w:t>
            </w:r>
            <w:r>
              <w:rPr>
                <w:rFonts w:ascii="宋体" w:hAnsi="宋体" w:cs="宋体"/>
                <w:color w:val="auto"/>
                <w:szCs w:val="21"/>
              </w:rPr>
              <w:t>1.5</w:t>
            </w:r>
            <w:r>
              <w:rPr>
                <w:rFonts w:hint="eastAsia" w:ascii="宋体" w:hAnsi="宋体" w:cs="宋体"/>
                <w:color w:val="auto"/>
                <w:szCs w:val="21"/>
              </w:rPr>
              <w:t>分；</w:t>
            </w:r>
          </w:p>
          <w:p>
            <w:pPr>
              <w:pStyle w:val="10"/>
              <w:spacing w:line="420" w:lineRule="atLeast"/>
              <w:ind w:firstLine="420" w:firstLineChars="200"/>
              <w:jc w:val="both"/>
              <w:rPr>
                <w:rFonts w:ascii="宋体" w:hAnsi="宋体" w:cs="宋体" w:eastAsiaTheme="minorEastAsia"/>
                <w:color w:val="auto"/>
                <w:szCs w:val="21"/>
              </w:rPr>
            </w:pPr>
            <w:r>
              <w:rPr>
                <w:rFonts w:hint="eastAsia" w:ascii="宋体" w:hAnsi="宋体" w:cs="宋体"/>
                <w:color w:val="auto"/>
                <w:szCs w:val="21"/>
              </w:rPr>
              <w:t>（5）在音视频集成、LED显示方面具有相应资质的，每一项加</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2</w:t>
            </w:r>
            <w:r>
              <w:rPr>
                <w:rFonts w:hint="eastAsia" w:ascii="宋体" w:hAnsi="宋体" w:cs="宋体"/>
                <w:color w:val="auto"/>
                <w:szCs w:val="21"/>
              </w:rPr>
              <w:t>分。</w:t>
            </w:r>
          </w:p>
        </w:tc>
      </w:tr>
      <w:tr>
        <w:tblPrEx>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left"/>
              <w:rPr>
                <w:color w:val="auto"/>
                <w:szCs w:val="21"/>
              </w:rPr>
            </w:pPr>
            <w:r>
              <w:rPr>
                <w:rFonts w:hint="eastAsia"/>
                <w:color w:val="auto"/>
                <w:szCs w:val="21"/>
              </w:rPr>
              <w:t>业绩（8分）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8"/>
              </w:numPr>
              <w:spacing w:line="420" w:lineRule="atLeast"/>
              <w:ind w:firstLine="420" w:firstLineChars="200"/>
              <w:jc w:val="left"/>
              <w:rPr>
                <w:color w:val="auto"/>
                <w:szCs w:val="21"/>
              </w:rPr>
            </w:pPr>
            <w:r>
              <w:rPr>
                <w:rFonts w:hint="eastAsia"/>
                <w:color w:val="auto"/>
                <w:szCs w:val="21"/>
              </w:rPr>
              <w:t>投标人提供2016年1月1日以来类似项目业绩（以合同签订时间为准，投标文件中提供合同复印件），提供1份得2分，本项共6分。（类似项目：含有LED显示屏产品、标准化机房建设等项目）</w:t>
            </w:r>
          </w:p>
          <w:p>
            <w:pPr>
              <w:widowControl/>
              <w:numPr>
                <w:ilvl w:val="0"/>
                <w:numId w:val="8"/>
              </w:numPr>
              <w:spacing w:line="420" w:lineRule="atLeast"/>
              <w:ind w:firstLine="420" w:firstLineChars="200"/>
              <w:jc w:val="left"/>
              <w:rPr>
                <w:color w:val="auto"/>
                <w:szCs w:val="21"/>
              </w:rPr>
            </w:pPr>
            <w:r>
              <w:rPr>
                <w:rFonts w:hint="eastAsia"/>
                <w:color w:val="auto"/>
                <w:szCs w:val="21"/>
              </w:rPr>
              <w:t>投标人在同类电子智能化系统项目中包含有为系统及设备配套的装饰改造项目经历的：由本公司开展施工的，每提供加1分；分包其他单位施工的，加0.5分；本项共2分（在合同中需能显示装饰项目，同时提供相应资格证件）</w:t>
            </w:r>
          </w:p>
        </w:tc>
      </w:tr>
      <w:tr>
        <w:tblPrEx>
          <w:tblCellMar>
            <w:top w:w="0" w:type="dxa"/>
            <w:left w:w="108" w:type="dxa"/>
            <w:bottom w:w="0" w:type="dxa"/>
            <w:right w:w="108" w:type="dxa"/>
          </w:tblCellMar>
        </w:tblPrEx>
        <w:trPr>
          <w:trHeight w:val="2894" w:hRule="atLeast"/>
        </w:trPr>
        <w:tc>
          <w:tcPr>
            <w:tcW w:w="1384" w:type="dxa"/>
            <w:vMerge w:val="continue"/>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420" w:lineRule="atLeast"/>
              <w:jc w:val="center"/>
              <w:rPr>
                <w:rFonts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节约能源、保护环境政策</w:t>
            </w:r>
          </w:p>
          <w:p>
            <w:pPr>
              <w:widowControl/>
              <w:shd w:val="clear" w:color="auto" w:fill="FFFFFF"/>
              <w:spacing w:line="420" w:lineRule="atLeast"/>
              <w:jc w:val="center"/>
              <w:rPr>
                <w:rFonts w:ascii="宋体" w:hAnsi="宋体" w:eastAsia="宋体" w:cs="宋体"/>
                <w:color w:val="auto"/>
                <w:szCs w:val="21"/>
              </w:rPr>
            </w:pPr>
            <w:r>
              <w:rPr>
                <w:rFonts w:hint="eastAsia" w:ascii="宋体" w:hAnsi="宋体" w:eastAsia="宋体" w:cs="宋体"/>
                <w:color w:val="auto"/>
                <w:kern w:val="0"/>
                <w:szCs w:val="21"/>
                <w:shd w:val="clear" w:color="auto" w:fill="FFFFFF"/>
              </w:rPr>
              <w:t>加分</w:t>
            </w:r>
          </w:p>
          <w:p>
            <w:pPr>
              <w:widowControl/>
              <w:shd w:val="clear" w:color="auto" w:fill="FFFFFF"/>
              <w:spacing w:line="420" w:lineRule="atLeast"/>
              <w:jc w:val="center"/>
              <w:rPr>
                <w:rFonts w:ascii="宋体" w:hAnsi="宋体" w:eastAsia="宋体" w:cs="宋体"/>
                <w:color w:val="auto"/>
                <w:szCs w:val="21"/>
              </w:rPr>
            </w:pPr>
            <w:r>
              <w:rPr>
                <w:rFonts w:hint="eastAsia" w:ascii="宋体" w:hAnsi="宋体" w:eastAsia="宋体" w:cs="宋体"/>
                <w:color w:val="auto"/>
                <w:kern w:val="0"/>
                <w:szCs w:val="21"/>
                <w:shd w:val="clear" w:color="auto" w:fill="FFFFFF"/>
              </w:rPr>
              <w:t>（2分）</w:t>
            </w:r>
          </w:p>
          <w:p>
            <w:pPr>
              <w:spacing w:line="420" w:lineRule="atLeast"/>
              <w:jc w:val="center"/>
              <w:rPr>
                <w:rFonts w:ascii="宋体" w:hAnsi="宋体" w:eastAsia="宋体" w:cs="宋体"/>
                <w:color w:val="auto"/>
                <w:szCs w:val="21"/>
              </w:rPr>
            </w:pP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9"/>
              </w:numPr>
              <w:spacing w:line="420" w:lineRule="atLeast"/>
              <w:ind w:firstLine="420" w:firstLineChars="200"/>
              <w:jc w:val="left"/>
              <w:rPr>
                <w:color w:val="auto"/>
                <w:szCs w:val="21"/>
              </w:rPr>
            </w:pPr>
            <w:r>
              <w:rPr>
                <w:rFonts w:hint="eastAsia"/>
                <w:color w:val="auto"/>
                <w:szCs w:val="21"/>
              </w:rPr>
              <w:t>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pacing w:line="420" w:lineRule="atLeast"/>
              <w:ind w:firstLine="420" w:firstLineChars="200"/>
              <w:jc w:val="left"/>
              <w:rPr>
                <w:color w:val="auto"/>
                <w:szCs w:val="21"/>
              </w:rPr>
            </w:pPr>
            <w:r>
              <w:rPr>
                <w:rFonts w:hint="eastAsia"/>
                <w:color w:val="auto"/>
                <w:szCs w:val="21"/>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460" w:hRule="atLeast"/>
        </w:trPr>
        <w:tc>
          <w:tcPr>
            <w:tcW w:w="1384" w:type="dxa"/>
            <w:vMerge w:val="restart"/>
            <w:tcBorders>
              <w:top w:val="single" w:color="auto" w:sz="4" w:space="0"/>
              <w:left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技术部分</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（40分）</w:t>
            </w: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技术服务能力</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5</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0"/>
              </w:numPr>
              <w:spacing w:line="420" w:lineRule="atLeast"/>
              <w:ind w:firstLine="420" w:firstLineChars="200"/>
              <w:jc w:val="left"/>
              <w:rPr>
                <w:color w:val="auto"/>
                <w:szCs w:val="21"/>
              </w:rPr>
            </w:pPr>
            <w:r>
              <w:rPr>
                <w:rFonts w:hint="eastAsia"/>
                <w:color w:val="auto"/>
                <w:szCs w:val="21"/>
              </w:rPr>
              <w:t>投标人提供拟投入本项目技术人员的相关职称证书，中级及中级职称以上的，得1分，最高2分；（需提供证书复印件和投标人所缴纳的连续3个月以上的社保证明）</w:t>
            </w:r>
          </w:p>
          <w:p>
            <w:pPr>
              <w:pStyle w:val="10"/>
              <w:numPr>
                <w:ilvl w:val="0"/>
                <w:numId w:val="7"/>
              </w:numPr>
              <w:spacing w:line="420" w:lineRule="atLeast"/>
              <w:ind w:firstLine="420" w:firstLineChars="200"/>
              <w:jc w:val="both"/>
              <w:rPr>
                <w:rFonts w:ascii="宋体" w:hAnsi="宋体" w:cs="宋体"/>
                <w:color w:val="auto"/>
                <w:szCs w:val="21"/>
              </w:rPr>
            </w:pPr>
            <w:r>
              <w:rPr>
                <w:rFonts w:hint="eastAsia" w:ascii="宋体" w:hAnsi="宋体" w:cs="宋体"/>
                <w:color w:val="auto"/>
                <w:szCs w:val="21"/>
              </w:rPr>
              <w:t>所投模块化数据中心机房制造商技术能力：</w:t>
            </w:r>
          </w:p>
          <w:p>
            <w:pPr>
              <w:pStyle w:val="10"/>
              <w:numPr>
                <w:ilvl w:val="0"/>
                <w:numId w:val="11"/>
              </w:numPr>
              <w:spacing w:line="420" w:lineRule="atLeast"/>
              <w:ind w:firstLine="420"/>
              <w:jc w:val="both"/>
              <w:rPr>
                <w:rFonts w:ascii="宋体" w:hAnsi="宋体" w:cs="宋体"/>
                <w:color w:val="auto"/>
                <w:szCs w:val="21"/>
              </w:rPr>
            </w:pPr>
            <w:r>
              <w:rPr>
                <w:rFonts w:hint="eastAsia" w:ascii="宋体" w:hAnsi="宋体" w:cs="宋体"/>
                <w:color w:val="auto"/>
                <w:szCs w:val="21"/>
              </w:rPr>
              <w:t>所投模块化数据中心机房制造商参加《模块化微型数据机房建设标准》编制的加</w:t>
            </w:r>
            <w:r>
              <w:rPr>
                <w:rFonts w:ascii="宋体" w:hAnsi="宋体" w:cs="宋体"/>
                <w:color w:val="auto"/>
                <w:szCs w:val="21"/>
              </w:rPr>
              <w:t>2</w:t>
            </w:r>
            <w:r>
              <w:rPr>
                <w:rFonts w:hint="eastAsia" w:ascii="宋体" w:hAnsi="宋体" w:cs="宋体"/>
                <w:color w:val="auto"/>
                <w:szCs w:val="21"/>
              </w:rPr>
              <w:t>分；提供有第三方微型数据中心冷通道整体结构检测报告的，得1分，本项共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left="420"/>
              <w:jc w:val="both"/>
              <w:rPr>
                <w:rFonts w:ascii="宋体" w:hAnsi="宋体" w:cs="宋体"/>
                <w:color w:val="auto"/>
                <w:szCs w:val="21"/>
              </w:rPr>
            </w:pPr>
            <w:r>
              <w:rPr>
                <w:rFonts w:hint="eastAsia" w:ascii="宋体" w:hAnsi="宋体" w:cs="宋体"/>
                <w:color w:val="auto"/>
                <w:szCs w:val="21"/>
              </w:rPr>
              <w:t>（2）所投模块化中心机房制造商具有ISO 27001信息安全管理体系认证证书、ISO 20000信息技术服务管理体系认证证书、具有ITSS《信息技术服务运行维护标准符合性证书》达到成熟度等级叁级及以上认证证书，每提供一项符合要求的得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firstLine="420" w:firstLineChars="200"/>
              <w:jc w:val="both"/>
              <w:rPr>
                <w:rFonts w:hint="eastAsia" w:ascii="宋体" w:hAnsi="宋体" w:eastAsia="宋体" w:cs="宋体"/>
                <w:color w:val="auto"/>
                <w:szCs w:val="21"/>
                <w:lang w:eastAsia="zh-CN"/>
              </w:rPr>
            </w:pPr>
            <w:r>
              <w:rPr>
                <w:rFonts w:hint="eastAsia" w:ascii="宋体" w:hAnsi="宋体" w:cs="宋体"/>
                <w:color w:val="auto"/>
                <w:szCs w:val="21"/>
              </w:rPr>
              <w:t>3、所投服务器制造商技术能力：提供IDC（互联网数据中心）出具的证明文件，在计算机系统领域获得过国家科学进步奖，提供服务器操作系统安全增强软件的公安部销售许可证，每提供一项符合要求的得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r>
              <w:rPr>
                <w:rFonts w:hint="eastAsia" w:ascii="宋体" w:hAnsi="宋体" w:cs="宋体"/>
                <w:color w:val="auto"/>
                <w:szCs w:val="21"/>
                <w:lang w:eastAsia="zh-CN"/>
              </w:rPr>
              <w:t>。</w:t>
            </w:r>
          </w:p>
          <w:p>
            <w:pPr>
              <w:pStyle w:val="10"/>
              <w:spacing w:line="420" w:lineRule="atLeast"/>
              <w:ind w:firstLine="420" w:firstLineChars="200"/>
              <w:jc w:val="both"/>
              <w:rPr>
                <w:color w:val="auto"/>
                <w:szCs w:val="21"/>
              </w:rPr>
            </w:pPr>
            <w:r>
              <w:rPr>
                <w:rFonts w:hint="eastAsia" w:ascii="宋体" w:hAnsi="宋体" w:cs="宋体"/>
                <w:color w:val="auto"/>
                <w:szCs w:val="21"/>
              </w:rPr>
              <w:t>4、网络及安全设备商技术服务能力：拥有自主知识产权的核心技术、具有良好的创新管理体系，受省级及以上有关部门授予“创新型企业”的得</w:t>
            </w:r>
            <w:r>
              <w:rPr>
                <w:rFonts w:ascii="宋体" w:hAnsi="宋体" w:cs="宋体"/>
                <w:color w:val="auto"/>
                <w:szCs w:val="21"/>
              </w:rPr>
              <w:t>2</w:t>
            </w:r>
            <w:r>
              <w:rPr>
                <w:rFonts w:hint="eastAsia" w:ascii="宋体" w:hAnsi="宋体" w:cs="宋体"/>
                <w:color w:val="auto"/>
                <w:szCs w:val="21"/>
              </w:rPr>
              <w:t>分；售后服务体系通过符合GB/T 27922-2011标准的售后服务认证，5星级得</w:t>
            </w:r>
            <w:r>
              <w:rPr>
                <w:rFonts w:ascii="宋体" w:hAnsi="宋体" w:cs="宋体"/>
                <w:color w:val="auto"/>
                <w:szCs w:val="21"/>
              </w:rPr>
              <w:t>2</w:t>
            </w:r>
            <w:r>
              <w:rPr>
                <w:rFonts w:hint="eastAsia" w:ascii="宋体" w:hAnsi="宋体" w:cs="宋体"/>
                <w:color w:val="auto"/>
                <w:szCs w:val="21"/>
              </w:rPr>
              <w:t>分，4星级得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4</w:t>
            </w:r>
            <w:r>
              <w:rPr>
                <w:rFonts w:hint="eastAsia" w:ascii="宋体" w:hAnsi="宋体" w:cs="宋体"/>
                <w:color w:val="auto"/>
                <w:szCs w:val="21"/>
              </w:rPr>
              <w:t>分。</w:t>
            </w:r>
          </w:p>
        </w:tc>
      </w:tr>
      <w:tr>
        <w:tblPrEx>
          <w:tblCellMar>
            <w:top w:w="0" w:type="dxa"/>
            <w:left w:w="108" w:type="dxa"/>
            <w:bottom w:w="0" w:type="dxa"/>
            <w:right w:w="108" w:type="dxa"/>
          </w:tblCellMar>
        </w:tblPrEx>
        <w:trPr>
          <w:trHeight w:val="1694"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货物技术规格、参数与</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要求响应</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pStyle w:val="13"/>
              <w:numPr>
                <w:ilvl w:val="0"/>
                <w:numId w:val="12"/>
              </w:numPr>
              <w:adjustRightInd/>
              <w:spacing w:line="420" w:lineRule="atLeast"/>
              <w:ind w:left="0" w:right="0" w:rightChars="0" w:firstLine="420" w:firstLineChars="200"/>
              <w:rPr>
                <w:rFonts w:ascii="宋体" w:hAnsi="宋体"/>
                <w:color w:val="auto"/>
                <w:sz w:val="21"/>
                <w:szCs w:val="21"/>
              </w:rPr>
            </w:pPr>
            <w:r>
              <w:rPr>
                <w:rFonts w:hint="eastAsia" w:ascii="宋体" w:hAnsi="宋体" w:eastAsia="宋体" w:cs="宋体"/>
                <w:color w:val="auto"/>
                <w:kern w:val="2"/>
                <w:sz w:val="21"/>
                <w:szCs w:val="21"/>
              </w:rPr>
              <w:t>为确保项目质量，标示★的设备参数中每优于一项得</w:t>
            </w:r>
            <w:r>
              <w:rPr>
                <w:rFonts w:ascii="宋体" w:hAnsi="宋体" w:eastAsia="宋体" w:cs="宋体"/>
                <w:color w:val="auto"/>
                <w:kern w:val="2"/>
                <w:sz w:val="21"/>
                <w:szCs w:val="21"/>
              </w:rPr>
              <w:t>0.5</w:t>
            </w:r>
            <w:r>
              <w:rPr>
                <w:rFonts w:hint="eastAsia" w:ascii="宋体" w:hAnsi="宋体" w:eastAsia="宋体" w:cs="宋体"/>
                <w:color w:val="auto"/>
                <w:kern w:val="2"/>
                <w:sz w:val="21"/>
                <w:szCs w:val="21"/>
              </w:rPr>
              <w:t>分，本项共</w:t>
            </w:r>
            <w:r>
              <w:rPr>
                <w:rFonts w:ascii="宋体" w:hAnsi="宋体" w:eastAsia="宋体" w:cs="宋体"/>
                <w:color w:val="auto"/>
                <w:kern w:val="2"/>
                <w:sz w:val="21"/>
                <w:szCs w:val="21"/>
              </w:rPr>
              <w:t>4</w:t>
            </w:r>
            <w:r>
              <w:rPr>
                <w:rFonts w:hint="eastAsia" w:ascii="宋体" w:hAnsi="宋体" w:eastAsia="宋体" w:cs="宋体"/>
                <w:color w:val="auto"/>
                <w:kern w:val="2"/>
                <w:sz w:val="21"/>
                <w:szCs w:val="21"/>
              </w:rPr>
              <w:t>分。</w:t>
            </w:r>
          </w:p>
        </w:tc>
      </w:tr>
      <w:tr>
        <w:tblPrEx>
          <w:tblCellMar>
            <w:top w:w="0" w:type="dxa"/>
            <w:left w:w="108" w:type="dxa"/>
            <w:bottom w:w="0" w:type="dxa"/>
            <w:right w:w="108" w:type="dxa"/>
          </w:tblCellMar>
        </w:tblPrEx>
        <w:trPr>
          <w:trHeight w:val="1138"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color w:val="auto"/>
                <w:szCs w:val="21"/>
              </w:rPr>
            </w:pPr>
            <w:r>
              <w:rPr>
                <w:rFonts w:hint="eastAsia"/>
                <w:color w:val="auto"/>
                <w:szCs w:val="21"/>
              </w:rPr>
              <w:t>技术方案</w:t>
            </w:r>
          </w:p>
          <w:p>
            <w:pPr>
              <w:pStyle w:val="2"/>
              <w:spacing w:after="0" w:line="420" w:lineRule="atLeast"/>
              <w:ind w:firstLine="210"/>
              <w:rPr>
                <w:color w:val="auto"/>
                <w:sz w:val="21"/>
                <w:szCs w:val="21"/>
              </w:rPr>
            </w:pPr>
            <w:r>
              <w:rPr>
                <w:rFonts w:hint="eastAsia" w:asciiTheme="minorHAnsi" w:hAnsiTheme="minorHAnsi" w:eastAsiaTheme="minorEastAsia" w:cstheme="minorBidi"/>
                <w:color w:val="auto"/>
                <w:kern w:val="2"/>
                <w:sz w:val="21"/>
                <w:szCs w:val="21"/>
              </w:rPr>
              <w:t>（15分）</w:t>
            </w:r>
          </w:p>
        </w:tc>
        <w:tc>
          <w:tcPr>
            <w:tcW w:w="6092" w:type="dxa"/>
            <w:tcBorders>
              <w:top w:val="single" w:color="auto" w:sz="4" w:space="0"/>
              <w:left w:val="single" w:color="auto" w:sz="4" w:space="0"/>
              <w:bottom w:val="single" w:color="auto" w:sz="4" w:space="0"/>
              <w:right w:val="single" w:color="auto" w:sz="4" w:space="0"/>
            </w:tcBorders>
            <w:noWrap/>
            <w:vAlign w:val="center"/>
          </w:tcPr>
          <w:p>
            <w:pPr>
              <w:spacing w:line="420" w:lineRule="atLeast"/>
              <w:ind w:firstLine="420" w:firstLineChars="200"/>
              <w:rPr>
                <w:rFonts w:hint="default" w:eastAsiaTheme="minorEastAsia"/>
                <w:color w:val="auto"/>
                <w:szCs w:val="21"/>
                <w:lang w:val="en-US" w:eastAsia="zh-CN"/>
              </w:rPr>
            </w:pPr>
            <w:r>
              <w:rPr>
                <w:rFonts w:hint="eastAsia"/>
                <w:color w:val="auto"/>
                <w:szCs w:val="21"/>
              </w:rPr>
              <w:t>1、对机房、指挥大厅、多功能厅设备的安装、调试</w:t>
            </w:r>
            <w:r>
              <w:rPr>
                <w:rFonts w:hint="eastAsia"/>
                <w:color w:val="auto"/>
                <w:szCs w:val="21"/>
                <w:lang w:eastAsia="zh-CN"/>
              </w:rPr>
              <w:t>及装饰</w:t>
            </w:r>
            <w:r>
              <w:rPr>
                <w:rFonts w:hint="eastAsia"/>
                <w:color w:val="auto"/>
                <w:szCs w:val="21"/>
              </w:rPr>
              <w:t>提出技术方案。方案的完整性、可行性符合采购要求的得10分，基本符合的得5分，一般得3分。</w:t>
            </w:r>
            <w:r>
              <w:rPr>
                <w:rFonts w:hint="eastAsia"/>
                <w:color w:val="auto"/>
                <w:szCs w:val="21"/>
                <w:lang w:eastAsia="zh-CN"/>
              </w:rPr>
              <w:t>本项共</w:t>
            </w:r>
            <w:r>
              <w:rPr>
                <w:rFonts w:hint="eastAsia"/>
                <w:color w:val="auto"/>
                <w:szCs w:val="21"/>
                <w:lang w:val="en-US" w:eastAsia="zh-CN"/>
              </w:rPr>
              <w:t>10分。</w:t>
            </w:r>
          </w:p>
          <w:p>
            <w:pPr>
              <w:spacing w:line="420" w:lineRule="atLeast"/>
              <w:ind w:firstLine="420" w:firstLineChars="200"/>
              <w:rPr>
                <w:rFonts w:ascii="宋体" w:hAnsi="宋体" w:eastAsia="宋体" w:cs="宋体"/>
                <w:color w:val="auto"/>
                <w:kern w:val="0"/>
                <w:szCs w:val="21"/>
              </w:rPr>
            </w:pPr>
            <w:r>
              <w:rPr>
                <w:rFonts w:hint="eastAsia"/>
                <w:color w:val="auto"/>
                <w:szCs w:val="21"/>
              </w:rPr>
              <w:t>2、对大数据管理服务系统的开发集成提出技术方案，方案的完整性、合理性符合采购要求的得5分，基本符合的得2分，一般得1分。</w:t>
            </w:r>
            <w:r>
              <w:rPr>
                <w:rFonts w:hint="eastAsia"/>
                <w:color w:val="auto"/>
                <w:szCs w:val="21"/>
                <w:lang w:eastAsia="zh-CN"/>
              </w:rPr>
              <w:t>本项共</w:t>
            </w:r>
            <w:r>
              <w:rPr>
                <w:rFonts w:hint="eastAsia"/>
                <w:color w:val="auto"/>
                <w:szCs w:val="21"/>
                <w:lang w:val="en-US" w:eastAsia="zh-CN"/>
              </w:rPr>
              <w:t>5分。</w:t>
            </w:r>
          </w:p>
        </w:tc>
      </w:tr>
      <w:tr>
        <w:tblPrEx>
          <w:tblCellMar>
            <w:top w:w="0" w:type="dxa"/>
            <w:left w:w="108" w:type="dxa"/>
            <w:bottom w:w="0" w:type="dxa"/>
            <w:right w:w="108" w:type="dxa"/>
          </w:tblCellMar>
        </w:tblPrEx>
        <w:trPr>
          <w:trHeight w:val="1138" w:hRule="atLeast"/>
        </w:trPr>
        <w:tc>
          <w:tcPr>
            <w:tcW w:w="1384" w:type="dxa"/>
            <w:vMerge w:val="continue"/>
            <w:tcBorders>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专业配合方案（6分）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20" w:lineRule="atLeast"/>
              <w:ind w:firstLine="420" w:firstLineChars="200"/>
              <w:jc w:val="left"/>
              <w:rPr>
                <w:color w:val="auto"/>
                <w:szCs w:val="21"/>
              </w:rPr>
            </w:pPr>
            <w:r>
              <w:rPr>
                <w:rFonts w:hint="eastAsia"/>
                <w:color w:val="auto"/>
                <w:szCs w:val="21"/>
              </w:rPr>
              <w:t>由于本项目中，对原建筑物内部分设施需要拆除及重装、需安装新风、空调、加固等工序，与电子智能化系统设备的安装与调试存在交叉。</w:t>
            </w:r>
          </w:p>
          <w:p>
            <w:pPr>
              <w:widowControl/>
              <w:numPr>
                <w:ilvl w:val="0"/>
                <w:numId w:val="13"/>
              </w:numPr>
              <w:snapToGrid w:val="0"/>
              <w:spacing w:line="420" w:lineRule="atLeast"/>
              <w:ind w:firstLine="420" w:firstLineChars="200"/>
              <w:jc w:val="left"/>
              <w:rPr>
                <w:color w:val="auto"/>
                <w:szCs w:val="21"/>
              </w:rPr>
            </w:pPr>
            <w:r>
              <w:rPr>
                <w:rFonts w:hint="eastAsia"/>
                <w:color w:val="auto"/>
                <w:szCs w:val="21"/>
              </w:rPr>
              <w:t>提供本项目详细采购、安装、调试计划的，计划可行得1分，一般得0.5分；提供施工进度计划表的加1分；本项共2分</w:t>
            </w:r>
            <w:r>
              <w:rPr>
                <w:rFonts w:hint="eastAsia"/>
                <w:color w:val="auto"/>
                <w:szCs w:val="21"/>
                <w:lang w:eastAsia="zh-CN"/>
              </w:rPr>
              <w:t>。</w:t>
            </w:r>
          </w:p>
          <w:p>
            <w:pPr>
              <w:widowControl/>
              <w:numPr>
                <w:ilvl w:val="0"/>
                <w:numId w:val="13"/>
              </w:numPr>
              <w:snapToGrid w:val="0"/>
              <w:spacing w:line="420" w:lineRule="atLeast"/>
              <w:ind w:firstLine="420" w:firstLineChars="200"/>
              <w:jc w:val="left"/>
              <w:rPr>
                <w:color w:val="auto"/>
                <w:szCs w:val="21"/>
              </w:rPr>
            </w:pPr>
            <w:r>
              <w:rPr>
                <w:rFonts w:hint="eastAsia"/>
                <w:color w:val="auto"/>
                <w:szCs w:val="21"/>
              </w:rPr>
              <w:t>提供各工序配合保障措施说明的，措施可行得1分，一般得0.5分；本项共1分</w:t>
            </w:r>
            <w:r>
              <w:rPr>
                <w:rFonts w:hint="eastAsia"/>
                <w:color w:val="auto"/>
                <w:szCs w:val="21"/>
                <w:lang w:eastAsia="zh-CN"/>
              </w:rPr>
              <w:t>。</w:t>
            </w:r>
          </w:p>
          <w:p>
            <w:pPr>
              <w:widowControl/>
              <w:snapToGrid w:val="0"/>
              <w:spacing w:line="420" w:lineRule="atLeast"/>
              <w:ind w:firstLine="420" w:firstLineChars="200"/>
              <w:jc w:val="left"/>
              <w:rPr>
                <w:color w:val="auto"/>
                <w:szCs w:val="21"/>
              </w:rPr>
            </w:pPr>
            <w:r>
              <w:rPr>
                <w:rFonts w:hint="eastAsia"/>
                <w:color w:val="auto"/>
                <w:szCs w:val="21"/>
              </w:rPr>
              <w:t>3、对质量、安全、文明、消防、环保、成品保护等提出措施的，每一项得0.5分。本项共3分。</w:t>
            </w:r>
          </w:p>
        </w:tc>
      </w:tr>
      <w:tr>
        <w:tblPrEx>
          <w:tblCellMar>
            <w:top w:w="0" w:type="dxa"/>
            <w:left w:w="108" w:type="dxa"/>
            <w:bottom w:w="0" w:type="dxa"/>
            <w:right w:w="108" w:type="dxa"/>
          </w:tblCellMar>
        </w:tblPrEx>
        <w:trPr>
          <w:trHeight w:val="1703" w:hRule="atLeast"/>
        </w:trPr>
        <w:tc>
          <w:tcPr>
            <w:tcW w:w="1384" w:type="dxa"/>
            <w:vMerge w:val="restart"/>
            <w:tcBorders>
              <w:top w:val="single" w:color="auto" w:sz="4" w:space="0"/>
              <w:left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服务部分</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kern w:val="0"/>
                <w:szCs w:val="21"/>
              </w:rPr>
              <w:t>0</w:t>
            </w:r>
            <w:r>
              <w:rPr>
                <w:rFonts w:hint="eastAsia" w:ascii="宋体" w:hAnsi="宋体" w:eastAsia="宋体" w:cs="宋体"/>
                <w:color w:val="auto"/>
                <w:szCs w:val="21"/>
              </w:rPr>
              <w:t>分）</w:t>
            </w: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售后服务响应</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w:t>
            </w:r>
            <w:r>
              <w:rPr>
                <w:rFonts w:hint="eastAsia" w:ascii="宋体" w:hAnsi="宋体" w:eastAsia="宋体" w:cs="宋体"/>
                <w:color w:val="auto"/>
                <w:szCs w:val="21"/>
              </w:rPr>
              <w:t>分）</w:t>
            </w:r>
          </w:p>
        </w:tc>
        <w:tc>
          <w:tcPr>
            <w:tcW w:w="6092" w:type="dxa"/>
            <w:tcBorders>
              <w:top w:val="single" w:color="auto" w:sz="4" w:space="0"/>
              <w:left w:val="nil"/>
              <w:bottom w:val="single" w:color="auto" w:sz="4" w:space="0"/>
              <w:right w:val="single" w:color="auto" w:sz="4" w:space="0"/>
            </w:tcBorders>
            <w:noWrap/>
            <w:vAlign w:val="center"/>
          </w:tcPr>
          <w:p>
            <w:pPr>
              <w:spacing w:line="420" w:lineRule="atLeast"/>
              <w:ind w:firstLine="420" w:firstLineChars="200"/>
              <w:rPr>
                <w:rFonts w:ascii="宋体" w:hAnsi="宋体" w:eastAsia="宋体" w:cs="宋体"/>
                <w:color w:val="auto"/>
                <w:szCs w:val="21"/>
              </w:rPr>
            </w:pPr>
            <w:r>
              <w:rPr>
                <w:rFonts w:hint="eastAsia" w:ascii="宋体" w:hAnsi="宋体" w:eastAsia="宋体" w:cs="宋体"/>
                <w:bCs/>
                <w:color w:val="auto"/>
                <w:szCs w:val="21"/>
              </w:rPr>
              <w:t>售后服务，</w:t>
            </w:r>
            <w:r>
              <w:rPr>
                <w:rFonts w:hint="eastAsia" w:ascii="宋体" w:hAnsi="宋体" w:eastAsia="宋体" w:cs="宋体"/>
                <w:color w:val="auto"/>
                <w:szCs w:val="21"/>
              </w:rPr>
              <w:t>质保期方案完全满足招标文件要求；售后服务体系完善，承诺服务内容优越，响应时间，售后服务人员组织结构合理、维护体系健全，技术支持保障到位。2</w:t>
            </w:r>
            <w:bookmarkStart w:id="23" w:name="_GoBack"/>
            <w:bookmarkEnd w:id="23"/>
            <w:r>
              <w:rPr>
                <w:rFonts w:hint="eastAsia" w:ascii="宋体" w:hAnsi="宋体" w:eastAsia="宋体" w:cs="宋体"/>
                <w:color w:val="auto"/>
                <w:szCs w:val="21"/>
              </w:rPr>
              <w:t>小时内到达现场得3分，6小时内到达现场得1分，超过6小时的不得分。</w:t>
            </w:r>
          </w:p>
        </w:tc>
      </w:tr>
      <w:tr>
        <w:tblPrEx>
          <w:tblCellMar>
            <w:top w:w="0" w:type="dxa"/>
            <w:left w:w="108" w:type="dxa"/>
            <w:bottom w:w="0" w:type="dxa"/>
            <w:right w:w="108" w:type="dxa"/>
          </w:tblCellMar>
        </w:tblPrEx>
        <w:trPr>
          <w:trHeight w:val="1489"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技术培训</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（3分）</w:t>
            </w:r>
          </w:p>
        </w:tc>
        <w:tc>
          <w:tcPr>
            <w:tcW w:w="6092" w:type="dxa"/>
            <w:tcBorders>
              <w:top w:val="single" w:color="auto" w:sz="4" w:space="0"/>
              <w:left w:val="nil"/>
              <w:bottom w:val="single" w:color="auto" w:sz="4" w:space="0"/>
              <w:right w:val="single" w:color="auto" w:sz="4" w:space="0"/>
            </w:tcBorders>
            <w:noWrap/>
            <w:vAlign w:val="center"/>
          </w:tcPr>
          <w:p>
            <w:pPr>
              <w:widowControl/>
              <w:spacing w:line="420" w:lineRule="atLeast"/>
              <w:ind w:firstLine="420" w:firstLineChars="200"/>
              <w:textAlignment w:val="center"/>
              <w:rPr>
                <w:rFonts w:ascii="宋体" w:hAnsi="宋体" w:eastAsia="宋体" w:cs="宋体"/>
                <w:color w:val="auto"/>
                <w:kern w:val="0"/>
                <w:szCs w:val="21"/>
              </w:rPr>
            </w:pPr>
            <w:r>
              <w:rPr>
                <w:rFonts w:hint="eastAsia" w:ascii="宋体" w:hAnsi="宋体" w:eastAsia="宋体" w:cs="宋体"/>
                <w:color w:val="auto"/>
                <w:szCs w:val="21"/>
              </w:rPr>
              <w:t>投标文件中有完整的技术培训方案。其中，包括：1、培训承诺、2、培训计划、3培训内容、4培训人员安排、5培训地点、6培训专家安排；每项内容得0.5分，缺项不得分。本项共3分。</w:t>
            </w:r>
          </w:p>
        </w:tc>
      </w:tr>
      <w:tr>
        <w:tblPrEx>
          <w:tblCellMar>
            <w:top w:w="0" w:type="dxa"/>
            <w:left w:w="108" w:type="dxa"/>
            <w:bottom w:w="0" w:type="dxa"/>
            <w:right w:w="108" w:type="dxa"/>
          </w:tblCellMar>
        </w:tblPrEx>
        <w:trPr>
          <w:trHeight w:val="419" w:hRule="atLeast"/>
        </w:trPr>
        <w:tc>
          <w:tcPr>
            <w:tcW w:w="1384" w:type="dxa"/>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spacing w:line="420" w:lineRule="atLeast"/>
              <w:jc w:val="center"/>
              <w:rPr>
                <w:color w:val="auto"/>
                <w:szCs w:val="21"/>
              </w:rPr>
            </w:pPr>
            <w:r>
              <w:rPr>
                <w:rFonts w:hint="eastAsia"/>
                <w:color w:val="auto"/>
                <w:szCs w:val="21"/>
              </w:rPr>
              <w:t>其他服务</w:t>
            </w:r>
          </w:p>
          <w:p>
            <w:pPr>
              <w:spacing w:line="420" w:lineRule="atLeast"/>
              <w:jc w:val="center"/>
              <w:rPr>
                <w:color w:val="auto"/>
                <w:szCs w:val="21"/>
              </w:rPr>
            </w:pPr>
            <w:r>
              <w:rPr>
                <w:rFonts w:hint="eastAsia"/>
                <w:color w:val="auto"/>
                <w:szCs w:val="21"/>
              </w:rPr>
              <w:t>（2分）</w:t>
            </w:r>
          </w:p>
        </w:tc>
        <w:tc>
          <w:tcPr>
            <w:tcW w:w="6092" w:type="dxa"/>
            <w:tcBorders>
              <w:top w:val="single" w:color="auto" w:sz="4" w:space="0"/>
              <w:left w:val="nil"/>
              <w:bottom w:val="single" w:color="auto" w:sz="4" w:space="0"/>
              <w:right w:val="single" w:color="auto" w:sz="4" w:space="0"/>
            </w:tcBorders>
            <w:noWrap/>
            <w:vAlign w:val="center"/>
          </w:tcPr>
          <w:p>
            <w:pPr>
              <w:spacing w:line="420" w:lineRule="atLeast"/>
              <w:ind w:firstLine="420" w:firstLineChars="200"/>
              <w:jc w:val="left"/>
              <w:rPr>
                <w:color w:val="auto"/>
                <w:szCs w:val="21"/>
              </w:rPr>
            </w:pPr>
            <w:r>
              <w:rPr>
                <w:rFonts w:hint="eastAsia"/>
                <w:color w:val="auto"/>
                <w:szCs w:val="21"/>
              </w:rPr>
              <w:t>售后服务期外，提供有利于采购人的服务、优惠等，得2分，一般得1分，未提供不得分，本项共2分。</w:t>
            </w:r>
          </w:p>
        </w:tc>
      </w:tr>
      <w:tr>
        <w:tblPrEx>
          <w:tblCellMar>
            <w:top w:w="0" w:type="dxa"/>
            <w:left w:w="108" w:type="dxa"/>
            <w:bottom w:w="0" w:type="dxa"/>
            <w:right w:w="108" w:type="dxa"/>
          </w:tblCellMar>
        </w:tblPrEx>
        <w:trPr>
          <w:trHeight w:val="419" w:hRule="atLeast"/>
        </w:trPr>
        <w:tc>
          <w:tcPr>
            <w:tcW w:w="1384" w:type="dxa"/>
            <w:tcBorders>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投标文件编制</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（2分）</w:t>
            </w:r>
          </w:p>
        </w:tc>
        <w:tc>
          <w:tcPr>
            <w:tcW w:w="6092" w:type="dxa"/>
            <w:tcBorders>
              <w:top w:val="single" w:color="auto" w:sz="4" w:space="0"/>
              <w:left w:val="nil"/>
              <w:bottom w:val="single" w:color="auto" w:sz="4" w:space="0"/>
              <w:right w:val="single" w:color="auto" w:sz="4" w:space="0"/>
            </w:tcBorders>
            <w:noWrap/>
            <w:vAlign w:val="center"/>
          </w:tcPr>
          <w:p>
            <w:pPr>
              <w:widowControl/>
              <w:tabs>
                <w:tab w:val="left" w:pos="312"/>
              </w:tabs>
              <w:spacing w:line="420" w:lineRule="atLeast"/>
              <w:ind w:firstLine="420" w:firstLineChars="200"/>
              <w:jc w:val="left"/>
              <w:rPr>
                <w:rFonts w:ascii="宋体" w:hAnsi="宋体" w:eastAsia="宋体" w:cs="宋体"/>
                <w:color w:val="auto"/>
                <w:szCs w:val="21"/>
              </w:rPr>
            </w:pPr>
            <w:r>
              <w:rPr>
                <w:rFonts w:hint="eastAsia" w:ascii="宋体" w:hAnsi="宋体" w:eastAsia="宋体" w:cs="宋体"/>
                <w:color w:val="auto"/>
                <w:szCs w:val="21"/>
              </w:rPr>
              <w:t>投标文件编制完整，投标文件格式规范、符合招标文件要求得1分；所提供资料准确完整、无差错，得1分。招标文件有关内容前后矛盾、与招标文件要求不一致的不得分。</w:t>
            </w:r>
          </w:p>
        </w:tc>
      </w:tr>
    </w:tbl>
    <w:p>
      <w:pPr>
        <w:widowControl/>
        <w:spacing w:line="330" w:lineRule="atLeast"/>
        <w:rPr>
          <w:rFonts w:cs="仿宋" w:asciiTheme="minorEastAsia" w:hAnsiTheme="minorEastAsia"/>
          <w:b/>
          <w:kern w:val="0"/>
          <w:szCs w:val="21"/>
        </w:rPr>
      </w:pPr>
      <w:r>
        <w:rPr>
          <w:rFonts w:hint="eastAsia" w:cs="仿宋" w:asciiTheme="minorEastAsia" w:hAnsiTheme="minorEastAsia"/>
          <w:b/>
          <w:kern w:val="0"/>
          <w:szCs w:val="21"/>
        </w:rPr>
        <w:t>注：1.凡评标办法里涉及到的证书、证件及业绩材料等，均应在电子版投标文件中附其原件扫描件（或图片），否则该项得分应作0分处理。</w:t>
      </w:r>
    </w:p>
    <w:p>
      <w:pPr>
        <w:widowControl/>
        <w:spacing w:line="330" w:lineRule="atLeast"/>
        <w:rPr>
          <w:rFonts w:cs="仿宋" w:asciiTheme="minorEastAsia" w:hAnsiTheme="minorEastAsia"/>
          <w:b/>
          <w:kern w:val="0"/>
          <w:szCs w:val="21"/>
        </w:rPr>
      </w:pPr>
      <w:r>
        <w:rPr>
          <w:rFonts w:hint="eastAsia" w:cs="仿宋" w:asciiTheme="minorEastAsia" w:hAnsiTheme="minorEastAsia"/>
          <w:b/>
          <w:kern w:val="0"/>
          <w:szCs w:val="21"/>
        </w:rPr>
        <w:t>2.业绩合同以合同签订日期为准，获奖证书以发证日期为准。</w:t>
      </w:r>
    </w:p>
    <w:p>
      <w:pPr>
        <w:spacing w:before="240"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序号</w:t>
            </w:r>
          </w:p>
        </w:tc>
        <w:tc>
          <w:tcPr>
            <w:tcW w:w="2823" w:type="dxa"/>
            <w:vAlign w:val="center"/>
          </w:tcPr>
          <w:p>
            <w:pPr>
              <w:jc w:val="center"/>
              <w:rPr>
                <w:rFonts w:ascii="宋体" w:hAnsi="宋体" w:eastAsia="宋体"/>
                <w:b/>
                <w:szCs w:val="21"/>
                <w:lang w:val="en-GB"/>
              </w:rPr>
            </w:pPr>
            <w:r>
              <w:rPr>
                <w:rFonts w:hint="eastAsia" w:ascii="宋体" w:hAnsi="宋体" w:eastAsia="宋体"/>
                <w:b/>
                <w:szCs w:val="21"/>
                <w:lang w:val="en-GB"/>
              </w:rPr>
              <w:t>情形</w:t>
            </w:r>
          </w:p>
        </w:tc>
        <w:tc>
          <w:tcPr>
            <w:tcW w:w="2552" w:type="dxa"/>
            <w:vAlign w:val="center"/>
          </w:tcPr>
          <w:p>
            <w:pPr>
              <w:jc w:val="center"/>
              <w:rPr>
                <w:rFonts w:ascii="宋体" w:hAnsi="宋体" w:eastAsia="宋体"/>
                <w:b/>
                <w:szCs w:val="21"/>
                <w:lang w:val="en-GB"/>
              </w:rPr>
            </w:pPr>
            <w:r>
              <w:rPr>
                <w:rFonts w:hint="eastAsia" w:ascii="宋体" w:hAnsi="宋体" w:eastAsia="宋体"/>
                <w:b/>
                <w:szCs w:val="21"/>
              </w:rPr>
              <w:t>价格扣除</w:t>
            </w:r>
            <w:r>
              <w:rPr>
                <w:rFonts w:hint="eastAsia" w:ascii="宋体" w:hAnsi="宋体" w:eastAsia="宋体"/>
                <w:b/>
                <w:szCs w:val="21"/>
                <w:lang w:val="en-GB"/>
              </w:rPr>
              <w:t>比例</w:t>
            </w:r>
          </w:p>
        </w:tc>
        <w:tc>
          <w:tcPr>
            <w:tcW w:w="2835" w:type="dxa"/>
            <w:vAlign w:val="center"/>
          </w:tcPr>
          <w:p>
            <w:pPr>
              <w:jc w:val="center"/>
              <w:rPr>
                <w:rFonts w:ascii="宋体" w:hAnsi="宋体" w:eastAsia="宋体"/>
                <w:b/>
                <w:szCs w:val="21"/>
                <w:lang w:val="en-GB"/>
              </w:rPr>
            </w:pPr>
            <w:r>
              <w:rPr>
                <w:rFonts w:hint="eastAsia" w:ascii="宋体" w:hAnsi="宋体" w:eastAsia="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szCs w:val="21"/>
                <w:lang w:val="en-GB"/>
              </w:rPr>
            </w:pPr>
            <w:r>
              <w:rPr>
                <w:rFonts w:hint="eastAsia" w:ascii="宋体" w:hAnsi="宋体" w:eastAsia="宋体"/>
                <w:szCs w:val="21"/>
                <w:lang w:val="en-GB"/>
              </w:rPr>
              <w:t>1</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非联合体投标人</w:t>
            </w:r>
          </w:p>
          <w:p>
            <w:pPr>
              <w:rPr>
                <w:rFonts w:ascii="宋体" w:hAnsi="宋体" w:eastAsia="宋体"/>
                <w:b/>
                <w:szCs w:val="21"/>
                <w:lang w:val="en-GB"/>
              </w:rPr>
            </w:pPr>
            <w:r>
              <w:rPr>
                <w:rFonts w:hint="eastAsia" w:ascii="宋体" w:hAnsi="宋体" w:eastAsia="宋体"/>
                <w:szCs w:val="21"/>
                <w:lang w:val="en-GB"/>
              </w:rPr>
              <w:t>（投标人须为中小企业）</w:t>
            </w:r>
          </w:p>
        </w:tc>
        <w:tc>
          <w:tcPr>
            <w:tcW w:w="2552" w:type="dxa"/>
            <w:vAlign w:val="center"/>
          </w:tcPr>
          <w:p>
            <w:pPr>
              <w:rPr>
                <w:rFonts w:ascii="宋体" w:hAnsi="宋体" w:eastAsia="宋体"/>
                <w:b/>
                <w:szCs w:val="21"/>
                <w:lang w:val="en-GB"/>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tc>
        <w:tc>
          <w:tcPr>
            <w:tcW w:w="2835" w:type="dxa"/>
            <w:vMerge w:val="restart"/>
            <w:shd w:val="clear" w:color="auto" w:fill="auto"/>
            <w:vAlign w:val="center"/>
          </w:tcPr>
          <w:p>
            <w:pPr>
              <w:jc w:val="center"/>
              <w:rPr>
                <w:rFonts w:ascii="宋体" w:hAnsi="宋体" w:eastAsia="宋体"/>
                <w:b/>
                <w:szCs w:val="21"/>
                <w:lang w:val="en-GB"/>
              </w:rPr>
            </w:pPr>
            <w:r>
              <w:rPr>
                <w:rFonts w:hint="eastAsia" w:ascii="宋体" w:hAnsi="宋体" w:eastAsia="宋体"/>
                <w:szCs w:val="21"/>
                <w:lang w:val="en-GB"/>
              </w:rPr>
              <w:t>评标价格＝投标报价—</w:t>
            </w:r>
            <w:r>
              <w:rPr>
                <w:rFonts w:hint="eastAsia" w:ascii="宋体" w:hAnsi="宋体" w:eastAsia="宋体"/>
                <w:szCs w:val="21"/>
              </w:rPr>
              <w:t>小型和微型企业产品的价格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szCs w:val="21"/>
                <w:lang w:val="en-GB"/>
              </w:rPr>
            </w:pPr>
            <w:r>
              <w:rPr>
                <w:rFonts w:hint="eastAsia" w:ascii="宋体" w:hAnsi="宋体" w:eastAsia="宋体"/>
                <w:szCs w:val="21"/>
                <w:lang w:val="en-GB"/>
              </w:rPr>
              <w:t>2</w:t>
            </w:r>
          </w:p>
        </w:tc>
        <w:tc>
          <w:tcPr>
            <w:tcW w:w="2823" w:type="dxa"/>
            <w:vAlign w:val="center"/>
          </w:tcPr>
          <w:p>
            <w:pPr>
              <w:jc w:val="center"/>
              <w:rPr>
                <w:rFonts w:ascii="宋体" w:hAnsi="宋体" w:eastAsia="宋体"/>
                <w:b/>
                <w:szCs w:val="21"/>
              </w:rPr>
            </w:pPr>
            <w:r>
              <w:rPr>
                <w:rFonts w:hint="eastAsia" w:ascii="宋体" w:hAnsi="宋体" w:eastAsia="宋体"/>
                <w:szCs w:val="21"/>
                <w:lang w:val="en-GB"/>
              </w:rPr>
              <w:t>联合体各方均为小型、微型企业</w:t>
            </w:r>
          </w:p>
        </w:tc>
        <w:tc>
          <w:tcPr>
            <w:tcW w:w="2552" w:type="dxa"/>
            <w:vAlign w:val="center"/>
          </w:tcPr>
          <w:p>
            <w:pPr>
              <w:jc w:val="center"/>
              <w:rPr>
                <w:rFonts w:ascii="宋体" w:hAnsi="宋体" w:eastAsia="宋体"/>
                <w:szCs w:val="21"/>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p>
            <w:pPr>
              <w:jc w:val="center"/>
              <w:rPr>
                <w:rFonts w:ascii="宋体" w:hAnsi="宋体" w:eastAsia="宋体"/>
                <w:b/>
                <w:szCs w:val="21"/>
                <w:lang w:val="en-GB"/>
              </w:rPr>
            </w:pPr>
            <w:r>
              <w:rPr>
                <w:rFonts w:hint="eastAsia" w:ascii="宋体" w:hAnsi="宋体" w:eastAsia="宋体"/>
                <w:szCs w:val="21"/>
              </w:rPr>
              <w:t>（不再享受序号3的价格折扣）</w:t>
            </w:r>
          </w:p>
        </w:tc>
        <w:tc>
          <w:tcPr>
            <w:tcW w:w="2835" w:type="dxa"/>
            <w:vMerge w:val="continue"/>
            <w:shd w:val="clear" w:color="auto" w:fill="auto"/>
          </w:tcPr>
          <w:p>
            <w:pPr>
              <w:rPr>
                <w:rFonts w:ascii="宋体" w:hAnsi="宋体" w:eastAsia="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szCs w:val="21"/>
                <w:lang w:val="en-GB"/>
              </w:rPr>
            </w:pPr>
            <w:r>
              <w:rPr>
                <w:rFonts w:hint="eastAsia" w:ascii="宋体" w:hAnsi="宋体" w:eastAsia="宋体"/>
                <w:szCs w:val="21"/>
                <w:lang w:val="en-GB"/>
              </w:rPr>
              <w:t>3</w:t>
            </w:r>
          </w:p>
        </w:tc>
        <w:tc>
          <w:tcPr>
            <w:tcW w:w="2823" w:type="dxa"/>
            <w:vAlign w:val="center"/>
          </w:tcPr>
          <w:p>
            <w:pPr>
              <w:rPr>
                <w:rFonts w:ascii="宋体" w:hAnsi="宋体" w:eastAsia="宋体"/>
                <w:b/>
                <w:szCs w:val="21"/>
                <w:lang w:val="en-GB"/>
              </w:rPr>
            </w:pPr>
            <w:r>
              <w:rPr>
                <w:rFonts w:hint="eastAsia" w:ascii="宋体" w:hAnsi="宋体" w:eastAsia="宋体"/>
                <w:szCs w:val="21"/>
                <w:lang w:val="en-GB"/>
              </w:rPr>
              <w:t>联合体一方为小型、微型企业且小型、微型企业协议合同金额占联合体协议合同总金额30%以上的</w:t>
            </w:r>
          </w:p>
        </w:tc>
        <w:tc>
          <w:tcPr>
            <w:tcW w:w="2552" w:type="dxa"/>
            <w:vAlign w:val="center"/>
          </w:tcPr>
          <w:p>
            <w:pPr>
              <w:rPr>
                <w:rFonts w:ascii="宋体" w:hAnsi="宋体" w:eastAsia="宋体"/>
                <w:szCs w:val="21"/>
                <w:lang w:val="en-GB"/>
              </w:rPr>
            </w:pPr>
            <w:r>
              <w:rPr>
                <w:rFonts w:hint="eastAsia" w:ascii="宋体" w:hAnsi="宋体" w:eastAsia="宋体"/>
                <w:szCs w:val="21"/>
                <w:lang w:val="en-GB"/>
              </w:rPr>
              <w:t>对联合体总金额扣除</w:t>
            </w:r>
          </w:p>
          <w:p>
            <w:pPr>
              <w:jc w:val="center"/>
              <w:rPr>
                <w:rFonts w:ascii="宋体" w:hAnsi="宋体" w:eastAsia="宋体"/>
                <w:b/>
                <w:szCs w:val="21"/>
                <w:lang w:val="en-GB"/>
              </w:rPr>
            </w:pPr>
            <w:r>
              <w:rPr>
                <w:rFonts w:ascii="宋体" w:hAnsi="宋体" w:eastAsia="宋体"/>
                <w:szCs w:val="21"/>
                <w:u w:val="single"/>
              </w:rPr>
              <w:t>2</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b/>
                <w:szCs w:val="21"/>
                <w:lang w:val="en-GB"/>
              </w:rPr>
            </w:pPr>
            <w:r>
              <w:rPr>
                <w:rFonts w:hint="eastAsia" w:ascii="宋体" w:hAnsi="宋体" w:eastAsia="宋体"/>
                <w:szCs w:val="21"/>
                <w:lang w:val="en-GB"/>
              </w:rPr>
              <w:t>评标价格＝投标报价×</w:t>
            </w:r>
            <w:r>
              <w:rPr>
                <w:rFonts w:hint="eastAsia" w:ascii="宋体" w:hAnsi="宋体" w:eastAsia="宋体"/>
                <w:szCs w:val="21"/>
              </w:rPr>
              <w:t>(1-</w:t>
            </w:r>
            <w:r>
              <w:rPr>
                <w:rFonts w:ascii="宋体" w:hAnsi="宋体" w:eastAsia="宋体"/>
                <w:szCs w:val="21"/>
                <w:u w:val="single"/>
              </w:rPr>
              <w:t>2</w:t>
            </w:r>
            <w:r>
              <w:rPr>
                <w:rFonts w:hint="eastAsia" w:ascii="宋体" w:hAnsi="宋体" w:eastAsia="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szCs w:val="21"/>
                <w:lang w:val="en-GB"/>
              </w:rPr>
            </w:pPr>
            <w:r>
              <w:rPr>
                <w:rFonts w:hint="eastAsia" w:ascii="宋体" w:hAnsi="宋体" w:eastAsia="宋体"/>
                <w:szCs w:val="21"/>
                <w:lang w:val="en-GB"/>
              </w:rPr>
              <w:t>4</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监狱企业</w:t>
            </w:r>
          </w:p>
        </w:tc>
        <w:tc>
          <w:tcPr>
            <w:tcW w:w="2552" w:type="dxa"/>
            <w:vAlign w:val="center"/>
          </w:tcPr>
          <w:p>
            <w:pP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对监狱企业产品价格扣除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监狱企业产品的价格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szCs w:val="21"/>
                <w:lang w:val="en-GB"/>
              </w:rPr>
            </w:pPr>
            <w:r>
              <w:rPr>
                <w:rFonts w:hint="eastAsia" w:ascii="宋体" w:hAnsi="宋体" w:eastAsia="宋体"/>
                <w:szCs w:val="21"/>
                <w:lang w:val="en-GB"/>
              </w:rPr>
              <w:t>5</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残疾人福利性单位</w:t>
            </w:r>
          </w:p>
        </w:tc>
        <w:tc>
          <w:tcPr>
            <w:tcW w:w="2552" w:type="dxa"/>
            <w:vAlign w:val="center"/>
          </w:tcPr>
          <w:p>
            <w:pP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对残疾人福利性单位产品价格扣除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残疾人福利性单位产品的价格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cs="仿宋_GB2312" w:asciiTheme="minorEastAsia" w:hAnsiTheme="minorEastAsia"/>
          <w:b/>
          <w:szCs w:val="21"/>
          <w:lang w:val="zh-CN"/>
        </w:rPr>
      </w:pPr>
      <w:r>
        <w:rPr>
          <w:rFonts w:hint="eastAsia" w:ascii="宋体" w:hAnsi="宋体"/>
          <w:bCs/>
          <w:szCs w:val="21"/>
          <w:lang w:val="en-GB"/>
        </w:rPr>
        <w:t>d、残疾人福利性单位属于小型、微型企业的，不重复享受政策。</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w:t>
      </w:r>
      <w:r>
        <w:rPr>
          <w:rFonts w:cs="仿宋_GB2312" w:asciiTheme="minorEastAsia" w:hAnsiTheme="minorEastAsia"/>
          <w:b/>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（7）</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pStyle w:val="2"/>
        <w:ind w:firstLine="340"/>
        <w:rPr>
          <w:lang w:val="zh-CN"/>
        </w:rPr>
      </w:pP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合同条款及格式</w:t>
      </w:r>
    </w:p>
    <w:p>
      <w:pPr>
        <w:spacing w:line="360" w:lineRule="auto"/>
        <w:jc w:val="center"/>
        <w:rPr>
          <w:rFonts w:ascii="宋体" w:hAnsi="宋体" w:cs="微软雅黑"/>
          <w:b/>
          <w:bCs/>
          <w:sz w:val="24"/>
          <w:szCs w:val="24"/>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ind w:firstLine="482" w:firstLineChars="200"/>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8"/>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w:t>
      </w:r>
      <w:r>
        <w:rPr>
          <w:rFonts w:hint="eastAsia" w:ascii="宋体" w:hAnsi="宋体"/>
          <w:sz w:val="24"/>
          <w:u w:val="single"/>
        </w:rPr>
        <w:t xml:space="preserve">    </w:t>
      </w:r>
      <w:r>
        <w:rPr>
          <w:rFonts w:hint="eastAsia" w:ascii="宋体" w:hAnsi="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spacing w:line="360" w:lineRule="auto"/>
        <w:rPr>
          <w:rFonts w:ascii="宋体" w:hAnsi="宋体" w:cs="微软雅黑"/>
          <w:b/>
          <w:bCs/>
          <w:sz w:val="24"/>
          <w:szCs w:val="24"/>
        </w:rPr>
      </w:pPr>
      <w:r>
        <w:rPr>
          <w:rFonts w:hint="eastAsia" w:ascii="宋体" w:hAnsi="宋体"/>
          <w:sz w:val="24"/>
        </w:rPr>
        <w:t>除非合同中另有说明，本合同经双方签字盖章，并在招标人收到乙方的履约保证金后，即开始生效。</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ageBreakBefore/>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 xml:space="preserve"> 投标文件有关格式</w:t>
      </w:r>
    </w:p>
    <w:p>
      <w:pPr>
        <w:jc w:val="left"/>
        <w:rPr>
          <w:rStyle w:val="62"/>
          <w:rFonts w:ascii="宋体" w:hAnsi="宋体" w:eastAsia="宋体"/>
        </w:rPr>
      </w:pPr>
    </w:p>
    <w:p>
      <w:pPr>
        <w:jc w:val="left"/>
        <w:rPr>
          <w:rStyle w:val="62"/>
          <w:rFonts w:ascii="宋体" w:hAnsi="宋体" w:eastAsia="宋体"/>
        </w:rPr>
      </w:pPr>
      <w:r>
        <w:rPr>
          <w:rStyle w:val="62"/>
          <w:rFonts w:hint="eastAsia" w:ascii="宋体" w:hAnsi="宋体" w:eastAsia="宋体"/>
        </w:rPr>
        <w:t>投标文件封皮格式</w:t>
      </w:r>
      <w:bookmarkStart w:id="11" w:name="_Toc5131"/>
      <w:bookmarkStart w:id="12" w:name="_Toc16238"/>
      <w:bookmarkStart w:id="13" w:name="_Toc12595"/>
      <w:bookmarkStart w:id="14" w:name="_Toc14398"/>
    </w:p>
    <w:p>
      <w:pPr>
        <w:pStyle w:val="2"/>
        <w:ind w:firstLine="340"/>
      </w:pPr>
    </w:p>
    <w:p>
      <w:pPr>
        <w:jc w:val="right"/>
        <w:rPr>
          <w:rStyle w:val="62"/>
          <w:rFonts w:ascii="宋体" w:hAnsi="宋体" w:eastAsia="宋体"/>
        </w:rPr>
      </w:pPr>
      <w:r>
        <w:rPr>
          <w:rStyle w:val="62"/>
          <w:rFonts w:hint="eastAsia" w:ascii="宋体" w:hAnsi="宋体" w:eastAsia="宋体"/>
        </w:rPr>
        <w:t>正本/副本</w:t>
      </w:r>
    </w:p>
    <w:bookmarkEnd w:id="11"/>
    <w:bookmarkEnd w:id="12"/>
    <w:bookmarkEnd w:id="13"/>
    <w:bookmarkEnd w:id="14"/>
    <w:p>
      <w:pPr>
        <w:jc w:val="left"/>
        <w:rPr>
          <w:rStyle w:val="62"/>
          <w:rFonts w:ascii="宋体" w:hAnsi="宋体" w:eastAsia="宋体"/>
        </w:rPr>
      </w:pPr>
    </w:p>
    <w:p>
      <w:pPr>
        <w:spacing w:line="276" w:lineRule="auto"/>
        <w:jc w:val="center"/>
        <w:rPr>
          <w:rFonts w:ascii="宋体" w:hAnsi="宋体" w:eastAsia="宋体" w:cs="微软雅黑"/>
          <w:sz w:val="28"/>
          <w:szCs w:val="28"/>
          <w:u w:val="single"/>
        </w:rPr>
      </w:pPr>
    </w:p>
    <w:p>
      <w:pPr>
        <w:tabs>
          <w:tab w:val="left" w:pos="1843"/>
          <w:tab w:val="left" w:pos="2835"/>
        </w:tabs>
        <w:spacing w:line="276" w:lineRule="auto"/>
        <w:jc w:val="left"/>
        <w:rPr>
          <w:rFonts w:ascii="宋体" w:hAnsi="宋体" w:eastAsia="宋体" w:cs="宋体"/>
          <w:b/>
          <w:bCs/>
          <w:sz w:val="40"/>
          <w:szCs w:val="40"/>
          <w:u w:val="single"/>
        </w:rPr>
      </w:pPr>
      <w:r>
        <w:rPr>
          <w:rFonts w:hint="eastAsia" w:ascii="宋体" w:hAnsi="宋体" w:eastAsia="宋体" w:cs="宋体"/>
          <w:b/>
          <w:bCs/>
          <w:sz w:val="40"/>
          <w:szCs w:val="40"/>
        </w:rPr>
        <w:t xml:space="preserve">        </w:t>
      </w:r>
      <w:r>
        <w:rPr>
          <w:rFonts w:hint="eastAsia" w:ascii="宋体" w:hAnsi="宋体" w:eastAsia="宋体" w:cs="宋体"/>
          <w:b/>
          <w:bCs/>
          <w:sz w:val="40"/>
          <w:szCs w:val="40"/>
          <w:u w:val="single"/>
        </w:rPr>
        <w:t xml:space="preserve">         项目名称        </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u w:val="single"/>
        </w:rPr>
      </w:pPr>
      <w:r>
        <w:rPr>
          <w:rFonts w:hint="eastAsia" w:ascii="宋体" w:hAnsi="宋体" w:eastAsia="宋体" w:cs="微软雅黑"/>
          <w:sz w:val="28"/>
          <w:szCs w:val="28"/>
        </w:rPr>
        <w:t>项目编号：</w:t>
      </w:r>
    </w:p>
    <w:p>
      <w:pPr>
        <w:pStyle w:val="2"/>
        <w:ind w:firstLine="0" w:firstLineChars="0"/>
      </w:pPr>
    </w:p>
    <w:p>
      <w:pPr>
        <w:rPr>
          <w:rFonts w:ascii="宋体" w:hAnsi="宋体" w:eastAsia="宋体" w:cs="微软雅黑"/>
          <w:sz w:val="28"/>
          <w:szCs w:val="28"/>
        </w:rPr>
      </w:pPr>
    </w:p>
    <w:p>
      <w:pPr>
        <w:ind w:firstLine="1120" w:firstLineChars="400"/>
        <w:jc w:val="left"/>
        <w:rPr>
          <w:rFonts w:ascii="宋体" w:hAnsi="宋体" w:eastAsia="宋体" w:cs="微软雅黑"/>
          <w:sz w:val="28"/>
          <w:szCs w:val="28"/>
          <w:u w:val="single"/>
        </w:rPr>
      </w:pPr>
      <w:r>
        <w:rPr>
          <w:rFonts w:hint="eastAsia" w:ascii="宋体" w:hAnsi="宋体" w:eastAsia="宋体" w:cs="微软雅黑"/>
          <w:sz w:val="28"/>
          <w:szCs w:val="28"/>
        </w:rPr>
        <w:t>投  标  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w:t>
      </w:r>
      <w:r>
        <w:rPr>
          <w:rFonts w:hint="eastAsia" w:ascii="宋体" w:hAnsi="宋体" w:eastAsia="宋体" w:cs="微软雅黑"/>
          <w:sz w:val="28"/>
          <w:szCs w:val="28"/>
          <w:u w:val="single"/>
        </w:rPr>
        <w:t xml:space="preserve">         </w:t>
      </w:r>
      <w:r>
        <w:rPr>
          <w:rFonts w:hint="eastAsia" w:ascii="宋体" w:hAnsi="宋体" w:eastAsia="宋体" w:cs="微软雅黑"/>
          <w:sz w:val="28"/>
          <w:szCs w:val="28"/>
        </w:rPr>
        <w:t>（签字或盖章）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61"/>
        <w:numPr>
          <w:ilvl w:val="0"/>
          <w:numId w:val="0"/>
        </w:numPr>
        <w:tabs>
          <w:tab w:val="left" w:pos="660"/>
        </w:tabs>
        <w:snapToGrid w:val="0"/>
        <w:spacing w:before="0" w:after="240" w:line="400" w:lineRule="exact"/>
        <w:rPr>
          <w:rFonts w:cs="黑体" w:asciiTheme="minorEastAsia" w:hAnsiTheme="minorEastAsia" w:eastAsiaTheme="minorEastAsia"/>
          <w:color w:val="auto"/>
          <w:kern w:val="2"/>
          <w:sz w:val="36"/>
          <w:szCs w:val="36"/>
          <w:lang w:val="zh-CN"/>
        </w:rPr>
      </w:pPr>
      <w:bookmarkStart w:id="15" w:name="_Toc184023138"/>
      <w:bookmarkStart w:id="16" w:name="_Toc186274126"/>
      <w:bookmarkStart w:id="17" w:name="_Toc174185203"/>
      <w:r>
        <w:rPr>
          <w:rFonts w:hint="eastAsia" w:cs="黑体" w:asciiTheme="minorEastAsia" w:hAnsiTheme="minorEastAsia" w:eastAsiaTheme="minorEastAsia"/>
          <w:color w:val="auto"/>
          <w:kern w:val="2"/>
          <w:sz w:val="36"/>
          <w:szCs w:val="36"/>
          <w:lang w:val="zh-CN"/>
        </w:rPr>
        <w:t>一、投标人应答索引表</w:t>
      </w:r>
      <w:bookmarkEnd w:id="15"/>
      <w:bookmarkEnd w:id="16"/>
      <w:bookmarkEnd w:id="17"/>
    </w:p>
    <w:tbl>
      <w:tblPr>
        <w:tblStyle w:val="26"/>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707"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7</w:t>
            </w:r>
          </w:p>
        </w:tc>
        <w:tc>
          <w:tcPr>
            <w:tcW w:w="774" w:type="dxa"/>
            <w:vMerge w:val="restart"/>
            <w:vAlign w:val="center"/>
          </w:tcPr>
          <w:p>
            <w:pPr>
              <w:pStyle w:val="16"/>
              <w:kinsoku w:val="0"/>
              <w:overflowPunct w:val="0"/>
              <w:autoSpaceDE w:val="0"/>
              <w:autoSpaceDN w:val="0"/>
              <w:spacing w:line="320" w:lineRule="exact"/>
              <w:rPr>
                <w:rFonts w:hAnsi="宋体" w:cs="微软雅黑"/>
                <w:bCs/>
                <w:kern w:val="0"/>
              </w:rPr>
            </w:pPr>
            <w:r>
              <w:rPr>
                <w:rFonts w:hint="eastAsia" w:hAnsi="宋体"/>
                <w:kern w:val="0"/>
                <w:szCs w:val="24"/>
              </w:rPr>
              <w:t>纳税证明</w:t>
            </w:r>
          </w:p>
        </w:tc>
        <w:tc>
          <w:tcPr>
            <w:tcW w:w="2977" w:type="dxa"/>
            <w:gridSpan w:val="3"/>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adjustRightInd w:val="0"/>
              <w:snapToGrid w:val="0"/>
              <w:spacing w:line="400" w:lineRule="exact"/>
              <w:textAlignment w:val="baseline"/>
              <w:rPr>
                <w:rFonts w:ascii="宋体" w:hAnsi="宋体" w:cs="微软雅黑"/>
                <w:szCs w:val="21"/>
              </w:rPr>
            </w:pPr>
          </w:p>
        </w:tc>
        <w:tc>
          <w:tcPr>
            <w:tcW w:w="774" w:type="dxa"/>
            <w:vMerge w:val="continue"/>
            <w:vAlign w:val="center"/>
          </w:tcPr>
          <w:p>
            <w:pPr>
              <w:pStyle w:val="16"/>
              <w:kinsoku w:val="0"/>
              <w:overflowPunct w:val="0"/>
              <w:autoSpaceDE w:val="0"/>
              <w:autoSpaceDN w:val="0"/>
              <w:spacing w:line="320" w:lineRule="exact"/>
              <w:rPr>
                <w:rFonts w:hAnsi="宋体"/>
                <w:kern w:val="0"/>
                <w:szCs w:val="24"/>
              </w:rPr>
            </w:pPr>
          </w:p>
        </w:tc>
        <w:tc>
          <w:tcPr>
            <w:tcW w:w="2977" w:type="dxa"/>
            <w:gridSpan w:val="3"/>
            <w:vAlign w:val="center"/>
          </w:tcPr>
          <w:p>
            <w:pPr>
              <w:pStyle w:val="16"/>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6"/>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restart"/>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8</w:t>
            </w:r>
          </w:p>
        </w:tc>
        <w:tc>
          <w:tcPr>
            <w:tcW w:w="774" w:type="dxa"/>
            <w:vMerge w:val="restart"/>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snapToGrid w:val="0"/>
              <w:spacing w:line="400" w:lineRule="exact"/>
              <w:rPr>
                <w:rFonts w:ascii="宋体" w:hAnsi="宋体" w:cs="微软雅黑"/>
                <w:sz w:val="24"/>
                <w:szCs w:val="24"/>
              </w:rPr>
            </w:pPr>
          </w:p>
        </w:tc>
        <w:tc>
          <w:tcPr>
            <w:tcW w:w="709" w:type="dxa"/>
            <w:gridSpan w:val="2"/>
            <w:vMerge w:val="continue"/>
            <w:vAlign w:val="center"/>
          </w:tcPr>
          <w:p>
            <w:pPr>
              <w:snapToGrid w:val="0"/>
              <w:spacing w:line="400" w:lineRule="exact"/>
              <w:rPr>
                <w:rFonts w:ascii="宋体" w:hAnsi="宋体" w:cs="微软雅黑"/>
                <w:sz w:val="24"/>
                <w:szCs w:val="24"/>
              </w:rPr>
            </w:pPr>
          </w:p>
        </w:tc>
        <w:tc>
          <w:tcPr>
            <w:tcW w:w="2268" w:type="dxa"/>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snapToGrid w:val="0"/>
              <w:spacing w:line="400" w:lineRule="exact"/>
              <w:rPr>
                <w:rFonts w:ascii="宋体" w:hAnsi="宋体" w:cs="微软雅黑"/>
                <w:sz w:val="24"/>
                <w:szCs w:val="24"/>
              </w:rPr>
            </w:pPr>
          </w:p>
        </w:tc>
        <w:tc>
          <w:tcPr>
            <w:tcW w:w="709" w:type="dxa"/>
            <w:gridSpan w:val="2"/>
            <w:vMerge w:val="continue"/>
            <w:vAlign w:val="center"/>
          </w:tcPr>
          <w:p>
            <w:pPr>
              <w:snapToGrid w:val="0"/>
              <w:spacing w:line="400" w:lineRule="exact"/>
              <w:rPr>
                <w:rFonts w:ascii="宋体" w:hAnsi="宋体" w:cs="微软雅黑"/>
                <w:sz w:val="24"/>
                <w:szCs w:val="24"/>
              </w:rPr>
            </w:pPr>
          </w:p>
        </w:tc>
        <w:tc>
          <w:tcPr>
            <w:tcW w:w="2268" w:type="dxa"/>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snapToGrid w:val="0"/>
              <w:spacing w:line="400" w:lineRule="exact"/>
              <w:rPr>
                <w:rFonts w:ascii="宋体" w:hAnsi="宋体" w:cs="微软雅黑"/>
                <w:sz w:val="24"/>
                <w:szCs w:val="24"/>
              </w:rPr>
            </w:pPr>
          </w:p>
        </w:tc>
        <w:tc>
          <w:tcPr>
            <w:tcW w:w="709" w:type="dxa"/>
            <w:gridSpan w:val="2"/>
            <w:vMerge w:val="continue"/>
            <w:vAlign w:val="center"/>
          </w:tcPr>
          <w:p>
            <w:pPr>
              <w:snapToGrid w:val="0"/>
              <w:spacing w:line="400" w:lineRule="exact"/>
              <w:rPr>
                <w:rFonts w:ascii="宋体" w:hAnsi="宋体" w:cs="微软雅黑"/>
                <w:sz w:val="24"/>
                <w:szCs w:val="24"/>
              </w:rPr>
            </w:pPr>
          </w:p>
        </w:tc>
        <w:tc>
          <w:tcPr>
            <w:tcW w:w="2268" w:type="dxa"/>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snapToGrid w:val="0"/>
              <w:spacing w:line="400" w:lineRule="exact"/>
              <w:rPr>
                <w:rFonts w:ascii="宋体" w:hAnsi="宋体" w:cs="微软雅黑"/>
                <w:sz w:val="24"/>
                <w:szCs w:val="24"/>
              </w:rPr>
            </w:pPr>
          </w:p>
        </w:tc>
        <w:tc>
          <w:tcPr>
            <w:tcW w:w="709" w:type="dxa"/>
            <w:gridSpan w:val="2"/>
            <w:vMerge w:val="continue"/>
            <w:vAlign w:val="center"/>
          </w:tcPr>
          <w:p>
            <w:pPr>
              <w:snapToGrid w:val="0"/>
              <w:spacing w:line="400" w:lineRule="exact"/>
              <w:rPr>
                <w:rFonts w:ascii="宋体" w:hAnsi="宋体" w:cs="微软雅黑"/>
                <w:sz w:val="24"/>
                <w:szCs w:val="24"/>
              </w:rPr>
            </w:pPr>
          </w:p>
        </w:tc>
        <w:tc>
          <w:tcPr>
            <w:tcW w:w="2268" w:type="dxa"/>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snapToGrid w:val="0"/>
              <w:spacing w:line="400" w:lineRule="exact"/>
              <w:rPr>
                <w:rFonts w:ascii="宋体" w:hAnsi="宋体" w:cs="微软雅黑"/>
                <w:sz w:val="24"/>
                <w:szCs w:val="24"/>
              </w:rPr>
            </w:pPr>
          </w:p>
        </w:tc>
        <w:tc>
          <w:tcPr>
            <w:tcW w:w="2977" w:type="dxa"/>
            <w:gridSpan w:val="3"/>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snapToGrid w:val="0"/>
              <w:spacing w:line="400" w:lineRule="exact"/>
              <w:rPr>
                <w:rFonts w:ascii="宋体" w:hAnsi="宋体" w:cs="微软雅黑"/>
                <w:sz w:val="24"/>
                <w:szCs w:val="24"/>
              </w:rPr>
            </w:pPr>
          </w:p>
        </w:tc>
        <w:tc>
          <w:tcPr>
            <w:tcW w:w="2977" w:type="dxa"/>
            <w:gridSpan w:val="3"/>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snapToGrid w:val="0"/>
              <w:spacing w:line="400" w:lineRule="exact"/>
              <w:rPr>
                <w:rFonts w:ascii="宋体" w:hAnsi="宋体" w:cs="微软雅黑"/>
                <w:sz w:val="24"/>
                <w:szCs w:val="24"/>
              </w:rPr>
            </w:pPr>
          </w:p>
        </w:tc>
        <w:tc>
          <w:tcPr>
            <w:tcW w:w="2977" w:type="dxa"/>
            <w:gridSpan w:val="3"/>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restart"/>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10</w:t>
            </w:r>
          </w:p>
        </w:tc>
        <w:tc>
          <w:tcPr>
            <w:tcW w:w="774" w:type="dxa"/>
            <w:vMerge w:val="restart"/>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履行合同能力</w:t>
            </w:r>
          </w:p>
        </w:tc>
        <w:tc>
          <w:tcPr>
            <w:tcW w:w="709" w:type="dxa"/>
            <w:gridSpan w:val="2"/>
            <w:vMerge w:val="restart"/>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pStyle w:val="16"/>
              <w:kinsoku w:val="0"/>
              <w:overflowPunct w:val="0"/>
              <w:autoSpaceDE w:val="0"/>
              <w:autoSpaceDN w:val="0"/>
              <w:spacing w:line="320" w:lineRule="exact"/>
              <w:rPr>
                <w:rFonts w:hAnsi="宋体" w:cs="微软雅黑"/>
                <w:bCs/>
                <w:kern w:val="0"/>
                <w:szCs w:val="24"/>
              </w:rPr>
            </w:pPr>
          </w:p>
        </w:tc>
        <w:tc>
          <w:tcPr>
            <w:tcW w:w="709" w:type="dxa"/>
            <w:gridSpan w:val="2"/>
            <w:vMerge w:val="continue"/>
            <w:vAlign w:val="center"/>
          </w:tcPr>
          <w:p>
            <w:pPr>
              <w:pStyle w:val="16"/>
              <w:kinsoku w:val="0"/>
              <w:overflowPunct w:val="0"/>
              <w:autoSpaceDE w:val="0"/>
              <w:autoSpaceDN w:val="0"/>
              <w:spacing w:line="320" w:lineRule="exact"/>
              <w:rPr>
                <w:rFonts w:hAnsi="宋体" w:cs="微软雅黑"/>
                <w:bCs/>
                <w:kern w:val="0"/>
                <w:szCs w:val="24"/>
              </w:rPr>
            </w:pPr>
          </w:p>
        </w:tc>
        <w:tc>
          <w:tcPr>
            <w:tcW w:w="2268" w:type="dxa"/>
            <w:vAlign w:val="center"/>
          </w:tcPr>
          <w:p>
            <w:pPr>
              <w:pStyle w:val="16"/>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6"/>
            </w:pPr>
          </w:p>
        </w:tc>
        <w:tc>
          <w:tcPr>
            <w:tcW w:w="1560" w:type="dxa"/>
            <w:vAlign w:val="center"/>
          </w:tcPr>
          <w:p>
            <w:pPr>
              <w:snapToGrid w:val="0"/>
              <w:spacing w:line="400" w:lineRule="exact"/>
              <w:rPr>
                <w:rFonts w:ascii="宋体" w:hAnsi="宋体" w:cs="微软雅黑"/>
                <w:szCs w:val="21"/>
              </w:rPr>
            </w:pPr>
          </w:p>
        </w:tc>
        <w:tc>
          <w:tcPr>
            <w:tcW w:w="1707" w:type="dxa"/>
            <w:vAlign w:val="center"/>
          </w:tcPr>
          <w:p>
            <w:pPr>
              <w:pStyle w:val="16"/>
              <w:kinsoku w:val="0"/>
              <w:overflowPunct w:val="0"/>
              <w:autoSpaceDE w:val="0"/>
              <w:autoSpaceDN w:val="0"/>
              <w:spacing w:line="320" w:lineRule="exact"/>
              <w:rPr>
                <w:rFonts w:hAnsi="宋体" w:cs="微软雅黑"/>
                <w:bCs/>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pStyle w:val="16"/>
              <w:kinsoku w:val="0"/>
              <w:overflowPunct w:val="0"/>
              <w:autoSpaceDE w:val="0"/>
              <w:autoSpaceDN w:val="0"/>
              <w:spacing w:line="320" w:lineRule="exact"/>
              <w:rPr>
                <w:rFonts w:hAnsi="宋体" w:cs="微软雅黑"/>
                <w:bCs/>
                <w:kern w:val="0"/>
                <w:szCs w:val="24"/>
              </w:rPr>
            </w:pPr>
          </w:p>
        </w:tc>
        <w:tc>
          <w:tcPr>
            <w:tcW w:w="709" w:type="dxa"/>
            <w:gridSpan w:val="2"/>
            <w:vMerge w:val="continue"/>
            <w:vAlign w:val="center"/>
          </w:tcPr>
          <w:p>
            <w:pPr>
              <w:pStyle w:val="16"/>
              <w:kinsoku w:val="0"/>
              <w:overflowPunct w:val="0"/>
              <w:autoSpaceDE w:val="0"/>
              <w:autoSpaceDN w:val="0"/>
              <w:spacing w:line="320" w:lineRule="exact"/>
              <w:rPr>
                <w:rFonts w:hAnsi="宋体" w:cs="微软雅黑"/>
                <w:bCs/>
                <w:kern w:val="0"/>
                <w:szCs w:val="24"/>
              </w:rPr>
            </w:pPr>
          </w:p>
        </w:tc>
        <w:tc>
          <w:tcPr>
            <w:tcW w:w="2268" w:type="dxa"/>
            <w:vAlign w:val="center"/>
          </w:tcPr>
          <w:p>
            <w:pPr>
              <w:pStyle w:val="16"/>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6"/>
            </w:pPr>
          </w:p>
        </w:tc>
        <w:tc>
          <w:tcPr>
            <w:tcW w:w="1560" w:type="dxa"/>
            <w:vAlign w:val="center"/>
          </w:tcPr>
          <w:p>
            <w:pPr>
              <w:snapToGrid w:val="0"/>
              <w:spacing w:line="400" w:lineRule="exact"/>
              <w:rPr>
                <w:rFonts w:ascii="宋体" w:hAnsi="宋体" w:cs="微软雅黑"/>
                <w:szCs w:val="21"/>
              </w:rPr>
            </w:pPr>
          </w:p>
        </w:tc>
        <w:tc>
          <w:tcPr>
            <w:tcW w:w="1707" w:type="dxa"/>
            <w:vAlign w:val="center"/>
          </w:tcPr>
          <w:p>
            <w:pPr>
              <w:pStyle w:val="16"/>
              <w:kinsoku w:val="0"/>
              <w:overflowPunct w:val="0"/>
              <w:autoSpaceDE w:val="0"/>
              <w:autoSpaceDN w:val="0"/>
              <w:spacing w:line="320" w:lineRule="exact"/>
              <w:rPr>
                <w:rFonts w:hAnsi="宋体" w:cs="微软雅黑"/>
                <w:bCs/>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Merge w:val="continue"/>
            <w:vAlign w:val="center"/>
          </w:tcPr>
          <w:p>
            <w:pPr>
              <w:numPr>
                <w:ilvl w:val="0"/>
                <w:numId w:val="14"/>
              </w:numPr>
              <w:adjustRightInd w:val="0"/>
              <w:snapToGrid w:val="0"/>
              <w:spacing w:line="400" w:lineRule="exact"/>
              <w:textAlignment w:val="baseline"/>
              <w:rPr>
                <w:rFonts w:ascii="宋体" w:hAnsi="宋体" w:cs="微软雅黑"/>
                <w:szCs w:val="21"/>
              </w:rPr>
            </w:pPr>
          </w:p>
        </w:tc>
        <w:tc>
          <w:tcPr>
            <w:tcW w:w="774" w:type="dxa"/>
            <w:vMerge w:val="continue"/>
            <w:vAlign w:val="center"/>
          </w:tcPr>
          <w:p>
            <w:pPr>
              <w:pStyle w:val="16"/>
              <w:kinsoku w:val="0"/>
              <w:overflowPunct w:val="0"/>
              <w:autoSpaceDE w:val="0"/>
              <w:autoSpaceDN w:val="0"/>
              <w:spacing w:line="320" w:lineRule="exact"/>
              <w:rPr>
                <w:rFonts w:hAnsi="宋体" w:cs="微软雅黑"/>
                <w:bCs/>
                <w:kern w:val="0"/>
                <w:szCs w:val="24"/>
              </w:rPr>
            </w:pPr>
          </w:p>
        </w:tc>
        <w:tc>
          <w:tcPr>
            <w:tcW w:w="2977" w:type="dxa"/>
            <w:gridSpan w:val="3"/>
            <w:vAlign w:val="center"/>
          </w:tcPr>
          <w:p>
            <w:pPr>
              <w:pStyle w:val="16"/>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6"/>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15</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23</w:t>
            </w:r>
          </w:p>
        </w:tc>
        <w:tc>
          <w:tcPr>
            <w:tcW w:w="1058" w:type="dxa"/>
            <w:gridSpan w:val="2"/>
            <w:vAlign w:val="center"/>
          </w:tcPr>
          <w:p>
            <w:pPr>
              <w:pStyle w:val="16"/>
              <w:kinsoku w:val="0"/>
              <w:overflowPunct w:val="0"/>
              <w:autoSpaceDE w:val="0"/>
              <w:autoSpaceDN w:val="0"/>
              <w:spacing w:line="320" w:lineRule="exact"/>
              <w:jc w:val="center"/>
              <w:rPr>
                <w:rFonts w:hAnsi="宋体" w:cs="微软雅黑"/>
                <w:bCs/>
                <w:kern w:val="0"/>
              </w:rPr>
            </w:pPr>
            <w:r>
              <w:rPr>
                <w:rFonts w:hint="eastAsia" w:hAnsi="宋体" w:cs="微软雅黑"/>
                <w:bCs/>
                <w:kern w:val="0"/>
              </w:rPr>
              <w:t>CCC强制性产品认证</w:t>
            </w:r>
          </w:p>
        </w:tc>
        <w:tc>
          <w:tcPr>
            <w:tcW w:w="2693" w:type="dxa"/>
            <w:gridSpan w:val="2"/>
            <w:vAlign w:val="center"/>
          </w:tcPr>
          <w:p>
            <w:pPr>
              <w:pStyle w:val="16"/>
              <w:kinsoku w:val="0"/>
              <w:overflowPunct w:val="0"/>
              <w:autoSpaceDE w:val="0"/>
              <w:autoSpaceDN w:val="0"/>
              <w:spacing w:line="320" w:lineRule="exact"/>
              <w:jc w:val="lef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6"/>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restart"/>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24</w:t>
            </w:r>
          </w:p>
        </w:tc>
        <w:tc>
          <w:tcPr>
            <w:tcW w:w="1058" w:type="dxa"/>
            <w:gridSpan w:val="2"/>
            <w:vMerge w:val="restart"/>
            <w:vAlign w:val="center"/>
          </w:tcPr>
          <w:p>
            <w:pPr>
              <w:pStyle w:val="16"/>
              <w:kinsoku w:val="0"/>
              <w:overflowPunct w:val="0"/>
              <w:autoSpaceDE w:val="0"/>
              <w:autoSpaceDN w:val="0"/>
              <w:spacing w:line="320" w:lineRule="exact"/>
              <w:jc w:val="center"/>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vAlign w:val="center"/>
          </w:tcPr>
          <w:p>
            <w:pPr>
              <w:pStyle w:val="16"/>
              <w:kinsoku w:val="0"/>
              <w:overflowPunct w:val="0"/>
              <w:autoSpaceDE w:val="0"/>
              <w:autoSpaceDN w:val="0"/>
              <w:spacing w:line="320" w:lineRule="exact"/>
              <w:jc w:val="lef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6"/>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Merge w:val="continue"/>
            <w:vAlign w:val="center"/>
          </w:tcPr>
          <w:p>
            <w:pPr>
              <w:adjustRightInd w:val="0"/>
              <w:snapToGrid w:val="0"/>
              <w:spacing w:line="400" w:lineRule="exact"/>
              <w:textAlignment w:val="baseline"/>
              <w:rPr>
                <w:rFonts w:ascii="宋体" w:hAnsi="宋体" w:cs="微软雅黑"/>
                <w:szCs w:val="21"/>
              </w:rPr>
            </w:pPr>
          </w:p>
        </w:tc>
        <w:tc>
          <w:tcPr>
            <w:tcW w:w="1058" w:type="dxa"/>
            <w:gridSpan w:val="2"/>
            <w:vMerge w:val="continue"/>
            <w:vAlign w:val="center"/>
          </w:tcPr>
          <w:p>
            <w:pPr>
              <w:pStyle w:val="16"/>
              <w:kinsoku w:val="0"/>
              <w:overflowPunct w:val="0"/>
              <w:autoSpaceDE w:val="0"/>
              <w:autoSpaceDN w:val="0"/>
              <w:spacing w:line="320" w:lineRule="exact"/>
              <w:jc w:val="center"/>
              <w:rPr>
                <w:rFonts w:asciiTheme="majorEastAsia" w:hAnsiTheme="majorEastAsia" w:eastAsiaTheme="majorEastAsia" w:cstheme="majorEastAsia"/>
                <w:bCs/>
                <w:szCs w:val="24"/>
                <w:lang w:val="zh-CN"/>
              </w:rPr>
            </w:pPr>
          </w:p>
        </w:tc>
        <w:tc>
          <w:tcPr>
            <w:tcW w:w="2693" w:type="dxa"/>
            <w:gridSpan w:val="2"/>
            <w:vAlign w:val="center"/>
          </w:tcPr>
          <w:p>
            <w:pPr>
              <w:pStyle w:val="16"/>
              <w:kinsoku w:val="0"/>
              <w:overflowPunct w:val="0"/>
              <w:autoSpaceDE w:val="0"/>
              <w:autoSpaceDN w:val="0"/>
              <w:spacing w:line="320" w:lineRule="exact"/>
              <w:jc w:val="lef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6"/>
            </w:p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dxa"/>
            <w:vAlign w:val="center"/>
          </w:tcPr>
          <w:p>
            <w:pPr>
              <w:adjustRightInd w:val="0"/>
              <w:snapToGrid w:val="0"/>
              <w:spacing w:line="400" w:lineRule="exact"/>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tc>
        <w:tc>
          <w:tcPr>
            <w:tcW w:w="1560" w:type="dxa"/>
            <w:vAlign w:val="center"/>
          </w:tcPr>
          <w:p>
            <w:pPr>
              <w:snapToGrid w:val="0"/>
              <w:spacing w:line="400" w:lineRule="exact"/>
              <w:rPr>
                <w:rFonts w:ascii="宋体" w:hAnsi="宋体" w:cs="微软雅黑"/>
                <w:szCs w:val="21"/>
              </w:rPr>
            </w:pPr>
          </w:p>
        </w:tc>
        <w:tc>
          <w:tcPr>
            <w:tcW w:w="1707"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2"/>
        <w:ind w:firstLine="340"/>
        <w:rPr>
          <w:lang w:val="zh-CN"/>
        </w:rPr>
      </w:pPr>
    </w:p>
    <w:p>
      <w:pPr>
        <w:pStyle w:val="2"/>
        <w:ind w:firstLine="340"/>
        <w:rPr>
          <w:lang w:val="zh-CN"/>
        </w:rPr>
      </w:pPr>
    </w:p>
    <w:p>
      <w:pPr>
        <w:pStyle w:val="2"/>
        <w:ind w:firstLine="340"/>
        <w:rPr>
          <w:lang w:val="zh-CN"/>
        </w:rPr>
      </w:pPr>
    </w:p>
    <w:p>
      <w:pPr>
        <w:pStyle w:val="2"/>
        <w:ind w:firstLine="340"/>
        <w:rPr>
          <w:lang w:val="zh-CN"/>
        </w:rPr>
      </w:pPr>
    </w:p>
    <w:p>
      <w:pPr>
        <w:pStyle w:val="2"/>
        <w:ind w:firstLine="340"/>
        <w:rPr>
          <w:lang w:val="zh-CN"/>
        </w:rPr>
      </w:pPr>
    </w:p>
    <w:p>
      <w:pPr>
        <w:pStyle w:val="2"/>
        <w:ind w:firstLine="340"/>
        <w:rPr>
          <w:lang w:val="zh-CN"/>
        </w:rPr>
      </w:pPr>
    </w:p>
    <w:p>
      <w:pPr>
        <w:pStyle w:val="2"/>
        <w:ind w:firstLine="340"/>
        <w:rPr>
          <w:lang w:val="zh-CN"/>
        </w:rPr>
      </w:pPr>
    </w:p>
    <w:p>
      <w:pPr>
        <w:pStyle w:val="16"/>
        <w:spacing w:after="240"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340"/>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16"/>
        <w:spacing w:after="240"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三、资格审查证明材料</w:t>
      </w:r>
    </w:p>
    <w:p>
      <w:pPr>
        <w:pStyle w:val="16"/>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36"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致：__________</w:t>
      </w:r>
      <w:r>
        <w:rPr>
          <w:rFonts w:hint="eastAsia" w:asciiTheme="minorEastAsia" w:hAnsiTheme="minorEastAsia"/>
          <w:b/>
          <w:snapToGrid w:val="0"/>
          <w:kern w:val="0"/>
          <w:sz w:val="24"/>
          <w:szCs w:val="24"/>
        </w:rPr>
        <w:t>（采购人）</w:t>
      </w:r>
    </w:p>
    <w:p>
      <w:pPr>
        <w:adjustRightInd w:val="0"/>
        <w:spacing w:line="336"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（项目名称、招标编号）采购的招标公告及投标邀请，</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6"/>
        <w:adjustRightInd w:val="0"/>
        <w:spacing w:line="336"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hint="eastAsia" w:asciiTheme="minorEastAsia" w:hAnsi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6"/>
        <w:adjustRightInd w:val="0"/>
        <w:spacing w:line="336"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36"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36"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在此提交的投标文件，正本一份，副本_____份。</w:t>
      </w:r>
    </w:p>
    <w:p>
      <w:pPr>
        <w:adjustRightInd w:val="0"/>
        <w:spacing w:line="336"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36"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36"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asciiTheme="minorEastAsia" w:hAnsiTheme="minorEastAsia"/>
          <w:snapToGrid w:val="0"/>
          <w:kern w:val="0"/>
          <w:sz w:val="24"/>
          <w:szCs w:val="24"/>
        </w:rPr>
        <w:t>___</w:t>
      </w:r>
      <w:r>
        <w:rPr>
          <w:rFonts w:hint="eastAsia" w:asciiTheme="minorEastAsia" w:hAnsiTheme="minorEastAsia"/>
          <w:snapToGrid w:val="0"/>
          <w:kern w:val="0"/>
          <w:sz w:val="24"/>
          <w:szCs w:val="24"/>
          <w:u w:val="single"/>
        </w:rPr>
        <w:t>__</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36"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4"/>
        <w:adjustRightInd w:val="0"/>
        <w:spacing w:line="336"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4"/>
        <w:adjustRightInd w:val="0"/>
        <w:spacing w:line="336"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4"/>
        <w:adjustRightInd w:val="0"/>
        <w:spacing w:line="336"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4"/>
        <w:adjustRightInd w:val="0"/>
        <w:spacing w:line="336"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6"/>
        <w:adjustRightInd w:val="0"/>
        <w:spacing w:line="336"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36"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6"/>
        <w:adjustRightInd w:val="0"/>
        <w:spacing w:line="336"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36"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36"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36"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36"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36"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6"/>
        <w:adjustRightInd w:val="0"/>
        <w:spacing w:line="336"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6"/>
        <w:adjustRightInd w:val="0"/>
        <w:spacing w:line="336"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Cs w:val="24"/>
        </w:rPr>
      </w:pPr>
    </w:p>
    <w:p>
      <w:pPr>
        <w:pStyle w:val="16"/>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asciiTheme="minorEastAsia" w:hAnsiTheme="minorEastAsia"/>
          <w:snapToGrid w:val="0"/>
          <w:kern w:val="0"/>
          <w:sz w:val="24"/>
          <w:szCs w:val="24"/>
        </w:rPr>
        <w:t>____________________</w:t>
      </w:r>
      <w:r>
        <w:rPr>
          <w:rFonts w:hint="eastAsia" w:cs="宋体" w:asciiTheme="minorEastAsia" w:hAnsiTheme="minorEastAsia"/>
          <w:sz w:val="24"/>
          <w:szCs w:val="24"/>
        </w:rPr>
        <w:t xml:space="preserve">     邮政编码：</w:t>
      </w:r>
      <w:r>
        <w:rPr>
          <w:rFonts w:hint="eastAsia" w:asciiTheme="minorEastAsia" w:hAnsiTheme="minorEastAsia"/>
          <w:snapToGrid w:val="0"/>
          <w:kern w:val="0"/>
          <w:sz w:val="24"/>
          <w:szCs w:val="24"/>
        </w:rPr>
        <w:t>_______________</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asciiTheme="minorEastAsia" w:hAnsiTheme="minorEastAsia"/>
          <w:snapToGrid w:val="0"/>
          <w:kern w:val="0"/>
          <w:sz w:val="24"/>
          <w:szCs w:val="24"/>
        </w:rPr>
        <w:t>____________________</w:t>
      </w:r>
      <w:r>
        <w:rPr>
          <w:rFonts w:hint="eastAsia" w:cs="宋体" w:asciiTheme="minorEastAsia" w:hAnsiTheme="minorEastAsia"/>
          <w:sz w:val="24"/>
          <w:szCs w:val="24"/>
        </w:rPr>
        <w:t xml:space="preserve">     传    真：</w:t>
      </w:r>
      <w:r>
        <w:rPr>
          <w:rFonts w:hint="eastAsia" w:asciiTheme="minorEastAsia" w:hAnsiTheme="minorEastAsia"/>
          <w:snapToGrid w:val="0"/>
          <w:kern w:val="0"/>
          <w:sz w:val="24"/>
          <w:szCs w:val="24"/>
        </w:rPr>
        <w:t>_______________</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asciiTheme="minorEastAsia" w:hAnsiTheme="minorEastAsia"/>
          <w:snapToGrid w:val="0"/>
          <w:kern w:val="0"/>
          <w:sz w:val="24"/>
          <w:szCs w:val="24"/>
        </w:rPr>
        <w:t>______________</w:t>
      </w:r>
      <w:r>
        <w:rPr>
          <w:rFonts w:hint="eastAsia" w:cs="宋体" w:asciiTheme="minorEastAsia" w:hAnsiTheme="minorEastAsia"/>
          <w:sz w:val="24"/>
          <w:szCs w:val="24"/>
        </w:rPr>
        <w:t xml:space="preserve">     职    务：</w:t>
      </w:r>
      <w:r>
        <w:rPr>
          <w:rFonts w:hint="eastAsia" w:asciiTheme="minorEastAsia" w:hAnsiTheme="minorEastAsia"/>
          <w:snapToGrid w:val="0"/>
          <w:kern w:val="0"/>
          <w:sz w:val="24"/>
          <w:szCs w:val="24"/>
        </w:rPr>
        <w:t>_______________</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asciiTheme="minorEastAsia" w:hAnsiTheme="minorEastAsia"/>
          <w:snapToGrid w:val="0"/>
          <w:kern w:val="0"/>
          <w:sz w:val="24"/>
          <w:szCs w:val="24"/>
        </w:rPr>
        <w:t>__________</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asciiTheme="minorEastAsia" w:hAnsiTheme="minorEastAsia"/>
          <w:snapToGrid w:val="0"/>
          <w:kern w:val="0"/>
          <w:sz w:val="24"/>
          <w:szCs w:val="24"/>
        </w:rPr>
        <w:t>__________</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pStyle w:val="2"/>
        <w:ind w:firstLine="340"/>
      </w:pPr>
    </w:p>
    <w:p>
      <w:pPr>
        <w:pStyle w:val="2"/>
        <w:ind w:firstLine="340"/>
      </w:pP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53"/>
        <w:spacing w:line="480" w:lineRule="auto"/>
        <w:ind w:firstLine="540" w:firstLineChars="225"/>
        <w:jc w:val="left"/>
        <w:rPr>
          <w:rFonts w:asciiTheme="minorEastAsia" w:hAnsiTheme="minorEastAsia"/>
          <w:szCs w:val="24"/>
          <w:u w:val="single"/>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r>
        <w:rPr>
          <w:rFonts w:hint="eastAsia" w:asciiTheme="minorEastAsia" w:hAnsiTheme="minorEastAsia"/>
          <w:szCs w:val="24"/>
          <w:u w:val="single"/>
        </w:rPr>
        <w:t xml:space="preserve">                      </w:t>
      </w:r>
    </w:p>
    <w:p>
      <w:pPr>
        <w:pStyle w:val="53"/>
        <w:spacing w:line="480" w:lineRule="auto"/>
        <w:ind w:firstLine="540" w:firstLineChars="225"/>
        <w:jc w:val="left"/>
        <w:rPr>
          <w:rFonts w:asciiTheme="minorEastAsia" w:hAnsiTheme="minorEastAsia"/>
          <w:szCs w:val="24"/>
          <w:u w:val="single"/>
        </w:rPr>
      </w:pPr>
      <w:r>
        <w:rPr>
          <w:rFonts w:hint="eastAsia" w:asciiTheme="minorEastAsia" w:hAnsiTheme="minorEastAsia"/>
          <w:szCs w:val="24"/>
        </w:rPr>
        <w:t>地址：</w:t>
      </w:r>
      <w:r>
        <w:rPr>
          <w:rFonts w:hint="eastAsia" w:asciiTheme="minorEastAsia" w:hAnsiTheme="minorEastAsia"/>
          <w:szCs w:val="24"/>
          <w:u w:val="single"/>
        </w:rPr>
        <w:t xml:space="preserve">                           </w:t>
      </w:r>
    </w:p>
    <w:p>
      <w:pPr>
        <w:pStyle w:val="53"/>
        <w:spacing w:line="480" w:lineRule="auto"/>
        <w:ind w:firstLine="540" w:firstLineChars="225"/>
        <w:jc w:val="left"/>
        <w:rPr>
          <w:rFonts w:asciiTheme="minorEastAsia" w:hAnsiTheme="minorEastAsia"/>
          <w:szCs w:val="24"/>
        </w:rPr>
      </w:pPr>
      <w:r>
        <w:rPr>
          <w:rFonts w:hint="eastAsia" w:asciiTheme="minorEastAsia" w:hAnsiTheme="minorEastAsia"/>
          <w:szCs w:val="24"/>
        </w:rPr>
        <w:t>姓名：</w:t>
      </w:r>
      <w:r>
        <w:rPr>
          <w:rFonts w:hint="eastAsia" w:asciiTheme="minorEastAsia" w:hAnsiTheme="minorEastAsia"/>
          <w:szCs w:val="24"/>
          <w:u w:val="single"/>
        </w:rPr>
        <w:t xml:space="preserve">       </w:t>
      </w:r>
      <w:r>
        <w:rPr>
          <w:rFonts w:hint="eastAsia" w:asciiTheme="minorEastAsia" w:hAnsiTheme="minorEastAsia"/>
          <w:szCs w:val="24"/>
        </w:rPr>
        <w:t>性</w:t>
      </w:r>
      <w:r>
        <w:rPr>
          <w:rFonts w:asciiTheme="minorEastAsia" w:hAnsiTheme="minorEastAsia"/>
          <w:szCs w:val="24"/>
        </w:rPr>
        <w:t>别</w:t>
      </w:r>
      <w:r>
        <w:rPr>
          <w:rFonts w:hint="eastAsia" w:asciiTheme="minorEastAsia" w:hAnsiTheme="minorEastAsia"/>
          <w:szCs w:val="24"/>
        </w:rPr>
        <w:t>：</w:t>
      </w:r>
      <w:r>
        <w:rPr>
          <w:rFonts w:hint="eastAsia" w:asciiTheme="minorEastAsia" w:hAnsiTheme="minorEastAsia"/>
          <w:szCs w:val="24"/>
          <w:u w:val="single"/>
        </w:rPr>
        <w:t xml:space="preserve">      </w:t>
      </w:r>
      <w:r>
        <w:rPr>
          <w:rFonts w:hint="eastAsia" w:asciiTheme="minorEastAsia" w:hAnsiTheme="minorEastAsia"/>
          <w:szCs w:val="24"/>
        </w:rPr>
        <w:t>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u w:val="single"/>
        </w:rPr>
        <w:t xml:space="preserve">    </w:t>
      </w:r>
      <w:r>
        <w:rPr>
          <w:rFonts w:hint="eastAsia" w:asciiTheme="minorEastAsia" w:hAnsiTheme="minorEastAsia"/>
          <w:szCs w:val="24"/>
          <w:u w:val="single"/>
        </w:rPr>
        <w:t xml:space="preserve">  </w:t>
      </w:r>
      <w:r>
        <w:rPr>
          <w:rFonts w:asciiTheme="minorEastAsia" w:hAnsiTheme="minorEastAsia"/>
          <w:szCs w:val="24"/>
          <w:u w:val="single"/>
        </w:rPr>
        <w:t xml:space="preserve"> </w:t>
      </w:r>
      <w:r>
        <w:rPr>
          <w:rFonts w:asciiTheme="minorEastAsia" w:hAnsiTheme="minorEastAsia"/>
          <w:szCs w:val="24"/>
        </w:rPr>
        <w:t>职务</w:t>
      </w:r>
      <w:r>
        <w:rPr>
          <w:rFonts w:hint="eastAsia" w:asciiTheme="minorEastAsia" w:hAnsiTheme="minorEastAsia"/>
          <w:szCs w:val="24"/>
        </w:rPr>
        <w:t>：</w:t>
      </w:r>
      <w:r>
        <w:rPr>
          <w:rFonts w:hint="eastAsia" w:asciiTheme="minorEastAsia" w:hAnsiTheme="minorEastAsia"/>
          <w:szCs w:val="24"/>
          <w:u w:val="single"/>
        </w:rPr>
        <w:t xml:space="preserve">        </w:t>
      </w:r>
    </w:p>
    <w:p>
      <w:pPr>
        <w:pStyle w:val="53"/>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napToGrid w:val="0"/>
          <w:kern w:val="0"/>
          <w:szCs w:val="24"/>
          <w:u w:val="single"/>
        </w:rPr>
        <w:t xml:space="preserve">__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snapToGrid w:val="0"/>
          <w:kern w:val="0"/>
          <w:szCs w:val="24"/>
        </w:rPr>
        <w:t>__</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rPr>
        <w:t>的</w:t>
      </w:r>
      <w:r>
        <w:rPr>
          <w:rFonts w:hint="eastAsia" w:asciiTheme="minorEastAsia" w:hAnsiTheme="minorEastAsia"/>
          <w:snapToGrid w:val="0"/>
          <w:kern w:val="0"/>
          <w:szCs w:val="24"/>
        </w:rPr>
        <w:t>___</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53"/>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53"/>
        <w:spacing w:line="480" w:lineRule="auto"/>
        <w:ind w:firstLine="540" w:firstLineChars="225"/>
        <w:jc w:val="left"/>
        <w:rPr>
          <w:rFonts w:asciiTheme="minorEastAsia" w:hAnsiTheme="minorEastAsia"/>
          <w:szCs w:val="24"/>
        </w:rPr>
      </w:pPr>
    </w:p>
    <w:p>
      <w:pPr>
        <w:pStyle w:val="53"/>
        <w:spacing w:line="480" w:lineRule="auto"/>
        <w:ind w:firstLine="540" w:firstLineChars="225"/>
        <w:jc w:val="left"/>
        <w:rPr>
          <w:rFonts w:asciiTheme="minorEastAsia" w:hAnsiTheme="minorEastAsia"/>
          <w:szCs w:val="24"/>
        </w:rPr>
      </w:pPr>
    </w:p>
    <w:p>
      <w:pPr>
        <w:pStyle w:val="53"/>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53"/>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56"/>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5"/>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pStyle w:val="2"/>
        <w:ind w:firstLine="340"/>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姓名，职务  </w:t>
      </w:r>
      <w:r>
        <w:rPr>
          <w:rFonts w:hint="eastAsia" w:cs="Arial" w:asciiTheme="minorEastAsia" w:hAnsiTheme="minorEastAsia"/>
          <w:sz w:val="24"/>
          <w:szCs w:val="24"/>
        </w:rPr>
        <w:t>以我方的名义参加贵方</w:t>
      </w:r>
      <w:r>
        <w:rPr>
          <w:rFonts w:hint="eastAsia" w:cs="Arial" w:asciiTheme="minorEastAsia" w:hAnsiTheme="minorEastAsia"/>
          <w:sz w:val="24"/>
          <w:szCs w:val="24"/>
          <w:u w:val="single"/>
        </w:rPr>
        <w:t>______________________</w:t>
      </w:r>
      <w:r>
        <w:rPr>
          <w:rFonts w:hint="eastAsia" w:cs="Arial" w:asciiTheme="minorEastAsia" w:hAnsiTheme="minorEastAsia"/>
          <w:sz w:val="24"/>
          <w:szCs w:val="24"/>
        </w:rPr>
        <w:t>（项目名称）项目的投标活动，并代表我方全权办理针对上述项目的投标、开标、投标文件澄清、签约等一切具体事务和签署相关文件。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法定代表人：（签字或加盖名章）</w:t>
      </w:r>
      <w:r>
        <w:rPr>
          <w:rFonts w:hint="eastAsia" w:asciiTheme="minorEastAsia" w:hAnsiTheme="minorEastAsia"/>
          <w:snapToGrid w:val="0"/>
          <w:kern w:val="0"/>
          <w:sz w:val="24"/>
          <w:szCs w:val="24"/>
        </w:rPr>
        <w:t>____________________</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法定代表人授权代表：（签字或加盖名章）</w:t>
      </w:r>
      <w:r>
        <w:rPr>
          <w:rFonts w:hint="eastAsia" w:asciiTheme="minorEastAsia" w:hAnsiTheme="minorEastAsia"/>
          <w:snapToGrid w:val="0"/>
          <w:kern w:val="0"/>
          <w:sz w:val="24"/>
          <w:szCs w:val="24"/>
        </w:rPr>
        <w:t>____________</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18" w:name="_资格证明文件"/>
            <w:bookmarkEnd w:id="18"/>
            <w:bookmarkStart w:id="19" w:name="_Toc364329026"/>
            <w:r>
              <w:rPr>
                <w:rFonts w:hint="eastAsia" w:asciiTheme="minorEastAsia" w:hAnsiTheme="minorEastAsia"/>
                <w:sz w:val="24"/>
                <w:szCs w:val="24"/>
              </w:rPr>
              <w:t>法定代表人授权代表身份证（正面）</w:t>
            </w:r>
            <w:bookmarkEnd w:id="19"/>
          </w:p>
        </w:tc>
        <w:tc>
          <w:tcPr>
            <w:tcW w:w="4492" w:type="dxa"/>
            <w:gridSpan w:val="2"/>
            <w:vAlign w:val="center"/>
          </w:tcPr>
          <w:p>
            <w:pPr>
              <w:jc w:val="center"/>
              <w:rPr>
                <w:rFonts w:asciiTheme="minorEastAsia" w:hAnsiTheme="minorEastAsia"/>
                <w:sz w:val="24"/>
                <w:szCs w:val="24"/>
              </w:rPr>
            </w:pPr>
            <w:bookmarkStart w:id="20" w:name="_Toc364329027"/>
            <w:r>
              <w:rPr>
                <w:rFonts w:hint="eastAsia" w:asciiTheme="minorEastAsia" w:hAnsiTheme="minorEastAsia"/>
                <w:sz w:val="24"/>
                <w:szCs w:val="24"/>
              </w:rPr>
              <w:t>法定代表人授权代表身份证（反面）</w:t>
            </w:r>
            <w:bookmarkEnd w:id="2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156" w:beforeLines="50" w:after="156" w:afterLines="50"/>
        <w:jc w:val="center"/>
        <w:rPr>
          <w:rFonts w:ascii="宋体" w:hAnsi="宋体" w:cs="Arial"/>
          <w:kern w:val="0"/>
          <w:sz w:val="36"/>
          <w:szCs w:val="36"/>
        </w:rPr>
      </w:pPr>
      <w:r>
        <w:rPr>
          <w:rFonts w:hint="eastAsia" w:ascii="宋体" w:hAnsi="宋体" w:cs="Arial"/>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520" w:firstLineChars="2300"/>
        <w:rPr>
          <w:rFonts w:cs="宋体" w:asciiTheme="minorEastAsia" w:hAnsiTheme="minorEastAsia"/>
          <w:sz w:val="24"/>
          <w:szCs w:val="24"/>
          <w:lang w:val="zh-CN"/>
        </w:rPr>
      </w:pPr>
      <w:r>
        <w:rPr>
          <w:rFonts w:hint="eastAsia" w:cs="宋体" w:asciiTheme="minorEastAsia" w:hAnsiTheme="minorEastAsia"/>
          <w:sz w:val="24"/>
          <w:szCs w:val="24"/>
          <w:lang w:val="zh-CN"/>
        </w:rPr>
        <w:t>日    期：</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jc w:val="center"/>
        <w:outlineLvl w:val="0"/>
        <w:rPr>
          <w:rFonts w:hAnsi="宋体" w:eastAsia="宋体"/>
          <w:b/>
          <w:snapToGrid w:val="0"/>
          <w:kern w:val="0"/>
          <w:szCs w:val="21"/>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jc w:val="center"/>
        <w:rPr>
          <w:rFonts w:ascii="宋体" w:cs="宋体"/>
          <w:szCs w:val="21"/>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pStyle w:val="2"/>
        <w:ind w:firstLine="340"/>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 xml:space="preserve">3.6 其他资格证书或材料 </w:t>
      </w:r>
    </w:p>
    <w:p>
      <w:pPr>
        <w:pStyle w:val="16"/>
        <w:spacing w:after="240" w:line="360" w:lineRule="auto"/>
        <w:jc w:val="center"/>
      </w:pPr>
    </w:p>
    <w:p>
      <w:pPr>
        <w:pStyle w:val="16"/>
        <w:spacing w:after="240" w:line="360" w:lineRule="auto"/>
        <w:jc w:val="center"/>
      </w:pPr>
    </w:p>
    <w:p>
      <w:pPr>
        <w:pStyle w:val="16"/>
        <w:spacing w:after="240"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四、符合性审查证明材料</w:t>
      </w: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4.1 </w:t>
      </w:r>
      <w:r>
        <w:rPr>
          <w:rFonts w:hint="eastAsia" w:hAnsi="宋体"/>
          <w:b/>
          <w:snapToGrid w:val="0"/>
          <w:kern w:val="0"/>
          <w:sz w:val="36"/>
          <w:szCs w:val="36"/>
        </w:rPr>
        <w:t>投标分项报价表</w:t>
      </w:r>
    </w:p>
    <w:p>
      <w:pPr>
        <w:pStyle w:val="2"/>
        <w:ind w:firstLine="361"/>
        <w:jc w:val="center"/>
      </w:pPr>
      <w:r>
        <w:rPr>
          <w:rFonts w:hint="eastAsia" w:hAnsi="宋体"/>
          <w:b/>
          <w:snapToGrid w:val="0"/>
          <w:sz w:val="36"/>
          <w:szCs w:val="36"/>
        </w:rPr>
        <w:t>（根据采购清单自拟格式）</w:t>
      </w:r>
    </w:p>
    <w:p>
      <w:pPr>
        <w:pStyle w:val="2"/>
        <w:ind w:firstLine="0" w:firstLineChars="0"/>
      </w:pPr>
    </w:p>
    <w:p>
      <w:pPr>
        <w:pStyle w:val="2"/>
        <w:ind w:firstLine="340"/>
      </w:pP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4.2 </w:t>
      </w:r>
      <w:r>
        <w:rPr>
          <w:rFonts w:hint="eastAsia" w:hAnsi="宋体"/>
          <w:b/>
          <w:snapToGrid w:val="0"/>
          <w:kern w:val="0"/>
          <w:sz w:val="36"/>
          <w:szCs w:val="36"/>
        </w:rPr>
        <w:t>技术规格偏离表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26"/>
        <w:tblW w:w="9322" w:type="dxa"/>
        <w:jc w:val="center"/>
        <w:tblLayout w:type="fixed"/>
        <w:tblCellMar>
          <w:top w:w="0" w:type="dxa"/>
          <w:left w:w="108" w:type="dxa"/>
          <w:bottom w:w="0" w:type="dxa"/>
          <w:right w:w="108" w:type="dxa"/>
        </w:tblCellMar>
      </w:tblPr>
      <w:tblGrid>
        <w:gridCol w:w="828"/>
        <w:gridCol w:w="1980"/>
        <w:gridCol w:w="2335"/>
        <w:gridCol w:w="2336"/>
        <w:gridCol w:w="993"/>
        <w:gridCol w:w="850"/>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233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233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spacing w:before="50" w:after="156" w:afterLines="50" w:line="360" w:lineRule="auto"/>
        <w:contextualSpacing/>
        <w:jc w:val="center"/>
        <w:rPr>
          <w:rFonts w:asciiTheme="minorEastAsia" w:hAnsiTheme="minorEastAsia"/>
          <w:b/>
          <w:snapToGrid w:val="0"/>
          <w:kern w:val="0"/>
          <w:sz w:val="36"/>
          <w:szCs w:val="36"/>
        </w:rPr>
      </w:pPr>
      <w:r>
        <w:rPr>
          <w:rFonts w:hint="eastAsia" w:asciiTheme="minorEastAsia" w:hAnsiTheme="minorEastAsia"/>
          <w:b/>
          <w:snapToGrid w:val="0"/>
          <w:kern w:val="0"/>
          <w:sz w:val="36"/>
          <w:szCs w:val="36"/>
        </w:rPr>
        <w:t xml:space="preserve">4.3 </w:t>
      </w:r>
      <w:r>
        <w:rPr>
          <w:rFonts w:hint="eastAsia" w:asciiTheme="minorEastAsia" w:hAnsiTheme="minorEastAsia"/>
          <w:b/>
          <w:bCs/>
          <w:snapToGrid w:val="0"/>
          <w:kern w:val="0"/>
          <w:sz w:val="36"/>
          <w:szCs w:val="36"/>
        </w:rPr>
        <w:t>技术方案（实施方案）</w:t>
      </w:r>
    </w:p>
    <w:p>
      <w:pPr>
        <w:autoSpaceDE w:val="0"/>
        <w:autoSpaceDN w:val="0"/>
        <w:adjustRightInd w:val="0"/>
        <w:spacing w:line="480" w:lineRule="auto"/>
        <w:jc w:val="center"/>
        <w:rPr>
          <w:rFonts w:cs="宋体" w:asciiTheme="minorEastAsia" w:hAnsiTheme="minorEastAsia"/>
          <w:sz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outlineLvl w:val="0"/>
        <w:rPr>
          <w:rFonts w:ascii="宋体" w:cs="宋体"/>
          <w:sz w:val="24"/>
          <w:lang w:val="zh-CN"/>
        </w:rPr>
      </w:pPr>
    </w:p>
    <w:p>
      <w:pPr>
        <w:spacing w:line="480" w:lineRule="exact"/>
        <w:jc w:val="center"/>
        <w:rPr>
          <w:rFonts w:ascii="宋体" w:hAnsi="宋体"/>
          <w:b/>
          <w:bCs/>
          <w:sz w:val="36"/>
          <w:szCs w:val="36"/>
        </w:rPr>
      </w:pPr>
    </w:p>
    <w:p>
      <w:pPr>
        <w:spacing w:line="300" w:lineRule="exact"/>
        <w:rPr>
          <w:rFonts w:asciiTheme="minorEastAsia" w:hAnsiTheme="minorEastAsia"/>
          <w:sz w:val="24"/>
          <w:szCs w:val="24"/>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ascii="宋体" w:hAnsi="宋体"/>
          <w:b/>
          <w:bCs/>
          <w:sz w:val="36"/>
          <w:szCs w:val="36"/>
        </w:rPr>
      </w:pPr>
      <w:r>
        <w:rPr>
          <w:rFonts w:hint="eastAsia" w:ascii="宋体" w:hAnsi="宋体"/>
          <w:b/>
          <w:bCs/>
          <w:sz w:val="36"/>
          <w:szCs w:val="36"/>
        </w:rPr>
        <w:br w:type="page"/>
      </w: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6"/>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jc w:val="center"/>
              <w:rPr>
                <w:rFonts w:ascii="宋体" w:hAnsi="宋体" w:eastAsia="宋体" w:cs="Times New Roman"/>
                <w:sz w:val="24"/>
                <w:szCs w:val="24"/>
              </w:rPr>
            </w:pPr>
          </w:p>
        </w:tc>
        <w:tc>
          <w:tcPr>
            <w:tcW w:w="3579" w:type="dxa"/>
            <w:vAlign w:val="center"/>
          </w:tcPr>
          <w:p>
            <w:pPr>
              <w:pStyle w:val="9"/>
              <w:spacing w:line="360" w:lineRule="auto"/>
              <w:jc w:val="center"/>
              <w:rPr>
                <w:rFonts w:ascii="宋体" w:hAnsi="宋体" w:eastAsia="宋体" w:cs="Times New Roman"/>
                <w:sz w:val="24"/>
                <w:szCs w:val="24"/>
              </w:rPr>
            </w:pPr>
          </w:p>
        </w:tc>
        <w:tc>
          <w:tcPr>
            <w:tcW w:w="1440" w:type="dxa"/>
            <w:vAlign w:val="center"/>
          </w:tcPr>
          <w:p>
            <w:pPr>
              <w:pStyle w:val="9"/>
              <w:spacing w:line="360" w:lineRule="auto"/>
              <w:jc w:val="center"/>
              <w:rPr>
                <w:rFonts w:ascii="宋体" w:hAnsi="宋体" w:eastAsia="宋体" w:cs="Times New Roman"/>
                <w:sz w:val="24"/>
                <w:szCs w:val="24"/>
              </w:rPr>
            </w:pPr>
          </w:p>
        </w:tc>
        <w:tc>
          <w:tcPr>
            <w:tcW w:w="1706" w:type="dxa"/>
            <w:vAlign w:val="center"/>
          </w:tcPr>
          <w:p>
            <w:pPr>
              <w:pStyle w:val="9"/>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jc w:val="center"/>
              <w:rPr>
                <w:rFonts w:ascii="宋体" w:hAnsi="宋体" w:eastAsia="宋体" w:cs="Times New Roman"/>
                <w:sz w:val="24"/>
                <w:szCs w:val="24"/>
              </w:rPr>
            </w:pPr>
          </w:p>
        </w:tc>
        <w:tc>
          <w:tcPr>
            <w:tcW w:w="3579" w:type="dxa"/>
            <w:vAlign w:val="center"/>
          </w:tcPr>
          <w:p>
            <w:pPr>
              <w:pStyle w:val="9"/>
              <w:spacing w:line="360" w:lineRule="auto"/>
              <w:jc w:val="center"/>
              <w:rPr>
                <w:rFonts w:ascii="宋体" w:hAnsi="宋体" w:eastAsia="宋体" w:cs="Times New Roman"/>
                <w:sz w:val="24"/>
                <w:szCs w:val="24"/>
              </w:rPr>
            </w:pPr>
          </w:p>
        </w:tc>
        <w:tc>
          <w:tcPr>
            <w:tcW w:w="1440" w:type="dxa"/>
            <w:vAlign w:val="center"/>
          </w:tcPr>
          <w:p>
            <w:pPr>
              <w:pStyle w:val="9"/>
              <w:spacing w:line="360" w:lineRule="auto"/>
              <w:jc w:val="center"/>
              <w:rPr>
                <w:rFonts w:ascii="宋体" w:hAnsi="宋体" w:eastAsia="宋体" w:cs="Times New Roman"/>
                <w:sz w:val="24"/>
                <w:szCs w:val="24"/>
              </w:rPr>
            </w:pPr>
          </w:p>
        </w:tc>
        <w:tc>
          <w:tcPr>
            <w:tcW w:w="1706" w:type="dxa"/>
            <w:vAlign w:val="center"/>
          </w:tcPr>
          <w:p>
            <w:pPr>
              <w:pStyle w:val="9"/>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jc w:val="center"/>
              <w:rPr>
                <w:rFonts w:ascii="宋体" w:hAnsi="宋体" w:eastAsia="宋体" w:cs="Times New Roman"/>
                <w:sz w:val="24"/>
                <w:szCs w:val="24"/>
              </w:rPr>
            </w:pPr>
          </w:p>
        </w:tc>
        <w:tc>
          <w:tcPr>
            <w:tcW w:w="3579" w:type="dxa"/>
            <w:vAlign w:val="center"/>
          </w:tcPr>
          <w:p>
            <w:pPr>
              <w:pStyle w:val="9"/>
              <w:spacing w:line="360" w:lineRule="auto"/>
              <w:jc w:val="center"/>
              <w:rPr>
                <w:rFonts w:ascii="宋体" w:hAnsi="宋体" w:eastAsia="宋体" w:cs="Times New Roman"/>
                <w:sz w:val="24"/>
                <w:szCs w:val="24"/>
              </w:rPr>
            </w:pPr>
          </w:p>
        </w:tc>
        <w:tc>
          <w:tcPr>
            <w:tcW w:w="1440" w:type="dxa"/>
            <w:vAlign w:val="center"/>
          </w:tcPr>
          <w:p>
            <w:pPr>
              <w:pStyle w:val="9"/>
              <w:spacing w:line="360" w:lineRule="auto"/>
              <w:jc w:val="center"/>
              <w:rPr>
                <w:rFonts w:ascii="宋体" w:hAnsi="宋体" w:eastAsia="宋体" w:cs="Times New Roman"/>
                <w:sz w:val="24"/>
                <w:szCs w:val="24"/>
              </w:rPr>
            </w:pPr>
          </w:p>
        </w:tc>
        <w:tc>
          <w:tcPr>
            <w:tcW w:w="1706" w:type="dxa"/>
            <w:vAlign w:val="center"/>
          </w:tcPr>
          <w:p>
            <w:pPr>
              <w:pStyle w:val="9"/>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jc w:val="center"/>
              <w:rPr>
                <w:rFonts w:ascii="宋体"/>
              </w:rPr>
            </w:pPr>
          </w:p>
        </w:tc>
        <w:tc>
          <w:tcPr>
            <w:tcW w:w="357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jc w:val="center"/>
              <w:rPr>
                <w:rFonts w:ascii="宋体"/>
              </w:rPr>
            </w:pPr>
          </w:p>
        </w:tc>
        <w:tc>
          <w:tcPr>
            <w:tcW w:w="357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pStyle w:val="2"/>
        <w:ind w:firstLine="340"/>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pStyle w:val="2"/>
        <w:ind w:firstLine="340"/>
      </w:pPr>
    </w:p>
    <w:p>
      <w:pPr>
        <w:pStyle w:val="2"/>
        <w:ind w:firstLine="340"/>
      </w:pPr>
    </w:p>
    <w:p>
      <w:pPr>
        <w:pStyle w:val="2"/>
        <w:ind w:firstLine="340"/>
      </w:pPr>
    </w:p>
    <w:p>
      <w:pPr>
        <w:pStyle w:val="2"/>
        <w:ind w:firstLine="340"/>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4.6 中小企业声明函</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w:t>
      </w:r>
      <w:r>
        <w:rPr>
          <w:sz w:val="24"/>
          <w:szCs w:val="24"/>
          <w:u w:val="single"/>
        </w:rPr>
        <w:t>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p>
    <w:p>
      <w:pPr>
        <w:spacing w:before="156" w:beforeLines="50" w:after="156" w:afterLines="50" w:line="360" w:lineRule="auto"/>
        <w:ind w:right="420" w:firstLine="3840" w:firstLineChars="16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pStyle w:val="2"/>
        <w:ind w:firstLine="340"/>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1" w:name="OLE_LINK13"/>
      <w:bookmarkStart w:id="22" w:name="OLE_LINK14"/>
      <w:r>
        <w:rPr>
          <w:rFonts w:hint="eastAsia" w:ascii="宋体" w:hAnsi="宋体"/>
          <w:b/>
          <w:bCs/>
          <w:sz w:val="36"/>
          <w:szCs w:val="36"/>
        </w:rPr>
        <w:br w:type="page"/>
      </w:r>
    </w:p>
    <w:p>
      <w:pPr>
        <w:spacing w:line="360" w:lineRule="auto"/>
        <w:jc w:val="center"/>
        <w:rPr>
          <w:rFonts w:ascii="宋体" w:hAnsi="宋体"/>
          <w:b/>
          <w:bCs/>
          <w:sz w:val="36"/>
          <w:szCs w:val="36"/>
        </w:rPr>
      </w:pPr>
      <w:r>
        <w:rPr>
          <w:rFonts w:hint="eastAsia" w:ascii="宋体" w:hAnsi="宋体"/>
          <w:b/>
          <w:bCs/>
          <w:sz w:val="36"/>
          <w:szCs w:val="36"/>
        </w:rPr>
        <w:t>4.7 残疾人福利性单位声明函</w:t>
      </w:r>
    </w:p>
    <w:bookmarkEnd w:id="21"/>
    <w:bookmarkEnd w:id="2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Arial"/>
          <w:kern w:val="0"/>
          <w:sz w:val="24"/>
          <w:szCs w:val="24"/>
          <w:u w:val="single"/>
        </w:rPr>
        <w:t>　     　</w:t>
      </w:r>
      <w:r>
        <w:rPr>
          <w:rFonts w:hint="eastAsia" w:ascii="宋体" w:hAnsi="宋体"/>
          <w:sz w:val="24"/>
          <w:szCs w:val="24"/>
        </w:rPr>
        <w:t>单位的</w:t>
      </w:r>
      <w:r>
        <w:rPr>
          <w:rFonts w:hint="eastAsia" w:ascii="宋体" w:hAnsi="宋体" w:cs="Arial"/>
          <w:kern w:val="0"/>
          <w:sz w:val="24"/>
          <w:szCs w:val="24"/>
          <w:u w:val="single"/>
        </w:rPr>
        <w:t>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156" w:beforeLines="50" w:after="156" w:afterLines="50" w:line="360" w:lineRule="auto"/>
        <w:ind w:right="420" w:firstLine="4320" w:firstLineChars="18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spacing w:line="360" w:lineRule="auto"/>
        <w:rPr>
          <w:rFonts w:ascii="宋体" w:hAnsi="宋体"/>
          <w:sz w:val="24"/>
          <w:szCs w:val="24"/>
        </w:rPr>
      </w:pPr>
    </w:p>
    <w:p/>
    <w:p/>
    <w:p/>
    <w:p>
      <w:pPr>
        <w:spacing w:line="360" w:lineRule="auto"/>
        <w:jc w:val="center"/>
        <w:rPr>
          <w:rFonts w:ascii="宋体" w:hAnsi="宋体"/>
          <w:b/>
          <w:bCs/>
          <w:sz w:val="36"/>
          <w:szCs w:val="36"/>
        </w:rPr>
      </w:pPr>
      <w:r>
        <w:rPr>
          <w:rFonts w:hint="eastAsia" w:ascii="宋体" w:hAnsi="宋体"/>
          <w:b/>
          <w:bCs/>
          <w:sz w:val="36"/>
          <w:szCs w:val="36"/>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80" w:firstLineChars="200"/>
        <w:jc w:val="center"/>
        <w:rPr>
          <w:rFonts w:ascii="宋体" w:hAnsi="宋体"/>
          <w:sz w:val="24"/>
          <w:szCs w:val="24"/>
        </w:rPr>
      </w:pPr>
      <w:r>
        <w:rPr>
          <w:rFonts w:hint="eastAsia" w:ascii="宋体" w:hAnsi="宋体"/>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sz w:val="44"/>
          <w:szCs w:val="44"/>
        </w:rPr>
      </w:pPr>
    </w:p>
    <w:p>
      <w:pPr>
        <w:pStyle w:val="2"/>
        <w:ind w:firstLine="340"/>
      </w:pPr>
    </w:p>
    <w:p>
      <w:pPr>
        <w:pStyle w:val="16"/>
        <w:spacing w:after="240" w:line="360" w:lineRule="auto"/>
        <w:jc w:val="center"/>
        <w:rPr>
          <w:rFonts w:cs="黑体" w:asciiTheme="minorEastAsia" w:hAnsiTheme="minorEastAsia"/>
          <w:b/>
          <w:bCs/>
          <w:sz w:val="44"/>
          <w:szCs w:val="44"/>
          <w:lang w:val="zh-CN"/>
        </w:rPr>
      </w:pPr>
    </w:p>
    <w:p>
      <w:pPr>
        <w:pStyle w:val="16"/>
        <w:spacing w:after="240" w:line="360" w:lineRule="auto"/>
        <w:jc w:val="center"/>
        <w:rPr>
          <w:rFonts w:cs="黑体" w:asciiTheme="minorEastAsia" w:hAnsiTheme="minorEastAsia"/>
          <w:b/>
          <w:bCs/>
          <w:sz w:val="44"/>
          <w:szCs w:val="44"/>
          <w:lang w:val="zh-CN"/>
        </w:rPr>
      </w:pPr>
    </w:p>
    <w:p>
      <w:pPr>
        <w:pStyle w:val="16"/>
        <w:spacing w:after="240" w:line="360" w:lineRule="auto"/>
        <w:jc w:val="center"/>
        <w:rPr>
          <w:rFonts w:cs="黑体" w:asciiTheme="minorEastAsia" w:hAnsiTheme="minorEastAsia"/>
          <w:b/>
          <w:bCs/>
          <w:sz w:val="44"/>
          <w:szCs w:val="44"/>
          <w:lang w:val="zh-CN"/>
        </w:rPr>
      </w:pPr>
    </w:p>
    <w:p>
      <w:pPr>
        <w:pStyle w:val="16"/>
        <w:spacing w:after="240"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五、</w:t>
      </w:r>
      <w:r>
        <w:rPr>
          <w:rFonts w:asciiTheme="majorEastAsia" w:hAnsiTheme="majorEastAsia" w:eastAsiaTheme="majorEastAsia"/>
          <w:b/>
          <w:snapToGrid w:val="0"/>
          <w:kern w:val="0"/>
          <w:sz w:val="36"/>
          <w:szCs w:val="36"/>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sectPr>
      <w:footerReference r:id="rId3" w:type="default"/>
      <w:pgSz w:w="11906" w:h="16838"/>
      <w:pgMar w:top="1701" w:right="1474" w:bottom="1701"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
    <w:altName w:val="Times New Roman"/>
    <w:panose1 w:val="00000000000000000000"/>
    <w:charset w:val="00"/>
    <w:family w:val="roman"/>
    <w:pitch w:val="default"/>
    <w:sig w:usb0="00000000" w:usb1="00000000" w:usb2="00000000" w:usb3="00000000" w:csb0="00000000" w:csb1="00000000"/>
  </w:font>
  <w:font w:name="DengXian">
    <w:altName w:val="Times New Roman"/>
    <w:panose1 w:val="00000000000000000000"/>
    <w:charset w:val="00"/>
    <w:family w:val="roman"/>
    <w:pitch w:val="default"/>
    <w:sig w:usb0="00000000" w:usb1="00000000" w:usb2="00000000"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TimesNewRomanPSMT">
    <w:altName w:val="宋体"/>
    <w:panose1 w:val="00000000000000000000"/>
    <w:charset w:val="00"/>
    <w:family w:val="auto"/>
    <w:pitch w:val="default"/>
    <w:sig w:usb0="00000000" w:usb1="00000000" w:usb2="00000010" w:usb3="00000000" w:csb0="00040001"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8D323"/>
    <w:multiLevelType w:val="singleLevel"/>
    <w:tmpl w:val="AC48D323"/>
    <w:lvl w:ilvl="0" w:tentative="0">
      <w:start w:val="2"/>
      <w:numFmt w:val="decimal"/>
      <w:suff w:val="nothing"/>
      <w:lvlText w:val="%1、"/>
      <w:lvlJc w:val="left"/>
    </w:lvl>
  </w:abstractNum>
  <w:abstractNum w:abstractNumId="1">
    <w:nsid w:val="BCCC8CF0"/>
    <w:multiLevelType w:val="singleLevel"/>
    <w:tmpl w:val="BCCC8CF0"/>
    <w:lvl w:ilvl="0" w:tentative="0">
      <w:start w:val="1"/>
      <w:numFmt w:val="decimal"/>
      <w:suff w:val="nothing"/>
      <w:lvlText w:val="%1、"/>
      <w:lvlJc w:val="left"/>
    </w:lvl>
  </w:abstractNum>
  <w:abstractNum w:abstractNumId="2">
    <w:nsid w:val="E31B524A"/>
    <w:multiLevelType w:val="singleLevel"/>
    <w:tmpl w:val="E31B524A"/>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23A57B"/>
    <w:multiLevelType w:val="singleLevel"/>
    <w:tmpl w:val="1523A57B"/>
    <w:lvl w:ilvl="0" w:tentative="0">
      <w:start w:val="1"/>
      <w:numFmt w:val="decimal"/>
      <w:suff w:val="nothing"/>
      <w:lvlText w:val="%1、"/>
      <w:lvlJc w:val="left"/>
    </w:lvl>
  </w:abstractNum>
  <w:abstractNum w:abstractNumId="7">
    <w:nsid w:val="1C99F775"/>
    <w:multiLevelType w:val="singleLevel"/>
    <w:tmpl w:val="1C99F775"/>
    <w:lvl w:ilvl="0" w:tentative="0">
      <w:start w:val="1"/>
      <w:numFmt w:val="decimal"/>
      <w:suff w:val="nothing"/>
      <w:lvlText w:val="%1、"/>
      <w:lvlJc w:val="left"/>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54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EE9EDD6"/>
    <w:multiLevelType w:val="singleLevel"/>
    <w:tmpl w:val="2EE9EDD6"/>
    <w:lvl w:ilvl="0" w:tentative="0">
      <w:start w:val="1"/>
      <w:numFmt w:val="decimal"/>
      <w:suff w:val="nothing"/>
      <w:lvlText w:val="（%1）"/>
      <w:lvlJc w:val="left"/>
    </w:lvl>
  </w:abstractNum>
  <w:abstractNum w:abstractNumId="10">
    <w:nsid w:val="40FD4A4D"/>
    <w:multiLevelType w:val="singleLevel"/>
    <w:tmpl w:val="40FD4A4D"/>
    <w:lvl w:ilvl="0" w:tentative="0">
      <w:start w:val="1"/>
      <w:numFmt w:val="decimal"/>
      <w:suff w:val="nothing"/>
      <w:lvlText w:val="%1、"/>
      <w:lvlJc w:val="left"/>
    </w:lvl>
  </w:abstractNum>
  <w:abstractNum w:abstractNumId="11">
    <w:nsid w:val="4413E38B"/>
    <w:multiLevelType w:val="singleLevel"/>
    <w:tmpl w:val="4413E38B"/>
    <w:lvl w:ilvl="0" w:tentative="0">
      <w:start w:val="1"/>
      <w:numFmt w:val="decimal"/>
      <w:suff w:val="nothing"/>
      <w:lvlText w:val="%1、"/>
      <w:lvlJc w:val="left"/>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61"/>
      <w:suff w:val="nothing"/>
      <w:lvlText w:val="%1、"/>
      <w:lvlJc w:val="left"/>
    </w:lvl>
  </w:abstractNum>
  <w:num w:numId="1">
    <w:abstractNumId w:val="3"/>
  </w:num>
  <w:num w:numId="2">
    <w:abstractNumId w:val="4"/>
  </w:num>
  <w:num w:numId="3">
    <w:abstractNumId w:val="13"/>
  </w:num>
  <w:num w:numId="4">
    <w:abstractNumId w:val="12"/>
  </w:num>
  <w:num w:numId="5">
    <w:abstractNumId w:val="0"/>
  </w:num>
  <w:num w:numId="6">
    <w:abstractNumId w:val="8"/>
  </w:num>
  <w:num w:numId="7">
    <w:abstractNumId w:val="6"/>
  </w:num>
  <w:num w:numId="8">
    <w:abstractNumId w:val="10"/>
  </w:num>
  <w:num w:numId="9">
    <w:abstractNumId w:val="11"/>
  </w:num>
  <w:num w:numId="10">
    <w:abstractNumId w:val="7"/>
  </w:num>
  <w:num w:numId="11">
    <w:abstractNumId w:val="9"/>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A1"/>
    <w:rsid w:val="00004865"/>
    <w:rsid w:val="00017501"/>
    <w:rsid w:val="00017B31"/>
    <w:rsid w:val="00025382"/>
    <w:rsid w:val="0003428F"/>
    <w:rsid w:val="00046CF2"/>
    <w:rsid w:val="000578F0"/>
    <w:rsid w:val="00057EDE"/>
    <w:rsid w:val="00062FF6"/>
    <w:rsid w:val="000639CC"/>
    <w:rsid w:val="00085D77"/>
    <w:rsid w:val="00097E92"/>
    <w:rsid w:val="000A06BD"/>
    <w:rsid w:val="000B3B07"/>
    <w:rsid w:val="000B4A3A"/>
    <w:rsid w:val="000C25B9"/>
    <w:rsid w:val="000C513F"/>
    <w:rsid w:val="000D0161"/>
    <w:rsid w:val="000D6E1E"/>
    <w:rsid w:val="000E02DD"/>
    <w:rsid w:val="000F610D"/>
    <w:rsid w:val="000F77CE"/>
    <w:rsid w:val="00101C89"/>
    <w:rsid w:val="0011416B"/>
    <w:rsid w:val="00133E84"/>
    <w:rsid w:val="0013492D"/>
    <w:rsid w:val="001467BA"/>
    <w:rsid w:val="00151DA5"/>
    <w:rsid w:val="00160FA1"/>
    <w:rsid w:val="00161D7F"/>
    <w:rsid w:val="00171D90"/>
    <w:rsid w:val="001A1519"/>
    <w:rsid w:val="001B609B"/>
    <w:rsid w:val="001B7A51"/>
    <w:rsid w:val="001B7FEA"/>
    <w:rsid w:val="001C277C"/>
    <w:rsid w:val="001D27C5"/>
    <w:rsid w:val="001E2C99"/>
    <w:rsid w:val="001E42D4"/>
    <w:rsid w:val="001E4A13"/>
    <w:rsid w:val="001E78C5"/>
    <w:rsid w:val="0020360E"/>
    <w:rsid w:val="00212514"/>
    <w:rsid w:val="00226442"/>
    <w:rsid w:val="002305FC"/>
    <w:rsid w:val="00235185"/>
    <w:rsid w:val="00240F1C"/>
    <w:rsid w:val="0024495F"/>
    <w:rsid w:val="00245FF5"/>
    <w:rsid w:val="00256723"/>
    <w:rsid w:val="00257170"/>
    <w:rsid w:val="002737F7"/>
    <w:rsid w:val="00275630"/>
    <w:rsid w:val="00284EF2"/>
    <w:rsid w:val="00293D48"/>
    <w:rsid w:val="002A3D0B"/>
    <w:rsid w:val="002A5C8F"/>
    <w:rsid w:val="002C32F0"/>
    <w:rsid w:val="002E6A3C"/>
    <w:rsid w:val="002F3873"/>
    <w:rsid w:val="002F7867"/>
    <w:rsid w:val="00303264"/>
    <w:rsid w:val="003205D0"/>
    <w:rsid w:val="003242F3"/>
    <w:rsid w:val="00325FF0"/>
    <w:rsid w:val="00334459"/>
    <w:rsid w:val="003405F7"/>
    <w:rsid w:val="0034629A"/>
    <w:rsid w:val="00352127"/>
    <w:rsid w:val="003544A8"/>
    <w:rsid w:val="003571FA"/>
    <w:rsid w:val="003663A7"/>
    <w:rsid w:val="00372DB4"/>
    <w:rsid w:val="003825ED"/>
    <w:rsid w:val="003907C7"/>
    <w:rsid w:val="003C29D8"/>
    <w:rsid w:val="003E21EB"/>
    <w:rsid w:val="003E6EC0"/>
    <w:rsid w:val="00402211"/>
    <w:rsid w:val="00404666"/>
    <w:rsid w:val="004050DE"/>
    <w:rsid w:val="00407E02"/>
    <w:rsid w:val="00420907"/>
    <w:rsid w:val="00435FDE"/>
    <w:rsid w:val="00445073"/>
    <w:rsid w:val="00450F50"/>
    <w:rsid w:val="00464506"/>
    <w:rsid w:val="00465A0F"/>
    <w:rsid w:val="00470C14"/>
    <w:rsid w:val="004B20C1"/>
    <w:rsid w:val="004B2BF1"/>
    <w:rsid w:val="004B64D5"/>
    <w:rsid w:val="004C7602"/>
    <w:rsid w:val="004D6DD1"/>
    <w:rsid w:val="004E2214"/>
    <w:rsid w:val="004F0DAE"/>
    <w:rsid w:val="004F3D74"/>
    <w:rsid w:val="004F4304"/>
    <w:rsid w:val="005016B6"/>
    <w:rsid w:val="00502FE6"/>
    <w:rsid w:val="0053477A"/>
    <w:rsid w:val="00536A70"/>
    <w:rsid w:val="00540282"/>
    <w:rsid w:val="00547C4F"/>
    <w:rsid w:val="005652F3"/>
    <w:rsid w:val="00582F0D"/>
    <w:rsid w:val="00593D55"/>
    <w:rsid w:val="005A270A"/>
    <w:rsid w:val="005B4191"/>
    <w:rsid w:val="005C217F"/>
    <w:rsid w:val="005C79AB"/>
    <w:rsid w:val="005D175B"/>
    <w:rsid w:val="005D2E75"/>
    <w:rsid w:val="005F47A1"/>
    <w:rsid w:val="006420EB"/>
    <w:rsid w:val="0065153E"/>
    <w:rsid w:val="006553C3"/>
    <w:rsid w:val="006631F2"/>
    <w:rsid w:val="00667C94"/>
    <w:rsid w:val="00680656"/>
    <w:rsid w:val="006933BB"/>
    <w:rsid w:val="00694141"/>
    <w:rsid w:val="006A07CE"/>
    <w:rsid w:val="006B1770"/>
    <w:rsid w:val="006C316E"/>
    <w:rsid w:val="006D054D"/>
    <w:rsid w:val="006D60A7"/>
    <w:rsid w:val="006E3BAC"/>
    <w:rsid w:val="006F5307"/>
    <w:rsid w:val="00726038"/>
    <w:rsid w:val="00726BAF"/>
    <w:rsid w:val="00727091"/>
    <w:rsid w:val="00732C83"/>
    <w:rsid w:val="00732D02"/>
    <w:rsid w:val="00732F5A"/>
    <w:rsid w:val="0074554E"/>
    <w:rsid w:val="00753771"/>
    <w:rsid w:val="00754894"/>
    <w:rsid w:val="0075736B"/>
    <w:rsid w:val="00762FB1"/>
    <w:rsid w:val="00776A4C"/>
    <w:rsid w:val="00780384"/>
    <w:rsid w:val="00783F96"/>
    <w:rsid w:val="007A1521"/>
    <w:rsid w:val="007B0916"/>
    <w:rsid w:val="007B3A28"/>
    <w:rsid w:val="007C2BE7"/>
    <w:rsid w:val="007C63B4"/>
    <w:rsid w:val="007D1DB9"/>
    <w:rsid w:val="007D5779"/>
    <w:rsid w:val="007E6687"/>
    <w:rsid w:val="008013B7"/>
    <w:rsid w:val="00815F6B"/>
    <w:rsid w:val="0082671D"/>
    <w:rsid w:val="008276D4"/>
    <w:rsid w:val="00834A4C"/>
    <w:rsid w:val="0084268D"/>
    <w:rsid w:val="00847A7B"/>
    <w:rsid w:val="008513EA"/>
    <w:rsid w:val="00862871"/>
    <w:rsid w:val="008730AF"/>
    <w:rsid w:val="00876E05"/>
    <w:rsid w:val="008861BE"/>
    <w:rsid w:val="00891A73"/>
    <w:rsid w:val="00896AAC"/>
    <w:rsid w:val="008A07C9"/>
    <w:rsid w:val="008D0203"/>
    <w:rsid w:val="008D5054"/>
    <w:rsid w:val="008E2E1B"/>
    <w:rsid w:val="008E3A3F"/>
    <w:rsid w:val="008E4C74"/>
    <w:rsid w:val="008F6C33"/>
    <w:rsid w:val="00925433"/>
    <w:rsid w:val="00944C98"/>
    <w:rsid w:val="00953EB8"/>
    <w:rsid w:val="0097194D"/>
    <w:rsid w:val="009722AB"/>
    <w:rsid w:val="00980A14"/>
    <w:rsid w:val="00993428"/>
    <w:rsid w:val="0099429C"/>
    <w:rsid w:val="00997FA4"/>
    <w:rsid w:val="009A0EBE"/>
    <w:rsid w:val="009A2491"/>
    <w:rsid w:val="009A4253"/>
    <w:rsid w:val="009C70D5"/>
    <w:rsid w:val="009D09F8"/>
    <w:rsid w:val="009E3DD9"/>
    <w:rsid w:val="009E70F8"/>
    <w:rsid w:val="009F7D69"/>
    <w:rsid w:val="00A07449"/>
    <w:rsid w:val="00A12186"/>
    <w:rsid w:val="00A17AF7"/>
    <w:rsid w:val="00A20656"/>
    <w:rsid w:val="00A2436A"/>
    <w:rsid w:val="00A36582"/>
    <w:rsid w:val="00A55501"/>
    <w:rsid w:val="00A7139A"/>
    <w:rsid w:val="00A72250"/>
    <w:rsid w:val="00A75C98"/>
    <w:rsid w:val="00AA45C0"/>
    <w:rsid w:val="00AD6DFF"/>
    <w:rsid w:val="00AE09FD"/>
    <w:rsid w:val="00AF60A3"/>
    <w:rsid w:val="00AF6695"/>
    <w:rsid w:val="00B023E9"/>
    <w:rsid w:val="00B22D42"/>
    <w:rsid w:val="00B5512D"/>
    <w:rsid w:val="00B673B7"/>
    <w:rsid w:val="00B82A70"/>
    <w:rsid w:val="00B91C33"/>
    <w:rsid w:val="00B92B9C"/>
    <w:rsid w:val="00BA00A1"/>
    <w:rsid w:val="00BA418C"/>
    <w:rsid w:val="00BA513E"/>
    <w:rsid w:val="00BC185E"/>
    <w:rsid w:val="00BF40AC"/>
    <w:rsid w:val="00C218B3"/>
    <w:rsid w:val="00C24C5F"/>
    <w:rsid w:val="00C33EEE"/>
    <w:rsid w:val="00C46826"/>
    <w:rsid w:val="00C563CD"/>
    <w:rsid w:val="00C61F72"/>
    <w:rsid w:val="00C6345B"/>
    <w:rsid w:val="00C70729"/>
    <w:rsid w:val="00C76E0A"/>
    <w:rsid w:val="00C84869"/>
    <w:rsid w:val="00C87D94"/>
    <w:rsid w:val="00C961E6"/>
    <w:rsid w:val="00CB04FD"/>
    <w:rsid w:val="00CB3B2C"/>
    <w:rsid w:val="00CC512B"/>
    <w:rsid w:val="00D10684"/>
    <w:rsid w:val="00D13518"/>
    <w:rsid w:val="00D23E0A"/>
    <w:rsid w:val="00D405EF"/>
    <w:rsid w:val="00D517B4"/>
    <w:rsid w:val="00D53625"/>
    <w:rsid w:val="00D5696A"/>
    <w:rsid w:val="00D6280B"/>
    <w:rsid w:val="00D62E23"/>
    <w:rsid w:val="00D649C6"/>
    <w:rsid w:val="00D6786B"/>
    <w:rsid w:val="00D84FAD"/>
    <w:rsid w:val="00D9500B"/>
    <w:rsid w:val="00DA5D08"/>
    <w:rsid w:val="00DB3090"/>
    <w:rsid w:val="00DD03C7"/>
    <w:rsid w:val="00DD5D5C"/>
    <w:rsid w:val="00DE0BCC"/>
    <w:rsid w:val="00DE5212"/>
    <w:rsid w:val="00DE5F0D"/>
    <w:rsid w:val="00E0346E"/>
    <w:rsid w:val="00E05212"/>
    <w:rsid w:val="00E05CFE"/>
    <w:rsid w:val="00E11E3C"/>
    <w:rsid w:val="00E225AA"/>
    <w:rsid w:val="00E653B4"/>
    <w:rsid w:val="00E655C5"/>
    <w:rsid w:val="00E87F36"/>
    <w:rsid w:val="00E921D4"/>
    <w:rsid w:val="00E931D0"/>
    <w:rsid w:val="00E94B80"/>
    <w:rsid w:val="00E965F5"/>
    <w:rsid w:val="00EB253B"/>
    <w:rsid w:val="00EB7B64"/>
    <w:rsid w:val="00EC6CB4"/>
    <w:rsid w:val="00ED24F5"/>
    <w:rsid w:val="00EE2F07"/>
    <w:rsid w:val="00EE70E8"/>
    <w:rsid w:val="00EF6DF4"/>
    <w:rsid w:val="00F03073"/>
    <w:rsid w:val="00F149A9"/>
    <w:rsid w:val="00F170AF"/>
    <w:rsid w:val="00F2323E"/>
    <w:rsid w:val="00F33383"/>
    <w:rsid w:val="00F42340"/>
    <w:rsid w:val="00F52C0A"/>
    <w:rsid w:val="00F83BAF"/>
    <w:rsid w:val="00F943A5"/>
    <w:rsid w:val="00FA5DC4"/>
    <w:rsid w:val="00FA601C"/>
    <w:rsid w:val="00FC3FB3"/>
    <w:rsid w:val="01475914"/>
    <w:rsid w:val="018E41A9"/>
    <w:rsid w:val="04635F4C"/>
    <w:rsid w:val="04BE4542"/>
    <w:rsid w:val="06783FB8"/>
    <w:rsid w:val="0D4F0DA8"/>
    <w:rsid w:val="10F02032"/>
    <w:rsid w:val="11FF3CF0"/>
    <w:rsid w:val="14591D8B"/>
    <w:rsid w:val="155E6F34"/>
    <w:rsid w:val="15D650E8"/>
    <w:rsid w:val="189C1326"/>
    <w:rsid w:val="189D11D5"/>
    <w:rsid w:val="1E080BF8"/>
    <w:rsid w:val="1E5C2195"/>
    <w:rsid w:val="1E5E7F60"/>
    <w:rsid w:val="1E747523"/>
    <w:rsid w:val="20870B88"/>
    <w:rsid w:val="21A33B92"/>
    <w:rsid w:val="2390081F"/>
    <w:rsid w:val="2B112753"/>
    <w:rsid w:val="2CBA0E16"/>
    <w:rsid w:val="2E5F3A8D"/>
    <w:rsid w:val="2E807A00"/>
    <w:rsid w:val="2FB26947"/>
    <w:rsid w:val="30023F7A"/>
    <w:rsid w:val="31C4791F"/>
    <w:rsid w:val="32D67F75"/>
    <w:rsid w:val="34AA3119"/>
    <w:rsid w:val="37541ABF"/>
    <w:rsid w:val="39750893"/>
    <w:rsid w:val="397B4078"/>
    <w:rsid w:val="3A6102D3"/>
    <w:rsid w:val="3BBD7922"/>
    <w:rsid w:val="3CDF6C2C"/>
    <w:rsid w:val="3CF70601"/>
    <w:rsid w:val="3CF975AE"/>
    <w:rsid w:val="3D997D27"/>
    <w:rsid w:val="40645D61"/>
    <w:rsid w:val="42897059"/>
    <w:rsid w:val="442C7A06"/>
    <w:rsid w:val="453915AA"/>
    <w:rsid w:val="457F3788"/>
    <w:rsid w:val="49033672"/>
    <w:rsid w:val="4A2D2376"/>
    <w:rsid w:val="4A6F5800"/>
    <w:rsid w:val="4BA805CF"/>
    <w:rsid w:val="4C96598F"/>
    <w:rsid w:val="4E902774"/>
    <w:rsid w:val="4F004418"/>
    <w:rsid w:val="4FA604BD"/>
    <w:rsid w:val="536F2B46"/>
    <w:rsid w:val="563D3864"/>
    <w:rsid w:val="56C624C8"/>
    <w:rsid w:val="5ACD07CE"/>
    <w:rsid w:val="5B20736C"/>
    <w:rsid w:val="5C7570FB"/>
    <w:rsid w:val="5E884734"/>
    <w:rsid w:val="5E9A2E8E"/>
    <w:rsid w:val="5F5A2D5C"/>
    <w:rsid w:val="60C83EB5"/>
    <w:rsid w:val="616D68C8"/>
    <w:rsid w:val="63B46AF4"/>
    <w:rsid w:val="647108D6"/>
    <w:rsid w:val="66075D05"/>
    <w:rsid w:val="67DE5C81"/>
    <w:rsid w:val="68EF26E9"/>
    <w:rsid w:val="69130645"/>
    <w:rsid w:val="69387447"/>
    <w:rsid w:val="6A183136"/>
    <w:rsid w:val="6A9C4529"/>
    <w:rsid w:val="6B1835DD"/>
    <w:rsid w:val="6C415DCB"/>
    <w:rsid w:val="6D272EFE"/>
    <w:rsid w:val="6E93400A"/>
    <w:rsid w:val="70E03D98"/>
    <w:rsid w:val="71674626"/>
    <w:rsid w:val="72834774"/>
    <w:rsid w:val="72C55848"/>
    <w:rsid w:val="73086A1A"/>
    <w:rsid w:val="73243232"/>
    <w:rsid w:val="73BA3DCD"/>
    <w:rsid w:val="74980F2B"/>
    <w:rsid w:val="758A3CAA"/>
    <w:rsid w:val="75AA6860"/>
    <w:rsid w:val="79297CEF"/>
    <w:rsid w:val="7A79621E"/>
    <w:rsid w:val="7BCA1356"/>
    <w:rsid w:val="7CB941EB"/>
    <w:rsid w:val="7D6238E3"/>
    <w:rsid w:val="7FAA137C"/>
    <w:rsid w:val="7FB72BBA"/>
    <w:rsid w:val="7FCB661C"/>
    <w:rsid w:val="7FF85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9"/>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6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9"/>
    <w:qFormat/>
    <w:uiPriority w:val="99"/>
    <w:pPr>
      <w:ind w:firstLine="420" w:firstLineChars="100"/>
    </w:pPr>
    <w:rPr>
      <w:rFonts w:ascii="宋体" w:hAnsi="Times New Roman" w:eastAsia="宋体" w:cs="Times New Roman"/>
      <w:kern w:val="0"/>
      <w:sz w:val="34"/>
      <w:szCs w:val="20"/>
    </w:rPr>
  </w:style>
  <w:style w:type="paragraph" w:styleId="3">
    <w:name w:val="Body Text"/>
    <w:basedOn w:val="1"/>
    <w:link w:val="3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unhideWhenUsed/>
    <w:qFormat/>
    <w:uiPriority w:val="0"/>
    <w:pPr>
      <w:jc w:val="left"/>
    </w:pPr>
    <w:rPr>
      <w:rFonts w:ascii="Calibri" w:hAnsi="Calibri" w:eastAsia="宋体" w:cs="Times New Roman"/>
      <w:szCs w:val="24"/>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link w:val="77"/>
    <w:semiHidden/>
    <w:unhideWhenUsed/>
    <w:qFormat/>
    <w:uiPriority w:val="99"/>
    <w:pPr>
      <w:spacing w:after="120"/>
      <w:ind w:left="420" w:leftChars="200"/>
    </w:pPr>
  </w:style>
  <w:style w:type="paragraph" w:styleId="13">
    <w:name w:val="Block Text"/>
    <w:basedOn w:val="1"/>
    <w:qFormat/>
    <w:uiPriority w:val="0"/>
    <w:pPr>
      <w:adjustRightInd w:val="0"/>
      <w:spacing w:line="300" w:lineRule="auto"/>
      <w:ind w:left="958" w:right="-120" w:rightChars="-120"/>
    </w:pPr>
    <w:rPr>
      <w:kern w:val="0"/>
      <w:sz w:val="28"/>
      <w:szCs w:val="20"/>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1"/>
    <w:qFormat/>
    <w:uiPriority w:val="0"/>
    <w:rPr>
      <w:rFonts w:eastAsia="宋体"/>
      <w:sz w:val="24"/>
    </w:rPr>
  </w:style>
  <w:style w:type="paragraph" w:styleId="17">
    <w:name w:val="Date"/>
    <w:basedOn w:val="1"/>
    <w:next w:val="1"/>
    <w:link w:val="42"/>
    <w:unhideWhenUsed/>
    <w:qFormat/>
    <w:uiPriority w:val="99"/>
    <w:pPr>
      <w:ind w:left="100" w:leftChars="2500"/>
    </w:pPr>
  </w:style>
  <w:style w:type="paragraph" w:styleId="18">
    <w:name w:val="Body Text Indent 2"/>
    <w:basedOn w:val="1"/>
    <w:link w:val="43"/>
    <w:semiHidden/>
    <w:unhideWhenUsed/>
    <w:qFormat/>
    <w:uiPriority w:val="99"/>
    <w:pPr>
      <w:spacing w:line="440" w:lineRule="exact"/>
      <w:ind w:firstLine="560" w:firstLineChars="200"/>
    </w:pPr>
    <w:rPr>
      <w:rFonts w:ascii="仿宋_GB2312" w:eastAsia="仿宋_GB2312"/>
      <w:sz w:val="28"/>
    </w:rPr>
  </w:style>
  <w:style w:type="paragraph" w:styleId="19">
    <w:name w:val="Balloon Text"/>
    <w:basedOn w:val="1"/>
    <w:link w:val="44"/>
    <w:semiHidden/>
    <w:unhideWhenUsed/>
    <w:qFormat/>
    <w:uiPriority w:val="99"/>
    <w:rPr>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2"/>
    <w:basedOn w:val="12"/>
    <w:link w:val="78"/>
    <w:qFormat/>
    <w:uiPriority w:val="0"/>
    <w:pPr>
      <w:ind w:firstLine="420" w:firstLineChars="200"/>
    </w:pPr>
    <w:rPr>
      <w:rFonts w:ascii="Times New Roman" w:hAnsi="Times New Roman"/>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2">
    <w:name w:val="Emphasis"/>
    <w:basedOn w:val="28"/>
    <w:qFormat/>
    <w:uiPriority w:val="20"/>
  </w:style>
  <w:style w:type="character" w:styleId="33">
    <w:name w:val="Hyperlink"/>
    <w:basedOn w:val="28"/>
    <w:unhideWhenUsed/>
    <w:qFormat/>
    <w:uiPriority w:val="99"/>
    <w:rPr>
      <w:color w:val="000000"/>
      <w:u w:val="none"/>
    </w:rPr>
  </w:style>
  <w:style w:type="character" w:customStyle="1" w:styleId="34">
    <w:name w:val="标题 1 Char"/>
    <w:basedOn w:val="28"/>
    <w:link w:val="4"/>
    <w:qFormat/>
    <w:uiPriority w:val="9"/>
    <w:rPr>
      <w:rFonts w:ascii="Calibri" w:hAnsi="Calibri" w:eastAsia="宋体" w:cs="Times New Roman"/>
      <w:b/>
      <w:bCs/>
      <w:kern w:val="44"/>
      <w:sz w:val="44"/>
      <w:szCs w:val="44"/>
    </w:rPr>
  </w:style>
  <w:style w:type="character" w:customStyle="1" w:styleId="35">
    <w:name w:val="标题 2 Char"/>
    <w:basedOn w:val="28"/>
    <w:qFormat/>
    <w:uiPriority w:val="0"/>
    <w:rPr>
      <w:rFonts w:asciiTheme="majorHAnsi" w:hAnsiTheme="majorHAnsi" w:eastAsiaTheme="majorEastAsia" w:cstheme="majorBidi"/>
      <w:b/>
      <w:bCs/>
      <w:sz w:val="32"/>
      <w:szCs w:val="32"/>
    </w:rPr>
  </w:style>
  <w:style w:type="character" w:customStyle="1" w:styleId="36">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7"/>
    <w:qFormat/>
    <w:uiPriority w:val="0"/>
    <w:rPr>
      <w:rFonts w:ascii="Arial" w:hAnsi="Arial" w:eastAsia="黑体" w:cs="Times New Roman"/>
      <w:b/>
      <w:bCs/>
      <w:kern w:val="0"/>
      <w:sz w:val="28"/>
      <w:szCs w:val="28"/>
    </w:rPr>
  </w:style>
  <w:style w:type="character" w:customStyle="1" w:styleId="38">
    <w:name w:val="正文文本 Char"/>
    <w:basedOn w:val="28"/>
    <w:link w:val="3"/>
    <w:semiHidden/>
    <w:qFormat/>
    <w:uiPriority w:val="99"/>
  </w:style>
  <w:style w:type="character" w:customStyle="1" w:styleId="39">
    <w:name w:val="正文首行缩进 Char"/>
    <w:basedOn w:val="38"/>
    <w:link w:val="2"/>
    <w:qFormat/>
    <w:uiPriority w:val="99"/>
    <w:rPr>
      <w:rFonts w:ascii="宋体" w:hAnsi="Times New Roman" w:eastAsia="宋体" w:cs="Times New Roman"/>
      <w:kern w:val="0"/>
      <w:sz w:val="34"/>
      <w:szCs w:val="20"/>
    </w:rPr>
  </w:style>
  <w:style w:type="character" w:customStyle="1" w:styleId="40">
    <w:name w:val="正文文本 3 Char"/>
    <w:basedOn w:val="28"/>
    <w:link w:val="11"/>
    <w:qFormat/>
    <w:uiPriority w:val="0"/>
    <w:rPr>
      <w:rFonts w:ascii="Times New Roman" w:hAnsi="Times New Roman" w:eastAsia="宋体" w:cs="Times New Roman"/>
      <w:color w:val="FF0000"/>
      <w:sz w:val="24"/>
      <w:szCs w:val="24"/>
    </w:rPr>
  </w:style>
  <w:style w:type="character" w:customStyle="1" w:styleId="41">
    <w:name w:val="纯文本 Char"/>
    <w:basedOn w:val="28"/>
    <w:link w:val="16"/>
    <w:qFormat/>
    <w:uiPriority w:val="0"/>
    <w:rPr>
      <w:rFonts w:eastAsia="宋体"/>
      <w:sz w:val="24"/>
    </w:rPr>
  </w:style>
  <w:style w:type="character" w:customStyle="1" w:styleId="42">
    <w:name w:val="日期 Char"/>
    <w:basedOn w:val="28"/>
    <w:link w:val="17"/>
    <w:qFormat/>
    <w:uiPriority w:val="99"/>
  </w:style>
  <w:style w:type="character" w:customStyle="1" w:styleId="43">
    <w:name w:val="正文文本缩进 2 Char"/>
    <w:basedOn w:val="28"/>
    <w:link w:val="18"/>
    <w:semiHidden/>
    <w:qFormat/>
    <w:uiPriority w:val="99"/>
    <w:rPr>
      <w:rFonts w:ascii="仿宋_GB2312" w:eastAsia="仿宋_GB2312"/>
      <w:sz w:val="28"/>
    </w:rPr>
  </w:style>
  <w:style w:type="character" w:customStyle="1" w:styleId="44">
    <w:name w:val="批注框文本 Char"/>
    <w:basedOn w:val="28"/>
    <w:link w:val="19"/>
    <w:semiHidden/>
    <w:qFormat/>
    <w:uiPriority w:val="99"/>
    <w:rPr>
      <w:sz w:val="18"/>
      <w:szCs w:val="18"/>
    </w:rPr>
  </w:style>
  <w:style w:type="character" w:customStyle="1" w:styleId="45">
    <w:name w:val="页脚 Char"/>
    <w:basedOn w:val="28"/>
    <w:link w:val="20"/>
    <w:qFormat/>
    <w:uiPriority w:val="99"/>
    <w:rPr>
      <w:sz w:val="18"/>
      <w:szCs w:val="18"/>
    </w:rPr>
  </w:style>
  <w:style w:type="character" w:customStyle="1" w:styleId="46">
    <w:name w:val="页眉 Char"/>
    <w:basedOn w:val="28"/>
    <w:link w:val="21"/>
    <w:qFormat/>
    <w:uiPriority w:val="99"/>
    <w:rPr>
      <w:sz w:val="18"/>
      <w:szCs w:val="18"/>
    </w:rPr>
  </w:style>
  <w:style w:type="character" w:customStyle="1" w:styleId="47">
    <w:name w:val="HTML 预设格式 Char"/>
    <w:basedOn w:val="28"/>
    <w:link w:val="23"/>
    <w:semiHidden/>
    <w:qFormat/>
    <w:uiPriority w:val="99"/>
    <w:rPr>
      <w:rFonts w:ascii="宋体" w:hAnsi="宋体" w:eastAsia="宋体" w:cs="宋体"/>
      <w:kern w:val="0"/>
      <w:sz w:val="24"/>
      <w:szCs w:val="24"/>
    </w:rPr>
  </w:style>
  <w:style w:type="character" w:customStyle="1" w:styleId="48">
    <w:name w:val="纯文本 Char1"/>
    <w:qFormat/>
    <w:uiPriority w:val="0"/>
    <w:rPr>
      <w:rFonts w:eastAsia="宋体"/>
      <w:sz w:val="24"/>
    </w:rPr>
  </w:style>
  <w:style w:type="paragraph" w:customStyle="1" w:styleId="4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0">
    <w:name w:val="列出段落1"/>
    <w:basedOn w:val="1"/>
    <w:qFormat/>
    <w:uiPriority w:val="34"/>
    <w:pPr>
      <w:ind w:firstLine="420" w:firstLineChars="200"/>
    </w:pPr>
  </w:style>
  <w:style w:type="paragraph" w:styleId="51">
    <w:name w:val="List Paragraph"/>
    <w:basedOn w:val="1"/>
    <w:unhideWhenUsed/>
    <w:qFormat/>
    <w:uiPriority w:val="99"/>
    <w:pPr>
      <w:ind w:firstLine="420" w:firstLineChars="200"/>
    </w:pPr>
  </w:style>
  <w:style w:type="character" w:customStyle="1" w:styleId="52">
    <w:name w:val="正文文本缩进 Char Char"/>
    <w:link w:val="53"/>
    <w:qFormat/>
    <w:uiPriority w:val="0"/>
    <w:rPr>
      <w:rFonts w:ascii="宋体"/>
      <w:sz w:val="24"/>
    </w:rPr>
  </w:style>
  <w:style w:type="paragraph" w:customStyle="1" w:styleId="53">
    <w:name w:val="正文文本缩进1"/>
    <w:basedOn w:val="1"/>
    <w:link w:val="52"/>
    <w:qFormat/>
    <w:uiPriority w:val="0"/>
    <w:pPr>
      <w:spacing w:line="360" w:lineRule="auto"/>
      <w:ind w:firstLine="480" w:firstLineChars="200"/>
    </w:pPr>
    <w:rPr>
      <w:rFonts w:ascii="宋体"/>
      <w:sz w:val="24"/>
    </w:rPr>
  </w:style>
  <w:style w:type="character" w:customStyle="1" w:styleId="54">
    <w:name w:val="日期 Char Char"/>
    <w:link w:val="55"/>
    <w:qFormat/>
    <w:uiPriority w:val="0"/>
    <w:rPr>
      <w:sz w:val="24"/>
    </w:rPr>
  </w:style>
  <w:style w:type="paragraph" w:customStyle="1" w:styleId="55">
    <w:name w:val="日期1"/>
    <w:basedOn w:val="1"/>
    <w:next w:val="1"/>
    <w:link w:val="54"/>
    <w:qFormat/>
    <w:uiPriority w:val="0"/>
    <w:rPr>
      <w:sz w:val="24"/>
    </w:rPr>
  </w:style>
  <w:style w:type="paragraph" w:customStyle="1" w:styleId="5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9">
    <w:name w:val="edittexttarea"/>
    <w:basedOn w:val="28"/>
    <w:qFormat/>
    <w:uiPriority w:val="0"/>
  </w:style>
  <w:style w:type="paragraph" w:customStyle="1" w:styleId="60">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2">
    <w:name w:val="标题 2 Char1"/>
    <w:basedOn w:val="28"/>
    <w:link w:val="5"/>
    <w:qFormat/>
    <w:uiPriority w:val="0"/>
    <w:rPr>
      <w:rFonts w:ascii="Arial" w:hAnsi="Arial" w:eastAsia="黑体" w:cs="Times New Roman"/>
      <w:b/>
      <w:bCs/>
      <w:kern w:val="0"/>
      <w:sz w:val="32"/>
      <w:szCs w:val="32"/>
    </w:rPr>
  </w:style>
  <w:style w:type="character" w:customStyle="1" w:styleId="63">
    <w:name w:val="hover25"/>
    <w:basedOn w:val="28"/>
    <w:qFormat/>
    <w:uiPriority w:val="0"/>
  </w:style>
  <w:style w:type="character" w:customStyle="1" w:styleId="64">
    <w:name w:val="green"/>
    <w:basedOn w:val="28"/>
    <w:qFormat/>
    <w:uiPriority w:val="0"/>
    <w:rPr>
      <w:color w:val="66AE00"/>
      <w:sz w:val="18"/>
      <w:szCs w:val="18"/>
    </w:rPr>
  </w:style>
  <w:style w:type="character" w:customStyle="1" w:styleId="65">
    <w:name w:val="green1"/>
    <w:basedOn w:val="28"/>
    <w:qFormat/>
    <w:uiPriority w:val="0"/>
    <w:rPr>
      <w:color w:val="66AE00"/>
      <w:sz w:val="18"/>
      <w:szCs w:val="18"/>
    </w:rPr>
  </w:style>
  <w:style w:type="character" w:customStyle="1" w:styleId="66">
    <w:name w:val="red"/>
    <w:basedOn w:val="28"/>
    <w:qFormat/>
    <w:uiPriority w:val="0"/>
    <w:rPr>
      <w:color w:val="FF0000"/>
      <w:sz w:val="18"/>
      <w:szCs w:val="18"/>
    </w:rPr>
  </w:style>
  <w:style w:type="character" w:customStyle="1" w:styleId="67">
    <w:name w:val="red1"/>
    <w:basedOn w:val="28"/>
    <w:qFormat/>
    <w:uiPriority w:val="0"/>
    <w:rPr>
      <w:color w:val="FF0000"/>
      <w:sz w:val="18"/>
      <w:szCs w:val="18"/>
    </w:rPr>
  </w:style>
  <w:style w:type="character" w:customStyle="1" w:styleId="68">
    <w:name w:val="red2"/>
    <w:basedOn w:val="28"/>
    <w:qFormat/>
    <w:uiPriority w:val="0"/>
    <w:rPr>
      <w:color w:val="FF0000"/>
    </w:rPr>
  </w:style>
  <w:style w:type="character" w:customStyle="1" w:styleId="69">
    <w:name w:val="blue"/>
    <w:basedOn w:val="28"/>
    <w:qFormat/>
    <w:uiPriority w:val="0"/>
    <w:rPr>
      <w:color w:val="0371C6"/>
      <w:sz w:val="21"/>
      <w:szCs w:val="21"/>
    </w:rPr>
  </w:style>
  <w:style w:type="character" w:customStyle="1" w:styleId="70">
    <w:name w:val="right"/>
    <w:basedOn w:val="28"/>
    <w:qFormat/>
    <w:uiPriority w:val="0"/>
    <w:rPr>
      <w:color w:val="999999"/>
      <w:sz w:val="18"/>
      <w:szCs w:val="18"/>
    </w:rPr>
  </w:style>
  <w:style w:type="character" w:customStyle="1" w:styleId="71">
    <w:name w:val="gb-jt"/>
    <w:basedOn w:val="28"/>
    <w:qFormat/>
    <w:uiPriority w:val="0"/>
  </w:style>
  <w:style w:type="paragraph" w:customStyle="1" w:styleId="72">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3">
    <w:name w:val="样式 标题 3 + (中文) 黑体 小四 非加粗 段前: 7.8 磅 段后: 0 磅 行距: 固定值 20 磅"/>
    <w:basedOn w:val="6"/>
    <w:qFormat/>
    <w:uiPriority w:val="0"/>
    <w:pPr>
      <w:keepNext/>
      <w:keepLines/>
      <w:autoSpaceDE/>
      <w:autoSpaceDN/>
      <w:adjustRightInd/>
      <w:spacing w:afterLines="0" w:line="400" w:lineRule="exact"/>
      <w:ind w:left="0"/>
      <w:jc w:val="both"/>
    </w:pPr>
    <w:rPr>
      <w:rFonts w:ascii="Calibri" w:hAnsi="Calibri" w:eastAsia="黑体" w:cs="宋体"/>
      <w:b w:val="0"/>
      <w:color w:val="auto"/>
      <w:szCs w:val="24"/>
    </w:rPr>
  </w:style>
  <w:style w:type="paragraph" w:customStyle="1" w:styleId="7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5">
    <w:name w:val="No Spacing"/>
    <w:link w:val="76"/>
    <w:qFormat/>
    <w:uiPriority w:val="1"/>
    <w:rPr>
      <w:rFonts w:asciiTheme="minorHAnsi" w:hAnsiTheme="minorHAnsi" w:eastAsiaTheme="minorEastAsia" w:cstheme="minorBidi"/>
      <w:sz w:val="22"/>
      <w:szCs w:val="22"/>
      <w:lang w:val="en-US" w:eastAsia="zh-CN" w:bidi="ar-SA"/>
    </w:rPr>
  </w:style>
  <w:style w:type="character" w:customStyle="1" w:styleId="76">
    <w:name w:val="无间隔 Char"/>
    <w:basedOn w:val="28"/>
    <w:link w:val="75"/>
    <w:qFormat/>
    <w:uiPriority w:val="1"/>
    <w:rPr>
      <w:sz w:val="22"/>
      <w:szCs w:val="22"/>
    </w:rPr>
  </w:style>
  <w:style w:type="character" w:customStyle="1" w:styleId="77">
    <w:name w:val="正文文本缩进 Char"/>
    <w:basedOn w:val="28"/>
    <w:link w:val="12"/>
    <w:semiHidden/>
    <w:qFormat/>
    <w:uiPriority w:val="99"/>
    <w:rPr>
      <w:kern w:val="2"/>
      <w:sz w:val="21"/>
      <w:szCs w:val="22"/>
    </w:rPr>
  </w:style>
  <w:style w:type="character" w:customStyle="1" w:styleId="78">
    <w:name w:val="正文首行缩进 2 Char"/>
    <w:basedOn w:val="77"/>
    <w:link w:val="25"/>
    <w:qFormat/>
    <w:uiPriority w:val="0"/>
    <w:rPr>
      <w:rFonts w:ascii="Times New Roman" w:hAnsi="Times New Roman"/>
      <w:kern w:val="2"/>
      <w:sz w:val="21"/>
      <w:szCs w:val="22"/>
    </w:rPr>
  </w:style>
  <w:style w:type="paragraph" w:customStyle="1" w:styleId="79">
    <w:name w:val="正文（缩进）"/>
    <w:basedOn w:val="1"/>
    <w:qFormat/>
    <w:uiPriority w:val="0"/>
    <w:pPr>
      <w:spacing w:before="50" w:after="50"/>
      <w:ind w:firstLine="200" w:firstLineChars="200"/>
    </w:pPr>
  </w:style>
  <w:style w:type="paragraph" w:customStyle="1" w:styleId="8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1">
    <w:name w:val="font6"/>
    <w:basedOn w:val="1"/>
    <w:qFormat/>
    <w:uiPriority w:val="0"/>
    <w:pPr>
      <w:widowControl/>
      <w:spacing w:before="100" w:beforeAutospacing="1" w:after="100" w:afterAutospacing="1"/>
      <w:jc w:val="left"/>
    </w:pPr>
    <w:rPr>
      <w:rFonts w:ascii="??" w:hAnsi="??" w:eastAsia="宋体" w:cs="宋体"/>
      <w:kern w:val="0"/>
      <w:sz w:val="18"/>
      <w:szCs w:val="18"/>
    </w:rPr>
  </w:style>
  <w:style w:type="paragraph" w:customStyle="1" w:styleId="82">
    <w:name w:val="font7"/>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83">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5">
    <w:name w:val="xl67"/>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6">
    <w:name w:val="xl68"/>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87">
    <w:name w:val="xl69"/>
    <w:basedOn w:val="1"/>
    <w:qFormat/>
    <w:uiPriority w:val="0"/>
    <w:pPr>
      <w:widowControl/>
      <w:pBdr>
        <w:bottom w:val="single" w:color="000000"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88">
    <w:name w:val="xl70"/>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9">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0">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1">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92">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93">
    <w:name w:val="xl75"/>
    <w:basedOn w:val="1"/>
    <w:qFormat/>
    <w:uiPriority w:val="0"/>
    <w:pPr>
      <w:widowControl/>
      <w:pBdr>
        <w:top w:val="single" w:color="000000" w:sz="4" w:space="0"/>
        <w:bottom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4">
    <w:name w:val="xl76"/>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5">
    <w:name w:val="xl77"/>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6">
    <w:name w:val="xl78"/>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97">
    <w:name w:val="xl79"/>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8">
    <w:name w:val="xl80"/>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00">
    <w:name w:val="xl8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2">
    <w:name w:val="xl84"/>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3">
    <w:name w:val="xl85"/>
    <w:basedOn w:val="1"/>
    <w:qFormat/>
    <w:uiPriority w:val="0"/>
    <w:pPr>
      <w:widowControl/>
      <w:pBdr>
        <w:top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10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08">
    <w:name w:val="xl90"/>
    <w:basedOn w:val="1"/>
    <w:qFormat/>
    <w:uiPriority w:val="0"/>
    <w:pPr>
      <w:widowControl/>
      <w:pBdr>
        <w:top w:val="single" w:color="auto" w:sz="4" w:space="0"/>
        <w:left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09">
    <w:name w:val="xl91"/>
    <w:basedOn w:val="1"/>
    <w:qFormat/>
    <w:uiPriority w:val="0"/>
    <w:pPr>
      <w:widowControl/>
      <w:pBdr>
        <w:top w:val="single" w:color="auto" w:sz="4" w:space="0"/>
        <w:left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0">
    <w:name w:val="xl92"/>
    <w:basedOn w:val="1"/>
    <w:qFormat/>
    <w:uiPriority w:val="0"/>
    <w:pPr>
      <w:widowControl/>
      <w:pBdr>
        <w:top w:val="single" w:color="auto" w:sz="4" w:space="0"/>
        <w:left w:val="single" w:color="auto" w:sz="4" w:space="0"/>
        <w:right w:val="single" w:color="auto"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1">
    <w:name w:val="xl93"/>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2">
    <w:name w:val="xl9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113">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14">
    <w:name w:val="xl96"/>
    <w:basedOn w:val="1"/>
    <w:qFormat/>
    <w:uiPriority w:val="0"/>
    <w:pPr>
      <w:widowControl/>
      <w:pBdr>
        <w:left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15">
    <w:name w:val="xl97"/>
    <w:basedOn w:val="1"/>
    <w:qFormat/>
    <w:uiPriority w:val="0"/>
    <w:pPr>
      <w:widowControl/>
      <w:pBdr>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6">
    <w:name w:val="xl98"/>
    <w:basedOn w:val="1"/>
    <w:qFormat/>
    <w:uiPriority w:val="0"/>
    <w:pPr>
      <w:widowControl/>
      <w:pBdr>
        <w:left w:val="single" w:color="auto" w:sz="4" w:space="0"/>
        <w:bottom w:val="single" w:color="auto" w:sz="4" w:space="0"/>
        <w:right w:val="single" w:color="auto"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7">
    <w:name w:val="xl99"/>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8">
    <w:name w:val="xl10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119">
    <w:name w:val="xl10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color w:val="FF0000"/>
      <w:kern w:val="0"/>
      <w:sz w:val="24"/>
      <w:szCs w:val="24"/>
    </w:rPr>
  </w:style>
  <w:style w:type="paragraph" w:customStyle="1" w:styleId="120">
    <w:name w:val="xl10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21">
    <w:name w:val="xl103"/>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122">
    <w:name w:val="xl104"/>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23">
    <w:name w:val="xl105"/>
    <w:basedOn w:val="1"/>
    <w:qFormat/>
    <w:uiPriority w:val="0"/>
    <w:pPr>
      <w:widowControl/>
      <w:pBdr>
        <w:top w:val="single" w:color="000000" w:sz="4" w:space="0"/>
        <w:left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color w:val="FF0000"/>
      <w:kern w:val="0"/>
      <w:sz w:val="24"/>
      <w:szCs w:val="24"/>
    </w:rPr>
  </w:style>
  <w:style w:type="paragraph" w:customStyle="1" w:styleId="12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5">
    <w:name w:val="xl10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7">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28">
    <w:name w:val="xl11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29">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0">
    <w:name w:val="xl11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131">
    <w:name w:val="xl113"/>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132">
    <w:name w:val="xl114"/>
    <w:basedOn w:val="1"/>
    <w:qFormat/>
    <w:uiPriority w:val="0"/>
    <w:pPr>
      <w:widowControl/>
      <w:spacing w:before="100" w:beforeAutospacing="1" w:after="100" w:afterAutospacing="1"/>
      <w:jc w:val="center"/>
      <w:textAlignment w:val="center"/>
    </w:pPr>
    <w:rPr>
      <w:rFonts w:ascii="宋体" w:hAnsi="宋体" w:eastAsia="宋体" w:cs="宋体"/>
      <w:kern w:val="0"/>
      <w:sz w:val="48"/>
      <w:szCs w:val="48"/>
    </w:rPr>
  </w:style>
  <w:style w:type="paragraph" w:customStyle="1" w:styleId="133">
    <w:name w:val="xl115"/>
    <w:basedOn w:val="1"/>
    <w:qFormat/>
    <w:uiPriority w:val="0"/>
    <w:pPr>
      <w:widowControl/>
      <w:spacing w:before="100" w:beforeAutospacing="1" w:after="100" w:afterAutospacing="1"/>
      <w:jc w:val="center"/>
      <w:textAlignment w:val="center"/>
    </w:pPr>
    <w:rPr>
      <w:rFonts w:ascii="宋体" w:hAnsi="宋体" w:eastAsia="宋体" w:cs="宋体"/>
      <w:kern w:val="0"/>
      <w:sz w:val="48"/>
      <w:szCs w:val="48"/>
    </w:rPr>
  </w:style>
  <w:style w:type="paragraph" w:customStyle="1" w:styleId="134">
    <w:name w:val="xl116"/>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5">
    <w:name w:val="xl117"/>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36">
    <w:name w:val="xl118"/>
    <w:basedOn w:val="1"/>
    <w:qFormat/>
    <w:uiPriority w:val="0"/>
    <w:pPr>
      <w:widowControl/>
      <w:pBdr>
        <w:top w:val="single" w:color="000000" w:sz="4" w:space="0"/>
        <w:left w:val="single" w:color="000000" w:sz="8" w:space="0"/>
        <w:bottom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7">
    <w:name w:val="xl119"/>
    <w:basedOn w:val="1"/>
    <w:qFormat/>
    <w:uiPriority w:val="0"/>
    <w:pPr>
      <w:widowControl/>
      <w:pBdr>
        <w:top w:val="single" w:color="000000" w:sz="4" w:space="0"/>
        <w:bottom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8">
    <w:name w:val="xl120"/>
    <w:basedOn w:val="1"/>
    <w:qFormat/>
    <w:uiPriority w:val="0"/>
    <w:pPr>
      <w:widowControl/>
      <w:pBdr>
        <w:top w:val="single" w:color="000000" w:sz="4" w:space="0"/>
        <w:bottom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39">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0">
    <w:name w:val="xl12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1">
    <w:name w:val="xl12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2">
    <w:name w:val="xl124"/>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43">
    <w:name w:val="xl125"/>
    <w:basedOn w:val="1"/>
    <w:qFormat/>
    <w:uiPriority w:val="0"/>
    <w:pPr>
      <w:widowControl/>
      <w:pBdr>
        <w:top w:val="single" w:color="auto" w:sz="4" w:space="0"/>
        <w:bottom w:val="single" w:color="auto" w:sz="4" w:space="0"/>
        <w:right w:val="single" w:color="auto"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44">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45">
    <w:name w:val="xl12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146">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7">
    <w:name w:val="xl12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8">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9">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4"/>
      <w:szCs w:val="24"/>
    </w:rPr>
  </w:style>
  <w:style w:type="character" w:customStyle="1" w:styleId="150">
    <w:name w:val="red3"/>
    <w:basedOn w:val="28"/>
    <w:qFormat/>
    <w:uiPriority w:val="0"/>
    <w:rPr>
      <w:color w:val="FF0000"/>
    </w:rPr>
  </w:style>
  <w:style w:type="character" w:customStyle="1" w:styleId="151">
    <w:name w:val="font11"/>
    <w:basedOn w:val="28"/>
    <w:qFormat/>
    <w:uiPriority w:val="0"/>
    <w:rPr>
      <w:rFonts w:hint="default" w:ascii="DengXian" w:hAnsi="DengXian" w:eastAsia="DengXian" w:cs="DengXian"/>
      <w:color w:val="000000"/>
      <w:sz w:val="16"/>
      <w:szCs w:val="16"/>
      <w:u w:val="none"/>
    </w:rPr>
  </w:style>
  <w:style w:type="character" w:customStyle="1" w:styleId="152">
    <w:name w:val="font01"/>
    <w:basedOn w:val="28"/>
    <w:qFormat/>
    <w:uiPriority w:val="0"/>
    <w:rPr>
      <w:rFonts w:hint="eastAsia" w:ascii="宋体" w:hAnsi="宋体" w:eastAsia="宋体" w:cs="宋体"/>
      <w:color w:val="000000"/>
      <w:sz w:val="16"/>
      <w:szCs w:val="16"/>
      <w:u w:val="none"/>
    </w:rPr>
  </w:style>
  <w:style w:type="character" w:customStyle="1" w:styleId="153">
    <w:name w:val="font21"/>
    <w:basedOn w:val="28"/>
    <w:qFormat/>
    <w:uiPriority w:val="0"/>
    <w:rPr>
      <w:rFonts w:hint="eastAsia" w:ascii="宋体" w:hAnsi="宋体" w:eastAsia="宋体" w:cs="宋体"/>
      <w:color w:val="000000"/>
      <w:sz w:val="16"/>
      <w:szCs w:val="16"/>
      <w:u w:val="none"/>
    </w:rPr>
  </w:style>
  <w:style w:type="paragraph" w:customStyle="1" w:styleId="154">
    <w:name w:val="正文 New New New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A4CE0-D80B-47D9-913C-ACA9D102B08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101</Pages>
  <Words>10731</Words>
  <Characters>61167</Characters>
  <Lines>509</Lines>
  <Paragraphs>143</Paragraphs>
  <TotalTime>24</TotalTime>
  <ScaleCrop>false</ScaleCrop>
  <LinksUpToDate>false</LinksUpToDate>
  <CharactersWithSpaces>71755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2019-12-26T15:01:00Z</dcterms:created>
  <dc:creator>中科华水工程管理有限公司:张倩</dc:creator>
  <cp:lastModifiedBy>薇沫AN</cp:lastModifiedBy>
  <cp:lastPrinted>2019-12-27T02:15:00Z</cp:lastPrinted>
  <dcterms:modified xsi:type="dcterms:W3CDTF">2019-12-30T01:56:01Z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