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8"/>
          <w:szCs w:val="48"/>
        </w:rPr>
      </w:pPr>
    </w:p>
    <w:p>
      <w:pPr>
        <w:autoSpaceDE w:val="0"/>
        <w:autoSpaceDN w:val="0"/>
        <w:adjustRightInd w:val="0"/>
        <w:jc w:val="center"/>
        <w:rPr>
          <w:rFonts w:hAnsi="宋体" w:cs="宋体"/>
          <w:b/>
          <w:sz w:val="48"/>
          <w:szCs w:val="48"/>
        </w:rPr>
      </w:pPr>
    </w:p>
    <w:p>
      <w:pPr>
        <w:autoSpaceDE w:val="0"/>
        <w:autoSpaceDN w:val="0"/>
        <w:adjustRightInd w:val="0"/>
        <w:jc w:val="center"/>
        <w:rPr>
          <w:rFonts w:hAnsi="宋体" w:cs="宋体"/>
          <w:b/>
          <w:sz w:val="56"/>
          <w:szCs w:val="56"/>
        </w:rPr>
      </w:pPr>
      <w:r>
        <w:rPr>
          <w:rFonts w:hint="eastAsia" w:hAnsi="宋体" w:cs="宋体"/>
          <w:b/>
          <w:sz w:val="56"/>
          <w:szCs w:val="56"/>
        </w:rPr>
        <w:t>曹魏古城北城门及两侧地块项目（1-15#楼、地库及室外）消防及地下车库人防通风工程</w:t>
      </w:r>
    </w:p>
    <w:p>
      <w:pPr>
        <w:autoSpaceDE w:val="0"/>
        <w:autoSpaceDN w:val="0"/>
        <w:adjustRightInd w:val="0"/>
        <w:ind w:firstLine="2880" w:firstLineChars="400"/>
        <w:rPr>
          <w:rFonts w:hAnsi="宋体" w:cs="宋体"/>
          <w:b/>
          <w:sz w:val="72"/>
          <w:szCs w:val="72"/>
        </w:rPr>
      </w:pPr>
    </w:p>
    <w:p>
      <w:pPr>
        <w:autoSpaceDE w:val="0"/>
        <w:autoSpaceDN w:val="0"/>
        <w:adjustRightInd w:val="0"/>
        <w:ind w:firstLine="3600" w:firstLineChars="500"/>
        <w:rPr>
          <w:rFonts w:hAnsi="宋体" w:cs="宋体"/>
          <w:b/>
          <w:sz w:val="72"/>
          <w:szCs w:val="72"/>
        </w:rPr>
      </w:pPr>
    </w:p>
    <w:p>
      <w:pPr>
        <w:pStyle w:val="2"/>
        <w:ind w:firstLine="3600" w:firstLineChars="500"/>
        <w:rPr>
          <w:rFonts w:hAnsi="宋体" w:cs="宋体"/>
          <w:b/>
          <w:sz w:val="72"/>
          <w:szCs w:val="72"/>
        </w:rPr>
      </w:pPr>
      <w:r>
        <w:rPr>
          <w:rFonts w:hint="eastAsia" w:hAnsi="宋体" w:cs="宋体"/>
          <w:b/>
          <w:sz w:val="72"/>
          <w:szCs w:val="72"/>
        </w:rPr>
        <w:t>招标文件</w:t>
      </w:r>
    </w:p>
    <w:p>
      <w:pPr>
        <w:autoSpaceDE w:val="0"/>
        <w:autoSpaceDN w:val="0"/>
        <w:adjustRightInd w:val="0"/>
        <w:ind w:firstLine="2858" w:firstLineChars="794"/>
        <w:rPr>
          <w:rFonts w:hAnsi="宋体" w:cs="宋体"/>
          <w:b/>
          <w:sz w:val="36"/>
          <w:szCs w:val="36"/>
        </w:rPr>
      </w:pPr>
    </w:p>
    <w:p>
      <w:pPr>
        <w:pStyle w:val="2"/>
        <w:ind w:firstLine="340"/>
      </w:pPr>
    </w:p>
    <w:p>
      <w:pPr>
        <w:autoSpaceDE w:val="0"/>
        <w:autoSpaceDN w:val="0"/>
        <w:adjustRightInd w:val="0"/>
        <w:ind w:firstLine="2858" w:firstLineChars="794"/>
        <w:rPr>
          <w:rFonts w:hint="eastAsia" w:hAnsi="宋体" w:eastAsiaTheme="minorEastAsia"/>
          <w:b/>
          <w:sz w:val="32"/>
          <w:szCs w:val="32"/>
          <w:lang w:val="en-US" w:eastAsia="zh-CN"/>
        </w:rPr>
      </w:pPr>
      <w:r>
        <w:rPr>
          <w:rFonts w:hint="eastAsia" w:hAnsi="宋体" w:cs="宋体"/>
          <w:b/>
          <w:sz w:val="36"/>
          <w:szCs w:val="36"/>
        </w:rPr>
        <w:t>项目编号：</w:t>
      </w:r>
      <w:r>
        <w:rPr>
          <w:rFonts w:hAnsi="宋体" w:cs="宋体"/>
          <w:b/>
          <w:sz w:val="36"/>
          <w:szCs w:val="36"/>
        </w:rPr>
        <w:t>XCGC-F201</w:t>
      </w:r>
      <w:r>
        <w:rPr>
          <w:rFonts w:hint="eastAsia" w:hAnsi="宋体" w:cs="宋体"/>
          <w:b/>
          <w:sz w:val="36"/>
          <w:szCs w:val="36"/>
        </w:rPr>
        <w:t>9144-</w:t>
      </w:r>
      <w:r>
        <w:rPr>
          <w:rFonts w:hint="eastAsia" w:hAnsi="宋体" w:cs="宋体"/>
          <w:b/>
          <w:sz w:val="36"/>
          <w:szCs w:val="36"/>
          <w:lang w:val="en-US" w:eastAsia="zh-CN"/>
        </w:rPr>
        <w:t>2</w:t>
      </w: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ind w:firstLine="1600" w:firstLineChars="500"/>
        <w:rPr>
          <w:b/>
          <w:bCs/>
          <w:color w:val="auto"/>
          <w:sz w:val="32"/>
        </w:rPr>
      </w:pPr>
      <w:r>
        <w:rPr>
          <w:rFonts w:hint="eastAsia" w:hAnsi="宋体"/>
          <w:b/>
          <w:color w:val="auto"/>
          <w:sz w:val="32"/>
          <w:szCs w:val="32"/>
        </w:rPr>
        <w:t>招标人：</w:t>
      </w:r>
      <w:r>
        <w:rPr>
          <w:b/>
          <w:bCs/>
          <w:color w:val="auto"/>
          <w:sz w:val="32"/>
        </w:rPr>
        <w:t>许昌市</w:t>
      </w:r>
      <w:r>
        <w:rPr>
          <w:rFonts w:hint="eastAsia"/>
          <w:b/>
          <w:bCs/>
          <w:color w:val="auto"/>
          <w:sz w:val="32"/>
        </w:rPr>
        <w:t>曹魏古城开发建设有限公司</w:t>
      </w:r>
    </w:p>
    <w:p>
      <w:pPr>
        <w:pStyle w:val="52"/>
        <w:tabs>
          <w:tab w:val="left" w:pos="1980"/>
        </w:tabs>
        <w:spacing w:line="1000" w:lineRule="exact"/>
        <w:ind w:firstLine="1600" w:firstLineChars="500"/>
        <w:rPr>
          <w:rFonts w:hAnsi="宋体"/>
          <w:b/>
          <w:color w:val="auto"/>
          <w:sz w:val="32"/>
          <w:szCs w:val="32"/>
        </w:rPr>
      </w:pPr>
      <w:r>
        <w:rPr>
          <w:rFonts w:hint="eastAsia" w:hAnsi="宋体"/>
          <w:b/>
          <w:color w:val="auto"/>
          <w:sz w:val="32"/>
          <w:szCs w:val="32"/>
        </w:rPr>
        <w:t>招标代理机构：</w:t>
      </w:r>
      <w:r>
        <w:rPr>
          <w:rFonts w:hint="eastAsia"/>
          <w:b/>
          <w:bCs/>
          <w:color w:val="auto"/>
          <w:kern w:val="2"/>
          <w:sz w:val="32"/>
          <w:szCs w:val="32"/>
        </w:rPr>
        <w:t>中大国信工程管理有限公司</w:t>
      </w:r>
    </w:p>
    <w:p>
      <w:pPr>
        <w:spacing w:line="680" w:lineRule="exact"/>
        <w:jc w:val="center"/>
        <w:rPr>
          <w:rFonts w:cs="黑体"/>
          <w:b/>
          <w:sz w:val="32"/>
          <w:szCs w:val="32"/>
        </w:rPr>
      </w:pPr>
      <w:r>
        <w:rPr>
          <w:rFonts w:hint="eastAsia" w:hAnsi="宋体" w:cs="宋体"/>
          <w:b/>
          <w:sz w:val="32"/>
          <w:szCs w:val="32"/>
        </w:rPr>
        <w:t>二〇一九年十</w:t>
      </w:r>
      <w:r>
        <w:rPr>
          <w:rFonts w:hint="eastAsia" w:hAnsi="宋体" w:cs="宋体"/>
          <w:b/>
          <w:sz w:val="32"/>
          <w:szCs w:val="32"/>
          <w:lang w:eastAsia="zh-CN"/>
        </w:rPr>
        <w:t>二</w:t>
      </w:r>
      <w:r>
        <w:rPr>
          <w:rFonts w:hint="eastAsia" w:hAnsi="宋体" w:cs="宋体"/>
          <w:b/>
          <w:sz w:val="32"/>
          <w:szCs w:val="32"/>
        </w:rPr>
        <w:t>月</w:t>
      </w:r>
    </w:p>
    <w:p>
      <w:pPr>
        <w:jc w:val="center"/>
        <w:rPr>
          <w:rFonts w:hAnsi="宋体"/>
          <w:b/>
          <w:bCs/>
          <w:sz w:val="44"/>
          <w:szCs w:val="44"/>
        </w:rPr>
      </w:pPr>
    </w:p>
    <w:p>
      <w:pPr>
        <w:jc w:val="center"/>
        <w:rPr>
          <w:rFonts w:hAnsi="宋体"/>
          <w:b/>
          <w:bCs/>
          <w:sz w:val="44"/>
          <w:szCs w:val="44"/>
        </w:rPr>
      </w:pPr>
      <w:r>
        <w:rPr>
          <w:rFonts w:hAnsi="宋体"/>
          <w:b/>
          <w:bCs/>
          <w:sz w:val="44"/>
          <w:szCs w:val="44"/>
        </w:rPr>
        <w:t>目录</w:t>
      </w:r>
    </w:p>
    <w:p>
      <w:pPr>
        <w:pStyle w:val="2"/>
        <w:ind w:firstLine="321"/>
        <w:rPr>
          <w:rFonts w:ascii="仿宋_GB2312" w:eastAsia="仿宋_GB2312"/>
          <w:b/>
          <w:sz w:val="32"/>
          <w:szCs w:val="32"/>
        </w:rPr>
      </w:pPr>
    </w:p>
    <w:p>
      <w:pPr>
        <w:pStyle w:val="30"/>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50"/>
          <w:rFonts w:hint="eastAsia" w:ascii="宋体" w:eastAsia="宋体"/>
          <w:b/>
          <w:color w:val="auto"/>
          <w:sz w:val="28"/>
          <w:szCs w:val="28"/>
        </w:rPr>
        <w:t>第一章招标公告</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_Toc508875505 \h </w:instrText>
      </w:r>
      <w:r>
        <w:rPr>
          <w:rFonts w:ascii="宋体" w:eastAsia="宋体"/>
          <w:b/>
          <w:sz w:val="28"/>
          <w:szCs w:val="28"/>
        </w:rPr>
        <w:fldChar w:fldCharType="separate"/>
      </w:r>
      <w:r>
        <w:rPr>
          <w:b/>
        </w:rPr>
        <w:t>错误！未定义书签。</w:t>
      </w:r>
      <w:r>
        <w:rPr>
          <w:rFonts w:ascii="宋体" w:eastAsia="宋体"/>
          <w:b/>
          <w:sz w:val="28"/>
          <w:szCs w:val="28"/>
        </w:rPr>
        <w:fldChar w:fldCharType="end"/>
      </w:r>
      <w:r>
        <w:rPr>
          <w:rFonts w:ascii="宋体" w:eastAsia="宋体"/>
          <w:b/>
          <w:sz w:val="28"/>
          <w:szCs w:val="28"/>
        </w:rPr>
        <w:fldChar w:fldCharType="end"/>
      </w:r>
    </w:p>
    <w:p>
      <w:pPr>
        <w:pStyle w:val="30"/>
        <w:tabs>
          <w:tab w:val="right" w:leader="dot" w:pos="9639"/>
          <w:tab w:val="clear" w:pos="9060"/>
        </w:tabs>
        <w:rPr>
          <w:rFonts w:ascii="宋体" w:eastAsia="宋体" w:cs="Times New Roman"/>
          <w:b/>
          <w:kern w:val="2"/>
          <w:sz w:val="28"/>
          <w:szCs w:val="28"/>
        </w:rPr>
      </w:pPr>
      <w:r>
        <w:fldChar w:fldCharType="begin"/>
      </w:r>
      <w:r>
        <w:instrText xml:space="preserve"> HYPERLINK \l "_Toc508875506" </w:instrText>
      </w:r>
      <w:r>
        <w:fldChar w:fldCharType="separate"/>
      </w:r>
      <w:r>
        <w:rPr>
          <w:rStyle w:val="50"/>
          <w:rFonts w:hint="eastAsia" w:ascii="宋体" w:eastAsia="宋体"/>
          <w:b/>
          <w:color w:val="auto"/>
          <w:sz w:val="28"/>
          <w:szCs w:val="28"/>
        </w:rPr>
        <w:t>第二章投标人须知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7</w:t>
      </w:r>
      <w:r>
        <w:rPr>
          <w:rFonts w:ascii="宋体" w:eastAsia="宋体"/>
          <w:b/>
          <w:sz w:val="28"/>
          <w:szCs w:val="28"/>
        </w:rPr>
        <w:fldChar w:fldCharType="end"/>
      </w:r>
      <w:r>
        <w:rPr>
          <w:rFonts w:ascii="宋体" w:eastAsia="宋体"/>
          <w:b/>
          <w:sz w:val="28"/>
          <w:szCs w:val="28"/>
        </w:rPr>
        <w:fldChar w:fldCharType="end"/>
      </w:r>
    </w:p>
    <w:p>
      <w:pPr>
        <w:pStyle w:val="30"/>
        <w:tabs>
          <w:tab w:val="right" w:leader="dot" w:pos="9639"/>
          <w:tab w:val="clear" w:pos="9060"/>
        </w:tabs>
        <w:rPr>
          <w:rFonts w:ascii="宋体" w:eastAsia="宋体" w:cs="Times New Roman"/>
          <w:b/>
          <w:kern w:val="2"/>
          <w:sz w:val="28"/>
          <w:szCs w:val="28"/>
        </w:rPr>
      </w:pPr>
      <w:r>
        <w:fldChar w:fldCharType="begin"/>
      </w:r>
      <w:r>
        <w:instrText xml:space="preserve"> HYPERLINK \l "_Toc508875507" </w:instrText>
      </w:r>
      <w:r>
        <w:fldChar w:fldCharType="separate"/>
      </w:r>
      <w:r>
        <w:rPr>
          <w:rStyle w:val="50"/>
          <w:rFonts w:hint="eastAsia" w:ascii="宋体" w:eastAsia="宋体"/>
          <w:b/>
          <w:color w:val="auto"/>
          <w:sz w:val="28"/>
          <w:szCs w:val="28"/>
        </w:rPr>
        <w:t>第三章评标办法</w:t>
      </w:r>
      <w:r>
        <w:rPr>
          <w:rStyle w:val="50"/>
          <w:rFonts w:hint="eastAsia" w:ascii="宋体" w:eastAsia="宋体" w:cs="新宋体"/>
          <w:b/>
          <w:bCs/>
          <w:color w:val="auto"/>
          <w:sz w:val="28"/>
          <w:szCs w:val="28"/>
        </w:rPr>
        <w:t>（综合计分法）</w:t>
      </w:r>
      <w:r>
        <w:rPr>
          <w:rFonts w:ascii="宋体" w:eastAsia="宋体"/>
          <w:b/>
          <w:sz w:val="28"/>
          <w:szCs w:val="28"/>
        </w:rPr>
        <w:tab/>
      </w:r>
      <w:r>
        <w:rPr>
          <w:rFonts w:hint="eastAsia" w:ascii="宋体" w:eastAsia="宋体"/>
          <w:b/>
          <w:sz w:val="28"/>
          <w:szCs w:val="28"/>
        </w:rPr>
        <w:t>2</w:t>
      </w:r>
      <w:r>
        <w:rPr>
          <w:rFonts w:hint="eastAsia" w:ascii="宋体" w:eastAsia="宋体"/>
          <w:b/>
          <w:sz w:val="28"/>
          <w:szCs w:val="28"/>
        </w:rPr>
        <w:fldChar w:fldCharType="end"/>
      </w:r>
      <w:r>
        <w:rPr>
          <w:rFonts w:hint="eastAsia" w:ascii="宋体" w:eastAsia="宋体"/>
          <w:b/>
          <w:sz w:val="28"/>
          <w:szCs w:val="28"/>
        </w:rPr>
        <w:t>9</w:t>
      </w:r>
    </w:p>
    <w:p>
      <w:pPr>
        <w:pStyle w:val="30"/>
        <w:tabs>
          <w:tab w:val="right" w:leader="dot" w:pos="9639"/>
          <w:tab w:val="clear" w:pos="9060"/>
        </w:tabs>
        <w:rPr>
          <w:rFonts w:ascii="宋体" w:eastAsia="宋体" w:cs="Times New Roman"/>
          <w:b/>
          <w:kern w:val="2"/>
          <w:sz w:val="28"/>
          <w:szCs w:val="28"/>
        </w:rPr>
      </w:pPr>
      <w:r>
        <w:fldChar w:fldCharType="begin"/>
      </w:r>
      <w:r>
        <w:instrText xml:space="preserve"> HYPERLINK \l "_Toc508875510" </w:instrText>
      </w:r>
      <w:r>
        <w:fldChar w:fldCharType="separate"/>
      </w:r>
      <w:r>
        <w:rPr>
          <w:rStyle w:val="50"/>
          <w:rFonts w:hint="eastAsia" w:ascii="宋体" w:eastAsia="宋体" w:cs="黑体"/>
          <w:b/>
          <w:color w:val="auto"/>
          <w:sz w:val="28"/>
          <w:szCs w:val="28"/>
        </w:rPr>
        <w:t>第四章合同条款及格式</w:t>
      </w:r>
      <w:r>
        <w:rPr>
          <w:rFonts w:ascii="宋体" w:eastAsia="宋体"/>
          <w:b/>
          <w:sz w:val="28"/>
          <w:szCs w:val="28"/>
        </w:rPr>
        <w:tab/>
      </w:r>
      <w:r>
        <w:rPr>
          <w:rFonts w:hint="eastAsia" w:ascii="宋体" w:eastAsia="宋体"/>
          <w:b/>
          <w:sz w:val="28"/>
          <w:szCs w:val="28"/>
        </w:rPr>
        <w:t>3</w:t>
      </w:r>
      <w:r>
        <w:rPr>
          <w:rFonts w:hint="eastAsia" w:ascii="宋体" w:eastAsia="宋体"/>
          <w:b/>
          <w:sz w:val="28"/>
          <w:szCs w:val="28"/>
        </w:rPr>
        <w:fldChar w:fldCharType="end"/>
      </w:r>
      <w:r>
        <w:rPr>
          <w:rFonts w:hint="eastAsia" w:ascii="宋体" w:eastAsia="宋体"/>
          <w:b/>
          <w:sz w:val="28"/>
          <w:szCs w:val="28"/>
        </w:rPr>
        <w:t>6</w:t>
      </w:r>
    </w:p>
    <w:p>
      <w:pPr>
        <w:pStyle w:val="30"/>
        <w:tabs>
          <w:tab w:val="right" w:leader="dot" w:pos="9639"/>
          <w:tab w:val="clear" w:pos="9060"/>
        </w:tabs>
        <w:rPr>
          <w:rFonts w:ascii="宋体" w:eastAsia="宋体" w:cs="Times New Roman"/>
          <w:b/>
          <w:kern w:val="2"/>
          <w:sz w:val="28"/>
          <w:szCs w:val="28"/>
        </w:rPr>
      </w:pPr>
      <w:r>
        <w:fldChar w:fldCharType="begin"/>
      </w:r>
      <w:r>
        <w:instrText xml:space="preserve"> HYPERLINK \l "_Toc508875511" </w:instrText>
      </w:r>
      <w:r>
        <w:fldChar w:fldCharType="separate"/>
      </w:r>
      <w:r>
        <w:rPr>
          <w:rStyle w:val="50"/>
          <w:rFonts w:hint="eastAsia" w:ascii="宋体" w:eastAsia="宋体" w:cs="黑体"/>
          <w:b/>
          <w:color w:val="auto"/>
          <w:sz w:val="28"/>
          <w:szCs w:val="28"/>
        </w:rPr>
        <w:t>第五章工程量清单</w:t>
      </w:r>
      <w:r>
        <w:rPr>
          <w:rFonts w:ascii="宋体" w:eastAsia="宋体"/>
          <w:b/>
          <w:sz w:val="28"/>
          <w:szCs w:val="28"/>
        </w:rPr>
        <w:tab/>
      </w:r>
      <w:r>
        <w:rPr>
          <w:rFonts w:hint="eastAsia" w:ascii="宋体" w:eastAsia="宋体"/>
          <w:b/>
          <w:sz w:val="28"/>
          <w:szCs w:val="28"/>
        </w:rPr>
        <w:t>6</w:t>
      </w:r>
      <w:r>
        <w:rPr>
          <w:rFonts w:hint="eastAsia" w:ascii="宋体" w:eastAsia="宋体"/>
          <w:b/>
          <w:sz w:val="28"/>
          <w:szCs w:val="28"/>
        </w:rPr>
        <w:fldChar w:fldCharType="end"/>
      </w:r>
      <w:r>
        <w:rPr>
          <w:rFonts w:hint="eastAsia" w:ascii="宋体" w:eastAsia="宋体"/>
          <w:b/>
          <w:sz w:val="28"/>
          <w:szCs w:val="28"/>
        </w:rPr>
        <w:t>4</w:t>
      </w:r>
    </w:p>
    <w:p>
      <w:pPr>
        <w:pStyle w:val="30"/>
        <w:tabs>
          <w:tab w:val="right" w:leader="dot" w:pos="9639"/>
          <w:tab w:val="clear" w:pos="9060"/>
        </w:tabs>
        <w:rPr>
          <w:rFonts w:ascii="宋体" w:eastAsia="宋体" w:cs="Times New Roman"/>
          <w:b/>
          <w:kern w:val="2"/>
          <w:sz w:val="28"/>
          <w:szCs w:val="28"/>
        </w:rPr>
      </w:pPr>
      <w:r>
        <w:fldChar w:fldCharType="begin"/>
      </w:r>
      <w:r>
        <w:instrText xml:space="preserve"> HYPERLINK \l "_Toc508875512" </w:instrText>
      </w:r>
      <w:r>
        <w:fldChar w:fldCharType="separate"/>
      </w:r>
      <w:r>
        <w:rPr>
          <w:rStyle w:val="50"/>
          <w:rFonts w:hint="eastAsia" w:ascii="宋体" w:eastAsia="宋体" w:cs="黑体"/>
          <w:b/>
          <w:color w:val="auto"/>
          <w:sz w:val="28"/>
          <w:szCs w:val="28"/>
        </w:rPr>
        <w:t>第六章图纸</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1</w:t>
      </w:r>
    </w:p>
    <w:p>
      <w:pPr>
        <w:pStyle w:val="30"/>
        <w:tabs>
          <w:tab w:val="right" w:leader="dot" w:pos="9639"/>
          <w:tab w:val="clear" w:pos="9060"/>
        </w:tabs>
        <w:rPr>
          <w:rFonts w:ascii="宋体" w:eastAsia="宋体" w:cs="Times New Roman"/>
          <w:b/>
          <w:kern w:val="2"/>
          <w:sz w:val="28"/>
          <w:szCs w:val="28"/>
        </w:rPr>
      </w:pPr>
      <w:r>
        <w:fldChar w:fldCharType="begin"/>
      </w:r>
      <w:r>
        <w:instrText xml:space="preserve"> HYPERLINK \l "_Toc508875513" </w:instrText>
      </w:r>
      <w:r>
        <w:fldChar w:fldCharType="separate"/>
      </w:r>
      <w:r>
        <w:rPr>
          <w:rStyle w:val="50"/>
          <w:rFonts w:hint="eastAsia" w:ascii="宋体" w:eastAsia="宋体" w:cs="黑体"/>
          <w:b/>
          <w:color w:val="auto"/>
          <w:sz w:val="28"/>
          <w:szCs w:val="28"/>
        </w:rPr>
        <w:t>第七章技术标准和要求</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2</w:t>
      </w:r>
    </w:p>
    <w:p>
      <w:pPr>
        <w:pStyle w:val="30"/>
        <w:tabs>
          <w:tab w:val="right" w:leader="dot" w:pos="9639"/>
          <w:tab w:val="clear" w:pos="9060"/>
        </w:tabs>
        <w:rPr>
          <w:rFonts w:ascii="宋体" w:eastAsia="宋体" w:cs="Times New Roman"/>
          <w:kern w:val="2"/>
          <w:sz w:val="28"/>
          <w:szCs w:val="28"/>
        </w:rPr>
      </w:pPr>
      <w:r>
        <w:fldChar w:fldCharType="begin"/>
      </w:r>
      <w:r>
        <w:instrText xml:space="preserve"> HYPERLINK \l "_Toc508875514" </w:instrText>
      </w:r>
      <w:r>
        <w:fldChar w:fldCharType="separate"/>
      </w:r>
      <w:r>
        <w:rPr>
          <w:rStyle w:val="50"/>
          <w:rFonts w:hint="eastAsia" w:ascii="宋体" w:eastAsia="宋体" w:cs="宋体"/>
          <w:b/>
          <w:color w:val="auto"/>
          <w:sz w:val="28"/>
          <w:szCs w:val="28"/>
        </w:rPr>
        <w:t>第八章投标文件格式</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3</w:t>
      </w:r>
    </w:p>
    <w:p>
      <w:pPr>
        <w:tabs>
          <w:tab w:val="right" w:leader="dot" w:pos="9639"/>
        </w:tabs>
      </w:pPr>
      <w:r>
        <w:rPr>
          <w:rFonts w:hAnsi="宋体"/>
          <w:sz w:val="28"/>
          <w:szCs w:val="28"/>
        </w:rPr>
        <w:fldChar w:fldCharType="end"/>
      </w:r>
    </w:p>
    <w:p>
      <w:pPr>
        <w:snapToGrid w:val="0"/>
        <w:spacing w:beforeLines="50"/>
        <w:jc w:val="center"/>
        <w:rPr>
          <w:rFonts w:hAnsi="宋体" w:cs="宋体"/>
          <w:b/>
          <w:sz w:val="32"/>
          <w:szCs w:val="32"/>
        </w:rPr>
      </w:pPr>
      <w:bookmarkStart w:id="0" w:name="_Toc2465"/>
      <w:bookmarkStart w:id="1" w:name="_Toc215282124"/>
      <w:r>
        <w:br w:type="page"/>
      </w:r>
      <w:bookmarkEnd w:id="0"/>
      <w:r>
        <w:rPr>
          <w:rFonts w:hint="eastAsia" w:hAnsi="宋体" w:cs="宋体"/>
          <w:b/>
          <w:sz w:val="36"/>
          <w:szCs w:val="36"/>
        </w:rPr>
        <w:t>第一章  招标公告</w:t>
      </w:r>
    </w:p>
    <w:p>
      <w:pPr>
        <w:spacing w:line="560" w:lineRule="exact"/>
        <w:ind w:firstLine="640" w:firstLineChars="200"/>
        <w:jc w:val="center"/>
        <w:rPr>
          <w:b/>
          <w:sz w:val="32"/>
          <w:szCs w:val="28"/>
        </w:rPr>
      </w:pPr>
      <w:r>
        <w:rPr>
          <w:rFonts w:hint="eastAsia"/>
          <w:b/>
          <w:sz w:val="32"/>
          <w:szCs w:val="28"/>
        </w:rPr>
        <w:t>XCGC-F2019144-</w:t>
      </w:r>
      <w:r>
        <w:rPr>
          <w:rFonts w:hint="eastAsia"/>
          <w:b/>
          <w:sz w:val="32"/>
          <w:szCs w:val="28"/>
          <w:lang w:val="en-US" w:eastAsia="zh-CN"/>
        </w:rPr>
        <w:t>2</w:t>
      </w:r>
      <w:r>
        <w:rPr>
          <w:rFonts w:hint="eastAsia"/>
          <w:b/>
          <w:sz w:val="32"/>
          <w:szCs w:val="28"/>
        </w:rPr>
        <w:t>许昌市曹魏古城开发建设有限公司“曹魏古城北城门及两侧地块项目（1-15#楼、地库及室外）消防及地下车库人防通风工程”招标公告</w:t>
      </w:r>
    </w:p>
    <w:p>
      <w:pPr>
        <w:widowControl/>
        <w:spacing w:line="380" w:lineRule="exact"/>
        <w:rPr>
          <w:b/>
          <w:sz w:val="24"/>
        </w:rPr>
      </w:pPr>
      <w:r>
        <w:rPr>
          <w:rFonts w:hint="eastAsia" w:hAnsi="宋体" w:cs="宋体"/>
          <w:b/>
          <w:sz w:val="24"/>
        </w:rPr>
        <w:t>一、招标条件</w:t>
      </w:r>
    </w:p>
    <w:p>
      <w:pPr>
        <w:widowControl/>
        <w:spacing w:line="360" w:lineRule="auto"/>
        <w:ind w:firstLine="480"/>
        <w:rPr>
          <w:rFonts w:asciiTheme="minorEastAsia" w:hAnsiTheme="minorEastAsia" w:cstheme="minorEastAsia"/>
          <w:sz w:val="24"/>
        </w:rPr>
      </w:pPr>
      <w:r>
        <w:rPr>
          <w:rFonts w:hint="eastAsia" w:asciiTheme="minorEastAsia" w:hAnsiTheme="minorEastAsia" w:cstheme="minorEastAsia"/>
          <w:sz w:val="24"/>
        </w:rPr>
        <w:t>曹魏古城北城门及两侧地块项目（1-15#楼、地库及室外）消防及地下车库人防通风工程已由许昌市魏都区发展和改革委员会以许区发改【2016】32号文批准建设，招标人为许昌市曹魏古城开发建设有限公司，建设资金为财政投资，项目出资比例为100%。项目已具备招标条件，现对该项目第二标段进行国内</w:t>
      </w:r>
      <w:r>
        <w:rPr>
          <w:rFonts w:hint="eastAsia" w:asciiTheme="minorEastAsia" w:hAnsiTheme="minorEastAsia" w:cstheme="minorEastAsia"/>
          <w:sz w:val="24"/>
          <w:lang w:eastAsia="zh-CN"/>
        </w:rPr>
        <w:t>三</w:t>
      </w:r>
      <w:r>
        <w:rPr>
          <w:rFonts w:hint="eastAsia" w:asciiTheme="minorEastAsia" w:hAnsiTheme="minorEastAsia" w:cstheme="minorEastAsia"/>
          <w:sz w:val="24"/>
        </w:rPr>
        <w:t>次公开招标。</w:t>
      </w:r>
    </w:p>
    <w:p>
      <w:pPr>
        <w:widowControl/>
        <w:spacing w:line="380" w:lineRule="exact"/>
        <w:rPr>
          <w:b/>
          <w:sz w:val="24"/>
        </w:rPr>
      </w:pPr>
      <w:r>
        <w:rPr>
          <w:rFonts w:hint="eastAsia" w:hAnsi="宋体" w:cs="宋体"/>
          <w:b/>
          <w:sz w:val="24"/>
        </w:rPr>
        <w:t>二、项目概况与招标内容</w:t>
      </w:r>
    </w:p>
    <w:p>
      <w:pPr>
        <w:widowControl/>
        <w:tabs>
          <w:tab w:val="center" w:pos="4819"/>
        </w:tabs>
        <w:spacing w:line="380" w:lineRule="exact"/>
        <w:rPr>
          <w:rFonts w:hint="eastAsia" w:eastAsiaTheme="minorEastAsia"/>
          <w:sz w:val="24"/>
          <w:szCs w:val="24"/>
          <w:lang w:val="en-US" w:eastAsia="zh-CN"/>
        </w:rPr>
      </w:pPr>
      <w:r>
        <w:rPr>
          <w:rFonts w:hint="eastAsia" w:hAnsi="宋体" w:cs="宋体"/>
          <w:sz w:val="24"/>
        </w:rPr>
        <w:t xml:space="preserve">    （一）项目编号：</w:t>
      </w:r>
      <w:r>
        <w:rPr>
          <w:rFonts w:hint="eastAsia" w:hAnsi="宋体" w:cs="宋体"/>
          <w:sz w:val="24"/>
          <w:szCs w:val="24"/>
        </w:rPr>
        <w:t>XCGC-F2019144-</w:t>
      </w:r>
      <w:r>
        <w:rPr>
          <w:rFonts w:hint="eastAsia" w:hAnsi="宋体" w:cs="宋体"/>
          <w:sz w:val="24"/>
          <w:szCs w:val="24"/>
          <w:lang w:val="en-US" w:eastAsia="zh-CN"/>
        </w:rPr>
        <w:t>2</w:t>
      </w:r>
    </w:p>
    <w:p>
      <w:pPr>
        <w:spacing w:line="380" w:lineRule="exact"/>
        <w:ind w:firstLine="480" w:firstLineChars="200"/>
        <w:rPr>
          <w:rFonts w:hAnsi="宋体" w:cs="宋体"/>
          <w:sz w:val="24"/>
          <w:szCs w:val="24"/>
        </w:rPr>
      </w:pPr>
      <w:r>
        <w:rPr>
          <w:rFonts w:hint="eastAsia" w:hAnsi="宋体" w:cs="宋体"/>
          <w:sz w:val="24"/>
          <w:szCs w:val="24"/>
        </w:rPr>
        <w:t>（二）项目建设地点：该项目位于许昌市魏都区。</w:t>
      </w:r>
    </w:p>
    <w:p>
      <w:pPr>
        <w:spacing w:line="360" w:lineRule="auto"/>
        <w:ind w:firstLine="480" w:firstLineChars="200"/>
        <w:rPr>
          <w:rFonts w:hAnsi="宋体" w:cs="宋体"/>
          <w:sz w:val="24"/>
        </w:rPr>
      </w:pPr>
      <w:r>
        <w:rPr>
          <w:rFonts w:hint="eastAsia" w:hAnsi="宋体" w:cs="宋体"/>
          <w:sz w:val="24"/>
        </w:rPr>
        <w:t>（三）规模</w:t>
      </w:r>
      <w:r>
        <w:rPr>
          <w:rFonts w:hint="eastAsia" w:asciiTheme="minorEastAsia" w:hAnsiTheme="minorEastAsia" w:cstheme="minorEastAsia"/>
          <w:sz w:val="24"/>
        </w:rPr>
        <w:t>：安装曹魏古城北城门及两侧地块项目（1-15#楼、地库及室外）地下车库人防通风工程。</w:t>
      </w:r>
    </w:p>
    <w:p>
      <w:pPr>
        <w:spacing w:line="380" w:lineRule="exact"/>
        <w:ind w:firstLine="480" w:firstLineChars="200"/>
        <w:rPr>
          <w:sz w:val="24"/>
        </w:rPr>
      </w:pPr>
      <w:r>
        <w:rPr>
          <w:rFonts w:hint="eastAsia" w:hAnsi="宋体" w:cs="宋体"/>
          <w:sz w:val="24"/>
        </w:rPr>
        <w:t>（四）招标范围：招标文件、工程量清单、施工图、设计变更、答疑纪要</w:t>
      </w:r>
      <w:r>
        <w:rPr>
          <w:rFonts w:hint="eastAsia" w:hAnsi="宋体" w:eastAsia="宋体" w:cs="宋体"/>
          <w:sz w:val="24"/>
          <w:szCs w:val="24"/>
        </w:rPr>
        <w:t>和补充文件（如有）</w:t>
      </w:r>
      <w:r>
        <w:rPr>
          <w:rFonts w:hint="eastAsia" w:hAnsi="宋体" w:cs="宋体"/>
          <w:sz w:val="24"/>
        </w:rPr>
        <w:t xml:space="preserve">范围内的所有工程内容；                                     </w:t>
      </w:r>
    </w:p>
    <w:p>
      <w:pPr>
        <w:spacing w:line="380" w:lineRule="exact"/>
        <w:rPr>
          <w:rFonts w:hAnsi="宋体" w:cs="宋体"/>
          <w:sz w:val="24"/>
        </w:rPr>
      </w:pPr>
      <w:r>
        <w:rPr>
          <w:rFonts w:hint="eastAsia" w:hAnsi="宋体" w:cs="宋体"/>
          <w:sz w:val="24"/>
        </w:rPr>
        <w:t xml:space="preserve">    （五）标段划分：地下车库人防通风工程。</w:t>
      </w:r>
    </w:p>
    <w:p>
      <w:pPr>
        <w:spacing w:line="380" w:lineRule="exact"/>
        <w:ind w:firstLine="480" w:firstLineChars="200"/>
        <w:rPr>
          <w:sz w:val="24"/>
        </w:rPr>
      </w:pPr>
      <w:r>
        <w:rPr>
          <w:rFonts w:hint="eastAsia" w:hAnsi="宋体" w:cs="宋体"/>
          <w:sz w:val="24"/>
        </w:rPr>
        <w:t>（六）招标控制价</w:t>
      </w:r>
      <w:r>
        <w:rPr>
          <w:rFonts w:hint="eastAsia" w:ascii="新宋体" w:hAnsi="新宋体" w:eastAsia="新宋体" w:cs="新宋体"/>
          <w:bCs/>
          <w:sz w:val="24"/>
        </w:rPr>
        <w:t>：1441061.27元</w:t>
      </w:r>
    </w:p>
    <w:p>
      <w:pPr>
        <w:widowControl/>
        <w:numPr>
          <w:ilvl w:val="0"/>
          <w:numId w:val="1"/>
        </w:numPr>
        <w:spacing w:line="380" w:lineRule="exact"/>
        <w:ind w:firstLine="480"/>
        <w:rPr>
          <w:sz w:val="24"/>
        </w:rPr>
      </w:pPr>
      <w:r>
        <w:rPr>
          <w:rFonts w:hint="eastAsia" w:hAnsi="宋体" w:cs="宋体"/>
          <w:sz w:val="24"/>
        </w:rPr>
        <w:t xml:space="preserve">工   </w:t>
      </w:r>
      <w:r>
        <w:rPr>
          <w:rFonts w:hint="eastAsia" w:asciiTheme="minorEastAsia" w:hAnsiTheme="minorEastAsia" w:cstheme="minorEastAsia"/>
          <w:sz w:val="24"/>
        </w:rPr>
        <w:t>期：90 日历天</w:t>
      </w:r>
      <w:r>
        <w:rPr>
          <w:rFonts w:hint="eastAsia" w:hAnsi="宋体" w:cs="宋体"/>
          <w:sz w:val="24"/>
        </w:rPr>
        <w:t>；</w:t>
      </w:r>
    </w:p>
    <w:p>
      <w:pPr>
        <w:widowControl/>
        <w:spacing w:line="380" w:lineRule="exact"/>
        <w:ind w:firstLine="480" w:firstLineChars="200"/>
        <w:rPr>
          <w:sz w:val="24"/>
        </w:rPr>
      </w:pPr>
      <w:r>
        <w:rPr>
          <w:rFonts w:hint="eastAsia" w:hAnsi="宋体" w:cs="宋体"/>
          <w:sz w:val="24"/>
        </w:rPr>
        <w:t>（七）</w:t>
      </w:r>
      <w:r>
        <w:rPr>
          <w:rFonts w:hint="eastAsia" w:hAnsi="宋体" w:cs="宋体"/>
          <w:sz w:val="24"/>
          <w:szCs w:val="24"/>
        </w:rPr>
        <w:t>质量要求：达到国家建设工程质量验收的规范和标准(合格)。</w:t>
      </w:r>
    </w:p>
    <w:p>
      <w:pPr>
        <w:widowControl/>
        <w:spacing w:line="380" w:lineRule="exact"/>
        <w:rPr>
          <w:rFonts w:hAnsi="宋体" w:cs="宋体"/>
          <w:b/>
          <w:sz w:val="24"/>
        </w:rPr>
      </w:pPr>
      <w:r>
        <w:rPr>
          <w:rFonts w:hint="eastAsia" w:hAnsi="宋体" w:cs="宋体"/>
          <w:b/>
          <w:sz w:val="24"/>
        </w:rPr>
        <w:t>三、投标人资格要求</w:t>
      </w:r>
    </w:p>
    <w:p>
      <w:pPr>
        <w:widowControl/>
        <w:spacing w:line="380" w:lineRule="exact"/>
        <w:ind w:firstLine="360" w:firstLineChars="150"/>
        <w:rPr>
          <w:rFonts w:hint="eastAsia" w:hAnsi="宋体" w:cs="宋体"/>
          <w:sz w:val="24"/>
          <w:szCs w:val="24"/>
        </w:rPr>
      </w:pPr>
      <w:r>
        <w:rPr>
          <w:rFonts w:hint="eastAsia" w:hAnsi="宋体" w:cs="宋体"/>
          <w:sz w:val="24"/>
          <w:szCs w:val="24"/>
        </w:rPr>
        <w:t>（一）投标人需具备独立法人资格，具有有效的营业执照、税务登记证、组织机构代码证（三证合一企业只需提供营业执照）；并具有建设行政主管部门颁发的建筑</w:t>
      </w:r>
      <w:r>
        <w:rPr>
          <w:rFonts w:hint="eastAsia" w:hAnsi="宋体" w:cs="宋体"/>
          <w:sz w:val="24"/>
          <w:szCs w:val="24"/>
          <w:lang w:eastAsia="zh-CN"/>
        </w:rPr>
        <w:t>施工</w:t>
      </w:r>
      <w:r>
        <w:rPr>
          <w:rFonts w:hint="eastAsia" w:hAnsi="宋体" w:cs="宋体"/>
          <w:sz w:val="24"/>
          <w:szCs w:val="24"/>
        </w:rPr>
        <w:t>总承包叁级及以上（含叁级）资质，且有有效的安全生产许可证。拟派项目负责人（项目经理）具有建筑工程专业贰级及以上注册建造师资格（不含临时）和安全生产考核合格证，且未承担其他在施建设工程的项目负责人（项目经理）；</w:t>
      </w:r>
    </w:p>
    <w:p>
      <w:pPr>
        <w:widowControl/>
        <w:spacing w:line="380" w:lineRule="exact"/>
        <w:ind w:firstLine="360" w:firstLineChars="150"/>
        <w:rPr>
          <w:rFonts w:hAnsi="宋体" w:cs="宋体"/>
          <w:sz w:val="24"/>
        </w:rPr>
      </w:pPr>
      <w:r>
        <w:rPr>
          <w:rFonts w:hint="eastAsia" w:hAnsi="宋体" w:cs="宋体"/>
          <w:sz w:val="24"/>
          <w:szCs w:val="24"/>
        </w:rPr>
        <w:t xml:space="preserve"> (二）投标人未被“信用中国”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sz w:val="24"/>
        </w:rPr>
        <w:t xml:space="preserve">。 </w:t>
      </w:r>
    </w:p>
    <w:p>
      <w:pPr>
        <w:widowControl/>
        <w:spacing w:line="380" w:lineRule="exact"/>
        <w:ind w:firstLine="480" w:firstLineChars="200"/>
        <w:rPr>
          <w:rFonts w:hAnsi="宋体" w:cs="宋体"/>
          <w:sz w:val="24"/>
        </w:rPr>
      </w:pPr>
      <w:r>
        <w:rPr>
          <w:rFonts w:hint="eastAsia" w:hAnsi="宋体" w:cs="宋体"/>
          <w:sz w:val="24"/>
        </w:rPr>
        <w:t>（三）本次招标实行资格后审。</w:t>
      </w:r>
    </w:p>
    <w:p>
      <w:pPr>
        <w:widowControl/>
        <w:spacing w:line="380" w:lineRule="exact"/>
        <w:rPr>
          <w:sz w:val="24"/>
        </w:rPr>
      </w:pPr>
      <w:r>
        <w:rPr>
          <w:rFonts w:hint="eastAsia" w:hAnsi="宋体" w:cs="宋体"/>
          <w:sz w:val="24"/>
        </w:rPr>
        <w:t xml:space="preserve">    （四）本次招标不接受联合体投标。</w:t>
      </w:r>
    </w:p>
    <w:p>
      <w:pPr>
        <w:widowControl/>
        <w:spacing w:line="380" w:lineRule="exact"/>
        <w:jc w:val="left"/>
        <w:rPr>
          <w:b/>
          <w:sz w:val="24"/>
        </w:rPr>
      </w:pPr>
      <w:r>
        <w:rPr>
          <w:rFonts w:hint="eastAsia" w:hAnsi="宋体" w:cs="宋体"/>
          <w:b/>
          <w:sz w:val="24"/>
        </w:rPr>
        <w:t>四、网上下载招标文件</w:t>
      </w:r>
    </w:p>
    <w:p>
      <w:pPr>
        <w:widowControl/>
        <w:spacing w:line="380" w:lineRule="exact"/>
        <w:ind w:firstLine="480" w:firstLineChars="200"/>
        <w:jc w:val="left"/>
        <w:rPr>
          <w:sz w:val="24"/>
        </w:rPr>
      </w:pPr>
      <w:r>
        <w:rPr>
          <w:rFonts w:hint="eastAsia" w:hAnsi="宋体" w:cs="宋体"/>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sz w:val="24"/>
        </w:rPr>
      </w:pPr>
      <w:r>
        <w:rPr>
          <w:rFonts w:hint="eastAsia" w:hAnsi="宋体" w:cs="宋体"/>
          <w:sz w:val="24"/>
        </w:rPr>
        <w:t>（二）在投标截止时间前登录【全国公共资源交易平台（河南省·许昌市）】“投标人/供应商登录”入口（http://221.14.6.70:8088/ggzy/）自行下载招标文件（详见“常见问题解答-交易系统操作手册”）。</w:t>
      </w:r>
    </w:p>
    <w:p>
      <w:pPr>
        <w:pStyle w:val="39"/>
        <w:shd w:val="clear" w:color="auto" w:fill="FFFFFF"/>
        <w:spacing w:beforeAutospacing="0" w:afterAutospacing="0" w:line="380" w:lineRule="exact"/>
        <w:ind w:right="170"/>
        <w:rPr>
          <w:b/>
          <w:shd w:val="clear" w:color="auto" w:fill="FFFFFF"/>
        </w:rPr>
      </w:pPr>
      <w:r>
        <w:rPr>
          <w:b/>
          <w:shd w:val="clear" w:color="auto" w:fill="FFFFFF"/>
        </w:rPr>
        <w:t>五、招标文件和施工图纸的获取</w:t>
      </w:r>
    </w:p>
    <w:p>
      <w:pPr>
        <w:widowControl/>
        <w:spacing w:line="380" w:lineRule="exact"/>
        <w:rPr>
          <w:rFonts w:hAnsi="宋体" w:cs="宋体"/>
          <w:sz w:val="24"/>
        </w:rPr>
      </w:pPr>
      <w:r>
        <w:rPr>
          <w:rFonts w:hint="eastAsia" w:hAnsi="宋体" w:cs="宋体"/>
          <w:sz w:val="24"/>
        </w:rPr>
        <w:t xml:space="preserve">   （一）招标文件、工程量清单和图纸的下载：投标人于投标文件递交截止时间前均可在《全国公共资源交易平台（河南省·许昌市）》(http://ggzy.xuchang.gov.cn/)自行下载本项目招标文件、工程量清单和图纸。</w:t>
      </w:r>
    </w:p>
    <w:p>
      <w:pPr>
        <w:widowControl/>
        <w:spacing w:line="380" w:lineRule="exact"/>
        <w:rPr>
          <w:rFonts w:hAnsi="宋体" w:cs="宋体"/>
          <w:sz w:val="24"/>
        </w:rPr>
      </w:pPr>
      <w:r>
        <w:rPr>
          <w:rFonts w:hint="eastAsia" w:hAnsi="宋体" w:cs="宋体"/>
          <w:sz w:val="24"/>
        </w:rPr>
        <w:t xml:space="preserve">   （二）投标人在递交</w:t>
      </w:r>
      <w:r>
        <w:rPr>
          <w:rFonts w:hint="eastAsia" w:hAnsi="宋体" w:eastAsia="宋体" w:cs="宋体"/>
          <w:sz w:val="24"/>
          <w:szCs w:val="24"/>
        </w:rPr>
        <w:t>电子介质存储的投标文件</w:t>
      </w:r>
      <w:r>
        <w:rPr>
          <w:rFonts w:hint="eastAsia" w:hAnsi="宋体" w:cs="宋体"/>
          <w:sz w:val="24"/>
        </w:rPr>
        <w:t>时向代理公司缴纳招标文件费用，本项目招标文件费用为</w:t>
      </w:r>
      <w:r>
        <w:rPr>
          <w:rFonts w:hint="eastAsia" w:hAnsi="宋体" w:cs="宋体"/>
          <w:sz w:val="24"/>
          <w:u w:val="single"/>
        </w:rPr>
        <w:t>300</w:t>
      </w:r>
      <w:r>
        <w:rPr>
          <w:rFonts w:hint="eastAsia" w:hAnsi="宋体" w:cs="宋体"/>
          <w:sz w:val="24"/>
        </w:rPr>
        <w:t>元/套，售后不退。</w:t>
      </w:r>
    </w:p>
    <w:p>
      <w:pPr>
        <w:pStyle w:val="39"/>
        <w:shd w:val="clear" w:color="auto" w:fill="FFFFFF"/>
        <w:spacing w:beforeAutospacing="0" w:afterAutospacing="0" w:line="380" w:lineRule="exact"/>
        <w:ind w:right="170"/>
        <w:rPr>
          <w:b/>
          <w:shd w:val="clear" w:color="auto" w:fill="FFFFFF"/>
        </w:rPr>
      </w:pPr>
      <w:r>
        <w:rPr>
          <w:b/>
          <w:shd w:val="clear" w:color="auto" w:fill="FFFFFF"/>
        </w:rPr>
        <w:t>六、投标文件的递交</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(二)</w:t>
      </w:r>
      <w:r>
        <w:rPr>
          <w:rFonts w:hAnsi="宋体" w:eastAsia="宋体" w:cs="宋体"/>
          <w:sz w:val="24"/>
          <w:szCs w:val="24"/>
        </w:rPr>
        <w:t>投标文件提交的截止时间及开标时间：20</w:t>
      </w:r>
      <w:r>
        <w:rPr>
          <w:rFonts w:hint="eastAsia" w:hAnsi="宋体" w:eastAsia="宋体" w:cs="宋体"/>
          <w:sz w:val="24"/>
          <w:szCs w:val="24"/>
          <w:lang w:val="en-US" w:eastAsia="zh-CN"/>
        </w:rPr>
        <w:t>20</w:t>
      </w:r>
      <w:r>
        <w:rPr>
          <w:rFonts w:hAnsi="宋体" w:eastAsia="宋体" w:cs="宋体"/>
          <w:sz w:val="24"/>
          <w:szCs w:val="24"/>
        </w:rPr>
        <w:t>年</w:t>
      </w:r>
      <w:r>
        <w:rPr>
          <w:rFonts w:hint="eastAsia" w:hAnsi="宋体" w:eastAsia="宋体" w:cs="宋体"/>
          <w:sz w:val="24"/>
          <w:szCs w:val="24"/>
          <w:lang w:val="en-US" w:eastAsia="zh-CN"/>
        </w:rPr>
        <w:t>1</w:t>
      </w:r>
      <w:r>
        <w:rPr>
          <w:rFonts w:hAnsi="宋体" w:eastAsia="宋体" w:cs="宋体"/>
          <w:sz w:val="24"/>
          <w:szCs w:val="24"/>
        </w:rPr>
        <w:t>月</w:t>
      </w:r>
      <w:r>
        <w:rPr>
          <w:rFonts w:hint="eastAsia" w:hAnsi="宋体" w:eastAsia="宋体" w:cs="宋体"/>
          <w:sz w:val="24"/>
          <w:szCs w:val="24"/>
          <w:lang w:val="en-US" w:eastAsia="zh-CN"/>
        </w:rPr>
        <w:t>17</w:t>
      </w:r>
      <w:r>
        <w:rPr>
          <w:rFonts w:hAnsi="宋体" w:eastAsia="宋体" w:cs="宋体"/>
          <w:sz w:val="24"/>
          <w:szCs w:val="24"/>
        </w:rPr>
        <w:t>日</w:t>
      </w:r>
      <w:r>
        <w:rPr>
          <w:rFonts w:hint="eastAsia" w:hAnsi="宋体" w:eastAsia="宋体" w:cs="宋体"/>
          <w:sz w:val="24"/>
          <w:szCs w:val="24"/>
          <w:lang w:val="en-US" w:eastAsia="zh-CN"/>
        </w:rPr>
        <w:t>8</w:t>
      </w:r>
      <w:r>
        <w:rPr>
          <w:rFonts w:hAnsi="宋体" w:eastAsia="宋体" w:cs="宋体"/>
          <w:sz w:val="24"/>
          <w:szCs w:val="24"/>
        </w:rPr>
        <w:t>时</w:t>
      </w:r>
      <w:r>
        <w:rPr>
          <w:rFonts w:hint="eastAsia" w:hAnsi="宋体" w:eastAsia="宋体" w:cs="宋体"/>
          <w:sz w:val="24"/>
          <w:szCs w:val="24"/>
          <w:lang w:val="en-US" w:eastAsia="zh-CN"/>
        </w:rPr>
        <w:t>30</w:t>
      </w:r>
      <w:r>
        <w:rPr>
          <w:rFonts w:hAnsi="宋体" w:eastAsia="宋体" w:cs="宋体"/>
          <w:sz w:val="24"/>
          <w:szCs w:val="24"/>
        </w:rPr>
        <w:t>分。</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(四)电子介质存储的投标文件</w:t>
      </w:r>
      <w:r>
        <w:rPr>
          <w:rFonts w:hAnsi="宋体" w:eastAsia="宋体" w:cs="宋体"/>
          <w:sz w:val="24"/>
          <w:szCs w:val="24"/>
        </w:rPr>
        <w:t>提交地点：许昌市公共资源交易中心（许昌市龙兴路竹林路交汇处公共资源大厦三楼）开标</w:t>
      </w:r>
      <w:r>
        <w:rPr>
          <w:rFonts w:hint="eastAsia" w:hAnsi="宋体" w:eastAsia="宋体" w:cs="宋体"/>
          <w:sz w:val="24"/>
          <w:szCs w:val="24"/>
          <w:lang w:eastAsia="zh-CN"/>
        </w:rPr>
        <w:t>二</w:t>
      </w:r>
      <w:r>
        <w:rPr>
          <w:rFonts w:hAnsi="宋体" w:eastAsia="宋体" w:cs="宋体"/>
          <w:sz w:val="24"/>
          <w:szCs w:val="24"/>
        </w:rPr>
        <w:t>室。</w:t>
      </w:r>
    </w:p>
    <w:p>
      <w:pPr>
        <w:pStyle w:val="39"/>
        <w:shd w:val="clear" w:color="auto" w:fill="FFFFFF"/>
        <w:spacing w:beforeAutospacing="0" w:afterAutospacing="0" w:line="380" w:lineRule="exact"/>
        <w:ind w:right="170" w:firstLine="480" w:firstLineChars="200"/>
        <w:rPr>
          <w:rFonts w:eastAsia="宋体"/>
          <w:szCs w:val="24"/>
        </w:rPr>
      </w:pPr>
      <w:r>
        <w:rPr>
          <w:rFonts w:hint="eastAsia" w:eastAsia="宋体"/>
          <w:szCs w:val="24"/>
        </w:rPr>
        <w:t>(五)</w:t>
      </w:r>
      <w:r>
        <w:rPr>
          <w:rFonts w:eastAsia="宋体"/>
          <w:szCs w:val="24"/>
        </w:rPr>
        <w:t>逾期送达的或者未送达指定地点的</w:t>
      </w:r>
      <w:r>
        <w:rPr>
          <w:rFonts w:hint="eastAsia"/>
          <w:szCs w:val="24"/>
        </w:rPr>
        <w:t>电子介质存储的投标文件的</w:t>
      </w:r>
      <w:r>
        <w:rPr>
          <w:rFonts w:eastAsia="宋体"/>
          <w:szCs w:val="24"/>
        </w:rPr>
        <w:t>，招标人不予受理。</w:t>
      </w:r>
    </w:p>
    <w:p>
      <w:pPr>
        <w:pStyle w:val="39"/>
        <w:shd w:val="clear" w:color="auto" w:fill="FFFFFF"/>
        <w:spacing w:beforeAutospacing="0" w:afterAutospacing="0" w:line="380" w:lineRule="exact"/>
        <w:ind w:right="170"/>
        <w:rPr>
          <w:b/>
          <w:shd w:val="clear" w:color="auto" w:fill="FFFFFF"/>
        </w:rPr>
      </w:pPr>
      <w:r>
        <w:rPr>
          <w:b/>
          <w:shd w:val="clear" w:color="auto" w:fill="FFFFFF"/>
        </w:rPr>
        <w:t>七、发布公告的媒介</w:t>
      </w:r>
    </w:p>
    <w:p>
      <w:pPr>
        <w:pStyle w:val="39"/>
        <w:shd w:val="clear" w:color="auto" w:fill="FFFFFF"/>
        <w:spacing w:beforeAutospacing="0" w:afterAutospacing="0" w:line="380" w:lineRule="exact"/>
        <w:ind w:firstLine="480" w:firstLineChars="200"/>
        <w:rPr>
          <w:shd w:val="clear" w:color="auto" w:fill="FFFFFF"/>
        </w:rPr>
      </w:pPr>
      <w:r>
        <w:rPr>
          <w:shd w:val="clear" w:color="auto" w:fill="FFFFFF"/>
        </w:rPr>
        <w:t>本公告同时在《全国公共资源交易平台(河南省</w:t>
      </w:r>
      <w:r>
        <w:rPr>
          <w:rFonts w:ascii="MS Mincho" w:hAnsi="MS Mincho" w:eastAsia="MS Mincho" w:cs="MS Mincho"/>
          <w:shd w:val="clear" w:color="auto" w:fill="FFFFFF"/>
        </w:rPr>
        <w:t>▪</w:t>
      </w:r>
      <w:r>
        <w:rPr>
          <w:shd w:val="clear" w:color="auto" w:fill="FFFFFF"/>
        </w:rPr>
        <w:t>许昌市)》</w:t>
      </w:r>
      <w:r>
        <w:rPr>
          <w:rFonts w:hint="eastAsia"/>
          <w:shd w:val="clear" w:color="auto" w:fill="FFFFFF"/>
        </w:rPr>
        <w:t>、</w:t>
      </w:r>
      <w:r>
        <w:rPr>
          <w:rFonts w:hint="eastAsia"/>
        </w:rPr>
        <w:t>《河南省电子招标投标公共服务平台》</w:t>
      </w:r>
      <w:r>
        <w:rPr>
          <w:shd w:val="clear" w:color="auto" w:fill="FFFFFF"/>
        </w:rPr>
        <w:t>上发布。</w:t>
      </w:r>
    </w:p>
    <w:p>
      <w:pPr>
        <w:widowControl/>
        <w:spacing w:line="380" w:lineRule="exact"/>
        <w:rPr>
          <w:b/>
          <w:sz w:val="24"/>
        </w:rPr>
      </w:pPr>
      <w:r>
        <w:rPr>
          <w:rFonts w:hint="eastAsia" w:hAnsi="宋体" w:cs="宋体"/>
          <w:b/>
          <w:sz w:val="24"/>
        </w:rPr>
        <w:t>八、联系方式</w:t>
      </w:r>
    </w:p>
    <w:p>
      <w:pPr>
        <w:adjustRightInd w:val="0"/>
        <w:snapToGrid w:val="0"/>
        <w:spacing w:line="460" w:lineRule="exact"/>
        <w:ind w:firstLine="480" w:firstLineChars="200"/>
        <w:rPr>
          <w:rFonts w:hAnsi="宋体" w:cs="黑体"/>
          <w:b/>
          <w:sz w:val="30"/>
          <w:szCs w:val="30"/>
        </w:rPr>
      </w:pPr>
      <w:r>
        <w:rPr>
          <w:rFonts w:hint="eastAsia" w:hAnsi="宋体" w:cs="宋体"/>
          <w:sz w:val="24"/>
          <w:szCs w:val="24"/>
        </w:rPr>
        <w:t>招 标 人：许昌市曹魏古城开发建设有限公司</w:t>
      </w:r>
    </w:p>
    <w:p>
      <w:pPr>
        <w:adjustRightInd w:val="0"/>
        <w:snapToGrid w:val="0"/>
        <w:spacing w:line="460" w:lineRule="exact"/>
        <w:ind w:firstLine="480" w:firstLineChars="200"/>
        <w:rPr>
          <w:sz w:val="24"/>
        </w:rPr>
      </w:pPr>
      <w:r>
        <w:rPr>
          <w:rFonts w:hint="eastAsia" w:hAnsi="宋体" w:cs="宋体"/>
          <w:sz w:val="24"/>
          <w:szCs w:val="24"/>
        </w:rPr>
        <w:t>联 系 人:</w:t>
      </w:r>
      <w:r>
        <w:rPr>
          <w:rFonts w:hint="eastAsia" w:asciiTheme="minorEastAsia" w:hAnsiTheme="minorEastAsia" w:cstheme="minorEastAsia"/>
          <w:sz w:val="24"/>
        </w:rPr>
        <w:t>李女士</w:t>
      </w:r>
    </w:p>
    <w:p>
      <w:pPr>
        <w:adjustRightInd w:val="0"/>
        <w:snapToGrid w:val="0"/>
        <w:spacing w:line="460" w:lineRule="exact"/>
        <w:ind w:firstLine="480" w:firstLineChars="200"/>
        <w:rPr>
          <w:rFonts w:eastAsia="宋体"/>
          <w:sz w:val="24"/>
        </w:rPr>
      </w:pPr>
      <w:r>
        <w:rPr>
          <w:rFonts w:hint="eastAsia"/>
          <w:sz w:val="24"/>
        </w:rPr>
        <w:t>地    址：许昌市劳动路中段</w:t>
      </w:r>
    </w:p>
    <w:p>
      <w:pPr>
        <w:adjustRightInd w:val="0"/>
        <w:snapToGrid w:val="0"/>
        <w:spacing w:line="460" w:lineRule="exact"/>
        <w:ind w:firstLine="240" w:firstLineChars="100"/>
        <w:rPr>
          <w:rFonts w:hAnsi="宋体" w:cs="宋体"/>
          <w:sz w:val="24"/>
          <w:szCs w:val="24"/>
        </w:rPr>
      </w:pPr>
      <w:r>
        <w:rPr>
          <w:rFonts w:hint="eastAsia" w:hAnsi="宋体" w:cs="宋体"/>
          <w:sz w:val="24"/>
          <w:szCs w:val="24"/>
        </w:rPr>
        <w:t xml:space="preserve">  联系电话：</w:t>
      </w:r>
      <w:r>
        <w:rPr>
          <w:rFonts w:hint="eastAsia" w:asciiTheme="minorEastAsia" w:hAnsiTheme="minorEastAsia" w:cstheme="minorEastAsia"/>
          <w:sz w:val="24"/>
        </w:rPr>
        <w:t>0374-6060626</w:t>
      </w:r>
    </w:p>
    <w:p>
      <w:pPr>
        <w:spacing w:line="530" w:lineRule="exact"/>
        <w:ind w:firstLine="480" w:firstLineChars="200"/>
        <w:rPr>
          <w:rFonts w:hAnsi="宋体" w:cs="宋体"/>
          <w:sz w:val="24"/>
        </w:rPr>
      </w:pPr>
      <w:r>
        <w:rPr>
          <w:rFonts w:hint="eastAsia" w:hAnsi="宋体" w:cs="宋体"/>
          <w:sz w:val="24"/>
        </w:rPr>
        <w:t>代理机构：中大国信工程管理有限公司</w:t>
      </w:r>
    </w:p>
    <w:p>
      <w:pPr>
        <w:spacing w:line="530" w:lineRule="exact"/>
        <w:ind w:firstLine="465"/>
        <w:rPr>
          <w:rFonts w:hAnsi="宋体" w:cs="宋体"/>
          <w:sz w:val="24"/>
        </w:rPr>
      </w:pPr>
      <w:r>
        <w:rPr>
          <w:rFonts w:hint="eastAsia" w:hAnsi="宋体" w:cs="宋体"/>
          <w:sz w:val="24"/>
        </w:rPr>
        <w:t>地    址：</w:t>
      </w:r>
      <w:r>
        <w:rPr>
          <w:rFonts w:hint="eastAsia" w:hAnsi="宋体" w:cs="宋体"/>
          <w:sz w:val="24"/>
          <w:szCs w:val="24"/>
        </w:rPr>
        <w:t>许昌市万象春天2号楼3单元2001</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 xml:space="preserve">联系人：颜先生 </w:t>
      </w:r>
    </w:p>
    <w:p>
      <w:pPr>
        <w:spacing w:line="530" w:lineRule="exact"/>
        <w:ind w:firstLine="465"/>
        <w:rPr>
          <w:rFonts w:hAnsi="宋体" w:cs="宋体"/>
          <w:sz w:val="24"/>
        </w:rPr>
      </w:pPr>
      <w:r>
        <w:rPr>
          <w:rFonts w:hint="eastAsia" w:hAnsi="宋体" w:cs="宋体"/>
          <w:sz w:val="24"/>
          <w:szCs w:val="24"/>
        </w:rPr>
        <w:t>联系方式：18339017985</w:t>
      </w:r>
    </w:p>
    <w:p>
      <w:pPr>
        <w:spacing w:line="400" w:lineRule="exact"/>
        <w:rPr>
          <w:rFonts w:hAnsi="宋体"/>
          <w:b/>
          <w:sz w:val="28"/>
          <w:szCs w:val="28"/>
        </w:rPr>
      </w:pPr>
    </w:p>
    <w:p>
      <w:pPr>
        <w:rPr>
          <w:rFonts w:hAnsi="宋体"/>
          <w:b/>
          <w:sz w:val="28"/>
          <w:szCs w:val="28"/>
        </w:rPr>
      </w:pPr>
      <w:r>
        <w:rPr>
          <w:rFonts w:hint="eastAsia" w:hAnsi="宋体"/>
          <w:b/>
          <w:sz w:val="28"/>
          <w:szCs w:val="28"/>
        </w:rPr>
        <w:br w:type="page"/>
      </w:r>
    </w:p>
    <w:p>
      <w:pPr>
        <w:spacing w:line="400" w:lineRule="exact"/>
        <w:rPr>
          <w:rFonts w:hAnsi="宋体"/>
          <w:b/>
          <w:sz w:val="28"/>
          <w:szCs w:val="28"/>
        </w:rPr>
      </w:pPr>
      <w:r>
        <w:rPr>
          <w:rFonts w:hint="eastAsia" w:hAnsi="宋体"/>
          <w:b/>
          <w:sz w:val="28"/>
          <w:szCs w:val="28"/>
        </w:rPr>
        <w:t>温馨提示：</w:t>
      </w:r>
    </w:p>
    <w:p>
      <w:pPr>
        <w:spacing w:line="400" w:lineRule="exact"/>
        <w:ind w:firstLine="560" w:firstLineChars="200"/>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sz w:val="24"/>
          <w:szCs w:val="24"/>
        </w:rPr>
      </w:pPr>
      <w:r>
        <w:rPr>
          <w:rFonts w:hint="eastAsia" w:hAnsi="宋体"/>
          <w:b/>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400" w:lineRule="exact"/>
        <w:ind w:firstLine="480" w:firstLineChars="20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50"/>
          <w:rFonts w:hAnsi="宋体"/>
          <w:color w:val="auto"/>
          <w:sz w:val="24"/>
          <w:szCs w:val="24"/>
        </w:rPr>
        <w:t>http://221.14.6.70:8088/ggzy/</w:t>
      </w:r>
      <w:r>
        <w:rPr>
          <w:rStyle w:val="50"/>
          <w:rFonts w:hAnsi="宋体"/>
          <w:color w:val="auto"/>
          <w:sz w:val="24"/>
          <w:szCs w:val="24"/>
        </w:rPr>
        <w:fldChar w:fldCharType="end"/>
      </w:r>
      <w:r>
        <w:rPr>
          <w:rFonts w:hint="eastAsia" w:hAnsi="宋体"/>
          <w:sz w:val="24"/>
          <w:szCs w:val="24"/>
        </w:rPr>
        <w:t>）下载“许昌投标文件制作系统SEARUN V1.1”，按招标文件要求制作电子投标文件。</w:t>
      </w:r>
    </w:p>
    <w:p>
      <w:pPr>
        <w:tabs>
          <w:tab w:val="left" w:pos="7095"/>
        </w:tabs>
        <w:spacing w:line="400" w:lineRule="exact"/>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400" w:lineRule="exact"/>
        <w:ind w:firstLine="480" w:firstLineChars="200"/>
        <w:contextualSpacing/>
        <w:rPr>
          <w:rFonts w:hAnsi="宋体"/>
          <w:sz w:val="24"/>
          <w:szCs w:val="24"/>
        </w:rPr>
      </w:pP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50"/>
          <w:rFonts w:hAnsi="宋体"/>
          <w:color w:val="auto"/>
          <w:sz w:val="24"/>
          <w:szCs w:val="24"/>
        </w:rPr>
        <w:t>http://221.14.6.70:8088/ggzy/</w:t>
      </w:r>
      <w:r>
        <w:rPr>
          <w:rStyle w:val="50"/>
          <w:rFonts w:hAnsi="宋体"/>
          <w:color w:val="auto"/>
          <w:sz w:val="24"/>
          <w:szCs w:val="24"/>
        </w:rPr>
        <w:fldChar w:fldCharType="end"/>
      </w:r>
      <w:r>
        <w:rPr>
          <w:rFonts w:hint="eastAsia" w:hAnsi="宋体"/>
          <w:sz w:val="24"/>
          <w:szCs w:val="24"/>
        </w:rPr>
        <w:t>）。</w:t>
      </w:r>
    </w:p>
    <w:p>
      <w:pPr>
        <w:tabs>
          <w:tab w:val="left" w:pos="7095"/>
        </w:tabs>
        <w:spacing w:line="400" w:lineRule="exact"/>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400" w:lineRule="exact"/>
        <w:ind w:firstLine="480" w:firstLineChars="20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400" w:lineRule="exact"/>
        <w:ind w:firstLine="480" w:firstLineChars="20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60" w:lineRule="auto"/>
        <w:ind w:firstLine="480"/>
        <w:contextualSpacing/>
        <w:rPr>
          <w:rFonts w:hAnsi="宋体"/>
          <w:sz w:val="24"/>
        </w:rPr>
      </w:pPr>
      <w:r>
        <w:rPr>
          <w:rFonts w:hint="eastAsia" w:hAnsi="宋体"/>
          <w:sz w:val="24"/>
          <w:szCs w:val="24"/>
        </w:rPr>
        <w:t>5.2全流程电子化交易系统如因系统异常情况无法完成，将以人工方式进行。评标委员会以电子介质存储的投标文件为依据评标。</w:t>
      </w:r>
    </w:p>
    <w:p>
      <w:pPr>
        <w:pStyle w:val="4"/>
        <w:spacing w:line="240" w:lineRule="auto"/>
        <w:jc w:val="center"/>
      </w:pPr>
      <w:r>
        <w:rPr>
          <w:sz w:val="24"/>
        </w:rPr>
        <w:br w:type="page"/>
      </w:r>
      <w:bookmarkStart w:id="2" w:name="_Toc11872"/>
      <w:bookmarkStart w:id="3" w:name="_Toc508875506"/>
      <w:r>
        <w:rPr>
          <w:rFonts w:hint="eastAsia"/>
        </w:rPr>
        <w:t xml:space="preserve">第二章  </w:t>
      </w:r>
      <w:bookmarkEnd w:id="1"/>
      <w:r>
        <w:rPr>
          <w:rFonts w:hint="eastAsia"/>
        </w:rPr>
        <w:t>投标人须知</w:t>
      </w:r>
      <w:bookmarkEnd w:id="2"/>
      <w:bookmarkEnd w:id="3"/>
    </w:p>
    <w:p>
      <w:pPr>
        <w:autoSpaceDE w:val="0"/>
        <w:autoSpaceDN w:val="0"/>
        <w:adjustRightInd w:val="0"/>
        <w:rPr>
          <w:rFonts w:hAnsi="宋体" w:cs="黑体"/>
          <w:b/>
          <w:sz w:val="28"/>
          <w:szCs w:val="28"/>
        </w:rPr>
      </w:pPr>
      <w:bookmarkStart w:id="4" w:name="_Toc283559940"/>
      <w:r>
        <w:rPr>
          <w:rFonts w:hint="eastAsia" w:hAnsi="宋体" w:cs="黑体"/>
          <w:b/>
          <w:sz w:val="28"/>
          <w:szCs w:val="28"/>
        </w:rPr>
        <w:t>投标人须知前附表</w:t>
      </w:r>
      <w:bookmarkEnd w:id="4"/>
    </w:p>
    <w:tbl>
      <w:tblPr>
        <w:tblStyle w:val="4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djustRightInd w:val="0"/>
              <w:snapToGrid w:val="0"/>
              <w:spacing w:line="460" w:lineRule="exact"/>
              <w:rPr>
                <w:rFonts w:hAnsi="宋体" w:cs="黑体"/>
                <w:b/>
                <w:sz w:val="30"/>
                <w:szCs w:val="30"/>
              </w:rPr>
            </w:pPr>
            <w:r>
              <w:rPr>
                <w:rFonts w:hint="eastAsia" w:hAnsi="宋体" w:cs="宋体"/>
                <w:sz w:val="24"/>
                <w:szCs w:val="24"/>
              </w:rPr>
              <w:t>招 标 人：许昌市曹魏古城开发建设有限公司</w:t>
            </w:r>
          </w:p>
          <w:p>
            <w:pPr>
              <w:adjustRightInd w:val="0"/>
              <w:snapToGrid w:val="0"/>
              <w:spacing w:line="460" w:lineRule="exact"/>
              <w:rPr>
                <w:sz w:val="24"/>
              </w:rPr>
            </w:pPr>
            <w:r>
              <w:rPr>
                <w:rFonts w:hint="eastAsia" w:hAnsi="宋体" w:cs="宋体"/>
                <w:sz w:val="24"/>
                <w:szCs w:val="24"/>
              </w:rPr>
              <w:t>联 系 人:</w:t>
            </w:r>
            <w:r>
              <w:rPr>
                <w:rFonts w:hint="eastAsia" w:asciiTheme="minorEastAsia" w:hAnsiTheme="minorEastAsia" w:cstheme="minorEastAsia"/>
                <w:sz w:val="24"/>
              </w:rPr>
              <w:t>李女士</w:t>
            </w:r>
          </w:p>
          <w:p>
            <w:pPr>
              <w:adjustRightInd w:val="0"/>
              <w:snapToGrid w:val="0"/>
              <w:spacing w:line="460" w:lineRule="exact"/>
              <w:rPr>
                <w:rFonts w:eastAsia="宋体"/>
                <w:sz w:val="24"/>
              </w:rPr>
            </w:pPr>
            <w:r>
              <w:rPr>
                <w:rFonts w:hint="eastAsia"/>
                <w:sz w:val="24"/>
              </w:rPr>
              <w:t>地    址：许昌市劳动路中段</w:t>
            </w:r>
          </w:p>
          <w:p>
            <w:pPr>
              <w:autoSpaceDE w:val="0"/>
              <w:autoSpaceDN w:val="0"/>
              <w:adjustRightInd w:val="0"/>
              <w:spacing w:line="420" w:lineRule="exact"/>
              <w:rPr>
                <w:rFonts w:hAnsi="宋体"/>
                <w:sz w:val="24"/>
              </w:rPr>
            </w:pPr>
            <w:r>
              <w:rPr>
                <w:rFonts w:hint="eastAsia" w:hAnsi="宋体" w:cs="宋体"/>
                <w:sz w:val="24"/>
                <w:szCs w:val="24"/>
              </w:rPr>
              <w:t>联系电话：</w:t>
            </w:r>
            <w:r>
              <w:rPr>
                <w:rFonts w:hint="eastAsia" w:asciiTheme="minorEastAsia" w:hAnsiTheme="minorEastAsia" w:cstheme="minorEastAsia"/>
                <w:sz w:val="24"/>
              </w:rPr>
              <w:t>0374-6060626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tcPr>
          <w:p>
            <w:pPr>
              <w:spacing w:line="530" w:lineRule="exact"/>
              <w:rPr>
                <w:rFonts w:hAnsi="宋体" w:cs="宋体"/>
                <w:sz w:val="24"/>
              </w:rPr>
            </w:pPr>
            <w:r>
              <w:rPr>
                <w:rFonts w:hint="eastAsia" w:hAnsi="宋体" w:cs="宋体"/>
                <w:sz w:val="24"/>
              </w:rPr>
              <w:t>代理机构：中大国信工程管理有限公司</w:t>
            </w:r>
          </w:p>
          <w:p>
            <w:pPr>
              <w:spacing w:line="530" w:lineRule="exact"/>
              <w:rPr>
                <w:rFonts w:hAnsi="宋体" w:cs="宋体"/>
                <w:sz w:val="24"/>
              </w:rPr>
            </w:pPr>
            <w:r>
              <w:rPr>
                <w:rFonts w:hint="eastAsia" w:hAnsi="宋体" w:cs="宋体"/>
                <w:sz w:val="24"/>
              </w:rPr>
              <w:t>地    址：</w:t>
            </w:r>
            <w:r>
              <w:rPr>
                <w:rFonts w:hint="eastAsia" w:hAnsi="宋体" w:cs="宋体"/>
                <w:sz w:val="24"/>
                <w:szCs w:val="24"/>
              </w:rPr>
              <w:t>许昌市万象春天2号楼3单元2001</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 xml:space="preserve">联系人：颜先生 </w:t>
            </w:r>
          </w:p>
          <w:p>
            <w:pPr>
              <w:widowControl/>
              <w:spacing w:line="380" w:lineRule="exact"/>
              <w:rPr>
                <w:rFonts w:hAnsi="宋体"/>
                <w:sz w:val="24"/>
              </w:rPr>
            </w:pPr>
            <w:r>
              <w:rPr>
                <w:rFonts w:hint="eastAsia" w:hAnsi="宋体" w:cs="宋体"/>
                <w:sz w:val="24"/>
                <w:szCs w:val="24"/>
              </w:rPr>
              <w:t>联系方式：18339017985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60" w:lineRule="auto"/>
              <w:rPr>
                <w:rFonts w:hAnsi="宋体" w:eastAsia="宋体"/>
                <w:sz w:val="24"/>
              </w:rPr>
            </w:pPr>
            <w:r>
              <w:rPr>
                <w:rFonts w:hAnsi="宋体" w:eastAsia="宋体" w:cs="宋体"/>
                <w:sz w:val="24"/>
              </w:rPr>
              <w:t>曹魏古城北城门及两侧地块项目（1-15#楼、地库及室外）消防及地下车库人防通风工程</w:t>
            </w:r>
            <w:r>
              <w:rPr>
                <w:rFonts w:hint="eastAsia" w:hAnsi="宋体" w:eastAsia="宋体" w:cs="宋体"/>
                <w:sz w:val="24"/>
              </w:rPr>
              <w:t>（二标段）</w:t>
            </w:r>
            <w:r>
              <w:rPr>
                <w:rFonts w:hint="eastAsia" w:hAnsi="宋体" w:eastAsia="宋体" w:cs="宋体"/>
                <w:sz w:val="24"/>
                <w:lang w:eastAsia="zh-CN"/>
              </w:rPr>
              <w:t>三</w:t>
            </w:r>
            <w:r>
              <w:rPr>
                <w:rFonts w:hint="eastAsia" w:hAnsi="宋体" w:eastAsia="宋体" w:cs="宋体"/>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jc w:val="left"/>
              <w:rPr>
                <w:rFonts w:hAnsi="宋体"/>
                <w:sz w:val="24"/>
              </w:rPr>
            </w:pPr>
            <w:r>
              <w:rPr>
                <w:rFonts w:hint="eastAsia" w:hAnsi="宋体" w:eastAsia="宋体" w:cs="宋体"/>
                <w:sz w:val="24"/>
              </w:rPr>
              <w:t>该项目位于许昌市魏都区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w:t>
            </w:r>
            <w:r>
              <w:rPr>
                <w:rFonts w:hint="eastAsia" w:hAnsi="宋体" w:cs="仿宋_GB2312"/>
                <w:sz w:val="24"/>
              </w:rPr>
              <w:t>内容</w:t>
            </w: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widowControl/>
              <w:spacing w:line="400" w:lineRule="exact"/>
              <w:rPr>
                <w:rFonts w:ascii="新宋体" w:hAnsi="新宋体" w:eastAsia="新宋体" w:cs="新宋体"/>
                <w:bCs/>
                <w:sz w:val="24"/>
              </w:rPr>
            </w:pPr>
            <w:r>
              <w:rPr>
                <w:rFonts w:hint="eastAsia" w:hAnsi="宋体" w:cs="宋体"/>
                <w:sz w:val="24"/>
              </w:rPr>
              <w:t>1</w:t>
            </w:r>
            <w:r>
              <w:rPr>
                <w:rFonts w:hint="eastAsia" w:hAnsi="宋体" w:cs="宋体"/>
                <w:sz w:val="24"/>
                <w:szCs w:val="24"/>
              </w:rPr>
              <w:t>投标人需具备独立法人资格，具有有效的营业执照、税务登记证、组织机构代码证（三证合一企</w:t>
            </w:r>
            <w:r>
              <w:rPr>
                <w:rFonts w:hint="eastAsia" w:hAnsi="宋体" w:cs="宋体"/>
                <w:color w:val="auto"/>
                <w:sz w:val="24"/>
                <w:szCs w:val="24"/>
              </w:rPr>
              <w:t>业只需提供营业执照）；并具有建设行政主管部门颁发的建筑</w:t>
            </w:r>
            <w:r>
              <w:rPr>
                <w:rFonts w:hint="eastAsia" w:hAnsi="宋体" w:cs="宋体"/>
                <w:color w:val="auto"/>
                <w:sz w:val="24"/>
                <w:szCs w:val="24"/>
                <w:lang w:eastAsia="zh-CN"/>
              </w:rPr>
              <w:t>施工</w:t>
            </w:r>
            <w:r>
              <w:rPr>
                <w:rFonts w:hint="eastAsia" w:hAnsi="宋体" w:cs="宋体"/>
                <w:color w:val="auto"/>
                <w:sz w:val="24"/>
                <w:szCs w:val="24"/>
              </w:rPr>
              <w:t>总承包叁级及以上（含叁级）资质，且有有效的安全生产许可证。拟派项目负责人（项目经理）具有建筑工程专</w:t>
            </w:r>
            <w:r>
              <w:rPr>
                <w:rFonts w:hint="eastAsia" w:hAnsi="宋体" w:cs="宋体"/>
                <w:sz w:val="24"/>
                <w:szCs w:val="24"/>
              </w:rPr>
              <w:t>业贰级及以上注册建造师资格（不含临时）和安全生产考核合格证，且未承担其他在施建设工程的项目负责人（项目经理）；</w:t>
            </w:r>
            <w:r>
              <w:rPr>
                <w:rFonts w:hint="eastAsia" w:ascii="新宋体" w:hAnsi="新宋体" w:eastAsia="新宋体" w:cs="新宋体"/>
                <w:bCs/>
                <w:sz w:val="24"/>
              </w:rPr>
              <w:t>。</w:t>
            </w:r>
          </w:p>
          <w:p>
            <w:pPr>
              <w:widowControl/>
              <w:spacing w:line="400" w:lineRule="exact"/>
              <w:rPr>
                <w:rFonts w:hint="eastAsia" w:hAnsi="宋体" w:cs="宋体"/>
                <w:color w:val="auto"/>
                <w:sz w:val="24"/>
                <w:szCs w:val="24"/>
              </w:rPr>
            </w:pPr>
            <w:r>
              <w:rPr>
                <w:rFonts w:hint="eastAsia" w:hAnsi="宋体" w:cs="宋体"/>
                <w:color w:val="auto"/>
                <w:sz w:val="24"/>
                <w:szCs w:val="24"/>
              </w:rPr>
              <w:t>2</w:t>
            </w:r>
            <w:r>
              <w:rPr>
                <w:rFonts w:hint="eastAsia" w:hAnsi="宋体" w:cs="宋体"/>
                <w:color w:val="auto"/>
                <w:sz w:val="24"/>
                <w:szCs w:val="24"/>
                <w:lang w:val="en-US" w:eastAsia="zh-CN"/>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auto"/>
                <w:sz w:val="24"/>
                <w:szCs w:val="24"/>
              </w:rPr>
              <w:t>。</w:t>
            </w:r>
          </w:p>
          <w:p>
            <w:pPr>
              <w:widowControl/>
              <w:spacing w:line="400" w:lineRule="exact"/>
              <w:rPr>
                <w:rFonts w:hint="eastAsia" w:hAnsi="宋体" w:cs="宋体"/>
                <w:color w:val="auto"/>
                <w:sz w:val="24"/>
                <w:szCs w:val="24"/>
              </w:rPr>
            </w:pPr>
            <w:r>
              <w:rPr>
                <w:rFonts w:hint="eastAsia" w:hAnsi="宋体" w:cs="宋体"/>
                <w:color w:val="auto"/>
                <w:sz w:val="24"/>
                <w:szCs w:val="24"/>
              </w:rPr>
              <w:t>3本次招标不接受联合体投标。</w:t>
            </w:r>
          </w:p>
          <w:p>
            <w:pPr>
              <w:widowControl/>
              <w:spacing w:line="400" w:lineRule="exact"/>
              <w:rPr>
                <w:szCs w:val="24"/>
              </w:rPr>
            </w:pPr>
            <w:r>
              <w:rPr>
                <w:rFonts w:hint="eastAsia" w:hAnsi="宋体" w:cs="宋体"/>
                <w:color w:val="auto"/>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eastAsia="宋体" w:cs="宋体"/>
                <w:sz w:val="24"/>
                <w:szCs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宋体"/>
                <w:sz w:val="24"/>
                <w:szCs w:val="24"/>
              </w:rPr>
              <w:t>20</w:t>
            </w:r>
            <w:r>
              <w:rPr>
                <w:rFonts w:hint="eastAsia" w:hAnsi="宋体" w:cs="宋体"/>
                <w:sz w:val="24"/>
                <w:szCs w:val="24"/>
                <w:lang w:val="en-US" w:eastAsia="zh-CN"/>
              </w:rPr>
              <w:t>20</w:t>
            </w:r>
            <w:r>
              <w:rPr>
                <w:rFonts w:hint="eastAsia" w:hAnsi="宋体" w:cs="宋体"/>
                <w:sz w:val="24"/>
                <w:szCs w:val="24"/>
              </w:rPr>
              <w:t>年</w:t>
            </w:r>
            <w:r>
              <w:rPr>
                <w:rFonts w:hint="eastAsia" w:hAnsi="宋体" w:cs="宋体"/>
                <w:sz w:val="24"/>
                <w:szCs w:val="24"/>
                <w:lang w:val="en-US" w:eastAsia="zh-CN"/>
              </w:rPr>
              <w:t>1</w:t>
            </w:r>
            <w:r>
              <w:rPr>
                <w:rFonts w:hAnsi="宋体" w:eastAsia="宋体" w:cs="宋体"/>
                <w:sz w:val="24"/>
                <w:szCs w:val="24"/>
              </w:rPr>
              <w:t>月</w:t>
            </w:r>
            <w:r>
              <w:rPr>
                <w:rFonts w:hint="eastAsia" w:hAnsi="宋体" w:eastAsia="宋体" w:cs="宋体"/>
                <w:sz w:val="24"/>
                <w:szCs w:val="24"/>
                <w:lang w:val="en-US" w:eastAsia="zh-CN"/>
              </w:rPr>
              <w:t>17</w:t>
            </w:r>
            <w:r>
              <w:rPr>
                <w:rFonts w:hAnsi="宋体" w:eastAsia="宋体" w:cs="宋体"/>
                <w:sz w:val="24"/>
                <w:szCs w:val="24"/>
              </w:rPr>
              <w:t>日</w:t>
            </w:r>
            <w:r>
              <w:rPr>
                <w:rFonts w:hint="eastAsia" w:hAnsi="宋体" w:eastAsia="宋体" w:cs="宋体"/>
                <w:sz w:val="24"/>
                <w:szCs w:val="24"/>
                <w:lang w:val="en-US" w:eastAsia="zh-CN"/>
              </w:rPr>
              <w:t>8</w:t>
            </w:r>
            <w:r>
              <w:rPr>
                <w:rFonts w:hAnsi="宋体" w:eastAsia="宋体" w:cs="宋体"/>
                <w:sz w:val="24"/>
                <w:szCs w:val="24"/>
              </w:rPr>
              <w:t>时</w:t>
            </w:r>
            <w:r>
              <w:rPr>
                <w:rFonts w:hint="eastAsia" w:hAnsi="宋体" w:eastAsia="宋体" w:cs="宋体"/>
                <w:sz w:val="24"/>
                <w:szCs w:val="24"/>
                <w:lang w:val="en-US" w:eastAsia="zh-CN"/>
              </w:rPr>
              <w:t>30</w:t>
            </w:r>
            <w:r>
              <w:rPr>
                <w:rFonts w:hAnsi="宋体" w:eastAsia="宋体" w:cs="宋体"/>
                <w:sz w:val="24"/>
                <w:szCs w:val="24"/>
              </w:rPr>
              <w:t>分</w:t>
            </w:r>
            <w:r>
              <w:rPr>
                <w:rFonts w:hint="eastAsia" w:hAnsi="宋体" w:cs="黑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5" w:name="OLE_LINK4" w:colFirst="0" w:colLast="2"/>
            <w:bookmarkStart w:id="6" w:name="_Hlk424659721"/>
            <w:bookmarkStart w:id="7"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360" w:lineRule="auto"/>
              <w:jc w:val="left"/>
              <w:rPr>
                <w:rFonts w:hAnsi="宋体" w:cs="宋体"/>
                <w:sz w:val="24"/>
              </w:rPr>
            </w:pPr>
            <w:r>
              <w:rPr>
                <w:rFonts w:hint="eastAsia" w:hAnsi="宋体" w:cs="宋体"/>
                <w:sz w:val="24"/>
              </w:rPr>
              <w:t>标保证金递交截止时间：</w:t>
            </w:r>
            <w:r>
              <w:rPr>
                <w:rFonts w:hint="eastAsia" w:hAnsi="宋体" w:cs="宋体"/>
                <w:b/>
                <w:sz w:val="24"/>
                <w:szCs w:val="24"/>
              </w:rPr>
              <w:t>20</w:t>
            </w:r>
            <w:r>
              <w:rPr>
                <w:rFonts w:hint="eastAsia" w:hAnsi="宋体" w:cs="宋体"/>
                <w:b/>
                <w:sz w:val="24"/>
                <w:szCs w:val="24"/>
                <w:lang w:val="en-US" w:eastAsia="zh-CN"/>
              </w:rPr>
              <w:t>20</w:t>
            </w:r>
            <w:r>
              <w:rPr>
                <w:rFonts w:hint="eastAsia" w:hAnsi="宋体" w:cs="宋体"/>
                <w:b/>
                <w:sz w:val="24"/>
                <w:szCs w:val="24"/>
              </w:rPr>
              <w:t>年</w:t>
            </w:r>
            <w:r>
              <w:rPr>
                <w:rFonts w:hint="eastAsia" w:hAnsi="宋体" w:cs="宋体"/>
                <w:b/>
                <w:sz w:val="24"/>
                <w:szCs w:val="24"/>
                <w:lang w:val="en-US" w:eastAsia="zh-CN"/>
              </w:rPr>
              <w:t>1</w:t>
            </w:r>
            <w:r>
              <w:rPr>
                <w:rFonts w:hint="eastAsia" w:hAnsi="宋体" w:cs="宋体"/>
                <w:b/>
                <w:sz w:val="24"/>
                <w:szCs w:val="24"/>
              </w:rPr>
              <w:t>月</w:t>
            </w:r>
            <w:r>
              <w:rPr>
                <w:rFonts w:hint="eastAsia" w:hAnsi="宋体" w:cs="宋体"/>
                <w:b/>
                <w:sz w:val="24"/>
                <w:szCs w:val="24"/>
                <w:lang w:val="en-US" w:eastAsia="zh-CN"/>
              </w:rPr>
              <w:t>17</w:t>
            </w:r>
            <w:r>
              <w:rPr>
                <w:rFonts w:hint="eastAsia" w:hAnsi="宋体" w:cs="宋体"/>
                <w:b/>
                <w:sz w:val="24"/>
                <w:szCs w:val="24"/>
              </w:rPr>
              <w:t>日</w:t>
            </w:r>
            <w:r>
              <w:rPr>
                <w:rFonts w:hint="eastAsia" w:hAnsi="宋体" w:cs="宋体"/>
                <w:b/>
                <w:sz w:val="24"/>
                <w:szCs w:val="24"/>
                <w:lang w:val="en-US" w:eastAsia="zh-CN"/>
              </w:rPr>
              <w:t>8</w:t>
            </w:r>
            <w:r>
              <w:rPr>
                <w:rFonts w:hint="eastAsia" w:hAnsi="宋体" w:cs="宋体"/>
                <w:b/>
                <w:sz w:val="24"/>
                <w:szCs w:val="24"/>
              </w:rPr>
              <w:t xml:space="preserve"> 时 </w:t>
            </w:r>
            <w:r>
              <w:rPr>
                <w:rFonts w:hint="eastAsia" w:hAnsi="宋体" w:cs="宋体"/>
                <w:b/>
                <w:sz w:val="24"/>
                <w:szCs w:val="24"/>
                <w:lang w:val="en-US" w:eastAsia="zh-CN"/>
              </w:rPr>
              <w:t>30</w:t>
            </w:r>
            <w:r>
              <w:rPr>
                <w:rFonts w:hint="eastAsia" w:hAnsi="宋体" w:cs="宋体"/>
                <w:b/>
                <w:sz w:val="24"/>
                <w:szCs w:val="24"/>
              </w:rPr>
              <w:t xml:space="preserve"> 分</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金额：贰万捌仟元整（</w:t>
            </w:r>
            <w:r>
              <w:rPr>
                <w:rFonts w:ascii="Arial" w:hAnsi="Arial" w:cs="Arial"/>
                <w:b/>
                <w:bCs/>
                <w:sz w:val="24"/>
              </w:rPr>
              <w:t>¥</w:t>
            </w:r>
            <w:r>
              <w:rPr>
                <w:rFonts w:hint="eastAsia" w:ascii="Arial" w:hAnsi="Arial" w:cs="Arial"/>
                <w:b/>
                <w:bCs/>
                <w:sz w:val="24"/>
              </w:rPr>
              <w:t>28000.00</w:t>
            </w:r>
            <w:r>
              <w:rPr>
                <w:rFonts w:hint="eastAsia" w:hAnsi="宋体" w:cs="宋体"/>
                <w:b/>
                <w:bCs/>
                <w:sz w:val="24"/>
              </w:rPr>
              <w:t>元）</w:t>
            </w:r>
          </w:p>
          <w:p>
            <w:pPr>
              <w:autoSpaceDE w:val="0"/>
              <w:autoSpaceDN w:val="0"/>
              <w:adjustRightInd w:val="0"/>
              <w:jc w:val="lef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sz w:val="24"/>
                <w:lang w:val="zh-CN"/>
              </w:rPr>
            </w:pPr>
            <w:r>
              <w:rPr>
                <w:rFonts w:hint="eastAsia" w:hAnsi="宋体" w:cs="宋体"/>
                <w:sz w:val="24"/>
                <w:lang w:val="zh-CN"/>
              </w:rPr>
              <w:t>2、投标保证金缴纳方式：</w:t>
            </w:r>
          </w:p>
          <w:p>
            <w:pPr>
              <w:autoSpaceDE w:val="0"/>
              <w:autoSpaceDN w:val="0"/>
              <w:adjustRightInd w:val="0"/>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jc w:val="lef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jc w:val="lef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jc w:val="lef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jc w:val="left"/>
              <w:rPr>
                <w:rFonts w:hAnsi="宋体" w:cs="仿宋_GB2312"/>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3.4.3</w:t>
            </w:r>
          </w:p>
        </w:tc>
        <w:tc>
          <w:tcPr>
            <w:tcW w:w="2447" w:type="dxa"/>
            <w:gridSpan w:val="3"/>
            <w:vAlign w:val="center"/>
          </w:tcPr>
          <w:p>
            <w:pPr>
              <w:autoSpaceDE w:val="0"/>
              <w:autoSpaceDN w:val="0"/>
              <w:adjustRightInd w:val="0"/>
              <w:jc w:val="center"/>
              <w:rPr>
                <w:rFonts w:hAnsi="宋体" w:cs="仿宋_GB2312"/>
                <w:sz w:val="24"/>
              </w:rPr>
            </w:pPr>
            <w:r>
              <w:rPr>
                <w:rFonts w:hint="eastAsia" w:hAnsi="宋体" w:eastAsia="宋体" w:cs="宋体"/>
                <w:sz w:val="24"/>
              </w:rPr>
              <w:t>履约保证金</w:t>
            </w:r>
          </w:p>
        </w:tc>
        <w:tc>
          <w:tcPr>
            <w:tcW w:w="6283" w:type="dxa"/>
            <w:gridSpan w:val="2"/>
            <w:vAlign w:val="center"/>
          </w:tcPr>
          <w:p>
            <w:pPr>
              <w:autoSpaceDE w:val="0"/>
              <w:autoSpaceDN w:val="0"/>
              <w:adjustRightInd w:val="0"/>
              <w:spacing w:line="360" w:lineRule="auto"/>
              <w:jc w:val="left"/>
              <w:rPr>
                <w:rFonts w:hAnsi="宋体" w:cs="宋体"/>
                <w:sz w:val="24"/>
                <w:lang w:val="zh-CN"/>
              </w:rPr>
            </w:pPr>
            <w:r>
              <w:rPr>
                <w:rFonts w:hint="eastAsia" w:hAnsi="宋体" w:cs="宋体"/>
                <w:sz w:val="24"/>
                <w:lang w:val="zh-CN"/>
              </w:rPr>
              <w:t>中标单位在签订合同前需向甲方（业主）足额缴纳履约保证金。</w:t>
            </w:r>
          </w:p>
          <w:p>
            <w:pPr>
              <w:numPr>
                <w:ilvl w:val="0"/>
                <w:numId w:val="2"/>
              </w:numPr>
              <w:autoSpaceDE w:val="0"/>
              <w:autoSpaceDN w:val="0"/>
              <w:adjustRightInd w:val="0"/>
              <w:spacing w:line="360" w:lineRule="auto"/>
              <w:jc w:val="left"/>
              <w:rPr>
                <w:rFonts w:hAnsi="宋体" w:cs="宋体"/>
                <w:sz w:val="24"/>
                <w:lang w:val="zh-CN"/>
              </w:rPr>
            </w:pPr>
            <w:r>
              <w:rPr>
                <w:rFonts w:hint="eastAsia" w:hAnsi="宋体" w:cs="宋体"/>
                <w:sz w:val="24"/>
                <w:lang w:val="zh-CN"/>
              </w:rPr>
              <w:t>缴纳金额：按中标价的</w:t>
            </w:r>
            <w:r>
              <w:rPr>
                <w:rFonts w:hint="eastAsia" w:hAnsi="宋体" w:cs="宋体"/>
                <w:sz w:val="24"/>
              </w:rPr>
              <w:t>5</w:t>
            </w:r>
            <w:r>
              <w:rPr>
                <w:rFonts w:hint="eastAsia" w:hAnsi="宋体" w:cs="宋体"/>
                <w:sz w:val="24"/>
                <w:lang w:val="zh-CN"/>
              </w:rPr>
              <w:t>%收取履约保证金；</w:t>
            </w:r>
          </w:p>
          <w:p>
            <w:pPr>
              <w:autoSpaceDE w:val="0"/>
              <w:autoSpaceDN w:val="0"/>
              <w:adjustRightInd w:val="0"/>
              <w:jc w:val="left"/>
              <w:rPr>
                <w:rFonts w:hAnsi="宋体" w:cs="宋体"/>
                <w:sz w:val="24"/>
                <w:lang w:val="zh-CN"/>
              </w:rPr>
            </w:pPr>
            <w:r>
              <w:rPr>
                <w:rFonts w:hint="eastAsia" w:hAnsi="宋体" w:cs="宋体"/>
                <w:sz w:val="24"/>
                <w:lang w:val="zh-CN"/>
              </w:rPr>
              <w:t>（2）缴纳方式：银行保函或银行转账</w:t>
            </w:r>
          </w:p>
        </w:tc>
      </w:tr>
      <w:bookmarkEnd w:id="5"/>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近年，指2016、2017、2018年度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pStyle w:val="2"/>
              <w:spacing w:line="360" w:lineRule="auto"/>
              <w:ind w:firstLine="0" w:firstLineChars="0"/>
              <w:rPr>
                <w:rFonts w:hAnsi="宋体" w:cs="TimesNewRomanPSMT"/>
                <w:sz w:val="24"/>
              </w:rPr>
            </w:pPr>
            <w:r>
              <w:rPr>
                <w:rFonts w:hint="eastAsia" w:hAnsi="宋体" w:cs="TimesNewRomanPSMT"/>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电子投标文件：按招标文件要求加盖</w:t>
            </w:r>
            <w:r>
              <w:rPr>
                <w:rFonts w:hint="eastAsia" w:hAnsi="宋体" w:cs="宋体"/>
                <w:sz w:val="24"/>
                <w:lang w:val="zh-CN"/>
              </w:rPr>
              <w:t>电子印章和法人电子印章</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（2）使用电子介质存储的投标文件1份（文件格式为：xxx公司XXX（项目编号）XXX标段.bin）、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和EXCEL格式的商务标投标文件1份。</w:t>
            </w:r>
          </w:p>
          <w:p>
            <w:pPr>
              <w:autoSpaceDE w:val="0"/>
              <w:autoSpaceDN w:val="0"/>
              <w:adjustRightInd w:val="0"/>
              <w:spacing w:line="420" w:lineRule="exact"/>
              <w:rPr>
                <w:rFonts w:ascii="新宋体" w:hAnsi="新宋体" w:eastAsia="新宋体"/>
                <w:b/>
                <w:sz w:val="24"/>
              </w:rPr>
            </w:pPr>
            <w:r>
              <w:rPr>
                <w:rFonts w:hint="eastAsia" w:ascii="新宋体" w:hAnsi="新宋体" w:eastAsia="新宋体"/>
                <w:b/>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w:t>
            </w:r>
            <w:r>
              <w:rPr>
                <w:rFonts w:hint="eastAsia" w:ascii="新宋体" w:hAnsi="新宋体" w:eastAsia="新宋体"/>
                <w:sz w:val="24"/>
                <w:lang w:eastAsia="zh-CN"/>
              </w:rPr>
              <w:t>二</w:t>
            </w:r>
            <w:r>
              <w:rPr>
                <w:rFonts w:hint="eastAsia" w:ascii="新宋体" w:hAnsi="新宋体" w:eastAsia="新宋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rPr>
                <w:sz w:val="24"/>
              </w:rPr>
            </w:pPr>
            <w:r>
              <w:rPr>
                <w:rFonts w:hint="eastAsia" w:hAnsi="宋体" w:eastAsia="宋体" w:cs="宋体"/>
                <w:sz w:val="24"/>
              </w:rPr>
              <w:t>评标委员会构成：5</w:t>
            </w:r>
            <w:r>
              <w:rPr>
                <w:rFonts w:hint="eastAsia" w:ascii="新宋体" w:hAnsi="新宋体" w:eastAsia="新宋体"/>
                <w:sz w:val="24"/>
              </w:rPr>
              <w:t>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085" w:type="dxa"/>
            <w:gridSpan w:val="3"/>
            <w:vAlign w:val="center"/>
          </w:tcPr>
          <w:p>
            <w:pPr>
              <w:autoSpaceDE w:val="0"/>
              <w:autoSpaceDN w:val="0"/>
              <w:adjustRightInd w:val="0"/>
              <w:spacing w:line="420" w:lineRule="exact"/>
              <w:jc w:val="left"/>
              <w:rPr>
                <w:rFonts w:hint="eastAsia" w:hAnsi="宋体" w:eastAsia="宋体" w:cs="仿宋_GB2312"/>
                <w:sz w:val="24"/>
                <w:lang w:eastAsia="zh-CN"/>
              </w:rPr>
            </w:pPr>
            <w:r>
              <w:rPr>
                <w:rFonts w:hint="eastAsia" w:hAnsi="宋体" w:eastAsia="宋体" w:cs="宋体"/>
                <w:sz w:val="24"/>
              </w:rPr>
              <w:t>2016年1月1日以来与本工程类似的</w:t>
            </w:r>
            <w:r>
              <w:rPr>
                <w:rFonts w:hint="eastAsia" w:hAnsi="宋体" w:eastAsia="宋体" w:cs="宋体"/>
                <w:sz w:val="24"/>
                <w:lang w:eastAsia="zh-CN"/>
              </w:rPr>
              <w:t>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vAlign w:val="center"/>
          </w:tcPr>
          <w:tbl>
            <w:tblPr>
              <w:tblStyle w:val="43"/>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sz w:val="24"/>
                    </w:rPr>
                  </w:pPr>
                  <w:r>
                    <w:rPr>
                      <w:rFonts w:hint="eastAsia" w:hAnsi="宋体" w:cs="宋体"/>
                      <w:b/>
                      <w:bCs/>
                      <w:sz w:val="24"/>
                    </w:rPr>
                    <w:t>本工程设招标控制价：</w:t>
                  </w:r>
                </w:p>
                <w:p>
                  <w:pPr>
                    <w:pStyle w:val="2"/>
                    <w:ind w:firstLine="0" w:firstLineChars="0"/>
                    <w:rPr>
                      <w:rFonts w:hAnsi="宋体" w:cs="宋体"/>
                      <w:b/>
                      <w:bCs/>
                      <w:sz w:val="24"/>
                    </w:rPr>
                  </w:pPr>
                  <w:r>
                    <w:rPr>
                      <w:rFonts w:hint="eastAsia" w:hAnsi="宋体" w:cs="宋体"/>
                      <w:b/>
                      <w:bCs/>
                      <w:sz w:val="24"/>
                    </w:rPr>
                    <w:t xml:space="preserve">大写：壹佰肆拾肆万壹仟零陆拾壹元贰角柒分                                         </w:t>
                  </w:r>
                </w:p>
                <w:p>
                  <w:pPr>
                    <w:keepNext/>
                    <w:spacing w:line="360" w:lineRule="auto"/>
                    <w:rPr>
                      <w:rFonts w:hAnsi="宋体" w:cs="宋体"/>
                      <w:b/>
                      <w:bCs/>
                      <w:sz w:val="24"/>
                    </w:rPr>
                  </w:pPr>
                  <w:r>
                    <w:rPr>
                      <w:rFonts w:hint="eastAsia" w:hAnsi="宋体" w:cs="宋体"/>
                      <w:b/>
                      <w:bCs/>
                      <w:sz w:val="24"/>
                    </w:rPr>
                    <w:t>小写：</w:t>
                  </w:r>
                  <w:r>
                    <w:rPr>
                      <w:rFonts w:hint="eastAsia" w:hAnsi="宋体" w:eastAsia="宋体" w:cs="宋体"/>
                      <w:b/>
                      <w:bCs/>
                      <w:sz w:val="24"/>
                    </w:rPr>
                    <w:t>1441061.27</w:t>
                  </w:r>
                  <w:r>
                    <w:rPr>
                      <w:rFonts w:hint="eastAsia" w:hAnsi="宋体" w:cs="宋体"/>
                      <w:b/>
                      <w:bCs/>
                      <w:sz w:val="24"/>
                    </w:rPr>
                    <w:t xml:space="preserve">元   </w:t>
                  </w:r>
                </w:p>
                <w:p>
                  <w:pPr>
                    <w:autoSpaceDE w:val="0"/>
                    <w:autoSpaceDN w:val="0"/>
                    <w:adjustRightInd w:val="0"/>
                    <w:spacing w:line="276" w:lineRule="auto"/>
                    <w:ind w:firstLine="480" w:firstLineChars="200"/>
                    <w:rPr>
                      <w:rFonts w:hAnsi="宋体" w:cs="宋体"/>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numPr>
                <w:ilvl w:val="0"/>
                <w:numId w:val="4"/>
              </w:numPr>
              <w:spacing w:line="312" w:lineRule="auto"/>
              <w:rPr>
                <w:rFonts w:ascii="新宋体" w:hAnsi="新宋体" w:eastAsia="新宋体"/>
                <w:sz w:val="24"/>
              </w:rPr>
            </w:pPr>
            <w:r>
              <w:rPr>
                <w:rFonts w:hint="eastAsia" w:hAnsi="宋体" w:cs="宋体"/>
                <w:b/>
                <w:sz w:val="24"/>
              </w:rPr>
              <w:t>开标时各投标人的法定代表人或授权委托人持身份证及授权委托书，到开标现场签到，缺席或逾期不到者视为放弃。各投标单位参加会议人数不得多于</w:t>
            </w:r>
            <w:r>
              <w:rPr>
                <w:rFonts w:hint="eastAsia" w:hAnsi="宋体" w:eastAsia="宋体" w:cs="宋体"/>
                <w:b/>
                <w:sz w:val="24"/>
              </w:rPr>
              <w:t>三</w:t>
            </w:r>
            <w:r>
              <w:rPr>
                <w:rFonts w:hint="eastAsia" w:hAnsi="宋体" w:cs="宋体"/>
                <w:b/>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hAnsi="宋体" w:cs="宋体"/>
                <w:sz w:val="24"/>
              </w:rPr>
            </w:pPr>
            <w:r>
              <w:rPr>
                <w:rFonts w:hint="eastAsia" w:hAnsi="宋体" w:cs="宋体"/>
                <w:sz w:val="24"/>
              </w:rPr>
              <w:t>1、在中标通知书发出前，招标人将中标候选人的情况在《全国公共资源交易平台（河南省·许昌市）》、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p>
            <w:pPr>
              <w:spacing w:line="440" w:lineRule="exact"/>
              <w:rPr>
                <w:rFonts w:ascii="新宋体" w:hAnsi="新宋体" w:eastAsia="新宋体"/>
                <w:b/>
                <w:sz w:val="24"/>
              </w:rPr>
            </w:pPr>
            <w:r>
              <w:rPr>
                <w:rFonts w:hint="eastAsia" w:hAnsi="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8" w:name="_Toc225243456"/>
            <w:bookmarkStart w:id="9" w:name="_Toc283559965"/>
            <w:r>
              <w:rPr>
                <w:rFonts w:hint="eastAsia" w:hAnsi="宋体" w:cs="宋体"/>
                <w:sz w:val="24"/>
              </w:rPr>
              <w:t>10.11.1 投标文件的拒收</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Ansi="宋体" w:cs="宋体"/>
                <w:sz w:val="24"/>
              </w:rPr>
            </w:pPr>
            <w:r>
              <w:rPr>
                <w:rFonts w:hint="eastAsia" w:hAnsi="宋体" w:cs="宋体"/>
                <w:sz w:val="24"/>
              </w:rPr>
              <w:t>4、本项目试行全流程电子化交易，如因系统异常情况无法完成，将以人工方式进行。</w:t>
            </w:r>
          </w:p>
          <w:p>
            <w:pPr>
              <w:autoSpaceDE w:val="0"/>
              <w:autoSpaceDN w:val="0"/>
              <w:spacing w:line="440" w:lineRule="exact"/>
              <w:jc w:val="left"/>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rPr>
                <w:rFonts w:hAnsi="宋体" w:cs="宋体"/>
                <w:sz w:val="24"/>
              </w:rPr>
            </w:pPr>
            <w:r>
              <w:rPr>
                <w:rFonts w:hint="eastAsia" w:hAnsi="宋体" w:cs="宋体"/>
                <w:sz w:val="24"/>
              </w:rPr>
              <w:t>7、商务标投标文件制作注意事项：</w:t>
            </w:r>
          </w:p>
          <w:p>
            <w:pPr>
              <w:autoSpaceDE w:val="0"/>
              <w:autoSpaceDN w:val="0"/>
              <w:spacing w:line="440" w:lineRule="exact"/>
              <w:jc w:val="left"/>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rPr>
                <w:rFonts w:hAnsi="宋体" w:cs="宋体"/>
                <w:sz w:val="24"/>
              </w:rPr>
            </w:pPr>
            <w:r>
              <w:rPr>
                <w:rFonts w:hint="eastAsia" w:hAnsi="宋体" w:cs="宋体"/>
                <w:sz w:val="24"/>
              </w:rPr>
              <w:t>7.2 商务标投标文件制作技术咨询：0374-2961598。</w:t>
            </w:r>
          </w:p>
          <w:p>
            <w:pPr>
              <w:autoSpaceDE w:val="0"/>
              <w:autoSpaceDN w:val="0"/>
              <w:spacing w:line="440" w:lineRule="exact"/>
              <w:jc w:val="left"/>
              <w:rPr>
                <w:rFonts w:hAnsi="宋体" w:cs="宋体"/>
                <w:b/>
                <w:bCs/>
                <w:sz w:val="28"/>
                <w:szCs w:val="24"/>
              </w:rPr>
            </w:pPr>
            <w:r>
              <w:rPr>
                <w:rFonts w:hint="eastAsia" w:hAnsi="宋体" w:cs="宋体"/>
                <w:b/>
                <w:bCs/>
                <w:sz w:val="28"/>
                <w:szCs w:val="24"/>
              </w:rPr>
              <w:t>8、付款方式：</w:t>
            </w:r>
          </w:p>
          <w:p>
            <w:pPr>
              <w:autoSpaceDE w:val="0"/>
              <w:autoSpaceDN w:val="0"/>
              <w:spacing w:line="440" w:lineRule="exact"/>
              <w:jc w:val="left"/>
              <w:rPr>
                <w:rFonts w:hAnsi="宋体" w:cs="宋体"/>
                <w:b/>
                <w:bCs/>
                <w:sz w:val="24"/>
              </w:rPr>
            </w:pPr>
            <w:r>
              <w:rPr>
                <w:rFonts w:hint="eastAsia" w:hAnsi="宋体" w:cs="宋体"/>
                <w:b/>
                <w:bCs/>
                <w:sz w:val="24"/>
              </w:rPr>
              <w:t>8.1、工程在主管部门验收合格后，支付总工程款的30%；</w:t>
            </w:r>
          </w:p>
          <w:p>
            <w:pPr>
              <w:autoSpaceDE w:val="0"/>
              <w:autoSpaceDN w:val="0"/>
              <w:spacing w:line="440" w:lineRule="exact"/>
              <w:jc w:val="left"/>
              <w:rPr>
                <w:rFonts w:hAnsi="宋体" w:cs="宋体"/>
                <w:b/>
                <w:bCs/>
                <w:sz w:val="24"/>
              </w:rPr>
            </w:pPr>
            <w:r>
              <w:rPr>
                <w:rFonts w:hint="eastAsia" w:hAnsi="宋体" w:cs="宋体"/>
                <w:b/>
                <w:bCs/>
                <w:sz w:val="24"/>
              </w:rPr>
              <w:t>8.2、工程竣工备案并工程结算后6个月内支付至结算价的60%；</w:t>
            </w:r>
          </w:p>
          <w:p>
            <w:pPr>
              <w:autoSpaceDE w:val="0"/>
              <w:autoSpaceDN w:val="0"/>
              <w:spacing w:line="440" w:lineRule="exact"/>
              <w:jc w:val="left"/>
              <w:rPr>
                <w:rFonts w:hAnsi="宋体" w:cs="宋体"/>
                <w:b/>
                <w:bCs/>
                <w:sz w:val="24"/>
              </w:rPr>
            </w:pPr>
            <w:r>
              <w:rPr>
                <w:rFonts w:hint="eastAsia" w:hAnsi="宋体" w:cs="宋体"/>
                <w:b/>
                <w:bCs/>
                <w:sz w:val="24"/>
              </w:rPr>
              <w:t>8.3、质保期一年后支付剩余40%的工程款。</w:t>
            </w:r>
          </w:p>
          <w:p>
            <w:pPr>
              <w:autoSpaceDE w:val="0"/>
              <w:autoSpaceDN w:val="0"/>
              <w:spacing w:line="440" w:lineRule="exact"/>
              <w:jc w:val="left"/>
              <w:rPr>
                <w:rFonts w:hint="eastAsia"/>
                <w:b/>
                <w:bCs/>
                <w:sz w:val="24"/>
                <w:szCs w:val="24"/>
                <w:lang w:val="en-US" w:eastAsia="zh-CN"/>
              </w:rPr>
            </w:pPr>
            <w:r>
              <w:rPr>
                <w:rFonts w:hint="eastAsia"/>
                <w:b/>
                <w:bCs/>
                <w:sz w:val="24"/>
                <w:szCs w:val="24"/>
              </w:rPr>
              <w:t>9、</w:t>
            </w:r>
            <w:r>
              <w:rPr>
                <w:rFonts w:hint="eastAsia"/>
                <w:b/>
                <w:bCs/>
                <w:sz w:val="24"/>
                <w:szCs w:val="24"/>
                <w:lang w:eastAsia="zh-CN"/>
              </w:rPr>
              <w:t>按照《关于推进全流程电子化交易和在线监管工作有关问题的通知》（许公管办【</w:t>
            </w:r>
            <w:r>
              <w:rPr>
                <w:rFonts w:hint="eastAsia"/>
                <w:b/>
                <w:bCs/>
                <w:sz w:val="24"/>
                <w:szCs w:val="24"/>
                <w:lang w:val="en-US" w:eastAsia="zh-CN"/>
              </w:rPr>
              <w:t>2019</w:t>
            </w:r>
            <w:r>
              <w:rPr>
                <w:rFonts w:hint="eastAsia"/>
                <w:b/>
                <w:bCs/>
                <w:sz w:val="24"/>
                <w:szCs w:val="24"/>
                <w:lang w:eastAsia="zh-CN"/>
              </w:rPr>
              <w:t>】</w:t>
            </w:r>
            <w:r>
              <w:rPr>
                <w:rFonts w:hint="eastAsia"/>
                <w:b/>
                <w:bCs/>
                <w:sz w:val="24"/>
                <w:szCs w:val="24"/>
                <w:lang w:val="en-US" w:eastAsia="zh-CN"/>
              </w:rPr>
              <w:t xml:space="preserve">3号）规定：         </w:t>
            </w:r>
          </w:p>
          <w:p>
            <w:pPr>
              <w:autoSpaceDE w:val="0"/>
              <w:autoSpaceDN w:val="0"/>
              <w:spacing w:line="440" w:lineRule="exact"/>
              <w:jc w:val="left"/>
              <w:rPr>
                <w:rFonts w:hint="eastAsia" w:hAnsi="宋体" w:cs="宋体"/>
                <w:b/>
                <w:bCs/>
                <w:sz w:val="24"/>
                <w:szCs w:val="24"/>
                <w:lang w:eastAsia="zh-CN"/>
              </w:rPr>
            </w:pPr>
            <w:r>
              <w:rPr>
                <w:rFonts w:hint="eastAsia" w:hAnsi="宋体" w:cs="宋体"/>
                <w:b/>
                <w:bCs/>
                <w:sz w:val="24"/>
                <w:szCs w:val="24"/>
              </w:rPr>
              <w:t>不同</w:t>
            </w:r>
            <w:r>
              <w:rPr>
                <w:rFonts w:hint="eastAsia" w:hAnsi="宋体" w:cs="宋体"/>
                <w:b/>
                <w:bCs/>
                <w:sz w:val="24"/>
                <w:szCs w:val="24"/>
                <w:lang w:eastAsia="zh-CN"/>
              </w:rPr>
              <w:t>供应商</w:t>
            </w:r>
            <w:r>
              <w:rPr>
                <w:rFonts w:hint="eastAsia" w:hAnsi="宋体" w:cs="宋体"/>
                <w:b/>
                <w:bCs/>
                <w:sz w:val="24"/>
                <w:szCs w:val="24"/>
              </w:rPr>
              <w:t>电子投标文件制作硬件特征码（网卡MAC地址、CPU序号、硬盘序列号）</w:t>
            </w:r>
            <w:r>
              <w:rPr>
                <w:rFonts w:hint="eastAsia" w:hAnsi="宋体" w:cs="宋体"/>
                <w:b/>
                <w:bCs/>
                <w:sz w:val="24"/>
                <w:szCs w:val="24"/>
                <w:lang w:eastAsia="zh-CN"/>
              </w:rPr>
              <w:t>均一致时，视为‘不同投标人的投标文件由同一单位或者个人编制’或‘不同投标人委托同一单位或者个人办理响应事宜’其投标无效。</w:t>
            </w:r>
          </w:p>
          <w:p>
            <w:pPr>
              <w:autoSpaceDE w:val="0"/>
              <w:autoSpaceDN w:val="0"/>
              <w:spacing w:line="440" w:lineRule="exact"/>
              <w:jc w:val="left"/>
              <w:rPr>
                <w:rFonts w:hint="eastAsia" w:hAnsi="宋体" w:cs="宋体" w:eastAsiaTheme="minorEastAsia"/>
                <w:sz w:val="24"/>
                <w:lang w:eastAsia="zh-CN"/>
              </w:rPr>
            </w:pPr>
            <w:r>
              <w:rPr>
                <w:rFonts w:hint="eastAsia" w:hAnsi="宋体" w:cs="宋体"/>
                <w:b/>
                <w:bCs/>
                <w:sz w:val="24"/>
                <w:szCs w:val="24"/>
              </w:rPr>
              <w:t>评标专家应严格按照要求查看“硬件特征码”相关信息并进行评审，在评标报告中显示“不同投标人电子投标文件制作硬件特征码”是否雷同的分析及判定结果</w:t>
            </w:r>
            <w:r>
              <w:rPr>
                <w:rFonts w:hint="eastAsia" w:hAnsi="宋体" w:cs="宋体"/>
                <w:b/>
                <w:bCs/>
                <w:sz w:val="24"/>
                <w:szCs w:val="24"/>
                <w:lang w:eastAsia="zh-CN"/>
              </w:rPr>
              <w:t>。</w:t>
            </w:r>
          </w:p>
        </w:tc>
      </w:tr>
    </w:tbl>
    <w:p>
      <w:pPr>
        <w:autoSpaceDE w:val="0"/>
        <w:autoSpaceDN w:val="0"/>
        <w:spacing w:line="440" w:lineRule="exact"/>
        <w:jc w:val="left"/>
        <w:rPr>
          <w:rFonts w:hAnsi="宋体" w:cs="宋体"/>
          <w:sz w:val="24"/>
        </w:rPr>
      </w:pPr>
      <w:bookmarkStart w:id="10" w:name="_Toc283559947"/>
      <w:bookmarkStart w:id="11" w:name="_Toc283559990"/>
      <w:r>
        <w:rPr>
          <w:rFonts w:hint="eastAsia" w:hAnsi="宋体" w:cs="宋体"/>
          <w:sz w:val="24"/>
        </w:rPr>
        <w:t>1. 总则</w:t>
      </w:r>
    </w:p>
    <w:bookmarkEnd w:id="10"/>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r>
        <w:rPr>
          <w:rFonts w:hint="eastAsia" w:ascii="宋体" w:hAnsi="宋体" w:eastAsia="宋体" w:cs="宋体"/>
          <w:b/>
          <w:bCs w:val="0"/>
          <w:kern w:val="0"/>
          <w:sz w:val="24"/>
          <w:szCs w:val="22"/>
          <w:lang w:val="en-US" w:eastAsia="zh-CN" w:bidi="ar"/>
        </w:rPr>
        <w:t>1.1 项目概况</w:t>
      </w:r>
      <w:r>
        <w:rPr>
          <w:rFonts w:hint="eastAsia" w:ascii="宋体" w:hAnsi="宋体" w:eastAsia="宋体" w:cs="宋体"/>
          <w:b/>
          <w:bCs w:val="0"/>
          <w:kern w:val="0"/>
          <w:sz w:val="24"/>
          <w:szCs w:val="22"/>
          <w:lang w:val="en-US" w:eastAsia="zh-CN" w:bidi="ar"/>
        </w:rPr>
        <w:tab/>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1.1.1根据《中华人民共和国招标投标法》等有关法律、法规和规章的规定，本招标项目已具备招标条件，现对本工程进行施工招标。</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1.1.2 本招标项目招标人：见投标人须知前附表。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1.1.3 本招标项目招标代理机构：见投标人须知前附表。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1.1.4 本招标项目名称：见投标人须知前附表。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1.1.5 本标段建设地点：见投标人须知前附表。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r>
        <w:rPr>
          <w:rFonts w:hint="eastAsia" w:ascii="宋体" w:hAnsi="宋体" w:eastAsia="宋体" w:cs="宋体"/>
          <w:b/>
          <w:bCs w:val="0"/>
          <w:kern w:val="0"/>
          <w:sz w:val="24"/>
          <w:szCs w:val="22"/>
          <w:lang w:val="en-US" w:eastAsia="zh-CN" w:bidi="ar"/>
        </w:rPr>
        <w:t>1.2 资金来源和落实情况</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1.2.1 本招标项目的资金来源：见投标人须知前附表。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1.2.2 本招标项目的出资比例：见投标人须知前附表。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1.2.2本招标项目的资金落实情况：见投标人须知前附表。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1.3 招标范围、工期和质量要求</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1.3.1 本招标项目的招标范围：见投标人须知前附表。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1.3.2 本招标项目的工期要求：见投标人须知前附表。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1.3.3 本招标项目的质量要求：见投标人须知前附表。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r>
        <w:rPr>
          <w:rFonts w:hint="eastAsia" w:ascii="宋体" w:hAnsi="宋体" w:eastAsia="宋体" w:cs="宋体"/>
          <w:b/>
          <w:bCs w:val="0"/>
          <w:kern w:val="0"/>
          <w:sz w:val="24"/>
          <w:szCs w:val="22"/>
          <w:lang w:val="en-US" w:eastAsia="zh-CN" w:bidi="ar"/>
        </w:rPr>
        <w:t>1.4 投标人及项目负责人资格要求</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1.4.1投标人、项目负责人资格要求：见投标人须知前附表。</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1.4.2 投标人资格要求（详见投标人须知前附表）, 投标人须知前附表规定接受联合体投标的，除应符合投标人须知前附表的要求外，还应遵守以下规定：</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（1）联合体各方应招标文件提供的格式签订联合体协议书，明确联合体牵头人和各方的权利义务；</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（2）同一专业的单位组成的联合体，应当按照资质等级较低的单位确定联合体的资质等级。</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（3）联合体各方不得再以自己名义单独或参加其他联合体在同一标段中投标。</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投标人不得存在下列情形之一：</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 xml:space="preserve">（1）为招标人不具有独立法人资格的附属机构（单位）；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 xml:space="preserve">（2）为本标段前期准备提供设计或咨询服务的；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（3）为本标段的监理人；</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 xml:space="preserve">（4）为本标段的代建人；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 xml:space="preserve">（5）为本标段提供招标代理服务的；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（6）与本标段的监理人或代建人或招标代理机构同为一个法定代表人的；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（7）与本标段的监理人或代建人或招标代理机构相互控股或参股的；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（8）与本标段的监理人或代建人或招标代理机构相互任职或工作的；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 xml:space="preserve">（9）被责令停业的；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 xml:space="preserve">（10）被暂停或取消投标资格的；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（11）财产被接管或冻结的；</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（12）在最近三年内有骗取中标或严重违约或重大工程质量问题的。</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bookmarkStart w:id="12" w:name="_Toc152042311"/>
      <w:bookmarkStart w:id="13" w:name="_Toc179632552"/>
      <w:bookmarkStart w:id="14" w:name="_Toc152045535"/>
      <w:bookmarkStart w:id="15" w:name="_Toc144974503"/>
      <w:r>
        <w:rPr>
          <w:rFonts w:hint="eastAsia" w:ascii="宋体" w:hAnsi="宋体" w:eastAsia="宋体" w:cs="宋体"/>
          <w:b/>
          <w:bCs w:val="0"/>
          <w:kern w:val="0"/>
          <w:sz w:val="24"/>
          <w:szCs w:val="22"/>
          <w:lang w:val="en-US" w:eastAsia="zh-CN" w:bidi="ar"/>
        </w:rPr>
        <w:t>1.5 费用承担</w:t>
      </w:r>
      <w:bookmarkEnd w:id="12"/>
      <w:bookmarkEnd w:id="13"/>
      <w:bookmarkEnd w:id="14"/>
      <w:bookmarkEnd w:id="15"/>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投标人准备和参加投标活动发生的费用自理。</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bookmarkStart w:id="16" w:name="_Toc152042312"/>
      <w:bookmarkStart w:id="17" w:name="_Toc179632553"/>
      <w:bookmarkStart w:id="18" w:name="_Toc144974504"/>
      <w:bookmarkStart w:id="19" w:name="_Toc152045536"/>
      <w:r>
        <w:rPr>
          <w:rFonts w:hint="eastAsia" w:ascii="宋体" w:hAnsi="宋体" w:eastAsia="宋体" w:cs="宋体"/>
          <w:b/>
          <w:bCs w:val="0"/>
          <w:kern w:val="0"/>
          <w:sz w:val="24"/>
          <w:szCs w:val="22"/>
          <w:lang w:val="en-US" w:eastAsia="zh-CN" w:bidi="ar"/>
        </w:rPr>
        <w:t>1.6 保密</w:t>
      </w:r>
      <w:bookmarkEnd w:id="16"/>
      <w:bookmarkEnd w:id="17"/>
      <w:bookmarkEnd w:id="18"/>
      <w:bookmarkEnd w:id="19"/>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 xml:space="preserve">参与招标投标活动的各方应对招标文件和投标文件中的商业和技术等秘密保密，违者应对由此造成的后果承担法律责任。 </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bookmarkStart w:id="20" w:name="_Toc144974505"/>
      <w:bookmarkStart w:id="21" w:name="_Toc152042313"/>
      <w:bookmarkStart w:id="22" w:name="_Toc179632554"/>
      <w:bookmarkStart w:id="23" w:name="_Toc152045537"/>
      <w:r>
        <w:rPr>
          <w:rFonts w:hint="eastAsia" w:ascii="宋体" w:hAnsi="宋体" w:eastAsia="宋体" w:cs="宋体"/>
          <w:b/>
          <w:bCs w:val="0"/>
          <w:kern w:val="0"/>
          <w:sz w:val="24"/>
          <w:szCs w:val="22"/>
          <w:lang w:val="en-US" w:eastAsia="zh-CN" w:bidi="ar"/>
        </w:rPr>
        <w:t>1.7 语言</w:t>
      </w:r>
      <w:bookmarkEnd w:id="20"/>
      <w:r>
        <w:rPr>
          <w:rFonts w:hint="eastAsia" w:ascii="宋体" w:hAnsi="宋体" w:eastAsia="宋体" w:cs="宋体"/>
          <w:b/>
          <w:bCs w:val="0"/>
          <w:kern w:val="0"/>
          <w:sz w:val="24"/>
          <w:szCs w:val="22"/>
          <w:lang w:val="en-US" w:eastAsia="zh-CN" w:bidi="ar"/>
        </w:rPr>
        <w:t>文字</w:t>
      </w:r>
      <w:bookmarkEnd w:id="21"/>
      <w:bookmarkEnd w:id="22"/>
      <w:bookmarkEnd w:id="23"/>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除专用术语外，与招标投标有关的语言均使用中文。必要时专用术语应附有中文注释。</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bookmarkStart w:id="24" w:name="_Toc144974506"/>
      <w:bookmarkStart w:id="25" w:name="_Toc152045538"/>
      <w:bookmarkStart w:id="26" w:name="_Toc179632555"/>
      <w:bookmarkStart w:id="27" w:name="_Toc152042314"/>
      <w:r>
        <w:rPr>
          <w:rFonts w:hint="eastAsia" w:ascii="宋体" w:hAnsi="宋体" w:eastAsia="宋体" w:cs="宋体"/>
          <w:b/>
          <w:bCs w:val="0"/>
          <w:kern w:val="0"/>
          <w:sz w:val="24"/>
          <w:szCs w:val="22"/>
          <w:lang w:val="en-US" w:eastAsia="zh-CN" w:bidi="ar"/>
        </w:rPr>
        <w:t>1.8 计量单位</w:t>
      </w:r>
      <w:bookmarkEnd w:id="24"/>
      <w:bookmarkEnd w:id="25"/>
      <w:bookmarkEnd w:id="26"/>
      <w:bookmarkEnd w:id="27"/>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所有计量均采用中华人民共和国法定计量单位。</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r>
        <w:rPr>
          <w:rFonts w:hint="eastAsia" w:ascii="宋体" w:hAnsi="宋体" w:eastAsia="宋体" w:cs="宋体"/>
          <w:b/>
          <w:bCs w:val="0"/>
          <w:kern w:val="0"/>
          <w:sz w:val="24"/>
          <w:szCs w:val="22"/>
          <w:lang w:val="en-US" w:eastAsia="zh-CN" w:bidi="ar"/>
        </w:rPr>
        <w:t>1.9 踏勘现场</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 xml:space="preserve">    1.9.1 不组织。          </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 xml:space="preserve">    1.9.2 投标人踏勘现场发生的费用自理。</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 xml:space="preserve">    1.9.3 除招标人的原因外，投标人自行负责在踏勘现场中所发生的人员伤亡和财产损失。</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1.9.4 招标人在踏勘现场中介绍的工程场地和相关的周边环境情况，供投标人在编制投标文件时参考，招标人不对投标人据此作出的判断和决策负责。</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bookmarkStart w:id="28" w:name="_Toc283559948"/>
      <w:r>
        <w:rPr>
          <w:rFonts w:hint="eastAsia" w:ascii="宋体" w:hAnsi="宋体" w:eastAsia="宋体" w:cs="宋体"/>
          <w:b/>
          <w:bCs w:val="0"/>
          <w:kern w:val="0"/>
          <w:sz w:val="24"/>
          <w:szCs w:val="22"/>
          <w:lang w:val="en-US" w:eastAsia="zh-CN" w:bidi="ar"/>
        </w:rPr>
        <w:t>1.10 投标预备会</w:t>
      </w:r>
      <w:bookmarkEnd w:id="28"/>
    </w:p>
    <w:p>
      <w:pPr>
        <w:keepNext w:val="0"/>
        <w:keepLines w:val="0"/>
        <w:widowControl w:val="0"/>
        <w:suppressLineNumbers w:val="0"/>
        <w:autoSpaceDE w:val="0"/>
        <w:autoSpaceDN w:val="0"/>
        <w:spacing w:before="0" w:beforeAutospacing="0" w:after="0" w:afterAutospacing="0" w:line="450" w:lineRule="exact"/>
        <w:ind w:left="0" w:right="0" w:firstLine="470" w:firstLineChars="196"/>
        <w:jc w:val="left"/>
        <w:outlineLvl w:val="0"/>
        <w:rPr>
          <w:rFonts w:hAnsi="宋体" w:cs="宋体"/>
          <w:b/>
          <w:bCs w:val="0"/>
          <w:sz w:val="24"/>
          <w:szCs w:val="22"/>
          <w:lang w:val="en-US"/>
        </w:rPr>
      </w:pPr>
      <w:r>
        <w:rPr>
          <w:rFonts w:hint="eastAsia" w:ascii="宋体" w:hAnsi="宋体" w:eastAsia="宋体" w:cs="宋体"/>
          <w:kern w:val="0"/>
          <w:sz w:val="24"/>
          <w:szCs w:val="22"/>
          <w:lang w:val="en-US" w:eastAsia="zh-CN" w:bidi="ar"/>
        </w:rPr>
        <w:t>1.10.1 招标人不召开投标预备会。</w:t>
      </w:r>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1.10.2 投标人应在投标人须知前附表规定的时间前，将问题在公共资源交易系统电子平台上提出。</w:t>
      </w:r>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1.10.3 招标人在投标人须知前附表规定的时间内，将对投标人所提问题的澄清，在公共资源交易系统电子平台上予以澄清。该澄清内容为招标文件的组成部分。</w:t>
      </w:r>
    </w:p>
    <w:p>
      <w:pPr>
        <w:keepNext w:val="0"/>
        <w:keepLines w:val="0"/>
        <w:widowControl w:val="0"/>
        <w:suppressLineNumbers w:val="0"/>
        <w:autoSpaceDE w:val="0"/>
        <w:autoSpaceDN w:val="0"/>
        <w:spacing w:before="0" w:beforeAutospacing="0" w:after="0" w:afterAutospacing="0" w:line="450" w:lineRule="exact"/>
        <w:ind w:left="0" w:right="0"/>
        <w:jc w:val="left"/>
        <w:outlineLvl w:val="0"/>
        <w:rPr>
          <w:rFonts w:hAnsi="宋体" w:cs="宋体"/>
          <w:b/>
          <w:bCs w:val="0"/>
          <w:sz w:val="24"/>
          <w:szCs w:val="22"/>
          <w:lang w:val="en-US"/>
        </w:rPr>
      </w:pPr>
      <w:bookmarkStart w:id="29" w:name="_Toc283559949"/>
      <w:r>
        <w:rPr>
          <w:rFonts w:hint="eastAsia" w:ascii="宋体" w:hAnsi="宋体" w:eastAsia="宋体" w:cs="宋体"/>
          <w:b/>
          <w:bCs w:val="0"/>
          <w:kern w:val="0"/>
          <w:sz w:val="24"/>
          <w:szCs w:val="22"/>
          <w:lang w:val="en-US" w:eastAsia="zh-CN" w:bidi="ar"/>
        </w:rPr>
        <w:t>1.11 分包</w:t>
      </w:r>
      <w:bookmarkEnd w:id="29"/>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0"/>
        <w:rPr>
          <w:rFonts w:hAnsi="宋体" w:cs="宋体"/>
          <w:b/>
          <w:bCs w:val="0"/>
          <w:sz w:val="24"/>
          <w:szCs w:val="22"/>
          <w:lang w:val="en-US"/>
        </w:rPr>
      </w:pPr>
      <w:r>
        <w:rPr>
          <w:rFonts w:hint="eastAsia" w:ascii="宋体" w:hAnsi="宋体" w:eastAsia="宋体" w:cs="宋体"/>
          <w:kern w:val="0"/>
          <w:sz w:val="24"/>
          <w:szCs w:val="22"/>
          <w:lang w:val="en-US" w:eastAsia="zh-CN" w:bidi="ar"/>
        </w:rPr>
        <w:t>不允许。</w:t>
      </w:r>
    </w:p>
    <w:p>
      <w:pPr>
        <w:keepNext w:val="0"/>
        <w:keepLines w:val="0"/>
        <w:widowControl w:val="0"/>
        <w:suppressLineNumbers w:val="0"/>
        <w:autoSpaceDE w:val="0"/>
        <w:autoSpaceDN w:val="0"/>
        <w:adjustRightInd w:val="0"/>
        <w:spacing w:before="0" w:beforeAutospacing="0" w:after="0" w:afterAutospacing="0" w:line="450" w:lineRule="exact"/>
        <w:ind w:left="0" w:right="0"/>
        <w:jc w:val="left"/>
        <w:outlineLvl w:val="0"/>
        <w:rPr>
          <w:rFonts w:hAnsi="宋体" w:cs="宋体"/>
          <w:b/>
          <w:bCs w:val="0"/>
          <w:sz w:val="24"/>
          <w:szCs w:val="22"/>
          <w:lang w:val="en-US"/>
        </w:rPr>
      </w:pPr>
      <w:bookmarkStart w:id="30" w:name="_Toc283559950"/>
      <w:r>
        <w:rPr>
          <w:rFonts w:hint="eastAsia" w:ascii="宋体" w:hAnsi="宋体" w:eastAsia="宋体" w:cs="宋体"/>
          <w:b/>
          <w:bCs w:val="0"/>
          <w:kern w:val="0"/>
          <w:sz w:val="24"/>
          <w:szCs w:val="22"/>
          <w:lang w:val="en-US" w:eastAsia="zh-CN" w:bidi="ar"/>
        </w:rPr>
        <w:t>1.12 偏离</w:t>
      </w:r>
      <w:bookmarkEnd w:id="30"/>
    </w:p>
    <w:p>
      <w:pPr>
        <w:keepNext w:val="0"/>
        <w:keepLines w:val="0"/>
        <w:widowControl w:val="0"/>
        <w:suppressLineNumbers w:val="0"/>
        <w:autoSpaceDE w:val="0"/>
        <w:autoSpaceDN w:val="0"/>
        <w:adjustRightInd w:val="0"/>
        <w:spacing w:before="0" w:beforeAutospacing="0" w:after="0" w:afterAutospacing="0" w:line="450" w:lineRule="exact"/>
        <w:ind w:left="0" w:right="0" w:firstLine="480" w:firstLineChars="200"/>
        <w:jc w:val="left"/>
        <w:outlineLvl w:val="0"/>
        <w:rPr>
          <w:rFonts w:hAnsi="宋体" w:cs="宋体"/>
          <w:b/>
          <w:bCs w:val="0"/>
          <w:sz w:val="24"/>
          <w:szCs w:val="22"/>
          <w:lang w:val="en-US"/>
        </w:rPr>
      </w:pPr>
      <w:r>
        <w:rPr>
          <w:rFonts w:hint="eastAsia" w:ascii="宋体" w:hAnsi="宋体" w:eastAsia="宋体" w:cs="宋体"/>
          <w:kern w:val="0"/>
          <w:sz w:val="24"/>
          <w:szCs w:val="22"/>
          <w:lang w:val="en-US" w:eastAsia="zh-CN" w:bidi="ar"/>
        </w:rPr>
        <w:t>投标人须知前附表允许投标文件偏离招标文件某些要求的，偏离应当符合招标文件规定的偏离范围和幅度。</w:t>
      </w:r>
    </w:p>
    <w:p>
      <w:pPr>
        <w:pStyle w:val="39"/>
        <w:keepNext w:val="0"/>
        <w:keepLines w:val="0"/>
        <w:widowControl w:val="0"/>
        <w:suppressLineNumbers w:val="0"/>
        <w:autoSpaceDE w:val="0"/>
        <w:autoSpaceDN w:val="0"/>
        <w:adjustRightInd w:val="0"/>
        <w:spacing w:before="0" w:beforeAutospacing="0" w:after="0" w:afterAutospacing="0" w:line="450" w:lineRule="exact"/>
        <w:ind w:left="0" w:right="0"/>
        <w:jc w:val="both"/>
        <w:outlineLvl w:val="0"/>
        <w:rPr>
          <w:rFonts w:hAnsi="宋体"/>
          <w:b/>
          <w:bCs w:val="0"/>
          <w:color w:val="auto"/>
          <w:lang w:val="en-US"/>
        </w:rPr>
      </w:pPr>
      <w:bookmarkStart w:id="31" w:name="_Toc283559951"/>
      <w:r>
        <w:rPr>
          <w:rFonts w:hint="eastAsia" w:ascii="宋体" w:hAnsi="宋体" w:eastAsia="宋体" w:cs="宋体"/>
          <w:b/>
          <w:bCs w:val="0"/>
          <w:color w:val="auto"/>
          <w:kern w:val="0"/>
          <w:sz w:val="24"/>
          <w:szCs w:val="24"/>
          <w:lang w:val="en-US" w:eastAsia="zh-CN" w:bidi="ar"/>
        </w:rPr>
        <w:t>2. 招标文件</w:t>
      </w:r>
      <w:bookmarkEnd w:id="31"/>
    </w:p>
    <w:p>
      <w:pPr>
        <w:keepNext w:val="0"/>
        <w:keepLines w:val="0"/>
        <w:widowControl w:val="0"/>
        <w:suppressLineNumbers w:val="0"/>
        <w:autoSpaceDE w:val="0"/>
        <w:autoSpaceDN w:val="0"/>
        <w:spacing w:before="0" w:beforeAutospacing="0" w:after="0" w:afterAutospacing="0" w:line="450" w:lineRule="exact"/>
        <w:ind w:left="0" w:right="0"/>
        <w:jc w:val="left"/>
        <w:outlineLvl w:val="0"/>
        <w:rPr>
          <w:rFonts w:hAnsi="宋体" w:cs="宋体"/>
          <w:b/>
          <w:bCs w:val="0"/>
          <w:sz w:val="24"/>
          <w:szCs w:val="22"/>
          <w:lang w:val="en-US"/>
        </w:rPr>
      </w:pPr>
      <w:bookmarkStart w:id="32" w:name="_Toc283559952"/>
      <w:r>
        <w:rPr>
          <w:rFonts w:hint="eastAsia" w:ascii="宋体" w:hAnsi="宋体" w:eastAsia="宋体" w:cs="宋体"/>
          <w:b/>
          <w:bCs w:val="0"/>
          <w:kern w:val="0"/>
          <w:sz w:val="24"/>
          <w:szCs w:val="22"/>
          <w:lang w:val="en-US" w:eastAsia="zh-CN" w:bidi="ar"/>
        </w:rPr>
        <w:t>2.1 招标文件的组成</w:t>
      </w:r>
      <w:bookmarkEnd w:id="32"/>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本招标文件包括：</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2"/>
          <w:lang w:val="en-US"/>
        </w:rPr>
      </w:pPr>
      <w:r>
        <w:rPr>
          <w:rFonts w:hint="eastAsia" w:ascii="宋体" w:hAnsi="宋体" w:eastAsia="宋体" w:cs="宋体"/>
          <w:kern w:val="0"/>
          <w:sz w:val="24"/>
          <w:szCs w:val="22"/>
          <w:lang w:val="en-US" w:eastAsia="zh-CN" w:bidi="ar"/>
        </w:rPr>
        <w:t>（1）招标公告；</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2"/>
          <w:lang w:val="en-US"/>
        </w:rPr>
      </w:pPr>
      <w:r>
        <w:rPr>
          <w:rFonts w:hint="eastAsia" w:ascii="宋体" w:hAnsi="宋体" w:eastAsia="宋体" w:cs="宋体"/>
          <w:kern w:val="0"/>
          <w:sz w:val="24"/>
          <w:szCs w:val="22"/>
          <w:lang w:val="en-US" w:eastAsia="zh-CN" w:bidi="ar"/>
        </w:rPr>
        <w:t>（2）投标人须知；</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2"/>
          <w:lang w:val="en-US"/>
        </w:rPr>
      </w:pPr>
      <w:r>
        <w:rPr>
          <w:rFonts w:hint="eastAsia" w:ascii="宋体" w:hAnsi="宋体" w:eastAsia="宋体" w:cs="宋体"/>
          <w:kern w:val="0"/>
          <w:sz w:val="24"/>
          <w:szCs w:val="22"/>
          <w:lang w:val="en-US" w:eastAsia="zh-CN" w:bidi="ar"/>
        </w:rPr>
        <w:t>（3）评标办法；</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2"/>
          <w:lang w:val="en-US"/>
        </w:rPr>
      </w:pPr>
      <w:r>
        <w:rPr>
          <w:rFonts w:hint="eastAsia" w:ascii="宋体" w:hAnsi="宋体" w:eastAsia="宋体" w:cs="宋体"/>
          <w:kern w:val="0"/>
          <w:sz w:val="24"/>
          <w:szCs w:val="22"/>
          <w:lang w:val="en-US" w:eastAsia="zh-CN" w:bidi="ar"/>
        </w:rPr>
        <w:t>（4）合同条款；</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2"/>
          <w:lang w:val="en-US"/>
        </w:rPr>
      </w:pPr>
      <w:r>
        <w:rPr>
          <w:rFonts w:hint="eastAsia" w:ascii="宋体" w:hAnsi="宋体" w:eastAsia="宋体" w:cs="宋体"/>
          <w:kern w:val="0"/>
          <w:sz w:val="24"/>
          <w:szCs w:val="22"/>
          <w:lang w:val="en-US" w:eastAsia="zh-CN" w:bidi="ar"/>
        </w:rPr>
        <w:t xml:space="preserve">（5）工程量清单； </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2"/>
          <w:lang w:val="en-US"/>
        </w:rPr>
      </w:pPr>
      <w:r>
        <w:rPr>
          <w:rFonts w:hint="eastAsia" w:ascii="宋体" w:hAnsi="宋体" w:eastAsia="宋体" w:cs="宋体"/>
          <w:kern w:val="0"/>
          <w:sz w:val="24"/>
          <w:szCs w:val="22"/>
          <w:lang w:val="en-US" w:eastAsia="zh-CN" w:bidi="ar"/>
        </w:rPr>
        <w:t xml:space="preserve">（6）图纸； </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2"/>
          <w:lang w:val="en-US"/>
        </w:rPr>
      </w:pPr>
      <w:r>
        <w:rPr>
          <w:rFonts w:hint="eastAsia" w:ascii="宋体" w:hAnsi="宋体" w:eastAsia="宋体" w:cs="宋体"/>
          <w:kern w:val="0"/>
          <w:sz w:val="24"/>
          <w:szCs w:val="22"/>
          <w:lang w:val="en-US" w:eastAsia="zh-CN" w:bidi="ar"/>
        </w:rPr>
        <w:t>（7）技术标准和要求；</w:t>
      </w:r>
    </w:p>
    <w:p>
      <w:pPr>
        <w:keepNext w:val="0"/>
        <w:keepLines w:val="0"/>
        <w:widowControl w:val="0"/>
        <w:suppressLineNumbers w:val="0"/>
        <w:spacing w:before="0" w:beforeAutospacing="0" w:after="0" w:afterAutospacing="0" w:line="450" w:lineRule="exact"/>
        <w:ind w:left="0" w:right="0" w:firstLine="410" w:firstLineChars="171"/>
        <w:jc w:val="both"/>
        <w:rPr>
          <w:rFonts w:hAnsi="宋体" w:cs="宋体"/>
          <w:sz w:val="24"/>
          <w:szCs w:val="22"/>
          <w:lang w:val="en-US"/>
        </w:rPr>
      </w:pPr>
      <w:r>
        <w:rPr>
          <w:rFonts w:hint="eastAsia" w:ascii="宋体" w:hAnsi="宋体" w:eastAsia="宋体" w:cs="宋体"/>
          <w:kern w:val="0"/>
          <w:sz w:val="24"/>
          <w:szCs w:val="22"/>
          <w:lang w:val="en-US" w:eastAsia="zh-CN" w:bidi="ar"/>
        </w:rPr>
        <w:t>（8）投标文件格式；</w:t>
      </w:r>
    </w:p>
    <w:p>
      <w:pPr>
        <w:keepNext w:val="0"/>
        <w:keepLines w:val="0"/>
        <w:widowControl w:val="0"/>
        <w:suppressLineNumbers w:val="0"/>
        <w:autoSpaceDE w:val="0"/>
        <w:autoSpaceDN w:val="0"/>
        <w:spacing w:before="0" w:beforeAutospacing="0" w:after="0" w:afterAutospacing="0" w:line="45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根据本章第2.2 款和第2.3 款对招标文件所作的澄清、修改，构成招标文件的组成部分。</w:t>
      </w:r>
    </w:p>
    <w:p>
      <w:pPr>
        <w:keepNext w:val="0"/>
        <w:keepLines w:val="0"/>
        <w:widowControl w:val="0"/>
        <w:suppressLineNumbers w:val="0"/>
        <w:autoSpaceDE w:val="0"/>
        <w:autoSpaceDN w:val="0"/>
        <w:spacing w:before="0" w:beforeAutospacing="0" w:after="0" w:afterAutospacing="0" w:line="450" w:lineRule="exact"/>
        <w:ind w:left="0" w:right="0"/>
        <w:jc w:val="left"/>
        <w:outlineLvl w:val="0"/>
        <w:rPr>
          <w:rFonts w:hAnsi="宋体" w:cs="宋体"/>
          <w:b/>
          <w:bCs w:val="0"/>
          <w:sz w:val="24"/>
          <w:szCs w:val="22"/>
          <w:lang w:val="en-US"/>
        </w:rPr>
      </w:pPr>
      <w:bookmarkStart w:id="33" w:name="_Toc283559953"/>
      <w:r>
        <w:rPr>
          <w:rFonts w:hint="eastAsia" w:ascii="宋体" w:hAnsi="宋体" w:eastAsia="宋体" w:cs="宋体"/>
          <w:b/>
          <w:bCs w:val="0"/>
          <w:kern w:val="0"/>
          <w:sz w:val="24"/>
          <w:szCs w:val="22"/>
          <w:lang w:val="en-US" w:eastAsia="zh-CN" w:bidi="ar"/>
        </w:rPr>
        <w:t>2.2 招标文件的澄清</w:t>
      </w:r>
      <w:bookmarkEnd w:id="33"/>
    </w:p>
    <w:p>
      <w:pPr>
        <w:keepNext w:val="0"/>
        <w:keepLines w:val="0"/>
        <w:widowControl w:val="0"/>
        <w:suppressLineNumbers w:val="0"/>
        <w:autoSpaceDE w:val="0"/>
        <w:autoSpaceDN w:val="0"/>
        <w:adjustRightInd w:val="0"/>
        <w:spacing w:before="0" w:beforeAutospacing="0" w:after="0" w:afterAutospacing="0" w:line="450" w:lineRule="exact"/>
        <w:ind w:left="0" w:right="0" w:firstLine="616" w:firstLineChars="257"/>
        <w:jc w:val="left"/>
        <w:rPr>
          <w:rFonts w:hAnsi="宋体" w:cs="宋体"/>
          <w:sz w:val="24"/>
          <w:szCs w:val="22"/>
          <w:lang w:val="en-US"/>
        </w:rPr>
      </w:pPr>
      <w:bookmarkStart w:id="34" w:name="_Toc283559954"/>
      <w:r>
        <w:rPr>
          <w:rFonts w:hint="eastAsia" w:ascii="宋体" w:hAnsi="宋体" w:eastAsia="宋体" w:cs="宋体"/>
          <w:kern w:val="0"/>
          <w:sz w:val="24"/>
          <w:szCs w:val="22"/>
          <w:lang w:val="en-US" w:eastAsia="zh-CN" w:bidi="ar"/>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eastAsia="宋体" w:cs="宋体"/>
          <w:b/>
          <w:kern w:val="0"/>
          <w:sz w:val="24"/>
          <w:szCs w:val="22"/>
          <w:lang w:val="en-US" w:eastAsia="zh-CN" w:bidi="ar"/>
        </w:rPr>
        <w:t>如未提出异议，视为全面接受。</w:t>
      </w:r>
    </w:p>
    <w:p>
      <w:pPr>
        <w:keepNext w:val="0"/>
        <w:keepLines w:val="0"/>
        <w:widowControl w:val="0"/>
        <w:suppressLineNumbers w:val="0"/>
        <w:autoSpaceDE w:val="0"/>
        <w:autoSpaceDN w:val="0"/>
        <w:adjustRightInd w:val="0"/>
        <w:spacing w:before="0" w:beforeAutospacing="0" w:after="0" w:afterAutospacing="0" w:line="450" w:lineRule="exact"/>
        <w:ind w:left="0" w:right="0" w:firstLine="616" w:firstLineChars="257"/>
        <w:jc w:val="left"/>
        <w:rPr>
          <w:rFonts w:hAnsi="宋体" w:cs="宋体"/>
          <w:sz w:val="24"/>
          <w:szCs w:val="22"/>
          <w:lang w:val="en-US"/>
        </w:rPr>
      </w:pPr>
      <w:r>
        <w:rPr>
          <w:rFonts w:hint="eastAsia" w:ascii="宋体" w:hAnsi="宋体" w:eastAsia="宋体" w:cs="宋体"/>
          <w:kern w:val="0"/>
          <w:sz w:val="24"/>
          <w:szCs w:val="22"/>
          <w:lang w:val="en-US" w:eastAsia="zh-CN" w:bidi="ar"/>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keepNext w:val="0"/>
        <w:keepLines w:val="0"/>
        <w:widowControl w:val="0"/>
        <w:suppressLineNumbers w:val="0"/>
        <w:autoSpaceDE w:val="0"/>
        <w:autoSpaceDN w:val="0"/>
        <w:adjustRightInd w:val="0"/>
        <w:spacing w:before="0" w:beforeAutospacing="0" w:after="0" w:afterAutospacing="0" w:line="450" w:lineRule="exact"/>
        <w:ind w:left="0" w:right="0" w:firstLine="616" w:firstLineChars="257"/>
        <w:jc w:val="left"/>
        <w:rPr>
          <w:rFonts w:hAnsi="宋体" w:cs="宋体"/>
          <w:sz w:val="24"/>
          <w:szCs w:val="22"/>
          <w:lang w:val="en-US"/>
        </w:rPr>
      </w:pPr>
      <w:r>
        <w:rPr>
          <w:rFonts w:hint="eastAsia" w:ascii="宋体" w:hAnsi="宋体" w:eastAsia="宋体" w:cs="宋体"/>
          <w:kern w:val="0"/>
          <w:sz w:val="24"/>
          <w:szCs w:val="22"/>
          <w:lang w:val="en-US" w:eastAsia="zh-CN" w:bidi="ar"/>
        </w:rPr>
        <w:t>2.2.3 所有澄清、答疑全部以《全国公共资源交易平台（河南省·许昌市）》公共资源交易系统发出的为准，不再接受书面形式的递交。</w:t>
      </w:r>
    </w:p>
    <w:p>
      <w:pPr>
        <w:keepNext w:val="0"/>
        <w:keepLines w:val="0"/>
        <w:widowControl w:val="0"/>
        <w:suppressLineNumbers w:val="0"/>
        <w:autoSpaceDE w:val="0"/>
        <w:autoSpaceDN w:val="0"/>
        <w:spacing w:before="0" w:beforeAutospacing="0" w:after="0" w:afterAutospacing="0" w:line="450" w:lineRule="exact"/>
        <w:ind w:left="0" w:right="0"/>
        <w:jc w:val="left"/>
        <w:outlineLvl w:val="0"/>
        <w:rPr>
          <w:rFonts w:hAnsi="宋体" w:cs="宋体"/>
          <w:b/>
          <w:bCs w:val="0"/>
          <w:sz w:val="24"/>
          <w:szCs w:val="22"/>
          <w:lang w:val="en-US"/>
        </w:rPr>
      </w:pPr>
      <w:r>
        <w:rPr>
          <w:rFonts w:hint="eastAsia" w:ascii="宋体" w:hAnsi="宋体" w:eastAsia="宋体" w:cs="宋体"/>
          <w:b/>
          <w:bCs w:val="0"/>
          <w:kern w:val="0"/>
          <w:sz w:val="24"/>
          <w:szCs w:val="22"/>
          <w:lang w:val="en-US" w:eastAsia="zh-CN" w:bidi="ar"/>
        </w:rPr>
        <w:t>2.3 招标文件的修改</w:t>
      </w:r>
      <w:bookmarkEnd w:id="34"/>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2.3.1 在投标截止时间15天前，招标人可以通过《全国公共资源交易平台（河南省·许昌市）》公共资源交易系统修改招标文件，如果修改招标文件的时间距投标截止时间不足15 天，相应延长投标截止时间。</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2.3.2 当招标文件、补充通知、答疑纪要，内容相互矛盾时，以最后发出的通知或纪要为准。</w:t>
      </w:r>
    </w:p>
    <w:p>
      <w:pPr>
        <w:keepNext w:val="0"/>
        <w:keepLines w:val="0"/>
        <w:widowControl w:val="0"/>
        <w:suppressLineNumbers w:val="0"/>
        <w:autoSpaceDE w:val="0"/>
        <w:autoSpaceDN w:val="0"/>
        <w:spacing w:before="0" w:beforeAutospacing="0" w:after="0" w:afterAutospacing="0" w:line="420" w:lineRule="exact"/>
        <w:ind w:left="0" w:right="0"/>
        <w:jc w:val="left"/>
        <w:outlineLvl w:val="0"/>
        <w:rPr>
          <w:rFonts w:hAnsi="宋体" w:cs="宋体"/>
          <w:b/>
          <w:bCs w:val="0"/>
          <w:sz w:val="24"/>
          <w:szCs w:val="22"/>
          <w:lang w:val="en-US"/>
        </w:rPr>
      </w:pPr>
      <w:bookmarkStart w:id="35" w:name="_Toc152042322"/>
      <w:bookmarkStart w:id="36" w:name="_Toc144974514"/>
      <w:bookmarkStart w:id="37" w:name="_Toc179632564"/>
      <w:bookmarkStart w:id="38" w:name="_Toc152045546"/>
      <w:r>
        <w:rPr>
          <w:rFonts w:hint="eastAsia" w:ascii="宋体" w:hAnsi="宋体" w:eastAsia="宋体" w:cs="宋体"/>
          <w:b/>
          <w:bCs w:val="0"/>
          <w:kern w:val="0"/>
          <w:sz w:val="24"/>
          <w:szCs w:val="22"/>
          <w:lang w:val="en-US" w:eastAsia="zh-CN" w:bidi="ar"/>
        </w:rPr>
        <w:t>3. 投标文件</w:t>
      </w:r>
      <w:bookmarkEnd w:id="35"/>
      <w:bookmarkEnd w:id="36"/>
      <w:bookmarkEnd w:id="37"/>
      <w:bookmarkEnd w:id="38"/>
    </w:p>
    <w:p>
      <w:pPr>
        <w:keepNext w:val="0"/>
        <w:keepLines w:val="0"/>
        <w:widowControl w:val="0"/>
        <w:suppressLineNumbers w:val="0"/>
        <w:autoSpaceDE w:val="0"/>
        <w:autoSpaceDN w:val="0"/>
        <w:spacing w:before="0" w:beforeAutospacing="0" w:after="0" w:afterAutospacing="0" w:line="420" w:lineRule="exact"/>
        <w:ind w:left="0" w:right="0"/>
        <w:jc w:val="left"/>
        <w:outlineLvl w:val="0"/>
        <w:rPr>
          <w:rFonts w:hAnsi="宋体" w:cs="宋体"/>
          <w:b/>
          <w:bCs w:val="0"/>
          <w:sz w:val="24"/>
          <w:szCs w:val="22"/>
          <w:lang w:val="en-US"/>
        </w:rPr>
      </w:pPr>
      <w:bookmarkStart w:id="39" w:name="_Toc278443453"/>
      <w:r>
        <w:rPr>
          <w:rFonts w:hint="eastAsia" w:ascii="宋体" w:hAnsi="宋体" w:eastAsia="宋体" w:cs="宋体"/>
          <w:b/>
          <w:bCs w:val="0"/>
          <w:kern w:val="0"/>
          <w:sz w:val="24"/>
          <w:szCs w:val="22"/>
          <w:lang w:val="en-US" w:eastAsia="zh-CN" w:bidi="ar"/>
        </w:rPr>
        <w:t>3.1投标文件由商务标、综合标和技术标三部分组成。</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3.1.1  商务标组成：</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已标价工程量清单</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3.1.2综合标组成：</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（1）投标函及投标函附录；</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（2）法定代表人身份证明、授权委托书；</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（3）投标保证金；</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 xml:space="preserve">（4）项目管理机构配备情况； </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（5）投标单位基本信息表；</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（6）资格证明文件；</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（7）近年完成的类似项目情况；</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（8）正在施工的和新承接的项目情况；</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（9）近年发生的诉讼及仲裁</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（10）其它材料；</w:t>
      </w:r>
    </w:p>
    <w:p>
      <w:pPr>
        <w:keepNext w:val="0"/>
        <w:keepLines w:val="0"/>
        <w:widowControl w:val="0"/>
        <w:suppressLineNumbers w:val="0"/>
        <w:autoSpaceDE w:val="0"/>
        <w:autoSpaceDN w:val="0"/>
        <w:spacing w:before="0" w:beforeAutospacing="0" w:after="0" w:afterAutospacing="0" w:line="42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3.1.3  技术标组成：</w:t>
      </w:r>
    </w:p>
    <w:p>
      <w:pPr>
        <w:keepNext w:val="0"/>
        <w:keepLines w:val="0"/>
        <w:widowControl w:val="0"/>
        <w:suppressLineNumbers w:val="0"/>
        <w:autoSpaceDE w:val="0"/>
        <w:autoSpaceDN w:val="0"/>
        <w:spacing w:before="0" w:beforeAutospacing="0" w:after="0" w:afterAutospacing="0" w:line="440" w:lineRule="exact"/>
        <w:ind w:left="0" w:right="0" w:firstLine="520" w:firstLineChars="200"/>
        <w:jc w:val="left"/>
        <w:outlineLvl w:val="0"/>
        <w:rPr>
          <w:rFonts w:hAnsi="宋体" w:cs="宋体"/>
          <w:sz w:val="24"/>
          <w:szCs w:val="22"/>
          <w:lang w:val="en-US"/>
        </w:rPr>
      </w:pPr>
      <w:r>
        <w:rPr>
          <w:rFonts w:hint="eastAsia" w:ascii="宋体" w:hAnsi="宋体" w:eastAsia="宋体" w:cs="宋体"/>
          <w:bCs/>
          <w:kern w:val="0"/>
          <w:sz w:val="26"/>
          <w:szCs w:val="26"/>
          <w:lang w:val="en-US" w:eastAsia="zh-CN" w:bidi="ar"/>
        </w:rPr>
        <w:t>（</w:t>
      </w:r>
      <w:r>
        <w:rPr>
          <w:rFonts w:hint="eastAsia" w:ascii="宋体" w:hAnsi="宋体" w:eastAsia="宋体" w:cs="宋体"/>
          <w:kern w:val="0"/>
          <w:sz w:val="24"/>
          <w:szCs w:val="22"/>
          <w:lang w:val="en-US" w:eastAsia="zh-CN" w:bidi="ar"/>
        </w:rPr>
        <w:t>1）内容完整性</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（2）主要施工方案与技术措施</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（3）质量管理体系与措施</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（4）安全管理体系与措施</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（5）文明施工、环境保护管理体系及施工现场扬尘治理措施</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（6）工期保证措施</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（7）拟投入资源配备计划</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（8）施工进度表或网络计划图</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（9）施工总平面图布置</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（10）技术创新的应用实施措施</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（11）采用新工艺、新技术、新设备、新材料、BIM等的程度</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（12）施工现场实施信息化监控和数据处理</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（13）风险管理措施</w:t>
      </w:r>
    </w:p>
    <w:p>
      <w:pPr>
        <w:keepNext w:val="0"/>
        <w:keepLines w:val="0"/>
        <w:widowControl w:val="0"/>
        <w:suppressLineNumbers w:val="0"/>
        <w:autoSpaceDE w:val="0"/>
        <w:autoSpaceDN w:val="0"/>
        <w:spacing w:before="0" w:beforeAutospacing="0" w:after="0" w:afterAutospacing="0" w:line="420" w:lineRule="exact"/>
        <w:ind w:left="0" w:right="0"/>
        <w:jc w:val="left"/>
        <w:outlineLvl w:val="0"/>
        <w:rPr>
          <w:rFonts w:hAnsi="宋体" w:cs="宋体"/>
          <w:b/>
          <w:sz w:val="24"/>
          <w:szCs w:val="22"/>
          <w:lang w:val="en-US"/>
        </w:rPr>
      </w:pPr>
      <w:r>
        <w:rPr>
          <w:rFonts w:hint="eastAsia" w:ascii="宋体" w:hAnsi="宋体" w:eastAsia="宋体" w:cs="宋体"/>
          <w:b/>
          <w:kern w:val="0"/>
          <w:sz w:val="24"/>
          <w:szCs w:val="22"/>
          <w:lang w:val="en-US" w:eastAsia="zh-CN" w:bidi="ar"/>
        </w:rPr>
        <w:t>3.2 投标报价</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bookmarkStart w:id="40" w:name="OLE_LINK21"/>
      <w:r>
        <w:rPr>
          <w:rFonts w:hint="eastAsia" w:ascii="宋体" w:hAnsi="宋体" w:eastAsia="宋体" w:cs="宋体"/>
          <w:kern w:val="0"/>
          <w:sz w:val="24"/>
          <w:szCs w:val="22"/>
          <w:lang w:val="en-US" w:eastAsia="zh-CN" w:bidi="ar"/>
        </w:rPr>
        <w:t>3.2.1 投标人应按第五章“工程量清单”的要求填写相应表格。</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3.2.2 投标人在投标截止时间前修改投标函中的投标总报价，应同时修改第五章“工程量清单”中的相应报价。此修改须符合本章第4.3款的有关要求。</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3.2.3“规费和税金”的规定按照住建部《建设工程工程量清单计价规范》（GB50500-2013）及省住建厅有关规定，规费和税金应按规定费（税）率足额计取，即费（税）率不可竞争。</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规费、税金、安全文明施工措施费计入投标总报价，并在投标函、投标函附录中单列，不参与商务标评审。</w:t>
      </w:r>
    </w:p>
    <w:p>
      <w:pPr>
        <w:keepNext w:val="0"/>
        <w:keepLines w:val="0"/>
        <w:widowControl w:val="0"/>
        <w:suppressLineNumbers w:val="0"/>
        <w:tabs>
          <w:tab w:val="left" w:pos="1260"/>
        </w:tabs>
        <w:autoSpaceDE w:val="0"/>
        <w:autoSpaceDN w:val="0"/>
        <w:adjustRightInd w:val="0"/>
        <w:spacing w:before="0" w:beforeAutospacing="0" w:after="0" w:afterAutospacing="0" w:line="440" w:lineRule="exact"/>
        <w:ind w:left="0" w:right="0" w:firstLine="480" w:firstLineChars="20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3.2.4根据《关于调整河南省建设工程安全文明施工措施费计取办法的通知》（豫建设标【2014】57号）规定，“安全文明施工措施费”是不可竞争费。</w:t>
      </w:r>
    </w:p>
    <w:p>
      <w:pPr>
        <w:keepNext w:val="0"/>
        <w:keepLines w:val="0"/>
        <w:widowControl w:val="0"/>
        <w:suppressLineNumbers w:val="0"/>
        <w:tabs>
          <w:tab w:val="left" w:pos="1260"/>
        </w:tabs>
        <w:autoSpaceDE w:val="0"/>
        <w:autoSpaceDN w:val="0"/>
        <w:adjustRightInd w:val="0"/>
        <w:spacing w:before="0" w:beforeAutospacing="0" w:after="0" w:afterAutospacing="0" w:line="440" w:lineRule="exact"/>
        <w:ind w:left="0" w:right="0" w:firstLine="480" w:firstLineChars="200"/>
        <w:jc w:val="left"/>
        <w:rPr>
          <w:rFonts w:hAnsi="宋体" w:cs="宋体"/>
          <w:b/>
          <w:bCs w:val="0"/>
          <w:sz w:val="24"/>
          <w:szCs w:val="24"/>
          <w:lang w:val="en-US"/>
        </w:rPr>
      </w:pPr>
      <w:r>
        <w:rPr>
          <w:rFonts w:hint="eastAsia" w:ascii="宋体" w:hAnsi="宋体" w:eastAsia="宋体" w:cs="宋体"/>
          <w:b/>
          <w:bCs w:val="0"/>
          <w:kern w:val="0"/>
          <w:sz w:val="24"/>
          <w:szCs w:val="24"/>
          <w:lang w:val="en-US" w:eastAsia="zh-CN" w:bidi="ar"/>
        </w:rPr>
        <w:t>投标人编制投标报价时，同一投标文件综合工日应前后保持一致。</w:t>
      </w:r>
    </w:p>
    <w:bookmarkEnd w:id="40"/>
    <w:p>
      <w:pPr>
        <w:keepNext w:val="0"/>
        <w:keepLines w:val="0"/>
        <w:widowControl w:val="0"/>
        <w:suppressLineNumbers w:val="0"/>
        <w:tabs>
          <w:tab w:val="left" w:pos="3060"/>
        </w:tabs>
        <w:autoSpaceDE w:val="0"/>
        <w:autoSpaceDN w:val="0"/>
        <w:spacing w:before="0" w:beforeAutospacing="0" w:after="0" w:afterAutospacing="0" w:line="440" w:lineRule="exact"/>
        <w:ind w:left="0" w:right="0"/>
        <w:jc w:val="left"/>
        <w:outlineLvl w:val="0"/>
        <w:rPr>
          <w:rFonts w:hAnsi="宋体" w:cs="宋体"/>
          <w:b/>
          <w:sz w:val="24"/>
          <w:szCs w:val="22"/>
          <w:lang w:val="en-US"/>
        </w:rPr>
      </w:pPr>
      <w:r>
        <w:rPr>
          <w:rFonts w:hint="eastAsia" w:ascii="宋体" w:hAnsi="宋体" w:eastAsia="宋体" w:cs="宋体"/>
          <w:b/>
          <w:kern w:val="0"/>
          <w:sz w:val="24"/>
          <w:szCs w:val="22"/>
          <w:lang w:val="en-US" w:eastAsia="zh-CN" w:bidi="ar"/>
        </w:rPr>
        <w:t>3.3 投标有效期</w:t>
      </w:r>
      <w:bookmarkEnd w:id="39"/>
      <w:r>
        <w:rPr>
          <w:rFonts w:hint="eastAsia" w:ascii="宋体" w:hAnsi="宋体" w:eastAsia="宋体" w:cs="宋体"/>
          <w:b/>
          <w:kern w:val="0"/>
          <w:sz w:val="24"/>
          <w:szCs w:val="22"/>
          <w:lang w:val="en-US" w:eastAsia="zh-CN" w:bidi="ar"/>
        </w:rPr>
        <w:tab/>
      </w:r>
    </w:p>
    <w:p>
      <w:pPr>
        <w:keepNext w:val="0"/>
        <w:keepLines w:val="0"/>
        <w:widowControl w:val="0"/>
        <w:suppressLineNumbers w:val="0"/>
        <w:tabs>
          <w:tab w:val="left" w:pos="1260"/>
        </w:tabs>
        <w:autoSpaceDE w:val="0"/>
        <w:autoSpaceDN w:val="0"/>
        <w:adjustRightInd w:val="0"/>
        <w:spacing w:before="0" w:beforeAutospacing="0" w:after="0" w:afterAutospacing="0" w:line="44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3.3.1 在投标人须知前附表规定的投标有效期内，投标人不得要求撤销或修改其投标文件。</w:t>
      </w:r>
    </w:p>
    <w:p>
      <w:pPr>
        <w:keepNext w:val="0"/>
        <w:keepLines w:val="0"/>
        <w:widowControl w:val="0"/>
        <w:suppressLineNumbers w:val="0"/>
        <w:tabs>
          <w:tab w:val="left" w:pos="1260"/>
        </w:tabs>
        <w:autoSpaceDE w:val="0"/>
        <w:autoSpaceDN w:val="0"/>
        <w:adjustRightInd w:val="0"/>
        <w:spacing w:before="0" w:beforeAutospacing="0" w:after="0" w:afterAutospacing="0" w:line="44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keepNext w:val="0"/>
        <w:keepLines w:val="0"/>
        <w:widowControl w:val="0"/>
        <w:suppressLineNumbers w:val="0"/>
        <w:autoSpaceDE w:val="0"/>
        <w:autoSpaceDN w:val="0"/>
        <w:spacing w:before="0" w:beforeAutospacing="0" w:after="0" w:afterAutospacing="0" w:line="420" w:lineRule="exact"/>
        <w:ind w:left="0" w:right="0"/>
        <w:jc w:val="left"/>
        <w:outlineLvl w:val="0"/>
        <w:rPr>
          <w:rFonts w:hAnsi="宋体" w:cs="宋体"/>
          <w:b/>
          <w:sz w:val="24"/>
          <w:szCs w:val="22"/>
          <w:lang w:val="en-US"/>
        </w:rPr>
      </w:pPr>
      <w:bookmarkStart w:id="41" w:name="_Toc282436964"/>
      <w:bookmarkStart w:id="42" w:name="_Toc283559960"/>
      <w:r>
        <w:rPr>
          <w:rFonts w:hint="eastAsia" w:ascii="宋体" w:hAnsi="宋体" w:eastAsia="宋体" w:cs="宋体"/>
          <w:b/>
          <w:kern w:val="0"/>
          <w:sz w:val="24"/>
          <w:szCs w:val="22"/>
          <w:lang w:val="en-US" w:eastAsia="zh-CN" w:bidi="ar"/>
        </w:rPr>
        <w:t xml:space="preserve">3.4 </w:t>
      </w:r>
      <w:bookmarkEnd w:id="41"/>
      <w:r>
        <w:rPr>
          <w:rFonts w:hint="eastAsia" w:ascii="宋体" w:hAnsi="宋体" w:eastAsia="宋体" w:cs="宋体"/>
          <w:b/>
          <w:kern w:val="0"/>
          <w:sz w:val="24"/>
          <w:szCs w:val="22"/>
          <w:lang w:val="en-US" w:eastAsia="zh-CN" w:bidi="ar"/>
        </w:rPr>
        <w:t>投标保证金</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3.4.1 投标保证金的基本户备案：按《投标人须知前附表》第3.4.2条规定。</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3.4.1.1 自招标文件发布之日起，投标人需进行基本户备案（建设工程项目），已备案的基本户开户银行、账户发生变化的，须重新办理备案手续。备案后方可提交投标（竞买）保证金。</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 xml:space="preserve">3.4.1.2 基本户备案流程：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3.4.2 投标保证金缴纳：按《投标人须知前附表》第3.4.2条规定。</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zh-CN" w:eastAsia="zh-CN" w:bidi="ar"/>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zh-CN" w:eastAsia="zh-CN"/>
        </w:rPr>
      </w:pPr>
      <w:r>
        <w:rPr>
          <w:rFonts w:hint="eastAsia" w:ascii="新宋体" w:hAnsi="新宋体" w:eastAsia="新宋体" w:cs="仿宋_GB2312"/>
          <w:kern w:val="0"/>
          <w:sz w:val="24"/>
          <w:szCs w:val="22"/>
          <w:lang w:val="zh-CN" w:eastAsia="zh-CN" w:bidi="ar"/>
        </w:rPr>
        <w:t>使用银行转帐方式的，于截止时间前通过投标人基本账户将款项一次足额递交、成功绑定，以收款人到账时间为准，在途资金无效，视为未按时交纳。同时投标人应承担节假日银行系统不能支付的风险。</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zh-CN" w:eastAsia="zh-CN"/>
        </w:rPr>
      </w:pPr>
      <w:r>
        <w:rPr>
          <w:rFonts w:hint="eastAsia" w:ascii="新宋体" w:hAnsi="新宋体" w:eastAsia="新宋体" w:cs="仿宋_GB2312"/>
          <w:kern w:val="0"/>
          <w:sz w:val="24"/>
          <w:szCs w:val="22"/>
          <w:lang w:val="zh-CN" w:eastAsia="zh-CN" w:bidi="ar"/>
        </w:rPr>
        <w:t>3.4.2.2 投标保证金缴纳方式：</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zh-CN" w:eastAsia="zh-CN" w:bidi="ar"/>
        </w:rPr>
        <w:t>投标人网上报名后</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登录</w:t>
      </w:r>
      <w:r>
        <w:rPr>
          <w:rFonts w:hint="eastAsia" w:ascii="宋体" w:hAnsi="宋体" w:eastAsia="宋体" w:cs="Times New Roman"/>
          <w:kern w:val="0"/>
          <w:sz w:val="24"/>
          <w:szCs w:val="24"/>
          <w:lang w:val="en-US" w:eastAsia="zh-CN" w:bidi="ar"/>
        </w:rPr>
        <w:t>（http://221.14.6.70:8088/ggzy/）</w:t>
      </w:r>
      <w:r>
        <w:rPr>
          <w:rFonts w:hint="eastAsia" w:ascii="新宋体" w:hAnsi="新宋体" w:eastAsia="新宋体" w:cs="仿宋_GB2312"/>
          <w:kern w:val="0"/>
          <w:sz w:val="24"/>
          <w:szCs w:val="22"/>
          <w:lang w:val="zh-CN" w:eastAsia="zh-CN" w:bidi="ar"/>
        </w:rPr>
        <w:t>系统</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依次点击</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会员向导</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参与投标</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费用缴纳说明</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保证金缴纳说明单</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获取缴费说明单</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根据每个标段的缴纳说明单在缴纳截止时间前缴纳</w:t>
      </w:r>
      <w:r>
        <w:rPr>
          <w:rFonts w:hint="eastAsia" w:ascii="新宋体" w:hAnsi="新宋体" w:eastAsia="新宋体" w:cs="仿宋_GB2312"/>
          <w:kern w:val="0"/>
          <w:sz w:val="24"/>
          <w:szCs w:val="22"/>
          <w:lang w:val="en-US" w:eastAsia="zh-CN" w:bidi="ar"/>
        </w:rPr>
        <w:t>；</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zh-CN" w:eastAsia="zh-CN" w:bidi="ar"/>
        </w:rPr>
        <w:t>成功缴纳后重新登录前述系统</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依次点击</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会员向导</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参与投标</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保证金绑定</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绑定</w:t>
      </w:r>
      <w:r>
        <w:rPr>
          <w:rFonts w:hint="eastAsia" w:ascii="新宋体" w:hAnsi="新宋体" w:eastAsia="新宋体" w:cs="仿宋_GB2312"/>
          <w:kern w:val="0"/>
          <w:sz w:val="24"/>
          <w:szCs w:val="22"/>
          <w:lang w:val="en-US" w:eastAsia="zh-CN" w:bidi="ar"/>
        </w:rPr>
        <w:t>”</w:t>
      </w:r>
      <w:r>
        <w:rPr>
          <w:rFonts w:hint="eastAsia" w:ascii="新宋体" w:hAnsi="新宋体" w:eastAsia="新宋体" w:cs="仿宋_GB2312"/>
          <w:kern w:val="0"/>
          <w:sz w:val="24"/>
          <w:szCs w:val="22"/>
          <w:lang w:val="zh-CN" w:eastAsia="zh-CN" w:bidi="ar"/>
        </w:rPr>
        <w:t>进行投标保证金绑定。</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zh-CN" w:eastAsia="zh-CN"/>
        </w:rPr>
      </w:pPr>
      <w:r>
        <w:rPr>
          <w:rFonts w:hint="eastAsia" w:ascii="新宋体" w:hAnsi="新宋体" w:eastAsia="新宋体" w:cs="仿宋_GB2312"/>
          <w:kern w:val="0"/>
          <w:sz w:val="24"/>
          <w:szCs w:val="22"/>
          <w:lang w:val="zh-CN" w:eastAsia="zh-CN" w:bidi="ar"/>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zh-CN" w:eastAsia="zh-CN"/>
        </w:rPr>
      </w:pPr>
      <w:r>
        <w:rPr>
          <w:rFonts w:hint="eastAsia" w:ascii="新宋体" w:hAnsi="新宋体" w:eastAsia="新宋体" w:cs="仿宋_GB2312"/>
          <w:kern w:val="0"/>
          <w:sz w:val="24"/>
          <w:szCs w:val="22"/>
          <w:lang w:val="zh-CN" w:eastAsia="zh-CN" w:bidi="ar"/>
        </w:rPr>
        <w:t>3.4.2.3 每个投标人每个项目每个标段只有唯一缴纳账号，</w:t>
      </w:r>
      <w:r>
        <w:rPr>
          <w:rFonts w:hint="eastAsia" w:ascii="新宋体" w:hAnsi="新宋体" w:eastAsia="新宋体" w:cs="仿宋_GB2312"/>
          <w:kern w:val="0"/>
          <w:sz w:val="24"/>
          <w:szCs w:val="22"/>
          <w:lang w:val="en-US" w:eastAsia="zh-CN" w:bidi="ar"/>
        </w:rPr>
        <w:t>切勿重复缴纳或错误缴纳。</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zh-CN" w:eastAsia="zh-CN" w:bidi="ar"/>
        </w:rPr>
        <w:t>3.4.2.4</w:t>
      </w:r>
      <w:r>
        <w:rPr>
          <w:rFonts w:hint="eastAsia" w:ascii="新宋体" w:hAnsi="新宋体" w:eastAsia="新宋体" w:cs="仿宋_GB2312"/>
          <w:kern w:val="0"/>
          <w:sz w:val="24"/>
          <w:szCs w:val="22"/>
          <w:lang w:val="en-US" w:eastAsia="zh-CN" w:bidi="ar"/>
        </w:rPr>
        <w:t>未按上述规定操作引起的无效投标，由投标人自行负责。</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zh-CN" w:eastAsia="zh-CN"/>
        </w:rPr>
      </w:pPr>
      <w:r>
        <w:rPr>
          <w:rFonts w:hint="eastAsia" w:ascii="新宋体" w:hAnsi="新宋体" w:eastAsia="新宋体" w:cs="仿宋_GB2312"/>
          <w:kern w:val="0"/>
          <w:sz w:val="24"/>
          <w:szCs w:val="22"/>
          <w:lang w:val="zh-CN" w:eastAsia="zh-CN" w:bidi="ar"/>
        </w:rPr>
        <w:t>3.4.2.5汇款凭证无须备注项目编号和项目名称。</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zh-CN" w:eastAsia="zh-CN" w:bidi="ar"/>
        </w:rPr>
        <w:t xml:space="preserve">3.4.2.6 </w:t>
      </w:r>
      <w:r>
        <w:rPr>
          <w:rFonts w:hint="eastAsia" w:ascii="新宋体" w:hAnsi="新宋体" w:eastAsia="新宋体" w:cs="仿宋_GB2312"/>
          <w:kern w:val="0"/>
          <w:sz w:val="24"/>
          <w:szCs w:val="22"/>
          <w:lang w:val="en-US" w:eastAsia="zh-CN" w:bidi="ar"/>
        </w:rPr>
        <w:t>出现以下情形造成的投标保证金无效，由投标人自行负责。</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(1)投标保证金未从投标人的基本账户转出；</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(2)投标保证金未按照招标文件划分的标段转账。</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zh-CN" w:eastAsia="zh-CN"/>
        </w:rPr>
      </w:pPr>
      <w:r>
        <w:rPr>
          <w:rFonts w:hint="eastAsia" w:ascii="新宋体" w:hAnsi="新宋体" w:eastAsia="新宋体" w:cs="仿宋_GB2312"/>
          <w:kern w:val="0"/>
          <w:sz w:val="24"/>
          <w:szCs w:val="22"/>
          <w:lang w:val="zh-CN" w:eastAsia="zh-CN" w:bidi="ar"/>
        </w:rPr>
        <w:t>3.4.2.7 《保证金缴纳绑定操作指南》获取方法：</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zh-CN" w:eastAsia="zh-CN"/>
        </w:rPr>
      </w:pPr>
      <w:r>
        <w:rPr>
          <w:rFonts w:hint="eastAsia" w:ascii="新宋体" w:hAnsi="新宋体" w:eastAsia="新宋体" w:cs="仿宋_GB2312"/>
          <w:kern w:val="0"/>
          <w:sz w:val="24"/>
          <w:szCs w:val="22"/>
          <w:lang w:val="zh-CN" w:eastAsia="zh-CN" w:bidi="ar"/>
        </w:rPr>
        <w:t>登录许昌公共资源交易系统-组件下载-《保证金缴纳绑定操作指南》</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3.4.3 投标人不按本章第3.4.2项要求提交投标保证金的，拒收其投标文件。</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3.4.4 投标保证金的退还：</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（1）中标候选人公示期满后没有质疑或投诉的，退还非中标候选人投标保证金及银行同期存款利息；在书面合同签订后5日内向中标人和其他中标候选人退还投标保证金及银行同期存款利息。</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（2）法定期限内未签订书面合同的，按照有关规定向中标人和其他中标候选人退还投标保证金及银行同期活期存款利息。</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（3）项目废标或招标人终止招标的，在此后5个工作日内退还投标保证金及银行同期活期存利息。</w:t>
      </w:r>
      <w:r>
        <w:rPr>
          <w:rFonts w:hint="eastAsia" w:ascii="新宋体" w:hAnsi="新宋体" w:eastAsia="新宋体" w:cs="仿宋_GB2312"/>
          <w:kern w:val="0"/>
          <w:sz w:val="24"/>
          <w:szCs w:val="22"/>
          <w:lang w:val="en-US" w:eastAsia="zh-CN" w:bidi="ar"/>
        </w:rPr>
        <w:br w:type="textWrapping"/>
      </w:r>
      <w:r>
        <w:rPr>
          <w:rFonts w:hint="eastAsia" w:ascii="新宋体" w:hAnsi="新宋体" w:eastAsia="新宋体" w:cs="仿宋_GB2312"/>
          <w:kern w:val="0"/>
          <w:sz w:val="24"/>
          <w:szCs w:val="22"/>
          <w:lang w:val="en-US" w:eastAsia="zh-CN" w:bidi="ar"/>
        </w:rPr>
        <w:t xml:space="preserve">    （4）投标活动中出现质疑、投诉的，中标候选人、质疑人和被质疑人、投诉人和被投诉人的投标保证金暂停退还。</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sz w:val="24"/>
          <w:szCs w:val="22"/>
          <w:lang w:val="en-US"/>
        </w:rPr>
      </w:pPr>
      <w:r>
        <w:rPr>
          <w:rFonts w:hint="eastAsia" w:ascii="新宋体" w:hAnsi="新宋体" w:eastAsia="新宋体" w:cs="仿宋_GB2312"/>
          <w:kern w:val="0"/>
          <w:sz w:val="24"/>
          <w:szCs w:val="22"/>
          <w:lang w:val="en-US" w:eastAsia="zh-CN" w:bidi="ar"/>
        </w:rPr>
        <w:t>（5）相关投标人有违法违规行为的项目，其投标保证金暂不退还，待行政监督部</w:t>
      </w:r>
      <w:r>
        <w:rPr>
          <w:rFonts w:hint="eastAsia" w:ascii="宋体" w:hAnsi="宋体" w:eastAsia="宋体" w:cs="Times New Roman"/>
          <w:kern w:val="0"/>
          <w:sz w:val="24"/>
          <w:szCs w:val="22"/>
          <w:lang w:val="en-US" w:eastAsia="zh-CN" w:bidi="ar"/>
        </w:rPr>
        <w:t>门对相关情况处置后，按照有关规定办理。</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360" w:firstLineChars="15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（6）因投标人的原因无法及时退还投标（竞买）保证金、滞留三年以上的，投标（竞买）保证金上缴同级国库。</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r>
        <w:rPr>
          <w:rFonts w:hint="eastAsia" w:ascii="宋体" w:hAnsi="宋体" w:eastAsia="宋体" w:cs="Times New Roman"/>
          <w:kern w:val="0"/>
          <w:sz w:val="24"/>
          <w:szCs w:val="22"/>
          <w:lang w:val="en-US" w:eastAsia="zh-CN" w:bidi="ar"/>
        </w:rPr>
        <w:t>（7）退还投标保证金，除另有规定外，一般以转账方式一次性退还至投标保证金的原提交账户。</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（8）特殊情况处理</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int="eastAsia" w:ascii="新宋体" w:hAnsi="新宋体" w:eastAsia="新宋体" w:cs="仿宋_GB2312"/>
          <w:sz w:val="24"/>
          <w:szCs w:val="22"/>
          <w:lang w:val="en-US"/>
        </w:rPr>
      </w:pPr>
      <w:r>
        <w:rPr>
          <w:rFonts w:hint="eastAsia" w:ascii="新宋体" w:hAnsi="新宋体" w:eastAsia="新宋体" w:cs="仿宋_GB2312"/>
          <w:kern w:val="0"/>
          <w:sz w:val="24"/>
          <w:szCs w:val="22"/>
          <w:lang w:val="en-US" w:eastAsia="zh-CN" w:bidi="ar"/>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3.4.5投标人有下列情形之一的，不予退还投标保证金：</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 xml:space="preserve">（1）在招标文件要求提交投标文件的截止时间后至投标文件有效期满前撤回投标的；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360" w:firstLineChars="150"/>
        <w:jc w:val="left"/>
        <w:rPr>
          <w:rFonts w:hAnsi="宋体" w:cs="宋体"/>
          <w:sz w:val="24"/>
          <w:szCs w:val="22"/>
          <w:lang w:val="en-US"/>
        </w:rPr>
      </w:pPr>
      <w:r>
        <w:rPr>
          <w:rFonts w:hint="eastAsia" w:ascii="宋体" w:hAnsi="宋体" w:eastAsia="宋体" w:cs="宋体"/>
          <w:kern w:val="0"/>
          <w:sz w:val="24"/>
          <w:szCs w:val="22"/>
          <w:lang w:val="en-US" w:eastAsia="zh-CN" w:bidi="ar"/>
        </w:rPr>
        <w:t xml:space="preserve"> （2）中标通知书发出后，中标人无故放弃中标项目或无正当理由在规定时间内不与招标人签订合同或未按招标文件规定提交履约担保的；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360" w:firstLineChars="150"/>
        <w:jc w:val="left"/>
        <w:rPr>
          <w:rFonts w:hAnsi="宋体" w:cs="宋体"/>
          <w:sz w:val="24"/>
          <w:szCs w:val="22"/>
          <w:lang w:val="en-US"/>
        </w:rPr>
      </w:pPr>
      <w:r>
        <w:rPr>
          <w:rFonts w:hint="eastAsia" w:ascii="宋体" w:hAnsi="宋体" w:eastAsia="宋体" w:cs="宋体"/>
          <w:kern w:val="0"/>
          <w:sz w:val="24"/>
          <w:szCs w:val="22"/>
          <w:lang w:val="en-US" w:eastAsia="zh-CN" w:bidi="ar"/>
        </w:rPr>
        <w:t xml:space="preserve"> （3）将中标项目转让给他人，或者在投标文件中未说明，且未经招标人同意，将中标项目分包给他人的；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360" w:firstLineChars="150"/>
        <w:jc w:val="left"/>
        <w:rPr>
          <w:rFonts w:hAnsi="宋体" w:cs="宋体"/>
          <w:sz w:val="24"/>
          <w:szCs w:val="22"/>
          <w:lang w:val="en-US"/>
        </w:rPr>
      </w:pPr>
      <w:r>
        <w:rPr>
          <w:rFonts w:hint="eastAsia" w:ascii="宋体" w:hAnsi="宋体" w:eastAsia="宋体" w:cs="宋体"/>
          <w:kern w:val="0"/>
          <w:sz w:val="24"/>
          <w:szCs w:val="22"/>
          <w:lang w:val="en-US" w:eastAsia="zh-CN" w:bidi="ar"/>
        </w:rPr>
        <w:t xml:space="preserve"> （4）投标人在招投标活动中弄虚作假、围标串标、骗取中标等，并经招投标行政监督部门调查核实的； </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360" w:firstLineChars="150"/>
        <w:jc w:val="left"/>
        <w:rPr>
          <w:rFonts w:hAnsi="宋体" w:cs="宋体"/>
          <w:sz w:val="24"/>
          <w:szCs w:val="22"/>
          <w:lang w:val="en-US"/>
        </w:rPr>
      </w:pPr>
      <w:r>
        <w:rPr>
          <w:rFonts w:hint="eastAsia" w:ascii="宋体" w:hAnsi="宋体" w:eastAsia="宋体" w:cs="宋体"/>
          <w:kern w:val="0"/>
          <w:sz w:val="24"/>
          <w:szCs w:val="22"/>
          <w:lang w:val="en-US" w:eastAsia="zh-CN" w:bidi="ar"/>
        </w:rPr>
        <w:t xml:space="preserve"> （5）拒绝履行合同义务的；</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zh-CN" w:eastAsia="zh-CN"/>
        </w:rPr>
      </w:pPr>
      <w:r>
        <w:rPr>
          <w:rFonts w:hint="eastAsia" w:ascii="新宋体" w:hAnsi="新宋体" w:eastAsia="新宋体" w:cs="仿宋_GB2312"/>
          <w:kern w:val="0"/>
          <w:sz w:val="24"/>
          <w:szCs w:val="22"/>
          <w:lang w:val="en-US" w:eastAsia="zh-CN" w:bidi="ar"/>
        </w:rPr>
        <w:t>（6）</w:t>
      </w:r>
      <w:r>
        <w:rPr>
          <w:rFonts w:hint="eastAsia" w:ascii="宋体" w:hAnsi="宋体" w:eastAsia="宋体" w:cs="宋体"/>
          <w:kern w:val="0"/>
          <w:sz w:val="24"/>
          <w:szCs w:val="22"/>
          <w:lang w:val="zh-CN" w:eastAsia="zh-CN" w:bidi="ar"/>
        </w:rPr>
        <w:t>凡投标人投标保证金交纳至同一标段相同子账号的，保证金暂不予退还，</w:t>
      </w:r>
      <w:r>
        <w:rPr>
          <w:rFonts w:hint="eastAsia" w:ascii="宋体" w:hAnsi="宋体" w:eastAsia="Times New Roman" w:cs="宋体"/>
          <w:kern w:val="0"/>
          <w:sz w:val="24"/>
          <w:szCs w:val="22"/>
          <w:lang w:val="zh-CN" w:eastAsia="zh-CN" w:bidi="ar"/>
        </w:rPr>
        <w:t>并</w:t>
      </w:r>
      <w:r>
        <w:rPr>
          <w:rFonts w:hint="eastAsia" w:ascii="宋体" w:hAnsi="宋体" w:eastAsia="宋体" w:cs="宋体"/>
          <w:kern w:val="0"/>
          <w:sz w:val="24"/>
          <w:szCs w:val="22"/>
          <w:lang w:val="zh-CN" w:eastAsia="zh-CN" w:bidi="ar"/>
        </w:rPr>
        <w:t>依照《许昌市公共资源交易当事人不良行为管理暂行办法》（许公管委〔2017〕1号）规定，进行调查、认定、记录、公示</w:t>
      </w:r>
      <w:r>
        <w:rPr>
          <w:rFonts w:hint="eastAsia" w:ascii="宋体" w:hAnsi="宋体" w:eastAsia="Times New Roman" w:cs="宋体"/>
          <w:kern w:val="0"/>
          <w:sz w:val="24"/>
          <w:szCs w:val="22"/>
          <w:lang w:val="zh-CN" w:eastAsia="zh-CN" w:bidi="ar"/>
        </w:rPr>
        <w:t>、</w:t>
      </w:r>
      <w:r>
        <w:rPr>
          <w:rFonts w:hint="eastAsia" w:ascii="宋体" w:hAnsi="宋体" w:eastAsia="宋体" w:cs="宋体"/>
          <w:kern w:val="0"/>
          <w:sz w:val="24"/>
          <w:szCs w:val="22"/>
          <w:lang w:val="zh-CN" w:eastAsia="zh-CN" w:bidi="ar"/>
        </w:rPr>
        <w:t>公告。对涉嫌串通投标</w:t>
      </w:r>
      <w:r>
        <w:rPr>
          <w:rFonts w:hint="eastAsia" w:ascii="宋体" w:hAnsi="宋体" w:eastAsia="Times New Roman" w:cs="宋体"/>
          <w:kern w:val="0"/>
          <w:sz w:val="24"/>
          <w:szCs w:val="22"/>
          <w:lang w:val="zh-CN" w:eastAsia="zh-CN" w:bidi="ar"/>
        </w:rPr>
        <w:t>等违规行为的</w:t>
      </w:r>
      <w:r>
        <w:rPr>
          <w:rFonts w:hint="eastAsia" w:ascii="宋体" w:hAnsi="宋体" w:eastAsia="宋体" w:cs="宋体"/>
          <w:kern w:val="0"/>
          <w:sz w:val="24"/>
          <w:szCs w:val="22"/>
          <w:lang w:val="zh-CN" w:eastAsia="zh-CN" w:bidi="ar"/>
        </w:rPr>
        <w:t>，经调查核实后，记录不良行为，移交有关部门进行查处。不予退还的保证金上缴国库。</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 xml:space="preserve">（7）相关法律、法规规定不予退还的其它情形。 </w:t>
      </w:r>
    </w:p>
    <w:p>
      <w:pPr>
        <w:keepNext w:val="0"/>
        <w:keepLines w:val="0"/>
        <w:widowControl w:val="0"/>
        <w:suppressLineNumbers w:val="0"/>
        <w:autoSpaceDE w:val="0"/>
        <w:autoSpaceDN w:val="0"/>
        <w:spacing w:before="0" w:beforeAutospacing="0" w:after="0" w:afterAutospacing="0" w:line="420" w:lineRule="exact"/>
        <w:ind w:left="0" w:right="0"/>
        <w:jc w:val="left"/>
        <w:outlineLvl w:val="0"/>
        <w:rPr>
          <w:rFonts w:hAnsi="宋体" w:cs="宋体"/>
          <w:b/>
          <w:bCs w:val="0"/>
          <w:sz w:val="24"/>
          <w:szCs w:val="22"/>
          <w:lang w:val="en-US"/>
        </w:rPr>
      </w:pPr>
      <w:r>
        <w:rPr>
          <w:rFonts w:hint="eastAsia" w:ascii="宋体" w:hAnsi="宋体" w:eastAsia="宋体" w:cs="宋体"/>
          <w:b/>
          <w:bCs w:val="0"/>
          <w:kern w:val="0"/>
          <w:sz w:val="24"/>
          <w:szCs w:val="22"/>
          <w:lang w:val="en-US" w:eastAsia="zh-CN" w:bidi="ar"/>
        </w:rPr>
        <w:t>3.5 资格审查资料</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3.5.1 “投标人基本情况表”应附投标人营业执照副本、资质证书副本和安全生产许可证等材料的原件扫描件。</w:t>
      </w:r>
    </w:p>
    <w:p>
      <w:pPr>
        <w:keepNext w:val="0"/>
        <w:keepLines w:val="0"/>
        <w:widowControl w:val="0"/>
        <w:suppressLineNumbers w:val="0"/>
        <w:tabs>
          <w:tab w:val="left" w:pos="1260"/>
        </w:tabs>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3.5.2 “近年财务状况表”应附经会计师事务所或审计机构审计的财务会计报表，包括资产负债表、现金流量表、利润表和财务情况说明书的原件扫描件，具体年份要求见投标人须知前附表。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sz w:val="24"/>
          <w:szCs w:val="22"/>
          <w:lang w:val="en-US"/>
        </w:rPr>
      </w:pPr>
      <w:r>
        <w:rPr>
          <w:rFonts w:hint="eastAsia" w:ascii="宋体" w:hAnsi="宋体" w:eastAsia="宋体" w:cs="宋体"/>
          <w:kern w:val="0"/>
          <w:sz w:val="24"/>
          <w:szCs w:val="22"/>
          <w:lang w:val="en-US" w:eastAsia="zh-CN" w:bidi="ar"/>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sz w:val="24"/>
          <w:szCs w:val="22"/>
          <w:lang w:val="en-US"/>
        </w:rPr>
      </w:pPr>
      <w:r>
        <w:rPr>
          <w:rFonts w:hint="eastAsia" w:ascii="宋体" w:hAnsi="宋体" w:eastAsia="宋体" w:cs="宋体"/>
          <w:kern w:val="0"/>
          <w:sz w:val="24"/>
          <w:szCs w:val="22"/>
          <w:lang w:val="en-US" w:eastAsia="zh-CN" w:bidi="ar"/>
        </w:rPr>
        <w:t xml:space="preserve">    3.5.4 “正在施工和新承接的项目情况表”应附中标通知书和合同协议书的原件扫描件。每张表格只填写一个项目，并标明序号。</w:t>
      </w:r>
    </w:p>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sz w:val="24"/>
          <w:szCs w:val="22"/>
          <w:lang w:val="en-US"/>
        </w:rPr>
      </w:pPr>
      <w:r>
        <w:rPr>
          <w:rFonts w:hint="eastAsia" w:ascii="宋体" w:hAnsi="宋体" w:eastAsia="宋体" w:cs="宋体"/>
          <w:kern w:val="0"/>
          <w:sz w:val="24"/>
          <w:szCs w:val="22"/>
          <w:lang w:val="en-US" w:eastAsia="zh-CN" w:bidi="ar"/>
        </w:rPr>
        <w:t xml:space="preserve">    3.5.5 “近年发生的诉讼及仲裁情况”应说明相关情况，并附法院或仲裁机构作出的判决、裁决等有关法律文书原件扫描件，具体年份要求见投标人须知前附表。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rPr>
          <w:rFonts w:hAnsi="宋体" w:cs="宋体"/>
          <w:b/>
          <w:bCs w:val="0"/>
          <w:sz w:val="24"/>
          <w:szCs w:val="22"/>
          <w:lang w:val="en-US"/>
        </w:rPr>
      </w:pPr>
      <w:r>
        <w:rPr>
          <w:rFonts w:hint="eastAsia" w:ascii="宋体" w:hAnsi="宋体" w:eastAsia="宋体" w:cs="宋体"/>
          <w:b/>
          <w:bCs w:val="0"/>
          <w:kern w:val="0"/>
          <w:sz w:val="24"/>
          <w:szCs w:val="22"/>
          <w:lang w:val="en-US" w:eastAsia="zh-CN" w:bidi="ar"/>
        </w:rPr>
        <w:t xml:space="preserve">3.6 </w:t>
      </w:r>
      <w:bookmarkStart w:id="43" w:name="_Toc152045553"/>
      <w:bookmarkStart w:id="44" w:name="_Toc144974521"/>
      <w:bookmarkStart w:id="45" w:name="_Toc179632571"/>
      <w:bookmarkStart w:id="46" w:name="_Toc152042329"/>
      <w:r>
        <w:rPr>
          <w:rFonts w:hint="eastAsia" w:ascii="宋体" w:hAnsi="宋体" w:eastAsia="宋体" w:cs="宋体"/>
          <w:b/>
          <w:bCs w:val="0"/>
          <w:kern w:val="0"/>
          <w:sz w:val="24"/>
          <w:szCs w:val="22"/>
          <w:lang w:val="en-US" w:eastAsia="zh-CN" w:bidi="ar"/>
        </w:rPr>
        <w:t>备选投标方案</w:t>
      </w:r>
    </w:p>
    <w:bookmarkEnd w:id="43"/>
    <w:bookmarkEnd w:id="44"/>
    <w:bookmarkEnd w:id="45"/>
    <w:bookmarkEnd w:id="46"/>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r>
        <w:rPr>
          <w:rFonts w:hint="eastAsia" w:ascii="宋体" w:hAnsi="宋体" w:eastAsia="宋体" w:cs="宋体"/>
          <w:b/>
          <w:bCs w:val="0"/>
          <w:kern w:val="0"/>
          <w:sz w:val="24"/>
          <w:szCs w:val="22"/>
          <w:lang w:val="en-US" w:eastAsia="zh-CN" w:bidi="ar"/>
        </w:rPr>
        <w:t>3.7 投标文件的编制</w:t>
      </w:r>
      <w:bookmarkEnd w:id="42"/>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3.7.2 投标文件应当对招标文件有关工期、投标有效期、质量要求、招标范围作出响应。</w:t>
      </w:r>
    </w:p>
    <w:p>
      <w:pPr>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3.7.3 投标人编制的投标文件应分为商务标、综合标和技术标。</w:t>
      </w:r>
    </w:p>
    <w:p>
      <w:pPr>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宋体"/>
          <w:kern w:val="0"/>
          <w:sz w:val="24"/>
          <w:szCs w:val="22"/>
          <w:lang w:val="en-US" w:eastAsia="zh-CN" w:bidi="ar"/>
        </w:rPr>
        <w:t xml:space="preserve">3.7.4 </w:t>
      </w:r>
      <w:r>
        <w:rPr>
          <w:rFonts w:hint="eastAsia" w:ascii="宋体" w:hAnsi="宋体" w:eastAsia="宋体" w:cs="Times New Roman"/>
          <w:kern w:val="0"/>
          <w:sz w:val="24"/>
          <w:szCs w:val="24"/>
          <w:lang w:val="en-US" w:eastAsia="zh-CN" w:bidi="ar"/>
        </w:rPr>
        <w:t>投标人登录许昌公共资源交易系统下载“许昌投标文件制作系统SEARUN V1.1”，按招标文件要求制作电子投标文件（包括含工程量清单的商务标投标文件）。</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3.7.5 使用电子介质存储的备份文件1份。</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b/>
          <w:bCs w:val="0"/>
          <w:sz w:val="24"/>
          <w:szCs w:val="22"/>
          <w:lang w:val="en-US"/>
        </w:rPr>
      </w:pPr>
      <w:r>
        <w:rPr>
          <w:rFonts w:hint="eastAsia" w:ascii="宋体" w:hAnsi="宋体" w:eastAsia="宋体" w:cs="宋体"/>
          <w:kern w:val="0"/>
          <w:sz w:val="24"/>
          <w:szCs w:val="22"/>
          <w:lang w:val="en-US" w:eastAsia="zh-CN" w:bidi="ar"/>
        </w:rPr>
        <w:t>3.7.6 同时生成与电子投标文件内容、水印码、</w:t>
      </w:r>
      <w:r>
        <w:rPr>
          <w:rFonts w:hint="eastAsia" w:ascii="宋体" w:hAnsi="宋体" w:eastAsia="宋体" w:cs="宋体"/>
          <w:b/>
          <w:bCs w:val="0"/>
          <w:kern w:val="0"/>
          <w:sz w:val="24"/>
          <w:szCs w:val="22"/>
          <w:lang w:val="en-US" w:eastAsia="zh-CN" w:bidi="ar"/>
        </w:rPr>
        <w:t>电子签章</w:t>
      </w:r>
      <w:r>
        <w:rPr>
          <w:rFonts w:hint="eastAsia" w:ascii="宋体" w:hAnsi="宋体" w:eastAsia="宋体" w:cs="宋体"/>
          <w:kern w:val="0"/>
          <w:sz w:val="24"/>
          <w:szCs w:val="22"/>
          <w:lang w:val="en-US" w:eastAsia="zh-CN" w:bidi="ar"/>
        </w:rPr>
        <w:t>一致的PDF文件。</w:t>
      </w:r>
    </w:p>
    <w:p>
      <w:pPr>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Ansi="宋体"/>
          <w:sz w:val="24"/>
          <w:szCs w:val="24"/>
          <w:lang w:val="en-US"/>
        </w:rPr>
      </w:pPr>
      <w:bookmarkStart w:id="47" w:name="_Toc283559961"/>
      <w:r>
        <w:rPr>
          <w:rFonts w:hint="eastAsia" w:ascii="宋体" w:hAnsi="宋体" w:eastAsia="宋体" w:cs="Times New Roman"/>
          <w:kern w:val="0"/>
          <w:sz w:val="24"/>
          <w:szCs w:val="24"/>
          <w:lang w:val="en-US" w:eastAsia="zh-CN" w:bidi="ar"/>
        </w:rPr>
        <w:t>3.7.7 当生成的电子投标文件投标报价大小写不一致时，以大写为准。</w:t>
      </w:r>
    </w:p>
    <w:p>
      <w:pPr>
        <w:keepNext w:val="0"/>
        <w:keepLines w:val="0"/>
        <w:widowControl w:val="0"/>
        <w:suppressLineNumbers w:val="0"/>
        <w:autoSpaceDE w:val="0"/>
        <w:autoSpaceDN w:val="0"/>
        <w:adjustRightInd w:val="0"/>
        <w:spacing w:before="0" w:beforeAutospacing="0" w:after="0" w:afterAutospacing="0" w:line="460" w:lineRule="exact"/>
        <w:ind w:left="0" w:right="0"/>
        <w:jc w:val="left"/>
        <w:rPr>
          <w:rFonts w:hAnsi="宋体" w:cs="宋体"/>
          <w:sz w:val="24"/>
          <w:szCs w:val="22"/>
          <w:lang w:val="en-US"/>
        </w:rPr>
      </w:pPr>
      <w:r>
        <w:rPr>
          <w:rFonts w:hint="eastAsia" w:ascii="宋体" w:hAnsi="宋体" w:eastAsia="宋体" w:cs="宋体"/>
          <w:b/>
          <w:kern w:val="0"/>
          <w:sz w:val="24"/>
          <w:szCs w:val="22"/>
          <w:lang w:val="en-US" w:eastAsia="zh-CN" w:bidi="ar"/>
        </w:rPr>
        <w:t>3.7.8 商务标投标文件制作注意事项：</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3.7.8.1 投标人登录【全国公共资源交易平台（河南省·许昌市）】公共资源交易系统下载“许昌投标文件制作系统SEARUN V1.1” 和操作手册（工程项目），按招标文件要求制作商务标投标文件。</w:t>
      </w:r>
    </w:p>
    <w:p>
      <w:pPr>
        <w:keepNext w:val="0"/>
        <w:keepLines w:val="0"/>
        <w:widowControl w:val="0"/>
        <w:suppressLineNumbers w:val="0"/>
        <w:autoSpaceDE w:val="0"/>
        <w:autoSpaceDN w:val="0"/>
        <w:adjustRightInd w:val="0"/>
        <w:spacing w:before="0" w:beforeAutospacing="0" w:after="0" w:afterAutospacing="0" w:line="46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3.7.8.2 商务标投标文件制作技术咨询：0374-2961598。</w:t>
      </w:r>
    </w:p>
    <w:p>
      <w:pPr>
        <w:pStyle w:val="39"/>
        <w:keepNext w:val="0"/>
        <w:keepLines w:val="0"/>
        <w:widowControl w:val="0"/>
        <w:suppressLineNumbers w:val="0"/>
        <w:autoSpaceDE w:val="0"/>
        <w:autoSpaceDN w:val="0"/>
        <w:adjustRightInd w:val="0"/>
        <w:spacing w:before="0" w:beforeAutospacing="0" w:after="0" w:afterAutospacing="0" w:line="440" w:lineRule="exact"/>
        <w:ind w:left="0" w:right="0"/>
        <w:jc w:val="both"/>
        <w:outlineLvl w:val="0"/>
        <w:rPr>
          <w:rFonts w:hAnsi="宋体"/>
          <w:b/>
          <w:bCs w:val="0"/>
          <w:color w:val="auto"/>
          <w:lang w:val="en-US"/>
        </w:rPr>
      </w:pPr>
      <w:r>
        <w:rPr>
          <w:rFonts w:hint="eastAsia" w:ascii="宋体" w:hAnsi="宋体" w:eastAsia="宋体" w:cs="宋体"/>
          <w:b/>
          <w:bCs w:val="0"/>
          <w:color w:val="auto"/>
          <w:kern w:val="0"/>
          <w:sz w:val="24"/>
          <w:szCs w:val="24"/>
          <w:lang w:val="en-US" w:eastAsia="zh-CN" w:bidi="ar"/>
        </w:rPr>
        <w:t>4. 投标</w:t>
      </w:r>
      <w:bookmarkEnd w:id="47"/>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2"/>
          <w:lang w:val="en-US"/>
        </w:rPr>
      </w:pPr>
      <w:bookmarkStart w:id="48" w:name="_Toc283559962"/>
      <w:r>
        <w:rPr>
          <w:rFonts w:hint="eastAsia" w:ascii="宋体" w:hAnsi="宋体" w:eastAsia="宋体" w:cs="宋体"/>
          <w:b/>
          <w:bCs w:val="0"/>
          <w:kern w:val="0"/>
          <w:sz w:val="24"/>
          <w:szCs w:val="22"/>
          <w:lang w:val="en-US" w:eastAsia="zh-CN" w:bidi="ar"/>
        </w:rPr>
        <w:t>4.1 投标文件的密封和标记</w:t>
      </w:r>
      <w:bookmarkEnd w:id="48"/>
    </w:p>
    <w:p>
      <w:pPr>
        <w:keepNext w:val="0"/>
        <w:keepLines w:val="0"/>
        <w:widowControl w:val="0"/>
        <w:suppressLineNumbers w:val="0"/>
        <w:autoSpaceDE w:val="0"/>
        <w:autoSpaceDN w:val="0"/>
        <w:spacing w:before="0" w:beforeAutospacing="0" w:after="0" w:afterAutospacing="0" w:line="360" w:lineRule="auto"/>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电子介质存储的投标文件应单独密封，封套上写明“招标人名称、投标人名称、项目名称、标段，在年月日时分前不得开启”，并加盖单位公章，法定代表人或委托代理人签名，在投标截止时间前递交。</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r>
        <w:rPr>
          <w:rFonts w:hint="eastAsia" w:ascii="宋体" w:hAnsi="宋体" w:eastAsia="宋体" w:cs="宋体"/>
          <w:b/>
          <w:bCs w:val="0"/>
          <w:kern w:val="0"/>
          <w:sz w:val="24"/>
          <w:szCs w:val="22"/>
          <w:lang w:val="en-US" w:eastAsia="zh-CN" w:bidi="ar"/>
        </w:rPr>
        <w:t>4.2 投标文件的提交</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4.2.1 投标人应在投标人须知前附表中规定的投标截止时间前成功上传电子投标文件和现场提交电子介质存储的投标文件。</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4.2.2 投标人提交电子介质存储的投标文件地点：见投标人须知前附表。</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4.2.3 除投标人须知前附表另有规定外，投标人所提交的电子投标文件及电子介质存储的投标文件不予退还。</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4.2.4 逾期送达的或者未送达指定地点的电子介质存储的投标文件，招标人不予受理。</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bookmarkStart w:id="49" w:name="_Toc283559964"/>
      <w:r>
        <w:rPr>
          <w:rFonts w:hint="eastAsia" w:ascii="宋体" w:hAnsi="宋体" w:eastAsia="宋体" w:cs="宋体"/>
          <w:b/>
          <w:bCs w:val="0"/>
          <w:kern w:val="0"/>
          <w:sz w:val="24"/>
          <w:szCs w:val="22"/>
          <w:lang w:val="en-US" w:eastAsia="zh-CN" w:bidi="ar"/>
        </w:rPr>
        <w:t>4.3 投标文件的修改与撤回</w:t>
      </w:r>
      <w:bookmarkEnd w:id="49"/>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4.3.1 在本章第2.2.2 项规定的投标截止时间前，投标人可以修改或撤回已提交的电子投标文件修改或撤回应以书面形式通知招标人。</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4.3.2 投标人修改或撤回已提交电子投标文件的书面通知应按照投标人须知前附表第3.7.3 项的要求签字或盖章。招标人收到书面通知后，向投标人出具签收凭证。</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4.3.3 修改的内容为投标文件的组成部分。修改的电子投标文件应按照本章第3条、第4条规定进行编制、密封、标记和提交，并标明“修改”字样。</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4.3.4 投标人应当在投标截止时间前完成电子投标文件的提交，可以补充、修改或撤回。投标截止时间前未完成电子投标文件提交、取得“投标文件提交回执单”的，视为撤回投标文件。</w:t>
      </w:r>
    </w:p>
    <w:p>
      <w:pPr>
        <w:pStyle w:val="39"/>
        <w:keepNext w:val="0"/>
        <w:keepLines w:val="0"/>
        <w:widowControl w:val="0"/>
        <w:suppressLineNumbers w:val="0"/>
        <w:autoSpaceDE w:val="0"/>
        <w:autoSpaceDN w:val="0"/>
        <w:adjustRightInd w:val="0"/>
        <w:spacing w:before="0" w:beforeAutospacing="0" w:after="0" w:afterAutospacing="0" w:line="440" w:lineRule="exact"/>
        <w:ind w:left="0" w:right="0"/>
        <w:jc w:val="both"/>
        <w:outlineLvl w:val="0"/>
        <w:rPr>
          <w:rFonts w:hAnsi="宋体"/>
          <w:b/>
          <w:bCs w:val="0"/>
          <w:color w:val="auto"/>
          <w:lang w:val="en-US"/>
        </w:rPr>
      </w:pPr>
      <w:bookmarkStart w:id="50" w:name="_Toc283559967"/>
      <w:r>
        <w:rPr>
          <w:rFonts w:hint="eastAsia" w:ascii="宋体" w:hAnsi="宋体" w:eastAsia="宋体" w:cs="宋体"/>
          <w:b/>
          <w:bCs w:val="0"/>
          <w:color w:val="auto"/>
          <w:kern w:val="0"/>
          <w:sz w:val="24"/>
          <w:szCs w:val="24"/>
          <w:lang w:val="en-US" w:eastAsia="zh-CN" w:bidi="ar"/>
        </w:rPr>
        <w:t>5. 开标</w:t>
      </w:r>
      <w:bookmarkEnd w:id="50"/>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2"/>
          <w:lang w:val="en-US"/>
        </w:rPr>
      </w:pPr>
      <w:bookmarkStart w:id="51" w:name="_Toc283559968"/>
      <w:r>
        <w:rPr>
          <w:rFonts w:hint="eastAsia" w:ascii="宋体" w:hAnsi="宋体" w:eastAsia="宋体" w:cs="宋体"/>
          <w:b/>
          <w:bCs w:val="0"/>
          <w:kern w:val="0"/>
          <w:sz w:val="24"/>
          <w:szCs w:val="22"/>
          <w:lang w:val="en-US" w:eastAsia="zh-CN" w:bidi="ar"/>
        </w:rPr>
        <w:t>5.1 开标时间和地点</w:t>
      </w:r>
      <w:bookmarkEnd w:id="51"/>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招标人在投标人须知前附表第2.2.2项规定的投标截止时间（开标时间）和投标人须知前附表规定的地点公开开标，并邀请所有投标人的法定代表人或授权委托人准时参加。</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rPr>
          <w:rFonts w:hAnsi="宋体" w:cs="宋体"/>
          <w:b/>
          <w:bCs w:val="0"/>
          <w:sz w:val="24"/>
          <w:szCs w:val="22"/>
          <w:lang w:val="en-US"/>
        </w:rPr>
      </w:pPr>
      <w:r>
        <w:rPr>
          <w:rFonts w:hint="eastAsia" w:ascii="宋体" w:hAnsi="宋体" w:eastAsia="宋体" w:cs="宋体"/>
          <w:b/>
          <w:bCs w:val="0"/>
          <w:kern w:val="0"/>
          <w:sz w:val="24"/>
          <w:szCs w:val="22"/>
          <w:lang w:val="en-US" w:eastAsia="zh-CN" w:bidi="ar"/>
        </w:rPr>
        <w:t>5.2 开标、解密、唱标程序</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bookmarkStart w:id="52" w:name="_Toc283559970"/>
      <w:r>
        <w:rPr>
          <w:rFonts w:hint="eastAsia" w:ascii="宋体" w:hAnsi="宋体" w:eastAsia="宋体" w:cs="宋体"/>
          <w:kern w:val="0"/>
          <w:sz w:val="24"/>
          <w:szCs w:val="22"/>
          <w:lang w:val="en-US" w:eastAsia="zh-CN" w:bidi="ar"/>
        </w:rPr>
        <w:t>5.2.1主持人按下列程序进行开标：</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（1）宣布投标截止时间，并公布招标人、代理机构、监督部门名称；</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（2）宣布开标纪律；</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（3）公布在投标截止时间前递交投标文件的投标人名称和投标保证金缴纳情况。</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（4）电子投标文件解密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（5）宣布唱标顺序，按已定顺序唱标，唱标内容为：投标人名称、投标报价、质量目标、工期及其他内容，并记录；</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（6）现场抽取参与计算评标基准价的K值并宣布，同时公布招标控制价；</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（7）投标人代表、招标人代表、监标人、记录人等有关人员在开标记录上签字确认；</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（8）开标结束。</w:t>
      </w:r>
    </w:p>
    <w:p>
      <w:pPr>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5.2.2 电子投标文件的解密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Times New Roman"/>
          <w:kern w:val="0"/>
          <w:sz w:val="24"/>
          <w:szCs w:val="24"/>
          <w:lang w:val="en-US" w:eastAsia="zh-CN" w:bidi="ar"/>
        </w:rPr>
        <w:t>5.2.2.1本项目为全流程电子化交易项目，电子投标文件采用双重加密。在投标截止时间到达后，</w:t>
      </w:r>
      <w:r>
        <w:rPr>
          <w:rFonts w:hint="eastAsia" w:ascii="宋体" w:hAnsi="宋体" w:eastAsia="宋体" w:cs="宋体"/>
          <w:kern w:val="0"/>
          <w:sz w:val="24"/>
          <w:szCs w:val="22"/>
          <w:lang w:val="en-US" w:eastAsia="zh-CN" w:bidi="ar"/>
        </w:rPr>
        <w:t>分标段进行解密。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(1)投标人解密：投标人使用本单位CA数字证书远程或现场进行解密。</w:t>
      </w:r>
      <w:r>
        <w:rPr>
          <w:rFonts w:hint="eastAsia" w:ascii="宋体" w:hAnsi="宋体" w:eastAsia="宋体" w:cs="Times New Roman"/>
          <w:kern w:val="0"/>
          <w:sz w:val="24"/>
          <w:szCs w:val="24"/>
          <w:lang w:val="en-US" w:eastAsia="zh-CN" w:bidi="ar"/>
        </w:rPr>
        <w:t>需现场使用一体机进行解密的，请在代理机构引导下进行。</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(2)代理机构解密：代理机构按电子投标文件到达交易系统的先后顺序，使用本单位CA数字证书进行再次解密。</w:t>
      </w:r>
    </w:p>
    <w:p>
      <w:pPr>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5.2.2.2电子投标文件解密异常情况处理</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（1）因电子交易系统异常无法解密电子投标文件的，以人工方式进行。</w:t>
      </w:r>
    </w:p>
    <w:p>
      <w:pPr>
        <w:keepNext w:val="0"/>
        <w:keepLines w:val="0"/>
        <w:widowControl w:val="0"/>
        <w:suppressLineNumbers w:val="0"/>
        <w:spacing w:before="0" w:beforeAutospacing="0" w:after="0" w:afterAutospacing="0" w:line="360" w:lineRule="auto"/>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39"/>
        <w:keepNext w:val="0"/>
        <w:keepLines w:val="0"/>
        <w:widowControl w:val="0"/>
        <w:suppressLineNumbers w:val="0"/>
        <w:autoSpaceDE w:val="0"/>
        <w:autoSpaceDN w:val="0"/>
        <w:adjustRightInd w:val="0"/>
        <w:spacing w:before="0" w:beforeAutospacing="0" w:after="0" w:afterAutospacing="0" w:line="440" w:lineRule="exact"/>
        <w:ind w:left="0" w:right="0"/>
        <w:jc w:val="both"/>
        <w:outlineLvl w:val="0"/>
        <w:rPr>
          <w:rFonts w:hAnsi="宋体"/>
          <w:b/>
          <w:bCs w:val="0"/>
          <w:color w:val="auto"/>
          <w:lang w:val="en-US"/>
        </w:rPr>
      </w:pPr>
      <w:r>
        <w:rPr>
          <w:rFonts w:hint="eastAsia" w:ascii="宋体" w:hAnsi="宋体" w:eastAsia="宋体" w:cs="宋体"/>
          <w:b/>
          <w:bCs w:val="0"/>
          <w:color w:val="auto"/>
          <w:kern w:val="0"/>
          <w:sz w:val="24"/>
          <w:szCs w:val="24"/>
          <w:lang w:val="en-US" w:eastAsia="zh-CN" w:bidi="ar"/>
        </w:rPr>
        <w:t>6. 评标</w:t>
      </w:r>
      <w:bookmarkEnd w:id="52"/>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2"/>
          <w:lang w:val="en-US"/>
        </w:rPr>
      </w:pPr>
      <w:bookmarkStart w:id="53" w:name="_Toc283559971"/>
      <w:r>
        <w:rPr>
          <w:rFonts w:hint="eastAsia" w:ascii="宋体" w:hAnsi="宋体" w:eastAsia="宋体" w:cs="宋体"/>
          <w:b/>
          <w:bCs w:val="0"/>
          <w:kern w:val="0"/>
          <w:sz w:val="24"/>
          <w:szCs w:val="22"/>
          <w:lang w:val="en-US" w:eastAsia="zh-CN" w:bidi="ar"/>
        </w:rPr>
        <w:t>6.1 评标委员会</w:t>
      </w:r>
      <w:bookmarkEnd w:id="53"/>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6.1.1 评标由招标人依法组建的评标委员会负责。评标委员会成员由相关技术、经济等方面的专家组成，组成人数见投标人须知前附表。</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6.1.2 评标委员会成员有下列情形之一的，应当回避：</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（1）招标人或投标人的主要负责人的近亲属；</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（2）项目主管部门或者行政监督部门的人员；</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（3）与投标人有经济利益关系，可能影响对投标公正评审的；</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（4）曾因在招标、评标以及其他与招标投标有关活动中从事违法行为而受过行政处罚或刑事处罚的。</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bookmarkStart w:id="54" w:name="_Toc283559972"/>
      <w:r>
        <w:rPr>
          <w:rFonts w:hint="eastAsia" w:ascii="宋体" w:hAnsi="宋体" w:eastAsia="宋体" w:cs="宋体"/>
          <w:b/>
          <w:bCs w:val="0"/>
          <w:kern w:val="0"/>
          <w:sz w:val="24"/>
          <w:szCs w:val="22"/>
          <w:lang w:val="en-US" w:eastAsia="zh-CN" w:bidi="ar"/>
        </w:rPr>
        <w:t>6.2 评标原则</w:t>
      </w:r>
      <w:bookmarkEnd w:id="54"/>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评标活动遵循公平、公正、科学和择优的原则。</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bookmarkStart w:id="55" w:name="_Toc283559973"/>
      <w:r>
        <w:rPr>
          <w:rFonts w:hint="eastAsia" w:ascii="宋体" w:hAnsi="宋体" w:eastAsia="宋体" w:cs="宋体"/>
          <w:b/>
          <w:bCs w:val="0"/>
          <w:kern w:val="0"/>
          <w:sz w:val="24"/>
          <w:szCs w:val="22"/>
          <w:lang w:val="en-US" w:eastAsia="zh-CN" w:bidi="ar"/>
        </w:rPr>
        <w:t>6.3 评标</w:t>
      </w:r>
      <w:bookmarkEnd w:id="55"/>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评标委员会按照第三章“评标办法”规定的方法、评审因素、标准和程序对投标文件进行评审。第三章“评标办法”没有规定的方法、评审因素和标准，不作为评标依据。</w:t>
      </w:r>
    </w:p>
    <w:p>
      <w:pPr>
        <w:pStyle w:val="39"/>
        <w:keepNext w:val="0"/>
        <w:keepLines w:val="0"/>
        <w:widowControl w:val="0"/>
        <w:suppressLineNumbers w:val="0"/>
        <w:autoSpaceDE w:val="0"/>
        <w:autoSpaceDN w:val="0"/>
        <w:adjustRightInd w:val="0"/>
        <w:spacing w:before="0" w:beforeAutospacing="0" w:after="0" w:afterAutospacing="0" w:line="440" w:lineRule="exact"/>
        <w:ind w:left="0" w:right="0"/>
        <w:jc w:val="both"/>
        <w:outlineLvl w:val="0"/>
        <w:rPr>
          <w:rFonts w:hAnsi="宋体"/>
          <w:b/>
          <w:bCs w:val="0"/>
          <w:color w:val="auto"/>
          <w:lang w:val="en-US"/>
        </w:rPr>
      </w:pPr>
      <w:bookmarkStart w:id="56" w:name="_Toc283559974"/>
      <w:r>
        <w:rPr>
          <w:rFonts w:hint="eastAsia" w:ascii="宋体" w:hAnsi="宋体" w:eastAsia="宋体" w:cs="宋体"/>
          <w:b/>
          <w:bCs w:val="0"/>
          <w:color w:val="auto"/>
          <w:kern w:val="0"/>
          <w:sz w:val="24"/>
          <w:szCs w:val="24"/>
          <w:lang w:val="en-US" w:eastAsia="zh-CN" w:bidi="ar"/>
        </w:rPr>
        <w:t>7. 合同授予</w:t>
      </w:r>
      <w:bookmarkEnd w:id="56"/>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bookmarkStart w:id="57" w:name="_Toc283559975"/>
      <w:r>
        <w:rPr>
          <w:rFonts w:hint="eastAsia" w:ascii="宋体" w:hAnsi="宋体" w:eastAsia="宋体" w:cs="宋体"/>
          <w:b/>
          <w:bCs w:val="0"/>
          <w:kern w:val="0"/>
          <w:sz w:val="24"/>
          <w:szCs w:val="22"/>
          <w:lang w:val="en-US" w:eastAsia="zh-CN" w:bidi="ar"/>
        </w:rPr>
        <w:t>7.1 定标方式</w:t>
      </w:r>
      <w:bookmarkEnd w:id="57"/>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除投标人须知前附表规定评标委员会直接确定中标人外，招标人依据评标委员会推荐的中标候选人确定中标人，评标委员会推荐中标候选人的人数见投标人须知前附表。</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bookmarkStart w:id="58" w:name="_Toc283559976"/>
      <w:r>
        <w:rPr>
          <w:rFonts w:hint="eastAsia" w:ascii="宋体" w:hAnsi="宋体" w:eastAsia="宋体" w:cs="宋体"/>
          <w:b/>
          <w:bCs w:val="0"/>
          <w:kern w:val="0"/>
          <w:sz w:val="24"/>
          <w:szCs w:val="22"/>
          <w:lang w:val="en-US" w:eastAsia="zh-CN" w:bidi="ar"/>
        </w:rPr>
        <w:t>7.2 中标通知</w:t>
      </w:r>
      <w:bookmarkEnd w:id="58"/>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在本章第3.3 款规定的投标有效期内，招标人以书面形式向中标人发出中标通知书，同时将中标结果通知未中标的投标人。</w:t>
      </w:r>
      <w:bookmarkStart w:id="59" w:name="_Toc152042345"/>
      <w:bookmarkStart w:id="60" w:name="_Toc179632587"/>
      <w:bookmarkStart w:id="61" w:name="_Toc144974537"/>
      <w:bookmarkStart w:id="62" w:name="_Toc152045569"/>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r>
        <w:rPr>
          <w:rFonts w:hint="eastAsia" w:ascii="宋体" w:hAnsi="宋体" w:eastAsia="宋体" w:cs="宋体"/>
          <w:b/>
          <w:bCs w:val="0"/>
          <w:kern w:val="0"/>
          <w:sz w:val="24"/>
          <w:szCs w:val="22"/>
          <w:lang w:val="en-US" w:eastAsia="zh-CN" w:bidi="ar"/>
        </w:rPr>
        <w:t>7.</w:t>
      </w:r>
      <w:bookmarkEnd w:id="59"/>
      <w:bookmarkEnd w:id="60"/>
      <w:bookmarkEnd w:id="61"/>
      <w:bookmarkEnd w:id="62"/>
      <w:bookmarkStart w:id="63" w:name="_Toc283559977"/>
      <w:r>
        <w:rPr>
          <w:rFonts w:hint="eastAsia" w:ascii="宋体" w:hAnsi="宋体" w:eastAsia="宋体" w:cs="宋体"/>
          <w:b/>
          <w:bCs w:val="0"/>
          <w:kern w:val="0"/>
          <w:sz w:val="24"/>
          <w:szCs w:val="22"/>
          <w:lang w:val="en-US" w:eastAsia="zh-CN" w:bidi="ar"/>
        </w:rPr>
        <w:t>3签订合同</w:t>
      </w:r>
      <w:bookmarkEnd w:id="63"/>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keepNext w:val="0"/>
        <w:keepLines w:val="0"/>
        <w:widowControl w:val="0"/>
        <w:suppressLineNumbers w:val="0"/>
        <w:autoSpaceDE w:val="0"/>
        <w:autoSpaceDN w:val="0"/>
        <w:spacing w:before="0" w:beforeAutospacing="0" w:after="0" w:afterAutospacing="0" w:line="440" w:lineRule="exact"/>
        <w:ind w:left="0" w:right="0" w:firstLine="480" w:firstLineChars="200"/>
        <w:jc w:val="left"/>
        <w:outlineLvl w:val="0"/>
        <w:rPr>
          <w:rFonts w:hAnsi="宋体" w:cs="宋体"/>
          <w:sz w:val="24"/>
          <w:szCs w:val="22"/>
          <w:lang w:val="en-US"/>
        </w:rPr>
      </w:pPr>
      <w:r>
        <w:rPr>
          <w:rFonts w:hint="eastAsia" w:ascii="宋体" w:hAnsi="宋体" w:eastAsia="宋体" w:cs="宋体"/>
          <w:kern w:val="0"/>
          <w:sz w:val="24"/>
          <w:szCs w:val="22"/>
          <w:lang w:val="en-US" w:eastAsia="zh-CN" w:bidi="ar"/>
        </w:rPr>
        <w:t>7.3.2 发出中标通知书后，招标人无正当理由拒签合同的，招标人向中标人退还投标保证金；给中标人造成损失的，还应当赔偿损失。</w:t>
      </w:r>
    </w:p>
    <w:p>
      <w:pPr>
        <w:keepNext w:val="0"/>
        <w:keepLines w:val="0"/>
        <w:widowControl w:val="0"/>
        <w:suppressLineNumbers w:val="0"/>
        <w:autoSpaceDE w:val="0"/>
        <w:autoSpaceDN w:val="0"/>
        <w:spacing w:before="0" w:beforeAutospacing="0" w:after="0" w:afterAutospacing="0" w:line="440" w:lineRule="exact"/>
        <w:ind w:left="0" w:right="0"/>
        <w:jc w:val="left"/>
        <w:outlineLvl w:val="0"/>
        <w:rPr>
          <w:rFonts w:hAnsi="宋体" w:cs="宋体"/>
          <w:b/>
          <w:bCs w:val="0"/>
          <w:sz w:val="24"/>
          <w:szCs w:val="22"/>
          <w:lang w:val="en-US"/>
        </w:rPr>
      </w:pPr>
      <w:bookmarkStart w:id="64" w:name="_Toc283559978"/>
      <w:r>
        <w:rPr>
          <w:rFonts w:hint="eastAsia" w:ascii="宋体" w:hAnsi="宋体" w:eastAsia="宋体" w:cs="宋体"/>
          <w:b/>
          <w:bCs w:val="0"/>
          <w:kern w:val="0"/>
          <w:sz w:val="24"/>
          <w:szCs w:val="22"/>
          <w:lang w:val="en-US" w:eastAsia="zh-CN" w:bidi="ar"/>
        </w:rPr>
        <w:t>8. 重新招标和不再招标</w:t>
      </w:r>
      <w:bookmarkEnd w:id="64"/>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2"/>
          <w:lang w:val="en-US"/>
        </w:rPr>
      </w:pPr>
      <w:bookmarkStart w:id="65" w:name="_Toc283559979"/>
      <w:r>
        <w:rPr>
          <w:rFonts w:hint="eastAsia" w:ascii="宋体" w:hAnsi="宋体" w:eastAsia="宋体" w:cs="宋体"/>
          <w:b/>
          <w:bCs w:val="0"/>
          <w:kern w:val="0"/>
          <w:sz w:val="24"/>
          <w:szCs w:val="22"/>
          <w:lang w:val="en-US" w:eastAsia="zh-CN" w:bidi="ar"/>
        </w:rPr>
        <w:t>8.1 重新招标</w:t>
      </w:r>
      <w:bookmarkEnd w:id="65"/>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175"/>
        <w:jc w:val="left"/>
        <w:rPr>
          <w:rFonts w:hAnsi="宋体" w:cs="宋体"/>
          <w:sz w:val="24"/>
          <w:szCs w:val="22"/>
          <w:lang w:val="en-US"/>
        </w:rPr>
      </w:pPr>
      <w:r>
        <w:rPr>
          <w:rFonts w:hint="eastAsia" w:ascii="宋体" w:hAnsi="宋体" w:eastAsia="宋体" w:cs="宋体"/>
          <w:kern w:val="0"/>
          <w:sz w:val="24"/>
          <w:szCs w:val="22"/>
          <w:lang w:val="en-US" w:eastAsia="zh-CN" w:bidi="ar"/>
        </w:rPr>
        <w:t>有下列情形之一的，招标人将重新招标：</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175"/>
        <w:jc w:val="left"/>
        <w:rPr>
          <w:rFonts w:hAnsi="宋体" w:cs="宋体"/>
          <w:sz w:val="24"/>
          <w:szCs w:val="22"/>
          <w:lang w:val="en-US"/>
        </w:rPr>
      </w:pPr>
      <w:r>
        <w:rPr>
          <w:rFonts w:hint="eastAsia" w:ascii="宋体" w:hAnsi="宋体" w:eastAsia="宋体" w:cs="宋体"/>
          <w:kern w:val="0"/>
          <w:sz w:val="24"/>
          <w:szCs w:val="22"/>
          <w:lang w:val="en-US" w:eastAsia="zh-CN" w:bidi="ar"/>
        </w:rPr>
        <w:t>（1）投标截止时间止，投标人少于3 个的；</w:t>
      </w:r>
    </w:p>
    <w:p>
      <w:pPr>
        <w:keepNext w:val="0"/>
        <w:keepLines w:val="0"/>
        <w:widowControl w:val="0"/>
        <w:suppressLineNumbers w:val="0"/>
        <w:autoSpaceDE w:val="0"/>
        <w:autoSpaceDN w:val="0"/>
        <w:adjustRightInd w:val="0"/>
        <w:spacing w:before="0" w:beforeAutospacing="0" w:after="0" w:afterAutospacing="0" w:line="440" w:lineRule="exact"/>
        <w:ind w:left="0" w:right="0" w:firstLine="420" w:firstLineChars="175"/>
        <w:jc w:val="left"/>
        <w:rPr>
          <w:rFonts w:hAnsi="宋体" w:cs="宋体"/>
          <w:sz w:val="24"/>
          <w:szCs w:val="22"/>
          <w:lang w:val="en-US"/>
        </w:rPr>
      </w:pPr>
      <w:r>
        <w:rPr>
          <w:rFonts w:hint="eastAsia" w:ascii="宋体" w:hAnsi="宋体" w:eastAsia="宋体" w:cs="宋体"/>
          <w:kern w:val="0"/>
          <w:sz w:val="24"/>
          <w:szCs w:val="22"/>
          <w:lang w:val="en-US" w:eastAsia="zh-CN" w:bidi="ar"/>
        </w:rPr>
        <w:t>（2）经评标委员会评审后否决所有投标的。</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2"/>
          <w:lang w:val="en-US"/>
        </w:rPr>
      </w:pPr>
      <w:bookmarkStart w:id="66" w:name="_Toc283559980"/>
      <w:r>
        <w:rPr>
          <w:rFonts w:hint="eastAsia" w:ascii="宋体" w:hAnsi="宋体" w:eastAsia="宋体" w:cs="宋体"/>
          <w:b/>
          <w:bCs w:val="0"/>
          <w:kern w:val="0"/>
          <w:sz w:val="24"/>
          <w:szCs w:val="22"/>
          <w:lang w:val="en-US" w:eastAsia="zh-CN" w:bidi="ar"/>
        </w:rPr>
        <w:t>8.2 不再招标</w:t>
      </w:r>
      <w:bookmarkEnd w:id="66"/>
    </w:p>
    <w:p>
      <w:pPr>
        <w:keepNext w:val="0"/>
        <w:keepLines w:val="0"/>
        <w:widowControl w:val="0"/>
        <w:suppressLineNumbers w:val="0"/>
        <w:autoSpaceDE w:val="0"/>
        <w:autoSpaceDN w:val="0"/>
        <w:adjustRightInd w:val="0"/>
        <w:spacing w:before="0" w:beforeAutospacing="0" w:after="0" w:afterAutospacing="0" w:line="440" w:lineRule="exact"/>
        <w:ind w:left="0" w:right="0" w:firstLine="540" w:firstLineChars="225"/>
        <w:jc w:val="left"/>
        <w:rPr>
          <w:rFonts w:hAnsi="宋体" w:cs="宋体"/>
          <w:sz w:val="24"/>
          <w:szCs w:val="22"/>
          <w:lang w:val="en-US"/>
        </w:rPr>
      </w:pPr>
      <w:r>
        <w:rPr>
          <w:rFonts w:hint="eastAsia" w:ascii="宋体" w:hAnsi="宋体" w:eastAsia="宋体" w:cs="宋体"/>
          <w:kern w:val="0"/>
          <w:sz w:val="24"/>
          <w:szCs w:val="22"/>
          <w:lang w:val="en-US" w:eastAsia="zh-CN" w:bidi="ar"/>
        </w:rPr>
        <w:t>重新招标后投标人仍少于3个，属于必须审批或核准的工程建设项目，经原审批或核准部门批准后不再进行招标。</w:t>
      </w:r>
    </w:p>
    <w:p>
      <w:pPr>
        <w:pStyle w:val="39"/>
        <w:keepNext w:val="0"/>
        <w:keepLines w:val="0"/>
        <w:widowControl w:val="0"/>
        <w:suppressLineNumbers w:val="0"/>
        <w:autoSpaceDE w:val="0"/>
        <w:autoSpaceDN w:val="0"/>
        <w:adjustRightInd w:val="0"/>
        <w:spacing w:before="0" w:beforeAutospacing="0" w:after="0" w:afterAutospacing="0" w:line="440" w:lineRule="exact"/>
        <w:ind w:left="0" w:right="0"/>
        <w:jc w:val="both"/>
        <w:outlineLvl w:val="0"/>
        <w:rPr>
          <w:rFonts w:hAnsi="宋体"/>
          <w:b/>
          <w:bCs w:val="0"/>
          <w:color w:val="auto"/>
          <w:lang w:val="en-US"/>
        </w:rPr>
      </w:pPr>
      <w:bookmarkStart w:id="67" w:name="_Toc283559981"/>
      <w:r>
        <w:rPr>
          <w:rFonts w:hint="eastAsia" w:ascii="宋体" w:hAnsi="宋体" w:eastAsia="宋体" w:cs="宋体"/>
          <w:b/>
          <w:bCs w:val="0"/>
          <w:color w:val="auto"/>
          <w:kern w:val="0"/>
          <w:sz w:val="24"/>
          <w:szCs w:val="24"/>
          <w:lang w:val="en-US" w:eastAsia="zh-CN" w:bidi="ar"/>
        </w:rPr>
        <w:t>9. 纪律和监督</w:t>
      </w:r>
      <w:bookmarkEnd w:id="67"/>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2"/>
          <w:lang w:val="en-US"/>
        </w:rPr>
      </w:pPr>
      <w:bookmarkStart w:id="68" w:name="_Toc283559982"/>
      <w:r>
        <w:rPr>
          <w:rFonts w:hint="eastAsia" w:ascii="宋体" w:hAnsi="宋体" w:eastAsia="宋体" w:cs="宋体"/>
          <w:b/>
          <w:bCs w:val="0"/>
          <w:kern w:val="0"/>
          <w:sz w:val="24"/>
          <w:szCs w:val="22"/>
          <w:lang w:val="en-US" w:eastAsia="zh-CN" w:bidi="ar"/>
        </w:rPr>
        <w:t>9.1 对招标人的纪律要求</w:t>
      </w:r>
      <w:bookmarkEnd w:id="68"/>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招标人不得泄漏招标投标活动中应当保密的信息和资料，不得与投标人串通损害国家利益、社会公共利益或者他人合法权益。</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2"/>
          <w:lang w:val="en-US"/>
        </w:rPr>
      </w:pPr>
      <w:bookmarkStart w:id="69" w:name="_Toc283559983"/>
      <w:r>
        <w:rPr>
          <w:rFonts w:hint="eastAsia" w:ascii="宋体" w:hAnsi="宋体" w:eastAsia="宋体" w:cs="宋体"/>
          <w:b/>
          <w:bCs w:val="0"/>
          <w:kern w:val="0"/>
          <w:sz w:val="24"/>
          <w:szCs w:val="22"/>
          <w:lang w:val="en-US" w:eastAsia="zh-CN" w:bidi="ar"/>
        </w:rPr>
        <w:t>9.2 对投标人的纪律要求</w:t>
      </w:r>
      <w:bookmarkEnd w:id="69"/>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2"/>
          <w:lang w:val="en-US"/>
        </w:rPr>
      </w:pPr>
      <w:bookmarkStart w:id="70" w:name="_Toc283559984"/>
      <w:r>
        <w:rPr>
          <w:rFonts w:hint="eastAsia" w:ascii="宋体" w:hAnsi="宋体" w:eastAsia="宋体" w:cs="宋体"/>
          <w:b/>
          <w:bCs w:val="0"/>
          <w:kern w:val="0"/>
          <w:sz w:val="24"/>
          <w:szCs w:val="22"/>
          <w:lang w:val="en-US" w:eastAsia="zh-CN" w:bidi="ar"/>
        </w:rPr>
        <w:t>9.3 对评标委员会成员的纪律要求</w:t>
      </w:r>
      <w:bookmarkEnd w:id="70"/>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2"/>
          <w:lang w:val="en-US"/>
        </w:rPr>
      </w:pPr>
      <w:bookmarkStart w:id="71" w:name="_Toc283559985"/>
      <w:r>
        <w:rPr>
          <w:rFonts w:hint="eastAsia" w:ascii="宋体" w:hAnsi="宋体" w:eastAsia="宋体" w:cs="宋体"/>
          <w:b/>
          <w:bCs w:val="0"/>
          <w:kern w:val="0"/>
          <w:sz w:val="24"/>
          <w:szCs w:val="22"/>
          <w:lang w:val="en-US" w:eastAsia="zh-CN" w:bidi="ar"/>
        </w:rPr>
        <w:t>9.4 对与评标活动有关的工作人员的纪律要求</w:t>
      </w:r>
      <w:bookmarkEnd w:id="71"/>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widowControl w:val="0"/>
        <w:suppressLineNumbers w:val="0"/>
        <w:autoSpaceDE w:val="0"/>
        <w:autoSpaceDN w:val="0"/>
        <w:adjustRightInd w:val="0"/>
        <w:spacing w:before="0" w:beforeAutospacing="0" w:after="0" w:afterAutospacing="0" w:line="440" w:lineRule="exact"/>
        <w:ind w:left="0" w:right="0"/>
        <w:jc w:val="left"/>
        <w:outlineLvl w:val="0"/>
        <w:rPr>
          <w:rFonts w:hAnsi="宋体" w:cs="宋体"/>
          <w:b/>
          <w:bCs w:val="0"/>
          <w:sz w:val="24"/>
          <w:szCs w:val="22"/>
          <w:lang w:val="en-US"/>
        </w:rPr>
      </w:pPr>
      <w:bookmarkStart w:id="72" w:name="_Toc283559986"/>
      <w:r>
        <w:rPr>
          <w:rFonts w:hint="eastAsia" w:ascii="宋体" w:hAnsi="宋体" w:eastAsia="宋体" w:cs="宋体"/>
          <w:b/>
          <w:bCs w:val="0"/>
          <w:kern w:val="0"/>
          <w:sz w:val="24"/>
          <w:szCs w:val="22"/>
          <w:lang w:val="en-US" w:eastAsia="zh-CN" w:bidi="ar"/>
        </w:rPr>
        <w:t>9.5 投诉</w:t>
      </w:r>
      <w:bookmarkEnd w:id="72"/>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投标人和其他利害关系人认为本次招标活动违反法律、法规和规章规定的，有权向有关行政监督部门投诉。</w:t>
      </w:r>
    </w:p>
    <w:p>
      <w:pPr>
        <w:pStyle w:val="39"/>
        <w:keepNext w:val="0"/>
        <w:keepLines w:val="0"/>
        <w:widowControl w:val="0"/>
        <w:suppressLineNumbers w:val="0"/>
        <w:autoSpaceDE w:val="0"/>
        <w:autoSpaceDN w:val="0"/>
        <w:adjustRightInd w:val="0"/>
        <w:spacing w:before="0" w:beforeAutospacing="0" w:after="0" w:afterAutospacing="0" w:line="440" w:lineRule="exact"/>
        <w:ind w:left="0" w:right="0"/>
        <w:jc w:val="both"/>
        <w:outlineLvl w:val="0"/>
        <w:rPr>
          <w:rFonts w:hAnsi="宋体"/>
          <w:b/>
          <w:bCs w:val="0"/>
          <w:color w:val="auto"/>
          <w:lang w:val="en-US"/>
        </w:rPr>
      </w:pPr>
      <w:bookmarkStart w:id="73" w:name="_Toc283559987"/>
      <w:r>
        <w:rPr>
          <w:rFonts w:hint="eastAsia" w:ascii="宋体" w:hAnsi="宋体" w:eastAsia="宋体" w:cs="宋体"/>
          <w:b/>
          <w:bCs w:val="0"/>
          <w:color w:val="auto"/>
          <w:kern w:val="0"/>
          <w:sz w:val="24"/>
          <w:szCs w:val="24"/>
          <w:lang w:val="en-US" w:eastAsia="zh-CN" w:bidi="ar"/>
        </w:rPr>
        <w:t>10. 需要补充的其他内容</w:t>
      </w:r>
      <w:bookmarkEnd w:id="73"/>
    </w:p>
    <w:p>
      <w:pPr>
        <w:keepNext w:val="0"/>
        <w:keepLines w:val="0"/>
        <w:widowControl w:val="0"/>
        <w:suppressLineNumbers w:val="0"/>
        <w:autoSpaceDE w:val="0"/>
        <w:autoSpaceDN w:val="0"/>
        <w:adjustRightInd w:val="0"/>
        <w:spacing w:before="0" w:beforeAutospacing="0" w:after="0" w:afterAutospacing="0" w:line="440" w:lineRule="exact"/>
        <w:ind w:left="0" w:right="0" w:firstLine="480" w:firstLineChars="200"/>
        <w:jc w:val="left"/>
        <w:rPr>
          <w:rFonts w:hAnsi="宋体" w:cs="宋体"/>
          <w:sz w:val="24"/>
          <w:szCs w:val="22"/>
          <w:lang w:val="en-US"/>
        </w:rPr>
      </w:pPr>
      <w:r>
        <w:rPr>
          <w:rFonts w:hint="eastAsia" w:ascii="宋体" w:hAnsi="宋体" w:eastAsia="宋体" w:cs="宋体"/>
          <w:kern w:val="0"/>
          <w:sz w:val="24"/>
          <w:szCs w:val="22"/>
          <w:lang w:val="en-US" w:eastAsia="zh-CN" w:bidi="ar"/>
        </w:rPr>
        <w:t>需要补充的其他内容：见投标人须知前附表。</w:t>
      </w:r>
    </w:p>
    <w:p>
      <w:pPr>
        <w:keepNext w:val="0"/>
        <w:keepLines w:val="0"/>
        <w:widowControl w:val="0"/>
        <w:suppressLineNumbers w:val="0"/>
        <w:spacing w:before="240" w:beforeLines="100" w:beforeAutospacing="0" w:after="240" w:afterLines="100" w:afterAutospacing="0" w:line="400" w:lineRule="exact"/>
        <w:ind w:left="0" w:right="0"/>
        <w:jc w:val="both"/>
        <w:rPr>
          <w:rFonts w:hAnsi="宋体" w:cs="宋体"/>
          <w:sz w:val="24"/>
          <w:szCs w:val="22"/>
          <w:lang w:val="en-US"/>
        </w:rPr>
      </w:pPr>
      <w:r>
        <w:rPr>
          <w:rFonts w:hint="eastAsia" w:ascii="宋体" w:hAnsi="宋体" w:eastAsia="宋体" w:cs="宋体"/>
          <w:sz w:val="24"/>
          <w:szCs w:val="22"/>
          <w:lang w:val="en-US" w:eastAsia="zh-CN" w:bidi="ar"/>
        </w:rPr>
        <w:br w:type="page"/>
      </w:r>
      <w:r>
        <w:rPr>
          <w:rFonts w:hint="eastAsia" w:ascii="宋体" w:hAnsi="宋体" w:eastAsia="宋体" w:cs="宋体"/>
          <w:kern w:val="0"/>
          <w:sz w:val="24"/>
          <w:szCs w:val="22"/>
          <w:lang w:val="en-US" w:eastAsia="zh-CN" w:bidi="ar"/>
        </w:rPr>
        <w:t>附表一：</w:t>
      </w:r>
    </w:p>
    <w:p>
      <w:pPr>
        <w:keepNext w:val="0"/>
        <w:keepLines w:val="0"/>
        <w:widowControl w:val="0"/>
        <w:suppressLineNumbers w:val="0"/>
        <w:spacing w:before="240" w:beforeLines="100" w:beforeAutospacing="0" w:after="240" w:afterLines="100" w:afterAutospacing="0" w:line="400" w:lineRule="exact"/>
        <w:ind w:left="0" w:right="0"/>
        <w:jc w:val="center"/>
        <w:rPr>
          <w:rFonts w:hAnsi="宋体" w:cs="宋体"/>
          <w:sz w:val="28"/>
          <w:szCs w:val="28"/>
          <w:lang w:val="en-US"/>
        </w:rPr>
      </w:pPr>
      <w:r>
        <w:rPr>
          <w:rFonts w:hint="eastAsia" w:ascii="宋体" w:hAnsi="宋体" w:eastAsia="宋体" w:cs="宋体"/>
          <w:kern w:val="0"/>
          <w:sz w:val="28"/>
          <w:szCs w:val="28"/>
          <w:lang w:val="en-US" w:eastAsia="zh-CN" w:bidi="ar"/>
        </w:rPr>
        <w:t>问题澄清通知</w:t>
      </w:r>
    </w:p>
    <w:p>
      <w:pPr>
        <w:keepNext w:val="0"/>
        <w:keepLines w:val="0"/>
        <w:widowControl w:val="0"/>
        <w:suppressLineNumbers w:val="0"/>
        <w:spacing w:before="0" w:beforeAutospacing="0" w:after="0" w:afterAutospacing="0" w:line="400" w:lineRule="exact"/>
        <w:ind w:left="0" w:right="0" w:firstLine="6120" w:firstLineChars="2550"/>
        <w:jc w:val="both"/>
        <w:rPr>
          <w:rFonts w:hAnsi="宋体" w:cs="宋体"/>
          <w:sz w:val="24"/>
          <w:szCs w:val="22"/>
          <w:u w:val="single"/>
          <w:lang w:val="en-US"/>
        </w:rPr>
      </w:pPr>
      <w:r>
        <w:rPr>
          <w:rFonts w:hint="eastAsia" w:ascii="宋体" w:hAnsi="宋体" w:eastAsia="宋体" w:cs="宋体"/>
          <w:kern w:val="0"/>
          <w:sz w:val="24"/>
          <w:szCs w:val="22"/>
          <w:lang w:val="en-US" w:eastAsia="zh-CN" w:bidi="ar"/>
        </w:rPr>
        <w:t>编号：</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（投标人名称）：</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（项目名称）招标的评标委员会，对你方的投标文件进行了仔细的审查，现需你方对本通知所附质疑问卷中的问题以书面形式予以澄清、说明或者补正。</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1.</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2.</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请将上述问题的澄清、说明或者补正于年月日时前密封递交至 （详细地址）。</w:t>
      </w:r>
    </w:p>
    <w:p>
      <w:pPr>
        <w:keepNext w:val="0"/>
        <w:keepLines w:val="0"/>
        <w:widowControl w:val="0"/>
        <w:suppressLineNumbers w:val="0"/>
        <w:spacing w:before="0" w:beforeAutospacing="0" w:after="0" w:afterAutospacing="0" w:line="480" w:lineRule="exact"/>
        <w:ind w:left="0" w:right="0"/>
        <w:jc w:val="both"/>
        <w:rPr>
          <w:rFonts w:hAnsi="宋体" w:cs="宋体"/>
          <w:sz w:val="24"/>
          <w:szCs w:val="22"/>
          <w:lang w:val="en-US"/>
        </w:rPr>
      </w:pPr>
    </w:p>
    <w:p>
      <w:pPr>
        <w:keepNext w:val="0"/>
        <w:keepLines w:val="0"/>
        <w:widowControl w:val="0"/>
        <w:suppressLineNumbers w:val="0"/>
        <w:spacing w:before="0" w:beforeAutospacing="0" w:after="0" w:afterAutospacing="0" w:line="480" w:lineRule="exact"/>
        <w:ind w:left="0" w:right="0"/>
        <w:jc w:val="both"/>
        <w:rPr>
          <w:rFonts w:hAnsi="宋体" w:cs="宋体"/>
          <w:sz w:val="24"/>
          <w:szCs w:val="22"/>
          <w:lang w:val="en-US"/>
        </w:rPr>
      </w:pPr>
      <w:r>
        <w:rPr>
          <w:rFonts w:hint="eastAsia" w:ascii="宋体" w:hAnsi="宋体" w:eastAsia="宋体" w:cs="宋体"/>
          <w:kern w:val="0"/>
          <w:sz w:val="24"/>
          <w:szCs w:val="22"/>
          <w:lang w:val="en-US" w:eastAsia="zh-CN" w:bidi="ar"/>
        </w:rPr>
        <w:t>附件：质疑问卷</w:t>
      </w:r>
    </w:p>
    <w:p>
      <w:pPr>
        <w:keepNext w:val="0"/>
        <w:keepLines w:val="0"/>
        <w:widowControl w:val="0"/>
        <w:suppressLineNumbers w:val="0"/>
        <w:spacing w:before="0" w:beforeAutospacing="0" w:after="0" w:afterAutospacing="0" w:line="480" w:lineRule="exact"/>
        <w:ind w:left="0" w:right="0" w:firstLine="4080" w:firstLineChars="1700"/>
        <w:jc w:val="both"/>
        <w:rPr>
          <w:rFonts w:hAnsi="宋体" w:cs="宋体"/>
          <w:sz w:val="24"/>
          <w:szCs w:val="22"/>
          <w:u w:val="single"/>
          <w:lang w:val="en-US"/>
        </w:rPr>
      </w:pPr>
    </w:p>
    <w:p>
      <w:pPr>
        <w:keepNext w:val="0"/>
        <w:keepLines w:val="0"/>
        <w:widowControl w:val="0"/>
        <w:suppressLineNumbers w:val="0"/>
        <w:spacing w:before="0" w:beforeAutospacing="0" w:after="0" w:afterAutospacing="0" w:line="480" w:lineRule="exact"/>
        <w:ind w:left="0" w:right="0" w:firstLine="4080" w:firstLineChars="1700"/>
        <w:jc w:val="both"/>
        <w:rPr>
          <w:rFonts w:hAnsi="宋体" w:cs="宋体"/>
          <w:sz w:val="24"/>
          <w:szCs w:val="22"/>
          <w:u w:val="single"/>
          <w:lang w:val="en-US"/>
        </w:rPr>
      </w:pPr>
    </w:p>
    <w:p>
      <w:pPr>
        <w:keepNext w:val="0"/>
        <w:keepLines w:val="0"/>
        <w:widowControl w:val="0"/>
        <w:suppressLineNumbers w:val="0"/>
        <w:spacing w:before="0" w:beforeAutospacing="0" w:after="0" w:afterAutospacing="0" w:line="480" w:lineRule="exact"/>
        <w:ind w:left="0" w:right="0" w:firstLine="4080" w:firstLineChars="1700"/>
        <w:jc w:val="both"/>
        <w:rPr>
          <w:rFonts w:hAnsi="宋体" w:cs="宋体"/>
          <w:sz w:val="24"/>
          <w:szCs w:val="22"/>
          <w:u w:val="single"/>
          <w:lang w:val="en-US"/>
        </w:rPr>
      </w:pPr>
    </w:p>
    <w:p>
      <w:pPr>
        <w:keepNext w:val="0"/>
        <w:keepLines w:val="0"/>
        <w:widowControl w:val="0"/>
        <w:suppressLineNumbers w:val="0"/>
        <w:spacing w:before="0" w:beforeAutospacing="0" w:after="0" w:afterAutospacing="0" w:line="480" w:lineRule="exact"/>
        <w:ind w:left="0" w:right="0"/>
        <w:jc w:val="both"/>
        <w:rPr>
          <w:rFonts w:hAnsi="宋体" w:cs="宋体"/>
          <w:sz w:val="24"/>
          <w:szCs w:val="22"/>
          <w:u w:val="single"/>
          <w:lang w:val="en-US"/>
        </w:rPr>
      </w:pPr>
    </w:p>
    <w:p>
      <w:pPr>
        <w:keepNext w:val="0"/>
        <w:keepLines w:val="0"/>
        <w:widowControl w:val="0"/>
        <w:suppressLineNumbers w:val="0"/>
        <w:spacing w:before="0" w:beforeAutospacing="0" w:after="0" w:afterAutospacing="0" w:line="480" w:lineRule="exact"/>
        <w:ind w:left="0" w:right="0" w:firstLine="4080" w:firstLineChars="1700"/>
        <w:jc w:val="both"/>
        <w:rPr>
          <w:rFonts w:hAnsi="宋体" w:cs="宋体"/>
          <w:sz w:val="24"/>
          <w:szCs w:val="22"/>
          <w:u w:val="single"/>
          <w:lang w:val="en-US"/>
        </w:rPr>
      </w:pPr>
    </w:p>
    <w:p>
      <w:pPr>
        <w:keepNext w:val="0"/>
        <w:keepLines w:val="0"/>
        <w:widowControl w:val="0"/>
        <w:suppressLineNumbers w:val="0"/>
        <w:spacing w:before="0" w:beforeAutospacing="0" w:after="0" w:afterAutospacing="0" w:line="480" w:lineRule="exact"/>
        <w:ind w:left="0" w:right="0" w:firstLine="4080" w:firstLineChars="1700"/>
        <w:jc w:val="both"/>
        <w:rPr>
          <w:sz w:val="24"/>
          <w:szCs w:val="22"/>
          <w:lang w:val="en-US"/>
        </w:rPr>
      </w:pPr>
      <w:r>
        <w:rPr>
          <w:rFonts w:hint="eastAsia" w:ascii="宋体" w:hAnsi="Calibri" w:eastAsia="宋体" w:cs="Times New Roman"/>
          <w:kern w:val="0"/>
          <w:sz w:val="24"/>
          <w:szCs w:val="22"/>
          <w:lang w:val="en-US" w:eastAsia="zh-CN" w:bidi="ar"/>
        </w:rPr>
        <w:t xml:space="preserve"> （项目名称）</w:t>
      </w:r>
      <w:r>
        <w:rPr>
          <w:rFonts w:hint="eastAsia" w:ascii="宋体" w:hAnsi="宋体" w:eastAsia="宋体" w:cs="宋体"/>
          <w:kern w:val="0"/>
          <w:sz w:val="24"/>
          <w:szCs w:val="22"/>
          <w:lang w:val="en-US" w:eastAsia="zh-CN" w:bidi="ar"/>
        </w:rPr>
        <w:t>招标评标委员会</w:t>
      </w:r>
    </w:p>
    <w:p>
      <w:pPr>
        <w:keepNext w:val="0"/>
        <w:keepLines w:val="0"/>
        <w:widowControl w:val="0"/>
        <w:suppressLineNumbers w:val="0"/>
        <w:spacing w:before="0" w:beforeAutospacing="0" w:after="0" w:afterAutospacing="0" w:line="480" w:lineRule="exact"/>
        <w:ind w:left="0" w:right="0" w:firstLine="2880" w:firstLineChars="1200"/>
        <w:jc w:val="both"/>
        <w:rPr>
          <w:sz w:val="24"/>
          <w:szCs w:val="22"/>
          <w:lang w:val="en-US"/>
        </w:rPr>
      </w:pPr>
      <w:r>
        <w:rPr>
          <w:rFonts w:hint="eastAsia" w:ascii="宋体" w:hAnsi="Calibri" w:eastAsia="宋体" w:cs="Times New Roman"/>
          <w:kern w:val="0"/>
          <w:sz w:val="24"/>
          <w:szCs w:val="22"/>
          <w:lang w:val="en-US" w:eastAsia="zh-CN" w:bidi="ar"/>
        </w:rPr>
        <w:t>（经评标委员会授权的招标人代表签字或招标人加盖单位章）</w:t>
      </w:r>
    </w:p>
    <w:p>
      <w:pPr>
        <w:keepNext w:val="0"/>
        <w:keepLines w:val="0"/>
        <w:widowControl w:val="0"/>
        <w:suppressLineNumbers w:val="0"/>
        <w:spacing w:before="0" w:beforeAutospacing="0" w:after="0" w:afterAutospacing="0" w:line="480" w:lineRule="exact"/>
        <w:ind w:left="0" w:right="0" w:firstLine="5280" w:firstLineChars="2200"/>
        <w:jc w:val="both"/>
        <w:rPr>
          <w:rFonts w:hAnsi="宋体" w:cs="宋体"/>
          <w:sz w:val="24"/>
          <w:szCs w:val="22"/>
          <w:lang w:val="en-US"/>
        </w:rPr>
      </w:pPr>
      <w:r>
        <w:rPr>
          <w:rFonts w:hint="eastAsia" w:ascii="宋体" w:hAnsi="Calibri" w:eastAsia="宋体" w:cs="Times New Roman"/>
          <w:kern w:val="0"/>
          <w:sz w:val="24"/>
          <w:szCs w:val="22"/>
          <w:lang w:val="en-US" w:eastAsia="zh-CN" w:bidi="ar"/>
        </w:rPr>
        <w:t>年月日</w:t>
      </w:r>
    </w:p>
    <w:p>
      <w:pPr>
        <w:keepNext w:val="0"/>
        <w:keepLines w:val="0"/>
        <w:widowControl w:val="0"/>
        <w:suppressLineNumbers w:val="0"/>
        <w:spacing w:before="0" w:beforeAutospacing="0" w:after="0" w:afterAutospacing="0" w:line="480" w:lineRule="exact"/>
        <w:ind w:left="0" w:right="0"/>
        <w:jc w:val="both"/>
        <w:rPr>
          <w:rFonts w:hAnsi="宋体" w:cs="宋体"/>
          <w:sz w:val="24"/>
          <w:szCs w:val="22"/>
          <w:lang w:val="en-US"/>
        </w:rPr>
      </w:pPr>
    </w:p>
    <w:p>
      <w:pPr>
        <w:pStyle w:val="2"/>
        <w:rPr>
          <w:rFonts w:hAnsi="宋体" w:cs="宋体"/>
          <w:sz w:val="24"/>
          <w:szCs w:val="22"/>
          <w:lang w:val="en-US"/>
        </w:rPr>
      </w:pPr>
    </w:p>
    <w:p>
      <w:pPr>
        <w:pStyle w:val="2"/>
        <w:rPr>
          <w:rFonts w:hAnsi="宋体" w:cs="宋体"/>
          <w:sz w:val="24"/>
          <w:szCs w:val="22"/>
          <w:lang w:val="en-US"/>
        </w:rPr>
      </w:pPr>
    </w:p>
    <w:p>
      <w:pPr>
        <w:pStyle w:val="2"/>
        <w:rPr>
          <w:rFonts w:hAnsi="宋体" w:cs="宋体"/>
          <w:sz w:val="24"/>
          <w:szCs w:val="22"/>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附表二：问题的澄清</w:t>
      </w:r>
    </w:p>
    <w:p>
      <w:pPr>
        <w:keepNext w:val="0"/>
        <w:keepLines w:val="0"/>
        <w:widowControl w:val="0"/>
        <w:suppressLineNumbers w:val="0"/>
        <w:spacing w:before="240" w:beforeLines="100" w:beforeAutospacing="0" w:after="240" w:afterLines="100" w:afterAutospacing="0" w:line="480" w:lineRule="exact"/>
        <w:ind w:left="0" w:right="0"/>
        <w:jc w:val="center"/>
        <w:rPr>
          <w:rFonts w:hAnsi="宋体" w:cs="宋体"/>
          <w:sz w:val="28"/>
          <w:szCs w:val="28"/>
          <w:lang w:val="en-US"/>
        </w:rPr>
      </w:pPr>
      <w:r>
        <w:rPr>
          <w:rFonts w:hint="eastAsia" w:ascii="宋体" w:hAnsi="宋体" w:eastAsia="宋体" w:cs="宋体"/>
          <w:kern w:val="0"/>
          <w:sz w:val="28"/>
          <w:szCs w:val="28"/>
          <w:lang w:val="en-US" w:eastAsia="zh-CN" w:bidi="ar"/>
        </w:rPr>
        <w:t>问题的澄清、说明或补正</w:t>
      </w:r>
    </w:p>
    <w:p>
      <w:pPr>
        <w:keepNext w:val="0"/>
        <w:keepLines w:val="0"/>
        <w:widowControl w:val="0"/>
        <w:suppressLineNumbers w:val="0"/>
        <w:spacing w:before="0" w:beforeAutospacing="0" w:after="0" w:afterAutospacing="0" w:line="400" w:lineRule="exact"/>
        <w:ind w:left="0" w:right="0" w:firstLine="6120" w:firstLineChars="2550"/>
        <w:jc w:val="both"/>
        <w:rPr>
          <w:rFonts w:hAnsi="宋体" w:cs="宋体"/>
          <w:sz w:val="24"/>
          <w:szCs w:val="22"/>
          <w:u w:val="single"/>
          <w:lang w:val="en-US"/>
        </w:rPr>
      </w:pPr>
      <w:r>
        <w:rPr>
          <w:rFonts w:hint="eastAsia" w:ascii="宋体" w:hAnsi="宋体" w:eastAsia="宋体" w:cs="宋体"/>
          <w:kern w:val="0"/>
          <w:sz w:val="24"/>
          <w:szCs w:val="22"/>
          <w:lang w:val="en-US" w:eastAsia="zh-CN" w:bidi="ar"/>
        </w:rPr>
        <w:t>编号：</w:t>
      </w:r>
    </w:p>
    <w:p>
      <w:pPr>
        <w:keepNext w:val="0"/>
        <w:keepLines w:val="0"/>
        <w:widowControl w:val="0"/>
        <w:suppressLineNumbers w:val="0"/>
        <w:spacing w:before="0" w:beforeAutospacing="0" w:after="0" w:afterAutospacing="0" w:line="480" w:lineRule="exact"/>
        <w:ind w:left="0" w:right="0"/>
        <w:jc w:val="both"/>
        <w:rPr>
          <w:rFonts w:hAnsi="宋体" w:cs="宋体"/>
          <w:sz w:val="24"/>
          <w:szCs w:val="22"/>
          <w:lang w:val="en-US"/>
        </w:rPr>
      </w:pPr>
      <w:r>
        <w:rPr>
          <w:rFonts w:hint="eastAsia" w:ascii="宋体" w:hAnsi="宋体" w:eastAsia="宋体" w:cs="宋体"/>
          <w:kern w:val="0"/>
          <w:sz w:val="24"/>
          <w:szCs w:val="22"/>
          <w:lang w:val="en-US" w:eastAsia="zh-CN" w:bidi="ar"/>
        </w:rPr>
        <w:t>（项目名称）招标评标委员会：</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问题澄清通知（编号：）已收悉，现澄清、说明或者补正如下：</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1.</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2.</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r>
        <w:rPr>
          <w:rFonts w:hint="eastAsia" w:ascii="宋体" w:hAnsi="宋体" w:eastAsia="宋体" w:cs="宋体"/>
          <w:kern w:val="0"/>
          <w:sz w:val="24"/>
          <w:szCs w:val="22"/>
          <w:lang w:val="en-US" w:eastAsia="zh-CN" w:bidi="ar"/>
        </w:rPr>
        <w:t>……</w:t>
      </w: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80" w:lineRule="exact"/>
        <w:ind w:left="0" w:right="0" w:firstLine="480" w:firstLineChars="200"/>
        <w:jc w:val="both"/>
        <w:rPr>
          <w:rFonts w:hAnsi="宋体" w:cs="宋体"/>
          <w:sz w:val="24"/>
          <w:szCs w:val="22"/>
          <w:lang w:val="en-US"/>
        </w:rPr>
      </w:pPr>
    </w:p>
    <w:p>
      <w:pPr>
        <w:keepNext w:val="0"/>
        <w:keepLines w:val="0"/>
        <w:widowControl w:val="0"/>
        <w:suppressLineNumbers w:val="0"/>
        <w:wordWrap w:val="0"/>
        <w:spacing w:before="0" w:beforeAutospacing="0" w:after="0" w:afterAutospacing="0" w:line="480" w:lineRule="exact"/>
        <w:ind w:left="0" w:right="0" w:firstLine="480" w:firstLineChars="200"/>
        <w:jc w:val="right"/>
        <w:rPr>
          <w:rFonts w:hAnsi="宋体" w:cs="宋体"/>
          <w:sz w:val="24"/>
          <w:szCs w:val="22"/>
          <w:lang w:val="en-US"/>
        </w:rPr>
      </w:pPr>
      <w:r>
        <w:rPr>
          <w:rFonts w:hint="eastAsia" w:ascii="宋体" w:hAnsi="宋体" w:eastAsia="宋体" w:cs="宋体"/>
          <w:kern w:val="0"/>
          <w:sz w:val="24"/>
          <w:szCs w:val="22"/>
          <w:lang w:val="en-US" w:eastAsia="zh-CN" w:bidi="ar"/>
        </w:rPr>
        <w:t xml:space="preserve">投标人：（盖单位章） </w:t>
      </w:r>
    </w:p>
    <w:p>
      <w:pPr>
        <w:keepNext w:val="0"/>
        <w:keepLines w:val="0"/>
        <w:widowControl w:val="0"/>
        <w:suppressLineNumbers w:val="0"/>
        <w:wordWrap w:val="0"/>
        <w:spacing w:before="120" w:beforeLines="50" w:beforeAutospacing="0" w:after="120" w:afterLines="50" w:afterAutospacing="0" w:line="480" w:lineRule="exact"/>
        <w:ind w:left="0" w:right="210"/>
        <w:jc w:val="right"/>
        <w:rPr>
          <w:rFonts w:hAnsi="宋体" w:cs="宋体"/>
          <w:sz w:val="24"/>
          <w:szCs w:val="22"/>
          <w:lang w:val="en-US"/>
        </w:rPr>
      </w:pPr>
      <w:r>
        <w:rPr>
          <w:rFonts w:hint="eastAsia" w:ascii="宋体" w:hAnsi="宋体" w:eastAsia="宋体" w:cs="宋体"/>
          <w:kern w:val="0"/>
          <w:sz w:val="24"/>
          <w:szCs w:val="22"/>
          <w:lang w:val="en-US" w:eastAsia="zh-CN" w:bidi="ar"/>
        </w:rPr>
        <w:t xml:space="preserve">法定代表人或其委托代理人：（签字） </w:t>
      </w:r>
    </w:p>
    <w:p>
      <w:pPr>
        <w:keepNext w:val="0"/>
        <w:keepLines w:val="0"/>
        <w:widowControl w:val="0"/>
        <w:suppressLineNumbers w:val="0"/>
        <w:spacing w:before="0" w:beforeAutospacing="0" w:after="0" w:afterAutospacing="0" w:line="480" w:lineRule="exact"/>
        <w:ind w:left="0" w:right="0"/>
        <w:jc w:val="right"/>
        <w:rPr>
          <w:rFonts w:hAnsi="宋体" w:cs="宋体"/>
          <w:sz w:val="24"/>
          <w:szCs w:val="22"/>
          <w:lang w:val="en-US"/>
        </w:rPr>
      </w:pPr>
      <w:r>
        <w:rPr>
          <w:rFonts w:hint="eastAsia" w:ascii="宋体" w:hAnsi="宋体" w:eastAsia="宋体" w:cs="宋体"/>
          <w:kern w:val="0"/>
          <w:sz w:val="24"/>
          <w:szCs w:val="22"/>
          <w:lang w:val="en-US" w:eastAsia="zh-CN" w:bidi="ar"/>
        </w:rPr>
        <w:t>年月日</w:t>
      </w:r>
    </w:p>
    <w:p>
      <w:pPr>
        <w:keepNext w:val="0"/>
        <w:keepLines w:val="0"/>
        <w:widowControl w:val="0"/>
        <w:suppressLineNumbers w:val="0"/>
        <w:spacing w:before="0" w:beforeAutospacing="0" w:after="0" w:afterAutospacing="0" w:line="480" w:lineRule="exact"/>
        <w:ind w:left="0" w:right="0"/>
        <w:jc w:val="both"/>
        <w:rPr>
          <w:rFonts w:hAnsi="宋体" w:cs="宋体"/>
          <w:sz w:val="24"/>
          <w:szCs w:val="22"/>
          <w:lang w:val="en-US"/>
        </w:rPr>
      </w:pPr>
    </w:p>
    <w:p>
      <w:pPr>
        <w:keepNext w:val="0"/>
        <w:keepLines w:val="0"/>
        <w:widowControl w:val="0"/>
        <w:suppressLineNumbers w:val="0"/>
        <w:spacing w:before="0" w:beforeAutospacing="0" w:after="0" w:afterAutospacing="0" w:line="480" w:lineRule="exact"/>
        <w:ind w:left="0" w:right="0"/>
        <w:jc w:val="both"/>
        <w:rPr>
          <w:rFonts w:hAnsi="宋体" w:cs="宋体"/>
          <w:lang w:val="en-US"/>
        </w:rPr>
      </w:pPr>
    </w:p>
    <w:p>
      <w:pPr>
        <w:keepNext w:val="0"/>
        <w:keepLines w:val="0"/>
        <w:widowControl w:val="0"/>
        <w:suppressLineNumbers w:val="0"/>
        <w:spacing w:before="0" w:beforeAutospacing="0" w:after="0" w:afterAutospacing="0" w:line="400" w:lineRule="exact"/>
        <w:ind w:left="0" w:right="0" w:firstLine="120" w:firstLineChars="50"/>
        <w:jc w:val="both"/>
        <w:rPr>
          <w:rFonts w:hAnsi="宋体" w:cs="宋体"/>
          <w:sz w:val="24"/>
          <w:szCs w:val="22"/>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2"/>
          <w:lang w:val="en-US"/>
        </w:rPr>
      </w:pPr>
    </w:p>
    <w:p>
      <w:pPr>
        <w:keepNext w:val="0"/>
        <w:keepLines w:val="0"/>
        <w:widowControl w:val="0"/>
        <w:suppressLineNumbers w:val="0"/>
        <w:spacing w:before="0" w:beforeAutospacing="0" w:after="0" w:afterAutospacing="0" w:line="400" w:lineRule="exact"/>
        <w:ind w:left="0" w:right="0" w:firstLine="480" w:firstLineChars="200"/>
        <w:jc w:val="both"/>
        <w:rPr>
          <w:rFonts w:hAnsi="宋体" w:cs="宋体"/>
          <w:sz w:val="24"/>
          <w:szCs w:val="22"/>
          <w:lang w:val="en-US"/>
        </w:rPr>
      </w:pPr>
    </w:p>
    <w:p>
      <w:pPr>
        <w:snapToGrid w:val="0"/>
        <w:spacing w:line="360" w:lineRule="auto"/>
        <w:jc w:val="center"/>
        <w:rPr>
          <w:rFonts w:hAnsi="宋体"/>
          <w:sz w:val="24"/>
          <w:szCs w:val="24"/>
        </w:rPr>
      </w:pPr>
      <w:r>
        <w:rPr>
          <w:rFonts w:hint="eastAsia" w:hAnsi="宋体"/>
          <w:b/>
          <w:sz w:val="36"/>
          <w:szCs w:val="36"/>
        </w:rPr>
        <w:br w:type="page"/>
      </w:r>
      <w:bookmarkStart w:id="74" w:name="_Toc508875507"/>
      <w:bookmarkStart w:id="75" w:name="_Toc2081"/>
      <w:r>
        <w:rPr>
          <w:rFonts w:hint="eastAsia" w:hAnsi="宋体"/>
          <w:b/>
          <w:sz w:val="36"/>
          <w:szCs w:val="36"/>
        </w:rPr>
        <w:t>第三章</w:t>
      </w:r>
      <w:r>
        <w:rPr>
          <w:rFonts w:hint="eastAsia" w:hAnsi="宋体"/>
          <w:b/>
          <w:bCs/>
          <w:sz w:val="36"/>
          <w:szCs w:val="36"/>
        </w:rPr>
        <w:t>评标办法（综合评标法）</w:t>
      </w:r>
    </w:p>
    <w:p>
      <w:pPr>
        <w:snapToGrid w:val="0"/>
        <w:spacing w:line="360" w:lineRule="auto"/>
        <w:rPr>
          <w:rFonts w:hint="eastAsia" w:hAnsi="宋体"/>
          <w:sz w:val="24"/>
          <w:szCs w:val="24"/>
        </w:rPr>
      </w:pPr>
      <w:r>
        <w:rPr>
          <w:rFonts w:hint="eastAsia" w:hAnsi="宋体"/>
          <w:sz w:val="24"/>
          <w:szCs w:val="24"/>
        </w:rPr>
        <w:t xml:space="preserve">     一、评标应遵循公正、公平、择优的原则严格按照招标文件进行。</w:t>
      </w:r>
    </w:p>
    <w:p>
      <w:pPr>
        <w:snapToGrid w:val="0"/>
        <w:spacing w:line="360" w:lineRule="auto"/>
        <w:rPr>
          <w:rFonts w:hint="eastAsia" w:hAnsi="宋体"/>
          <w:sz w:val="24"/>
          <w:szCs w:val="24"/>
        </w:rPr>
      </w:pPr>
      <w:r>
        <w:rPr>
          <w:rFonts w:hint="eastAsia" w:hAnsi="宋体"/>
          <w:sz w:val="24"/>
          <w:szCs w:val="24"/>
        </w:rPr>
        <w:t xml:space="preserve">     二、从河南省综合评标专家库中随机抽取4人和招标人代表1人（其中注册造价工程师不少于2人）。评标委员会主任从4名随机抽取的评标专家中产生，与投标人有利害关系的专家不得进入评标委员会。</w:t>
      </w:r>
    </w:p>
    <w:p>
      <w:pPr>
        <w:snapToGrid w:val="0"/>
        <w:spacing w:line="360" w:lineRule="auto"/>
        <w:rPr>
          <w:rFonts w:hint="eastAsia" w:ascii="新宋体" w:hAnsi="新宋体" w:eastAsia="新宋体"/>
          <w:sz w:val="24"/>
          <w:szCs w:val="24"/>
        </w:rPr>
      </w:pPr>
      <w:r>
        <w:rPr>
          <w:rFonts w:hint="eastAsia" w:hAnsi="宋体"/>
          <w:sz w:val="24"/>
          <w:szCs w:val="24"/>
        </w:rPr>
        <w:t xml:space="preserve">     </w:t>
      </w:r>
      <w:r>
        <w:rPr>
          <w:rFonts w:hint="eastAsia" w:ascii="新宋体" w:hAnsi="新宋体" w:eastAsia="新宋体"/>
          <w:sz w:val="24"/>
          <w:szCs w:val="24"/>
        </w:rPr>
        <w:t>三、评标采用综合评标法，是指评标委员会根据招标文件要求，应从技术标、商务标、综合标三部分进行综合评审。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四、评标程序为：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（一）清标；</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（二）初步评审；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（三）详细评审；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（四）问题的澄清、说明或补正；</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（五）推荐中标候选人；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（六）评标现场宣布中标候选人确定结果并在指定媒体上进行公示。</w:t>
      </w:r>
    </w:p>
    <w:p>
      <w:pPr>
        <w:spacing w:line="440" w:lineRule="exact"/>
        <w:ind w:firstLine="480" w:firstLineChars="200"/>
        <w:rPr>
          <w:rFonts w:hint="eastAsia" w:ascii="新宋体" w:hAnsi="新宋体" w:eastAsia="新宋体"/>
          <w:b/>
          <w:bCs/>
          <w:sz w:val="24"/>
          <w:szCs w:val="24"/>
        </w:rPr>
      </w:pPr>
      <w:r>
        <w:rPr>
          <w:rFonts w:hint="eastAsia" w:ascii="新宋体" w:hAnsi="新宋体" w:eastAsia="新宋体"/>
          <w:sz w:val="24"/>
          <w:szCs w:val="24"/>
        </w:rPr>
        <w:t>五、</w:t>
      </w:r>
      <w:r>
        <w:rPr>
          <w:rFonts w:hint="eastAsia" w:ascii="新宋体" w:hAnsi="新宋体" w:eastAsia="新宋体"/>
          <w:b/>
          <w:bCs/>
          <w:sz w:val="24"/>
          <w:szCs w:val="24"/>
        </w:rPr>
        <w:t>初步评审</w:t>
      </w:r>
    </w:p>
    <w:p>
      <w:pPr>
        <w:spacing w:line="360" w:lineRule="auto"/>
        <w:ind w:firstLine="468" w:firstLineChars="195"/>
        <w:rPr>
          <w:rFonts w:hint="eastAsia" w:ascii="新宋体" w:hAnsi="新宋体" w:eastAsia="新宋体" w:cs="宋体"/>
          <w:sz w:val="24"/>
          <w:szCs w:val="24"/>
        </w:rPr>
      </w:pPr>
      <w:r>
        <w:rPr>
          <w:rFonts w:hint="eastAsia" w:ascii="新宋体" w:hAnsi="新宋体" w:eastAsia="新宋体" w:cs="宋体"/>
          <w:sz w:val="24"/>
          <w:szCs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pPr>
        <w:spacing w:line="360" w:lineRule="auto"/>
        <w:ind w:firstLine="480" w:firstLineChars="200"/>
        <w:rPr>
          <w:rFonts w:hint="eastAsia" w:ascii="新宋体" w:hAnsi="新宋体" w:eastAsia="新宋体" w:cs="宋体"/>
          <w:sz w:val="24"/>
          <w:szCs w:val="24"/>
        </w:rPr>
      </w:pPr>
      <w:r>
        <w:rPr>
          <w:rFonts w:hint="eastAsia" w:ascii="新宋体" w:hAnsi="新宋体" w:eastAsia="新宋体" w:cs="宋体"/>
          <w:sz w:val="24"/>
          <w:szCs w:val="24"/>
        </w:rPr>
        <w:t>重大偏差是指投标文件存在标的物、价格、工期、质量、付款方式等不符合《评标委员会和评标方法暂行规定》第二十五条规定及招标文件实质性要求的情况。</w:t>
      </w:r>
    </w:p>
    <w:p>
      <w:pPr>
        <w:spacing w:line="360" w:lineRule="auto"/>
        <w:ind w:firstLine="480" w:firstLineChars="200"/>
        <w:rPr>
          <w:rFonts w:hint="eastAsia" w:ascii="新宋体" w:hAnsi="新宋体" w:eastAsia="新宋体" w:cs="宋体"/>
          <w:sz w:val="24"/>
          <w:szCs w:val="24"/>
        </w:rPr>
      </w:pPr>
      <w:r>
        <w:rPr>
          <w:rFonts w:hint="eastAsia" w:ascii="新宋体" w:hAnsi="新宋体" w:eastAsia="新宋体"/>
          <w:sz w:val="24"/>
          <w:szCs w:val="24"/>
        </w:rPr>
        <w:t>初步评审经审查后应写出评审意见</w:t>
      </w:r>
      <w:r>
        <w:rPr>
          <w:rFonts w:hint="eastAsia" w:ascii="新宋体" w:hAnsi="新宋体" w:eastAsia="新宋体" w:cs="宋体"/>
          <w:sz w:val="24"/>
          <w:szCs w:val="24"/>
        </w:rPr>
        <w:t>。</w:t>
      </w:r>
    </w:p>
    <w:p>
      <w:pPr>
        <w:spacing w:line="360" w:lineRule="auto"/>
        <w:ind w:firstLine="480" w:firstLineChars="200"/>
        <w:rPr>
          <w:rFonts w:hint="eastAsia" w:ascii="新宋体" w:hAnsi="新宋体" w:eastAsia="新宋体" w:cs="宋体"/>
          <w:sz w:val="24"/>
          <w:szCs w:val="24"/>
        </w:rPr>
      </w:pPr>
      <w:r>
        <w:rPr>
          <w:rFonts w:hint="eastAsia" w:ascii="新宋体" w:hAnsi="新宋体" w:eastAsia="新宋体" w:cs="宋体"/>
          <w:sz w:val="24"/>
          <w:szCs w:val="24"/>
        </w:rPr>
        <w:t xml:space="preserve">5.1 </w:t>
      </w:r>
      <w:r>
        <w:rPr>
          <w:rFonts w:hint="eastAsia" w:ascii="新宋体" w:hAnsi="新宋体" w:eastAsia="新宋体"/>
          <w:sz w:val="24"/>
          <w:szCs w:val="24"/>
        </w:rPr>
        <w:t>投标文件存在下列情形之一的，按废标处理：</w:t>
      </w:r>
    </w:p>
    <w:p>
      <w:pPr>
        <w:spacing w:line="360" w:lineRule="auto"/>
        <w:ind w:firstLine="480" w:firstLineChars="200"/>
        <w:rPr>
          <w:rFonts w:hint="eastAsia" w:hAnsi="宋体" w:eastAsia="宋体" w:cs="仿宋_GB2312"/>
          <w:sz w:val="24"/>
          <w:szCs w:val="24"/>
        </w:rPr>
      </w:pPr>
      <w:r>
        <w:rPr>
          <w:rFonts w:hint="eastAsia" w:ascii="新宋体" w:hAnsi="新宋体" w:eastAsia="新宋体" w:cs="宋体"/>
          <w:sz w:val="24"/>
          <w:szCs w:val="24"/>
        </w:rPr>
        <w:t>（1）</w:t>
      </w:r>
      <w:r>
        <w:rPr>
          <w:rFonts w:hint="eastAsia" w:hAnsi="宋体" w:cs="仿宋_GB2312"/>
          <w:sz w:val="24"/>
          <w:szCs w:val="24"/>
        </w:rPr>
        <w:t>投标文件是否按招标文件要求签字盖章；</w:t>
      </w:r>
    </w:p>
    <w:p>
      <w:pPr>
        <w:spacing w:line="360" w:lineRule="auto"/>
        <w:ind w:firstLine="480" w:firstLineChars="200"/>
        <w:rPr>
          <w:rFonts w:hint="eastAsia" w:ascii="新宋体" w:hAnsi="新宋体" w:eastAsia="新宋体" w:cs="宋体"/>
          <w:sz w:val="24"/>
          <w:szCs w:val="24"/>
        </w:rPr>
      </w:pPr>
      <w:r>
        <w:rPr>
          <w:rFonts w:hint="eastAsia" w:ascii="新宋体" w:hAnsi="新宋体" w:eastAsia="新宋体" w:cs="宋体"/>
          <w:sz w:val="24"/>
          <w:szCs w:val="24"/>
        </w:rPr>
        <w:t>（2）投标联合体是否提交共同投标协议（允许联合体投标的）；</w:t>
      </w:r>
    </w:p>
    <w:p>
      <w:pPr>
        <w:spacing w:line="360" w:lineRule="auto"/>
        <w:ind w:firstLine="480" w:firstLineChars="200"/>
        <w:rPr>
          <w:rFonts w:hint="eastAsia" w:ascii="新宋体" w:hAnsi="新宋体" w:eastAsia="新宋体" w:cs="宋体"/>
          <w:sz w:val="24"/>
          <w:szCs w:val="24"/>
        </w:rPr>
      </w:pPr>
      <w:r>
        <w:rPr>
          <w:rFonts w:hint="eastAsia" w:ascii="新宋体" w:hAnsi="新宋体" w:eastAsia="新宋体" w:cs="宋体"/>
          <w:sz w:val="24"/>
          <w:szCs w:val="24"/>
        </w:rPr>
        <w:t>（3）投标人是否符合国家或者招标文件规定的资格条件，注册建造师注册单位与投标人是否一致；</w:t>
      </w:r>
    </w:p>
    <w:p>
      <w:pPr>
        <w:spacing w:line="360" w:lineRule="auto"/>
        <w:ind w:firstLine="480" w:firstLineChars="200"/>
        <w:rPr>
          <w:rFonts w:hint="eastAsia" w:ascii="新宋体" w:hAnsi="新宋体" w:eastAsia="新宋体" w:cs="宋体"/>
          <w:sz w:val="24"/>
          <w:szCs w:val="24"/>
        </w:rPr>
      </w:pPr>
      <w:r>
        <w:rPr>
          <w:rFonts w:hint="eastAsia" w:ascii="新宋体" w:hAnsi="新宋体" w:eastAsia="新宋体" w:cs="宋体"/>
          <w:sz w:val="24"/>
          <w:szCs w:val="24"/>
        </w:rPr>
        <w:t xml:space="preserve">（4）同一投标人是否提交两个以上不同的投标文件或者投标报价，但招标文件要求提交备选投标的除外； </w:t>
      </w:r>
    </w:p>
    <w:p>
      <w:pPr>
        <w:spacing w:line="360" w:lineRule="auto"/>
        <w:ind w:firstLine="480" w:firstLineChars="200"/>
        <w:rPr>
          <w:rFonts w:hint="eastAsia" w:ascii="新宋体" w:hAnsi="新宋体" w:eastAsia="新宋体" w:cs="宋体"/>
          <w:sz w:val="24"/>
          <w:szCs w:val="24"/>
        </w:rPr>
      </w:pPr>
      <w:r>
        <w:rPr>
          <w:rFonts w:hint="eastAsia" w:ascii="新宋体" w:hAnsi="新宋体" w:eastAsia="新宋体" w:cs="宋体"/>
          <w:sz w:val="24"/>
          <w:szCs w:val="24"/>
        </w:rPr>
        <w:t>（5）投标报价是否高于招标文件设定的最高投标限价；</w:t>
      </w:r>
    </w:p>
    <w:p>
      <w:pPr>
        <w:spacing w:line="360" w:lineRule="auto"/>
        <w:ind w:firstLine="480" w:firstLineChars="200"/>
        <w:rPr>
          <w:rFonts w:hint="eastAsia" w:ascii="新宋体" w:hAnsi="新宋体" w:eastAsia="新宋体" w:cs="宋体"/>
          <w:sz w:val="24"/>
          <w:szCs w:val="24"/>
        </w:rPr>
      </w:pPr>
      <w:r>
        <w:rPr>
          <w:rFonts w:hint="eastAsia" w:ascii="新宋体" w:hAnsi="新宋体" w:eastAsia="新宋体" w:cs="宋体"/>
          <w:sz w:val="24"/>
          <w:szCs w:val="24"/>
        </w:rPr>
        <w:t>（6）投标范围、工期、工程质量、投标有效期、付款方式是否符合招标文件规定；</w:t>
      </w:r>
    </w:p>
    <w:p>
      <w:pPr>
        <w:spacing w:line="360" w:lineRule="auto"/>
        <w:ind w:firstLine="480" w:firstLineChars="200"/>
        <w:rPr>
          <w:rFonts w:hint="eastAsia" w:ascii="新宋体" w:hAnsi="新宋体" w:eastAsia="新宋体" w:cs="宋体"/>
          <w:sz w:val="24"/>
          <w:szCs w:val="24"/>
        </w:rPr>
      </w:pPr>
      <w:r>
        <w:rPr>
          <w:rFonts w:hint="eastAsia" w:ascii="新宋体" w:hAnsi="新宋体" w:eastAsia="新宋体" w:cs="宋体"/>
          <w:sz w:val="24"/>
          <w:szCs w:val="24"/>
        </w:rPr>
        <w:t>（7）投标人是否有串通投标、弄虚作假、行贿等违法行为；</w:t>
      </w:r>
    </w:p>
    <w:p>
      <w:pPr>
        <w:spacing w:line="360" w:lineRule="auto"/>
        <w:ind w:firstLine="480" w:firstLineChars="200"/>
        <w:rPr>
          <w:rFonts w:hint="eastAsia" w:ascii="新宋体" w:hAnsi="新宋体" w:eastAsia="新宋体" w:cs="Times New Roman"/>
          <w:sz w:val="24"/>
          <w:szCs w:val="24"/>
        </w:rPr>
      </w:pPr>
      <w:r>
        <w:rPr>
          <w:rFonts w:hint="eastAsia" w:ascii="新宋体" w:hAnsi="新宋体" w:eastAsia="新宋体"/>
          <w:sz w:val="24"/>
          <w:szCs w:val="24"/>
        </w:rPr>
        <w:t>5.2投标文件存在下列情形之一的，按废标处理：</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 xml:space="preserve">（1）未按招标文件规定编制各项报价的； </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 xml:space="preserve">（3）规费和安全文明施工措施费违背工程造价计价有关规定的； </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 xml:space="preserve">（4）分部分项工程项目、措施项目报价中的项目编码、项目名称、项目特征、计量单位和工程量与招标文件的清单不一致的； </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（5）未按照招标文件所列明的暂列金额、暂估价编制投标报价的。</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（6）住房和城乡建设部《标准施工招标文件》规定的其他否决条件。</w:t>
      </w:r>
    </w:p>
    <w:p>
      <w:pPr>
        <w:spacing w:line="440" w:lineRule="exact"/>
        <w:rPr>
          <w:rFonts w:hint="eastAsia" w:ascii="新宋体" w:hAnsi="新宋体" w:eastAsia="新宋体"/>
          <w:b/>
          <w:bCs/>
          <w:sz w:val="24"/>
          <w:szCs w:val="24"/>
        </w:rPr>
      </w:pPr>
      <w:r>
        <w:rPr>
          <w:rFonts w:hint="eastAsia" w:ascii="新宋体" w:hAnsi="新宋体" w:eastAsia="新宋体"/>
          <w:b/>
          <w:bCs/>
          <w:sz w:val="24"/>
          <w:szCs w:val="24"/>
        </w:rPr>
        <w:t>清标内容：</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序号</w:t>
            </w:r>
          </w:p>
        </w:tc>
        <w:tc>
          <w:tcPr>
            <w:tcW w:w="3315" w:type="dxa"/>
            <w:vMerge w:val="restart"/>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清标项目</w:t>
            </w:r>
          </w:p>
        </w:tc>
        <w:tc>
          <w:tcPr>
            <w:tcW w:w="3915" w:type="dxa"/>
            <w:vMerge w:val="restart"/>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清标内容</w:t>
            </w:r>
          </w:p>
        </w:tc>
        <w:tc>
          <w:tcPr>
            <w:tcW w:w="1125" w:type="dxa"/>
            <w:gridSpan w:val="2"/>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7230" w:type="dxa"/>
            <w:vMerge w:val="continue"/>
            <w:tcBorders>
              <w:top w:val="single" w:color="auto" w:sz="4" w:space="0"/>
              <w:left w:val="nil"/>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3915" w:type="dxa"/>
            <w:vMerge w:val="continue"/>
            <w:tcBorders>
              <w:top w:val="single" w:color="auto" w:sz="4" w:space="0"/>
              <w:left w:val="nil"/>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是</w:t>
            </w:r>
          </w:p>
        </w:tc>
        <w:tc>
          <w:tcPr>
            <w:tcW w:w="52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nil"/>
              <w:left w:val="single" w:color="auto" w:sz="4" w:space="0"/>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1</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1.1</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项目总报价</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是否等于各单项工程造价之和</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1.2</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单项工程费</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是否等于各单位工程造价之和</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1.3</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单位工程费</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是否等于分部分项工程费+措施项目费+其它项目费+规费+税金之和</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nil"/>
              <w:left w:val="single" w:color="auto" w:sz="4" w:space="0"/>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2</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2.1</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分部分项工程费及单价措施费</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是否等于各分部分项清单（含单价措施项目）费之和</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2.2</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分部分项及单价措施项目编码</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不得修改招标人清单</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2.3</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分部分项及单价措施项目名称</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不得修改招标人清单</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2.4</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分部分项及单价措施项目特征</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不得修改招标人清单</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2.5</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分部分项及单价措施项目计量单位</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不得修改招标人清单</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2.6</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分部分项及单价措施项目工程量</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不得修改招标人清单</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2.7</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分部分项工程费及单价措施费清单单价</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综合单价=人工费+材料费+机械费+管理费+利润之和；</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2.8</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材料单价</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材料表中的单价与组成清单单价中的综合单价必须一致</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nil"/>
              <w:left w:val="single" w:color="auto" w:sz="4" w:space="0"/>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3</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3.1</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安全文明施工费</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根据河南省计价依据规定计算</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3.2</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其他措施费（费率类）项目</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根据招标文件要求自主报价</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nil"/>
              <w:left w:val="single" w:color="auto" w:sz="4" w:space="0"/>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4</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4.1</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其他项目费</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各组成部分之和（暂列金额+专业暂估价+计日工费+总承包服务费）</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4.2</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暂列金额</w:t>
            </w:r>
          </w:p>
        </w:tc>
        <w:tc>
          <w:tcPr>
            <w:tcW w:w="3915" w:type="dxa"/>
            <w:tcBorders>
              <w:top w:val="single" w:color="auto" w:sz="4" w:space="0"/>
              <w:left w:val="nil"/>
              <w:bottom w:val="single" w:color="auto" w:sz="4" w:space="0"/>
              <w:right w:val="single" w:color="auto" w:sz="4" w:space="0"/>
            </w:tcBorders>
            <w:vAlign w:val="center"/>
          </w:tcPr>
          <w:p>
            <w:pPr>
              <w:rPr>
                <w:rFonts w:ascii="新宋体" w:hAnsi="新宋体" w:eastAsia="新宋体"/>
                <w:b/>
                <w:bCs/>
                <w:sz w:val="21"/>
                <w:szCs w:val="21"/>
              </w:rPr>
            </w:pPr>
            <w:r>
              <w:rPr>
                <w:rFonts w:hint="eastAsia" w:ascii="新宋体" w:hAnsi="新宋体" w:eastAsia="新宋体"/>
                <w:b/>
                <w:bCs/>
                <w:sz w:val="21"/>
                <w:szCs w:val="21"/>
              </w:rPr>
              <w:t>应与招标人价格一致</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4.3</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专业工程暂估价</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应与招标人价格一致</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4.4</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计日工</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应与招标人数量一致</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hAnsi="新宋体" w:eastAsia="新宋体"/>
                <w:b/>
                <w:bCs/>
                <w:sz w:val="21"/>
                <w:szCs w:val="21"/>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r>
              <w:rPr>
                <w:rFonts w:hint="eastAsia" w:ascii="新宋体" w:hAnsi="新宋体" w:eastAsia="新宋体"/>
                <w:b/>
                <w:bCs/>
                <w:sz w:val="21"/>
                <w:szCs w:val="21"/>
              </w:rPr>
              <w:t>4.5</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总承包服务费</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是否按招标文件要求计算</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5</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5</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规费</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根据河南省计价依据规定计算</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6</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6</w:t>
            </w:r>
          </w:p>
        </w:tc>
        <w:tc>
          <w:tcPr>
            <w:tcW w:w="33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增值税</w:t>
            </w:r>
          </w:p>
        </w:tc>
        <w:tc>
          <w:tcPr>
            <w:tcW w:w="391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根据河南省计价依据规定计算</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7</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7</w:t>
            </w:r>
          </w:p>
        </w:tc>
        <w:tc>
          <w:tcPr>
            <w:tcW w:w="7230" w:type="dxa"/>
            <w:gridSpan w:val="2"/>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r>
              <w:rPr>
                <w:rFonts w:hint="eastAsia" w:ascii="新宋体" w:hAnsi="新宋体" w:eastAsia="新宋体"/>
                <w:b/>
                <w:bCs/>
                <w:sz w:val="21"/>
                <w:szCs w:val="21"/>
              </w:rPr>
              <w:t>不违反法律、法规、规章、规范性文件规定的其它情况</w:t>
            </w:r>
          </w:p>
        </w:tc>
        <w:tc>
          <w:tcPr>
            <w:tcW w:w="600"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c>
          <w:tcPr>
            <w:tcW w:w="525" w:type="dxa"/>
            <w:tcBorders>
              <w:top w:val="single" w:color="auto" w:sz="4" w:space="0"/>
              <w:left w:val="nil"/>
              <w:bottom w:val="single" w:color="auto" w:sz="4" w:space="0"/>
              <w:right w:val="single" w:color="auto" w:sz="4" w:space="0"/>
            </w:tcBorders>
            <w:vAlign w:val="center"/>
          </w:tcPr>
          <w:p>
            <w:pPr>
              <w:jc w:val="center"/>
              <w:rPr>
                <w:rFonts w:ascii="新宋体" w:hAnsi="新宋体" w:eastAsia="新宋体"/>
                <w:b/>
                <w:bCs/>
                <w:sz w:val="21"/>
                <w:szCs w:val="21"/>
              </w:rPr>
            </w:pPr>
          </w:p>
        </w:tc>
      </w:tr>
    </w:tbl>
    <w:p>
      <w:pPr>
        <w:autoSpaceDE w:val="0"/>
        <w:autoSpaceDN w:val="0"/>
        <w:adjustRightInd w:val="0"/>
        <w:spacing w:line="460" w:lineRule="exact"/>
        <w:ind w:firstLine="480" w:firstLineChars="200"/>
        <w:jc w:val="left"/>
        <w:rPr>
          <w:rFonts w:hint="eastAsia" w:hAnsi="宋体" w:eastAsia="宋体" w:cs="Times New Roman"/>
          <w:b/>
          <w:bCs/>
          <w:sz w:val="24"/>
          <w:szCs w:val="24"/>
        </w:rPr>
      </w:pPr>
      <w:r>
        <w:rPr>
          <w:rFonts w:hint="eastAsia" w:hAnsi="宋体"/>
          <w:b/>
          <w:bCs/>
          <w:sz w:val="24"/>
          <w:szCs w:val="24"/>
        </w:rPr>
        <w:t>注：不在上述范围内且不具有实质性影响的内容，均不能作为清标的依据或理由。</w:t>
      </w:r>
    </w:p>
    <w:p>
      <w:pPr>
        <w:spacing w:line="400" w:lineRule="exact"/>
        <w:ind w:firstLine="480" w:firstLineChars="200"/>
        <w:rPr>
          <w:rFonts w:hint="eastAsia" w:ascii="新宋体" w:hAnsi="新宋体" w:eastAsia="新宋体" w:cs="宋体"/>
          <w:b/>
          <w:bCs/>
          <w:sz w:val="24"/>
          <w:szCs w:val="24"/>
        </w:rPr>
      </w:pPr>
      <w:r>
        <w:rPr>
          <w:rFonts w:hint="eastAsia" w:ascii="新宋体" w:hAnsi="新宋体" w:eastAsia="新宋体"/>
          <w:b/>
          <w:bCs/>
          <w:sz w:val="24"/>
          <w:szCs w:val="24"/>
        </w:rPr>
        <w:t>六、</w:t>
      </w:r>
      <w:r>
        <w:rPr>
          <w:rFonts w:hint="eastAsia" w:ascii="新宋体" w:hAnsi="新宋体" w:eastAsia="新宋体" w:cs="宋体"/>
          <w:b/>
          <w:bCs/>
          <w:sz w:val="24"/>
          <w:szCs w:val="24"/>
        </w:rPr>
        <w:t>详细评审</w:t>
      </w:r>
    </w:p>
    <w:p>
      <w:pPr>
        <w:spacing w:line="400" w:lineRule="exact"/>
        <w:ind w:firstLine="480" w:firstLineChars="200"/>
        <w:rPr>
          <w:rFonts w:hint="eastAsia" w:ascii="新宋体" w:hAnsi="新宋体" w:eastAsia="新宋体" w:cs="宋体"/>
          <w:sz w:val="24"/>
          <w:szCs w:val="24"/>
        </w:rPr>
      </w:pPr>
      <w:r>
        <w:rPr>
          <w:rFonts w:hint="eastAsia" w:ascii="新宋体" w:hAnsi="新宋体" w:eastAsia="新宋体" w:cs="宋体"/>
          <w:sz w:val="24"/>
          <w:szCs w:val="24"/>
        </w:rPr>
        <w:t>评标委员会根据招标文件要求应从技术标、商务标、综合标三部分进行综合评审。技术标的权重占25%，商务标的权重占50%，综合标的权重占25%。</w:t>
      </w:r>
    </w:p>
    <w:p>
      <w:pPr>
        <w:snapToGrid w:val="0"/>
        <w:spacing w:line="360" w:lineRule="auto"/>
        <w:rPr>
          <w:rFonts w:hint="eastAsia" w:hAnsi="宋体" w:eastAsia="宋体" w:cs="Times New Roman"/>
          <w:b/>
          <w:bCs/>
          <w:sz w:val="24"/>
          <w:szCs w:val="24"/>
        </w:rPr>
      </w:pPr>
      <w:r>
        <w:rPr>
          <w:rFonts w:hint="eastAsia" w:hAnsi="宋体"/>
          <w:b/>
          <w:bCs/>
          <w:sz w:val="24"/>
          <w:szCs w:val="24"/>
        </w:rPr>
        <w:t>（一）技术标（25分）</w:t>
      </w:r>
    </w:p>
    <w:p>
      <w:pPr>
        <w:snapToGrid w:val="0"/>
        <w:spacing w:line="360" w:lineRule="auto"/>
        <w:rPr>
          <w:rFonts w:hint="eastAsia" w:ascii="新宋体" w:hAnsi="新宋体" w:eastAsia="新宋体"/>
          <w:sz w:val="24"/>
          <w:szCs w:val="24"/>
        </w:rPr>
      </w:pPr>
      <w:r>
        <w:rPr>
          <w:rFonts w:hint="eastAsia" w:ascii="新宋体" w:hAnsi="新宋体" w:eastAsia="新宋体"/>
          <w:sz w:val="24"/>
          <w:szCs w:val="24"/>
        </w:rPr>
        <w:t>评审内容：</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52" w:type="dxa"/>
            <w:vAlign w:val="center"/>
          </w:tcPr>
          <w:p>
            <w:pPr>
              <w:jc w:val="center"/>
              <w:rPr>
                <w:rFonts w:hAnsi="宋体" w:eastAsia="宋体"/>
                <w:b/>
                <w:bCs/>
                <w:sz w:val="21"/>
                <w:szCs w:val="21"/>
              </w:rPr>
            </w:pPr>
            <w:bookmarkStart w:id="76" w:name="_Toc272833453"/>
            <w:r>
              <w:rPr>
                <w:rFonts w:hint="eastAsia" w:hAnsi="宋体"/>
                <w:b/>
                <w:bCs/>
                <w:sz w:val="21"/>
                <w:szCs w:val="21"/>
              </w:rPr>
              <w:t>序号</w:t>
            </w:r>
            <w:bookmarkEnd w:id="76"/>
          </w:p>
        </w:tc>
        <w:tc>
          <w:tcPr>
            <w:tcW w:w="1123" w:type="dxa"/>
            <w:vAlign w:val="center"/>
          </w:tcPr>
          <w:p>
            <w:pPr>
              <w:jc w:val="center"/>
              <w:rPr>
                <w:rFonts w:hAnsi="宋体" w:eastAsia="宋体"/>
                <w:b/>
                <w:bCs/>
                <w:sz w:val="21"/>
                <w:szCs w:val="21"/>
              </w:rPr>
            </w:pPr>
            <w:r>
              <w:rPr>
                <w:rFonts w:hint="eastAsia" w:hAnsi="宋体"/>
                <w:b/>
                <w:bCs/>
                <w:sz w:val="21"/>
                <w:szCs w:val="21"/>
              </w:rPr>
              <w:t>内容</w:t>
            </w:r>
          </w:p>
        </w:tc>
        <w:tc>
          <w:tcPr>
            <w:tcW w:w="980" w:type="dxa"/>
            <w:vAlign w:val="center"/>
          </w:tcPr>
          <w:p>
            <w:pPr>
              <w:jc w:val="center"/>
              <w:rPr>
                <w:rFonts w:hAnsi="宋体" w:eastAsia="宋体"/>
                <w:b/>
                <w:bCs/>
                <w:sz w:val="21"/>
                <w:szCs w:val="21"/>
              </w:rPr>
            </w:pPr>
            <w:r>
              <w:rPr>
                <w:rFonts w:hint="eastAsia" w:hAnsi="宋体"/>
                <w:b/>
                <w:bCs/>
                <w:sz w:val="21"/>
                <w:szCs w:val="21"/>
              </w:rPr>
              <w:t>分值</w:t>
            </w:r>
          </w:p>
        </w:tc>
        <w:tc>
          <w:tcPr>
            <w:tcW w:w="5344" w:type="dxa"/>
            <w:vAlign w:val="center"/>
          </w:tcPr>
          <w:p>
            <w:pPr>
              <w:jc w:val="center"/>
              <w:rPr>
                <w:rFonts w:hAnsi="宋体" w:eastAsia="宋体"/>
                <w:b/>
                <w:bCs/>
                <w:sz w:val="21"/>
                <w:szCs w:val="21"/>
              </w:rPr>
            </w:pPr>
            <w:r>
              <w:rPr>
                <w:rFonts w:hint="eastAsia" w:hAnsi="宋体"/>
                <w:b/>
                <w:bCs/>
                <w:sz w:val="21"/>
                <w:szCs w:val="21"/>
              </w:rPr>
              <w:t>评审标准</w:t>
            </w:r>
          </w:p>
        </w:tc>
        <w:tc>
          <w:tcPr>
            <w:tcW w:w="1241" w:type="dxa"/>
            <w:vAlign w:val="center"/>
          </w:tcPr>
          <w:p>
            <w:pPr>
              <w:jc w:val="center"/>
              <w:rPr>
                <w:rFonts w:hAnsi="宋体" w:eastAsia="宋体"/>
                <w:b/>
                <w:bCs/>
                <w:sz w:val="21"/>
                <w:szCs w:val="21"/>
              </w:rPr>
            </w:pPr>
            <w:r>
              <w:rPr>
                <w:rFonts w:hint="eastAsia" w:hAnsi="宋体"/>
                <w:b/>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52" w:type="dxa"/>
            <w:vMerge w:val="restart"/>
            <w:vAlign w:val="center"/>
          </w:tcPr>
          <w:p>
            <w:pPr>
              <w:jc w:val="center"/>
              <w:rPr>
                <w:rFonts w:hAnsi="Calibri" w:eastAsia="宋体"/>
                <w:sz w:val="21"/>
                <w:szCs w:val="21"/>
              </w:rPr>
            </w:pPr>
            <w:r>
              <w:rPr>
                <w:rFonts w:hint="eastAsia"/>
                <w:sz w:val="21"/>
                <w:szCs w:val="21"/>
              </w:rPr>
              <w:t>1</w:t>
            </w:r>
          </w:p>
        </w:tc>
        <w:tc>
          <w:tcPr>
            <w:tcW w:w="1123" w:type="dxa"/>
            <w:vMerge w:val="restart"/>
            <w:vAlign w:val="center"/>
          </w:tcPr>
          <w:p>
            <w:pPr>
              <w:jc w:val="center"/>
              <w:rPr>
                <w:rFonts w:hAnsi="Calibri" w:eastAsia="宋体"/>
                <w:sz w:val="21"/>
                <w:szCs w:val="21"/>
              </w:rPr>
            </w:pPr>
            <w:r>
              <w:rPr>
                <w:rFonts w:hint="eastAsia"/>
                <w:sz w:val="21"/>
                <w:szCs w:val="21"/>
              </w:rPr>
              <w:t>内容完整性</w:t>
            </w:r>
          </w:p>
        </w:tc>
        <w:tc>
          <w:tcPr>
            <w:tcW w:w="980" w:type="dxa"/>
            <w:vMerge w:val="restart"/>
            <w:vAlign w:val="center"/>
          </w:tcPr>
          <w:p>
            <w:pPr>
              <w:jc w:val="center"/>
              <w:rPr>
                <w:rFonts w:hAnsi="Calibri" w:eastAsia="宋体"/>
                <w:sz w:val="21"/>
                <w:szCs w:val="21"/>
              </w:rPr>
            </w:pPr>
            <w:r>
              <w:rPr>
                <w:rFonts w:hint="eastAsia"/>
                <w:sz w:val="21"/>
                <w:szCs w:val="21"/>
              </w:rPr>
              <w:t>0-0.5分</w:t>
            </w:r>
          </w:p>
        </w:tc>
        <w:tc>
          <w:tcPr>
            <w:tcW w:w="5344" w:type="dxa"/>
            <w:vAlign w:val="center"/>
          </w:tcPr>
          <w:p>
            <w:pPr>
              <w:jc w:val="center"/>
              <w:rPr>
                <w:rFonts w:hAnsi="Calibri" w:eastAsia="宋体"/>
                <w:sz w:val="21"/>
                <w:szCs w:val="21"/>
              </w:rPr>
            </w:pPr>
            <w:r>
              <w:rPr>
                <w:rFonts w:hint="eastAsia"/>
                <w:sz w:val="21"/>
                <w:szCs w:val="21"/>
              </w:rPr>
              <w:t>技术标的主要内容具有完整性，符合招标文件的要求。</w:t>
            </w:r>
          </w:p>
        </w:tc>
        <w:tc>
          <w:tcPr>
            <w:tcW w:w="1241" w:type="dxa"/>
            <w:vAlign w:val="center"/>
          </w:tcPr>
          <w:p>
            <w:pPr>
              <w:jc w:val="center"/>
              <w:rPr>
                <w:rFonts w:hAnsi="Calibri" w:eastAsia="宋体"/>
                <w:sz w:val="21"/>
                <w:szCs w:val="21"/>
              </w:rPr>
            </w:pPr>
            <w:r>
              <w:rPr>
                <w:rFonts w:hint="eastAsia"/>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jc w:val="center"/>
              <w:rPr>
                <w:rFonts w:hAnsi="Calibri" w:eastAsia="宋体"/>
                <w:sz w:val="21"/>
                <w:szCs w:val="21"/>
              </w:rPr>
            </w:pPr>
            <w:r>
              <w:rPr>
                <w:rFonts w:hint="eastAsia"/>
                <w:sz w:val="21"/>
                <w:szCs w:val="21"/>
              </w:rPr>
              <w:t>技术标不符合招标文件要求。</w:t>
            </w:r>
          </w:p>
        </w:tc>
        <w:tc>
          <w:tcPr>
            <w:tcW w:w="1241" w:type="dxa"/>
            <w:vAlign w:val="center"/>
          </w:tcPr>
          <w:p>
            <w:pPr>
              <w:jc w:val="center"/>
              <w:rPr>
                <w:rFonts w:hAnsi="Calibri" w:eastAsia="宋体"/>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552" w:type="dxa"/>
            <w:vMerge w:val="restart"/>
            <w:vAlign w:val="center"/>
          </w:tcPr>
          <w:p>
            <w:pPr>
              <w:jc w:val="center"/>
              <w:rPr>
                <w:rFonts w:hAnsi="Calibri" w:eastAsia="宋体"/>
                <w:sz w:val="21"/>
                <w:szCs w:val="21"/>
              </w:rPr>
            </w:pPr>
            <w:r>
              <w:rPr>
                <w:rFonts w:hint="eastAsia"/>
                <w:sz w:val="21"/>
                <w:szCs w:val="21"/>
              </w:rPr>
              <w:t>2</w:t>
            </w:r>
          </w:p>
        </w:tc>
        <w:tc>
          <w:tcPr>
            <w:tcW w:w="1123" w:type="dxa"/>
            <w:vMerge w:val="restart"/>
            <w:vAlign w:val="center"/>
          </w:tcPr>
          <w:p>
            <w:pPr>
              <w:jc w:val="left"/>
              <w:rPr>
                <w:rFonts w:hAnsi="Calibri" w:eastAsia="宋体"/>
                <w:sz w:val="21"/>
                <w:szCs w:val="21"/>
              </w:rPr>
            </w:pPr>
            <w:r>
              <w:rPr>
                <w:rFonts w:hint="eastAsia"/>
                <w:sz w:val="21"/>
                <w:szCs w:val="21"/>
              </w:rPr>
              <w:t>主要施工方案与技术措施</w:t>
            </w:r>
          </w:p>
        </w:tc>
        <w:tc>
          <w:tcPr>
            <w:tcW w:w="980" w:type="dxa"/>
            <w:vMerge w:val="restart"/>
            <w:vAlign w:val="center"/>
          </w:tcPr>
          <w:p>
            <w:pPr>
              <w:jc w:val="center"/>
              <w:rPr>
                <w:rFonts w:hAnsi="Calibri" w:eastAsia="宋体"/>
                <w:sz w:val="21"/>
                <w:szCs w:val="21"/>
              </w:rPr>
            </w:pPr>
            <w:r>
              <w:rPr>
                <w:rFonts w:hint="eastAsia"/>
                <w:sz w:val="21"/>
                <w:szCs w:val="21"/>
              </w:rPr>
              <w:t xml:space="preserve"> 1-3分</w:t>
            </w:r>
          </w:p>
        </w:tc>
        <w:tc>
          <w:tcPr>
            <w:tcW w:w="5344" w:type="dxa"/>
            <w:vAlign w:val="center"/>
          </w:tcPr>
          <w:p>
            <w:pPr>
              <w:rPr>
                <w:rFonts w:hAnsi="Calibri" w:eastAsia="宋体"/>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vAlign w:val="center"/>
          </w:tcPr>
          <w:p>
            <w:pPr>
              <w:jc w:val="center"/>
              <w:rPr>
                <w:rFonts w:hAnsi="Calibri" w:eastAsia="宋体"/>
                <w:sz w:val="21"/>
                <w:szCs w:val="21"/>
              </w:rPr>
            </w:pPr>
            <w:r>
              <w:rPr>
                <w:rFonts w:hint="eastAsia"/>
                <w:sz w:val="21"/>
                <w:szCs w:val="21"/>
              </w:rPr>
              <w:t>2＜得分≤</w:t>
            </w:r>
            <w:r>
              <w:rPr>
                <w:rFonts w:hint="eastAsia"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rPr>
                <w:rFonts w:hAnsi="Calibri" w:eastAsia="宋体"/>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vAlign w:val="center"/>
          </w:tcPr>
          <w:p>
            <w:pPr>
              <w:jc w:val="center"/>
              <w:rPr>
                <w:rFonts w:hAnsi="Calibri" w:eastAsia="宋体"/>
                <w:sz w:val="21"/>
                <w:szCs w:val="21"/>
              </w:rPr>
            </w:pPr>
            <w:r>
              <w:rPr>
                <w:rFonts w:hint="eastAsia"/>
                <w:sz w:val="21"/>
                <w:szCs w:val="21"/>
              </w:rPr>
              <w:t xml:space="preserve"> 1</w:t>
            </w:r>
            <w:r>
              <w:rPr>
                <w:rFonts w:hint="eastAsia" w:ascii="Calibri"/>
                <w:sz w:val="21"/>
                <w:szCs w:val="21"/>
              </w:rPr>
              <w:t>≤</w:t>
            </w:r>
            <w:r>
              <w:rPr>
                <w:rFonts w:hint="eastAsia"/>
                <w:sz w:val="21"/>
                <w:szCs w:val="21"/>
              </w:rPr>
              <w:t>得分≤</w:t>
            </w: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552" w:type="dxa"/>
            <w:vMerge w:val="restart"/>
            <w:vAlign w:val="center"/>
          </w:tcPr>
          <w:p>
            <w:pPr>
              <w:jc w:val="center"/>
              <w:rPr>
                <w:rFonts w:hAnsi="Calibri" w:eastAsia="宋体"/>
                <w:sz w:val="21"/>
                <w:szCs w:val="21"/>
              </w:rPr>
            </w:pPr>
            <w:r>
              <w:rPr>
                <w:rFonts w:hint="eastAsia"/>
                <w:sz w:val="21"/>
                <w:szCs w:val="21"/>
              </w:rPr>
              <w:t>3</w:t>
            </w:r>
          </w:p>
        </w:tc>
        <w:tc>
          <w:tcPr>
            <w:tcW w:w="1123" w:type="dxa"/>
            <w:vMerge w:val="restart"/>
            <w:vAlign w:val="center"/>
          </w:tcPr>
          <w:p>
            <w:pPr>
              <w:jc w:val="left"/>
              <w:rPr>
                <w:rFonts w:hAnsi="Calibri" w:eastAsia="宋体"/>
                <w:sz w:val="21"/>
                <w:szCs w:val="21"/>
              </w:rPr>
            </w:pPr>
            <w:r>
              <w:rPr>
                <w:rFonts w:hint="eastAsia"/>
                <w:sz w:val="21"/>
                <w:szCs w:val="21"/>
              </w:rPr>
              <w:t>质量管理体系与措施</w:t>
            </w:r>
          </w:p>
        </w:tc>
        <w:tc>
          <w:tcPr>
            <w:tcW w:w="980" w:type="dxa"/>
            <w:vMerge w:val="restart"/>
            <w:vAlign w:val="center"/>
          </w:tcPr>
          <w:p>
            <w:pPr>
              <w:jc w:val="center"/>
              <w:rPr>
                <w:rFonts w:hAnsi="Calibri" w:eastAsia="宋体"/>
                <w:sz w:val="21"/>
                <w:szCs w:val="21"/>
              </w:rPr>
            </w:pPr>
            <w:r>
              <w:rPr>
                <w:rFonts w:hint="eastAsia"/>
                <w:sz w:val="21"/>
                <w:szCs w:val="21"/>
              </w:rPr>
              <w:t>1-2分</w:t>
            </w:r>
          </w:p>
        </w:tc>
        <w:tc>
          <w:tcPr>
            <w:tcW w:w="5344" w:type="dxa"/>
            <w:vAlign w:val="center"/>
          </w:tcPr>
          <w:p>
            <w:pPr>
              <w:spacing w:line="360" w:lineRule="exact"/>
              <w:rPr>
                <w:rFonts w:hAnsi="Calibri" w:eastAsia="宋体"/>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vAlign w:val="center"/>
          </w:tcPr>
          <w:p>
            <w:pPr>
              <w:jc w:val="center"/>
              <w:rPr>
                <w:rFonts w:hAnsi="Calibri" w:eastAsia="宋体"/>
                <w:sz w:val="21"/>
                <w:szCs w:val="21"/>
              </w:rPr>
            </w:pPr>
            <w:r>
              <w:rPr>
                <w:rFonts w:hint="eastAsia"/>
                <w:sz w:val="21"/>
                <w:szCs w:val="21"/>
              </w:rPr>
              <w:t>1.5＜得分≤</w:t>
            </w: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spacing w:line="360" w:lineRule="exact"/>
              <w:rPr>
                <w:rFonts w:hAnsi="Calibri" w:eastAsia="宋体"/>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vAlign w:val="center"/>
          </w:tcPr>
          <w:p>
            <w:pPr>
              <w:jc w:val="center"/>
              <w:rPr>
                <w:rFonts w:hAnsi="Calibri" w:eastAsia="宋体"/>
                <w:sz w:val="21"/>
                <w:szCs w:val="21"/>
              </w:rPr>
            </w:pPr>
            <w:r>
              <w:rPr>
                <w:rFonts w:hint="eastAsia"/>
                <w:sz w:val="21"/>
                <w:szCs w:val="21"/>
              </w:rPr>
              <w:t>1</w:t>
            </w:r>
            <w:r>
              <w:rPr>
                <w:rFonts w:hint="eastAsia" w:ascii="Calibri"/>
                <w:sz w:val="21"/>
                <w:szCs w:val="21"/>
              </w:rPr>
              <w:t>≤</w:t>
            </w:r>
            <w:r>
              <w:rPr>
                <w:rFonts w:hint="eastAsia"/>
                <w:sz w:val="21"/>
                <w:szCs w:val="21"/>
              </w:rPr>
              <w:t>得分≤</w:t>
            </w:r>
            <w:r>
              <w:rPr>
                <w:rFonts w:hint="eastAsia" w:hAnsi="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552" w:type="dxa"/>
            <w:vMerge w:val="restart"/>
            <w:vAlign w:val="center"/>
          </w:tcPr>
          <w:p>
            <w:pPr>
              <w:jc w:val="center"/>
              <w:rPr>
                <w:rFonts w:hAnsi="Calibri" w:eastAsia="宋体"/>
                <w:sz w:val="21"/>
                <w:szCs w:val="21"/>
              </w:rPr>
            </w:pPr>
            <w:r>
              <w:rPr>
                <w:rFonts w:hint="eastAsia"/>
                <w:sz w:val="21"/>
                <w:szCs w:val="21"/>
              </w:rPr>
              <w:t>4</w:t>
            </w:r>
          </w:p>
        </w:tc>
        <w:tc>
          <w:tcPr>
            <w:tcW w:w="1123" w:type="dxa"/>
            <w:vMerge w:val="restart"/>
            <w:vAlign w:val="center"/>
          </w:tcPr>
          <w:p>
            <w:pPr>
              <w:jc w:val="left"/>
              <w:rPr>
                <w:rFonts w:hAnsi="Calibri" w:eastAsia="宋体"/>
                <w:sz w:val="21"/>
                <w:szCs w:val="21"/>
              </w:rPr>
            </w:pPr>
            <w:r>
              <w:rPr>
                <w:rFonts w:hint="eastAsia"/>
                <w:sz w:val="21"/>
                <w:szCs w:val="21"/>
              </w:rPr>
              <w:t>安全管理体系与措施</w:t>
            </w:r>
          </w:p>
        </w:tc>
        <w:tc>
          <w:tcPr>
            <w:tcW w:w="980" w:type="dxa"/>
            <w:vMerge w:val="restart"/>
            <w:vAlign w:val="center"/>
          </w:tcPr>
          <w:p>
            <w:pPr>
              <w:jc w:val="center"/>
              <w:rPr>
                <w:rFonts w:hAnsi="Calibri" w:eastAsia="宋体"/>
                <w:sz w:val="21"/>
                <w:szCs w:val="21"/>
              </w:rPr>
            </w:pPr>
            <w:r>
              <w:rPr>
                <w:rFonts w:hint="eastAsia"/>
                <w:sz w:val="21"/>
                <w:szCs w:val="21"/>
              </w:rPr>
              <w:t xml:space="preserve"> 1-2分</w:t>
            </w:r>
          </w:p>
        </w:tc>
        <w:tc>
          <w:tcPr>
            <w:tcW w:w="5344" w:type="dxa"/>
            <w:vAlign w:val="center"/>
          </w:tcPr>
          <w:p>
            <w:pPr>
              <w:spacing w:line="360" w:lineRule="exact"/>
              <w:rPr>
                <w:rFonts w:hAnsi="Calibri" w:eastAsia="宋体"/>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vAlign w:val="center"/>
          </w:tcPr>
          <w:p>
            <w:pPr>
              <w:jc w:val="center"/>
              <w:rPr>
                <w:rFonts w:hAnsi="Calibri" w:eastAsia="宋体"/>
                <w:sz w:val="21"/>
                <w:szCs w:val="21"/>
              </w:rPr>
            </w:pPr>
            <w:r>
              <w:rPr>
                <w:rFonts w:hint="eastAsia"/>
                <w:sz w:val="21"/>
                <w:szCs w:val="21"/>
              </w:rPr>
              <w:t>1.5＜得分≤</w:t>
            </w: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spacing w:line="340" w:lineRule="exact"/>
              <w:rPr>
                <w:rFonts w:hAnsi="Calibri" w:eastAsia="宋体"/>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vAlign w:val="center"/>
          </w:tcPr>
          <w:p>
            <w:pPr>
              <w:jc w:val="center"/>
              <w:rPr>
                <w:rFonts w:hAnsi="Calibri" w:eastAsia="宋体"/>
                <w:sz w:val="21"/>
                <w:szCs w:val="21"/>
              </w:rPr>
            </w:pPr>
            <w:r>
              <w:rPr>
                <w:rFonts w:hint="eastAsia"/>
                <w:sz w:val="21"/>
                <w:szCs w:val="21"/>
              </w:rPr>
              <w:t>1</w:t>
            </w:r>
            <w:r>
              <w:rPr>
                <w:rFonts w:hint="eastAsia" w:ascii="Calibri"/>
                <w:sz w:val="21"/>
                <w:szCs w:val="21"/>
              </w:rPr>
              <w:t>≤</w:t>
            </w:r>
            <w:r>
              <w:rPr>
                <w:rFonts w:hint="eastAsia"/>
                <w:sz w:val="21"/>
                <w:szCs w:val="21"/>
              </w:rPr>
              <w:t>得分≤</w:t>
            </w:r>
            <w:r>
              <w:rPr>
                <w:rFonts w:hint="eastAsia" w:hAnsi="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jc w:val="center"/>
        </w:trPr>
        <w:tc>
          <w:tcPr>
            <w:tcW w:w="552" w:type="dxa"/>
            <w:vMerge w:val="restart"/>
            <w:vAlign w:val="center"/>
          </w:tcPr>
          <w:p>
            <w:pPr>
              <w:jc w:val="center"/>
              <w:rPr>
                <w:rFonts w:hAnsi="Calibri" w:eastAsia="宋体"/>
                <w:sz w:val="21"/>
                <w:szCs w:val="21"/>
              </w:rPr>
            </w:pPr>
            <w:r>
              <w:rPr>
                <w:rFonts w:hint="eastAsia"/>
                <w:sz w:val="21"/>
                <w:szCs w:val="21"/>
              </w:rPr>
              <w:t>5</w:t>
            </w:r>
          </w:p>
        </w:tc>
        <w:tc>
          <w:tcPr>
            <w:tcW w:w="1123" w:type="dxa"/>
            <w:vMerge w:val="restart"/>
            <w:vAlign w:val="center"/>
          </w:tcPr>
          <w:p>
            <w:pPr>
              <w:jc w:val="left"/>
              <w:rPr>
                <w:rFonts w:hAnsi="Calibri" w:eastAsia="宋体"/>
                <w:sz w:val="21"/>
                <w:szCs w:val="21"/>
              </w:rPr>
            </w:pPr>
            <w:r>
              <w:rPr>
                <w:rFonts w:hint="eastAsia"/>
                <w:sz w:val="21"/>
                <w:szCs w:val="21"/>
              </w:rPr>
              <w:t xml:space="preserve">文明施工、环境保护管理体系及施工现场扬尘治理措施  </w:t>
            </w:r>
          </w:p>
        </w:tc>
        <w:tc>
          <w:tcPr>
            <w:tcW w:w="980" w:type="dxa"/>
            <w:vMerge w:val="restart"/>
            <w:vAlign w:val="center"/>
          </w:tcPr>
          <w:p>
            <w:pPr>
              <w:jc w:val="center"/>
              <w:rPr>
                <w:rFonts w:hAnsi="Calibri" w:eastAsia="宋体"/>
                <w:sz w:val="21"/>
                <w:szCs w:val="21"/>
              </w:rPr>
            </w:pPr>
            <w:r>
              <w:rPr>
                <w:rFonts w:hint="eastAsia"/>
                <w:sz w:val="21"/>
                <w:szCs w:val="21"/>
              </w:rPr>
              <w:t>1-3分</w:t>
            </w:r>
          </w:p>
        </w:tc>
        <w:tc>
          <w:tcPr>
            <w:tcW w:w="5344" w:type="dxa"/>
            <w:vAlign w:val="center"/>
          </w:tcPr>
          <w:p>
            <w:pPr>
              <w:spacing w:line="300" w:lineRule="exact"/>
              <w:rPr>
                <w:rFonts w:hAnsi="Calibri" w:eastAsia="宋体"/>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241" w:type="dxa"/>
            <w:vAlign w:val="center"/>
          </w:tcPr>
          <w:p>
            <w:pPr>
              <w:jc w:val="center"/>
              <w:rPr>
                <w:rFonts w:hAnsi="Calibri" w:eastAsia="宋体"/>
                <w:sz w:val="21"/>
                <w:szCs w:val="21"/>
              </w:rPr>
            </w:pPr>
            <w:r>
              <w:rPr>
                <w:rFonts w:hint="eastAsia"/>
                <w:sz w:val="21"/>
                <w:szCs w:val="21"/>
              </w:rPr>
              <w:t>2＜得分≤</w:t>
            </w:r>
            <w:r>
              <w:rPr>
                <w:rFonts w:hint="eastAsia"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spacing w:line="300" w:lineRule="exact"/>
              <w:rPr>
                <w:rFonts w:hAnsi="Calibri" w:eastAsia="宋体"/>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241" w:type="dxa"/>
            <w:vAlign w:val="center"/>
          </w:tcPr>
          <w:p>
            <w:pPr>
              <w:jc w:val="center"/>
              <w:rPr>
                <w:rFonts w:hAnsi="Calibri" w:eastAsia="宋体"/>
                <w:sz w:val="21"/>
                <w:szCs w:val="21"/>
              </w:rPr>
            </w:pPr>
            <w:r>
              <w:rPr>
                <w:rFonts w:hint="eastAsia"/>
                <w:sz w:val="21"/>
                <w:szCs w:val="21"/>
              </w:rPr>
              <w:t>1</w:t>
            </w:r>
            <w:r>
              <w:rPr>
                <w:rFonts w:hint="eastAsia" w:ascii="Calibri"/>
                <w:sz w:val="21"/>
                <w:szCs w:val="21"/>
              </w:rPr>
              <w:t>≤</w:t>
            </w:r>
            <w:r>
              <w:rPr>
                <w:rFonts w:hint="eastAsia"/>
                <w:sz w:val="21"/>
                <w:szCs w:val="21"/>
              </w:rPr>
              <w:t>得分≤</w:t>
            </w: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2" w:type="dxa"/>
            <w:vMerge w:val="restart"/>
            <w:vAlign w:val="center"/>
          </w:tcPr>
          <w:p>
            <w:pPr>
              <w:jc w:val="center"/>
              <w:rPr>
                <w:rFonts w:hAnsi="Calibri" w:eastAsia="宋体"/>
                <w:sz w:val="21"/>
                <w:szCs w:val="21"/>
              </w:rPr>
            </w:pPr>
            <w:r>
              <w:rPr>
                <w:rFonts w:hint="eastAsia"/>
                <w:sz w:val="21"/>
                <w:szCs w:val="21"/>
              </w:rPr>
              <w:t>6</w:t>
            </w:r>
          </w:p>
        </w:tc>
        <w:tc>
          <w:tcPr>
            <w:tcW w:w="1123" w:type="dxa"/>
            <w:vMerge w:val="restart"/>
            <w:vAlign w:val="center"/>
          </w:tcPr>
          <w:p>
            <w:pPr>
              <w:jc w:val="left"/>
              <w:rPr>
                <w:rFonts w:hAnsi="Calibri" w:eastAsia="宋体"/>
                <w:sz w:val="21"/>
                <w:szCs w:val="21"/>
              </w:rPr>
            </w:pPr>
            <w:r>
              <w:rPr>
                <w:rFonts w:hint="eastAsia"/>
                <w:sz w:val="21"/>
                <w:szCs w:val="21"/>
              </w:rPr>
              <w:t>工期保证措施</w:t>
            </w:r>
          </w:p>
        </w:tc>
        <w:tc>
          <w:tcPr>
            <w:tcW w:w="980" w:type="dxa"/>
            <w:vMerge w:val="restart"/>
            <w:vAlign w:val="center"/>
          </w:tcPr>
          <w:p>
            <w:pPr>
              <w:jc w:val="center"/>
              <w:rPr>
                <w:rFonts w:hAnsi="Calibri" w:eastAsia="宋体"/>
                <w:sz w:val="21"/>
                <w:szCs w:val="21"/>
              </w:rPr>
            </w:pPr>
            <w:r>
              <w:rPr>
                <w:rFonts w:hint="eastAsia"/>
                <w:sz w:val="21"/>
                <w:szCs w:val="21"/>
              </w:rPr>
              <w:t>1-2分</w:t>
            </w:r>
          </w:p>
        </w:tc>
        <w:tc>
          <w:tcPr>
            <w:tcW w:w="5344" w:type="dxa"/>
            <w:vAlign w:val="center"/>
          </w:tcPr>
          <w:p>
            <w:pPr>
              <w:spacing w:line="300" w:lineRule="exact"/>
              <w:rPr>
                <w:rFonts w:hAnsi="Calibri" w:eastAsia="宋体"/>
                <w:sz w:val="21"/>
                <w:szCs w:val="21"/>
              </w:rPr>
            </w:pPr>
            <w:r>
              <w:rPr>
                <w:rFonts w:hint="eastAsia"/>
                <w:sz w:val="21"/>
                <w:szCs w:val="21"/>
              </w:rPr>
              <w:t>工期承诺满足招标文件要求，工期保证措施合理且有针对性，有具体的违约责任承诺。</w:t>
            </w:r>
          </w:p>
        </w:tc>
        <w:tc>
          <w:tcPr>
            <w:tcW w:w="1241" w:type="dxa"/>
            <w:vAlign w:val="center"/>
          </w:tcPr>
          <w:p>
            <w:pPr>
              <w:jc w:val="center"/>
              <w:rPr>
                <w:rFonts w:hAnsi="Calibri" w:eastAsia="宋体"/>
                <w:sz w:val="21"/>
                <w:szCs w:val="21"/>
              </w:rPr>
            </w:pPr>
            <w:r>
              <w:rPr>
                <w:rFonts w:hint="eastAsia"/>
                <w:sz w:val="21"/>
                <w:szCs w:val="21"/>
              </w:rPr>
              <w:t>1.5＜得分≤</w:t>
            </w: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spacing w:line="300" w:lineRule="exact"/>
              <w:rPr>
                <w:rFonts w:hAnsi="Calibri" w:eastAsia="宋体"/>
                <w:sz w:val="21"/>
                <w:szCs w:val="21"/>
              </w:rPr>
            </w:pPr>
            <w:r>
              <w:rPr>
                <w:rFonts w:hint="eastAsia"/>
                <w:sz w:val="21"/>
                <w:szCs w:val="21"/>
              </w:rPr>
              <w:t>工期承诺满足招标文件要求，工期保证措施基本合理，有具体的违约责任承诺。</w:t>
            </w:r>
          </w:p>
        </w:tc>
        <w:tc>
          <w:tcPr>
            <w:tcW w:w="1241" w:type="dxa"/>
            <w:vAlign w:val="center"/>
          </w:tcPr>
          <w:p>
            <w:pPr>
              <w:jc w:val="center"/>
              <w:rPr>
                <w:rFonts w:hAnsi="Calibri" w:eastAsia="宋体"/>
                <w:sz w:val="21"/>
                <w:szCs w:val="21"/>
              </w:rPr>
            </w:pPr>
            <w:r>
              <w:rPr>
                <w:rFonts w:hint="eastAsia"/>
                <w:sz w:val="21"/>
                <w:szCs w:val="21"/>
              </w:rPr>
              <w:t>1</w:t>
            </w:r>
            <w:r>
              <w:rPr>
                <w:rFonts w:hint="eastAsia" w:ascii="Calibri"/>
                <w:sz w:val="21"/>
                <w:szCs w:val="21"/>
              </w:rPr>
              <w:t>≤</w:t>
            </w:r>
            <w:r>
              <w:rPr>
                <w:rFonts w:hint="eastAsia"/>
                <w:sz w:val="21"/>
                <w:szCs w:val="21"/>
              </w:rPr>
              <w:t>得分≤</w:t>
            </w:r>
            <w:r>
              <w:rPr>
                <w:rFonts w:hint="eastAsia" w:hAnsi="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552" w:type="dxa"/>
            <w:vMerge w:val="restart"/>
            <w:vAlign w:val="center"/>
          </w:tcPr>
          <w:p>
            <w:pPr>
              <w:jc w:val="center"/>
              <w:rPr>
                <w:rFonts w:hAnsi="Calibri" w:eastAsia="宋体"/>
                <w:sz w:val="21"/>
                <w:szCs w:val="21"/>
              </w:rPr>
            </w:pPr>
            <w:r>
              <w:rPr>
                <w:rFonts w:hint="eastAsia"/>
                <w:sz w:val="21"/>
                <w:szCs w:val="21"/>
              </w:rPr>
              <w:t>7</w:t>
            </w:r>
          </w:p>
        </w:tc>
        <w:tc>
          <w:tcPr>
            <w:tcW w:w="1123" w:type="dxa"/>
            <w:vMerge w:val="restart"/>
            <w:vAlign w:val="center"/>
          </w:tcPr>
          <w:p>
            <w:pPr>
              <w:jc w:val="center"/>
              <w:rPr>
                <w:rFonts w:hAnsi="Calibri" w:eastAsia="宋体"/>
                <w:sz w:val="21"/>
                <w:szCs w:val="21"/>
              </w:rPr>
            </w:pPr>
            <w:r>
              <w:rPr>
                <w:rFonts w:hint="eastAsia"/>
                <w:sz w:val="21"/>
                <w:szCs w:val="21"/>
              </w:rPr>
              <w:t>拟投入资源配备计划</w:t>
            </w:r>
          </w:p>
        </w:tc>
        <w:tc>
          <w:tcPr>
            <w:tcW w:w="980" w:type="dxa"/>
            <w:vMerge w:val="restart"/>
            <w:vAlign w:val="center"/>
          </w:tcPr>
          <w:p>
            <w:pPr>
              <w:jc w:val="center"/>
              <w:rPr>
                <w:rFonts w:hAnsi="Calibri" w:eastAsia="宋体"/>
                <w:sz w:val="21"/>
                <w:szCs w:val="21"/>
              </w:rPr>
            </w:pPr>
            <w:r>
              <w:rPr>
                <w:rFonts w:hint="eastAsia"/>
                <w:sz w:val="21"/>
                <w:szCs w:val="21"/>
              </w:rPr>
              <w:t>0.5-2分</w:t>
            </w:r>
          </w:p>
        </w:tc>
        <w:tc>
          <w:tcPr>
            <w:tcW w:w="5344" w:type="dxa"/>
            <w:vAlign w:val="center"/>
          </w:tcPr>
          <w:p>
            <w:pPr>
              <w:spacing w:line="300" w:lineRule="exact"/>
              <w:rPr>
                <w:rFonts w:hAnsi="Calibri"/>
                <w:sz w:val="21"/>
                <w:szCs w:val="21"/>
              </w:rPr>
            </w:pPr>
            <w:r>
              <w:rPr>
                <w:rFonts w:hint="eastAsia"/>
                <w:sz w:val="21"/>
                <w:szCs w:val="21"/>
              </w:rPr>
              <w:t>1.机械：投入计划与进度计划呼应，采用先进机械设备且配置合理、先进，满足安全技术规范和施工进度需要；PC构件运输、安装设备满足施工要求；</w:t>
            </w:r>
          </w:p>
          <w:p>
            <w:pPr>
              <w:spacing w:line="300" w:lineRule="exact"/>
              <w:rPr>
                <w:rFonts w:hint="eastAsia"/>
                <w:sz w:val="21"/>
                <w:szCs w:val="21"/>
              </w:rPr>
            </w:pPr>
            <w:r>
              <w:rPr>
                <w:rFonts w:hint="eastAsia"/>
                <w:sz w:val="21"/>
                <w:szCs w:val="21"/>
              </w:rPr>
              <w:t>2.劳动力：投入计划与进度计划呼应，较好满足施工需要，调配投入计划合理、准确；</w:t>
            </w:r>
          </w:p>
          <w:p>
            <w:pPr>
              <w:spacing w:line="300" w:lineRule="exact"/>
              <w:rPr>
                <w:rFonts w:hAnsi="Calibri" w:eastAsia="宋体"/>
                <w:sz w:val="21"/>
                <w:szCs w:val="21"/>
              </w:rPr>
            </w:pPr>
            <w:r>
              <w:rPr>
                <w:rFonts w:hint="eastAsia"/>
                <w:sz w:val="21"/>
                <w:szCs w:val="21"/>
              </w:rPr>
              <w:t>3.主要物资计划：主要物资（含PC构件的供应需求）投入计划与进度计划呼应，较好满足施工需要，调配投入计划合理、准确。</w:t>
            </w:r>
          </w:p>
        </w:tc>
        <w:tc>
          <w:tcPr>
            <w:tcW w:w="1241" w:type="dxa"/>
            <w:vAlign w:val="center"/>
          </w:tcPr>
          <w:p>
            <w:pPr>
              <w:jc w:val="center"/>
              <w:rPr>
                <w:rFonts w:hAnsi="Calibri" w:eastAsia="宋体"/>
                <w:sz w:val="21"/>
                <w:szCs w:val="21"/>
              </w:rPr>
            </w:pPr>
            <w:r>
              <w:rPr>
                <w:rFonts w:hint="eastAsia"/>
                <w:sz w:val="21"/>
                <w:szCs w:val="21"/>
              </w:rPr>
              <w:t>1＜得分≤</w:t>
            </w: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spacing w:line="300" w:lineRule="exact"/>
              <w:rPr>
                <w:rFonts w:hAnsi="Calibri"/>
                <w:sz w:val="21"/>
                <w:szCs w:val="21"/>
              </w:rPr>
            </w:pPr>
            <w:r>
              <w:rPr>
                <w:rFonts w:hint="eastAsia"/>
                <w:sz w:val="21"/>
                <w:szCs w:val="21"/>
              </w:rPr>
              <w:t>1.机械：投入计划与进度计划呼应，机械设备配置基本合理，满足安全技术规范和施工进度需要；</w:t>
            </w:r>
          </w:p>
          <w:p>
            <w:pPr>
              <w:spacing w:line="300" w:lineRule="exact"/>
              <w:rPr>
                <w:rFonts w:hint="eastAsia"/>
                <w:sz w:val="21"/>
                <w:szCs w:val="21"/>
              </w:rPr>
            </w:pPr>
            <w:r>
              <w:rPr>
                <w:rFonts w:hint="eastAsia"/>
                <w:sz w:val="21"/>
                <w:szCs w:val="21"/>
              </w:rPr>
              <w:t>2.劳动力：投入计划与进度计划呼应，基本满足施工需要，调配投入计划基本合理；</w:t>
            </w:r>
          </w:p>
          <w:p>
            <w:pPr>
              <w:spacing w:line="300" w:lineRule="exact"/>
              <w:rPr>
                <w:rFonts w:hAnsi="Calibri" w:eastAsia="宋体"/>
                <w:spacing w:val="-4"/>
                <w:sz w:val="21"/>
                <w:szCs w:val="21"/>
              </w:rPr>
            </w:pPr>
            <w:r>
              <w:rPr>
                <w:rFonts w:hint="eastAsia"/>
                <w:spacing w:val="-4"/>
                <w:sz w:val="21"/>
                <w:szCs w:val="21"/>
              </w:rPr>
              <w:t>3.主要物资计划：主要物资（含PC构件的供应需求）投入计划与进度计划呼应，基本满足施工需要，调配投入计划基本合理。</w:t>
            </w:r>
          </w:p>
        </w:tc>
        <w:tc>
          <w:tcPr>
            <w:tcW w:w="1241" w:type="dxa"/>
            <w:vAlign w:val="center"/>
          </w:tcPr>
          <w:p>
            <w:pPr>
              <w:jc w:val="center"/>
              <w:rPr>
                <w:rFonts w:hAnsi="Calibri" w:eastAsia="宋体"/>
                <w:sz w:val="21"/>
                <w:szCs w:val="21"/>
              </w:rPr>
            </w:pPr>
            <w:r>
              <w:rPr>
                <w:rFonts w:hint="eastAsia"/>
                <w:sz w:val="21"/>
                <w:szCs w:val="21"/>
              </w:rPr>
              <w:t>0.5</w:t>
            </w:r>
            <w:r>
              <w:rPr>
                <w:rFonts w:hint="eastAsia" w:ascii="Calibri"/>
                <w:sz w:val="21"/>
                <w:szCs w:val="21"/>
              </w:rPr>
              <w:t>≤</w:t>
            </w:r>
            <w:r>
              <w:rPr>
                <w:rFonts w:hint="eastAsia"/>
                <w:sz w:val="21"/>
                <w:szCs w:val="21"/>
              </w:rPr>
              <w:t>得分≤</w:t>
            </w:r>
            <w:r>
              <w:rPr>
                <w:rFonts w:hint="eastAsia" w:hAnsi="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2" w:type="dxa"/>
            <w:vMerge w:val="restart"/>
            <w:vAlign w:val="center"/>
          </w:tcPr>
          <w:p>
            <w:pPr>
              <w:jc w:val="center"/>
              <w:rPr>
                <w:rFonts w:hAnsi="Calibri" w:eastAsia="宋体"/>
                <w:sz w:val="21"/>
                <w:szCs w:val="21"/>
              </w:rPr>
            </w:pPr>
            <w:r>
              <w:rPr>
                <w:rFonts w:hint="eastAsia"/>
                <w:sz w:val="21"/>
                <w:szCs w:val="21"/>
              </w:rPr>
              <w:t>8</w:t>
            </w:r>
          </w:p>
        </w:tc>
        <w:tc>
          <w:tcPr>
            <w:tcW w:w="1123" w:type="dxa"/>
            <w:vMerge w:val="restart"/>
            <w:vAlign w:val="center"/>
          </w:tcPr>
          <w:p>
            <w:pPr>
              <w:jc w:val="left"/>
              <w:rPr>
                <w:rFonts w:hAnsi="Calibri" w:eastAsia="宋体"/>
                <w:sz w:val="21"/>
                <w:szCs w:val="21"/>
              </w:rPr>
            </w:pPr>
            <w:r>
              <w:rPr>
                <w:rFonts w:hint="eastAsia"/>
                <w:sz w:val="21"/>
                <w:szCs w:val="21"/>
              </w:rPr>
              <w:t>施工进度表与网络计划图</w:t>
            </w:r>
          </w:p>
        </w:tc>
        <w:tc>
          <w:tcPr>
            <w:tcW w:w="980" w:type="dxa"/>
            <w:vMerge w:val="restart"/>
            <w:vAlign w:val="center"/>
          </w:tcPr>
          <w:p>
            <w:pPr>
              <w:jc w:val="center"/>
              <w:rPr>
                <w:rFonts w:hAnsi="Calibri" w:eastAsia="宋体"/>
                <w:sz w:val="21"/>
                <w:szCs w:val="21"/>
              </w:rPr>
            </w:pPr>
            <w:r>
              <w:rPr>
                <w:rFonts w:hint="eastAsia"/>
                <w:sz w:val="21"/>
                <w:szCs w:val="21"/>
              </w:rPr>
              <w:t>0.5-2分</w:t>
            </w:r>
          </w:p>
        </w:tc>
        <w:tc>
          <w:tcPr>
            <w:tcW w:w="5344" w:type="dxa"/>
            <w:vAlign w:val="center"/>
          </w:tcPr>
          <w:p>
            <w:pPr>
              <w:spacing w:line="300" w:lineRule="exact"/>
              <w:rPr>
                <w:rFonts w:hAnsi="Calibri" w:eastAsia="宋体"/>
                <w:sz w:val="21"/>
                <w:szCs w:val="21"/>
              </w:rPr>
            </w:pPr>
            <w:r>
              <w:rPr>
                <w:rFonts w:hint="eastAsia"/>
                <w:sz w:val="21"/>
                <w:szCs w:val="21"/>
              </w:rPr>
              <w:t>关键线路清晰、准确、完整、计划编制合理、可行、满足招标文件对工期的要求。</w:t>
            </w:r>
          </w:p>
        </w:tc>
        <w:tc>
          <w:tcPr>
            <w:tcW w:w="1241" w:type="dxa"/>
            <w:vAlign w:val="center"/>
          </w:tcPr>
          <w:p>
            <w:pPr>
              <w:jc w:val="center"/>
              <w:rPr>
                <w:rFonts w:hAnsi="Calibri" w:eastAsia="宋体"/>
                <w:sz w:val="21"/>
                <w:szCs w:val="21"/>
              </w:rPr>
            </w:pPr>
            <w:r>
              <w:rPr>
                <w:rFonts w:hint="eastAsia"/>
                <w:sz w:val="21"/>
                <w:szCs w:val="21"/>
              </w:rPr>
              <w:t>1＜得分≤</w:t>
            </w: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spacing w:line="300" w:lineRule="exact"/>
              <w:rPr>
                <w:rFonts w:hAnsi="Calibri" w:eastAsia="宋体"/>
                <w:sz w:val="21"/>
                <w:szCs w:val="21"/>
              </w:rPr>
            </w:pPr>
            <w:r>
              <w:rPr>
                <w:rFonts w:hint="eastAsia"/>
                <w:sz w:val="21"/>
                <w:szCs w:val="21"/>
              </w:rPr>
              <w:t>关键线路基本准确，计划编制基本可行。</w:t>
            </w:r>
          </w:p>
        </w:tc>
        <w:tc>
          <w:tcPr>
            <w:tcW w:w="1241" w:type="dxa"/>
            <w:vAlign w:val="center"/>
          </w:tcPr>
          <w:p>
            <w:pPr>
              <w:jc w:val="center"/>
              <w:rPr>
                <w:rFonts w:hAnsi="Calibri" w:eastAsia="宋体"/>
                <w:sz w:val="21"/>
                <w:szCs w:val="21"/>
              </w:rPr>
            </w:pPr>
            <w:r>
              <w:rPr>
                <w:rFonts w:hint="eastAsia"/>
                <w:sz w:val="21"/>
                <w:szCs w:val="21"/>
              </w:rPr>
              <w:t>0.5</w:t>
            </w:r>
            <w:r>
              <w:rPr>
                <w:rFonts w:hint="eastAsia" w:ascii="Calibri"/>
                <w:sz w:val="21"/>
                <w:szCs w:val="21"/>
              </w:rPr>
              <w:t>≤</w:t>
            </w:r>
            <w:r>
              <w:rPr>
                <w:rFonts w:hint="eastAsia"/>
                <w:sz w:val="21"/>
                <w:szCs w:val="21"/>
              </w:rPr>
              <w:t>得分≤</w:t>
            </w:r>
            <w:r>
              <w:rPr>
                <w:rFonts w:hint="eastAsia" w:hAnsi="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2" w:type="dxa"/>
            <w:vMerge w:val="restart"/>
            <w:vAlign w:val="center"/>
          </w:tcPr>
          <w:p>
            <w:pPr>
              <w:jc w:val="center"/>
              <w:rPr>
                <w:rFonts w:hAnsi="Calibri" w:eastAsia="宋体"/>
                <w:sz w:val="21"/>
                <w:szCs w:val="21"/>
              </w:rPr>
            </w:pPr>
            <w:r>
              <w:rPr>
                <w:rFonts w:hint="eastAsia"/>
                <w:sz w:val="21"/>
                <w:szCs w:val="21"/>
              </w:rPr>
              <w:t>9</w:t>
            </w:r>
          </w:p>
        </w:tc>
        <w:tc>
          <w:tcPr>
            <w:tcW w:w="1123" w:type="dxa"/>
            <w:vMerge w:val="restart"/>
            <w:vAlign w:val="center"/>
          </w:tcPr>
          <w:p>
            <w:pPr>
              <w:jc w:val="left"/>
              <w:rPr>
                <w:rFonts w:hAnsi="Calibri" w:eastAsia="宋体"/>
                <w:sz w:val="21"/>
                <w:szCs w:val="21"/>
              </w:rPr>
            </w:pPr>
            <w:r>
              <w:rPr>
                <w:rFonts w:hint="eastAsia"/>
                <w:sz w:val="21"/>
                <w:szCs w:val="21"/>
              </w:rPr>
              <w:t>施工总平面图布置</w:t>
            </w:r>
          </w:p>
        </w:tc>
        <w:tc>
          <w:tcPr>
            <w:tcW w:w="980" w:type="dxa"/>
            <w:vMerge w:val="restart"/>
            <w:vAlign w:val="center"/>
          </w:tcPr>
          <w:p>
            <w:pPr>
              <w:jc w:val="center"/>
              <w:rPr>
                <w:rFonts w:hAnsi="Calibri" w:eastAsia="宋体"/>
                <w:sz w:val="21"/>
                <w:szCs w:val="21"/>
              </w:rPr>
            </w:pPr>
            <w:r>
              <w:rPr>
                <w:rFonts w:hint="eastAsia"/>
                <w:sz w:val="21"/>
                <w:szCs w:val="21"/>
              </w:rPr>
              <w:t>0.5-1分</w:t>
            </w:r>
          </w:p>
        </w:tc>
        <w:tc>
          <w:tcPr>
            <w:tcW w:w="5344" w:type="dxa"/>
            <w:vAlign w:val="center"/>
          </w:tcPr>
          <w:p>
            <w:pPr>
              <w:spacing w:line="300" w:lineRule="exact"/>
              <w:rPr>
                <w:rFonts w:hAnsi="Calibri" w:eastAsia="宋体"/>
                <w:sz w:val="21"/>
                <w:szCs w:val="21"/>
              </w:rPr>
            </w:pPr>
            <w:r>
              <w:rPr>
                <w:rFonts w:hint="eastAsia"/>
                <w:sz w:val="21"/>
                <w:szCs w:val="21"/>
              </w:rPr>
              <w:t>总体布置有针对性、合理、能较好满足施工需要，符合安全、文明施工要求；材料堆放有序。</w:t>
            </w:r>
          </w:p>
        </w:tc>
        <w:tc>
          <w:tcPr>
            <w:tcW w:w="1241" w:type="dxa"/>
            <w:vAlign w:val="center"/>
          </w:tcPr>
          <w:p>
            <w:pPr>
              <w:jc w:val="center"/>
              <w:rPr>
                <w:rFonts w:hAnsi="Calibri" w:eastAsia="宋体"/>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spacing w:line="300" w:lineRule="exact"/>
              <w:rPr>
                <w:rFonts w:hAnsi="Calibri" w:eastAsia="宋体"/>
                <w:sz w:val="21"/>
                <w:szCs w:val="21"/>
              </w:rPr>
            </w:pPr>
            <w:r>
              <w:rPr>
                <w:rFonts w:hint="eastAsia"/>
                <w:sz w:val="21"/>
                <w:szCs w:val="21"/>
              </w:rPr>
              <w:t>总体布置基本合理、基本满足施工需要。</w:t>
            </w:r>
          </w:p>
        </w:tc>
        <w:tc>
          <w:tcPr>
            <w:tcW w:w="1241" w:type="dxa"/>
            <w:vAlign w:val="center"/>
          </w:tcPr>
          <w:p>
            <w:pPr>
              <w:jc w:val="center"/>
              <w:rPr>
                <w:rFonts w:hAnsi="Calibri" w:eastAsia="宋体"/>
                <w:sz w:val="21"/>
                <w:szCs w:val="21"/>
              </w:rPr>
            </w:pPr>
            <w:r>
              <w:rPr>
                <w:rFonts w:hint="eastAsia"/>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552" w:type="dxa"/>
            <w:vMerge w:val="restart"/>
            <w:vAlign w:val="center"/>
          </w:tcPr>
          <w:p>
            <w:pPr>
              <w:jc w:val="center"/>
              <w:rPr>
                <w:rFonts w:hAnsi="Calibri" w:eastAsia="宋体"/>
                <w:sz w:val="21"/>
                <w:szCs w:val="21"/>
              </w:rPr>
            </w:pPr>
            <w:r>
              <w:rPr>
                <w:rFonts w:hint="eastAsia"/>
                <w:sz w:val="21"/>
                <w:szCs w:val="21"/>
              </w:rPr>
              <w:t>10</w:t>
            </w:r>
          </w:p>
        </w:tc>
        <w:tc>
          <w:tcPr>
            <w:tcW w:w="1123" w:type="dxa"/>
            <w:vMerge w:val="restart"/>
            <w:vAlign w:val="center"/>
          </w:tcPr>
          <w:p>
            <w:pPr>
              <w:jc w:val="left"/>
              <w:rPr>
                <w:rFonts w:hAnsi="Calibri" w:eastAsia="宋体"/>
                <w:sz w:val="21"/>
                <w:szCs w:val="21"/>
              </w:rPr>
            </w:pPr>
            <w:r>
              <w:rPr>
                <w:rFonts w:hint="eastAsia"/>
                <w:sz w:val="21"/>
                <w:szCs w:val="21"/>
              </w:rPr>
              <w:t>技术创新的应用实施措施</w:t>
            </w:r>
          </w:p>
        </w:tc>
        <w:tc>
          <w:tcPr>
            <w:tcW w:w="980" w:type="dxa"/>
            <w:vMerge w:val="restart"/>
            <w:vAlign w:val="center"/>
          </w:tcPr>
          <w:p>
            <w:pPr>
              <w:jc w:val="center"/>
              <w:rPr>
                <w:rFonts w:hAnsi="Calibri" w:eastAsia="宋体"/>
                <w:sz w:val="21"/>
                <w:szCs w:val="21"/>
              </w:rPr>
            </w:pPr>
            <w:r>
              <w:rPr>
                <w:rFonts w:hint="eastAsia"/>
                <w:sz w:val="21"/>
                <w:szCs w:val="21"/>
              </w:rPr>
              <w:t>1-2分</w:t>
            </w:r>
          </w:p>
        </w:tc>
        <w:tc>
          <w:tcPr>
            <w:tcW w:w="5344" w:type="dxa"/>
            <w:vAlign w:val="center"/>
          </w:tcPr>
          <w:p>
            <w:pPr>
              <w:spacing w:line="300" w:lineRule="exact"/>
              <w:rPr>
                <w:rFonts w:hAnsi="Calibri" w:eastAsia="宋体"/>
                <w:sz w:val="21"/>
                <w:szCs w:val="21"/>
              </w:rPr>
            </w:pPr>
            <w:r>
              <w:rPr>
                <w:rFonts w:hint="eastAsia"/>
                <w:sz w:val="21"/>
                <w:szCs w:val="21"/>
              </w:rPr>
              <w:t>（1）节能减排、（2）绿色施工、（3）工艺创新、（4）装配式建筑等技术创新的应用实施措施符合工程情况，具有针对性、可行性、经济适用性。</w:t>
            </w:r>
          </w:p>
        </w:tc>
        <w:tc>
          <w:tcPr>
            <w:tcW w:w="1241" w:type="dxa"/>
            <w:vAlign w:val="center"/>
          </w:tcPr>
          <w:p>
            <w:pPr>
              <w:jc w:val="center"/>
              <w:rPr>
                <w:rFonts w:hAnsi="Calibri" w:eastAsia="宋体"/>
                <w:sz w:val="21"/>
                <w:szCs w:val="21"/>
              </w:rPr>
            </w:pPr>
            <w:r>
              <w:rPr>
                <w:rFonts w:hint="eastAsia"/>
                <w:sz w:val="21"/>
                <w:szCs w:val="21"/>
              </w:rPr>
              <w:t>1.5＜得分≤</w:t>
            </w: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spacing w:line="300" w:lineRule="exact"/>
              <w:rPr>
                <w:rFonts w:hAnsi="Calibri" w:eastAsia="宋体"/>
                <w:sz w:val="21"/>
                <w:szCs w:val="21"/>
              </w:rPr>
            </w:pPr>
            <w:r>
              <w:rPr>
                <w:rFonts w:hint="eastAsia"/>
                <w:spacing w:val="-8"/>
                <w:sz w:val="21"/>
                <w:szCs w:val="21"/>
              </w:rPr>
              <w:t>（1）节能减排、（2）绿色施工、（3）工艺创新、（4）装配式建筑等技术创新的应用实施措施基本符合工程情况，具有针</w:t>
            </w:r>
            <w:r>
              <w:rPr>
                <w:rFonts w:hint="eastAsia"/>
                <w:sz w:val="21"/>
                <w:szCs w:val="21"/>
              </w:rPr>
              <w:t>对性。</w:t>
            </w:r>
          </w:p>
        </w:tc>
        <w:tc>
          <w:tcPr>
            <w:tcW w:w="1241" w:type="dxa"/>
            <w:vAlign w:val="center"/>
          </w:tcPr>
          <w:p>
            <w:pPr>
              <w:jc w:val="center"/>
              <w:rPr>
                <w:rFonts w:hAnsi="Calibri" w:eastAsia="宋体"/>
                <w:sz w:val="21"/>
                <w:szCs w:val="21"/>
              </w:rPr>
            </w:pPr>
            <w:r>
              <w:rPr>
                <w:rFonts w:hint="eastAsia"/>
                <w:sz w:val="21"/>
                <w:szCs w:val="21"/>
              </w:rPr>
              <w:t>1</w:t>
            </w:r>
            <w:r>
              <w:rPr>
                <w:rFonts w:hint="eastAsia" w:ascii="Calibri"/>
                <w:sz w:val="21"/>
                <w:szCs w:val="21"/>
              </w:rPr>
              <w:t>≤</w:t>
            </w:r>
            <w:r>
              <w:rPr>
                <w:rFonts w:hint="eastAsia"/>
                <w:sz w:val="21"/>
                <w:szCs w:val="21"/>
              </w:rPr>
              <w:t>得分≤</w:t>
            </w:r>
            <w:r>
              <w:rPr>
                <w:rFonts w:hint="eastAsia" w:hAnsi="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2" w:type="dxa"/>
            <w:vMerge w:val="restart"/>
            <w:vAlign w:val="center"/>
          </w:tcPr>
          <w:p>
            <w:pPr>
              <w:jc w:val="center"/>
              <w:rPr>
                <w:rFonts w:hAnsi="Calibri" w:eastAsia="宋体"/>
                <w:sz w:val="21"/>
                <w:szCs w:val="21"/>
              </w:rPr>
            </w:pPr>
            <w:r>
              <w:rPr>
                <w:rFonts w:hint="eastAsia"/>
                <w:sz w:val="21"/>
                <w:szCs w:val="21"/>
              </w:rPr>
              <w:t>11</w:t>
            </w:r>
          </w:p>
        </w:tc>
        <w:tc>
          <w:tcPr>
            <w:tcW w:w="1123" w:type="dxa"/>
            <w:vMerge w:val="restart"/>
            <w:vAlign w:val="center"/>
          </w:tcPr>
          <w:p>
            <w:pPr>
              <w:jc w:val="center"/>
              <w:rPr>
                <w:rFonts w:hAnsi="Calibri" w:eastAsia="宋体"/>
                <w:sz w:val="21"/>
                <w:szCs w:val="21"/>
              </w:rPr>
            </w:pPr>
            <w:r>
              <w:rPr>
                <w:rFonts w:hint="eastAsia"/>
                <w:sz w:val="21"/>
                <w:szCs w:val="21"/>
              </w:rPr>
              <w:t>采用新工艺、新技术、新设备、新材料、BIM等的程度</w:t>
            </w:r>
          </w:p>
        </w:tc>
        <w:tc>
          <w:tcPr>
            <w:tcW w:w="980" w:type="dxa"/>
            <w:vMerge w:val="restart"/>
            <w:vAlign w:val="center"/>
          </w:tcPr>
          <w:p>
            <w:pPr>
              <w:jc w:val="center"/>
              <w:rPr>
                <w:rFonts w:hAnsi="Calibri" w:eastAsia="宋体"/>
                <w:sz w:val="21"/>
                <w:szCs w:val="21"/>
              </w:rPr>
            </w:pPr>
            <w:r>
              <w:rPr>
                <w:rFonts w:hint="eastAsia"/>
                <w:sz w:val="21"/>
                <w:szCs w:val="21"/>
              </w:rPr>
              <w:t>1-2分</w:t>
            </w:r>
          </w:p>
        </w:tc>
        <w:tc>
          <w:tcPr>
            <w:tcW w:w="5344" w:type="dxa"/>
            <w:vAlign w:val="center"/>
          </w:tcPr>
          <w:p>
            <w:pPr>
              <w:rPr>
                <w:rFonts w:hAnsi="Calibri" w:eastAsia="宋体"/>
                <w:sz w:val="21"/>
                <w:szCs w:val="21"/>
              </w:rPr>
            </w:pPr>
            <w:r>
              <w:rPr>
                <w:rFonts w:hint="eastAsia"/>
                <w:sz w:val="21"/>
                <w:szCs w:val="21"/>
              </w:rPr>
              <w:t>采用新工艺、新技术、新设备、新材料、BIM等的程度满足设计要求，符合施工需要和相应技术标准等规定，经济适用。</w:t>
            </w:r>
          </w:p>
        </w:tc>
        <w:tc>
          <w:tcPr>
            <w:tcW w:w="1241" w:type="dxa"/>
            <w:vAlign w:val="center"/>
          </w:tcPr>
          <w:p>
            <w:pPr>
              <w:jc w:val="center"/>
              <w:rPr>
                <w:rFonts w:hAnsi="Calibri" w:eastAsia="宋体"/>
                <w:sz w:val="21"/>
                <w:szCs w:val="21"/>
              </w:rPr>
            </w:pPr>
            <w:r>
              <w:rPr>
                <w:rFonts w:hint="eastAsia"/>
                <w:sz w:val="21"/>
                <w:szCs w:val="21"/>
              </w:rPr>
              <w:t>1.5</w:t>
            </w:r>
            <w:r>
              <w:rPr>
                <w:rFonts w:hint="eastAsia" w:ascii="Calibri"/>
                <w:sz w:val="21"/>
                <w:szCs w:val="21"/>
              </w:rPr>
              <w:t>≤</w:t>
            </w:r>
            <w:r>
              <w:rPr>
                <w:rFonts w:hint="eastAsia"/>
                <w:sz w:val="21"/>
                <w:szCs w:val="21"/>
              </w:rPr>
              <w:t>得分≤</w:t>
            </w: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rPr>
                <w:rFonts w:hAnsi="Calibri" w:eastAsia="宋体"/>
                <w:sz w:val="21"/>
                <w:szCs w:val="21"/>
              </w:rPr>
            </w:pPr>
            <w:r>
              <w:rPr>
                <w:rFonts w:hint="eastAsia"/>
                <w:sz w:val="21"/>
                <w:szCs w:val="21"/>
              </w:rPr>
              <w:t>采用新工艺、新技术、新设备、新材料、BIM等的程度满足设计要求</w:t>
            </w:r>
            <w:r>
              <w:rPr>
                <w:rFonts w:hint="eastAsia"/>
                <w:sz w:val="21"/>
                <w:szCs w:val="21"/>
                <w:lang w:val="en-US" w:eastAsia="zh-CN"/>
              </w:rPr>
              <w:t>,</w:t>
            </w:r>
            <w:r>
              <w:rPr>
                <w:rFonts w:hint="eastAsia"/>
                <w:sz w:val="21"/>
                <w:szCs w:val="21"/>
              </w:rPr>
              <w:t>基本符合施工要求和相应技术标准等规定。</w:t>
            </w:r>
          </w:p>
        </w:tc>
        <w:tc>
          <w:tcPr>
            <w:tcW w:w="1241" w:type="dxa"/>
            <w:vAlign w:val="center"/>
          </w:tcPr>
          <w:p>
            <w:pPr>
              <w:jc w:val="center"/>
              <w:rPr>
                <w:rFonts w:hAnsi="Calibri" w:eastAsia="宋体"/>
                <w:sz w:val="21"/>
                <w:szCs w:val="21"/>
              </w:rPr>
            </w:pPr>
            <w:r>
              <w:rPr>
                <w:rFonts w:hint="eastAsia"/>
                <w:sz w:val="21"/>
                <w:szCs w:val="21"/>
              </w:rPr>
              <w:t>1＜得分≤</w:t>
            </w:r>
            <w:r>
              <w:rPr>
                <w:rFonts w:hint="eastAsia" w:hAnsi="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2" w:type="dxa"/>
            <w:vMerge w:val="restart"/>
            <w:vAlign w:val="center"/>
          </w:tcPr>
          <w:p>
            <w:pPr>
              <w:jc w:val="center"/>
              <w:rPr>
                <w:rFonts w:hAnsi="Calibri" w:eastAsia="宋体"/>
                <w:sz w:val="21"/>
                <w:szCs w:val="21"/>
              </w:rPr>
            </w:pPr>
            <w:r>
              <w:rPr>
                <w:rFonts w:hint="eastAsia"/>
                <w:sz w:val="21"/>
                <w:szCs w:val="21"/>
              </w:rPr>
              <w:t>12</w:t>
            </w:r>
          </w:p>
        </w:tc>
        <w:tc>
          <w:tcPr>
            <w:tcW w:w="1123" w:type="dxa"/>
            <w:vMerge w:val="restart"/>
            <w:vAlign w:val="center"/>
          </w:tcPr>
          <w:p>
            <w:pPr>
              <w:jc w:val="center"/>
              <w:rPr>
                <w:rFonts w:hAnsi="Calibri" w:eastAsia="宋体"/>
                <w:sz w:val="21"/>
                <w:szCs w:val="21"/>
              </w:rPr>
            </w:pPr>
            <w:r>
              <w:rPr>
                <w:rFonts w:hint="eastAsia"/>
                <w:sz w:val="21"/>
                <w:szCs w:val="21"/>
              </w:rPr>
              <w:t>施工现场实施信息化监控和数据处理</w:t>
            </w:r>
          </w:p>
        </w:tc>
        <w:tc>
          <w:tcPr>
            <w:tcW w:w="980" w:type="dxa"/>
            <w:vMerge w:val="restart"/>
            <w:vAlign w:val="center"/>
          </w:tcPr>
          <w:p>
            <w:pPr>
              <w:jc w:val="center"/>
              <w:rPr>
                <w:rFonts w:hAnsi="Calibri" w:eastAsia="宋体"/>
                <w:sz w:val="21"/>
                <w:szCs w:val="21"/>
              </w:rPr>
            </w:pPr>
            <w:r>
              <w:rPr>
                <w:rFonts w:hint="eastAsia"/>
                <w:sz w:val="21"/>
                <w:szCs w:val="21"/>
              </w:rPr>
              <w:t>0.5-1.5分</w:t>
            </w:r>
          </w:p>
        </w:tc>
        <w:tc>
          <w:tcPr>
            <w:tcW w:w="5344" w:type="dxa"/>
            <w:vAlign w:val="center"/>
          </w:tcPr>
          <w:p>
            <w:pPr>
              <w:rPr>
                <w:rFonts w:hAnsi="Calibri" w:eastAsia="宋体"/>
                <w:sz w:val="21"/>
                <w:szCs w:val="21"/>
              </w:rPr>
            </w:pPr>
            <w:r>
              <w:rPr>
                <w:rFonts w:hint="eastAsia"/>
                <w:sz w:val="21"/>
                <w:szCs w:val="21"/>
              </w:rPr>
              <w:t>施工现场实施信息化监控和数据处理系统布置合理，满足需要。</w:t>
            </w:r>
          </w:p>
        </w:tc>
        <w:tc>
          <w:tcPr>
            <w:tcW w:w="1241" w:type="dxa"/>
            <w:vAlign w:val="center"/>
          </w:tcPr>
          <w:p>
            <w:pPr>
              <w:jc w:val="center"/>
              <w:rPr>
                <w:rFonts w:hAnsi="Calibri" w:eastAsia="宋体"/>
                <w:sz w:val="21"/>
                <w:szCs w:val="21"/>
              </w:rPr>
            </w:pPr>
            <w:r>
              <w:rPr>
                <w:rFonts w:hint="eastAsia"/>
                <w:sz w:val="21"/>
                <w:szCs w:val="21"/>
              </w:rPr>
              <w:t>1</w:t>
            </w:r>
            <w:r>
              <w:rPr>
                <w:rFonts w:hint="eastAsia" w:ascii="Calibri"/>
                <w:sz w:val="21"/>
                <w:szCs w:val="21"/>
              </w:rPr>
              <w:t>≤</w:t>
            </w:r>
            <w:r>
              <w:rPr>
                <w:rFonts w:hint="eastAsia"/>
                <w:sz w:val="21"/>
                <w:szCs w:val="21"/>
              </w:rPr>
              <w:t>得分≤</w:t>
            </w:r>
            <w:r>
              <w:rPr>
                <w:rFonts w:hint="eastAsia" w:hAnsi="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rPr>
                <w:rFonts w:hAnsi="Calibri" w:eastAsia="宋体"/>
                <w:sz w:val="21"/>
                <w:szCs w:val="21"/>
              </w:rPr>
            </w:pPr>
            <w:r>
              <w:rPr>
                <w:rFonts w:hint="eastAsia"/>
                <w:sz w:val="21"/>
                <w:szCs w:val="21"/>
              </w:rPr>
              <w:t>施工现场实施信息化监控和数据处理系统布置基本符合需要。</w:t>
            </w:r>
          </w:p>
        </w:tc>
        <w:tc>
          <w:tcPr>
            <w:tcW w:w="1241" w:type="dxa"/>
            <w:vAlign w:val="center"/>
          </w:tcPr>
          <w:p>
            <w:pPr>
              <w:jc w:val="center"/>
              <w:rPr>
                <w:rFonts w:hAnsi="Calibri" w:eastAsia="宋体"/>
                <w:sz w:val="21"/>
                <w:szCs w:val="21"/>
              </w:rPr>
            </w:pPr>
            <w:r>
              <w:rPr>
                <w:rFonts w:hint="eastAsia"/>
                <w:sz w:val="21"/>
                <w:szCs w:val="21"/>
              </w:rPr>
              <w:t>0.5＜得分≤</w:t>
            </w:r>
            <w:r>
              <w:rPr>
                <w:rFonts w:hint="eastAsia" w:hAnsi="宋体"/>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2" w:type="dxa"/>
            <w:vMerge w:val="restart"/>
            <w:vAlign w:val="center"/>
          </w:tcPr>
          <w:p>
            <w:pPr>
              <w:jc w:val="center"/>
              <w:rPr>
                <w:rFonts w:hAnsi="Calibri" w:eastAsia="宋体"/>
                <w:sz w:val="21"/>
                <w:szCs w:val="21"/>
              </w:rPr>
            </w:pPr>
            <w:r>
              <w:rPr>
                <w:rFonts w:hint="eastAsia"/>
                <w:sz w:val="21"/>
                <w:szCs w:val="21"/>
              </w:rPr>
              <w:t>13</w:t>
            </w:r>
          </w:p>
        </w:tc>
        <w:tc>
          <w:tcPr>
            <w:tcW w:w="1123" w:type="dxa"/>
            <w:vMerge w:val="restart"/>
            <w:vAlign w:val="center"/>
          </w:tcPr>
          <w:p>
            <w:pPr>
              <w:jc w:val="center"/>
              <w:rPr>
                <w:rFonts w:hAnsi="Calibri" w:eastAsia="宋体"/>
                <w:sz w:val="21"/>
                <w:szCs w:val="21"/>
              </w:rPr>
            </w:pPr>
            <w:r>
              <w:rPr>
                <w:rFonts w:hint="eastAsia"/>
                <w:sz w:val="21"/>
                <w:szCs w:val="21"/>
              </w:rPr>
              <w:t>风险管理措施</w:t>
            </w:r>
          </w:p>
        </w:tc>
        <w:tc>
          <w:tcPr>
            <w:tcW w:w="980" w:type="dxa"/>
            <w:vMerge w:val="restart"/>
            <w:vAlign w:val="center"/>
          </w:tcPr>
          <w:p>
            <w:pPr>
              <w:jc w:val="center"/>
              <w:rPr>
                <w:rFonts w:hAnsi="Calibri" w:eastAsia="宋体"/>
                <w:sz w:val="21"/>
                <w:szCs w:val="21"/>
              </w:rPr>
            </w:pPr>
            <w:r>
              <w:rPr>
                <w:rFonts w:hint="eastAsia"/>
                <w:sz w:val="21"/>
                <w:szCs w:val="21"/>
              </w:rPr>
              <w:t>1-2分</w:t>
            </w:r>
          </w:p>
        </w:tc>
        <w:tc>
          <w:tcPr>
            <w:tcW w:w="5344" w:type="dxa"/>
            <w:vAlign w:val="center"/>
          </w:tcPr>
          <w:p>
            <w:pPr>
              <w:rPr>
                <w:rFonts w:hAnsi="Calibri" w:eastAsia="宋体"/>
                <w:sz w:val="21"/>
                <w:szCs w:val="21"/>
              </w:rPr>
            </w:pPr>
            <w:r>
              <w:rPr>
                <w:rFonts w:hint="eastAsia"/>
                <w:sz w:val="21"/>
                <w:szCs w:val="21"/>
              </w:rPr>
              <w:t>风险防控管理措施齐全，风险预控符合规范要求，风险控制要点定位准确，各阶段风险控制及应急措施得力。</w:t>
            </w:r>
          </w:p>
        </w:tc>
        <w:tc>
          <w:tcPr>
            <w:tcW w:w="1241" w:type="dxa"/>
            <w:vAlign w:val="center"/>
          </w:tcPr>
          <w:p>
            <w:pPr>
              <w:jc w:val="center"/>
              <w:rPr>
                <w:rFonts w:hAnsi="Calibri" w:eastAsia="宋体"/>
                <w:sz w:val="21"/>
                <w:szCs w:val="21"/>
              </w:rPr>
            </w:pPr>
            <w:r>
              <w:rPr>
                <w:rFonts w:hint="eastAsia"/>
                <w:sz w:val="21"/>
                <w:szCs w:val="21"/>
              </w:rPr>
              <w:t>1.5＜得分≤</w:t>
            </w: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75" w:type="dxa"/>
            <w:vMerge w:val="continue"/>
            <w:vAlign w:val="center"/>
          </w:tcPr>
          <w:p>
            <w:pPr>
              <w:widowControl/>
              <w:jc w:val="left"/>
              <w:rPr>
                <w:rFonts w:hAnsi="Calibri" w:eastAsia="宋体"/>
                <w:sz w:val="21"/>
                <w:szCs w:val="21"/>
              </w:rPr>
            </w:pPr>
          </w:p>
        </w:tc>
        <w:tc>
          <w:tcPr>
            <w:tcW w:w="1123" w:type="dxa"/>
            <w:vMerge w:val="continue"/>
            <w:vAlign w:val="center"/>
          </w:tcPr>
          <w:p>
            <w:pPr>
              <w:widowControl/>
              <w:jc w:val="left"/>
              <w:rPr>
                <w:rFonts w:hAnsi="Calibri" w:eastAsia="宋体"/>
                <w:sz w:val="21"/>
                <w:szCs w:val="21"/>
              </w:rPr>
            </w:pPr>
          </w:p>
        </w:tc>
        <w:tc>
          <w:tcPr>
            <w:tcW w:w="980" w:type="dxa"/>
            <w:vMerge w:val="continue"/>
            <w:vAlign w:val="center"/>
          </w:tcPr>
          <w:p>
            <w:pPr>
              <w:widowControl/>
              <w:jc w:val="left"/>
              <w:rPr>
                <w:rFonts w:hAnsi="Calibri" w:eastAsia="宋体"/>
                <w:sz w:val="21"/>
                <w:szCs w:val="21"/>
              </w:rPr>
            </w:pPr>
          </w:p>
        </w:tc>
        <w:tc>
          <w:tcPr>
            <w:tcW w:w="5344" w:type="dxa"/>
            <w:vAlign w:val="center"/>
          </w:tcPr>
          <w:p>
            <w:pPr>
              <w:rPr>
                <w:rFonts w:hAnsi="Calibri" w:eastAsia="宋体"/>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vAlign w:val="center"/>
          </w:tcPr>
          <w:p>
            <w:pPr>
              <w:jc w:val="center"/>
              <w:rPr>
                <w:rFonts w:hAnsi="Calibri" w:eastAsia="宋体"/>
                <w:sz w:val="21"/>
                <w:szCs w:val="21"/>
              </w:rPr>
            </w:pPr>
            <w:r>
              <w:rPr>
                <w:rFonts w:hint="eastAsia"/>
                <w:sz w:val="21"/>
                <w:szCs w:val="21"/>
              </w:rPr>
              <w:t>1</w:t>
            </w:r>
            <w:r>
              <w:rPr>
                <w:rFonts w:hint="eastAsia" w:ascii="Calibri"/>
                <w:sz w:val="21"/>
                <w:szCs w:val="21"/>
              </w:rPr>
              <w:t>≤</w:t>
            </w:r>
            <w:r>
              <w:rPr>
                <w:rFonts w:hint="eastAsia"/>
                <w:sz w:val="21"/>
                <w:szCs w:val="21"/>
              </w:rPr>
              <w:t>得分≤</w:t>
            </w:r>
            <w:r>
              <w:rPr>
                <w:rFonts w:hint="eastAsia" w:hAnsi="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675" w:type="dxa"/>
            <w:gridSpan w:val="2"/>
            <w:vAlign w:val="center"/>
          </w:tcPr>
          <w:p>
            <w:pPr>
              <w:jc w:val="center"/>
              <w:rPr>
                <w:rFonts w:hAnsi="Calibri" w:eastAsia="宋体"/>
                <w:sz w:val="21"/>
                <w:szCs w:val="21"/>
              </w:rPr>
            </w:pPr>
            <w:r>
              <w:rPr>
                <w:rFonts w:hint="eastAsia"/>
                <w:sz w:val="21"/>
                <w:szCs w:val="21"/>
              </w:rPr>
              <w:t>合计</w:t>
            </w:r>
          </w:p>
        </w:tc>
        <w:tc>
          <w:tcPr>
            <w:tcW w:w="980" w:type="dxa"/>
            <w:vAlign w:val="center"/>
          </w:tcPr>
          <w:p>
            <w:pPr>
              <w:jc w:val="center"/>
              <w:rPr>
                <w:rFonts w:hAnsi="Calibri" w:eastAsia="宋体"/>
                <w:sz w:val="21"/>
                <w:szCs w:val="21"/>
              </w:rPr>
            </w:pPr>
            <w:r>
              <w:rPr>
                <w:rFonts w:hint="eastAsia"/>
                <w:sz w:val="21"/>
                <w:szCs w:val="21"/>
              </w:rPr>
              <w:t>10-25分</w:t>
            </w:r>
          </w:p>
        </w:tc>
        <w:tc>
          <w:tcPr>
            <w:tcW w:w="5344" w:type="dxa"/>
            <w:vAlign w:val="center"/>
          </w:tcPr>
          <w:p>
            <w:pPr>
              <w:rPr>
                <w:rFonts w:hAnsi="Calibri" w:eastAsia="宋体"/>
                <w:sz w:val="21"/>
                <w:szCs w:val="21"/>
              </w:rPr>
            </w:pPr>
          </w:p>
        </w:tc>
        <w:tc>
          <w:tcPr>
            <w:tcW w:w="1241" w:type="dxa"/>
            <w:vAlign w:val="center"/>
          </w:tcPr>
          <w:p>
            <w:pPr>
              <w:jc w:val="center"/>
              <w:rPr>
                <w:rFonts w:hAnsi="Calibri" w:eastAsia="宋体"/>
                <w:sz w:val="21"/>
                <w:szCs w:val="21"/>
              </w:rPr>
            </w:pPr>
            <w:r>
              <w:rPr>
                <w:rFonts w:hint="eastAsia"/>
                <w:sz w:val="21"/>
                <w:szCs w:val="21"/>
              </w:rPr>
              <w:t>10</w:t>
            </w:r>
            <w:r>
              <w:rPr>
                <w:rFonts w:hint="eastAsia" w:ascii="Calibri"/>
                <w:sz w:val="21"/>
                <w:szCs w:val="21"/>
              </w:rPr>
              <w:t>≤</w:t>
            </w:r>
            <w:r>
              <w:rPr>
                <w:rFonts w:hint="eastAsia"/>
                <w:sz w:val="21"/>
                <w:szCs w:val="21"/>
              </w:rPr>
              <w:t>得分≤</w:t>
            </w:r>
            <w:r>
              <w:rPr>
                <w:rFonts w:hint="eastAsia" w:hAnsi="宋体"/>
                <w:sz w:val="21"/>
                <w:szCs w:val="21"/>
              </w:rPr>
              <w:t>25</w:t>
            </w:r>
          </w:p>
        </w:tc>
      </w:tr>
    </w:tbl>
    <w:p>
      <w:pPr>
        <w:snapToGrid w:val="0"/>
        <w:spacing w:line="360" w:lineRule="auto"/>
        <w:ind w:firstLine="481"/>
        <w:rPr>
          <w:rFonts w:hint="eastAsia" w:hAnsi="宋体" w:eastAsia="宋体" w:cs="Times New Roman"/>
          <w:sz w:val="24"/>
          <w:szCs w:val="24"/>
        </w:rPr>
      </w:pPr>
      <w:r>
        <w:rPr>
          <w:rFonts w:hint="eastAsia" w:hAnsi="宋体"/>
          <w:sz w:val="24"/>
          <w:szCs w:val="24"/>
        </w:rPr>
        <w:t>以上项目若有缺项，该项为0分。</w:t>
      </w:r>
    </w:p>
    <w:p>
      <w:pPr>
        <w:snapToGrid w:val="0"/>
        <w:spacing w:line="360" w:lineRule="auto"/>
        <w:jc w:val="left"/>
        <w:rPr>
          <w:rFonts w:hint="eastAsia" w:hAnsi="宋体"/>
          <w:b/>
          <w:bCs/>
          <w:sz w:val="24"/>
          <w:szCs w:val="24"/>
        </w:rPr>
      </w:pPr>
      <w:r>
        <w:rPr>
          <w:rFonts w:hint="eastAsia" w:hAnsi="宋体"/>
          <w:b/>
          <w:bCs/>
          <w:sz w:val="24"/>
          <w:szCs w:val="24"/>
        </w:rPr>
        <w:t>（二）商务标（50分）</w:t>
      </w:r>
    </w:p>
    <w:p>
      <w:pPr>
        <w:snapToGrid w:val="0"/>
        <w:spacing w:line="360" w:lineRule="auto"/>
        <w:rPr>
          <w:rFonts w:hint="eastAsia" w:hAnsi="宋体"/>
          <w:b/>
          <w:bCs/>
          <w:sz w:val="24"/>
          <w:szCs w:val="24"/>
        </w:rPr>
      </w:pPr>
      <w:r>
        <w:rPr>
          <w:rFonts w:hint="eastAsia" w:hAnsi="宋体"/>
          <w:b/>
          <w:bCs/>
          <w:sz w:val="24"/>
          <w:szCs w:val="24"/>
        </w:rPr>
        <w:t xml:space="preserve">    1、投标报价（30分） </w:t>
      </w:r>
    </w:p>
    <w:p>
      <w:pPr>
        <w:pStyle w:val="175"/>
        <w:numPr>
          <w:ilvl w:val="0"/>
          <w:numId w:val="5"/>
        </w:numPr>
        <w:snapToGrid w:val="0"/>
        <w:spacing w:line="360" w:lineRule="auto"/>
        <w:ind w:firstLine="420" w:firstLineChars="0"/>
        <w:rPr>
          <w:rFonts w:hint="eastAsia" w:hAnsi="宋体"/>
          <w:sz w:val="21"/>
          <w:szCs w:val="21"/>
        </w:rPr>
      </w:pPr>
      <w:r>
        <w:rPr>
          <w:rFonts w:hint="eastAsia" w:hAnsi="宋体"/>
          <w:sz w:val="21"/>
          <w:szCs w:val="21"/>
        </w:rPr>
        <w:t>工程量清单报价评标基准价计算公式为：</w:t>
      </w:r>
    </w:p>
    <w:p>
      <w:pPr>
        <w:pStyle w:val="175"/>
        <w:numPr>
          <w:ilvl w:val="0"/>
          <w:numId w:val="5"/>
        </w:numPr>
        <w:snapToGrid w:val="0"/>
        <w:spacing w:line="360" w:lineRule="auto"/>
        <w:ind w:firstLine="420" w:firstLineChars="0"/>
        <w:rPr>
          <w:rFonts w:hint="eastAsia" w:hAnsi="宋体"/>
          <w:sz w:val="21"/>
          <w:szCs w:val="21"/>
        </w:rPr>
      </w:pPr>
      <w:r>
        <w:rPr>
          <w:rFonts w:hint="eastAsia" w:hAnsi="宋体"/>
          <w:sz w:val="21"/>
          <w:szCs w:val="21"/>
        </w:rPr>
        <w:t>评标基准价＝最高投标限价×K+投标报价×（1－K）。</w:t>
      </w:r>
    </w:p>
    <w:p>
      <w:pPr>
        <w:pStyle w:val="175"/>
        <w:numPr>
          <w:ilvl w:val="0"/>
          <w:numId w:val="5"/>
        </w:numPr>
        <w:snapToGrid w:val="0"/>
        <w:spacing w:line="360" w:lineRule="auto"/>
        <w:ind w:firstLine="420" w:firstLineChars="0"/>
        <w:rPr>
          <w:rFonts w:hint="eastAsia" w:hAnsi="宋体"/>
          <w:sz w:val="21"/>
          <w:szCs w:val="21"/>
        </w:rPr>
      </w:pPr>
      <w:r>
        <w:rPr>
          <w:rFonts w:hint="eastAsia" w:hAnsi="宋体"/>
          <w:sz w:val="21"/>
          <w:szCs w:val="21"/>
        </w:rPr>
        <w:t>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pStyle w:val="175"/>
        <w:numPr>
          <w:ilvl w:val="0"/>
          <w:numId w:val="5"/>
        </w:numPr>
        <w:snapToGrid w:val="0"/>
        <w:spacing w:line="360" w:lineRule="auto"/>
        <w:ind w:firstLine="420" w:firstLineChars="0"/>
        <w:rPr>
          <w:rFonts w:hint="eastAsia" w:hAnsi="宋体"/>
          <w:sz w:val="21"/>
          <w:szCs w:val="21"/>
        </w:rPr>
      </w:pPr>
      <w:r>
        <w:rPr>
          <w:rFonts w:hint="eastAsia" w:hAnsi="宋体"/>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5"/>
        </w:numPr>
        <w:snapToGrid w:val="0"/>
        <w:spacing w:line="360" w:lineRule="auto"/>
        <w:ind w:firstLine="481"/>
        <w:rPr>
          <w:rFonts w:hint="eastAsia" w:hAnsi="宋体"/>
          <w:b/>
          <w:bCs/>
          <w:sz w:val="24"/>
          <w:szCs w:val="24"/>
        </w:rPr>
      </w:pPr>
      <w:r>
        <w:rPr>
          <w:rFonts w:hint="eastAsia" w:hAnsi="宋体"/>
          <w:b/>
          <w:bCs/>
          <w:sz w:val="24"/>
          <w:szCs w:val="24"/>
        </w:rPr>
        <w:t>分部分项工程项目清单单价评审（10分）</w:t>
      </w:r>
    </w:p>
    <w:p>
      <w:pPr>
        <w:snapToGrid w:val="0"/>
        <w:spacing w:line="360" w:lineRule="auto"/>
        <w:ind w:firstLine="484"/>
        <w:rPr>
          <w:rFonts w:hint="eastAsia" w:hAnsi="宋体"/>
          <w:sz w:val="21"/>
          <w:szCs w:val="21"/>
        </w:rPr>
      </w:pPr>
      <w:r>
        <w:rPr>
          <w:rFonts w:hint="eastAsia" w:hAnsi="宋体"/>
          <w:sz w:val="21"/>
          <w:szCs w:val="21"/>
        </w:rPr>
        <w:t>从最高投标限价中分部分项工程项目权重最大的前10-30项清单项目中抽取15项，在剩余的分部分项工程项目清单项目中抽取5项。</w:t>
      </w:r>
    </w:p>
    <w:p>
      <w:pPr>
        <w:snapToGrid w:val="0"/>
        <w:spacing w:line="360" w:lineRule="auto"/>
        <w:ind w:firstLine="484"/>
        <w:rPr>
          <w:rFonts w:hint="eastAsia" w:hAnsi="宋体"/>
          <w:sz w:val="21"/>
          <w:szCs w:val="21"/>
        </w:rPr>
      </w:pPr>
      <w:r>
        <w:rPr>
          <w:rFonts w:hint="eastAsia" w:hAnsi="宋体"/>
          <w:sz w:val="21"/>
          <w:szCs w:val="21"/>
        </w:rPr>
        <w:t>综合单价基准值是以各有效投标报价中（当有效投标人5名及以上时，去掉1个最高、1个最低值）对应抽取清单项目综合单价的算术平均值。</w:t>
      </w:r>
    </w:p>
    <w:p>
      <w:pPr>
        <w:snapToGrid w:val="0"/>
        <w:spacing w:line="360" w:lineRule="auto"/>
        <w:ind w:firstLine="484"/>
        <w:rPr>
          <w:rFonts w:hint="eastAsia" w:hAnsi="宋体"/>
          <w:sz w:val="21"/>
          <w:szCs w:val="21"/>
        </w:rPr>
      </w:pPr>
      <w:r>
        <w:rPr>
          <w:rFonts w:hint="eastAsia" w:hAnsi="宋体"/>
          <w:sz w:val="21"/>
          <w:szCs w:val="21"/>
        </w:rPr>
        <w:t xml:space="preserve">投标人报价在综合单价基准值95%–103%范围内（不含95%和103%）的，每项得0.5分；在综合单价基准值90%–95%范围内（含90%和95%）每项得0.25分。满分共计10分。超出该范围的不得分。    </w:t>
      </w:r>
    </w:p>
    <w:p>
      <w:pPr>
        <w:numPr>
          <w:ilvl w:val="0"/>
          <w:numId w:val="5"/>
        </w:numPr>
        <w:snapToGrid w:val="0"/>
        <w:spacing w:line="360" w:lineRule="auto"/>
        <w:ind w:firstLine="481"/>
        <w:rPr>
          <w:rFonts w:hint="eastAsia" w:hAnsi="宋体"/>
          <w:b/>
          <w:bCs/>
          <w:sz w:val="24"/>
          <w:szCs w:val="24"/>
        </w:rPr>
      </w:pPr>
      <w:r>
        <w:rPr>
          <w:rFonts w:hint="eastAsia" w:hAnsi="宋体"/>
          <w:b/>
          <w:bCs/>
          <w:sz w:val="24"/>
          <w:szCs w:val="24"/>
        </w:rPr>
        <w:t>措施项目费的评审（不含安全文明措施费）（5分）</w:t>
      </w:r>
    </w:p>
    <w:p>
      <w:pPr>
        <w:snapToGrid w:val="0"/>
        <w:spacing w:line="360" w:lineRule="auto"/>
        <w:ind w:firstLine="420" w:firstLineChars="200"/>
        <w:rPr>
          <w:rFonts w:hint="eastAsia" w:hAnsi="宋体"/>
          <w:sz w:val="21"/>
          <w:szCs w:val="21"/>
        </w:rPr>
      </w:pPr>
      <w:r>
        <w:rPr>
          <w:rFonts w:hint="eastAsia" w:hAnsi="宋体"/>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snapToGrid w:val="0"/>
        <w:spacing w:line="360" w:lineRule="auto"/>
        <w:ind w:firstLine="240" w:firstLineChars="100"/>
        <w:rPr>
          <w:rFonts w:hint="eastAsia" w:hAnsi="宋体"/>
          <w:b/>
          <w:bCs/>
          <w:sz w:val="24"/>
          <w:szCs w:val="24"/>
        </w:rPr>
      </w:pPr>
      <w:r>
        <w:rPr>
          <w:rFonts w:hint="eastAsia" w:hAnsi="宋体"/>
          <w:b/>
          <w:bCs/>
          <w:sz w:val="24"/>
          <w:szCs w:val="24"/>
        </w:rPr>
        <w:t>8、主要材料单价的评审（5分）</w:t>
      </w:r>
    </w:p>
    <w:p>
      <w:pPr>
        <w:adjustRightInd w:val="0"/>
        <w:snapToGrid w:val="0"/>
        <w:spacing w:line="440" w:lineRule="exact"/>
        <w:ind w:firstLine="506" w:firstLineChars="241"/>
        <w:rPr>
          <w:rFonts w:hint="eastAsia" w:hAnsi="宋体"/>
          <w:sz w:val="21"/>
          <w:szCs w:val="21"/>
        </w:rPr>
      </w:pPr>
      <w:r>
        <w:rPr>
          <w:rFonts w:hint="eastAsia" w:hAnsi="宋体"/>
          <w:sz w:val="21"/>
          <w:szCs w:val="21"/>
        </w:rPr>
        <w:t>从最高投标限价中材料总价权重最大的前10-20项材料中抽取6项，在剩余材料中抽取4项。</w:t>
      </w:r>
    </w:p>
    <w:p>
      <w:pPr>
        <w:adjustRightInd w:val="0"/>
        <w:snapToGrid w:val="0"/>
        <w:spacing w:line="440" w:lineRule="exact"/>
        <w:ind w:firstLine="506" w:firstLineChars="241"/>
        <w:rPr>
          <w:rFonts w:hint="eastAsia" w:hAnsi="宋体"/>
          <w:sz w:val="21"/>
          <w:szCs w:val="21"/>
        </w:rPr>
      </w:pPr>
      <w:r>
        <w:rPr>
          <w:rFonts w:hint="eastAsia" w:hAnsi="宋体"/>
          <w:sz w:val="21"/>
          <w:szCs w:val="21"/>
        </w:rPr>
        <w:t>主要材料单价基准值是以各有效投标报价中（当有效投标人5名及以上时，去掉1个最高、1个最低值）对应抽取材料单价的算术平均值。</w:t>
      </w:r>
    </w:p>
    <w:p>
      <w:pPr>
        <w:adjustRightInd w:val="0"/>
        <w:snapToGrid w:val="0"/>
        <w:spacing w:line="440" w:lineRule="exact"/>
        <w:ind w:firstLine="506" w:firstLineChars="241"/>
        <w:rPr>
          <w:rFonts w:hint="eastAsia" w:hAnsi="宋体"/>
          <w:sz w:val="21"/>
          <w:szCs w:val="21"/>
        </w:rPr>
      </w:pPr>
      <w:r>
        <w:rPr>
          <w:rFonts w:hint="eastAsia" w:hAnsi="宋体"/>
          <w:sz w:val="21"/>
          <w:szCs w:val="21"/>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06" w:firstLineChars="241"/>
        <w:rPr>
          <w:rFonts w:hint="eastAsia" w:hAnsi="宋体"/>
          <w:sz w:val="21"/>
          <w:szCs w:val="21"/>
        </w:rPr>
      </w:pPr>
      <w:r>
        <w:rPr>
          <w:rFonts w:hint="eastAsia" w:hAnsi="宋体"/>
          <w:sz w:val="21"/>
          <w:szCs w:val="21"/>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int="eastAsia" w:hAnsi="宋体"/>
          <w:b/>
          <w:bCs/>
          <w:sz w:val="24"/>
          <w:szCs w:val="24"/>
        </w:rPr>
      </w:pPr>
      <w:r>
        <w:rPr>
          <w:rFonts w:hint="eastAsia" w:hAnsi="宋体"/>
          <w:b/>
          <w:bCs/>
          <w:sz w:val="24"/>
          <w:szCs w:val="24"/>
        </w:rPr>
        <w:t>（四）综合标（25分）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797"/>
        <w:gridCol w:w="560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62" w:type="dxa"/>
            <w:vAlign w:val="center"/>
          </w:tcPr>
          <w:p>
            <w:pPr>
              <w:spacing w:line="300" w:lineRule="exact"/>
              <w:jc w:val="center"/>
              <w:rPr>
                <w:rFonts w:hAnsi="宋体" w:eastAsia="宋体"/>
                <w:sz w:val="21"/>
                <w:szCs w:val="21"/>
              </w:rPr>
            </w:pPr>
            <w:r>
              <w:rPr>
                <w:rFonts w:hint="eastAsia" w:hAnsi="宋体"/>
                <w:sz w:val="21"/>
                <w:szCs w:val="21"/>
              </w:rPr>
              <w:t>序号</w:t>
            </w:r>
          </w:p>
        </w:tc>
        <w:tc>
          <w:tcPr>
            <w:tcW w:w="1797" w:type="dxa"/>
            <w:vAlign w:val="center"/>
          </w:tcPr>
          <w:p>
            <w:pPr>
              <w:spacing w:line="300" w:lineRule="exact"/>
              <w:jc w:val="center"/>
              <w:rPr>
                <w:rFonts w:hAnsi="宋体" w:eastAsia="宋体"/>
                <w:sz w:val="21"/>
                <w:szCs w:val="21"/>
              </w:rPr>
            </w:pPr>
            <w:r>
              <w:rPr>
                <w:rFonts w:hint="eastAsia" w:hAnsi="宋体"/>
                <w:b/>
                <w:bCs/>
                <w:sz w:val="21"/>
                <w:szCs w:val="21"/>
              </w:rPr>
              <w:t>量化因素</w:t>
            </w:r>
          </w:p>
        </w:tc>
        <w:tc>
          <w:tcPr>
            <w:tcW w:w="5602" w:type="dxa"/>
            <w:vAlign w:val="center"/>
          </w:tcPr>
          <w:p>
            <w:pPr>
              <w:spacing w:line="300" w:lineRule="exact"/>
              <w:jc w:val="center"/>
              <w:rPr>
                <w:rFonts w:hAnsi="宋体" w:eastAsia="宋体"/>
                <w:sz w:val="21"/>
                <w:szCs w:val="21"/>
              </w:rPr>
            </w:pPr>
            <w:r>
              <w:rPr>
                <w:rFonts w:hint="eastAsia" w:hAnsi="宋体"/>
                <w:b/>
                <w:bCs/>
                <w:sz w:val="21"/>
                <w:szCs w:val="21"/>
              </w:rPr>
              <w:t>评分标准</w:t>
            </w:r>
          </w:p>
        </w:tc>
        <w:tc>
          <w:tcPr>
            <w:tcW w:w="1675" w:type="dxa"/>
            <w:vAlign w:val="center"/>
          </w:tcPr>
          <w:p>
            <w:pPr>
              <w:spacing w:line="300" w:lineRule="exact"/>
              <w:jc w:val="center"/>
              <w:rPr>
                <w:rFonts w:hAnsi="宋体" w:eastAsia="宋体"/>
                <w:b/>
                <w:bCs/>
                <w:sz w:val="21"/>
                <w:szCs w:val="21"/>
              </w:rPr>
            </w:pPr>
            <w:r>
              <w:rPr>
                <w:rFonts w:hint="eastAsia" w:hAnsi="宋体"/>
                <w:b/>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spacing w:line="300" w:lineRule="exact"/>
              <w:jc w:val="center"/>
              <w:rPr>
                <w:rFonts w:hAnsi="Calibri" w:eastAsia="宋体"/>
                <w:sz w:val="21"/>
                <w:szCs w:val="21"/>
              </w:rPr>
            </w:pPr>
            <w:r>
              <w:rPr>
                <w:rFonts w:hint="eastAsia"/>
                <w:sz w:val="21"/>
                <w:szCs w:val="21"/>
              </w:rPr>
              <w:t>1</w:t>
            </w:r>
          </w:p>
        </w:tc>
        <w:tc>
          <w:tcPr>
            <w:tcW w:w="1797" w:type="dxa"/>
            <w:vAlign w:val="center"/>
          </w:tcPr>
          <w:p>
            <w:pPr>
              <w:autoSpaceDE w:val="0"/>
              <w:autoSpaceDN w:val="0"/>
              <w:adjustRightInd w:val="0"/>
              <w:spacing w:line="300" w:lineRule="exact"/>
              <w:rPr>
                <w:rFonts w:hAnsi="Calibri" w:eastAsia="宋体"/>
                <w:sz w:val="21"/>
                <w:szCs w:val="21"/>
              </w:rPr>
            </w:pPr>
            <w:r>
              <w:rPr>
                <w:rFonts w:hint="eastAsia"/>
                <w:sz w:val="21"/>
                <w:szCs w:val="21"/>
              </w:rPr>
              <w:t>企业业绩</w:t>
            </w:r>
          </w:p>
        </w:tc>
        <w:tc>
          <w:tcPr>
            <w:tcW w:w="5602" w:type="dxa"/>
            <w:vAlign w:val="center"/>
          </w:tcPr>
          <w:p>
            <w:pPr>
              <w:snapToGrid w:val="0"/>
              <w:spacing w:line="300" w:lineRule="exact"/>
              <w:rPr>
                <w:rFonts w:hAnsi="Calibri" w:eastAsia="宋体"/>
                <w:sz w:val="21"/>
                <w:szCs w:val="21"/>
              </w:rPr>
            </w:pPr>
            <w:r>
              <w:rPr>
                <w:rFonts w:hint="eastAsia" w:hAnsi="宋体"/>
                <w:sz w:val="21"/>
                <w:szCs w:val="21"/>
              </w:rPr>
              <w:t>2016年1月1日以来（以合同签订时间为准）：企业具有类似工程施工业绩者，每项得</w:t>
            </w:r>
            <w:r>
              <w:rPr>
                <w:rFonts w:hint="eastAsia" w:hAnsi="宋体"/>
                <w:sz w:val="21"/>
                <w:szCs w:val="21"/>
                <w:lang w:val="en-US" w:eastAsia="zh-CN"/>
              </w:rPr>
              <w:t>4</w:t>
            </w:r>
            <w:r>
              <w:rPr>
                <w:rFonts w:hint="eastAsia" w:hAnsi="宋体"/>
                <w:sz w:val="21"/>
                <w:szCs w:val="21"/>
              </w:rPr>
              <w:t>分，本项最高得</w:t>
            </w:r>
            <w:r>
              <w:rPr>
                <w:rFonts w:hint="eastAsia" w:hAnsi="宋体"/>
                <w:sz w:val="21"/>
                <w:szCs w:val="21"/>
                <w:lang w:val="en-US" w:eastAsia="zh-CN"/>
              </w:rPr>
              <w:t>4</w:t>
            </w:r>
            <w:r>
              <w:rPr>
                <w:rFonts w:hint="eastAsia" w:hAnsi="宋体"/>
                <w:sz w:val="21"/>
                <w:szCs w:val="21"/>
              </w:rPr>
              <w:t>分。（以施工合同和竣工验收表为准或施工合同和中标通知书为准）</w:t>
            </w:r>
          </w:p>
        </w:tc>
        <w:tc>
          <w:tcPr>
            <w:tcW w:w="1675" w:type="dxa"/>
            <w:vAlign w:val="center"/>
          </w:tcPr>
          <w:p>
            <w:pPr>
              <w:jc w:val="center"/>
              <w:rPr>
                <w:rFonts w:hint="eastAsia" w:hAnsi="Calibri" w:eastAsiaTheme="minorEastAsia"/>
                <w:sz w:val="21"/>
                <w:szCs w:val="21"/>
                <w:lang w:val="en-US" w:eastAsia="zh-CN"/>
              </w:rPr>
            </w:pPr>
            <w:r>
              <w:rPr>
                <w:rFonts w:hint="eastAsia" w:hAnsi="宋体"/>
                <w:kern w:val="2"/>
                <w:sz w:val="21"/>
                <w:szCs w:val="21"/>
              </w:rPr>
              <w:t>0＜得分≤</w:t>
            </w:r>
            <w:r>
              <w:rPr>
                <w:rFonts w:hint="eastAsia" w:hAnsi="宋体"/>
                <w:kern w:val="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62" w:type="dxa"/>
            <w:vAlign w:val="center"/>
          </w:tcPr>
          <w:p>
            <w:pPr>
              <w:spacing w:line="300" w:lineRule="exact"/>
              <w:jc w:val="center"/>
              <w:rPr>
                <w:rFonts w:hAnsi="Calibri" w:eastAsia="宋体"/>
                <w:sz w:val="21"/>
                <w:szCs w:val="21"/>
              </w:rPr>
            </w:pPr>
            <w:r>
              <w:rPr>
                <w:rFonts w:hint="eastAsia"/>
                <w:sz w:val="21"/>
                <w:szCs w:val="21"/>
              </w:rPr>
              <w:t>2</w:t>
            </w:r>
          </w:p>
        </w:tc>
        <w:tc>
          <w:tcPr>
            <w:tcW w:w="1797" w:type="dxa"/>
            <w:vAlign w:val="center"/>
          </w:tcPr>
          <w:p>
            <w:pPr>
              <w:spacing w:line="300" w:lineRule="exact"/>
              <w:rPr>
                <w:rFonts w:hAnsi="Calibri" w:eastAsia="宋体"/>
                <w:sz w:val="21"/>
                <w:szCs w:val="21"/>
              </w:rPr>
            </w:pPr>
            <w:r>
              <w:rPr>
                <w:rFonts w:hint="eastAsia"/>
                <w:sz w:val="21"/>
                <w:szCs w:val="21"/>
              </w:rPr>
              <w:t>项目经理业绩</w:t>
            </w:r>
          </w:p>
        </w:tc>
        <w:tc>
          <w:tcPr>
            <w:tcW w:w="5602" w:type="dxa"/>
            <w:vAlign w:val="center"/>
          </w:tcPr>
          <w:p>
            <w:pPr>
              <w:snapToGrid w:val="0"/>
              <w:spacing w:line="300" w:lineRule="exact"/>
              <w:rPr>
                <w:rFonts w:hAnsi="Calibri" w:eastAsia="宋体"/>
                <w:sz w:val="21"/>
                <w:szCs w:val="21"/>
              </w:rPr>
            </w:pPr>
            <w:r>
              <w:rPr>
                <w:rFonts w:hint="eastAsia" w:hAnsi="宋体"/>
                <w:sz w:val="21"/>
                <w:szCs w:val="21"/>
              </w:rPr>
              <w:t>2016年1月1日以来（以合同签订时间为准）：拟派项目经理具有类似工程施工业绩者，得6分，本项最高得6分。（以施工合同和竣工验收表为准或施工合同和中标通知书为准。若施工合同或竣工验收表中未注明项目经理姓名者须提供建设单位出具的相关证明文件）与企业业绩不重复。</w:t>
            </w:r>
          </w:p>
        </w:tc>
        <w:tc>
          <w:tcPr>
            <w:tcW w:w="1675" w:type="dxa"/>
            <w:vAlign w:val="center"/>
          </w:tcPr>
          <w:p>
            <w:pPr>
              <w:jc w:val="center"/>
              <w:rPr>
                <w:rFonts w:hAnsi="Calibri" w:eastAsia="宋体"/>
                <w:sz w:val="21"/>
                <w:szCs w:val="21"/>
              </w:rPr>
            </w:pPr>
            <w:r>
              <w:rPr>
                <w:rFonts w:hint="eastAsia" w:hAnsi="宋体"/>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restart"/>
            <w:vAlign w:val="center"/>
          </w:tcPr>
          <w:p>
            <w:pPr>
              <w:spacing w:line="300" w:lineRule="exact"/>
              <w:jc w:val="center"/>
              <w:rPr>
                <w:rFonts w:hAnsi="Calibri" w:eastAsia="宋体"/>
                <w:sz w:val="21"/>
                <w:szCs w:val="21"/>
              </w:rPr>
            </w:pPr>
            <w:r>
              <w:rPr>
                <w:rFonts w:hint="eastAsia"/>
                <w:sz w:val="21"/>
                <w:szCs w:val="21"/>
              </w:rPr>
              <w:t>3</w:t>
            </w:r>
          </w:p>
        </w:tc>
        <w:tc>
          <w:tcPr>
            <w:tcW w:w="1797" w:type="dxa"/>
            <w:vMerge w:val="restart"/>
            <w:vAlign w:val="center"/>
          </w:tcPr>
          <w:p>
            <w:pPr>
              <w:spacing w:line="300" w:lineRule="exact"/>
              <w:jc w:val="left"/>
              <w:rPr>
                <w:rFonts w:hAnsi="Calibri" w:eastAsia="宋体"/>
                <w:sz w:val="21"/>
                <w:szCs w:val="21"/>
              </w:rPr>
            </w:pPr>
            <w:r>
              <w:rPr>
                <w:rFonts w:hint="eastAsia"/>
                <w:sz w:val="21"/>
                <w:szCs w:val="21"/>
              </w:rPr>
              <w:t>优惠承诺</w:t>
            </w:r>
          </w:p>
        </w:tc>
        <w:tc>
          <w:tcPr>
            <w:tcW w:w="5602" w:type="dxa"/>
            <w:vAlign w:val="center"/>
          </w:tcPr>
          <w:p>
            <w:pPr>
              <w:snapToGrid w:val="0"/>
              <w:spacing w:line="300" w:lineRule="exact"/>
              <w:rPr>
                <w:rFonts w:hAnsi="宋体" w:eastAsia="宋体"/>
                <w:sz w:val="21"/>
                <w:szCs w:val="21"/>
              </w:rPr>
            </w:pPr>
            <w:r>
              <w:rPr>
                <w:rFonts w:hint="eastAsia" w:hAnsi="宋体"/>
                <w:sz w:val="21"/>
                <w:szCs w:val="21"/>
              </w:rPr>
              <w:t>优惠承诺应是书面的符合工程实际情况，确保依法依规，优惠合理，详实可行。</w:t>
            </w:r>
          </w:p>
        </w:tc>
        <w:tc>
          <w:tcPr>
            <w:tcW w:w="1675" w:type="dxa"/>
            <w:vAlign w:val="center"/>
          </w:tcPr>
          <w:p>
            <w:pPr>
              <w:jc w:val="center"/>
              <w:rPr>
                <w:rFonts w:hAnsi="Calibri" w:eastAsia="宋体"/>
                <w:sz w:val="21"/>
                <w:szCs w:val="21"/>
              </w:rPr>
            </w:pPr>
            <w:r>
              <w:rPr>
                <w:rFonts w:hint="eastAsia" w:hAnsi="宋体"/>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continue"/>
            <w:vAlign w:val="center"/>
          </w:tcPr>
          <w:p>
            <w:pPr>
              <w:widowControl/>
              <w:jc w:val="left"/>
              <w:rPr>
                <w:rFonts w:hAnsi="Calibri" w:eastAsia="宋体"/>
                <w:sz w:val="21"/>
                <w:szCs w:val="21"/>
              </w:rPr>
            </w:pPr>
          </w:p>
        </w:tc>
        <w:tc>
          <w:tcPr>
            <w:tcW w:w="1797" w:type="dxa"/>
            <w:vMerge w:val="continue"/>
            <w:vAlign w:val="center"/>
          </w:tcPr>
          <w:p>
            <w:pPr>
              <w:widowControl/>
              <w:jc w:val="left"/>
              <w:rPr>
                <w:rFonts w:hAnsi="Calibri" w:eastAsia="宋体"/>
                <w:sz w:val="21"/>
                <w:szCs w:val="21"/>
              </w:rPr>
            </w:pPr>
          </w:p>
        </w:tc>
        <w:tc>
          <w:tcPr>
            <w:tcW w:w="5602" w:type="dxa"/>
            <w:vAlign w:val="center"/>
          </w:tcPr>
          <w:p>
            <w:pPr>
              <w:snapToGrid w:val="0"/>
              <w:spacing w:line="300" w:lineRule="exact"/>
              <w:rPr>
                <w:rFonts w:hAnsi="宋体" w:eastAsia="宋体"/>
                <w:sz w:val="21"/>
                <w:szCs w:val="21"/>
              </w:rPr>
            </w:pPr>
            <w:r>
              <w:rPr>
                <w:rFonts w:hint="eastAsia" w:hAnsi="宋体"/>
                <w:sz w:val="21"/>
                <w:szCs w:val="21"/>
              </w:rPr>
              <w:t>优惠承诺符合工程实际情况，确保依法依规，优惠基本合理，基本详实可行。</w:t>
            </w:r>
          </w:p>
        </w:tc>
        <w:tc>
          <w:tcPr>
            <w:tcW w:w="1675" w:type="dxa"/>
            <w:vAlign w:val="center"/>
          </w:tcPr>
          <w:p>
            <w:pPr>
              <w:jc w:val="center"/>
              <w:rPr>
                <w:rFonts w:hAnsi="Calibri" w:eastAsia="宋体"/>
                <w:sz w:val="21"/>
                <w:szCs w:val="21"/>
              </w:rPr>
            </w:pPr>
            <w:r>
              <w:rPr>
                <w:rFonts w:hint="eastAsia" w:hAnsi="宋体"/>
                <w:kern w:val="2"/>
                <w:sz w:val="21"/>
                <w:szCs w:val="21"/>
              </w:rPr>
              <w:t>0≤得分≤3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62" w:type="dxa"/>
            <w:vMerge w:val="restart"/>
            <w:vAlign w:val="center"/>
          </w:tcPr>
          <w:p>
            <w:pPr>
              <w:spacing w:line="300" w:lineRule="exact"/>
              <w:jc w:val="center"/>
              <w:rPr>
                <w:rFonts w:hAnsi="Calibri" w:eastAsia="宋体"/>
                <w:sz w:val="21"/>
                <w:szCs w:val="21"/>
              </w:rPr>
            </w:pPr>
            <w:r>
              <w:rPr>
                <w:rFonts w:hint="eastAsia"/>
                <w:sz w:val="21"/>
                <w:szCs w:val="21"/>
              </w:rPr>
              <w:t>4</w:t>
            </w:r>
          </w:p>
        </w:tc>
        <w:tc>
          <w:tcPr>
            <w:tcW w:w="1797" w:type="dxa"/>
            <w:vMerge w:val="restart"/>
            <w:vAlign w:val="center"/>
          </w:tcPr>
          <w:p>
            <w:pPr>
              <w:spacing w:line="300" w:lineRule="exact"/>
              <w:jc w:val="left"/>
              <w:rPr>
                <w:rFonts w:hAnsi="Calibri" w:eastAsia="宋体"/>
                <w:sz w:val="21"/>
                <w:szCs w:val="21"/>
              </w:rPr>
            </w:pPr>
            <w:r>
              <w:rPr>
                <w:rFonts w:hint="eastAsia"/>
                <w:sz w:val="21"/>
                <w:szCs w:val="21"/>
              </w:rPr>
              <w:t>履职尽责承诺</w:t>
            </w:r>
          </w:p>
        </w:tc>
        <w:tc>
          <w:tcPr>
            <w:tcW w:w="5602" w:type="dxa"/>
            <w:vAlign w:val="center"/>
          </w:tcPr>
          <w:p>
            <w:pPr>
              <w:snapToGrid w:val="0"/>
              <w:spacing w:line="300" w:lineRule="exact"/>
              <w:rPr>
                <w:rFonts w:hAnsi="宋体" w:eastAsia="宋体"/>
                <w:sz w:val="21"/>
                <w:szCs w:val="21"/>
              </w:rPr>
            </w:pPr>
            <w:r>
              <w:rPr>
                <w:rFonts w:hint="eastAsia" w:hAnsi="宋体"/>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675" w:type="dxa"/>
            <w:vAlign w:val="center"/>
          </w:tcPr>
          <w:p>
            <w:pPr>
              <w:jc w:val="center"/>
              <w:rPr>
                <w:rFonts w:hAnsi="Calibri" w:eastAsia="宋体"/>
                <w:sz w:val="21"/>
                <w:szCs w:val="21"/>
              </w:rPr>
            </w:pPr>
            <w:r>
              <w:rPr>
                <w:rFonts w:hint="eastAsia" w:hAnsi="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continue"/>
            <w:vAlign w:val="center"/>
          </w:tcPr>
          <w:p>
            <w:pPr>
              <w:widowControl/>
              <w:jc w:val="left"/>
              <w:rPr>
                <w:rFonts w:hAnsi="Calibri" w:eastAsia="宋体"/>
                <w:sz w:val="21"/>
                <w:szCs w:val="21"/>
              </w:rPr>
            </w:pPr>
          </w:p>
        </w:tc>
        <w:tc>
          <w:tcPr>
            <w:tcW w:w="1797" w:type="dxa"/>
            <w:vMerge w:val="continue"/>
            <w:vAlign w:val="center"/>
          </w:tcPr>
          <w:p>
            <w:pPr>
              <w:widowControl/>
              <w:jc w:val="left"/>
              <w:rPr>
                <w:rFonts w:hAnsi="Calibri" w:eastAsia="宋体"/>
                <w:sz w:val="21"/>
                <w:szCs w:val="21"/>
              </w:rPr>
            </w:pPr>
          </w:p>
        </w:tc>
        <w:tc>
          <w:tcPr>
            <w:tcW w:w="5602" w:type="dxa"/>
            <w:vAlign w:val="center"/>
          </w:tcPr>
          <w:p>
            <w:pPr>
              <w:snapToGrid w:val="0"/>
              <w:spacing w:line="300" w:lineRule="exact"/>
              <w:rPr>
                <w:rFonts w:hAnsi="宋体" w:eastAsia="宋体"/>
                <w:sz w:val="21"/>
                <w:szCs w:val="21"/>
              </w:rPr>
            </w:pPr>
            <w:r>
              <w:rPr>
                <w:rFonts w:hint="eastAsia" w:hAnsi="宋体"/>
                <w:sz w:val="21"/>
                <w:szCs w:val="21"/>
              </w:rPr>
              <w:t>具有可行、合法有效的书面保证技术措施落实到位的承诺和落实不到位的处理承诺，提供承包商履约保证</w:t>
            </w:r>
            <w:r>
              <w:rPr>
                <w:rFonts w:hint="eastAsia" w:ascii="新宋体" w:hAnsi="新宋体" w:eastAsia="新宋体"/>
                <w:sz w:val="21"/>
                <w:szCs w:val="21"/>
              </w:rPr>
              <w:t>，其中包括各关键岗位人员（项目负责人、技术负责人及相关技术人员、质量员、安全员、材料员、施工员等）的在岗、更换等履职尽责承诺，提供承包商履约保证。</w:t>
            </w:r>
          </w:p>
        </w:tc>
        <w:tc>
          <w:tcPr>
            <w:tcW w:w="1675" w:type="dxa"/>
            <w:vAlign w:val="center"/>
          </w:tcPr>
          <w:p>
            <w:pPr>
              <w:jc w:val="center"/>
              <w:rPr>
                <w:rFonts w:hAnsi="Calibri" w:eastAsia="宋体"/>
                <w:sz w:val="21"/>
                <w:szCs w:val="21"/>
              </w:rPr>
            </w:pPr>
            <w:r>
              <w:rPr>
                <w:rFonts w:hint="eastAsia" w:hAnsi="宋体"/>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62" w:type="dxa"/>
            <w:vAlign w:val="center"/>
          </w:tcPr>
          <w:p>
            <w:pPr>
              <w:spacing w:line="300" w:lineRule="exact"/>
              <w:jc w:val="center"/>
              <w:rPr>
                <w:rFonts w:hAnsi="Calibri" w:eastAsia="宋体"/>
                <w:sz w:val="21"/>
                <w:szCs w:val="21"/>
              </w:rPr>
            </w:pPr>
            <w:r>
              <w:rPr>
                <w:rFonts w:hint="eastAsia"/>
                <w:sz w:val="21"/>
                <w:szCs w:val="21"/>
              </w:rPr>
              <w:t>5</w:t>
            </w:r>
          </w:p>
        </w:tc>
        <w:tc>
          <w:tcPr>
            <w:tcW w:w="1797" w:type="dxa"/>
            <w:vAlign w:val="center"/>
          </w:tcPr>
          <w:p>
            <w:pPr>
              <w:spacing w:line="300" w:lineRule="exact"/>
              <w:jc w:val="left"/>
              <w:rPr>
                <w:rFonts w:hAnsi="Calibri" w:eastAsia="宋体"/>
                <w:sz w:val="21"/>
                <w:szCs w:val="21"/>
              </w:rPr>
            </w:pPr>
            <w:r>
              <w:rPr>
                <w:rFonts w:hint="eastAsia"/>
                <w:sz w:val="21"/>
                <w:szCs w:val="21"/>
              </w:rPr>
              <w:t>企业信用</w:t>
            </w:r>
          </w:p>
        </w:tc>
        <w:tc>
          <w:tcPr>
            <w:tcW w:w="5602" w:type="dxa"/>
            <w:vAlign w:val="center"/>
          </w:tcPr>
          <w:p>
            <w:pPr>
              <w:snapToGrid w:val="0"/>
              <w:spacing w:line="300" w:lineRule="exact"/>
              <w:rPr>
                <w:rFonts w:hint="eastAsia" w:ascii="新宋体" w:hAnsi="新宋体" w:eastAsia="新宋体"/>
                <w:sz w:val="21"/>
                <w:szCs w:val="21"/>
              </w:rPr>
            </w:pPr>
            <w:r>
              <w:rPr>
                <w:rFonts w:hint="eastAsia" w:ascii="新宋体" w:hAnsi="新宋体" w:eastAsia="新宋体"/>
                <w:sz w:val="21"/>
                <w:szCs w:val="21"/>
              </w:rPr>
              <w:t>1.企业通过质量、环境、职业健康三项体系认证的得2分。</w:t>
            </w:r>
          </w:p>
          <w:p>
            <w:pPr>
              <w:snapToGrid w:val="0"/>
              <w:spacing w:line="300" w:lineRule="exact"/>
              <w:rPr>
                <w:rFonts w:hAnsi="宋体" w:eastAsia="宋体"/>
                <w:color w:val="auto"/>
                <w:sz w:val="21"/>
                <w:szCs w:val="21"/>
              </w:rPr>
            </w:pPr>
            <w:r>
              <w:rPr>
                <w:rFonts w:hint="eastAsia" w:ascii="新宋体" w:hAnsi="新宋体" w:eastAsia="新宋体"/>
                <w:sz w:val="21"/>
                <w:szCs w:val="21"/>
              </w:rPr>
              <w:t>2.投标人提供2016年1月1日以来信用评级机构出具的有效的企业信用等级证书和信用等级报告的原件扫描件，等级为AAA级的得2分，其他不得分。</w:t>
            </w:r>
          </w:p>
        </w:tc>
        <w:tc>
          <w:tcPr>
            <w:tcW w:w="1675" w:type="dxa"/>
            <w:vAlign w:val="center"/>
          </w:tcPr>
          <w:p>
            <w:pPr>
              <w:jc w:val="center"/>
              <w:rPr>
                <w:rFonts w:hAnsi="Calibri" w:eastAsia="宋体"/>
                <w:sz w:val="21"/>
                <w:szCs w:val="21"/>
              </w:rPr>
            </w:pPr>
            <w:r>
              <w:rPr>
                <w:rFonts w:hint="eastAsia" w:hAnsi="宋体"/>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62" w:type="dxa"/>
            <w:vAlign w:val="center"/>
          </w:tcPr>
          <w:p>
            <w:pPr>
              <w:spacing w:line="300" w:lineRule="exact"/>
              <w:jc w:val="center"/>
              <w:rPr>
                <w:rFonts w:hAnsi="Calibri" w:eastAsia="宋体"/>
                <w:sz w:val="21"/>
                <w:szCs w:val="21"/>
              </w:rPr>
            </w:pPr>
            <w:r>
              <w:rPr>
                <w:rFonts w:hint="eastAsia"/>
                <w:sz w:val="21"/>
                <w:szCs w:val="21"/>
              </w:rPr>
              <w:t>6</w:t>
            </w:r>
          </w:p>
        </w:tc>
        <w:tc>
          <w:tcPr>
            <w:tcW w:w="1797" w:type="dxa"/>
            <w:vAlign w:val="center"/>
          </w:tcPr>
          <w:p>
            <w:pPr>
              <w:spacing w:line="300" w:lineRule="exact"/>
              <w:jc w:val="left"/>
              <w:rPr>
                <w:rFonts w:hAnsi="Calibri" w:eastAsia="宋体"/>
                <w:sz w:val="21"/>
                <w:szCs w:val="21"/>
              </w:rPr>
            </w:pPr>
            <w:r>
              <w:rPr>
                <w:rFonts w:hint="eastAsia"/>
                <w:sz w:val="21"/>
                <w:szCs w:val="21"/>
              </w:rPr>
              <w:t>项目经理信用</w:t>
            </w:r>
          </w:p>
        </w:tc>
        <w:tc>
          <w:tcPr>
            <w:tcW w:w="5602" w:type="dxa"/>
            <w:vAlign w:val="center"/>
          </w:tcPr>
          <w:p>
            <w:pPr>
              <w:snapToGrid w:val="0"/>
              <w:spacing w:line="300" w:lineRule="exact"/>
              <w:rPr>
                <w:rFonts w:hAnsi="宋体" w:eastAsia="宋体"/>
                <w:sz w:val="21"/>
                <w:szCs w:val="21"/>
              </w:rPr>
            </w:pPr>
            <w:r>
              <w:rPr>
                <w:rFonts w:hint="eastAsia" w:hAnsi="宋体"/>
                <w:sz w:val="21"/>
                <w:szCs w:val="21"/>
              </w:rPr>
              <w:t>自2016年1月1日以来项目经理获得过省级以上（含省级）科技进步奖者得</w:t>
            </w:r>
            <w:r>
              <w:rPr>
                <w:rFonts w:hint="eastAsia" w:hAnsi="宋体"/>
                <w:sz w:val="21"/>
                <w:szCs w:val="21"/>
                <w:lang w:val="en-US" w:eastAsia="zh-CN"/>
              </w:rPr>
              <w:t>2</w:t>
            </w:r>
            <w:r>
              <w:rPr>
                <w:rFonts w:hint="eastAsia" w:hAnsi="宋体"/>
                <w:sz w:val="21"/>
                <w:szCs w:val="21"/>
              </w:rPr>
              <w:t>分。（需提供获奖证书和同级奖励文件扫描件，以证书时间为准）</w:t>
            </w:r>
          </w:p>
        </w:tc>
        <w:tc>
          <w:tcPr>
            <w:tcW w:w="1675" w:type="dxa"/>
            <w:vAlign w:val="center"/>
          </w:tcPr>
          <w:p>
            <w:pPr>
              <w:jc w:val="center"/>
              <w:rPr>
                <w:rFonts w:hint="eastAsia" w:hAnsi="Calibri" w:eastAsiaTheme="minorEastAsia"/>
                <w:sz w:val="21"/>
                <w:szCs w:val="21"/>
                <w:lang w:val="en-US" w:eastAsia="zh-CN"/>
              </w:rPr>
            </w:pPr>
            <w:r>
              <w:rPr>
                <w:rFonts w:hint="eastAsia" w:hAnsi="宋体"/>
                <w:kern w:val="2"/>
                <w:sz w:val="21"/>
                <w:szCs w:val="21"/>
              </w:rPr>
              <w:t>0≤得分≤</w:t>
            </w:r>
            <w:r>
              <w:rPr>
                <w:rFonts w:hint="eastAsia" w:hAnsi="宋体"/>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2" w:type="dxa"/>
            <w:vAlign w:val="center"/>
          </w:tcPr>
          <w:p>
            <w:pPr>
              <w:spacing w:line="300" w:lineRule="exact"/>
              <w:jc w:val="center"/>
              <w:rPr>
                <w:rFonts w:hAnsi="Calibri" w:eastAsia="宋体"/>
                <w:sz w:val="21"/>
                <w:szCs w:val="21"/>
              </w:rPr>
            </w:pPr>
            <w:r>
              <w:rPr>
                <w:rFonts w:hint="eastAsia"/>
                <w:sz w:val="21"/>
                <w:szCs w:val="21"/>
              </w:rPr>
              <w:t>7</w:t>
            </w:r>
          </w:p>
        </w:tc>
        <w:tc>
          <w:tcPr>
            <w:tcW w:w="1797" w:type="dxa"/>
            <w:vAlign w:val="center"/>
          </w:tcPr>
          <w:p>
            <w:pPr>
              <w:spacing w:line="300" w:lineRule="exact"/>
              <w:jc w:val="center"/>
              <w:rPr>
                <w:rFonts w:hAnsi="Calibri" w:eastAsia="宋体"/>
                <w:sz w:val="21"/>
                <w:szCs w:val="21"/>
              </w:rPr>
            </w:pPr>
            <w:r>
              <w:rPr>
                <w:rFonts w:hint="eastAsia"/>
                <w:sz w:val="21"/>
                <w:szCs w:val="21"/>
              </w:rPr>
              <w:t>招标人意见</w:t>
            </w:r>
          </w:p>
        </w:tc>
        <w:tc>
          <w:tcPr>
            <w:tcW w:w="5602" w:type="dxa"/>
            <w:vAlign w:val="center"/>
          </w:tcPr>
          <w:p>
            <w:pPr>
              <w:snapToGrid w:val="0"/>
              <w:spacing w:line="300" w:lineRule="exact"/>
              <w:rPr>
                <w:rFonts w:hAnsi="宋体" w:eastAsia="宋体"/>
                <w:sz w:val="21"/>
                <w:szCs w:val="21"/>
              </w:rPr>
            </w:pPr>
            <w:r>
              <w:rPr>
                <w:rFonts w:hint="eastAsia" w:hAnsi="宋体"/>
                <w:sz w:val="21"/>
                <w:szCs w:val="21"/>
              </w:rPr>
              <w:t>招标人意见均为2分</w:t>
            </w:r>
          </w:p>
        </w:tc>
        <w:tc>
          <w:tcPr>
            <w:tcW w:w="1675" w:type="dxa"/>
            <w:vAlign w:val="center"/>
          </w:tcPr>
          <w:p>
            <w:pPr>
              <w:jc w:val="center"/>
              <w:rPr>
                <w:rFonts w:hAnsi="Calibri" w:eastAsia="宋体"/>
                <w:sz w:val="21"/>
                <w:szCs w:val="21"/>
              </w:rPr>
            </w:pPr>
            <w:r>
              <w:rPr>
                <w:rFonts w:hint="eastAsia" w:hAnsi="宋体"/>
                <w:kern w:val="2"/>
                <w:sz w:val="21"/>
                <w:szCs w:val="21"/>
              </w:rPr>
              <w:t>0≤得分≤2</w:t>
            </w:r>
          </w:p>
        </w:tc>
      </w:tr>
    </w:tbl>
    <w:p>
      <w:pPr>
        <w:snapToGrid w:val="0"/>
        <w:spacing w:line="360" w:lineRule="auto"/>
        <w:rPr>
          <w:rFonts w:hint="eastAsia" w:hAnsi="宋体" w:cs="Times New Roman"/>
          <w:sz w:val="24"/>
          <w:szCs w:val="24"/>
        </w:rPr>
      </w:pPr>
      <w:r>
        <w:rPr>
          <w:rFonts w:hint="eastAsia" w:hAnsi="宋体"/>
          <w:b/>
          <w:bCs/>
          <w:sz w:val="24"/>
          <w:szCs w:val="24"/>
        </w:rPr>
        <w:t>（五）投标人综合得分</w:t>
      </w:r>
    </w:p>
    <w:p>
      <w:pPr>
        <w:snapToGrid w:val="0"/>
        <w:spacing w:line="360" w:lineRule="auto"/>
        <w:ind w:firstLine="480"/>
        <w:rPr>
          <w:rFonts w:hint="eastAsia" w:hAnsi="宋体"/>
          <w:sz w:val="24"/>
          <w:szCs w:val="24"/>
        </w:rPr>
      </w:pPr>
      <w:r>
        <w:rPr>
          <w:rFonts w:hint="eastAsia" w:hAnsi="宋体"/>
          <w:sz w:val="24"/>
          <w:szCs w:val="24"/>
        </w:rPr>
        <w:t xml:space="preserve">投标人综合得分＝技术标得分＋商务标得分＋综合标得分 </w:t>
      </w:r>
    </w:p>
    <w:p>
      <w:pPr>
        <w:spacing w:line="440" w:lineRule="exact"/>
        <w:rPr>
          <w:rFonts w:hint="eastAsia" w:ascii="新宋体" w:hAnsi="新宋体" w:eastAsia="新宋体" w:cs="宋体"/>
          <w:b/>
          <w:bCs/>
          <w:sz w:val="24"/>
          <w:szCs w:val="24"/>
        </w:rPr>
      </w:pPr>
      <w:r>
        <w:rPr>
          <w:rFonts w:hint="eastAsia" w:ascii="新宋体" w:hAnsi="新宋体" w:eastAsia="新宋体" w:cs="宋体"/>
          <w:b/>
          <w:bCs/>
          <w:sz w:val="24"/>
          <w:szCs w:val="24"/>
        </w:rPr>
        <w:t xml:space="preserve">（六）中标候选人排序 </w:t>
      </w:r>
    </w:p>
    <w:p>
      <w:pPr>
        <w:spacing w:line="440" w:lineRule="exact"/>
        <w:ind w:firstLine="480" w:firstLineChars="200"/>
        <w:rPr>
          <w:rFonts w:hint="eastAsia" w:ascii="新宋体" w:hAnsi="新宋体" w:eastAsia="新宋体" w:cs="Times New Roman"/>
          <w:sz w:val="24"/>
          <w:szCs w:val="24"/>
        </w:rPr>
      </w:pPr>
      <w:r>
        <w:rPr>
          <w:rFonts w:hint="eastAsia" w:ascii="新宋体" w:hAnsi="新宋体" w:eastAsia="新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0" w:firstLineChars="200"/>
        <w:rPr>
          <w:rFonts w:hint="eastAsia" w:ascii="新宋体" w:hAnsi="新宋体" w:eastAsia="新宋体"/>
          <w:b/>
          <w:bCs/>
          <w:sz w:val="24"/>
          <w:szCs w:val="24"/>
        </w:rPr>
      </w:pPr>
      <w:r>
        <w:rPr>
          <w:rFonts w:hint="eastAsia" w:ascii="新宋体" w:hAnsi="新宋体" w:eastAsia="新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hint="eastAsia" w:ascii="新宋体" w:hAnsi="新宋体" w:eastAsia="新宋体" w:cs="宋体"/>
          <w:b/>
          <w:bCs/>
          <w:sz w:val="24"/>
          <w:szCs w:val="24"/>
        </w:rPr>
      </w:pPr>
      <w:r>
        <w:rPr>
          <w:rFonts w:hint="eastAsia" w:ascii="新宋体" w:hAnsi="新宋体" w:eastAsia="新宋体" w:cs="宋体"/>
          <w:b/>
          <w:bCs/>
          <w:sz w:val="24"/>
          <w:szCs w:val="24"/>
        </w:rPr>
        <w:t>七、定标</w:t>
      </w:r>
    </w:p>
    <w:p>
      <w:pPr>
        <w:spacing w:line="440" w:lineRule="exact"/>
        <w:ind w:firstLine="480" w:firstLineChars="200"/>
        <w:rPr>
          <w:rFonts w:hint="eastAsia" w:ascii="新宋体" w:hAnsi="新宋体" w:eastAsia="新宋体" w:cs="Times New Roman"/>
          <w:sz w:val="24"/>
          <w:szCs w:val="24"/>
        </w:rPr>
      </w:pPr>
      <w:r>
        <w:rPr>
          <w:rFonts w:hint="eastAsia" w:ascii="新宋体" w:hAnsi="新宋体" w:eastAsia="新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hint="eastAsia" w:ascii="新宋体" w:hAnsi="新宋体" w:eastAsia="新宋体" w:cs="宋体"/>
          <w:b/>
          <w:bCs/>
          <w:sz w:val="24"/>
          <w:szCs w:val="24"/>
        </w:rPr>
      </w:pPr>
      <w:r>
        <w:rPr>
          <w:rFonts w:hint="eastAsia" w:ascii="新宋体" w:hAnsi="新宋体" w:eastAsia="新宋体" w:cs="宋体"/>
          <w:b/>
          <w:bCs/>
          <w:sz w:val="24"/>
          <w:szCs w:val="24"/>
        </w:rPr>
        <w:t>八、评标注意事项</w:t>
      </w:r>
    </w:p>
    <w:p>
      <w:pPr>
        <w:spacing w:line="400" w:lineRule="exact"/>
        <w:ind w:firstLine="480" w:firstLineChars="200"/>
        <w:rPr>
          <w:rFonts w:hint="eastAsia" w:hAnsi="宋体" w:eastAsia="宋体" w:cs="Times New Roman"/>
          <w:sz w:val="24"/>
          <w:szCs w:val="24"/>
        </w:rPr>
      </w:pPr>
      <w:r>
        <w:rPr>
          <w:rFonts w:hint="eastAsia" w:hAnsi="宋体"/>
          <w:sz w:val="24"/>
          <w:szCs w:val="24"/>
        </w:rPr>
        <w:t>评标委员会应按下列原则进行评分汇总统计：</w:t>
      </w:r>
    </w:p>
    <w:p>
      <w:pPr>
        <w:spacing w:line="440" w:lineRule="exact"/>
        <w:ind w:firstLine="480" w:firstLineChars="200"/>
        <w:rPr>
          <w:rFonts w:hint="eastAsia" w:ascii="新宋体" w:hAnsi="新宋体" w:eastAsia="新宋体"/>
          <w:sz w:val="24"/>
          <w:szCs w:val="24"/>
        </w:rPr>
      </w:pPr>
      <w:r>
        <w:rPr>
          <w:rFonts w:hint="eastAsia" w:ascii="新宋体" w:hAnsi="新宋体" w:eastAsia="新宋体"/>
          <w:sz w:val="24"/>
          <w:szCs w:val="24"/>
        </w:rPr>
        <w:t>1.评标委员会完成技术标评分、综合标评分后，应分别从中去掉一个最高分和一个最低分，取平均值作为该投标人的技术标、综合标得分。</w:t>
      </w:r>
    </w:p>
    <w:p>
      <w:pPr>
        <w:spacing w:line="400" w:lineRule="exact"/>
        <w:ind w:firstLine="480" w:firstLineChars="200"/>
        <w:rPr>
          <w:rFonts w:hint="eastAsia" w:ascii="新宋体" w:hAnsi="新宋体" w:eastAsia="新宋体"/>
          <w:sz w:val="24"/>
          <w:szCs w:val="24"/>
        </w:rPr>
      </w:pPr>
      <w:r>
        <w:rPr>
          <w:rFonts w:hint="eastAsia" w:hAnsi="宋体"/>
          <w:sz w:val="24"/>
          <w:szCs w:val="24"/>
        </w:rPr>
        <w:t>2.评标委员会人数在5人以上时，去掉一个最高分和一个最低分取平均值；评标委员会人数在5人时，取所有评委评分的平均值。</w:t>
      </w:r>
    </w:p>
    <w:p>
      <w:pPr>
        <w:spacing w:line="400" w:lineRule="exact"/>
        <w:ind w:firstLine="480" w:firstLineChars="200"/>
        <w:rPr>
          <w:rFonts w:hint="eastAsia" w:hAnsi="宋体" w:eastAsia="宋体"/>
          <w:sz w:val="24"/>
          <w:szCs w:val="24"/>
        </w:rPr>
      </w:pPr>
      <w:r>
        <w:rPr>
          <w:rFonts w:hint="eastAsia" w:hAnsi="宋体"/>
          <w:sz w:val="24"/>
          <w:szCs w:val="24"/>
        </w:rPr>
        <w:t>3.分数计算过程中，保留两位小数，小数点后第三位四舍五入。</w:t>
      </w:r>
    </w:p>
    <w:p>
      <w:pPr>
        <w:pStyle w:val="53"/>
        <w:keepLines w:val="0"/>
        <w:ind w:firstLine="480" w:firstLineChars="200"/>
        <w:rPr>
          <w:rFonts w:hint="eastAsia" w:ascii="新宋体" w:hAnsi="新宋体" w:eastAsia="新宋体"/>
          <w:b/>
          <w:bCs/>
          <w:szCs w:val="24"/>
        </w:rPr>
      </w:pPr>
      <w:r>
        <w:rPr>
          <w:rFonts w:hint="eastAsia" w:ascii="新宋体" w:hAnsi="新宋体" w:eastAsia="新宋体"/>
          <w:b/>
          <w:bCs/>
        </w:rPr>
        <w:t>九、评标报告</w:t>
      </w:r>
    </w:p>
    <w:p>
      <w:pPr>
        <w:spacing w:line="430" w:lineRule="exact"/>
        <w:ind w:firstLine="480" w:firstLineChars="200"/>
        <w:rPr>
          <w:rFonts w:hint="eastAsia" w:ascii="新宋体" w:hAnsi="新宋体" w:eastAsia="新宋体"/>
          <w:sz w:val="24"/>
          <w:szCs w:val="24"/>
        </w:rPr>
      </w:pPr>
      <w:r>
        <w:rPr>
          <w:rFonts w:hint="eastAsia" w:ascii="新宋体" w:hAnsi="新宋体" w:eastAsia="新宋体"/>
          <w:sz w:val="24"/>
          <w:szCs w:val="24"/>
        </w:rPr>
        <w:t>评标委员会根据投标人须知前附表7.1条的规定向招标人提交评标报告。评标报告应当由全体评标委员会成员签字，并于评标结束时抄送有关行政监督部门。</w:t>
      </w:r>
    </w:p>
    <w:p>
      <w:pPr>
        <w:pStyle w:val="53"/>
        <w:keepLines w:val="0"/>
        <w:ind w:firstLine="480" w:firstLineChars="200"/>
        <w:rPr>
          <w:rFonts w:hint="eastAsia" w:ascii="新宋体" w:hAnsi="新宋体" w:eastAsia="新宋体"/>
          <w:b/>
          <w:bCs/>
          <w:szCs w:val="24"/>
        </w:rPr>
      </w:pPr>
      <w:r>
        <w:rPr>
          <w:rFonts w:hint="eastAsia" w:ascii="新宋体" w:hAnsi="新宋体" w:eastAsia="新宋体"/>
          <w:b/>
          <w:bCs/>
        </w:rPr>
        <w:t>十、公示</w:t>
      </w:r>
    </w:p>
    <w:p>
      <w:pPr>
        <w:spacing w:line="420" w:lineRule="exact"/>
        <w:ind w:firstLine="480" w:firstLineChars="200"/>
        <w:rPr>
          <w:rFonts w:hint="eastAsia" w:ascii="新宋体" w:hAnsi="新宋体" w:eastAsia="新宋体"/>
          <w:sz w:val="24"/>
          <w:szCs w:val="24"/>
        </w:rPr>
      </w:pPr>
      <w:r>
        <w:rPr>
          <w:rFonts w:hint="eastAsia" w:ascii="新宋体" w:hAnsi="新宋体" w:eastAsia="新宋体"/>
          <w:sz w:val="24"/>
          <w:szCs w:val="24"/>
        </w:rPr>
        <w:t>中标人确定后，招标人应当告知各投标人，质疑时间不少于3日。质疑期满后，招标人应当将招标投标情况书面报告提交招标投标管理部门备案，向中标人发出中标通知书，并向所有合格投标人告知中标结果。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hint="eastAsia" w:ascii="新宋体" w:hAnsi="新宋体" w:eastAsia="新宋体"/>
          <w:b/>
          <w:bCs/>
          <w:sz w:val="24"/>
          <w:szCs w:val="24"/>
        </w:rPr>
      </w:pPr>
      <w:r>
        <w:rPr>
          <w:rFonts w:hint="eastAsia" w:ascii="新宋体" w:hAnsi="新宋体" w:eastAsia="新宋体"/>
          <w:b/>
          <w:bCs/>
          <w:sz w:val="24"/>
          <w:szCs w:val="24"/>
        </w:rPr>
        <w:t>十一、特殊情况的处置程序</w:t>
      </w:r>
    </w:p>
    <w:p>
      <w:pPr>
        <w:spacing w:line="430" w:lineRule="exact"/>
        <w:ind w:firstLine="480" w:firstLineChars="200"/>
        <w:outlineLvl w:val="0"/>
        <w:rPr>
          <w:rFonts w:hint="eastAsia" w:ascii="新宋体" w:hAnsi="新宋体" w:eastAsia="新宋体"/>
          <w:b/>
          <w:bCs/>
          <w:sz w:val="24"/>
          <w:szCs w:val="24"/>
        </w:rPr>
      </w:pPr>
      <w:r>
        <w:rPr>
          <w:rFonts w:hint="eastAsia" w:ascii="新宋体" w:hAnsi="新宋体" w:eastAsia="新宋体"/>
          <w:b/>
          <w:bCs/>
          <w:sz w:val="24"/>
          <w:szCs w:val="24"/>
        </w:rPr>
        <w:t>11.1关于澄清、说明或补正</w:t>
      </w:r>
    </w:p>
    <w:p>
      <w:pPr>
        <w:spacing w:line="430" w:lineRule="exact"/>
        <w:ind w:firstLine="480" w:firstLineChars="200"/>
        <w:outlineLvl w:val="0"/>
        <w:rPr>
          <w:rFonts w:hint="eastAsia" w:ascii="新宋体" w:hAnsi="新宋体" w:eastAsia="新宋体"/>
          <w:sz w:val="24"/>
          <w:szCs w:val="24"/>
        </w:rPr>
      </w:pPr>
      <w:r>
        <w:rPr>
          <w:rFonts w:hint="eastAsia" w:ascii="新宋体" w:hAnsi="新宋体" w:eastAsia="新宋体"/>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hint="eastAsia" w:ascii="新宋体" w:hAnsi="新宋体" w:eastAsia="新宋体"/>
          <w:b/>
          <w:bCs/>
          <w:sz w:val="24"/>
          <w:szCs w:val="24"/>
        </w:rPr>
      </w:pPr>
      <w:r>
        <w:rPr>
          <w:rFonts w:hint="eastAsia" w:ascii="新宋体" w:hAnsi="新宋体" w:eastAsia="新宋体"/>
          <w:b/>
          <w:bCs/>
          <w:sz w:val="24"/>
          <w:szCs w:val="24"/>
        </w:rPr>
        <w:t>11.2关于评标活动暂停</w:t>
      </w:r>
    </w:p>
    <w:p>
      <w:pPr>
        <w:spacing w:line="430" w:lineRule="exact"/>
        <w:ind w:firstLine="480" w:firstLineChars="200"/>
        <w:rPr>
          <w:rFonts w:hint="eastAsia" w:ascii="新宋体" w:hAnsi="新宋体" w:eastAsia="新宋体"/>
          <w:sz w:val="24"/>
          <w:szCs w:val="24"/>
        </w:rPr>
      </w:pPr>
      <w:r>
        <w:rPr>
          <w:rFonts w:hint="eastAsia" w:ascii="新宋体" w:hAnsi="新宋体" w:eastAsia="新宋体"/>
          <w:sz w:val="24"/>
          <w:szCs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hint="eastAsia" w:ascii="新宋体" w:hAnsi="新宋体" w:eastAsia="新宋体"/>
          <w:sz w:val="24"/>
          <w:szCs w:val="24"/>
        </w:rPr>
      </w:pPr>
      <w:r>
        <w:rPr>
          <w:rFonts w:hint="eastAsia" w:ascii="新宋体" w:hAnsi="新宋体" w:eastAsia="新宋体"/>
          <w:sz w:val="24"/>
          <w:szCs w:val="24"/>
        </w:rPr>
        <w:t>11.2.2发生评标暂停情况时，评标委员会应当封存全部投标文件和评标记录，待不可抗力的影响结束且具备继续评标的条件时，由原评标委员会继续评标。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hint="eastAsia" w:ascii="新宋体" w:hAnsi="新宋体" w:eastAsia="新宋体"/>
          <w:b/>
          <w:bCs/>
          <w:sz w:val="24"/>
          <w:szCs w:val="24"/>
        </w:rPr>
      </w:pPr>
      <w:r>
        <w:rPr>
          <w:rFonts w:hint="eastAsia" w:ascii="新宋体" w:hAnsi="新宋体" w:eastAsia="新宋体"/>
          <w:b/>
          <w:bCs/>
          <w:sz w:val="24"/>
          <w:szCs w:val="24"/>
        </w:rPr>
        <w:t>11.3关于评标中途更换评标委员会成员</w:t>
      </w:r>
    </w:p>
    <w:p>
      <w:pPr>
        <w:spacing w:line="430" w:lineRule="exact"/>
        <w:ind w:firstLine="480" w:firstLineChars="200"/>
        <w:rPr>
          <w:rFonts w:hint="eastAsia" w:ascii="新宋体" w:hAnsi="新宋体" w:eastAsia="新宋体"/>
          <w:sz w:val="24"/>
          <w:szCs w:val="24"/>
        </w:rPr>
      </w:pPr>
      <w:r>
        <w:rPr>
          <w:rFonts w:hint="eastAsia" w:ascii="新宋体" w:hAnsi="新宋体" w:eastAsia="新宋体"/>
          <w:sz w:val="24"/>
          <w:szCs w:val="24"/>
        </w:rPr>
        <w:t>11.3.1除非发生下列情况之一，评标委员会成员不得在评标中途更换：</w:t>
      </w:r>
    </w:p>
    <w:p>
      <w:pPr>
        <w:spacing w:line="4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hint="eastAsia" w:ascii="新宋体" w:hAnsi="新宋体" w:eastAsia="新宋体"/>
          <w:b/>
          <w:bCs/>
          <w:sz w:val="24"/>
          <w:szCs w:val="24"/>
        </w:rPr>
      </w:pPr>
      <w:r>
        <w:rPr>
          <w:rFonts w:hint="eastAsia" w:ascii="新宋体" w:hAnsi="新宋体" w:eastAsia="新宋体"/>
          <w:b/>
          <w:bCs/>
          <w:sz w:val="24"/>
          <w:szCs w:val="24"/>
        </w:rPr>
        <w:t>11.4记名投票</w:t>
      </w:r>
    </w:p>
    <w:p>
      <w:pPr>
        <w:spacing w:line="4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rFonts w:hint="eastAsia" w:hAnsi="Calibri" w:eastAsia="宋体"/>
          <w:b/>
          <w:bCs/>
          <w:sz w:val="24"/>
          <w:szCs w:val="24"/>
        </w:rPr>
      </w:pPr>
      <w:r>
        <w:rPr>
          <w:rFonts w:hint="eastAsia"/>
          <w:b/>
          <w:bCs/>
          <w:sz w:val="24"/>
          <w:szCs w:val="24"/>
        </w:rPr>
        <w:t>11.5评标委员会对评标结果有异议的</w:t>
      </w:r>
    </w:p>
    <w:p>
      <w:pPr>
        <w:adjustRightInd w:val="0"/>
        <w:snapToGrid w:val="0"/>
        <w:spacing w:line="430" w:lineRule="exact"/>
        <w:rPr>
          <w:rFonts w:hint="eastAsia" w:hAnsi="宋体"/>
          <w:spacing w:val="-3"/>
          <w:sz w:val="24"/>
          <w:szCs w:val="24"/>
        </w:rPr>
      </w:pPr>
      <w:r>
        <w:rPr>
          <w:rFonts w:hint="eastAsia" w:hAnsi="宋体"/>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bookmarkEnd w:id="74"/>
    <w:bookmarkEnd w:id="75"/>
    <w:p>
      <w:pPr>
        <w:spacing w:line="420" w:lineRule="exact"/>
        <w:jc w:val="center"/>
        <w:outlineLvl w:val="0"/>
        <w:rPr>
          <w:rFonts w:hAnsi="宋体" w:cs="宋体"/>
          <w:spacing w:val="-3"/>
          <w:sz w:val="24"/>
        </w:rPr>
      </w:pP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6"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77" w:name="_Toc508875510"/>
      <w:bookmarkStart w:id="78" w:name="_Toc13587"/>
      <w:r>
        <w:rPr>
          <w:rFonts w:hint="eastAsia" w:hAnsi="宋体" w:cs="黑体"/>
          <w:b/>
          <w:sz w:val="36"/>
          <w:szCs w:val="36"/>
        </w:rPr>
        <w:t>第四章合同条款及格式</w:t>
      </w:r>
      <w:bookmarkEnd w:id="11"/>
      <w:bookmarkEnd w:id="77"/>
      <w:bookmarkEnd w:id="78"/>
    </w:p>
    <w:p>
      <w:pPr>
        <w:autoSpaceDE w:val="0"/>
        <w:autoSpaceDN w:val="0"/>
        <w:adjustRightInd w:val="0"/>
        <w:jc w:val="center"/>
        <w:rPr>
          <w:rFonts w:cs="黑体"/>
          <w:b/>
          <w:sz w:val="24"/>
          <w:szCs w:val="24"/>
        </w:rPr>
      </w:pPr>
      <w:bookmarkStart w:id="79"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bookmarkStart w:id="80" w:name="_Toc508875511"/>
      <w:bookmarkStart w:id="81" w:name="_Toc2321"/>
    </w:p>
    <w:p>
      <w:pPr>
        <w:tabs>
          <w:tab w:val="left" w:pos="6932"/>
        </w:tabs>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bookmarkEnd w:id="80"/>
      <w:bookmarkEnd w:id="81"/>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 定额及取费按《河南省房屋建筑与装饰工程预算定额》（</w:t>
      </w:r>
      <w:r>
        <w:rPr>
          <w:rFonts w:ascii="新宋体" w:hAnsi="新宋体" w:eastAsia="新宋体"/>
          <w:sz w:val="24"/>
        </w:rPr>
        <w:t>20</w:t>
      </w:r>
      <w:r>
        <w:rPr>
          <w:rFonts w:hint="eastAsia" w:ascii="新宋体" w:hAnsi="新宋体" w:eastAsia="新宋体"/>
          <w:sz w:val="24"/>
        </w:rPr>
        <w:t>16年版）、《河南省通用安装工程预算定额》（</w:t>
      </w:r>
      <w:r>
        <w:rPr>
          <w:rFonts w:ascii="新宋体" w:hAnsi="新宋体" w:eastAsia="新宋体"/>
          <w:sz w:val="24"/>
        </w:rPr>
        <w:t>20</w:t>
      </w:r>
      <w:r>
        <w:rPr>
          <w:rFonts w:hint="eastAsia" w:ascii="新宋体" w:hAnsi="新宋体" w:eastAsia="新宋体"/>
          <w:sz w:val="24"/>
        </w:rPr>
        <w:t>16年版）等文件执行；</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建设工程设计文件、补充说明、及相关问题的答复等相关资料；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autoSpaceDE w:val="0"/>
        <w:autoSpaceDN w:val="0"/>
        <w:spacing w:line="360" w:lineRule="exact"/>
        <w:ind w:firstLine="480" w:firstLineChars="200"/>
        <w:jc w:val="left"/>
        <w:rPr>
          <w:rFonts w:ascii="新宋体" w:hAnsi="新宋体" w:eastAsia="新宋体"/>
          <w:sz w:val="24"/>
        </w:rPr>
      </w:pPr>
      <w:r>
        <w:rPr>
          <w:rFonts w:hint="eastAsia" w:ascii="新宋体" w:hAnsi="新宋体" w:eastAsia="新宋体"/>
          <w:sz w:val="24"/>
        </w:rPr>
        <w:t>(9) 材料价格依据2019年8月份《许昌工程造价信息》材料价、主材价及市场调查价；</w:t>
      </w:r>
    </w:p>
    <w:p>
      <w:pPr>
        <w:spacing w:line="500" w:lineRule="exact"/>
        <w:ind w:firstLine="480" w:firstLineChars="200"/>
        <w:rPr>
          <w:rFonts w:hAnsi="宋体"/>
          <w:sz w:val="24"/>
        </w:rPr>
      </w:pPr>
      <w:r>
        <w:rPr>
          <w:rFonts w:hint="eastAsia" w:ascii="新宋体" w:hAnsi="新宋体" w:eastAsia="新宋体"/>
          <w:sz w:val="24"/>
        </w:rPr>
        <w:t>(10)</w:t>
      </w:r>
      <w:r>
        <w:rPr>
          <w:rFonts w:hint="eastAsia" w:hAnsi="宋体"/>
          <w:sz w:val="24"/>
        </w:rPr>
        <w:t xml:space="preserve"> 本工程人工费依据豫建标定2019【26号】河南省2019年1-6月人工价格指数。</w:t>
      </w:r>
    </w:p>
    <w:p>
      <w:pPr>
        <w:spacing w:line="500" w:lineRule="exact"/>
        <w:ind w:firstLine="480" w:firstLineChars="200"/>
        <w:rPr>
          <w:rFonts w:hAnsi="宋体"/>
          <w:sz w:val="24"/>
        </w:rPr>
      </w:pPr>
      <w:r>
        <w:rPr>
          <w:rFonts w:hint="eastAsia" w:ascii="新宋体" w:hAnsi="新宋体" w:eastAsia="新宋体"/>
          <w:sz w:val="24"/>
        </w:rPr>
        <w:t xml:space="preserve">(11) </w:t>
      </w:r>
      <w:r>
        <w:rPr>
          <w:rFonts w:hint="eastAsia" w:hAnsi="宋体"/>
          <w:sz w:val="24"/>
        </w:rPr>
        <w:t>税金按照建设部建办标函【2019】193号9</w:t>
      </w:r>
      <w:r>
        <w:rPr>
          <w:rFonts w:hint="eastAsia" w:hAnsi="宋体"/>
          <w:bCs/>
          <w:sz w:val="24"/>
        </w:rPr>
        <w:t>%</w:t>
      </w:r>
      <w:r>
        <w:rPr>
          <w:rFonts w:hint="eastAsia" w:hAnsi="宋体"/>
          <w:sz w:val="24"/>
        </w:rPr>
        <w:t>计入。</w:t>
      </w:r>
    </w:p>
    <w:p>
      <w:pPr>
        <w:spacing w:line="500" w:lineRule="exact"/>
        <w:ind w:firstLine="480" w:firstLineChars="200"/>
        <w:rPr>
          <w:rFonts w:ascii="新宋体" w:hAnsi="新宋体" w:eastAsia="新宋体"/>
          <w:sz w:val="24"/>
        </w:rPr>
      </w:pPr>
      <w:r>
        <w:rPr>
          <w:rFonts w:hint="eastAsia" w:ascii="新宋体" w:hAnsi="新宋体" w:eastAsia="新宋体"/>
          <w:sz w:val="24"/>
        </w:rPr>
        <w:t>(12)其他的相关资料。</w:t>
      </w:r>
    </w:p>
    <w:p>
      <w:pPr>
        <w:autoSpaceDE w:val="0"/>
        <w:autoSpaceDN w:val="0"/>
        <w:spacing w:line="360" w:lineRule="exact"/>
        <w:ind w:firstLine="480" w:firstLineChars="200"/>
        <w:jc w:val="left"/>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无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50"/>
          <w:rFonts w:hint="eastAsia" w:ascii="MS Mincho" w:hAnsi="MS Mincho" w:cs="MS Mincho"/>
          <w:bCs/>
          <w:color w:val="auto"/>
          <w:sz w:val="24"/>
        </w:rPr>
        <w:t>http://www.xcggzy.gov.cn/</w:t>
      </w:r>
      <w:r>
        <w:rPr>
          <w:rStyle w:val="50"/>
          <w:rFonts w:hint="eastAsia" w:ascii="MS Mincho" w:hAnsi="MS Mincho" w:cs="MS Mincho"/>
          <w:bCs/>
          <w:color w:val="auto"/>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440" w:lineRule="exact"/>
        <w:rPr>
          <w:rFonts w:ascii="新宋体" w:hAnsi="新宋体" w:eastAsia="新宋体"/>
          <w:sz w:val="24"/>
        </w:rPr>
      </w:pPr>
      <w:r>
        <w:rPr>
          <w:rFonts w:ascii="新宋体" w:hAnsi="新宋体" w:eastAsia="新宋体"/>
          <w:sz w:val="24"/>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82" w:name="_Toc8264"/>
      <w:bookmarkStart w:id="83" w:name="_Toc508875512"/>
      <w:r>
        <w:rPr>
          <w:rFonts w:hint="eastAsia" w:hAnsi="宋体" w:cs="黑体"/>
          <w:b/>
          <w:sz w:val="36"/>
          <w:szCs w:val="36"/>
        </w:rPr>
        <w:t>第六章图纸</w:t>
      </w:r>
      <w:bookmarkEnd w:id="79"/>
      <w:bookmarkEnd w:id="82"/>
      <w:bookmarkEnd w:id="83"/>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84"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85" w:name="_Toc30209"/>
      <w:bookmarkStart w:id="86" w:name="_Toc508875513"/>
      <w:r>
        <w:rPr>
          <w:rFonts w:hint="eastAsia" w:hAnsi="宋体" w:cs="黑体"/>
          <w:b/>
          <w:sz w:val="36"/>
          <w:szCs w:val="36"/>
        </w:rPr>
        <w:t>第七章技术标准和要求</w:t>
      </w:r>
      <w:bookmarkEnd w:id="84"/>
      <w:bookmarkEnd w:id="85"/>
      <w:bookmarkEnd w:id="86"/>
    </w:p>
    <w:p>
      <w:pPr>
        <w:spacing w:line="500" w:lineRule="exact"/>
        <w:ind w:firstLine="480" w:firstLineChars="200"/>
        <w:jc w:val="left"/>
        <w:rPr>
          <w:rFonts w:ascii="新宋体" w:hAnsi="新宋体" w:eastAsia="新宋体"/>
          <w:sz w:val="24"/>
        </w:rPr>
      </w:pPr>
    </w:p>
    <w:p>
      <w:pPr>
        <w:numPr>
          <w:ilvl w:val="0"/>
          <w:numId w:val="6"/>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87" w:name="_Toc278443525"/>
    </w:p>
    <w:p>
      <w:pPr>
        <w:autoSpaceDE w:val="0"/>
        <w:autoSpaceDN w:val="0"/>
        <w:adjustRightInd w:val="0"/>
        <w:spacing w:beforeLines="100" w:afterLines="100"/>
        <w:rPr>
          <w:rFonts w:hAnsi="宋体" w:cs="黑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黑体"/>
          <w:b/>
          <w:sz w:val="44"/>
          <w:szCs w:val="44"/>
        </w:rPr>
        <w:br w:type="page"/>
      </w:r>
      <w:bookmarkEnd w:id="87"/>
      <w:bookmarkStart w:id="88" w:name="_Toc25579"/>
      <w:bookmarkStart w:id="89" w:name="_Toc508875514"/>
      <w:r>
        <w:rPr>
          <w:rFonts w:hint="eastAsia" w:hAnsi="宋体" w:cs="宋体"/>
          <w:b/>
          <w:sz w:val="44"/>
          <w:szCs w:val="44"/>
        </w:rPr>
        <w:t>第八章 投标文件格式</w:t>
      </w:r>
      <w:bookmarkEnd w:id="88"/>
      <w:bookmarkEnd w:id="89"/>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ind w:firstLine="3240" w:firstLineChars="9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r>
        <w:rPr>
          <w:rFonts w:hint="eastAsia" w:hAnsi="宋体" w:cs="宋体"/>
          <w:b/>
          <w:sz w:val="36"/>
          <w:szCs w:val="36"/>
        </w:rPr>
        <w:t>目  录</w:t>
      </w:r>
    </w:p>
    <w:p>
      <w:pPr>
        <w:pStyle w:val="2"/>
        <w:ind w:firstLine="340"/>
      </w:pPr>
    </w:p>
    <w:p>
      <w:pPr>
        <w:tabs>
          <w:tab w:val="center" w:pos="4739"/>
        </w:tabs>
        <w:ind w:left="180" w:firstLine="560" w:firstLineChars="200"/>
        <w:jc w:val="left"/>
        <w:rPr>
          <w:rFonts w:hAnsi="宋体" w:cs="宋体"/>
          <w:sz w:val="28"/>
          <w:szCs w:val="28"/>
        </w:rPr>
      </w:pPr>
      <w:r>
        <w:rPr>
          <w:rFonts w:hint="eastAsia" w:hAnsi="宋体" w:cs="宋体"/>
          <w:b/>
          <w:sz w:val="28"/>
          <w:szCs w:val="28"/>
        </w:rPr>
        <w:t>一、投标函</w:t>
      </w:r>
    </w:p>
    <w:p>
      <w:pPr>
        <w:pStyle w:val="2"/>
        <w:ind w:firstLine="560" w:firstLineChars="200"/>
        <w:jc w:val="left"/>
        <w:rPr>
          <w:rFonts w:hAnsi="宋体" w:cs="宋体"/>
          <w:b/>
          <w:sz w:val="28"/>
          <w:szCs w:val="28"/>
        </w:rPr>
      </w:pPr>
      <w:r>
        <w:rPr>
          <w:rFonts w:hint="eastAsia" w:hAnsi="宋体" w:cs="宋体"/>
          <w:b/>
          <w:sz w:val="28"/>
          <w:szCs w:val="28"/>
        </w:rPr>
        <w:t>二、投标函附录</w:t>
      </w:r>
    </w:p>
    <w:p>
      <w:pPr>
        <w:pStyle w:val="2"/>
        <w:ind w:firstLine="677" w:firstLineChars="242"/>
        <w:jc w:val="left"/>
        <w:rPr>
          <w:rFonts w:hAnsi="宋体" w:cs="宋体"/>
          <w:b/>
          <w:sz w:val="28"/>
          <w:szCs w:val="28"/>
        </w:rPr>
      </w:pPr>
      <w:r>
        <w:rPr>
          <w:rFonts w:hint="eastAsia" w:hAnsi="宋体" w:cs="宋体"/>
          <w:sz w:val="28"/>
          <w:szCs w:val="28"/>
        </w:rPr>
        <w:t>三、</w:t>
      </w:r>
      <w:r>
        <w:rPr>
          <w:rFonts w:hint="eastAsia" w:hAnsi="宋体" w:cs="宋体"/>
          <w:b/>
          <w:sz w:val="28"/>
          <w:szCs w:val="28"/>
        </w:rPr>
        <w:t>法定代表人身份证明、授权委托书及项目负责人承诺书</w:t>
      </w:r>
    </w:p>
    <w:p>
      <w:pPr>
        <w:spacing w:line="360" w:lineRule="auto"/>
        <w:ind w:firstLine="677" w:firstLineChars="242"/>
        <w:jc w:val="left"/>
        <w:rPr>
          <w:rFonts w:hAnsi="宋体" w:cs="宋体"/>
          <w:b/>
          <w:sz w:val="28"/>
          <w:szCs w:val="28"/>
        </w:rPr>
      </w:pPr>
      <w:r>
        <w:rPr>
          <w:rFonts w:hint="eastAsia" w:hAnsi="宋体" w:cs="宋体"/>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28"/>
          <w:szCs w:val="28"/>
        </w:rPr>
        <w:t>四、投标保证金</w:t>
      </w:r>
    </w:p>
    <w:p>
      <w:pPr>
        <w:autoSpaceDE w:val="0"/>
        <w:autoSpaceDN w:val="0"/>
        <w:adjustRightInd w:val="0"/>
        <w:spacing w:line="420" w:lineRule="exact"/>
        <w:ind w:firstLine="677" w:firstLineChars="242"/>
        <w:jc w:val="left"/>
        <w:rPr>
          <w:rFonts w:hAnsi="宋体" w:cs="宋体"/>
          <w:b/>
          <w:sz w:val="28"/>
          <w:szCs w:val="28"/>
        </w:rPr>
      </w:pPr>
      <w:r>
        <w:rPr>
          <w:rFonts w:hint="eastAsia" w:hAnsi="宋体" w:cs="宋体"/>
          <w:b/>
          <w:sz w:val="28"/>
          <w:szCs w:val="28"/>
        </w:rPr>
        <w:t>五、项目管理机构配备情况</w:t>
      </w:r>
    </w:p>
    <w:p>
      <w:pPr>
        <w:autoSpaceDE w:val="0"/>
        <w:autoSpaceDN w:val="0"/>
        <w:adjustRightInd w:val="0"/>
        <w:spacing w:line="360" w:lineRule="auto"/>
        <w:ind w:right="215" w:firstLine="680"/>
        <w:jc w:val="left"/>
        <w:rPr>
          <w:rFonts w:hAnsi="宋体" w:cs="宋体"/>
          <w:sz w:val="28"/>
          <w:szCs w:val="28"/>
        </w:rPr>
      </w:pPr>
      <w:r>
        <w:rPr>
          <w:rFonts w:hint="eastAsia" w:hAnsi="宋体" w:cs="宋体"/>
          <w:b/>
          <w:sz w:val="28"/>
          <w:szCs w:val="28"/>
        </w:rPr>
        <w:t>六、投标单位基本情况表</w:t>
      </w:r>
    </w:p>
    <w:p>
      <w:pPr>
        <w:pStyle w:val="2"/>
        <w:ind w:firstLine="677" w:firstLineChars="242"/>
        <w:jc w:val="left"/>
        <w:rPr>
          <w:sz w:val="28"/>
          <w:szCs w:val="28"/>
        </w:rPr>
      </w:pPr>
      <w:r>
        <w:rPr>
          <w:rFonts w:hint="eastAsia" w:hAnsi="宋体" w:cs="宋体"/>
          <w:b/>
          <w:sz w:val="28"/>
          <w:szCs w:val="28"/>
        </w:rPr>
        <w:t>七、资格证明文件</w:t>
      </w:r>
    </w:p>
    <w:p>
      <w:pPr>
        <w:autoSpaceDE w:val="0"/>
        <w:autoSpaceDN w:val="0"/>
        <w:adjustRightInd w:val="0"/>
        <w:spacing w:line="360" w:lineRule="auto"/>
        <w:ind w:right="215" w:firstLine="680"/>
        <w:jc w:val="left"/>
        <w:rPr>
          <w:rFonts w:hAnsi="宋体" w:cs="宋体"/>
          <w:b/>
          <w:sz w:val="28"/>
          <w:szCs w:val="28"/>
        </w:rPr>
      </w:pPr>
      <w:r>
        <w:rPr>
          <w:rFonts w:hint="eastAsia" w:hAnsi="宋体" w:cs="宋体"/>
          <w:b/>
          <w:sz w:val="28"/>
          <w:szCs w:val="28"/>
        </w:rPr>
        <w:t>八、近年完成的类似项目情况表</w:t>
      </w:r>
    </w:p>
    <w:p>
      <w:pPr>
        <w:pStyle w:val="2"/>
        <w:ind w:firstLine="677" w:firstLineChars="242"/>
        <w:jc w:val="left"/>
        <w:rPr>
          <w:rFonts w:hAnsi="宋体" w:cs="宋体"/>
          <w:b/>
          <w:sz w:val="28"/>
          <w:szCs w:val="28"/>
        </w:rPr>
      </w:pPr>
      <w:r>
        <w:rPr>
          <w:rFonts w:hint="eastAsia" w:hAnsi="宋体" w:cs="宋体"/>
          <w:b/>
          <w:sz w:val="28"/>
          <w:szCs w:val="28"/>
        </w:rPr>
        <w:t>九、正在施工的和新承接的项目情况</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十、近年发生的诉讼及仲裁</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十一、其它材料</w:t>
      </w:r>
    </w:p>
    <w:p>
      <w:pPr>
        <w:pStyle w:val="2"/>
        <w:ind w:firstLine="321"/>
        <w:rPr>
          <w:rFonts w:hAnsi="宋体" w:cs="宋体"/>
          <w:b/>
          <w:sz w:val="32"/>
          <w:szCs w:val="32"/>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tabs>
          <w:tab w:val="center" w:pos="4739"/>
        </w:tabs>
        <w:ind w:left="180"/>
        <w:jc w:val="center"/>
        <w:rPr>
          <w:rFonts w:hAnsi="宋体" w:cs="宋体"/>
          <w:sz w:val="28"/>
          <w:szCs w:val="28"/>
        </w:rPr>
      </w:pPr>
      <w:r>
        <w:rPr>
          <w:rFonts w:hint="eastAsia" w:hAnsi="宋体" w:cs="宋体"/>
          <w:b/>
          <w:sz w:val="32"/>
        </w:rPr>
        <w:t>一、投标函</w:t>
      </w:r>
      <w:bookmarkStart w:id="90" w:name="_Toc271787730"/>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w:t>
      </w:r>
      <w:ins w:id="0" w:author="中大国信工程管理有限公司:中大国信工程管理有限公司" w:date="2019-12-23T08:32:38Z">
        <w:r>
          <w:rPr>
            <w:rFonts w:hint="eastAsia" w:hAnsi="宋体" w:cs="宋体"/>
            <w:sz w:val="24"/>
            <w:lang w:val="en-US" w:eastAsia="zh-CN"/>
          </w:rPr>
          <w:t>天</w:t>
        </w:r>
      </w:ins>
      <w:r>
        <w:rPr>
          <w:rFonts w:hint="eastAsia" w:hAnsi="宋体" w:cs="宋体"/>
          <w:sz w:val="24"/>
        </w:rPr>
        <w:t>）内竣工，并确保工程质量达到标准。我方同意本投标函在招标文件规定的提交投标文件截止时间后，在招标文件规定的投标有效期期满前对我方具有约束力，且随时准备接受你方发出的中标通知书。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ascii="新宋体" w:eastAsia="新宋体"/>
          <w:sz w:val="24"/>
        </w:rPr>
        <w:t>若我方中标，愿意按国家计委计价格【2002】1980号文件规定向代理机构支付招标代理服务费。</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4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90"/>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91" w:name="_Toc271787731"/>
      <w:r>
        <w:rPr>
          <w:rFonts w:hint="eastAsia" w:hAnsi="宋体" w:cs="宋体"/>
          <w:b/>
          <w:bCs/>
          <w:sz w:val="28"/>
          <w:szCs w:val="28"/>
        </w:rPr>
        <w:t>（一）法定代表人身份证明</w:t>
      </w:r>
      <w:bookmarkEnd w:id="91"/>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92" w:name="_Toc271787732"/>
      <w:r>
        <w:rPr>
          <w:rFonts w:hint="eastAsia" w:hAnsi="宋体" w:cs="宋体"/>
          <w:b/>
          <w:bCs/>
          <w:sz w:val="28"/>
          <w:szCs w:val="28"/>
        </w:rPr>
        <w:t>（二）授权委托书</w:t>
      </w:r>
      <w:bookmarkEnd w:id="92"/>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（项目名称）的项目负责人，现承诺：愿意承担因我方就此弄虚作假所引起的一切法律后果。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43"/>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cs="宋体"/>
                <w:sz w:val="24"/>
              </w:rPr>
            </w:pPr>
            <w:r>
              <w:rPr>
                <w:rFonts w:hint="eastAsia" w:hAnsi="宋体" w:cs="宋体"/>
                <w:sz w:val="24"/>
              </w:rPr>
              <w:t>身份证原件扫描件或图片</w:t>
            </w:r>
          </w:p>
        </w:tc>
        <w:tc>
          <w:tcPr>
            <w:tcW w:w="4345" w:type="dxa"/>
            <w:vAlign w:val="center"/>
          </w:tcPr>
          <w:p>
            <w:pPr>
              <w:spacing w:line="360" w:lineRule="auto"/>
              <w:jc w:val="center"/>
              <w:rPr>
                <w:rFonts w:hAnsi="宋体" w:cs="宋体"/>
                <w:sz w:val="24"/>
              </w:rPr>
            </w:pPr>
            <w:r>
              <w:rPr>
                <w:rFonts w:hint="eastAsia" w:hAnsi="宋体" w:cs="宋体"/>
                <w:sz w:val="24"/>
              </w:rPr>
              <w:t>建造师证书原件扫描件或图片</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s="宋体"/>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4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养老保险原件扫描件或图片及未担任其他在施建设工程项目项目负责人的承诺书，管理过的项目业绩须附合同协议书和竣工验收备案登记表原件扫描</w:t>
      </w:r>
      <w:r>
        <w:rPr>
          <w:rFonts w:hint="eastAsia" w:hAnsi="宋体" w:cs="宋体"/>
          <w:sz w:val="24"/>
        </w:rPr>
        <w:t>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4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int="default" w:hAnsi="宋体" w:cs="宋体" w:eastAsiaTheme="minorEastAsia"/>
          <w:sz w:val="24"/>
          <w:lang w:val="en-US" w:eastAsia="zh-CN"/>
        </w:rPr>
      </w:pPr>
      <w:r>
        <w:rPr>
          <w:rFonts w:hint="eastAsia" w:hAnsi="宋体" w:cs="宋体"/>
          <w:szCs w:val="21"/>
        </w:rPr>
        <w:br w:type="page"/>
      </w:r>
      <w:r>
        <w:rPr>
          <w:rFonts w:hint="eastAsia" w:hAnsi="宋体" w:cs="宋体"/>
          <w:sz w:val="24"/>
        </w:rPr>
        <w:t>附2：主要项目管理人员简历表</w:t>
      </w:r>
      <w:r>
        <w:rPr>
          <w:rFonts w:hint="eastAsia" w:hAnsi="宋体" w:cs="宋体"/>
          <w:sz w:val="24"/>
          <w:lang w:val="en-US" w:eastAsia="zh-CN"/>
        </w:rPr>
        <w:t xml:space="preserve">                                    </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主要项目管理人员是指技术负责人、专职安全生产管理员等岗位人员。应附</w:t>
      </w:r>
      <w:r>
        <w:rPr>
          <w:rFonts w:hint="eastAsia" w:hAnsi="宋体" w:cs="宋体"/>
          <w:sz w:val="24"/>
          <w:szCs w:val="24"/>
          <w:lang w:eastAsia="zh-CN"/>
        </w:rPr>
        <w:t>执业</w:t>
      </w:r>
      <w:r>
        <w:rPr>
          <w:rFonts w:hint="eastAsia" w:hAnsi="宋体" w:cs="宋体"/>
          <w:sz w:val="24"/>
          <w:szCs w:val="24"/>
        </w:rPr>
        <w:t>资格证书、身份证、养老保险原件扫描件或图片，专职安全生产管理人员应附安全生产考核合格证书，主要业绩须附合同协议书。</w:t>
      </w:r>
    </w:p>
    <w:tbl>
      <w:tblPr>
        <w:tblStyle w:val="4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4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4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4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3520" w:firstLineChars="1100"/>
        <w:rPr>
          <w:rFonts w:hAnsi="宋体" w:cs="宋体"/>
          <w:b/>
          <w:sz w:val="32"/>
        </w:rPr>
      </w:pPr>
      <w:r>
        <w:rPr>
          <w:rFonts w:hint="eastAsia" w:hAnsi="宋体" w:cs="宋体"/>
          <w:b/>
          <w:sz w:val="32"/>
          <w:szCs w:val="32"/>
        </w:rPr>
        <w:t>十一、其它材料</w:t>
      </w:r>
    </w:p>
    <w:p>
      <w:pPr>
        <w:tabs>
          <w:tab w:val="center" w:pos="4739"/>
        </w:tabs>
        <w:ind w:firstLine="1680" w:firstLineChars="600"/>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keepNext w:val="0"/>
        <w:keepLines w:val="0"/>
        <w:widowControl w:val="0"/>
        <w:suppressLineNumbers w:val="0"/>
        <w:autoSpaceDE w:val="0"/>
        <w:autoSpaceDN w:val="0"/>
        <w:spacing w:before="0" w:beforeAutospacing="0" w:after="0" w:afterAutospacing="0" w:line="540" w:lineRule="exact"/>
        <w:ind w:left="0" w:right="0"/>
        <w:jc w:val="center"/>
        <w:rPr>
          <w:rFonts w:hAnsi="宋体" w:cs="宋体"/>
          <w:b/>
          <w:bCs w:val="0"/>
          <w:sz w:val="44"/>
          <w:szCs w:val="44"/>
          <w:lang w:val="en-US"/>
        </w:rPr>
      </w:pPr>
      <w:r>
        <w:rPr>
          <w:rFonts w:hint="eastAsia" w:ascii="宋体" w:hAnsi="宋体" w:eastAsia="宋体" w:cs="宋体"/>
          <w:b/>
          <w:bCs w:val="0"/>
          <w:kern w:val="0"/>
          <w:sz w:val="44"/>
          <w:szCs w:val="44"/>
          <w:lang w:val="en-US" w:eastAsia="zh-CN" w:bidi="ar"/>
        </w:rPr>
        <w:t>目  录</w:t>
      </w:r>
    </w:p>
    <w:p>
      <w:pPr>
        <w:keepNext w:val="0"/>
        <w:keepLines w:val="0"/>
        <w:widowControl w:val="0"/>
        <w:suppressLineNumbers w:val="0"/>
        <w:autoSpaceDE w:val="0"/>
        <w:autoSpaceDN w:val="0"/>
        <w:spacing w:before="0" w:beforeAutospacing="0" w:after="0" w:afterAutospacing="0" w:line="540" w:lineRule="exact"/>
        <w:ind w:left="0" w:right="0"/>
        <w:jc w:val="left"/>
        <w:rPr>
          <w:rFonts w:hAnsi="宋体" w:cs="宋体"/>
          <w:b/>
          <w:bCs w:val="0"/>
          <w:sz w:val="26"/>
          <w:szCs w:val="26"/>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（1）内容完整性</w:t>
      </w: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（2）主要施工方案与技术措施</w:t>
      </w: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（3）质量管理体系与措施</w:t>
      </w: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（4）安全管理体系与措施</w:t>
      </w: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（5）文明施工、环境保护管理体系及施工现场扬尘治理措施</w:t>
      </w: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（6）工期保证措施</w:t>
      </w: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（7）拟投入资源配备计划</w:t>
      </w: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（8）施工进度表或网络计划图</w:t>
      </w: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（9）施工总平面图布置</w:t>
      </w: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（10）技术创新的应用实施措施</w:t>
      </w: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（11）采用新工艺、新技术、新设备、新材料、BIM等的程度</w:t>
      </w:r>
    </w:p>
    <w:p>
      <w:pPr>
        <w:keepNext w:val="0"/>
        <w:keepLines w:val="0"/>
        <w:widowControl w:val="0"/>
        <w:suppressLineNumbers w:val="0"/>
        <w:tabs>
          <w:tab w:val="center" w:pos="4739"/>
        </w:tabs>
        <w:spacing w:before="0" w:beforeAutospacing="0" w:after="0" w:afterAutospacing="0"/>
        <w:ind w:left="180" w:right="0"/>
        <w:jc w:val="both"/>
        <w:rPr>
          <w:rFonts w:hAnsi="宋体" w:cs="宋体"/>
          <w:b/>
          <w:sz w:val="26"/>
          <w:szCs w:val="26"/>
          <w:lang w:val="en-US"/>
        </w:rPr>
      </w:pPr>
      <w:r>
        <w:rPr>
          <w:rFonts w:hint="eastAsia" w:ascii="宋体" w:hAnsi="宋体" w:eastAsia="宋体" w:cs="宋体"/>
          <w:b/>
          <w:kern w:val="0"/>
          <w:sz w:val="26"/>
          <w:szCs w:val="26"/>
          <w:lang w:val="en-US" w:eastAsia="zh-CN" w:bidi="ar"/>
        </w:rPr>
        <w:t>（12）施工现场实施信息化监控和数据处理</w:t>
      </w:r>
    </w:p>
    <w:p>
      <w:pPr>
        <w:keepNext w:val="0"/>
        <w:keepLines w:val="0"/>
        <w:widowControl w:val="0"/>
        <w:suppressLineNumbers w:val="0"/>
        <w:autoSpaceDE w:val="0"/>
        <w:autoSpaceDN w:val="0"/>
        <w:spacing w:before="0" w:beforeAutospacing="0" w:after="0" w:afterAutospacing="0" w:line="540" w:lineRule="exact"/>
        <w:ind w:left="0" w:right="0" w:firstLine="130" w:firstLineChars="50"/>
        <w:jc w:val="left"/>
        <w:rPr>
          <w:rFonts w:hAnsi="宋体" w:cs="宋体"/>
          <w:b/>
          <w:bCs w:val="0"/>
          <w:sz w:val="26"/>
          <w:szCs w:val="26"/>
          <w:lang w:val="en-US"/>
        </w:rPr>
      </w:pPr>
      <w:r>
        <w:rPr>
          <w:rFonts w:hint="eastAsia" w:ascii="宋体" w:hAnsi="宋体" w:eastAsia="宋体" w:cs="宋体"/>
          <w:b/>
          <w:kern w:val="0"/>
          <w:sz w:val="26"/>
          <w:szCs w:val="26"/>
          <w:lang w:val="en-US" w:eastAsia="zh-CN" w:bidi="ar"/>
        </w:rPr>
        <w:t>（13）风险管理措施</w:t>
      </w:r>
    </w:p>
    <w:p>
      <w:pPr>
        <w:autoSpaceDE w:val="0"/>
        <w:autoSpaceDN w:val="0"/>
        <w:spacing w:line="540" w:lineRule="exact"/>
        <w:ind w:firstLine="520" w:firstLineChars="200"/>
        <w:jc w:val="left"/>
        <w:rPr>
          <w:rFonts w:hint="eastAsia" w:hAnsi="宋体" w:cs="宋体"/>
          <w:b/>
          <w:sz w:val="26"/>
          <w:szCs w:val="26"/>
        </w:rPr>
      </w:pPr>
      <w:bookmarkStart w:id="93" w:name="_GoBack"/>
      <w:bookmarkEnd w:id="93"/>
    </w:p>
    <w:p>
      <w:pPr>
        <w:autoSpaceDE w:val="0"/>
        <w:autoSpaceDN w:val="0"/>
        <w:adjustRightInd w:val="0"/>
        <w:spacing w:line="420" w:lineRule="exac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新宋体">
    <w:panose1 w:val="02010609030101010101"/>
    <w:charset w:val="86"/>
    <w:family w:val="auto"/>
    <w:pitch w:val="fixed"/>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center"/>
    </w:pPr>
    <w:r>
      <w:fldChar w:fldCharType="begin"/>
    </w:r>
    <w:r>
      <w:rPr>
        <w:rStyle w:val="47"/>
      </w:rPr>
      <w:instrText xml:space="preserve"> PAGE </w:instrText>
    </w:r>
    <w:r>
      <w:fldChar w:fldCharType="separate"/>
    </w:r>
    <w:r>
      <w:rPr>
        <w:rStyle w:val="47"/>
      </w:rP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left="8433" w:hanging="8433" w:hangingChars="4000"/>
      <w:jc w:val="left"/>
      <w:rPr>
        <w:rFonts w:ascii="楷体" w:hAnsi="楷体" w:eastAsia="楷体" w:cs="楷体_GB2312"/>
        <w:b/>
        <w:iCs/>
        <w:sz w:val="21"/>
        <w:szCs w:val="21"/>
      </w:rPr>
    </w:pPr>
    <w:r>
      <w:rPr>
        <w:rFonts w:hint="eastAsia" w:ascii="楷体" w:hAnsi="楷体" w:eastAsia="楷体" w:cs="楷体_GB2312"/>
        <w:b/>
        <w:iCs/>
        <w:sz w:val="21"/>
        <w:szCs w:val="21"/>
      </w:rPr>
      <w:t>曹魏古城北城门及两侧地块项目（1-15#楼、地库及室外）消防及地下车库人防通风工程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1F256"/>
    <w:multiLevelType w:val="singleLevel"/>
    <w:tmpl w:val="FCC1F256"/>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44565C79"/>
    <w:multiLevelType w:val="multilevel"/>
    <w:tmpl w:val="44565C79"/>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939168"/>
    <w:multiLevelType w:val="singleLevel"/>
    <w:tmpl w:val="5A939168"/>
    <w:lvl w:ilvl="0" w:tentative="0">
      <w:start w:val="1"/>
      <w:numFmt w:val="decimal"/>
      <w:suff w:val="nothing"/>
      <w:lvlText w:val="%1、"/>
      <w:lvlJc w:val="left"/>
    </w:lvl>
  </w:abstractNum>
  <w:num w:numId="1">
    <w:abstractNumId w:val="4"/>
  </w:num>
  <w:num w:numId="2">
    <w:abstractNumId w:val="0"/>
  </w:num>
  <w:num w:numId="3">
    <w:abstractNumId w:val="1"/>
  </w:num>
  <w:num w:numId="4">
    <w:abstractNumId w:val="5"/>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大国信工程管理有限公司:中大国信工程管理有限公司">
    <w15:presenceInfo w15:providerId="None" w15:userId="中大国信工程管理有限公司:中大国信工程管理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54E5"/>
    <w:rsid w:val="00005C5F"/>
    <w:rsid w:val="00014F92"/>
    <w:rsid w:val="000332D1"/>
    <w:rsid w:val="000352E7"/>
    <w:rsid w:val="00036D41"/>
    <w:rsid w:val="00043C36"/>
    <w:rsid w:val="00045E33"/>
    <w:rsid w:val="00046CFE"/>
    <w:rsid w:val="00057812"/>
    <w:rsid w:val="000861E2"/>
    <w:rsid w:val="000A42C0"/>
    <w:rsid w:val="000B65E3"/>
    <w:rsid w:val="000B7DFF"/>
    <w:rsid w:val="000C4907"/>
    <w:rsid w:val="000E1C1C"/>
    <w:rsid w:val="000E7572"/>
    <w:rsid w:val="001003A4"/>
    <w:rsid w:val="0012583A"/>
    <w:rsid w:val="00133E3B"/>
    <w:rsid w:val="00141B2E"/>
    <w:rsid w:val="00154AD3"/>
    <w:rsid w:val="00156C02"/>
    <w:rsid w:val="00164488"/>
    <w:rsid w:val="00165068"/>
    <w:rsid w:val="00172C5D"/>
    <w:rsid w:val="0018451E"/>
    <w:rsid w:val="0019669A"/>
    <w:rsid w:val="001A45BE"/>
    <w:rsid w:val="001B12BE"/>
    <w:rsid w:val="001B2BD5"/>
    <w:rsid w:val="001B7EE8"/>
    <w:rsid w:val="001D289B"/>
    <w:rsid w:val="001D5C11"/>
    <w:rsid w:val="001E2991"/>
    <w:rsid w:val="001F2448"/>
    <w:rsid w:val="00210257"/>
    <w:rsid w:val="0022014E"/>
    <w:rsid w:val="00237027"/>
    <w:rsid w:val="00237898"/>
    <w:rsid w:val="0025074D"/>
    <w:rsid w:val="00257CEB"/>
    <w:rsid w:val="00260395"/>
    <w:rsid w:val="00261166"/>
    <w:rsid w:val="002709F9"/>
    <w:rsid w:val="00273D71"/>
    <w:rsid w:val="002853A3"/>
    <w:rsid w:val="002868B0"/>
    <w:rsid w:val="002872F5"/>
    <w:rsid w:val="002B21EF"/>
    <w:rsid w:val="002B780D"/>
    <w:rsid w:val="002C6665"/>
    <w:rsid w:val="002C68EF"/>
    <w:rsid w:val="002D2825"/>
    <w:rsid w:val="002D2D1E"/>
    <w:rsid w:val="002D76D5"/>
    <w:rsid w:val="002E07A3"/>
    <w:rsid w:val="002E755C"/>
    <w:rsid w:val="002F23E3"/>
    <w:rsid w:val="002F2EB9"/>
    <w:rsid w:val="002F5755"/>
    <w:rsid w:val="0031719D"/>
    <w:rsid w:val="00320536"/>
    <w:rsid w:val="00332D0B"/>
    <w:rsid w:val="00332F02"/>
    <w:rsid w:val="00340D75"/>
    <w:rsid w:val="0036680B"/>
    <w:rsid w:val="00397924"/>
    <w:rsid w:val="003C2CAE"/>
    <w:rsid w:val="003C3F0C"/>
    <w:rsid w:val="003D6302"/>
    <w:rsid w:val="003D7893"/>
    <w:rsid w:val="003E471E"/>
    <w:rsid w:val="003E7C0E"/>
    <w:rsid w:val="003F1768"/>
    <w:rsid w:val="003F4BAE"/>
    <w:rsid w:val="003F6EC4"/>
    <w:rsid w:val="0042795A"/>
    <w:rsid w:val="004372CC"/>
    <w:rsid w:val="0044024B"/>
    <w:rsid w:val="00440BC5"/>
    <w:rsid w:val="00445DB6"/>
    <w:rsid w:val="004572B5"/>
    <w:rsid w:val="004629C1"/>
    <w:rsid w:val="0048068B"/>
    <w:rsid w:val="0048292D"/>
    <w:rsid w:val="004858A2"/>
    <w:rsid w:val="004C20A0"/>
    <w:rsid w:val="004C519B"/>
    <w:rsid w:val="004C6242"/>
    <w:rsid w:val="004D0932"/>
    <w:rsid w:val="004D22F6"/>
    <w:rsid w:val="004D2752"/>
    <w:rsid w:val="004D668E"/>
    <w:rsid w:val="004E51A3"/>
    <w:rsid w:val="004F5847"/>
    <w:rsid w:val="004F6F41"/>
    <w:rsid w:val="0050256B"/>
    <w:rsid w:val="00512B0C"/>
    <w:rsid w:val="00523707"/>
    <w:rsid w:val="00525566"/>
    <w:rsid w:val="005320AF"/>
    <w:rsid w:val="0056592C"/>
    <w:rsid w:val="00565B18"/>
    <w:rsid w:val="005673D8"/>
    <w:rsid w:val="00572A25"/>
    <w:rsid w:val="00580EE8"/>
    <w:rsid w:val="00591EAD"/>
    <w:rsid w:val="005923A9"/>
    <w:rsid w:val="005A58DE"/>
    <w:rsid w:val="005B0EA5"/>
    <w:rsid w:val="005B1F76"/>
    <w:rsid w:val="005B2900"/>
    <w:rsid w:val="005C257F"/>
    <w:rsid w:val="00601F97"/>
    <w:rsid w:val="00602878"/>
    <w:rsid w:val="00604344"/>
    <w:rsid w:val="00616DA6"/>
    <w:rsid w:val="00627EF1"/>
    <w:rsid w:val="00631D0B"/>
    <w:rsid w:val="00634B38"/>
    <w:rsid w:val="00641E35"/>
    <w:rsid w:val="00667B14"/>
    <w:rsid w:val="006754D1"/>
    <w:rsid w:val="00680B10"/>
    <w:rsid w:val="006850AA"/>
    <w:rsid w:val="00687F69"/>
    <w:rsid w:val="00690629"/>
    <w:rsid w:val="00694775"/>
    <w:rsid w:val="006C1A0D"/>
    <w:rsid w:val="006D343C"/>
    <w:rsid w:val="006E0331"/>
    <w:rsid w:val="006F17E2"/>
    <w:rsid w:val="006F532F"/>
    <w:rsid w:val="0070211C"/>
    <w:rsid w:val="007350E9"/>
    <w:rsid w:val="007437CD"/>
    <w:rsid w:val="00763954"/>
    <w:rsid w:val="007711D9"/>
    <w:rsid w:val="00773D95"/>
    <w:rsid w:val="00775782"/>
    <w:rsid w:val="007770CB"/>
    <w:rsid w:val="00785A7B"/>
    <w:rsid w:val="007A27DC"/>
    <w:rsid w:val="007A4E8E"/>
    <w:rsid w:val="007A620D"/>
    <w:rsid w:val="007A725D"/>
    <w:rsid w:val="007B67FC"/>
    <w:rsid w:val="007B75E4"/>
    <w:rsid w:val="007B7FB7"/>
    <w:rsid w:val="007C1CCD"/>
    <w:rsid w:val="007C2D9B"/>
    <w:rsid w:val="007C55F4"/>
    <w:rsid w:val="007E36A6"/>
    <w:rsid w:val="007E6BDD"/>
    <w:rsid w:val="007F20FA"/>
    <w:rsid w:val="007F74F9"/>
    <w:rsid w:val="00804C87"/>
    <w:rsid w:val="00807AD8"/>
    <w:rsid w:val="008104A3"/>
    <w:rsid w:val="0083220E"/>
    <w:rsid w:val="00835D92"/>
    <w:rsid w:val="00843FB6"/>
    <w:rsid w:val="008462B0"/>
    <w:rsid w:val="00863F98"/>
    <w:rsid w:val="00863FD3"/>
    <w:rsid w:val="00874FBE"/>
    <w:rsid w:val="008A0EAE"/>
    <w:rsid w:val="008B4E93"/>
    <w:rsid w:val="008B59FE"/>
    <w:rsid w:val="008C159D"/>
    <w:rsid w:val="008D2A4B"/>
    <w:rsid w:val="008D613B"/>
    <w:rsid w:val="008E29A0"/>
    <w:rsid w:val="008F1E17"/>
    <w:rsid w:val="00907C61"/>
    <w:rsid w:val="00936243"/>
    <w:rsid w:val="0093672E"/>
    <w:rsid w:val="00944A25"/>
    <w:rsid w:val="0095070F"/>
    <w:rsid w:val="00950B65"/>
    <w:rsid w:val="00957CFE"/>
    <w:rsid w:val="00962607"/>
    <w:rsid w:val="009671C8"/>
    <w:rsid w:val="00967EE0"/>
    <w:rsid w:val="009A1C1D"/>
    <w:rsid w:val="009B4E47"/>
    <w:rsid w:val="009D3644"/>
    <w:rsid w:val="00A00D80"/>
    <w:rsid w:val="00A06A04"/>
    <w:rsid w:val="00A07D68"/>
    <w:rsid w:val="00A1138D"/>
    <w:rsid w:val="00A23B47"/>
    <w:rsid w:val="00A246DF"/>
    <w:rsid w:val="00A34386"/>
    <w:rsid w:val="00A36AC1"/>
    <w:rsid w:val="00A377DD"/>
    <w:rsid w:val="00A42A42"/>
    <w:rsid w:val="00A43A74"/>
    <w:rsid w:val="00A444FD"/>
    <w:rsid w:val="00A53514"/>
    <w:rsid w:val="00A64EC2"/>
    <w:rsid w:val="00A65010"/>
    <w:rsid w:val="00A7572B"/>
    <w:rsid w:val="00AA173F"/>
    <w:rsid w:val="00AB57A2"/>
    <w:rsid w:val="00AD1AC2"/>
    <w:rsid w:val="00AD5382"/>
    <w:rsid w:val="00AD5450"/>
    <w:rsid w:val="00AE4447"/>
    <w:rsid w:val="00AF35B7"/>
    <w:rsid w:val="00AF6219"/>
    <w:rsid w:val="00B02825"/>
    <w:rsid w:val="00B04B66"/>
    <w:rsid w:val="00B163E5"/>
    <w:rsid w:val="00B22BAD"/>
    <w:rsid w:val="00B50968"/>
    <w:rsid w:val="00B75202"/>
    <w:rsid w:val="00B84A38"/>
    <w:rsid w:val="00B84E94"/>
    <w:rsid w:val="00BA2164"/>
    <w:rsid w:val="00BC401A"/>
    <w:rsid w:val="00BC5EF7"/>
    <w:rsid w:val="00BC6572"/>
    <w:rsid w:val="00BD26C0"/>
    <w:rsid w:val="00BE039A"/>
    <w:rsid w:val="00C04F52"/>
    <w:rsid w:val="00C152CD"/>
    <w:rsid w:val="00C162E4"/>
    <w:rsid w:val="00C170F8"/>
    <w:rsid w:val="00C5016A"/>
    <w:rsid w:val="00C608BD"/>
    <w:rsid w:val="00C7554B"/>
    <w:rsid w:val="00C8263D"/>
    <w:rsid w:val="00C855BF"/>
    <w:rsid w:val="00C86AFA"/>
    <w:rsid w:val="00C91E9F"/>
    <w:rsid w:val="00C92649"/>
    <w:rsid w:val="00CB03B9"/>
    <w:rsid w:val="00CC6596"/>
    <w:rsid w:val="00CD27BD"/>
    <w:rsid w:val="00CD2D51"/>
    <w:rsid w:val="00CF3F5B"/>
    <w:rsid w:val="00CF47CD"/>
    <w:rsid w:val="00D14FA6"/>
    <w:rsid w:val="00D16047"/>
    <w:rsid w:val="00D20B25"/>
    <w:rsid w:val="00D24547"/>
    <w:rsid w:val="00D43EDB"/>
    <w:rsid w:val="00D45108"/>
    <w:rsid w:val="00D575F0"/>
    <w:rsid w:val="00D76626"/>
    <w:rsid w:val="00D8450F"/>
    <w:rsid w:val="00D85C60"/>
    <w:rsid w:val="00D874FF"/>
    <w:rsid w:val="00D9694D"/>
    <w:rsid w:val="00DA1532"/>
    <w:rsid w:val="00DA453D"/>
    <w:rsid w:val="00DB483D"/>
    <w:rsid w:val="00DB5B8C"/>
    <w:rsid w:val="00DD0442"/>
    <w:rsid w:val="00DD3D8B"/>
    <w:rsid w:val="00DE20C1"/>
    <w:rsid w:val="00DF5E58"/>
    <w:rsid w:val="00E06D22"/>
    <w:rsid w:val="00E36F7A"/>
    <w:rsid w:val="00E428DE"/>
    <w:rsid w:val="00E57FFB"/>
    <w:rsid w:val="00E62716"/>
    <w:rsid w:val="00E6504D"/>
    <w:rsid w:val="00E65CFF"/>
    <w:rsid w:val="00E81E31"/>
    <w:rsid w:val="00E85E7A"/>
    <w:rsid w:val="00EA5D77"/>
    <w:rsid w:val="00EB40CA"/>
    <w:rsid w:val="00EC343C"/>
    <w:rsid w:val="00ED2AA4"/>
    <w:rsid w:val="00ED3797"/>
    <w:rsid w:val="00ED481D"/>
    <w:rsid w:val="00ED5E88"/>
    <w:rsid w:val="00EE0496"/>
    <w:rsid w:val="00EE6CE1"/>
    <w:rsid w:val="00F0306A"/>
    <w:rsid w:val="00F038F3"/>
    <w:rsid w:val="00F20E90"/>
    <w:rsid w:val="00F423DA"/>
    <w:rsid w:val="00F442F4"/>
    <w:rsid w:val="00F47B6D"/>
    <w:rsid w:val="00F50CDE"/>
    <w:rsid w:val="00F51BBC"/>
    <w:rsid w:val="00F5205D"/>
    <w:rsid w:val="00F56884"/>
    <w:rsid w:val="00F64185"/>
    <w:rsid w:val="00F87872"/>
    <w:rsid w:val="00F9047C"/>
    <w:rsid w:val="00F90980"/>
    <w:rsid w:val="00FA753B"/>
    <w:rsid w:val="00FB311F"/>
    <w:rsid w:val="00FB31E5"/>
    <w:rsid w:val="00FB67E7"/>
    <w:rsid w:val="00FC3E03"/>
    <w:rsid w:val="00FC561C"/>
    <w:rsid w:val="00FC7FF6"/>
    <w:rsid w:val="00FD66BF"/>
    <w:rsid w:val="00FE02AC"/>
    <w:rsid w:val="00FF3784"/>
    <w:rsid w:val="00FF79AD"/>
    <w:rsid w:val="01251EAB"/>
    <w:rsid w:val="01384800"/>
    <w:rsid w:val="01DD70A4"/>
    <w:rsid w:val="01E84054"/>
    <w:rsid w:val="02076E60"/>
    <w:rsid w:val="02686B42"/>
    <w:rsid w:val="029D47F3"/>
    <w:rsid w:val="03857FD4"/>
    <w:rsid w:val="03B53AFF"/>
    <w:rsid w:val="03F5185B"/>
    <w:rsid w:val="04396C9A"/>
    <w:rsid w:val="04BA4EDD"/>
    <w:rsid w:val="05B347DC"/>
    <w:rsid w:val="05E84167"/>
    <w:rsid w:val="05EF6B1D"/>
    <w:rsid w:val="05F40B93"/>
    <w:rsid w:val="061831D9"/>
    <w:rsid w:val="06862947"/>
    <w:rsid w:val="06E835F7"/>
    <w:rsid w:val="079E5C61"/>
    <w:rsid w:val="07A27E8E"/>
    <w:rsid w:val="07E778CA"/>
    <w:rsid w:val="08A6156D"/>
    <w:rsid w:val="08A75F9A"/>
    <w:rsid w:val="08C924B7"/>
    <w:rsid w:val="08DD26F4"/>
    <w:rsid w:val="08F576CB"/>
    <w:rsid w:val="09BB612D"/>
    <w:rsid w:val="0A0D4851"/>
    <w:rsid w:val="0AD034FF"/>
    <w:rsid w:val="0AEC140E"/>
    <w:rsid w:val="0B0010DA"/>
    <w:rsid w:val="0B6C5FA6"/>
    <w:rsid w:val="0BAD6D15"/>
    <w:rsid w:val="0BC54744"/>
    <w:rsid w:val="0CAF384F"/>
    <w:rsid w:val="0CCF0E3B"/>
    <w:rsid w:val="0CDF69DF"/>
    <w:rsid w:val="0CFD4BCA"/>
    <w:rsid w:val="0D4D4C19"/>
    <w:rsid w:val="0D737D65"/>
    <w:rsid w:val="0E184ACC"/>
    <w:rsid w:val="0E274A96"/>
    <w:rsid w:val="0E403CEB"/>
    <w:rsid w:val="0F947BDB"/>
    <w:rsid w:val="0FE557E4"/>
    <w:rsid w:val="100F6ACE"/>
    <w:rsid w:val="112D65BA"/>
    <w:rsid w:val="119678E3"/>
    <w:rsid w:val="11BD3C0A"/>
    <w:rsid w:val="12752B10"/>
    <w:rsid w:val="127F08A9"/>
    <w:rsid w:val="12FC73AD"/>
    <w:rsid w:val="13CC49C6"/>
    <w:rsid w:val="145B7A77"/>
    <w:rsid w:val="14B47D4F"/>
    <w:rsid w:val="14D972B5"/>
    <w:rsid w:val="14E06BFF"/>
    <w:rsid w:val="14EC08FF"/>
    <w:rsid w:val="163D3A14"/>
    <w:rsid w:val="169B1EEC"/>
    <w:rsid w:val="16A502DD"/>
    <w:rsid w:val="16AE60F4"/>
    <w:rsid w:val="16B5193A"/>
    <w:rsid w:val="18697EA3"/>
    <w:rsid w:val="18840BBE"/>
    <w:rsid w:val="18DE7555"/>
    <w:rsid w:val="192C5CED"/>
    <w:rsid w:val="194E19A7"/>
    <w:rsid w:val="19CA6A59"/>
    <w:rsid w:val="1A8C3E4C"/>
    <w:rsid w:val="1ABC7915"/>
    <w:rsid w:val="1AC14286"/>
    <w:rsid w:val="1B294480"/>
    <w:rsid w:val="1BC1785E"/>
    <w:rsid w:val="1C063260"/>
    <w:rsid w:val="1C22255A"/>
    <w:rsid w:val="1CE276BD"/>
    <w:rsid w:val="1CEA693D"/>
    <w:rsid w:val="1D004958"/>
    <w:rsid w:val="1D1D79C1"/>
    <w:rsid w:val="1D216C01"/>
    <w:rsid w:val="1D3955A4"/>
    <w:rsid w:val="1E227AD8"/>
    <w:rsid w:val="1E591605"/>
    <w:rsid w:val="1F2578FA"/>
    <w:rsid w:val="1F4011E8"/>
    <w:rsid w:val="1FBC3B41"/>
    <w:rsid w:val="1FCC39F7"/>
    <w:rsid w:val="203866A1"/>
    <w:rsid w:val="20B0433E"/>
    <w:rsid w:val="2119095A"/>
    <w:rsid w:val="21421D01"/>
    <w:rsid w:val="22341365"/>
    <w:rsid w:val="227E42B4"/>
    <w:rsid w:val="230E38F6"/>
    <w:rsid w:val="23B7749A"/>
    <w:rsid w:val="2424356C"/>
    <w:rsid w:val="24C862FD"/>
    <w:rsid w:val="253E4EBA"/>
    <w:rsid w:val="257C1820"/>
    <w:rsid w:val="275F66C4"/>
    <w:rsid w:val="277A4D86"/>
    <w:rsid w:val="28A10602"/>
    <w:rsid w:val="2A4221EF"/>
    <w:rsid w:val="2A7C7C3D"/>
    <w:rsid w:val="2AB95941"/>
    <w:rsid w:val="2ABC6414"/>
    <w:rsid w:val="2AC4198E"/>
    <w:rsid w:val="2AF072E7"/>
    <w:rsid w:val="2B1429CB"/>
    <w:rsid w:val="2B4A2F77"/>
    <w:rsid w:val="2BEB2B14"/>
    <w:rsid w:val="2C622F4C"/>
    <w:rsid w:val="2C661056"/>
    <w:rsid w:val="2CE367A2"/>
    <w:rsid w:val="2EB72164"/>
    <w:rsid w:val="2EFB16E7"/>
    <w:rsid w:val="2F2817DE"/>
    <w:rsid w:val="2F3A012D"/>
    <w:rsid w:val="2F705F8B"/>
    <w:rsid w:val="2FB53BFD"/>
    <w:rsid w:val="2FD15FD3"/>
    <w:rsid w:val="2FD36F35"/>
    <w:rsid w:val="2FFD3C00"/>
    <w:rsid w:val="3036643E"/>
    <w:rsid w:val="30E64908"/>
    <w:rsid w:val="30F03510"/>
    <w:rsid w:val="31F34982"/>
    <w:rsid w:val="32011947"/>
    <w:rsid w:val="32652527"/>
    <w:rsid w:val="326B5F84"/>
    <w:rsid w:val="3427237C"/>
    <w:rsid w:val="34DF149F"/>
    <w:rsid w:val="34FD33FE"/>
    <w:rsid w:val="35254EA4"/>
    <w:rsid w:val="354122FB"/>
    <w:rsid w:val="358E19EB"/>
    <w:rsid w:val="35DC23A2"/>
    <w:rsid w:val="36873654"/>
    <w:rsid w:val="36E37D93"/>
    <w:rsid w:val="36E50A67"/>
    <w:rsid w:val="370158F5"/>
    <w:rsid w:val="378A1738"/>
    <w:rsid w:val="38183489"/>
    <w:rsid w:val="38634E14"/>
    <w:rsid w:val="3868780D"/>
    <w:rsid w:val="38A3655D"/>
    <w:rsid w:val="38AE7CC3"/>
    <w:rsid w:val="3945175B"/>
    <w:rsid w:val="395C53A5"/>
    <w:rsid w:val="39883C5F"/>
    <w:rsid w:val="39FA25D4"/>
    <w:rsid w:val="3A4820C8"/>
    <w:rsid w:val="3AA12361"/>
    <w:rsid w:val="3AD07B77"/>
    <w:rsid w:val="3C526FDA"/>
    <w:rsid w:val="3D1D0DA6"/>
    <w:rsid w:val="3D5F33CB"/>
    <w:rsid w:val="3E0C767D"/>
    <w:rsid w:val="3ECE1741"/>
    <w:rsid w:val="3F0D12C6"/>
    <w:rsid w:val="3F3C241D"/>
    <w:rsid w:val="3F557D77"/>
    <w:rsid w:val="3F653ECD"/>
    <w:rsid w:val="3F9C20A2"/>
    <w:rsid w:val="40652AB1"/>
    <w:rsid w:val="40975F6D"/>
    <w:rsid w:val="40AD446E"/>
    <w:rsid w:val="41A24648"/>
    <w:rsid w:val="4207684D"/>
    <w:rsid w:val="421D527B"/>
    <w:rsid w:val="429569A2"/>
    <w:rsid w:val="42B750E0"/>
    <w:rsid w:val="42CF40BB"/>
    <w:rsid w:val="433E0A8C"/>
    <w:rsid w:val="438C1F70"/>
    <w:rsid w:val="43CD10A5"/>
    <w:rsid w:val="43CE7868"/>
    <w:rsid w:val="44C46F2F"/>
    <w:rsid w:val="45C149C9"/>
    <w:rsid w:val="45CE5306"/>
    <w:rsid w:val="46170712"/>
    <w:rsid w:val="4698286C"/>
    <w:rsid w:val="46C97F82"/>
    <w:rsid w:val="46F95E41"/>
    <w:rsid w:val="47483A4E"/>
    <w:rsid w:val="476A20C4"/>
    <w:rsid w:val="47825B2B"/>
    <w:rsid w:val="47C26690"/>
    <w:rsid w:val="485C01B1"/>
    <w:rsid w:val="48EA0900"/>
    <w:rsid w:val="492E1801"/>
    <w:rsid w:val="4B72055E"/>
    <w:rsid w:val="4BB502B7"/>
    <w:rsid w:val="4C057571"/>
    <w:rsid w:val="4C536B94"/>
    <w:rsid w:val="4C840FCF"/>
    <w:rsid w:val="4E383C81"/>
    <w:rsid w:val="4E9F7BEB"/>
    <w:rsid w:val="4EBC5E0E"/>
    <w:rsid w:val="4F6679FC"/>
    <w:rsid w:val="4F876F8E"/>
    <w:rsid w:val="4FD667FF"/>
    <w:rsid w:val="4FF364C7"/>
    <w:rsid w:val="501C06C3"/>
    <w:rsid w:val="503A4C07"/>
    <w:rsid w:val="50601EDF"/>
    <w:rsid w:val="50770AE1"/>
    <w:rsid w:val="50921E8E"/>
    <w:rsid w:val="51B47580"/>
    <w:rsid w:val="525C2B2E"/>
    <w:rsid w:val="52B231C1"/>
    <w:rsid w:val="52DE04A0"/>
    <w:rsid w:val="52EE566E"/>
    <w:rsid w:val="532A2F96"/>
    <w:rsid w:val="5367238A"/>
    <w:rsid w:val="55045FC7"/>
    <w:rsid w:val="55711A4E"/>
    <w:rsid w:val="55891A03"/>
    <w:rsid w:val="5678578A"/>
    <w:rsid w:val="567E1FB4"/>
    <w:rsid w:val="57E81F44"/>
    <w:rsid w:val="591D3BA7"/>
    <w:rsid w:val="59330CBB"/>
    <w:rsid w:val="593F4566"/>
    <w:rsid w:val="595D7F2C"/>
    <w:rsid w:val="59820C6D"/>
    <w:rsid w:val="5A037F6C"/>
    <w:rsid w:val="5AA9798C"/>
    <w:rsid w:val="5B48651E"/>
    <w:rsid w:val="5B621989"/>
    <w:rsid w:val="5B624AFC"/>
    <w:rsid w:val="5B74382F"/>
    <w:rsid w:val="5B843D79"/>
    <w:rsid w:val="5BA26A91"/>
    <w:rsid w:val="5BB676E3"/>
    <w:rsid w:val="5BE2160B"/>
    <w:rsid w:val="5C397FAD"/>
    <w:rsid w:val="5C691376"/>
    <w:rsid w:val="5C7134DE"/>
    <w:rsid w:val="5CAF735A"/>
    <w:rsid w:val="5D1F5BCB"/>
    <w:rsid w:val="5DDD669A"/>
    <w:rsid w:val="5E352002"/>
    <w:rsid w:val="5E4719DE"/>
    <w:rsid w:val="5ED850F1"/>
    <w:rsid w:val="5F276073"/>
    <w:rsid w:val="5F90413A"/>
    <w:rsid w:val="5FB5441C"/>
    <w:rsid w:val="5FBF067A"/>
    <w:rsid w:val="60894E5F"/>
    <w:rsid w:val="60F86FD4"/>
    <w:rsid w:val="612D33CB"/>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456F9D"/>
    <w:rsid w:val="677A52A3"/>
    <w:rsid w:val="67CA7ADE"/>
    <w:rsid w:val="68811AB8"/>
    <w:rsid w:val="68D66FC8"/>
    <w:rsid w:val="69472624"/>
    <w:rsid w:val="69FA48EF"/>
    <w:rsid w:val="6A3303C3"/>
    <w:rsid w:val="6AB9719A"/>
    <w:rsid w:val="6AD26200"/>
    <w:rsid w:val="6B9F31BE"/>
    <w:rsid w:val="6BEF69AE"/>
    <w:rsid w:val="6C196D1C"/>
    <w:rsid w:val="6C1F54A1"/>
    <w:rsid w:val="6CC95B66"/>
    <w:rsid w:val="6CD4071A"/>
    <w:rsid w:val="6D151FCF"/>
    <w:rsid w:val="6DAD224C"/>
    <w:rsid w:val="6DDC01D8"/>
    <w:rsid w:val="6E277C54"/>
    <w:rsid w:val="6EB96CFB"/>
    <w:rsid w:val="6EEB4D8F"/>
    <w:rsid w:val="6F505F7A"/>
    <w:rsid w:val="6FED3634"/>
    <w:rsid w:val="70306056"/>
    <w:rsid w:val="71EB3F0D"/>
    <w:rsid w:val="720441EE"/>
    <w:rsid w:val="7233071B"/>
    <w:rsid w:val="72803E39"/>
    <w:rsid w:val="72F15351"/>
    <w:rsid w:val="734A5937"/>
    <w:rsid w:val="7364365D"/>
    <w:rsid w:val="76105A99"/>
    <w:rsid w:val="77812EEB"/>
    <w:rsid w:val="77C11ADE"/>
    <w:rsid w:val="77CA4249"/>
    <w:rsid w:val="78412583"/>
    <w:rsid w:val="78646DF1"/>
    <w:rsid w:val="78E221E3"/>
    <w:rsid w:val="79953ABB"/>
    <w:rsid w:val="79A5544F"/>
    <w:rsid w:val="79C6269C"/>
    <w:rsid w:val="79CA2A11"/>
    <w:rsid w:val="79D14B19"/>
    <w:rsid w:val="7A8254A0"/>
    <w:rsid w:val="7A8F0605"/>
    <w:rsid w:val="7ABD0011"/>
    <w:rsid w:val="7B521D5B"/>
    <w:rsid w:val="7B5A74E2"/>
    <w:rsid w:val="7B6D1EB3"/>
    <w:rsid w:val="7BE266D5"/>
    <w:rsid w:val="7BE33DB1"/>
    <w:rsid w:val="7C5E37E6"/>
    <w:rsid w:val="7CE56D56"/>
    <w:rsid w:val="7D330FE1"/>
    <w:rsid w:val="7D8C7C55"/>
    <w:rsid w:val="7D9356DB"/>
    <w:rsid w:val="7E3258EA"/>
    <w:rsid w:val="7F0707C4"/>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54"/>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64"/>
    <w:unhideWhenUsed/>
    <w:qFormat/>
    <w:uiPriority w:val="0"/>
    <w:pPr>
      <w:keepNext/>
      <w:keepLines/>
      <w:spacing w:line="416"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eastAsia="宋体" w:cs="Times New Roman"/>
      <w:b/>
      <w:bCs/>
      <w:szCs w:val="28"/>
    </w:rPr>
  </w:style>
  <w:style w:type="paragraph" w:styleId="8">
    <w:name w:val="heading 5"/>
    <w:basedOn w:val="1"/>
    <w:next w:val="1"/>
    <w:link w:val="57"/>
    <w:qFormat/>
    <w:uiPriority w:val="0"/>
    <w:pPr>
      <w:keepNext/>
      <w:keepLines/>
      <w:spacing w:before="280" w:after="290" w:line="376" w:lineRule="auto"/>
      <w:outlineLvl w:val="4"/>
    </w:pPr>
    <w:rPr>
      <w:rFonts w:hAnsi="Times New Roman" w:eastAsia="宋体" w:cs="Times New Roman"/>
      <w:b/>
      <w:bCs/>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link w:val="63"/>
    <w:qFormat/>
    <w:uiPriority w:val="0"/>
    <w:pPr>
      <w:ind w:firstLine="420" w:firstLineChars="100"/>
    </w:pPr>
  </w:style>
  <w:style w:type="paragraph" w:styleId="3">
    <w:name w:val="Body Text"/>
    <w:basedOn w:val="1"/>
    <w:link w:val="62"/>
    <w:qFormat/>
    <w:uiPriority w:val="0"/>
    <w:pPr>
      <w:spacing w:after="120"/>
    </w:pPr>
  </w:style>
  <w:style w:type="paragraph" w:styleId="13">
    <w:name w:val="toc 7"/>
    <w:basedOn w:val="1"/>
    <w:next w:val="1"/>
    <w:qFormat/>
    <w:uiPriority w:val="0"/>
    <w:pPr>
      <w:ind w:left="1200" w:leftChars="1200"/>
    </w:pPr>
    <w:rPr>
      <w:rFonts w:hAnsi="Times New Roman" w:eastAsia="宋体" w:cs="Times New Roman"/>
      <w:szCs w:val="20"/>
    </w:rPr>
  </w:style>
  <w:style w:type="paragraph" w:styleId="14">
    <w:name w:val="Normal Indent"/>
    <w:basedOn w:val="1"/>
    <w:qFormat/>
    <w:uiPriority w:val="0"/>
    <w:pPr>
      <w:ind w:firstLine="420" w:firstLineChars="200"/>
    </w:pPr>
    <w:rPr>
      <w:rFonts w:hAnsi="Times New Roman" w:eastAsia="宋体" w:cs="Times New Roman"/>
      <w:szCs w:val="20"/>
    </w:rPr>
  </w:style>
  <w:style w:type="paragraph" w:styleId="15">
    <w:name w:val="caption"/>
    <w:basedOn w:val="1"/>
    <w:next w:val="1"/>
    <w:qFormat/>
    <w:uiPriority w:val="0"/>
    <w:rPr>
      <w:rFonts w:ascii="Cambria" w:hAnsi="Cambria" w:eastAsia="黑体" w:cs="Times New Roman"/>
      <w:kern w:val="2"/>
      <w:sz w:val="20"/>
      <w:szCs w:val="20"/>
    </w:rPr>
  </w:style>
  <w:style w:type="paragraph" w:styleId="16">
    <w:name w:val="Document Map"/>
    <w:basedOn w:val="1"/>
    <w:link w:val="130"/>
    <w:qFormat/>
    <w:uiPriority w:val="0"/>
    <w:pPr>
      <w:shd w:val="clear" w:color="auto" w:fill="000080"/>
    </w:pPr>
    <w:rPr>
      <w:rFonts w:hAnsi="Times New Roman" w:eastAsia="宋体" w:cs="Times New Roman"/>
      <w:szCs w:val="20"/>
    </w:rPr>
  </w:style>
  <w:style w:type="paragraph" w:styleId="17">
    <w:name w:val="annotation text"/>
    <w:basedOn w:val="1"/>
    <w:link w:val="125"/>
    <w:qFormat/>
    <w:uiPriority w:val="0"/>
    <w:pPr>
      <w:jc w:val="left"/>
    </w:pPr>
    <w:rPr>
      <w:rFonts w:hAnsi="Times New Roman" w:eastAsia="仿宋_GB2312" w:cs="Times New Roman"/>
      <w:b/>
      <w:szCs w:val="32"/>
    </w:rPr>
  </w:style>
  <w:style w:type="paragraph" w:styleId="18">
    <w:name w:val="Body Text 3"/>
    <w:basedOn w:val="1"/>
    <w:link w:val="129"/>
    <w:qFormat/>
    <w:uiPriority w:val="0"/>
    <w:rPr>
      <w:rFonts w:hAnsi="Times New Roman" w:eastAsia="宋体" w:cs="Times New Roman"/>
      <w:sz w:val="24"/>
      <w:szCs w:val="20"/>
    </w:rPr>
  </w:style>
  <w:style w:type="paragraph" w:styleId="19">
    <w:name w:val="Body Text Indent"/>
    <w:basedOn w:val="1"/>
    <w:link w:val="128"/>
    <w:qFormat/>
    <w:uiPriority w:val="0"/>
    <w:pPr>
      <w:spacing w:after="120"/>
      <w:ind w:left="420" w:leftChars="200"/>
    </w:pPr>
    <w:rPr>
      <w:rFonts w:hAnsi="Times New Roman" w:eastAsia="宋体" w:cs="Times New Roman"/>
      <w:szCs w:val="20"/>
    </w:rPr>
  </w:style>
  <w:style w:type="paragraph" w:styleId="20">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1">
    <w:name w:val="toc 5"/>
    <w:basedOn w:val="1"/>
    <w:next w:val="1"/>
    <w:qFormat/>
    <w:uiPriority w:val="0"/>
    <w:pPr>
      <w:ind w:left="800" w:leftChars="800"/>
    </w:pPr>
    <w:rPr>
      <w:rFonts w:hAnsi="Times New Roman" w:eastAsia="宋体" w:cs="Times New Roman"/>
      <w:szCs w:val="20"/>
    </w:rPr>
  </w:style>
  <w:style w:type="paragraph" w:styleId="22">
    <w:name w:val="toc 3"/>
    <w:basedOn w:val="1"/>
    <w:next w:val="1"/>
    <w:qFormat/>
    <w:uiPriority w:val="0"/>
    <w:pPr>
      <w:ind w:left="840" w:leftChars="400"/>
    </w:pPr>
    <w:rPr>
      <w:rFonts w:hAnsi="Times New Roman" w:eastAsia="宋体" w:cs="Times New Roman"/>
      <w:szCs w:val="20"/>
    </w:rPr>
  </w:style>
  <w:style w:type="paragraph" w:styleId="23">
    <w:name w:val="Plain Text"/>
    <w:basedOn w:val="1"/>
    <w:link w:val="124"/>
    <w:qFormat/>
    <w:uiPriority w:val="0"/>
    <w:rPr>
      <w:rFonts w:hAnsi="Courier New" w:eastAsia="宋体" w:cs="Courier New"/>
      <w:kern w:val="2"/>
      <w:sz w:val="21"/>
      <w:szCs w:val="21"/>
    </w:rPr>
  </w:style>
  <w:style w:type="paragraph" w:styleId="24">
    <w:name w:val="toc 8"/>
    <w:basedOn w:val="1"/>
    <w:next w:val="1"/>
    <w:qFormat/>
    <w:uiPriority w:val="0"/>
    <w:pPr>
      <w:ind w:left="1400" w:leftChars="1400"/>
    </w:pPr>
    <w:rPr>
      <w:rFonts w:hAnsi="Times New Roman" w:eastAsia="宋体" w:cs="Times New Roman"/>
      <w:szCs w:val="20"/>
    </w:rPr>
  </w:style>
  <w:style w:type="paragraph" w:styleId="25">
    <w:name w:val="Date"/>
    <w:basedOn w:val="1"/>
    <w:next w:val="1"/>
    <w:link w:val="133"/>
    <w:qFormat/>
    <w:uiPriority w:val="0"/>
    <w:pPr>
      <w:ind w:left="100" w:leftChars="2500"/>
    </w:pPr>
    <w:rPr>
      <w:rFonts w:hAnsi="Times New Roman" w:eastAsia="宋体" w:cs="Times New Roman"/>
      <w:szCs w:val="20"/>
    </w:rPr>
  </w:style>
  <w:style w:type="paragraph" w:styleId="26">
    <w:name w:val="Body Text Indent 2"/>
    <w:basedOn w:val="1"/>
    <w:link w:val="127"/>
    <w:qFormat/>
    <w:uiPriority w:val="0"/>
    <w:pPr>
      <w:spacing w:after="120" w:line="480" w:lineRule="auto"/>
      <w:ind w:left="420" w:leftChars="200"/>
    </w:pPr>
    <w:rPr>
      <w:rFonts w:hAnsi="Times New Roman" w:eastAsia="宋体" w:cs="Times New Roman"/>
      <w:szCs w:val="20"/>
    </w:rPr>
  </w:style>
  <w:style w:type="paragraph" w:styleId="27">
    <w:name w:val="Balloon Text"/>
    <w:basedOn w:val="1"/>
    <w:link w:val="132"/>
    <w:qFormat/>
    <w:uiPriority w:val="0"/>
    <w:rPr>
      <w:rFonts w:hAnsi="Times New Roman" w:eastAsia="宋体" w:cs="Times New Roman"/>
      <w:sz w:val="18"/>
      <w:szCs w:val="18"/>
    </w:rPr>
  </w:style>
  <w:style w:type="paragraph" w:styleId="28">
    <w:name w:val="footer"/>
    <w:basedOn w:val="1"/>
    <w:link w:val="114"/>
    <w:qFormat/>
    <w:uiPriority w:val="99"/>
    <w:pPr>
      <w:tabs>
        <w:tab w:val="center" w:pos="4153"/>
        <w:tab w:val="right" w:pos="8306"/>
      </w:tabs>
      <w:snapToGrid w:val="0"/>
      <w:jc w:val="left"/>
    </w:pPr>
    <w:rPr>
      <w:rFonts w:ascii="Times New Roman"/>
      <w:kern w:val="2"/>
      <w:sz w:val="18"/>
      <w:szCs w:val="18"/>
    </w:rPr>
  </w:style>
  <w:style w:type="paragraph" w:styleId="29">
    <w:name w:val="header"/>
    <w:basedOn w:val="1"/>
    <w:link w:val="12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1">
    <w:name w:val="toc 4"/>
    <w:basedOn w:val="1"/>
    <w:next w:val="1"/>
    <w:qFormat/>
    <w:uiPriority w:val="0"/>
    <w:pPr>
      <w:ind w:left="600" w:leftChars="600"/>
    </w:pPr>
    <w:rPr>
      <w:rFonts w:hAnsi="Times New Roman" w:eastAsia="宋体" w:cs="Times New Roman"/>
      <w:szCs w:val="20"/>
    </w:rPr>
  </w:style>
  <w:style w:type="paragraph" w:styleId="32">
    <w:name w:val="Subtitle"/>
    <w:basedOn w:val="1"/>
    <w:next w:val="1"/>
    <w:link w:val="137"/>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3">
    <w:name w:val="toc 6"/>
    <w:basedOn w:val="1"/>
    <w:next w:val="1"/>
    <w:qFormat/>
    <w:uiPriority w:val="0"/>
    <w:pPr>
      <w:ind w:left="1000" w:leftChars="1000"/>
    </w:pPr>
    <w:rPr>
      <w:rFonts w:hAnsi="Times New Roman" w:eastAsia="宋体" w:cs="Times New Roman"/>
      <w:szCs w:val="20"/>
    </w:rPr>
  </w:style>
  <w:style w:type="paragraph" w:styleId="34">
    <w:name w:val="Body Text Indent 3"/>
    <w:basedOn w:val="1"/>
    <w:link w:val="135"/>
    <w:qFormat/>
    <w:uiPriority w:val="0"/>
    <w:pPr>
      <w:ind w:firstLine="420" w:firstLineChars="200"/>
    </w:pPr>
    <w:rPr>
      <w:rFonts w:hAnsi="宋体" w:eastAsia="宋体" w:cs="Times New Roman"/>
      <w:szCs w:val="20"/>
    </w:rPr>
  </w:style>
  <w:style w:type="paragraph" w:styleId="35">
    <w:name w:val="toc 2"/>
    <w:basedOn w:val="1"/>
    <w:next w:val="1"/>
    <w:qFormat/>
    <w:uiPriority w:val="0"/>
    <w:pPr>
      <w:ind w:left="200" w:leftChars="200"/>
    </w:pPr>
    <w:rPr>
      <w:rFonts w:hAnsi="Times New Roman" w:eastAsia="宋体" w:cs="Times New Roman"/>
      <w:szCs w:val="20"/>
    </w:rPr>
  </w:style>
  <w:style w:type="paragraph" w:styleId="36">
    <w:name w:val="toc 9"/>
    <w:basedOn w:val="1"/>
    <w:next w:val="1"/>
    <w:qFormat/>
    <w:uiPriority w:val="0"/>
    <w:pPr>
      <w:ind w:left="1600" w:leftChars="1600"/>
    </w:pPr>
    <w:rPr>
      <w:rFonts w:hAnsi="Times New Roman" w:eastAsia="宋体" w:cs="Times New Roman"/>
      <w:szCs w:val="20"/>
    </w:r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8">
    <w:name w:val="HTML Preformatted"/>
    <w:basedOn w:val="1"/>
    <w:link w:val="1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39">
    <w:name w:val="Normal (Web)"/>
    <w:basedOn w:val="1"/>
    <w:qFormat/>
    <w:uiPriority w:val="99"/>
    <w:pPr>
      <w:widowControl/>
      <w:spacing w:beforeAutospacing="1" w:afterAutospacing="1"/>
      <w:jc w:val="left"/>
    </w:pPr>
    <w:rPr>
      <w:rFonts w:hAnsi="宋体" w:cs="宋体"/>
      <w:sz w:val="24"/>
    </w:rPr>
  </w:style>
  <w:style w:type="paragraph" w:styleId="40">
    <w:name w:val="Title"/>
    <w:basedOn w:val="1"/>
    <w:link w:val="138"/>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paragraph" w:styleId="41">
    <w:name w:val="annotation subject"/>
    <w:basedOn w:val="17"/>
    <w:next w:val="17"/>
    <w:link w:val="134"/>
    <w:qFormat/>
    <w:uiPriority w:val="0"/>
    <w:rPr>
      <w:rFonts w:eastAsia="宋体"/>
      <w:bCs/>
      <w:sz w:val="28"/>
      <w:szCs w:val="20"/>
    </w:rPr>
  </w:style>
  <w:style w:type="paragraph" w:styleId="42">
    <w:name w:val="Body Text First Indent 2"/>
    <w:basedOn w:val="19"/>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000000"/>
      <w:u w:val="none"/>
    </w:rPr>
  </w:style>
  <w:style w:type="character" w:styleId="49">
    <w:name w:val="Emphasis"/>
    <w:basedOn w:val="45"/>
    <w:qFormat/>
    <w:uiPriority w:val="0"/>
    <w:rPr>
      <w:rFonts w:ascii="仿宋_GB2312" w:eastAsia="仿宋_GB2312"/>
      <w:sz w:val="32"/>
      <w:szCs w:val="32"/>
    </w:rPr>
  </w:style>
  <w:style w:type="character" w:styleId="50">
    <w:name w:val="Hyperlink"/>
    <w:basedOn w:val="45"/>
    <w:qFormat/>
    <w:uiPriority w:val="0"/>
    <w:rPr>
      <w:color w:val="000000"/>
      <w:u w:val="none"/>
    </w:rPr>
  </w:style>
  <w:style w:type="character" w:styleId="51">
    <w:name w:val="annotation reference"/>
    <w:basedOn w:val="45"/>
    <w:qFormat/>
    <w:uiPriority w:val="0"/>
    <w:rPr>
      <w:rFonts w:ascii="仿宋_GB2312" w:eastAsia="仿宋_GB2312" w:cs="Times New Roman"/>
      <w:b/>
      <w:sz w:val="21"/>
      <w:szCs w:val="21"/>
    </w:rPr>
  </w:style>
  <w:style w:type="paragraph" w:customStyle="1" w:styleId="52">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4">
    <w:name w:val="标题 1 Char"/>
    <w:basedOn w:val="45"/>
    <w:link w:val="4"/>
    <w:qFormat/>
    <w:uiPriority w:val="0"/>
    <w:rPr>
      <w:rFonts w:ascii="宋体"/>
      <w:b/>
      <w:bCs/>
      <w:kern w:val="44"/>
      <w:sz w:val="44"/>
      <w:szCs w:val="44"/>
    </w:rPr>
  </w:style>
  <w:style w:type="character" w:customStyle="1" w:styleId="55">
    <w:name w:val="标题 2 Char"/>
    <w:basedOn w:val="45"/>
    <w:link w:val="5"/>
    <w:qFormat/>
    <w:uiPriority w:val="0"/>
    <w:rPr>
      <w:rFonts w:ascii="Arial" w:hAnsi="Arial" w:eastAsia="黑体"/>
      <w:b/>
      <w:bCs/>
      <w:kern w:val="2"/>
      <w:sz w:val="32"/>
      <w:szCs w:val="32"/>
    </w:rPr>
  </w:style>
  <w:style w:type="character" w:customStyle="1" w:styleId="56">
    <w:name w:val="标题 4 Char"/>
    <w:basedOn w:val="45"/>
    <w:link w:val="7"/>
    <w:qFormat/>
    <w:uiPriority w:val="0"/>
    <w:rPr>
      <w:rFonts w:ascii="Arial" w:hAnsi="Arial"/>
      <w:b/>
      <w:bCs/>
      <w:sz w:val="34"/>
      <w:szCs w:val="28"/>
    </w:rPr>
  </w:style>
  <w:style w:type="character" w:customStyle="1" w:styleId="57">
    <w:name w:val="标题 5 Char"/>
    <w:basedOn w:val="45"/>
    <w:link w:val="8"/>
    <w:qFormat/>
    <w:uiPriority w:val="0"/>
    <w:rPr>
      <w:rFonts w:ascii="宋体"/>
      <w:b/>
      <w:bCs/>
      <w:sz w:val="28"/>
      <w:szCs w:val="28"/>
    </w:rPr>
  </w:style>
  <w:style w:type="character" w:customStyle="1" w:styleId="58">
    <w:name w:val="标题 6 Char"/>
    <w:basedOn w:val="45"/>
    <w:link w:val="9"/>
    <w:qFormat/>
    <w:uiPriority w:val="0"/>
    <w:rPr>
      <w:rFonts w:ascii="Arial" w:hAnsi="Arial" w:eastAsia="黑体"/>
      <w:b/>
      <w:bCs/>
      <w:sz w:val="24"/>
    </w:rPr>
  </w:style>
  <w:style w:type="character" w:customStyle="1" w:styleId="59">
    <w:name w:val="标题 7 Char"/>
    <w:basedOn w:val="45"/>
    <w:link w:val="10"/>
    <w:qFormat/>
    <w:uiPriority w:val="0"/>
    <w:rPr>
      <w:rFonts w:ascii="宋体"/>
      <w:b/>
      <w:bCs/>
      <w:sz w:val="24"/>
    </w:rPr>
  </w:style>
  <w:style w:type="character" w:customStyle="1" w:styleId="60">
    <w:name w:val="标题 8 Char"/>
    <w:basedOn w:val="45"/>
    <w:link w:val="11"/>
    <w:qFormat/>
    <w:uiPriority w:val="0"/>
    <w:rPr>
      <w:rFonts w:ascii="Arial" w:hAnsi="Arial" w:eastAsia="黑体"/>
      <w:sz w:val="24"/>
    </w:rPr>
  </w:style>
  <w:style w:type="character" w:customStyle="1" w:styleId="61">
    <w:name w:val="标题 9 Char"/>
    <w:basedOn w:val="45"/>
    <w:link w:val="12"/>
    <w:qFormat/>
    <w:uiPriority w:val="0"/>
    <w:rPr>
      <w:rFonts w:ascii="Arial" w:hAnsi="Arial" w:eastAsia="黑体"/>
      <w:sz w:val="34"/>
      <w:szCs w:val="21"/>
    </w:rPr>
  </w:style>
  <w:style w:type="character" w:customStyle="1" w:styleId="62">
    <w:name w:val="正文文本 Char"/>
    <w:basedOn w:val="45"/>
    <w:link w:val="3"/>
    <w:qFormat/>
    <w:uiPriority w:val="0"/>
    <w:rPr>
      <w:rFonts w:ascii="宋体" w:hAnsiTheme="minorHAnsi" w:eastAsiaTheme="minorEastAsia" w:cstheme="minorBidi"/>
      <w:sz w:val="34"/>
      <w:szCs w:val="22"/>
    </w:rPr>
  </w:style>
  <w:style w:type="character" w:customStyle="1" w:styleId="63">
    <w:name w:val="正文首行缩进 Char"/>
    <w:basedOn w:val="62"/>
    <w:link w:val="2"/>
    <w:qFormat/>
    <w:uiPriority w:val="0"/>
  </w:style>
  <w:style w:type="character" w:customStyle="1" w:styleId="64">
    <w:name w:val="标题 3 Char"/>
    <w:basedOn w:val="45"/>
    <w:link w:val="6"/>
    <w:qFormat/>
    <w:uiPriority w:val="0"/>
    <w:rPr>
      <w:rFonts w:ascii="宋体" w:hAnsiTheme="minorHAnsi" w:eastAsiaTheme="minorEastAsia" w:cstheme="minorBidi"/>
      <w:b/>
      <w:bCs/>
      <w:sz w:val="32"/>
      <w:szCs w:val="32"/>
    </w:rPr>
  </w:style>
  <w:style w:type="character" w:customStyle="1" w:styleId="65">
    <w:name w:val="引用 Char"/>
    <w:qFormat/>
    <w:uiPriority w:val="0"/>
    <w:rPr>
      <w:i/>
      <w:iCs/>
      <w:color w:val="000000"/>
    </w:rPr>
  </w:style>
  <w:style w:type="paragraph" w:styleId="66">
    <w:name w:val="Quote"/>
    <w:basedOn w:val="1"/>
    <w:next w:val="1"/>
    <w:link w:val="167"/>
    <w:qFormat/>
    <w:uiPriority w:val="0"/>
    <w:rPr>
      <w:rFonts w:ascii="Times New Roman" w:hAnsi="Times New Roman" w:eastAsia="宋体" w:cs="Times New Roman"/>
      <w:i/>
      <w:iCs/>
      <w:color w:val="000000"/>
      <w:sz w:val="20"/>
      <w:szCs w:val="20"/>
    </w:rPr>
  </w:style>
  <w:style w:type="character" w:customStyle="1" w:styleId="67">
    <w:name w:val="down"/>
    <w:qFormat/>
    <w:uiPriority w:val="0"/>
    <w:rPr>
      <w:shd w:val="clear" w:color="auto" w:fill="DAEEF9"/>
    </w:rPr>
  </w:style>
  <w:style w:type="character" w:customStyle="1" w:styleId="68">
    <w:name w:val="blue"/>
    <w:basedOn w:val="45"/>
    <w:qFormat/>
    <w:uiPriority w:val="0"/>
    <w:rPr>
      <w:rFonts w:ascii="仿宋_GB2312" w:eastAsia="仿宋_GB2312"/>
      <w:b/>
      <w:color w:val="0371C6"/>
      <w:sz w:val="21"/>
      <w:szCs w:val="21"/>
    </w:rPr>
  </w:style>
  <w:style w:type="character" w:customStyle="1" w:styleId="69">
    <w:name w:val="批注框文本 Char1"/>
    <w:qFormat/>
    <w:uiPriority w:val="0"/>
    <w:rPr>
      <w:kern w:val="2"/>
      <w:sz w:val="18"/>
      <w:szCs w:val="18"/>
    </w:rPr>
  </w:style>
  <w:style w:type="character" w:customStyle="1" w:styleId="70">
    <w:name w:val="gb-jt"/>
    <w:basedOn w:val="45"/>
    <w:qFormat/>
    <w:uiPriority w:val="0"/>
    <w:rPr>
      <w:rFonts w:ascii="仿宋_GB2312" w:eastAsia="仿宋_GB2312"/>
      <w:b/>
      <w:sz w:val="32"/>
      <w:szCs w:val="32"/>
    </w:rPr>
  </w:style>
  <w:style w:type="character" w:customStyle="1" w:styleId="71">
    <w:name w:val="副标题 Char"/>
    <w:link w:val="32"/>
    <w:qFormat/>
    <w:uiPriority w:val="0"/>
    <w:rPr>
      <w:rFonts w:ascii="Cambria" w:hAnsi="Cambria"/>
      <w:b/>
      <w:bCs/>
      <w:kern w:val="28"/>
      <w:sz w:val="32"/>
      <w:szCs w:val="32"/>
    </w:rPr>
  </w:style>
  <w:style w:type="character" w:customStyle="1" w:styleId="72">
    <w:name w:val="正文文本 Char1"/>
    <w:qFormat/>
    <w:uiPriority w:val="0"/>
    <w:rPr>
      <w:kern w:val="2"/>
      <w:sz w:val="21"/>
      <w:szCs w:val="22"/>
    </w:rPr>
  </w:style>
  <w:style w:type="character" w:customStyle="1" w:styleId="73">
    <w:name w:val="hover3"/>
    <w:qFormat/>
    <w:uiPriority w:val="0"/>
    <w:rPr>
      <w:bdr w:val="single" w:color="FFCC33" w:sz="6" w:space="0"/>
    </w:rPr>
  </w:style>
  <w:style w:type="character" w:customStyle="1" w:styleId="74">
    <w:name w:val="sl"/>
    <w:basedOn w:val="45"/>
    <w:qFormat/>
    <w:uiPriority w:val="0"/>
    <w:rPr>
      <w:rFonts w:ascii="仿宋_GB2312" w:eastAsia="仿宋_GB2312"/>
      <w:b/>
      <w:sz w:val="32"/>
      <w:szCs w:val="32"/>
    </w:rPr>
  </w:style>
  <w:style w:type="character" w:customStyle="1" w:styleId="75">
    <w:name w:val="文档结构图 Char"/>
    <w:link w:val="16"/>
    <w:qFormat/>
    <w:uiPriority w:val="0"/>
    <w:rPr>
      <w:rFonts w:ascii="宋体"/>
      <w:sz w:val="34"/>
      <w:shd w:val="clear" w:color="auto" w:fill="000080"/>
    </w:rPr>
  </w:style>
  <w:style w:type="character" w:customStyle="1" w:styleId="76">
    <w:name w:val="引用 Char1"/>
    <w:basedOn w:val="45"/>
    <w:qFormat/>
    <w:uiPriority w:val="29"/>
    <w:rPr>
      <w:rFonts w:ascii="宋体" w:eastAsia="仿宋_GB2312"/>
      <w:b/>
      <w:i/>
      <w:iCs/>
      <w:color w:val="000000"/>
      <w:sz w:val="34"/>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5"/>
    <w:next w:val="20"/>
    <w:link w:val="77"/>
    <w:qFormat/>
    <w:uiPriority w:val="0"/>
    <w:pPr>
      <w:spacing w:line="413" w:lineRule="auto"/>
    </w:pPr>
    <w:rPr>
      <w:rFonts w:eastAsia="宋体"/>
      <w:kern w:val="0"/>
      <w:sz w:val="24"/>
    </w:rPr>
  </w:style>
  <w:style w:type="character" w:customStyle="1" w:styleId="79">
    <w:name w:val="lsl"/>
    <w:basedOn w:val="45"/>
    <w:qFormat/>
    <w:uiPriority w:val="0"/>
    <w:rPr>
      <w:rFonts w:ascii="仿宋_GB2312" w:eastAsia="仿宋_GB2312"/>
      <w:b/>
      <w:sz w:val="32"/>
      <w:szCs w:val="32"/>
    </w:rPr>
  </w:style>
  <w:style w:type="character" w:customStyle="1" w:styleId="80">
    <w:name w:val="书籍标题1"/>
    <w:qFormat/>
    <w:uiPriority w:val="0"/>
    <w:rPr>
      <w:b/>
      <w:bCs/>
      <w:smallCaps/>
      <w:spacing w:val="5"/>
    </w:rPr>
  </w:style>
  <w:style w:type="character" w:customStyle="1" w:styleId="81">
    <w:name w:val="不明显参考1"/>
    <w:qFormat/>
    <w:uiPriority w:val="0"/>
    <w:rPr>
      <w:smallCaps/>
      <w:color w:val="C0504D"/>
      <w:u w:val="single"/>
    </w:rPr>
  </w:style>
  <w:style w:type="character" w:customStyle="1" w:styleId="82">
    <w:name w:val="副标题 Char1"/>
    <w:basedOn w:val="45"/>
    <w:qFormat/>
    <w:uiPriority w:val="11"/>
    <w:rPr>
      <w:rFonts w:ascii="Cambria" w:hAnsi="Cambria" w:eastAsia="仿宋_GB2312" w:cs="Times New Roman"/>
      <w:b/>
      <w:bCs/>
      <w:kern w:val="28"/>
      <w:sz w:val="32"/>
      <w:szCs w:val="32"/>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apple-converted-space"/>
    <w:basedOn w:val="45"/>
    <w:qFormat/>
    <w:uiPriority w:val="0"/>
    <w:rPr>
      <w:rFonts w:ascii="仿宋_GB2312" w:eastAsia="仿宋_GB2312"/>
      <w:b/>
      <w:sz w:val="32"/>
      <w:szCs w:val="32"/>
    </w:rPr>
  </w:style>
  <w:style w:type="character" w:customStyle="1" w:styleId="85">
    <w:name w:val="down1"/>
    <w:basedOn w:val="45"/>
    <w:qFormat/>
    <w:uiPriority w:val="0"/>
    <w:rPr>
      <w:rFonts w:ascii="仿宋_GB2312" w:eastAsia="仿宋_GB2312"/>
      <w:b/>
      <w:sz w:val="32"/>
      <w:szCs w:val="32"/>
      <w:shd w:val="clear" w:color="auto" w:fill="DAEEF9"/>
    </w:rPr>
  </w:style>
  <w:style w:type="character" w:customStyle="1" w:styleId="86">
    <w:name w:val="red2"/>
    <w:basedOn w:val="45"/>
    <w:qFormat/>
    <w:uiPriority w:val="0"/>
    <w:rPr>
      <w:rFonts w:ascii="仿宋_GB2312" w:eastAsia="仿宋_GB2312"/>
      <w:b/>
      <w:color w:val="FF0000"/>
      <w:sz w:val="32"/>
      <w:szCs w:val="32"/>
    </w:rPr>
  </w:style>
  <w:style w:type="character" w:customStyle="1" w:styleId="87">
    <w:name w:val="red"/>
    <w:basedOn w:val="45"/>
    <w:qFormat/>
    <w:uiPriority w:val="0"/>
    <w:rPr>
      <w:rFonts w:ascii="仿宋_GB2312" w:eastAsia="仿宋_GB2312"/>
      <w:b/>
      <w:color w:val="FF0000"/>
      <w:sz w:val="18"/>
      <w:szCs w:val="18"/>
    </w:rPr>
  </w:style>
  <w:style w:type="character" w:customStyle="1" w:styleId="88">
    <w:name w:val="日期 Char"/>
    <w:link w:val="25"/>
    <w:qFormat/>
    <w:uiPriority w:val="0"/>
    <w:rPr>
      <w:rFonts w:ascii="宋体"/>
      <w:sz w:val="34"/>
    </w:rPr>
  </w:style>
  <w:style w:type="character" w:customStyle="1" w:styleId="89">
    <w:name w:val="不明显强调1"/>
    <w:qFormat/>
    <w:uiPriority w:val="0"/>
    <w:rPr>
      <w:i/>
      <w:iCs/>
      <w:color w:val="808080"/>
    </w:rPr>
  </w:style>
  <w:style w:type="character" w:customStyle="1" w:styleId="90">
    <w:name w:val="red1"/>
    <w:basedOn w:val="45"/>
    <w:qFormat/>
    <w:uiPriority w:val="0"/>
    <w:rPr>
      <w:rFonts w:ascii="仿宋_GB2312" w:eastAsia="仿宋_GB2312"/>
      <w:b/>
      <w:color w:val="FF0000"/>
      <w:sz w:val="18"/>
      <w:szCs w:val="18"/>
    </w:rPr>
  </w:style>
  <w:style w:type="character" w:customStyle="1" w:styleId="91">
    <w:name w:val="明显参考1"/>
    <w:qFormat/>
    <w:uiPriority w:val="0"/>
    <w:rPr>
      <w:b/>
      <w:bCs/>
      <w:smallCaps/>
      <w:color w:val="C0504D"/>
      <w:spacing w:val="5"/>
      <w:u w:val="single"/>
    </w:rPr>
  </w:style>
  <w:style w:type="character" w:customStyle="1" w:styleId="92">
    <w:name w:val="批注文字 Char"/>
    <w:basedOn w:val="45"/>
    <w:link w:val="17"/>
    <w:qFormat/>
    <w:uiPriority w:val="0"/>
    <w:rPr>
      <w:rFonts w:ascii="宋体" w:eastAsia="仿宋_GB2312"/>
      <w:b/>
      <w:sz w:val="34"/>
      <w:szCs w:val="32"/>
    </w:rPr>
  </w:style>
  <w:style w:type="character" w:customStyle="1" w:styleId="93">
    <w:name w:val="cpb"/>
    <w:qFormat/>
    <w:uiPriority w:val="0"/>
    <w:rPr>
      <w:color w:val="FFFFFF"/>
    </w:rPr>
  </w:style>
  <w:style w:type="character" w:customStyle="1" w:styleId="94">
    <w:name w:val="批注框文本 Char"/>
    <w:link w:val="27"/>
    <w:qFormat/>
    <w:uiPriority w:val="0"/>
    <w:rPr>
      <w:rFonts w:ascii="宋体"/>
      <w:sz w:val="18"/>
      <w:szCs w:val="18"/>
    </w:rPr>
  </w:style>
  <w:style w:type="character" w:customStyle="1" w:styleId="95">
    <w:name w:val="批注主题 Char"/>
    <w:link w:val="41"/>
    <w:qFormat/>
    <w:uiPriority w:val="0"/>
    <w:rPr>
      <w:rFonts w:ascii="宋体"/>
      <w:b/>
      <w:bCs/>
      <w:sz w:val="28"/>
    </w:rPr>
  </w:style>
  <w:style w:type="character" w:customStyle="1" w:styleId="96">
    <w:name w:val="HTML 预设格式 Char"/>
    <w:basedOn w:val="45"/>
    <w:link w:val="38"/>
    <w:qFormat/>
    <w:uiPriority w:val="0"/>
    <w:rPr>
      <w:rFonts w:ascii="Arial" w:hAnsi="Arial" w:eastAsia="仿宋_GB2312"/>
      <w:b/>
      <w:sz w:val="24"/>
      <w:szCs w:val="24"/>
    </w:rPr>
  </w:style>
  <w:style w:type="character" w:customStyle="1" w:styleId="97">
    <w:name w:val="lsr"/>
    <w:basedOn w:val="45"/>
    <w:qFormat/>
    <w:uiPriority w:val="0"/>
    <w:rPr>
      <w:rFonts w:ascii="仿宋_GB2312" w:eastAsia="仿宋_GB2312"/>
      <w:b/>
      <w:sz w:val="32"/>
      <w:szCs w:val="32"/>
    </w:rPr>
  </w:style>
  <w:style w:type="character" w:customStyle="1" w:styleId="98">
    <w:name w:val="15"/>
    <w:qFormat/>
    <w:uiPriority w:val="0"/>
    <w:rPr>
      <w:rFonts w:hint="default" w:ascii="Times New Roman" w:hAnsi="Times New Roman" w:cs="Times New Roman"/>
      <w:color w:val="0000FF"/>
      <w:u w:val="single"/>
    </w:rPr>
  </w:style>
  <w:style w:type="character" w:customStyle="1" w:styleId="99">
    <w:name w:val="tit"/>
    <w:basedOn w:val="45"/>
    <w:qFormat/>
    <w:uiPriority w:val="0"/>
    <w:rPr>
      <w:rFonts w:ascii="仿宋_GB2312" w:eastAsia="仿宋_GB2312"/>
      <w:b/>
      <w:sz w:val="32"/>
      <w:szCs w:val="32"/>
    </w:rPr>
  </w:style>
  <w:style w:type="character" w:customStyle="1" w:styleId="100">
    <w:name w:val="批注主题 Char2"/>
    <w:basedOn w:val="92"/>
    <w:qFormat/>
    <w:uiPriority w:val="99"/>
    <w:rPr>
      <w:bCs/>
    </w:rPr>
  </w:style>
  <w:style w:type="character" w:customStyle="1" w:styleId="101">
    <w:name w:val="文档结构图 Char1"/>
    <w:qFormat/>
    <w:uiPriority w:val="0"/>
    <w:rPr>
      <w:rFonts w:ascii="宋体"/>
      <w:kern w:val="2"/>
      <w:sz w:val="18"/>
      <w:szCs w:val="18"/>
    </w:rPr>
  </w:style>
  <w:style w:type="character" w:customStyle="1" w:styleId="102">
    <w:name w:val="纯文本 Char"/>
    <w:link w:val="23"/>
    <w:qFormat/>
    <w:uiPriority w:val="0"/>
    <w:rPr>
      <w:rFonts w:ascii="宋体" w:hAnsi="Courier New" w:cs="Courier New"/>
      <w:kern w:val="2"/>
      <w:sz w:val="21"/>
      <w:szCs w:val="21"/>
    </w:rPr>
  </w:style>
  <w:style w:type="character" w:customStyle="1" w:styleId="103">
    <w:name w:val="sr"/>
    <w:basedOn w:val="45"/>
    <w:qFormat/>
    <w:uiPriority w:val="0"/>
    <w:rPr>
      <w:rFonts w:ascii="仿宋_GB2312" w:eastAsia="仿宋_GB2312"/>
      <w:b/>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6"/>
    <w:link w:val="104"/>
    <w:qFormat/>
    <w:uiPriority w:val="0"/>
    <w:pPr>
      <w:spacing w:before="260" w:after="260" w:line="413" w:lineRule="auto"/>
    </w:pPr>
    <w:rPr>
      <w:rFonts w:ascii="Arial" w:hAnsi="Arial" w:eastAsia="宋体" w:cs="Times New Roman"/>
      <w:sz w:val="24"/>
    </w:rPr>
  </w:style>
  <w:style w:type="character" w:customStyle="1" w:styleId="106">
    <w:name w:val="green"/>
    <w:basedOn w:val="45"/>
    <w:qFormat/>
    <w:uiPriority w:val="0"/>
    <w:rPr>
      <w:rFonts w:ascii="仿宋_GB2312" w:eastAsia="仿宋_GB2312"/>
      <w:b/>
      <w:color w:val="66AE00"/>
      <w:sz w:val="18"/>
      <w:szCs w:val="18"/>
    </w:rPr>
  </w:style>
  <w:style w:type="character" w:customStyle="1" w:styleId="107">
    <w:name w:val="up"/>
    <w:basedOn w:val="45"/>
    <w:qFormat/>
    <w:uiPriority w:val="0"/>
    <w:rPr>
      <w:rFonts w:ascii="仿宋_GB2312" w:eastAsia="仿宋_GB2312"/>
      <w:b/>
      <w:sz w:val="32"/>
      <w:szCs w:val="32"/>
    </w:rPr>
  </w:style>
  <w:style w:type="character" w:customStyle="1" w:styleId="108">
    <w:name w:val="green1"/>
    <w:basedOn w:val="45"/>
    <w:qFormat/>
    <w:uiPriority w:val="0"/>
    <w:rPr>
      <w:rFonts w:ascii="仿宋_GB2312" w:eastAsia="仿宋_GB2312"/>
      <w:b/>
      <w:color w:val="66AE00"/>
      <w:sz w:val="18"/>
      <w:szCs w:val="18"/>
    </w:rPr>
  </w:style>
  <w:style w:type="character" w:customStyle="1" w:styleId="109">
    <w:name w:val="批注主题 Char1"/>
    <w:qFormat/>
    <w:uiPriority w:val="0"/>
    <w:rPr>
      <w:b/>
      <w:bCs/>
      <w:kern w:val="2"/>
      <w:sz w:val="21"/>
      <w:szCs w:val="22"/>
    </w:rPr>
  </w:style>
  <w:style w:type="character" w:customStyle="1" w:styleId="110">
    <w:name w:val="明显强调1"/>
    <w:qFormat/>
    <w:uiPriority w:val="0"/>
    <w:rPr>
      <w:b/>
      <w:bCs/>
      <w:i/>
      <w:iCs/>
      <w:color w:val="4F81BD"/>
    </w:rPr>
  </w:style>
  <w:style w:type="character" w:customStyle="1" w:styleId="111">
    <w:name w:val="标题 Char"/>
    <w:link w:val="40"/>
    <w:qFormat/>
    <w:uiPriority w:val="0"/>
    <w:rPr>
      <w:rFonts w:ascii="Arial" w:hAnsi="Arial"/>
      <w:b/>
      <w:sz w:val="32"/>
    </w:rPr>
  </w:style>
  <w:style w:type="character" w:customStyle="1" w:styleId="112">
    <w:name w:val="textcontents"/>
    <w:basedOn w:val="45"/>
    <w:qFormat/>
    <w:uiPriority w:val="0"/>
    <w:rPr>
      <w:rFonts w:ascii="仿宋_GB2312" w:eastAsia="仿宋_GB2312"/>
      <w:b/>
      <w:sz w:val="32"/>
      <w:szCs w:val="32"/>
    </w:rPr>
  </w:style>
  <w:style w:type="character" w:customStyle="1" w:styleId="113">
    <w:name w:val="hover25"/>
    <w:basedOn w:val="45"/>
    <w:qFormat/>
    <w:uiPriority w:val="0"/>
    <w:rPr>
      <w:rFonts w:ascii="仿宋_GB2312" w:eastAsia="仿宋_GB2312"/>
      <w:b/>
      <w:sz w:val="32"/>
      <w:szCs w:val="32"/>
    </w:rPr>
  </w:style>
  <w:style w:type="character" w:customStyle="1" w:styleId="114">
    <w:name w:val="页脚 Char"/>
    <w:link w:val="28"/>
    <w:qFormat/>
    <w:uiPriority w:val="99"/>
    <w:rPr>
      <w:rFonts w:hAnsiTheme="minorHAnsi" w:eastAsiaTheme="minorEastAsia" w:cstheme="minorBidi"/>
      <w:kern w:val="2"/>
      <w:sz w:val="18"/>
      <w:szCs w:val="18"/>
    </w:rPr>
  </w:style>
  <w:style w:type="character" w:customStyle="1" w:styleId="115">
    <w:name w:val="right"/>
    <w:basedOn w:val="45"/>
    <w:qFormat/>
    <w:uiPriority w:val="0"/>
    <w:rPr>
      <w:rFonts w:ascii="仿宋_GB2312" w:eastAsia="仿宋_GB2312"/>
      <w:b/>
      <w:color w:val="999999"/>
      <w:sz w:val="18"/>
      <w:szCs w:val="18"/>
    </w:rPr>
  </w:style>
  <w:style w:type="character" w:customStyle="1" w:styleId="116">
    <w:name w:val="明显引用 Char1"/>
    <w:basedOn w:val="45"/>
    <w:qFormat/>
    <w:uiPriority w:val="30"/>
    <w:rPr>
      <w:rFonts w:ascii="宋体" w:eastAsia="仿宋_GB2312"/>
      <w:b/>
      <w:bCs/>
      <w:i/>
      <w:iCs/>
      <w:color w:val="4F81BD"/>
      <w:sz w:val="34"/>
      <w:szCs w:val="32"/>
    </w:rPr>
  </w:style>
  <w:style w:type="character" w:customStyle="1" w:styleId="117">
    <w:name w:val="font161"/>
    <w:qFormat/>
    <w:uiPriority w:val="0"/>
    <w:rPr>
      <w:b/>
      <w:bCs/>
      <w:sz w:val="32"/>
      <w:szCs w:val="32"/>
    </w:rPr>
  </w:style>
  <w:style w:type="character" w:customStyle="1" w:styleId="118">
    <w:name w:val="tit1"/>
    <w:basedOn w:val="45"/>
    <w:qFormat/>
    <w:uiPriority w:val="0"/>
    <w:rPr>
      <w:rFonts w:ascii="仿宋_GB2312" w:eastAsia="仿宋_GB2312"/>
      <w:b/>
      <w:sz w:val="32"/>
      <w:szCs w:val="32"/>
    </w:rPr>
  </w:style>
  <w:style w:type="character" w:customStyle="1" w:styleId="119">
    <w:name w:val="日期 Char1"/>
    <w:qFormat/>
    <w:uiPriority w:val="0"/>
    <w:rPr>
      <w:kern w:val="2"/>
      <w:sz w:val="21"/>
      <w:szCs w:val="22"/>
    </w:rPr>
  </w:style>
  <w:style w:type="character" w:customStyle="1" w:styleId="120">
    <w:name w:val="页眉 Char"/>
    <w:basedOn w:val="45"/>
    <w:link w:val="29"/>
    <w:qFormat/>
    <w:uiPriority w:val="0"/>
    <w:rPr>
      <w:rFonts w:ascii="宋体" w:hAnsiTheme="minorHAnsi" w:eastAsiaTheme="minorEastAsia" w:cstheme="minorBidi"/>
      <w:sz w:val="18"/>
      <w:szCs w:val="18"/>
    </w:rPr>
  </w:style>
  <w:style w:type="character" w:customStyle="1" w:styleId="121">
    <w:name w:val="明显引用 Char"/>
    <w:qFormat/>
    <w:uiPriority w:val="0"/>
    <w:rPr>
      <w:b/>
      <w:bCs/>
      <w:i/>
      <w:iCs/>
      <w:color w:val="4F81BD"/>
    </w:rPr>
  </w:style>
  <w:style w:type="paragraph" w:styleId="122">
    <w:name w:val="Intense Quote"/>
    <w:basedOn w:val="1"/>
    <w:next w:val="1"/>
    <w:link w:val="149"/>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3">
    <w:name w:val="标题 Char1"/>
    <w:basedOn w:val="45"/>
    <w:qFormat/>
    <w:uiPriority w:val="10"/>
    <w:rPr>
      <w:rFonts w:ascii="Cambria" w:hAnsi="Cambria" w:eastAsia="宋体" w:cs="Times New Roman"/>
      <w:b/>
      <w:bCs/>
      <w:sz w:val="32"/>
      <w:szCs w:val="32"/>
    </w:rPr>
  </w:style>
  <w:style w:type="character" w:customStyle="1" w:styleId="124">
    <w:name w:val="纯文本 Char1"/>
    <w:basedOn w:val="45"/>
    <w:link w:val="23"/>
    <w:qFormat/>
    <w:uiPriority w:val="99"/>
    <w:rPr>
      <w:rFonts w:ascii="宋体" w:hAnsi="Courier New" w:cs="Courier New"/>
      <w:sz w:val="21"/>
      <w:szCs w:val="21"/>
    </w:rPr>
  </w:style>
  <w:style w:type="character" w:customStyle="1" w:styleId="125">
    <w:name w:val="批注文字 Char1"/>
    <w:basedOn w:val="45"/>
    <w:link w:val="17"/>
    <w:qFormat/>
    <w:uiPriority w:val="99"/>
    <w:rPr>
      <w:rFonts w:ascii="宋体" w:hAnsiTheme="minorHAnsi" w:eastAsiaTheme="minorEastAsia" w:cstheme="minorBidi"/>
      <w:sz w:val="34"/>
      <w:szCs w:val="22"/>
    </w:rPr>
  </w:style>
  <w:style w:type="character" w:customStyle="1" w:styleId="126">
    <w:name w:val="页脚 Char1"/>
    <w:basedOn w:val="45"/>
    <w:semiHidden/>
    <w:qFormat/>
    <w:uiPriority w:val="99"/>
    <w:rPr>
      <w:rFonts w:ascii="宋体"/>
      <w:sz w:val="18"/>
      <w:szCs w:val="18"/>
    </w:rPr>
  </w:style>
  <w:style w:type="character" w:customStyle="1" w:styleId="127">
    <w:name w:val="正文文本缩进 2 Char"/>
    <w:basedOn w:val="45"/>
    <w:link w:val="26"/>
    <w:qFormat/>
    <w:uiPriority w:val="0"/>
    <w:rPr>
      <w:rFonts w:ascii="宋体"/>
      <w:sz w:val="34"/>
    </w:rPr>
  </w:style>
  <w:style w:type="character" w:customStyle="1" w:styleId="128">
    <w:name w:val="正文文本缩进 Char"/>
    <w:basedOn w:val="45"/>
    <w:link w:val="19"/>
    <w:qFormat/>
    <w:uiPriority w:val="0"/>
    <w:rPr>
      <w:rFonts w:ascii="宋体"/>
      <w:sz w:val="34"/>
    </w:rPr>
  </w:style>
  <w:style w:type="character" w:customStyle="1" w:styleId="129">
    <w:name w:val="正文文本 3 Char"/>
    <w:basedOn w:val="45"/>
    <w:link w:val="18"/>
    <w:qFormat/>
    <w:uiPriority w:val="0"/>
    <w:rPr>
      <w:rFonts w:ascii="宋体"/>
      <w:sz w:val="24"/>
    </w:rPr>
  </w:style>
  <w:style w:type="character" w:customStyle="1" w:styleId="130">
    <w:name w:val="文档结构图 Char2"/>
    <w:basedOn w:val="45"/>
    <w:link w:val="16"/>
    <w:qFormat/>
    <w:uiPriority w:val="99"/>
    <w:rPr>
      <w:rFonts w:ascii="宋体" w:hAnsiTheme="minorHAnsi" w:cstheme="minorBidi"/>
      <w:sz w:val="18"/>
      <w:szCs w:val="18"/>
    </w:rPr>
  </w:style>
  <w:style w:type="character" w:customStyle="1" w:styleId="131">
    <w:name w:val="页眉 Char1"/>
    <w:basedOn w:val="45"/>
    <w:semiHidden/>
    <w:qFormat/>
    <w:uiPriority w:val="99"/>
    <w:rPr>
      <w:rFonts w:ascii="宋体"/>
      <w:sz w:val="18"/>
      <w:szCs w:val="18"/>
    </w:rPr>
  </w:style>
  <w:style w:type="character" w:customStyle="1" w:styleId="132">
    <w:name w:val="批注框文本 Char2"/>
    <w:basedOn w:val="45"/>
    <w:link w:val="27"/>
    <w:qFormat/>
    <w:uiPriority w:val="99"/>
    <w:rPr>
      <w:rFonts w:ascii="宋体" w:hAnsiTheme="minorHAnsi" w:eastAsiaTheme="minorEastAsia" w:cstheme="minorBidi"/>
      <w:sz w:val="18"/>
      <w:szCs w:val="18"/>
    </w:rPr>
  </w:style>
  <w:style w:type="character" w:customStyle="1" w:styleId="133">
    <w:name w:val="日期 Char2"/>
    <w:basedOn w:val="45"/>
    <w:link w:val="25"/>
    <w:qFormat/>
    <w:uiPriority w:val="99"/>
    <w:rPr>
      <w:rFonts w:ascii="宋体" w:hAnsiTheme="minorHAnsi" w:eastAsiaTheme="minorEastAsia" w:cstheme="minorBidi"/>
      <w:sz w:val="34"/>
      <w:szCs w:val="22"/>
    </w:rPr>
  </w:style>
  <w:style w:type="character" w:customStyle="1" w:styleId="134">
    <w:name w:val="批注主题 Char3"/>
    <w:basedOn w:val="125"/>
    <w:link w:val="41"/>
    <w:qFormat/>
    <w:uiPriority w:val="99"/>
    <w:rPr>
      <w:b/>
      <w:bCs/>
    </w:rPr>
  </w:style>
  <w:style w:type="character" w:customStyle="1" w:styleId="135">
    <w:name w:val="正文文本缩进 3 Char"/>
    <w:basedOn w:val="45"/>
    <w:link w:val="34"/>
    <w:qFormat/>
    <w:uiPriority w:val="0"/>
    <w:rPr>
      <w:rFonts w:ascii="宋体" w:hAnsi="宋体"/>
      <w:sz w:val="34"/>
    </w:rPr>
  </w:style>
  <w:style w:type="character" w:customStyle="1" w:styleId="136">
    <w:name w:val="HTML 预设格式 Char1"/>
    <w:basedOn w:val="45"/>
    <w:link w:val="38"/>
    <w:qFormat/>
    <w:uiPriority w:val="99"/>
    <w:rPr>
      <w:rFonts w:ascii="Courier New" w:hAnsi="Courier New" w:cs="Courier New" w:eastAsiaTheme="minorEastAsia"/>
    </w:rPr>
  </w:style>
  <w:style w:type="character" w:customStyle="1" w:styleId="137">
    <w:name w:val="副标题 Char2"/>
    <w:basedOn w:val="45"/>
    <w:link w:val="32"/>
    <w:qFormat/>
    <w:uiPriority w:val="11"/>
    <w:rPr>
      <w:rFonts w:asciiTheme="majorHAnsi" w:hAnsiTheme="majorHAnsi" w:cstheme="majorBidi"/>
      <w:b/>
      <w:bCs/>
      <w:kern w:val="28"/>
      <w:sz w:val="32"/>
      <w:szCs w:val="32"/>
    </w:rPr>
  </w:style>
  <w:style w:type="character" w:customStyle="1" w:styleId="138">
    <w:name w:val="标题 Char2"/>
    <w:basedOn w:val="45"/>
    <w:link w:val="40"/>
    <w:qFormat/>
    <w:uiPriority w:val="10"/>
    <w:rPr>
      <w:rFonts w:asciiTheme="majorHAnsi" w:hAnsiTheme="majorHAnsi" w:cstheme="majorBidi"/>
      <w:b/>
      <w:bCs/>
      <w:sz w:val="32"/>
      <w:szCs w:val="32"/>
    </w:rPr>
  </w:style>
  <w:style w:type="paragraph" w:styleId="139">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2">
    <w:name w:val="样式 标题 2 + 四号 非加粗 居中 行距: 单倍行距"/>
    <w:basedOn w:val="5"/>
    <w:qFormat/>
    <w:uiPriority w:val="0"/>
    <w:pPr>
      <w:spacing w:line="300" w:lineRule="exact"/>
      <w:jc w:val="center"/>
    </w:pPr>
    <w:rPr>
      <w:rFonts w:cs="宋体"/>
      <w:bCs w:val="0"/>
      <w:sz w:val="28"/>
      <w:szCs w:val="20"/>
    </w:rPr>
  </w:style>
  <w:style w:type="paragraph" w:customStyle="1" w:styleId="143">
    <w:name w:val="Char"/>
    <w:basedOn w:val="1"/>
    <w:qFormat/>
    <w:uiPriority w:val="0"/>
    <w:rPr>
      <w:rFonts w:ascii="仿宋_GB2312" w:hAnsi="Times New Roman" w:eastAsia="仿宋_GB2312" w:cs="Times New Roman"/>
      <w:b/>
      <w:sz w:val="32"/>
      <w:szCs w:val="32"/>
    </w:rPr>
  </w:style>
  <w:style w:type="paragraph" w:customStyle="1" w:styleId="144">
    <w:name w:val="Char Char1 Char"/>
    <w:basedOn w:val="1"/>
    <w:qFormat/>
    <w:uiPriority w:val="0"/>
    <w:rPr>
      <w:rFonts w:ascii="Times New Roman" w:hAnsi="Times New Roman" w:eastAsia="宋体" w:cs="Times New Roman"/>
      <w:kern w:val="2"/>
      <w:sz w:val="21"/>
      <w:szCs w:val="24"/>
    </w:rPr>
  </w:style>
  <w:style w:type="paragraph" w:customStyle="1" w:styleId="145">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6">
    <w:name w:val="默认段落字体 Para Char Char Char Char Char Char Char"/>
    <w:basedOn w:val="1"/>
    <w:qFormat/>
    <w:uiPriority w:val="0"/>
    <w:rPr>
      <w:rFonts w:ascii="Tahoma" w:hAnsi="Tahoma" w:eastAsia="宋体" w:cs="Times New Roman"/>
      <w:sz w:val="24"/>
      <w:szCs w:val="20"/>
    </w:rPr>
  </w:style>
  <w:style w:type="paragraph" w:customStyle="1" w:styleId="147">
    <w:name w:val="表格"/>
    <w:basedOn w:val="1"/>
    <w:qFormat/>
    <w:uiPriority w:val="0"/>
    <w:pPr>
      <w:jc w:val="center"/>
      <w:textAlignment w:val="center"/>
    </w:pPr>
    <w:rPr>
      <w:rFonts w:ascii="华文细黑" w:hAnsi="华文细黑" w:eastAsia="宋体" w:cs="Times New Roman"/>
      <w:szCs w:val="20"/>
    </w:rPr>
  </w:style>
  <w:style w:type="paragraph" w:customStyle="1" w:styleId="148">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9">
    <w:name w:val="明显引用 Char2"/>
    <w:basedOn w:val="45"/>
    <w:link w:val="122"/>
    <w:qFormat/>
    <w:uiPriority w:val="30"/>
    <w:rPr>
      <w:rFonts w:ascii="宋体" w:hAnsiTheme="minorHAnsi" w:eastAsiaTheme="minorEastAsia" w:cstheme="minorBidi"/>
      <w:b/>
      <w:bCs/>
      <w:i/>
      <w:iCs/>
      <w:color w:val="5B9BD5" w:themeColor="accent1"/>
      <w:sz w:val="34"/>
      <w:szCs w:val="22"/>
      <w14:textFill>
        <w14:solidFill>
          <w14:schemeClr w14:val="accent1"/>
        </w14:solidFill>
      </w14:textFill>
    </w:rPr>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4">
    <w:name w:val="1"/>
    <w:basedOn w:val="1"/>
    <w:next w:val="1"/>
    <w:qFormat/>
    <w:uiPriority w:val="0"/>
    <w:rPr>
      <w:rFonts w:hAnsi="Times New Roman" w:eastAsia="宋体" w:cs="Times New Roman"/>
      <w:szCs w:val="20"/>
    </w:rPr>
  </w:style>
  <w:style w:type="paragraph" w:customStyle="1" w:styleId="155">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8">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60">
    <w:name w:val="列出段落4"/>
    <w:basedOn w:val="1"/>
    <w:unhideWhenUsed/>
    <w:qFormat/>
    <w:uiPriority w:val="99"/>
    <w:pPr>
      <w:ind w:firstLine="420" w:firstLineChars="200"/>
    </w:pPr>
    <w:rPr>
      <w:rFonts w:hAnsi="Times New Roman" w:eastAsia="宋体" w:cs="Times New Roman"/>
      <w:szCs w:val="20"/>
    </w:rPr>
  </w:style>
  <w:style w:type="paragraph" w:customStyle="1" w:styleId="161">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162">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3">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4">
    <w:name w:val="cjk"/>
    <w:basedOn w:val="1"/>
    <w:qFormat/>
    <w:uiPriority w:val="0"/>
    <w:pPr>
      <w:widowControl/>
      <w:jc w:val="left"/>
    </w:pPr>
    <w:rPr>
      <w:rFonts w:hAnsi="宋体" w:eastAsia="宋体" w:cs="宋体"/>
      <w:sz w:val="24"/>
      <w:szCs w:val="24"/>
    </w:rPr>
  </w:style>
  <w:style w:type="paragraph" w:customStyle="1" w:styleId="165">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6">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7">
    <w:name w:val="引用 Char2"/>
    <w:basedOn w:val="45"/>
    <w:link w:val="66"/>
    <w:qFormat/>
    <w:uiPriority w:val="29"/>
    <w:rPr>
      <w:rFonts w:ascii="宋体" w:hAnsiTheme="minorHAnsi" w:eastAsiaTheme="minorEastAsia" w:cstheme="minorBidi"/>
      <w:i/>
      <w:iCs/>
      <w:color w:val="000000" w:themeColor="text1"/>
      <w:sz w:val="34"/>
      <w:szCs w:val="22"/>
      <w14:textFill>
        <w14:solidFill>
          <w14:schemeClr w14:val="tx1"/>
        </w14:solidFill>
      </w14:textFill>
    </w:rPr>
  </w:style>
  <w:style w:type="paragraph" w:customStyle="1" w:styleId="168">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1">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2">
    <w:name w:val="修订1"/>
    <w:qFormat/>
    <w:uiPriority w:val="0"/>
    <w:rPr>
      <w:rFonts w:ascii="Times New Roman" w:hAnsi="Times New Roman" w:eastAsia="宋体" w:cs="Times New Roman"/>
      <w:kern w:val="2"/>
      <w:sz w:val="21"/>
      <w:szCs w:val="24"/>
      <w:lang w:val="en-US" w:eastAsia="zh-CN" w:bidi="ar-SA"/>
    </w:rPr>
  </w:style>
  <w:style w:type="paragraph" w:customStyle="1" w:styleId="173">
    <w:name w:val="Char2"/>
    <w:basedOn w:val="1"/>
    <w:qFormat/>
    <w:uiPriority w:val="0"/>
    <w:rPr>
      <w:rFonts w:ascii="仿宋_GB2312" w:hAnsi="Times New Roman" w:eastAsia="仿宋_GB2312" w:cs="Times New Roman"/>
      <w:b/>
      <w:sz w:val="32"/>
      <w:szCs w:val="32"/>
    </w:rPr>
  </w:style>
  <w:style w:type="character" w:customStyle="1" w:styleId="174">
    <w:name w:val="red3"/>
    <w:basedOn w:val="45"/>
    <w:qFormat/>
    <w:uiPriority w:val="0"/>
    <w:rPr>
      <w:color w:val="FF0000"/>
    </w:rPr>
  </w:style>
  <w:style w:type="paragraph" w:customStyle="1" w:styleId="175">
    <w:name w:val="List Paragraph1"/>
    <w:basedOn w:val="1"/>
    <w:semiHidden/>
    <w:qFormat/>
    <w:uiPriority w:val="0"/>
    <w:pPr>
      <w:ind w:firstLine="420" w:firstLineChars="200"/>
    </w:pPr>
    <w:rPr>
      <w:rFonts w:hAnsi="Calibri" w:eastAsia="宋体" w:cs="Times New Roman"/>
      <w:szCs w:val="34"/>
    </w:rPr>
  </w:style>
  <w:style w:type="character" w:customStyle="1" w:styleId="176">
    <w:name w:val="hover24"/>
    <w:basedOn w:val="45"/>
    <w:qFormat/>
    <w:uiPriority w:val="0"/>
  </w:style>
  <w:style w:type="character" w:customStyle="1" w:styleId="177">
    <w:name w:val="hover"/>
    <w:basedOn w:val="4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5484</Words>
  <Characters>31262</Characters>
  <Lines>260</Lines>
  <Paragraphs>73</Paragraphs>
  <TotalTime>13</TotalTime>
  <ScaleCrop>false</ScaleCrop>
  <LinksUpToDate>false</LinksUpToDate>
  <CharactersWithSpaces>36673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中大国信工程管理有限公司:中大国信工程管理有限公司</cp:lastModifiedBy>
  <cp:lastPrinted>2019-06-24T10:10:00Z</cp:lastPrinted>
  <dcterms:modified xsi:type="dcterms:W3CDTF">2019-12-27T07:57:02Z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