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b/>
          <w:spacing w:val="20"/>
          <w:sz w:val="28"/>
          <w:szCs w:val="28"/>
        </w:rPr>
      </w:pPr>
    </w:p>
    <w:p>
      <w:pPr>
        <w:autoSpaceDE w:val="0"/>
        <w:autoSpaceDN w:val="0"/>
        <w:adjustRightInd w:val="0"/>
        <w:jc w:val="center"/>
        <w:rPr>
          <w:rFonts w:hint="eastAsia" w:hAnsi="宋体" w:eastAsia="宋体" w:cs="黑体"/>
          <w:b/>
          <w:spacing w:val="60"/>
          <w:szCs w:val="21"/>
          <w:lang w:eastAsia="zh-CN"/>
        </w:rPr>
      </w:pPr>
      <w:r>
        <w:rPr>
          <w:rFonts w:hint="eastAsia"/>
          <w:b/>
          <w:bCs/>
          <w:sz w:val="44"/>
          <w:szCs w:val="44"/>
          <w:lang w:eastAsia="zh-CN"/>
        </w:rPr>
        <w:t>2019年“四水同治”及许昌城建、工业项目观摩路线绿化提升工程</w:t>
      </w:r>
    </w:p>
    <w:p>
      <w:pPr>
        <w:pStyle w:val="2"/>
        <w:ind w:firstLine="340"/>
      </w:pPr>
    </w:p>
    <w:p>
      <w:pPr>
        <w:pStyle w:val="2"/>
        <w:ind w:firstLine="340"/>
      </w:pPr>
    </w:p>
    <w:p>
      <w:pPr>
        <w:pStyle w:val="2"/>
        <w:ind w:firstLine="340"/>
      </w:pPr>
    </w:p>
    <w:p>
      <w:pPr>
        <w:autoSpaceDE w:val="0"/>
        <w:autoSpaceDN w:val="0"/>
        <w:adjustRightInd w:val="0"/>
        <w:jc w:val="center"/>
        <w:rPr>
          <w:b/>
          <w:sz w:val="52"/>
          <w:szCs w:val="52"/>
        </w:rPr>
      </w:pPr>
      <w:r>
        <w:rPr>
          <w:rFonts w:hint="eastAsia"/>
          <w:b/>
          <w:sz w:val="52"/>
          <w:szCs w:val="52"/>
        </w:rPr>
        <w:t xml:space="preserve"> 施工招标文件</w:t>
      </w:r>
    </w:p>
    <w:p>
      <w:pPr>
        <w:autoSpaceDE w:val="0"/>
        <w:autoSpaceDN w:val="0"/>
        <w:adjustRightInd w:val="0"/>
        <w:jc w:val="center"/>
        <w:rPr>
          <w:b/>
          <w:sz w:val="21"/>
          <w:szCs w:val="21"/>
        </w:rPr>
      </w:pPr>
    </w:p>
    <w:p>
      <w:pPr>
        <w:autoSpaceDE w:val="0"/>
        <w:autoSpaceDN w:val="0"/>
        <w:adjustRightInd w:val="0"/>
        <w:jc w:val="center"/>
        <w:rPr>
          <w:rFonts w:hAnsi="宋体" w:cs="黑体"/>
          <w:sz w:val="44"/>
          <w:szCs w:val="44"/>
        </w:rPr>
      </w:pPr>
      <w:r>
        <w:rPr>
          <w:rFonts w:hint="eastAsia" w:hAnsi="宋体"/>
          <w:b/>
          <w:sz w:val="32"/>
          <w:szCs w:val="32"/>
        </w:rPr>
        <w:t>项目编号：长交建【2019】GZ</w:t>
      </w:r>
      <w:r>
        <w:rPr>
          <w:rFonts w:hint="eastAsia" w:hAnsi="宋体"/>
          <w:b/>
          <w:sz w:val="32"/>
          <w:szCs w:val="32"/>
          <w:lang w:val="en-US" w:eastAsia="zh-CN"/>
        </w:rPr>
        <w:t>178</w:t>
      </w:r>
      <w:r>
        <w:rPr>
          <w:rFonts w:hint="eastAsia" w:hAnsi="宋体"/>
          <w:b/>
          <w:sz w:val="32"/>
          <w:szCs w:val="32"/>
        </w:rPr>
        <w:t>号</w:t>
      </w:r>
    </w:p>
    <w:p>
      <w:pPr>
        <w:autoSpaceDE w:val="0"/>
        <w:autoSpaceDN w:val="0"/>
        <w:adjustRightInd w:val="0"/>
        <w:jc w:val="center"/>
        <w:rPr>
          <w:rFonts w:hAnsi="宋体" w:cs="黑体"/>
          <w:sz w:val="44"/>
          <w:szCs w:val="44"/>
        </w:rPr>
      </w:pPr>
    </w:p>
    <w:p>
      <w:pPr>
        <w:pStyle w:val="10"/>
        <w:ind w:left="0" w:leftChars="0" w:firstLine="0" w:firstLineChars="0"/>
      </w:pPr>
    </w:p>
    <w:p>
      <w:pPr>
        <w:pStyle w:val="10"/>
        <w:ind w:left="0" w:leftChars="0" w:firstLine="0" w:firstLineChars="0"/>
        <w:jc w:val="center"/>
      </w:pPr>
    </w:p>
    <w:p>
      <w:pPr>
        <w:pStyle w:val="10"/>
        <w:ind w:left="0" w:leftChars="0" w:firstLine="0" w:firstLineChars="0"/>
        <w:rPr>
          <w:rFonts w:hAnsi="宋体" w:cs="黑体"/>
          <w:sz w:val="44"/>
          <w:szCs w:val="44"/>
        </w:rPr>
      </w:pPr>
    </w:p>
    <w:p/>
    <w:p>
      <w:pPr>
        <w:spacing w:line="720" w:lineRule="auto"/>
        <w:ind w:left="479" w:leftChars="141"/>
        <w:jc w:val="left"/>
        <w:rPr>
          <w:rFonts w:hint="eastAsia" w:hAnsi="宋体" w:eastAsia="宋体"/>
          <w:b/>
          <w:bCs/>
          <w:sz w:val="32"/>
          <w:szCs w:val="32"/>
          <w:lang w:eastAsia="zh-CN"/>
        </w:rPr>
      </w:pPr>
      <w:r>
        <w:rPr>
          <w:rFonts w:hint="eastAsia" w:hAnsi="宋体"/>
          <w:b/>
          <w:bCs/>
          <w:sz w:val="32"/>
          <w:szCs w:val="32"/>
        </w:rPr>
        <w:t xml:space="preserve">   </w:t>
      </w:r>
      <w:r>
        <w:rPr>
          <w:rFonts w:hint="eastAsia" w:hAnsi="宋体"/>
          <w:b/>
          <w:bCs/>
          <w:sz w:val="32"/>
          <w:szCs w:val="32"/>
          <w:lang w:val="en-US" w:eastAsia="zh-CN"/>
        </w:rPr>
        <w:t xml:space="preserve">    </w:t>
      </w:r>
      <w:r>
        <w:rPr>
          <w:rFonts w:hint="eastAsia" w:hAnsi="宋体"/>
          <w:b/>
          <w:bCs/>
          <w:sz w:val="32"/>
          <w:szCs w:val="32"/>
        </w:rPr>
        <w:t>招   标   人：</w:t>
      </w:r>
      <w:r>
        <w:rPr>
          <w:rFonts w:hint="eastAsia" w:hAnsi="宋体"/>
          <w:b/>
          <w:bCs/>
          <w:sz w:val="32"/>
          <w:szCs w:val="32"/>
          <w:lang w:eastAsia="zh-CN"/>
        </w:rPr>
        <w:t>长葛市城市管理局</w:t>
      </w:r>
    </w:p>
    <w:p>
      <w:pPr>
        <w:spacing w:line="720" w:lineRule="auto"/>
        <w:ind w:left="479" w:leftChars="141"/>
        <w:jc w:val="left"/>
        <w:rPr>
          <w:rFonts w:hint="eastAsia" w:hAnsi="宋体" w:eastAsia="宋体"/>
          <w:b/>
          <w:bCs/>
          <w:sz w:val="36"/>
          <w:szCs w:val="36"/>
          <w:lang w:eastAsia="zh-CN"/>
        </w:rPr>
      </w:pPr>
      <w:r>
        <w:rPr>
          <w:rFonts w:hint="eastAsia" w:hAnsi="宋体"/>
          <w:b/>
          <w:bCs/>
          <w:sz w:val="32"/>
          <w:szCs w:val="32"/>
        </w:rPr>
        <w:t xml:space="preserve">       招标代理机构：</w:t>
      </w:r>
      <w:r>
        <w:rPr>
          <w:rFonts w:hint="eastAsia" w:hAnsi="宋体"/>
          <w:b/>
          <w:bCs/>
          <w:sz w:val="32"/>
          <w:szCs w:val="32"/>
          <w:lang w:eastAsia="zh-CN"/>
        </w:rPr>
        <w:t>智远工程管理有限公司</w:t>
      </w:r>
    </w:p>
    <w:p>
      <w:pPr>
        <w:spacing w:line="720" w:lineRule="auto"/>
        <w:jc w:val="center"/>
        <w:rPr>
          <w:rFonts w:hAnsi="宋体" w:cs="黑体"/>
          <w:b/>
          <w:sz w:val="32"/>
          <w:szCs w:val="32"/>
        </w:rPr>
      </w:pPr>
      <w:r>
        <w:rPr>
          <w:rFonts w:hint="eastAsia" w:hAnsi="宋体"/>
          <w:b/>
          <w:bCs/>
          <w:sz w:val="36"/>
          <w:szCs w:val="36"/>
        </w:rPr>
        <w:t>二〇一九年十二月</w:t>
      </w:r>
    </w:p>
    <w:p>
      <w:pPr>
        <w:jc w:val="center"/>
        <w:rPr>
          <w:rFonts w:hAnsi="宋体" w:cs="黑体"/>
          <w:b/>
          <w:sz w:val="32"/>
          <w:szCs w:val="32"/>
        </w:rPr>
      </w:pPr>
      <w:r>
        <w:rPr>
          <w:rFonts w:hint="eastAsia" w:hAnsi="宋体" w:cs="黑体"/>
          <w:b/>
          <w:sz w:val="32"/>
          <w:szCs w:val="32"/>
        </w:rPr>
        <w:br w:type="page"/>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p>
    <w:p>
      <w:pPr>
        <w:autoSpaceDE w:val="0"/>
        <w:autoSpaceDN w:val="0"/>
        <w:adjustRightInd w:val="0"/>
        <w:spacing w:line="360" w:lineRule="auto"/>
        <w:jc w:val="center"/>
        <w:rPr>
          <w:rFonts w:hAnsi="宋体" w:cs="黑体"/>
          <w:b/>
          <w:sz w:val="36"/>
          <w:szCs w:val="36"/>
        </w:rPr>
      </w:pPr>
      <w:bookmarkStart w:id="0" w:name="_Toc215282124"/>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snapToGrid w:val="0"/>
        <w:spacing w:beforeLines="50"/>
        <w:rPr>
          <w:rFonts w:hAnsi="宋体" w:cs="黑体"/>
          <w:b/>
          <w:sz w:val="36"/>
          <w:szCs w:val="36"/>
        </w:rPr>
      </w:pPr>
    </w:p>
    <w:p>
      <w:pPr>
        <w:snapToGrid w:val="0"/>
        <w:spacing w:beforeLines="50"/>
        <w:rPr>
          <w:rFonts w:hint="eastAsia" w:hAnsi="宋体" w:cs="黑体"/>
          <w:b/>
          <w:sz w:val="36"/>
          <w:szCs w:val="36"/>
        </w:rPr>
      </w:pPr>
    </w:p>
    <w:p>
      <w:pPr>
        <w:adjustRightInd w:val="0"/>
        <w:snapToGrid w:val="0"/>
        <w:spacing w:line="276" w:lineRule="auto"/>
        <w:jc w:val="both"/>
        <w:rPr>
          <w:rFonts w:hint="eastAsia" w:hAnsi="宋体"/>
          <w:b/>
          <w:sz w:val="44"/>
          <w:szCs w:val="44"/>
        </w:rPr>
      </w:pPr>
    </w:p>
    <w:p>
      <w:pPr>
        <w:adjustRightInd w:val="0"/>
        <w:snapToGrid w:val="0"/>
        <w:spacing w:line="276" w:lineRule="auto"/>
        <w:jc w:val="center"/>
        <w:rPr>
          <w:rFonts w:hAnsi="宋体"/>
          <w:b/>
          <w:sz w:val="44"/>
          <w:szCs w:val="44"/>
        </w:rPr>
      </w:pPr>
      <w:r>
        <w:rPr>
          <w:rFonts w:hint="eastAsia" w:hAnsi="宋体"/>
          <w:b/>
          <w:sz w:val="44"/>
          <w:szCs w:val="44"/>
        </w:rPr>
        <w:t>第一章  招标公告</w:t>
      </w:r>
    </w:p>
    <w:p>
      <w:pPr>
        <w:adjustRightInd w:val="0"/>
        <w:snapToGrid w:val="0"/>
        <w:spacing w:line="276" w:lineRule="auto"/>
        <w:jc w:val="center"/>
        <w:rPr>
          <w:rFonts w:hAnsi="宋体"/>
          <w:b/>
          <w:sz w:val="30"/>
          <w:szCs w:val="30"/>
        </w:rPr>
      </w:pPr>
      <w:r>
        <w:rPr>
          <w:rFonts w:hint="eastAsia" w:hAnsi="宋体"/>
          <w:b/>
          <w:sz w:val="30"/>
          <w:szCs w:val="30"/>
          <w:lang w:eastAsia="zh-CN"/>
        </w:rPr>
        <w:t>2019年“四水同治”及许昌城建、工业项目观摩路线绿化提升工程</w:t>
      </w:r>
      <w:r>
        <w:rPr>
          <w:rFonts w:hint="eastAsia" w:hAnsi="宋体"/>
          <w:b/>
          <w:sz w:val="30"/>
          <w:szCs w:val="30"/>
        </w:rPr>
        <w:t>招标公告</w:t>
      </w:r>
    </w:p>
    <w:p>
      <w:pPr>
        <w:adjustRightInd w:val="0"/>
        <w:snapToGrid w:val="0"/>
        <w:spacing w:line="360" w:lineRule="auto"/>
        <w:rPr>
          <w:rFonts w:hAnsi="宋体"/>
          <w:b/>
          <w:sz w:val="24"/>
          <w:szCs w:val="24"/>
        </w:rPr>
      </w:pPr>
      <w:r>
        <w:rPr>
          <w:rFonts w:hint="eastAsia" w:hAnsi="宋体"/>
          <w:b/>
          <w:sz w:val="24"/>
          <w:szCs w:val="24"/>
        </w:rPr>
        <w:t>1.招标条件</w:t>
      </w:r>
    </w:p>
    <w:p>
      <w:pPr>
        <w:adjustRightInd w:val="0"/>
        <w:snapToGrid w:val="0"/>
        <w:spacing w:line="360" w:lineRule="auto"/>
        <w:ind w:firstLine="506" w:firstLineChars="211"/>
        <w:rPr>
          <w:rFonts w:hAnsi="宋体"/>
          <w:b/>
          <w:sz w:val="24"/>
          <w:szCs w:val="24"/>
          <w:u w:val="single"/>
        </w:rPr>
      </w:pPr>
      <w:r>
        <w:rPr>
          <w:rFonts w:hint="eastAsia" w:hAnsi="宋体"/>
          <w:sz w:val="24"/>
          <w:szCs w:val="24"/>
        </w:rPr>
        <w:t>本招标项目</w:t>
      </w:r>
      <w:r>
        <w:rPr>
          <w:rFonts w:hint="eastAsia" w:hAnsi="宋体"/>
          <w:sz w:val="24"/>
          <w:szCs w:val="24"/>
          <w:lang w:eastAsia="zh-CN"/>
        </w:rPr>
        <w:t>2019年“四水同治”及许昌城建、工业项目观摩路线绿化提升工程</w:t>
      </w:r>
      <w:r>
        <w:rPr>
          <w:rFonts w:hint="eastAsia" w:hAnsi="宋体"/>
          <w:sz w:val="24"/>
          <w:szCs w:val="24"/>
        </w:rPr>
        <w:t>，已由长葛市发展和改革委员会以长发改城市【2019】</w:t>
      </w:r>
      <w:r>
        <w:rPr>
          <w:rFonts w:hint="eastAsia" w:hAnsi="宋体"/>
          <w:sz w:val="24"/>
          <w:szCs w:val="24"/>
          <w:lang w:val="en-US" w:eastAsia="zh-CN"/>
        </w:rPr>
        <w:t>89</w:t>
      </w:r>
      <w:r>
        <w:rPr>
          <w:rFonts w:hint="eastAsia" w:hAnsi="宋体"/>
          <w:sz w:val="24"/>
          <w:szCs w:val="24"/>
        </w:rPr>
        <w:t>号文件批准建设。招标人为</w:t>
      </w:r>
      <w:r>
        <w:rPr>
          <w:rFonts w:hint="eastAsia" w:hAnsi="宋体"/>
          <w:sz w:val="24"/>
          <w:szCs w:val="24"/>
          <w:lang w:eastAsia="zh-CN"/>
        </w:rPr>
        <w:t>长葛市城市管理局</w:t>
      </w:r>
      <w:r>
        <w:rPr>
          <w:rFonts w:hint="eastAsia" w:hAnsi="宋体"/>
          <w:sz w:val="24"/>
          <w:szCs w:val="24"/>
        </w:rPr>
        <w:t>，建设资金来自财政投资，招标代理机构为</w:t>
      </w:r>
      <w:r>
        <w:rPr>
          <w:rFonts w:hint="eastAsia" w:hAnsi="宋体"/>
          <w:sz w:val="24"/>
          <w:szCs w:val="24"/>
          <w:lang w:eastAsia="zh-CN"/>
        </w:rPr>
        <w:t>智远工程管理有限公司</w:t>
      </w:r>
      <w:r>
        <w:rPr>
          <w:rFonts w:hint="eastAsia" w:hAnsi="宋体"/>
          <w:sz w:val="24"/>
          <w:szCs w:val="24"/>
        </w:rPr>
        <w:t>。项目已具备招标条件，现对本项目的施工进行公开招标。</w:t>
      </w:r>
    </w:p>
    <w:p>
      <w:pPr>
        <w:adjustRightInd w:val="0"/>
        <w:snapToGrid w:val="0"/>
        <w:spacing w:line="360" w:lineRule="auto"/>
        <w:rPr>
          <w:rFonts w:hAnsi="宋体"/>
          <w:b/>
          <w:sz w:val="24"/>
          <w:szCs w:val="24"/>
        </w:rPr>
      </w:pPr>
      <w:r>
        <w:rPr>
          <w:rFonts w:hint="eastAsia" w:hAnsi="宋体"/>
          <w:b/>
          <w:sz w:val="24"/>
          <w:szCs w:val="24"/>
        </w:rPr>
        <w:t>2.项目概况与招标内容</w:t>
      </w:r>
    </w:p>
    <w:p>
      <w:pPr>
        <w:adjustRightInd w:val="0"/>
        <w:snapToGrid w:val="0"/>
        <w:spacing w:line="360" w:lineRule="auto"/>
        <w:rPr>
          <w:rFonts w:hint="eastAsia" w:hAnsi="宋体"/>
          <w:sz w:val="24"/>
          <w:szCs w:val="24"/>
        </w:rPr>
      </w:pPr>
      <w:r>
        <w:rPr>
          <w:rFonts w:hint="eastAsia" w:hAnsi="宋体"/>
          <w:sz w:val="24"/>
          <w:szCs w:val="24"/>
        </w:rPr>
        <w:t>2.1项目编号：长交建【2019】GZ</w:t>
      </w:r>
      <w:r>
        <w:rPr>
          <w:rFonts w:hint="eastAsia" w:hAnsi="宋体"/>
          <w:sz w:val="24"/>
          <w:szCs w:val="24"/>
          <w:lang w:val="en-US" w:eastAsia="zh-CN"/>
        </w:rPr>
        <w:t>178</w:t>
      </w:r>
      <w:r>
        <w:rPr>
          <w:rFonts w:hint="eastAsia" w:hAnsi="宋体"/>
          <w:sz w:val="24"/>
          <w:szCs w:val="24"/>
        </w:rPr>
        <w:t>号。</w:t>
      </w:r>
    </w:p>
    <w:p>
      <w:pPr>
        <w:adjustRightInd w:val="0"/>
        <w:snapToGrid w:val="0"/>
        <w:spacing w:line="360" w:lineRule="auto"/>
        <w:rPr>
          <w:rFonts w:hint="eastAsia" w:hAnsi="宋体" w:eastAsia="宋体"/>
          <w:sz w:val="24"/>
          <w:szCs w:val="24"/>
          <w:lang w:eastAsia="zh-CN"/>
        </w:rPr>
      </w:pPr>
      <w:r>
        <w:rPr>
          <w:rFonts w:hint="eastAsia" w:hAnsi="宋体"/>
          <w:sz w:val="24"/>
          <w:szCs w:val="24"/>
        </w:rPr>
        <w:t>2.2项目名称：</w:t>
      </w:r>
      <w:r>
        <w:rPr>
          <w:rFonts w:hint="eastAsia" w:hAnsi="宋体"/>
          <w:sz w:val="24"/>
          <w:szCs w:val="24"/>
          <w:lang w:eastAsia="zh-CN"/>
        </w:rPr>
        <w:t>2019年“四水同治”及许昌城建、工业项目观摩路线绿化提升工程。</w:t>
      </w:r>
    </w:p>
    <w:p>
      <w:pPr>
        <w:adjustRightInd w:val="0"/>
        <w:snapToGrid w:val="0"/>
        <w:spacing w:line="360" w:lineRule="auto"/>
        <w:rPr>
          <w:rFonts w:hint="eastAsia" w:hAnsi="宋体"/>
          <w:sz w:val="24"/>
          <w:szCs w:val="24"/>
        </w:rPr>
      </w:pPr>
      <w:r>
        <w:rPr>
          <w:rFonts w:hint="eastAsia" w:hAnsi="宋体"/>
          <w:sz w:val="24"/>
          <w:szCs w:val="24"/>
        </w:rPr>
        <w:t>2.3项目概况：</w:t>
      </w:r>
    </w:p>
    <w:p>
      <w:pPr>
        <w:adjustRightInd w:val="0"/>
        <w:snapToGrid w:val="0"/>
        <w:spacing w:line="360" w:lineRule="auto"/>
        <w:rPr>
          <w:rFonts w:hint="eastAsia" w:hAnsi="宋体"/>
          <w:sz w:val="24"/>
          <w:szCs w:val="24"/>
          <w:lang w:val="en-US" w:eastAsia="zh-CN"/>
        </w:rPr>
      </w:pPr>
      <w:r>
        <w:rPr>
          <w:rFonts w:hint="eastAsia" w:hAnsi="宋体"/>
          <w:sz w:val="24"/>
          <w:szCs w:val="24"/>
          <w:lang w:eastAsia="zh-CN"/>
        </w:rPr>
        <w:t>一标段：</w:t>
      </w:r>
      <w:r>
        <w:rPr>
          <w:rFonts w:hint="eastAsia" w:hAnsi="宋体"/>
          <w:sz w:val="24"/>
          <w:szCs w:val="24"/>
          <w:lang w:val="en-US" w:eastAsia="zh-CN"/>
        </w:rPr>
        <w:t>2019年春季</w:t>
      </w:r>
      <w:r>
        <w:rPr>
          <w:rFonts w:hint="eastAsia" w:hAnsi="宋体"/>
          <w:sz w:val="24"/>
          <w:szCs w:val="24"/>
          <w:lang w:eastAsia="zh-CN"/>
        </w:rPr>
        <w:t>魏武路北段、仁和路西段及</w:t>
      </w:r>
      <w:r>
        <w:rPr>
          <w:rFonts w:hint="eastAsia" w:hAnsi="宋体"/>
          <w:sz w:val="24"/>
          <w:szCs w:val="24"/>
          <w:lang w:val="en-US" w:eastAsia="zh-CN"/>
        </w:rPr>
        <w:t>107北段等绿化提升工程；</w:t>
      </w:r>
    </w:p>
    <w:p>
      <w:pPr>
        <w:adjustRightInd w:val="0"/>
        <w:snapToGrid w:val="0"/>
        <w:spacing w:line="360" w:lineRule="auto"/>
        <w:rPr>
          <w:rFonts w:hint="eastAsia" w:hAnsi="宋体"/>
          <w:sz w:val="24"/>
          <w:szCs w:val="24"/>
          <w:lang w:val="en-US" w:eastAsia="zh-CN"/>
        </w:rPr>
      </w:pPr>
      <w:r>
        <w:rPr>
          <w:rFonts w:hint="eastAsia" w:hAnsi="宋体"/>
          <w:sz w:val="24"/>
          <w:szCs w:val="24"/>
          <w:lang w:val="en-US" w:eastAsia="zh-CN"/>
        </w:rPr>
        <w:t>二标段：2019年春季107国道（葛天大道--黄河路）等绿化提升工程；</w:t>
      </w:r>
    </w:p>
    <w:p>
      <w:pPr>
        <w:adjustRightInd w:val="0"/>
        <w:snapToGrid w:val="0"/>
        <w:spacing w:line="360" w:lineRule="auto"/>
        <w:rPr>
          <w:rFonts w:hint="eastAsia" w:hAnsi="宋体"/>
          <w:sz w:val="24"/>
          <w:szCs w:val="24"/>
          <w:lang w:val="en-US" w:eastAsia="zh-CN"/>
        </w:rPr>
      </w:pPr>
      <w:bookmarkStart w:id="210" w:name="_GoBack"/>
      <w:bookmarkEnd w:id="210"/>
      <w:r>
        <w:rPr>
          <w:rFonts w:hint="eastAsia" w:hAnsi="宋体"/>
          <w:sz w:val="24"/>
          <w:szCs w:val="24"/>
          <w:lang w:val="en-US" w:eastAsia="zh-CN"/>
        </w:rPr>
        <w:t>三标段：2019年春季魏武路（长社路--许昌界）、国基路、八七路及颍川路等绿化提升工程；</w:t>
      </w:r>
    </w:p>
    <w:p>
      <w:pPr>
        <w:adjustRightInd w:val="0"/>
        <w:snapToGrid w:val="0"/>
        <w:spacing w:line="360" w:lineRule="auto"/>
        <w:rPr>
          <w:rFonts w:hint="eastAsia" w:hAnsi="宋体"/>
          <w:sz w:val="24"/>
          <w:szCs w:val="24"/>
          <w:lang w:val="en-US" w:eastAsia="zh-CN"/>
        </w:rPr>
      </w:pPr>
      <w:r>
        <w:rPr>
          <w:rFonts w:hint="eastAsia" w:hAnsi="宋体"/>
          <w:sz w:val="24"/>
          <w:szCs w:val="24"/>
          <w:lang w:val="en-US" w:eastAsia="zh-CN"/>
        </w:rPr>
        <w:t>四标段：2019年春季2019年工业项目观摩路线绿化苗木补栽。</w:t>
      </w:r>
    </w:p>
    <w:p>
      <w:pPr>
        <w:adjustRightInd w:val="0"/>
        <w:snapToGrid w:val="0"/>
        <w:spacing w:line="360" w:lineRule="auto"/>
        <w:rPr>
          <w:rFonts w:hAnsi="宋体"/>
          <w:sz w:val="24"/>
          <w:szCs w:val="24"/>
        </w:rPr>
      </w:pPr>
      <w:r>
        <w:rPr>
          <w:rFonts w:hint="eastAsia" w:hAnsi="宋体"/>
          <w:sz w:val="24"/>
          <w:szCs w:val="24"/>
        </w:rPr>
        <w:t>该项目</w:t>
      </w:r>
      <w:r>
        <w:rPr>
          <w:rFonts w:hint="eastAsia" w:hAnsi="宋体"/>
          <w:sz w:val="24"/>
          <w:szCs w:val="24"/>
          <w:lang w:eastAsia="zh-CN"/>
        </w:rPr>
        <w:t>主要包括新栽植乔灌木、栽植色带、铺种草皮、回填土方</w:t>
      </w:r>
      <w:r>
        <w:rPr>
          <w:rFonts w:hint="eastAsia" w:hAnsi="宋体"/>
          <w:sz w:val="24"/>
          <w:szCs w:val="24"/>
        </w:rPr>
        <w:t>等内容。</w:t>
      </w:r>
    </w:p>
    <w:p>
      <w:pPr>
        <w:adjustRightInd w:val="0"/>
        <w:snapToGrid w:val="0"/>
        <w:spacing w:line="360" w:lineRule="auto"/>
        <w:rPr>
          <w:rFonts w:hAnsi="宋体"/>
          <w:sz w:val="24"/>
          <w:szCs w:val="24"/>
        </w:rPr>
      </w:pPr>
      <w:r>
        <w:rPr>
          <w:rFonts w:hint="eastAsia" w:hAnsi="宋体"/>
          <w:sz w:val="24"/>
          <w:szCs w:val="24"/>
        </w:rPr>
        <w:t>2.4建设地点：</w:t>
      </w:r>
      <w:r>
        <w:rPr>
          <w:rFonts w:hint="eastAsia" w:hAnsi="宋体"/>
          <w:sz w:val="24"/>
          <w:szCs w:val="24"/>
          <w:lang w:eastAsia="zh-CN"/>
        </w:rPr>
        <w:t>长葛市</w:t>
      </w:r>
      <w:r>
        <w:rPr>
          <w:rFonts w:hint="eastAsia" w:hAnsi="宋体"/>
          <w:sz w:val="24"/>
          <w:szCs w:val="24"/>
        </w:rPr>
        <w:t>。</w:t>
      </w:r>
    </w:p>
    <w:p>
      <w:pPr>
        <w:adjustRightInd w:val="0"/>
        <w:snapToGrid w:val="0"/>
        <w:spacing w:line="360" w:lineRule="auto"/>
        <w:rPr>
          <w:rFonts w:hAnsi="宋体"/>
          <w:sz w:val="24"/>
          <w:szCs w:val="24"/>
        </w:rPr>
      </w:pPr>
      <w:r>
        <w:rPr>
          <w:rFonts w:hint="eastAsia" w:hAnsi="宋体"/>
          <w:sz w:val="24"/>
          <w:szCs w:val="24"/>
        </w:rPr>
        <w:t>2.5招标范围：施工招标文件、施工图纸、工程量清单、答疑纪要和补充文件（如有）范围内的所有建设内容。</w:t>
      </w:r>
    </w:p>
    <w:p>
      <w:pPr>
        <w:adjustRightInd w:val="0"/>
        <w:snapToGrid w:val="0"/>
        <w:spacing w:line="360" w:lineRule="auto"/>
        <w:rPr>
          <w:rFonts w:hAnsi="宋体"/>
          <w:sz w:val="24"/>
          <w:szCs w:val="24"/>
        </w:rPr>
      </w:pPr>
      <w:r>
        <w:rPr>
          <w:rFonts w:hint="eastAsia" w:hAnsi="宋体"/>
          <w:sz w:val="24"/>
          <w:szCs w:val="24"/>
        </w:rPr>
        <w:t>2.6标段划分：本项目共划分为</w:t>
      </w:r>
      <w:r>
        <w:rPr>
          <w:rFonts w:hint="eastAsia" w:hAnsi="宋体"/>
          <w:sz w:val="24"/>
          <w:szCs w:val="24"/>
          <w:lang w:eastAsia="zh-CN"/>
        </w:rPr>
        <w:t>四</w:t>
      </w:r>
      <w:r>
        <w:rPr>
          <w:rFonts w:hint="eastAsia" w:hAnsi="宋体"/>
          <w:sz w:val="24"/>
          <w:szCs w:val="24"/>
        </w:rPr>
        <w:t>个标段；</w:t>
      </w:r>
    </w:p>
    <w:p>
      <w:pPr>
        <w:adjustRightInd w:val="0"/>
        <w:snapToGrid w:val="0"/>
        <w:spacing w:line="360" w:lineRule="auto"/>
        <w:rPr>
          <w:rFonts w:hint="default" w:hAnsi="宋体" w:eastAsia="宋体"/>
          <w:sz w:val="24"/>
          <w:szCs w:val="24"/>
          <w:lang w:val="en-US" w:eastAsia="zh-CN"/>
        </w:rPr>
      </w:pPr>
      <w:r>
        <w:rPr>
          <w:rFonts w:hint="eastAsia" w:hAnsi="宋体"/>
          <w:sz w:val="24"/>
          <w:szCs w:val="24"/>
        </w:rPr>
        <w:t>2.7招标控制价：</w:t>
      </w:r>
      <w:r>
        <w:rPr>
          <w:rFonts w:hint="eastAsia" w:hAnsi="宋体"/>
          <w:sz w:val="24"/>
          <w:szCs w:val="24"/>
          <w:lang w:eastAsia="zh-CN"/>
        </w:rPr>
        <w:t>共</w:t>
      </w:r>
      <w:r>
        <w:rPr>
          <w:rFonts w:hint="eastAsia" w:hAnsi="宋体"/>
          <w:sz w:val="24"/>
          <w:szCs w:val="24"/>
          <w:lang w:val="en-US" w:eastAsia="zh-CN"/>
        </w:rPr>
        <w:t>9640021.98</w:t>
      </w:r>
      <w:r>
        <w:rPr>
          <w:rFonts w:hint="eastAsia" w:hAnsi="宋体"/>
          <w:sz w:val="24"/>
          <w:szCs w:val="24"/>
        </w:rPr>
        <w:t>元。</w:t>
      </w:r>
      <w:r>
        <w:rPr>
          <w:rFonts w:hint="eastAsia" w:hAnsi="宋体"/>
          <w:sz w:val="24"/>
          <w:szCs w:val="24"/>
          <w:lang w:eastAsia="zh-CN"/>
        </w:rPr>
        <w:t>一标段：</w:t>
      </w:r>
      <w:r>
        <w:rPr>
          <w:rFonts w:hint="eastAsia" w:hAnsi="宋体"/>
          <w:sz w:val="24"/>
          <w:szCs w:val="24"/>
          <w:lang w:val="en-US" w:eastAsia="zh-CN"/>
        </w:rPr>
        <w:t>4465794.64元；二标段：1422157.85元；三标段：3285614.85元；四标段：466454.64元。</w:t>
      </w:r>
    </w:p>
    <w:p>
      <w:pPr>
        <w:adjustRightInd w:val="0"/>
        <w:snapToGrid w:val="0"/>
        <w:spacing w:line="360" w:lineRule="auto"/>
        <w:rPr>
          <w:rFonts w:hAnsi="宋体"/>
          <w:sz w:val="24"/>
          <w:szCs w:val="24"/>
        </w:rPr>
      </w:pPr>
      <w:r>
        <w:rPr>
          <w:rFonts w:hint="eastAsia" w:hAnsi="宋体"/>
          <w:sz w:val="24"/>
          <w:szCs w:val="24"/>
        </w:rPr>
        <w:t>2.8质量目标：合格（符合国家现行的验收规范和标准）。</w:t>
      </w:r>
    </w:p>
    <w:p>
      <w:pPr>
        <w:adjustRightInd w:val="0"/>
        <w:snapToGrid w:val="0"/>
        <w:spacing w:line="360" w:lineRule="auto"/>
        <w:rPr>
          <w:rFonts w:hint="eastAsia" w:hAnsi="宋体"/>
          <w:sz w:val="24"/>
          <w:szCs w:val="24"/>
          <w:lang w:val="en-US" w:eastAsia="zh-CN"/>
        </w:rPr>
      </w:pPr>
      <w:r>
        <w:rPr>
          <w:rFonts w:hint="eastAsia" w:hAnsi="宋体"/>
          <w:sz w:val="24"/>
          <w:szCs w:val="24"/>
          <w:lang w:val="en-US" w:eastAsia="zh-CN"/>
        </w:rPr>
        <w:t>2.9工期要求：60日历天，保修养护期：1年。</w:t>
      </w:r>
    </w:p>
    <w:p>
      <w:pPr>
        <w:adjustRightInd w:val="0"/>
        <w:snapToGrid w:val="0"/>
        <w:spacing w:line="360" w:lineRule="auto"/>
        <w:rPr>
          <w:rFonts w:hint="eastAsia" w:hAnsi="宋体" w:eastAsia="宋体"/>
          <w:b/>
          <w:sz w:val="24"/>
          <w:szCs w:val="24"/>
          <w:lang w:eastAsia="zh-CN"/>
        </w:rPr>
      </w:pPr>
      <w:r>
        <w:rPr>
          <w:rFonts w:hint="eastAsia" w:hAnsi="宋体"/>
          <w:b/>
          <w:sz w:val="24"/>
          <w:szCs w:val="24"/>
        </w:rPr>
        <w:t>3.投标人资格要求</w:t>
      </w:r>
      <w:r>
        <w:rPr>
          <w:rFonts w:hint="eastAsia" w:hAnsi="宋体"/>
          <w:b/>
          <w:sz w:val="24"/>
          <w:szCs w:val="24"/>
          <w:lang w:eastAsia="zh-CN"/>
        </w:rPr>
        <w:t>（一、二、三、四标段）</w:t>
      </w:r>
    </w:p>
    <w:p>
      <w:pPr>
        <w:widowControl/>
        <w:adjustRightInd w:val="0"/>
        <w:snapToGrid w:val="0"/>
        <w:spacing w:line="360" w:lineRule="auto"/>
        <w:ind w:firstLine="360" w:firstLineChars="150"/>
        <w:jc w:val="left"/>
        <w:outlineLvl w:val="0"/>
        <w:rPr>
          <w:rFonts w:hAnsi="宋体"/>
          <w:sz w:val="24"/>
          <w:szCs w:val="24"/>
        </w:rPr>
      </w:pPr>
      <w:r>
        <w:rPr>
          <w:rFonts w:hint="eastAsia" w:hAnsi="宋体"/>
          <w:sz w:val="24"/>
          <w:szCs w:val="24"/>
        </w:rPr>
        <w:t>3.1投标人须具备独立的法人资格和有效的营业执照(经营范围须含园林绿化或林木种植等相关内容)，并在人员、设备、资金等方面具有相应的施工能力。拟派项目负责人须具有园林绿化或相关专业中级及以上技术职称，且未担任其它在施建设工程项目的项目负责人并出具无在建承诺书。</w:t>
      </w:r>
    </w:p>
    <w:p>
      <w:pPr>
        <w:widowControl/>
        <w:adjustRightInd w:val="0"/>
        <w:snapToGrid w:val="0"/>
        <w:spacing w:line="360" w:lineRule="auto"/>
        <w:ind w:firstLine="360" w:firstLineChars="150"/>
        <w:jc w:val="left"/>
        <w:outlineLvl w:val="0"/>
        <w:rPr>
          <w:rFonts w:hAnsi="宋体"/>
          <w:sz w:val="24"/>
          <w:szCs w:val="24"/>
        </w:rPr>
      </w:pPr>
      <w:r>
        <w:rPr>
          <w:rFonts w:hAnsi="宋体"/>
          <w:sz w:val="24"/>
          <w:szCs w:val="24"/>
        </w:rPr>
        <w:t>3.</w:t>
      </w:r>
      <w:r>
        <w:rPr>
          <w:rFonts w:hint="eastAsia" w:hAnsi="宋体"/>
          <w:sz w:val="24"/>
          <w:szCs w:val="24"/>
        </w:rPr>
        <w:t>2</w:t>
      </w:r>
      <w:r>
        <w:rPr>
          <w:rFonts w:hAnsi="宋体"/>
          <w:sz w:val="24"/>
          <w:szCs w:val="24"/>
        </w:rPr>
        <w:t>本项目不接受联合体投标</w:t>
      </w:r>
      <w:r>
        <w:rPr>
          <w:rFonts w:hint="eastAsia" w:hAnsi="宋体"/>
          <w:sz w:val="24"/>
          <w:szCs w:val="24"/>
        </w:rPr>
        <w:t>，不得转包、挂靠及违法分包</w:t>
      </w:r>
      <w:r>
        <w:rPr>
          <w:rFonts w:hAnsi="宋体"/>
          <w:sz w:val="24"/>
          <w:szCs w:val="24"/>
        </w:rPr>
        <w:t>。</w:t>
      </w:r>
    </w:p>
    <w:p>
      <w:pPr>
        <w:widowControl/>
        <w:adjustRightInd w:val="0"/>
        <w:snapToGrid w:val="0"/>
        <w:spacing w:line="360" w:lineRule="auto"/>
        <w:ind w:firstLine="360" w:firstLineChars="150"/>
        <w:jc w:val="left"/>
        <w:outlineLvl w:val="0"/>
        <w:rPr>
          <w:rFonts w:hAnsi="宋体"/>
          <w:sz w:val="24"/>
          <w:szCs w:val="24"/>
        </w:rPr>
      </w:pPr>
      <w:r>
        <w:rPr>
          <w:rFonts w:hAnsi="宋体"/>
          <w:sz w:val="24"/>
          <w:szCs w:val="24"/>
        </w:rPr>
        <w:t>3.</w:t>
      </w:r>
      <w:r>
        <w:rPr>
          <w:rFonts w:hint="eastAsia" w:hAnsi="宋体"/>
          <w:sz w:val="24"/>
          <w:szCs w:val="24"/>
        </w:rPr>
        <w:t>3</w:t>
      </w:r>
      <w:r>
        <w:rPr>
          <w:rFonts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adjustRightInd w:val="0"/>
        <w:snapToGrid w:val="0"/>
        <w:spacing w:line="360" w:lineRule="auto"/>
        <w:ind w:firstLine="480" w:firstLineChars="200"/>
        <w:rPr>
          <w:rFonts w:hint="eastAsia" w:hAnsi="宋体"/>
          <w:b/>
          <w:sz w:val="24"/>
          <w:szCs w:val="24"/>
        </w:rPr>
      </w:pPr>
      <w:r>
        <w:rPr>
          <w:rFonts w:hint="eastAsia" w:hAnsi="宋体"/>
          <w:b/>
          <w:sz w:val="24"/>
          <w:szCs w:val="24"/>
        </w:rPr>
        <w:t>3.4未被列入“信用中国”/“信用河南”网站信用信息栏黑名单，“国家企业信用信息公示系统”经营异常名录和严重失信黑名单，无行贿犯罪记录的投标人；</w:t>
      </w:r>
    </w:p>
    <w:p>
      <w:pPr>
        <w:adjustRightInd w:val="0"/>
        <w:snapToGrid w:val="0"/>
        <w:spacing w:line="360" w:lineRule="auto"/>
        <w:rPr>
          <w:rFonts w:hint="eastAsia" w:hAnsi="宋体"/>
          <w:b/>
          <w:sz w:val="24"/>
          <w:szCs w:val="24"/>
        </w:rPr>
      </w:pPr>
      <w:r>
        <w:rPr>
          <w:rFonts w:hint="eastAsia" w:hAnsi="宋体"/>
          <w:b/>
          <w:sz w:val="24"/>
          <w:szCs w:val="24"/>
          <w:lang w:val="en-US" w:eastAsia="zh-CN"/>
        </w:rPr>
        <w:t>四、网上下载招标文件</w:t>
      </w:r>
    </w:p>
    <w:p>
      <w:pPr>
        <w:widowControl/>
        <w:adjustRightInd w:val="0"/>
        <w:snapToGrid w:val="0"/>
        <w:spacing w:line="360" w:lineRule="auto"/>
        <w:ind w:firstLine="360" w:firstLineChars="150"/>
        <w:jc w:val="left"/>
        <w:outlineLvl w:val="0"/>
        <w:rPr>
          <w:rFonts w:hAnsi="宋体"/>
          <w:sz w:val="24"/>
          <w:szCs w:val="24"/>
        </w:rPr>
      </w:pPr>
      <w:r>
        <w:rPr>
          <w:rFonts w:hAnsi="宋体"/>
          <w:sz w:val="24"/>
          <w:szCs w:val="24"/>
          <w:lang w:val="en-US" w:eastAsia="zh-CN"/>
        </w:rPr>
        <w:t>4.1</w:t>
      </w:r>
      <w:r>
        <w:rPr>
          <w:rFonts w:hint="eastAsia" w:hAnsi="宋体"/>
          <w:sz w:val="24"/>
          <w:szCs w:val="24"/>
          <w:lang w:val="en-US" w:eastAsia="zh-CN"/>
        </w:rPr>
        <w:t>持CA数字认证证书，登录【全国公共资源交易平台（河南省·许昌市）】“系统用户注册”入口（http://221.14.6.70:8088/ggzy/eps/public/RegistAllJcxx.html）进行免费注册登记（详见网站首页“常见问题解答-诚信库网上注册相关资料下载”）；</w:t>
      </w:r>
    </w:p>
    <w:p>
      <w:pPr>
        <w:widowControl/>
        <w:adjustRightInd w:val="0"/>
        <w:snapToGrid w:val="0"/>
        <w:spacing w:line="360" w:lineRule="auto"/>
        <w:ind w:firstLine="360" w:firstLineChars="150"/>
        <w:jc w:val="left"/>
        <w:outlineLvl w:val="0"/>
        <w:rPr>
          <w:rFonts w:hAnsi="宋体"/>
          <w:sz w:val="24"/>
          <w:szCs w:val="24"/>
        </w:rPr>
      </w:pPr>
      <w:r>
        <w:rPr>
          <w:rFonts w:hint="eastAsia" w:hAnsi="宋体"/>
          <w:sz w:val="24"/>
          <w:szCs w:val="24"/>
          <w:lang w:val="en-US" w:eastAsia="zh-CN"/>
        </w:rPr>
        <w:t>4.2登录【全国公共资源交易平台（河南省·许昌市）】“投标人/供应商登录”入口（http://221.14.6.70:8088/ggzy/），在报名期限内报名。（详见网站首页“常见问题解答-交易系统操作手册”）。</w:t>
      </w:r>
    </w:p>
    <w:p>
      <w:pPr>
        <w:adjustRightInd w:val="0"/>
        <w:snapToGrid w:val="0"/>
        <w:spacing w:line="360" w:lineRule="auto"/>
        <w:rPr>
          <w:rFonts w:hAnsi="宋体"/>
          <w:b/>
          <w:sz w:val="24"/>
          <w:szCs w:val="24"/>
        </w:rPr>
      </w:pPr>
      <w:r>
        <w:rPr>
          <w:rFonts w:hint="eastAsia" w:hAnsi="宋体"/>
          <w:b/>
          <w:sz w:val="24"/>
          <w:szCs w:val="24"/>
        </w:rPr>
        <w:t>5、招标文件和施工图纸的获取</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5.1招标文件和工程量清单的下载：投标</w:t>
      </w:r>
      <w:r>
        <w:rPr>
          <w:rFonts w:hint="eastAsia" w:hAnsi="宋体" w:cs="宋体"/>
          <w:sz w:val="24"/>
          <w:szCs w:val="24"/>
        </w:rPr>
        <w:t>文件递交截止时间前均可</w:t>
      </w:r>
      <w:r>
        <w:rPr>
          <w:rFonts w:hint="eastAsia" w:hAnsi="宋体" w:cs="Arial"/>
          <w:sz w:val="24"/>
          <w:szCs w:val="24"/>
        </w:rPr>
        <w:t>登录《全国公共资源交易平台（河南省•许昌市）》</w:t>
      </w:r>
      <w:r>
        <w:rPr>
          <w:rFonts w:hint="eastAsia" w:hAnsi="宋体"/>
          <w:bCs/>
          <w:sz w:val="24"/>
        </w:rPr>
        <w:t>（</w:t>
      </w:r>
      <w:r>
        <w:fldChar w:fldCharType="begin"/>
      </w:r>
      <w:r>
        <w:instrText xml:space="preserve"> HYPERLINK </w:instrText>
      </w:r>
      <w:r>
        <w:fldChar w:fldCharType="separate"/>
      </w:r>
      <w:r>
        <w:rPr>
          <w:rStyle w:val="17"/>
          <w:rFonts w:hint="eastAsia" w:hAnsi="宋体"/>
          <w:bCs/>
          <w:color w:val="auto"/>
          <w:sz w:val="24"/>
        </w:rPr>
        <w:t>http://</w:t>
      </w:r>
      <w:r>
        <w:rPr>
          <w:rStyle w:val="17"/>
          <w:rFonts w:hAnsi="宋体"/>
          <w:bCs/>
          <w:color w:val="auto"/>
          <w:sz w:val="24"/>
        </w:rPr>
        <w:t>http://www.xcggzy.gov.cn</w:t>
      </w:r>
      <w:r>
        <w:rPr>
          <w:rStyle w:val="17"/>
          <w:rFonts w:hint="eastAsia" w:hAnsi="宋体"/>
          <w:bCs/>
          <w:color w:val="auto"/>
          <w:sz w:val="24"/>
        </w:rPr>
        <w:t>/</w:t>
      </w:r>
      <w:r>
        <w:rPr>
          <w:rStyle w:val="17"/>
          <w:rFonts w:hint="eastAsia" w:hAnsi="宋体"/>
          <w:bCs/>
          <w:color w:val="auto"/>
          <w:sz w:val="24"/>
        </w:rPr>
        <w:fldChar w:fldCharType="end"/>
      </w:r>
      <w:r>
        <w:rPr>
          <w:rFonts w:hint="eastAsia" w:hAnsi="宋体"/>
          <w:bCs/>
          <w:sz w:val="24"/>
        </w:rPr>
        <w:t>）</w:t>
      </w:r>
      <w:r>
        <w:rPr>
          <w:rFonts w:hint="eastAsia" w:hAnsi="宋体" w:cs="Arial"/>
          <w:sz w:val="24"/>
          <w:szCs w:val="24"/>
        </w:rPr>
        <w:t>，通过“投标人/供应商登录” 入口自行下载本项目招标文件、工程量清单。</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5.2施工图纸下载：按照招标文件中第二章投标人须知前附表所给的网址自行下载。</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5.3招标文件费用：投标人在递交纸制投标文件时向代理公司缴纳招标文件费用，本项目招标文件费用为300元</w:t>
      </w:r>
      <w:r>
        <w:rPr>
          <w:rFonts w:hint="eastAsia" w:hAnsi="宋体" w:cs="宋体"/>
          <w:sz w:val="24"/>
          <w:szCs w:val="28"/>
        </w:rPr>
        <w:t>/套</w:t>
      </w:r>
      <w:r>
        <w:rPr>
          <w:rFonts w:hint="eastAsia" w:hAnsi="宋体" w:cs="Arial"/>
          <w:sz w:val="24"/>
          <w:szCs w:val="24"/>
        </w:rPr>
        <w:t>，售后不退。</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5.4本项目实行资格后审，资格后审所需资料详见招标文件。</w:t>
      </w:r>
    </w:p>
    <w:p>
      <w:pPr>
        <w:numPr>
          <w:ilvl w:val="0"/>
          <w:numId w:val="1"/>
        </w:numPr>
        <w:adjustRightInd w:val="0"/>
        <w:snapToGrid w:val="0"/>
        <w:spacing w:line="360" w:lineRule="auto"/>
        <w:rPr>
          <w:rFonts w:hAnsi="宋体"/>
          <w:b/>
          <w:sz w:val="24"/>
          <w:szCs w:val="24"/>
        </w:rPr>
      </w:pPr>
      <w:r>
        <w:rPr>
          <w:rFonts w:hint="eastAsia" w:hAnsi="宋体"/>
          <w:b/>
          <w:sz w:val="24"/>
          <w:szCs w:val="24"/>
        </w:rPr>
        <w:t>投标文件的递交：</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6.1、本项目为全流程电子化交易项目，须提交电子投标文件和纸质投标文件（正本1份、副本1份）。</w:t>
      </w:r>
    </w:p>
    <w:p>
      <w:pPr>
        <w:adjustRightInd w:val="0"/>
        <w:snapToGrid w:val="0"/>
        <w:spacing w:line="360" w:lineRule="auto"/>
        <w:ind w:firstLine="480" w:firstLineChars="200"/>
        <w:rPr>
          <w:rFonts w:hAnsi="宋体" w:cs="Arial"/>
          <w:color w:val="0000FF"/>
          <w:sz w:val="24"/>
          <w:szCs w:val="24"/>
        </w:rPr>
      </w:pPr>
      <w:r>
        <w:rPr>
          <w:rFonts w:hint="eastAsia" w:hAnsi="宋体" w:cs="Arial"/>
          <w:sz w:val="24"/>
          <w:szCs w:val="24"/>
        </w:rPr>
        <w:t>6.2、投标文件提交截止时间及开标时间</w:t>
      </w:r>
      <w:r>
        <w:rPr>
          <w:rFonts w:hint="eastAsia" w:hAnsi="宋体" w:cs="Arial"/>
          <w:color w:val="0000FF"/>
          <w:sz w:val="24"/>
          <w:szCs w:val="24"/>
        </w:rPr>
        <w:t>：</w:t>
      </w:r>
      <w:r>
        <w:rPr>
          <w:rFonts w:hint="eastAsia" w:hAnsi="宋体" w:cs="仿宋"/>
          <w:b/>
          <w:color w:val="0000FF"/>
          <w:sz w:val="24"/>
          <w:szCs w:val="24"/>
          <w:u w:val="single"/>
        </w:rPr>
        <w:t xml:space="preserve"> </w:t>
      </w:r>
      <w:r>
        <w:rPr>
          <w:rFonts w:hint="eastAsia" w:hAnsi="宋体" w:cs="仿宋"/>
          <w:b/>
          <w:color w:val="0000FF"/>
          <w:sz w:val="24"/>
          <w:szCs w:val="24"/>
          <w:u w:val="single"/>
          <w:lang w:val="en-US" w:eastAsia="zh-CN"/>
        </w:rPr>
        <w:t>2020</w:t>
      </w:r>
      <w:r>
        <w:rPr>
          <w:rFonts w:hint="eastAsia" w:hAnsi="宋体" w:cs="仿宋"/>
          <w:b/>
          <w:color w:val="0000FF"/>
          <w:sz w:val="24"/>
          <w:szCs w:val="24"/>
          <w:u w:val="single"/>
        </w:rPr>
        <w:t xml:space="preserve"> </w:t>
      </w:r>
      <w:r>
        <w:rPr>
          <w:rFonts w:hint="eastAsia" w:hAnsi="宋体" w:cs="仿宋"/>
          <w:b/>
          <w:color w:val="0000FF"/>
          <w:sz w:val="24"/>
          <w:szCs w:val="24"/>
        </w:rPr>
        <w:t>年</w:t>
      </w:r>
      <w:r>
        <w:rPr>
          <w:rFonts w:hint="eastAsia" w:hAnsi="宋体" w:cs="仿宋"/>
          <w:b/>
          <w:color w:val="0000FF"/>
          <w:sz w:val="24"/>
          <w:szCs w:val="24"/>
          <w:u w:val="single"/>
          <w:lang w:val="en-US" w:eastAsia="zh-CN"/>
        </w:rPr>
        <w:t>1</w:t>
      </w:r>
      <w:r>
        <w:rPr>
          <w:rFonts w:hint="eastAsia" w:hAnsi="宋体" w:cs="仿宋"/>
          <w:b/>
          <w:color w:val="0000FF"/>
          <w:sz w:val="24"/>
          <w:szCs w:val="24"/>
        </w:rPr>
        <w:t>月</w:t>
      </w:r>
      <w:r>
        <w:rPr>
          <w:rFonts w:hint="eastAsia" w:hAnsi="宋体" w:cs="仿宋"/>
          <w:b/>
          <w:color w:val="0000FF"/>
          <w:sz w:val="24"/>
          <w:szCs w:val="24"/>
          <w:u w:val="single"/>
        </w:rPr>
        <w:t xml:space="preserve"> </w:t>
      </w:r>
      <w:r>
        <w:rPr>
          <w:rFonts w:hint="eastAsia" w:hAnsi="宋体" w:cs="仿宋"/>
          <w:b/>
          <w:color w:val="0000FF"/>
          <w:sz w:val="24"/>
          <w:szCs w:val="24"/>
          <w:u w:val="single"/>
          <w:lang w:val="en-US" w:eastAsia="zh-CN"/>
        </w:rPr>
        <w:t>17</w:t>
      </w:r>
      <w:r>
        <w:rPr>
          <w:rFonts w:hint="eastAsia" w:hAnsi="宋体" w:cs="仿宋"/>
          <w:b/>
          <w:color w:val="0000FF"/>
          <w:sz w:val="24"/>
          <w:szCs w:val="24"/>
        </w:rPr>
        <w:t>日</w:t>
      </w:r>
      <w:r>
        <w:rPr>
          <w:rFonts w:hint="eastAsia" w:hAnsi="宋体" w:cs="仿宋"/>
          <w:b/>
          <w:color w:val="0000FF"/>
          <w:sz w:val="24"/>
          <w:szCs w:val="24"/>
          <w:u w:val="single"/>
          <w:lang w:val="en-US" w:eastAsia="zh-CN"/>
        </w:rPr>
        <w:t>9</w:t>
      </w:r>
      <w:r>
        <w:rPr>
          <w:rFonts w:hint="eastAsia" w:hAnsi="宋体" w:cs="仿宋"/>
          <w:b/>
          <w:color w:val="0000FF"/>
          <w:sz w:val="24"/>
          <w:szCs w:val="24"/>
        </w:rPr>
        <w:t>时</w:t>
      </w:r>
      <w:r>
        <w:rPr>
          <w:rFonts w:hint="eastAsia" w:hAnsi="宋体" w:cs="仿宋"/>
          <w:b/>
          <w:color w:val="0000FF"/>
          <w:sz w:val="24"/>
          <w:szCs w:val="24"/>
          <w:u w:val="single"/>
        </w:rPr>
        <w:t xml:space="preserve"> </w:t>
      </w:r>
      <w:r>
        <w:rPr>
          <w:rFonts w:hint="eastAsia" w:hAnsi="宋体" w:cs="仿宋"/>
          <w:b/>
          <w:color w:val="0000FF"/>
          <w:sz w:val="24"/>
          <w:szCs w:val="24"/>
          <w:u w:val="single"/>
          <w:lang w:val="en-US" w:eastAsia="zh-CN"/>
        </w:rPr>
        <w:t>30</w:t>
      </w:r>
      <w:r>
        <w:rPr>
          <w:rFonts w:hint="eastAsia" w:hAnsi="宋体" w:cs="仿宋"/>
          <w:b/>
          <w:color w:val="0000FF"/>
          <w:sz w:val="24"/>
          <w:szCs w:val="24"/>
        </w:rPr>
        <w:t>分</w:t>
      </w:r>
      <w:r>
        <w:rPr>
          <w:rFonts w:hint="eastAsia" w:hAnsi="宋体" w:cs="仿宋"/>
          <w:b/>
          <w:color w:val="0000FF"/>
          <w:sz w:val="24"/>
          <w:szCs w:val="24"/>
          <w:lang w:eastAsia="zh-CN"/>
        </w:rPr>
        <w:t>（北京时间）</w:t>
      </w:r>
      <w:r>
        <w:rPr>
          <w:rFonts w:hint="eastAsia" w:hAnsi="宋体" w:cs="Arial"/>
          <w:b/>
          <w:color w:val="0000FF"/>
          <w:sz w:val="24"/>
          <w:szCs w:val="24"/>
        </w:rPr>
        <w:t>。</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6.4、纸质投标文件提交地点：长葛市公共资源交易中心（长葛市葛天大道东段商务区6号楼</w:t>
      </w:r>
      <w:r>
        <w:rPr>
          <w:rFonts w:hint="eastAsia" w:hAnsi="宋体" w:cs="Arial"/>
          <w:color w:val="0000FF"/>
          <w:sz w:val="24"/>
          <w:szCs w:val="24"/>
          <w:u w:val="single"/>
        </w:rPr>
        <w:t xml:space="preserve"> </w:t>
      </w:r>
      <w:r>
        <w:rPr>
          <w:rFonts w:hint="eastAsia" w:hAnsi="宋体" w:cs="Arial"/>
          <w:color w:val="0000FF"/>
          <w:sz w:val="24"/>
          <w:szCs w:val="24"/>
          <w:u w:val="single"/>
          <w:lang w:val="en-US" w:eastAsia="zh-CN"/>
        </w:rPr>
        <w:t>5</w:t>
      </w:r>
      <w:r>
        <w:rPr>
          <w:rFonts w:hint="eastAsia" w:hAnsi="宋体" w:cs="Arial"/>
          <w:color w:val="0000FF"/>
          <w:sz w:val="24"/>
          <w:szCs w:val="24"/>
          <w:u w:val="single"/>
        </w:rPr>
        <w:t xml:space="preserve"> </w:t>
      </w:r>
      <w:r>
        <w:rPr>
          <w:rFonts w:hint="eastAsia" w:hAnsi="宋体" w:cs="Arial"/>
          <w:color w:val="0000FF"/>
          <w:sz w:val="24"/>
          <w:szCs w:val="24"/>
        </w:rPr>
        <w:t>楼开</w:t>
      </w:r>
      <w:r>
        <w:rPr>
          <w:rFonts w:hint="eastAsia" w:hAnsi="宋体" w:cs="Arial"/>
          <w:color w:val="0000FF"/>
          <w:sz w:val="24"/>
          <w:szCs w:val="24"/>
          <w:lang w:eastAsia="zh-CN"/>
        </w:rPr>
        <w:t>标</w:t>
      </w:r>
      <w:r>
        <w:rPr>
          <w:rFonts w:hint="eastAsia" w:hAnsi="宋体" w:cs="Arial"/>
          <w:color w:val="0000FF"/>
          <w:sz w:val="24"/>
          <w:szCs w:val="24"/>
          <w:u w:val="single"/>
          <w:lang w:eastAsia="zh-CN"/>
        </w:rPr>
        <w:t>四</w:t>
      </w:r>
      <w:r>
        <w:rPr>
          <w:rFonts w:hint="eastAsia" w:hAnsi="宋体" w:cs="Arial"/>
          <w:color w:val="0000FF"/>
          <w:sz w:val="24"/>
          <w:szCs w:val="24"/>
        </w:rPr>
        <w:t>室</w:t>
      </w:r>
      <w:r>
        <w:rPr>
          <w:rFonts w:hint="eastAsia" w:hAnsi="宋体" w:cs="Arial"/>
          <w:sz w:val="24"/>
          <w:szCs w:val="24"/>
        </w:rPr>
        <w:t>）。</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6.5、逾期送达的或者未按照招标文件要求密封的纸质投标文件、及仅提供纸质投标文件的，招标人不予受理。</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6.5、未通过全国公共资源交易平台（河南省▪许昌市）下载招标文件的投标人，其投标文件不予受理。</w:t>
      </w:r>
    </w:p>
    <w:p>
      <w:pPr>
        <w:adjustRightInd w:val="0"/>
        <w:snapToGrid w:val="0"/>
        <w:spacing w:line="360" w:lineRule="auto"/>
        <w:rPr>
          <w:rFonts w:hAnsi="宋体"/>
          <w:b/>
          <w:sz w:val="24"/>
          <w:szCs w:val="24"/>
        </w:rPr>
      </w:pPr>
      <w:r>
        <w:rPr>
          <w:rFonts w:hint="eastAsia" w:hAnsi="宋体"/>
          <w:b/>
          <w:sz w:val="24"/>
          <w:szCs w:val="24"/>
        </w:rPr>
        <w:t>7、发布公告的媒介</w:t>
      </w:r>
    </w:p>
    <w:p>
      <w:pPr>
        <w:tabs>
          <w:tab w:val="left" w:pos="7095"/>
        </w:tabs>
        <w:adjustRightInd w:val="0"/>
        <w:snapToGrid w:val="0"/>
        <w:spacing w:line="360" w:lineRule="auto"/>
        <w:ind w:firstLine="352" w:firstLineChars="147"/>
        <w:rPr>
          <w:rFonts w:hAnsi="宋体" w:cs="Arial"/>
          <w:sz w:val="24"/>
          <w:szCs w:val="24"/>
        </w:rPr>
      </w:pPr>
      <w:r>
        <w:rPr>
          <w:rFonts w:hAnsi="宋体" w:cs="Arial"/>
          <w:sz w:val="24"/>
          <w:szCs w:val="24"/>
        </w:rPr>
        <w:t>本招标公告同时在</w:t>
      </w:r>
      <w:r>
        <w:rPr>
          <w:rFonts w:hint="eastAsia" w:hAnsi="宋体" w:cs="Arial"/>
          <w:sz w:val="24"/>
          <w:szCs w:val="24"/>
        </w:rPr>
        <w:t>《河南省电子招标投标公共服务平台》、</w:t>
      </w:r>
      <w:r>
        <w:rPr>
          <w:rFonts w:hAnsi="宋体" w:cs="Arial"/>
          <w:sz w:val="24"/>
          <w:szCs w:val="24"/>
        </w:rPr>
        <w:t>《全国公共资源交易平台（河南省·许昌市）》</w:t>
      </w:r>
      <w:r>
        <w:rPr>
          <w:rFonts w:hint="eastAsia" w:hAnsi="宋体" w:cs="Arial"/>
          <w:sz w:val="24"/>
          <w:szCs w:val="24"/>
        </w:rPr>
        <w:t>、《长葛市人民政府门户网站》</w:t>
      </w:r>
      <w:r>
        <w:rPr>
          <w:rFonts w:hAnsi="宋体" w:cs="Arial"/>
          <w:sz w:val="24"/>
          <w:szCs w:val="24"/>
        </w:rPr>
        <w:t>上发布。</w:t>
      </w:r>
    </w:p>
    <w:p>
      <w:pPr>
        <w:adjustRightInd w:val="0"/>
        <w:snapToGrid w:val="0"/>
        <w:spacing w:line="360" w:lineRule="auto"/>
        <w:rPr>
          <w:rFonts w:hAnsi="宋体"/>
          <w:b/>
          <w:sz w:val="24"/>
          <w:szCs w:val="24"/>
        </w:rPr>
      </w:pPr>
      <w:r>
        <w:rPr>
          <w:rFonts w:hint="eastAsia" w:hAnsi="宋体"/>
          <w:b/>
          <w:sz w:val="24"/>
          <w:szCs w:val="24"/>
        </w:rPr>
        <w:t>8.招标人及代理机构</w:t>
      </w:r>
    </w:p>
    <w:p>
      <w:pPr>
        <w:adjustRightInd w:val="0"/>
        <w:snapToGrid w:val="0"/>
        <w:spacing w:line="360" w:lineRule="auto"/>
        <w:ind w:firstLine="240" w:firstLineChars="100"/>
        <w:rPr>
          <w:rFonts w:hint="eastAsia" w:hAnsi="宋体" w:eastAsia="宋体"/>
          <w:sz w:val="24"/>
          <w:szCs w:val="24"/>
          <w:lang w:eastAsia="zh-CN"/>
        </w:rPr>
      </w:pPr>
      <w:r>
        <w:rPr>
          <w:rFonts w:hint="eastAsia" w:hAnsi="宋体"/>
          <w:sz w:val="24"/>
          <w:szCs w:val="24"/>
        </w:rPr>
        <w:t>招 标 人：</w:t>
      </w:r>
      <w:r>
        <w:rPr>
          <w:rFonts w:hint="eastAsia" w:hAnsi="宋体"/>
          <w:sz w:val="24"/>
          <w:szCs w:val="24"/>
          <w:lang w:eastAsia="zh-CN"/>
        </w:rPr>
        <w:t>长葛市城市管理局</w:t>
      </w:r>
    </w:p>
    <w:p>
      <w:pPr>
        <w:adjustRightInd w:val="0"/>
        <w:snapToGrid w:val="0"/>
        <w:spacing w:line="360" w:lineRule="auto"/>
        <w:ind w:firstLine="240" w:firstLineChars="100"/>
        <w:rPr>
          <w:rFonts w:hAnsi="宋体"/>
          <w:sz w:val="24"/>
          <w:szCs w:val="24"/>
        </w:rPr>
      </w:pPr>
      <w:r>
        <w:rPr>
          <w:rFonts w:hint="eastAsia" w:hAnsi="宋体"/>
          <w:sz w:val="24"/>
          <w:szCs w:val="24"/>
        </w:rPr>
        <w:t>联 系 人：</w:t>
      </w:r>
      <w:r>
        <w:rPr>
          <w:rFonts w:hint="eastAsia" w:hAnsi="宋体"/>
          <w:sz w:val="24"/>
          <w:szCs w:val="24"/>
          <w:lang w:eastAsia="zh-CN"/>
        </w:rPr>
        <w:t>仝</w:t>
      </w:r>
      <w:r>
        <w:rPr>
          <w:rFonts w:hint="eastAsia" w:hAnsi="宋体"/>
          <w:sz w:val="24"/>
          <w:szCs w:val="24"/>
          <w:lang w:val="en-US" w:eastAsia="zh-CN"/>
        </w:rPr>
        <w:t xml:space="preserve">主任  </w:t>
      </w:r>
      <w:r>
        <w:rPr>
          <w:rFonts w:hint="eastAsia" w:hAnsi="宋体"/>
          <w:sz w:val="24"/>
          <w:szCs w:val="24"/>
        </w:rPr>
        <w:t xml:space="preserve">联系电话：13569480179   </w:t>
      </w:r>
    </w:p>
    <w:p>
      <w:pPr>
        <w:adjustRightInd w:val="0"/>
        <w:snapToGrid w:val="0"/>
        <w:spacing w:line="360" w:lineRule="auto"/>
        <w:ind w:firstLine="240" w:firstLineChars="100"/>
        <w:rPr>
          <w:rFonts w:hint="eastAsia" w:hAnsi="宋体" w:eastAsia="宋体"/>
          <w:sz w:val="24"/>
          <w:szCs w:val="24"/>
          <w:lang w:eastAsia="zh-CN"/>
        </w:rPr>
      </w:pPr>
      <w:r>
        <w:rPr>
          <w:rFonts w:hint="eastAsia" w:hAnsi="宋体"/>
          <w:sz w:val="24"/>
          <w:szCs w:val="24"/>
        </w:rPr>
        <w:t>代理机构：</w:t>
      </w:r>
      <w:r>
        <w:rPr>
          <w:rFonts w:hint="eastAsia" w:hAnsi="宋体"/>
          <w:sz w:val="24"/>
          <w:szCs w:val="24"/>
          <w:lang w:eastAsia="zh-CN"/>
        </w:rPr>
        <w:t>智远工程管理有限公司</w:t>
      </w:r>
    </w:p>
    <w:p>
      <w:pPr>
        <w:adjustRightInd w:val="0"/>
        <w:snapToGrid w:val="0"/>
        <w:spacing w:line="360" w:lineRule="auto"/>
        <w:ind w:firstLine="240" w:firstLineChars="100"/>
        <w:rPr>
          <w:rFonts w:hint="default" w:hAnsi="宋体" w:eastAsia="宋体"/>
          <w:sz w:val="24"/>
          <w:szCs w:val="24"/>
          <w:lang w:val="en-US" w:eastAsia="zh-CN"/>
        </w:rPr>
      </w:pPr>
      <w:r>
        <w:rPr>
          <w:rFonts w:hint="eastAsia" w:hAnsi="宋体"/>
          <w:sz w:val="24"/>
          <w:szCs w:val="24"/>
        </w:rPr>
        <w:t>联 系 人：王女士   联系电话：</w:t>
      </w:r>
      <w:r>
        <w:rPr>
          <w:rFonts w:hint="eastAsia" w:hAnsi="宋体"/>
          <w:sz w:val="24"/>
          <w:szCs w:val="24"/>
          <w:lang w:val="en-US" w:eastAsia="zh-CN"/>
        </w:rPr>
        <w:t>13569926910</w:t>
      </w:r>
    </w:p>
    <w:p>
      <w:pPr>
        <w:adjustRightInd w:val="0"/>
        <w:snapToGrid w:val="0"/>
        <w:spacing w:line="360" w:lineRule="auto"/>
        <w:rPr>
          <w:rFonts w:hAnsi="宋体"/>
          <w:b/>
          <w:sz w:val="24"/>
          <w:szCs w:val="24"/>
        </w:rPr>
      </w:pPr>
      <w:r>
        <w:rPr>
          <w:rFonts w:hint="eastAsia" w:hAnsi="宋体"/>
          <w:b/>
          <w:sz w:val="24"/>
          <w:szCs w:val="24"/>
        </w:rPr>
        <w:t>9、特别提示：</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2、各投标人对代理公司提供的服务不满意，或认为代理公司在服务过程中有不当行为的，可致电长葛市公共资源交易管理委员会办公室监管股（0374-6189576），经查实后将视情况作出处理。</w:t>
      </w:r>
    </w:p>
    <w:p>
      <w:pPr>
        <w:autoSpaceDE w:val="0"/>
        <w:autoSpaceDN w:val="0"/>
        <w:adjustRightInd w:val="0"/>
        <w:snapToGrid w:val="0"/>
        <w:spacing w:line="360" w:lineRule="auto"/>
        <w:jc w:val="left"/>
        <w:rPr>
          <w:rFonts w:hAnsi="宋体"/>
          <w:b/>
          <w:sz w:val="30"/>
          <w:szCs w:val="30"/>
        </w:rPr>
      </w:pPr>
      <w:r>
        <w:rPr>
          <w:rFonts w:hint="eastAsia" w:hAnsi="宋体"/>
          <w:b/>
          <w:sz w:val="30"/>
          <w:szCs w:val="30"/>
        </w:rPr>
        <w:t>温馨提示：</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本项目为全流程电子化交易项目，请认真阅读招标文件，并注意以下事项。</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1.投标人应按招标文件规定下载、编制、提交电子投标文件和纸质投标文件。开、评标现场不接受投标人递交的电子投标文件和纸质投标文件以外的其他资料。</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2.电子文件下载、制作、提交期间和开标（电子投标文件的解密）环节，</w:t>
      </w:r>
      <w:r>
        <w:rPr>
          <w:rFonts w:hint="eastAsia" w:hAnsi="宋体" w:cs="宋体"/>
          <w:b/>
          <w:bCs/>
          <w:sz w:val="24"/>
          <w:szCs w:val="24"/>
        </w:rPr>
        <w:t>投标人</w:t>
      </w:r>
      <w:r>
        <w:rPr>
          <w:rFonts w:hint="eastAsia" w:hAnsi="宋体"/>
          <w:b/>
          <w:sz w:val="24"/>
          <w:szCs w:val="24"/>
        </w:rPr>
        <w:t>须使用CA数字证书（证书须在有效期内）。</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3.电子投标文件的制作</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3.1 投标人登录【全国公共资源交易平台(河南省▪许昌市)】公共资源交易系统（http://221.14.6.70:8088/ggzy/）下载“许昌投标文件制作系统SEARUN V1.1”，按招标文件要求制作电子投标文件。</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3.2 投标人须将招标文件要求的资质、业绩、荣誉及相关人员证明材料等资料原件扫描件（或图片）制作到所提交的电子投标文件中。</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4.电子投标文件的提交</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4.1电子投标文件应在招标文件规定的投标文件提交截止时间（开标时间）之前成功提交至【全国公共资源交易平台(河南省▪许昌市)】公共资源交易系统（http://221.14.6.70:8088/ggzy/）。</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投标人应充分考虑并预留技术处理和上传数据所需时间。</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4.2 投标人对同一项目多个标段进行投标的，电子投标文件应按标段分别提交。</w:t>
      </w:r>
    </w:p>
    <w:p>
      <w:pPr>
        <w:autoSpaceDE w:val="0"/>
        <w:autoSpaceDN w:val="0"/>
        <w:adjustRightInd w:val="0"/>
        <w:snapToGrid w:val="0"/>
        <w:spacing w:line="360" w:lineRule="auto"/>
        <w:ind w:firstLine="480"/>
        <w:jc w:val="left"/>
        <w:rPr>
          <w:rFonts w:hAnsi="宋体"/>
          <w:sz w:val="24"/>
          <w:szCs w:val="24"/>
        </w:rPr>
      </w:pPr>
      <w:r>
        <w:rPr>
          <w:rFonts w:hint="eastAsia" w:hAnsi="宋体"/>
          <w:sz w:val="24"/>
          <w:szCs w:val="24"/>
        </w:rPr>
        <w:t>4.3 电子投标文件成功提交后，投标人应打印“投标文件提交回执单”，供开标现场备查。</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5.评标依据</w:t>
      </w:r>
    </w:p>
    <w:p>
      <w:pPr>
        <w:autoSpaceDE w:val="0"/>
        <w:autoSpaceDN w:val="0"/>
        <w:adjustRightInd w:val="0"/>
        <w:snapToGrid w:val="0"/>
        <w:spacing w:line="360" w:lineRule="auto"/>
        <w:ind w:firstLine="720" w:firstLineChars="300"/>
        <w:jc w:val="left"/>
        <w:rPr>
          <w:rFonts w:hAnsi="宋体"/>
          <w:sz w:val="24"/>
          <w:szCs w:val="24"/>
        </w:rPr>
      </w:pPr>
      <w:r>
        <w:rPr>
          <w:rFonts w:hint="eastAsia" w:hAnsi="宋体"/>
          <w:sz w:val="24"/>
          <w:szCs w:val="24"/>
        </w:rPr>
        <w:t>采用全流程电子化交易评标时，评标委员会以电子投标文件为依据评标。</w:t>
      </w:r>
    </w:p>
    <w:p>
      <w:pPr>
        <w:autoSpaceDE w:val="0"/>
        <w:autoSpaceDN w:val="0"/>
        <w:adjustRightInd w:val="0"/>
        <w:snapToGrid w:val="0"/>
        <w:spacing w:line="360" w:lineRule="auto"/>
        <w:ind w:firstLine="480"/>
        <w:jc w:val="left"/>
        <w:rPr>
          <w:rFonts w:hAnsi="宋体" w:cs="黑体"/>
          <w:b/>
          <w:sz w:val="36"/>
          <w:szCs w:val="36"/>
        </w:rPr>
      </w:pPr>
      <w:r>
        <w:rPr>
          <w:rFonts w:hAnsi="宋体"/>
          <w:b/>
          <w:sz w:val="24"/>
          <w:szCs w:val="24"/>
        </w:rPr>
        <w:br w:type="page"/>
      </w:r>
      <w:r>
        <w:rPr>
          <w:rFonts w:hint="eastAsia" w:hAnsi="宋体" w:cs="黑体"/>
          <w:b/>
          <w:sz w:val="36"/>
          <w:szCs w:val="36"/>
        </w:rPr>
        <w:t xml:space="preserve">                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12"/>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44"/>
        <w:gridCol w:w="63"/>
        <w:gridCol w:w="2013"/>
        <w:gridCol w:w="6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966" w:type="dxa"/>
            <w:vAlign w:val="center"/>
          </w:tcPr>
          <w:p>
            <w:pPr>
              <w:autoSpaceDE w:val="0"/>
              <w:autoSpaceDN w:val="0"/>
              <w:adjustRightInd w:val="0"/>
              <w:spacing w:line="420" w:lineRule="exact"/>
              <w:jc w:val="center"/>
              <w:rPr>
                <w:rFonts w:hAnsi="宋体" w:cs="黑体"/>
                <w:color w:val="000000"/>
                <w:sz w:val="24"/>
                <w:szCs w:val="24"/>
              </w:rPr>
            </w:pPr>
            <w:bookmarkStart w:id="2" w:name="_Toc283559947"/>
            <w:r>
              <w:rPr>
                <w:rFonts w:hint="eastAsia" w:hAnsi="宋体" w:cs="仿宋_GB2312"/>
                <w:color w:val="000000"/>
                <w:sz w:val="24"/>
                <w:szCs w:val="24"/>
              </w:rPr>
              <w:t>条款号</w:t>
            </w:r>
          </w:p>
        </w:tc>
        <w:tc>
          <w:tcPr>
            <w:tcW w:w="2220"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条款名称</w:t>
            </w:r>
          </w:p>
        </w:tc>
        <w:tc>
          <w:tcPr>
            <w:tcW w:w="6619" w:type="dxa"/>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966" w:type="dxa"/>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1.1.1</w:t>
            </w:r>
          </w:p>
        </w:tc>
        <w:tc>
          <w:tcPr>
            <w:tcW w:w="2220"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招标编号</w:t>
            </w:r>
          </w:p>
        </w:tc>
        <w:tc>
          <w:tcPr>
            <w:tcW w:w="6619" w:type="dxa"/>
          </w:tcPr>
          <w:p>
            <w:pPr>
              <w:spacing w:line="360" w:lineRule="auto"/>
              <w:rPr>
                <w:rFonts w:hAnsi="宋体"/>
                <w:color w:val="000000"/>
                <w:sz w:val="24"/>
                <w:szCs w:val="24"/>
              </w:rPr>
            </w:pPr>
            <w:r>
              <w:rPr>
                <w:rFonts w:hint="eastAsia" w:hAnsi="宋体"/>
                <w:color w:val="000000"/>
                <w:sz w:val="24"/>
                <w:szCs w:val="24"/>
              </w:rPr>
              <w:t>长交建</w:t>
            </w:r>
            <w:r>
              <w:rPr>
                <w:rFonts w:hint="eastAsia" w:hAnsi="宋体" w:cs="仿宋_GB2312"/>
                <w:sz w:val="24"/>
                <w:szCs w:val="24"/>
              </w:rPr>
              <w:t>【2019】GZ</w:t>
            </w:r>
            <w:r>
              <w:rPr>
                <w:rFonts w:hint="eastAsia" w:hAnsi="宋体" w:cs="仿宋_GB2312"/>
                <w:sz w:val="24"/>
                <w:szCs w:val="24"/>
                <w:lang w:val="en-US" w:eastAsia="zh-CN"/>
              </w:rPr>
              <w:t>178</w:t>
            </w:r>
            <w:r>
              <w:rPr>
                <w:rFonts w:hint="eastAsia" w:hAnsi="宋体" w:cs="仿宋_GB2312"/>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66"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1.1.2</w:t>
            </w:r>
          </w:p>
        </w:tc>
        <w:tc>
          <w:tcPr>
            <w:tcW w:w="2220"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招标人</w:t>
            </w:r>
          </w:p>
        </w:tc>
        <w:tc>
          <w:tcPr>
            <w:tcW w:w="6619" w:type="dxa"/>
          </w:tcPr>
          <w:p>
            <w:pPr>
              <w:autoSpaceDE w:val="0"/>
              <w:autoSpaceDN w:val="0"/>
              <w:adjustRightInd w:val="0"/>
              <w:snapToGrid w:val="0"/>
              <w:spacing w:line="276" w:lineRule="auto"/>
              <w:jc w:val="left"/>
              <w:rPr>
                <w:rFonts w:hint="eastAsia" w:hAnsi="宋体"/>
                <w:sz w:val="24"/>
                <w:szCs w:val="24"/>
                <w:lang w:eastAsia="zh-CN"/>
              </w:rPr>
            </w:pPr>
            <w:r>
              <w:rPr>
                <w:rFonts w:hint="eastAsia" w:hAnsi="宋体"/>
                <w:sz w:val="24"/>
                <w:szCs w:val="24"/>
              </w:rPr>
              <w:t>招 标 人：长葛</w:t>
            </w:r>
            <w:r>
              <w:rPr>
                <w:rFonts w:hint="eastAsia" w:hAnsi="宋体"/>
                <w:sz w:val="24"/>
                <w:szCs w:val="24"/>
                <w:lang w:eastAsia="zh-CN"/>
              </w:rPr>
              <w:t>市城市管理局</w:t>
            </w:r>
          </w:p>
          <w:p>
            <w:pPr>
              <w:autoSpaceDE w:val="0"/>
              <w:autoSpaceDN w:val="0"/>
              <w:adjustRightInd w:val="0"/>
              <w:snapToGrid w:val="0"/>
              <w:spacing w:line="276" w:lineRule="auto"/>
              <w:jc w:val="left"/>
              <w:rPr>
                <w:rFonts w:hint="eastAsia" w:hAnsi="宋体"/>
                <w:sz w:val="24"/>
                <w:szCs w:val="24"/>
                <w:lang w:eastAsia="zh-CN"/>
              </w:rPr>
            </w:pPr>
            <w:r>
              <w:rPr>
                <w:rFonts w:hint="eastAsia" w:hAnsi="宋体"/>
                <w:sz w:val="24"/>
                <w:szCs w:val="24"/>
              </w:rPr>
              <w:t>联 系 人：</w:t>
            </w:r>
            <w:r>
              <w:rPr>
                <w:rFonts w:hint="eastAsia" w:hAnsi="宋体"/>
                <w:sz w:val="24"/>
                <w:szCs w:val="24"/>
                <w:lang w:eastAsia="zh-CN"/>
              </w:rPr>
              <w:t>仝主任</w:t>
            </w:r>
          </w:p>
          <w:p>
            <w:pPr>
              <w:autoSpaceDE w:val="0"/>
              <w:autoSpaceDN w:val="0"/>
              <w:adjustRightInd w:val="0"/>
              <w:snapToGrid w:val="0"/>
              <w:spacing w:line="276" w:lineRule="auto"/>
              <w:jc w:val="left"/>
              <w:rPr>
                <w:rFonts w:hAnsi="宋体" w:cs="仿宋_GB2312"/>
                <w:color w:val="000000"/>
                <w:sz w:val="24"/>
                <w:szCs w:val="24"/>
              </w:rPr>
            </w:pPr>
            <w:r>
              <w:rPr>
                <w:rFonts w:hint="eastAsia" w:hAnsi="宋体"/>
                <w:sz w:val="24"/>
                <w:szCs w:val="24"/>
              </w:rPr>
              <w:t>联系电话：</w:t>
            </w:r>
            <w:r>
              <w:rPr>
                <w:rFonts w:hint="eastAsia" w:hAnsi="宋体"/>
                <w:sz w:val="24"/>
                <w:szCs w:val="24"/>
                <w:lang w:val="en-US" w:eastAsia="zh-CN"/>
              </w:rPr>
              <w:t>1569480179</w:t>
            </w:r>
            <w:r>
              <w:rPr>
                <w:rFonts w:hint="eastAsia"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66"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1.1.3</w:t>
            </w:r>
          </w:p>
        </w:tc>
        <w:tc>
          <w:tcPr>
            <w:tcW w:w="2220"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olor w:val="000000"/>
                <w:sz w:val="24"/>
                <w:szCs w:val="24"/>
                <w:shd w:val="clear" w:color="auto" w:fill="FFFFFF"/>
              </w:rPr>
              <w:t>招标代理机构</w:t>
            </w:r>
          </w:p>
        </w:tc>
        <w:tc>
          <w:tcPr>
            <w:tcW w:w="6619" w:type="dxa"/>
          </w:tcPr>
          <w:p>
            <w:pPr>
              <w:autoSpaceDE w:val="0"/>
              <w:autoSpaceDN w:val="0"/>
              <w:adjustRightInd w:val="0"/>
              <w:snapToGrid w:val="0"/>
              <w:spacing w:line="276" w:lineRule="auto"/>
              <w:jc w:val="left"/>
              <w:rPr>
                <w:rFonts w:hint="eastAsia" w:hAnsi="宋体"/>
                <w:sz w:val="24"/>
                <w:szCs w:val="24"/>
                <w:lang w:eastAsia="zh-CN"/>
              </w:rPr>
            </w:pPr>
            <w:r>
              <w:rPr>
                <w:rFonts w:hint="eastAsia" w:hAnsi="宋体"/>
                <w:sz w:val="24"/>
                <w:szCs w:val="24"/>
              </w:rPr>
              <w:t>代理机构：</w:t>
            </w:r>
            <w:r>
              <w:rPr>
                <w:rFonts w:hint="eastAsia" w:hAnsi="宋体"/>
                <w:sz w:val="24"/>
                <w:szCs w:val="24"/>
                <w:lang w:eastAsia="zh-CN"/>
              </w:rPr>
              <w:t>智远工程管理有限公司</w:t>
            </w:r>
          </w:p>
          <w:p>
            <w:pPr>
              <w:autoSpaceDE w:val="0"/>
              <w:autoSpaceDN w:val="0"/>
              <w:adjustRightInd w:val="0"/>
              <w:snapToGrid w:val="0"/>
              <w:spacing w:line="276" w:lineRule="auto"/>
              <w:jc w:val="left"/>
              <w:rPr>
                <w:rFonts w:hint="eastAsia" w:hAnsi="宋体"/>
                <w:sz w:val="24"/>
                <w:szCs w:val="24"/>
              </w:rPr>
            </w:pPr>
            <w:r>
              <w:rPr>
                <w:rFonts w:hint="eastAsia" w:hAnsi="宋体"/>
                <w:sz w:val="24"/>
                <w:szCs w:val="24"/>
              </w:rPr>
              <w:t>联 系 人：王女士</w:t>
            </w:r>
          </w:p>
          <w:p>
            <w:pPr>
              <w:autoSpaceDE w:val="0"/>
              <w:autoSpaceDN w:val="0"/>
              <w:adjustRightInd w:val="0"/>
              <w:snapToGrid w:val="0"/>
              <w:spacing w:line="276" w:lineRule="auto"/>
              <w:jc w:val="left"/>
              <w:rPr>
                <w:rFonts w:hint="default" w:hAnsi="宋体" w:eastAsia="宋体"/>
                <w:sz w:val="24"/>
                <w:szCs w:val="24"/>
                <w:lang w:val="en-US" w:eastAsia="zh-CN"/>
              </w:rPr>
            </w:pPr>
            <w:r>
              <w:rPr>
                <w:rFonts w:hint="eastAsia" w:hAnsi="宋体"/>
                <w:sz w:val="24"/>
                <w:szCs w:val="24"/>
              </w:rPr>
              <w:t>联系电话：</w:t>
            </w:r>
            <w:r>
              <w:rPr>
                <w:rFonts w:hint="eastAsia" w:hAnsi="宋体"/>
                <w:sz w:val="24"/>
                <w:szCs w:val="24"/>
                <w:lang w:val="en-US" w:eastAsia="zh-CN"/>
              </w:rPr>
              <w:t>13569926910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66"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1.1.4</w:t>
            </w:r>
          </w:p>
        </w:tc>
        <w:tc>
          <w:tcPr>
            <w:tcW w:w="2220"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黑体"/>
                <w:color w:val="000000"/>
                <w:sz w:val="24"/>
                <w:szCs w:val="24"/>
              </w:rPr>
              <w:t>项目名称</w:t>
            </w:r>
          </w:p>
        </w:tc>
        <w:tc>
          <w:tcPr>
            <w:tcW w:w="6619" w:type="dxa"/>
            <w:vAlign w:val="center"/>
          </w:tcPr>
          <w:p>
            <w:pPr>
              <w:rPr>
                <w:rFonts w:hint="eastAsia" w:hAnsi="宋体" w:eastAsia="宋体"/>
                <w:sz w:val="24"/>
                <w:szCs w:val="24"/>
                <w:lang w:eastAsia="zh-CN"/>
              </w:rPr>
            </w:pPr>
            <w:r>
              <w:rPr>
                <w:rFonts w:hint="eastAsia" w:hAnsi="宋体" w:cs="仿宋_GB2312"/>
                <w:sz w:val="24"/>
                <w:szCs w:val="22"/>
                <w:lang w:eastAsia="zh-CN"/>
              </w:rPr>
              <w:t>2019年“四水同治”及许昌城建、工业项目观摩路线绿化提升工程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966"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1.1.5</w:t>
            </w:r>
          </w:p>
        </w:tc>
        <w:tc>
          <w:tcPr>
            <w:tcW w:w="2220"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黑体"/>
                <w:color w:val="000000"/>
                <w:sz w:val="24"/>
                <w:szCs w:val="24"/>
              </w:rPr>
              <w:t>建设地点</w:t>
            </w:r>
          </w:p>
        </w:tc>
        <w:tc>
          <w:tcPr>
            <w:tcW w:w="6619" w:type="dxa"/>
            <w:vAlign w:val="center"/>
          </w:tcPr>
          <w:p>
            <w:pPr>
              <w:autoSpaceDE w:val="0"/>
              <w:autoSpaceDN w:val="0"/>
              <w:adjustRightInd w:val="0"/>
              <w:spacing w:line="440" w:lineRule="exact"/>
              <w:rPr>
                <w:rFonts w:hAnsi="宋体"/>
                <w:sz w:val="24"/>
                <w:szCs w:val="24"/>
              </w:rPr>
            </w:pPr>
            <w:r>
              <w:rPr>
                <w:rFonts w:hint="eastAsia" w:hAnsi="宋体" w:cs="仿宋_GB2312"/>
                <w:sz w:val="24"/>
                <w:szCs w:val="22"/>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6"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1.2.1</w:t>
            </w:r>
          </w:p>
        </w:tc>
        <w:tc>
          <w:tcPr>
            <w:tcW w:w="2220"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仿宋_GB2312"/>
                <w:color w:val="000000"/>
                <w:sz w:val="24"/>
                <w:szCs w:val="24"/>
              </w:rPr>
              <w:t>资金来源</w:t>
            </w:r>
          </w:p>
        </w:tc>
        <w:tc>
          <w:tcPr>
            <w:tcW w:w="6619" w:type="dxa"/>
          </w:tcPr>
          <w:p>
            <w:pPr>
              <w:autoSpaceDE w:val="0"/>
              <w:autoSpaceDN w:val="0"/>
              <w:adjustRightInd w:val="0"/>
              <w:spacing w:line="440" w:lineRule="exact"/>
              <w:rPr>
                <w:rFonts w:hAnsi="宋体"/>
                <w:sz w:val="24"/>
                <w:szCs w:val="24"/>
              </w:rPr>
            </w:pPr>
            <w:r>
              <w:rPr>
                <w:rFonts w:hint="eastAsia" w:hAnsi="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6"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1.2.2</w:t>
            </w:r>
          </w:p>
        </w:tc>
        <w:tc>
          <w:tcPr>
            <w:tcW w:w="2220"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出资比例</w:t>
            </w:r>
          </w:p>
        </w:tc>
        <w:tc>
          <w:tcPr>
            <w:tcW w:w="6619" w:type="dxa"/>
          </w:tcPr>
          <w:p>
            <w:pPr>
              <w:autoSpaceDE w:val="0"/>
              <w:autoSpaceDN w:val="0"/>
              <w:adjustRightInd w:val="0"/>
              <w:spacing w:line="420" w:lineRule="exact"/>
              <w:rPr>
                <w:rFonts w:hAnsi="宋体" w:cs="仿宋_GB2312"/>
                <w:color w:val="000000"/>
                <w:sz w:val="24"/>
                <w:szCs w:val="24"/>
              </w:rPr>
            </w:pPr>
            <w:r>
              <w:rPr>
                <w:rFonts w:hint="eastAsia" w:hAnsi="宋体" w:cs="黑体"/>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66" w:type="dxa"/>
            <w:vAlign w:val="center"/>
          </w:tcPr>
          <w:p>
            <w:pPr>
              <w:autoSpaceDE w:val="0"/>
              <w:autoSpaceDN w:val="0"/>
              <w:adjustRightInd w:val="0"/>
              <w:spacing w:line="440" w:lineRule="exact"/>
              <w:jc w:val="center"/>
              <w:rPr>
                <w:rFonts w:hAnsi="宋体" w:cs="TimesNewRomanPSMT"/>
                <w:color w:val="000000"/>
                <w:sz w:val="24"/>
                <w:szCs w:val="24"/>
              </w:rPr>
            </w:pPr>
            <w:r>
              <w:rPr>
                <w:rFonts w:hint="eastAsia" w:hAnsi="宋体" w:cs="TimesNewRomanPSMT"/>
                <w:color w:val="000000"/>
                <w:sz w:val="24"/>
                <w:szCs w:val="24"/>
              </w:rPr>
              <w:t>1.2.3</w:t>
            </w:r>
          </w:p>
        </w:tc>
        <w:tc>
          <w:tcPr>
            <w:tcW w:w="2220" w:type="dxa"/>
            <w:gridSpan w:val="3"/>
            <w:vAlign w:val="center"/>
          </w:tcPr>
          <w:p>
            <w:pPr>
              <w:autoSpaceDE w:val="0"/>
              <w:autoSpaceDN w:val="0"/>
              <w:adjustRightInd w:val="0"/>
              <w:spacing w:line="440" w:lineRule="exact"/>
              <w:jc w:val="center"/>
              <w:rPr>
                <w:rFonts w:hAnsi="宋体" w:cs="仿宋_GB2312"/>
                <w:bCs/>
                <w:color w:val="000000"/>
                <w:sz w:val="24"/>
                <w:szCs w:val="24"/>
              </w:rPr>
            </w:pPr>
            <w:r>
              <w:rPr>
                <w:rFonts w:hint="eastAsia" w:hAnsi="宋体" w:cs="仿宋_GB2312"/>
                <w:color w:val="000000"/>
                <w:sz w:val="24"/>
                <w:szCs w:val="24"/>
              </w:rPr>
              <w:t>招标控制价</w:t>
            </w:r>
          </w:p>
        </w:tc>
        <w:tc>
          <w:tcPr>
            <w:tcW w:w="6619" w:type="dxa"/>
            <w:tcBorders>
              <w:bottom w:val="single" w:color="auto" w:sz="4" w:space="0"/>
            </w:tcBorders>
            <w:vAlign w:val="center"/>
          </w:tcPr>
          <w:p>
            <w:pPr>
              <w:autoSpaceDE w:val="0"/>
              <w:autoSpaceDN w:val="0"/>
              <w:adjustRightInd w:val="0"/>
              <w:spacing w:line="440" w:lineRule="exact"/>
              <w:jc w:val="left"/>
              <w:rPr>
                <w:rFonts w:hAnsi="宋体"/>
                <w:b/>
                <w:bCs/>
                <w:color w:val="000000"/>
                <w:sz w:val="24"/>
                <w:szCs w:val="24"/>
              </w:rPr>
            </w:pPr>
            <w:r>
              <w:rPr>
                <w:rFonts w:hint="eastAsia" w:hAnsi="宋体"/>
                <w:sz w:val="24"/>
                <w:szCs w:val="24"/>
                <w:lang w:eastAsia="zh-CN"/>
              </w:rPr>
              <w:t>共</w:t>
            </w:r>
            <w:r>
              <w:rPr>
                <w:rFonts w:hint="eastAsia" w:hAnsi="宋体"/>
                <w:sz w:val="24"/>
                <w:szCs w:val="24"/>
                <w:lang w:val="en-US" w:eastAsia="zh-CN"/>
              </w:rPr>
              <w:t>9640021.98</w:t>
            </w:r>
            <w:r>
              <w:rPr>
                <w:rFonts w:hint="eastAsia" w:hAnsi="宋体"/>
                <w:sz w:val="24"/>
                <w:szCs w:val="24"/>
              </w:rPr>
              <w:t>元。</w:t>
            </w:r>
            <w:r>
              <w:rPr>
                <w:rFonts w:hint="eastAsia" w:hAnsi="宋体"/>
                <w:sz w:val="24"/>
                <w:szCs w:val="24"/>
                <w:lang w:eastAsia="zh-CN"/>
              </w:rPr>
              <w:t>一标段：</w:t>
            </w:r>
            <w:r>
              <w:rPr>
                <w:rFonts w:hint="eastAsia" w:hAnsi="宋体"/>
                <w:sz w:val="24"/>
                <w:szCs w:val="24"/>
                <w:lang w:val="en-US" w:eastAsia="zh-CN"/>
              </w:rPr>
              <w:t>4465794.64元；二标段：1422157.85元；三标段：3285614.85元；四标段：466454.64元。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66"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1.3.1</w:t>
            </w:r>
          </w:p>
        </w:tc>
        <w:tc>
          <w:tcPr>
            <w:tcW w:w="2220"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仿宋_GB2312"/>
                <w:color w:val="000000"/>
                <w:sz w:val="24"/>
                <w:szCs w:val="24"/>
              </w:rPr>
              <w:t>招标范围</w:t>
            </w:r>
          </w:p>
        </w:tc>
        <w:tc>
          <w:tcPr>
            <w:tcW w:w="6619" w:type="dxa"/>
            <w:tcBorders>
              <w:bottom w:val="single" w:color="auto" w:sz="4" w:space="0"/>
            </w:tcBorders>
          </w:tcPr>
          <w:p>
            <w:pPr>
              <w:autoSpaceDE w:val="0"/>
              <w:autoSpaceDN w:val="0"/>
              <w:adjustRightInd w:val="0"/>
              <w:snapToGrid w:val="0"/>
              <w:spacing w:line="276" w:lineRule="auto"/>
              <w:jc w:val="left"/>
              <w:rPr>
                <w:rFonts w:hAnsi="宋体" w:cs="仿宋_GB2312"/>
                <w:color w:val="000000"/>
                <w:sz w:val="24"/>
                <w:szCs w:val="24"/>
              </w:rPr>
            </w:pPr>
            <w:r>
              <w:rPr>
                <w:rFonts w:hint="eastAsia" w:hAnsi="宋体"/>
                <w:sz w:val="24"/>
                <w:szCs w:val="24"/>
              </w:rPr>
              <w:t>本工程施工招标文件、施工图纸、工程量清单、答疑纪要和补充文件（如有）范围内的所有建设内容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66"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1.3.2</w:t>
            </w:r>
          </w:p>
        </w:tc>
        <w:tc>
          <w:tcPr>
            <w:tcW w:w="2220" w:type="dxa"/>
            <w:gridSpan w:val="3"/>
            <w:tcBorders>
              <w:right w:val="single" w:color="auto" w:sz="4" w:space="0"/>
            </w:tcBorders>
            <w:vAlign w:val="center"/>
          </w:tcPr>
          <w:p>
            <w:pPr>
              <w:autoSpaceDE w:val="0"/>
              <w:autoSpaceDN w:val="0"/>
              <w:adjustRightInd w:val="0"/>
              <w:spacing w:line="440" w:lineRule="exact"/>
              <w:jc w:val="center"/>
              <w:rPr>
                <w:rFonts w:hAnsi="宋体" w:cs="仿宋_GB2312"/>
                <w:color w:val="000000"/>
                <w:sz w:val="24"/>
                <w:szCs w:val="24"/>
              </w:rPr>
            </w:pPr>
            <w:r>
              <w:rPr>
                <w:rFonts w:hint="eastAsia" w:hAnsi="宋体" w:cs="仿宋_GB2312"/>
                <w:color w:val="000000"/>
                <w:sz w:val="24"/>
                <w:szCs w:val="24"/>
              </w:rPr>
              <w:t>计划工期</w:t>
            </w:r>
          </w:p>
        </w:tc>
        <w:tc>
          <w:tcPr>
            <w:tcW w:w="66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rFonts w:hAnsi="宋体" w:cs="仿宋_GB2312"/>
                <w:color w:val="000000"/>
                <w:sz w:val="24"/>
                <w:szCs w:val="24"/>
              </w:rPr>
            </w:pPr>
            <w:r>
              <w:rPr>
                <w:rFonts w:hint="eastAsia" w:hAnsi="宋体"/>
                <w:sz w:val="24"/>
                <w:szCs w:val="24"/>
                <w:lang w:val="en-US" w:eastAsia="zh-CN"/>
              </w:rPr>
              <w:t>6</w:t>
            </w:r>
            <w:r>
              <w:rPr>
                <w:rFonts w:hint="eastAsia" w:hAnsi="宋体"/>
                <w:sz w:val="24"/>
                <w:szCs w:val="24"/>
                <w:lang w:eastAsia="zh-CN"/>
              </w:rPr>
              <w:t>0日历天，养护期：1年。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6"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1.3.3</w:t>
            </w:r>
          </w:p>
        </w:tc>
        <w:tc>
          <w:tcPr>
            <w:tcW w:w="2220"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质量要求</w:t>
            </w:r>
          </w:p>
        </w:tc>
        <w:tc>
          <w:tcPr>
            <w:tcW w:w="6619" w:type="dxa"/>
            <w:tcBorders>
              <w:top w:val="single" w:color="auto" w:sz="4" w:space="0"/>
            </w:tcBorders>
            <w:vAlign w:val="center"/>
          </w:tcPr>
          <w:p>
            <w:pPr>
              <w:autoSpaceDE w:val="0"/>
              <w:autoSpaceDN w:val="0"/>
              <w:adjustRightInd w:val="0"/>
              <w:spacing w:line="420" w:lineRule="exact"/>
              <w:rPr>
                <w:rFonts w:hAnsi="宋体" w:cs="黑体"/>
                <w:color w:val="000000"/>
                <w:sz w:val="24"/>
                <w:szCs w:val="24"/>
              </w:rPr>
            </w:pPr>
            <w:r>
              <w:rPr>
                <w:rFonts w:hint="eastAsia" w:hAnsi="宋体"/>
                <w:sz w:val="24"/>
                <w:szCs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66"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1.4.1</w:t>
            </w:r>
          </w:p>
        </w:tc>
        <w:tc>
          <w:tcPr>
            <w:tcW w:w="2220"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投标人资质条件</w:t>
            </w:r>
          </w:p>
        </w:tc>
        <w:tc>
          <w:tcPr>
            <w:tcW w:w="6619" w:type="dxa"/>
          </w:tcPr>
          <w:p>
            <w:pPr>
              <w:autoSpaceDE w:val="0"/>
              <w:autoSpaceDN w:val="0"/>
              <w:adjustRightInd w:val="0"/>
              <w:snapToGrid w:val="0"/>
              <w:spacing w:line="276" w:lineRule="auto"/>
              <w:jc w:val="left"/>
              <w:rPr>
                <w:rFonts w:hint="eastAsia" w:hAnsi="宋体"/>
                <w:sz w:val="24"/>
                <w:szCs w:val="24"/>
                <w:lang w:eastAsia="zh-CN"/>
              </w:rPr>
            </w:pPr>
            <w:r>
              <w:rPr>
                <w:rFonts w:hint="eastAsia" w:hAnsi="宋体"/>
                <w:sz w:val="24"/>
                <w:szCs w:val="24"/>
                <w:lang w:eastAsia="zh-CN"/>
              </w:rPr>
              <w:t>一、二、三、四标段：</w:t>
            </w:r>
          </w:p>
          <w:p>
            <w:pPr>
              <w:autoSpaceDE w:val="0"/>
              <w:autoSpaceDN w:val="0"/>
              <w:adjustRightInd w:val="0"/>
              <w:snapToGrid w:val="0"/>
              <w:spacing w:line="276" w:lineRule="auto"/>
              <w:jc w:val="left"/>
              <w:rPr>
                <w:rFonts w:hint="eastAsia" w:hAnsi="宋体"/>
                <w:sz w:val="24"/>
                <w:szCs w:val="24"/>
              </w:rPr>
            </w:pPr>
            <w:r>
              <w:rPr>
                <w:rFonts w:hint="eastAsia" w:hAnsi="宋体"/>
                <w:sz w:val="24"/>
                <w:szCs w:val="24"/>
              </w:rPr>
              <w:t>1、投标人须具备独立的法人资格和有效的营业执照(经营范围须含园林绿化或林木种植等相关内容)，并在人员、设备、资金等方面具有相应的施工能力。拟派项目负责人须具有园林绿化或相关专业中级及以上技术职称，且未担任其它在施建设工程项目的项目负责人并出具无在建承诺书。</w:t>
            </w:r>
          </w:p>
          <w:p>
            <w:pPr>
              <w:autoSpaceDE w:val="0"/>
              <w:autoSpaceDN w:val="0"/>
              <w:adjustRightInd w:val="0"/>
              <w:snapToGrid w:val="0"/>
              <w:spacing w:line="276" w:lineRule="auto"/>
              <w:jc w:val="left"/>
              <w:rPr>
                <w:rFonts w:hAnsi="宋体"/>
                <w:sz w:val="24"/>
                <w:szCs w:val="24"/>
              </w:rPr>
            </w:pPr>
            <w:r>
              <w:rPr>
                <w:rFonts w:hint="eastAsia" w:hAnsi="宋体"/>
                <w:sz w:val="24"/>
                <w:szCs w:val="24"/>
              </w:rPr>
              <w:t>2、本项目不接受联合体投标，不得转包、挂靠及违法分包。</w:t>
            </w:r>
          </w:p>
          <w:p>
            <w:pPr>
              <w:autoSpaceDE w:val="0"/>
              <w:autoSpaceDN w:val="0"/>
              <w:adjustRightInd w:val="0"/>
              <w:snapToGrid w:val="0"/>
              <w:spacing w:line="276" w:lineRule="auto"/>
              <w:jc w:val="left"/>
              <w:rPr>
                <w:rFonts w:hAnsi="宋体"/>
                <w:sz w:val="24"/>
                <w:szCs w:val="24"/>
              </w:rPr>
            </w:pPr>
            <w:r>
              <w:rPr>
                <w:rFonts w:hint="eastAsia" w:hAnsi="宋体"/>
                <w:sz w:val="24"/>
                <w:szCs w:val="24"/>
              </w:rPr>
              <w:t>3、与招标人存在利害关系可能影响招标公正性的法人、其他组织或者个人，不得参加投标；单位负责人为同一人或者存在控股、管理关系的不同单位，不得参加同一标段投标或者未划分标段的同一招标项目投标。</w:t>
            </w:r>
          </w:p>
          <w:p>
            <w:pPr>
              <w:autoSpaceDE w:val="0"/>
              <w:autoSpaceDN w:val="0"/>
              <w:adjustRightInd w:val="0"/>
              <w:spacing w:line="440" w:lineRule="exact"/>
              <w:jc w:val="left"/>
              <w:rPr>
                <w:rFonts w:hAnsi="宋体" w:cs="宋体"/>
                <w:color w:val="000000"/>
                <w:sz w:val="24"/>
                <w:szCs w:val="24"/>
              </w:rPr>
            </w:pPr>
            <w:r>
              <w:rPr>
                <w:rFonts w:hint="eastAsia" w:hAnsi="宋体"/>
                <w:b/>
                <w:bCs/>
                <w:sz w:val="24"/>
                <w:szCs w:val="24"/>
              </w:rPr>
              <w:t>4、未被列入“信用中国”/“信用河南”网站信用信息栏黑名单，“国家企业信用信息公示系统”经营异常名录和严重失信黑名单，无行贿犯罪记录的投标人。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66"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1.4.2</w:t>
            </w:r>
          </w:p>
        </w:tc>
        <w:tc>
          <w:tcPr>
            <w:tcW w:w="2220"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是否接受联合体投标</w:t>
            </w:r>
          </w:p>
        </w:tc>
        <w:tc>
          <w:tcPr>
            <w:tcW w:w="6619" w:type="dxa"/>
          </w:tcPr>
          <w:p>
            <w:pPr>
              <w:autoSpaceDE w:val="0"/>
              <w:autoSpaceDN w:val="0"/>
              <w:adjustRightInd w:val="0"/>
              <w:spacing w:line="420" w:lineRule="exact"/>
              <w:jc w:val="left"/>
              <w:rPr>
                <w:rFonts w:hAnsi="宋体" w:cs="黑体"/>
                <w:color w:val="000000"/>
                <w:sz w:val="24"/>
                <w:szCs w:val="24"/>
              </w:rPr>
            </w:pPr>
            <w:r>
              <w:rPr>
                <w:rFonts w:hint="eastAsia" w:hAnsi="宋体" w:cs="仿宋_GB2312"/>
                <w:color w:val="00000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66"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1.9.1</w:t>
            </w:r>
          </w:p>
        </w:tc>
        <w:tc>
          <w:tcPr>
            <w:tcW w:w="2220"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踏勘现场</w:t>
            </w:r>
          </w:p>
        </w:tc>
        <w:tc>
          <w:tcPr>
            <w:tcW w:w="6619"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66"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1.10.1</w:t>
            </w:r>
          </w:p>
        </w:tc>
        <w:tc>
          <w:tcPr>
            <w:tcW w:w="2220"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投标预备会</w:t>
            </w:r>
          </w:p>
        </w:tc>
        <w:tc>
          <w:tcPr>
            <w:tcW w:w="6619"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66" w:type="dxa"/>
            <w:vAlign w:val="center"/>
          </w:tcPr>
          <w:p>
            <w:pPr>
              <w:autoSpaceDE w:val="0"/>
              <w:autoSpaceDN w:val="0"/>
              <w:adjustRightInd w:val="0"/>
              <w:spacing w:line="420" w:lineRule="exact"/>
              <w:jc w:val="center"/>
              <w:rPr>
                <w:rFonts w:hAnsi="宋体" w:cs="TimesNewRomanPSMT"/>
                <w:color w:val="000000"/>
                <w:sz w:val="24"/>
                <w:szCs w:val="24"/>
              </w:rPr>
            </w:pPr>
            <w:r>
              <w:rPr>
                <w:rFonts w:hAnsi="宋体" w:cs="TimesNewRomanPSMT"/>
                <w:color w:val="000000"/>
                <w:sz w:val="24"/>
                <w:szCs w:val="24"/>
              </w:rPr>
              <w:t>1.10.</w:t>
            </w:r>
            <w:r>
              <w:rPr>
                <w:rFonts w:hint="eastAsia" w:hAnsi="宋体" w:cs="TimesNewRomanPSMT"/>
                <w:color w:val="000000"/>
                <w:sz w:val="24"/>
                <w:szCs w:val="24"/>
              </w:rPr>
              <w:t>2</w:t>
            </w:r>
          </w:p>
        </w:tc>
        <w:tc>
          <w:tcPr>
            <w:tcW w:w="2220"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投标人提出问题的截止时间</w:t>
            </w:r>
          </w:p>
        </w:tc>
        <w:tc>
          <w:tcPr>
            <w:tcW w:w="6619" w:type="dxa"/>
          </w:tcPr>
          <w:p>
            <w:pPr>
              <w:autoSpaceDE w:val="0"/>
              <w:autoSpaceDN w:val="0"/>
              <w:adjustRightInd w:val="0"/>
              <w:spacing w:line="420" w:lineRule="exact"/>
              <w:jc w:val="left"/>
              <w:rPr>
                <w:rFonts w:hAnsi="宋体" w:cs="TimesNewRomanPSMT"/>
                <w:color w:val="000000"/>
                <w:sz w:val="24"/>
                <w:szCs w:val="24"/>
              </w:rPr>
            </w:pPr>
            <w:r>
              <w:rPr>
                <w:rFonts w:hint="eastAsia" w:hAnsi="宋体" w:cs="黑体"/>
                <w:color w:val="000000"/>
                <w:sz w:val="24"/>
                <w:szCs w:val="24"/>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66" w:type="dxa"/>
            <w:vAlign w:val="center"/>
          </w:tcPr>
          <w:p>
            <w:pPr>
              <w:jc w:val="center"/>
              <w:rPr>
                <w:rFonts w:hAnsi="宋体"/>
                <w:color w:val="000000"/>
                <w:sz w:val="24"/>
                <w:szCs w:val="24"/>
              </w:rPr>
            </w:pPr>
            <w:r>
              <w:rPr>
                <w:rFonts w:hint="eastAsia" w:hAnsi="宋体"/>
                <w:color w:val="000000"/>
                <w:sz w:val="24"/>
                <w:szCs w:val="24"/>
              </w:rPr>
              <w:t>1.10.3</w:t>
            </w:r>
          </w:p>
        </w:tc>
        <w:tc>
          <w:tcPr>
            <w:tcW w:w="2220" w:type="dxa"/>
            <w:gridSpan w:val="3"/>
            <w:vAlign w:val="center"/>
          </w:tcPr>
          <w:p>
            <w:pPr>
              <w:jc w:val="center"/>
              <w:rPr>
                <w:rFonts w:hAnsi="宋体"/>
                <w:color w:val="000000"/>
                <w:sz w:val="24"/>
                <w:szCs w:val="24"/>
              </w:rPr>
            </w:pPr>
            <w:r>
              <w:rPr>
                <w:rFonts w:hint="eastAsia" w:hAnsi="宋体"/>
                <w:color w:val="000000"/>
                <w:sz w:val="24"/>
                <w:szCs w:val="24"/>
              </w:rPr>
              <w:t>招标人书面澄清的时间</w:t>
            </w:r>
          </w:p>
        </w:tc>
        <w:tc>
          <w:tcPr>
            <w:tcW w:w="6619" w:type="dxa"/>
            <w:vAlign w:val="center"/>
          </w:tcPr>
          <w:p>
            <w:pPr>
              <w:rPr>
                <w:rFonts w:hAnsi="宋体"/>
                <w:color w:val="000000"/>
                <w:sz w:val="24"/>
                <w:szCs w:val="24"/>
              </w:rPr>
            </w:pPr>
            <w:r>
              <w:rPr>
                <w:rFonts w:hint="eastAsia" w:ascii="新宋体" w:hAnsi="新宋体" w:eastAsia="新宋体"/>
                <w:sz w:val="24"/>
                <w:szCs w:val="24"/>
              </w:rPr>
              <w:t>投标截止时间15日前，在</w:t>
            </w:r>
            <w:r>
              <w:rPr>
                <w:rFonts w:hint="eastAsia" w:cs="Arial"/>
                <w:sz w:val="24"/>
                <w:szCs w:val="24"/>
              </w:rPr>
              <w:t>【全国公共资源交易平台（河南省•许昌市）】上发出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66"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1.11</w:t>
            </w:r>
          </w:p>
        </w:tc>
        <w:tc>
          <w:tcPr>
            <w:tcW w:w="2220"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分包</w:t>
            </w:r>
          </w:p>
        </w:tc>
        <w:tc>
          <w:tcPr>
            <w:tcW w:w="6619"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66"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1.12 </w:t>
            </w:r>
          </w:p>
        </w:tc>
        <w:tc>
          <w:tcPr>
            <w:tcW w:w="2220"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偏离</w:t>
            </w:r>
          </w:p>
        </w:tc>
        <w:tc>
          <w:tcPr>
            <w:tcW w:w="6619"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66" w:type="dxa"/>
            <w:vAlign w:val="center"/>
          </w:tcPr>
          <w:p>
            <w:pPr>
              <w:autoSpaceDE w:val="0"/>
              <w:autoSpaceDN w:val="0"/>
              <w:adjustRightInd w:val="0"/>
              <w:spacing w:line="420" w:lineRule="exact"/>
              <w:jc w:val="center"/>
              <w:rPr>
                <w:rFonts w:hAnsi="宋体" w:cs="仿宋_GB2312"/>
                <w:color w:val="000000"/>
                <w:sz w:val="24"/>
                <w:szCs w:val="24"/>
              </w:rPr>
            </w:pPr>
            <w:r>
              <w:rPr>
                <w:rFonts w:hAnsi="宋体" w:cs="仿宋_GB2312"/>
                <w:color w:val="000000"/>
                <w:sz w:val="24"/>
                <w:szCs w:val="24"/>
              </w:rPr>
              <w:t xml:space="preserve">2.1 </w:t>
            </w:r>
          </w:p>
        </w:tc>
        <w:tc>
          <w:tcPr>
            <w:tcW w:w="2220" w:type="dxa"/>
            <w:gridSpan w:val="3"/>
            <w:vAlign w:val="center"/>
          </w:tcPr>
          <w:p>
            <w:pPr>
              <w:autoSpaceDE w:val="0"/>
              <w:autoSpaceDN w:val="0"/>
              <w:adjustRightInd w:val="0"/>
              <w:snapToGrid w:val="0"/>
              <w:jc w:val="center"/>
              <w:rPr>
                <w:rFonts w:hAnsi="宋体" w:cs="仿宋_GB2312"/>
                <w:color w:val="000000"/>
                <w:sz w:val="24"/>
                <w:szCs w:val="24"/>
              </w:rPr>
            </w:pPr>
            <w:r>
              <w:rPr>
                <w:rFonts w:hint="eastAsia" w:hAnsi="宋体" w:cs="仿宋_GB2312"/>
                <w:color w:val="000000"/>
                <w:sz w:val="24"/>
                <w:szCs w:val="24"/>
              </w:rPr>
              <w:t>招标文件及图纸的获取</w:t>
            </w:r>
          </w:p>
        </w:tc>
        <w:tc>
          <w:tcPr>
            <w:tcW w:w="6619" w:type="dxa"/>
            <w:vAlign w:val="center"/>
          </w:tcPr>
          <w:p>
            <w:pPr>
              <w:rPr>
                <w:rFonts w:hAnsi="宋体" w:cs="仿宋_GB2312"/>
                <w:color w:val="000000"/>
                <w:sz w:val="24"/>
                <w:szCs w:val="24"/>
              </w:rPr>
            </w:pPr>
            <w:r>
              <w:rPr>
                <w:rFonts w:hint="eastAsia" w:hAnsi="宋体" w:cs="仿宋_GB2312"/>
                <w:color w:val="000000"/>
                <w:sz w:val="24"/>
                <w:szCs w:val="24"/>
              </w:rPr>
              <w:t>在《全国公共资源交易平台（河南省 许昌市）》网上下载招标文件。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66" w:type="dxa"/>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2.2</w:t>
            </w:r>
          </w:p>
        </w:tc>
        <w:tc>
          <w:tcPr>
            <w:tcW w:w="2220"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构成招标文件的其他材料</w:t>
            </w:r>
          </w:p>
        </w:tc>
        <w:tc>
          <w:tcPr>
            <w:tcW w:w="6619" w:type="dxa"/>
            <w:vAlign w:val="center"/>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66"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2.2.1</w:t>
            </w:r>
          </w:p>
        </w:tc>
        <w:tc>
          <w:tcPr>
            <w:tcW w:w="2220"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投标人要求澄清招标文件的截止时间</w:t>
            </w:r>
          </w:p>
        </w:tc>
        <w:tc>
          <w:tcPr>
            <w:tcW w:w="6619" w:type="dxa"/>
            <w:vAlign w:val="center"/>
          </w:tcPr>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66"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2.2.2</w:t>
            </w:r>
          </w:p>
        </w:tc>
        <w:tc>
          <w:tcPr>
            <w:tcW w:w="2220"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投标截止时间</w:t>
            </w:r>
          </w:p>
        </w:tc>
        <w:tc>
          <w:tcPr>
            <w:tcW w:w="6619" w:type="dxa"/>
          </w:tcPr>
          <w:p>
            <w:pPr>
              <w:adjustRightInd w:val="0"/>
              <w:snapToGrid w:val="0"/>
              <w:spacing w:line="360" w:lineRule="auto"/>
              <w:rPr>
                <w:rFonts w:hAnsi="宋体" w:cs="黑体"/>
                <w:b/>
                <w:color w:val="000000"/>
                <w:sz w:val="24"/>
                <w:szCs w:val="24"/>
              </w:rPr>
            </w:pPr>
            <w:r>
              <w:rPr>
                <w:rFonts w:hint="eastAsia" w:hAnsi="宋体" w:cs="仿宋"/>
                <w:b/>
                <w:color w:val="FF0000"/>
                <w:sz w:val="24"/>
                <w:szCs w:val="24"/>
                <w:u w:val="single"/>
                <w:lang w:val="en-US" w:eastAsia="zh-CN"/>
              </w:rPr>
              <w:t>2020</w:t>
            </w:r>
            <w:r>
              <w:rPr>
                <w:rFonts w:hint="eastAsia" w:hAnsi="宋体" w:cs="仿宋"/>
                <w:b/>
                <w:color w:val="FF0000"/>
                <w:sz w:val="24"/>
                <w:szCs w:val="24"/>
                <w:u w:val="single"/>
              </w:rPr>
              <w:t xml:space="preserve"> </w:t>
            </w:r>
            <w:r>
              <w:rPr>
                <w:rFonts w:hint="eastAsia" w:hAnsi="宋体" w:cs="仿宋"/>
                <w:b/>
                <w:color w:val="FF0000"/>
                <w:sz w:val="24"/>
                <w:szCs w:val="24"/>
              </w:rPr>
              <w:t>年</w:t>
            </w:r>
            <w:r>
              <w:rPr>
                <w:rFonts w:hint="eastAsia" w:hAnsi="宋体" w:cs="仿宋"/>
                <w:b/>
                <w:color w:val="FF0000"/>
                <w:sz w:val="24"/>
                <w:szCs w:val="24"/>
                <w:u w:val="single"/>
                <w:lang w:val="en-US" w:eastAsia="zh-CN"/>
              </w:rPr>
              <w:t>1</w:t>
            </w:r>
            <w:r>
              <w:rPr>
                <w:rFonts w:hint="eastAsia" w:hAnsi="宋体" w:cs="仿宋"/>
                <w:b/>
                <w:color w:val="FF0000"/>
                <w:sz w:val="24"/>
                <w:szCs w:val="24"/>
              </w:rPr>
              <w:t>月</w:t>
            </w:r>
            <w:r>
              <w:rPr>
                <w:rFonts w:hint="eastAsia" w:hAnsi="宋体" w:cs="仿宋"/>
                <w:b/>
                <w:color w:val="FF0000"/>
                <w:sz w:val="24"/>
                <w:szCs w:val="24"/>
                <w:u w:val="single"/>
                <w:lang w:val="en-US" w:eastAsia="zh-CN"/>
              </w:rPr>
              <w:t>17</w:t>
            </w:r>
            <w:r>
              <w:rPr>
                <w:rFonts w:hint="eastAsia" w:hAnsi="宋体" w:cs="仿宋"/>
                <w:b/>
                <w:color w:val="FF0000"/>
                <w:sz w:val="24"/>
                <w:szCs w:val="24"/>
              </w:rPr>
              <w:t>日</w:t>
            </w:r>
            <w:r>
              <w:rPr>
                <w:rFonts w:hint="eastAsia" w:hAnsi="宋体" w:cs="仿宋"/>
                <w:b/>
                <w:color w:val="FF0000"/>
                <w:sz w:val="24"/>
                <w:szCs w:val="24"/>
                <w:u w:val="single"/>
                <w:lang w:val="en-US" w:eastAsia="zh-CN"/>
              </w:rPr>
              <w:t>9</w:t>
            </w:r>
            <w:r>
              <w:rPr>
                <w:rFonts w:hint="eastAsia" w:hAnsi="宋体" w:cs="仿宋"/>
                <w:b/>
                <w:color w:val="FF0000"/>
                <w:sz w:val="24"/>
                <w:szCs w:val="24"/>
                <w:u w:val="single"/>
              </w:rPr>
              <w:t xml:space="preserve"> </w:t>
            </w:r>
            <w:r>
              <w:rPr>
                <w:rFonts w:hint="eastAsia" w:hAnsi="宋体" w:cs="仿宋"/>
                <w:b/>
                <w:color w:val="FF0000"/>
                <w:sz w:val="24"/>
                <w:szCs w:val="24"/>
              </w:rPr>
              <w:t>时</w:t>
            </w:r>
            <w:r>
              <w:rPr>
                <w:rFonts w:hint="eastAsia" w:hAnsi="宋体" w:cs="仿宋"/>
                <w:b/>
                <w:color w:val="FF0000"/>
                <w:sz w:val="24"/>
                <w:szCs w:val="24"/>
                <w:u w:val="single"/>
                <w:lang w:val="en-US" w:eastAsia="zh-CN"/>
              </w:rPr>
              <w:t xml:space="preserve">30 </w:t>
            </w:r>
            <w:r>
              <w:rPr>
                <w:rFonts w:hint="eastAsia" w:hAnsi="宋体" w:cs="仿宋"/>
                <w:b/>
                <w:color w:val="FF0000"/>
                <w:sz w:val="24"/>
                <w:szCs w:val="24"/>
              </w:rPr>
              <w:t>分</w:t>
            </w:r>
            <w:r>
              <w:rPr>
                <w:rFonts w:hint="eastAsia" w:hAnsi="宋体" w:cs="仿宋"/>
                <w:b/>
                <w:color w:val="FF0000"/>
                <w:sz w:val="24"/>
                <w:szCs w:val="24"/>
                <w:lang w:eastAsia="zh-CN"/>
              </w:rPr>
              <w:t>（北京时间）</w:t>
            </w:r>
            <w:r>
              <w:rPr>
                <w:rFonts w:hint="eastAsia" w:hAnsi="宋体" w:cs="Arial"/>
                <w:b/>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66"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2.2.3</w:t>
            </w:r>
          </w:p>
        </w:tc>
        <w:tc>
          <w:tcPr>
            <w:tcW w:w="2220" w:type="dxa"/>
            <w:gridSpan w:val="3"/>
            <w:vAlign w:val="center"/>
          </w:tcPr>
          <w:p>
            <w:pPr>
              <w:autoSpaceDE w:val="0"/>
              <w:autoSpaceDN w:val="0"/>
              <w:adjustRightInd w:val="0"/>
              <w:spacing w:line="420" w:lineRule="exact"/>
              <w:jc w:val="center"/>
              <w:rPr>
                <w:rFonts w:hint="eastAsia" w:hAnsi="宋体" w:cs="黑体"/>
                <w:color w:val="000000"/>
                <w:sz w:val="24"/>
                <w:szCs w:val="24"/>
              </w:rPr>
            </w:pPr>
            <w:r>
              <w:rPr>
                <w:rFonts w:hint="eastAsia" w:hAnsi="宋体" w:cs="黑体"/>
                <w:color w:val="000000"/>
                <w:sz w:val="24"/>
                <w:szCs w:val="24"/>
              </w:rPr>
              <w:t>投标人确认收到招标文件澄清的时间</w:t>
            </w:r>
          </w:p>
        </w:tc>
        <w:tc>
          <w:tcPr>
            <w:tcW w:w="6619" w:type="dxa"/>
            <w:vAlign w:val="center"/>
          </w:tcPr>
          <w:p>
            <w:pPr>
              <w:autoSpaceDE w:val="0"/>
              <w:autoSpaceDN w:val="0"/>
              <w:adjustRightInd w:val="0"/>
              <w:spacing w:line="420" w:lineRule="exact"/>
              <w:jc w:val="left"/>
              <w:rPr>
                <w:rFonts w:hint="eastAsia" w:hAnsi="宋体" w:cs="仿宋_GB2312"/>
                <w:color w:val="000000"/>
                <w:sz w:val="24"/>
                <w:szCs w:val="24"/>
              </w:rPr>
            </w:pPr>
            <w:r>
              <w:rPr>
                <w:rFonts w:hint="eastAsia" w:hAnsi="宋体" w:cs="仿宋_GB2312"/>
                <w:color w:val="000000"/>
                <w:sz w:val="24"/>
                <w:szCs w:val="24"/>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66"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2.3.2</w:t>
            </w:r>
          </w:p>
        </w:tc>
        <w:tc>
          <w:tcPr>
            <w:tcW w:w="2220" w:type="dxa"/>
            <w:gridSpan w:val="3"/>
            <w:vAlign w:val="center"/>
          </w:tcPr>
          <w:p>
            <w:pPr>
              <w:autoSpaceDE w:val="0"/>
              <w:autoSpaceDN w:val="0"/>
              <w:adjustRightInd w:val="0"/>
              <w:spacing w:line="420" w:lineRule="exact"/>
              <w:jc w:val="center"/>
              <w:rPr>
                <w:rFonts w:hint="eastAsia" w:hAnsi="宋体" w:cs="黑体"/>
                <w:color w:val="000000"/>
                <w:sz w:val="24"/>
                <w:szCs w:val="24"/>
              </w:rPr>
            </w:pPr>
            <w:r>
              <w:rPr>
                <w:rFonts w:hint="eastAsia" w:hAnsi="宋体" w:cs="黑体"/>
                <w:color w:val="000000"/>
                <w:sz w:val="24"/>
                <w:szCs w:val="24"/>
              </w:rPr>
              <w:t>投标人确认收到招标文件修改的时间</w:t>
            </w:r>
          </w:p>
        </w:tc>
        <w:tc>
          <w:tcPr>
            <w:tcW w:w="6619" w:type="dxa"/>
            <w:vAlign w:val="center"/>
          </w:tcPr>
          <w:p>
            <w:pPr>
              <w:autoSpaceDE w:val="0"/>
              <w:autoSpaceDN w:val="0"/>
              <w:adjustRightInd w:val="0"/>
              <w:spacing w:line="420" w:lineRule="exact"/>
              <w:jc w:val="left"/>
              <w:rPr>
                <w:rFonts w:hint="eastAsia" w:hAnsi="宋体" w:cs="仿宋_GB2312"/>
                <w:color w:val="000000"/>
                <w:sz w:val="24"/>
                <w:szCs w:val="24"/>
              </w:rPr>
            </w:pPr>
            <w:r>
              <w:rPr>
                <w:rFonts w:hint="eastAsia" w:hAnsi="宋体" w:cs="仿宋_GB2312"/>
                <w:color w:val="000000"/>
                <w:sz w:val="24"/>
                <w:szCs w:val="24"/>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6"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3.1.1</w:t>
            </w:r>
          </w:p>
        </w:tc>
        <w:tc>
          <w:tcPr>
            <w:tcW w:w="2220"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构成投标文件的其他材料</w:t>
            </w:r>
          </w:p>
        </w:tc>
        <w:tc>
          <w:tcPr>
            <w:tcW w:w="6619" w:type="dxa"/>
            <w:vAlign w:val="center"/>
          </w:tcPr>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（1）投标人认为其它需要补充的内容</w:t>
            </w:r>
          </w:p>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66"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3.3.1</w:t>
            </w:r>
          </w:p>
        </w:tc>
        <w:tc>
          <w:tcPr>
            <w:tcW w:w="2220"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投标有效期</w:t>
            </w:r>
          </w:p>
        </w:tc>
        <w:tc>
          <w:tcPr>
            <w:tcW w:w="6619" w:type="dxa"/>
          </w:tcPr>
          <w:p>
            <w:pPr>
              <w:autoSpaceDE w:val="0"/>
              <w:autoSpaceDN w:val="0"/>
              <w:adjustRightInd w:val="0"/>
              <w:spacing w:line="420" w:lineRule="exact"/>
              <w:jc w:val="left"/>
              <w:rPr>
                <w:rFonts w:hAnsi="宋体" w:cs="黑体"/>
                <w:color w:val="000000"/>
                <w:sz w:val="24"/>
                <w:szCs w:val="24"/>
              </w:rPr>
            </w:pPr>
            <w:r>
              <w:rPr>
                <w:rFonts w:hint="eastAsia" w:hAnsi="宋体" w:cs="宋体"/>
                <w:sz w:val="24"/>
                <w:szCs w:val="24"/>
              </w:rPr>
              <w:t>自投标截止时间起</w:t>
            </w:r>
            <w:r>
              <w:rPr>
                <w:rFonts w:hint="eastAsia" w:hAnsi="宋体" w:cs="宋体"/>
                <w:sz w:val="24"/>
                <w:szCs w:val="24"/>
                <w:u w:val="single"/>
              </w:rPr>
              <w:t>60</w:t>
            </w:r>
            <w:r>
              <w:rPr>
                <w:rFonts w:hint="eastAsia" w:hAnsi="宋体" w:cs="宋体"/>
                <w:sz w:val="24"/>
                <w:szCs w:val="24"/>
              </w:rPr>
              <w:t>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66"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3.4.1</w:t>
            </w:r>
          </w:p>
        </w:tc>
        <w:tc>
          <w:tcPr>
            <w:tcW w:w="2220"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投标担保</w:t>
            </w:r>
          </w:p>
        </w:tc>
        <w:tc>
          <w:tcPr>
            <w:tcW w:w="6619" w:type="dxa"/>
          </w:tcPr>
          <w:p>
            <w:pPr>
              <w:rPr>
                <w:rFonts w:hAnsi="宋体"/>
                <w:sz w:val="24"/>
                <w:szCs w:val="24"/>
              </w:rPr>
            </w:pPr>
            <w:r>
              <w:rPr>
                <w:rFonts w:hint="eastAsia" w:hAnsi="宋体"/>
                <w:sz w:val="24"/>
                <w:szCs w:val="24"/>
              </w:rPr>
              <w:t>1.投标保证金递交截止时间：</w:t>
            </w:r>
            <w:r>
              <w:rPr>
                <w:rFonts w:hint="eastAsia" w:cs="仿宋_GB2312"/>
                <w:sz w:val="24"/>
                <w:szCs w:val="24"/>
              </w:rPr>
              <w:t>同投标截止时间</w:t>
            </w:r>
            <w:r>
              <w:rPr>
                <w:rFonts w:hint="eastAsia" w:hAnsi="宋体"/>
                <w:sz w:val="24"/>
                <w:szCs w:val="24"/>
              </w:rPr>
              <w:t>。</w:t>
            </w:r>
          </w:p>
          <w:p>
            <w:pPr>
              <w:adjustRightInd w:val="0"/>
              <w:snapToGrid w:val="0"/>
              <w:spacing w:line="276" w:lineRule="auto"/>
              <w:rPr>
                <w:rFonts w:hint="eastAsia" w:hAnsi="宋体" w:cs="仿宋_GB2312"/>
                <w:b/>
                <w:color w:val="FF0000"/>
                <w:sz w:val="24"/>
                <w:szCs w:val="24"/>
                <w:lang w:val="en-US" w:eastAsia="zh-CN"/>
              </w:rPr>
            </w:pPr>
            <w:r>
              <w:rPr>
                <w:rFonts w:hint="eastAsia" w:hAnsi="宋体"/>
                <w:sz w:val="24"/>
                <w:szCs w:val="24"/>
              </w:rPr>
              <w:t>2.金额：</w:t>
            </w:r>
            <w:r>
              <w:rPr>
                <w:rFonts w:hint="eastAsia" w:hAnsi="宋体" w:cs="仿宋_GB2312"/>
                <w:b/>
                <w:color w:val="FF0000"/>
                <w:sz w:val="24"/>
                <w:szCs w:val="24"/>
                <w:lang w:val="en-US" w:eastAsia="zh-CN"/>
              </w:rPr>
              <w:t>一标段：捌万玖仟元整（￥89000.00元）；</w:t>
            </w:r>
          </w:p>
          <w:p>
            <w:pPr>
              <w:adjustRightInd w:val="0"/>
              <w:snapToGrid w:val="0"/>
              <w:spacing w:line="276" w:lineRule="auto"/>
              <w:ind w:firstLine="960" w:firstLineChars="400"/>
              <w:rPr>
                <w:rFonts w:hint="eastAsia" w:hAnsi="宋体" w:cs="仿宋_GB2312"/>
                <w:b/>
                <w:color w:val="FF0000"/>
                <w:sz w:val="24"/>
                <w:szCs w:val="24"/>
                <w:lang w:val="en-US" w:eastAsia="zh-CN"/>
              </w:rPr>
            </w:pPr>
            <w:r>
              <w:rPr>
                <w:rFonts w:hint="eastAsia" w:hAnsi="宋体" w:cs="仿宋_GB2312"/>
                <w:b/>
                <w:color w:val="FF0000"/>
                <w:sz w:val="24"/>
                <w:szCs w:val="24"/>
                <w:lang w:val="en-US" w:eastAsia="zh-CN"/>
              </w:rPr>
              <w:t>二标段：贰万捌仟元整（￥28000.00元）；</w:t>
            </w:r>
          </w:p>
          <w:p>
            <w:pPr>
              <w:adjustRightInd w:val="0"/>
              <w:snapToGrid w:val="0"/>
              <w:spacing w:line="276" w:lineRule="auto"/>
              <w:ind w:firstLine="960" w:firstLineChars="400"/>
              <w:rPr>
                <w:rFonts w:hint="eastAsia" w:hAnsi="宋体" w:cs="仿宋_GB2312"/>
                <w:b/>
                <w:color w:val="FF0000"/>
                <w:sz w:val="24"/>
                <w:szCs w:val="24"/>
                <w:lang w:val="en-US" w:eastAsia="zh-CN"/>
              </w:rPr>
            </w:pPr>
            <w:r>
              <w:rPr>
                <w:rFonts w:hint="eastAsia" w:hAnsi="宋体" w:cs="仿宋_GB2312"/>
                <w:b/>
                <w:color w:val="FF0000"/>
                <w:sz w:val="24"/>
                <w:szCs w:val="24"/>
                <w:lang w:val="en-US" w:eastAsia="zh-CN"/>
              </w:rPr>
              <w:t>三标段：陆万伍仟元整（￥65000.00元）；</w:t>
            </w:r>
          </w:p>
          <w:p>
            <w:pPr>
              <w:adjustRightInd w:val="0"/>
              <w:snapToGrid w:val="0"/>
              <w:spacing w:line="276" w:lineRule="auto"/>
              <w:ind w:firstLine="960" w:firstLineChars="400"/>
              <w:rPr>
                <w:rFonts w:hint="eastAsia"/>
                <w:lang w:val="en-US" w:eastAsia="zh-CN"/>
              </w:rPr>
            </w:pPr>
            <w:r>
              <w:rPr>
                <w:rFonts w:hint="eastAsia" w:hAnsi="宋体" w:cs="仿宋_GB2312"/>
                <w:b/>
                <w:color w:val="FF0000"/>
                <w:sz w:val="24"/>
                <w:szCs w:val="24"/>
                <w:lang w:val="en-US" w:eastAsia="zh-CN"/>
              </w:rPr>
              <w:t>四标段：玖仟元整（￥9000.00元）；</w:t>
            </w:r>
          </w:p>
          <w:p>
            <w:pPr>
              <w:rPr>
                <w:rFonts w:hAnsi="宋体"/>
                <w:sz w:val="24"/>
                <w:szCs w:val="24"/>
              </w:rPr>
            </w:pPr>
            <w:r>
              <w:rPr>
                <w:rFonts w:hint="eastAsia" w:hAnsi="宋体"/>
                <w:sz w:val="24"/>
                <w:szCs w:val="24"/>
              </w:rPr>
              <w:t>3.递交方式：银行转账、银行电汇（均需从投标人的基本账户汇出），不接受以现金方式缴纳的投标保证金。</w:t>
            </w:r>
            <w:r>
              <w:rPr>
                <w:rFonts w:hint="eastAsia" w:hAnsi="宋体"/>
                <w:b/>
                <w:bCs/>
                <w:sz w:val="24"/>
                <w:szCs w:val="24"/>
              </w:rPr>
              <w:t>凡以现金方式缴纳投标保证金而影响其投标结果的，由投标人自行负责。</w:t>
            </w:r>
          </w:p>
          <w:p>
            <w:pPr>
              <w:rPr>
                <w:rFonts w:hAnsi="宋体"/>
                <w:sz w:val="24"/>
                <w:szCs w:val="24"/>
              </w:rPr>
            </w:pPr>
            <w:r>
              <w:rPr>
                <w:rFonts w:hint="eastAsia" w:hAnsi="宋体"/>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pPr>
              <w:rPr>
                <w:rFonts w:hAnsi="宋体"/>
                <w:sz w:val="24"/>
                <w:szCs w:val="24"/>
              </w:rPr>
            </w:pPr>
            <w:r>
              <w:rPr>
                <w:rFonts w:hint="eastAsia" w:hAnsi="宋体"/>
                <w:sz w:val="24"/>
                <w:szCs w:val="24"/>
              </w:rPr>
              <w:t>4.基本户备案：自文件发布之日起，投标人需进行基本户备案；已备案的基本户，其开户银行及账户发生变化的，须在投标保证金缴纳前办理变更手续。</w:t>
            </w:r>
          </w:p>
          <w:p>
            <w:pPr>
              <w:rPr>
                <w:rFonts w:hAnsi="宋体"/>
                <w:sz w:val="24"/>
                <w:szCs w:val="24"/>
              </w:rPr>
            </w:pPr>
            <w:r>
              <w:rPr>
                <w:rFonts w:hint="eastAsia" w:hAnsi="宋体"/>
                <w:sz w:val="24"/>
                <w:szCs w:val="24"/>
              </w:rPr>
              <w:t>5.其他事项详见本招标文件投标人须知。</w:t>
            </w:r>
          </w:p>
          <w:p>
            <w:pPr>
              <w:rPr>
                <w:rFonts w:hAnsi="宋体"/>
                <w:sz w:val="24"/>
                <w:szCs w:val="24"/>
              </w:rPr>
            </w:pPr>
            <w:r>
              <w:rPr>
                <w:rFonts w:hint="eastAsia" w:hAnsi="宋体"/>
                <w:sz w:val="24"/>
                <w:szCs w:val="24"/>
              </w:rPr>
              <w:t>6. 投标人（供应商）如需了解投标保证金退还情况，请持授权委托书及个人身份证件到中心业务受理部查询，不接受电话查询。</w:t>
            </w:r>
          </w:p>
          <w:p>
            <w:pPr>
              <w:autoSpaceDE w:val="0"/>
              <w:autoSpaceDN w:val="0"/>
              <w:adjustRightInd w:val="0"/>
              <w:spacing w:line="400" w:lineRule="exact"/>
              <w:rPr>
                <w:rFonts w:hAnsi="宋体" w:cs="仿宋_GB2312"/>
                <w:sz w:val="24"/>
                <w:szCs w:val="24"/>
              </w:rPr>
            </w:pPr>
            <w:r>
              <w:rPr>
                <w:rFonts w:hint="eastAsia" w:hAnsi="宋体"/>
                <w:sz w:val="24"/>
                <w:szCs w:val="24"/>
              </w:rPr>
              <w:t>保证金缴纳绑定问题咨询电话:0374-296159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66" w:type="dxa"/>
            <w:vAlign w:val="center"/>
          </w:tcPr>
          <w:p>
            <w:pPr>
              <w:spacing w:line="400" w:lineRule="atLeast"/>
              <w:jc w:val="center"/>
              <w:rPr>
                <w:rFonts w:hAnsi="宋体"/>
                <w:color w:val="000000"/>
                <w:sz w:val="24"/>
                <w:szCs w:val="24"/>
              </w:rPr>
            </w:pPr>
            <w:r>
              <w:rPr>
                <w:rFonts w:hint="eastAsia" w:hAnsi="宋体"/>
                <w:color w:val="000000"/>
                <w:sz w:val="24"/>
                <w:szCs w:val="24"/>
              </w:rPr>
              <w:t>3.5.2</w:t>
            </w:r>
          </w:p>
        </w:tc>
        <w:tc>
          <w:tcPr>
            <w:tcW w:w="2220" w:type="dxa"/>
            <w:gridSpan w:val="3"/>
            <w:vAlign w:val="center"/>
          </w:tcPr>
          <w:p>
            <w:pPr>
              <w:spacing w:line="440" w:lineRule="exact"/>
              <w:jc w:val="center"/>
              <w:rPr>
                <w:rFonts w:hAnsi="宋体"/>
                <w:color w:val="000000"/>
                <w:sz w:val="24"/>
                <w:szCs w:val="24"/>
              </w:rPr>
            </w:pPr>
            <w:r>
              <w:rPr>
                <w:rFonts w:hint="eastAsia" w:hAnsi="宋体"/>
                <w:color w:val="000000"/>
                <w:sz w:val="24"/>
                <w:szCs w:val="24"/>
              </w:rPr>
              <w:t>近年财务状况的年份要求</w:t>
            </w:r>
          </w:p>
        </w:tc>
        <w:tc>
          <w:tcPr>
            <w:tcW w:w="6619" w:type="dxa"/>
            <w:vAlign w:val="center"/>
          </w:tcPr>
          <w:p>
            <w:pPr>
              <w:spacing w:line="440" w:lineRule="exact"/>
              <w:rPr>
                <w:rFonts w:hAnsi="宋体"/>
                <w:color w:val="000000"/>
                <w:sz w:val="24"/>
                <w:szCs w:val="24"/>
              </w:rPr>
            </w:pPr>
            <w:r>
              <w:rPr>
                <w:rFonts w:hint="eastAsia" w:hAnsi="宋体" w:cs="仿宋_GB2312"/>
                <w:color w:val="000000"/>
                <w:sz w:val="24"/>
                <w:szCs w:val="24"/>
              </w:rPr>
              <w:t>2016年、2017年、2018年（若公司成立未满三年，需提供从成立至今的年度财务状况）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66" w:type="dxa"/>
            <w:vAlign w:val="center"/>
          </w:tcPr>
          <w:p>
            <w:pPr>
              <w:spacing w:line="400" w:lineRule="atLeast"/>
              <w:jc w:val="center"/>
              <w:rPr>
                <w:rFonts w:hAnsi="宋体"/>
                <w:color w:val="000000"/>
                <w:sz w:val="24"/>
                <w:szCs w:val="24"/>
              </w:rPr>
            </w:pPr>
            <w:r>
              <w:rPr>
                <w:rFonts w:hint="eastAsia" w:hAnsi="宋体"/>
                <w:color w:val="000000"/>
                <w:sz w:val="24"/>
                <w:szCs w:val="24"/>
              </w:rPr>
              <w:t>3.5.3</w:t>
            </w:r>
          </w:p>
        </w:tc>
        <w:tc>
          <w:tcPr>
            <w:tcW w:w="2220" w:type="dxa"/>
            <w:gridSpan w:val="3"/>
            <w:vAlign w:val="center"/>
          </w:tcPr>
          <w:p>
            <w:pPr>
              <w:jc w:val="center"/>
              <w:rPr>
                <w:rFonts w:hAnsi="宋体"/>
                <w:color w:val="000000"/>
                <w:sz w:val="24"/>
                <w:szCs w:val="24"/>
              </w:rPr>
            </w:pPr>
            <w:r>
              <w:rPr>
                <w:rFonts w:hint="eastAsia" w:hAnsi="宋体"/>
                <w:color w:val="000000"/>
                <w:sz w:val="24"/>
                <w:szCs w:val="24"/>
              </w:rPr>
              <w:t>近年完成的类似项目的年份要求</w:t>
            </w:r>
          </w:p>
        </w:tc>
        <w:tc>
          <w:tcPr>
            <w:tcW w:w="6619" w:type="dxa"/>
            <w:vAlign w:val="center"/>
          </w:tcPr>
          <w:p>
            <w:pPr>
              <w:spacing w:line="440" w:lineRule="exact"/>
              <w:rPr>
                <w:rFonts w:hAnsi="宋体"/>
                <w:color w:val="000000"/>
                <w:sz w:val="24"/>
                <w:szCs w:val="24"/>
              </w:rPr>
            </w:pPr>
            <w:r>
              <w:rPr>
                <w:rFonts w:hint="eastAsia" w:hAnsi="宋体" w:cs="宋体"/>
                <w:color w:val="000000"/>
                <w:sz w:val="24"/>
                <w:szCs w:val="24"/>
              </w:rPr>
              <w:t>2016年1月以来，以合同签订时间为准。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66" w:type="dxa"/>
            <w:vAlign w:val="center"/>
          </w:tcPr>
          <w:p>
            <w:pPr>
              <w:spacing w:line="400" w:lineRule="atLeast"/>
              <w:jc w:val="center"/>
              <w:rPr>
                <w:rFonts w:hAnsi="宋体"/>
                <w:color w:val="000000"/>
                <w:sz w:val="24"/>
                <w:szCs w:val="24"/>
              </w:rPr>
            </w:pPr>
            <w:r>
              <w:rPr>
                <w:rFonts w:hint="eastAsia" w:hAnsi="宋体"/>
                <w:color w:val="000000"/>
                <w:sz w:val="24"/>
                <w:szCs w:val="24"/>
              </w:rPr>
              <w:t>3.5.4</w:t>
            </w:r>
          </w:p>
        </w:tc>
        <w:tc>
          <w:tcPr>
            <w:tcW w:w="2220" w:type="dxa"/>
            <w:gridSpan w:val="3"/>
            <w:vAlign w:val="center"/>
          </w:tcPr>
          <w:p>
            <w:pPr>
              <w:spacing w:line="440" w:lineRule="exact"/>
              <w:jc w:val="center"/>
              <w:rPr>
                <w:rFonts w:hAnsi="宋体"/>
                <w:color w:val="000000"/>
                <w:sz w:val="24"/>
                <w:szCs w:val="24"/>
              </w:rPr>
            </w:pPr>
            <w:r>
              <w:rPr>
                <w:rFonts w:hint="eastAsia" w:hAnsi="宋体"/>
                <w:color w:val="000000"/>
                <w:sz w:val="24"/>
                <w:szCs w:val="24"/>
              </w:rPr>
              <w:t>近年发生的诉讼及仲裁情况的年份要求</w:t>
            </w:r>
          </w:p>
        </w:tc>
        <w:tc>
          <w:tcPr>
            <w:tcW w:w="6619" w:type="dxa"/>
            <w:vAlign w:val="center"/>
          </w:tcPr>
          <w:p>
            <w:pPr>
              <w:spacing w:line="440" w:lineRule="exact"/>
              <w:rPr>
                <w:rFonts w:hAnsi="宋体"/>
                <w:color w:val="000000"/>
                <w:sz w:val="24"/>
                <w:szCs w:val="24"/>
              </w:rPr>
            </w:pPr>
            <w:r>
              <w:rPr>
                <w:rFonts w:hint="eastAsia" w:hAnsi="宋体" w:cs="宋体"/>
                <w:color w:val="000000"/>
                <w:sz w:val="24"/>
                <w:szCs w:val="24"/>
              </w:rPr>
              <w:t>2016年1月以来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66" w:type="dxa"/>
            <w:vAlign w:val="center"/>
          </w:tcPr>
          <w:p>
            <w:pPr>
              <w:autoSpaceDE w:val="0"/>
              <w:autoSpaceDN w:val="0"/>
              <w:adjustRightInd w:val="0"/>
              <w:spacing w:line="420" w:lineRule="exact"/>
              <w:jc w:val="center"/>
              <w:rPr>
                <w:rFonts w:hAnsi="宋体" w:cs="TimesNewRomanPSMT"/>
                <w:color w:val="000000"/>
                <w:sz w:val="24"/>
                <w:szCs w:val="24"/>
              </w:rPr>
            </w:pPr>
            <w:r>
              <w:rPr>
                <w:rFonts w:hint="eastAsia" w:hAnsi="宋体" w:cs="TimesNewRomanPSMT"/>
                <w:color w:val="000000"/>
                <w:sz w:val="24"/>
                <w:szCs w:val="24"/>
              </w:rPr>
              <w:t>3.6</w:t>
            </w:r>
          </w:p>
        </w:tc>
        <w:tc>
          <w:tcPr>
            <w:tcW w:w="2220"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是否允许递交备选投标方案</w:t>
            </w:r>
          </w:p>
        </w:tc>
        <w:tc>
          <w:tcPr>
            <w:tcW w:w="6619" w:type="dxa"/>
            <w:vAlign w:val="center"/>
          </w:tcPr>
          <w:p>
            <w:pPr>
              <w:autoSpaceDE w:val="0"/>
              <w:autoSpaceDN w:val="0"/>
              <w:adjustRightInd w:val="0"/>
              <w:spacing w:line="420" w:lineRule="exac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966"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3.7.3</w:t>
            </w:r>
          </w:p>
        </w:tc>
        <w:tc>
          <w:tcPr>
            <w:tcW w:w="2220"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投标文件签字或盖章要求</w:t>
            </w:r>
          </w:p>
        </w:tc>
        <w:tc>
          <w:tcPr>
            <w:tcW w:w="6619" w:type="dxa"/>
          </w:tcPr>
          <w:p>
            <w:pPr>
              <w:pStyle w:val="6"/>
              <w:topLinePunct/>
              <w:spacing w:line="276" w:lineRule="auto"/>
              <w:rPr>
                <w:rFonts w:hAnsi="宋体" w:cs="宋体"/>
                <w:color w:val="000000"/>
                <w:sz w:val="24"/>
                <w:szCs w:val="24"/>
              </w:rPr>
            </w:pPr>
            <w:r>
              <w:rPr>
                <w:rFonts w:hint="eastAsia" w:hAnsi="宋体" w:cs="宋体"/>
                <w:color w:val="000000"/>
                <w:sz w:val="24"/>
                <w:szCs w:val="24"/>
              </w:rPr>
              <w:t>纸质投标文件：正本按招标文件要求签字盖章（无需逐页签字盖章），副本应与正本保持一致（可为正本的复印件）。正本与副本不一致的，以正本为准。</w:t>
            </w:r>
          </w:p>
          <w:p>
            <w:pPr>
              <w:spacing w:line="360" w:lineRule="exact"/>
              <w:rPr>
                <w:rFonts w:hAnsi="宋体"/>
                <w:color w:val="000000"/>
                <w:sz w:val="24"/>
                <w:szCs w:val="24"/>
              </w:rPr>
            </w:pPr>
            <w:r>
              <w:rPr>
                <w:rFonts w:hint="eastAsia" w:hAnsi="宋体" w:cs="宋体"/>
                <w:color w:val="000000"/>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66"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3.7.4</w:t>
            </w:r>
          </w:p>
        </w:tc>
        <w:tc>
          <w:tcPr>
            <w:tcW w:w="2220"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投标文件份数及其它要求</w:t>
            </w:r>
          </w:p>
        </w:tc>
        <w:tc>
          <w:tcPr>
            <w:tcW w:w="6619" w:type="dxa"/>
            <w:vAlign w:val="center"/>
          </w:tcPr>
          <w:p>
            <w:pPr>
              <w:adjustRightInd w:val="0"/>
              <w:snapToGrid w:val="0"/>
              <w:spacing w:line="276" w:lineRule="auto"/>
              <w:rPr>
                <w:rFonts w:hAnsi="宋体" w:cs="仿宋_GB2312"/>
                <w:b/>
                <w:sz w:val="24"/>
              </w:rPr>
            </w:pPr>
            <w:r>
              <w:rPr>
                <w:rFonts w:hint="eastAsia" w:hAnsi="宋体" w:cs="仿宋_GB2312"/>
                <w:b/>
                <w:sz w:val="24"/>
              </w:rPr>
              <w:t>1、电子投标文件</w:t>
            </w:r>
          </w:p>
          <w:p>
            <w:pPr>
              <w:adjustRightInd w:val="0"/>
              <w:snapToGrid w:val="0"/>
              <w:spacing w:line="276" w:lineRule="auto"/>
              <w:rPr>
                <w:rFonts w:hAnsi="宋体" w:cs="仿宋_GB2312"/>
                <w:b/>
                <w:sz w:val="24"/>
              </w:rPr>
            </w:pPr>
            <w:r>
              <w:rPr>
                <w:rFonts w:hint="eastAsia" w:hAnsi="宋体" w:cs="仿宋_GB2312"/>
                <w:b/>
                <w:sz w:val="24"/>
              </w:rPr>
              <w:t>（1）成功上传至【全国公共资源交易平台（河南省•许昌市）】公共资源交易系统电子投标文件1份（文件格式为：XX公司XXX项目编号.file）。</w:t>
            </w:r>
          </w:p>
          <w:p>
            <w:pPr>
              <w:adjustRightInd w:val="0"/>
              <w:snapToGrid w:val="0"/>
              <w:spacing w:line="276" w:lineRule="auto"/>
              <w:rPr>
                <w:rFonts w:hAnsi="宋体" w:cs="仿宋_GB2312"/>
                <w:b/>
                <w:sz w:val="24"/>
              </w:rPr>
            </w:pPr>
            <w:r>
              <w:rPr>
                <w:rFonts w:hint="eastAsia" w:hAnsi="宋体" w:cs="仿宋_GB2312"/>
                <w:b/>
                <w:sz w:val="24"/>
              </w:rPr>
              <w:t>（2）使用电子介质存储的投标文件1份文件格式为：xxx公司XXX（项目编号）.bin）。</w:t>
            </w:r>
          </w:p>
          <w:p>
            <w:pPr>
              <w:adjustRightInd w:val="0"/>
              <w:snapToGrid w:val="0"/>
              <w:spacing w:line="276" w:lineRule="auto"/>
              <w:rPr>
                <w:rFonts w:hAnsi="宋体" w:cs="仿宋_GB2312"/>
                <w:b/>
                <w:sz w:val="24"/>
              </w:rPr>
            </w:pPr>
            <w:r>
              <w:rPr>
                <w:rFonts w:hint="eastAsia" w:hAnsi="宋体" w:cs="仿宋_GB2312"/>
                <w:b/>
                <w:sz w:val="24"/>
              </w:rPr>
              <w:t>2、纸质投标文件</w:t>
            </w:r>
          </w:p>
          <w:p>
            <w:pPr>
              <w:adjustRightInd w:val="0"/>
              <w:snapToGrid w:val="0"/>
              <w:spacing w:line="276" w:lineRule="auto"/>
              <w:rPr>
                <w:rFonts w:hAnsi="宋体" w:cs="仿宋_GB2312"/>
                <w:b/>
                <w:sz w:val="24"/>
              </w:rPr>
            </w:pPr>
            <w:r>
              <w:rPr>
                <w:rFonts w:hint="eastAsia" w:hAnsi="宋体" w:cs="仿宋_GB2312"/>
                <w:b/>
                <w:sz w:val="24"/>
              </w:rPr>
              <w:t>商务标：正本1份，副本1份；</w:t>
            </w:r>
          </w:p>
          <w:p>
            <w:pPr>
              <w:adjustRightInd w:val="0"/>
              <w:snapToGrid w:val="0"/>
              <w:spacing w:line="276" w:lineRule="auto"/>
              <w:rPr>
                <w:rFonts w:hAnsi="宋体" w:cs="仿宋_GB2312"/>
                <w:b/>
                <w:sz w:val="24"/>
              </w:rPr>
            </w:pPr>
            <w:r>
              <w:rPr>
                <w:rFonts w:hint="eastAsia" w:hAnsi="宋体" w:cs="仿宋_GB2312"/>
                <w:b/>
                <w:sz w:val="24"/>
              </w:rPr>
              <w:t xml:space="preserve">综合标：正本1份，副本1份； </w:t>
            </w:r>
          </w:p>
          <w:p>
            <w:pPr>
              <w:adjustRightInd w:val="0"/>
              <w:snapToGrid w:val="0"/>
              <w:spacing w:line="276" w:lineRule="auto"/>
              <w:rPr>
                <w:rFonts w:hAnsi="宋体" w:cs="仿宋_GB2312"/>
                <w:b/>
                <w:sz w:val="24"/>
              </w:rPr>
            </w:pPr>
            <w:r>
              <w:rPr>
                <w:rFonts w:hint="eastAsia" w:hAnsi="宋体" w:cs="仿宋_GB2312"/>
                <w:b/>
                <w:sz w:val="24"/>
              </w:rPr>
              <w:t>技术标：正本1份，副本1份。</w:t>
            </w:r>
          </w:p>
          <w:p>
            <w:pPr>
              <w:adjustRightInd w:val="0"/>
              <w:snapToGrid w:val="0"/>
              <w:spacing w:line="276" w:lineRule="auto"/>
              <w:rPr>
                <w:rFonts w:hAnsi="宋体" w:cs="仿宋_GB2312"/>
                <w:b/>
                <w:sz w:val="24"/>
              </w:rPr>
            </w:pPr>
            <w:r>
              <w:rPr>
                <w:rFonts w:hint="eastAsia" w:hAnsi="宋体" w:cs="仿宋_GB2312"/>
                <w:b/>
                <w:sz w:val="24"/>
              </w:rPr>
              <w:t>3、电子投标文件和纸质投标文件的内容、格式、水印码、电子签章应一致。</w:t>
            </w:r>
          </w:p>
          <w:p>
            <w:pPr>
              <w:rPr>
                <w:rFonts w:hAnsi="宋体"/>
                <w:sz w:val="24"/>
                <w:szCs w:val="24"/>
              </w:rPr>
            </w:pPr>
            <w:r>
              <w:rPr>
                <w:rFonts w:hint="eastAsia" w:hAnsi="宋体" w:cs="仿宋_GB2312"/>
                <w:b/>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66"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3.7.5</w:t>
            </w:r>
          </w:p>
        </w:tc>
        <w:tc>
          <w:tcPr>
            <w:tcW w:w="2220"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装订要求</w:t>
            </w:r>
          </w:p>
        </w:tc>
        <w:tc>
          <w:tcPr>
            <w:tcW w:w="6619" w:type="dxa"/>
            <w:vAlign w:val="center"/>
          </w:tcPr>
          <w:p>
            <w:pPr>
              <w:spacing w:line="288" w:lineRule="auto"/>
              <w:rPr>
                <w:rFonts w:hAnsi="宋体"/>
                <w:color w:val="000000"/>
                <w:sz w:val="24"/>
                <w:szCs w:val="24"/>
              </w:rPr>
            </w:pPr>
            <w:r>
              <w:rPr>
                <w:rFonts w:hint="eastAsia" w:hAnsi="宋体" w:cs="仿宋_GB2312"/>
                <w:color w:val="000000"/>
                <w:sz w:val="24"/>
                <w:szCs w:val="24"/>
              </w:rPr>
              <w:t>正、副本分开装订。采用胶装方式装订，装订应牢固、不易拆散和换页，不得采用活页装订。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66"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4.1.2</w:t>
            </w:r>
          </w:p>
        </w:tc>
        <w:tc>
          <w:tcPr>
            <w:tcW w:w="2220"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封套上写明</w:t>
            </w:r>
          </w:p>
        </w:tc>
        <w:tc>
          <w:tcPr>
            <w:tcW w:w="6619" w:type="dxa"/>
          </w:tcPr>
          <w:p>
            <w:pPr>
              <w:autoSpaceDE w:val="0"/>
              <w:autoSpaceDN w:val="0"/>
              <w:adjustRightInd w:val="0"/>
              <w:spacing w:line="340" w:lineRule="exact"/>
              <w:rPr>
                <w:rFonts w:hAnsi="宋体"/>
                <w:color w:val="000000"/>
                <w:sz w:val="24"/>
                <w:szCs w:val="24"/>
              </w:rPr>
            </w:pPr>
            <w:r>
              <w:rPr>
                <w:rFonts w:hint="eastAsia" w:hAnsi="宋体"/>
                <w:color w:val="000000"/>
                <w:sz w:val="24"/>
                <w:szCs w:val="24"/>
              </w:rPr>
              <w:t>招标人名称：</w:t>
            </w:r>
          </w:p>
          <w:p>
            <w:pPr>
              <w:autoSpaceDE w:val="0"/>
              <w:autoSpaceDN w:val="0"/>
              <w:adjustRightInd w:val="0"/>
              <w:spacing w:line="340" w:lineRule="exact"/>
              <w:rPr>
                <w:rFonts w:hAnsi="宋体"/>
                <w:color w:val="000000"/>
                <w:sz w:val="24"/>
                <w:szCs w:val="24"/>
              </w:rPr>
            </w:pPr>
            <w:r>
              <w:rPr>
                <w:rFonts w:hint="eastAsia" w:hAnsi="宋体"/>
                <w:color w:val="000000"/>
                <w:sz w:val="24"/>
                <w:szCs w:val="24"/>
              </w:rPr>
              <w:t>项目名称：</w:t>
            </w:r>
            <w:r>
              <w:rPr>
                <w:rFonts w:hint="eastAsia" w:hAnsi="宋体" w:cs="仿宋_GB2312"/>
                <w:color w:val="000000"/>
                <w:sz w:val="24"/>
                <w:szCs w:val="24"/>
                <w:u w:val="single"/>
              </w:rPr>
              <w:t xml:space="preserve">（项目名称及标段）  </w:t>
            </w:r>
          </w:p>
          <w:p>
            <w:pPr>
              <w:autoSpaceDE w:val="0"/>
              <w:autoSpaceDN w:val="0"/>
              <w:adjustRightInd w:val="0"/>
              <w:spacing w:line="340" w:lineRule="exact"/>
              <w:rPr>
                <w:rFonts w:hAnsi="宋体"/>
                <w:color w:val="000000"/>
                <w:sz w:val="24"/>
                <w:szCs w:val="24"/>
                <w:u w:val="single"/>
              </w:rPr>
            </w:pPr>
            <w:r>
              <w:rPr>
                <w:rFonts w:hint="eastAsia" w:hAnsi="宋体"/>
                <w:color w:val="000000"/>
                <w:sz w:val="24"/>
                <w:szCs w:val="24"/>
              </w:rPr>
              <w:t>投标单位名称：（加盖投标人公章）</w:t>
            </w:r>
          </w:p>
          <w:p>
            <w:pPr>
              <w:autoSpaceDE w:val="0"/>
              <w:autoSpaceDN w:val="0"/>
              <w:adjustRightInd w:val="0"/>
              <w:spacing w:line="340" w:lineRule="exact"/>
              <w:rPr>
                <w:rFonts w:hAnsi="宋体"/>
                <w:color w:val="000000"/>
                <w:sz w:val="24"/>
                <w:szCs w:val="24"/>
              </w:rPr>
            </w:pPr>
            <w:r>
              <w:rPr>
                <w:rFonts w:hint="eastAsia" w:hAnsi="宋体"/>
                <w:color w:val="000000"/>
                <w:sz w:val="24"/>
                <w:szCs w:val="24"/>
              </w:rPr>
              <w:t>在</w:t>
            </w:r>
            <w:r>
              <w:rPr>
                <w:rFonts w:hint="eastAsia" w:hAnsi="宋体"/>
                <w:sz w:val="24"/>
                <w:szCs w:val="24"/>
              </w:rPr>
              <w:t>年月日时分前</w:t>
            </w:r>
            <w:r>
              <w:rPr>
                <w:rFonts w:hint="eastAsia" w:hAnsi="宋体"/>
                <w:color w:val="000000"/>
                <w:sz w:val="24"/>
                <w:szCs w:val="24"/>
              </w:rPr>
              <w:t>不得开启，不得邮寄。</w:t>
            </w:r>
          </w:p>
          <w:p>
            <w:pPr>
              <w:autoSpaceDE w:val="0"/>
              <w:autoSpaceDN w:val="0"/>
              <w:adjustRightInd w:val="0"/>
              <w:spacing w:line="360" w:lineRule="exact"/>
              <w:jc w:val="left"/>
              <w:rPr>
                <w:rFonts w:hAnsi="宋体" w:cs="黑体"/>
                <w:color w:val="000000"/>
                <w:sz w:val="24"/>
                <w:szCs w:val="24"/>
              </w:rPr>
            </w:pPr>
            <w:r>
              <w:rPr>
                <w:rFonts w:hint="eastAsia" w:hAnsi="宋体"/>
                <w:color w:val="000000"/>
                <w:sz w:val="24"/>
                <w:szCs w:val="24"/>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66"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4.2.2</w:t>
            </w:r>
          </w:p>
        </w:tc>
        <w:tc>
          <w:tcPr>
            <w:tcW w:w="2220"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递交投标文件地点</w:t>
            </w:r>
          </w:p>
        </w:tc>
        <w:tc>
          <w:tcPr>
            <w:tcW w:w="6619" w:type="dxa"/>
            <w:vAlign w:val="center"/>
          </w:tcPr>
          <w:p>
            <w:pPr>
              <w:ind w:left="480" w:hanging="480" w:hangingChars="200"/>
              <w:rPr>
                <w:rFonts w:hAnsi="宋体"/>
                <w:color w:val="0000FF"/>
                <w:sz w:val="24"/>
                <w:szCs w:val="24"/>
              </w:rPr>
            </w:pPr>
            <w:r>
              <w:rPr>
                <w:rFonts w:hint="eastAsia" w:hAnsi="宋体"/>
                <w:color w:val="0000FF"/>
                <w:sz w:val="24"/>
                <w:szCs w:val="24"/>
              </w:rPr>
              <w:t>长葛市公共资源交易中心</w:t>
            </w:r>
          </w:p>
          <w:p>
            <w:pPr>
              <w:autoSpaceDE w:val="0"/>
              <w:autoSpaceDN w:val="0"/>
              <w:adjustRightInd w:val="0"/>
              <w:spacing w:line="420" w:lineRule="exact"/>
              <w:rPr>
                <w:rFonts w:hAnsi="宋体"/>
                <w:sz w:val="24"/>
                <w:szCs w:val="24"/>
              </w:rPr>
            </w:pPr>
            <w:r>
              <w:rPr>
                <w:rFonts w:hint="eastAsia" w:hAnsi="宋体"/>
                <w:color w:val="0000FF"/>
                <w:sz w:val="24"/>
                <w:szCs w:val="24"/>
              </w:rPr>
              <w:t>（长葛市葛天大道东段商务区</w:t>
            </w:r>
            <w:r>
              <w:rPr>
                <w:rFonts w:hint="eastAsia" w:hAnsi="宋体"/>
                <w:color w:val="0000FF"/>
                <w:sz w:val="24"/>
                <w:szCs w:val="24"/>
                <w:lang w:val="en-US" w:eastAsia="zh-CN"/>
              </w:rPr>
              <w:t>6</w:t>
            </w:r>
            <w:r>
              <w:rPr>
                <w:rFonts w:hint="eastAsia" w:hAnsi="宋体"/>
                <w:color w:val="0000FF"/>
                <w:sz w:val="24"/>
                <w:szCs w:val="24"/>
              </w:rPr>
              <w:t>号楼</w:t>
            </w:r>
            <w:r>
              <w:rPr>
                <w:rFonts w:hint="eastAsia" w:hAnsi="宋体"/>
                <w:color w:val="0000FF"/>
                <w:sz w:val="24"/>
                <w:szCs w:val="24"/>
                <w:lang w:val="en-US" w:eastAsia="zh-CN"/>
              </w:rPr>
              <w:t>5</w:t>
            </w:r>
            <w:r>
              <w:rPr>
                <w:rFonts w:hint="eastAsia" w:hAnsi="宋体"/>
                <w:color w:val="0000FF"/>
                <w:sz w:val="24"/>
                <w:szCs w:val="24"/>
              </w:rPr>
              <w:t xml:space="preserve"> 楼开标</w:t>
            </w:r>
            <w:r>
              <w:rPr>
                <w:rFonts w:hint="eastAsia" w:hAnsi="宋体"/>
                <w:color w:val="0000FF"/>
                <w:sz w:val="24"/>
                <w:szCs w:val="24"/>
                <w:lang w:val="en-US" w:eastAsia="zh-CN"/>
              </w:rPr>
              <w:t>四</w:t>
            </w:r>
            <w:r>
              <w:rPr>
                <w:rFonts w:hint="eastAsia" w:hAnsi="宋体"/>
                <w:color w:val="0000FF"/>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66"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4.2.3</w:t>
            </w:r>
          </w:p>
        </w:tc>
        <w:tc>
          <w:tcPr>
            <w:tcW w:w="2220"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是否退还投标文件</w:t>
            </w:r>
          </w:p>
        </w:tc>
        <w:tc>
          <w:tcPr>
            <w:tcW w:w="6619" w:type="dxa"/>
            <w:vAlign w:val="center"/>
          </w:tcPr>
          <w:p>
            <w:pPr>
              <w:autoSpaceDE w:val="0"/>
              <w:autoSpaceDN w:val="0"/>
              <w:adjustRightInd w:val="0"/>
              <w:spacing w:line="420" w:lineRule="exact"/>
              <w:jc w:val="left"/>
              <w:rPr>
                <w:rFonts w:hAnsi="宋体"/>
                <w:sz w:val="24"/>
                <w:szCs w:val="24"/>
              </w:rPr>
            </w:pPr>
            <w:r>
              <w:rPr>
                <w:rFonts w:hint="eastAsia" w:hAnsi="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66"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5.1</w:t>
            </w:r>
          </w:p>
        </w:tc>
        <w:tc>
          <w:tcPr>
            <w:tcW w:w="2220"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开标时间和地点</w:t>
            </w:r>
          </w:p>
        </w:tc>
        <w:tc>
          <w:tcPr>
            <w:tcW w:w="6619" w:type="dxa"/>
          </w:tcPr>
          <w:p>
            <w:pPr>
              <w:textAlignment w:val="center"/>
              <w:rPr>
                <w:rFonts w:hAnsi="宋体"/>
                <w:color w:val="0000FF"/>
                <w:sz w:val="24"/>
                <w:szCs w:val="24"/>
              </w:rPr>
            </w:pPr>
            <w:r>
              <w:rPr>
                <w:rFonts w:hint="eastAsia" w:hAnsi="宋体"/>
                <w:color w:val="0000FF"/>
                <w:sz w:val="24"/>
                <w:szCs w:val="24"/>
              </w:rPr>
              <w:t>开标时间：同投标截止时间</w:t>
            </w:r>
          </w:p>
          <w:p>
            <w:pPr>
              <w:ind w:left="480" w:hanging="480" w:hangingChars="200"/>
              <w:rPr>
                <w:rFonts w:hAnsi="宋体"/>
                <w:color w:val="0000FF"/>
                <w:sz w:val="24"/>
                <w:szCs w:val="24"/>
              </w:rPr>
            </w:pPr>
            <w:r>
              <w:rPr>
                <w:rFonts w:hint="eastAsia" w:hAnsi="宋体"/>
                <w:color w:val="0000FF"/>
                <w:sz w:val="24"/>
                <w:szCs w:val="24"/>
              </w:rPr>
              <w:t>长葛市公共资源交易中心</w:t>
            </w:r>
          </w:p>
          <w:p>
            <w:pPr>
              <w:autoSpaceDE w:val="0"/>
              <w:autoSpaceDN w:val="0"/>
              <w:adjustRightInd w:val="0"/>
              <w:spacing w:line="420" w:lineRule="exact"/>
              <w:jc w:val="left"/>
              <w:rPr>
                <w:rFonts w:hAnsi="宋体"/>
                <w:sz w:val="24"/>
                <w:szCs w:val="24"/>
              </w:rPr>
            </w:pPr>
            <w:r>
              <w:rPr>
                <w:rFonts w:hint="eastAsia" w:hAnsi="宋体"/>
                <w:color w:val="0000FF"/>
                <w:sz w:val="24"/>
                <w:szCs w:val="24"/>
              </w:rPr>
              <w:t xml:space="preserve">（长葛市葛天大道东段商务区6号楼 </w:t>
            </w:r>
            <w:r>
              <w:rPr>
                <w:rFonts w:hint="eastAsia" w:hAnsi="宋体"/>
                <w:color w:val="0000FF"/>
                <w:sz w:val="24"/>
                <w:szCs w:val="24"/>
                <w:lang w:val="en-US" w:eastAsia="zh-CN"/>
              </w:rPr>
              <w:t>5</w:t>
            </w:r>
            <w:r>
              <w:rPr>
                <w:rFonts w:hint="eastAsia" w:hAnsi="宋体"/>
                <w:color w:val="0000FF"/>
                <w:sz w:val="24"/>
                <w:szCs w:val="24"/>
              </w:rPr>
              <w:t>楼开标</w:t>
            </w:r>
            <w:r>
              <w:rPr>
                <w:rFonts w:hint="eastAsia" w:hAnsi="宋体"/>
                <w:color w:val="0000FF"/>
                <w:sz w:val="24"/>
                <w:szCs w:val="24"/>
                <w:lang w:eastAsia="zh-CN"/>
              </w:rPr>
              <w:t>四</w:t>
            </w:r>
            <w:r>
              <w:rPr>
                <w:rFonts w:hint="eastAsia" w:hAnsi="宋体"/>
                <w:color w:val="0000FF"/>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66"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5.2 </w:t>
            </w:r>
          </w:p>
        </w:tc>
        <w:tc>
          <w:tcPr>
            <w:tcW w:w="2220"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开标程序</w:t>
            </w:r>
          </w:p>
        </w:tc>
        <w:tc>
          <w:tcPr>
            <w:tcW w:w="6619" w:type="dxa"/>
            <w:vAlign w:val="center"/>
          </w:tcPr>
          <w:p>
            <w:pPr>
              <w:spacing w:line="300" w:lineRule="auto"/>
              <w:rPr>
                <w:rFonts w:hAnsi="宋体" w:cs="宋体"/>
                <w:sz w:val="24"/>
              </w:rPr>
            </w:pPr>
            <w:r>
              <w:rPr>
                <w:rFonts w:hint="eastAsia" w:hAnsi="宋体" w:cs="宋体"/>
                <w:sz w:val="24"/>
              </w:rPr>
              <w:t>密封情况检查：由投标人代表检查其投标文件是否密封完好。</w:t>
            </w:r>
          </w:p>
          <w:p>
            <w:pPr>
              <w:autoSpaceDE w:val="0"/>
              <w:autoSpaceDN w:val="0"/>
              <w:adjustRightInd w:val="0"/>
              <w:spacing w:line="420" w:lineRule="exact"/>
              <w:rPr>
                <w:rFonts w:hAnsi="宋体" w:cs="仿宋_GB2312"/>
                <w:color w:val="000000"/>
                <w:sz w:val="24"/>
                <w:szCs w:val="24"/>
              </w:rPr>
            </w:pPr>
            <w:r>
              <w:rPr>
                <w:rFonts w:hint="eastAsia" w:hAnsi="宋体" w:cs="宋体"/>
                <w:sz w:val="24"/>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66"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6.1.1 </w:t>
            </w:r>
          </w:p>
        </w:tc>
        <w:tc>
          <w:tcPr>
            <w:tcW w:w="2220"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评标委员会的组建</w:t>
            </w:r>
          </w:p>
        </w:tc>
        <w:tc>
          <w:tcPr>
            <w:tcW w:w="6619" w:type="dxa"/>
            <w:vAlign w:val="center"/>
          </w:tcPr>
          <w:p>
            <w:pPr>
              <w:autoSpaceDE w:val="0"/>
              <w:autoSpaceDN w:val="0"/>
              <w:adjustRightInd w:val="0"/>
              <w:spacing w:line="420" w:lineRule="exact"/>
              <w:jc w:val="left"/>
              <w:rPr>
                <w:rFonts w:hAnsi="宋体" w:cs="仿宋_GB2312"/>
                <w:color w:val="000000"/>
                <w:sz w:val="24"/>
                <w:szCs w:val="24"/>
              </w:rPr>
            </w:pPr>
            <w:r>
              <w:rPr>
                <w:rFonts w:hint="eastAsia" w:hAnsi="宋体"/>
                <w:sz w:val="24"/>
                <w:szCs w:val="24"/>
              </w:rPr>
              <w:t>评标委员会构成：</w:t>
            </w:r>
            <w:r>
              <w:rPr>
                <w:rFonts w:hint="eastAsia" w:hAnsi="宋体"/>
                <w:sz w:val="24"/>
                <w:szCs w:val="24"/>
                <w:lang w:val="en-US" w:eastAsia="zh-CN"/>
              </w:rPr>
              <w:t>5</w:t>
            </w:r>
            <w:r>
              <w:rPr>
                <w:rFonts w:hint="eastAsia" w:hAnsi="宋体"/>
                <w:sz w:val="24"/>
                <w:szCs w:val="24"/>
              </w:rPr>
              <w:t>人，其中招标人代表</w:t>
            </w:r>
            <w:r>
              <w:rPr>
                <w:rFonts w:hint="eastAsia" w:hAnsi="宋体"/>
                <w:sz w:val="24"/>
                <w:szCs w:val="24"/>
                <w:lang w:val="en-US" w:eastAsia="zh-CN"/>
              </w:rPr>
              <w:t>1</w:t>
            </w:r>
            <w:r>
              <w:rPr>
                <w:rFonts w:hint="eastAsia" w:hAnsi="宋体"/>
                <w:sz w:val="24"/>
                <w:szCs w:val="24"/>
              </w:rPr>
              <w:t>人，其余</w:t>
            </w:r>
            <w:r>
              <w:rPr>
                <w:rFonts w:hint="eastAsia" w:hAnsi="宋体"/>
                <w:sz w:val="24"/>
                <w:szCs w:val="24"/>
                <w:lang w:val="en-US" w:eastAsia="zh-CN"/>
              </w:rPr>
              <w:t>4</w:t>
            </w:r>
            <w:r>
              <w:rPr>
                <w:rFonts w:hint="eastAsia" w:hAnsi="宋体"/>
                <w:sz w:val="24"/>
                <w:szCs w:val="24"/>
              </w:rPr>
              <w:t>人由经济、技术类专家组成，具有注册造价工程师资格的评委应不少于2人，开标前从河南省综合评标专家库中抽取，评标委员会主任通过现场随机抽取方式确立（其中招标人代表不能作为评标委员会主任），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66"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7.1</w:t>
            </w:r>
          </w:p>
        </w:tc>
        <w:tc>
          <w:tcPr>
            <w:tcW w:w="2220"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是否授权评标委员会确定中标人</w:t>
            </w:r>
          </w:p>
        </w:tc>
        <w:tc>
          <w:tcPr>
            <w:tcW w:w="6619" w:type="dxa"/>
            <w:vAlign w:val="center"/>
          </w:tcPr>
          <w:p>
            <w:pPr>
              <w:autoSpaceDE w:val="0"/>
              <w:autoSpaceDN w:val="0"/>
              <w:adjustRightInd w:val="0"/>
              <w:spacing w:line="420" w:lineRule="exact"/>
              <w:rPr>
                <w:rFonts w:hAnsi="宋体" w:cs="黑体"/>
                <w:color w:val="000000"/>
                <w:sz w:val="24"/>
                <w:szCs w:val="24"/>
              </w:rPr>
            </w:pPr>
            <w:r>
              <w:rPr>
                <w:rFonts w:hint="eastAsia" w:hAnsi="宋体" w:cs="仿宋_GB2312"/>
                <w:color w:val="000000"/>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805" w:type="dxa"/>
            <w:gridSpan w:val="5"/>
            <w:vAlign w:val="center"/>
          </w:tcPr>
          <w:p>
            <w:pPr>
              <w:autoSpaceDE w:val="0"/>
              <w:autoSpaceDN w:val="0"/>
              <w:adjustRightInd w:val="0"/>
              <w:spacing w:line="420" w:lineRule="exact"/>
              <w:jc w:val="left"/>
              <w:rPr>
                <w:rFonts w:hAnsi="宋体" w:cs="仿宋_GB2312"/>
                <w:color w:val="000000"/>
                <w:sz w:val="24"/>
                <w:szCs w:val="24"/>
              </w:rPr>
            </w:pPr>
            <w:r>
              <w:rPr>
                <w:rFonts w:hint="eastAsia" w:hAnsi="宋体" w:cs="TimesNewRomanPSMT"/>
                <w:color w:val="000000"/>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805" w:type="dxa"/>
            <w:gridSpan w:val="5"/>
            <w:vAlign w:val="center"/>
          </w:tcPr>
          <w:p>
            <w:pPr>
              <w:autoSpaceDE w:val="0"/>
              <w:autoSpaceDN w:val="0"/>
              <w:adjustRightInd w:val="0"/>
              <w:spacing w:line="360" w:lineRule="exact"/>
              <w:jc w:val="left"/>
              <w:rPr>
                <w:rFonts w:hAnsi="宋体" w:cs="TimesNewRomanPSMT"/>
                <w:color w:val="000000"/>
                <w:sz w:val="24"/>
                <w:szCs w:val="24"/>
              </w:rPr>
            </w:pPr>
            <w:r>
              <w:rPr>
                <w:rFonts w:hint="eastAsia" w:hAnsi="宋体" w:cs="TimesNewRomanPSMT"/>
                <w:color w:val="000000"/>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966" w:type="dxa"/>
            <w:vAlign w:val="center"/>
          </w:tcPr>
          <w:p>
            <w:pPr>
              <w:autoSpaceDE w:val="0"/>
              <w:autoSpaceDN w:val="0"/>
              <w:adjustRightInd w:val="0"/>
              <w:spacing w:line="360" w:lineRule="exact"/>
              <w:jc w:val="center"/>
              <w:rPr>
                <w:rFonts w:hAnsi="宋体" w:cs="TimesNewRomanPSMT"/>
                <w:color w:val="000000" w:themeColor="text1"/>
                <w:sz w:val="24"/>
                <w:szCs w:val="24"/>
              </w:rPr>
            </w:pPr>
            <w:r>
              <w:rPr>
                <w:rFonts w:hint="eastAsia" w:hAnsi="宋体" w:cs="TimesNewRomanPSMT"/>
                <w:color w:val="000000" w:themeColor="text1"/>
                <w:sz w:val="24"/>
                <w:szCs w:val="24"/>
              </w:rPr>
              <w:t>10.1.1</w:t>
            </w:r>
          </w:p>
        </w:tc>
        <w:tc>
          <w:tcPr>
            <w:tcW w:w="2220" w:type="dxa"/>
            <w:gridSpan w:val="3"/>
            <w:vAlign w:val="center"/>
          </w:tcPr>
          <w:p>
            <w:pPr>
              <w:autoSpaceDE w:val="0"/>
              <w:autoSpaceDN w:val="0"/>
              <w:adjustRightInd w:val="0"/>
              <w:spacing w:line="360" w:lineRule="exact"/>
              <w:jc w:val="left"/>
              <w:rPr>
                <w:rFonts w:hAnsi="宋体" w:cs="TimesNewRomanPSMT"/>
                <w:color w:val="000000" w:themeColor="text1"/>
                <w:sz w:val="24"/>
                <w:szCs w:val="24"/>
              </w:rPr>
            </w:pPr>
            <w:r>
              <w:rPr>
                <w:rFonts w:hint="eastAsia" w:hAnsi="宋体" w:cs="TimesNewRomanPSMT"/>
                <w:color w:val="000000" w:themeColor="text1"/>
                <w:sz w:val="24"/>
                <w:szCs w:val="24"/>
              </w:rPr>
              <w:t>类似项目</w:t>
            </w:r>
          </w:p>
        </w:tc>
        <w:tc>
          <w:tcPr>
            <w:tcW w:w="6619" w:type="dxa"/>
            <w:vAlign w:val="center"/>
          </w:tcPr>
          <w:p>
            <w:pPr>
              <w:widowControl/>
              <w:spacing w:line="400" w:lineRule="exact"/>
              <w:jc w:val="left"/>
              <w:rPr>
                <w:rFonts w:hAnsi="宋体"/>
                <w:color w:val="FF0000"/>
                <w:sz w:val="24"/>
                <w:szCs w:val="24"/>
              </w:rPr>
            </w:pPr>
            <w:r>
              <w:rPr>
                <w:rFonts w:hint="eastAsia" w:hAnsi="宋体"/>
                <w:sz w:val="24"/>
                <w:szCs w:val="24"/>
              </w:rPr>
              <w:t>指2016年1月1日以来承接的绿化工程项目。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966" w:type="dxa"/>
            <w:vAlign w:val="center"/>
          </w:tcPr>
          <w:p>
            <w:pPr>
              <w:autoSpaceDE w:val="0"/>
              <w:autoSpaceDN w:val="0"/>
              <w:adjustRightInd w:val="0"/>
              <w:spacing w:line="360" w:lineRule="exact"/>
              <w:jc w:val="center"/>
              <w:rPr>
                <w:rFonts w:hAnsi="宋体" w:cs="TimesNewRomanPSMT"/>
                <w:color w:val="000000" w:themeColor="text1"/>
                <w:sz w:val="24"/>
                <w:szCs w:val="24"/>
              </w:rPr>
            </w:pPr>
            <w:r>
              <w:rPr>
                <w:rFonts w:hint="eastAsia" w:hAnsi="宋体" w:cs="TimesNewRomanPSMT"/>
                <w:color w:val="000000" w:themeColor="text1"/>
                <w:sz w:val="24"/>
                <w:szCs w:val="24"/>
              </w:rPr>
              <w:t>10.1.2</w:t>
            </w:r>
          </w:p>
        </w:tc>
        <w:tc>
          <w:tcPr>
            <w:tcW w:w="2220" w:type="dxa"/>
            <w:gridSpan w:val="3"/>
            <w:vAlign w:val="center"/>
          </w:tcPr>
          <w:p>
            <w:pPr>
              <w:autoSpaceDE w:val="0"/>
              <w:autoSpaceDN w:val="0"/>
              <w:adjustRightInd w:val="0"/>
              <w:spacing w:line="360" w:lineRule="exact"/>
              <w:jc w:val="left"/>
              <w:rPr>
                <w:rFonts w:hAnsi="宋体" w:cs="TimesNewRomanPSMT"/>
                <w:color w:val="000000" w:themeColor="text1"/>
                <w:sz w:val="24"/>
                <w:szCs w:val="24"/>
              </w:rPr>
            </w:pPr>
            <w:r>
              <w:rPr>
                <w:rFonts w:hint="eastAsia" w:hAnsi="宋体" w:cs="TimesNewRomanPSMT"/>
                <w:color w:val="000000" w:themeColor="text1"/>
                <w:sz w:val="24"/>
                <w:szCs w:val="24"/>
              </w:rPr>
              <w:t>不良行为记录</w:t>
            </w:r>
          </w:p>
        </w:tc>
        <w:tc>
          <w:tcPr>
            <w:tcW w:w="6619" w:type="dxa"/>
            <w:vAlign w:val="center"/>
          </w:tcPr>
          <w:p>
            <w:pPr>
              <w:widowControl/>
              <w:spacing w:line="400" w:lineRule="exact"/>
              <w:jc w:val="left"/>
              <w:rPr>
                <w:rFonts w:hAnsi="宋体"/>
                <w:color w:val="FF0000"/>
                <w:sz w:val="24"/>
                <w:szCs w:val="24"/>
              </w:rPr>
            </w:pPr>
            <w:r>
              <w:rPr>
                <w:rFonts w:hint="eastAsia" w:hAnsi="宋体"/>
                <w:sz w:val="24"/>
                <w:szCs w:val="24"/>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805" w:type="dxa"/>
            <w:gridSpan w:val="5"/>
            <w:vAlign w:val="center"/>
          </w:tcPr>
          <w:p>
            <w:pPr>
              <w:spacing w:line="360" w:lineRule="exact"/>
              <w:rPr>
                <w:rFonts w:hAnsi="宋体"/>
                <w:color w:val="000000"/>
                <w:sz w:val="24"/>
                <w:szCs w:val="24"/>
              </w:rPr>
            </w:pPr>
            <w:r>
              <w:rPr>
                <w:rFonts w:hint="eastAsia" w:hAnsi="宋体"/>
                <w:color w:val="000000"/>
                <w:sz w:val="24"/>
                <w:szCs w:val="24"/>
              </w:rPr>
              <w:t>10.2投标人代表出席开标会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966" w:type="dxa"/>
            <w:vAlign w:val="center"/>
          </w:tcPr>
          <w:p>
            <w:pPr>
              <w:autoSpaceDE w:val="0"/>
              <w:autoSpaceDN w:val="0"/>
              <w:adjustRightInd w:val="0"/>
              <w:spacing w:line="360" w:lineRule="exact"/>
              <w:jc w:val="left"/>
              <w:rPr>
                <w:rFonts w:hAnsi="宋体" w:cs="TimesNewRomanPSMT"/>
                <w:color w:val="000000"/>
                <w:sz w:val="24"/>
                <w:szCs w:val="24"/>
              </w:rPr>
            </w:pPr>
          </w:p>
        </w:tc>
        <w:tc>
          <w:tcPr>
            <w:tcW w:w="8839" w:type="dxa"/>
            <w:gridSpan w:val="4"/>
            <w:vAlign w:val="center"/>
          </w:tcPr>
          <w:p>
            <w:pPr>
              <w:spacing w:line="276" w:lineRule="auto"/>
              <w:ind w:firstLine="480" w:firstLineChars="200"/>
              <w:rPr>
                <w:rFonts w:hAnsi="宋体" w:cs="宋体"/>
                <w:sz w:val="24"/>
              </w:rPr>
            </w:pPr>
            <w:r>
              <w:rPr>
                <w:rFonts w:hint="eastAsia" w:hAnsi="宋体" w:cs="宋体"/>
                <w:sz w:val="24"/>
              </w:rPr>
              <w:t>投标人法定代表人应持法人代表证明和有效身份证参加开标会议；委托他人参加的，须持有效委托书原件和有效的本企业职工身份证明，委托书应当载明委托事项权限及有效期等主要内容。</w:t>
            </w:r>
          </w:p>
          <w:p>
            <w:pPr>
              <w:spacing w:line="360" w:lineRule="exact"/>
              <w:ind w:firstLine="480" w:firstLineChars="200"/>
              <w:rPr>
                <w:rFonts w:hAnsi="宋体" w:cs="仿宋_GB2312"/>
                <w:color w:val="000000"/>
                <w:sz w:val="24"/>
                <w:szCs w:val="24"/>
              </w:rPr>
            </w:pPr>
            <w:r>
              <w:rPr>
                <w:rFonts w:hint="eastAsia" w:hAnsi="宋体" w:cs="宋体"/>
                <w:sz w:val="24"/>
              </w:rPr>
              <w:t>法定代表人（或授权代表）不按规定参加开标会议的，视为放弃投标。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805" w:type="dxa"/>
            <w:gridSpan w:val="5"/>
            <w:vAlign w:val="center"/>
          </w:tcPr>
          <w:p>
            <w:pPr>
              <w:spacing w:line="360" w:lineRule="exact"/>
              <w:rPr>
                <w:rFonts w:hAnsi="宋体" w:cs="宋体"/>
                <w:sz w:val="24"/>
              </w:rPr>
            </w:pPr>
            <w:r>
              <w:rPr>
                <w:rFonts w:hint="eastAsia" w:hAnsi="宋体" w:cs="TimesNewRomanPSMT"/>
                <w:color w:val="000000"/>
                <w:sz w:val="24"/>
                <w:szCs w:val="24"/>
              </w:rPr>
              <w:t>10.3</w:t>
            </w:r>
            <w:r>
              <w:rPr>
                <w:rFonts w:hint="eastAsia"/>
                <w:sz w:val="24"/>
                <w:szCs w:val="24"/>
              </w:rPr>
              <w:t>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966" w:type="dxa"/>
            <w:vAlign w:val="center"/>
          </w:tcPr>
          <w:p>
            <w:pPr>
              <w:autoSpaceDE w:val="0"/>
              <w:autoSpaceDN w:val="0"/>
              <w:adjustRightInd w:val="0"/>
              <w:spacing w:line="360" w:lineRule="exact"/>
              <w:jc w:val="left"/>
              <w:rPr>
                <w:rFonts w:hAnsi="宋体" w:cs="TimesNewRomanPSMT"/>
                <w:color w:val="000000"/>
                <w:sz w:val="24"/>
                <w:szCs w:val="24"/>
              </w:rPr>
            </w:pPr>
          </w:p>
        </w:tc>
        <w:tc>
          <w:tcPr>
            <w:tcW w:w="8839" w:type="dxa"/>
            <w:gridSpan w:val="4"/>
            <w:vAlign w:val="center"/>
          </w:tcPr>
          <w:p>
            <w:pPr>
              <w:spacing w:line="276" w:lineRule="auto"/>
              <w:ind w:firstLine="480" w:firstLineChars="200"/>
              <w:rPr>
                <w:rFonts w:hAnsi="宋体" w:cs="宋体"/>
                <w:sz w:val="24"/>
              </w:rPr>
            </w:pPr>
            <w:r>
              <w:rPr>
                <w:rFonts w:hint="eastAsia" w:hAnsi="宋体" w:cs="宋体"/>
                <w:sz w:val="24"/>
              </w:rPr>
              <w:t>招标人单位委派代表参加开标会议，或者作为招标人代表进入评标委员会的，须向招标代理机构出具由招标人法定代表人签字并加盖单位公章的有明确授权事项的授权函。</w:t>
            </w:r>
          </w:p>
          <w:p>
            <w:pPr>
              <w:spacing w:line="276" w:lineRule="auto"/>
              <w:ind w:firstLine="480" w:firstLineChars="200"/>
              <w:rPr>
                <w:rFonts w:hAnsi="宋体" w:cs="宋体"/>
                <w:sz w:val="24"/>
              </w:rPr>
            </w:pPr>
            <w:r>
              <w:rPr>
                <w:rFonts w:hint="eastAsia" w:hAnsi="宋体" w:cs="宋体"/>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r>
              <w:rPr>
                <w:rFonts w:hint="eastAsia"/>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805" w:type="dxa"/>
            <w:gridSpan w:val="5"/>
            <w:vAlign w:val="center"/>
          </w:tcPr>
          <w:p>
            <w:pPr>
              <w:rPr>
                <w:rFonts w:hAnsi="宋体"/>
                <w:color w:val="000000"/>
                <w:sz w:val="24"/>
                <w:szCs w:val="24"/>
              </w:rPr>
            </w:pPr>
            <w:r>
              <w:rPr>
                <w:rFonts w:hint="eastAsia" w:hAnsi="宋体"/>
                <w:color w:val="000000"/>
                <w:sz w:val="24"/>
                <w:szCs w:val="24"/>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966" w:type="dxa"/>
            <w:vAlign w:val="center"/>
          </w:tcPr>
          <w:p>
            <w:pPr>
              <w:spacing w:line="312" w:lineRule="auto"/>
              <w:rPr>
                <w:rFonts w:hAnsi="宋体"/>
                <w:color w:val="000000"/>
                <w:sz w:val="24"/>
                <w:szCs w:val="24"/>
              </w:rPr>
            </w:pPr>
          </w:p>
        </w:tc>
        <w:tc>
          <w:tcPr>
            <w:tcW w:w="8839" w:type="dxa"/>
            <w:gridSpan w:val="4"/>
            <w:vAlign w:val="center"/>
          </w:tcPr>
          <w:p>
            <w:pPr>
              <w:spacing w:line="360" w:lineRule="exact"/>
              <w:ind w:firstLine="360" w:firstLineChars="150"/>
              <w:rPr>
                <w:rFonts w:hAnsi="宋体"/>
                <w:sz w:val="24"/>
                <w:szCs w:val="24"/>
              </w:rPr>
            </w:pPr>
            <w:r>
              <w:rPr>
                <w:rFonts w:hint="eastAsia" w:hAnsi="宋体"/>
                <w:sz w:val="24"/>
                <w:szCs w:val="24"/>
              </w:rPr>
              <w:t>1、在中标通知书发出前，招标人将中标候选人的情况在“河南省电子招标投标公共服务平台”、“全国公共资源交易平台（河南省•许昌市）”、“长葛市人民政府门户网站”上发布，公示期不少于3日。</w:t>
            </w:r>
          </w:p>
          <w:p>
            <w:pPr>
              <w:spacing w:line="360" w:lineRule="exact"/>
              <w:ind w:firstLine="360" w:firstLineChars="150"/>
              <w:rPr>
                <w:rFonts w:hAnsi="宋体"/>
                <w:sz w:val="24"/>
                <w:szCs w:val="24"/>
              </w:rPr>
            </w:pPr>
            <w:r>
              <w:rPr>
                <w:rFonts w:hint="eastAsia" w:hAnsi="宋体"/>
                <w:sz w:val="24"/>
                <w:szCs w:val="24"/>
              </w:rPr>
              <w:t>2在评标结果公示期满且无异议后的5个工作日内，排名第一的中标候选人，其在投标文件中约定的拟任项目总监，应持以下证明材料，到项目招标单位接受资格核验：1、总监理工程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pPr>
              <w:spacing w:line="360" w:lineRule="exact"/>
              <w:ind w:firstLine="360" w:firstLineChars="150"/>
              <w:rPr>
                <w:rFonts w:hAnsi="宋体"/>
                <w:sz w:val="24"/>
                <w:szCs w:val="24"/>
              </w:rPr>
            </w:pPr>
            <w:r>
              <w:rPr>
                <w:rFonts w:hint="eastAsia" w:hAnsi="宋体"/>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spacing w:line="360" w:lineRule="exact"/>
              <w:ind w:firstLine="360" w:firstLineChars="150"/>
              <w:rPr>
                <w:rFonts w:hAnsi="宋体"/>
                <w:sz w:val="24"/>
                <w:szCs w:val="24"/>
              </w:rPr>
            </w:pPr>
            <w:r>
              <w:rPr>
                <w:rFonts w:hint="eastAsia" w:hAnsi="宋体"/>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p>
            <w:pPr>
              <w:spacing w:line="360" w:lineRule="exact"/>
              <w:ind w:firstLine="360" w:firstLineChars="150"/>
              <w:rPr>
                <w:rFonts w:hAnsi="宋体"/>
                <w:sz w:val="24"/>
                <w:szCs w:val="24"/>
              </w:rPr>
            </w:pPr>
            <w:r>
              <w:rPr>
                <w:rFonts w:hint="eastAsia" w:hAnsi="宋体"/>
                <w:sz w:val="24"/>
                <w:szCs w:val="24"/>
              </w:rPr>
              <w:t>3、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pPr>
              <w:spacing w:line="360" w:lineRule="exact"/>
              <w:ind w:firstLine="360" w:firstLineChars="150"/>
              <w:rPr>
                <w:rFonts w:hAnsi="宋体"/>
                <w:sz w:val="24"/>
                <w:szCs w:val="24"/>
              </w:rPr>
            </w:pPr>
            <w:r>
              <w:rPr>
                <w:rFonts w:hint="eastAsia" w:hAnsi="宋体"/>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pPr>
              <w:spacing w:line="360" w:lineRule="exact"/>
              <w:ind w:firstLine="360" w:firstLineChars="150"/>
              <w:rPr>
                <w:rFonts w:hAnsi="宋体"/>
                <w:sz w:val="24"/>
                <w:szCs w:val="24"/>
              </w:rPr>
            </w:pPr>
            <w:r>
              <w:rPr>
                <w:rFonts w:hint="eastAsia" w:hAnsi="宋体"/>
                <w:sz w:val="24"/>
                <w:szCs w:val="24"/>
              </w:rPr>
              <w:t>中标人无正当理由不与招标人订立合同，在签订合同时向招标人提出附加条件，或者不按照招标文件要求提交履约保证金的，取消其中标资格，投标保证金不予退还。</w:t>
            </w:r>
          </w:p>
          <w:p>
            <w:pPr>
              <w:spacing w:line="360" w:lineRule="exact"/>
              <w:ind w:firstLine="360" w:firstLineChars="150"/>
              <w:rPr>
                <w:rFonts w:hAnsi="宋体"/>
                <w:sz w:val="24"/>
                <w:szCs w:val="24"/>
              </w:rPr>
            </w:pPr>
            <w:r>
              <w:rPr>
                <w:rFonts w:hint="eastAsia" w:hAnsi="宋体"/>
                <w:sz w:val="24"/>
                <w:szCs w:val="24"/>
              </w:rPr>
              <w:t>中标人不履行与招标人订立的合同的，履约保证金不予退还，给招标人造成的损失超过履约保证金数额的，还应当对超过部分予以赔偿；没有提交履约保证金的，应当对招标人的损失承担赔偿责任。</w:t>
            </w:r>
          </w:p>
          <w:p>
            <w:pPr>
              <w:spacing w:line="312" w:lineRule="auto"/>
              <w:ind w:firstLine="480" w:firstLineChars="200"/>
              <w:rPr>
                <w:rFonts w:hAnsi="宋体"/>
                <w:color w:val="000000"/>
                <w:sz w:val="24"/>
                <w:szCs w:val="24"/>
              </w:rPr>
            </w:pPr>
            <w:r>
              <w:rPr>
                <w:rFonts w:hint="eastAsia" w:hAnsi="宋体"/>
                <w:sz w:val="24"/>
                <w:szCs w:val="24"/>
              </w:rPr>
              <w:t>投标人的投标活动属于“国家发展改革委等２４部委《关于对公共资源交易领域严重失信主体开展联合惩戒的备忘录》（发改法规〔2018〕457号）”十九种行为，等文件界定的不良行为的，按相关文件规定执行。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805"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66" w:type="dxa"/>
            <w:vAlign w:val="center"/>
          </w:tcPr>
          <w:p>
            <w:pPr>
              <w:spacing w:line="312" w:lineRule="auto"/>
              <w:rPr>
                <w:rFonts w:hAnsi="宋体"/>
                <w:color w:val="000000"/>
                <w:sz w:val="24"/>
                <w:szCs w:val="24"/>
              </w:rPr>
            </w:pPr>
          </w:p>
        </w:tc>
        <w:tc>
          <w:tcPr>
            <w:tcW w:w="8839" w:type="dxa"/>
            <w:gridSpan w:val="4"/>
            <w:vAlign w:val="center"/>
          </w:tcPr>
          <w:p>
            <w:pPr>
              <w:spacing w:line="312" w:lineRule="auto"/>
              <w:rPr>
                <w:rFonts w:hAnsi="宋体"/>
                <w:color w:val="000000"/>
                <w:sz w:val="24"/>
                <w:szCs w:val="24"/>
              </w:rPr>
            </w:pPr>
            <w:r>
              <w:rPr>
                <w:rFonts w:hint="eastAsia" w:hAnsi="宋体"/>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805" w:type="dxa"/>
            <w:gridSpan w:val="5"/>
            <w:vAlign w:val="center"/>
          </w:tcPr>
          <w:p>
            <w:pPr>
              <w:rPr>
                <w:rFonts w:hAnsi="宋体"/>
                <w:color w:val="000000"/>
                <w:sz w:val="24"/>
                <w:szCs w:val="24"/>
              </w:rPr>
            </w:pPr>
            <w:r>
              <w:rPr>
                <w:rFonts w:hint="eastAsia" w:hAnsi="宋体"/>
                <w:color w:val="000000"/>
                <w:sz w:val="24"/>
                <w:szCs w:val="24"/>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66" w:type="dxa"/>
            <w:vAlign w:val="center"/>
          </w:tcPr>
          <w:p>
            <w:pPr>
              <w:rPr>
                <w:rFonts w:hAnsi="宋体"/>
                <w:color w:val="000000"/>
                <w:sz w:val="24"/>
                <w:szCs w:val="24"/>
              </w:rPr>
            </w:pPr>
          </w:p>
        </w:tc>
        <w:tc>
          <w:tcPr>
            <w:tcW w:w="8839" w:type="dxa"/>
            <w:gridSpan w:val="4"/>
            <w:vAlign w:val="center"/>
          </w:tcPr>
          <w:p>
            <w:pPr>
              <w:rPr>
                <w:rFonts w:hAnsi="宋体"/>
                <w:color w:val="000000"/>
                <w:sz w:val="24"/>
                <w:szCs w:val="24"/>
              </w:rPr>
            </w:pPr>
            <w:r>
              <w:rPr>
                <w:rFonts w:hint="eastAsia" w:hAnsi="宋体"/>
                <w:color w:val="000000"/>
                <w:sz w:val="24"/>
                <w:szCs w:val="24"/>
              </w:rPr>
              <w:t>除投标人须知正文第8条规定的情形外，除非已经产生中标候选人，在投标有效期内同意延长投标有效期的投标人少于三个的， 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805"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66" w:type="dxa"/>
            <w:vAlign w:val="center"/>
          </w:tcPr>
          <w:p>
            <w:pPr>
              <w:rPr>
                <w:rFonts w:hAnsi="宋体"/>
                <w:color w:val="000000"/>
                <w:sz w:val="24"/>
                <w:szCs w:val="24"/>
              </w:rPr>
            </w:pPr>
          </w:p>
        </w:tc>
        <w:tc>
          <w:tcPr>
            <w:tcW w:w="8839" w:type="dxa"/>
            <w:gridSpan w:val="4"/>
            <w:vAlign w:val="center"/>
          </w:tcPr>
          <w:p>
            <w:pPr>
              <w:rPr>
                <w:rFonts w:hAnsi="宋体"/>
                <w:color w:val="000000"/>
                <w:sz w:val="24"/>
                <w:szCs w:val="24"/>
              </w:rPr>
            </w:pPr>
            <w:r>
              <w:rPr>
                <w:rFonts w:hint="eastAsia" w:hAnsi="宋体"/>
                <w:color w:val="000000"/>
                <w:sz w:val="24"/>
                <w:szCs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805"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10.8监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66" w:type="dxa"/>
            <w:vAlign w:val="center"/>
          </w:tcPr>
          <w:p>
            <w:pPr>
              <w:spacing w:line="312" w:lineRule="auto"/>
              <w:ind w:left="240" w:hanging="240" w:hangingChars="100"/>
              <w:rPr>
                <w:rFonts w:hAnsi="宋体"/>
                <w:color w:val="000000"/>
                <w:sz w:val="24"/>
                <w:szCs w:val="24"/>
              </w:rPr>
            </w:pPr>
          </w:p>
        </w:tc>
        <w:tc>
          <w:tcPr>
            <w:tcW w:w="8839" w:type="dxa"/>
            <w:gridSpan w:val="4"/>
            <w:vAlign w:val="center"/>
          </w:tcPr>
          <w:p>
            <w:pPr>
              <w:spacing w:line="312" w:lineRule="auto"/>
              <w:ind w:left="115" w:leftChars="34"/>
              <w:rPr>
                <w:rFonts w:hAnsi="宋体"/>
                <w:color w:val="000000"/>
                <w:sz w:val="24"/>
                <w:szCs w:val="24"/>
              </w:rPr>
            </w:pPr>
            <w:r>
              <w:rPr>
                <w:rFonts w:hint="eastAsia" w:hAnsi="宋体"/>
                <w:color w:val="000000"/>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805"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966" w:type="dxa"/>
            <w:vAlign w:val="center"/>
          </w:tcPr>
          <w:p>
            <w:pPr>
              <w:spacing w:line="312" w:lineRule="auto"/>
              <w:rPr>
                <w:rFonts w:hAnsi="宋体"/>
                <w:color w:val="000000"/>
                <w:sz w:val="24"/>
                <w:szCs w:val="24"/>
              </w:rPr>
            </w:pPr>
          </w:p>
        </w:tc>
        <w:tc>
          <w:tcPr>
            <w:tcW w:w="8839" w:type="dxa"/>
            <w:gridSpan w:val="4"/>
            <w:vAlign w:val="center"/>
          </w:tcPr>
          <w:p>
            <w:pPr>
              <w:spacing w:line="312" w:lineRule="auto"/>
              <w:rPr>
                <w:rFonts w:hAnsi="宋体"/>
                <w:color w:val="000000"/>
                <w:sz w:val="24"/>
                <w:szCs w:val="24"/>
              </w:rPr>
            </w:pPr>
            <w:r>
              <w:rPr>
                <w:rFonts w:hint="eastAsia" w:hAnsi="宋体"/>
                <w:color w:val="00000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805" w:type="dxa"/>
            <w:gridSpan w:val="5"/>
            <w:vAlign w:val="center"/>
          </w:tcPr>
          <w:p>
            <w:pPr>
              <w:autoSpaceDE w:val="0"/>
              <w:autoSpaceDN w:val="0"/>
              <w:adjustRightInd w:val="0"/>
              <w:spacing w:line="360" w:lineRule="exact"/>
              <w:jc w:val="left"/>
              <w:rPr>
                <w:rFonts w:hAnsi="宋体"/>
                <w:color w:val="000000"/>
                <w:sz w:val="24"/>
                <w:szCs w:val="24"/>
              </w:rPr>
            </w:pPr>
            <w:r>
              <w:rPr>
                <w:rFonts w:hint="eastAsia" w:hAnsi="宋体"/>
                <w:color w:val="000000"/>
                <w:sz w:val="24"/>
                <w:szCs w:val="24"/>
              </w:rPr>
              <w:t>10.10</w:t>
            </w:r>
            <w:r>
              <w:rPr>
                <w:rFonts w:hint="eastAsia" w:hAnsi="宋体" w:cs="宋体"/>
                <w:color w:val="000000"/>
                <w:sz w:val="24"/>
                <w:szCs w:val="24"/>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jc w:val="center"/>
        </w:trPr>
        <w:tc>
          <w:tcPr>
            <w:tcW w:w="966" w:type="dxa"/>
            <w:vAlign w:val="center"/>
          </w:tcPr>
          <w:p>
            <w:pPr>
              <w:spacing w:line="360" w:lineRule="exact"/>
              <w:rPr>
                <w:rFonts w:hAnsi="宋体"/>
                <w:color w:val="000000"/>
                <w:sz w:val="24"/>
                <w:szCs w:val="24"/>
              </w:rPr>
            </w:pPr>
          </w:p>
        </w:tc>
        <w:tc>
          <w:tcPr>
            <w:tcW w:w="8839" w:type="dxa"/>
            <w:gridSpan w:val="4"/>
            <w:vAlign w:val="center"/>
          </w:tcPr>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1、逾期送达的或未按照招标文件要求密封的纸质投标文件、及仅提供纸质投标文件的，招标人不予受理；</w:t>
            </w:r>
          </w:p>
          <w:p>
            <w:pPr>
              <w:autoSpaceDE w:val="0"/>
              <w:autoSpaceDN w:val="0"/>
              <w:spacing w:line="460" w:lineRule="exact"/>
              <w:contextualSpacing/>
              <w:jc w:val="left"/>
              <w:outlineLvl w:val="0"/>
              <w:rPr>
                <w:rFonts w:ascii="新宋体" w:hAnsi="新宋体" w:eastAsia="新宋体" w:cs="宋体"/>
                <w:sz w:val="24"/>
                <w:szCs w:val="24"/>
              </w:rPr>
            </w:pPr>
            <w:r>
              <w:rPr>
                <w:rFonts w:ascii="新宋体" w:hAnsi="新宋体" w:eastAsia="新宋体" w:cs="宋体"/>
                <w:sz w:val="24"/>
                <w:szCs w:val="24"/>
              </w:rPr>
              <w:t>2</w:t>
            </w:r>
            <w:r>
              <w:rPr>
                <w:rFonts w:hint="eastAsia" w:ascii="新宋体" w:hAnsi="新宋体" w:eastAsia="新宋体" w:cs="宋体"/>
                <w:sz w:val="24"/>
                <w:szCs w:val="24"/>
              </w:rPr>
              <w:t>、未按招标文件要求缴纳投标保证金的；</w:t>
            </w:r>
          </w:p>
          <w:p>
            <w:pPr>
              <w:autoSpaceDE w:val="0"/>
              <w:autoSpaceDN w:val="0"/>
              <w:spacing w:line="440" w:lineRule="exact"/>
              <w:jc w:val="left"/>
              <w:outlineLvl w:val="0"/>
              <w:rPr>
                <w:rFonts w:hAnsi="宋体" w:cs="宋体"/>
                <w:color w:val="000000"/>
                <w:sz w:val="24"/>
                <w:szCs w:val="24"/>
              </w:rPr>
            </w:pPr>
            <w:r>
              <w:rPr>
                <w:rFonts w:ascii="新宋体" w:hAnsi="新宋体" w:eastAsia="新宋体" w:cs="宋体"/>
                <w:sz w:val="24"/>
                <w:szCs w:val="24"/>
              </w:rPr>
              <w:t>3</w:t>
            </w:r>
            <w:r>
              <w:rPr>
                <w:rFonts w:hint="eastAsia" w:ascii="新宋体" w:hAnsi="新宋体" w:eastAsia="新宋体" w:cs="宋体"/>
                <w:sz w:val="24"/>
                <w:szCs w:val="24"/>
              </w:rPr>
              <w:t>、开标时，法定代表人或其授权委托人（持有效的授权委托书）未携带本人身份证到开标现场并签到的。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805" w:type="dxa"/>
            <w:gridSpan w:val="5"/>
          </w:tcPr>
          <w:p>
            <w:pPr>
              <w:autoSpaceDE w:val="0"/>
              <w:autoSpaceDN w:val="0"/>
              <w:spacing w:line="360" w:lineRule="exact"/>
              <w:jc w:val="left"/>
              <w:outlineLvl w:val="0"/>
              <w:rPr>
                <w:rFonts w:hAnsi="宋体" w:cs="宋体"/>
                <w:color w:val="000000"/>
                <w:sz w:val="24"/>
                <w:szCs w:val="24"/>
              </w:rPr>
            </w:pPr>
            <w:bookmarkStart w:id="3" w:name="_Toc397507930"/>
            <w:bookmarkStart w:id="4" w:name="_Toc397507517"/>
            <w:bookmarkStart w:id="5" w:name="_Toc397605799"/>
            <w:r>
              <w:rPr>
                <w:rFonts w:hint="eastAsia" w:hAnsi="宋体"/>
                <w:color w:val="000000"/>
                <w:sz w:val="24"/>
                <w:szCs w:val="24"/>
              </w:rPr>
              <w:t xml:space="preserve">10.11 </w:t>
            </w:r>
            <w:bookmarkEnd w:id="3"/>
            <w:bookmarkEnd w:id="4"/>
            <w:bookmarkEnd w:id="5"/>
            <w:r>
              <w:rPr>
                <w:rFonts w:hint="eastAsia" w:hAnsi="宋体"/>
                <w:color w:val="000000"/>
                <w:sz w:val="24"/>
                <w:szCs w:val="24"/>
              </w:rPr>
              <w:t>招标代理费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66" w:type="dxa"/>
            <w:vAlign w:val="center"/>
          </w:tcPr>
          <w:p>
            <w:pPr>
              <w:spacing w:line="360" w:lineRule="exact"/>
              <w:rPr>
                <w:rFonts w:hAnsi="宋体"/>
                <w:color w:val="000000"/>
                <w:sz w:val="24"/>
                <w:szCs w:val="24"/>
              </w:rPr>
            </w:pPr>
          </w:p>
        </w:tc>
        <w:tc>
          <w:tcPr>
            <w:tcW w:w="8839" w:type="dxa"/>
            <w:gridSpan w:val="4"/>
          </w:tcPr>
          <w:p>
            <w:pPr>
              <w:autoSpaceDE w:val="0"/>
              <w:autoSpaceDN w:val="0"/>
              <w:spacing w:line="360" w:lineRule="exact"/>
              <w:jc w:val="left"/>
              <w:outlineLvl w:val="0"/>
              <w:rPr>
                <w:rFonts w:hAnsi="宋体"/>
                <w:color w:val="000000"/>
                <w:sz w:val="24"/>
                <w:szCs w:val="24"/>
              </w:rPr>
            </w:pPr>
            <w:r>
              <w:rPr>
                <w:rFonts w:hAnsi="宋体" w:cs="仿宋_GB2312"/>
                <w:color w:val="000000"/>
                <w:sz w:val="24"/>
                <w:szCs w:val="24"/>
              </w:rPr>
              <w:t>招标代理服务费由</w:t>
            </w:r>
            <w:r>
              <w:rPr>
                <w:rFonts w:hint="eastAsia" w:hAnsi="宋体" w:cs="仿宋_GB2312"/>
                <w:color w:val="000000"/>
                <w:sz w:val="24"/>
                <w:szCs w:val="24"/>
              </w:rPr>
              <w:t>中标</w:t>
            </w:r>
            <w:r>
              <w:rPr>
                <w:rFonts w:hAnsi="宋体" w:cs="仿宋_GB2312"/>
                <w:color w:val="000000"/>
                <w:sz w:val="24"/>
                <w:szCs w:val="24"/>
              </w:rPr>
              <w:t>人</w:t>
            </w:r>
            <w:r>
              <w:rPr>
                <w:rFonts w:hint="eastAsia" w:hAnsi="宋体" w:cs="仿宋_GB2312"/>
                <w:color w:val="000000"/>
                <w:sz w:val="24"/>
                <w:szCs w:val="24"/>
              </w:rPr>
              <w:t>向招标代理机构</w:t>
            </w:r>
            <w:r>
              <w:rPr>
                <w:rFonts w:hAnsi="宋体" w:cs="仿宋_GB2312"/>
                <w:color w:val="000000"/>
                <w:sz w:val="24"/>
                <w:szCs w:val="24"/>
              </w:rPr>
              <w:t>支付</w:t>
            </w:r>
            <w:r>
              <w:rPr>
                <w:rFonts w:hint="eastAsia" w:hAnsi="宋体" w:cs="仿宋_GB2312"/>
                <w:color w:val="000000"/>
                <w:sz w:val="24"/>
                <w:szCs w:val="24"/>
                <w:lang w:eastAsia="zh-CN"/>
              </w:rPr>
              <w:t>及相关费用</w:t>
            </w:r>
            <w:r>
              <w:rPr>
                <w:rFonts w:hint="eastAsia" w:hAnsi="宋体" w:cs="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805" w:type="dxa"/>
            <w:gridSpan w:val="5"/>
            <w:vAlign w:val="center"/>
          </w:tcPr>
          <w:p>
            <w:pPr>
              <w:spacing w:line="360" w:lineRule="exact"/>
              <w:rPr>
                <w:rFonts w:hAnsi="宋体"/>
                <w:color w:val="000000"/>
                <w:sz w:val="24"/>
                <w:szCs w:val="24"/>
              </w:rPr>
            </w:pPr>
            <w:r>
              <w:rPr>
                <w:rFonts w:hint="eastAsia" w:hAnsi="宋体"/>
                <w:color w:val="000000"/>
                <w:sz w:val="24"/>
                <w:szCs w:val="24"/>
              </w:rPr>
              <w:t>10.12招标文件费用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173" w:type="dxa"/>
            <w:gridSpan w:val="3"/>
            <w:vAlign w:val="center"/>
          </w:tcPr>
          <w:p>
            <w:pPr>
              <w:spacing w:line="360" w:lineRule="exact"/>
              <w:rPr>
                <w:rFonts w:hAnsi="宋体"/>
                <w:color w:val="000000"/>
                <w:sz w:val="24"/>
                <w:szCs w:val="24"/>
              </w:rPr>
            </w:pPr>
          </w:p>
        </w:tc>
        <w:tc>
          <w:tcPr>
            <w:tcW w:w="8632" w:type="dxa"/>
            <w:gridSpan w:val="2"/>
          </w:tcPr>
          <w:p>
            <w:pPr>
              <w:autoSpaceDE w:val="0"/>
              <w:autoSpaceDN w:val="0"/>
              <w:spacing w:line="360" w:lineRule="exact"/>
              <w:jc w:val="left"/>
              <w:outlineLvl w:val="0"/>
              <w:rPr>
                <w:rFonts w:hAnsi="宋体"/>
                <w:color w:val="000000"/>
                <w:sz w:val="24"/>
                <w:szCs w:val="24"/>
              </w:rPr>
            </w:pPr>
            <w:bookmarkStart w:id="6" w:name="_Toc4662"/>
            <w:r>
              <w:rPr>
                <w:rFonts w:hint="eastAsia" w:hAnsi="宋体"/>
                <w:color w:val="000000"/>
                <w:sz w:val="24"/>
                <w:szCs w:val="24"/>
              </w:rPr>
              <w:t>1、招标文件费用</w:t>
            </w:r>
            <w:r>
              <w:rPr>
                <w:rFonts w:hint="eastAsia" w:hAnsi="宋体"/>
                <w:b/>
                <w:color w:val="000000"/>
                <w:sz w:val="24"/>
                <w:szCs w:val="24"/>
              </w:rPr>
              <w:t>300元/</w:t>
            </w:r>
            <w:r>
              <w:rPr>
                <w:rFonts w:hint="eastAsia" w:hAnsi="宋体"/>
                <w:color w:val="000000"/>
                <w:sz w:val="24"/>
                <w:szCs w:val="24"/>
              </w:rPr>
              <w:t>标段，售后不退；</w:t>
            </w:r>
            <w:bookmarkEnd w:id="6"/>
          </w:p>
          <w:p>
            <w:pPr>
              <w:autoSpaceDE w:val="0"/>
              <w:autoSpaceDN w:val="0"/>
              <w:spacing w:line="360" w:lineRule="exact"/>
              <w:jc w:val="left"/>
              <w:outlineLvl w:val="0"/>
              <w:rPr>
                <w:rFonts w:hAnsi="宋体"/>
                <w:color w:val="000000"/>
                <w:sz w:val="24"/>
                <w:szCs w:val="24"/>
              </w:rPr>
            </w:pPr>
            <w:bookmarkStart w:id="7" w:name="_Toc22741"/>
            <w:r>
              <w:rPr>
                <w:rFonts w:hint="eastAsia" w:hAnsi="宋体" w:cs="宋体"/>
                <w:color w:val="000000"/>
                <w:sz w:val="24"/>
                <w:szCs w:val="24"/>
              </w:rPr>
              <w:t>2、</w:t>
            </w:r>
            <w:r>
              <w:rPr>
                <w:rFonts w:hint="eastAsia" w:hAnsi="宋体"/>
                <w:color w:val="000000"/>
                <w:sz w:val="24"/>
                <w:szCs w:val="24"/>
              </w:rPr>
              <w:t>投标人在递交纸质投标文件时交纳招标文件费用。</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805" w:type="dxa"/>
            <w:gridSpan w:val="5"/>
            <w:vAlign w:val="center"/>
          </w:tcPr>
          <w:p>
            <w:pPr>
              <w:autoSpaceDE w:val="0"/>
              <w:autoSpaceDN w:val="0"/>
              <w:spacing w:line="360" w:lineRule="exact"/>
              <w:jc w:val="left"/>
              <w:outlineLvl w:val="0"/>
              <w:rPr>
                <w:rFonts w:hAnsi="宋体"/>
                <w:color w:val="000000"/>
                <w:sz w:val="24"/>
                <w:szCs w:val="24"/>
              </w:rPr>
            </w:pPr>
            <w:bookmarkStart w:id="8" w:name="_Toc397507934"/>
            <w:bookmarkStart w:id="9" w:name="_Toc397605803"/>
            <w:bookmarkStart w:id="10" w:name="_Toc397507521"/>
            <w:r>
              <w:rPr>
                <w:rFonts w:hint="eastAsia" w:hAnsi="宋体"/>
                <w:color w:val="000000"/>
                <w:sz w:val="24"/>
                <w:szCs w:val="24"/>
              </w:rPr>
              <w:t>10.13 工程结算方法</w:t>
            </w:r>
            <w:bookmarkEnd w:id="8"/>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73" w:type="dxa"/>
            <w:gridSpan w:val="3"/>
            <w:vAlign w:val="center"/>
          </w:tcPr>
          <w:p>
            <w:pPr>
              <w:spacing w:line="360" w:lineRule="exact"/>
              <w:rPr>
                <w:rFonts w:hAnsi="宋体"/>
                <w:color w:val="000000"/>
                <w:sz w:val="24"/>
                <w:szCs w:val="24"/>
              </w:rPr>
            </w:pPr>
          </w:p>
        </w:tc>
        <w:tc>
          <w:tcPr>
            <w:tcW w:w="8632" w:type="dxa"/>
            <w:gridSpan w:val="2"/>
          </w:tcPr>
          <w:p>
            <w:pPr>
              <w:autoSpaceDE w:val="0"/>
              <w:autoSpaceDN w:val="0"/>
              <w:spacing w:line="360" w:lineRule="exact"/>
              <w:jc w:val="left"/>
              <w:outlineLvl w:val="0"/>
              <w:rPr>
                <w:rFonts w:hAnsi="宋体"/>
                <w:b/>
                <w:color w:val="000000"/>
                <w:sz w:val="24"/>
                <w:szCs w:val="24"/>
              </w:rPr>
            </w:pPr>
            <w:bookmarkStart w:id="11" w:name="_Toc397507935"/>
            <w:bookmarkStart w:id="12" w:name="_Toc397605804"/>
            <w:bookmarkStart w:id="13" w:name="_Toc397507522"/>
            <w:r>
              <w:rPr>
                <w:rFonts w:hint="eastAsia" w:hAnsi="宋体" w:cs="仿宋_GB2312"/>
                <w:color w:val="000000"/>
                <w:sz w:val="24"/>
                <w:szCs w:val="24"/>
              </w:rPr>
              <w:t>本工程按合同约定方式付款。</w:t>
            </w:r>
            <w:bookmarkEnd w:id="11"/>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805" w:type="dxa"/>
            <w:gridSpan w:val="5"/>
            <w:vAlign w:val="center"/>
          </w:tcPr>
          <w:p>
            <w:pPr>
              <w:autoSpaceDE w:val="0"/>
              <w:autoSpaceDN w:val="0"/>
              <w:spacing w:line="360" w:lineRule="exact"/>
              <w:jc w:val="left"/>
              <w:outlineLvl w:val="0"/>
              <w:rPr>
                <w:rFonts w:hAnsi="宋体" w:cs="仿宋_GB2312"/>
                <w:color w:val="000000"/>
                <w:sz w:val="24"/>
                <w:szCs w:val="24"/>
              </w:rPr>
            </w:pPr>
            <w:bookmarkStart w:id="14" w:name="_Toc397605805"/>
            <w:bookmarkStart w:id="15" w:name="_Toc397507936"/>
            <w:bookmarkStart w:id="16" w:name="_Toc397507523"/>
            <w:r>
              <w:rPr>
                <w:rFonts w:hint="eastAsia" w:hAnsi="宋体" w:cs="仿宋_GB2312"/>
                <w:color w:val="000000"/>
                <w:sz w:val="24"/>
                <w:szCs w:val="24"/>
              </w:rPr>
              <w:t xml:space="preserve">10.14 </w:t>
            </w:r>
            <w:r>
              <w:rPr>
                <w:rFonts w:hAnsi="宋体"/>
                <w:color w:val="000000"/>
                <w:sz w:val="24"/>
                <w:szCs w:val="24"/>
              </w:rPr>
              <w:t>履约</w:t>
            </w:r>
            <w:bookmarkEnd w:id="14"/>
            <w:bookmarkEnd w:id="15"/>
            <w:bookmarkEnd w:id="16"/>
            <w:r>
              <w:rPr>
                <w:rFonts w:hint="eastAsia" w:hAnsi="宋体"/>
                <w:color w:val="000000"/>
                <w:sz w:val="24"/>
                <w:szCs w:val="24"/>
              </w:rPr>
              <w:t>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1173" w:type="dxa"/>
            <w:gridSpan w:val="3"/>
            <w:vAlign w:val="center"/>
          </w:tcPr>
          <w:p>
            <w:pPr>
              <w:spacing w:line="360" w:lineRule="exact"/>
              <w:rPr>
                <w:rFonts w:hAnsi="宋体"/>
                <w:color w:val="000000"/>
                <w:sz w:val="24"/>
                <w:szCs w:val="24"/>
              </w:rPr>
            </w:pPr>
          </w:p>
        </w:tc>
        <w:tc>
          <w:tcPr>
            <w:tcW w:w="8632" w:type="dxa"/>
            <w:gridSpan w:val="2"/>
            <w:vAlign w:val="center"/>
          </w:tcPr>
          <w:p>
            <w:pPr>
              <w:autoSpaceDE w:val="0"/>
              <w:autoSpaceDN w:val="0"/>
              <w:contextualSpacing/>
              <w:jc w:val="left"/>
              <w:outlineLvl w:val="0"/>
              <w:rPr>
                <w:rFonts w:hint="eastAsia" w:ascii="宋体" w:hAnsi="宋体" w:cs="宋体"/>
                <w:sz w:val="24"/>
              </w:rPr>
            </w:pPr>
            <w:r>
              <w:rPr>
                <w:rFonts w:hint="eastAsia" w:ascii="宋体" w:hAnsi="宋体" w:cs="宋体"/>
                <w:sz w:val="24"/>
              </w:rPr>
              <w:t>开户银行：中国工商银行股份有限公司长葛支行</w:t>
            </w:r>
          </w:p>
          <w:p>
            <w:pPr>
              <w:autoSpaceDE w:val="0"/>
              <w:autoSpaceDN w:val="0"/>
              <w:contextualSpacing/>
              <w:jc w:val="left"/>
              <w:outlineLvl w:val="0"/>
              <w:rPr>
                <w:rFonts w:hint="eastAsia" w:ascii="宋体" w:hAnsi="宋体" w:cs="宋体"/>
                <w:sz w:val="24"/>
              </w:rPr>
            </w:pPr>
            <w:r>
              <w:rPr>
                <w:rFonts w:hint="eastAsia" w:ascii="宋体" w:hAnsi="宋体" w:cs="宋体"/>
                <w:sz w:val="24"/>
              </w:rPr>
              <w:t>帐户名称：长葛市公共资源交易中心</w:t>
            </w:r>
          </w:p>
          <w:p>
            <w:pPr>
              <w:autoSpaceDE w:val="0"/>
              <w:autoSpaceDN w:val="0"/>
              <w:contextualSpacing/>
              <w:jc w:val="left"/>
              <w:outlineLvl w:val="0"/>
              <w:rPr>
                <w:rFonts w:hint="eastAsia" w:ascii="宋体" w:hAnsi="宋体" w:cs="宋体"/>
                <w:sz w:val="24"/>
              </w:rPr>
            </w:pPr>
            <w:r>
              <w:rPr>
                <w:rFonts w:hint="eastAsia" w:ascii="宋体" w:hAnsi="宋体" w:cs="宋体"/>
                <w:sz w:val="24"/>
              </w:rPr>
              <w:t>帐号1708026029200151795</w:t>
            </w:r>
          </w:p>
          <w:p>
            <w:pPr>
              <w:autoSpaceDE w:val="0"/>
              <w:autoSpaceDN w:val="0"/>
              <w:contextualSpacing/>
              <w:jc w:val="left"/>
              <w:outlineLvl w:val="0"/>
              <w:rPr>
                <w:rFonts w:hint="eastAsia" w:ascii="宋体" w:hAnsi="宋体" w:cs="宋体"/>
                <w:sz w:val="24"/>
              </w:rPr>
            </w:pPr>
            <w:r>
              <w:rPr>
                <w:rFonts w:hint="eastAsia" w:ascii="宋体" w:hAnsi="宋体" w:cs="宋体"/>
                <w:sz w:val="24"/>
              </w:rPr>
              <w:t>履约担保的金额：中标金额的10%</w:t>
            </w:r>
          </w:p>
          <w:p>
            <w:pPr>
              <w:rPr>
                <w:rFonts w:hint="eastAsia" w:ascii="宋体" w:hAnsi="宋体" w:cs="宋体"/>
                <w:sz w:val="24"/>
              </w:rPr>
            </w:pPr>
            <w:r>
              <w:rPr>
                <w:rFonts w:hint="eastAsia" w:ascii="宋体" w:hAnsi="宋体" w:cs="宋体"/>
                <w:sz w:val="24"/>
              </w:rPr>
              <w:t>中标人无正当理由不与招标人订立合同，在签订合同时向招标人提出附加条件，或者不按照招标文件要求提交履约担保的，取消其中标资格，投标保证金不予退还。</w:t>
            </w:r>
          </w:p>
          <w:p>
            <w:pPr>
              <w:autoSpaceDE w:val="0"/>
              <w:autoSpaceDN w:val="0"/>
              <w:spacing w:line="360" w:lineRule="exact"/>
              <w:outlineLvl w:val="0"/>
              <w:rPr>
                <w:sz w:val="24"/>
                <w:szCs w:val="24"/>
              </w:rPr>
            </w:pPr>
            <w:r>
              <w:rPr>
                <w:rFonts w:hint="eastAsia"/>
                <w:sz w:val="24"/>
                <w:szCs w:val="24"/>
              </w:rPr>
              <w:t>注：缴纳履约担保时需备注项目编号：</w:t>
            </w:r>
            <w:r>
              <w:rPr>
                <w:rFonts w:hint="eastAsia"/>
                <w:color w:val="2E75B5" w:themeColor="accent1" w:themeShade="BF"/>
                <w:sz w:val="24"/>
                <w:szCs w:val="24"/>
              </w:rPr>
              <w:t>长交建【</w:t>
            </w:r>
            <w:r>
              <w:rPr>
                <w:rFonts w:hint="eastAsia"/>
                <w:color w:val="2E75B5" w:themeColor="accent1" w:themeShade="BF"/>
                <w:sz w:val="24"/>
                <w:szCs w:val="24"/>
                <w:lang w:val="en-US" w:eastAsia="zh-CN"/>
              </w:rPr>
              <w:t>2019</w:t>
            </w:r>
            <w:r>
              <w:rPr>
                <w:rFonts w:hint="eastAsia"/>
                <w:color w:val="2E75B5" w:themeColor="accent1" w:themeShade="BF"/>
                <w:sz w:val="24"/>
                <w:szCs w:val="24"/>
              </w:rPr>
              <w:t>】GZ</w:t>
            </w:r>
            <w:r>
              <w:rPr>
                <w:rFonts w:hint="eastAsia"/>
                <w:color w:val="2E75B5" w:themeColor="accent1" w:themeShade="BF"/>
                <w:sz w:val="24"/>
                <w:szCs w:val="24"/>
                <w:lang w:val="en-US" w:eastAsia="zh-CN"/>
              </w:rPr>
              <w:t xml:space="preserve">  </w:t>
            </w:r>
            <w:r>
              <w:rPr>
                <w:rFonts w:hint="eastAsia"/>
                <w:color w:val="2E75B5" w:themeColor="accent1" w:themeShade="BF"/>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805" w:type="dxa"/>
            <w:gridSpan w:val="5"/>
            <w:vAlign w:val="center"/>
          </w:tcPr>
          <w:p>
            <w:pPr>
              <w:autoSpaceDE w:val="0"/>
              <w:autoSpaceDN w:val="0"/>
              <w:adjustRightInd w:val="0"/>
              <w:spacing w:line="400" w:lineRule="exact"/>
              <w:rPr>
                <w:rFonts w:hAnsi="宋体" w:cs="仿宋_GB2312"/>
                <w:color w:val="000000"/>
                <w:sz w:val="24"/>
                <w:szCs w:val="24"/>
              </w:rPr>
            </w:pPr>
            <w:r>
              <w:rPr>
                <w:rFonts w:hint="eastAsia" w:hAnsi="宋体" w:cs="仿宋_GB2312"/>
                <w:b/>
                <w:bCs/>
                <w:color w:val="000000"/>
                <w:sz w:val="24"/>
                <w:szCs w:val="24"/>
              </w:rPr>
              <w:t>10.15招标人、投标人不得有下列行为：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10" w:type="dxa"/>
            <w:gridSpan w:val="2"/>
            <w:vAlign w:val="center"/>
          </w:tcPr>
          <w:p>
            <w:pPr>
              <w:autoSpaceDE w:val="0"/>
              <w:autoSpaceDN w:val="0"/>
              <w:adjustRightInd w:val="0"/>
              <w:spacing w:line="400" w:lineRule="exact"/>
              <w:rPr>
                <w:rFonts w:hAnsi="宋体" w:cs="仿宋_GB2312"/>
                <w:b/>
                <w:bCs/>
                <w:color w:val="000000"/>
                <w:sz w:val="24"/>
                <w:szCs w:val="24"/>
              </w:rPr>
            </w:pPr>
          </w:p>
        </w:tc>
        <w:tc>
          <w:tcPr>
            <w:tcW w:w="8695" w:type="dxa"/>
            <w:gridSpan w:val="3"/>
            <w:vAlign w:val="center"/>
          </w:tcPr>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《中华人民共和国招标投标法》第三十二条：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adjustRightInd w:val="0"/>
              <w:spacing w:line="400" w:lineRule="exact"/>
              <w:rPr>
                <w:rFonts w:hAnsi="宋体" w:cs="仿宋_GB2312"/>
                <w:color w:val="000000"/>
                <w:sz w:val="24"/>
                <w:szCs w:val="24"/>
              </w:rPr>
            </w:pPr>
            <w:r>
              <w:rPr>
                <w:rFonts w:hint="eastAsia" w:hAnsi="宋体" w:cs="仿宋_GB2312"/>
                <w:b/>
                <w:color w:val="000000"/>
                <w:sz w:val="24"/>
                <w:szCs w:val="24"/>
              </w:rPr>
              <w:t>《中华人民共和国招标投标法》第三十三条：</w:t>
            </w:r>
            <w:r>
              <w:rPr>
                <w:rFonts w:hint="eastAsia" w:hAnsi="宋体" w:cs="仿宋_GB2312"/>
                <w:color w:val="000000"/>
                <w:sz w:val="24"/>
                <w:szCs w:val="24"/>
              </w:rPr>
              <w:t xml:space="preserve"> 投标人不得以低于成本的报价竞标，也不得以他人名义投标或者以其他方式弄虚作假，骗取中标。</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《中华人民共和国招标投标法实施条例》第三十九条：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禁止投标人相互串通投标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有下列情形之一的，属于投标人相互串通投标：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（一）投标人之间协商投标报价等投标文件的实质性内容；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（二）投标人之间约定中标人；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（三）投标人之间约定部分投标人放弃投标或者中标；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（四）属于同一集团、协会、商会等组织成员的投标人按照该组织要求协同投标；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（五）投标人之间为谋取中标或者排斥特定投标人而采取的其他联合行动。</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《中华人民共和国招标投标法实施条例》第四十条：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有下列情形之一的，视为投标人相互串通投标：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（一）不同投标人的投标文件由同一单位或者个人编制；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（二）不同投标人委托同一单位或者个人办理投标事宜；</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（三）不同投标人的投标文件载明的项目管理成员为同一人；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（四）不同投标人的投标文件异常一致或者投标报价呈规律性差异；</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（五）不同投标人的投标文件相互混装；</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（六）不同投标人的投标保证金从同一单位或者个人的账户转出。</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《中华人民共和国招标投标法实施条例》第四十一条：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禁止招标人与投标人串通投标。</w:t>
            </w:r>
          </w:p>
          <w:p>
            <w:pPr>
              <w:autoSpaceDE w:val="0"/>
              <w:autoSpaceDN w:val="0"/>
              <w:adjustRightInd w:val="0"/>
              <w:spacing w:line="400" w:lineRule="exact"/>
              <w:ind w:firstLine="120" w:firstLineChars="50"/>
              <w:rPr>
                <w:rFonts w:hAnsi="宋体" w:cs="仿宋_GB2312"/>
                <w:color w:val="000000"/>
                <w:sz w:val="24"/>
                <w:szCs w:val="24"/>
              </w:rPr>
            </w:pPr>
            <w:r>
              <w:rPr>
                <w:rFonts w:hint="eastAsia" w:hAnsi="宋体" w:cs="仿宋_GB2312"/>
                <w:color w:val="000000"/>
                <w:sz w:val="24"/>
                <w:szCs w:val="24"/>
              </w:rPr>
              <w:t>有下列情形之一的，属于招标人与投标人串通投标：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（一）招标人在开标前开启投标文件并将有关信息泄露给其他投标人;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（二）招标人直接或者间接向投标人泄露标底、评标委员会成员等信息；</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（三）招标人明示或者暗示投标人压低或者抬高投标报价；</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（四）招标人授意投标人撤换、修改投标文件；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（五）招标人明示或者暗示投标人为特定投标人中标提供方便；</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（六）招标人与投标人为谋求特定投标人中标而采取的其他串通行为。</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《中华人民共和国招标投标法实施条例》第四十二条：</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使用通过受让或者租借等方式获取的资格、资质证书投标的，属于招标投标法第三十三条规定的以他人名义投标。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投标人有下列情形之一的，属于招标投标法第三十三条规定的以其他方式弄虚作假的行为：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（一）使用伪造、变造的许可证件；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（二）提供虚假的财务状况或者业绩；</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（三）提供虚假的项目负责人或者主要技术人员简历、劳动关系证明；</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（四）提供虚假的信用状况；</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805" w:type="dxa"/>
            <w:gridSpan w:val="5"/>
            <w:vAlign w:val="center"/>
          </w:tcPr>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10.16</w:t>
            </w:r>
            <w:r>
              <w:rPr>
                <w:rFonts w:hint="eastAsia" w:hAnsi="宋体" w:cs="仿宋_GB2312"/>
                <w:b/>
                <w:bCs/>
                <w:color w:val="000000"/>
                <w:sz w:val="24"/>
                <w:szCs w:val="24"/>
              </w:rPr>
              <w:t>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10" w:type="dxa"/>
            <w:gridSpan w:val="2"/>
            <w:vAlign w:val="center"/>
          </w:tcPr>
          <w:p>
            <w:pPr>
              <w:autoSpaceDE w:val="0"/>
              <w:autoSpaceDN w:val="0"/>
              <w:adjustRightInd w:val="0"/>
              <w:spacing w:line="400" w:lineRule="exact"/>
              <w:rPr>
                <w:rFonts w:hAnsi="宋体" w:cs="仿宋_GB2312"/>
                <w:b/>
                <w:bCs/>
                <w:color w:val="000000"/>
                <w:sz w:val="24"/>
                <w:szCs w:val="24"/>
              </w:rPr>
            </w:pPr>
          </w:p>
        </w:tc>
        <w:tc>
          <w:tcPr>
            <w:tcW w:w="8695" w:type="dxa"/>
            <w:gridSpan w:val="3"/>
            <w:vAlign w:val="center"/>
          </w:tcPr>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2、潜在投标人如对招标文件有异议，请在规定时间内在《全国公共资源交易平台（河南省·许昌市）》公共资源交易系统中提出，以其他方式递交的异议不予接受。</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3、投标人在投标截止时间前应随时关注《全国公共资源交易平台（河南省·许昌市）》公共资源交易系统发出的有关本项目的答疑、修改等相关内容。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4、本项目试行全流程电子化交易，如因交易系统异常情况无法完成，将以人工方式进行。</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5、投标文件依据最终的招标文件进行编制。如果招标文件发生变更，投标人应以招标人最终发出的电子招标文件为准，编制投标文件，务请投标人随时关注项目变更信息。</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6、投标人电子投标文件成功提交后，应打印“投标文件提交回执单”，供开标现场备查。</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7、商务标投标文件制作注意事项：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10" w:type="dxa"/>
            <w:gridSpan w:val="2"/>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11</w:t>
            </w:r>
          </w:p>
        </w:tc>
        <w:tc>
          <w:tcPr>
            <w:tcW w:w="8695" w:type="dxa"/>
            <w:gridSpan w:val="3"/>
            <w:vAlign w:val="center"/>
          </w:tcPr>
          <w:p>
            <w:pPr>
              <w:autoSpaceDE w:val="0"/>
              <w:autoSpaceDN w:val="0"/>
              <w:adjustRightInd w:val="0"/>
              <w:spacing w:line="420" w:lineRule="exact"/>
              <w:rPr>
                <w:rFonts w:hAnsi="宋体" w:cs="仿宋_GB2312"/>
                <w:color w:val="000000"/>
                <w:sz w:val="24"/>
                <w:szCs w:val="24"/>
              </w:rPr>
            </w:pPr>
            <w:r>
              <w:rPr>
                <w:rFonts w:hint="eastAsia" w:hAnsi="宋体" w:cs="仿宋_GB2312"/>
                <w:color w:val="000000"/>
                <w:sz w:val="24"/>
                <w:szCs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805" w:type="dxa"/>
            <w:gridSpan w:val="5"/>
            <w:vAlign w:val="center"/>
          </w:tcPr>
          <w:p>
            <w:pPr>
              <w:autoSpaceDE w:val="0"/>
              <w:autoSpaceDN w:val="0"/>
              <w:spacing w:line="360" w:lineRule="exact"/>
              <w:jc w:val="left"/>
              <w:outlineLvl w:val="0"/>
              <w:rPr>
                <w:rFonts w:hAnsi="宋体" w:cs="仿宋_GB2312"/>
                <w:color w:val="000000"/>
                <w:sz w:val="24"/>
                <w:szCs w:val="24"/>
              </w:rPr>
            </w:pPr>
            <w:r>
              <w:rPr>
                <w:rFonts w:hint="eastAsia" w:hAnsi="宋体"/>
                <w:color w:val="000000"/>
                <w:position w:val="6"/>
                <w:sz w:val="24"/>
                <w:szCs w:val="24"/>
              </w:rPr>
              <w:t>未尽事宜，按国家有关规定执行。</w:t>
            </w:r>
          </w:p>
        </w:tc>
      </w:tr>
    </w:tbl>
    <w:p>
      <w:pPr>
        <w:autoSpaceDE w:val="0"/>
        <w:autoSpaceDN w:val="0"/>
        <w:spacing w:line="42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2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本招标项目招标代理机构：见投标人须知前附表。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1.4 投标人及</w:t>
      </w:r>
      <w:r>
        <w:rPr>
          <w:rFonts w:hint="eastAsia" w:hAnsi="宋体" w:cs="宋体"/>
          <w:b/>
          <w:sz w:val="24"/>
          <w:szCs w:val="22"/>
        </w:rPr>
        <w:t>项目经理资</w:t>
      </w:r>
      <w:r>
        <w:rPr>
          <w:rFonts w:hint="eastAsia" w:hAnsi="宋体" w:cs="宋体"/>
          <w:b/>
          <w:sz w:val="24"/>
        </w:rPr>
        <w:t>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hAnsi="宋体"/>
          <w:sz w:val="24"/>
          <w:szCs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1.4.3投标人不得存在下列情形之一：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（13）被国家发改委等部门列入联合惩戒备忘录（黑名单）的。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1.4.4单位负责人为同一人或存在控股、管理关系的不同单位，不得同时参加本项目投标。</w:t>
      </w:r>
    </w:p>
    <w:p>
      <w:pPr>
        <w:autoSpaceDE w:val="0"/>
        <w:autoSpaceDN w:val="0"/>
        <w:spacing w:line="420" w:lineRule="exact"/>
        <w:jc w:val="left"/>
        <w:outlineLvl w:val="0"/>
        <w:rPr>
          <w:rFonts w:hAnsi="宋体" w:cs="宋体"/>
          <w:b/>
          <w:sz w:val="24"/>
        </w:rPr>
      </w:pPr>
      <w:bookmarkStart w:id="17" w:name="_Toc152042311"/>
      <w:bookmarkStart w:id="18" w:name="_Toc144974503"/>
      <w:bookmarkStart w:id="19" w:name="_Toc179632552"/>
      <w:bookmarkStart w:id="20" w:name="_Toc152045535"/>
      <w:r>
        <w:rPr>
          <w:rFonts w:hint="eastAsia" w:hAnsi="宋体" w:cs="宋体"/>
          <w:b/>
          <w:sz w:val="24"/>
        </w:rPr>
        <w:t>1.5 费用承担</w:t>
      </w:r>
      <w:bookmarkEnd w:id="17"/>
      <w:bookmarkEnd w:id="18"/>
      <w:bookmarkEnd w:id="19"/>
      <w:bookmarkEnd w:id="2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20" w:lineRule="exact"/>
        <w:jc w:val="left"/>
        <w:outlineLvl w:val="0"/>
        <w:rPr>
          <w:rFonts w:hAnsi="宋体" w:cs="宋体"/>
          <w:b/>
          <w:sz w:val="24"/>
        </w:rPr>
      </w:pPr>
      <w:bookmarkStart w:id="21" w:name="_Toc179632553"/>
      <w:bookmarkStart w:id="22" w:name="_Toc152045536"/>
      <w:bookmarkStart w:id="23" w:name="_Toc152042312"/>
      <w:bookmarkStart w:id="24" w:name="_Toc144974504"/>
      <w:r>
        <w:rPr>
          <w:rFonts w:hint="eastAsia" w:hAnsi="宋体" w:cs="宋体"/>
          <w:b/>
          <w:sz w:val="24"/>
        </w:rPr>
        <w:t>1.6 保密</w:t>
      </w:r>
      <w:bookmarkEnd w:id="21"/>
      <w:bookmarkEnd w:id="22"/>
      <w:bookmarkEnd w:id="23"/>
      <w:bookmarkEnd w:id="24"/>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20" w:lineRule="exact"/>
        <w:jc w:val="left"/>
        <w:outlineLvl w:val="0"/>
        <w:rPr>
          <w:rFonts w:hAnsi="宋体" w:cs="宋体"/>
          <w:b/>
          <w:sz w:val="24"/>
        </w:rPr>
      </w:pPr>
      <w:bookmarkStart w:id="25" w:name="_Toc144974505"/>
      <w:bookmarkStart w:id="26" w:name="_Toc152045537"/>
      <w:bookmarkStart w:id="27" w:name="_Toc179632554"/>
      <w:bookmarkStart w:id="28" w:name="_Toc152042313"/>
      <w:r>
        <w:rPr>
          <w:rFonts w:hint="eastAsia" w:hAnsi="宋体" w:cs="宋体"/>
          <w:b/>
          <w:sz w:val="24"/>
        </w:rPr>
        <w:t>1.7 语言</w:t>
      </w:r>
      <w:bookmarkEnd w:id="25"/>
      <w:r>
        <w:rPr>
          <w:rFonts w:hint="eastAsia" w:hAnsi="宋体" w:cs="宋体"/>
          <w:b/>
          <w:sz w:val="24"/>
        </w:rPr>
        <w:t>文字</w:t>
      </w:r>
      <w:bookmarkEnd w:id="26"/>
      <w:bookmarkEnd w:id="27"/>
      <w:bookmarkEnd w:id="28"/>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20" w:lineRule="exact"/>
        <w:jc w:val="left"/>
        <w:outlineLvl w:val="0"/>
        <w:rPr>
          <w:rFonts w:hAnsi="宋体" w:cs="宋体"/>
          <w:b/>
          <w:sz w:val="24"/>
        </w:rPr>
      </w:pPr>
      <w:bookmarkStart w:id="29" w:name="_Toc179632555"/>
      <w:bookmarkStart w:id="30" w:name="_Toc152045538"/>
      <w:bookmarkStart w:id="31" w:name="_Toc152042314"/>
      <w:bookmarkStart w:id="32" w:name="_Toc144974506"/>
      <w:r>
        <w:rPr>
          <w:rFonts w:hint="eastAsia" w:hAnsi="宋体" w:cs="宋体"/>
          <w:b/>
          <w:sz w:val="24"/>
        </w:rPr>
        <w:t>1.8 计量单位</w:t>
      </w:r>
      <w:bookmarkEnd w:id="29"/>
      <w:bookmarkEnd w:id="30"/>
      <w:bookmarkEnd w:id="31"/>
      <w:bookmarkEnd w:id="32"/>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2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2"/>
    </w:p>
    <w:p>
      <w:pPr>
        <w:autoSpaceDE w:val="0"/>
        <w:autoSpaceDN w:val="0"/>
        <w:spacing w:line="42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组织。</w:t>
      </w:r>
    </w:p>
    <w:p>
      <w:pPr>
        <w:autoSpaceDE w:val="0"/>
        <w:autoSpaceDN w:val="0"/>
        <w:spacing w:line="42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2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20" w:lineRule="exact"/>
        <w:jc w:val="left"/>
        <w:outlineLvl w:val="0"/>
        <w:rPr>
          <w:rFonts w:hAnsi="宋体" w:cs="宋体"/>
          <w:b/>
          <w:sz w:val="24"/>
        </w:rPr>
      </w:pPr>
      <w:bookmarkStart w:id="33" w:name="_Toc283559948"/>
      <w:r>
        <w:rPr>
          <w:rFonts w:hAnsi="宋体" w:cs="宋体"/>
          <w:b/>
          <w:sz w:val="24"/>
        </w:rPr>
        <w:t xml:space="preserve">1.10 </w:t>
      </w:r>
      <w:r>
        <w:rPr>
          <w:rFonts w:hint="eastAsia" w:hAnsi="宋体" w:cs="宋体"/>
          <w:b/>
          <w:sz w:val="24"/>
        </w:rPr>
        <w:t>投标预备会</w:t>
      </w:r>
      <w:bookmarkEnd w:id="33"/>
    </w:p>
    <w:p>
      <w:pPr>
        <w:autoSpaceDE w:val="0"/>
        <w:autoSpaceDN w:val="0"/>
        <w:spacing w:line="42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2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2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20" w:lineRule="exact"/>
        <w:jc w:val="left"/>
        <w:outlineLvl w:val="0"/>
        <w:rPr>
          <w:rFonts w:hAnsi="宋体" w:cs="宋体"/>
          <w:b/>
          <w:sz w:val="24"/>
        </w:rPr>
      </w:pPr>
      <w:bookmarkStart w:id="34" w:name="_Toc283559949"/>
      <w:r>
        <w:rPr>
          <w:rFonts w:hAnsi="宋体" w:cs="宋体"/>
          <w:b/>
          <w:sz w:val="24"/>
        </w:rPr>
        <w:t xml:space="preserve">1.11 </w:t>
      </w:r>
      <w:r>
        <w:rPr>
          <w:rFonts w:hint="eastAsia" w:hAnsi="宋体" w:cs="宋体"/>
          <w:b/>
          <w:sz w:val="24"/>
        </w:rPr>
        <w:t>分包</w:t>
      </w:r>
      <w:bookmarkEnd w:id="34"/>
    </w:p>
    <w:p>
      <w:pPr>
        <w:autoSpaceDE w:val="0"/>
        <w:autoSpaceDN w:val="0"/>
        <w:spacing w:line="42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20" w:lineRule="exact"/>
        <w:jc w:val="left"/>
        <w:outlineLvl w:val="0"/>
        <w:rPr>
          <w:rFonts w:hAnsi="宋体" w:cs="宋体"/>
          <w:b/>
          <w:sz w:val="24"/>
        </w:rPr>
      </w:pPr>
      <w:bookmarkStart w:id="35" w:name="_Toc283559950"/>
      <w:r>
        <w:rPr>
          <w:rFonts w:hAnsi="宋体" w:cs="宋体"/>
          <w:b/>
          <w:sz w:val="24"/>
        </w:rPr>
        <w:t xml:space="preserve">1.12 </w:t>
      </w:r>
      <w:r>
        <w:rPr>
          <w:rFonts w:hint="eastAsia" w:hAnsi="宋体" w:cs="宋体"/>
          <w:b/>
          <w:sz w:val="24"/>
        </w:rPr>
        <w:t>偏离</w:t>
      </w:r>
      <w:bookmarkEnd w:id="35"/>
    </w:p>
    <w:p>
      <w:pPr>
        <w:autoSpaceDE w:val="0"/>
        <w:autoSpaceDN w:val="0"/>
        <w:adjustRightInd w:val="0"/>
        <w:spacing w:line="42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18"/>
        <w:spacing w:line="420" w:lineRule="exact"/>
        <w:jc w:val="both"/>
        <w:outlineLvl w:val="0"/>
        <w:rPr>
          <w:rFonts w:hAnsi="宋体"/>
          <w:b/>
          <w:color w:val="auto"/>
        </w:rPr>
      </w:pPr>
      <w:bookmarkStart w:id="36" w:name="_Toc283559951"/>
      <w:r>
        <w:rPr>
          <w:rFonts w:hAnsi="宋体"/>
          <w:b/>
          <w:color w:val="auto"/>
        </w:rPr>
        <w:t xml:space="preserve">2. </w:t>
      </w:r>
      <w:r>
        <w:rPr>
          <w:rFonts w:hint="eastAsia" w:hAnsi="宋体"/>
          <w:b/>
          <w:color w:val="auto"/>
        </w:rPr>
        <w:t>招标文件</w:t>
      </w:r>
      <w:bookmarkEnd w:id="36"/>
    </w:p>
    <w:p>
      <w:pPr>
        <w:autoSpaceDE w:val="0"/>
        <w:autoSpaceDN w:val="0"/>
        <w:spacing w:line="420" w:lineRule="exact"/>
        <w:jc w:val="left"/>
        <w:outlineLvl w:val="0"/>
        <w:rPr>
          <w:rFonts w:hAnsi="宋体" w:cs="宋体"/>
          <w:b/>
          <w:sz w:val="24"/>
        </w:rPr>
      </w:pPr>
      <w:bookmarkStart w:id="37" w:name="_Toc283559952"/>
      <w:r>
        <w:rPr>
          <w:rFonts w:hAnsi="宋体" w:cs="宋体"/>
          <w:b/>
          <w:sz w:val="24"/>
        </w:rPr>
        <w:t xml:space="preserve">2.1 </w:t>
      </w:r>
      <w:r>
        <w:rPr>
          <w:rFonts w:hint="eastAsia" w:hAnsi="宋体" w:cs="宋体"/>
          <w:b/>
          <w:sz w:val="24"/>
        </w:rPr>
        <w:t>招标文件的组成</w:t>
      </w:r>
      <w:bookmarkEnd w:id="37"/>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本招标文件包括：</w:t>
      </w:r>
    </w:p>
    <w:p>
      <w:pPr>
        <w:spacing w:line="420" w:lineRule="exact"/>
        <w:ind w:firstLine="410" w:firstLineChars="171"/>
        <w:rPr>
          <w:sz w:val="24"/>
        </w:rPr>
      </w:pPr>
      <w:r>
        <w:rPr>
          <w:rFonts w:hint="eastAsia"/>
          <w:sz w:val="24"/>
        </w:rPr>
        <w:t>（1）招标公告；</w:t>
      </w:r>
    </w:p>
    <w:p>
      <w:pPr>
        <w:spacing w:line="420" w:lineRule="exact"/>
        <w:ind w:firstLine="410" w:firstLineChars="171"/>
        <w:rPr>
          <w:sz w:val="24"/>
        </w:rPr>
      </w:pPr>
      <w:r>
        <w:rPr>
          <w:rFonts w:hint="eastAsia"/>
          <w:sz w:val="24"/>
        </w:rPr>
        <w:t>（2）投标人须知；</w:t>
      </w:r>
    </w:p>
    <w:p>
      <w:pPr>
        <w:spacing w:line="420" w:lineRule="exact"/>
        <w:ind w:firstLine="410" w:firstLineChars="171"/>
        <w:rPr>
          <w:sz w:val="24"/>
        </w:rPr>
      </w:pPr>
      <w:r>
        <w:rPr>
          <w:rFonts w:hint="eastAsia"/>
          <w:sz w:val="24"/>
        </w:rPr>
        <w:t>（3）评标办法；</w:t>
      </w:r>
    </w:p>
    <w:p>
      <w:pPr>
        <w:spacing w:line="420" w:lineRule="exact"/>
        <w:ind w:firstLine="410" w:firstLineChars="171"/>
        <w:rPr>
          <w:sz w:val="24"/>
        </w:rPr>
      </w:pPr>
      <w:r>
        <w:rPr>
          <w:rFonts w:hint="eastAsia"/>
          <w:sz w:val="24"/>
        </w:rPr>
        <w:t>（4）合同条款及格式；</w:t>
      </w:r>
    </w:p>
    <w:p>
      <w:pPr>
        <w:spacing w:line="420" w:lineRule="exact"/>
        <w:ind w:firstLine="410" w:firstLineChars="171"/>
        <w:rPr>
          <w:sz w:val="24"/>
        </w:rPr>
      </w:pPr>
      <w:r>
        <w:rPr>
          <w:rFonts w:hint="eastAsia"/>
          <w:sz w:val="24"/>
        </w:rPr>
        <w:t xml:space="preserve">（5）工程量清单； </w:t>
      </w:r>
    </w:p>
    <w:p>
      <w:pPr>
        <w:spacing w:line="420" w:lineRule="exact"/>
        <w:ind w:firstLine="410" w:firstLineChars="171"/>
        <w:rPr>
          <w:sz w:val="24"/>
        </w:rPr>
      </w:pPr>
      <w:r>
        <w:rPr>
          <w:rFonts w:hint="eastAsia"/>
          <w:sz w:val="24"/>
        </w:rPr>
        <w:t xml:space="preserve">（6）图纸； </w:t>
      </w:r>
    </w:p>
    <w:p>
      <w:pPr>
        <w:spacing w:line="420" w:lineRule="exact"/>
        <w:ind w:firstLine="410" w:firstLineChars="171"/>
        <w:rPr>
          <w:sz w:val="24"/>
        </w:rPr>
      </w:pPr>
      <w:r>
        <w:rPr>
          <w:rFonts w:hint="eastAsia"/>
          <w:sz w:val="24"/>
        </w:rPr>
        <w:t>（7）技术标准和要求；</w:t>
      </w:r>
    </w:p>
    <w:p>
      <w:pPr>
        <w:spacing w:line="420" w:lineRule="exact"/>
        <w:ind w:firstLine="410" w:firstLineChars="171"/>
        <w:rPr>
          <w:sz w:val="24"/>
        </w:rPr>
      </w:pPr>
      <w:r>
        <w:rPr>
          <w:rFonts w:hint="eastAsia"/>
          <w:sz w:val="24"/>
        </w:rPr>
        <w:t>（8）投标文件格式；</w:t>
      </w:r>
    </w:p>
    <w:p>
      <w:pPr>
        <w:spacing w:line="420" w:lineRule="exact"/>
        <w:ind w:firstLine="410" w:firstLineChars="171"/>
        <w:rPr>
          <w:sz w:val="24"/>
        </w:rPr>
      </w:pPr>
      <w:r>
        <w:rPr>
          <w:rFonts w:hint="eastAsia"/>
          <w:sz w:val="24"/>
        </w:rPr>
        <w:t>（9）投标人须知前附表规定的其他材料；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20" w:lineRule="exact"/>
        <w:jc w:val="left"/>
        <w:outlineLvl w:val="0"/>
        <w:rPr>
          <w:rFonts w:hAnsi="宋体" w:cs="宋体"/>
          <w:b/>
          <w:sz w:val="24"/>
        </w:rPr>
      </w:pPr>
      <w:bookmarkStart w:id="38" w:name="_Toc283559953"/>
      <w:r>
        <w:rPr>
          <w:rFonts w:hAnsi="宋体" w:cs="宋体"/>
          <w:b/>
          <w:sz w:val="24"/>
        </w:rPr>
        <w:t xml:space="preserve">2.2 </w:t>
      </w:r>
      <w:r>
        <w:rPr>
          <w:rFonts w:hint="eastAsia" w:hAnsi="宋体" w:cs="宋体"/>
          <w:b/>
          <w:sz w:val="24"/>
        </w:rPr>
        <w:t>招标文件的澄清</w:t>
      </w:r>
      <w:bookmarkEnd w:id="38"/>
    </w:p>
    <w:p>
      <w:pPr>
        <w:autoSpaceDE w:val="0"/>
        <w:autoSpaceDN w:val="0"/>
        <w:adjustRightInd w:val="0"/>
        <w:spacing w:line="420" w:lineRule="exact"/>
        <w:ind w:firstLine="616" w:firstLineChars="257"/>
        <w:jc w:val="left"/>
        <w:rPr>
          <w:rFonts w:ascii="新宋体" w:hAnsi="新宋体" w:eastAsia="新宋体" w:cs="仿宋_GB2312"/>
          <w:sz w:val="24"/>
        </w:rPr>
      </w:pPr>
      <w:bookmarkStart w:id="39" w:name="_Toc283559954"/>
      <w:r>
        <w:rPr>
          <w:rFonts w:ascii="新宋体" w:hAnsi="新宋体" w:eastAsia="新宋体" w:cs="TimesNewRomanPSMT"/>
          <w:sz w:val="24"/>
        </w:rPr>
        <w:t xml:space="preserve">2.2.1 </w:t>
      </w:r>
      <w:r>
        <w:rPr>
          <w:rFonts w:hint="eastAsia" w:ascii="新宋体" w:hAnsi="新宋体" w:eastAsia="新宋体" w:cs="仿宋_GB2312"/>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ascii="新宋体" w:hAnsi="新宋体" w:eastAsia="新宋体" w:cs="仿宋_GB2312"/>
          <w:b/>
          <w:bCs/>
          <w:sz w:val="24"/>
        </w:rPr>
        <w:t>如未提出异议，视为全面接受。</w:t>
      </w:r>
    </w:p>
    <w:p>
      <w:pPr>
        <w:autoSpaceDE w:val="0"/>
        <w:autoSpaceDN w:val="0"/>
        <w:adjustRightInd w:val="0"/>
        <w:spacing w:line="42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2.2.2 </w:t>
      </w:r>
      <w:r>
        <w:rPr>
          <w:rFonts w:hint="eastAsia" w:ascii="新宋体" w:hAnsi="新宋体" w:eastAsia="新宋体" w:cs="仿宋_GB2312"/>
          <w:sz w:val="24"/>
        </w:rPr>
        <w:t>招标文件的澄清将在投标人须知前附表规定的投标截止时间</w:t>
      </w:r>
      <w:r>
        <w:rPr>
          <w:rFonts w:ascii="新宋体" w:hAnsi="新宋体" w:eastAsia="新宋体" w:cs="TimesNewRomanPSMT"/>
          <w:sz w:val="24"/>
        </w:rPr>
        <w:t>15</w:t>
      </w:r>
      <w:r>
        <w:rPr>
          <w:rFonts w:hint="eastAsia" w:ascii="新宋体" w:hAnsi="新宋体" w:eastAsia="新宋体" w:cs="仿宋_GB2312"/>
          <w:sz w:val="24"/>
        </w:rPr>
        <w:t>天前通过公共资源交易系统电子平台发出，但不指明澄清问题的来源。如果澄清发出的时间距投标截止时间不足</w:t>
      </w:r>
      <w:r>
        <w:rPr>
          <w:rFonts w:ascii="新宋体" w:hAnsi="新宋体" w:eastAsia="新宋体" w:cs="TimesNewRomanPSMT"/>
          <w:sz w:val="24"/>
        </w:rPr>
        <w:t>15</w:t>
      </w:r>
      <w:r>
        <w:rPr>
          <w:rFonts w:hint="eastAsia" w:ascii="新宋体" w:hAnsi="新宋体" w:eastAsia="新宋体" w:cs="仿宋_GB2312"/>
          <w:sz w:val="24"/>
        </w:rPr>
        <w:t>天，相应延长投标截止时间。</w:t>
      </w:r>
    </w:p>
    <w:p>
      <w:pPr>
        <w:autoSpaceDE w:val="0"/>
        <w:autoSpaceDN w:val="0"/>
        <w:adjustRightInd w:val="0"/>
        <w:spacing w:line="42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2.2.3 </w:t>
      </w:r>
      <w:r>
        <w:rPr>
          <w:rFonts w:hint="eastAsia" w:ascii="新宋体" w:hAnsi="新宋体" w:eastAsia="新宋体" w:cs="仿宋_GB2312"/>
          <w:sz w:val="24"/>
        </w:rPr>
        <w:t>所有澄清、答疑全部以公共资源交易系统电子平台发出的为准，不再接受书面形式的递交。</w:t>
      </w:r>
    </w:p>
    <w:p>
      <w:pPr>
        <w:autoSpaceDE w:val="0"/>
        <w:autoSpaceDN w:val="0"/>
        <w:spacing w:line="42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9"/>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40" w:name="_Toc144974514"/>
      <w:bookmarkStart w:id="41" w:name="_Toc152042322"/>
      <w:bookmarkStart w:id="42" w:name="_Toc179632564"/>
      <w:bookmarkStart w:id="43" w:name="_Toc152045546"/>
      <w:r>
        <w:rPr>
          <w:rFonts w:hint="eastAsia" w:hAnsi="宋体" w:cs="宋体"/>
          <w:b/>
          <w:sz w:val="24"/>
        </w:rPr>
        <w:t>3. 投标文件</w:t>
      </w:r>
      <w:bookmarkEnd w:id="40"/>
      <w:bookmarkEnd w:id="41"/>
      <w:bookmarkEnd w:id="42"/>
      <w:bookmarkEnd w:id="43"/>
    </w:p>
    <w:p>
      <w:pPr>
        <w:autoSpaceDE w:val="0"/>
        <w:autoSpaceDN w:val="0"/>
        <w:spacing w:line="420" w:lineRule="exact"/>
        <w:jc w:val="left"/>
        <w:outlineLvl w:val="0"/>
        <w:rPr>
          <w:rFonts w:hAnsi="宋体" w:cs="宋体"/>
          <w:b/>
          <w:sz w:val="24"/>
        </w:rPr>
      </w:pPr>
      <w:bookmarkStart w:id="44"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3.1.1商务标组成：</w:t>
      </w:r>
    </w:p>
    <w:p>
      <w:pPr>
        <w:autoSpaceDE w:val="0"/>
        <w:autoSpaceDN w:val="0"/>
        <w:spacing w:line="420" w:lineRule="exact"/>
        <w:ind w:firstLine="480" w:firstLineChars="200"/>
        <w:jc w:val="left"/>
        <w:outlineLvl w:val="0"/>
        <w:rPr>
          <w:rFonts w:hAnsi="宋体" w:cs="宋体"/>
          <w:sz w:val="24"/>
        </w:rPr>
      </w:pPr>
      <w:r>
        <w:rPr>
          <w:rFonts w:hint="eastAsia" w:hAnsi="宋体" w:eastAsia="新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（2）法定代表人身份证明或附有法定代表人身份证明的授权委托书；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（11）承诺书（农民工工资保障金承诺书，不挂靠、不转包、不违法分包专项承诺书）；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（12）其它材料；</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3.1.3  技术标组成：</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（1）内容完整性；</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（2）主要施工方案和技术措施；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（3）质量管理体系与措施；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（4）安全管理体系与措施；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（5）文明施工、环境保护管理体系及施工现场扬尘治理措施；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（6）工期保证措施；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（7）拟投入资源配备计划；</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（8）施工进度表与网络计划图；</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（9）施工总平面图布置；</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（10）技术创新的应用实施措施；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（11）采用新工艺、新技术、新设备、新材料、BIM等的程度；</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（12）施工现场实施信息化监控和数据处理；</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bookmarkStart w:id="45" w:name="OLE_LINK21"/>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bookmarkEnd w:id="45"/>
    <w:p>
      <w:pPr>
        <w:tabs>
          <w:tab w:val="left" w:pos="1260"/>
        </w:tabs>
        <w:wordWrap w:val="0"/>
        <w:autoSpaceDE w:val="0"/>
        <w:autoSpaceDN w:val="0"/>
        <w:adjustRightInd w:val="0"/>
        <w:spacing w:line="420" w:lineRule="exact"/>
        <w:ind w:firstLine="482"/>
        <w:jc w:val="left"/>
        <w:rPr>
          <w:rFonts w:hAnsi="宋体" w:cs="宋体"/>
          <w:b/>
          <w:sz w:val="24"/>
          <w:szCs w:val="24"/>
          <w:highlight w:val="yellow"/>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安全文明施工措施费、暂列金额与专业暂估价、增值税计入投标总报价，并在投标函、投标函附录中单列，不参与商务标评审。</w:t>
      </w:r>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44"/>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46" w:name="_Toc283559960"/>
      <w:r>
        <w:rPr>
          <w:rFonts w:hAnsi="宋体" w:cs="宋体"/>
          <w:b/>
          <w:bCs/>
          <w:sz w:val="24"/>
        </w:rPr>
        <w:t xml:space="preserve">3.4 </w:t>
      </w:r>
      <w:r>
        <w:rPr>
          <w:rFonts w:hint="eastAsia" w:hAnsi="宋体" w:cs="宋体"/>
          <w:b/>
          <w:bCs/>
          <w:sz w:val="24"/>
        </w:rPr>
        <w:t>投标担保</w:t>
      </w:r>
    </w:p>
    <w:p>
      <w:pPr>
        <w:autoSpaceDE w:val="0"/>
        <w:autoSpaceDN w:val="0"/>
        <w:adjustRightInd w:val="0"/>
        <w:snapToGrid w:val="0"/>
        <w:spacing w:line="420" w:lineRule="exact"/>
        <w:jc w:val="left"/>
        <w:outlineLvl w:val="0"/>
        <w:rPr>
          <w:sz w:val="24"/>
          <w:szCs w:val="24"/>
        </w:rPr>
      </w:pPr>
      <w:r>
        <w:rPr>
          <w:rFonts w:hint="eastAsia"/>
          <w:sz w:val="24"/>
          <w:szCs w:val="24"/>
        </w:rPr>
        <w:t xml:space="preserve">    3.4.1投标保证金递交截止时间及金额见投标人须知前附表。</w:t>
      </w:r>
    </w:p>
    <w:p>
      <w:pPr>
        <w:autoSpaceDE w:val="0"/>
        <w:autoSpaceDN w:val="0"/>
        <w:adjustRightInd w:val="0"/>
        <w:snapToGrid w:val="0"/>
        <w:spacing w:line="420" w:lineRule="exact"/>
        <w:jc w:val="left"/>
        <w:outlineLvl w:val="0"/>
        <w:rPr>
          <w:sz w:val="24"/>
          <w:szCs w:val="24"/>
        </w:rPr>
      </w:pPr>
      <w:r>
        <w:rPr>
          <w:rFonts w:hint="eastAsia"/>
          <w:sz w:val="24"/>
          <w:szCs w:val="24"/>
        </w:rPr>
        <w:t xml:space="preserve">    3.4.2投标保证金缴纳方式：银行转账、银行电汇（均需从投标人的基本账户汇出），不接受以现金方式缴纳的投标保证金。凡以现金方式缴纳投标保证金而影响其投标结果的，由投标人自行负责。</w:t>
      </w:r>
    </w:p>
    <w:p>
      <w:pPr>
        <w:autoSpaceDE w:val="0"/>
        <w:autoSpaceDN w:val="0"/>
        <w:adjustRightInd w:val="0"/>
        <w:snapToGrid w:val="0"/>
        <w:spacing w:line="420" w:lineRule="exact"/>
        <w:jc w:val="left"/>
        <w:outlineLvl w:val="0"/>
        <w:rPr>
          <w:sz w:val="24"/>
          <w:szCs w:val="24"/>
        </w:rPr>
      </w:pPr>
      <w:r>
        <w:rPr>
          <w:rFonts w:hint="eastAsia"/>
          <w:sz w:val="24"/>
          <w:szCs w:val="24"/>
        </w:rPr>
        <w:t xml:space="preserve">    （1）投标人网上报名后，登录http://221.14.6.70:8088/ggzy </w:t>
      </w:r>
    </w:p>
    <w:p>
      <w:pPr>
        <w:autoSpaceDE w:val="0"/>
        <w:autoSpaceDN w:val="0"/>
        <w:adjustRightInd w:val="0"/>
        <w:snapToGrid w:val="0"/>
        <w:spacing w:line="420" w:lineRule="exact"/>
        <w:jc w:val="left"/>
        <w:outlineLvl w:val="0"/>
        <w:rPr>
          <w:sz w:val="24"/>
          <w:szCs w:val="24"/>
        </w:rPr>
      </w:pPr>
      <w:r>
        <w:rPr>
          <w:rFonts w:hint="eastAsia"/>
          <w:sz w:val="24"/>
          <w:szCs w:val="24"/>
        </w:rPr>
        <w:t>系统，依次点击“会员向导”→“参与投标”→“费用缴纳说明”→“保证金缴纳说明单”，获取缴费说明单，根据每个标段的缴纳说明单在缴纳截止时间前缴纳；</w:t>
      </w:r>
    </w:p>
    <w:p>
      <w:pPr>
        <w:autoSpaceDE w:val="0"/>
        <w:autoSpaceDN w:val="0"/>
        <w:adjustRightInd w:val="0"/>
        <w:snapToGrid w:val="0"/>
        <w:spacing w:line="420" w:lineRule="exact"/>
        <w:ind w:firstLine="480"/>
        <w:jc w:val="left"/>
        <w:outlineLvl w:val="0"/>
        <w:rPr>
          <w:sz w:val="24"/>
          <w:szCs w:val="24"/>
        </w:rPr>
      </w:pPr>
      <w:r>
        <w:rPr>
          <w:rFonts w:hint="eastAsia"/>
          <w:sz w:val="24"/>
          <w:szCs w:val="24"/>
        </w:rPr>
        <w:t>（2）成功缴纳后重新登录前述系统，依次点击“会员向导”→“参与投标”→“保证金绑定”→“绑定”进行投标保证金绑定。</w:t>
      </w:r>
    </w:p>
    <w:p>
      <w:pPr>
        <w:autoSpaceDE w:val="0"/>
        <w:autoSpaceDN w:val="0"/>
        <w:adjustRightInd w:val="0"/>
        <w:snapToGrid w:val="0"/>
        <w:spacing w:line="420" w:lineRule="exact"/>
        <w:ind w:firstLine="480"/>
        <w:jc w:val="left"/>
        <w:outlineLvl w:val="0"/>
        <w:rPr>
          <w:sz w:val="24"/>
          <w:szCs w:val="24"/>
        </w:rPr>
      </w:pPr>
      <w:r>
        <w:rPr>
          <w:rFonts w:hint="eastAsia"/>
          <w:sz w:val="24"/>
          <w:szCs w:val="24"/>
        </w:rPr>
        <w:t>（3）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autoSpaceDE w:val="0"/>
        <w:autoSpaceDN w:val="0"/>
        <w:adjustRightInd w:val="0"/>
        <w:snapToGrid w:val="0"/>
        <w:spacing w:line="420" w:lineRule="exact"/>
        <w:ind w:firstLine="480"/>
        <w:jc w:val="left"/>
        <w:outlineLvl w:val="0"/>
        <w:rPr>
          <w:sz w:val="24"/>
          <w:szCs w:val="24"/>
        </w:rPr>
      </w:pPr>
      <w:r>
        <w:rPr>
          <w:rFonts w:hint="eastAsia"/>
          <w:sz w:val="24"/>
          <w:szCs w:val="24"/>
        </w:rPr>
        <w:t>（4）每个投标人每个项目每个标段只有唯一缴纳账号，切勿重复缴纳或错误缴纳。</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3.4.3未按上述规定操作引起的无效投标，由投标人自行负责。</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3.4.4汇款凭证无须备注项目编号和项目名称。</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3.4.5出现以下情形造成的投标保证金无效，由投标人自行负责。</w:t>
      </w:r>
    </w:p>
    <w:p>
      <w:pPr>
        <w:autoSpaceDE w:val="0"/>
        <w:autoSpaceDN w:val="0"/>
        <w:adjustRightInd w:val="0"/>
        <w:snapToGrid w:val="0"/>
        <w:spacing w:line="420" w:lineRule="exact"/>
        <w:ind w:firstLine="480"/>
        <w:jc w:val="left"/>
        <w:outlineLvl w:val="0"/>
        <w:rPr>
          <w:sz w:val="24"/>
          <w:szCs w:val="24"/>
        </w:rPr>
      </w:pPr>
      <w:r>
        <w:rPr>
          <w:rFonts w:hint="eastAsia"/>
          <w:sz w:val="24"/>
          <w:szCs w:val="24"/>
        </w:rPr>
        <w:t>(1)投标保证金未从投标人的基本账户转出；</w:t>
      </w:r>
    </w:p>
    <w:p>
      <w:pPr>
        <w:autoSpaceDE w:val="0"/>
        <w:autoSpaceDN w:val="0"/>
        <w:adjustRightInd w:val="0"/>
        <w:snapToGrid w:val="0"/>
        <w:spacing w:line="420" w:lineRule="exact"/>
        <w:ind w:firstLine="480"/>
        <w:jc w:val="left"/>
        <w:outlineLvl w:val="0"/>
        <w:rPr>
          <w:sz w:val="24"/>
          <w:szCs w:val="24"/>
        </w:rPr>
      </w:pPr>
      <w:r>
        <w:rPr>
          <w:rFonts w:hint="eastAsia"/>
          <w:sz w:val="24"/>
          <w:szCs w:val="24"/>
        </w:rPr>
        <w:t>(2)投标保证金未按照招标文件划分的标段转账。</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3.4.6《保证金缴纳绑定操作指南》获取方法：</w:t>
      </w:r>
    </w:p>
    <w:p>
      <w:pPr>
        <w:autoSpaceDE w:val="0"/>
        <w:autoSpaceDN w:val="0"/>
        <w:adjustRightInd w:val="0"/>
        <w:snapToGrid w:val="0"/>
        <w:spacing w:line="420" w:lineRule="exact"/>
        <w:ind w:firstLine="480"/>
        <w:jc w:val="left"/>
        <w:outlineLvl w:val="0"/>
        <w:rPr>
          <w:rFonts w:hint="eastAsia"/>
          <w:sz w:val="24"/>
          <w:szCs w:val="24"/>
        </w:rPr>
      </w:pPr>
      <w:r>
        <w:rPr>
          <w:rFonts w:hint="eastAsia"/>
          <w:sz w:val="24"/>
          <w:szCs w:val="24"/>
        </w:rPr>
        <w:t>登录《全国公共资源交易平台（河南省•许昌市）》系统-组件下载-《保证金缴</w:t>
      </w:r>
    </w:p>
    <w:p>
      <w:pPr>
        <w:autoSpaceDE w:val="0"/>
        <w:autoSpaceDN w:val="0"/>
        <w:adjustRightInd w:val="0"/>
        <w:snapToGrid w:val="0"/>
        <w:spacing w:line="420" w:lineRule="exact"/>
        <w:jc w:val="left"/>
        <w:outlineLvl w:val="0"/>
        <w:rPr>
          <w:sz w:val="24"/>
          <w:szCs w:val="24"/>
        </w:rPr>
      </w:pPr>
      <w:r>
        <w:rPr>
          <w:rFonts w:hint="eastAsia"/>
          <w:sz w:val="24"/>
          <w:szCs w:val="24"/>
        </w:rPr>
        <w:t>纳绑定操作指南》。</w:t>
      </w:r>
    </w:p>
    <w:p>
      <w:pPr>
        <w:autoSpaceDE w:val="0"/>
        <w:autoSpaceDN w:val="0"/>
        <w:adjustRightInd w:val="0"/>
        <w:snapToGrid w:val="0"/>
        <w:spacing w:line="420" w:lineRule="exact"/>
        <w:ind w:firstLine="480"/>
        <w:jc w:val="left"/>
        <w:outlineLvl w:val="0"/>
        <w:rPr>
          <w:sz w:val="24"/>
          <w:szCs w:val="24"/>
        </w:rPr>
      </w:pPr>
      <w:r>
        <w:rPr>
          <w:rFonts w:hint="eastAsia"/>
          <w:sz w:val="24"/>
          <w:szCs w:val="24"/>
        </w:rPr>
        <w:t>保证金缴纳绑定问题咨询电话:0374-2961598</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3.4.7基本户备案</w:t>
      </w:r>
    </w:p>
    <w:p>
      <w:pPr>
        <w:autoSpaceDE w:val="0"/>
        <w:autoSpaceDN w:val="0"/>
        <w:adjustRightInd w:val="0"/>
        <w:snapToGrid w:val="0"/>
        <w:spacing w:line="420" w:lineRule="exact"/>
        <w:ind w:firstLine="480"/>
        <w:jc w:val="left"/>
        <w:outlineLvl w:val="0"/>
        <w:rPr>
          <w:sz w:val="24"/>
          <w:szCs w:val="24"/>
        </w:rPr>
      </w:pPr>
      <w:r>
        <w:rPr>
          <w:rFonts w:hint="eastAsia"/>
          <w:sz w:val="24"/>
          <w:szCs w:val="24"/>
        </w:rPr>
        <w:t>（1） 自文件发布之日起，投标人需进行基本户备案，已备案的基本户开户银行、账户发生变化的，须在投标保证金缴纳前办理变更手续。</w:t>
      </w:r>
    </w:p>
    <w:p>
      <w:pPr>
        <w:autoSpaceDE w:val="0"/>
        <w:autoSpaceDN w:val="0"/>
        <w:adjustRightInd w:val="0"/>
        <w:snapToGrid w:val="0"/>
        <w:spacing w:line="420" w:lineRule="exact"/>
        <w:ind w:firstLine="480"/>
        <w:jc w:val="left"/>
        <w:outlineLvl w:val="0"/>
        <w:rPr>
          <w:sz w:val="24"/>
          <w:szCs w:val="24"/>
        </w:rPr>
      </w:pPr>
      <w:r>
        <w:rPr>
          <w:rFonts w:hint="eastAsia"/>
          <w:sz w:val="24"/>
          <w:szCs w:val="24"/>
        </w:rPr>
        <w:t>（2）基本户备案流程： 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napToGrid w:val="0"/>
        <w:spacing w:line="420" w:lineRule="exact"/>
        <w:ind w:firstLine="480"/>
        <w:jc w:val="left"/>
        <w:outlineLvl w:val="0"/>
        <w:rPr>
          <w:sz w:val="24"/>
          <w:szCs w:val="24"/>
        </w:rPr>
      </w:pPr>
      <w:r>
        <w:rPr>
          <w:rFonts w:hint="eastAsia"/>
          <w:sz w:val="24"/>
          <w:szCs w:val="24"/>
        </w:rPr>
        <w:t>（3） 因投标人的原因无法及时退还投标保证金、滞留三年以上的，投标保证金上缴同级国库。</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3.4.8投标保证金的退还：</w:t>
      </w:r>
    </w:p>
    <w:p>
      <w:pPr>
        <w:autoSpaceDE w:val="0"/>
        <w:autoSpaceDN w:val="0"/>
        <w:adjustRightInd w:val="0"/>
        <w:snapToGrid w:val="0"/>
        <w:spacing w:line="420" w:lineRule="exact"/>
        <w:ind w:firstLine="480"/>
        <w:jc w:val="left"/>
        <w:outlineLvl w:val="0"/>
        <w:rPr>
          <w:b/>
          <w:sz w:val="24"/>
          <w:szCs w:val="24"/>
        </w:rPr>
      </w:pPr>
      <w:r>
        <w:rPr>
          <w:rFonts w:hint="eastAsia"/>
          <w:b/>
          <w:sz w:val="24"/>
          <w:szCs w:val="24"/>
        </w:rPr>
        <w:t>投标人如需了解投标保证金退还情况，请持授权委托书及个人身份证到中心业务受理部查询，不接受电话查询。</w:t>
      </w:r>
    </w:p>
    <w:p>
      <w:pPr>
        <w:autoSpaceDE w:val="0"/>
        <w:autoSpaceDN w:val="0"/>
        <w:adjustRightInd w:val="0"/>
        <w:snapToGrid w:val="0"/>
        <w:spacing w:line="420" w:lineRule="exact"/>
        <w:ind w:firstLine="480"/>
        <w:jc w:val="left"/>
        <w:outlineLvl w:val="0"/>
        <w:rPr>
          <w:sz w:val="24"/>
          <w:szCs w:val="24"/>
        </w:rPr>
      </w:pPr>
      <w:r>
        <w:rPr>
          <w:rFonts w:hint="eastAsia"/>
          <w:sz w:val="24"/>
          <w:szCs w:val="24"/>
        </w:rPr>
        <w:t>（1）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pPr>
        <w:autoSpaceDE w:val="0"/>
        <w:autoSpaceDN w:val="0"/>
        <w:adjustRightInd w:val="0"/>
        <w:snapToGrid w:val="0"/>
        <w:spacing w:line="420" w:lineRule="exact"/>
        <w:ind w:firstLine="480"/>
        <w:jc w:val="left"/>
        <w:outlineLvl w:val="0"/>
        <w:rPr>
          <w:rFonts w:hint="default" w:eastAsia="宋体"/>
          <w:sz w:val="24"/>
          <w:szCs w:val="24"/>
          <w:lang w:val="en-US" w:eastAsia="zh-CN"/>
        </w:rPr>
      </w:pPr>
      <w:r>
        <w:rPr>
          <w:rFonts w:hint="eastAsia"/>
          <w:sz w:val="24"/>
          <w:szCs w:val="24"/>
        </w:rPr>
        <w:t>电话：</w:t>
      </w:r>
      <w:r>
        <w:rPr>
          <w:sz w:val="24"/>
          <w:szCs w:val="24"/>
        </w:rPr>
        <w:t>0374-</w:t>
      </w:r>
      <w:r>
        <w:rPr>
          <w:rFonts w:hint="eastAsia"/>
          <w:sz w:val="24"/>
          <w:szCs w:val="24"/>
        </w:rPr>
        <w:t>6189</w:t>
      </w:r>
      <w:r>
        <w:rPr>
          <w:rFonts w:hint="eastAsia"/>
          <w:sz w:val="24"/>
          <w:szCs w:val="24"/>
          <w:lang w:val="en-US" w:eastAsia="zh-CN"/>
        </w:rPr>
        <w:t>229</w:t>
      </w:r>
    </w:p>
    <w:p>
      <w:pPr>
        <w:autoSpaceDE w:val="0"/>
        <w:autoSpaceDN w:val="0"/>
        <w:adjustRightInd w:val="0"/>
        <w:snapToGrid w:val="0"/>
        <w:spacing w:line="420" w:lineRule="exact"/>
        <w:ind w:firstLine="480"/>
        <w:jc w:val="left"/>
        <w:outlineLvl w:val="0"/>
        <w:rPr>
          <w:sz w:val="24"/>
          <w:szCs w:val="24"/>
        </w:rPr>
      </w:pPr>
      <w:r>
        <w:rPr>
          <w:rFonts w:hint="eastAsia"/>
          <w:sz w:val="24"/>
          <w:szCs w:val="24"/>
        </w:rPr>
        <w:t>（2）法定期限内未签订书面合同的，按照有关规定向中标人和其他中标候选人退还投标保证金及银行同期活期存款利息。</w:t>
      </w:r>
    </w:p>
    <w:p>
      <w:pPr>
        <w:autoSpaceDE w:val="0"/>
        <w:autoSpaceDN w:val="0"/>
        <w:adjustRightInd w:val="0"/>
        <w:snapToGrid w:val="0"/>
        <w:spacing w:line="420" w:lineRule="exact"/>
        <w:ind w:firstLine="480"/>
        <w:jc w:val="left"/>
        <w:outlineLvl w:val="0"/>
        <w:rPr>
          <w:sz w:val="24"/>
          <w:szCs w:val="24"/>
        </w:rPr>
      </w:pPr>
      <w:r>
        <w:rPr>
          <w:rFonts w:hint="eastAsia"/>
          <w:sz w:val="24"/>
          <w:szCs w:val="24"/>
        </w:rPr>
        <w:t>（3） 项目废标或招标人终止招标的，在此后5个工作日内退还投标保证金及银行同期活期存利息。</w:t>
      </w:r>
    </w:p>
    <w:p>
      <w:pPr>
        <w:autoSpaceDE w:val="0"/>
        <w:autoSpaceDN w:val="0"/>
        <w:adjustRightInd w:val="0"/>
        <w:snapToGrid w:val="0"/>
        <w:spacing w:line="420" w:lineRule="exact"/>
        <w:ind w:firstLine="480"/>
        <w:jc w:val="left"/>
        <w:outlineLvl w:val="0"/>
        <w:rPr>
          <w:sz w:val="24"/>
          <w:szCs w:val="24"/>
        </w:rPr>
      </w:pPr>
      <w:r>
        <w:rPr>
          <w:rFonts w:hint="eastAsia"/>
          <w:sz w:val="24"/>
          <w:szCs w:val="24"/>
        </w:rPr>
        <w:t>（4） 投标活动中出现质疑、投诉的，中标候选人、质疑人和被质疑人、投诉人和被投诉人的投标保证金暂停退还。</w:t>
      </w:r>
    </w:p>
    <w:p>
      <w:pPr>
        <w:autoSpaceDE w:val="0"/>
        <w:autoSpaceDN w:val="0"/>
        <w:adjustRightInd w:val="0"/>
        <w:snapToGrid w:val="0"/>
        <w:spacing w:line="420" w:lineRule="exact"/>
        <w:ind w:firstLine="480"/>
        <w:jc w:val="left"/>
        <w:outlineLvl w:val="0"/>
        <w:rPr>
          <w:sz w:val="24"/>
          <w:szCs w:val="24"/>
        </w:rPr>
      </w:pPr>
      <w:r>
        <w:rPr>
          <w:rFonts w:hint="eastAsia"/>
          <w:sz w:val="24"/>
          <w:szCs w:val="24"/>
        </w:rPr>
        <w:t>（5） 相关投标人有违法违规行为的项目，其投标保证金暂不退还，待行政监督部门对相关情况处置后，按照有关规定办理。</w:t>
      </w:r>
    </w:p>
    <w:p>
      <w:pPr>
        <w:autoSpaceDE w:val="0"/>
        <w:autoSpaceDN w:val="0"/>
        <w:adjustRightInd w:val="0"/>
        <w:snapToGrid w:val="0"/>
        <w:spacing w:line="420" w:lineRule="exact"/>
        <w:ind w:firstLine="480"/>
        <w:jc w:val="left"/>
        <w:outlineLvl w:val="0"/>
        <w:rPr>
          <w:sz w:val="24"/>
          <w:szCs w:val="24"/>
        </w:rPr>
      </w:pPr>
      <w:r>
        <w:rPr>
          <w:rFonts w:hint="eastAsia"/>
          <w:sz w:val="24"/>
          <w:szCs w:val="24"/>
        </w:rPr>
        <w:t>（6）因投标人的原因无法及时退还投标（竞买）保证金、滞留三年以上的，投标（竞买）保证金上缴同级国库。</w:t>
      </w:r>
    </w:p>
    <w:p>
      <w:pPr>
        <w:autoSpaceDE w:val="0"/>
        <w:autoSpaceDN w:val="0"/>
        <w:adjustRightInd w:val="0"/>
        <w:snapToGrid w:val="0"/>
        <w:spacing w:line="420" w:lineRule="exact"/>
        <w:ind w:firstLine="480"/>
        <w:jc w:val="left"/>
        <w:outlineLvl w:val="0"/>
        <w:rPr>
          <w:sz w:val="24"/>
          <w:szCs w:val="24"/>
        </w:rPr>
      </w:pPr>
      <w:r>
        <w:rPr>
          <w:rFonts w:hint="eastAsia"/>
          <w:sz w:val="24"/>
          <w:szCs w:val="24"/>
        </w:rPr>
        <w:t>（7）退还投标保证金，除另有规定外，一般以转账方式一次性退还至投标保证金的原提交账户。</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3.4.9特殊情况处理</w:t>
      </w:r>
    </w:p>
    <w:p>
      <w:pPr>
        <w:autoSpaceDE w:val="0"/>
        <w:autoSpaceDN w:val="0"/>
        <w:adjustRightInd w:val="0"/>
        <w:snapToGrid w:val="0"/>
        <w:spacing w:line="420" w:lineRule="exact"/>
        <w:ind w:firstLine="480"/>
        <w:jc w:val="left"/>
        <w:outlineLvl w:val="0"/>
        <w:rPr>
          <w:sz w:val="24"/>
          <w:szCs w:val="24"/>
        </w:rPr>
      </w:pPr>
      <w:r>
        <w:rPr>
          <w:rFonts w:hint="eastAsia"/>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406室）。</w:t>
      </w:r>
    </w:p>
    <w:p>
      <w:pPr>
        <w:autoSpaceDE w:val="0"/>
        <w:autoSpaceDN w:val="0"/>
        <w:adjustRightInd w:val="0"/>
        <w:snapToGrid w:val="0"/>
        <w:spacing w:line="420" w:lineRule="exact"/>
        <w:ind w:firstLine="480"/>
        <w:jc w:val="left"/>
        <w:outlineLvl w:val="0"/>
        <w:rPr>
          <w:rFonts w:hint="eastAsia"/>
          <w:sz w:val="24"/>
          <w:szCs w:val="24"/>
        </w:rPr>
      </w:pPr>
      <w:r>
        <w:rPr>
          <w:rFonts w:hint="eastAsia"/>
          <w:sz w:val="24"/>
          <w:szCs w:val="24"/>
        </w:rPr>
        <w:t>电话：0374-61</w:t>
      </w:r>
      <w:r>
        <w:rPr>
          <w:rFonts w:hint="eastAsia"/>
          <w:sz w:val="24"/>
          <w:szCs w:val="24"/>
          <w:lang w:val="en-US" w:eastAsia="zh-CN"/>
        </w:rPr>
        <w:t>75225</w:t>
      </w:r>
      <w:r>
        <w:rPr>
          <w:rFonts w:hint="eastAsia"/>
          <w:sz w:val="24"/>
          <w:szCs w:val="24"/>
        </w:rPr>
        <w:t>。</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3.4.10投标人有下列情形之一的，投标保证金不予退还：</w:t>
      </w:r>
    </w:p>
    <w:p>
      <w:pPr>
        <w:autoSpaceDE w:val="0"/>
        <w:autoSpaceDN w:val="0"/>
        <w:adjustRightInd w:val="0"/>
        <w:snapToGrid w:val="0"/>
        <w:spacing w:line="420" w:lineRule="exact"/>
        <w:ind w:firstLine="480"/>
        <w:jc w:val="left"/>
        <w:outlineLvl w:val="0"/>
        <w:rPr>
          <w:sz w:val="24"/>
          <w:szCs w:val="24"/>
        </w:rPr>
      </w:pPr>
      <w:r>
        <w:rPr>
          <w:rFonts w:hint="eastAsia"/>
          <w:sz w:val="24"/>
          <w:szCs w:val="24"/>
        </w:rPr>
        <w:t xml:space="preserve">3.4.10.1中标人无正当理由不与招标人订立合同，在签订合同时向招标人提出附加条件，或者不按照招标文件要求提交履约担保的，取消其中标资格，投标保证金不予退还。 </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3.4.10.2投标人有违法违规行为，其投标保证金暂不退还，待行政监督部门对相关情况处置后，按照有关规定办理。</w:t>
      </w:r>
    </w:p>
    <w:p>
      <w:pPr>
        <w:autoSpaceDE w:val="0"/>
        <w:autoSpaceDN w:val="0"/>
        <w:adjustRightInd w:val="0"/>
        <w:snapToGrid w:val="0"/>
        <w:spacing w:line="420" w:lineRule="exact"/>
        <w:ind w:firstLine="480"/>
        <w:jc w:val="left"/>
        <w:outlineLvl w:val="0"/>
        <w:rPr>
          <w:b/>
          <w:bCs/>
          <w:sz w:val="24"/>
          <w:szCs w:val="24"/>
        </w:rPr>
      </w:pPr>
      <w:r>
        <w:rPr>
          <w:rFonts w:hint="eastAsia"/>
          <w:b/>
          <w:bCs/>
          <w:sz w:val="24"/>
          <w:szCs w:val="24"/>
        </w:rPr>
        <w:t>3.4.10.3凡投标人投标保证金交纳至同一标段相同子账号的，保证金暂不予退还，经调查核实后，按有关规定处理。不予退还的保证金上缴国库。</w:t>
      </w:r>
    </w:p>
    <w:p>
      <w:pPr>
        <w:autoSpaceDE w:val="0"/>
        <w:autoSpaceDN w:val="0"/>
        <w:adjustRightInd w:val="0"/>
        <w:snapToGrid w:val="0"/>
        <w:spacing w:line="420" w:lineRule="exact"/>
        <w:ind w:firstLine="480"/>
        <w:jc w:val="left"/>
        <w:outlineLvl w:val="0"/>
        <w:rPr>
          <w:rFonts w:hAnsi="宋体" w:cs="宋体"/>
          <w:sz w:val="24"/>
          <w:szCs w:val="24"/>
        </w:rPr>
      </w:pPr>
      <w:r>
        <w:rPr>
          <w:rFonts w:hint="eastAsia"/>
          <w:sz w:val="24"/>
          <w:szCs w:val="24"/>
        </w:rPr>
        <w:t>3.4.10.4相关法律、法规规定不予退还的其它情形。</w:t>
      </w:r>
    </w:p>
    <w:p>
      <w:pPr>
        <w:autoSpaceDE w:val="0"/>
        <w:autoSpaceDN w:val="0"/>
        <w:adjustRightInd w:val="0"/>
        <w:snapToGrid w:val="0"/>
        <w:spacing w:line="420" w:lineRule="exact"/>
        <w:jc w:val="left"/>
        <w:outlineLvl w:val="0"/>
        <w:rPr>
          <w:rFonts w:hAnsi="宋体" w:cs="宋体"/>
          <w:sz w:val="24"/>
        </w:rPr>
      </w:pPr>
      <w:r>
        <w:rPr>
          <w:rFonts w:hint="eastAsia" w:hAnsi="宋体" w:cs="宋体"/>
          <w:sz w:val="24"/>
        </w:rPr>
        <w:t>3.5 资格审查资料</w:t>
      </w:r>
    </w:p>
    <w:p>
      <w:pPr>
        <w:tabs>
          <w:tab w:val="left" w:pos="1260"/>
        </w:tabs>
        <w:autoSpaceDE w:val="0"/>
        <w:autoSpaceDN w:val="0"/>
        <w:adjustRightInd w:val="0"/>
        <w:snapToGrid w:val="0"/>
        <w:spacing w:line="42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3.5.1 “投标人的基本情况表”后应附投标人的法人营业执照等材料的原件扫描件（或图片）。</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3.5.2 “近年财务状况表”应附经会计师事务所或审计机构审计的财务会计报表，包括资产负债表、现金流量表、利润表等</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，具体年份要求见投标人须知前附表。若公司成立未满三年，需提供从成立至今的年度财务状况。</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3.5.3 “近年完成的类似项目情况表”应附</w:t>
      </w:r>
      <w:r>
        <w:rPr>
          <w:rFonts w:hint="eastAsia" w:hAnsi="宋体"/>
          <w:sz w:val="24"/>
          <w:szCs w:val="24"/>
        </w:rPr>
        <w:t>法定媒介中标公示网页截图、合同</w:t>
      </w:r>
      <w:r>
        <w:rPr>
          <w:rFonts w:hint="eastAsia" w:ascii="新宋体" w:hAnsi="新宋体" w:eastAsia="新宋体" w:cs="仿宋_GB2312"/>
          <w:sz w:val="24"/>
        </w:rPr>
        <w:t>协议书</w:t>
      </w:r>
      <w:r>
        <w:rPr>
          <w:rFonts w:hint="eastAsia" w:hAnsi="宋体"/>
          <w:sz w:val="24"/>
          <w:szCs w:val="24"/>
        </w:rPr>
        <w:t>、中标通知书【或法定媒介中标公示网页截图、合同</w:t>
      </w:r>
      <w:r>
        <w:rPr>
          <w:rFonts w:hint="eastAsia" w:ascii="新宋体" w:hAnsi="新宋体" w:eastAsia="新宋体" w:cs="仿宋_GB2312"/>
          <w:sz w:val="24"/>
        </w:rPr>
        <w:t>协议书</w:t>
      </w:r>
      <w:r>
        <w:rPr>
          <w:rFonts w:hint="eastAsia" w:hAnsi="宋体"/>
          <w:sz w:val="24"/>
          <w:szCs w:val="24"/>
        </w:rPr>
        <w:t>、</w:t>
      </w:r>
      <w:r>
        <w:rPr>
          <w:rFonts w:hint="eastAsia"/>
          <w:sz w:val="24"/>
          <w:szCs w:val="24"/>
        </w:rPr>
        <w:t>工程竣工验收备案表（或工程竣工验收证书）</w:t>
      </w:r>
      <w:r>
        <w:rPr>
          <w:rFonts w:hint="eastAsia" w:hAnsi="宋体"/>
          <w:sz w:val="24"/>
          <w:szCs w:val="24"/>
        </w:rPr>
        <w:t>】</w:t>
      </w:r>
      <w:r>
        <w:rPr>
          <w:rFonts w:hint="eastAsia" w:ascii="新宋体" w:hAnsi="新宋体" w:eastAsia="新宋体" w:cs="仿宋_GB2312"/>
          <w:sz w:val="24"/>
        </w:rPr>
        <w:t>的</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，具体年份要求见投标人须知前附表。每张表格只填写一个项目，并标明序号。</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3.5.4 “正在施工和新承接的项目情况表”应附</w:t>
      </w:r>
      <w:r>
        <w:rPr>
          <w:rFonts w:hint="eastAsia" w:hAnsi="宋体"/>
          <w:sz w:val="24"/>
          <w:szCs w:val="24"/>
        </w:rPr>
        <w:t>法定媒介中标公示网页截图、</w:t>
      </w:r>
      <w:r>
        <w:rPr>
          <w:rFonts w:hint="eastAsia" w:ascii="新宋体" w:hAnsi="新宋体" w:eastAsia="新宋体" w:cs="仿宋_GB2312"/>
          <w:sz w:val="24"/>
        </w:rPr>
        <w:t>合同协议书和中标通知书的</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。每张表格只填写一个项目，并标明序号。</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3.5.5 “近年发生的诉讼及仲裁情况”应说明相关情况，并附法院或仲裁机构作出的判决、裁决等有关法律文书</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3.5.6 被列入失信被执行人名单的投标人，其投标将被拒绝。</w:t>
      </w:r>
    </w:p>
    <w:p>
      <w:pPr>
        <w:autoSpaceDE w:val="0"/>
        <w:autoSpaceDN w:val="0"/>
        <w:adjustRightInd w:val="0"/>
        <w:snapToGrid w:val="0"/>
        <w:spacing w:line="420" w:lineRule="exact"/>
        <w:ind w:firstLine="480"/>
        <w:jc w:val="left"/>
        <w:rPr>
          <w:rFonts w:ascii="新宋体" w:hAnsi="新宋体" w:eastAsia="新宋体" w:cs="仿宋_GB2312"/>
          <w:color w:val="2E75B5" w:themeColor="accent1" w:themeShade="BF"/>
          <w:sz w:val="24"/>
        </w:rPr>
      </w:pPr>
      <w:r>
        <w:rPr>
          <w:rFonts w:hint="eastAsia" w:ascii="宋体" w:hAnsi="宋体" w:cs="新宋体"/>
          <w:color w:val="2E75B5" w:themeColor="accent1" w:themeShade="BF"/>
          <w:sz w:val="24"/>
          <w:lang w:bidi="ar"/>
        </w:rPr>
        <w:t>投标人无须提供信用记录查询结果网页截屏，</w:t>
      </w:r>
      <w:r>
        <w:rPr>
          <w:rFonts w:hint="eastAsia" w:ascii="新宋体" w:hAnsi="新宋体" w:eastAsia="新宋体" w:cs="仿宋_GB2312"/>
          <w:color w:val="2E75B5" w:themeColor="accent1" w:themeShade="BF"/>
          <w:sz w:val="24"/>
        </w:rPr>
        <w:t>招标项目开标结束后、评标开始前，招标人（或招标代理机构）对投标人信用记录进行现场查询，并将查询结果随项目开标资料一并送入评标室，由专家进行评判。</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信用信息查询记录和证据留存具体方式：经评标委员会确认的查询结果网页截图作为查询记录和证据，与其他文件一并存档。</w:t>
      </w:r>
    </w:p>
    <w:p>
      <w:pPr>
        <w:autoSpaceDE w:val="0"/>
        <w:autoSpaceDN w:val="0"/>
        <w:adjustRightInd w:val="0"/>
        <w:snapToGrid w:val="0"/>
        <w:spacing w:line="420" w:lineRule="exact"/>
        <w:jc w:val="left"/>
        <w:rPr>
          <w:rFonts w:hAnsi="宋体" w:cs="宋体"/>
          <w:b/>
          <w:sz w:val="24"/>
        </w:rPr>
      </w:pPr>
      <w:r>
        <w:rPr>
          <w:rFonts w:hint="eastAsia" w:hAnsi="宋体" w:cs="宋体"/>
          <w:b/>
          <w:sz w:val="24"/>
        </w:rPr>
        <w:t xml:space="preserve">3.6 </w:t>
      </w:r>
      <w:bookmarkStart w:id="47" w:name="_Toc152045553"/>
      <w:bookmarkStart w:id="48" w:name="_Toc152042329"/>
      <w:bookmarkStart w:id="49" w:name="_Toc144974521"/>
      <w:bookmarkStart w:id="50" w:name="_Toc179632571"/>
      <w:r>
        <w:rPr>
          <w:rFonts w:hint="eastAsia" w:hAnsi="宋体" w:cs="宋体"/>
          <w:b/>
          <w:sz w:val="24"/>
        </w:rPr>
        <w:t>备选投标方案</w:t>
      </w:r>
    </w:p>
    <w:bookmarkEnd w:id="47"/>
    <w:bookmarkEnd w:id="48"/>
    <w:bookmarkEnd w:id="49"/>
    <w:bookmarkEnd w:id="50"/>
    <w:p>
      <w:pPr>
        <w:autoSpaceDE w:val="0"/>
        <w:autoSpaceDN w:val="0"/>
        <w:adjustRightInd w:val="0"/>
        <w:snapToGrid w:val="0"/>
        <w:spacing w:line="42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adjustRightInd w:val="0"/>
        <w:snapToGrid w:val="0"/>
        <w:spacing w:line="420" w:lineRule="exact"/>
        <w:jc w:val="left"/>
        <w:outlineLvl w:val="0"/>
        <w:rPr>
          <w:rFonts w:hAnsi="宋体" w:cs="宋体"/>
          <w:b/>
          <w:sz w:val="24"/>
        </w:rPr>
      </w:pPr>
      <w:r>
        <w:rPr>
          <w:rFonts w:hAnsi="宋体" w:cs="宋体"/>
          <w:b/>
          <w:sz w:val="24"/>
        </w:rPr>
        <w:t>3.</w:t>
      </w:r>
      <w:r>
        <w:rPr>
          <w:rFonts w:hint="eastAsia" w:hAnsi="宋体" w:cs="宋体"/>
          <w:b/>
          <w:sz w:val="24"/>
        </w:rPr>
        <w:t>7 投标文件的编制</w:t>
      </w:r>
      <w:bookmarkEnd w:id="46"/>
    </w:p>
    <w:p>
      <w:pPr>
        <w:adjustRightInd w:val="0"/>
        <w:snapToGrid w:val="0"/>
        <w:spacing w:line="420" w:lineRule="exact"/>
        <w:ind w:firstLine="480" w:firstLineChars="200"/>
        <w:rPr>
          <w:sz w:val="24"/>
        </w:rPr>
      </w:pPr>
      <w:r>
        <w:rPr>
          <w:rFonts w:hint="eastAsia"/>
          <w:sz w:val="24"/>
        </w:rPr>
        <w:t>3.7.1投标文件应按第八章“投标文件格式”进行编写，如有必要，可以增加附页，作为投标文件的组成部分。其中，投标函附录在满足招标文件要求的基础上，可以提出比招标文件要求更有利于招标人的承诺。</w:t>
      </w:r>
      <w:r>
        <w:rPr>
          <w:sz w:val="24"/>
        </w:rPr>
        <w:t>投标人编制</w:t>
      </w:r>
      <w:r>
        <w:rPr>
          <w:rFonts w:hint="eastAsia"/>
          <w:sz w:val="24"/>
        </w:rPr>
        <w:t>的投标文件</w:t>
      </w:r>
      <w:r>
        <w:rPr>
          <w:sz w:val="24"/>
        </w:rPr>
        <w:t>应当满足招标文件规定的基本格式要求</w:t>
      </w:r>
      <w:r>
        <w:rPr>
          <w:rFonts w:hint="eastAsia"/>
          <w:sz w:val="24"/>
        </w:rPr>
        <w:t>。</w:t>
      </w:r>
    </w:p>
    <w:p>
      <w:pPr>
        <w:autoSpaceDE w:val="0"/>
        <w:autoSpaceDN w:val="0"/>
        <w:spacing w:line="420" w:lineRule="exact"/>
        <w:ind w:firstLine="480" w:firstLineChars="200"/>
        <w:jc w:val="left"/>
        <w:outlineLvl w:val="0"/>
        <w:rPr>
          <w:rFonts w:hAnsi="宋体" w:cs="宋体"/>
          <w:sz w:val="24"/>
        </w:rPr>
      </w:pPr>
      <w:r>
        <w:rPr>
          <w:rFonts w:hAnsi="宋体" w:cs="宋体"/>
          <w:sz w:val="24"/>
        </w:rPr>
        <w:t>3.</w:t>
      </w:r>
      <w:r>
        <w:rPr>
          <w:rFonts w:hint="eastAsia" w:hAnsi="宋体" w:cs="宋体"/>
          <w:sz w:val="24"/>
        </w:rPr>
        <w:t>7</w:t>
      </w:r>
      <w:r>
        <w:rPr>
          <w:rFonts w:hAnsi="宋体" w:cs="宋体"/>
          <w:sz w:val="24"/>
        </w:rPr>
        <w:t xml:space="preserve">.2 </w:t>
      </w:r>
      <w:r>
        <w:rPr>
          <w:rFonts w:hint="eastAsia" w:hAnsi="宋体" w:cs="宋体"/>
          <w:sz w:val="24"/>
        </w:rPr>
        <w:t>投标文件应当对招标文件有关工期、投标有效期、质量要求、招标范围等内容作出响应。</w:t>
      </w:r>
    </w:p>
    <w:p>
      <w:pPr>
        <w:pStyle w:val="18"/>
        <w:spacing w:line="420" w:lineRule="exact"/>
        <w:ind w:firstLine="480" w:firstLineChars="200"/>
        <w:outlineLvl w:val="0"/>
        <w:rPr>
          <w:rFonts w:hAnsi="宋体"/>
          <w:color w:val="auto"/>
          <w:szCs w:val="20"/>
        </w:rPr>
      </w:pPr>
      <w:bookmarkStart w:id="51" w:name="_Toc283559961"/>
      <w:r>
        <w:rPr>
          <w:rFonts w:hint="eastAsia" w:hAnsi="宋体"/>
          <w:color w:val="auto"/>
          <w:szCs w:val="20"/>
        </w:rPr>
        <w:t>3.7.3 投标人编制的投标文件应分为商务标、综合标和技术标。</w:t>
      </w:r>
    </w:p>
    <w:p>
      <w:pPr>
        <w:pStyle w:val="18"/>
        <w:spacing w:line="420" w:lineRule="exact"/>
        <w:ind w:firstLine="480" w:firstLineChars="200"/>
        <w:outlineLvl w:val="0"/>
        <w:rPr>
          <w:rFonts w:hAnsi="宋体"/>
          <w:color w:val="auto"/>
          <w:szCs w:val="20"/>
        </w:rPr>
      </w:pPr>
      <w:r>
        <w:rPr>
          <w:rFonts w:hint="eastAsia" w:hAnsi="宋体"/>
          <w:color w:val="auto"/>
          <w:szCs w:val="20"/>
        </w:rPr>
        <w:t>3.7.4 投标人登录许昌公共资源交易系统下载“许昌投标文件制作系统SEARUN V1.1”，按招标文件要求制作电子投标文件</w:t>
      </w:r>
      <w:r>
        <w:rPr>
          <w:rFonts w:hint="eastAsia" w:hAnsi="宋体"/>
          <w:b/>
          <w:color w:val="auto"/>
          <w:szCs w:val="20"/>
        </w:rPr>
        <w:t>（包括含工程量清单的商务标投标文件）</w:t>
      </w:r>
      <w:r>
        <w:rPr>
          <w:rFonts w:hint="eastAsia" w:hAnsi="宋体"/>
          <w:color w:val="auto"/>
          <w:szCs w:val="20"/>
        </w:rPr>
        <w:t>。</w:t>
      </w:r>
    </w:p>
    <w:p>
      <w:pPr>
        <w:pStyle w:val="18"/>
        <w:spacing w:line="420" w:lineRule="exact"/>
        <w:ind w:firstLine="480" w:firstLineChars="200"/>
        <w:outlineLvl w:val="0"/>
        <w:rPr>
          <w:rFonts w:hAnsi="宋体"/>
          <w:color w:val="auto"/>
          <w:szCs w:val="20"/>
        </w:rPr>
      </w:pPr>
      <w:r>
        <w:rPr>
          <w:rFonts w:hint="eastAsia" w:hAnsi="宋体"/>
          <w:color w:val="auto"/>
          <w:szCs w:val="20"/>
        </w:rPr>
        <w:t>3.7.5 使用电子介质存储的备份文件1份。</w:t>
      </w:r>
    </w:p>
    <w:p>
      <w:pPr>
        <w:pStyle w:val="18"/>
        <w:spacing w:line="420" w:lineRule="exact"/>
        <w:ind w:firstLine="480" w:firstLineChars="200"/>
        <w:outlineLvl w:val="0"/>
        <w:rPr>
          <w:rFonts w:hAnsi="宋体"/>
          <w:color w:val="auto"/>
          <w:szCs w:val="20"/>
        </w:rPr>
      </w:pPr>
      <w:r>
        <w:rPr>
          <w:rFonts w:hint="eastAsia" w:hAnsi="宋体"/>
          <w:color w:val="auto"/>
          <w:szCs w:val="20"/>
        </w:rPr>
        <w:t>3.7.6 同时生成与电子投标文件内容、水印码、电子签章一致的PDF文件,用于打印纸质文件。</w:t>
      </w:r>
    </w:p>
    <w:p>
      <w:pPr>
        <w:pStyle w:val="18"/>
        <w:spacing w:line="420" w:lineRule="exact"/>
        <w:ind w:firstLine="480" w:firstLineChars="200"/>
        <w:outlineLvl w:val="0"/>
        <w:rPr>
          <w:rFonts w:hAnsi="宋体"/>
          <w:color w:val="auto"/>
          <w:szCs w:val="20"/>
        </w:rPr>
      </w:pPr>
      <w:r>
        <w:rPr>
          <w:rFonts w:hint="eastAsia" w:hAnsi="宋体"/>
          <w:color w:val="auto"/>
          <w:szCs w:val="20"/>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pStyle w:val="18"/>
        <w:spacing w:line="420" w:lineRule="exact"/>
        <w:ind w:firstLine="480" w:firstLineChars="200"/>
        <w:outlineLvl w:val="0"/>
        <w:rPr>
          <w:rFonts w:hAnsi="宋体"/>
          <w:color w:val="auto"/>
          <w:szCs w:val="20"/>
        </w:rPr>
      </w:pPr>
      <w:r>
        <w:rPr>
          <w:rFonts w:hint="eastAsia" w:hAnsi="宋体"/>
          <w:color w:val="auto"/>
          <w:szCs w:val="20"/>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pStyle w:val="18"/>
        <w:spacing w:line="420" w:lineRule="exact"/>
        <w:ind w:firstLine="480" w:firstLineChars="200"/>
        <w:jc w:val="both"/>
        <w:outlineLvl w:val="0"/>
        <w:rPr>
          <w:rFonts w:hAnsi="宋体"/>
          <w:color w:val="auto"/>
          <w:szCs w:val="20"/>
        </w:rPr>
      </w:pPr>
      <w:r>
        <w:rPr>
          <w:rFonts w:hint="eastAsia" w:hAnsi="宋体"/>
          <w:color w:val="auto"/>
          <w:szCs w:val="20"/>
        </w:rPr>
        <w:t>3.7.9 纸质投标文件的正本与副本应分别装订成册，并编制目录，具体装订要求见投标人须知前附表规定。</w:t>
      </w:r>
    </w:p>
    <w:p>
      <w:pPr>
        <w:pStyle w:val="18"/>
        <w:spacing w:line="420" w:lineRule="exact"/>
        <w:ind w:firstLine="480" w:firstLineChars="200"/>
        <w:outlineLvl w:val="0"/>
        <w:rPr>
          <w:rFonts w:hAnsi="宋体"/>
          <w:b/>
          <w:color w:val="auto"/>
          <w:szCs w:val="20"/>
        </w:rPr>
      </w:pPr>
      <w:r>
        <w:rPr>
          <w:rFonts w:hint="eastAsia" w:hAnsi="宋体"/>
          <w:b/>
          <w:color w:val="auto"/>
          <w:szCs w:val="20"/>
        </w:rPr>
        <w:t>3.7.10 商务标投标文件制作注意事项：</w:t>
      </w:r>
    </w:p>
    <w:p>
      <w:pPr>
        <w:pStyle w:val="18"/>
        <w:spacing w:line="420" w:lineRule="exact"/>
        <w:ind w:firstLine="480" w:firstLineChars="200"/>
        <w:outlineLvl w:val="0"/>
        <w:rPr>
          <w:rFonts w:hAnsi="宋体"/>
          <w:b/>
          <w:color w:val="auto"/>
          <w:szCs w:val="20"/>
        </w:rPr>
      </w:pPr>
      <w:r>
        <w:rPr>
          <w:rFonts w:hint="eastAsia" w:hAnsi="宋体"/>
          <w:b/>
          <w:color w:val="auto"/>
          <w:szCs w:val="20"/>
        </w:rPr>
        <w:t>3.7.10.1投标人登录《全国公共资源交易平台（河南省•许昌市）》公共资源交易系统下载“许昌投标文件制作系统SEARUN V1.1” 和操作手册（工程项目），按招标文件要求制作商务标投标文件。</w:t>
      </w:r>
    </w:p>
    <w:p>
      <w:pPr>
        <w:pStyle w:val="18"/>
        <w:spacing w:line="420" w:lineRule="exact"/>
        <w:ind w:firstLine="480" w:firstLineChars="200"/>
        <w:outlineLvl w:val="0"/>
        <w:rPr>
          <w:rFonts w:hAnsi="宋体"/>
          <w:b/>
          <w:color w:val="auto"/>
          <w:szCs w:val="20"/>
        </w:rPr>
      </w:pPr>
      <w:r>
        <w:rPr>
          <w:rFonts w:hint="eastAsia" w:hAnsi="宋体"/>
          <w:b/>
          <w:color w:val="auto"/>
          <w:szCs w:val="20"/>
        </w:rPr>
        <w:t>3.7.10.2 商务标投标文件制作技术咨询：0374-2961598。</w:t>
      </w:r>
    </w:p>
    <w:p>
      <w:pPr>
        <w:pStyle w:val="18"/>
        <w:spacing w:line="420" w:lineRule="exact"/>
        <w:ind w:firstLine="480" w:firstLineChars="200"/>
        <w:outlineLvl w:val="0"/>
        <w:rPr>
          <w:rFonts w:hAnsi="宋体"/>
          <w:b/>
          <w:color w:val="auto"/>
          <w:szCs w:val="20"/>
        </w:rPr>
      </w:pPr>
      <w:r>
        <w:rPr>
          <w:rFonts w:hint="eastAsia" w:hAnsi="宋体"/>
          <w:b/>
          <w:color w:val="auto"/>
          <w:szCs w:val="20"/>
        </w:rPr>
        <w:t>依据最终的商务标招标文件进行编制。如果招标文件商务标部分发生变更，投标单位应以招标人最终发出的商务标招标文件为准，编制投标文件，请投标单位关注项目变更信息。</w:t>
      </w:r>
    </w:p>
    <w:p>
      <w:pPr>
        <w:pStyle w:val="18"/>
        <w:spacing w:line="42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51"/>
    </w:p>
    <w:p>
      <w:pPr>
        <w:autoSpaceDE w:val="0"/>
        <w:autoSpaceDN w:val="0"/>
        <w:adjustRightInd w:val="0"/>
        <w:spacing w:line="420" w:lineRule="exact"/>
        <w:jc w:val="left"/>
        <w:outlineLvl w:val="0"/>
        <w:rPr>
          <w:rFonts w:hAnsi="宋体" w:cs="宋体"/>
          <w:b/>
          <w:sz w:val="24"/>
        </w:rPr>
      </w:pPr>
      <w:bookmarkStart w:id="52" w:name="_Toc283559962"/>
      <w:r>
        <w:rPr>
          <w:rFonts w:hAnsi="宋体" w:cs="宋体"/>
          <w:b/>
          <w:sz w:val="24"/>
        </w:rPr>
        <w:t xml:space="preserve">4.1 </w:t>
      </w:r>
      <w:r>
        <w:rPr>
          <w:rFonts w:hint="eastAsia" w:hAnsi="宋体" w:cs="宋体"/>
          <w:b/>
          <w:sz w:val="24"/>
        </w:rPr>
        <w:t>投标文件的密封和标记</w:t>
      </w:r>
      <w:bookmarkEnd w:id="52"/>
    </w:p>
    <w:p>
      <w:pPr>
        <w:spacing w:line="420" w:lineRule="exact"/>
        <w:ind w:firstLine="480" w:firstLineChars="200"/>
        <w:rPr>
          <w:rFonts w:ascii="新宋体" w:hAnsi="新宋体" w:eastAsia="新宋体" w:cs="TimesNewRomanPSMT"/>
          <w:sz w:val="24"/>
        </w:rPr>
      </w:pPr>
      <w:bookmarkStart w:id="53" w:name="_Toc283559963"/>
      <w:r>
        <w:rPr>
          <w:rFonts w:hint="eastAsia" w:ascii="新宋体" w:hAnsi="新宋体" w:eastAsia="新宋体" w:cs="TimesNewRomanPSMT"/>
          <w:sz w:val="24"/>
        </w:rPr>
        <w:t xml:space="preserve">4.1.1 纸质投标文件的正本、副本应分开包装，加贴封条，并在封套的封口处加盖投标人公章，密封不符合要求的不予受理。 </w:t>
      </w:r>
    </w:p>
    <w:p>
      <w:pPr>
        <w:spacing w:line="420" w:lineRule="exact"/>
        <w:ind w:firstLine="480" w:firstLineChars="200"/>
        <w:rPr>
          <w:rFonts w:ascii="新宋体" w:hAnsi="新宋体" w:eastAsia="新宋体" w:cs="TimesNewRomanPSMT"/>
          <w:sz w:val="24"/>
        </w:rPr>
      </w:pPr>
      <w:r>
        <w:rPr>
          <w:rFonts w:hint="eastAsia" w:ascii="新宋体" w:hAnsi="新宋体" w:eastAsia="新宋体" w:cs="TimesNewRomanPSMT"/>
          <w:sz w:val="24"/>
        </w:rPr>
        <w:t>4.1.2使用电子介质存储的投标文件应和纸质投标文件密封在一起，在投标截止时间前随纸质投标文件一并递交。</w:t>
      </w:r>
    </w:p>
    <w:p>
      <w:pPr>
        <w:spacing w:line="420" w:lineRule="exact"/>
        <w:ind w:firstLine="480" w:firstLineChars="200"/>
        <w:rPr>
          <w:rFonts w:ascii="新宋体" w:hAnsi="新宋体" w:eastAsia="新宋体" w:cs="TimesNewRomanPSMT"/>
          <w:sz w:val="24"/>
        </w:rPr>
      </w:pPr>
      <w:r>
        <w:rPr>
          <w:rFonts w:hint="eastAsia" w:ascii="新宋体" w:hAnsi="新宋体" w:eastAsia="新宋体" w:cs="TimesNewRomanPSMT"/>
          <w:sz w:val="24"/>
        </w:rPr>
        <w:t>4.1.3 投标文件的封套上应写明的其他内容见投标人须知前附表。</w:t>
      </w:r>
    </w:p>
    <w:p>
      <w:pPr>
        <w:spacing w:line="420" w:lineRule="exact"/>
        <w:ind w:firstLine="480" w:firstLineChars="200"/>
        <w:rPr>
          <w:rFonts w:ascii="新宋体" w:hAnsi="新宋体" w:eastAsia="新宋体"/>
          <w:sz w:val="24"/>
        </w:rPr>
      </w:pPr>
      <w:r>
        <w:rPr>
          <w:rFonts w:hint="eastAsia" w:ascii="新宋体" w:hAnsi="新宋体" w:eastAsia="新宋体" w:cs="TimesNewRomanPSMT"/>
          <w:sz w:val="24"/>
        </w:rPr>
        <w:t>4.1.4 未按本章第4.1.1项或第4.1.2项或4.1.3项要求密封和加写标记的投标文件，招标人不予受理。</w:t>
      </w:r>
    </w:p>
    <w:p>
      <w:pPr>
        <w:autoSpaceDE w:val="0"/>
        <w:autoSpaceDN w:val="0"/>
        <w:spacing w:line="42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投标文件的递交</w:t>
      </w:r>
      <w:bookmarkEnd w:id="53"/>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4.2.1投标人应在投标人须知前附表中规定的投标截止时间前成功上传电子投标文件和现场提交纸质投标文件、电子介质存储的投标文件。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4.2.3 除投标人须知前附表另有规定外，投标人所递交的电子投标文件、纸质投标文件及电子介质存储的投标文件不予退还。</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逾期送达的或者未送达指定地点的纸质投标文件及仅提供纸质投标文件的，招标人不予受理。</w:t>
      </w:r>
    </w:p>
    <w:p>
      <w:pPr>
        <w:autoSpaceDE w:val="0"/>
        <w:autoSpaceDN w:val="0"/>
        <w:spacing w:line="420" w:lineRule="exact"/>
        <w:jc w:val="left"/>
        <w:outlineLvl w:val="0"/>
        <w:rPr>
          <w:rFonts w:hAnsi="宋体" w:cs="宋体"/>
          <w:b/>
          <w:sz w:val="24"/>
        </w:rPr>
      </w:pPr>
      <w:bookmarkStart w:id="54" w:name="_Toc283559964"/>
      <w:r>
        <w:rPr>
          <w:rFonts w:hAnsi="宋体" w:cs="宋体"/>
          <w:b/>
          <w:sz w:val="24"/>
        </w:rPr>
        <w:t xml:space="preserve">4.3 </w:t>
      </w:r>
      <w:r>
        <w:rPr>
          <w:rFonts w:hint="eastAsia" w:hAnsi="宋体" w:cs="宋体"/>
          <w:b/>
          <w:sz w:val="24"/>
        </w:rPr>
        <w:t>投标文件的修改与撤回</w:t>
      </w:r>
      <w:bookmarkEnd w:id="54"/>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项规定的投标截止时间前，投标人可以修改或撤回已递交的投标文件，但应以书面形式通知招标人。</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8"/>
        <w:spacing w:line="420" w:lineRule="exact"/>
        <w:jc w:val="both"/>
        <w:outlineLvl w:val="0"/>
        <w:rPr>
          <w:rFonts w:hAnsi="宋体"/>
          <w:b/>
          <w:color w:val="auto"/>
        </w:rPr>
      </w:pPr>
      <w:bookmarkStart w:id="55" w:name="_Toc283559967"/>
      <w:r>
        <w:rPr>
          <w:rFonts w:hAnsi="宋体"/>
          <w:b/>
          <w:color w:val="auto"/>
        </w:rPr>
        <w:t xml:space="preserve">5. </w:t>
      </w:r>
      <w:r>
        <w:rPr>
          <w:rFonts w:hint="eastAsia" w:hAnsi="宋体"/>
          <w:b/>
          <w:color w:val="auto"/>
        </w:rPr>
        <w:t>开标</w:t>
      </w:r>
      <w:bookmarkEnd w:id="55"/>
    </w:p>
    <w:p>
      <w:pPr>
        <w:autoSpaceDE w:val="0"/>
        <w:autoSpaceDN w:val="0"/>
        <w:adjustRightInd w:val="0"/>
        <w:spacing w:line="420" w:lineRule="exact"/>
        <w:jc w:val="left"/>
        <w:outlineLvl w:val="0"/>
        <w:rPr>
          <w:rFonts w:hAnsi="宋体" w:cs="宋体"/>
          <w:b/>
          <w:sz w:val="24"/>
        </w:rPr>
      </w:pPr>
      <w:bookmarkStart w:id="56" w:name="_Toc283559968"/>
      <w:r>
        <w:rPr>
          <w:rFonts w:hAnsi="宋体" w:cs="宋体"/>
          <w:b/>
          <w:sz w:val="24"/>
        </w:rPr>
        <w:t xml:space="preserve">5.1 </w:t>
      </w:r>
      <w:r>
        <w:rPr>
          <w:rFonts w:hint="eastAsia" w:hAnsi="宋体" w:cs="宋体"/>
          <w:b/>
          <w:sz w:val="24"/>
        </w:rPr>
        <w:t>开标时间和地点</w:t>
      </w:r>
      <w:bookmarkEnd w:id="56"/>
    </w:p>
    <w:p>
      <w:pPr>
        <w:spacing w:line="420" w:lineRule="exact"/>
        <w:ind w:firstLine="480" w:firstLineChars="200"/>
        <w:rPr>
          <w:sz w:val="24"/>
        </w:rPr>
      </w:pPr>
      <w:r>
        <w:rPr>
          <w:rFonts w:hint="eastAsia"/>
          <w:sz w:val="24"/>
        </w:rPr>
        <w:t>招标人在投标人须知前附表第2.2.2项规定的投标截止时间（开标时间）和投标人须知前附表规定的地点公开开标，并邀请所有投标人的法定代表人或其被授权委托人准时参加。</w:t>
      </w:r>
    </w:p>
    <w:p>
      <w:pPr>
        <w:spacing w:line="420" w:lineRule="exact"/>
        <w:rPr>
          <w:rFonts w:hAnsi="宋体" w:cs="宋体"/>
          <w:b/>
          <w:sz w:val="24"/>
        </w:rPr>
      </w:pPr>
      <w:bookmarkStart w:id="57" w:name="_Toc283559970"/>
      <w:r>
        <w:rPr>
          <w:rFonts w:hint="eastAsia" w:hAnsi="宋体" w:cs="宋体"/>
          <w:b/>
          <w:sz w:val="24"/>
        </w:rPr>
        <w:t>5.2 开标、解密、唱标程序</w:t>
      </w:r>
    </w:p>
    <w:p>
      <w:pPr>
        <w:spacing w:line="420" w:lineRule="exact"/>
        <w:ind w:firstLine="480" w:firstLineChars="200"/>
        <w:rPr>
          <w:rFonts w:hAnsi="宋体" w:cs="宋体"/>
          <w:sz w:val="24"/>
        </w:rPr>
      </w:pPr>
      <w:r>
        <w:rPr>
          <w:rFonts w:hint="eastAsia" w:hAnsi="宋体" w:cs="宋体"/>
          <w:sz w:val="24"/>
        </w:rPr>
        <w:t>5.2.1主持人按下列程序进行开标：</w:t>
      </w:r>
    </w:p>
    <w:p>
      <w:pPr>
        <w:spacing w:line="42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20" w:lineRule="exact"/>
        <w:ind w:firstLine="480" w:firstLineChars="200"/>
        <w:rPr>
          <w:rFonts w:hAnsi="宋体" w:cs="宋体"/>
          <w:sz w:val="24"/>
        </w:rPr>
      </w:pPr>
      <w:r>
        <w:rPr>
          <w:rFonts w:hint="eastAsia" w:hAnsi="宋体" w:cs="宋体"/>
          <w:sz w:val="24"/>
        </w:rPr>
        <w:t xml:space="preserve">（2）宣布开标纪律； </w:t>
      </w:r>
    </w:p>
    <w:p>
      <w:pPr>
        <w:spacing w:line="42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20" w:lineRule="exact"/>
        <w:ind w:firstLine="480" w:firstLineChars="200"/>
        <w:rPr>
          <w:rFonts w:hAnsi="宋体" w:cs="宋体"/>
          <w:sz w:val="24"/>
        </w:rPr>
      </w:pPr>
      <w:r>
        <w:rPr>
          <w:rFonts w:hint="eastAsia" w:hAnsi="宋体" w:cs="宋体"/>
          <w:sz w:val="24"/>
        </w:rPr>
        <w:t>（4）检查投标文件的密封情况；</w:t>
      </w:r>
    </w:p>
    <w:p>
      <w:pPr>
        <w:spacing w:line="420" w:lineRule="exact"/>
        <w:ind w:firstLine="480" w:firstLineChars="200"/>
        <w:rPr>
          <w:rFonts w:hAnsi="宋体" w:cs="宋体"/>
          <w:sz w:val="24"/>
        </w:rPr>
      </w:pPr>
      <w:r>
        <w:rPr>
          <w:rFonts w:hint="eastAsia" w:hAnsi="宋体" w:cs="宋体"/>
          <w:sz w:val="24"/>
        </w:rPr>
        <w:t>（5）电子投标文件解密；</w:t>
      </w:r>
    </w:p>
    <w:p>
      <w:pPr>
        <w:spacing w:line="420" w:lineRule="exact"/>
        <w:ind w:firstLine="480" w:firstLineChars="200"/>
        <w:rPr>
          <w:rFonts w:hAnsi="宋体" w:cs="宋体"/>
          <w:sz w:val="24"/>
        </w:rPr>
      </w:pPr>
      <w:r>
        <w:rPr>
          <w:rFonts w:hint="eastAsia" w:hAnsi="宋体" w:cs="宋体"/>
          <w:sz w:val="24"/>
        </w:rPr>
        <w:t>（6）宣布唱标顺序，按已定顺序唱标，唱标内容为：投标人名称、投标报价、质量目标、工期及其他内容，并记录；</w:t>
      </w:r>
    </w:p>
    <w:p>
      <w:pPr>
        <w:spacing w:line="420" w:lineRule="exact"/>
        <w:ind w:firstLine="480" w:firstLineChars="200"/>
        <w:rPr>
          <w:rFonts w:hAnsi="宋体" w:cs="宋体"/>
          <w:sz w:val="24"/>
        </w:rPr>
      </w:pPr>
      <w:r>
        <w:rPr>
          <w:rFonts w:hint="eastAsia" w:hAnsi="宋体" w:cs="宋体"/>
          <w:sz w:val="24"/>
        </w:rPr>
        <w:t>（7）现场抽取参与计算评标基准价的K值并宣布，同时公布招标控制价；</w:t>
      </w:r>
    </w:p>
    <w:p>
      <w:pPr>
        <w:spacing w:line="420" w:lineRule="exact"/>
        <w:ind w:firstLine="480" w:firstLineChars="200"/>
        <w:rPr>
          <w:rFonts w:hAnsi="宋体" w:cs="宋体"/>
          <w:sz w:val="24"/>
        </w:rPr>
      </w:pPr>
      <w:r>
        <w:rPr>
          <w:rFonts w:hint="eastAsia" w:hAnsi="宋体" w:cs="宋体"/>
          <w:sz w:val="24"/>
        </w:rPr>
        <w:t>（8）投标人代表、招标人代表、监标人、记录人等有关人员在开标记录上签字确认；</w:t>
      </w:r>
    </w:p>
    <w:p>
      <w:pPr>
        <w:spacing w:line="420" w:lineRule="exact"/>
        <w:ind w:firstLine="480" w:firstLineChars="200"/>
        <w:rPr>
          <w:rFonts w:hAnsi="宋体" w:cs="宋体"/>
          <w:sz w:val="24"/>
        </w:rPr>
      </w:pPr>
      <w:r>
        <w:rPr>
          <w:rFonts w:hint="eastAsia" w:hAnsi="宋体" w:cs="宋体"/>
          <w:sz w:val="24"/>
        </w:rPr>
        <w:t>（9）开标结束。</w:t>
      </w:r>
    </w:p>
    <w:p>
      <w:pPr>
        <w:spacing w:line="420" w:lineRule="exact"/>
        <w:ind w:firstLine="480" w:firstLineChars="200"/>
        <w:rPr>
          <w:rFonts w:hAnsi="宋体" w:cs="宋体"/>
          <w:sz w:val="24"/>
        </w:rPr>
      </w:pPr>
      <w:r>
        <w:rPr>
          <w:rFonts w:hint="eastAsia" w:hAnsi="宋体" w:cs="宋体"/>
          <w:sz w:val="24"/>
        </w:rPr>
        <w:t>5.2.2 电子投标文件的解密</w:t>
      </w:r>
    </w:p>
    <w:p>
      <w:pPr>
        <w:spacing w:line="420" w:lineRule="exact"/>
        <w:ind w:firstLine="480" w:firstLineChars="200"/>
        <w:rPr>
          <w:rFonts w:hAnsi="宋体" w:cs="宋体"/>
          <w:sz w:val="24"/>
        </w:rPr>
      </w:pPr>
      <w:r>
        <w:rPr>
          <w:rFonts w:hint="eastAsia" w:hAnsi="宋体" w:cs="宋体"/>
          <w:sz w:val="24"/>
        </w:rPr>
        <w:t>5.2.2.1本项目为全流程电子化交易项目，电子投标文件采用双重加密。在投标截止时间到达后，分标段进行解密。</w:t>
      </w:r>
    </w:p>
    <w:p>
      <w:pPr>
        <w:spacing w:line="420" w:lineRule="exact"/>
        <w:ind w:firstLine="480" w:firstLineChars="200"/>
        <w:rPr>
          <w:rFonts w:hAnsi="宋体" w:cs="宋体"/>
          <w:sz w:val="24"/>
        </w:rPr>
      </w:pPr>
      <w:r>
        <w:rPr>
          <w:rFonts w:hint="eastAsia" w:hAnsi="宋体" w:cs="宋体"/>
          <w:sz w:val="24"/>
        </w:rPr>
        <w:t>(1)投标人解密：投标人使用本单位CA数字证书远程或现场进行解密。需现场使用一体机进行解密的，请在代理机构引导下进行。</w:t>
      </w:r>
    </w:p>
    <w:p>
      <w:pPr>
        <w:spacing w:line="420" w:lineRule="exact"/>
        <w:ind w:firstLine="480" w:firstLineChars="200"/>
        <w:rPr>
          <w:rFonts w:hAnsi="宋体" w:cs="宋体"/>
          <w:sz w:val="24"/>
        </w:rPr>
      </w:pPr>
      <w:r>
        <w:rPr>
          <w:rFonts w:hint="eastAsia" w:hAnsi="宋体" w:cs="宋体"/>
          <w:sz w:val="24"/>
        </w:rPr>
        <w:t>(2)代理机构解密：代理机构按电子投标文件到达交易系统的先后顺序，使用本单位CA数字证书进行再次解密。</w:t>
      </w:r>
    </w:p>
    <w:p>
      <w:pPr>
        <w:spacing w:line="420" w:lineRule="exact"/>
        <w:ind w:firstLine="480" w:firstLineChars="200"/>
        <w:rPr>
          <w:rFonts w:hAnsi="宋体" w:cs="宋体"/>
          <w:sz w:val="24"/>
        </w:rPr>
      </w:pPr>
      <w:r>
        <w:rPr>
          <w:rFonts w:hint="eastAsia" w:hAnsi="宋体" w:cs="宋体"/>
          <w:sz w:val="24"/>
        </w:rPr>
        <w:t>5.2.2.2电子投标文件解密异常情况处理</w:t>
      </w:r>
    </w:p>
    <w:p>
      <w:pPr>
        <w:spacing w:line="420" w:lineRule="exact"/>
        <w:ind w:firstLine="480" w:firstLineChars="200"/>
        <w:rPr>
          <w:sz w:val="24"/>
        </w:rPr>
      </w:pPr>
      <w:r>
        <w:rPr>
          <w:rFonts w:hint="eastAsia" w:hAnsi="宋体" w:cs="宋体"/>
          <w:sz w:val="24"/>
        </w:rPr>
        <w:t>（1）</w:t>
      </w:r>
      <w:r>
        <w:rPr>
          <w:rFonts w:hint="eastAsia" w:ascii="Calibri" w:hAnsi="宋体" w:cs="宋体"/>
          <w:kern w:val="2"/>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8"/>
        <w:spacing w:line="42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57"/>
    </w:p>
    <w:p>
      <w:pPr>
        <w:autoSpaceDE w:val="0"/>
        <w:autoSpaceDN w:val="0"/>
        <w:adjustRightInd w:val="0"/>
        <w:spacing w:line="420" w:lineRule="exact"/>
        <w:jc w:val="left"/>
        <w:outlineLvl w:val="0"/>
        <w:rPr>
          <w:rFonts w:hAnsi="宋体" w:cs="宋体"/>
          <w:b/>
          <w:sz w:val="24"/>
        </w:rPr>
      </w:pPr>
      <w:bookmarkStart w:id="58" w:name="_Toc283559971"/>
      <w:r>
        <w:rPr>
          <w:rFonts w:hAnsi="宋体" w:cs="宋体"/>
          <w:b/>
          <w:sz w:val="24"/>
        </w:rPr>
        <w:t xml:space="preserve">6.1 </w:t>
      </w:r>
      <w:r>
        <w:rPr>
          <w:rFonts w:hint="eastAsia" w:hAnsi="宋体" w:cs="宋体"/>
          <w:b/>
          <w:sz w:val="24"/>
        </w:rPr>
        <w:t>评标委员会</w:t>
      </w:r>
      <w:bookmarkEnd w:id="58"/>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）投标人或投标人的主要负责人的近亲属；</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6.1.3评标过程中，评标委员会成员有回避事由、擅离职守或因健康原因未能继续评标的应当及时更换。被更换的评标委员会成员作出的评审结论无效，由更改后的评标会员成员重新进行评审。</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6.1.4评标委员会成员应严格按照招标文件要求查看“硬件特征码”相关信息并进行评审，在评标报告中显示“不同投标人电子投标文件制作硬件特征码”是否雷同的分析及判定结果。</w:t>
      </w:r>
    </w:p>
    <w:p>
      <w:pPr>
        <w:autoSpaceDE w:val="0"/>
        <w:autoSpaceDN w:val="0"/>
        <w:spacing w:line="420" w:lineRule="exact"/>
        <w:jc w:val="left"/>
        <w:outlineLvl w:val="0"/>
        <w:rPr>
          <w:rFonts w:hAnsi="宋体" w:cs="宋体"/>
          <w:b/>
          <w:sz w:val="24"/>
        </w:rPr>
      </w:pPr>
      <w:bookmarkStart w:id="59" w:name="_Toc283559972"/>
      <w:r>
        <w:rPr>
          <w:rFonts w:hAnsi="宋体" w:cs="宋体"/>
          <w:b/>
          <w:sz w:val="24"/>
        </w:rPr>
        <w:t xml:space="preserve">6.2 </w:t>
      </w:r>
      <w:r>
        <w:rPr>
          <w:rFonts w:hint="eastAsia" w:hAnsi="宋体" w:cs="宋体"/>
          <w:b/>
          <w:sz w:val="24"/>
        </w:rPr>
        <w:t>评标原则</w:t>
      </w:r>
      <w:bookmarkEnd w:id="59"/>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20" w:lineRule="exact"/>
        <w:jc w:val="left"/>
        <w:outlineLvl w:val="0"/>
        <w:rPr>
          <w:rFonts w:hAnsi="宋体" w:cs="宋体"/>
          <w:b/>
          <w:sz w:val="24"/>
        </w:rPr>
      </w:pPr>
      <w:bookmarkStart w:id="60" w:name="_Toc283559973"/>
      <w:r>
        <w:rPr>
          <w:rFonts w:hAnsi="宋体" w:cs="宋体"/>
          <w:b/>
          <w:sz w:val="24"/>
        </w:rPr>
        <w:t xml:space="preserve">6.3 </w:t>
      </w:r>
      <w:r>
        <w:rPr>
          <w:rFonts w:hint="eastAsia" w:hAnsi="宋体" w:cs="宋体"/>
          <w:b/>
          <w:sz w:val="24"/>
        </w:rPr>
        <w:t>评标</w:t>
      </w:r>
      <w:bookmarkEnd w:id="6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8"/>
        <w:spacing w:line="420" w:lineRule="exact"/>
        <w:jc w:val="both"/>
        <w:outlineLvl w:val="0"/>
        <w:rPr>
          <w:rFonts w:hAnsi="宋体"/>
          <w:b/>
          <w:color w:val="auto"/>
        </w:rPr>
      </w:pPr>
      <w:bookmarkStart w:id="61" w:name="_Toc283559974"/>
      <w:r>
        <w:rPr>
          <w:rFonts w:hAnsi="宋体"/>
          <w:b/>
          <w:color w:val="auto"/>
        </w:rPr>
        <w:t xml:space="preserve">7. </w:t>
      </w:r>
      <w:r>
        <w:rPr>
          <w:rFonts w:hint="eastAsia" w:hAnsi="宋体"/>
          <w:b/>
          <w:color w:val="auto"/>
        </w:rPr>
        <w:t>合同授予</w:t>
      </w:r>
      <w:bookmarkEnd w:id="61"/>
    </w:p>
    <w:p>
      <w:pPr>
        <w:autoSpaceDE w:val="0"/>
        <w:autoSpaceDN w:val="0"/>
        <w:spacing w:line="420" w:lineRule="exact"/>
        <w:jc w:val="left"/>
        <w:outlineLvl w:val="0"/>
        <w:rPr>
          <w:rFonts w:hAnsi="宋体" w:cs="宋体"/>
          <w:b/>
          <w:sz w:val="24"/>
        </w:rPr>
      </w:pPr>
      <w:bookmarkStart w:id="62" w:name="_Toc283559975"/>
      <w:r>
        <w:rPr>
          <w:rFonts w:hAnsi="宋体" w:cs="宋体"/>
          <w:b/>
          <w:sz w:val="24"/>
        </w:rPr>
        <w:t xml:space="preserve">7.1 </w:t>
      </w:r>
      <w:r>
        <w:rPr>
          <w:rFonts w:hint="eastAsia" w:hAnsi="宋体" w:cs="宋体"/>
          <w:b/>
          <w:sz w:val="24"/>
        </w:rPr>
        <w:t>定标方式</w:t>
      </w:r>
      <w:bookmarkEnd w:id="62"/>
    </w:p>
    <w:p>
      <w:pPr>
        <w:spacing w:line="42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20" w:lineRule="exact"/>
        <w:jc w:val="left"/>
        <w:outlineLvl w:val="0"/>
        <w:rPr>
          <w:rFonts w:hAnsi="宋体" w:cs="宋体"/>
          <w:b/>
          <w:sz w:val="24"/>
        </w:rPr>
      </w:pPr>
      <w:bookmarkStart w:id="63" w:name="_Toc283559976"/>
      <w:r>
        <w:rPr>
          <w:rFonts w:hAnsi="宋体" w:cs="宋体"/>
          <w:b/>
          <w:sz w:val="24"/>
        </w:rPr>
        <w:t>7.</w:t>
      </w:r>
      <w:r>
        <w:rPr>
          <w:rFonts w:hint="eastAsia" w:hAnsi="宋体" w:cs="宋体"/>
          <w:b/>
          <w:sz w:val="24"/>
        </w:rPr>
        <w:t>2中标通知</w:t>
      </w:r>
      <w:bookmarkEnd w:id="63"/>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64" w:name="_Toc179632587"/>
      <w:bookmarkStart w:id="65" w:name="_Toc152042345"/>
      <w:bookmarkStart w:id="66" w:name="_Toc152045569"/>
      <w:bookmarkStart w:id="67" w:name="_Toc144974537"/>
    </w:p>
    <w:p>
      <w:pPr>
        <w:autoSpaceDE w:val="0"/>
        <w:autoSpaceDN w:val="0"/>
        <w:spacing w:line="420" w:lineRule="exact"/>
        <w:jc w:val="left"/>
        <w:outlineLvl w:val="0"/>
        <w:rPr>
          <w:rFonts w:hAnsi="宋体" w:cs="宋体"/>
          <w:b/>
          <w:sz w:val="24"/>
        </w:rPr>
      </w:pPr>
      <w:r>
        <w:rPr>
          <w:rFonts w:hint="eastAsia" w:hAnsi="宋体" w:cs="宋体"/>
          <w:b/>
          <w:sz w:val="24"/>
        </w:rPr>
        <w:t>7.3履约担保</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7.3.1 在签订合同前，中标人应按投标人须知前附表的规定向招标人提交履约担保。</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7.3.2 中标人不能按本章第7.3.1项要求提交履约担保的，视为放弃中标，其投标保证金不予退还，给招标人造成的损失超过投标保证金数额的，中标人还应当对超过部分予以赔偿。</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7.3.3 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autoSpaceDE w:val="0"/>
        <w:autoSpaceDN w:val="0"/>
        <w:spacing w:line="420" w:lineRule="exact"/>
        <w:jc w:val="left"/>
        <w:outlineLvl w:val="0"/>
        <w:rPr>
          <w:rFonts w:hAnsi="宋体" w:cs="宋体"/>
          <w:b/>
          <w:sz w:val="24"/>
        </w:rPr>
      </w:pPr>
      <w:r>
        <w:rPr>
          <w:rFonts w:hint="eastAsia" w:hAnsi="宋体" w:cs="宋体"/>
          <w:b/>
          <w:sz w:val="24"/>
        </w:rPr>
        <w:t>7.</w:t>
      </w:r>
      <w:bookmarkEnd w:id="64"/>
      <w:bookmarkEnd w:id="65"/>
      <w:bookmarkEnd w:id="66"/>
      <w:bookmarkEnd w:id="67"/>
      <w:bookmarkStart w:id="68" w:name="_Toc283559977"/>
      <w:r>
        <w:rPr>
          <w:rFonts w:hint="eastAsia" w:hAnsi="宋体" w:cs="宋体"/>
          <w:b/>
          <w:sz w:val="24"/>
        </w:rPr>
        <w:t>4签订合同</w:t>
      </w:r>
      <w:bookmarkEnd w:id="68"/>
    </w:p>
    <w:p>
      <w:pPr>
        <w:autoSpaceDE w:val="0"/>
        <w:autoSpaceDN w:val="0"/>
        <w:spacing w:line="420" w:lineRule="exac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.1 </w:t>
      </w:r>
      <w:r>
        <w:rPr>
          <w:rFonts w:hint="eastAsia" w:hAnsi="宋体" w:cs="宋体"/>
          <w:sz w:val="24"/>
        </w:rPr>
        <w:t>招标人和中标人应当自中标通知书发出之日起</w:t>
      </w:r>
      <w:r>
        <w:rPr>
          <w:rFonts w:hAnsi="宋体" w:cs="宋体"/>
          <w:sz w:val="24"/>
        </w:rPr>
        <w:t xml:space="preserve">30 </w:t>
      </w:r>
      <w:r>
        <w:rPr>
          <w:rFonts w:hint="eastAsia" w:hAnsi="宋体" w:cs="宋体"/>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20" w:lineRule="exac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.2 </w:t>
      </w:r>
      <w:r>
        <w:rPr>
          <w:rFonts w:hint="eastAsia" w:hAnsi="宋体" w:cs="宋体"/>
          <w:sz w:val="24"/>
        </w:rPr>
        <w:t>发出中标通知书后，招标人无正当理由拒签合同的，招标人向中标人退还投标保证金；给中标人造成损失的，还应当赔偿损失。</w:t>
      </w:r>
    </w:p>
    <w:p>
      <w:pPr>
        <w:autoSpaceDE w:val="0"/>
        <w:autoSpaceDN w:val="0"/>
        <w:spacing w:line="420" w:lineRule="exact"/>
        <w:jc w:val="left"/>
        <w:outlineLvl w:val="0"/>
        <w:rPr>
          <w:rFonts w:hAnsi="宋体" w:cs="宋体"/>
          <w:b/>
          <w:sz w:val="24"/>
        </w:rPr>
      </w:pPr>
      <w:bookmarkStart w:id="69" w:name="_Toc283559978"/>
      <w:r>
        <w:rPr>
          <w:rFonts w:hAnsi="宋体" w:cs="宋体"/>
          <w:b/>
          <w:sz w:val="24"/>
        </w:rPr>
        <w:t xml:space="preserve">8. </w:t>
      </w:r>
      <w:r>
        <w:rPr>
          <w:rFonts w:hint="eastAsia" w:hAnsi="宋体" w:cs="宋体"/>
          <w:b/>
          <w:sz w:val="24"/>
        </w:rPr>
        <w:t>重新招标和不再招标</w:t>
      </w:r>
      <w:bookmarkEnd w:id="69"/>
    </w:p>
    <w:p>
      <w:pPr>
        <w:autoSpaceDE w:val="0"/>
        <w:autoSpaceDN w:val="0"/>
        <w:adjustRightInd w:val="0"/>
        <w:spacing w:line="420" w:lineRule="exact"/>
        <w:jc w:val="left"/>
        <w:outlineLvl w:val="0"/>
        <w:rPr>
          <w:rFonts w:hAnsi="宋体" w:cs="宋体"/>
          <w:b/>
          <w:sz w:val="24"/>
        </w:rPr>
      </w:pPr>
      <w:bookmarkStart w:id="70" w:name="_Toc283559979"/>
      <w:r>
        <w:rPr>
          <w:rFonts w:hAnsi="宋体" w:cs="宋体"/>
          <w:b/>
          <w:sz w:val="24"/>
        </w:rPr>
        <w:t xml:space="preserve">8.1 </w:t>
      </w:r>
      <w:r>
        <w:rPr>
          <w:rFonts w:hint="eastAsia" w:hAnsi="宋体" w:cs="宋体"/>
          <w:b/>
          <w:sz w:val="24"/>
        </w:rPr>
        <w:t>重新招标</w:t>
      </w:r>
      <w:bookmarkEnd w:id="70"/>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 xml:space="preserve">3 </w:t>
      </w:r>
      <w:r>
        <w:rPr>
          <w:rFonts w:hint="eastAsia" w:hAnsi="宋体" w:cs="宋体"/>
          <w:sz w:val="24"/>
        </w:rPr>
        <w:t>个的；</w:t>
      </w:r>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20" w:lineRule="exact"/>
        <w:jc w:val="left"/>
        <w:outlineLvl w:val="0"/>
        <w:rPr>
          <w:rFonts w:hAnsi="宋体" w:cs="宋体"/>
          <w:b/>
          <w:sz w:val="24"/>
        </w:rPr>
      </w:pPr>
      <w:bookmarkStart w:id="71" w:name="_Toc283559980"/>
      <w:r>
        <w:rPr>
          <w:rFonts w:hAnsi="宋体" w:cs="宋体"/>
          <w:b/>
          <w:sz w:val="24"/>
        </w:rPr>
        <w:t xml:space="preserve">8.2 </w:t>
      </w:r>
      <w:r>
        <w:rPr>
          <w:rFonts w:hint="eastAsia" w:hAnsi="宋体" w:cs="宋体"/>
          <w:b/>
          <w:sz w:val="24"/>
        </w:rPr>
        <w:t>不再招标</w:t>
      </w:r>
      <w:bookmarkEnd w:id="71"/>
    </w:p>
    <w:p>
      <w:pPr>
        <w:autoSpaceDE w:val="0"/>
        <w:autoSpaceDN w:val="0"/>
        <w:adjustRightInd w:val="0"/>
        <w:spacing w:line="42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18"/>
        <w:spacing w:line="420" w:lineRule="exact"/>
        <w:jc w:val="both"/>
        <w:outlineLvl w:val="0"/>
        <w:rPr>
          <w:rFonts w:hAnsi="宋体"/>
          <w:b/>
          <w:color w:val="auto"/>
        </w:rPr>
      </w:pPr>
      <w:bookmarkStart w:id="72" w:name="_Toc283559981"/>
      <w:r>
        <w:rPr>
          <w:rFonts w:hAnsi="宋体"/>
          <w:b/>
          <w:color w:val="auto"/>
        </w:rPr>
        <w:t xml:space="preserve">9. </w:t>
      </w:r>
      <w:r>
        <w:rPr>
          <w:rFonts w:hint="eastAsia" w:hAnsi="宋体"/>
          <w:b/>
          <w:color w:val="auto"/>
        </w:rPr>
        <w:t>纪律和监督</w:t>
      </w:r>
      <w:bookmarkEnd w:id="72"/>
    </w:p>
    <w:p>
      <w:pPr>
        <w:autoSpaceDE w:val="0"/>
        <w:autoSpaceDN w:val="0"/>
        <w:adjustRightInd w:val="0"/>
        <w:spacing w:line="420" w:lineRule="exact"/>
        <w:jc w:val="left"/>
        <w:outlineLvl w:val="0"/>
        <w:rPr>
          <w:rFonts w:hAnsi="宋体" w:cs="宋体"/>
          <w:b/>
          <w:sz w:val="24"/>
        </w:rPr>
      </w:pPr>
      <w:bookmarkStart w:id="73" w:name="_Toc283559982"/>
      <w:r>
        <w:rPr>
          <w:rFonts w:hAnsi="宋体" w:cs="宋体"/>
          <w:b/>
          <w:sz w:val="24"/>
        </w:rPr>
        <w:t xml:space="preserve">9.1 </w:t>
      </w:r>
      <w:r>
        <w:rPr>
          <w:rFonts w:hint="eastAsia" w:hAnsi="宋体" w:cs="宋体"/>
          <w:b/>
          <w:sz w:val="24"/>
        </w:rPr>
        <w:t>对招标人的纪律要求</w:t>
      </w:r>
      <w:bookmarkEnd w:id="73"/>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20" w:lineRule="exact"/>
        <w:jc w:val="left"/>
        <w:outlineLvl w:val="0"/>
        <w:rPr>
          <w:rFonts w:hAnsi="宋体" w:cs="宋体"/>
          <w:b/>
          <w:sz w:val="24"/>
        </w:rPr>
      </w:pPr>
      <w:bookmarkStart w:id="74" w:name="_Toc283559983"/>
      <w:r>
        <w:rPr>
          <w:rFonts w:hAnsi="宋体" w:cs="宋体"/>
          <w:b/>
          <w:sz w:val="24"/>
        </w:rPr>
        <w:t xml:space="preserve">9.2 </w:t>
      </w:r>
      <w:r>
        <w:rPr>
          <w:rFonts w:hint="eastAsia" w:hAnsi="宋体" w:cs="宋体"/>
          <w:b/>
          <w:sz w:val="24"/>
        </w:rPr>
        <w:t>对投标人的纪律要求</w:t>
      </w:r>
      <w:bookmarkEnd w:id="74"/>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20" w:lineRule="exact"/>
        <w:jc w:val="left"/>
        <w:outlineLvl w:val="0"/>
        <w:rPr>
          <w:rFonts w:hAnsi="宋体" w:cs="宋体"/>
          <w:b/>
          <w:sz w:val="24"/>
        </w:rPr>
      </w:pPr>
      <w:bookmarkStart w:id="75" w:name="_Toc283559984"/>
      <w:r>
        <w:rPr>
          <w:rFonts w:hAnsi="宋体" w:cs="宋体"/>
          <w:b/>
          <w:sz w:val="24"/>
        </w:rPr>
        <w:t xml:space="preserve">9.3 </w:t>
      </w:r>
      <w:r>
        <w:rPr>
          <w:rFonts w:hint="eastAsia" w:hAnsi="宋体" w:cs="宋体"/>
          <w:b/>
          <w:sz w:val="24"/>
        </w:rPr>
        <w:t>对评标委员会成员的纪律要求</w:t>
      </w:r>
      <w:bookmarkEnd w:id="75"/>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20" w:lineRule="exact"/>
        <w:jc w:val="left"/>
        <w:outlineLvl w:val="0"/>
        <w:rPr>
          <w:rFonts w:hAnsi="宋体" w:cs="宋体"/>
          <w:b/>
          <w:sz w:val="24"/>
        </w:rPr>
      </w:pPr>
      <w:bookmarkStart w:id="76" w:name="_Toc283559985"/>
      <w:r>
        <w:rPr>
          <w:rFonts w:hAnsi="宋体" w:cs="宋体"/>
          <w:b/>
          <w:sz w:val="24"/>
        </w:rPr>
        <w:t xml:space="preserve">9.4 </w:t>
      </w:r>
      <w:r>
        <w:rPr>
          <w:rFonts w:hint="eastAsia" w:hAnsi="宋体" w:cs="宋体"/>
          <w:b/>
          <w:sz w:val="24"/>
        </w:rPr>
        <w:t>对与评标活动有关的工作人员的纪律要求</w:t>
      </w:r>
      <w:bookmarkEnd w:id="76"/>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20" w:lineRule="exact"/>
        <w:jc w:val="left"/>
        <w:outlineLvl w:val="0"/>
        <w:rPr>
          <w:rFonts w:hAnsi="宋体" w:cs="宋体"/>
          <w:b/>
          <w:sz w:val="24"/>
        </w:rPr>
      </w:pPr>
      <w:bookmarkStart w:id="77" w:name="_Toc283559986"/>
      <w:r>
        <w:rPr>
          <w:rFonts w:hAnsi="宋体" w:cs="宋体"/>
          <w:b/>
          <w:sz w:val="24"/>
        </w:rPr>
        <w:t xml:space="preserve">9.5 </w:t>
      </w:r>
      <w:r>
        <w:rPr>
          <w:rFonts w:hint="eastAsia" w:hAnsi="宋体" w:cs="宋体"/>
          <w:b/>
          <w:sz w:val="24"/>
        </w:rPr>
        <w:t>投诉</w:t>
      </w:r>
      <w:bookmarkEnd w:id="77"/>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投标人提起投诉应当符合《中华人民共和国招标投标法》及其实施条例、《工程建设项目招标投标活动投诉处理办法》（七部委11号令；九部委23号令于2013年3月11日修改）规定。</w:t>
      </w:r>
    </w:p>
    <w:p>
      <w:pPr>
        <w:pStyle w:val="18"/>
        <w:spacing w:line="420" w:lineRule="exact"/>
        <w:jc w:val="both"/>
        <w:outlineLvl w:val="0"/>
        <w:rPr>
          <w:rFonts w:hAnsi="宋体"/>
          <w:b/>
          <w:color w:val="auto"/>
        </w:rPr>
      </w:pPr>
      <w:bookmarkStart w:id="78" w:name="_Toc283559987"/>
      <w:r>
        <w:rPr>
          <w:rFonts w:hAnsi="宋体"/>
          <w:b/>
          <w:color w:val="auto"/>
        </w:rPr>
        <w:t xml:space="preserve">10. </w:t>
      </w:r>
      <w:r>
        <w:rPr>
          <w:rFonts w:hint="eastAsia" w:hAnsi="宋体"/>
          <w:b/>
          <w:color w:val="auto"/>
        </w:rPr>
        <w:t>需要补充的其他内容</w:t>
      </w:r>
      <w:bookmarkEnd w:id="78"/>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10.1需要补充的其他内容：见投标人须知前附表。</w:t>
      </w:r>
    </w:p>
    <w:p>
      <w:pPr>
        <w:autoSpaceDE w:val="0"/>
        <w:autoSpaceDN w:val="0"/>
        <w:adjustRightInd w:val="0"/>
        <w:spacing w:line="380" w:lineRule="exact"/>
        <w:jc w:val="left"/>
        <w:rPr>
          <w:rFonts w:hAnsi="宋体" w:cs="宋体"/>
          <w:b/>
          <w:sz w:val="24"/>
          <w:szCs w:val="24"/>
        </w:rPr>
      </w:pPr>
    </w:p>
    <w:p>
      <w:pPr>
        <w:spacing w:afterLines="50" w:line="440" w:lineRule="exact"/>
        <w:jc w:val="left"/>
        <w:rPr>
          <w:rFonts w:ascii="黑体" w:eastAsia="黑体"/>
          <w:sz w:val="24"/>
        </w:rPr>
      </w:pPr>
      <w:r>
        <w:rPr>
          <w:rFonts w:ascii="黑体" w:eastAsia="黑体"/>
          <w:sz w:val="24"/>
        </w:rPr>
        <w:br w:type="page"/>
      </w:r>
      <w:r>
        <w:rPr>
          <w:rFonts w:hint="eastAsia" w:ascii="黑体" w:eastAsia="黑体"/>
          <w:sz w:val="24"/>
        </w:rPr>
        <w:t>附件一：问题澄清通知</w:t>
      </w:r>
    </w:p>
    <w:p>
      <w:pPr>
        <w:spacing w:beforeLines="100" w:afterLines="100" w:line="400" w:lineRule="exact"/>
        <w:jc w:val="center"/>
        <w:rPr>
          <w:rFonts w:ascii="黑体" w:eastAsia="黑体"/>
          <w:sz w:val="28"/>
          <w:szCs w:val="28"/>
        </w:rPr>
      </w:pPr>
      <w:r>
        <w:rPr>
          <w:rFonts w:hint="eastAsia" w:ascii="黑体" w:eastAsia="黑体"/>
          <w:sz w:val="28"/>
          <w:szCs w:val="28"/>
        </w:rPr>
        <w:t>问题澄清通知</w:t>
      </w:r>
    </w:p>
    <w:p>
      <w:pPr>
        <w:spacing w:line="400" w:lineRule="exact"/>
        <w:rPr>
          <w:u w:val="single"/>
        </w:rPr>
      </w:pPr>
      <w:r>
        <w:rPr>
          <w:rFonts w:hint="eastAsia"/>
        </w:rPr>
        <w:t xml:space="preserve">                                        编号：</w:t>
      </w:r>
    </w:p>
    <w:p>
      <w:pPr>
        <w:spacing w:line="480" w:lineRule="exact"/>
        <w:ind w:firstLine="480" w:firstLineChars="200"/>
        <w:rPr>
          <w:sz w:val="24"/>
          <w:szCs w:val="24"/>
        </w:rPr>
      </w:pPr>
      <w:r>
        <w:rPr>
          <w:rFonts w:hint="eastAsia"/>
          <w:sz w:val="24"/>
          <w:szCs w:val="24"/>
        </w:rPr>
        <w:t>（投标人名称）：</w:t>
      </w:r>
    </w:p>
    <w:p>
      <w:pPr>
        <w:spacing w:line="480" w:lineRule="exact"/>
        <w:ind w:firstLine="480" w:firstLineChars="200"/>
        <w:rPr>
          <w:sz w:val="24"/>
          <w:szCs w:val="24"/>
        </w:rPr>
      </w:pPr>
      <w:r>
        <w:rPr>
          <w:rFonts w:hint="eastAsia"/>
          <w:sz w:val="24"/>
          <w:szCs w:val="24"/>
        </w:rPr>
        <w:t>（项目名称）</w:t>
      </w:r>
      <w:r>
        <w:rPr>
          <w:rFonts w:hint="eastAsia"/>
          <w:sz w:val="24"/>
          <w:szCs w:val="24"/>
          <w:u w:val="single"/>
        </w:rPr>
        <w:t xml:space="preserve">        标</w:t>
      </w:r>
      <w:r>
        <w:rPr>
          <w:rFonts w:hint="eastAsia"/>
          <w:sz w:val="24"/>
          <w:szCs w:val="24"/>
        </w:rPr>
        <w:t>段施工招标的评标委员会，对你方的投标文件进行了仔细的审查，现需你方对本通知所附质疑问卷中的问题以书面形式予以澄清、说明或者补正。</w:t>
      </w:r>
    </w:p>
    <w:p>
      <w:pPr>
        <w:spacing w:line="480" w:lineRule="exact"/>
        <w:ind w:firstLine="480" w:firstLineChars="200"/>
        <w:rPr>
          <w:sz w:val="24"/>
          <w:szCs w:val="24"/>
        </w:rPr>
      </w:pPr>
      <w:r>
        <w:rPr>
          <w:rFonts w:hint="eastAsia"/>
          <w:sz w:val="24"/>
          <w:szCs w:val="24"/>
        </w:rPr>
        <w:t>请将上述问题的澄清、说明或者补正于年月日时前密封递交至（详细地址）。</w:t>
      </w:r>
    </w:p>
    <w:p>
      <w:pPr>
        <w:spacing w:line="480" w:lineRule="exact"/>
        <w:rPr>
          <w:sz w:val="24"/>
          <w:szCs w:val="24"/>
        </w:rPr>
      </w:pPr>
    </w:p>
    <w:p>
      <w:pPr>
        <w:spacing w:line="480" w:lineRule="exact"/>
        <w:rPr>
          <w:sz w:val="24"/>
          <w:szCs w:val="24"/>
        </w:rPr>
      </w:pPr>
      <w:r>
        <w:rPr>
          <w:rFonts w:hint="eastAsia"/>
          <w:sz w:val="24"/>
          <w:szCs w:val="24"/>
        </w:rPr>
        <w:t>附件：质疑问卷</w:t>
      </w: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rPr>
      </w:pPr>
      <w:r>
        <w:rPr>
          <w:rFonts w:hint="eastAsia"/>
          <w:sz w:val="24"/>
          <w:szCs w:val="24"/>
        </w:rPr>
        <w:t xml:space="preserve"> （项目名称）</w:t>
      </w:r>
      <w:r>
        <w:rPr>
          <w:rFonts w:hint="eastAsia" w:ascii="黑体" w:eastAsia="黑体"/>
          <w:sz w:val="24"/>
          <w:szCs w:val="24"/>
        </w:rPr>
        <w:t>标段施工招标评标委员会</w:t>
      </w:r>
    </w:p>
    <w:p>
      <w:pPr>
        <w:spacing w:line="480" w:lineRule="exact"/>
        <w:jc w:val="left"/>
        <w:rPr>
          <w:sz w:val="24"/>
          <w:szCs w:val="24"/>
        </w:rPr>
      </w:pPr>
      <w:r>
        <w:rPr>
          <w:rFonts w:hint="eastAsia"/>
          <w:sz w:val="24"/>
          <w:szCs w:val="24"/>
        </w:rPr>
        <w:t xml:space="preserve">                    （经评标委员会授权的招标人代表签字或招标人加盖单位章）</w:t>
      </w:r>
    </w:p>
    <w:p>
      <w:pPr>
        <w:spacing w:line="480" w:lineRule="exact"/>
        <w:ind w:firstLine="5280" w:firstLineChars="2200"/>
        <w:rPr>
          <w:sz w:val="24"/>
          <w:szCs w:val="24"/>
        </w:rPr>
      </w:pPr>
      <w:r>
        <w:rPr>
          <w:rFonts w:hint="eastAsia"/>
          <w:sz w:val="24"/>
          <w:szCs w:val="24"/>
        </w:rPr>
        <w:t>年月日</w:t>
      </w:r>
    </w:p>
    <w:p>
      <w:pPr>
        <w:spacing w:line="480" w:lineRule="exact"/>
        <w:rPr>
          <w:rFonts w:ascii="黑体" w:eastAsia="黑体"/>
          <w:sz w:val="24"/>
        </w:rPr>
      </w:pPr>
      <w:r>
        <w:rPr>
          <w:sz w:val="24"/>
          <w:szCs w:val="24"/>
        </w:rPr>
        <w:br w:type="page"/>
      </w:r>
      <w:r>
        <w:rPr>
          <w:rFonts w:hint="eastAsia" w:ascii="黑体" w:eastAsia="黑体"/>
          <w:sz w:val="24"/>
        </w:rPr>
        <w:t>附件二：问题的澄清</w:t>
      </w:r>
    </w:p>
    <w:p>
      <w:pPr>
        <w:spacing w:beforeLines="100" w:afterLines="100" w:line="480" w:lineRule="exact"/>
        <w:jc w:val="center"/>
        <w:rPr>
          <w:rFonts w:ascii="黑体" w:eastAsia="黑体"/>
          <w:sz w:val="28"/>
          <w:szCs w:val="28"/>
        </w:rPr>
      </w:pPr>
      <w:r>
        <w:rPr>
          <w:rFonts w:hint="eastAsia" w:ascii="黑体" w:eastAsia="黑体"/>
          <w:sz w:val="28"/>
          <w:szCs w:val="28"/>
        </w:rPr>
        <w:t>问题的澄清、说明或补正</w:t>
      </w:r>
    </w:p>
    <w:p>
      <w:pPr>
        <w:spacing w:line="400" w:lineRule="exact"/>
        <w:rPr>
          <w:sz w:val="24"/>
          <w:szCs w:val="24"/>
          <w:u w:val="single"/>
        </w:rPr>
      </w:pPr>
      <w:r>
        <w:rPr>
          <w:rFonts w:hint="eastAsia"/>
          <w:sz w:val="24"/>
          <w:szCs w:val="24"/>
        </w:rPr>
        <w:t xml:space="preserve">         编号：</w:t>
      </w:r>
    </w:p>
    <w:p>
      <w:pPr>
        <w:spacing w:line="480" w:lineRule="exact"/>
        <w:rPr>
          <w:sz w:val="24"/>
          <w:szCs w:val="24"/>
        </w:rPr>
      </w:pPr>
      <w:r>
        <w:rPr>
          <w:rFonts w:hint="eastAsia"/>
          <w:sz w:val="24"/>
          <w:szCs w:val="24"/>
        </w:rPr>
        <w:t>（项目名称）标段施工招标评标委员会：</w:t>
      </w:r>
    </w:p>
    <w:p>
      <w:pPr>
        <w:spacing w:line="480" w:lineRule="exact"/>
        <w:ind w:firstLine="480" w:firstLineChars="200"/>
        <w:rPr>
          <w:sz w:val="24"/>
          <w:szCs w:val="24"/>
        </w:rPr>
      </w:pPr>
      <w:r>
        <w:rPr>
          <w:rFonts w:hint="eastAsia"/>
          <w:sz w:val="24"/>
          <w:szCs w:val="24"/>
        </w:rPr>
        <w:t>问题澄清通知（编号：）已收悉，现澄清、说明或者补正如下：</w:t>
      </w:r>
    </w:p>
    <w:p>
      <w:pPr>
        <w:spacing w:line="480" w:lineRule="exact"/>
        <w:ind w:firstLine="480" w:firstLineChars="200"/>
        <w:rPr>
          <w:sz w:val="24"/>
          <w:szCs w:val="24"/>
        </w:rPr>
      </w:pPr>
      <w:r>
        <w:rPr>
          <w:rFonts w:hint="eastAsia"/>
          <w:sz w:val="24"/>
          <w:szCs w:val="24"/>
        </w:rPr>
        <w:t>1.</w:t>
      </w:r>
    </w:p>
    <w:p>
      <w:pPr>
        <w:spacing w:line="480" w:lineRule="exact"/>
        <w:ind w:firstLine="480" w:firstLineChars="200"/>
        <w:rPr>
          <w:sz w:val="24"/>
          <w:szCs w:val="24"/>
        </w:rPr>
      </w:pPr>
      <w:r>
        <w:rPr>
          <w:rFonts w:hint="eastAsia"/>
          <w:sz w:val="24"/>
          <w:szCs w:val="24"/>
        </w:rPr>
        <w:t>2.</w:t>
      </w:r>
    </w:p>
    <w:p>
      <w:pPr>
        <w:spacing w:line="480" w:lineRule="exact"/>
        <w:ind w:firstLine="480" w:firstLineChars="200"/>
        <w:rPr>
          <w:sz w:val="24"/>
          <w:szCs w:val="24"/>
        </w:rPr>
      </w:pPr>
    </w:p>
    <w:p>
      <w:pPr>
        <w:spacing w:line="480" w:lineRule="exact"/>
        <w:ind w:firstLine="480" w:firstLineChars="200"/>
        <w:rPr>
          <w:sz w:val="24"/>
          <w:szCs w:val="24"/>
        </w:rPr>
      </w:pPr>
      <w:r>
        <w:rPr>
          <w:rFonts w:hint="eastAsia"/>
          <w:sz w:val="24"/>
          <w:szCs w:val="24"/>
        </w:rPr>
        <w:t>……</w:t>
      </w: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wordWrap w:val="0"/>
        <w:spacing w:line="480" w:lineRule="exact"/>
        <w:ind w:firstLine="480" w:firstLineChars="200"/>
        <w:jc w:val="right"/>
        <w:rPr>
          <w:sz w:val="24"/>
          <w:szCs w:val="24"/>
        </w:rPr>
      </w:pPr>
      <w:r>
        <w:rPr>
          <w:rFonts w:hint="eastAsia" w:ascii="黑体" w:eastAsia="黑体"/>
          <w:sz w:val="24"/>
          <w:szCs w:val="24"/>
        </w:rPr>
        <w:t>投标人：</w:t>
      </w:r>
      <w:r>
        <w:rPr>
          <w:rFonts w:hint="eastAsia"/>
          <w:sz w:val="24"/>
          <w:szCs w:val="24"/>
        </w:rPr>
        <w:t xml:space="preserve">（盖单位章） </w:t>
      </w:r>
    </w:p>
    <w:p>
      <w:pPr>
        <w:wordWrap w:val="0"/>
        <w:spacing w:beforeLines="50" w:afterLines="50" w:line="480" w:lineRule="exact"/>
        <w:ind w:right="210"/>
        <w:jc w:val="right"/>
        <w:rPr>
          <w:sz w:val="24"/>
          <w:szCs w:val="24"/>
        </w:rPr>
      </w:pPr>
      <w:r>
        <w:rPr>
          <w:rFonts w:hint="eastAsia" w:ascii="黑体" w:eastAsia="黑体"/>
          <w:sz w:val="24"/>
          <w:szCs w:val="24"/>
        </w:rPr>
        <w:t xml:space="preserve">               法定代表人或其委托代理人：</w:t>
      </w:r>
      <w:r>
        <w:rPr>
          <w:rFonts w:hint="eastAsia"/>
          <w:sz w:val="24"/>
          <w:szCs w:val="24"/>
        </w:rPr>
        <w:t>（签字）</w:t>
      </w:r>
    </w:p>
    <w:p>
      <w:pPr>
        <w:spacing w:line="480" w:lineRule="exact"/>
        <w:ind w:firstLine="6600" w:firstLineChars="2750"/>
        <w:rPr>
          <w:sz w:val="24"/>
          <w:szCs w:val="24"/>
        </w:rPr>
      </w:pPr>
      <w:r>
        <w:rPr>
          <w:rFonts w:hint="eastAsia"/>
          <w:sz w:val="24"/>
          <w:szCs w:val="24"/>
        </w:rPr>
        <w:t>年月日</w:t>
      </w:r>
    </w:p>
    <w:p>
      <w:pPr>
        <w:snapToGrid w:val="0"/>
        <w:spacing w:line="360" w:lineRule="auto"/>
        <w:jc w:val="center"/>
        <w:rPr>
          <w:rFonts w:ascii="新宋体" w:hAnsi="新宋体" w:eastAsia="新宋体" w:cs="新宋体"/>
          <w:sz w:val="24"/>
        </w:rPr>
      </w:pPr>
      <w:r>
        <w:rPr>
          <w:sz w:val="24"/>
          <w:szCs w:val="24"/>
        </w:rPr>
        <w:br w:type="page"/>
      </w:r>
      <w:r>
        <w:rPr>
          <w:rFonts w:hint="eastAsia" w:ascii="新宋体" w:hAnsi="新宋体" w:eastAsia="新宋体" w:cs="新宋体"/>
          <w:b/>
          <w:bCs/>
          <w:sz w:val="36"/>
          <w:szCs w:val="36"/>
        </w:rPr>
        <w:t>第三章 评标办法（综合计分法）</w:t>
      </w:r>
    </w:p>
    <w:p>
      <w:pPr>
        <w:autoSpaceDE w:val="0"/>
        <w:autoSpaceDN w:val="0"/>
        <w:adjustRightInd w:val="0"/>
        <w:spacing w:after="231" w:afterLines="50"/>
        <w:jc w:val="center"/>
        <w:outlineLvl w:val="0"/>
        <w:rPr>
          <w:rFonts w:hint="eastAsia" w:ascii="宋体" w:hAnsi="宋体"/>
          <w:b/>
          <w:bCs/>
          <w:kern w:val="0"/>
          <w:sz w:val="24"/>
          <w:szCs w:val="24"/>
        </w:rPr>
      </w:pPr>
      <w:r>
        <w:rPr>
          <w:rFonts w:hint="eastAsia" w:ascii="宋体" w:hAnsi="宋体"/>
          <w:b/>
          <w:bCs/>
          <w:kern w:val="0"/>
          <w:sz w:val="30"/>
          <w:szCs w:val="30"/>
        </w:rPr>
        <w:t>第三章  评标办法（综合计分法）</w:t>
      </w:r>
    </w:p>
    <w:p>
      <w:pPr>
        <w:adjustRightInd w:val="0"/>
        <w:snapToGrid w:val="0"/>
        <w:spacing w:line="430" w:lineRule="exact"/>
        <w:rPr>
          <w:rFonts w:hint="eastAsia" w:ascii="宋体" w:hAnsi="宋体" w:cs="新宋体"/>
          <w:b/>
          <w:sz w:val="24"/>
          <w:lang w:bidi="ar"/>
        </w:rPr>
      </w:pPr>
      <w:r>
        <w:rPr>
          <w:rFonts w:hint="eastAsia" w:ascii="宋体" w:hAnsi="宋体" w:cs="新宋体"/>
          <w:sz w:val="24"/>
          <w:lang w:bidi="ar"/>
        </w:rPr>
        <w:t xml:space="preserve">    </w:t>
      </w:r>
      <w:r>
        <w:rPr>
          <w:rFonts w:hint="eastAsia" w:ascii="宋体" w:hAnsi="宋体" w:cs="新宋体"/>
          <w:b/>
          <w:sz w:val="24"/>
          <w:lang w:bidi="ar"/>
        </w:rPr>
        <w:t xml:space="preserve"> 一、评标应遵循公正、公平、择优的原则严格按照招标文件进行。</w:t>
      </w:r>
    </w:p>
    <w:p>
      <w:pPr>
        <w:autoSpaceDE w:val="0"/>
        <w:autoSpaceDN w:val="0"/>
        <w:spacing w:line="460" w:lineRule="exact"/>
        <w:ind w:firstLine="480" w:firstLineChars="200"/>
        <w:contextualSpacing/>
        <w:jc w:val="left"/>
        <w:outlineLvl w:val="0"/>
        <w:rPr>
          <w:rFonts w:hint="eastAsia" w:ascii="宋体" w:hAnsi="宋体" w:cs="新宋体"/>
          <w:b/>
          <w:sz w:val="24"/>
          <w:lang w:bidi="ar"/>
        </w:rPr>
      </w:pPr>
      <w:r>
        <w:rPr>
          <w:rFonts w:hint="eastAsia" w:ascii="宋体" w:hAnsi="宋体" w:cs="新宋体"/>
          <w:b/>
          <w:sz w:val="24"/>
          <w:lang w:bidi="ar"/>
        </w:rPr>
        <w:t xml:space="preserve"> 二、评标由招标人依法组建的评标委员会负责</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（一）评标委员会的组成：</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评标委员会为</w:t>
      </w:r>
      <w:r>
        <w:rPr>
          <w:rFonts w:ascii="宋体" w:hAnsi="宋体" w:cs="宋体"/>
          <w:sz w:val="24"/>
        </w:rPr>
        <w:t>5</w:t>
      </w:r>
      <w:r>
        <w:rPr>
          <w:rFonts w:hint="eastAsia" w:ascii="宋体" w:hAnsi="宋体" w:cs="宋体"/>
          <w:sz w:val="24"/>
        </w:rPr>
        <w:t>人，其中招标人代表</w:t>
      </w:r>
      <w:r>
        <w:rPr>
          <w:rFonts w:ascii="宋体" w:hAnsi="宋体" w:cs="宋体"/>
          <w:sz w:val="24"/>
        </w:rPr>
        <w:t>1</w:t>
      </w:r>
      <w:r>
        <w:rPr>
          <w:rFonts w:hint="eastAsia" w:ascii="宋体" w:hAnsi="宋体" w:cs="宋体"/>
          <w:sz w:val="24"/>
        </w:rPr>
        <w:t>人，其余</w:t>
      </w:r>
      <w:r>
        <w:rPr>
          <w:rFonts w:ascii="宋体" w:hAnsi="宋体" w:cs="宋体"/>
          <w:sz w:val="24"/>
        </w:rPr>
        <w:t>4</w:t>
      </w:r>
      <w:r>
        <w:rPr>
          <w:rFonts w:hint="eastAsia" w:ascii="宋体" w:hAnsi="宋体" w:cs="宋体"/>
          <w:sz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（二）评标委员会成员的回避：</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 xml:space="preserve">有下列情形之一的，不得担任评标委员会成员：   </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1、投标人或者投标人主要负责人的近亲属；</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2、项目主管部门或者行政监督部门的人员；</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3、与投标人有经济利益关系，可能影响对投标公正评审的；</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autoSpaceDE w:val="0"/>
        <w:autoSpaceDN w:val="0"/>
        <w:spacing w:line="460" w:lineRule="exact"/>
        <w:ind w:firstLine="480" w:firstLineChars="200"/>
        <w:contextualSpacing/>
        <w:jc w:val="left"/>
        <w:outlineLvl w:val="0"/>
        <w:rPr>
          <w:rFonts w:hint="eastAsia" w:ascii="宋体" w:hAnsi="宋体" w:cs="宋体"/>
          <w:sz w:val="24"/>
        </w:rPr>
      </w:pPr>
      <w:r>
        <w:rPr>
          <w:rFonts w:hint="eastAsia" w:ascii="宋体" w:hAnsi="宋体" w:cs="宋体"/>
          <w:sz w:val="24"/>
        </w:rPr>
        <w:t>评标委员会成员有前款规定情形之一的，应当主动提出回避。</w:t>
      </w:r>
    </w:p>
    <w:p>
      <w:pPr>
        <w:autoSpaceDE w:val="0"/>
        <w:autoSpaceDN w:val="0"/>
        <w:spacing w:line="460" w:lineRule="exact"/>
        <w:ind w:firstLine="480" w:firstLineChars="200"/>
        <w:contextualSpacing/>
        <w:jc w:val="left"/>
        <w:outlineLvl w:val="0"/>
        <w:rPr>
          <w:rFonts w:ascii="宋体" w:hAnsi="宋体" w:cs="宋体"/>
          <w:b/>
          <w:sz w:val="24"/>
        </w:rPr>
      </w:pPr>
      <w:r>
        <w:rPr>
          <w:rFonts w:hint="eastAsia" w:ascii="宋体" w:hAnsi="宋体" w:cs="宋体"/>
          <w:b/>
          <w:sz w:val="24"/>
        </w:rPr>
        <w:t>关于交易中心全电子系统的说明（特别提示）</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p>
    <w:p>
      <w:pPr>
        <w:autoSpaceDE w:val="0"/>
        <w:autoSpaceDN w:val="0"/>
        <w:spacing w:line="430" w:lineRule="exact"/>
        <w:ind w:firstLine="480" w:firstLineChars="200"/>
        <w:contextualSpacing/>
        <w:jc w:val="left"/>
        <w:outlineLvl w:val="0"/>
        <w:rPr>
          <w:rFonts w:hint="eastAsia" w:ascii="宋体" w:hAnsi="宋体" w:cs="新宋体"/>
          <w:b w:val="0"/>
          <w:bCs w:val="0"/>
          <w:sz w:val="24"/>
          <w:lang w:bidi="ar"/>
        </w:rPr>
      </w:pPr>
      <w:r>
        <w:rPr>
          <w:rFonts w:hint="eastAsia" w:ascii="宋体" w:hAnsi="宋体" w:cs="宋体"/>
          <w:b w:val="0"/>
          <w:bCs w:val="0"/>
          <w:sz w:val="24"/>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除此之外，评标开始后，评标委员会不得再接受场外递交的任何材料。评标委员会不得暗示或者诱导投标人作出澄清、说明，不得接受投标人主动提出的澄清、说明。</w:t>
      </w:r>
    </w:p>
    <w:p>
      <w:pPr>
        <w:adjustRightInd w:val="0"/>
        <w:snapToGrid w:val="0"/>
        <w:spacing w:line="430" w:lineRule="exact"/>
        <w:ind w:firstLine="480" w:firstLineChars="200"/>
        <w:rPr>
          <w:rFonts w:hint="eastAsia" w:ascii="宋体" w:hAnsi="宋体" w:cs="新宋体"/>
          <w:sz w:val="24"/>
          <w:lang w:bidi="ar"/>
        </w:rPr>
      </w:pPr>
      <w:r>
        <w:rPr>
          <w:rFonts w:hint="eastAsia" w:ascii="黑体" w:hAnsi="黑体" w:eastAsia="黑体" w:cs="黑体"/>
          <w:b/>
          <w:bCs w:val="0"/>
          <w:sz w:val="24"/>
          <w:lang w:bidi="ar"/>
        </w:rPr>
        <w:t>三、</w:t>
      </w:r>
      <w:r>
        <w:rPr>
          <w:rFonts w:hint="eastAsia" w:ascii="宋体" w:hAnsi="宋体" w:cs="新宋体"/>
          <w:b/>
          <w:bCs/>
          <w:sz w:val="24"/>
          <w:lang w:bidi="ar"/>
        </w:rPr>
        <w:t>评标采用综合计分法</w:t>
      </w:r>
      <w:r>
        <w:rPr>
          <w:rFonts w:hint="eastAsia" w:ascii="宋体" w:hAnsi="宋体" w:cs="新宋体"/>
          <w:b/>
          <w:bCs/>
          <w:sz w:val="24"/>
          <w:lang w:eastAsia="zh-CN" w:bidi="ar"/>
        </w:rPr>
        <w:t>：</w:t>
      </w:r>
      <w:r>
        <w:rPr>
          <w:rFonts w:hint="eastAsia" w:ascii="宋体" w:hAnsi="宋体" w:cs="新宋体"/>
          <w:sz w:val="24"/>
          <w:lang w:bidi="ar"/>
        </w:rPr>
        <w:t>是指评标委员会根据招标文件要求应从技术标、商务标、综合标三部分进行综合评审。</w:t>
      </w:r>
    </w:p>
    <w:p>
      <w:pPr>
        <w:adjustRightInd w:val="0"/>
        <w:snapToGrid w:val="0"/>
        <w:spacing w:line="430" w:lineRule="exact"/>
        <w:ind w:firstLine="480" w:firstLineChars="200"/>
        <w:rPr>
          <w:rFonts w:hint="eastAsia" w:ascii="宋体" w:hAnsi="宋体" w:cs="新宋体"/>
          <w:sz w:val="24"/>
          <w:lang w:bidi="ar"/>
        </w:rPr>
      </w:pPr>
      <w:r>
        <w:rPr>
          <w:rFonts w:hint="eastAsia" w:ascii="宋体" w:hAnsi="宋体" w:cs="新宋体"/>
          <w:sz w:val="24"/>
          <w:lang w:bidi="ar"/>
        </w:rPr>
        <w:t>评标委员会完成对技术标、综合标的汇总后，评标委员会取所有评委评分的平均值作为该投标人的最终得分。投标人最终得分=技术标平均得分+商务标得分+综合标平均得分。计算分值均四舍五入保留两位小数。</w:t>
      </w:r>
    </w:p>
    <w:p>
      <w:pPr>
        <w:adjustRightInd w:val="0"/>
        <w:snapToGrid w:val="0"/>
        <w:spacing w:line="430" w:lineRule="exact"/>
        <w:ind w:firstLine="480" w:firstLineChars="200"/>
        <w:rPr>
          <w:rFonts w:hint="eastAsia" w:ascii="宋体" w:hAnsi="宋体"/>
          <w:b/>
          <w:sz w:val="24"/>
        </w:rPr>
      </w:pPr>
      <w:r>
        <w:rPr>
          <w:rFonts w:hint="eastAsia" w:ascii="宋体" w:hAnsi="宋体"/>
          <w:b/>
          <w:sz w:val="24"/>
        </w:rPr>
        <w:t>四、评标程序为：</w:t>
      </w:r>
    </w:p>
    <w:p>
      <w:pPr>
        <w:autoSpaceDE w:val="0"/>
        <w:autoSpaceDN w:val="0"/>
        <w:spacing w:line="460" w:lineRule="exact"/>
        <w:ind w:firstLine="480" w:firstLineChars="200"/>
        <w:contextualSpacing/>
        <w:jc w:val="left"/>
        <w:outlineLvl w:val="0"/>
        <w:rPr>
          <w:rFonts w:hint="eastAsia" w:ascii="宋体" w:hAnsi="宋体" w:cs="新宋体"/>
          <w:sz w:val="24"/>
          <w:lang w:bidi="ar"/>
        </w:rPr>
      </w:pPr>
      <w:r>
        <w:rPr>
          <w:rFonts w:hint="eastAsia" w:ascii="宋体" w:hAnsi="宋体" w:cs="新宋体"/>
          <w:sz w:val="24"/>
          <w:lang w:bidi="ar"/>
        </w:rPr>
        <w:t>（1）清标；</w:t>
      </w:r>
    </w:p>
    <w:p>
      <w:pPr>
        <w:autoSpaceDE w:val="0"/>
        <w:autoSpaceDN w:val="0"/>
        <w:spacing w:line="460" w:lineRule="exact"/>
        <w:ind w:firstLine="480" w:firstLineChars="200"/>
        <w:contextualSpacing/>
        <w:jc w:val="left"/>
        <w:outlineLvl w:val="0"/>
        <w:rPr>
          <w:rFonts w:hint="eastAsia" w:ascii="宋体" w:hAnsi="宋体" w:cs="新宋体"/>
          <w:sz w:val="24"/>
          <w:lang w:bidi="ar"/>
        </w:rPr>
      </w:pPr>
      <w:r>
        <w:rPr>
          <w:rFonts w:hint="eastAsia" w:ascii="宋体" w:hAnsi="宋体" w:cs="新宋体"/>
          <w:sz w:val="24"/>
          <w:lang w:bidi="ar"/>
        </w:rPr>
        <w:t>（2）初步评审；</w:t>
      </w:r>
    </w:p>
    <w:p>
      <w:pPr>
        <w:autoSpaceDE w:val="0"/>
        <w:autoSpaceDN w:val="0"/>
        <w:spacing w:line="460" w:lineRule="exact"/>
        <w:ind w:firstLine="480" w:firstLineChars="200"/>
        <w:contextualSpacing/>
        <w:jc w:val="left"/>
        <w:outlineLvl w:val="0"/>
        <w:rPr>
          <w:rFonts w:hint="eastAsia" w:ascii="宋体" w:hAnsi="宋体" w:cs="新宋体"/>
          <w:sz w:val="24"/>
          <w:lang w:bidi="ar"/>
        </w:rPr>
      </w:pPr>
      <w:r>
        <w:rPr>
          <w:rFonts w:hint="eastAsia" w:ascii="宋体" w:hAnsi="宋体" w:cs="新宋体"/>
          <w:sz w:val="24"/>
          <w:lang w:bidi="ar"/>
        </w:rPr>
        <w:t>（3）详细评审；</w:t>
      </w:r>
    </w:p>
    <w:p>
      <w:pPr>
        <w:autoSpaceDE w:val="0"/>
        <w:autoSpaceDN w:val="0"/>
        <w:spacing w:line="460" w:lineRule="exact"/>
        <w:ind w:firstLine="480" w:firstLineChars="200"/>
        <w:contextualSpacing/>
        <w:jc w:val="left"/>
        <w:outlineLvl w:val="0"/>
        <w:rPr>
          <w:rFonts w:hint="eastAsia" w:ascii="宋体" w:hAnsi="宋体" w:cs="新宋体"/>
          <w:sz w:val="24"/>
          <w:lang w:bidi="ar"/>
        </w:rPr>
      </w:pPr>
      <w:r>
        <w:rPr>
          <w:rFonts w:hint="eastAsia" w:ascii="宋体" w:hAnsi="宋体" w:cs="新宋体"/>
          <w:sz w:val="24"/>
          <w:lang w:bidi="ar"/>
        </w:rPr>
        <w:t>（4）问题的澄清、说明或补正；</w:t>
      </w:r>
    </w:p>
    <w:p>
      <w:pPr>
        <w:autoSpaceDE w:val="0"/>
        <w:autoSpaceDN w:val="0"/>
        <w:spacing w:line="460" w:lineRule="exact"/>
        <w:ind w:firstLine="480" w:firstLineChars="200"/>
        <w:contextualSpacing/>
        <w:jc w:val="left"/>
        <w:outlineLvl w:val="0"/>
        <w:rPr>
          <w:rFonts w:hint="eastAsia" w:ascii="宋体" w:hAnsi="宋体" w:cs="新宋体"/>
          <w:sz w:val="24"/>
          <w:lang w:bidi="ar"/>
        </w:rPr>
      </w:pPr>
      <w:r>
        <w:rPr>
          <w:rFonts w:hint="eastAsia" w:ascii="宋体" w:hAnsi="宋体" w:cs="新宋体"/>
          <w:sz w:val="24"/>
          <w:lang w:bidi="ar"/>
        </w:rPr>
        <w:t>（5）推荐中标候选人；</w:t>
      </w:r>
    </w:p>
    <w:p>
      <w:pPr>
        <w:autoSpaceDE w:val="0"/>
        <w:autoSpaceDN w:val="0"/>
        <w:spacing w:line="460" w:lineRule="exact"/>
        <w:ind w:firstLine="480" w:firstLineChars="200"/>
        <w:contextualSpacing/>
        <w:jc w:val="left"/>
        <w:outlineLvl w:val="0"/>
        <w:rPr>
          <w:rFonts w:ascii="宋体" w:hAnsi="宋体" w:cs="新宋体"/>
          <w:sz w:val="24"/>
          <w:lang w:bidi="ar"/>
        </w:rPr>
      </w:pPr>
      <w:r>
        <w:rPr>
          <w:rFonts w:hint="eastAsia" w:ascii="宋体" w:hAnsi="宋体" w:cs="新宋体"/>
          <w:sz w:val="24"/>
          <w:lang w:bidi="ar"/>
        </w:rPr>
        <w:t>（6）</w:t>
      </w:r>
      <w:r>
        <w:rPr>
          <w:rFonts w:hint="eastAsia" w:ascii="宋体" w:hAnsi="宋体" w:cs="新宋体"/>
          <w:sz w:val="24"/>
          <w:lang w:val="en-US" w:eastAsia="zh-CN" w:bidi="ar"/>
        </w:rPr>
        <w:t>推荐的</w:t>
      </w:r>
      <w:r>
        <w:rPr>
          <w:rFonts w:hint="eastAsia" w:ascii="宋体" w:hAnsi="宋体" w:cs="新宋体"/>
          <w:sz w:val="24"/>
          <w:lang w:bidi="ar"/>
        </w:rPr>
        <w:t>中标候选人结果在指定媒体上进行公示。</w:t>
      </w:r>
    </w:p>
    <w:p>
      <w:pPr>
        <w:adjustRightInd w:val="0"/>
        <w:snapToGrid w:val="0"/>
        <w:spacing w:line="430" w:lineRule="exact"/>
        <w:ind w:firstLine="480" w:firstLineChars="200"/>
        <w:rPr>
          <w:rFonts w:ascii="宋体" w:hAnsi="宋体"/>
          <w:b/>
          <w:bCs/>
          <w:sz w:val="24"/>
          <w:szCs w:val="24"/>
        </w:rPr>
      </w:pPr>
      <w:r>
        <w:rPr>
          <w:rFonts w:hint="eastAsia" w:ascii="宋体" w:hAnsi="宋体"/>
          <w:b/>
          <w:sz w:val="24"/>
        </w:rPr>
        <w:t>五、清标</w:t>
      </w:r>
    </w:p>
    <w:p>
      <w:pPr>
        <w:autoSpaceDE w:val="0"/>
        <w:autoSpaceDN w:val="0"/>
        <w:spacing w:line="460" w:lineRule="exact"/>
        <w:ind w:firstLine="480" w:firstLineChars="200"/>
        <w:contextualSpacing/>
        <w:jc w:val="left"/>
        <w:outlineLvl w:val="0"/>
        <w:rPr>
          <w:rFonts w:ascii="宋体" w:hAnsi="宋体"/>
          <w:b/>
          <w:bCs/>
          <w:sz w:val="24"/>
          <w:szCs w:val="24"/>
        </w:rPr>
      </w:pPr>
      <w:r>
        <w:rPr>
          <w:rFonts w:hint="eastAsia" w:ascii="宋体" w:hAnsi="宋体"/>
          <w:b/>
          <w:bCs/>
          <w:sz w:val="24"/>
          <w:szCs w:val="24"/>
        </w:rPr>
        <w:t>先由评标委员会在商务标清标系统的辅助下对投标文件进行基础性数据分析和整理（清标内容见下表），形成清标成果。</w:t>
      </w:r>
    </w:p>
    <w:p>
      <w:pPr>
        <w:spacing w:line="460" w:lineRule="exact"/>
        <w:ind w:firstLine="480" w:firstLineChars="200"/>
        <w:contextualSpacing/>
        <w:rPr>
          <w:rFonts w:ascii="宋体" w:hAnsi="宋体"/>
          <w:sz w:val="24"/>
          <w:szCs w:val="24"/>
        </w:rPr>
      </w:pPr>
      <w:r>
        <w:rPr>
          <w:rFonts w:hint="eastAsia" w:ascii="宋体" w:hAnsi="宋体"/>
          <w:sz w:val="24"/>
          <w:szCs w:val="24"/>
        </w:rPr>
        <w:t>出现否定事项的，评标委员会不再对其质询，直接作为无效投标处理（但法律法规规定的细微偏差除外）。</w:t>
      </w:r>
    </w:p>
    <w:p>
      <w:pPr>
        <w:spacing w:line="460" w:lineRule="exact"/>
        <w:ind w:firstLine="480" w:firstLineChars="200"/>
        <w:contextualSpacing/>
        <w:rPr>
          <w:rFonts w:ascii="宋体" w:hAnsi="宋体"/>
          <w:sz w:val="24"/>
          <w:szCs w:val="24"/>
        </w:rPr>
      </w:pPr>
      <w:r>
        <w:rPr>
          <w:rFonts w:hint="eastAsia" w:ascii="宋体" w:hAnsi="宋体"/>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60" w:lineRule="exact"/>
        <w:ind w:firstLine="480" w:firstLineChars="200"/>
        <w:contextualSpacing/>
        <w:rPr>
          <w:rFonts w:ascii="宋体" w:hAnsi="宋体"/>
          <w:sz w:val="24"/>
          <w:szCs w:val="24"/>
        </w:rPr>
      </w:pPr>
      <w:r>
        <w:rPr>
          <w:rFonts w:hint="eastAsia" w:ascii="宋体" w:hAnsi="宋体"/>
          <w:sz w:val="24"/>
          <w:szCs w:val="24"/>
        </w:rPr>
        <w:t>评标委员会应当书面要求存在细微偏差的投标人在评标结束前予以补正。拒不补正的，在详细评审时评标委员会将否决其投标。</w:t>
      </w:r>
    </w:p>
    <w:p>
      <w:pPr>
        <w:spacing w:line="460" w:lineRule="exact"/>
        <w:ind w:firstLine="480" w:firstLineChars="200"/>
        <w:contextualSpacing/>
        <w:rPr>
          <w:rFonts w:ascii="宋体" w:hAnsi="宋体"/>
          <w:sz w:val="24"/>
          <w:szCs w:val="24"/>
        </w:rPr>
      </w:pPr>
      <w:r>
        <w:rPr>
          <w:rFonts w:hint="eastAsia" w:ascii="宋体" w:hAnsi="宋体"/>
          <w:sz w:val="24"/>
          <w:szCs w:val="24"/>
        </w:rPr>
        <w:t>投标文件存在下列情形之一的，按废标处理：</w:t>
      </w:r>
    </w:p>
    <w:p>
      <w:pPr>
        <w:spacing w:line="460" w:lineRule="exact"/>
        <w:ind w:firstLine="480" w:firstLineChars="200"/>
        <w:contextualSpacing/>
        <w:jc w:val="left"/>
        <w:rPr>
          <w:rFonts w:hint="eastAsia" w:ascii="宋体" w:hAnsi="宋体"/>
          <w:sz w:val="24"/>
          <w:szCs w:val="24"/>
        </w:rPr>
      </w:pPr>
      <w:r>
        <w:rPr>
          <w:rFonts w:hint="eastAsia" w:ascii="宋体" w:hAnsi="宋体"/>
          <w:sz w:val="24"/>
          <w:szCs w:val="24"/>
        </w:rPr>
        <w:t>1.未按招标文件规定编制各项报价的；</w:t>
      </w:r>
    </w:p>
    <w:p>
      <w:pPr>
        <w:spacing w:line="460" w:lineRule="exact"/>
        <w:ind w:firstLine="480" w:firstLineChars="200"/>
        <w:contextualSpacing/>
        <w:jc w:val="left"/>
        <w:rPr>
          <w:rFonts w:hint="eastAsia" w:ascii="宋体" w:hAnsi="宋体"/>
          <w:sz w:val="24"/>
          <w:szCs w:val="24"/>
        </w:rPr>
      </w:pPr>
      <w:r>
        <w:rPr>
          <w:rFonts w:hint="eastAsia" w:ascii="宋体" w:hAnsi="宋体"/>
          <w:sz w:val="24"/>
          <w:szCs w:val="24"/>
        </w:rPr>
        <w:t>2.投标总报价与其组成部分、工程量清单项目合价与综合单价、综合单价与人材机用量相互矛盾，致使评标委员会无法正常评审判定的；</w:t>
      </w:r>
    </w:p>
    <w:p>
      <w:pPr>
        <w:spacing w:line="460" w:lineRule="exact"/>
        <w:ind w:firstLine="480" w:firstLineChars="200"/>
        <w:contextualSpacing/>
        <w:jc w:val="left"/>
        <w:rPr>
          <w:rFonts w:hint="eastAsia" w:ascii="宋体" w:hAnsi="宋体"/>
          <w:sz w:val="24"/>
          <w:szCs w:val="24"/>
        </w:rPr>
      </w:pPr>
      <w:r>
        <w:rPr>
          <w:rFonts w:hint="eastAsia" w:ascii="宋体" w:hAnsi="宋体"/>
          <w:sz w:val="24"/>
          <w:szCs w:val="24"/>
        </w:rPr>
        <w:t>3.规费和税金、安全文明施工措施费违背工程造价管理规定的；</w:t>
      </w:r>
    </w:p>
    <w:p>
      <w:pPr>
        <w:spacing w:line="460" w:lineRule="exact"/>
        <w:ind w:firstLine="480" w:firstLineChars="200"/>
        <w:contextualSpacing/>
        <w:jc w:val="left"/>
        <w:rPr>
          <w:rFonts w:hint="eastAsia" w:ascii="宋体" w:hAnsi="宋体"/>
          <w:sz w:val="24"/>
          <w:szCs w:val="24"/>
        </w:rPr>
      </w:pPr>
      <w:r>
        <w:rPr>
          <w:rFonts w:hint="eastAsia" w:ascii="宋体" w:hAnsi="宋体"/>
          <w:sz w:val="24"/>
          <w:szCs w:val="24"/>
        </w:rPr>
        <w:t>4.分部分项工程项目、措施项目报价中的项目编码、项目名称、项目特征、计量单位和工程量与招标文件的清单不一致的；</w:t>
      </w:r>
    </w:p>
    <w:p>
      <w:pPr>
        <w:spacing w:line="460" w:lineRule="exact"/>
        <w:ind w:firstLine="480" w:firstLineChars="200"/>
        <w:contextualSpacing/>
        <w:jc w:val="left"/>
        <w:rPr>
          <w:rFonts w:hint="eastAsia" w:ascii="宋体" w:hAnsi="宋体"/>
          <w:sz w:val="24"/>
          <w:szCs w:val="24"/>
        </w:rPr>
      </w:pPr>
      <w:r>
        <w:rPr>
          <w:rFonts w:hint="eastAsia" w:ascii="宋体" w:hAnsi="宋体"/>
          <w:sz w:val="24"/>
          <w:szCs w:val="24"/>
        </w:rPr>
        <w:t>5.未按照暂列金额或者暂估价编制投标报价的。</w:t>
      </w:r>
    </w:p>
    <w:p>
      <w:pPr>
        <w:spacing w:line="440" w:lineRule="exact"/>
        <w:ind w:firstLine="480" w:firstLineChars="200"/>
        <w:rPr>
          <w:rFonts w:ascii="宋体" w:hAnsi="宋体"/>
          <w:sz w:val="24"/>
          <w:szCs w:val="24"/>
        </w:rPr>
      </w:pPr>
      <w:r>
        <w:rPr>
          <w:rFonts w:hint="eastAsia" w:ascii="宋体" w:hAnsi="宋体"/>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60" w:lineRule="exact"/>
        <w:ind w:firstLine="480" w:firstLineChars="200"/>
        <w:contextualSpacing/>
        <w:jc w:val="center"/>
        <w:rPr>
          <w:rFonts w:hint="eastAsia" w:ascii="新宋体" w:hAnsi="新宋体" w:eastAsia="新宋体"/>
          <w:b/>
          <w:bCs/>
          <w:sz w:val="24"/>
          <w:szCs w:val="24"/>
        </w:rPr>
      </w:pPr>
    </w:p>
    <w:p>
      <w:pPr>
        <w:spacing w:line="460" w:lineRule="exact"/>
        <w:ind w:firstLine="480" w:firstLineChars="200"/>
        <w:contextualSpacing/>
        <w:jc w:val="center"/>
        <w:rPr>
          <w:rFonts w:ascii="新宋体" w:hAnsi="新宋体" w:eastAsia="新宋体"/>
          <w:b/>
          <w:bCs/>
          <w:sz w:val="24"/>
          <w:szCs w:val="24"/>
        </w:rPr>
      </w:pPr>
      <w:r>
        <w:rPr>
          <w:rFonts w:hint="eastAsia" w:ascii="新宋体" w:hAnsi="新宋体" w:eastAsia="新宋体"/>
          <w:b/>
          <w:bCs/>
          <w:sz w:val="24"/>
          <w:szCs w:val="24"/>
        </w:rPr>
        <w:t>商务标清标内容</w:t>
      </w:r>
    </w:p>
    <w:tbl>
      <w:tblPr>
        <w:tblStyle w:val="12"/>
        <w:tblW w:w="9871" w:type="dxa"/>
        <w:jc w:val="center"/>
        <w:tblLayout w:type="fixed"/>
        <w:tblCellMar>
          <w:top w:w="0" w:type="dxa"/>
          <w:left w:w="108" w:type="dxa"/>
          <w:bottom w:w="0" w:type="dxa"/>
          <w:right w:w="108" w:type="dxa"/>
        </w:tblCellMar>
      </w:tblPr>
      <w:tblGrid>
        <w:gridCol w:w="525"/>
        <w:gridCol w:w="645"/>
        <w:gridCol w:w="3698"/>
        <w:gridCol w:w="3645"/>
        <w:gridCol w:w="698"/>
        <w:gridCol w:w="660"/>
      </w:tblGrid>
      <w:tr>
        <w:tblPrEx>
          <w:tblCellMar>
            <w:top w:w="0" w:type="dxa"/>
            <w:left w:w="108" w:type="dxa"/>
            <w:bottom w:w="0" w:type="dxa"/>
            <w:right w:w="108" w:type="dxa"/>
          </w:tblCellMar>
        </w:tblPrEx>
        <w:trPr>
          <w:trHeight w:val="282" w:hRule="atLeast"/>
          <w:jc w:val="center"/>
        </w:trPr>
        <w:tc>
          <w:tcPr>
            <w:tcW w:w="11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bookmarkStart w:id="79" w:name="_Toc464824721"/>
            <w:bookmarkEnd w:id="79"/>
            <w:bookmarkStart w:id="80" w:name="_Toc31423"/>
            <w:r>
              <w:rPr>
                <w:rFonts w:hint="eastAsia" w:ascii="新宋体" w:hAnsi="新宋体" w:eastAsia="新宋体"/>
                <w:sz w:val="22"/>
                <w:szCs w:val="20"/>
              </w:rPr>
              <w:t>序号</w:t>
            </w:r>
          </w:p>
        </w:tc>
        <w:tc>
          <w:tcPr>
            <w:tcW w:w="3698" w:type="dxa"/>
            <w:vMerge w:val="restart"/>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清标项目</w:t>
            </w:r>
          </w:p>
        </w:tc>
        <w:tc>
          <w:tcPr>
            <w:tcW w:w="3645" w:type="dxa"/>
            <w:vMerge w:val="restart"/>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清标内容</w:t>
            </w:r>
          </w:p>
        </w:tc>
        <w:tc>
          <w:tcPr>
            <w:tcW w:w="1358"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清标结果</w:t>
            </w:r>
          </w:p>
        </w:tc>
      </w:tr>
      <w:tr>
        <w:tblPrEx>
          <w:tblCellMar>
            <w:top w:w="0" w:type="dxa"/>
            <w:left w:w="108" w:type="dxa"/>
            <w:bottom w:w="0" w:type="dxa"/>
            <w:right w:w="108" w:type="dxa"/>
          </w:tblCellMar>
        </w:tblPrEx>
        <w:trPr>
          <w:trHeight w:val="204" w:hRule="atLeast"/>
          <w:jc w:val="center"/>
        </w:trPr>
        <w:tc>
          <w:tcPr>
            <w:tcW w:w="11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3698" w:type="dxa"/>
            <w:vMerge w:val="continue"/>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3645" w:type="dxa"/>
            <w:vMerge w:val="continue"/>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是</w:t>
            </w: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否</w:t>
            </w: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1</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1.1</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项目总报价</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是否等于各单项工程造价之和</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1.2</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单项工程费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是否等于各单位工程造价之和</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1.3</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单位工程费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是否等于分部分项工程费+措施项目费+其它项目费+规费+税金之和</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2</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2.1</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sz w:val="22"/>
                <w:szCs w:val="20"/>
              </w:rPr>
            </w:pPr>
            <w:r>
              <w:rPr>
                <w:rFonts w:hint="eastAsia" w:ascii="新宋体" w:hAnsi="新宋体" w:eastAsia="新宋体"/>
                <w:sz w:val="22"/>
                <w:szCs w:val="20"/>
              </w:rPr>
              <w:t>分部分项工程费及单价措施费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是否等于各分部分项清单（含单价措施项目）费之和</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2.2</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sz w:val="22"/>
                <w:szCs w:val="20"/>
              </w:rPr>
            </w:pPr>
            <w:r>
              <w:rPr>
                <w:rFonts w:hint="eastAsia" w:ascii="新宋体" w:hAnsi="新宋体" w:eastAsia="新宋体"/>
                <w:sz w:val="22"/>
                <w:szCs w:val="20"/>
              </w:rPr>
              <w:t>分部分项及单价措施项目编码</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2.3</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sz w:val="22"/>
                <w:szCs w:val="20"/>
              </w:rPr>
            </w:pPr>
            <w:r>
              <w:rPr>
                <w:rFonts w:hint="eastAsia" w:ascii="新宋体" w:hAnsi="新宋体" w:eastAsia="新宋体"/>
                <w:sz w:val="22"/>
                <w:szCs w:val="20"/>
              </w:rPr>
              <w:t>分部分项及单价措施项目名称</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2.4</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sz w:val="22"/>
                <w:szCs w:val="20"/>
              </w:rPr>
            </w:pPr>
            <w:r>
              <w:rPr>
                <w:rFonts w:hint="eastAsia" w:ascii="新宋体" w:hAnsi="新宋体" w:eastAsia="新宋体"/>
                <w:sz w:val="22"/>
                <w:szCs w:val="20"/>
              </w:rPr>
              <w:t>分部分项及单价措施项目特征</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2.5</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sz w:val="22"/>
                <w:szCs w:val="20"/>
              </w:rPr>
            </w:pPr>
            <w:r>
              <w:rPr>
                <w:rFonts w:hint="eastAsia" w:ascii="新宋体" w:hAnsi="新宋体" w:eastAsia="新宋体"/>
                <w:sz w:val="22"/>
                <w:szCs w:val="20"/>
              </w:rPr>
              <w:t>分部分项及单价措施项目计量单位</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2.6</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sz w:val="22"/>
                <w:szCs w:val="20"/>
              </w:rPr>
            </w:pPr>
            <w:r>
              <w:rPr>
                <w:rFonts w:hint="eastAsia" w:ascii="新宋体" w:hAnsi="新宋体" w:eastAsia="新宋体"/>
                <w:sz w:val="22"/>
                <w:szCs w:val="20"/>
              </w:rPr>
              <w:t>分部分项及单价措施项目工程量</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2.7</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sz w:val="22"/>
                <w:szCs w:val="20"/>
              </w:rPr>
            </w:pPr>
            <w:r>
              <w:rPr>
                <w:rFonts w:hint="eastAsia" w:ascii="新宋体" w:hAnsi="新宋体" w:eastAsia="新宋体"/>
                <w:sz w:val="22"/>
                <w:szCs w:val="20"/>
              </w:rPr>
              <w:t>分部分项工程费及单价措施费清单综合单价</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综合单价＝人工费+材料费+机械费+管理费+利润之和</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2.8</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sz w:val="22"/>
                <w:szCs w:val="20"/>
              </w:rPr>
            </w:pPr>
            <w:r>
              <w:rPr>
                <w:rFonts w:hint="eastAsia" w:ascii="新宋体" w:hAnsi="新宋体" w:eastAsia="新宋体"/>
                <w:sz w:val="22"/>
                <w:szCs w:val="20"/>
              </w:rPr>
              <w:t>材料单价</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材料表中的单价与组成清单单价中的综合单价必须一致</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3</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3.1</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安全文明施工费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根据河南省计价依据规定计算</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3.2</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jc w:val="left"/>
              <w:rPr>
                <w:rFonts w:hint="eastAsia" w:ascii="新宋体" w:hAnsi="新宋体" w:eastAsia="新宋体"/>
                <w:sz w:val="22"/>
                <w:szCs w:val="20"/>
              </w:rPr>
            </w:pPr>
            <w:r>
              <w:rPr>
                <w:rFonts w:hint="eastAsia" w:ascii="新宋体" w:hAnsi="新宋体" w:eastAsia="新宋体"/>
                <w:sz w:val="22"/>
                <w:szCs w:val="20"/>
              </w:rPr>
              <w:t>其他措施费（费率类）项目</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根据招标文件要求自主报价</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4</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4.1</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其它项目费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各组成部分之和（暂列金额+专业暂估价+计日工费+总承包服务费）</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4.2</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暂列金额</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应与招标人价格一致</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4.3</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专业工程暂估价</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应与招标人价格一致</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4.4</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计日工</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应与招标人数量一致</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4.5</w:t>
            </w: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总承包服务费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是否按招标文件要求计算</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5</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规费</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根据河南省计价依据规定计算</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6</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3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left"/>
              <w:rPr>
                <w:rFonts w:hint="eastAsia" w:ascii="新宋体" w:hAnsi="新宋体" w:eastAsia="新宋体"/>
                <w:sz w:val="22"/>
                <w:szCs w:val="20"/>
              </w:rPr>
            </w:pPr>
            <w:r>
              <w:rPr>
                <w:rFonts w:hint="eastAsia" w:ascii="新宋体" w:hAnsi="新宋体" w:eastAsia="新宋体"/>
                <w:sz w:val="22"/>
                <w:szCs w:val="20"/>
              </w:rPr>
              <w:t>增值税</w:t>
            </w:r>
          </w:p>
        </w:tc>
        <w:tc>
          <w:tcPr>
            <w:tcW w:w="3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根据河南省计价依据规定计算</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r>
        <w:tblPrEx>
          <w:tblCellMar>
            <w:top w:w="0" w:type="dxa"/>
            <w:left w:w="108" w:type="dxa"/>
            <w:bottom w:w="0" w:type="dxa"/>
            <w:right w:w="108" w:type="dxa"/>
          </w:tblCellMar>
        </w:tblPrEx>
        <w:trPr>
          <w:trHeight w:val="471" w:hRule="exac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2"/>
                <w:szCs w:val="20"/>
              </w:rPr>
            </w:pPr>
            <w:r>
              <w:rPr>
                <w:rFonts w:hint="eastAsia" w:ascii="新宋体" w:hAnsi="新宋体" w:eastAsia="新宋体"/>
                <w:sz w:val="22"/>
                <w:szCs w:val="20"/>
              </w:rPr>
              <w:t>7</w:t>
            </w:r>
          </w:p>
        </w:tc>
        <w:tc>
          <w:tcPr>
            <w:tcW w:w="645"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7343" w:type="dxa"/>
            <w:gridSpan w:val="2"/>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r>
              <w:rPr>
                <w:rFonts w:hint="eastAsia" w:ascii="新宋体" w:hAnsi="新宋体" w:eastAsia="新宋体"/>
                <w:sz w:val="22"/>
                <w:szCs w:val="20"/>
              </w:rPr>
              <w:t>不违反法律、法规、规章、规范性文件规定的其它情况</w:t>
            </w:r>
          </w:p>
        </w:tc>
        <w:tc>
          <w:tcPr>
            <w:tcW w:w="698"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noWrap w:val="0"/>
            <w:vAlign w:val="center"/>
          </w:tcPr>
          <w:p>
            <w:pPr>
              <w:spacing w:line="440" w:lineRule="exact"/>
              <w:ind w:firstLine="440" w:firstLineChars="200"/>
              <w:jc w:val="center"/>
              <w:rPr>
                <w:rFonts w:hint="eastAsia" w:ascii="新宋体" w:hAnsi="新宋体" w:eastAsia="新宋体"/>
                <w:sz w:val="22"/>
                <w:szCs w:val="20"/>
              </w:rPr>
            </w:pPr>
          </w:p>
        </w:tc>
      </w:tr>
    </w:tbl>
    <w:p>
      <w:pPr>
        <w:autoSpaceDE w:val="0"/>
        <w:autoSpaceDN w:val="0"/>
        <w:spacing w:line="480" w:lineRule="exact"/>
        <w:ind w:firstLine="480" w:firstLineChars="200"/>
        <w:contextualSpacing/>
        <w:jc w:val="left"/>
        <w:outlineLvl w:val="0"/>
        <w:rPr>
          <w:rFonts w:hint="eastAsia" w:ascii="宋体" w:hAnsi="宋体" w:eastAsia="新宋体"/>
          <w:b/>
          <w:bCs/>
          <w:sz w:val="24"/>
          <w:szCs w:val="24"/>
        </w:rPr>
      </w:pPr>
      <w:r>
        <w:rPr>
          <w:rFonts w:hint="eastAsia" w:ascii="宋体" w:hAnsi="宋体" w:eastAsia="新宋体"/>
          <w:b/>
          <w:bCs/>
          <w:sz w:val="24"/>
          <w:szCs w:val="24"/>
        </w:rPr>
        <w:t>注：不在上述范围内且不具有实质性影响的内容，均不能作为清标的依据或理由。</w:t>
      </w:r>
    </w:p>
    <w:bookmarkEnd w:id="80"/>
    <w:p>
      <w:pPr>
        <w:adjustRightInd w:val="0"/>
        <w:snapToGrid w:val="0"/>
        <w:spacing w:line="480" w:lineRule="exact"/>
        <w:ind w:firstLine="480" w:firstLineChars="200"/>
        <w:rPr>
          <w:rFonts w:hint="eastAsia" w:ascii="宋体" w:hAnsi="宋体"/>
          <w:b/>
          <w:sz w:val="24"/>
        </w:rPr>
      </w:pPr>
      <w:r>
        <w:rPr>
          <w:rFonts w:hint="eastAsia" w:ascii="宋体" w:hAnsi="宋体"/>
          <w:b/>
          <w:sz w:val="24"/>
        </w:rPr>
        <w:t>六、初步评审</w:t>
      </w:r>
    </w:p>
    <w:p>
      <w:pPr>
        <w:autoSpaceDE w:val="0"/>
        <w:autoSpaceDN w:val="0"/>
        <w:spacing w:line="480" w:lineRule="exact"/>
        <w:ind w:firstLine="480" w:firstLineChars="200"/>
        <w:contextualSpacing/>
        <w:jc w:val="left"/>
        <w:outlineLvl w:val="0"/>
        <w:rPr>
          <w:rFonts w:hint="eastAsia" w:ascii="新宋体" w:hAnsi="新宋体" w:eastAsia="新宋体" w:cs="宋体"/>
          <w:kern w:val="0"/>
          <w:sz w:val="24"/>
          <w:szCs w:val="24"/>
        </w:rPr>
      </w:pPr>
      <w:bookmarkStart w:id="81" w:name="_Toc21112"/>
      <w:r>
        <w:rPr>
          <w:rFonts w:hint="eastAsia" w:ascii="新宋体" w:hAnsi="新宋体" w:eastAsia="新宋体" w:cs="宋体"/>
          <w:kern w:val="0"/>
          <w:sz w:val="24"/>
          <w:szCs w:val="24"/>
        </w:rPr>
        <w:t>招标人依法组织的评标委员会首先对投标人进行初步评审，只有通过初步评审的投标人才能进入下步评审。</w:t>
      </w:r>
      <w:bookmarkEnd w:id="81"/>
      <w:bookmarkStart w:id="82" w:name="_Toc27484"/>
      <w:bookmarkEnd w:id="82"/>
      <w:bookmarkStart w:id="83" w:name="_Toc464824723"/>
      <w:bookmarkEnd w:id="83"/>
    </w:p>
    <w:p>
      <w:pPr>
        <w:snapToGrid w:val="0"/>
        <w:spacing w:line="480" w:lineRule="exact"/>
        <w:ind w:firstLine="480" w:firstLineChars="200"/>
        <w:rPr>
          <w:rFonts w:hint="eastAsia" w:ascii="宋体" w:hAnsi="宋体" w:cs="新宋体"/>
          <w:sz w:val="24"/>
          <w:lang w:bidi="ar"/>
        </w:rPr>
      </w:pPr>
      <w:r>
        <w:rPr>
          <w:rFonts w:hint="eastAsia" w:ascii="宋体" w:hAnsi="宋体" w:cs="新宋体"/>
          <w:sz w:val="24"/>
          <w:lang w:bidi="ar"/>
        </w:rPr>
        <w:t>初步评审主要包括以下内容：</w:t>
      </w:r>
    </w:p>
    <w:p>
      <w:pPr>
        <w:numPr>
          <w:ilvl w:val="0"/>
          <w:numId w:val="2"/>
        </w:numPr>
        <w:snapToGrid w:val="0"/>
        <w:spacing w:line="440" w:lineRule="exact"/>
        <w:ind w:firstLine="480" w:firstLineChars="200"/>
        <w:rPr>
          <w:rFonts w:hint="eastAsia" w:ascii="宋体" w:hAnsi="宋体" w:cs="新宋体"/>
          <w:sz w:val="24"/>
          <w:lang w:bidi="ar"/>
        </w:rPr>
      </w:pPr>
      <w:r>
        <w:rPr>
          <w:rFonts w:hint="eastAsia" w:ascii="宋体" w:hAnsi="宋体" w:cs="新宋体"/>
          <w:sz w:val="24"/>
          <w:lang w:bidi="ar"/>
        </w:rPr>
        <w:t>投标文件未按前附表要求签字盖章；</w:t>
      </w:r>
    </w:p>
    <w:p>
      <w:pPr>
        <w:numPr>
          <w:ilvl w:val="0"/>
          <w:numId w:val="0"/>
        </w:numPr>
        <w:snapToGrid w:val="0"/>
        <w:spacing w:line="440" w:lineRule="exact"/>
        <w:ind w:firstLine="480" w:firstLineChars="200"/>
        <w:rPr>
          <w:rFonts w:hint="eastAsia" w:ascii="宋体" w:hAnsi="宋体"/>
          <w:sz w:val="24"/>
          <w:szCs w:val="24"/>
        </w:rPr>
      </w:pPr>
      <w:r>
        <w:rPr>
          <w:rFonts w:hint="eastAsia" w:ascii="新宋体" w:hAnsi="新宋体" w:eastAsia="新宋体" w:cs="新宋体"/>
          <w:sz w:val="24"/>
          <w:lang w:bidi="ar"/>
        </w:rPr>
        <w:t>2.</w:t>
      </w:r>
      <w:r>
        <w:rPr>
          <w:rFonts w:hint="eastAsia" w:ascii="宋体" w:hAnsi="宋体"/>
          <w:sz w:val="24"/>
          <w:szCs w:val="24"/>
        </w:rPr>
        <w:t>投标人名称与营业执照、资质证书等证件名称</w:t>
      </w:r>
      <w:r>
        <w:rPr>
          <w:rFonts w:hint="eastAsia" w:ascii="宋体" w:hAnsi="宋体"/>
          <w:sz w:val="24"/>
          <w:szCs w:val="24"/>
          <w:lang w:val="en-US" w:eastAsia="zh-CN"/>
        </w:rPr>
        <w:t>不</w:t>
      </w:r>
      <w:r>
        <w:rPr>
          <w:rFonts w:hint="eastAsia" w:ascii="宋体" w:hAnsi="宋体"/>
          <w:sz w:val="24"/>
          <w:szCs w:val="24"/>
        </w:rPr>
        <w:t>一致；</w:t>
      </w:r>
    </w:p>
    <w:p>
      <w:pPr>
        <w:snapToGrid w:val="0"/>
        <w:spacing w:line="480" w:lineRule="exact"/>
        <w:ind w:firstLine="480" w:firstLineChars="200"/>
        <w:rPr>
          <w:rFonts w:hint="eastAsia" w:ascii="宋体" w:hAnsi="宋体" w:cs="新宋体"/>
          <w:sz w:val="24"/>
          <w:lang w:bidi="ar"/>
        </w:rPr>
      </w:pPr>
      <w:r>
        <w:rPr>
          <w:rFonts w:hint="eastAsia" w:ascii="宋体" w:hAnsi="宋体" w:cs="新宋体"/>
          <w:sz w:val="24"/>
          <w:lang w:val="en-US" w:eastAsia="zh-CN" w:bidi="ar"/>
        </w:rPr>
        <w:t>3</w:t>
      </w:r>
      <w:r>
        <w:rPr>
          <w:rFonts w:hint="eastAsia" w:ascii="宋体" w:hAnsi="宋体" w:cs="新宋体"/>
          <w:sz w:val="24"/>
          <w:lang w:bidi="ar"/>
        </w:rPr>
        <w:t>.投标人不符合国家或者招标文件规定的资格条件；</w:t>
      </w:r>
    </w:p>
    <w:p>
      <w:pPr>
        <w:snapToGrid w:val="0"/>
        <w:spacing w:line="480" w:lineRule="exact"/>
        <w:ind w:firstLine="480" w:firstLineChars="200"/>
        <w:rPr>
          <w:rFonts w:hint="eastAsia" w:ascii="宋体" w:hAnsi="宋体" w:cs="新宋体"/>
          <w:sz w:val="24"/>
          <w:lang w:bidi="ar"/>
        </w:rPr>
      </w:pPr>
      <w:r>
        <w:rPr>
          <w:rFonts w:hint="eastAsia" w:ascii="宋体" w:hAnsi="宋体" w:cs="新宋体"/>
          <w:sz w:val="24"/>
          <w:lang w:val="en-US" w:eastAsia="zh-CN" w:bidi="ar"/>
        </w:rPr>
        <w:t>4</w:t>
      </w:r>
      <w:r>
        <w:rPr>
          <w:rFonts w:hint="eastAsia" w:ascii="宋体" w:hAnsi="宋体" w:cs="新宋体"/>
          <w:sz w:val="24"/>
          <w:lang w:bidi="ar"/>
        </w:rPr>
        <w:t>.同一投标人提交两个以上不同的投标文件或者投标报价，但招标文件要求提交备选投标的除外；</w:t>
      </w:r>
    </w:p>
    <w:p>
      <w:pPr>
        <w:snapToGrid w:val="0"/>
        <w:spacing w:line="480" w:lineRule="exact"/>
        <w:ind w:firstLine="480" w:firstLineChars="200"/>
        <w:rPr>
          <w:rFonts w:hint="eastAsia" w:ascii="宋体" w:hAnsi="宋体" w:cs="新宋体"/>
          <w:sz w:val="24"/>
          <w:lang w:bidi="ar"/>
        </w:rPr>
      </w:pPr>
      <w:r>
        <w:rPr>
          <w:rFonts w:hint="eastAsia" w:ascii="宋体" w:hAnsi="宋体" w:cs="新宋体"/>
          <w:sz w:val="24"/>
          <w:lang w:val="en-US" w:eastAsia="zh-CN" w:bidi="ar"/>
        </w:rPr>
        <w:t>5</w:t>
      </w:r>
      <w:r>
        <w:rPr>
          <w:rFonts w:hint="eastAsia" w:ascii="宋体" w:hAnsi="宋体" w:cs="新宋体"/>
          <w:sz w:val="24"/>
          <w:lang w:bidi="ar"/>
        </w:rPr>
        <w:t>.投标报价高于招标文件设定的最高投标限价；</w:t>
      </w:r>
    </w:p>
    <w:p>
      <w:pPr>
        <w:snapToGrid w:val="0"/>
        <w:spacing w:line="480" w:lineRule="exact"/>
        <w:ind w:firstLine="480" w:firstLineChars="200"/>
        <w:rPr>
          <w:rFonts w:hint="eastAsia" w:ascii="宋体" w:hAnsi="宋体" w:cs="新宋体"/>
          <w:sz w:val="24"/>
          <w:lang w:bidi="ar"/>
        </w:rPr>
      </w:pPr>
      <w:r>
        <w:rPr>
          <w:rFonts w:hint="eastAsia" w:ascii="宋体" w:hAnsi="宋体" w:cs="新宋体"/>
          <w:sz w:val="24"/>
          <w:lang w:val="en-US" w:eastAsia="zh-CN" w:bidi="ar"/>
        </w:rPr>
        <w:t>6</w:t>
      </w:r>
      <w:r>
        <w:rPr>
          <w:rFonts w:hint="eastAsia" w:ascii="宋体" w:hAnsi="宋体" w:cs="新宋体"/>
          <w:sz w:val="24"/>
          <w:lang w:bidi="ar"/>
        </w:rPr>
        <w:t>.投标范围、工期、工程质量、投标有效期、付款方式不符合招标文件规定；</w:t>
      </w:r>
    </w:p>
    <w:p>
      <w:pPr>
        <w:snapToGrid w:val="0"/>
        <w:spacing w:line="480" w:lineRule="exact"/>
        <w:ind w:firstLine="480" w:firstLineChars="200"/>
        <w:rPr>
          <w:rFonts w:hint="eastAsia" w:ascii="宋体" w:hAnsi="宋体" w:cs="新宋体"/>
          <w:sz w:val="24"/>
          <w:lang w:bidi="ar"/>
        </w:rPr>
      </w:pPr>
      <w:r>
        <w:rPr>
          <w:rFonts w:hint="eastAsia" w:ascii="宋体" w:hAnsi="宋体" w:cs="新宋体"/>
          <w:sz w:val="24"/>
          <w:lang w:bidi="ar"/>
        </w:rPr>
        <w:t>6.投标人有串通投标、弄虚作假等违法行为。</w:t>
      </w:r>
    </w:p>
    <w:p>
      <w:pPr>
        <w:snapToGrid w:val="0"/>
        <w:spacing w:line="480" w:lineRule="exact"/>
        <w:ind w:firstLine="480" w:firstLineChars="200"/>
        <w:rPr>
          <w:rFonts w:hint="eastAsia" w:ascii="宋体" w:hAnsi="宋体" w:cs="新宋体"/>
          <w:b/>
          <w:sz w:val="24"/>
          <w:lang w:bidi="ar"/>
        </w:rPr>
      </w:pPr>
      <w:r>
        <w:rPr>
          <w:rFonts w:hint="eastAsia" w:ascii="宋体" w:hAnsi="宋体" w:cs="新宋体"/>
          <w:b/>
          <w:sz w:val="24"/>
          <w:lang w:bidi="ar"/>
        </w:rPr>
        <w:t xml:space="preserve">7. </w:t>
      </w:r>
      <w:r>
        <w:rPr>
          <w:rFonts w:hint="eastAsia" w:ascii="新宋体" w:hAnsi="新宋体" w:eastAsia="新宋体" w:cs="宋体"/>
          <w:b/>
          <w:bCs/>
          <w:sz w:val="24"/>
          <w:szCs w:val="24"/>
          <w:lang w:val="zh-CN"/>
        </w:rPr>
        <w:t>按照《关于推进全流程电子化交易和在线监管工作有关问题的通知》（许公管办[2019]3号）规定：</w:t>
      </w:r>
      <w:r>
        <w:rPr>
          <w:rFonts w:hint="eastAsia" w:ascii="宋体" w:hAnsi="宋体" w:cs="新宋体"/>
          <w:b/>
          <w:sz w:val="24"/>
          <w:lang w:bidi="ar"/>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pPr>
        <w:snapToGrid w:val="0"/>
        <w:spacing w:line="480" w:lineRule="exact"/>
        <w:ind w:firstLine="480" w:firstLineChars="200"/>
        <w:rPr>
          <w:rFonts w:ascii="新宋体" w:hAnsi="新宋体" w:eastAsia="新宋体" w:cs="宋体"/>
          <w:color w:val="2E75B5" w:themeColor="accent1" w:themeShade="BF"/>
          <w:sz w:val="24"/>
          <w:szCs w:val="24"/>
        </w:rPr>
      </w:pPr>
      <w:r>
        <w:rPr>
          <w:rFonts w:hint="eastAsia" w:ascii="宋体" w:hAnsi="宋体" w:cs="新宋体"/>
          <w:sz w:val="24"/>
          <w:lang w:bidi="ar"/>
        </w:rPr>
        <w:t>8.</w:t>
      </w:r>
      <w:r>
        <w:rPr>
          <w:rFonts w:hint="eastAsia" w:ascii="新宋体" w:hAnsi="新宋体" w:eastAsia="新宋体" w:cs="宋体"/>
          <w:sz w:val="24"/>
          <w:szCs w:val="24"/>
        </w:rPr>
        <w:t xml:space="preserve"> </w:t>
      </w:r>
      <w:r>
        <w:rPr>
          <w:rFonts w:hint="eastAsia" w:ascii="宋体" w:hAnsi="宋体" w:cs="新宋体"/>
          <w:sz w:val="24"/>
          <w:lang w:bidi="ar"/>
        </w:rPr>
        <w:t>被列入失信被执行人名单的投标人，其投标将被拒绝。</w:t>
      </w:r>
      <w:r>
        <w:rPr>
          <w:rFonts w:hint="eastAsia" w:ascii="宋体" w:hAnsi="宋体" w:cs="新宋体"/>
          <w:color w:val="2E75B5" w:themeColor="accent1" w:themeShade="BF"/>
          <w:sz w:val="24"/>
          <w:lang w:bidi="ar"/>
        </w:rPr>
        <w:t>投标人无须提供信用记录查询结果网页截屏，（</w:t>
      </w:r>
      <w:bookmarkStart w:id="84" w:name="_Hlk534616277"/>
      <w:r>
        <w:rPr>
          <w:rFonts w:hint="eastAsia" w:ascii="宋体" w:hAnsi="宋体" w:cs="新宋体"/>
          <w:color w:val="2E75B5" w:themeColor="accent1" w:themeShade="BF"/>
          <w:sz w:val="24"/>
          <w:lang w:bidi="ar"/>
        </w:rPr>
        <w:t>招标项目开标结束后、评标开始前，招标人（或招标代理机构）对投标人信用记录进行现场查询，并将查询结果随项目开标资料一并送入评标室，由专家进行评判。信用信息查询记录和证据留存具体方式：经评标委员会确认的查询结果网页截图作为查询记录和证据，与其他文件一并存档）</w:t>
      </w:r>
      <w:bookmarkEnd w:id="84"/>
      <w:r>
        <w:rPr>
          <w:rFonts w:hint="eastAsia" w:ascii="宋体" w:hAnsi="宋体" w:cs="新宋体"/>
          <w:color w:val="2E75B5" w:themeColor="accent1" w:themeShade="BF"/>
          <w:sz w:val="24"/>
          <w:lang w:bidi="ar"/>
        </w:rPr>
        <w:t>。</w:t>
      </w:r>
    </w:p>
    <w:p>
      <w:pPr>
        <w:snapToGrid w:val="0"/>
        <w:spacing w:line="480" w:lineRule="exact"/>
        <w:ind w:firstLine="480" w:firstLineChars="200"/>
        <w:rPr>
          <w:rFonts w:hint="eastAsia" w:ascii="宋体" w:hAnsi="宋体" w:cs="新宋体"/>
          <w:sz w:val="24"/>
          <w:lang w:bidi="ar"/>
        </w:rPr>
      </w:pPr>
      <w:r>
        <w:rPr>
          <w:rFonts w:hint="eastAsia" w:ascii="宋体" w:hAnsi="宋体" w:cs="新宋体"/>
          <w:sz w:val="24"/>
          <w:lang w:bidi="ar"/>
        </w:rPr>
        <w:t>（1）“信用中国”（www.creditchina.gov.cn）“失信被执行人”、“重大税收违法案件当事人名单”网页查询结果截图，查询对象为投标人；</w:t>
      </w:r>
    </w:p>
    <w:p>
      <w:pPr>
        <w:snapToGrid w:val="0"/>
        <w:spacing w:line="460" w:lineRule="exact"/>
        <w:ind w:firstLine="480" w:firstLineChars="200"/>
        <w:rPr>
          <w:rFonts w:hint="eastAsia" w:ascii="宋体" w:hAnsi="宋体" w:cs="新宋体"/>
          <w:sz w:val="24"/>
          <w:lang w:bidi="ar"/>
        </w:rPr>
      </w:pPr>
      <w:r>
        <w:rPr>
          <w:rFonts w:hint="eastAsia" w:ascii="宋体" w:hAnsi="宋体" w:cs="新宋体"/>
          <w:sz w:val="24"/>
          <w:lang w:bidi="ar"/>
        </w:rPr>
        <w:t>“信用河南”（www.xyhn.gov.cn）黑名单查询截图。查询内容包括：严重失信债务人名单，国家人社部-拖欠农民工工资黑名单，查询对象为投标人；</w:t>
      </w:r>
    </w:p>
    <w:p>
      <w:pPr>
        <w:snapToGrid w:val="0"/>
        <w:spacing w:line="460" w:lineRule="exact"/>
        <w:ind w:firstLine="480" w:firstLineChars="200"/>
        <w:rPr>
          <w:rFonts w:hint="eastAsia" w:ascii="宋体" w:hAnsi="宋体" w:cs="新宋体"/>
          <w:sz w:val="24"/>
          <w:lang w:bidi="ar"/>
        </w:rPr>
      </w:pPr>
      <w:r>
        <w:rPr>
          <w:rFonts w:hint="eastAsia" w:ascii="宋体" w:hAnsi="宋体" w:cs="新宋体"/>
          <w:sz w:val="24"/>
          <w:lang w:bidi="ar"/>
        </w:rPr>
        <w:t>（2）“全国企业信用信息公示系统”（www.gsxt.gov.cn）“经营异常名录和严重违法失信企业名单”网页查询结果截图；</w:t>
      </w:r>
    </w:p>
    <w:p>
      <w:pPr>
        <w:snapToGrid w:val="0"/>
        <w:spacing w:line="460" w:lineRule="exact"/>
        <w:ind w:firstLine="480" w:firstLineChars="200"/>
        <w:rPr>
          <w:rFonts w:hint="eastAsia" w:ascii="宋体" w:hAnsi="宋体" w:cs="新宋体"/>
          <w:sz w:val="24"/>
          <w:lang w:bidi="ar"/>
        </w:rPr>
      </w:pPr>
      <w:r>
        <w:rPr>
          <w:rFonts w:hint="eastAsia" w:ascii="宋体" w:hAnsi="宋体" w:cs="新宋体"/>
          <w:sz w:val="24"/>
          <w:lang w:bidi="ar"/>
        </w:rPr>
        <w:t>（3）“中国裁判文书网”（wenshu.court.gov.cn）行贿犯罪网页查询结果截图。查询对象为投标人。</w:t>
      </w:r>
    </w:p>
    <w:p>
      <w:pPr>
        <w:snapToGrid w:val="0"/>
        <w:spacing w:line="460" w:lineRule="exact"/>
        <w:ind w:firstLine="480" w:firstLineChars="200"/>
        <w:rPr>
          <w:rFonts w:hint="eastAsia" w:ascii="宋体" w:hAnsi="宋体" w:cs="新宋体"/>
          <w:sz w:val="24"/>
          <w:lang w:bidi="ar"/>
        </w:rPr>
      </w:pPr>
      <w:r>
        <w:rPr>
          <w:rFonts w:hint="eastAsia" w:ascii="宋体" w:hAnsi="宋体" w:cs="新宋体"/>
          <w:sz w:val="24"/>
          <w:lang w:bidi="ar"/>
        </w:rPr>
        <w:t>9.招标人在招标文件列入的其它内容：</w:t>
      </w:r>
    </w:p>
    <w:p>
      <w:pPr>
        <w:spacing w:line="460" w:lineRule="exact"/>
        <w:ind w:firstLine="240" w:firstLineChars="100"/>
        <w:contextualSpacing/>
        <w:rPr>
          <w:sz w:val="24"/>
          <w:szCs w:val="24"/>
        </w:rPr>
      </w:pP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）近三年财务是否无亏损</w:t>
      </w:r>
      <w:r>
        <w:rPr>
          <w:rFonts w:hint="eastAsia"/>
          <w:sz w:val="24"/>
          <w:szCs w:val="24"/>
        </w:rPr>
        <w:t>(</w:t>
      </w:r>
      <w:r>
        <w:rPr>
          <w:rFonts w:hint="eastAsia" w:ascii="宋体" w:hAnsi="宋体"/>
          <w:sz w:val="24"/>
          <w:szCs w:val="24"/>
        </w:rPr>
        <w:t>至少有一年盈利），且没有被接管、冻结、破产状态（以经会计师事务所或审计机构审计的有效的财务会计报表扫描件为准。若公司成立未满三年，需提供从成立至今的年度财务状况）；</w:t>
      </w:r>
    </w:p>
    <w:p>
      <w:pPr>
        <w:spacing w:line="460" w:lineRule="exact"/>
        <w:ind w:firstLine="240" w:firstLineChars="100"/>
        <w:contextualSpacing/>
        <w:rPr>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w:t>
      </w:r>
      <w:r>
        <w:rPr>
          <w:rFonts w:hint="eastAsia"/>
          <w:sz w:val="24"/>
          <w:szCs w:val="24"/>
        </w:rPr>
        <w:t xml:space="preserve"> </w:t>
      </w:r>
      <w:r>
        <w:rPr>
          <w:rFonts w:hint="eastAsia"/>
          <w:sz w:val="24"/>
          <w:szCs w:val="24"/>
          <w:lang w:val="en-US" w:eastAsia="zh-CN"/>
        </w:rPr>
        <w:t>是否</w:t>
      </w:r>
      <w:r>
        <w:rPr>
          <w:rFonts w:hint="eastAsia" w:ascii="宋体" w:hAnsi="宋体"/>
          <w:sz w:val="24"/>
          <w:szCs w:val="24"/>
        </w:rPr>
        <w:t>提供授权委托人、项目经理（项目负责人）</w:t>
      </w:r>
      <w:r>
        <w:rPr>
          <w:rFonts w:hint="eastAsia" w:ascii="宋体" w:hAnsi="宋体"/>
          <w:sz w:val="24"/>
          <w:szCs w:val="24"/>
          <w:lang w:val="en-US" w:eastAsia="zh-CN"/>
        </w:rPr>
        <w:t>劳动合同和</w:t>
      </w:r>
      <w:r>
        <w:rPr>
          <w:rFonts w:hint="eastAsia" w:ascii="宋体" w:hAnsi="宋体"/>
          <w:sz w:val="24"/>
          <w:szCs w:val="24"/>
        </w:rPr>
        <w:t>由企业住所地人社部门出具的</w:t>
      </w:r>
      <w:r>
        <w:rPr>
          <w:rFonts w:hint="eastAsia"/>
          <w:sz w:val="24"/>
          <w:szCs w:val="24"/>
        </w:rPr>
        <w:t>截止开标时间前连续六个月的</w:t>
      </w:r>
      <w:r>
        <w:rPr>
          <w:rFonts w:hint="eastAsia" w:ascii="宋体" w:hAnsi="宋体"/>
          <w:sz w:val="24"/>
          <w:szCs w:val="24"/>
        </w:rPr>
        <w:t>社会保险缴纳证明或</w:t>
      </w:r>
      <w:r>
        <w:rPr>
          <w:rFonts w:hint="eastAsia" w:ascii="宋体" w:hAnsi="宋体"/>
          <w:sz w:val="24"/>
          <w:szCs w:val="24"/>
          <w:lang w:val="en-US" w:eastAsia="zh-CN"/>
        </w:rPr>
        <w:t>网上打印的社保缴纳</w:t>
      </w:r>
      <w:r>
        <w:rPr>
          <w:rFonts w:hint="eastAsia" w:ascii="宋体" w:hAnsi="宋体"/>
          <w:sz w:val="24"/>
          <w:szCs w:val="24"/>
        </w:rPr>
        <w:t>凭证；</w:t>
      </w:r>
    </w:p>
    <w:p>
      <w:pPr>
        <w:snapToGrid w:val="0"/>
        <w:spacing w:line="440" w:lineRule="exact"/>
        <w:ind w:firstLine="240" w:firstLineChars="1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）项目经理（项目负责人）与投标文件中拟派的项目经理（项目负责人）姓名不一致</w:t>
      </w:r>
      <w:r>
        <w:rPr>
          <w:rFonts w:hint="eastAsia" w:ascii="宋体" w:hAnsi="宋体"/>
          <w:sz w:val="24"/>
          <w:szCs w:val="24"/>
          <w:lang w:eastAsia="zh-CN"/>
        </w:rPr>
        <w:t>；</w:t>
      </w:r>
      <w:r>
        <w:rPr>
          <w:rFonts w:hint="eastAsia" w:ascii="宋体" w:hAnsi="宋体"/>
          <w:sz w:val="24"/>
          <w:szCs w:val="24"/>
          <w:lang w:val="en-US" w:eastAsia="zh-CN"/>
        </w:rPr>
        <w:t>没有</w:t>
      </w:r>
      <w:r>
        <w:rPr>
          <w:rFonts w:hint="eastAsia" w:ascii="宋体" w:hAnsi="宋体"/>
          <w:sz w:val="24"/>
          <w:szCs w:val="24"/>
        </w:rPr>
        <w:t>项目经理（项目负责人）无在建承诺书；</w:t>
      </w:r>
    </w:p>
    <w:p>
      <w:pPr>
        <w:snapToGrid w:val="0"/>
        <w:spacing w:line="440" w:lineRule="exact"/>
        <w:ind w:firstLine="240" w:firstLineChars="100"/>
        <w:rPr>
          <w:rFonts w:hint="eastAsia" w:ascii="新宋体" w:hAnsi="新宋体" w:eastAsia="新宋体" w:cs="新宋体"/>
          <w:sz w:val="24"/>
          <w:lang w:bidi="ar"/>
        </w:rPr>
      </w:pPr>
      <w:r>
        <w:rPr>
          <w:rFonts w:hint="eastAsia" w:ascii="宋体" w:hAnsi="宋体" w:eastAsia="新宋体"/>
          <w:sz w:val="24"/>
          <w:szCs w:val="24"/>
          <w:lang w:eastAsia="zh-CN"/>
        </w:rPr>
        <w:t>（</w:t>
      </w:r>
      <w:r>
        <w:rPr>
          <w:rFonts w:hint="eastAsia" w:ascii="宋体" w:hAnsi="宋体" w:eastAsia="新宋体"/>
          <w:sz w:val="24"/>
          <w:szCs w:val="24"/>
          <w:lang w:val="en-US" w:eastAsia="zh-CN"/>
        </w:rPr>
        <w:t>4）</w:t>
      </w:r>
      <w:r>
        <w:rPr>
          <w:rFonts w:hint="eastAsia" w:ascii="新宋体" w:hAnsi="新宋体" w:eastAsia="新宋体" w:cs="新宋体"/>
          <w:sz w:val="24"/>
          <w:lang w:bidi="ar"/>
        </w:rPr>
        <w:t>是否有专项承诺：</w:t>
      </w:r>
    </w:p>
    <w:p>
      <w:pPr>
        <w:snapToGrid w:val="0"/>
        <w:spacing w:line="440" w:lineRule="exact"/>
        <w:ind w:firstLine="480" w:firstLineChars="200"/>
        <w:rPr>
          <w:rFonts w:hint="eastAsia" w:ascii="新宋体" w:hAnsi="新宋体" w:eastAsia="新宋体" w:cs="新宋体"/>
          <w:sz w:val="24"/>
          <w:lang w:eastAsia="zh-CN" w:bidi="ar"/>
        </w:rPr>
      </w:pPr>
      <w:r>
        <w:rPr>
          <w:rFonts w:hint="eastAsia" w:ascii="新宋体" w:hAnsi="新宋体" w:eastAsia="新宋体" w:cs="新宋体"/>
          <w:sz w:val="24"/>
          <w:lang w:bidi="ar"/>
        </w:rPr>
        <w:t>①投标文件中投标企业是否有农民工工资保障金的承诺</w:t>
      </w:r>
      <w:r>
        <w:rPr>
          <w:rFonts w:hint="eastAsia" w:ascii="新宋体" w:hAnsi="新宋体" w:eastAsia="新宋体" w:cs="新宋体"/>
          <w:sz w:val="24"/>
          <w:lang w:eastAsia="zh-CN" w:bidi="ar"/>
        </w:rPr>
        <w:t>。</w:t>
      </w:r>
    </w:p>
    <w:p>
      <w:pPr>
        <w:snapToGrid w:val="0"/>
        <w:spacing w:line="440" w:lineRule="exact"/>
        <w:ind w:firstLine="480" w:firstLineChars="200"/>
        <w:rPr>
          <w:rFonts w:hint="eastAsia" w:ascii="新宋体" w:hAnsi="新宋体" w:eastAsia="新宋体" w:cs="新宋体"/>
          <w:sz w:val="24"/>
          <w:lang w:bidi="ar"/>
        </w:rPr>
      </w:pPr>
      <w:r>
        <w:rPr>
          <w:rFonts w:hint="eastAsia" w:ascii="新宋体" w:hAnsi="新宋体" w:eastAsia="新宋体" w:cs="新宋体"/>
          <w:sz w:val="24"/>
          <w:lang w:bidi="ar"/>
        </w:rPr>
        <w:t>②投标单位是否出具“不挂靠、不转包、不违法分包”的专项承诺。</w:t>
      </w:r>
    </w:p>
    <w:p>
      <w:pPr>
        <w:snapToGrid w:val="0"/>
        <w:spacing w:line="440" w:lineRule="exact"/>
        <w:ind w:firstLine="480" w:firstLineChars="200"/>
        <w:rPr>
          <w:rFonts w:hint="eastAsia" w:ascii="新宋体" w:hAnsi="新宋体" w:eastAsia="新宋体" w:cs="宋体"/>
          <w:sz w:val="24"/>
          <w:szCs w:val="24"/>
        </w:rPr>
      </w:pPr>
      <w:r>
        <w:rPr>
          <w:rFonts w:hint="eastAsia" w:ascii="新宋体" w:hAnsi="新宋体" w:eastAsia="新宋体" w:cs="新宋体"/>
          <w:sz w:val="24"/>
          <w:lang w:bidi="ar"/>
        </w:rPr>
        <w:t>③投标单位是否出具“</w:t>
      </w:r>
      <w:r>
        <w:rPr>
          <w:rFonts w:hint="eastAsia" w:ascii="新宋体" w:hAnsi="新宋体" w:eastAsia="新宋体"/>
          <w:sz w:val="24"/>
        </w:rPr>
        <w:t>施工工地扬尘污染整治</w:t>
      </w:r>
      <w:r>
        <w:rPr>
          <w:rFonts w:hint="eastAsia" w:ascii="新宋体" w:hAnsi="新宋体" w:eastAsia="新宋体" w:cs="新宋体"/>
          <w:sz w:val="24"/>
          <w:lang w:bidi="ar"/>
        </w:rPr>
        <w:t>”的专项承诺。</w:t>
      </w:r>
    </w:p>
    <w:p>
      <w:pPr>
        <w:spacing w:line="460" w:lineRule="exact"/>
        <w:contextualSpacing/>
        <w:rPr>
          <w:rFonts w:ascii="新宋体" w:hAnsi="新宋体" w:eastAsia="新宋体" w:cs="宋体"/>
          <w:b/>
          <w:sz w:val="24"/>
          <w:szCs w:val="24"/>
        </w:rPr>
      </w:pPr>
      <w:r>
        <w:rPr>
          <w:rFonts w:ascii="新宋体" w:hAnsi="新宋体" w:eastAsia="新宋体" w:cs="宋体"/>
          <w:b/>
          <w:sz w:val="24"/>
          <w:szCs w:val="24"/>
        </w:rPr>
        <w:t>.</w:t>
      </w:r>
      <w:r>
        <w:rPr>
          <w:rFonts w:hint="eastAsia" w:ascii="新宋体" w:hAnsi="新宋体" w:eastAsia="新宋体" w:cs="宋体"/>
          <w:b/>
          <w:sz w:val="24"/>
          <w:szCs w:val="24"/>
        </w:rPr>
        <w:t>注：开标不再接收原件，一律以投标文件电子档中电子扫描件为准。</w:t>
      </w:r>
    </w:p>
    <w:p>
      <w:pPr>
        <w:spacing w:line="460" w:lineRule="exact"/>
        <w:contextualSpacing/>
        <w:rPr>
          <w:rFonts w:ascii="新宋体" w:hAnsi="新宋体" w:eastAsia="新宋体" w:cs="宋体"/>
          <w:sz w:val="24"/>
          <w:szCs w:val="24"/>
        </w:rPr>
      </w:pPr>
      <w:r>
        <w:rPr>
          <w:rFonts w:hint="eastAsia" w:ascii="新宋体" w:hAnsi="新宋体" w:eastAsia="新宋体" w:cs="宋体"/>
          <w:b/>
          <w:bCs/>
          <w:sz w:val="24"/>
          <w:szCs w:val="24"/>
        </w:rPr>
        <w:t>八、详细评审</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85" w:name="_Toc9786"/>
      <w:bookmarkEnd w:id="85"/>
      <w:r>
        <w:rPr>
          <w:rFonts w:hint="eastAsia" w:ascii="新宋体" w:hAnsi="新宋体" w:eastAsia="新宋体" w:cs="宋体"/>
          <w:sz w:val="24"/>
          <w:szCs w:val="24"/>
        </w:rPr>
        <w:t>评标委员会根据招标文件要求对技术标、商务标、综合（信用）标三部分进行综合评审。技术标的权重占2</w:t>
      </w:r>
      <w:r>
        <w:rPr>
          <w:rFonts w:ascii="新宋体" w:hAnsi="新宋体" w:eastAsia="新宋体" w:cs="宋体"/>
          <w:sz w:val="24"/>
          <w:szCs w:val="24"/>
        </w:rPr>
        <w:t>5</w:t>
      </w:r>
      <w:r>
        <w:rPr>
          <w:rFonts w:hint="eastAsia" w:ascii="新宋体" w:hAnsi="新宋体" w:eastAsia="新宋体" w:cs="宋体"/>
          <w:sz w:val="24"/>
          <w:szCs w:val="24"/>
        </w:rPr>
        <w:t>%，商务标的权重占</w:t>
      </w:r>
      <w:r>
        <w:rPr>
          <w:rFonts w:ascii="新宋体" w:hAnsi="新宋体" w:eastAsia="新宋体" w:cs="宋体"/>
          <w:sz w:val="24"/>
          <w:szCs w:val="24"/>
        </w:rPr>
        <w:t>5</w:t>
      </w:r>
      <w:r>
        <w:rPr>
          <w:rFonts w:hint="eastAsia" w:ascii="新宋体" w:hAnsi="新宋体" w:eastAsia="新宋体" w:cs="宋体"/>
          <w:sz w:val="24"/>
          <w:szCs w:val="24"/>
        </w:rPr>
        <w:t>0%，综合（信用）标的权重占2</w:t>
      </w:r>
      <w:r>
        <w:rPr>
          <w:rFonts w:ascii="新宋体" w:hAnsi="新宋体" w:eastAsia="新宋体" w:cs="宋体"/>
          <w:sz w:val="24"/>
          <w:szCs w:val="24"/>
        </w:rPr>
        <w:t>5</w:t>
      </w:r>
      <w:r>
        <w:rPr>
          <w:rFonts w:hint="eastAsia" w:ascii="新宋体" w:hAnsi="新宋体" w:eastAsia="新宋体" w:cs="宋体"/>
          <w:sz w:val="24"/>
          <w:szCs w:val="24"/>
        </w:rPr>
        <w:t>%。</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86" w:name="_Toc10320"/>
      <w:bookmarkEnd w:id="86"/>
      <w:r>
        <w:rPr>
          <w:rFonts w:hint="eastAsia" w:ascii="新宋体" w:hAnsi="新宋体" w:eastAsia="新宋体" w:cs="宋体"/>
          <w:sz w:val="24"/>
          <w:szCs w:val="24"/>
        </w:rPr>
        <w:t xml:space="preserve">   （一）工程量清单报价评标基准价计算公式为：</w:t>
      </w:r>
    </w:p>
    <w:p>
      <w:pPr>
        <w:autoSpaceDE w:val="0"/>
        <w:autoSpaceDN w:val="0"/>
        <w:spacing w:line="460" w:lineRule="exact"/>
        <w:ind w:firstLine="480" w:firstLineChars="200"/>
        <w:contextualSpacing/>
        <w:jc w:val="left"/>
        <w:outlineLvl w:val="0"/>
        <w:rPr>
          <w:rFonts w:hint="eastAsia" w:ascii="新宋体" w:hAnsi="新宋体" w:eastAsia="新宋体" w:cs="宋体"/>
          <w:color w:val="FF0000"/>
          <w:sz w:val="24"/>
          <w:szCs w:val="24"/>
        </w:rPr>
      </w:pPr>
      <w:bookmarkStart w:id="87" w:name="_Toc27922"/>
      <w:bookmarkEnd w:id="87"/>
      <w:bookmarkStart w:id="88" w:name="_Toc280"/>
      <w:bookmarkEnd w:id="88"/>
      <w:r>
        <w:rPr>
          <w:rFonts w:hint="eastAsia" w:ascii="新宋体" w:hAnsi="新宋体" w:eastAsia="新宋体" w:cs="宋体"/>
          <w:sz w:val="24"/>
          <w:szCs w:val="24"/>
        </w:rPr>
        <w:t>评标基准价＝最高投标限价×K+投标报价×（1－K）</w:t>
      </w:r>
      <w:bookmarkStart w:id="89" w:name="_Toc5078"/>
      <w:bookmarkEnd w:id="89"/>
    </w:p>
    <w:p>
      <w:pPr>
        <w:autoSpaceDE w:val="0"/>
        <w:autoSpaceDN w:val="0"/>
        <w:spacing w:line="460" w:lineRule="exact"/>
        <w:ind w:left="340" w:leftChars="100" w:firstLine="240" w:firstLineChars="100"/>
        <w:contextualSpacing/>
        <w:jc w:val="left"/>
        <w:outlineLvl w:val="0"/>
        <w:rPr>
          <w:rFonts w:hint="eastAsia" w:ascii="新宋体" w:hAnsi="新宋体" w:eastAsia="新宋体" w:cs="宋体"/>
          <w:color w:val="FF0000"/>
          <w:sz w:val="24"/>
          <w:szCs w:val="24"/>
        </w:rPr>
      </w:pPr>
      <w:r>
        <w:rPr>
          <w:rFonts w:hint="eastAsia" w:ascii="新宋体" w:hAnsi="新宋体" w:eastAsia="新宋体" w:cs="宋体"/>
          <w:color w:val="FF0000"/>
          <w:sz w:val="24"/>
          <w:szCs w:val="24"/>
        </w:rPr>
        <w:t>其中：K为最高投标限价权重系数，取值范围为0.3≤K≤0</w:t>
      </w:r>
      <w:r>
        <w:rPr>
          <w:rFonts w:ascii="新宋体" w:hAnsi="新宋体" w:eastAsia="新宋体" w:cs="宋体"/>
          <w:color w:val="FF0000"/>
          <w:sz w:val="24"/>
          <w:szCs w:val="24"/>
        </w:rPr>
        <w:t>.5,</w:t>
      </w:r>
      <w:r>
        <w:rPr>
          <w:rFonts w:hint="eastAsia" w:ascii="新宋体" w:hAnsi="新宋体" w:eastAsia="新宋体" w:cs="宋体"/>
          <w:color w:val="FF0000"/>
          <w:sz w:val="24"/>
          <w:szCs w:val="24"/>
        </w:rPr>
        <w:t>在开标现场随机抽取。投标报价为各投标人有效投标报价去掉一个最高和最低报价后的算术平均值。当有效投标报价少于5家时（不含5家），则以所有有效投标报价的算术平均值作</w:t>
      </w:r>
    </w:p>
    <w:p>
      <w:pPr>
        <w:autoSpaceDE w:val="0"/>
        <w:autoSpaceDN w:val="0"/>
        <w:spacing w:line="460" w:lineRule="exact"/>
        <w:contextualSpacing/>
        <w:jc w:val="left"/>
        <w:outlineLvl w:val="0"/>
        <w:rPr>
          <w:rFonts w:ascii="新宋体" w:hAnsi="新宋体" w:eastAsia="新宋体" w:cs="宋体"/>
          <w:color w:val="FF0000"/>
          <w:sz w:val="24"/>
          <w:szCs w:val="24"/>
        </w:rPr>
      </w:pPr>
      <w:r>
        <w:rPr>
          <w:rFonts w:hint="eastAsia" w:ascii="新宋体" w:hAnsi="新宋体" w:eastAsia="新宋体" w:cs="宋体"/>
          <w:color w:val="FF0000"/>
          <w:sz w:val="24"/>
          <w:szCs w:val="24"/>
        </w:rPr>
        <w:t>为投标报价。上述最高投标限价、投标报价、有效投标报价在参与评标基准价计算时，均不含：规费、安全文明施工措施费、暂列金额与专业暂估价、增值税。</w:t>
      </w:r>
    </w:p>
    <w:p>
      <w:pPr>
        <w:autoSpaceDE w:val="0"/>
        <w:autoSpaceDN w:val="0"/>
        <w:spacing w:line="460" w:lineRule="exact"/>
        <w:ind w:firstLine="480" w:firstLineChars="200"/>
        <w:contextualSpacing/>
        <w:jc w:val="left"/>
        <w:outlineLvl w:val="0"/>
        <w:rPr>
          <w:rFonts w:ascii="新宋体" w:hAnsi="新宋体" w:eastAsia="新宋体" w:cs="宋体"/>
          <w:color w:val="0000FF"/>
          <w:sz w:val="24"/>
          <w:szCs w:val="24"/>
        </w:rPr>
      </w:pPr>
      <w:bookmarkStart w:id="90" w:name="_Toc5578"/>
      <w:bookmarkEnd w:id="90"/>
      <w:r>
        <w:rPr>
          <w:rFonts w:hint="eastAsia" w:ascii="新宋体" w:hAnsi="新宋体" w:eastAsia="新宋体" w:cs="宋体"/>
          <w:color w:val="0000FF"/>
          <w:sz w:val="24"/>
          <w:szCs w:val="24"/>
        </w:rPr>
        <w:t>K为最高投标限价权重系数，K值为</w:t>
      </w:r>
      <w:r>
        <w:rPr>
          <w:rFonts w:ascii="新宋体" w:hAnsi="新宋体" w:eastAsia="新宋体" w:cs="宋体"/>
          <w:color w:val="0000FF"/>
          <w:sz w:val="24"/>
          <w:szCs w:val="24"/>
        </w:rPr>
        <w:t>0.3</w:t>
      </w:r>
      <w:r>
        <w:rPr>
          <w:rFonts w:hint="eastAsia" w:ascii="新宋体" w:hAnsi="新宋体" w:eastAsia="新宋体" w:cs="宋体"/>
          <w:color w:val="0000FF"/>
          <w:sz w:val="24"/>
          <w:szCs w:val="24"/>
        </w:rPr>
        <w:t>、</w:t>
      </w:r>
      <w:r>
        <w:rPr>
          <w:rFonts w:ascii="新宋体" w:hAnsi="新宋体" w:eastAsia="新宋体" w:cs="宋体"/>
          <w:color w:val="0000FF"/>
          <w:sz w:val="24"/>
          <w:szCs w:val="24"/>
        </w:rPr>
        <w:t>0.35</w:t>
      </w:r>
      <w:r>
        <w:rPr>
          <w:rFonts w:hint="eastAsia" w:ascii="新宋体" w:hAnsi="新宋体" w:eastAsia="新宋体" w:cs="宋体"/>
          <w:color w:val="0000FF"/>
          <w:sz w:val="24"/>
          <w:szCs w:val="24"/>
        </w:rPr>
        <w:t>、</w:t>
      </w:r>
      <w:r>
        <w:rPr>
          <w:rFonts w:ascii="新宋体" w:hAnsi="新宋体" w:eastAsia="新宋体" w:cs="宋体"/>
          <w:color w:val="0000FF"/>
          <w:sz w:val="24"/>
          <w:szCs w:val="24"/>
        </w:rPr>
        <w:t>0.4</w:t>
      </w:r>
      <w:r>
        <w:rPr>
          <w:rFonts w:hint="eastAsia" w:ascii="新宋体" w:hAnsi="新宋体" w:eastAsia="新宋体" w:cs="宋体"/>
          <w:color w:val="0000FF"/>
          <w:sz w:val="24"/>
          <w:szCs w:val="24"/>
        </w:rPr>
        <w:t>、</w:t>
      </w:r>
      <w:r>
        <w:rPr>
          <w:rFonts w:ascii="新宋体" w:hAnsi="新宋体" w:eastAsia="新宋体" w:cs="宋体"/>
          <w:color w:val="0000FF"/>
          <w:sz w:val="24"/>
          <w:szCs w:val="24"/>
        </w:rPr>
        <w:t>0.45</w:t>
      </w:r>
      <w:r>
        <w:rPr>
          <w:rFonts w:hint="eastAsia" w:ascii="新宋体" w:hAnsi="新宋体" w:eastAsia="新宋体" w:cs="宋体"/>
          <w:color w:val="0000FF"/>
          <w:sz w:val="24"/>
          <w:szCs w:val="24"/>
        </w:rPr>
        <w:t>、</w:t>
      </w:r>
      <w:r>
        <w:rPr>
          <w:rFonts w:ascii="新宋体" w:hAnsi="新宋体" w:eastAsia="新宋体" w:cs="宋体"/>
          <w:color w:val="0000FF"/>
          <w:sz w:val="24"/>
          <w:szCs w:val="24"/>
        </w:rPr>
        <w:t>0.5</w:t>
      </w:r>
      <w:r>
        <w:rPr>
          <w:rFonts w:hint="eastAsia" w:ascii="新宋体" w:hAnsi="新宋体" w:eastAsia="新宋体" w:cs="宋体"/>
          <w:color w:val="0000FF"/>
          <w:sz w:val="24"/>
          <w:szCs w:val="24"/>
        </w:rPr>
        <w:t>，在开标现场随机抽取。</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b/>
          <w:bCs/>
          <w:sz w:val="24"/>
          <w:szCs w:val="24"/>
        </w:rPr>
        <w:t>（二）商务标的评标分值50分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1.投标报价的评审，共计30分。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2.分部分项工程项目清单单价的评审，共计10分。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从最高投标限价中分部分项工程项目权重最大的前10-30项清单项目中抽取15项，在剩余的分部分项工程项目清单项目中抽取5项。</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综合单价基准值是以各有效投标报价中（当有效投标人5名及以上时，去掉1个最高、1个最低值）对应抽取清单项目综合单价的算术平均值。</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投标人报价在综合单价基准值95%—103%范围内（不含95%和103%）的，每项得0.5分；在综合单价评标基准值90%—95%范围内（含90%和95%）每项得0.25分；满分共计10分。超出该范围的不得分。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3.措施项目费的评审（不含安全文明措施费），共计5分。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4.主要材料单价的评审，共计5分。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从最高投标限价中材料总价权重最大的前10-</w:t>
      </w:r>
      <w:r>
        <w:rPr>
          <w:rFonts w:ascii="新宋体" w:hAnsi="新宋体" w:eastAsia="新宋体" w:cs="宋体"/>
          <w:sz w:val="24"/>
          <w:szCs w:val="24"/>
        </w:rPr>
        <w:t>20</w:t>
      </w:r>
      <w:r>
        <w:rPr>
          <w:rFonts w:hint="eastAsia" w:ascii="新宋体" w:hAnsi="新宋体" w:eastAsia="新宋体" w:cs="宋体"/>
          <w:sz w:val="24"/>
          <w:szCs w:val="24"/>
        </w:rPr>
        <w:t>项材料中抽取</w:t>
      </w:r>
      <w:r>
        <w:rPr>
          <w:rFonts w:ascii="新宋体" w:hAnsi="新宋体" w:eastAsia="新宋体" w:cs="宋体"/>
          <w:sz w:val="24"/>
          <w:szCs w:val="24"/>
        </w:rPr>
        <w:t>6</w:t>
      </w:r>
      <w:r>
        <w:rPr>
          <w:rFonts w:hint="eastAsia" w:ascii="新宋体" w:hAnsi="新宋体" w:eastAsia="新宋体" w:cs="宋体"/>
          <w:sz w:val="24"/>
          <w:szCs w:val="24"/>
        </w:rPr>
        <w:t>项，在剩余材料中抽取</w:t>
      </w:r>
      <w:r>
        <w:rPr>
          <w:rFonts w:ascii="新宋体" w:hAnsi="新宋体" w:eastAsia="新宋体" w:cs="宋体"/>
          <w:sz w:val="24"/>
          <w:szCs w:val="24"/>
        </w:rPr>
        <w:t>4</w:t>
      </w:r>
      <w:r>
        <w:rPr>
          <w:rFonts w:hint="eastAsia" w:ascii="新宋体" w:hAnsi="新宋体" w:eastAsia="新宋体" w:cs="宋体"/>
          <w:sz w:val="24"/>
          <w:szCs w:val="24"/>
        </w:rPr>
        <w:t>项。</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主要材料单价基准值是以各有效投标报价中（当有效投标人5名及以上时，去掉1个最高、1个最低值）对应抽取材料单价的算术平均值。</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sz w:val="24"/>
          <w:szCs w:val="24"/>
        </w:rPr>
        <w:t>当投标人报价在材料单价基准值95%—103%范围内（不含95%和103%）每项得0.5分，在材料单价基准值90%—95%范围内（含90%和95%）每项得0.25分。超出该范围的不得分。</w:t>
      </w:r>
    </w:p>
    <w:p>
      <w:pPr>
        <w:autoSpaceDE w:val="0"/>
        <w:autoSpaceDN w:val="0"/>
        <w:spacing w:line="460" w:lineRule="exact"/>
        <w:ind w:firstLine="480" w:firstLineChars="200"/>
        <w:contextualSpacing/>
        <w:jc w:val="left"/>
        <w:outlineLvl w:val="0"/>
        <w:rPr>
          <w:rFonts w:hAnsi="宋体"/>
          <w:b/>
          <w:bCs/>
          <w:sz w:val="24"/>
          <w:szCs w:val="24"/>
        </w:rPr>
      </w:pPr>
      <w:r>
        <w:rPr>
          <w:rFonts w:hint="eastAsia" w:ascii="新宋体" w:hAnsi="新宋体" w:eastAsia="新宋体" w:cs="宋体"/>
          <w:b/>
          <w:bCs/>
          <w:sz w:val="24"/>
          <w:szCs w:val="24"/>
        </w:rPr>
        <w:t>（三）技术标的评标分值2</w:t>
      </w:r>
      <w:r>
        <w:rPr>
          <w:rFonts w:ascii="新宋体" w:hAnsi="新宋体" w:eastAsia="新宋体" w:cs="宋体"/>
          <w:b/>
          <w:bCs/>
          <w:sz w:val="24"/>
          <w:szCs w:val="24"/>
        </w:rPr>
        <w:t>5</w:t>
      </w:r>
      <w:r>
        <w:rPr>
          <w:rFonts w:hint="eastAsia" w:ascii="新宋体" w:hAnsi="新宋体" w:eastAsia="新宋体" w:cs="宋体"/>
          <w:b/>
          <w:bCs/>
          <w:sz w:val="24"/>
          <w:szCs w:val="24"/>
        </w:rPr>
        <w:t>分</w:t>
      </w:r>
    </w:p>
    <w:tbl>
      <w:tblPr>
        <w:tblStyle w:val="12"/>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Align w:val="center"/>
          </w:tcPr>
          <w:p>
            <w:pPr>
              <w:jc w:val="center"/>
              <w:rPr>
                <w:rFonts w:hAnsi="宋体" w:cs="宋体"/>
                <w:sz w:val="24"/>
                <w:szCs w:val="24"/>
              </w:rPr>
            </w:pPr>
            <w:r>
              <w:rPr>
                <w:rFonts w:hint="eastAsia" w:hAnsi="宋体" w:cs="宋体"/>
                <w:sz w:val="24"/>
                <w:szCs w:val="24"/>
              </w:rPr>
              <w:t>序号</w:t>
            </w:r>
          </w:p>
        </w:tc>
        <w:tc>
          <w:tcPr>
            <w:tcW w:w="1276" w:type="dxa"/>
            <w:vAlign w:val="center"/>
          </w:tcPr>
          <w:p>
            <w:pPr>
              <w:jc w:val="center"/>
              <w:rPr>
                <w:rFonts w:hAnsi="宋体" w:cs="宋体"/>
                <w:sz w:val="24"/>
                <w:szCs w:val="24"/>
              </w:rPr>
            </w:pPr>
            <w:r>
              <w:rPr>
                <w:rFonts w:hint="eastAsia" w:hAnsi="宋体" w:cs="宋体"/>
                <w:sz w:val="24"/>
                <w:szCs w:val="24"/>
              </w:rPr>
              <w:t>内容</w:t>
            </w:r>
          </w:p>
        </w:tc>
        <w:tc>
          <w:tcPr>
            <w:tcW w:w="1175" w:type="dxa"/>
            <w:vAlign w:val="center"/>
          </w:tcPr>
          <w:p>
            <w:pPr>
              <w:jc w:val="center"/>
              <w:rPr>
                <w:rFonts w:hAnsi="宋体" w:cs="宋体"/>
                <w:sz w:val="24"/>
                <w:szCs w:val="24"/>
              </w:rPr>
            </w:pPr>
            <w:r>
              <w:rPr>
                <w:rFonts w:hint="eastAsia" w:hAnsi="宋体" w:cs="宋体"/>
                <w:sz w:val="24"/>
                <w:szCs w:val="24"/>
              </w:rPr>
              <w:t>分值</w:t>
            </w:r>
          </w:p>
        </w:tc>
        <w:tc>
          <w:tcPr>
            <w:tcW w:w="5204" w:type="dxa"/>
            <w:vAlign w:val="center"/>
          </w:tcPr>
          <w:p>
            <w:pPr>
              <w:jc w:val="center"/>
              <w:rPr>
                <w:rFonts w:hAnsi="宋体" w:cs="宋体"/>
                <w:sz w:val="24"/>
                <w:szCs w:val="24"/>
              </w:rPr>
            </w:pPr>
            <w:r>
              <w:rPr>
                <w:rFonts w:hint="eastAsia" w:hAnsi="宋体" w:cs="宋体"/>
                <w:sz w:val="24"/>
                <w:szCs w:val="24"/>
              </w:rPr>
              <w:t>评审标准</w:t>
            </w:r>
          </w:p>
        </w:tc>
        <w:tc>
          <w:tcPr>
            <w:tcW w:w="1683" w:type="dxa"/>
            <w:vAlign w:val="center"/>
          </w:tcPr>
          <w:p>
            <w:pPr>
              <w:jc w:val="center"/>
              <w:rPr>
                <w:rFonts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w:t>
            </w:r>
          </w:p>
        </w:tc>
        <w:tc>
          <w:tcPr>
            <w:tcW w:w="1276" w:type="dxa"/>
            <w:vMerge w:val="restart"/>
            <w:vAlign w:val="center"/>
          </w:tcPr>
          <w:p>
            <w:pPr>
              <w:jc w:val="center"/>
              <w:rPr>
                <w:rFonts w:hAnsi="宋体" w:cs="宋体"/>
                <w:sz w:val="24"/>
                <w:szCs w:val="24"/>
              </w:rPr>
            </w:pPr>
            <w:r>
              <w:rPr>
                <w:rFonts w:hint="eastAsia" w:hAnsi="宋体" w:cs="宋体"/>
                <w:sz w:val="24"/>
                <w:szCs w:val="24"/>
              </w:rPr>
              <w:t>内容完整性</w:t>
            </w:r>
          </w:p>
        </w:tc>
        <w:tc>
          <w:tcPr>
            <w:tcW w:w="1175" w:type="dxa"/>
            <w:vMerge w:val="restart"/>
            <w:vAlign w:val="center"/>
          </w:tcPr>
          <w:p>
            <w:pPr>
              <w:jc w:val="center"/>
              <w:rPr>
                <w:rFonts w:hAnsi="宋体" w:cs="宋体"/>
                <w:sz w:val="24"/>
                <w:szCs w:val="24"/>
              </w:rPr>
            </w:pPr>
            <w:r>
              <w:rPr>
                <w:rFonts w:hint="eastAsia" w:hAnsi="宋体" w:cs="宋体"/>
                <w:sz w:val="24"/>
                <w:szCs w:val="24"/>
              </w:rPr>
              <w:t>0-0.5分</w:t>
            </w:r>
          </w:p>
        </w:tc>
        <w:tc>
          <w:tcPr>
            <w:tcW w:w="5204" w:type="dxa"/>
            <w:vAlign w:val="center"/>
          </w:tcPr>
          <w:p>
            <w:pPr>
              <w:jc w:val="center"/>
              <w:rPr>
                <w:rFonts w:hAnsi="宋体" w:cs="宋体"/>
                <w:sz w:val="24"/>
                <w:szCs w:val="24"/>
              </w:rPr>
            </w:pPr>
            <w:r>
              <w:rPr>
                <w:rFonts w:hint="eastAsia" w:hAnsi="宋体" w:cs="宋体"/>
                <w:sz w:val="24"/>
                <w:szCs w:val="24"/>
              </w:rPr>
              <w:t>技术标的主要内容具有完整性，符合招标文件的要求。</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jc w:val="center"/>
              <w:rPr>
                <w:rFonts w:hAnsi="宋体" w:cs="宋体"/>
                <w:sz w:val="24"/>
                <w:szCs w:val="24"/>
              </w:rPr>
            </w:pPr>
            <w:r>
              <w:rPr>
                <w:rFonts w:hint="eastAsia" w:hAnsi="宋体" w:cs="宋体"/>
                <w:sz w:val="24"/>
                <w:szCs w:val="24"/>
              </w:rPr>
              <w:t>技术标不符合招标文件要求。</w:t>
            </w:r>
          </w:p>
        </w:tc>
        <w:tc>
          <w:tcPr>
            <w:tcW w:w="1683" w:type="dxa"/>
            <w:vAlign w:val="center"/>
          </w:tcPr>
          <w:p>
            <w:pPr>
              <w:jc w:val="center"/>
              <w:rPr>
                <w:rFonts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2</w:t>
            </w:r>
          </w:p>
        </w:tc>
        <w:tc>
          <w:tcPr>
            <w:tcW w:w="1276" w:type="dxa"/>
            <w:vMerge w:val="restart"/>
            <w:vAlign w:val="center"/>
          </w:tcPr>
          <w:p>
            <w:pPr>
              <w:jc w:val="left"/>
              <w:rPr>
                <w:rFonts w:hAnsi="宋体" w:cs="宋体"/>
                <w:sz w:val="24"/>
                <w:szCs w:val="24"/>
              </w:rPr>
            </w:pPr>
            <w:r>
              <w:rPr>
                <w:rFonts w:hint="eastAsia" w:hAnsi="宋体" w:cs="宋体"/>
                <w:sz w:val="24"/>
                <w:szCs w:val="24"/>
              </w:rPr>
              <w:t>主要施工方案与技术措施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1-3分</w:t>
            </w: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3</w:t>
            </w:r>
          </w:p>
        </w:tc>
        <w:tc>
          <w:tcPr>
            <w:tcW w:w="1276" w:type="dxa"/>
            <w:vMerge w:val="restart"/>
            <w:vAlign w:val="center"/>
          </w:tcPr>
          <w:p>
            <w:pPr>
              <w:jc w:val="left"/>
              <w:rPr>
                <w:rFonts w:hAnsi="宋体" w:cs="宋体"/>
                <w:sz w:val="24"/>
                <w:szCs w:val="24"/>
              </w:rPr>
            </w:pPr>
            <w:r>
              <w:rPr>
                <w:rFonts w:hint="eastAsia" w:hAnsi="宋体" w:cs="宋体"/>
                <w:sz w:val="24"/>
                <w:szCs w:val="24"/>
              </w:rPr>
              <w:t>质量管理体系与措施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60" w:lineRule="exact"/>
              <w:rPr>
                <w:rFonts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60" w:lineRule="exact"/>
              <w:rPr>
                <w:rFonts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4</w:t>
            </w:r>
          </w:p>
        </w:tc>
        <w:tc>
          <w:tcPr>
            <w:tcW w:w="1276" w:type="dxa"/>
            <w:vMerge w:val="restart"/>
            <w:vAlign w:val="center"/>
          </w:tcPr>
          <w:p>
            <w:pPr>
              <w:jc w:val="left"/>
              <w:rPr>
                <w:rFonts w:hAnsi="宋体" w:cs="宋体"/>
                <w:sz w:val="24"/>
                <w:szCs w:val="24"/>
              </w:rPr>
            </w:pPr>
            <w:r>
              <w:rPr>
                <w:rFonts w:hint="eastAsia" w:hAnsi="宋体" w:cs="宋体"/>
                <w:sz w:val="24"/>
                <w:szCs w:val="24"/>
              </w:rPr>
              <w:t>安全管理体系与措施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1-2分</w:t>
            </w:r>
          </w:p>
        </w:tc>
        <w:tc>
          <w:tcPr>
            <w:tcW w:w="5204" w:type="dxa"/>
            <w:vAlign w:val="center"/>
          </w:tcPr>
          <w:p>
            <w:pPr>
              <w:spacing w:line="360" w:lineRule="exact"/>
              <w:rPr>
                <w:rFonts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40" w:lineRule="exact"/>
              <w:rPr>
                <w:rFonts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5</w:t>
            </w:r>
          </w:p>
        </w:tc>
        <w:tc>
          <w:tcPr>
            <w:tcW w:w="1276" w:type="dxa"/>
            <w:vMerge w:val="restart"/>
            <w:vAlign w:val="center"/>
          </w:tcPr>
          <w:p>
            <w:pPr>
              <w:jc w:val="left"/>
              <w:rPr>
                <w:rFonts w:hAnsi="宋体" w:cs="宋体"/>
                <w:sz w:val="24"/>
                <w:szCs w:val="24"/>
              </w:rPr>
            </w:pPr>
            <w:r>
              <w:rPr>
                <w:rFonts w:hint="eastAsia" w:hAnsi="宋体" w:cs="宋体"/>
                <w:sz w:val="24"/>
                <w:szCs w:val="24"/>
              </w:rPr>
              <w:t xml:space="preserve">文明施工、环境保护管理体系及施工现场扬尘治理措施  </w:t>
            </w:r>
          </w:p>
        </w:tc>
        <w:tc>
          <w:tcPr>
            <w:tcW w:w="1175" w:type="dxa"/>
            <w:vMerge w:val="restart"/>
            <w:vAlign w:val="center"/>
          </w:tcPr>
          <w:p>
            <w:pPr>
              <w:jc w:val="center"/>
              <w:rPr>
                <w:rFonts w:hAnsi="宋体" w:cs="宋体"/>
                <w:sz w:val="24"/>
                <w:szCs w:val="24"/>
              </w:rPr>
            </w:pPr>
            <w:r>
              <w:rPr>
                <w:rFonts w:hint="eastAsia" w:hAnsi="宋体" w:cs="宋体"/>
                <w:sz w:val="24"/>
                <w:szCs w:val="24"/>
              </w:rPr>
              <w:t>1-3分</w:t>
            </w:r>
          </w:p>
        </w:tc>
        <w:tc>
          <w:tcPr>
            <w:tcW w:w="5204" w:type="dxa"/>
            <w:vAlign w:val="center"/>
          </w:tcPr>
          <w:p>
            <w:pPr>
              <w:spacing w:line="300" w:lineRule="exact"/>
              <w:rPr>
                <w:rFonts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6</w:t>
            </w:r>
          </w:p>
        </w:tc>
        <w:tc>
          <w:tcPr>
            <w:tcW w:w="1276" w:type="dxa"/>
            <w:vMerge w:val="restart"/>
            <w:vAlign w:val="center"/>
          </w:tcPr>
          <w:p>
            <w:pPr>
              <w:jc w:val="left"/>
              <w:rPr>
                <w:rFonts w:hAnsi="宋体" w:cs="宋体"/>
                <w:sz w:val="24"/>
                <w:szCs w:val="24"/>
              </w:rPr>
            </w:pPr>
            <w:r>
              <w:rPr>
                <w:rFonts w:hint="eastAsia" w:hAnsi="宋体" w:cs="宋体"/>
                <w:sz w:val="24"/>
                <w:szCs w:val="24"/>
              </w:rPr>
              <w:t>工期保证措施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7</w:t>
            </w:r>
          </w:p>
        </w:tc>
        <w:tc>
          <w:tcPr>
            <w:tcW w:w="1276" w:type="dxa"/>
            <w:vMerge w:val="restart"/>
            <w:vAlign w:val="center"/>
          </w:tcPr>
          <w:p>
            <w:pPr>
              <w:jc w:val="center"/>
              <w:rPr>
                <w:rFonts w:hAnsi="宋体" w:cs="宋体"/>
                <w:sz w:val="24"/>
                <w:szCs w:val="24"/>
              </w:rPr>
            </w:pPr>
            <w:r>
              <w:rPr>
                <w:rFonts w:hint="eastAsia" w:hAnsi="宋体" w:cs="宋体"/>
                <w:sz w:val="24"/>
                <w:szCs w:val="24"/>
              </w:rPr>
              <w:t>拟投入资源配备计划</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8</w:t>
            </w:r>
          </w:p>
        </w:tc>
        <w:tc>
          <w:tcPr>
            <w:tcW w:w="1276" w:type="dxa"/>
            <w:vMerge w:val="restart"/>
            <w:vAlign w:val="center"/>
          </w:tcPr>
          <w:p>
            <w:pPr>
              <w:jc w:val="left"/>
              <w:rPr>
                <w:rFonts w:hAnsi="宋体" w:cs="宋体"/>
                <w:sz w:val="24"/>
                <w:szCs w:val="24"/>
              </w:rPr>
            </w:pPr>
            <w:r>
              <w:rPr>
                <w:rFonts w:hint="eastAsia" w:hAnsi="宋体" w:cs="宋体"/>
                <w:sz w:val="24"/>
                <w:szCs w:val="24"/>
              </w:rPr>
              <w:t>施工进度表与网络计划图</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关键线路清晰、准确、完整、计划编制合理、可行、满足招标文件对工期的要求。</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关键线路基本准确，计划编制基本可行。</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9</w:t>
            </w:r>
          </w:p>
        </w:tc>
        <w:tc>
          <w:tcPr>
            <w:tcW w:w="1276" w:type="dxa"/>
            <w:vMerge w:val="restart"/>
            <w:vAlign w:val="center"/>
          </w:tcPr>
          <w:p>
            <w:pPr>
              <w:jc w:val="left"/>
              <w:rPr>
                <w:rFonts w:hAnsi="宋体" w:cs="宋体"/>
                <w:sz w:val="24"/>
                <w:szCs w:val="24"/>
              </w:rPr>
            </w:pPr>
            <w:r>
              <w:rPr>
                <w:rFonts w:hint="eastAsia" w:hAnsi="宋体" w:cs="宋体"/>
                <w:sz w:val="24"/>
                <w:szCs w:val="24"/>
              </w:rPr>
              <w:t>施工总平面图布置</w:t>
            </w:r>
          </w:p>
        </w:tc>
        <w:tc>
          <w:tcPr>
            <w:tcW w:w="1175" w:type="dxa"/>
            <w:vMerge w:val="restart"/>
            <w:vAlign w:val="center"/>
          </w:tcPr>
          <w:p>
            <w:pPr>
              <w:jc w:val="center"/>
              <w:rPr>
                <w:rFonts w:hAnsi="宋体" w:cs="宋体"/>
                <w:sz w:val="24"/>
                <w:szCs w:val="24"/>
              </w:rPr>
            </w:pPr>
            <w:r>
              <w:rPr>
                <w:rFonts w:hint="eastAsia" w:hAnsi="宋体" w:cs="宋体"/>
                <w:sz w:val="24"/>
                <w:szCs w:val="24"/>
              </w:rPr>
              <w:t>0.5-1分</w:t>
            </w:r>
          </w:p>
        </w:tc>
        <w:tc>
          <w:tcPr>
            <w:tcW w:w="5204" w:type="dxa"/>
            <w:vAlign w:val="center"/>
          </w:tcPr>
          <w:p>
            <w:pPr>
              <w:spacing w:line="300" w:lineRule="exact"/>
              <w:rPr>
                <w:rFonts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vAlign w:val="center"/>
          </w:tcPr>
          <w:p>
            <w:pPr>
              <w:jc w:val="center"/>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总体布置基本合理、基本满足施工需要。</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10</w:t>
            </w:r>
          </w:p>
        </w:tc>
        <w:tc>
          <w:tcPr>
            <w:tcW w:w="1276" w:type="dxa"/>
            <w:vMerge w:val="restart"/>
            <w:vAlign w:val="center"/>
          </w:tcPr>
          <w:p>
            <w:pPr>
              <w:jc w:val="left"/>
              <w:rPr>
                <w:rFonts w:hAnsi="宋体" w:cs="宋体"/>
                <w:sz w:val="24"/>
                <w:szCs w:val="24"/>
              </w:rPr>
            </w:pPr>
            <w:r>
              <w:rPr>
                <w:rFonts w:hint="eastAsia" w:hAnsi="宋体" w:cs="宋体"/>
                <w:sz w:val="24"/>
                <w:szCs w:val="24"/>
              </w:rPr>
              <w:t>技术创新的应用实施措施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（1）节能减排、（2）绿色施工、（3）工艺创新、（4）装配式等技术创新的应用实施措施符合工程情况，具有针对性、可行性、经济适用性。</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11</w:t>
            </w:r>
          </w:p>
        </w:tc>
        <w:tc>
          <w:tcPr>
            <w:tcW w:w="1276" w:type="dxa"/>
            <w:vMerge w:val="restart"/>
            <w:vAlign w:val="center"/>
          </w:tcPr>
          <w:p>
            <w:pPr>
              <w:jc w:val="center"/>
              <w:rPr>
                <w:rFonts w:hAnsi="宋体" w:cs="宋体"/>
                <w:sz w:val="24"/>
                <w:szCs w:val="24"/>
              </w:rPr>
            </w:pPr>
            <w:r>
              <w:rPr>
                <w:rFonts w:hint="eastAsia" w:hAnsi="宋体" w:cs="宋体"/>
                <w:sz w:val="24"/>
                <w:szCs w:val="24"/>
              </w:rPr>
              <w:t>采用新工艺、新技术、新设备、新材料、BIM等的程度</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12</w:t>
            </w:r>
          </w:p>
        </w:tc>
        <w:tc>
          <w:tcPr>
            <w:tcW w:w="1276" w:type="dxa"/>
            <w:vMerge w:val="restart"/>
            <w:vAlign w:val="center"/>
          </w:tcPr>
          <w:p>
            <w:pPr>
              <w:jc w:val="center"/>
              <w:rPr>
                <w:rFonts w:hAnsi="宋体" w:cs="宋体"/>
                <w:sz w:val="24"/>
                <w:szCs w:val="24"/>
              </w:rPr>
            </w:pPr>
            <w:r>
              <w:rPr>
                <w:rFonts w:hint="eastAsia" w:hAnsi="宋体" w:cs="宋体"/>
                <w:sz w:val="24"/>
                <w:szCs w:val="24"/>
              </w:rPr>
              <w:t>施工现场实施信息化监控和数据处理</w:t>
            </w:r>
          </w:p>
        </w:tc>
        <w:tc>
          <w:tcPr>
            <w:tcW w:w="1175" w:type="dxa"/>
            <w:vMerge w:val="restart"/>
            <w:vAlign w:val="center"/>
          </w:tcPr>
          <w:p>
            <w:pPr>
              <w:jc w:val="center"/>
              <w:rPr>
                <w:rFonts w:hAnsi="宋体" w:cs="宋体"/>
                <w:sz w:val="24"/>
                <w:szCs w:val="24"/>
              </w:rPr>
            </w:pPr>
            <w:r>
              <w:rPr>
                <w:rFonts w:hint="eastAsia" w:hAnsi="宋体" w:cs="宋体"/>
                <w:sz w:val="24"/>
                <w:szCs w:val="24"/>
              </w:rPr>
              <w:t>0.5-1.5分</w:t>
            </w: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施工现场实施信息化监控和数据处理系统布置合理，满足需要。</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施工现场实施信息化监控和数据处理系统布置基本符合需要。</w:t>
            </w:r>
          </w:p>
        </w:tc>
        <w:tc>
          <w:tcPr>
            <w:tcW w:w="1683" w:type="dxa"/>
            <w:vAlign w:val="center"/>
          </w:tcPr>
          <w:p>
            <w:pPr>
              <w:jc w:val="center"/>
              <w:rPr>
                <w:rFonts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13</w:t>
            </w:r>
          </w:p>
        </w:tc>
        <w:tc>
          <w:tcPr>
            <w:tcW w:w="1276" w:type="dxa"/>
            <w:vMerge w:val="restart"/>
            <w:vAlign w:val="center"/>
          </w:tcPr>
          <w:p>
            <w:pPr>
              <w:jc w:val="center"/>
              <w:rPr>
                <w:rFonts w:hAnsi="宋体" w:cs="宋体"/>
                <w:sz w:val="24"/>
                <w:szCs w:val="24"/>
              </w:rPr>
            </w:pPr>
            <w:r>
              <w:rPr>
                <w:rFonts w:hint="eastAsia" w:hAnsi="宋体" w:cs="宋体"/>
                <w:sz w:val="24"/>
                <w:szCs w:val="24"/>
              </w:rPr>
              <w:t>风险管理措施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43" w:type="dxa"/>
            <w:gridSpan w:val="2"/>
            <w:vAlign w:val="center"/>
          </w:tcPr>
          <w:p>
            <w:pPr>
              <w:jc w:val="center"/>
              <w:rPr>
                <w:rFonts w:hAnsi="宋体" w:cs="宋体"/>
                <w:sz w:val="24"/>
                <w:szCs w:val="24"/>
              </w:rPr>
            </w:pPr>
            <w:r>
              <w:rPr>
                <w:rFonts w:hint="eastAsia" w:hAnsi="宋体" w:cs="宋体"/>
                <w:sz w:val="24"/>
                <w:szCs w:val="24"/>
              </w:rPr>
              <w:t>合计</w:t>
            </w:r>
          </w:p>
        </w:tc>
        <w:tc>
          <w:tcPr>
            <w:tcW w:w="1175" w:type="dxa"/>
            <w:vAlign w:val="center"/>
          </w:tcPr>
          <w:p>
            <w:pPr>
              <w:jc w:val="center"/>
              <w:rPr>
                <w:rFonts w:hAnsi="宋体" w:cs="宋体"/>
                <w:sz w:val="24"/>
                <w:szCs w:val="24"/>
              </w:rPr>
            </w:pPr>
            <w:r>
              <w:rPr>
                <w:rFonts w:hint="eastAsia" w:hAnsi="宋体" w:cs="宋体"/>
                <w:sz w:val="24"/>
                <w:szCs w:val="24"/>
              </w:rPr>
              <w:t>10-25分</w:t>
            </w:r>
          </w:p>
        </w:tc>
        <w:tc>
          <w:tcPr>
            <w:tcW w:w="5204" w:type="dxa"/>
            <w:vAlign w:val="center"/>
          </w:tcPr>
          <w:p>
            <w:pPr>
              <w:rPr>
                <w:rFonts w:hAnsi="宋体" w:cs="宋体"/>
                <w:sz w:val="24"/>
                <w:szCs w:val="24"/>
              </w:rPr>
            </w:pPr>
          </w:p>
        </w:tc>
        <w:tc>
          <w:tcPr>
            <w:tcW w:w="1683" w:type="dxa"/>
            <w:vAlign w:val="center"/>
          </w:tcPr>
          <w:p>
            <w:pPr>
              <w:jc w:val="center"/>
              <w:rPr>
                <w:rFonts w:hAnsi="宋体" w:cs="宋体"/>
                <w:sz w:val="24"/>
                <w:szCs w:val="24"/>
              </w:rPr>
            </w:pPr>
            <w:r>
              <w:rPr>
                <w:rFonts w:hint="eastAsia" w:hAnsi="宋体" w:cs="宋体"/>
                <w:sz w:val="24"/>
                <w:szCs w:val="24"/>
              </w:rPr>
              <w:t>10≤得分≤25</w:t>
            </w:r>
          </w:p>
        </w:tc>
      </w:tr>
    </w:tbl>
    <w:p>
      <w:pPr>
        <w:autoSpaceDE w:val="0"/>
        <w:autoSpaceDN w:val="0"/>
        <w:spacing w:line="460" w:lineRule="exact"/>
        <w:contextualSpacing/>
        <w:jc w:val="left"/>
        <w:outlineLvl w:val="0"/>
        <w:rPr>
          <w:rFonts w:ascii="新宋体" w:hAnsi="新宋体" w:eastAsia="新宋体" w:cs="宋体"/>
          <w:b/>
          <w:bCs/>
          <w:sz w:val="24"/>
          <w:szCs w:val="24"/>
        </w:rPr>
      </w:pP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b/>
          <w:bCs/>
          <w:sz w:val="24"/>
          <w:szCs w:val="24"/>
        </w:rPr>
        <w:t>（四）综合（信用）标的评标分值2</w:t>
      </w:r>
      <w:r>
        <w:rPr>
          <w:rFonts w:ascii="新宋体" w:hAnsi="新宋体" w:eastAsia="新宋体" w:cs="宋体"/>
          <w:b/>
          <w:bCs/>
          <w:sz w:val="24"/>
          <w:szCs w:val="24"/>
        </w:rPr>
        <w:t>5</w:t>
      </w:r>
      <w:r>
        <w:rPr>
          <w:rFonts w:hint="eastAsia" w:ascii="新宋体" w:hAnsi="新宋体" w:eastAsia="新宋体" w:cs="宋体"/>
          <w:b/>
          <w:bCs/>
          <w:sz w:val="24"/>
          <w:szCs w:val="24"/>
        </w:rPr>
        <w:t>分</w:t>
      </w:r>
    </w:p>
    <w:tbl>
      <w:tblPr>
        <w:tblStyle w:val="12"/>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69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hAnsi="宋体" w:cs="宋体"/>
                <w:sz w:val="24"/>
                <w:szCs w:val="24"/>
              </w:rPr>
            </w:pPr>
            <w:r>
              <w:rPr>
                <w:rFonts w:hint="eastAsia" w:hAnsi="宋体" w:cs="宋体"/>
                <w:sz w:val="24"/>
                <w:szCs w:val="24"/>
              </w:rPr>
              <w:t>序号</w:t>
            </w:r>
          </w:p>
        </w:tc>
        <w:tc>
          <w:tcPr>
            <w:tcW w:w="1417" w:type="dxa"/>
            <w:vAlign w:val="center"/>
          </w:tcPr>
          <w:p>
            <w:pPr>
              <w:jc w:val="center"/>
              <w:rPr>
                <w:rFonts w:hAnsi="宋体" w:cs="宋体"/>
                <w:sz w:val="24"/>
                <w:szCs w:val="24"/>
              </w:rPr>
            </w:pPr>
            <w:r>
              <w:rPr>
                <w:rFonts w:hint="eastAsia" w:hAnsi="宋体" w:cs="宋体"/>
                <w:sz w:val="24"/>
                <w:szCs w:val="24"/>
              </w:rPr>
              <w:t>项     目</w:t>
            </w:r>
          </w:p>
        </w:tc>
        <w:tc>
          <w:tcPr>
            <w:tcW w:w="5699" w:type="dxa"/>
            <w:vAlign w:val="center"/>
          </w:tcPr>
          <w:p>
            <w:pPr>
              <w:jc w:val="center"/>
              <w:rPr>
                <w:rFonts w:hAnsi="宋体" w:cs="宋体"/>
                <w:sz w:val="24"/>
                <w:szCs w:val="24"/>
              </w:rPr>
            </w:pPr>
            <w:r>
              <w:rPr>
                <w:rFonts w:hint="eastAsia" w:hAnsi="宋体" w:cs="宋体"/>
                <w:sz w:val="24"/>
                <w:szCs w:val="24"/>
              </w:rPr>
              <w:t>评  审   标   准</w:t>
            </w:r>
          </w:p>
        </w:tc>
        <w:tc>
          <w:tcPr>
            <w:tcW w:w="1691" w:type="dxa"/>
            <w:vAlign w:val="center"/>
          </w:tcPr>
          <w:p>
            <w:pPr>
              <w:jc w:val="center"/>
              <w:rPr>
                <w:rFonts w:hAnsi="宋体" w:cs="宋体"/>
                <w:sz w:val="24"/>
                <w:szCs w:val="24"/>
              </w:rPr>
            </w:pPr>
            <w:r>
              <w:rPr>
                <w:rFonts w:hint="eastAsia"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30" w:type="dxa"/>
            <w:vAlign w:val="center"/>
          </w:tcPr>
          <w:p>
            <w:pPr>
              <w:jc w:val="center"/>
              <w:rPr>
                <w:rFonts w:hAnsi="宋体" w:cs="宋体"/>
                <w:sz w:val="24"/>
                <w:szCs w:val="24"/>
              </w:rPr>
            </w:pPr>
            <w:r>
              <w:rPr>
                <w:rFonts w:hint="eastAsia" w:hAnsi="宋体" w:cs="宋体"/>
                <w:sz w:val="24"/>
                <w:szCs w:val="24"/>
              </w:rPr>
              <w:t>1</w:t>
            </w:r>
          </w:p>
        </w:tc>
        <w:tc>
          <w:tcPr>
            <w:tcW w:w="1417" w:type="dxa"/>
            <w:vAlign w:val="center"/>
          </w:tcPr>
          <w:p>
            <w:pPr>
              <w:jc w:val="center"/>
              <w:rPr>
                <w:rFonts w:hAnsi="宋体" w:cs="宋体"/>
                <w:sz w:val="24"/>
                <w:szCs w:val="24"/>
              </w:rPr>
            </w:pPr>
            <w:r>
              <w:rPr>
                <w:rFonts w:hint="eastAsia" w:hAnsi="宋体" w:cs="宋体"/>
                <w:sz w:val="24"/>
                <w:szCs w:val="24"/>
              </w:rPr>
              <w:t>企业业绩</w:t>
            </w:r>
          </w:p>
        </w:tc>
        <w:tc>
          <w:tcPr>
            <w:tcW w:w="5699" w:type="dxa"/>
            <w:vAlign w:val="center"/>
          </w:tcPr>
          <w:p>
            <w:pPr>
              <w:spacing w:line="300" w:lineRule="exact"/>
              <w:jc w:val="left"/>
              <w:rPr>
                <w:rFonts w:hAnsi="宋体" w:cs="宋体"/>
                <w:sz w:val="24"/>
                <w:szCs w:val="24"/>
              </w:rPr>
            </w:pPr>
            <w:r>
              <w:rPr>
                <w:rFonts w:hint="eastAsia" w:hAnsi="宋体" w:cs="宋体"/>
                <w:sz w:val="24"/>
                <w:szCs w:val="24"/>
              </w:rPr>
              <w:t>2016年1月1日以来，投标人承担过的类似项目业绩，每项得2分，本项最高得4分。（应提供法定媒介中标（成交）公示网页截图、合同、中标通知书（或竣工备案表）缺一项不得分。）</w:t>
            </w:r>
          </w:p>
        </w:tc>
        <w:tc>
          <w:tcPr>
            <w:tcW w:w="1691"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0" w:type="dxa"/>
            <w:vAlign w:val="center"/>
          </w:tcPr>
          <w:p>
            <w:pPr>
              <w:jc w:val="center"/>
              <w:rPr>
                <w:rFonts w:hAnsi="宋体" w:cs="宋体"/>
                <w:sz w:val="24"/>
                <w:szCs w:val="24"/>
              </w:rPr>
            </w:pPr>
            <w:r>
              <w:rPr>
                <w:rFonts w:hint="eastAsia" w:hAnsi="宋体" w:cs="宋体"/>
                <w:sz w:val="24"/>
                <w:szCs w:val="24"/>
              </w:rPr>
              <w:t>2</w:t>
            </w:r>
          </w:p>
        </w:tc>
        <w:tc>
          <w:tcPr>
            <w:tcW w:w="1417" w:type="dxa"/>
            <w:vAlign w:val="center"/>
          </w:tcPr>
          <w:p>
            <w:pPr>
              <w:jc w:val="center"/>
              <w:rPr>
                <w:rFonts w:hAnsi="宋体" w:cs="宋体"/>
                <w:sz w:val="24"/>
                <w:szCs w:val="24"/>
              </w:rPr>
            </w:pPr>
            <w:r>
              <w:rPr>
                <w:rFonts w:hint="eastAsia" w:hAnsi="宋体"/>
                <w:sz w:val="24"/>
                <w:szCs w:val="24"/>
              </w:rPr>
              <w:t>项目负责人</w:t>
            </w:r>
            <w:r>
              <w:rPr>
                <w:rFonts w:hint="eastAsia" w:hAnsi="宋体" w:cs="宋体"/>
                <w:sz w:val="24"/>
                <w:szCs w:val="24"/>
              </w:rPr>
              <w:t>业绩</w:t>
            </w:r>
          </w:p>
        </w:tc>
        <w:tc>
          <w:tcPr>
            <w:tcW w:w="5699" w:type="dxa"/>
            <w:vAlign w:val="center"/>
          </w:tcPr>
          <w:p>
            <w:pPr>
              <w:spacing w:line="300" w:lineRule="exact"/>
              <w:jc w:val="left"/>
              <w:rPr>
                <w:rFonts w:hAnsi="宋体" w:cs="宋体"/>
                <w:sz w:val="24"/>
                <w:szCs w:val="24"/>
              </w:rPr>
            </w:pPr>
            <w:r>
              <w:rPr>
                <w:rFonts w:hint="eastAsia" w:hAnsi="宋体" w:cs="宋体"/>
                <w:sz w:val="24"/>
                <w:szCs w:val="24"/>
              </w:rPr>
              <w:t>拟派项目负责人2016年1月1日以来，承担过类似项目业绩的，得2分，本项最高得6分。（应提供法定媒介中标（成交）公示网页截图、合同、中标通知书（或竣工备案表）缺一项不得分。）</w:t>
            </w:r>
          </w:p>
        </w:tc>
        <w:tc>
          <w:tcPr>
            <w:tcW w:w="1691" w:type="dxa"/>
            <w:vAlign w:val="center"/>
          </w:tcPr>
          <w:p>
            <w:pPr>
              <w:jc w:val="center"/>
              <w:rPr>
                <w:rFonts w:hAnsi="宋体" w:cs="宋体"/>
                <w:sz w:val="24"/>
                <w:szCs w:val="24"/>
              </w:rPr>
            </w:pPr>
            <w:r>
              <w:rPr>
                <w:rFonts w:hint="eastAsia" w:hAnsi="宋体" w:cs="宋体"/>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3</w:t>
            </w:r>
          </w:p>
        </w:tc>
        <w:tc>
          <w:tcPr>
            <w:tcW w:w="1417" w:type="dxa"/>
            <w:vMerge w:val="restart"/>
            <w:vAlign w:val="center"/>
          </w:tcPr>
          <w:p>
            <w:pPr>
              <w:jc w:val="center"/>
              <w:rPr>
                <w:rFonts w:hAnsi="宋体" w:cs="宋体"/>
                <w:sz w:val="24"/>
                <w:szCs w:val="24"/>
              </w:rPr>
            </w:pPr>
            <w:r>
              <w:rPr>
                <w:rFonts w:hint="eastAsia" w:hAnsi="宋体" w:cs="宋体"/>
                <w:sz w:val="24"/>
                <w:szCs w:val="24"/>
              </w:rPr>
              <w:t>优惠承诺</w:t>
            </w:r>
          </w:p>
        </w:tc>
        <w:tc>
          <w:tcPr>
            <w:tcW w:w="5699" w:type="dxa"/>
            <w:vAlign w:val="center"/>
          </w:tcPr>
          <w:p>
            <w:pPr>
              <w:spacing w:line="300" w:lineRule="exact"/>
              <w:jc w:val="left"/>
              <w:rPr>
                <w:rFonts w:hAnsi="宋体" w:cs="宋体"/>
                <w:sz w:val="24"/>
                <w:szCs w:val="24"/>
              </w:rPr>
            </w:pPr>
            <w:r>
              <w:rPr>
                <w:rFonts w:hint="eastAsia" w:hAnsi="宋体" w:cs="宋体"/>
                <w:sz w:val="24"/>
                <w:szCs w:val="24"/>
              </w:rPr>
              <w:t>优惠承诺应是书面的符合工程实际情况，确保依法依规，优惠合理，详实可行。</w:t>
            </w:r>
          </w:p>
        </w:tc>
        <w:tc>
          <w:tcPr>
            <w:tcW w:w="1691" w:type="dxa"/>
            <w:vAlign w:val="center"/>
          </w:tcPr>
          <w:p>
            <w:pPr>
              <w:jc w:val="center"/>
              <w:rPr>
                <w:rFonts w:hAnsi="宋体" w:cs="宋体"/>
                <w:sz w:val="24"/>
                <w:szCs w:val="24"/>
              </w:rPr>
            </w:pPr>
            <w:r>
              <w:rPr>
                <w:rFonts w:hint="eastAsia" w:hAnsi="宋体" w:cs="宋体"/>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699" w:type="dxa"/>
            <w:vAlign w:val="center"/>
          </w:tcPr>
          <w:p>
            <w:pPr>
              <w:spacing w:line="300" w:lineRule="exact"/>
              <w:jc w:val="left"/>
              <w:rPr>
                <w:rFonts w:hAnsi="宋体" w:cs="宋体"/>
                <w:sz w:val="24"/>
                <w:szCs w:val="24"/>
              </w:rPr>
            </w:pPr>
            <w:r>
              <w:rPr>
                <w:rFonts w:hint="eastAsia" w:hAnsi="宋体" w:cs="宋体"/>
                <w:sz w:val="24"/>
                <w:szCs w:val="24"/>
              </w:rPr>
              <w:t>优惠承诺符合工程实际情况，确保依法依规，优惠基本合理，基本详实可行。</w:t>
            </w:r>
          </w:p>
        </w:tc>
        <w:tc>
          <w:tcPr>
            <w:tcW w:w="1691" w:type="dxa"/>
            <w:vAlign w:val="center"/>
          </w:tcPr>
          <w:p>
            <w:pPr>
              <w:jc w:val="center"/>
              <w:rPr>
                <w:rFonts w:hAnsi="宋体" w:cs="宋体"/>
                <w:sz w:val="24"/>
                <w:szCs w:val="24"/>
              </w:rPr>
            </w:pPr>
            <w:r>
              <w:rPr>
                <w:rFonts w:hint="eastAsia" w:hAnsi="宋体" w:cs="宋体"/>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4</w:t>
            </w:r>
          </w:p>
        </w:tc>
        <w:tc>
          <w:tcPr>
            <w:tcW w:w="1417" w:type="dxa"/>
            <w:vMerge w:val="restart"/>
            <w:vAlign w:val="center"/>
          </w:tcPr>
          <w:p>
            <w:pPr>
              <w:jc w:val="center"/>
              <w:rPr>
                <w:rFonts w:hAnsi="宋体" w:cs="宋体"/>
                <w:sz w:val="24"/>
                <w:szCs w:val="24"/>
              </w:rPr>
            </w:pPr>
            <w:r>
              <w:rPr>
                <w:rFonts w:hint="eastAsia" w:hAnsi="宋体" w:cs="宋体"/>
                <w:sz w:val="24"/>
                <w:szCs w:val="24"/>
              </w:rPr>
              <w:t>履职尽责承诺</w:t>
            </w:r>
          </w:p>
        </w:tc>
        <w:tc>
          <w:tcPr>
            <w:tcW w:w="5699" w:type="dxa"/>
            <w:vAlign w:val="center"/>
          </w:tcPr>
          <w:p>
            <w:pPr>
              <w:spacing w:line="300" w:lineRule="exact"/>
              <w:jc w:val="left"/>
              <w:rPr>
                <w:rFonts w:hAnsi="宋体" w:cs="宋体"/>
                <w:sz w:val="24"/>
                <w:szCs w:val="24"/>
              </w:rPr>
            </w:pPr>
            <w:r>
              <w:rPr>
                <w:rFonts w:hint="eastAsia" w:hAnsi="宋体" w:cs="宋体"/>
                <w:sz w:val="24"/>
                <w:szCs w:val="24"/>
              </w:rPr>
              <w:t>具有全面、详实、可行、合法有效的书面保证技术措施落实到位的承诺和落实不到位的处理承诺，其中包括各关键岗位人员（</w:t>
            </w:r>
            <w:r>
              <w:rPr>
                <w:rFonts w:hint="eastAsia" w:hAnsi="宋体"/>
                <w:sz w:val="24"/>
                <w:szCs w:val="24"/>
              </w:rPr>
              <w:t>项目负责人</w:t>
            </w:r>
            <w:r>
              <w:rPr>
                <w:rFonts w:hint="eastAsia" w:hAnsi="宋体" w:cs="宋体"/>
                <w:sz w:val="24"/>
                <w:szCs w:val="24"/>
              </w:rPr>
              <w:t>、技术负责人及相关技术人员、质量员、安全员、材料员、施工员等）的在岗、更换等履职尽责承诺，提供承包商履约保证。</w:t>
            </w:r>
          </w:p>
        </w:tc>
        <w:tc>
          <w:tcPr>
            <w:tcW w:w="1691"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699" w:type="dxa"/>
            <w:vAlign w:val="center"/>
          </w:tcPr>
          <w:p>
            <w:pPr>
              <w:spacing w:line="300" w:lineRule="exact"/>
              <w:jc w:val="left"/>
              <w:rPr>
                <w:rFonts w:hAnsi="宋体" w:cs="宋体"/>
                <w:sz w:val="24"/>
                <w:szCs w:val="24"/>
              </w:rPr>
            </w:pPr>
            <w:r>
              <w:rPr>
                <w:rFonts w:hint="eastAsia" w:hAnsi="宋体" w:cs="宋体"/>
                <w:sz w:val="24"/>
                <w:szCs w:val="24"/>
              </w:rPr>
              <w:t>具有可行、合法有效的书面保证技术措施落实到位的承诺和落实不到位的处理承诺，其中包括各关键岗位人员（</w:t>
            </w:r>
            <w:r>
              <w:rPr>
                <w:rFonts w:hint="eastAsia" w:hAnsi="宋体"/>
                <w:sz w:val="24"/>
                <w:szCs w:val="24"/>
              </w:rPr>
              <w:t>项目负责人</w:t>
            </w:r>
            <w:r>
              <w:rPr>
                <w:rFonts w:hint="eastAsia" w:hAnsi="宋体" w:cs="宋体"/>
                <w:sz w:val="24"/>
                <w:szCs w:val="24"/>
              </w:rPr>
              <w:t>、技术负责人及相关技术人员、质量员、安全员、材料员、施工员等）的在岗、更换等履职尽责承诺，提供承包商履约保证。</w:t>
            </w:r>
          </w:p>
        </w:tc>
        <w:tc>
          <w:tcPr>
            <w:tcW w:w="1691"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pPr>
              <w:jc w:val="center"/>
              <w:rPr>
                <w:rFonts w:hAnsi="宋体" w:cs="宋体"/>
                <w:sz w:val="24"/>
                <w:szCs w:val="24"/>
              </w:rPr>
            </w:pPr>
            <w:r>
              <w:rPr>
                <w:rFonts w:hint="eastAsia" w:hAnsi="宋体" w:cs="宋体"/>
                <w:sz w:val="24"/>
                <w:szCs w:val="24"/>
              </w:rPr>
              <w:t>5</w:t>
            </w:r>
          </w:p>
        </w:tc>
        <w:tc>
          <w:tcPr>
            <w:tcW w:w="1417" w:type="dxa"/>
            <w:vAlign w:val="center"/>
          </w:tcPr>
          <w:p>
            <w:pPr>
              <w:jc w:val="center"/>
              <w:rPr>
                <w:rFonts w:hAnsi="宋体" w:cs="宋体"/>
                <w:sz w:val="24"/>
                <w:szCs w:val="24"/>
              </w:rPr>
            </w:pPr>
            <w:r>
              <w:rPr>
                <w:rFonts w:hint="eastAsia" w:hAnsi="宋体" w:cs="宋体"/>
                <w:sz w:val="24"/>
                <w:szCs w:val="24"/>
              </w:rPr>
              <w:t>企业信用</w:t>
            </w:r>
          </w:p>
        </w:tc>
        <w:tc>
          <w:tcPr>
            <w:tcW w:w="5699" w:type="dxa"/>
            <w:vAlign w:val="center"/>
          </w:tcPr>
          <w:p>
            <w:pPr>
              <w:spacing w:line="340" w:lineRule="exact"/>
              <w:jc w:val="left"/>
              <w:rPr>
                <w:rFonts w:hAnsi="宋体" w:cs="宋体"/>
                <w:sz w:val="24"/>
                <w:szCs w:val="24"/>
              </w:rPr>
            </w:pPr>
            <w:r>
              <w:rPr>
                <w:rFonts w:hint="eastAsia" w:hAnsi="宋体" w:cs="宋体"/>
                <w:sz w:val="24"/>
                <w:szCs w:val="24"/>
              </w:rPr>
              <w:t>2016年1月1日以来企业获得过市级安全文明工地，一项得1分；省级级以上安全文明工地，一项得2分，没有不得分，本项最高得4分。</w:t>
            </w:r>
          </w:p>
          <w:p>
            <w:pPr>
              <w:spacing w:line="340" w:lineRule="exact"/>
              <w:jc w:val="left"/>
              <w:rPr>
                <w:rFonts w:hAnsi="宋体" w:cs="宋体"/>
                <w:sz w:val="24"/>
                <w:szCs w:val="24"/>
              </w:rPr>
            </w:pPr>
            <w:r>
              <w:rPr>
                <w:rFonts w:hint="eastAsia" w:hAnsi="宋体" w:cs="宋体"/>
                <w:sz w:val="24"/>
                <w:szCs w:val="24"/>
              </w:rPr>
              <w:t>（</w:t>
            </w:r>
            <w:r>
              <w:rPr>
                <w:rFonts w:hint="eastAsia" w:hAnsi="宋体" w:cs="宋体"/>
                <w:b/>
                <w:bCs/>
                <w:sz w:val="24"/>
                <w:szCs w:val="24"/>
              </w:rPr>
              <w:t>具体企业信用详见本章附件1）</w:t>
            </w:r>
          </w:p>
        </w:tc>
        <w:tc>
          <w:tcPr>
            <w:tcW w:w="1691"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hAnsi="宋体" w:cs="宋体"/>
                <w:sz w:val="24"/>
                <w:szCs w:val="24"/>
              </w:rPr>
            </w:pPr>
            <w:r>
              <w:rPr>
                <w:rFonts w:hint="eastAsia" w:hAnsi="宋体" w:cs="宋体"/>
                <w:sz w:val="24"/>
                <w:szCs w:val="24"/>
              </w:rPr>
              <w:t>6</w:t>
            </w:r>
          </w:p>
        </w:tc>
        <w:tc>
          <w:tcPr>
            <w:tcW w:w="1417" w:type="dxa"/>
            <w:vAlign w:val="center"/>
          </w:tcPr>
          <w:p>
            <w:pPr>
              <w:jc w:val="center"/>
              <w:rPr>
                <w:rFonts w:hAnsi="宋体" w:cs="宋体"/>
                <w:sz w:val="24"/>
                <w:szCs w:val="24"/>
              </w:rPr>
            </w:pPr>
            <w:r>
              <w:rPr>
                <w:rFonts w:hint="eastAsia" w:hAnsi="宋体"/>
                <w:sz w:val="24"/>
                <w:szCs w:val="24"/>
              </w:rPr>
              <w:t>项目负责人</w:t>
            </w:r>
            <w:r>
              <w:rPr>
                <w:rFonts w:hint="eastAsia" w:hAnsi="宋体" w:cs="宋体"/>
                <w:sz w:val="24"/>
                <w:szCs w:val="24"/>
              </w:rPr>
              <w:t>信用</w:t>
            </w:r>
          </w:p>
        </w:tc>
        <w:tc>
          <w:tcPr>
            <w:tcW w:w="5699" w:type="dxa"/>
            <w:vAlign w:val="center"/>
          </w:tcPr>
          <w:p>
            <w:pPr>
              <w:spacing w:line="340" w:lineRule="exact"/>
              <w:jc w:val="left"/>
              <w:rPr>
                <w:rFonts w:hAnsi="宋体" w:cs="宋体"/>
                <w:sz w:val="24"/>
                <w:szCs w:val="24"/>
              </w:rPr>
            </w:pPr>
            <w:r>
              <w:rPr>
                <w:rFonts w:hint="eastAsia" w:hAnsi="宋体" w:cs="宋体"/>
                <w:sz w:val="24"/>
                <w:szCs w:val="24"/>
              </w:rPr>
              <w:t>2016年1月1日以来</w:t>
            </w:r>
            <w:r>
              <w:rPr>
                <w:rFonts w:hint="eastAsia" w:hAnsi="宋体"/>
                <w:sz w:val="24"/>
                <w:szCs w:val="24"/>
              </w:rPr>
              <w:t>项目负责人</w:t>
            </w:r>
            <w:r>
              <w:rPr>
                <w:rFonts w:hint="eastAsia" w:hAnsi="宋体" w:cs="宋体"/>
                <w:sz w:val="24"/>
                <w:szCs w:val="24"/>
              </w:rPr>
              <w:t>曾获得过市级安全文明工地，一项得1分；省级及以上安全文明工地，一项得2分，没有不得分，本项最高得2分。</w:t>
            </w:r>
          </w:p>
          <w:p>
            <w:pPr>
              <w:spacing w:line="300" w:lineRule="exact"/>
              <w:jc w:val="left"/>
              <w:rPr>
                <w:rFonts w:hAnsi="宋体" w:cs="宋体"/>
                <w:sz w:val="24"/>
                <w:szCs w:val="24"/>
              </w:rPr>
            </w:pPr>
            <w:r>
              <w:rPr>
                <w:rFonts w:hint="eastAsia" w:hAnsi="宋体" w:cs="宋体"/>
                <w:sz w:val="24"/>
                <w:szCs w:val="24"/>
              </w:rPr>
              <w:t>（</w:t>
            </w:r>
            <w:r>
              <w:rPr>
                <w:rFonts w:hint="eastAsia" w:hAnsi="宋体" w:cs="宋体"/>
                <w:b/>
                <w:bCs/>
                <w:sz w:val="24"/>
                <w:szCs w:val="24"/>
              </w:rPr>
              <w:t>具体项目负责人信用详见本章附件2）</w:t>
            </w:r>
          </w:p>
        </w:tc>
        <w:tc>
          <w:tcPr>
            <w:tcW w:w="1691" w:type="dxa"/>
            <w:vAlign w:val="center"/>
          </w:tcPr>
          <w:p>
            <w:pPr>
              <w:jc w:val="center"/>
              <w:rPr>
                <w:rFonts w:hAnsi="宋体" w:cs="宋体"/>
                <w:sz w:val="24"/>
                <w:szCs w:val="24"/>
              </w:rPr>
            </w:pPr>
            <w:r>
              <w:rPr>
                <w:rFonts w:hint="eastAsia" w:hAnsi="宋体" w:cs="宋体"/>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hAnsi="宋体" w:cs="宋体"/>
                <w:sz w:val="24"/>
                <w:szCs w:val="24"/>
              </w:rPr>
            </w:pPr>
            <w:r>
              <w:rPr>
                <w:rFonts w:hint="eastAsia" w:hAnsi="宋体" w:cs="宋体"/>
                <w:sz w:val="24"/>
                <w:szCs w:val="24"/>
              </w:rPr>
              <w:t>7</w:t>
            </w:r>
          </w:p>
        </w:tc>
        <w:tc>
          <w:tcPr>
            <w:tcW w:w="1417" w:type="dxa"/>
            <w:vAlign w:val="center"/>
          </w:tcPr>
          <w:p>
            <w:pPr>
              <w:jc w:val="center"/>
              <w:rPr>
                <w:rFonts w:hAnsi="宋体" w:cs="宋体"/>
                <w:sz w:val="24"/>
                <w:szCs w:val="24"/>
              </w:rPr>
            </w:pPr>
            <w:r>
              <w:rPr>
                <w:rFonts w:hint="eastAsia" w:hAnsi="宋体" w:cs="宋体"/>
                <w:sz w:val="24"/>
                <w:szCs w:val="24"/>
              </w:rPr>
              <w:t>招标人意见</w:t>
            </w:r>
          </w:p>
        </w:tc>
        <w:tc>
          <w:tcPr>
            <w:tcW w:w="5699" w:type="dxa"/>
            <w:vAlign w:val="center"/>
          </w:tcPr>
          <w:p>
            <w:pPr>
              <w:rPr>
                <w:rFonts w:hAnsi="宋体" w:cs="宋体"/>
                <w:sz w:val="24"/>
                <w:szCs w:val="24"/>
              </w:rPr>
            </w:pPr>
            <w:r>
              <w:rPr>
                <w:rFonts w:hint="eastAsia" w:hAnsi="宋体" w:cs="宋体"/>
                <w:sz w:val="24"/>
                <w:szCs w:val="24"/>
              </w:rPr>
              <w:t>各投标人得分均按2分计算。</w:t>
            </w:r>
          </w:p>
        </w:tc>
        <w:tc>
          <w:tcPr>
            <w:tcW w:w="1691" w:type="dxa"/>
            <w:vAlign w:val="center"/>
          </w:tcPr>
          <w:p>
            <w:pPr>
              <w:jc w:val="center"/>
              <w:rPr>
                <w:rFonts w:hAnsi="宋体" w:cs="宋体"/>
                <w:sz w:val="24"/>
                <w:szCs w:val="24"/>
              </w:rPr>
            </w:pPr>
            <w:r>
              <w:rPr>
                <w:rFonts w:hint="eastAsia" w:hAnsi="宋体" w:cs="宋体"/>
                <w:sz w:val="24"/>
                <w:szCs w:val="24"/>
              </w:rPr>
              <w:t>0≤得分≤2分</w:t>
            </w:r>
          </w:p>
        </w:tc>
      </w:tr>
    </w:tbl>
    <w:p>
      <w:pPr>
        <w:autoSpaceDE w:val="0"/>
        <w:autoSpaceDN w:val="0"/>
        <w:spacing w:line="460" w:lineRule="exact"/>
        <w:ind w:firstLine="480" w:firstLineChars="200"/>
        <w:contextualSpacing/>
        <w:jc w:val="left"/>
        <w:outlineLvl w:val="0"/>
        <w:rPr>
          <w:rFonts w:ascii="新宋体" w:hAnsi="新宋体" w:eastAsia="新宋体" w:cs="宋体"/>
          <w:b/>
          <w:sz w:val="24"/>
          <w:szCs w:val="24"/>
        </w:rPr>
      </w:pPr>
      <w:r>
        <w:rPr>
          <w:rFonts w:hint="eastAsia" w:ascii="新宋体" w:hAnsi="新宋体" w:eastAsia="新宋体" w:cs="宋体"/>
          <w:b/>
          <w:sz w:val="24"/>
          <w:szCs w:val="24"/>
        </w:rPr>
        <w:t>注：1）业绩合同以合同签订日期为准。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（五）投标人综合得分按下列公式计算：评标委员会完成对技术标、综合（信用）标的汇总后，评标委员会取所有评委评分的平均值作为该投标人的最终得分。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投标人最终得分=技术标平均得分+商务标得分+综合（信用）标平均得分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计算分值均四舍五入保留两位小数。</w:t>
      </w:r>
      <w:bookmarkStart w:id="91" w:name="_Toc21547"/>
      <w:bookmarkEnd w:id="91"/>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（六）投标人的最终得分及中标候选人排序</w:t>
      </w:r>
    </w:p>
    <w:p>
      <w:pPr>
        <w:autoSpaceDE w:val="0"/>
        <w:autoSpaceDN w:val="0"/>
        <w:spacing w:line="460" w:lineRule="exact"/>
        <w:ind w:firstLine="720" w:firstLineChars="300"/>
        <w:contextualSpacing/>
        <w:jc w:val="left"/>
        <w:outlineLvl w:val="0"/>
        <w:rPr>
          <w:rFonts w:ascii="新宋体" w:hAnsi="新宋体" w:eastAsia="新宋体" w:cs="宋体"/>
          <w:sz w:val="24"/>
          <w:szCs w:val="24"/>
        </w:rPr>
      </w:pPr>
      <w:bookmarkStart w:id="92" w:name="_Toc22631"/>
      <w:bookmarkEnd w:id="92"/>
      <w:r>
        <w:rPr>
          <w:rFonts w:hint="eastAsia" w:ascii="新宋体" w:hAnsi="新宋体" w:eastAsia="新宋体" w:cs="宋体"/>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w:t>
      </w:r>
    </w:p>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排序。</w:t>
      </w:r>
      <w:r>
        <w:rPr>
          <w:rFonts w:hint="eastAsia" w:ascii="新宋体" w:hAnsi="新宋体" w:eastAsia="新宋体" w:cs="宋体"/>
          <w:b/>
          <w:bCs/>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93" w:name="_Toc397507722"/>
      <w:bookmarkEnd w:id="93"/>
      <w:bookmarkStart w:id="94" w:name="_Toc272833454"/>
      <w:bookmarkEnd w:id="94"/>
      <w:bookmarkStart w:id="95" w:name="_Toc270931535"/>
      <w:bookmarkEnd w:id="95"/>
      <w:bookmarkStart w:id="96" w:name="_Toc17480"/>
      <w:bookmarkEnd w:id="96"/>
      <w:bookmarkStart w:id="97" w:name="_Toc273546399"/>
      <w:bookmarkEnd w:id="97"/>
      <w:bookmarkStart w:id="98" w:name="_Toc397508135"/>
      <w:bookmarkEnd w:id="98"/>
      <w:bookmarkStart w:id="99" w:name="_Toc295572536"/>
      <w:bookmarkEnd w:id="99"/>
      <w:bookmarkStart w:id="100" w:name="_Toc464824745"/>
      <w:bookmarkEnd w:id="100"/>
      <w:bookmarkStart w:id="101" w:name="_Toc397606004"/>
      <w:bookmarkEnd w:id="101"/>
    </w:p>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b/>
          <w:bCs/>
          <w:sz w:val="24"/>
          <w:szCs w:val="24"/>
        </w:rPr>
        <w:t>九、澄清和说明</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2" w:name="_Toc464824746"/>
      <w:bookmarkEnd w:id="102"/>
      <w:bookmarkStart w:id="103" w:name="_Toc18189"/>
      <w:r>
        <w:rPr>
          <w:rFonts w:hint="eastAsia" w:ascii="新宋体" w:hAnsi="新宋体" w:eastAsia="新宋体" w:cs="宋体"/>
          <w:sz w:val="24"/>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103"/>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4" w:name="_Toc8308"/>
      <w:bookmarkEnd w:id="104"/>
      <w:bookmarkStart w:id="105" w:name="_Toc464824747"/>
      <w:r>
        <w:rPr>
          <w:rFonts w:hint="eastAsia" w:ascii="新宋体" w:hAnsi="新宋体" w:eastAsia="新宋体" w:cs="宋体"/>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105"/>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6" w:name="_Toc4170"/>
      <w:bookmarkEnd w:id="106"/>
      <w:bookmarkStart w:id="107" w:name="_Toc464824748"/>
      <w:r>
        <w:rPr>
          <w:rFonts w:hint="eastAsia" w:ascii="新宋体" w:hAnsi="新宋体" w:eastAsia="新宋体" w:cs="宋体"/>
          <w:sz w:val="24"/>
          <w:szCs w:val="24"/>
        </w:rPr>
        <w:t>调整后的报价经投标人确认后产生约束力，投标人不接受修正价格的，其投标将被否决。</w:t>
      </w:r>
      <w:bookmarkEnd w:id="107"/>
    </w:p>
    <w:p>
      <w:pPr>
        <w:autoSpaceDE w:val="0"/>
        <w:autoSpaceDN w:val="0"/>
        <w:spacing w:line="460" w:lineRule="exact"/>
        <w:contextualSpacing/>
        <w:jc w:val="left"/>
        <w:outlineLvl w:val="0"/>
        <w:rPr>
          <w:rFonts w:ascii="新宋体" w:hAnsi="新宋体" w:eastAsia="新宋体" w:cs="宋体"/>
          <w:b/>
          <w:bCs/>
          <w:sz w:val="24"/>
          <w:szCs w:val="24"/>
        </w:rPr>
      </w:pPr>
      <w:bookmarkStart w:id="108" w:name="_Toc464824749"/>
      <w:bookmarkEnd w:id="108"/>
      <w:bookmarkStart w:id="109" w:name="_Toc10515"/>
      <w:r>
        <w:rPr>
          <w:rFonts w:hint="eastAsia" w:ascii="新宋体" w:hAnsi="新宋体" w:eastAsia="新宋体" w:cs="宋体"/>
          <w:b/>
          <w:bCs/>
          <w:sz w:val="24"/>
          <w:szCs w:val="24"/>
        </w:rPr>
        <w:t>十、关于低价投标</w:t>
      </w:r>
      <w:bookmarkEnd w:id="109"/>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0" w:name="_Toc464824750"/>
      <w:bookmarkEnd w:id="110"/>
      <w:bookmarkStart w:id="111" w:name="_Toc20615"/>
      <w:r>
        <w:rPr>
          <w:rFonts w:hint="eastAsia" w:ascii="新宋体" w:hAnsi="新宋体" w:eastAsia="新宋体" w:cs="宋体"/>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111"/>
    </w:p>
    <w:p>
      <w:pPr>
        <w:autoSpaceDE w:val="0"/>
        <w:autoSpaceDN w:val="0"/>
        <w:spacing w:line="460" w:lineRule="exact"/>
        <w:contextualSpacing/>
        <w:jc w:val="left"/>
        <w:outlineLvl w:val="0"/>
        <w:rPr>
          <w:rFonts w:ascii="新宋体" w:hAnsi="新宋体" w:eastAsia="新宋体" w:cs="宋体"/>
          <w:b/>
          <w:bCs/>
          <w:sz w:val="24"/>
          <w:szCs w:val="24"/>
        </w:rPr>
      </w:pPr>
      <w:bookmarkStart w:id="112" w:name="_Toc17583"/>
      <w:bookmarkEnd w:id="112"/>
      <w:bookmarkStart w:id="113" w:name="_Toc464824751"/>
      <w:r>
        <w:rPr>
          <w:rFonts w:hint="eastAsia" w:ascii="新宋体" w:hAnsi="新宋体" w:eastAsia="新宋体" w:cs="宋体"/>
          <w:b/>
          <w:bCs/>
          <w:sz w:val="24"/>
          <w:szCs w:val="24"/>
        </w:rPr>
        <w:t>十一、投标文件的修正</w:t>
      </w:r>
      <w:bookmarkEnd w:id="113"/>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4" w:name="_Toc464824752"/>
      <w:bookmarkEnd w:id="114"/>
      <w:bookmarkStart w:id="115" w:name="_Toc10463"/>
      <w:r>
        <w:rPr>
          <w:rFonts w:hint="eastAsia" w:ascii="新宋体" w:hAnsi="新宋体" w:eastAsia="新宋体" w:cs="宋体"/>
          <w:sz w:val="24"/>
          <w:szCs w:val="24"/>
        </w:rPr>
        <w:t>投标文件不响应招标文件的实质性要求和条件的，评标委员会不得允许投标人通过修正或撤销其不符合要求的差异或保留，使之成为具有响应性的投标。</w:t>
      </w:r>
      <w:bookmarkEnd w:id="115"/>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6" w:name="_Toc31173"/>
      <w:bookmarkEnd w:id="116"/>
      <w:bookmarkStart w:id="117" w:name="_Toc464824753"/>
      <w:r>
        <w:rPr>
          <w:rFonts w:hint="eastAsia" w:ascii="新宋体" w:hAnsi="新宋体" w:eastAsia="新宋体" w:cs="宋体"/>
          <w:sz w:val="24"/>
          <w:szCs w:val="24"/>
        </w:rPr>
        <w:t>投标报价有算术错误的，评标委员会按以下原则进行修正：</w:t>
      </w:r>
      <w:bookmarkEnd w:id="117"/>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8" w:name="_Toc464824754"/>
      <w:bookmarkEnd w:id="118"/>
      <w:bookmarkStart w:id="119" w:name="_Toc4197"/>
      <w:r>
        <w:rPr>
          <w:rFonts w:hint="eastAsia" w:ascii="新宋体" w:hAnsi="新宋体" w:eastAsia="新宋体" w:cs="宋体"/>
          <w:sz w:val="24"/>
          <w:szCs w:val="24"/>
        </w:rPr>
        <w:t>（一）用数字表示的数额与用文字表示的数额不一致时，以文字数额为准；</w:t>
      </w:r>
      <w:bookmarkEnd w:id="119"/>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0" w:name="_Toc27518"/>
      <w:bookmarkEnd w:id="120"/>
      <w:bookmarkStart w:id="121" w:name="_Toc464824755"/>
      <w:r>
        <w:rPr>
          <w:rFonts w:hint="eastAsia" w:ascii="新宋体" w:hAnsi="新宋体" w:eastAsia="新宋体" w:cs="宋体"/>
          <w:sz w:val="24"/>
          <w:szCs w:val="24"/>
        </w:rPr>
        <w:t>（二）单价与工程量的乘积与总价之间不一致时，以单价为准。若单价有明显的小数点错位，应以总价为准，并修改单价。</w:t>
      </w:r>
      <w:bookmarkEnd w:id="121"/>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2" w:name="_Toc464824756"/>
      <w:bookmarkEnd w:id="122"/>
      <w:bookmarkStart w:id="123" w:name="_Toc3190"/>
      <w:r>
        <w:rPr>
          <w:rFonts w:hint="eastAsia" w:ascii="新宋体" w:hAnsi="新宋体" w:eastAsia="新宋体" w:cs="宋体"/>
          <w:sz w:val="24"/>
          <w:szCs w:val="24"/>
        </w:rPr>
        <w:t>调整后的报价经投标人确认后产生约束力，投标人不接受修正价格的，其投标将被否决。</w:t>
      </w:r>
      <w:bookmarkEnd w:id="123"/>
    </w:p>
    <w:p>
      <w:pPr>
        <w:autoSpaceDE w:val="0"/>
        <w:autoSpaceDN w:val="0"/>
        <w:spacing w:line="460" w:lineRule="exact"/>
        <w:contextualSpacing/>
        <w:jc w:val="left"/>
        <w:outlineLvl w:val="0"/>
        <w:rPr>
          <w:rFonts w:ascii="新宋体" w:hAnsi="新宋体" w:eastAsia="新宋体" w:cs="宋体"/>
          <w:b/>
          <w:bCs/>
          <w:sz w:val="24"/>
          <w:szCs w:val="24"/>
        </w:rPr>
      </w:pPr>
      <w:bookmarkStart w:id="124" w:name="_Toc9528"/>
      <w:bookmarkEnd w:id="124"/>
      <w:bookmarkStart w:id="125" w:name="_Toc464824757"/>
      <w:r>
        <w:rPr>
          <w:rFonts w:hint="eastAsia" w:ascii="新宋体" w:hAnsi="新宋体" w:eastAsia="新宋体" w:cs="宋体"/>
          <w:b/>
          <w:bCs/>
          <w:sz w:val="24"/>
          <w:szCs w:val="24"/>
        </w:rPr>
        <w:t>十二、投标文件的偏差</w:t>
      </w:r>
      <w:bookmarkEnd w:id="125"/>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6" w:name="_Toc464824758"/>
      <w:bookmarkEnd w:id="126"/>
      <w:bookmarkStart w:id="127" w:name="_Toc28835"/>
      <w:r>
        <w:rPr>
          <w:rFonts w:hint="eastAsia" w:ascii="新宋体" w:hAnsi="新宋体" w:eastAsia="新宋体" w:cs="宋体"/>
          <w:sz w:val="24"/>
          <w:szCs w:val="24"/>
        </w:rPr>
        <w:t>评标委员会应当根据招标文件，审查并逐项列出投标文件的全部投标偏差。投标偏差分为重大偏差和细微偏差。</w:t>
      </w:r>
      <w:bookmarkEnd w:id="127"/>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8" w:name="_Toc29503"/>
      <w:bookmarkEnd w:id="128"/>
      <w:bookmarkStart w:id="129" w:name="_Toc464824759"/>
      <w:r>
        <w:rPr>
          <w:rFonts w:hint="eastAsia" w:ascii="新宋体" w:hAnsi="新宋体" w:eastAsia="新宋体" w:cs="宋体"/>
          <w:sz w:val="24"/>
          <w:szCs w:val="24"/>
        </w:rPr>
        <w:t>下列情况属于重大偏差：</w:t>
      </w:r>
      <w:bookmarkEnd w:id="129"/>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0" w:name="_Toc464824760"/>
      <w:bookmarkEnd w:id="130"/>
      <w:bookmarkStart w:id="131" w:name="_Toc2817"/>
      <w:r>
        <w:rPr>
          <w:rFonts w:hint="eastAsia" w:ascii="新宋体" w:hAnsi="新宋体" w:eastAsia="新宋体" w:cs="宋体"/>
          <w:sz w:val="24"/>
          <w:szCs w:val="24"/>
        </w:rPr>
        <w:t>(一)没有按照招标文件要求提供投标</w:t>
      </w:r>
      <w:r>
        <w:rPr>
          <w:rFonts w:hint="eastAsia" w:hAnsi="宋体" w:cs="宋体"/>
          <w:sz w:val="24"/>
          <w:szCs w:val="24"/>
        </w:rPr>
        <w:t>保证金</w:t>
      </w:r>
      <w:r>
        <w:rPr>
          <w:rFonts w:hint="eastAsia" w:ascii="新宋体" w:hAnsi="新宋体" w:eastAsia="新宋体" w:cs="宋体"/>
          <w:sz w:val="24"/>
          <w:szCs w:val="24"/>
        </w:rPr>
        <w:t>或者所提供的投标</w:t>
      </w:r>
      <w:r>
        <w:rPr>
          <w:rFonts w:hint="eastAsia" w:hAnsi="宋体" w:cs="宋体"/>
          <w:sz w:val="24"/>
          <w:szCs w:val="24"/>
        </w:rPr>
        <w:t>保证金</w:t>
      </w:r>
      <w:r>
        <w:rPr>
          <w:rFonts w:hint="eastAsia" w:ascii="新宋体" w:hAnsi="新宋体" w:eastAsia="新宋体" w:cs="宋体"/>
          <w:sz w:val="24"/>
          <w:szCs w:val="24"/>
        </w:rPr>
        <w:t>有瑕疵；</w:t>
      </w:r>
      <w:bookmarkEnd w:id="131"/>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2" w:name="_Toc14952"/>
      <w:bookmarkEnd w:id="132"/>
      <w:bookmarkStart w:id="133" w:name="_Toc464824761"/>
      <w:r>
        <w:rPr>
          <w:rFonts w:hint="eastAsia" w:ascii="新宋体" w:hAnsi="新宋体" w:eastAsia="新宋体" w:cs="宋体"/>
          <w:sz w:val="24"/>
          <w:szCs w:val="24"/>
        </w:rPr>
        <w:t>(二)投标文件没有法定代表人或其委托代理人签字或盖章，并加盖单位公章；</w:t>
      </w:r>
      <w:bookmarkEnd w:id="133"/>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4" w:name="_Toc2013"/>
      <w:bookmarkEnd w:id="134"/>
      <w:bookmarkStart w:id="135" w:name="_Toc464824762"/>
      <w:r>
        <w:rPr>
          <w:rFonts w:hint="eastAsia" w:ascii="新宋体" w:hAnsi="新宋体" w:eastAsia="新宋体" w:cs="宋体"/>
          <w:sz w:val="24"/>
          <w:szCs w:val="24"/>
        </w:rPr>
        <w:t>(三)投标文件载明的招标项目完成期限超过招标文件规定的期限；</w:t>
      </w:r>
      <w:bookmarkEnd w:id="135"/>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6" w:name="_Toc3437"/>
      <w:bookmarkEnd w:id="136"/>
      <w:bookmarkStart w:id="137" w:name="_Toc464824763"/>
      <w:r>
        <w:rPr>
          <w:rFonts w:hint="eastAsia" w:ascii="新宋体" w:hAnsi="新宋体" w:eastAsia="新宋体" w:cs="宋体"/>
          <w:sz w:val="24"/>
          <w:szCs w:val="24"/>
        </w:rPr>
        <w:t>(四)明显不符合技术规格、技术标准的要求；</w:t>
      </w:r>
      <w:bookmarkEnd w:id="137"/>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8" w:name="_Toc28709"/>
      <w:bookmarkEnd w:id="138"/>
      <w:bookmarkStart w:id="139" w:name="_Toc464824764"/>
      <w:r>
        <w:rPr>
          <w:rFonts w:hint="eastAsia" w:ascii="新宋体" w:hAnsi="新宋体" w:eastAsia="新宋体" w:cs="宋体"/>
          <w:sz w:val="24"/>
          <w:szCs w:val="24"/>
        </w:rPr>
        <w:t>(五)投标文件载明的货物包装方式、检验标准和方法等不符合招标文件的要求；</w:t>
      </w:r>
      <w:bookmarkEnd w:id="139"/>
    </w:p>
    <w:p>
      <w:pPr>
        <w:autoSpaceDE w:val="0"/>
        <w:autoSpaceDN w:val="0"/>
        <w:spacing w:line="460" w:lineRule="exact"/>
        <w:contextualSpacing/>
        <w:jc w:val="left"/>
        <w:outlineLvl w:val="0"/>
        <w:rPr>
          <w:rFonts w:ascii="新宋体" w:hAnsi="新宋体" w:eastAsia="新宋体" w:cs="宋体"/>
          <w:sz w:val="24"/>
          <w:szCs w:val="24"/>
        </w:rPr>
      </w:pPr>
      <w:bookmarkStart w:id="140" w:name="_Toc464824765"/>
      <w:bookmarkEnd w:id="140"/>
      <w:bookmarkStart w:id="141" w:name="_Toc30262"/>
      <w:r>
        <w:rPr>
          <w:rFonts w:hint="eastAsia" w:ascii="新宋体" w:hAnsi="新宋体" w:eastAsia="新宋体" w:cs="宋体"/>
          <w:sz w:val="24"/>
          <w:szCs w:val="24"/>
        </w:rPr>
        <w:t>(六)投标文件附有招标人不能接受的条件；</w:t>
      </w:r>
      <w:bookmarkEnd w:id="141"/>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2" w:name="_Toc7"/>
      <w:bookmarkEnd w:id="142"/>
      <w:bookmarkStart w:id="143" w:name="_Toc464824766"/>
      <w:r>
        <w:rPr>
          <w:rFonts w:hint="eastAsia" w:ascii="新宋体" w:hAnsi="新宋体" w:eastAsia="新宋体" w:cs="宋体"/>
          <w:sz w:val="24"/>
          <w:szCs w:val="24"/>
        </w:rPr>
        <w:t>(七)不符合招标文件中规定的其他实质性要求。</w:t>
      </w:r>
      <w:bookmarkEnd w:id="143"/>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4" w:name="_Toc464824767"/>
      <w:bookmarkEnd w:id="144"/>
      <w:bookmarkStart w:id="145" w:name="_Toc23164"/>
      <w:r>
        <w:rPr>
          <w:rFonts w:hint="eastAsia" w:ascii="新宋体" w:hAnsi="新宋体" w:eastAsia="新宋体" w:cs="宋体"/>
          <w:sz w:val="24"/>
          <w:szCs w:val="24"/>
        </w:rPr>
        <w:t>投标文件有上述情形之一的，为未能对招标文件作出实质性响应，并作否决投标处理。招标文件初审列明的内容均为重大偏差。</w:t>
      </w:r>
      <w:bookmarkEnd w:id="145"/>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6" w:name="_Toc464824768"/>
      <w:bookmarkEnd w:id="146"/>
      <w:bookmarkStart w:id="147" w:name="_Toc16273"/>
      <w:r>
        <w:rPr>
          <w:rFonts w:hint="eastAsia" w:ascii="新宋体" w:hAnsi="新宋体" w:eastAsia="新宋体" w:cs="宋体"/>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147"/>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8" w:name="_Toc464824769"/>
      <w:bookmarkEnd w:id="148"/>
      <w:bookmarkStart w:id="149" w:name="_Toc24165"/>
      <w:r>
        <w:rPr>
          <w:rFonts w:hint="eastAsia" w:ascii="新宋体" w:hAnsi="新宋体" w:eastAsia="新宋体" w:cs="宋体"/>
          <w:sz w:val="24"/>
          <w:szCs w:val="24"/>
        </w:rPr>
        <w:t>评标委员会应当书面要求存在细微偏差的投标人在评标结束前予以补正。拒不补正的，在详细评审时可以对细微偏差作不利于该投标人的量化。</w:t>
      </w:r>
      <w:bookmarkEnd w:id="149"/>
    </w:p>
    <w:p>
      <w:pPr>
        <w:spacing w:line="460" w:lineRule="exact"/>
        <w:contextualSpacing/>
        <w:rPr>
          <w:rFonts w:hAnsi="宋体"/>
          <w:b/>
          <w:bCs/>
          <w:color w:val="000000"/>
          <w:sz w:val="24"/>
          <w:szCs w:val="24"/>
        </w:rPr>
      </w:pPr>
      <w:r>
        <w:rPr>
          <w:rFonts w:hint="eastAsia" w:hAnsi="宋体"/>
          <w:b/>
          <w:bCs/>
          <w:color w:val="000000"/>
          <w:sz w:val="24"/>
          <w:szCs w:val="24"/>
        </w:rPr>
        <w:t>十三、评标报告</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60" w:lineRule="exact"/>
        <w:ind w:firstLine="480" w:firstLineChars="200"/>
        <w:contextualSpacing/>
        <w:rPr>
          <w:rFonts w:ascii="新宋体" w:hAnsi="新宋体" w:eastAsia="新宋体"/>
          <w:color w:val="000000"/>
          <w:sz w:val="24"/>
          <w:szCs w:val="24"/>
        </w:rPr>
      </w:pPr>
      <w:r>
        <w:rPr>
          <w:rFonts w:hint="eastAsia" w:ascii="新宋体" w:hAnsi="新宋体" w:eastAsia="新宋体"/>
          <w:color w:val="000000"/>
          <w:sz w:val="24"/>
          <w:szCs w:val="24"/>
        </w:rPr>
        <w:t>评标委员会根据投标人须知前附表7.1条的规定向招标人提交评标报告。评标报告应当由全体评标委员会成员签字，并于评标结束时抄送有关行政监督部门。</w:t>
      </w:r>
    </w:p>
    <w:p>
      <w:pPr>
        <w:spacing w:line="460" w:lineRule="exact"/>
        <w:ind w:firstLine="480" w:firstLineChars="200"/>
        <w:contextualSpacing/>
        <w:rPr>
          <w:sz w:val="24"/>
          <w:szCs w:val="24"/>
        </w:rPr>
      </w:pPr>
      <w:bookmarkStart w:id="150" w:name="_Toc273546400"/>
      <w:bookmarkEnd w:id="150"/>
      <w:bookmarkStart w:id="151" w:name="_Toc295572537"/>
      <w:bookmarkEnd w:id="151"/>
      <w:bookmarkStart w:id="152" w:name="_Toc270931536"/>
      <w:bookmarkEnd w:id="152"/>
      <w:bookmarkStart w:id="153" w:name="_Toc272833455"/>
      <w:r>
        <w:rPr>
          <w:rFonts w:hint="eastAsia" w:hAnsi="宋体"/>
          <w:sz w:val="24"/>
          <w:szCs w:val="24"/>
        </w:rPr>
        <w:t>招标人应当自确定中标人之日起</w:t>
      </w:r>
      <w:r>
        <w:rPr>
          <w:rFonts w:hint="eastAsia"/>
          <w:sz w:val="24"/>
          <w:szCs w:val="24"/>
        </w:rPr>
        <w:t>15</w:t>
      </w:r>
      <w:r>
        <w:rPr>
          <w:rFonts w:hint="eastAsia" w:hAnsi="宋体"/>
          <w:sz w:val="24"/>
          <w:szCs w:val="24"/>
        </w:rPr>
        <w:t>日内，向有关行政监督部门提交招标投标情况的书面报告。书面报告应当包括以下内容：</w:t>
      </w:r>
      <w:bookmarkEnd w:id="153"/>
    </w:p>
    <w:p>
      <w:pPr>
        <w:spacing w:line="460" w:lineRule="exact"/>
        <w:contextualSpacing/>
        <w:rPr>
          <w:rFonts w:hAnsi="宋体"/>
          <w:sz w:val="24"/>
          <w:szCs w:val="24"/>
        </w:rPr>
      </w:pPr>
      <w:r>
        <w:rPr>
          <w:rFonts w:hint="eastAsia" w:hAnsi="宋体"/>
          <w:sz w:val="24"/>
          <w:szCs w:val="24"/>
        </w:rPr>
        <w:t>（1）基本情况和数据表；</w:t>
      </w:r>
    </w:p>
    <w:p>
      <w:pPr>
        <w:spacing w:line="460" w:lineRule="exact"/>
        <w:contextualSpacing/>
        <w:rPr>
          <w:rFonts w:hAnsi="宋体"/>
          <w:sz w:val="24"/>
          <w:szCs w:val="24"/>
        </w:rPr>
      </w:pPr>
      <w:r>
        <w:rPr>
          <w:rFonts w:hint="eastAsia" w:hAnsi="宋体"/>
          <w:sz w:val="24"/>
          <w:szCs w:val="24"/>
        </w:rPr>
        <w:t>（2）评标委员会成员名单，负责人姓名；</w:t>
      </w:r>
    </w:p>
    <w:p>
      <w:pPr>
        <w:spacing w:line="460" w:lineRule="exact"/>
        <w:contextualSpacing/>
        <w:rPr>
          <w:rFonts w:hAnsi="宋体"/>
          <w:sz w:val="24"/>
          <w:szCs w:val="24"/>
        </w:rPr>
      </w:pPr>
      <w:r>
        <w:rPr>
          <w:rFonts w:hint="eastAsia" w:hAnsi="宋体"/>
          <w:sz w:val="24"/>
          <w:szCs w:val="24"/>
        </w:rPr>
        <w:t>（3）开标记录；</w:t>
      </w:r>
    </w:p>
    <w:p>
      <w:pPr>
        <w:spacing w:line="460" w:lineRule="exact"/>
        <w:contextualSpacing/>
        <w:rPr>
          <w:rFonts w:hAnsi="宋体"/>
          <w:sz w:val="24"/>
          <w:szCs w:val="24"/>
        </w:rPr>
      </w:pPr>
      <w:r>
        <w:rPr>
          <w:rFonts w:hint="eastAsia" w:hAnsi="宋体"/>
          <w:sz w:val="24"/>
          <w:szCs w:val="24"/>
        </w:rPr>
        <w:t>（4）符合要求的投标一览表；</w:t>
      </w:r>
    </w:p>
    <w:p>
      <w:pPr>
        <w:spacing w:line="460" w:lineRule="exact"/>
        <w:contextualSpacing/>
        <w:rPr>
          <w:rFonts w:hAnsi="宋体"/>
          <w:sz w:val="24"/>
          <w:szCs w:val="24"/>
        </w:rPr>
      </w:pPr>
      <w:r>
        <w:rPr>
          <w:rFonts w:hint="eastAsia" w:hAnsi="宋体"/>
          <w:sz w:val="24"/>
          <w:szCs w:val="24"/>
        </w:rPr>
        <w:t>（5）否决投标情况说明；</w:t>
      </w:r>
    </w:p>
    <w:p>
      <w:pPr>
        <w:spacing w:line="460" w:lineRule="exact"/>
        <w:contextualSpacing/>
        <w:rPr>
          <w:rFonts w:hAnsi="宋体"/>
          <w:sz w:val="24"/>
          <w:szCs w:val="24"/>
        </w:rPr>
      </w:pPr>
      <w:r>
        <w:rPr>
          <w:rFonts w:hint="eastAsia" w:hAnsi="宋体"/>
          <w:sz w:val="24"/>
          <w:szCs w:val="24"/>
        </w:rPr>
        <w:t>（6）评标标准、评标办法或者评标因素一览表；</w:t>
      </w:r>
    </w:p>
    <w:p>
      <w:pPr>
        <w:spacing w:line="460" w:lineRule="exact"/>
        <w:contextualSpacing/>
        <w:rPr>
          <w:rFonts w:hAnsi="宋体"/>
          <w:sz w:val="24"/>
          <w:szCs w:val="24"/>
        </w:rPr>
      </w:pPr>
      <w:r>
        <w:rPr>
          <w:rFonts w:hint="eastAsia" w:hAnsi="宋体"/>
          <w:sz w:val="24"/>
          <w:szCs w:val="24"/>
        </w:rPr>
        <w:t>（7）经评审的评标表格（包括评标委员会在评标过程中所形成的所有记载评标结果、结论的表格、说明、记录等文件）</w:t>
      </w:r>
    </w:p>
    <w:p>
      <w:pPr>
        <w:spacing w:line="460" w:lineRule="exact"/>
        <w:contextualSpacing/>
        <w:rPr>
          <w:rFonts w:hAnsi="宋体"/>
          <w:sz w:val="24"/>
          <w:szCs w:val="24"/>
        </w:rPr>
      </w:pPr>
      <w:r>
        <w:rPr>
          <w:rFonts w:hint="eastAsia" w:hAnsi="宋体"/>
          <w:sz w:val="24"/>
          <w:szCs w:val="24"/>
        </w:rPr>
        <w:t>（8）经评审的投标人排序；</w:t>
      </w:r>
    </w:p>
    <w:p>
      <w:pPr>
        <w:spacing w:line="460" w:lineRule="exact"/>
        <w:contextualSpacing/>
        <w:rPr>
          <w:rFonts w:hAnsi="宋体"/>
          <w:sz w:val="24"/>
          <w:szCs w:val="24"/>
        </w:rPr>
      </w:pPr>
      <w:r>
        <w:rPr>
          <w:rFonts w:hint="eastAsia" w:hAnsi="宋体"/>
          <w:sz w:val="24"/>
          <w:szCs w:val="24"/>
        </w:rPr>
        <w:t>（9）推荐的中标候选人名单与签订合同前要处理的事宜；</w:t>
      </w:r>
    </w:p>
    <w:p>
      <w:pPr>
        <w:spacing w:line="460" w:lineRule="exact"/>
        <w:contextualSpacing/>
        <w:rPr>
          <w:rFonts w:hAnsi="宋体"/>
          <w:sz w:val="24"/>
          <w:szCs w:val="24"/>
        </w:rPr>
      </w:pPr>
      <w:r>
        <w:rPr>
          <w:rFonts w:hint="eastAsia" w:hAnsi="宋体"/>
          <w:sz w:val="24"/>
          <w:szCs w:val="24"/>
        </w:rPr>
        <w:t>（10）澄清、说明、补正事项纪要。</w:t>
      </w:r>
    </w:p>
    <w:p>
      <w:pPr>
        <w:autoSpaceDE w:val="0"/>
        <w:autoSpaceDN w:val="0"/>
        <w:spacing w:line="460" w:lineRule="exact"/>
        <w:contextualSpacing/>
        <w:jc w:val="left"/>
        <w:outlineLvl w:val="0"/>
        <w:rPr>
          <w:rFonts w:ascii="新宋体" w:hAnsi="新宋体" w:eastAsia="新宋体" w:cs="宋体"/>
          <w:b/>
          <w:bCs/>
          <w:sz w:val="24"/>
          <w:szCs w:val="24"/>
        </w:rPr>
      </w:pPr>
      <w:bookmarkStart w:id="154" w:name="_Toc464824770"/>
      <w:bookmarkEnd w:id="154"/>
      <w:bookmarkStart w:id="155" w:name="_Toc21854"/>
      <w:r>
        <w:rPr>
          <w:rFonts w:hint="eastAsia" w:ascii="新宋体" w:hAnsi="新宋体" w:eastAsia="新宋体" w:cs="宋体"/>
          <w:b/>
          <w:bCs/>
          <w:sz w:val="24"/>
          <w:szCs w:val="24"/>
        </w:rPr>
        <w:t>十四、中标人的确立</w:t>
      </w:r>
      <w:bookmarkEnd w:id="155"/>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56" w:name="_Toc32004"/>
      <w:bookmarkEnd w:id="156"/>
      <w:bookmarkStart w:id="157" w:name="_Toc464824771"/>
      <w:r>
        <w:rPr>
          <w:rFonts w:hint="eastAsia" w:ascii="新宋体" w:hAnsi="新宋体" w:eastAsia="新宋体" w:cs="宋体"/>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157"/>
    </w:p>
    <w:p>
      <w:pPr>
        <w:spacing w:line="460" w:lineRule="exact"/>
        <w:contextualSpacing/>
        <w:rPr>
          <w:rFonts w:ascii="新宋体" w:hAnsi="新宋体" w:eastAsia="新宋体"/>
          <w:color w:val="000000"/>
          <w:spacing w:val="-3"/>
          <w:sz w:val="24"/>
          <w:szCs w:val="24"/>
        </w:rPr>
      </w:pPr>
      <w:r>
        <w:rPr>
          <w:rFonts w:hint="eastAsia" w:hAnsi="宋体"/>
          <w:b/>
          <w:bCs/>
          <w:sz w:val="24"/>
          <w:szCs w:val="24"/>
        </w:rPr>
        <w:t>十五、公示</w:t>
      </w:r>
    </w:p>
    <w:p>
      <w:pPr>
        <w:spacing w:line="460" w:lineRule="exact"/>
        <w:ind w:firstLine="352" w:firstLineChars="147"/>
        <w:contextualSpacing/>
        <w:outlineLvl w:val="0"/>
        <w:rPr>
          <w:rFonts w:ascii="新宋体" w:hAnsi="新宋体" w:eastAsia="新宋体"/>
          <w:color w:val="000000"/>
          <w:sz w:val="24"/>
          <w:szCs w:val="24"/>
        </w:rPr>
      </w:pPr>
      <w:bookmarkStart w:id="158" w:name="_Toc464824774"/>
      <w:bookmarkEnd w:id="158"/>
      <w:bookmarkStart w:id="159" w:name="_Toc397508137"/>
      <w:bookmarkEnd w:id="159"/>
      <w:bookmarkStart w:id="160" w:name="_Toc414"/>
      <w:bookmarkEnd w:id="160"/>
      <w:bookmarkStart w:id="161" w:name="_Toc397507724"/>
      <w:bookmarkEnd w:id="161"/>
      <w:bookmarkStart w:id="162" w:name="_Toc397606006"/>
      <w:bookmarkEnd w:id="162"/>
      <w:bookmarkStart w:id="163" w:name="_Toc2959"/>
      <w:bookmarkEnd w:id="163"/>
      <w:bookmarkStart w:id="164" w:name="_Toc464824772"/>
      <w:r>
        <w:rPr>
          <w:rFonts w:hint="eastAsia" w:ascii="新宋体" w:hAnsi="新宋体" w:eastAsia="新宋体"/>
          <w:color w:val="000000"/>
          <w:sz w:val="24"/>
          <w:szCs w:val="24"/>
        </w:rPr>
        <w:t>中标人确定后，应当在招标公告发布的同一媒介上进行公示，</w:t>
      </w:r>
      <w:bookmarkEnd w:id="164"/>
      <w:r>
        <w:rPr>
          <w:rFonts w:hint="eastAsia" w:ascii="新宋体" w:hAnsi="新宋体" w:eastAsia="新宋体"/>
          <w:color w:val="000000"/>
          <w:sz w:val="24"/>
          <w:szCs w:val="24"/>
        </w:rPr>
        <w:t>公示期不得少于3日。公示期满后，招标人应当将招标投标情况书面报告提交行政主管部门备案，向中标人发出中标通知书，并向所有合格投标人告知中标结果。</w:t>
      </w:r>
    </w:p>
    <w:p>
      <w:pPr>
        <w:spacing w:line="460" w:lineRule="exact"/>
        <w:ind w:firstLine="352" w:firstLineChars="147"/>
        <w:contextualSpacing/>
        <w:outlineLvl w:val="0"/>
        <w:rPr>
          <w:rFonts w:ascii="新宋体" w:hAnsi="新宋体" w:eastAsia="新宋体"/>
          <w:color w:val="000000"/>
          <w:sz w:val="24"/>
          <w:szCs w:val="24"/>
        </w:rPr>
      </w:pPr>
      <w:bookmarkStart w:id="165" w:name="_Toc464824773"/>
      <w:bookmarkEnd w:id="165"/>
      <w:bookmarkStart w:id="166" w:name="_Toc3561"/>
      <w:r>
        <w:rPr>
          <w:rFonts w:hint="eastAsia" w:ascii="新宋体" w:hAnsi="新宋体" w:eastAsia="新宋体"/>
          <w:color w:val="000000"/>
          <w:sz w:val="24"/>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166"/>
      <w:r>
        <w:rPr>
          <w:rFonts w:hint="eastAsia" w:ascii="新宋体" w:hAnsi="新宋体" w:eastAsia="新宋体"/>
          <w:color w:val="000000"/>
          <w:sz w:val="24"/>
          <w:szCs w:val="24"/>
        </w:rPr>
        <w:t>填报的单位项目业绩名称。</w:t>
      </w:r>
    </w:p>
    <w:p>
      <w:pPr>
        <w:spacing w:line="460" w:lineRule="exact"/>
        <w:contextualSpacing/>
        <w:outlineLvl w:val="0"/>
        <w:rPr>
          <w:rFonts w:ascii="新宋体" w:hAnsi="新宋体" w:eastAsia="新宋体"/>
          <w:b/>
          <w:bCs/>
          <w:sz w:val="24"/>
          <w:szCs w:val="24"/>
        </w:rPr>
      </w:pPr>
      <w:r>
        <w:rPr>
          <w:rFonts w:hint="eastAsia" w:ascii="新宋体" w:hAnsi="新宋体" w:eastAsia="新宋体"/>
          <w:b/>
          <w:bCs/>
          <w:sz w:val="24"/>
          <w:szCs w:val="24"/>
        </w:rPr>
        <w:t>十六、 特殊情况的处置程序</w:t>
      </w:r>
    </w:p>
    <w:p>
      <w:pPr>
        <w:spacing w:line="460" w:lineRule="exact"/>
        <w:ind w:firstLine="352" w:firstLineChars="147"/>
        <w:contextualSpacing/>
        <w:outlineLvl w:val="0"/>
        <w:rPr>
          <w:rFonts w:ascii="新宋体" w:hAnsi="新宋体" w:eastAsia="新宋体"/>
          <w:b/>
          <w:bCs/>
          <w:sz w:val="24"/>
          <w:szCs w:val="24"/>
        </w:rPr>
      </w:pPr>
      <w:bookmarkStart w:id="167" w:name="_Toc397508138"/>
      <w:bookmarkEnd w:id="167"/>
      <w:bookmarkStart w:id="168" w:name="_Toc397606007"/>
      <w:bookmarkEnd w:id="168"/>
      <w:bookmarkStart w:id="169" w:name="_Toc464824775"/>
      <w:bookmarkEnd w:id="169"/>
      <w:bookmarkStart w:id="170" w:name="_Toc26658"/>
      <w:bookmarkEnd w:id="170"/>
      <w:bookmarkStart w:id="171" w:name="_Toc397507725"/>
      <w:r>
        <w:rPr>
          <w:rFonts w:hint="eastAsia" w:ascii="新宋体" w:hAnsi="新宋体" w:eastAsia="新宋体"/>
          <w:b/>
          <w:bCs/>
          <w:sz w:val="24"/>
          <w:szCs w:val="24"/>
        </w:rPr>
        <w:t>1</w:t>
      </w:r>
      <w:r>
        <w:rPr>
          <w:rFonts w:ascii="新宋体" w:hAnsi="新宋体" w:eastAsia="新宋体"/>
          <w:b/>
          <w:bCs/>
          <w:sz w:val="24"/>
          <w:szCs w:val="24"/>
        </w:rPr>
        <w:t>6</w:t>
      </w:r>
      <w:r>
        <w:rPr>
          <w:rFonts w:hint="eastAsia" w:ascii="新宋体" w:hAnsi="新宋体" w:eastAsia="新宋体"/>
          <w:b/>
          <w:bCs/>
          <w:sz w:val="24"/>
          <w:szCs w:val="24"/>
        </w:rPr>
        <w:t>.1关于评标活动暂停</w:t>
      </w:r>
      <w:bookmarkEnd w:id="171"/>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6.</w:t>
      </w:r>
      <w:r>
        <w:rPr>
          <w:rFonts w:hint="eastAsia" w:ascii="新宋体" w:hAnsi="新宋体" w:eastAsia="新宋体"/>
          <w:sz w:val="24"/>
          <w:szCs w:val="24"/>
        </w:rPr>
        <w:t>1.1评标委员会应当执行连续评标的原则，按评标办法中规定的程序、内容、方法、标准完成全部评标工作。只有发生不可抗力导致评标工作无法继续时，评标活动方可暂停。</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6</w:t>
      </w:r>
      <w:r>
        <w:rPr>
          <w:rFonts w:hint="eastAsia" w:ascii="新宋体" w:hAnsi="新宋体" w:eastAsia="新宋体"/>
          <w:sz w:val="24"/>
          <w:szCs w:val="24"/>
        </w:rPr>
        <w:t>.1.2发生评标暂停情况时，评标委员会应当封存全部投标文件和评标记录，待不可抗力的影响结束且具备继续评标的条件时，由原评标委员会继续评标。</w:t>
      </w:r>
    </w:p>
    <w:p>
      <w:pPr>
        <w:spacing w:line="460" w:lineRule="exact"/>
        <w:ind w:firstLine="352" w:firstLineChars="147"/>
        <w:contextualSpacing/>
        <w:outlineLvl w:val="0"/>
        <w:rPr>
          <w:rFonts w:ascii="新宋体" w:hAnsi="新宋体" w:eastAsia="新宋体"/>
          <w:b/>
          <w:bCs/>
          <w:sz w:val="24"/>
          <w:szCs w:val="24"/>
        </w:rPr>
      </w:pPr>
      <w:bookmarkStart w:id="172" w:name="_Toc464824776"/>
      <w:bookmarkEnd w:id="172"/>
      <w:bookmarkStart w:id="173" w:name="_Toc6616"/>
      <w:bookmarkEnd w:id="173"/>
      <w:bookmarkStart w:id="174" w:name="_Toc397508139"/>
      <w:bookmarkEnd w:id="174"/>
      <w:bookmarkStart w:id="175" w:name="_Toc397606008"/>
      <w:bookmarkEnd w:id="175"/>
      <w:bookmarkStart w:id="176" w:name="_Toc397507726"/>
      <w:r>
        <w:rPr>
          <w:rFonts w:hint="eastAsia" w:ascii="新宋体" w:hAnsi="新宋体" w:eastAsia="新宋体"/>
          <w:b/>
          <w:bCs/>
          <w:sz w:val="24"/>
          <w:szCs w:val="24"/>
        </w:rPr>
        <w:t>1</w:t>
      </w:r>
      <w:r>
        <w:rPr>
          <w:rFonts w:ascii="新宋体" w:hAnsi="新宋体" w:eastAsia="新宋体"/>
          <w:b/>
          <w:bCs/>
          <w:sz w:val="24"/>
          <w:szCs w:val="24"/>
        </w:rPr>
        <w:t>6</w:t>
      </w:r>
      <w:r>
        <w:rPr>
          <w:rFonts w:hint="eastAsia" w:ascii="新宋体" w:hAnsi="新宋体" w:eastAsia="新宋体"/>
          <w:b/>
          <w:bCs/>
          <w:sz w:val="24"/>
          <w:szCs w:val="24"/>
        </w:rPr>
        <w:t>.2关于评标中途更换评标委员会成员</w:t>
      </w:r>
      <w:bookmarkEnd w:id="176"/>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6</w:t>
      </w:r>
      <w:r>
        <w:rPr>
          <w:rFonts w:hint="eastAsia" w:ascii="新宋体" w:hAnsi="新宋体" w:eastAsia="新宋体"/>
          <w:sz w:val="24"/>
          <w:szCs w:val="24"/>
        </w:rPr>
        <w:t>.2.1  除非发生下列情况之一，评标委员会成员不得在评标中途更换：</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（1）因不可抗拒的客观原因，不能到场或需在评标中途退出评标活动。</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（2）根据法律法规规定，某个或某几个评标委员会成员需要回避。</w:t>
      </w:r>
    </w:p>
    <w:p>
      <w:pPr>
        <w:spacing w:line="460" w:lineRule="exact"/>
        <w:ind w:firstLine="480" w:firstLineChars="200"/>
        <w:contextualSpacing/>
        <w:rPr>
          <w:rFonts w:ascii="新宋体" w:hAnsi="新宋体" w:eastAsia="新宋体"/>
          <w:sz w:val="24"/>
          <w:szCs w:val="24"/>
        </w:rPr>
      </w:pPr>
      <w:r>
        <w:rPr>
          <w:rFonts w:ascii="新宋体" w:hAnsi="新宋体" w:eastAsia="新宋体"/>
          <w:sz w:val="24"/>
          <w:szCs w:val="24"/>
        </w:rPr>
        <w:t>16</w:t>
      </w:r>
      <w:r>
        <w:rPr>
          <w:rFonts w:hint="eastAsia" w:ascii="新宋体" w:hAnsi="新宋体" w:eastAsia="新宋体"/>
          <w:sz w:val="24"/>
          <w:szCs w:val="24"/>
        </w:rPr>
        <w:t>.2.2  退出评标的评标委员会成员，其已完成的评标行为无效。由招标人根据本招标文件规定的评标委员会成员产生方式另行确定替代者进行评标。</w:t>
      </w:r>
    </w:p>
    <w:p>
      <w:pPr>
        <w:spacing w:line="460" w:lineRule="exact"/>
        <w:ind w:firstLine="352" w:firstLineChars="147"/>
        <w:contextualSpacing/>
        <w:outlineLvl w:val="0"/>
        <w:rPr>
          <w:rFonts w:ascii="新宋体" w:hAnsi="新宋体" w:eastAsia="新宋体"/>
          <w:b/>
          <w:bCs/>
          <w:sz w:val="24"/>
          <w:szCs w:val="24"/>
        </w:rPr>
      </w:pPr>
      <w:bookmarkStart w:id="177" w:name="_Toc5729"/>
      <w:bookmarkEnd w:id="177"/>
      <w:bookmarkStart w:id="178" w:name="_Toc397507727"/>
      <w:bookmarkEnd w:id="178"/>
      <w:bookmarkStart w:id="179" w:name="_Toc464824777"/>
      <w:bookmarkEnd w:id="179"/>
      <w:bookmarkStart w:id="180" w:name="_Toc397508140"/>
      <w:bookmarkEnd w:id="180"/>
      <w:bookmarkStart w:id="181" w:name="_Toc397606009"/>
      <w:r>
        <w:rPr>
          <w:rFonts w:hint="eastAsia" w:ascii="新宋体" w:hAnsi="新宋体" w:eastAsia="新宋体"/>
          <w:b/>
          <w:bCs/>
          <w:sz w:val="24"/>
          <w:szCs w:val="24"/>
        </w:rPr>
        <w:t>1</w:t>
      </w:r>
      <w:r>
        <w:rPr>
          <w:rFonts w:ascii="新宋体" w:hAnsi="新宋体" w:eastAsia="新宋体"/>
          <w:b/>
          <w:bCs/>
          <w:sz w:val="24"/>
          <w:szCs w:val="24"/>
        </w:rPr>
        <w:t>6</w:t>
      </w:r>
      <w:r>
        <w:rPr>
          <w:rFonts w:hint="eastAsia" w:ascii="新宋体" w:hAnsi="新宋体" w:eastAsia="新宋体"/>
          <w:b/>
          <w:bCs/>
          <w:sz w:val="24"/>
          <w:szCs w:val="24"/>
        </w:rPr>
        <w:t>.3记名投票</w:t>
      </w:r>
      <w:bookmarkEnd w:id="181"/>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在任何评标环节中，需评标委员会就某项定性的评审结论做出表决的，由评标委员会全体成员按照少数服从多数的原则，以记名投票方式表决。</w:t>
      </w:r>
    </w:p>
    <w:p>
      <w:pPr>
        <w:spacing w:line="460" w:lineRule="exact"/>
        <w:ind w:firstLine="480" w:firstLineChars="200"/>
        <w:contextualSpacing/>
        <w:rPr>
          <w:rFonts w:ascii="新宋体" w:hAnsi="新宋体" w:eastAsia="新宋体"/>
          <w:b/>
          <w:bCs/>
          <w:sz w:val="24"/>
          <w:szCs w:val="24"/>
        </w:rPr>
      </w:pPr>
      <w:r>
        <w:rPr>
          <w:rFonts w:hint="eastAsia" w:ascii="新宋体" w:hAnsi="新宋体" w:eastAsia="新宋体"/>
          <w:b/>
          <w:bCs/>
          <w:sz w:val="24"/>
          <w:szCs w:val="24"/>
        </w:rPr>
        <w:t>1</w:t>
      </w:r>
      <w:r>
        <w:rPr>
          <w:rFonts w:ascii="新宋体" w:hAnsi="新宋体" w:eastAsia="新宋体"/>
          <w:b/>
          <w:bCs/>
          <w:sz w:val="24"/>
          <w:szCs w:val="24"/>
        </w:rPr>
        <w:t>6</w:t>
      </w:r>
      <w:r>
        <w:rPr>
          <w:rFonts w:hint="eastAsia" w:ascii="新宋体" w:hAnsi="新宋体" w:eastAsia="新宋体"/>
          <w:b/>
          <w:bCs/>
          <w:sz w:val="24"/>
          <w:szCs w:val="24"/>
        </w:rPr>
        <w:t>.4评标委员会成员对评标结论持有异议的</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40" w:lineRule="exact"/>
        <w:jc w:val="left"/>
        <w:rPr>
          <w:rFonts w:hAnsi="宋体" w:cs="黑体"/>
          <w:b/>
          <w:sz w:val="36"/>
          <w:szCs w:val="36"/>
        </w:rPr>
      </w:pPr>
      <w:bookmarkStart w:id="182" w:name="_Toc283559990"/>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int="eastAsia" w:hAnsi="宋体" w:cs="黑体"/>
          <w:b/>
          <w:sz w:val="32"/>
          <w:szCs w:val="32"/>
        </w:rPr>
      </w:pPr>
    </w:p>
    <w:p>
      <w:pPr>
        <w:adjustRightInd w:val="0"/>
        <w:snapToGrid w:val="0"/>
        <w:spacing w:line="440" w:lineRule="exact"/>
        <w:jc w:val="left"/>
        <w:rPr>
          <w:rFonts w:hint="eastAsia" w:hAnsi="宋体" w:cs="黑体"/>
          <w:b/>
          <w:sz w:val="32"/>
          <w:szCs w:val="32"/>
        </w:rPr>
      </w:pPr>
    </w:p>
    <w:p>
      <w:pPr>
        <w:adjustRightInd w:val="0"/>
        <w:snapToGrid w:val="0"/>
        <w:spacing w:line="440" w:lineRule="exact"/>
        <w:jc w:val="left"/>
        <w:rPr>
          <w:rFonts w:hint="eastAsia" w:hAnsi="宋体" w:cs="黑体"/>
          <w:b/>
          <w:sz w:val="32"/>
          <w:szCs w:val="32"/>
        </w:rPr>
      </w:pPr>
    </w:p>
    <w:p>
      <w:pPr>
        <w:adjustRightInd w:val="0"/>
        <w:snapToGrid w:val="0"/>
        <w:spacing w:line="440" w:lineRule="exact"/>
        <w:jc w:val="left"/>
        <w:rPr>
          <w:rFonts w:hint="eastAsia" w:hAnsi="宋体" w:cs="黑体"/>
          <w:b/>
          <w:sz w:val="32"/>
          <w:szCs w:val="32"/>
        </w:rPr>
      </w:pPr>
    </w:p>
    <w:p>
      <w:pPr>
        <w:adjustRightInd w:val="0"/>
        <w:snapToGrid w:val="0"/>
        <w:spacing w:line="440" w:lineRule="exact"/>
        <w:jc w:val="left"/>
        <w:rPr>
          <w:rFonts w:hint="eastAsia" w:hAnsi="宋体" w:cs="黑体"/>
          <w:b/>
          <w:sz w:val="32"/>
          <w:szCs w:val="32"/>
        </w:rPr>
      </w:pPr>
    </w:p>
    <w:p>
      <w:pPr>
        <w:adjustRightInd w:val="0"/>
        <w:snapToGrid w:val="0"/>
        <w:spacing w:line="440" w:lineRule="exact"/>
        <w:jc w:val="left"/>
        <w:rPr>
          <w:rFonts w:hint="eastAsia" w:hAnsi="宋体" w:cs="黑体"/>
          <w:b/>
          <w:sz w:val="32"/>
          <w:szCs w:val="32"/>
        </w:rPr>
      </w:pPr>
    </w:p>
    <w:p>
      <w:pPr>
        <w:adjustRightInd w:val="0"/>
        <w:snapToGrid w:val="0"/>
        <w:spacing w:line="440" w:lineRule="exact"/>
        <w:jc w:val="left"/>
        <w:rPr>
          <w:rFonts w:hint="eastAsia" w:hAnsi="宋体" w:cs="黑体"/>
          <w:b/>
          <w:sz w:val="32"/>
          <w:szCs w:val="32"/>
        </w:rPr>
      </w:pPr>
    </w:p>
    <w:p>
      <w:pPr>
        <w:adjustRightInd w:val="0"/>
        <w:snapToGrid w:val="0"/>
        <w:spacing w:line="440" w:lineRule="exact"/>
        <w:jc w:val="left"/>
        <w:rPr>
          <w:rFonts w:hAnsi="宋体" w:cs="黑体"/>
          <w:b/>
          <w:sz w:val="32"/>
          <w:szCs w:val="32"/>
        </w:rPr>
      </w:pPr>
      <w:r>
        <w:rPr>
          <w:rFonts w:hint="eastAsia" w:hAnsi="宋体" w:cs="黑体"/>
          <w:b/>
          <w:sz w:val="32"/>
          <w:szCs w:val="32"/>
        </w:rPr>
        <w:t>附件一</w:t>
      </w:r>
    </w:p>
    <w:p>
      <w:pPr>
        <w:pStyle w:val="20"/>
        <w:keepNext/>
        <w:keepLines/>
        <w:shd w:val="clear" w:color="auto" w:fill="auto"/>
        <w:spacing w:before="0"/>
        <w:ind w:left="260"/>
      </w:pPr>
      <w:bookmarkStart w:id="183" w:name="bookmark2"/>
      <w:r>
        <w:t>投标企业良好信用信息采集项</w:t>
      </w:r>
      <w:bookmarkEnd w:id="183"/>
    </w:p>
    <w:p>
      <w:pPr>
        <w:adjustRightInd w:val="0"/>
        <w:snapToGrid w:val="0"/>
        <w:spacing w:line="440" w:lineRule="exact"/>
        <w:ind w:firstLine="680" w:firstLineChars="200"/>
      </w:pPr>
    </w:p>
    <w:tbl>
      <w:tblPr>
        <w:tblStyle w:val="12"/>
        <w:tblW w:w="9136" w:type="dxa"/>
        <w:jc w:val="center"/>
        <w:tblLayout w:type="fixed"/>
        <w:tblCellMar>
          <w:top w:w="0" w:type="dxa"/>
          <w:left w:w="10" w:type="dxa"/>
          <w:bottom w:w="0" w:type="dxa"/>
          <w:right w:w="10" w:type="dxa"/>
        </w:tblCellMar>
      </w:tblPr>
      <w:tblGrid>
        <w:gridCol w:w="1886"/>
        <w:gridCol w:w="5184"/>
        <w:gridCol w:w="2066"/>
      </w:tblGrid>
      <w:tr>
        <w:tblPrEx>
          <w:tblCellMar>
            <w:top w:w="0" w:type="dxa"/>
            <w:left w:w="10" w:type="dxa"/>
            <w:bottom w:w="0" w:type="dxa"/>
            <w:right w:w="10" w:type="dxa"/>
          </w:tblCellMar>
        </w:tblPrEx>
        <w:trPr>
          <w:trHeight w:val="684" w:hRule="exact"/>
          <w:jc w:val="center"/>
        </w:trPr>
        <w:tc>
          <w:tcPr>
            <w:tcW w:w="1886" w:type="dxa"/>
            <w:tcBorders>
              <w:top w:val="single" w:color="auto" w:sz="4" w:space="0"/>
              <w:left w:val="single" w:color="auto" w:sz="4" w:space="0"/>
            </w:tcBorders>
            <w:shd w:val="clear" w:color="auto" w:fill="FFFFFF"/>
            <w:vAlign w:val="center"/>
          </w:tcPr>
          <w:p>
            <w:pPr>
              <w:pStyle w:val="21"/>
              <w:shd w:val="clear" w:color="auto" w:fill="auto"/>
              <w:spacing w:after="0" w:line="190" w:lineRule="exact"/>
              <w:ind w:right="40"/>
            </w:pPr>
            <w:r>
              <w:rPr>
                <w:rStyle w:val="22"/>
                <w:color w:val="auto"/>
              </w:rPr>
              <w:t>信用类别</w:t>
            </w:r>
          </w:p>
        </w:tc>
        <w:tc>
          <w:tcPr>
            <w:tcW w:w="5184" w:type="dxa"/>
            <w:tcBorders>
              <w:top w:val="single" w:color="auto" w:sz="4" w:space="0"/>
              <w:left w:val="single" w:color="auto" w:sz="4" w:space="0"/>
            </w:tcBorders>
            <w:shd w:val="clear" w:color="auto" w:fill="FFFFFF"/>
            <w:vAlign w:val="center"/>
          </w:tcPr>
          <w:p>
            <w:pPr>
              <w:pStyle w:val="21"/>
              <w:shd w:val="clear" w:color="auto" w:fill="auto"/>
              <w:spacing w:after="0" w:line="190" w:lineRule="exact"/>
            </w:pPr>
            <w:r>
              <w:rPr>
                <w:rStyle w:val="22"/>
                <w:color w:val="auto"/>
              </w:rPr>
              <w:t>良好信用</w:t>
            </w:r>
          </w:p>
        </w:tc>
        <w:tc>
          <w:tcPr>
            <w:tcW w:w="206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80"/>
            </w:pPr>
            <w:r>
              <w:rPr>
                <w:rStyle w:val="22"/>
                <w:color w:val="auto"/>
              </w:rPr>
              <w:t>周期</w:t>
            </w:r>
          </w:p>
        </w:tc>
      </w:tr>
      <w:tr>
        <w:tblPrEx>
          <w:tblCellMar>
            <w:top w:w="0" w:type="dxa"/>
            <w:left w:w="10" w:type="dxa"/>
            <w:bottom w:w="0" w:type="dxa"/>
            <w:right w:w="10" w:type="dxa"/>
          </w:tblCellMar>
        </w:tblPrEx>
        <w:trPr>
          <w:trHeight w:val="792" w:hRule="exact"/>
          <w:jc w:val="center"/>
        </w:trPr>
        <w:tc>
          <w:tcPr>
            <w:tcW w:w="1886" w:type="dxa"/>
            <w:vMerge w:val="restart"/>
            <w:tcBorders>
              <w:top w:val="single" w:color="auto" w:sz="4" w:space="0"/>
              <w:left w:val="single" w:color="auto" w:sz="4" w:space="0"/>
            </w:tcBorders>
            <w:shd w:val="clear" w:color="auto" w:fill="FFFFFF"/>
            <w:vAlign w:val="center"/>
          </w:tcPr>
          <w:p>
            <w:pPr>
              <w:pStyle w:val="21"/>
              <w:shd w:val="clear" w:color="auto" w:fill="auto"/>
              <w:spacing w:after="0" w:line="190" w:lineRule="exact"/>
              <w:ind w:right="40"/>
            </w:pPr>
            <w:r>
              <w:rPr>
                <w:rStyle w:val="22"/>
                <w:color w:val="auto"/>
              </w:rPr>
              <w:t>工程质量获奖</w:t>
            </w:r>
          </w:p>
        </w:tc>
        <w:tc>
          <w:tcPr>
            <w:tcW w:w="5184" w:type="dxa"/>
            <w:tcBorders>
              <w:top w:val="single" w:color="auto" w:sz="4" w:space="0"/>
              <w:left w:val="single" w:color="auto" w:sz="4" w:space="0"/>
            </w:tcBorders>
            <w:shd w:val="clear" w:color="auto" w:fill="FFFFFF"/>
            <w:vAlign w:val="center"/>
          </w:tcPr>
          <w:p>
            <w:pPr>
              <w:pStyle w:val="21"/>
              <w:shd w:val="clear" w:color="auto" w:fill="auto"/>
              <w:spacing w:after="0" w:line="252" w:lineRule="exact"/>
              <w:ind w:right="140"/>
              <w:jc w:val="both"/>
            </w:pPr>
            <w:r>
              <w:rPr>
                <w:rStyle w:val="22"/>
                <w:color w:val="auto"/>
              </w:rPr>
              <w:t>中国建设工程鲁班奖（国家优质工程）、中国钢结构金奖、 中国土木工程詹天佑奖</w:t>
            </w:r>
          </w:p>
        </w:tc>
        <w:tc>
          <w:tcPr>
            <w:tcW w:w="206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80"/>
            </w:pPr>
            <w:r>
              <w:rPr>
                <w:rStyle w:val="22"/>
                <w:color w:val="auto"/>
              </w:rPr>
              <w:t>3年</w:t>
            </w:r>
          </w:p>
        </w:tc>
      </w:tr>
      <w:tr>
        <w:tblPrEx>
          <w:tblCellMar>
            <w:top w:w="0" w:type="dxa"/>
            <w:left w:w="10" w:type="dxa"/>
            <w:bottom w:w="0" w:type="dxa"/>
            <w:right w:w="10" w:type="dxa"/>
          </w:tblCellMar>
        </w:tblPrEx>
        <w:trPr>
          <w:trHeight w:val="785" w:hRule="exact"/>
          <w:jc w:val="center"/>
        </w:trPr>
        <w:tc>
          <w:tcPr>
            <w:tcW w:w="1886" w:type="dxa"/>
            <w:vMerge w:val="continue"/>
            <w:tcBorders>
              <w:left w:val="single" w:color="auto" w:sz="4" w:space="0"/>
            </w:tcBorders>
            <w:shd w:val="clear" w:color="auto" w:fill="FFFFFF"/>
            <w:vAlign w:val="center"/>
          </w:tcPr>
          <w:p>
            <w:pPr>
              <w:pStyle w:val="21"/>
              <w:shd w:val="clear" w:color="auto" w:fill="auto"/>
              <w:spacing w:after="0" w:line="190" w:lineRule="exact"/>
              <w:ind w:right="40"/>
              <w:jc w:val="both"/>
            </w:pPr>
          </w:p>
        </w:tc>
        <w:tc>
          <w:tcPr>
            <w:tcW w:w="5184" w:type="dxa"/>
            <w:tcBorders>
              <w:top w:val="single" w:color="auto" w:sz="4" w:space="0"/>
              <w:left w:val="single" w:color="auto" w:sz="4" w:space="0"/>
            </w:tcBorders>
            <w:shd w:val="clear" w:color="auto" w:fill="FFFFFF"/>
            <w:vAlign w:val="center"/>
          </w:tcPr>
          <w:p>
            <w:pPr>
              <w:pStyle w:val="21"/>
              <w:shd w:val="clear" w:color="auto" w:fill="auto"/>
              <w:spacing w:after="0" w:line="259" w:lineRule="exact"/>
              <w:ind w:right="140"/>
              <w:jc w:val="both"/>
            </w:pPr>
            <w:r>
              <w:rPr>
                <w:rStyle w:val="22"/>
                <w:color w:val="auto"/>
              </w:rPr>
              <w:t>中国建筑工程装饰奖（公共建筑装饰、建筑幕墙、公共建 筑装饰设计）</w:t>
            </w:r>
          </w:p>
        </w:tc>
        <w:tc>
          <w:tcPr>
            <w:tcW w:w="206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80"/>
            </w:pPr>
            <w:r>
              <w:rPr>
                <w:rStyle w:val="22"/>
                <w:color w:val="auto"/>
              </w:rPr>
              <w:t>3年</w:t>
            </w:r>
          </w:p>
        </w:tc>
      </w:tr>
      <w:tr>
        <w:tblPrEx>
          <w:tblCellMar>
            <w:top w:w="0" w:type="dxa"/>
            <w:left w:w="10" w:type="dxa"/>
            <w:bottom w:w="0" w:type="dxa"/>
            <w:right w:w="10" w:type="dxa"/>
          </w:tblCellMar>
        </w:tblPrEx>
        <w:trPr>
          <w:trHeight w:val="569" w:hRule="exact"/>
          <w:jc w:val="center"/>
        </w:trPr>
        <w:tc>
          <w:tcPr>
            <w:tcW w:w="1886" w:type="dxa"/>
            <w:vMerge w:val="continue"/>
            <w:tcBorders>
              <w:left w:val="single" w:color="auto" w:sz="4" w:space="0"/>
            </w:tcBorders>
            <w:shd w:val="clear" w:color="auto" w:fill="FFFFFF"/>
            <w:vAlign w:val="center"/>
          </w:tcPr>
          <w:p>
            <w:pPr>
              <w:rPr>
                <w:sz w:val="10"/>
                <w:szCs w:val="10"/>
              </w:rPr>
            </w:pPr>
          </w:p>
        </w:tc>
        <w:tc>
          <w:tcPr>
            <w:tcW w:w="5184" w:type="dxa"/>
            <w:tcBorders>
              <w:top w:val="single" w:color="auto" w:sz="4" w:space="0"/>
              <w:left w:val="single" w:color="auto" w:sz="4" w:space="0"/>
            </w:tcBorders>
            <w:shd w:val="clear" w:color="auto" w:fill="FFFFFF"/>
            <w:vAlign w:val="center"/>
          </w:tcPr>
          <w:p>
            <w:pPr>
              <w:pStyle w:val="21"/>
              <w:shd w:val="clear" w:color="auto" w:fill="auto"/>
              <w:spacing w:after="0" w:line="190" w:lineRule="exact"/>
              <w:jc w:val="both"/>
            </w:pPr>
            <w:r>
              <w:rPr>
                <w:rStyle w:val="22"/>
                <w:color w:val="auto"/>
              </w:rPr>
              <w:t>河南省长质量奖</w:t>
            </w:r>
          </w:p>
        </w:tc>
        <w:tc>
          <w:tcPr>
            <w:tcW w:w="206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80"/>
            </w:pPr>
            <w:r>
              <w:rPr>
                <w:rStyle w:val="22"/>
                <w:color w:val="auto"/>
              </w:rPr>
              <w:t>3年</w:t>
            </w:r>
          </w:p>
        </w:tc>
      </w:tr>
      <w:tr>
        <w:tblPrEx>
          <w:tblCellMar>
            <w:top w:w="0" w:type="dxa"/>
            <w:left w:w="10" w:type="dxa"/>
            <w:bottom w:w="0" w:type="dxa"/>
            <w:right w:w="10" w:type="dxa"/>
          </w:tblCellMar>
        </w:tblPrEx>
        <w:trPr>
          <w:trHeight w:val="626" w:hRule="exact"/>
          <w:jc w:val="center"/>
        </w:trPr>
        <w:tc>
          <w:tcPr>
            <w:tcW w:w="1886" w:type="dxa"/>
            <w:vMerge w:val="continue"/>
            <w:tcBorders>
              <w:left w:val="single" w:color="auto" w:sz="4" w:space="0"/>
            </w:tcBorders>
            <w:shd w:val="clear" w:color="auto" w:fill="FFFFFF"/>
            <w:vAlign w:val="center"/>
          </w:tcPr>
          <w:p>
            <w:pPr>
              <w:rPr>
                <w:sz w:val="10"/>
                <w:szCs w:val="10"/>
              </w:rPr>
            </w:pPr>
          </w:p>
        </w:tc>
        <w:tc>
          <w:tcPr>
            <w:tcW w:w="5184" w:type="dxa"/>
            <w:tcBorders>
              <w:top w:val="single" w:color="auto" w:sz="4" w:space="0"/>
              <w:left w:val="single" w:color="auto" w:sz="4" w:space="0"/>
            </w:tcBorders>
            <w:shd w:val="clear" w:color="auto" w:fill="FFFFFF"/>
          </w:tcPr>
          <w:p>
            <w:pPr>
              <w:pStyle w:val="21"/>
              <w:shd w:val="clear" w:color="auto" w:fill="auto"/>
              <w:spacing w:after="0" w:line="252" w:lineRule="exact"/>
              <w:ind w:right="140"/>
              <w:jc w:val="both"/>
            </w:pPr>
            <w:r>
              <w:rPr>
                <w:rStyle w:val="22"/>
                <w:color w:val="auto"/>
              </w:rPr>
              <w:t>河南省逑设工程“中州杯”奖（省优质工程）等柝级主管部 门颁发的质量奖项</w:t>
            </w:r>
          </w:p>
        </w:tc>
        <w:tc>
          <w:tcPr>
            <w:tcW w:w="206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80"/>
            </w:pPr>
            <w:r>
              <w:rPr>
                <w:rStyle w:val="22"/>
                <w:color w:val="auto"/>
              </w:rPr>
              <w:t>3年</w:t>
            </w:r>
          </w:p>
        </w:tc>
      </w:tr>
      <w:tr>
        <w:tblPrEx>
          <w:tblCellMar>
            <w:top w:w="0" w:type="dxa"/>
            <w:left w:w="10" w:type="dxa"/>
            <w:bottom w:w="0" w:type="dxa"/>
            <w:right w:w="10" w:type="dxa"/>
          </w:tblCellMar>
        </w:tblPrEx>
        <w:trPr>
          <w:trHeight w:val="583" w:hRule="exact"/>
          <w:jc w:val="center"/>
        </w:trPr>
        <w:tc>
          <w:tcPr>
            <w:tcW w:w="1886" w:type="dxa"/>
            <w:vMerge w:val="restart"/>
            <w:tcBorders>
              <w:top w:val="single" w:color="auto" w:sz="4" w:space="0"/>
              <w:left w:val="single" w:color="auto" w:sz="4" w:space="0"/>
            </w:tcBorders>
            <w:shd w:val="clear" w:color="auto" w:fill="FFFFFF"/>
            <w:vAlign w:val="center"/>
          </w:tcPr>
          <w:p>
            <w:pPr>
              <w:pStyle w:val="21"/>
              <w:shd w:val="clear" w:color="auto" w:fill="auto"/>
              <w:spacing w:after="0" w:line="190" w:lineRule="exact"/>
              <w:ind w:left="340"/>
              <w:jc w:val="left"/>
            </w:pPr>
            <w:r>
              <w:rPr>
                <w:rStyle w:val="22"/>
                <w:color w:val="auto"/>
              </w:rPr>
              <w:t>一般性通报表彰</w:t>
            </w:r>
          </w:p>
        </w:tc>
        <w:tc>
          <w:tcPr>
            <w:tcW w:w="5184" w:type="dxa"/>
            <w:tcBorders>
              <w:top w:val="single" w:color="auto" w:sz="4" w:space="0"/>
              <w:left w:val="single" w:color="auto" w:sz="4" w:space="0"/>
            </w:tcBorders>
            <w:shd w:val="clear" w:color="auto" w:fill="FFFFFF"/>
            <w:vAlign w:val="center"/>
          </w:tcPr>
          <w:p>
            <w:pPr>
              <w:pStyle w:val="21"/>
              <w:shd w:val="clear" w:color="auto" w:fill="auto"/>
              <w:spacing w:after="0" w:line="190" w:lineRule="exact"/>
              <w:jc w:val="both"/>
            </w:pPr>
            <w:r>
              <w:rPr>
                <w:rStyle w:val="22"/>
                <w:color w:val="auto"/>
              </w:rPr>
              <w:t>住房城乡建设部、河南省人民政府的表彰</w:t>
            </w:r>
          </w:p>
        </w:tc>
        <w:tc>
          <w:tcPr>
            <w:tcW w:w="206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80"/>
            </w:pPr>
            <w:r>
              <w:rPr>
                <w:rStyle w:val="22"/>
                <w:color w:val="auto"/>
              </w:rPr>
              <w:t>3年</w:t>
            </w:r>
          </w:p>
        </w:tc>
      </w:tr>
      <w:tr>
        <w:tblPrEx>
          <w:tblCellMar>
            <w:top w:w="0" w:type="dxa"/>
            <w:left w:w="10" w:type="dxa"/>
            <w:bottom w:w="0" w:type="dxa"/>
            <w:right w:w="10" w:type="dxa"/>
          </w:tblCellMar>
        </w:tblPrEx>
        <w:trPr>
          <w:trHeight w:val="569" w:hRule="exact"/>
          <w:jc w:val="center"/>
        </w:trPr>
        <w:tc>
          <w:tcPr>
            <w:tcW w:w="1886" w:type="dxa"/>
            <w:vMerge w:val="continue"/>
            <w:tcBorders>
              <w:left w:val="single" w:color="auto" w:sz="4" w:space="0"/>
            </w:tcBorders>
            <w:shd w:val="clear" w:color="auto" w:fill="FFFFFF"/>
            <w:vAlign w:val="center"/>
          </w:tcPr>
          <w:p/>
        </w:tc>
        <w:tc>
          <w:tcPr>
            <w:tcW w:w="5184" w:type="dxa"/>
            <w:tcBorders>
              <w:top w:val="single" w:color="auto" w:sz="4" w:space="0"/>
              <w:left w:val="single" w:color="auto" w:sz="4" w:space="0"/>
            </w:tcBorders>
            <w:shd w:val="clear" w:color="auto" w:fill="FFFFFF"/>
            <w:vAlign w:val="center"/>
          </w:tcPr>
          <w:p>
            <w:pPr>
              <w:pStyle w:val="21"/>
              <w:shd w:val="clear" w:color="auto" w:fill="auto"/>
              <w:spacing w:after="0" w:line="190" w:lineRule="exact"/>
              <w:jc w:val="both"/>
            </w:pPr>
            <w:r>
              <w:rPr>
                <w:rStyle w:val="22"/>
                <w:color w:val="auto"/>
              </w:rPr>
              <w:t>县级以上人民政府或住房城乡建设主管部门的表彰</w:t>
            </w:r>
          </w:p>
        </w:tc>
        <w:tc>
          <w:tcPr>
            <w:tcW w:w="206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80"/>
            </w:pPr>
            <w:r>
              <w:rPr>
                <w:rStyle w:val="22"/>
                <w:color w:val="auto"/>
              </w:rPr>
              <w:t>3年</w:t>
            </w:r>
          </w:p>
        </w:tc>
      </w:tr>
      <w:tr>
        <w:tblPrEx>
          <w:tblCellMar>
            <w:top w:w="0" w:type="dxa"/>
            <w:left w:w="10" w:type="dxa"/>
            <w:bottom w:w="0" w:type="dxa"/>
            <w:right w:w="10" w:type="dxa"/>
          </w:tblCellMar>
        </w:tblPrEx>
        <w:trPr>
          <w:trHeight w:val="576" w:hRule="exact"/>
          <w:jc w:val="center"/>
        </w:trPr>
        <w:tc>
          <w:tcPr>
            <w:tcW w:w="1886" w:type="dxa"/>
            <w:vMerge w:val="restart"/>
            <w:tcBorders>
              <w:top w:val="single" w:color="auto" w:sz="4" w:space="0"/>
              <w:left w:val="single" w:color="auto" w:sz="4" w:space="0"/>
            </w:tcBorders>
            <w:shd w:val="clear" w:color="auto" w:fill="FFFFFF"/>
            <w:vAlign w:val="center"/>
          </w:tcPr>
          <w:p>
            <w:pPr>
              <w:pStyle w:val="21"/>
              <w:shd w:val="clear" w:color="auto" w:fill="auto"/>
              <w:spacing w:after="0" w:line="190" w:lineRule="exact"/>
              <w:ind w:right="40"/>
            </w:pPr>
            <w:r>
              <w:rPr>
                <w:rStyle w:val="22"/>
                <w:color w:val="auto"/>
              </w:rPr>
              <w:t>科技创新</w:t>
            </w:r>
          </w:p>
          <w:p>
            <w:pPr>
              <w:pStyle w:val="21"/>
              <w:shd w:val="clear" w:color="auto" w:fill="auto"/>
              <w:spacing w:after="0" w:line="190" w:lineRule="exact"/>
              <w:ind w:right="40"/>
            </w:pPr>
            <w:r>
              <w:rPr>
                <w:rStyle w:val="22"/>
                <w:color w:val="auto"/>
              </w:rPr>
              <w:t>（建筑类）</w:t>
            </w:r>
          </w:p>
        </w:tc>
        <w:tc>
          <w:tcPr>
            <w:tcW w:w="5184" w:type="dxa"/>
            <w:tcBorders>
              <w:top w:val="single" w:color="auto" w:sz="4" w:space="0"/>
              <w:left w:val="single" w:color="auto" w:sz="4" w:space="0"/>
            </w:tcBorders>
            <w:shd w:val="clear" w:color="auto" w:fill="FFFFFF"/>
          </w:tcPr>
          <w:p>
            <w:pPr>
              <w:pStyle w:val="21"/>
              <w:shd w:val="clear" w:color="auto" w:fill="auto"/>
              <w:spacing w:after="0" w:line="238" w:lineRule="exact"/>
              <w:ind w:right="140"/>
              <w:jc w:val="both"/>
            </w:pPr>
            <w:r>
              <w:rPr>
                <w:rStyle w:val="22"/>
                <w:color w:val="auto"/>
              </w:rPr>
              <w:t>企业参与标准、定额、工法编制：（丨）国家级；</w:t>
            </w:r>
            <w:r>
              <w:rPr>
                <w:rStyle w:val="22"/>
                <w:color w:val="auto"/>
                <w:lang w:val="en-US" w:bidi="en-US"/>
              </w:rPr>
              <w:t>（2）</w:t>
            </w:r>
            <w:r>
              <w:rPr>
                <w:rStyle w:val="22"/>
                <w:color w:val="auto"/>
              </w:rPr>
              <w:t>省 级。</w:t>
            </w:r>
          </w:p>
        </w:tc>
        <w:tc>
          <w:tcPr>
            <w:tcW w:w="206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80"/>
            </w:pPr>
            <w:r>
              <w:rPr>
                <w:rStyle w:val="22"/>
                <w:color w:val="auto"/>
              </w:rPr>
              <w:t>3年</w:t>
            </w:r>
          </w:p>
        </w:tc>
      </w:tr>
      <w:tr>
        <w:tblPrEx>
          <w:tblCellMar>
            <w:top w:w="0" w:type="dxa"/>
            <w:left w:w="10" w:type="dxa"/>
            <w:bottom w:w="0" w:type="dxa"/>
            <w:right w:w="10" w:type="dxa"/>
          </w:tblCellMar>
        </w:tblPrEx>
        <w:trPr>
          <w:trHeight w:val="569" w:hRule="exact"/>
          <w:jc w:val="center"/>
        </w:trPr>
        <w:tc>
          <w:tcPr>
            <w:tcW w:w="1886" w:type="dxa"/>
            <w:vMerge w:val="continue"/>
            <w:tcBorders>
              <w:left w:val="single" w:color="auto" w:sz="4" w:space="0"/>
            </w:tcBorders>
            <w:shd w:val="clear" w:color="auto" w:fill="FFFFFF"/>
          </w:tcPr>
          <w:p>
            <w:pPr>
              <w:rPr>
                <w:sz w:val="10"/>
                <w:szCs w:val="10"/>
              </w:rPr>
            </w:pPr>
          </w:p>
        </w:tc>
        <w:tc>
          <w:tcPr>
            <w:tcW w:w="5184" w:type="dxa"/>
            <w:tcBorders>
              <w:top w:val="single" w:color="auto" w:sz="4" w:space="0"/>
              <w:left w:val="single" w:color="auto" w:sz="4" w:space="0"/>
            </w:tcBorders>
            <w:shd w:val="clear" w:color="auto" w:fill="FFFFFF"/>
            <w:vAlign w:val="center"/>
          </w:tcPr>
          <w:p>
            <w:pPr>
              <w:pStyle w:val="21"/>
              <w:shd w:val="clear" w:color="auto" w:fill="auto"/>
              <w:spacing w:after="0" w:line="190" w:lineRule="exact"/>
              <w:jc w:val="both"/>
            </w:pPr>
            <w:r>
              <w:rPr>
                <w:rStyle w:val="22"/>
                <w:color w:val="auto"/>
              </w:rPr>
              <w:t>科技示范工程：</w:t>
            </w:r>
            <w:r>
              <w:rPr>
                <w:rStyle w:val="22"/>
                <w:color w:val="auto"/>
                <w:lang w:val="en-US" w:bidi="en-US"/>
              </w:rPr>
              <w:t>（1）</w:t>
            </w:r>
            <w:r>
              <w:rPr>
                <w:rStyle w:val="22"/>
                <w:color w:val="auto"/>
              </w:rPr>
              <w:t>住房城乡建设部；</w:t>
            </w:r>
            <w:r>
              <w:rPr>
                <w:rStyle w:val="22"/>
                <w:color w:val="auto"/>
                <w:lang w:val="en-US" w:bidi="en-US"/>
              </w:rPr>
              <w:t>（2）</w:t>
            </w:r>
            <w:r>
              <w:rPr>
                <w:rStyle w:val="22"/>
                <w:color w:val="auto"/>
              </w:rPr>
              <w:t>省级。</w:t>
            </w:r>
          </w:p>
        </w:tc>
        <w:tc>
          <w:tcPr>
            <w:tcW w:w="206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80"/>
            </w:pPr>
            <w:r>
              <w:rPr>
                <w:rStyle w:val="22"/>
                <w:color w:val="auto"/>
              </w:rPr>
              <w:t>3年</w:t>
            </w:r>
          </w:p>
        </w:tc>
      </w:tr>
      <w:tr>
        <w:tblPrEx>
          <w:tblCellMar>
            <w:top w:w="0" w:type="dxa"/>
            <w:left w:w="10" w:type="dxa"/>
            <w:bottom w:w="0" w:type="dxa"/>
            <w:right w:w="10" w:type="dxa"/>
          </w:tblCellMar>
        </w:tblPrEx>
        <w:trPr>
          <w:trHeight w:val="576" w:hRule="exact"/>
          <w:jc w:val="center"/>
        </w:trPr>
        <w:tc>
          <w:tcPr>
            <w:tcW w:w="1886" w:type="dxa"/>
            <w:vMerge w:val="continue"/>
            <w:tcBorders>
              <w:left w:val="single" w:color="auto" w:sz="4" w:space="0"/>
            </w:tcBorders>
            <w:shd w:val="clear" w:color="auto" w:fill="FFFFFF"/>
            <w:vAlign w:val="bottom"/>
          </w:tcPr>
          <w:p>
            <w:pPr>
              <w:pStyle w:val="21"/>
              <w:shd w:val="clear" w:color="auto" w:fill="auto"/>
              <w:spacing w:after="0" w:line="190" w:lineRule="exact"/>
              <w:ind w:right="40"/>
            </w:pPr>
          </w:p>
        </w:tc>
        <w:tc>
          <w:tcPr>
            <w:tcW w:w="5184" w:type="dxa"/>
            <w:tcBorders>
              <w:top w:val="single" w:color="auto" w:sz="4" w:space="0"/>
              <w:left w:val="single" w:color="auto" w:sz="4" w:space="0"/>
            </w:tcBorders>
            <w:shd w:val="clear" w:color="auto" w:fill="FFFFFF"/>
            <w:vAlign w:val="center"/>
          </w:tcPr>
          <w:p>
            <w:pPr>
              <w:pStyle w:val="21"/>
              <w:shd w:val="clear" w:color="auto" w:fill="auto"/>
              <w:spacing w:after="0" w:line="190" w:lineRule="exact"/>
              <w:jc w:val="both"/>
            </w:pPr>
            <w:r>
              <w:rPr>
                <w:rStyle w:val="22"/>
                <w:color w:val="auto"/>
              </w:rPr>
              <w:t>企业专利：</w:t>
            </w:r>
            <w:r>
              <w:rPr>
                <w:rStyle w:val="22"/>
                <w:color w:val="auto"/>
                <w:lang w:val="en-US" w:bidi="en-US"/>
              </w:rPr>
              <w:t>（1）</w:t>
            </w:r>
            <w:r>
              <w:rPr>
                <w:rStyle w:val="22"/>
                <w:color w:val="auto"/>
              </w:rPr>
              <w:t>发明专利；</w:t>
            </w:r>
            <w:r>
              <w:rPr>
                <w:rStyle w:val="22"/>
                <w:color w:val="auto"/>
                <w:lang w:val="en-US" w:bidi="en-US"/>
              </w:rPr>
              <w:t>（2）</w:t>
            </w:r>
            <w:r>
              <w:rPr>
                <w:rStyle w:val="22"/>
                <w:color w:val="auto"/>
              </w:rPr>
              <w:t>实用新型专利。</w:t>
            </w:r>
          </w:p>
        </w:tc>
        <w:tc>
          <w:tcPr>
            <w:tcW w:w="206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80"/>
            </w:pPr>
            <w:r>
              <w:rPr>
                <w:rStyle w:val="22"/>
                <w:color w:val="auto"/>
              </w:rPr>
              <w:t>3年</w:t>
            </w:r>
          </w:p>
        </w:tc>
      </w:tr>
      <w:tr>
        <w:tblPrEx>
          <w:tblCellMar>
            <w:top w:w="0" w:type="dxa"/>
            <w:left w:w="10" w:type="dxa"/>
            <w:bottom w:w="0" w:type="dxa"/>
            <w:right w:w="10" w:type="dxa"/>
          </w:tblCellMar>
        </w:tblPrEx>
        <w:trPr>
          <w:trHeight w:val="634" w:hRule="exact"/>
          <w:jc w:val="center"/>
        </w:trPr>
        <w:tc>
          <w:tcPr>
            <w:tcW w:w="1886" w:type="dxa"/>
            <w:vMerge w:val="continue"/>
            <w:tcBorders>
              <w:left w:val="single" w:color="auto" w:sz="4" w:space="0"/>
            </w:tcBorders>
            <w:shd w:val="clear" w:color="auto" w:fill="FFFFFF"/>
          </w:tcPr>
          <w:p>
            <w:pPr>
              <w:pStyle w:val="21"/>
              <w:shd w:val="clear" w:color="auto" w:fill="auto"/>
              <w:spacing w:after="0" w:line="190" w:lineRule="exact"/>
              <w:ind w:right="40"/>
            </w:pPr>
          </w:p>
        </w:tc>
        <w:tc>
          <w:tcPr>
            <w:tcW w:w="5184" w:type="dxa"/>
            <w:tcBorders>
              <w:top w:val="single" w:color="auto" w:sz="4" w:space="0"/>
              <w:left w:val="single" w:color="auto" w:sz="4" w:space="0"/>
            </w:tcBorders>
            <w:shd w:val="clear" w:color="auto" w:fill="FFFFFF"/>
          </w:tcPr>
          <w:p>
            <w:pPr>
              <w:pStyle w:val="21"/>
              <w:shd w:val="clear" w:color="auto" w:fill="auto"/>
              <w:spacing w:after="0" w:line="245" w:lineRule="exact"/>
              <w:ind w:right="140"/>
              <w:jc w:val="both"/>
            </w:pPr>
            <w:r>
              <w:rPr>
                <w:rStyle w:val="22"/>
                <w:color w:val="auto"/>
              </w:rPr>
              <w:t>企业科技开发或科技进步奖：</w:t>
            </w:r>
            <w:r>
              <w:rPr>
                <w:rStyle w:val="22"/>
                <w:color w:val="auto"/>
                <w:lang w:val="en-US" w:bidi="en-US"/>
              </w:rPr>
              <w:t>（1）</w:t>
            </w:r>
            <w:r>
              <w:rPr>
                <w:rStyle w:val="22"/>
                <w:color w:val="auto"/>
              </w:rPr>
              <w:t>国家级；</w:t>
            </w:r>
            <w:r>
              <w:rPr>
                <w:rStyle w:val="22"/>
                <w:color w:val="auto"/>
                <w:lang w:val="en-US" w:bidi="en-US"/>
              </w:rPr>
              <w:t>（2）</w:t>
            </w:r>
            <w:r>
              <w:rPr>
                <w:rStyle w:val="22"/>
                <w:color w:val="auto"/>
              </w:rPr>
              <w:t>省级科 技成果或科技进步奖。</w:t>
            </w:r>
          </w:p>
        </w:tc>
        <w:tc>
          <w:tcPr>
            <w:tcW w:w="206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80"/>
            </w:pPr>
            <w:r>
              <w:rPr>
                <w:rStyle w:val="22"/>
                <w:color w:val="auto"/>
              </w:rPr>
              <w:t>3年</w:t>
            </w:r>
          </w:p>
        </w:tc>
      </w:tr>
      <w:tr>
        <w:tblPrEx>
          <w:tblCellMar>
            <w:top w:w="0" w:type="dxa"/>
            <w:left w:w="10" w:type="dxa"/>
            <w:bottom w:w="0" w:type="dxa"/>
            <w:right w:w="10" w:type="dxa"/>
          </w:tblCellMar>
        </w:tblPrEx>
        <w:trPr>
          <w:trHeight w:val="576" w:hRule="exact"/>
          <w:jc w:val="center"/>
        </w:trPr>
        <w:tc>
          <w:tcPr>
            <w:tcW w:w="1886" w:type="dxa"/>
            <w:vMerge w:val="continue"/>
            <w:tcBorders>
              <w:left w:val="single" w:color="auto" w:sz="4" w:space="0"/>
            </w:tcBorders>
            <w:shd w:val="clear" w:color="auto" w:fill="FFFFFF"/>
          </w:tcPr>
          <w:p>
            <w:pPr>
              <w:rPr>
                <w:sz w:val="10"/>
                <w:szCs w:val="10"/>
              </w:rPr>
            </w:pPr>
          </w:p>
        </w:tc>
        <w:tc>
          <w:tcPr>
            <w:tcW w:w="5184" w:type="dxa"/>
            <w:tcBorders>
              <w:top w:val="single" w:color="auto" w:sz="4" w:space="0"/>
              <w:left w:val="single" w:color="auto" w:sz="4" w:space="0"/>
            </w:tcBorders>
            <w:shd w:val="clear" w:color="auto" w:fill="FFFFFF"/>
            <w:vAlign w:val="center"/>
          </w:tcPr>
          <w:p>
            <w:pPr>
              <w:pStyle w:val="21"/>
              <w:shd w:val="clear" w:color="auto" w:fill="auto"/>
              <w:spacing w:after="0" w:line="190" w:lineRule="exact"/>
              <w:jc w:val="both"/>
            </w:pPr>
            <w:r>
              <w:rPr>
                <w:rStyle w:val="22"/>
                <w:color w:val="auto"/>
              </w:rPr>
              <w:t>企业科技项目：</w:t>
            </w:r>
            <w:r>
              <w:rPr>
                <w:rStyle w:val="22"/>
                <w:color w:val="auto"/>
                <w:lang w:val="en-US" w:bidi="en-US"/>
              </w:rPr>
              <w:t>（1）</w:t>
            </w:r>
            <w:r>
              <w:rPr>
                <w:rStyle w:val="22"/>
                <w:color w:val="auto"/>
              </w:rPr>
              <w:t>国家级；</w:t>
            </w:r>
            <w:r>
              <w:rPr>
                <w:rStyle w:val="22"/>
                <w:color w:val="auto"/>
                <w:lang w:val="en-US" w:bidi="en-US"/>
              </w:rPr>
              <w:t>（2）</w:t>
            </w:r>
            <w:r>
              <w:rPr>
                <w:rStyle w:val="22"/>
                <w:color w:val="auto"/>
              </w:rPr>
              <w:t>省级。</w:t>
            </w:r>
          </w:p>
        </w:tc>
        <w:tc>
          <w:tcPr>
            <w:tcW w:w="206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80"/>
            </w:pPr>
            <w:r>
              <w:rPr>
                <w:rStyle w:val="22"/>
                <w:color w:val="auto"/>
              </w:rPr>
              <w:t>3年</w:t>
            </w:r>
          </w:p>
        </w:tc>
      </w:tr>
      <w:tr>
        <w:tblPrEx>
          <w:tblCellMar>
            <w:top w:w="0" w:type="dxa"/>
            <w:left w:w="10" w:type="dxa"/>
            <w:bottom w:w="0" w:type="dxa"/>
            <w:right w:w="10" w:type="dxa"/>
          </w:tblCellMar>
        </w:tblPrEx>
        <w:trPr>
          <w:trHeight w:val="576" w:hRule="exact"/>
          <w:jc w:val="center"/>
        </w:trPr>
        <w:tc>
          <w:tcPr>
            <w:tcW w:w="1886" w:type="dxa"/>
            <w:vMerge w:val="continue"/>
            <w:tcBorders>
              <w:left w:val="single" w:color="auto" w:sz="4" w:space="0"/>
            </w:tcBorders>
            <w:shd w:val="clear" w:color="auto" w:fill="FFFFFF"/>
          </w:tcPr>
          <w:p>
            <w:pPr>
              <w:rPr>
                <w:sz w:val="10"/>
                <w:szCs w:val="10"/>
              </w:rPr>
            </w:pPr>
          </w:p>
        </w:tc>
        <w:tc>
          <w:tcPr>
            <w:tcW w:w="5184" w:type="dxa"/>
            <w:tcBorders>
              <w:top w:val="single" w:color="auto" w:sz="4" w:space="0"/>
              <w:left w:val="single" w:color="auto" w:sz="4" w:space="0"/>
            </w:tcBorders>
            <w:shd w:val="clear" w:color="auto" w:fill="FFFFFF"/>
            <w:vAlign w:val="center"/>
          </w:tcPr>
          <w:p>
            <w:pPr>
              <w:pStyle w:val="21"/>
              <w:shd w:val="clear" w:color="auto" w:fill="auto"/>
              <w:spacing w:after="0" w:line="190" w:lineRule="exact"/>
              <w:jc w:val="both"/>
            </w:pPr>
            <w:r>
              <w:rPr>
                <w:rStyle w:val="22"/>
                <w:color w:val="auto"/>
              </w:rPr>
              <w:t>科研平台或企业技术中心：</w:t>
            </w:r>
            <w:r>
              <w:rPr>
                <w:rStyle w:val="22"/>
                <w:color w:val="auto"/>
                <w:lang w:val="en-US" w:bidi="en-US"/>
              </w:rPr>
              <w:t>（1）</w:t>
            </w:r>
            <w:r>
              <w:rPr>
                <w:rStyle w:val="22"/>
                <w:color w:val="auto"/>
              </w:rPr>
              <w:t>国家级；</w:t>
            </w:r>
            <w:r>
              <w:rPr>
                <w:rStyle w:val="22"/>
                <w:color w:val="auto"/>
                <w:lang w:val="en-US" w:bidi="en-US"/>
              </w:rPr>
              <w:t>（2）</w:t>
            </w:r>
            <w:r>
              <w:rPr>
                <w:rStyle w:val="22"/>
                <w:color w:val="auto"/>
              </w:rPr>
              <w:t>省级。</w:t>
            </w:r>
          </w:p>
        </w:tc>
        <w:tc>
          <w:tcPr>
            <w:tcW w:w="2066" w:type="dxa"/>
            <w:tcBorders>
              <w:top w:val="single" w:color="auto" w:sz="4" w:space="0"/>
              <w:left w:val="single" w:color="auto" w:sz="4" w:space="0"/>
            </w:tcBorders>
            <w:shd w:val="clear" w:color="auto" w:fill="FFFFFF"/>
            <w:vAlign w:val="center"/>
          </w:tcPr>
          <w:p>
            <w:pPr>
              <w:pStyle w:val="21"/>
              <w:shd w:val="clear" w:color="auto" w:fill="auto"/>
              <w:spacing w:after="0" w:line="190" w:lineRule="exact"/>
              <w:ind w:left="80"/>
            </w:pPr>
            <w:r>
              <w:rPr>
                <w:rStyle w:val="22"/>
                <w:color w:val="auto"/>
              </w:rPr>
              <w:t>1年</w:t>
            </w:r>
          </w:p>
        </w:tc>
      </w:tr>
      <w:tr>
        <w:tblPrEx>
          <w:tblCellMar>
            <w:top w:w="0" w:type="dxa"/>
            <w:left w:w="10" w:type="dxa"/>
            <w:bottom w:w="0" w:type="dxa"/>
            <w:right w:w="10" w:type="dxa"/>
          </w:tblCellMar>
        </w:tblPrEx>
        <w:trPr>
          <w:trHeight w:val="634" w:hRule="exact"/>
          <w:jc w:val="center"/>
        </w:trPr>
        <w:tc>
          <w:tcPr>
            <w:tcW w:w="1886" w:type="dxa"/>
            <w:tcBorders>
              <w:top w:val="single" w:color="auto" w:sz="4" w:space="0"/>
              <w:left w:val="single" w:color="auto" w:sz="4" w:space="0"/>
            </w:tcBorders>
            <w:shd w:val="clear" w:color="auto" w:fill="FFFFFF"/>
            <w:vAlign w:val="center"/>
          </w:tcPr>
          <w:p>
            <w:pPr>
              <w:pStyle w:val="21"/>
              <w:shd w:val="clear" w:color="auto" w:fill="auto"/>
              <w:spacing w:after="0" w:line="190" w:lineRule="exact"/>
              <w:ind w:left="340"/>
              <w:jc w:val="left"/>
            </w:pPr>
            <w:r>
              <w:rPr>
                <w:rStyle w:val="22"/>
                <w:color w:val="auto"/>
              </w:rPr>
              <w:t>安全文明工地</w:t>
            </w:r>
          </w:p>
        </w:tc>
        <w:tc>
          <w:tcPr>
            <w:tcW w:w="5184" w:type="dxa"/>
            <w:tcBorders>
              <w:top w:val="single" w:color="auto" w:sz="4" w:space="0"/>
              <w:left w:val="single" w:color="auto" w:sz="4" w:space="0"/>
            </w:tcBorders>
            <w:shd w:val="clear" w:color="auto" w:fill="FFFFFF"/>
          </w:tcPr>
          <w:p>
            <w:pPr>
              <w:pStyle w:val="21"/>
              <w:shd w:val="clear" w:color="auto" w:fill="auto"/>
              <w:spacing w:after="0" w:line="245" w:lineRule="exact"/>
              <w:ind w:right="140"/>
              <w:jc w:val="both"/>
            </w:pPr>
            <w:r>
              <w:rPr>
                <w:rStyle w:val="22"/>
                <w:color w:val="auto"/>
              </w:rPr>
              <w:t>（1）国家</w:t>
            </w:r>
            <w:r>
              <w:rPr>
                <w:rStyle w:val="22"/>
                <w:color w:val="auto"/>
                <w:lang w:val="en-US" w:bidi="en-US"/>
              </w:rPr>
              <w:t>AAA</w:t>
            </w:r>
            <w:r>
              <w:rPr>
                <w:rStyle w:val="22"/>
                <w:color w:val="auto"/>
              </w:rPr>
              <w:t>级安全文明标准化工地；</w:t>
            </w:r>
            <w:r>
              <w:rPr>
                <w:rStyle w:val="22"/>
                <w:color w:val="auto"/>
                <w:lang w:val="en-US" w:bidi="en-US"/>
              </w:rPr>
              <w:t>（2）</w:t>
            </w:r>
            <w:r>
              <w:rPr>
                <w:rStyle w:val="22"/>
                <w:color w:val="auto"/>
              </w:rPr>
              <w:t>省级安全 文明工地；</w:t>
            </w:r>
            <w:r>
              <w:rPr>
                <w:rStyle w:val="22"/>
                <w:color w:val="auto"/>
                <w:lang w:val="en-US" w:bidi="en-US"/>
              </w:rPr>
              <w:t>（3）</w:t>
            </w:r>
            <w:r>
              <w:rPr>
                <w:rStyle w:val="22"/>
                <w:color w:val="auto"/>
              </w:rPr>
              <w:t>市级安全文明工地</w:t>
            </w:r>
          </w:p>
        </w:tc>
        <w:tc>
          <w:tcPr>
            <w:tcW w:w="2066" w:type="dxa"/>
            <w:tcBorders>
              <w:top w:val="single" w:color="auto" w:sz="4" w:space="0"/>
              <w:left w:val="single" w:color="auto" w:sz="4" w:space="0"/>
            </w:tcBorders>
            <w:shd w:val="clear" w:color="auto" w:fill="FFFFFF"/>
            <w:vAlign w:val="center"/>
          </w:tcPr>
          <w:p>
            <w:pPr>
              <w:pStyle w:val="21"/>
              <w:shd w:val="clear" w:color="auto" w:fill="auto"/>
              <w:spacing w:after="0" w:line="190" w:lineRule="exact"/>
              <w:ind w:left="80"/>
            </w:pPr>
            <w:r>
              <w:rPr>
                <w:rStyle w:val="22"/>
                <w:color w:val="auto"/>
              </w:rPr>
              <w:t>3年</w:t>
            </w:r>
          </w:p>
        </w:tc>
      </w:tr>
      <w:tr>
        <w:tblPrEx>
          <w:tblCellMar>
            <w:top w:w="0" w:type="dxa"/>
            <w:left w:w="10" w:type="dxa"/>
            <w:bottom w:w="0" w:type="dxa"/>
            <w:right w:w="10" w:type="dxa"/>
          </w:tblCellMar>
        </w:tblPrEx>
        <w:trPr>
          <w:trHeight w:val="641" w:hRule="exact"/>
          <w:jc w:val="center"/>
        </w:trPr>
        <w:tc>
          <w:tcPr>
            <w:tcW w:w="1886" w:type="dxa"/>
            <w:tcBorders>
              <w:top w:val="single" w:color="auto" w:sz="4" w:space="0"/>
              <w:left w:val="single" w:color="auto" w:sz="4" w:space="0"/>
            </w:tcBorders>
            <w:shd w:val="clear" w:color="auto" w:fill="FFFFFF"/>
          </w:tcPr>
          <w:p>
            <w:pPr>
              <w:pStyle w:val="21"/>
              <w:shd w:val="clear" w:color="auto" w:fill="auto"/>
              <w:spacing w:after="0" w:line="245" w:lineRule="exact"/>
              <w:ind w:right="40"/>
            </w:pPr>
            <w:r>
              <w:rPr>
                <w:rStyle w:val="22"/>
                <w:color w:val="auto"/>
              </w:rPr>
              <w:t>列入重点扶持优势 企业名单</w:t>
            </w:r>
          </w:p>
        </w:tc>
        <w:tc>
          <w:tcPr>
            <w:tcW w:w="5184" w:type="dxa"/>
            <w:tcBorders>
              <w:top w:val="single" w:color="auto" w:sz="4" w:space="0"/>
              <w:left w:val="single" w:color="auto" w:sz="4" w:space="0"/>
            </w:tcBorders>
            <w:shd w:val="clear" w:color="auto" w:fill="FFFFFF"/>
            <w:vAlign w:val="center"/>
          </w:tcPr>
          <w:p>
            <w:pPr>
              <w:pStyle w:val="21"/>
              <w:shd w:val="clear" w:color="auto" w:fill="auto"/>
              <w:spacing w:after="0" w:line="190" w:lineRule="exact"/>
              <w:jc w:val="both"/>
            </w:pPr>
            <w:r>
              <w:rPr>
                <w:rStyle w:val="22"/>
                <w:color w:val="auto"/>
                <w:lang w:val="en-US" w:bidi="en-US"/>
              </w:rPr>
              <w:t>（1）</w:t>
            </w:r>
            <w:r>
              <w:rPr>
                <w:rStyle w:val="22"/>
                <w:color w:val="auto"/>
              </w:rPr>
              <w:t>省级重点扶持企业：</w:t>
            </w:r>
            <w:r>
              <w:rPr>
                <w:rStyle w:val="22"/>
                <w:color w:val="auto"/>
                <w:lang w:val="en-US" w:bidi="en-US"/>
              </w:rPr>
              <w:t>（2）</w:t>
            </w:r>
            <w:r>
              <w:rPr>
                <w:rStyle w:val="22"/>
                <w:color w:val="auto"/>
              </w:rPr>
              <w:t>市级重点扶持企业。</w:t>
            </w:r>
          </w:p>
        </w:tc>
        <w:tc>
          <w:tcPr>
            <w:tcW w:w="2066" w:type="dxa"/>
            <w:tcBorders>
              <w:top w:val="single" w:color="auto" w:sz="4" w:space="0"/>
              <w:left w:val="single" w:color="auto" w:sz="4" w:space="0"/>
            </w:tcBorders>
            <w:shd w:val="clear" w:color="auto" w:fill="FFFFFF"/>
            <w:vAlign w:val="center"/>
          </w:tcPr>
          <w:p>
            <w:pPr>
              <w:pStyle w:val="21"/>
              <w:shd w:val="clear" w:color="auto" w:fill="auto"/>
              <w:spacing w:after="0" w:line="190" w:lineRule="exact"/>
              <w:ind w:left="80"/>
            </w:pPr>
            <w:r>
              <w:rPr>
                <w:rStyle w:val="22"/>
                <w:color w:val="auto"/>
              </w:rPr>
              <w:t>3年</w:t>
            </w:r>
          </w:p>
        </w:tc>
      </w:tr>
      <w:tr>
        <w:tblPrEx>
          <w:tblCellMar>
            <w:top w:w="0" w:type="dxa"/>
            <w:left w:w="10" w:type="dxa"/>
            <w:bottom w:w="0" w:type="dxa"/>
            <w:right w:w="10" w:type="dxa"/>
          </w:tblCellMar>
        </w:tblPrEx>
        <w:trPr>
          <w:trHeight w:val="756" w:hRule="exact"/>
          <w:jc w:val="center"/>
        </w:trPr>
        <w:tc>
          <w:tcPr>
            <w:tcW w:w="1886" w:type="dxa"/>
            <w:tcBorders>
              <w:top w:val="single" w:color="auto" w:sz="4" w:space="0"/>
              <w:left w:val="single" w:color="auto" w:sz="4" w:space="0"/>
              <w:bottom w:val="single" w:color="auto" w:sz="4" w:space="0"/>
            </w:tcBorders>
            <w:shd w:val="clear" w:color="auto" w:fill="FFFFFF"/>
            <w:vAlign w:val="center"/>
          </w:tcPr>
          <w:p>
            <w:pPr>
              <w:pStyle w:val="21"/>
              <w:shd w:val="clear" w:color="auto" w:fill="auto"/>
              <w:spacing w:after="0" w:line="190" w:lineRule="exact"/>
              <w:ind w:left="340"/>
              <w:jc w:val="left"/>
            </w:pPr>
            <w:r>
              <w:rPr>
                <w:rStyle w:val="22"/>
                <w:color w:val="auto"/>
              </w:rPr>
              <w:t>外埠市场开拓</w:t>
            </w:r>
          </w:p>
        </w:tc>
        <w:tc>
          <w:tcPr>
            <w:tcW w:w="5184" w:type="dxa"/>
            <w:tcBorders>
              <w:top w:val="single" w:color="auto" w:sz="4" w:space="0"/>
              <w:left w:val="single" w:color="auto" w:sz="4" w:space="0"/>
              <w:bottom w:val="single" w:color="auto" w:sz="4" w:space="0"/>
            </w:tcBorders>
            <w:shd w:val="clear" w:color="auto" w:fill="FFFFFF"/>
          </w:tcPr>
          <w:p>
            <w:pPr>
              <w:pStyle w:val="21"/>
              <w:shd w:val="clear" w:color="auto" w:fill="auto"/>
              <w:spacing w:after="0" w:line="238" w:lineRule="exact"/>
              <w:jc w:val="both"/>
            </w:pPr>
            <w:r>
              <w:rPr>
                <w:rStyle w:val="22"/>
                <w:color w:val="auto"/>
              </w:rPr>
              <w:t>本竹企业在省外工柷施工中获得县级以上有关部门给予的</w:t>
            </w:r>
          </w:p>
          <w:p>
            <w:pPr>
              <w:pStyle w:val="21"/>
              <w:shd w:val="clear" w:color="auto" w:fill="auto"/>
              <w:spacing w:after="0" w:line="238" w:lineRule="exact"/>
              <w:ind w:right="140"/>
              <w:jc w:val="both"/>
            </w:pPr>
            <w:r>
              <w:rPr>
                <w:rStyle w:val="22"/>
                <w:color w:val="auto"/>
              </w:rPr>
              <w:t>有关质量、安全文明施工、科技创新、通报报表彰等奖项 和奖励</w:t>
            </w:r>
          </w:p>
        </w:tc>
        <w:tc>
          <w:tcPr>
            <w:tcW w:w="2066" w:type="dxa"/>
            <w:tcBorders>
              <w:top w:val="single" w:color="auto" w:sz="4" w:space="0"/>
              <w:left w:val="single" w:color="auto" w:sz="4" w:space="0"/>
              <w:bottom w:val="single" w:color="auto" w:sz="4" w:space="0"/>
            </w:tcBorders>
            <w:shd w:val="clear" w:color="auto" w:fill="FFFFFF"/>
            <w:vAlign w:val="center"/>
          </w:tcPr>
          <w:p>
            <w:pPr>
              <w:pStyle w:val="21"/>
              <w:shd w:val="clear" w:color="auto" w:fill="auto"/>
              <w:spacing w:after="0" w:line="190" w:lineRule="exact"/>
              <w:ind w:left="80"/>
            </w:pPr>
            <w:r>
              <w:rPr>
                <w:rStyle w:val="22"/>
                <w:color w:val="auto"/>
              </w:rPr>
              <w:t>3年</w:t>
            </w:r>
          </w:p>
        </w:tc>
      </w:tr>
    </w:tbl>
    <w:p>
      <w:pPr>
        <w:pStyle w:val="10"/>
        <w:ind w:left="2900" w:hanging="1200"/>
      </w:pPr>
    </w:p>
    <w:p>
      <w:pPr>
        <w:pStyle w:val="10"/>
        <w:ind w:left="2900" w:hanging="1200"/>
        <w:rPr>
          <w:rFonts w:ascii="新宋体" w:hAnsi="新宋体" w:eastAsia="新宋体"/>
        </w:rPr>
      </w:pPr>
    </w:p>
    <w:p>
      <w:pPr>
        <w:rPr>
          <w:rFonts w:ascii="新宋体" w:hAnsi="新宋体" w:eastAsia="新宋体"/>
          <w:sz w:val="24"/>
        </w:rPr>
      </w:pPr>
    </w:p>
    <w:p>
      <w:pPr>
        <w:pStyle w:val="10"/>
        <w:ind w:left="2900" w:hanging="1200"/>
        <w:rPr>
          <w:rFonts w:ascii="新宋体" w:hAnsi="新宋体" w:eastAsia="新宋体"/>
        </w:rPr>
      </w:pPr>
    </w:p>
    <w:p>
      <w:pPr>
        <w:pStyle w:val="20"/>
        <w:keepNext/>
        <w:keepLines/>
        <w:shd w:val="clear" w:color="auto" w:fill="auto"/>
        <w:spacing w:before="0"/>
        <w:ind w:left="260"/>
        <w:jc w:val="left"/>
        <w:rPr>
          <w:rFonts w:eastAsia="宋体"/>
          <w:b/>
          <w:bCs/>
        </w:rPr>
      </w:pPr>
      <w:bookmarkStart w:id="184" w:name="bookmark3"/>
      <w:r>
        <w:rPr>
          <w:rFonts w:hint="eastAsia" w:eastAsia="宋体"/>
          <w:b/>
          <w:bCs/>
        </w:rPr>
        <w:t>附件二</w:t>
      </w:r>
    </w:p>
    <w:p>
      <w:pPr>
        <w:pStyle w:val="20"/>
        <w:keepNext/>
        <w:keepLines/>
        <w:shd w:val="clear" w:color="auto" w:fill="auto"/>
        <w:spacing w:before="0"/>
        <w:ind w:left="260"/>
        <w:jc w:val="left"/>
        <w:rPr>
          <w:rFonts w:eastAsia="宋体"/>
          <w:b/>
          <w:bCs/>
        </w:rPr>
      </w:pPr>
    </w:p>
    <w:p>
      <w:pPr>
        <w:pStyle w:val="20"/>
        <w:keepNext/>
        <w:keepLines/>
        <w:shd w:val="clear" w:color="auto" w:fill="auto"/>
        <w:spacing w:before="0"/>
        <w:ind w:left="260"/>
      </w:pPr>
      <w:r>
        <w:t>项目经理良好信用信息采集项</w:t>
      </w:r>
      <w:bookmarkEnd w:id="184"/>
    </w:p>
    <w:tbl>
      <w:tblPr>
        <w:tblStyle w:val="12"/>
        <w:tblW w:w="8538" w:type="dxa"/>
        <w:jc w:val="right"/>
        <w:tblLayout w:type="fixed"/>
        <w:tblCellMar>
          <w:top w:w="0" w:type="dxa"/>
          <w:left w:w="10" w:type="dxa"/>
          <w:bottom w:w="0" w:type="dxa"/>
          <w:right w:w="10" w:type="dxa"/>
        </w:tblCellMar>
      </w:tblPr>
      <w:tblGrid>
        <w:gridCol w:w="1238"/>
        <w:gridCol w:w="5594"/>
        <w:gridCol w:w="1706"/>
      </w:tblGrid>
      <w:tr>
        <w:tblPrEx>
          <w:tblCellMar>
            <w:top w:w="0" w:type="dxa"/>
            <w:left w:w="10" w:type="dxa"/>
            <w:bottom w:w="0" w:type="dxa"/>
            <w:right w:w="10" w:type="dxa"/>
          </w:tblCellMar>
        </w:tblPrEx>
        <w:trPr>
          <w:trHeight w:val="677" w:hRule="exact"/>
          <w:jc w:val="right"/>
        </w:trPr>
        <w:tc>
          <w:tcPr>
            <w:tcW w:w="1238" w:type="dxa"/>
            <w:tcBorders>
              <w:top w:val="single" w:color="auto" w:sz="4" w:space="0"/>
              <w:left w:val="single" w:color="auto" w:sz="4" w:space="0"/>
            </w:tcBorders>
            <w:shd w:val="clear" w:color="auto" w:fill="FFFFFF"/>
            <w:vAlign w:val="center"/>
          </w:tcPr>
          <w:p>
            <w:pPr>
              <w:pStyle w:val="21"/>
              <w:shd w:val="clear" w:color="auto" w:fill="auto"/>
              <w:spacing w:after="0" w:line="190" w:lineRule="exact"/>
              <w:ind w:left="220"/>
              <w:jc w:val="both"/>
            </w:pPr>
            <w:r>
              <w:rPr>
                <w:rStyle w:val="22"/>
                <w:color w:val="auto"/>
              </w:rPr>
              <w:t>信用类别</w:t>
            </w:r>
          </w:p>
        </w:tc>
        <w:tc>
          <w:tcPr>
            <w:tcW w:w="5594" w:type="dxa"/>
            <w:tcBorders>
              <w:top w:val="single" w:color="auto" w:sz="4" w:space="0"/>
              <w:left w:val="single" w:color="auto" w:sz="4" w:space="0"/>
            </w:tcBorders>
            <w:shd w:val="clear" w:color="auto" w:fill="FFFFFF"/>
            <w:vAlign w:val="center"/>
          </w:tcPr>
          <w:p>
            <w:pPr>
              <w:pStyle w:val="21"/>
              <w:shd w:val="clear" w:color="auto" w:fill="auto"/>
              <w:spacing w:after="0" w:line="190" w:lineRule="exact"/>
            </w:pPr>
            <w:r>
              <w:rPr>
                <w:rStyle w:val="22"/>
                <w:color w:val="auto"/>
              </w:rPr>
              <w:t>良好信用</w:t>
            </w:r>
          </w:p>
        </w:tc>
        <w:tc>
          <w:tcPr>
            <w:tcW w:w="170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20"/>
            </w:pPr>
            <w:r>
              <w:rPr>
                <w:rStyle w:val="22"/>
                <w:color w:val="auto"/>
              </w:rPr>
              <w:t>周期</w:t>
            </w:r>
          </w:p>
        </w:tc>
      </w:tr>
      <w:tr>
        <w:tblPrEx>
          <w:tblCellMar>
            <w:top w:w="0" w:type="dxa"/>
            <w:left w:w="10" w:type="dxa"/>
            <w:bottom w:w="0" w:type="dxa"/>
            <w:right w:w="10" w:type="dxa"/>
          </w:tblCellMar>
        </w:tblPrEx>
        <w:trPr>
          <w:trHeight w:val="1404" w:hRule="exact"/>
          <w:jc w:val="right"/>
        </w:trPr>
        <w:tc>
          <w:tcPr>
            <w:tcW w:w="1238" w:type="dxa"/>
            <w:vMerge w:val="restart"/>
            <w:tcBorders>
              <w:top w:val="single" w:color="auto" w:sz="4" w:space="0"/>
              <w:left w:val="single" w:color="auto" w:sz="4" w:space="0"/>
            </w:tcBorders>
            <w:shd w:val="clear" w:color="auto" w:fill="FFFFFF"/>
            <w:vAlign w:val="center"/>
          </w:tcPr>
          <w:p>
            <w:pPr>
              <w:pStyle w:val="21"/>
              <w:shd w:val="clear" w:color="auto" w:fill="auto"/>
              <w:spacing w:after="0" w:line="190" w:lineRule="exact"/>
              <w:ind w:left="220"/>
            </w:pPr>
            <w:r>
              <w:rPr>
                <w:rStyle w:val="22"/>
                <w:color w:val="auto"/>
              </w:rPr>
              <w:t>奖励荣誉</w:t>
            </w:r>
          </w:p>
        </w:tc>
        <w:tc>
          <w:tcPr>
            <w:tcW w:w="5594" w:type="dxa"/>
            <w:tcBorders>
              <w:top w:val="single" w:color="auto" w:sz="4" w:space="0"/>
              <w:left w:val="single" w:color="auto" w:sz="4" w:space="0"/>
            </w:tcBorders>
            <w:shd w:val="clear" w:color="auto" w:fill="FFFFFF"/>
            <w:vAlign w:val="center"/>
          </w:tcPr>
          <w:p>
            <w:pPr>
              <w:pStyle w:val="21"/>
              <w:shd w:val="clear" w:color="auto" w:fill="auto"/>
              <w:spacing w:after="0" w:line="238" w:lineRule="exact"/>
              <w:jc w:val="both"/>
            </w:pPr>
            <w:r>
              <w:rPr>
                <w:rStyle w:val="22"/>
                <w:color w:val="auto"/>
              </w:rPr>
              <w:t>国家级奖项/荣誉（包括鲁班奖、詹天佑奖、梁思成奖、华夏建 设科学技术奖、绿色建筑创新奖、全国建筑工程装饰奖、中国 建筑工程“钢结构金奖”、工程项目管理优秀奖、工程总承包奖 等）、国家</w:t>
            </w:r>
            <w:r>
              <w:rPr>
                <w:rStyle w:val="22"/>
                <w:color w:val="auto"/>
                <w:lang w:val="en-US" w:bidi="en-US"/>
              </w:rPr>
              <w:t>AAA</w:t>
            </w:r>
            <w:r>
              <w:rPr>
                <w:rStyle w:val="22"/>
                <w:color w:val="auto"/>
              </w:rPr>
              <w:t>级安全文明工地奖。</w:t>
            </w:r>
          </w:p>
        </w:tc>
        <w:tc>
          <w:tcPr>
            <w:tcW w:w="170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20"/>
            </w:pPr>
            <w:r>
              <w:rPr>
                <w:rStyle w:val="22"/>
                <w:color w:val="auto"/>
              </w:rPr>
              <w:t>3年</w:t>
            </w:r>
          </w:p>
        </w:tc>
      </w:tr>
      <w:tr>
        <w:tblPrEx>
          <w:tblCellMar>
            <w:top w:w="0" w:type="dxa"/>
            <w:left w:w="10" w:type="dxa"/>
            <w:bottom w:w="0" w:type="dxa"/>
            <w:right w:w="10" w:type="dxa"/>
          </w:tblCellMar>
        </w:tblPrEx>
        <w:trPr>
          <w:trHeight w:val="670" w:hRule="exact"/>
          <w:jc w:val="right"/>
        </w:trPr>
        <w:tc>
          <w:tcPr>
            <w:tcW w:w="1238" w:type="dxa"/>
            <w:vMerge w:val="continue"/>
            <w:tcBorders>
              <w:left w:val="single" w:color="auto" w:sz="4" w:space="0"/>
            </w:tcBorders>
            <w:shd w:val="clear" w:color="auto" w:fill="FFFFFF"/>
            <w:vAlign w:val="bottom"/>
          </w:tcPr>
          <w:p/>
        </w:tc>
        <w:tc>
          <w:tcPr>
            <w:tcW w:w="5594" w:type="dxa"/>
            <w:tcBorders>
              <w:top w:val="single" w:color="auto" w:sz="4" w:space="0"/>
              <w:left w:val="single" w:color="auto" w:sz="4" w:space="0"/>
            </w:tcBorders>
            <w:shd w:val="clear" w:color="auto" w:fill="FFFFFF"/>
            <w:vAlign w:val="center"/>
          </w:tcPr>
          <w:p>
            <w:pPr>
              <w:pStyle w:val="21"/>
              <w:shd w:val="clear" w:color="auto" w:fill="auto"/>
              <w:spacing w:after="0" w:line="190" w:lineRule="exact"/>
              <w:jc w:val="both"/>
            </w:pPr>
            <w:r>
              <w:rPr>
                <w:rStyle w:val="22"/>
                <w:color w:val="auto"/>
              </w:rPr>
              <w:t>省部级奖项/荣誉（中州杯等）、省安全文明标准化工地奖。</w:t>
            </w:r>
          </w:p>
        </w:tc>
        <w:tc>
          <w:tcPr>
            <w:tcW w:w="170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20"/>
            </w:pPr>
            <w:r>
              <w:rPr>
                <w:rStyle w:val="22"/>
                <w:color w:val="auto"/>
              </w:rPr>
              <w:t>3年</w:t>
            </w:r>
          </w:p>
        </w:tc>
      </w:tr>
      <w:tr>
        <w:tblPrEx>
          <w:tblCellMar>
            <w:top w:w="0" w:type="dxa"/>
            <w:left w:w="10" w:type="dxa"/>
            <w:bottom w:w="0" w:type="dxa"/>
            <w:right w:w="10" w:type="dxa"/>
          </w:tblCellMar>
        </w:tblPrEx>
        <w:trPr>
          <w:trHeight w:val="886" w:hRule="exact"/>
          <w:jc w:val="right"/>
        </w:trPr>
        <w:tc>
          <w:tcPr>
            <w:tcW w:w="1238" w:type="dxa"/>
            <w:vMerge w:val="continue"/>
            <w:tcBorders>
              <w:left w:val="single" w:color="auto" w:sz="4" w:space="0"/>
            </w:tcBorders>
            <w:shd w:val="clear" w:color="auto" w:fill="FFFFFF"/>
          </w:tcPr>
          <w:p>
            <w:pPr>
              <w:rPr>
                <w:sz w:val="10"/>
                <w:szCs w:val="10"/>
              </w:rPr>
            </w:pPr>
          </w:p>
        </w:tc>
        <w:tc>
          <w:tcPr>
            <w:tcW w:w="5594" w:type="dxa"/>
            <w:tcBorders>
              <w:top w:val="single" w:color="auto" w:sz="4" w:space="0"/>
              <w:left w:val="single" w:color="auto" w:sz="4" w:space="0"/>
            </w:tcBorders>
            <w:shd w:val="clear" w:color="auto" w:fill="FFFFFF"/>
            <w:vAlign w:val="center"/>
          </w:tcPr>
          <w:p>
            <w:pPr>
              <w:pStyle w:val="21"/>
              <w:shd w:val="clear" w:color="auto" w:fill="auto"/>
              <w:spacing w:after="0" w:line="190" w:lineRule="exact"/>
              <w:jc w:val="both"/>
            </w:pPr>
            <w:r>
              <w:rPr>
                <w:rStyle w:val="22"/>
                <w:color w:val="auto"/>
              </w:rPr>
              <w:t>市级奖项/荣誉（商鼎杯等）、安全文明际准化工地奖。</w:t>
            </w:r>
          </w:p>
        </w:tc>
        <w:tc>
          <w:tcPr>
            <w:tcW w:w="170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20"/>
            </w:pPr>
            <w:r>
              <w:rPr>
                <w:rStyle w:val="22"/>
                <w:color w:val="auto"/>
              </w:rPr>
              <w:t>3年</w:t>
            </w:r>
          </w:p>
        </w:tc>
      </w:tr>
      <w:tr>
        <w:tblPrEx>
          <w:tblCellMar>
            <w:top w:w="0" w:type="dxa"/>
            <w:left w:w="10" w:type="dxa"/>
            <w:bottom w:w="0" w:type="dxa"/>
            <w:right w:w="10" w:type="dxa"/>
          </w:tblCellMar>
        </w:tblPrEx>
        <w:trPr>
          <w:trHeight w:val="850" w:hRule="exact"/>
          <w:jc w:val="right"/>
        </w:trPr>
        <w:tc>
          <w:tcPr>
            <w:tcW w:w="1238" w:type="dxa"/>
            <w:vMerge w:val="restart"/>
            <w:tcBorders>
              <w:top w:val="single" w:color="auto" w:sz="4" w:space="0"/>
              <w:left w:val="single" w:color="auto" w:sz="4" w:space="0"/>
            </w:tcBorders>
            <w:shd w:val="clear" w:color="auto" w:fill="FFFFFF"/>
            <w:vAlign w:val="center"/>
          </w:tcPr>
          <w:p>
            <w:pPr>
              <w:pStyle w:val="21"/>
              <w:shd w:val="clear" w:color="auto" w:fill="auto"/>
              <w:spacing w:after="0" w:line="238" w:lineRule="exact"/>
              <w:ind w:right="40"/>
            </w:pPr>
            <w:r>
              <w:rPr>
                <w:rStyle w:val="22"/>
                <w:color w:val="auto"/>
              </w:rPr>
              <w:t>科技创新 （建筑类）</w:t>
            </w:r>
          </w:p>
        </w:tc>
        <w:tc>
          <w:tcPr>
            <w:tcW w:w="5594" w:type="dxa"/>
            <w:tcBorders>
              <w:top w:val="single" w:color="auto" w:sz="4" w:space="0"/>
              <w:left w:val="single" w:color="auto" w:sz="4" w:space="0"/>
            </w:tcBorders>
            <w:shd w:val="clear" w:color="auto" w:fill="FFFFFF"/>
            <w:vAlign w:val="center"/>
          </w:tcPr>
          <w:p>
            <w:pPr>
              <w:pStyle w:val="21"/>
              <w:shd w:val="clear" w:color="auto" w:fill="auto"/>
              <w:spacing w:after="0" w:line="190" w:lineRule="exact"/>
              <w:jc w:val="both"/>
            </w:pPr>
            <w:r>
              <w:rPr>
                <w:rStyle w:val="22"/>
                <w:color w:val="auto"/>
              </w:rPr>
              <w:t>发明专利，包括发明型专利、实用新型专利</w:t>
            </w:r>
          </w:p>
        </w:tc>
        <w:tc>
          <w:tcPr>
            <w:tcW w:w="170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20"/>
            </w:pPr>
            <w:r>
              <w:rPr>
                <w:rStyle w:val="22"/>
                <w:color w:val="auto"/>
              </w:rPr>
              <w:t>3年</w:t>
            </w:r>
          </w:p>
        </w:tc>
      </w:tr>
      <w:tr>
        <w:tblPrEx>
          <w:tblCellMar>
            <w:top w:w="0" w:type="dxa"/>
            <w:left w:w="10" w:type="dxa"/>
            <w:bottom w:w="0" w:type="dxa"/>
            <w:right w:w="10" w:type="dxa"/>
          </w:tblCellMar>
        </w:tblPrEx>
        <w:trPr>
          <w:trHeight w:val="749" w:hRule="exact"/>
          <w:jc w:val="right"/>
        </w:trPr>
        <w:tc>
          <w:tcPr>
            <w:tcW w:w="1238" w:type="dxa"/>
            <w:vMerge w:val="continue"/>
            <w:tcBorders>
              <w:left w:val="single" w:color="auto" w:sz="4" w:space="0"/>
            </w:tcBorders>
            <w:shd w:val="clear" w:color="auto" w:fill="FFFFFF"/>
          </w:tcPr>
          <w:p>
            <w:pPr>
              <w:rPr>
                <w:sz w:val="10"/>
                <w:szCs w:val="10"/>
              </w:rPr>
            </w:pPr>
          </w:p>
        </w:tc>
        <w:tc>
          <w:tcPr>
            <w:tcW w:w="5594" w:type="dxa"/>
            <w:tcBorders>
              <w:top w:val="single" w:color="auto" w:sz="4" w:space="0"/>
              <w:left w:val="single" w:color="auto" w:sz="4" w:space="0"/>
            </w:tcBorders>
            <w:shd w:val="clear" w:color="auto" w:fill="FFFFFF"/>
            <w:vAlign w:val="center"/>
          </w:tcPr>
          <w:p>
            <w:pPr>
              <w:pStyle w:val="21"/>
              <w:shd w:val="clear" w:color="auto" w:fill="auto"/>
              <w:spacing w:after="0" w:line="190" w:lineRule="exact"/>
              <w:jc w:val="both"/>
            </w:pPr>
            <w:r>
              <w:rPr>
                <w:rStyle w:val="22"/>
                <w:color w:val="auto"/>
              </w:rPr>
              <w:t>参与工法编制，包括国家级和省部级。</w:t>
            </w:r>
          </w:p>
        </w:tc>
        <w:tc>
          <w:tcPr>
            <w:tcW w:w="170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20"/>
            </w:pPr>
            <w:r>
              <w:rPr>
                <w:rStyle w:val="22"/>
                <w:color w:val="auto"/>
              </w:rPr>
              <w:t>3年</w:t>
            </w:r>
          </w:p>
        </w:tc>
      </w:tr>
      <w:tr>
        <w:tblPrEx>
          <w:tblCellMar>
            <w:top w:w="0" w:type="dxa"/>
            <w:left w:w="10" w:type="dxa"/>
            <w:bottom w:w="0" w:type="dxa"/>
            <w:right w:w="10" w:type="dxa"/>
          </w:tblCellMar>
        </w:tblPrEx>
        <w:trPr>
          <w:trHeight w:val="734" w:hRule="exact"/>
          <w:jc w:val="right"/>
        </w:trPr>
        <w:tc>
          <w:tcPr>
            <w:tcW w:w="1238" w:type="dxa"/>
            <w:vMerge w:val="continue"/>
            <w:tcBorders>
              <w:left w:val="single" w:color="auto" w:sz="4" w:space="0"/>
            </w:tcBorders>
            <w:shd w:val="clear" w:color="auto" w:fill="FFFFFF"/>
          </w:tcPr>
          <w:p>
            <w:pPr>
              <w:pStyle w:val="21"/>
              <w:shd w:val="clear" w:color="auto" w:fill="auto"/>
              <w:spacing w:after="0" w:line="238" w:lineRule="exact"/>
              <w:ind w:right="40"/>
            </w:pPr>
          </w:p>
        </w:tc>
        <w:tc>
          <w:tcPr>
            <w:tcW w:w="5594" w:type="dxa"/>
            <w:tcBorders>
              <w:top w:val="single" w:color="auto" w:sz="4" w:space="0"/>
              <w:left w:val="single" w:color="auto" w:sz="4" w:space="0"/>
            </w:tcBorders>
            <w:shd w:val="clear" w:color="auto" w:fill="FFFFFF"/>
            <w:vAlign w:val="center"/>
          </w:tcPr>
          <w:p>
            <w:pPr>
              <w:pStyle w:val="21"/>
              <w:shd w:val="clear" w:color="auto" w:fill="auto"/>
              <w:spacing w:after="0" w:line="245" w:lineRule="exact"/>
              <w:jc w:val="left"/>
            </w:pPr>
            <w:r>
              <w:rPr>
                <w:rStyle w:val="22"/>
                <w:color w:val="auto"/>
              </w:rPr>
              <w:t>参与工程建设标准、定额制定，包括国家或行业标准、定额、 地方（省级）标准、定额。</w:t>
            </w:r>
          </w:p>
        </w:tc>
        <w:tc>
          <w:tcPr>
            <w:tcW w:w="170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20"/>
            </w:pPr>
            <w:r>
              <w:rPr>
                <w:rStyle w:val="22"/>
                <w:color w:val="auto"/>
              </w:rPr>
              <w:t>3年</w:t>
            </w:r>
          </w:p>
        </w:tc>
      </w:tr>
      <w:tr>
        <w:tblPrEx>
          <w:tblCellMar>
            <w:top w:w="0" w:type="dxa"/>
            <w:left w:w="10" w:type="dxa"/>
            <w:bottom w:w="0" w:type="dxa"/>
            <w:right w:w="10" w:type="dxa"/>
          </w:tblCellMar>
        </w:tblPrEx>
        <w:trPr>
          <w:trHeight w:val="1361" w:hRule="exact"/>
          <w:jc w:val="right"/>
        </w:trPr>
        <w:tc>
          <w:tcPr>
            <w:tcW w:w="1238" w:type="dxa"/>
            <w:vMerge w:val="continue"/>
            <w:tcBorders>
              <w:left w:val="single" w:color="auto" w:sz="4" w:space="0"/>
            </w:tcBorders>
            <w:shd w:val="clear" w:color="auto" w:fill="FFFFFF"/>
          </w:tcPr>
          <w:p>
            <w:pPr>
              <w:rPr>
                <w:sz w:val="10"/>
                <w:szCs w:val="10"/>
              </w:rPr>
            </w:pPr>
          </w:p>
        </w:tc>
        <w:tc>
          <w:tcPr>
            <w:tcW w:w="5594" w:type="dxa"/>
            <w:tcBorders>
              <w:top w:val="single" w:color="auto" w:sz="4" w:space="0"/>
              <w:left w:val="single" w:color="auto" w:sz="4" w:space="0"/>
            </w:tcBorders>
            <w:shd w:val="clear" w:color="auto" w:fill="FFFFFF"/>
            <w:vAlign w:val="center"/>
          </w:tcPr>
          <w:p>
            <w:pPr>
              <w:pStyle w:val="21"/>
              <w:shd w:val="clear" w:color="auto" w:fill="auto"/>
              <w:spacing w:after="0" w:line="238" w:lineRule="exact"/>
              <w:jc w:val="both"/>
            </w:pPr>
            <w:r>
              <w:rPr>
                <w:rStyle w:val="22"/>
                <w:color w:val="auto"/>
              </w:rPr>
              <w:t>个人获得科技进步奖，包括国家级科技进步奖一等奖、二等奖， 河南省级科技进步奖一等奖、二等奖、厅级科技进步奖等。</w:t>
            </w:r>
          </w:p>
        </w:tc>
        <w:tc>
          <w:tcPr>
            <w:tcW w:w="1706" w:type="dxa"/>
            <w:tcBorders>
              <w:top w:val="single" w:color="auto" w:sz="4" w:space="0"/>
              <w:left w:val="single" w:color="auto" w:sz="4" w:space="0"/>
              <w:right w:val="single" w:color="auto" w:sz="4" w:space="0"/>
            </w:tcBorders>
            <w:shd w:val="clear" w:color="auto" w:fill="FFFFFF"/>
            <w:vAlign w:val="center"/>
          </w:tcPr>
          <w:p>
            <w:pPr>
              <w:pStyle w:val="21"/>
              <w:shd w:val="clear" w:color="auto" w:fill="auto"/>
              <w:spacing w:after="0" w:line="190" w:lineRule="exact"/>
              <w:ind w:left="20"/>
            </w:pPr>
            <w:r>
              <w:rPr>
                <w:rStyle w:val="22"/>
                <w:color w:val="auto"/>
              </w:rPr>
              <w:t>3年</w:t>
            </w:r>
          </w:p>
        </w:tc>
      </w:tr>
      <w:tr>
        <w:tblPrEx>
          <w:tblCellMar>
            <w:top w:w="0" w:type="dxa"/>
            <w:left w:w="10" w:type="dxa"/>
            <w:bottom w:w="0" w:type="dxa"/>
            <w:right w:w="10" w:type="dxa"/>
          </w:tblCellMar>
        </w:tblPrEx>
        <w:trPr>
          <w:trHeight w:val="1390" w:hRule="exact"/>
          <w:jc w:val="right"/>
        </w:trPr>
        <w:tc>
          <w:tcPr>
            <w:tcW w:w="1238" w:type="dxa"/>
            <w:tcBorders>
              <w:top w:val="single" w:color="auto" w:sz="4" w:space="0"/>
              <w:left w:val="single" w:color="auto" w:sz="4" w:space="0"/>
              <w:bottom w:val="single" w:color="auto" w:sz="4" w:space="0"/>
            </w:tcBorders>
            <w:shd w:val="clear" w:color="auto" w:fill="FFFFFF"/>
            <w:vAlign w:val="center"/>
          </w:tcPr>
          <w:p>
            <w:pPr>
              <w:pStyle w:val="21"/>
              <w:shd w:val="clear" w:color="auto" w:fill="auto"/>
              <w:spacing w:after="0" w:line="238" w:lineRule="exact"/>
              <w:ind w:right="40"/>
            </w:pPr>
            <w:r>
              <w:rPr>
                <w:rStyle w:val="22"/>
                <w:color w:val="auto"/>
              </w:rPr>
              <w:t>外埠市场开 拓</w:t>
            </w:r>
          </w:p>
        </w:tc>
        <w:tc>
          <w:tcPr>
            <w:tcW w:w="5594" w:type="dxa"/>
            <w:tcBorders>
              <w:top w:val="single" w:color="auto" w:sz="4" w:space="0"/>
              <w:left w:val="single" w:color="auto" w:sz="4" w:space="0"/>
              <w:bottom w:val="single" w:color="auto" w:sz="4" w:space="0"/>
            </w:tcBorders>
            <w:shd w:val="clear" w:color="auto" w:fill="FFFFFF"/>
            <w:vAlign w:val="center"/>
          </w:tcPr>
          <w:p>
            <w:pPr>
              <w:pStyle w:val="21"/>
              <w:shd w:val="clear" w:color="auto" w:fill="auto"/>
              <w:spacing w:after="0" w:line="245" w:lineRule="exact"/>
              <w:jc w:val="left"/>
            </w:pPr>
            <w:r>
              <w:rPr>
                <w:rStyle w:val="22"/>
                <w:color w:val="auto"/>
              </w:rPr>
              <w:t>个人在省外工程施工中获得县级以上有关部门给予的有关质 量、安全文明施工、科技创新、通报表彰等奖项和奖励。</w:t>
            </w:r>
          </w:p>
        </w:tc>
        <w:tc>
          <w:tcPr>
            <w:tcW w:w="17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hd w:val="clear" w:color="auto" w:fill="auto"/>
              <w:spacing w:after="0" w:line="190" w:lineRule="exact"/>
              <w:ind w:left="20"/>
            </w:pPr>
            <w:r>
              <w:rPr>
                <w:rStyle w:val="22"/>
                <w:color w:val="auto"/>
              </w:rPr>
              <w:t>3年</w:t>
            </w:r>
          </w:p>
        </w:tc>
      </w:tr>
    </w:tbl>
    <w:p>
      <w:pPr>
        <w:pStyle w:val="10"/>
        <w:ind w:left="2900" w:hanging="1200"/>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rPr>
          <w:rFonts w:ascii="新宋体" w:hAnsi="新宋体" w:eastAsia="新宋体"/>
          <w:sz w:val="24"/>
        </w:rPr>
      </w:pPr>
    </w:p>
    <w:p>
      <w:pPr>
        <w:adjustRightInd w:val="0"/>
        <w:snapToGrid w:val="0"/>
        <w:spacing w:line="440" w:lineRule="exact"/>
        <w:jc w:val="center"/>
        <w:rPr>
          <w:b/>
          <w:spacing w:val="-3"/>
          <w:sz w:val="24"/>
        </w:rPr>
      </w:pPr>
      <w:r>
        <w:rPr>
          <w:rFonts w:hint="eastAsia" w:hAnsi="宋体" w:cs="黑体"/>
          <w:b/>
          <w:sz w:val="36"/>
          <w:szCs w:val="36"/>
        </w:rPr>
        <w:t>第四章合同条款及格式</w:t>
      </w:r>
      <w:bookmarkEnd w:id="182"/>
    </w:p>
    <w:p>
      <w:pPr>
        <w:tabs>
          <w:tab w:val="left" w:pos="5000"/>
        </w:tabs>
        <w:spacing w:line="360" w:lineRule="auto"/>
        <w:ind w:firstLine="490"/>
        <w:rPr>
          <w:rFonts w:hAnsi="宋体" w:cs="黑体"/>
          <w:b/>
          <w:sz w:val="32"/>
          <w:szCs w:val="32"/>
        </w:rPr>
      </w:pPr>
      <w:bookmarkStart w:id="185" w:name="_Toc278443514"/>
    </w:p>
    <w:p>
      <w:pPr>
        <w:tabs>
          <w:tab w:val="left" w:pos="5000"/>
        </w:tabs>
        <w:spacing w:line="360" w:lineRule="auto"/>
        <w:ind w:firstLine="490"/>
        <w:rPr>
          <w:rFonts w:hAnsi="宋体" w:cs="黑体"/>
          <w:b/>
          <w:sz w:val="32"/>
          <w:szCs w:val="32"/>
        </w:rPr>
      </w:pPr>
      <w:r>
        <w:rPr>
          <w:rFonts w:hint="eastAsia" w:hAnsi="宋体" w:cs="黑体"/>
          <w:b/>
          <w:sz w:val="32"/>
          <w:szCs w:val="32"/>
        </w:rPr>
        <w:t xml:space="preserve"> 采用由中华人民共和国住房和城乡建设部与国家工商行政管理局联合制定的《建设工程施工合同》(GF2017-0201)签订合</w:t>
      </w:r>
      <w:bookmarkEnd w:id="185"/>
      <w:bookmarkStart w:id="186"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ind w:firstLine="882" w:firstLineChars="245"/>
        <w:outlineLvl w:val="0"/>
        <w:rPr>
          <w:rFonts w:hAnsi="宋体" w:cs="黑体"/>
          <w:b/>
          <w:sz w:val="36"/>
          <w:szCs w:val="36"/>
        </w:rPr>
      </w:pPr>
      <w:r>
        <w:rPr>
          <w:rFonts w:hAnsi="宋体" w:cs="黑体"/>
          <w:b/>
          <w:sz w:val="36"/>
          <w:szCs w:val="36"/>
        </w:rPr>
        <w:br w:type="page"/>
      </w:r>
      <w:r>
        <w:rPr>
          <w:rFonts w:hint="eastAsia" w:hAnsi="宋体" w:cs="黑体"/>
          <w:b/>
          <w:sz w:val="36"/>
          <w:szCs w:val="36"/>
        </w:rPr>
        <w:t xml:space="preserve">            第五章 工程量清单编制要求</w:t>
      </w:r>
    </w:p>
    <w:p>
      <w:pPr>
        <w:autoSpaceDE w:val="0"/>
        <w:autoSpaceDN w:val="0"/>
        <w:adjustRightInd w:val="0"/>
        <w:spacing w:line="400" w:lineRule="exact"/>
        <w:jc w:val="left"/>
        <w:outlineLvl w:val="0"/>
        <w:rPr>
          <w:rFonts w:ascii="宋体" w:hAnsi="宋体" w:cs="TimesNewRomanPSMT"/>
          <w:b/>
          <w:kern w:val="0"/>
          <w:sz w:val="24"/>
          <w:szCs w:val="24"/>
        </w:rPr>
      </w:pPr>
      <w:bookmarkStart w:id="187" w:name="_Toc344934500"/>
      <w:bookmarkStart w:id="188" w:name="_Toc397507816"/>
      <w:bookmarkStart w:id="189" w:name="_Toc397606012"/>
      <w:bookmarkStart w:id="190" w:name="_Toc464824785"/>
      <w:bookmarkStart w:id="191" w:name="_Toc397508143"/>
      <w:bookmarkStart w:id="192" w:name="_Toc1952"/>
      <w:bookmarkStart w:id="193" w:name="_Toc215282225"/>
      <w:r>
        <w:rPr>
          <w:rFonts w:ascii="宋体" w:hAnsi="宋体" w:cs="TimesNewRomanPSMT"/>
          <w:b/>
          <w:kern w:val="0"/>
          <w:sz w:val="24"/>
          <w:szCs w:val="24"/>
        </w:rPr>
        <w:t xml:space="preserve">1. </w:t>
      </w:r>
      <w:r>
        <w:rPr>
          <w:rFonts w:hint="eastAsia" w:ascii="宋体" w:hAnsi="宋体" w:cs="TimesNewRomanPSMT"/>
          <w:b/>
          <w:kern w:val="0"/>
          <w:sz w:val="24"/>
          <w:szCs w:val="24"/>
        </w:rPr>
        <w:t>工程量清单说明</w:t>
      </w:r>
      <w:bookmarkEnd w:id="187"/>
      <w:bookmarkEnd w:id="188"/>
      <w:bookmarkEnd w:id="189"/>
      <w:bookmarkEnd w:id="190"/>
      <w:bookmarkEnd w:id="191"/>
      <w:bookmarkEnd w:id="192"/>
      <w:bookmarkEnd w:id="193"/>
    </w:p>
    <w:p>
      <w:pPr>
        <w:autoSpaceDE w:val="0"/>
        <w:autoSpaceDN w:val="0"/>
        <w:adjustRightInd w:val="0"/>
        <w:spacing w:line="340" w:lineRule="exact"/>
        <w:ind w:firstLine="410" w:firstLineChars="171"/>
        <w:jc w:val="left"/>
        <w:rPr>
          <w:rFonts w:ascii="宋体" w:hAnsi="宋体" w:cs="仿宋_GB2312"/>
          <w:kern w:val="0"/>
          <w:sz w:val="24"/>
          <w:szCs w:val="24"/>
        </w:rPr>
      </w:pPr>
      <w:r>
        <w:rPr>
          <w:rFonts w:ascii="宋体" w:hAnsi="宋体" w:cs="TimesNewRomanPSMT"/>
          <w:kern w:val="0"/>
          <w:sz w:val="24"/>
          <w:szCs w:val="24"/>
        </w:rPr>
        <w:t xml:space="preserve">1.1 </w:t>
      </w:r>
      <w:r>
        <w:rPr>
          <w:rFonts w:hint="eastAsia" w:ascii="宋体" w:hAnsi="宋体" w:cs="仿宋_GB2312"/>
          <w:kern w:val="0"/>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adjustRightInd w:val="0"/>
        <w:spacing w:line="340" w:lineRule="exact"/>
        <w:ind w:firstLine="410" w:firstLineChars="171"/>
        <w:jc w:val="left"/>
        <w:rPr>
          <w:rFonts w:ascii="宋体" w:hAnsi="宋体" w:cs="仿宋_GB2312"/>
          <w:kern w:val="0"/>
          <w:sz w:val="24"/>
          <w:szCs w:val="24"/>
        </w:rPr>
      </w:pPr>
      <w:r>
        <w:rPr>
          <w:rFonts w:ascii="宋体" w:hAnsi="宋体" w:cs="TimesNewRomanPSMT"/>
          <w:kern w:val="0"/>
          <w:sz w:val="24"/>
          <w:szCs w:val="24"/>
        </w:rPr>
        <w:t xml:space="preserve">1.2 </w:t>
      </w:r>
      <w:r>
        <w:rPr>
          <w:rFonts w:hint="eastAsia" w:ascii="宋体" w:hAnsi="宋体" w:cs="仿宋_GB2312"/>
          <w:kern w:val="0"/>
          <w:sz w:val="24"/>
          <w:szCs w:val="24"/>
        </w:rPr>
        <w:t>本工程量清单应与招标文件中的投标人须知、通用合同条款、专用合同条款、技术标准和要求及图纸等一起阅读和理解。</w:t>
      </w:r>
    </w:p>
    <w:p>
      <w:pPr>
        <w:autoSpaceDE w:val="0"/>
        <w:autoSpaceDN w:val="0"/>
        <w:adjustRightInd w:val="0"/>
        <w:spacing w:line="340" w:lineRule="exact"/>
        <w:ind w:firstLine="410" w:firstLineChars="171"/>
        <w:jc w:val="left"/>
        <w:rPr>
          <w:rFonts w:hint="eastAsia" w:ascii="宋体" w:hAnsi="宋体" w:cs="仿宋_GB2312"/>
          <w:kern w:val="0"/>
          <w:sz w:val="24"/>
          <w:szCs w:val="24"/>
        </w:rPr>
      </w:pPr>
      <w:r>
        <w:rPr>
          <w:rFonts w:ascii="宋体" w:hAnsi="宋体" w:cs="TimesNewRomanPSMT"/>
          <w:kern w:val="0"/>
          <w:sz w:val="24"/>
          <w:szCs w:val="24"/>
        </w:rPr>
        <w:t xml:space="preserve">1.3 </w:t>
      </w:r>
      <w:r>
        <w:rPr>
          <w:rFonts w:hint="eastAsia" w:ascii="宋体" w:hAnsi="宋体" w:cs="仿宋_GB2312"/>
          <w:kern w:val="0"/>
          <w:sz w:val="24"/>
          <w:szCs w:val="24"/>
        </w:rPr>
        <w:t>本工程量清单仅是投标报价的共同基础，实际工程计量和工程价款的支付应遵循合同条款的约定和第七章“技术标准和要求”的有关规定。</w:t>
      </w:r>
    </w:p>
    <w:p>
      <w:pPr>
        <w:numPr>
          <w:ilvl w:val="0"/>
          <w:numId w:val="3"/>
        </w:numPr>
        <w:autoSpaceDE w:val="0"/>
        <w:autoSpaceDN w:val="0"/>
        <w:adjustRightInd w:val="0"/>
        <w:spacing w:line="400" w:lineRule="exact"/>
        <w:jc w:val="left"/>
        <w:outlineLvl w:val="0"/>
        <w:rPr>
          <w:rFonts w:hint="eastAsia" w:ascii="宋体" w:hAnsi="宋体"/>
          <w:bCs/>
          <w:sz w:val="24"/>
          <w:szCs w:val="24"/>
        </w:rPr>
      </w:pPr>
      <w:bookmarkStart w:id="194" w:name="_Toc397508144"/>
      <w:bookmarkStart w:id="195" w:name="_Toc397606013"/>
      <w:bookmarkStart w:id="196" w:name="_Toc215282226"/>
      <w:bookmarkStart w:id="197" w:name="_Toc464824786"/>
      <w:bookmarkStart w:id="198" w:name="_Toc6254"/>
      <w:bookmarkStart w:id="199" w:name="_Toc397507817"/>
      <w:bookmarkStart w:id="200" w:name="_Toc213230751"/>
      <w:bookmarkStart w:id="201" w:name="_Toc344934501"/>
      <w:r>
        <w:rPr>
          <w:rFonts w:hint="eastAsia" w:ascii="宋体" w:hAnsi="宋体" w:cs="TimesNewRomanPSMT"/>
          <w:b/>
          <w:kern w:val="0"/>
          <w:sz w:val="24"/>
          <w:szCs w:val="24"/>
        </w:rPr>
        <w:t>投标报价依据说明</w:t>
      </w:r>
      <w:bookmarkEnd w:id="194"/>
      <w:bookmarkEnd w:id="195"/>
      <w:bookmarkEnd w:id="196"/>
      <w:bookmarkEnd w:id="197"/>
      <w:bookmarkEnd w:id="198"/>
      <w:bookmarkEnd w:id="199"/>
      <w:bookmarkEnd w:id="200"/>
      <w:bookmarkEnd w:id="201"/>
    </w:p>
    <w:p>
      <w:pPr>
        <w:spacing w:line="400" w:lineRule="exact"/>
        <w:ind w:firstLine="480" w:firstLineChars="200"/>
        <w:rPr>
          <w:rFonts w:hint="eastAsia" w:ascii="宋体" w:hAnsi="宋体"/>
          <w:bCs/>
          <w:sz w:val="24"/>
          <w:szCs w:val="24"/>
        </w:rPr>
      </w:pPr>
      <w:r>
        <w:rPr>
          <w:rFonts w:hint="eastAsia" w:ascii="宋体" w:hAnsi="宋体"/>
          <w:bCs/>
          <w:sz w:val="24"/>
          <w:szCs w:val="24"/>
        </w:rPr>
        <w:t>2.1.依据建设单位提供的施工图纸及补充说明：</w:t>
      </w:r>
    </w:p>
    <w:p>
      <w:pPr>
        <w:spacing w:line="400" w:lineRule="exact"/>
        <w:ind w:firstLine="480" w:firstLineChars="200"/>
        <w:rPr>
          <w:rFonts w:hint="eastAsia" w:ascii="宋体" w:hAnsi="宋体"/>
          <w:bCs/>
          <w:sz w:val="24"/>
          <w:szCs w:val="24"/>
        </w:rPr>
      </w:pPr>
      <w:r>
        <w:rPr>
          <w:rFonts w:hint="eastAsia" w:ascii="宋体" w:hAnsi="宋体"/>
          <w:bCs/>
          <w:sz w:val="24"/>
          <w:szCs w:val="24"/>
        </w:rPr>
        <w:t>2.2.工程量清单依据《建设工程工程量清单计价规范》（2013版）；</w:t>
      </w:r>
    </w:p>
    <w:p>
      <w:pPr>
        <w:spacing w:line="460" w:lineRule="exact"/>
        <w:ind w:firstLine="480" w:firstLineChars="200"/>
        <w:rPr>
          <w:rFonts w:hint="eastAsia" w:ascii="宋体" w:hAnsi="宋体" w:eastAsia="宋体"/>
          <w:bCs/>
          <w:sz w:val="24"/>
          <w:szCs w:val="24"/>
          <w:lang w:eastAsia="zh-CN"/>
        </w:rPr>
      </w:pPr>
      <w:r>
        <w:rPr>
          <w:rFonts w:hint="eastAsia" w:ascii="宋体" w:hAnsi="宋体"/>
          <w:bCs/>
          <w:sz w:val="24"/>
          <w:szCs w:val="24"/>
        </w:rPr>
        <w:t>2.3.</w:t>
      </w:r>
      <w:r>
        <w:rPr>
          <w:rFonts w:hint="eastAsia" w:ascii="宋体" w:hAnsi="宋体"/>
          <w:sz w:val="24"/>
          <w:szCs w:val="24"/>
        </w:rPr>
        <w:t>定额依据《河南省</w:t>
      </w:r>
      <w:r>
        <w:rPr>
          <w:rFonts w:hint="eastAsia" w:hAnsi="宋体"/>
          <w:sz w:val="24"/>
          <w:szCs w:val="24"/>
          <w:lang w:eastAsia="zh-CN"/>
        </w:rPr>
        <w:t>建设工程工程量清单综合单价</w:t>
      </w:r>
      <w:r>
        <w:rPr>
          <w:rFonts w:hint="eastAsia" w:ascii="宋体" w:hAnsi="宋体"/>
          <w:sz w:val="24"/>
          <w:szCs w:val="24"/>
        </w:rPr>
        <w:t>》（</w:t>
      </w:r>
      <w:r>
        <w:rPr>
          <w:rFonts w:hint="eastAsia" w:hAnsi="宋体"/>
          <w:sz w:val="24"/>
          <w:szCs w:val="24"/>
          <w:lang w:val="en-US" w:eastAsia="zh-CN"/>
        </w:rPr>
        <w:t>2008</w:t>
      </w:r>
      <w:r>
        <w:rPr>
          <w:rFonts w:hint="eastAsia" w:ascii="宋体" w:hAnsi="宋体"/>
          <w:sz w:val="24"/>
          <w:szCs w:val="24"/>
        </w:rPr>
        <w:t>）</w:t>
      </w:r>
      <w:r>
        <w:rPr>
          <w:rFonts w:hint="eastAsia" w:hAnsi="宋体"/>
          <w:sz w:val="24"/>
          <w:szCs w:val="24"/>
          <w:lang w:val="en-US" w:eastAsia="zh-CN"/>
        </w:rPr>
        <w:t>E.</w:t>
      </w:r>
      <w:r>
        <w:rPr>
          <w:rFonts w:hint="eastAsia" w:hAnsi="宋体"/>
          <w:sz w:val="24"/>
          <w:szCs w:val="24"/>
          <w:lang w:eastAsia="zh-CN"/>
        </w:rPr>
        <w:t>（园林）绿化工程及相关配套文件得规定；</w:t>
      </w:r>
    </w:p>
    <w:p>
      <w:pPr>
        <w:spacing w:line="400" w:lineRule="exact"/>
        <w:ind w:firstLine="480" w:firstLineChars="200"/>
        <w:rPr>
          <w:rFonts w:hint="eastAsia" w:ascii="宋体" w:hAnsi="宋体"/>
          <w:bCs/>
          <w:sz w:val="24"/>
          <w:szCs w:val="24"/>
        </w:rPr>
      </w:pPr>
      <w:r>
        <w:rPr>
          <w:rFonts w:hint="eastAsia" w:ascii="宋体" w:hAnsi="宋体"/>
          <w:bCs/>
          <w:sz w:val="24"/>
          <w:szCs w:val="24"/>
        </w:rPr>
        <w:t>2.4.材料价格依据2019年第</w:t>
      </w:r>
      <w:r>
        <w:rPr>
          <w:rFonts w:hint="eastAsia" w:hAnsi="宋体"/>
          <w:bCs/>
          <w:sz w:val="24"/>
          <w:szCs w:val="24"/>
          <w:lang w:val="en-US" w:eastAsia="zh-CN"/>
        </w:rPr>
        <w:t>5</w:t>
      </w:r>
      <w:r>
        <w:rPr>
          <w:rFonts w:hint="eastAsia" w:ascii="宋体" w:hAnsi="宋体"/>
          <w:bCs/>
          <w:sz w:val="24"/>
          <w:szCs w:val="24"/>
        </w:rPr>
        <w:t>期《许昌工程造价信息》，未包含的材料价格参考市场价。</w:t>
      </w:r>
    </w:p>
    <w:p>
      <w:pPr>
        <w:spacing w:line="400" w:lineRule="exact"/>
        <w:ind w:firstLine="480" w:firstLineChars="200"/>
        <w:rPr>
          <w:rFonts w:hint="eastAsia" w:ascii="宋体" w:hAnsi="宋体"/>
          <w:bCs/>
          <w:sz w:val="24"/>
          <w:szCs w:val="24"/>
        </w:rPr>
      </w:pPr>
      <w:r>
        <w:rPr>
          <w:rFonts w:hint="eastAsia" w:ascii="宋体" w:hAnsi="宋体"/>
          <w:bCs/>
          <w:sz w:val="24"/>
          <w:szCs w:val="24"/>
        </w:rPr>
        <w:t>2.5.税金调整依据建办标函[2019]193号文，按9%计取；</w:t>
      </w:r>
    </w:p>
    <w:p>
      <w:pPr>
        <w:spacing w:line="400" w:lineRule="exact"/>
        <w:ind w:firstLine="480" w:firstLineChars="200"/>
        <w:rPr>
          <w:rFonts w:hint="eastAsia" w:hAnsi="宋体"/>
          <w:bCs/>
          <w:sz w:val="24"/>
          <w:szCs w:val="24"/>
          <w:lang w:eastAsia="zh-CN"/>
        </w:rPr>
      </w:pPr>
      <w:r>
        <w:rPr>
          <w:rFonts w:hint="eastAsia" w:ascii="宋体" w:hAnsi="宋体"/>
          <w:bCs/>
          <w:sz w:val="24"/>
          <w:szCs w:val="24"/>
        </w:rPr>
        <w:t>2.6.人工费依据豫建标定[2019]26号文发布的</w:t>
      </w:r>
      <w:r>
        <w:rPr>
          <w:rFonts w:hint="eastAsia" w:hAnsi="宋体"/>
          <w:bCs/>
          <w:sz w:val="24"/>
          <w:szCs w:val="24"/>
          <w:lang w:eastAsia="zh-CN"/>
        </w:rPr>
        <w:t>相应</w:t>
      </w:r>
      <w:r>
        <w:rPr>
          <w:rFonts w:hint="eastAsia" w:ascii="宋体" w:hAnsi="宋体"/>
          <w:bCs/>
          <w:sz w:val="24"/>
          <w:szCs w:val="24"/>
        </w:rPr>
        <w:t>人工费指数进行调整</w:t>
      </w:r>
      <w:r>
        <w:rPr>
          <w:rFonts w:hint="eastAsia" w:hAnsi="宋体"/>
          <w:bCs/>
          <w:sz w:val="24"/>
          <w:szCs w:val="24"/>
          <w:lang w:eastAsia="zh-CN"/>
        </w:rPr>
        <w:t>；</w:t>
      </w:r>
    </w:p>
    <w:p>
      <w:pPr>
        <w:spacing w:line="400" w:lineRule="exact"/>
        <w:rPr>
          <w:rFonts w:hint="eastAsia" w:hAnsi="宋体" w:cs="宋体"/>
          <w:b/>
          <w:sz w:val="24"/>
        </w:rPr>
      </w:pPr>
      <w:bookmarkStart w:id="202" w:name="_Toc464824787"/>
      <w:bookmarkStart w:id="203" w:name="_Toc24583"/>
      <w:r>
        <w:rPr>
          <w:rFonts w:hint="eastAsia" w:ascii="宋体" w:hAnsi="宋体"/>
          <w:b/>
          <w:bCs/>
          <w:sz w:val="24"/>
          <w:szCs w:val="24"/>
        </w:rPr>
        <w:t>3.投标人应当根据招标文件提供的商务标招标文件（工程量清单）、招标控制价、招标文件相关要求及有关规定编制投标报价。</w:t>
      </w:r>
      <w:bookmarkEnd w:id="202"/>
      <w:bookmarkEnd w:id="203"/>
    </w:p>
    <w:p>
      <w:pPr>
        <w:spacing w:line="360" w:lineRule="auto"/>
        <w:rPr>
          <w:rFonts w:hAnsi="宋体" w:cs="宋体"/>
          <w:b/>
          <w:sz w:val="24"/>
        </w:rPr>
      </w:pPr>
      <w:r>
        <w:rPr>
          <w:rFonts w:hint="eastAsia" w:hAnsi="宋体" w:cs="宋体"/>
          <w:b/>
          <w:sz w:val="24"/>
        </w:rPr>
        <w:t>4．工程量清单</w:t>
      </w:r>
    </w:p>
    <w:p>
      <w:pPr>
        <w:wordWrap w:val="0"/>
        <w:spacing w:line="360" w:lineRule="auto"/>
        <w:ind w:firstLine="480" w:firstLineChars="200"/>
        <w:rPr>
          <w:rFonts w:hAnsi="宋体" w:cs="宋体"/>
          <w:sz w:val="24"/>
          <w:u w:val="single"/>
        </w:rPr>
      </w:pPr>
      <w:r>
        <w:rPr>
          <w:rFonts w:hint="eastAsia" w:ascii="新宋体" w:hAnsi="新宋体" w:eastAsia="新宋体"/>
          <w:sz w:val="24"/>
          <w:u w:val="single"/>
        </w:rPr>
        <w:t>工程量清单在【全国公共资源交易平台(河南省</w:t>
      </w:r>
      <w:r>
        <w:rPr>
          <w:rFonts w:hint="eastAsia" w:ascii="MS Mincho" w:hAnsi="MS Mincho" w:eastAsia="MS Mincho" w:cs="MS Mincho"/>
          <w:sz w:val="24"/>
          <w:u w:val="single"/>
        </w:rPr>
        <w:t>▪</w:t>
      </w:r>
      <w:r>
        <w:rPr>
          <w:rFonts w:hint="eastAsia" w:ascii="新宋体" w:hAnsi="新宋体" w:eastAsia="新宋体" w:cs="新宋体"/>
          <w:sz w:val="24"/>
          <w:u w:val="single"/>
        </w:rPr>
        <w:t>许昌市</w:t>
      </w:r>
      <w:r>
        <w:rPr>
          <w:rFonts w:hint="eastAsia" w:ascii="新宋体" w:hAnsi="新宋体" w:eastAsia="新宋体"/>
          <w:sz w:val="24"/>
          <w:u w:val="single"/>
        </w:rPr>
        <w:t>)】（</w:t>
      </w:r>
      <w:r>
        <w:rPr>
          <w:rFonts w:ascii="新宋体" w:hAnsi="新宋体" w:eastAsia="新宋体"/>
          <w:sz w:val="24"/>
          <w:u w:val="single"/>
        </w:rPr>
        <w:t>http://ggzy.xuchang.gov.cn/</w:t>
      </w:r>
      <w:r>
        <w:rPr>
          <w:rFonts w:hint="eastAsia" w:ascii="新宋体" w:hAnsi="新宋体" w:eastAsia="新宋体"/>
          <w:sz w:val="24"/>
          <w:u w:val="single"/>
        </w:rPr>
        <w:t>），通过“投标人/供应商登录”后自行下载</w:t>
      </w:r>
      <w:r>
        <w:rPr>
          <w:rFonts w:hint="eastAsia" w:hAnsi="宋体" w:cs="宋体"/>
          <w:sz w:val="24"/>
          <w:u w:val="single"/>
        </w:rPr>
        <w:t>。</w:t>
      </w:r>
    </w:p>
    <w:p>
      <w:pPr>
        <w:spacing w:line="360" w:lineRule="auto"/>
        <w:rPr>
          <w:rFonts w:hAnsi="宋体" w:cs="宋体"/>
          <w:sz w:val="36"/>
          <w:szCs w:val="36"/>
          <w:u w:val="single"/>
        </w:rPr>
      </w:pPr>
    </w:p>
    <w:p>
      <w:pPr>
        <w:spacing w:line="360" w:lineRule="auto"/>
        <w:rPr>
          <w:rFonts w:hAnsi="宋体" w:cs="宋体"/>
          <w:sz w:val="36"/>
          <w:szCs w:val="36"/>
          <w:u w:val="single"/>
        </w:rPr>
      </w:pPr>
    </w:p>
    <w:p>
      <w:pPr>
        <w:spacing w:line="360" w:lineRule="auto"/>
        <w:rPr>
          <w:rFonts w:hAnsi="宋体" w:cs="宋体"/>
          <w:sz w:val="36"/>
          <w:szCs w:val="36"/>
          <w:u w:val="single"/>
        </w:rPr>
      </w:pPr>
    </w:p>
    <w:p>
      <w:pPr>
        <w:spacing w:line="360" w:lineRule="auto"/>
        <w:rPr>
          <w:rFonts w:hAnsi="宋体" w:cs="宋体"/>
          <w:sz w:val="36"/>
          <w:szCs w:val="36"/>
          <w:u w:val="single"/>
        </w:rPr>
      </w:pPr>
    </w:p>
    <w:p>
      <w:pPr>
        <w:pStyle w:val="2"/>
        <w:ind w:left="0" w:leftChars="0" w:firstLine="0" w:firstLineChars="0"/>
        <w:rPr>
          <w:rFonts w:hAnsi="宋体" w:cs="宋体"/>
          <w:sz w:val="36"/>
          <w:szCs w:val="36"/>
          <w:u w:val="single"/>
        </w:rPr>
      </w:pPr>
    </w:p>
    <w:p>
      <w:pPr>
        <w:pStyle w:val="2"/>
        <w:ind w:firstLine="360"/>
        <w:rPr>
          <w:rFonts w:hAnsi="宋体" w:cs="宋体"/>
          <w:sz w:val="36"/>
          <w:szCs w:val="36"/>
          <w:u w:val="single"/>
        </w:rPr>
      </w:pPr>
    </w:p>
    <w:p>
      <w:pPr>
        <w:spacing w:line="440" w:lineRule="exact"/>
        <w:rPr>
          <w:rFonts w:ascii="新宋体" w:hAnsi="新宋体" w:eastAsia="新宋体"/>
          <w:sz w:val="36"/>
          <w:szCs w:val="36"/>
          <w:u w:val="single"/>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186"/>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无</w:t>
      </w:r>
    </w:p>
    <w:p>
      <w:pPr>
        <w:autoSpaceDE w:val="0"/>
        <w:autoSpaceDN w:val="0"/>
        <w:adjustRightInd w:val="0"/>
        <w:jc w:val="center"/>
        <w:outlineLvl w:val="0"/>
        <w:rPr>
          <w:rFonts w:hAnsi="宋体" w:cs="黑体"/>
          <w:b/>
          <w:sz w:val="36"/>
          <w:szCs w:val="36"/>
        </w:rPr>
      </w:pPr>
      <w:bookmarkStart w:id="204" w:name="_Toc278443522"/>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204"/>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outlineLvl w:val="0"/>
        <w:rPr>
          <w:rFonts w:hAnsi="宋体" w:cs="黑体"/>
          <w:b/>
          <w:sz w:val="44"/>
          <w:szCs w:val="44"/>
        </w:rPr>
      </w:pPr>
      <w:bookmarkStart w:id="205" w:name="_Toc278443525"/>
    </w:p>
    <w:p>
      <w:pPr>
        <w:autoSpaceDE w:val="0"/>
        <w:autoSpaceDN w:val="0"/>
        <w:adjustRightInd w:val="0"/>
        <w:spacing w:beforeLines="100" w:afterLines="100"/>
        <w:jc w:val="center"/>
        <w:outlineLvl w:val="0"/>
        <w:rPr>
          <w:rFonts w:hAnsi="宋体" w:cs="黑体"/>
          <w:b/>
          <w:sz w:val="44"/>
          <w:szCs w:val="44"/>
        </w:rPr>
      </w:pPr>
      <w:r>
        <w:rPr>
          <w:rFonts w:hAnsi="宋体" w:cs="黑体"/>
          <w:b/>
          <w:sz w:val="44"/>
          <w:szCs w:val="44"/>
        </w:rPr>
        <w:br w:type="page"/>
      </w:r>
      <w:r>
        <w:rPr>
          <w:rFonts w:hint="eastAsia" w:hAnsi="宋体" w:cs="黑体"/>
          <w:b/>
          <w:sz w:val="44"/>
          <w:szCs w:val="44"/>
        </w:rPr>
        <w:t>第八章投标文件格式</w:t>
      </w:r>
      <w:bookmarkEnd w:id="205"/>
    </w:p>
    <w:p>
      <w:pPr>
        <w:tabs>
          <w:tab w:val="center" w:pos="4739"/>
        </w:tabs>
        <w:spacing w:beforeLines="100" w:afterLines="100"/>
        <w:jc w:val="right"/>
        <w:rPr>
          <w:sz w:val="32"/>
          <w:szCs w:val="32"/>
        </w:rPr>
      </w:pPr>
      <w:r>
        <w:rPr>
          <w:rFonts w:hint="eastAsia"/>
          <w:sz w:val="32"/>
          <w:szCs w:val="32"/>
        </w:rPr>
        <w:t>正（副）本</w:t>
      </w:r>
    </w:p>
    <w:p>
      <w:pPr>
        <w:autoSpaceDE w:val="0"/>
        <w:autoSpaceDN w:val="0"/>
        <w:adjustRightInd w:val="0"/>
        <w:jc w:val="center"/>
        <w:rPr>
          <w:rFonts w:hAnsi="宋体" w:cs="黑体"/>
          <w:b/>
          <w:spacing w:val="60"/>
          <w:sz w:val="52"/>
          <w:szCs w:val="52"/>
        </w:rPr>
      </w:pPr>
      <w:r>
        <w:rPr>
          <w:rFonts w:hint="eastAsia" w:ascii="黑体" w:eastAsia="黑体"/>
          <w:b/>
          <w:sz w:val="36"/>
          <w:szCs w:val="36"/>
          <w:u w:val="single"/>
        </w:rPr>
        <w:t xml:space="preserve">                    (项目名称)</w:t>
      </w:r>
      <w:r>
        <w:rPr>
          <w:rFonts w:hint="eastAsia" w:ascii="黑体" w:eastAsia="黑体"/>
          <w:b/>
          <w:sz w:val="36"/>
          <w:szCs w:val="36"/>
          <w:u w:val="single"/>
          <w:lang w:eastAsia="zh-CN"/>
        </w:rPr>
        <w:t>（标段）</w:t>
      </w:r>
      <w:r>
        <w:rPr>
          <w:rFonts w:hint="eastAsia" w:ascii="黑体" w:eastAsia="黑体"/>
          <w:b/>
          <w:sz w:val="36"/>
          <w:szCs w:val="36"/>
          <w:u w:val="single"/>
        </w:rPr>
        <w:t xml:space="preserve">       </w:t>
      </w:r>
    </w:p>
    <w:p>
      <w:pPr>
        <w:tabs>
          <w:tab w:val="center" w:pos="4739"/>
        </w:tabs>
        <w:ind w:left="180"/>
        <w:jc w:val="center"/>
        <w:rPr>
          <w:rFonts w:ascii="黑体" w:eastAsia="黑体"/>
          <w:b/>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firstLine="3520" w:firstLineChars="1100"/>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hint="eastAsia" w:ascii="黑体" w:eastAsia="黑体"/>
          <w:b/>
          <w:sz w:val="32"/>
        </w:rPr>
      </w:pPr>
      <w:r>
        <w:rPr>
          <w:rFonts w:hint="eastAsia" w:ascii="黑体" w:eastAsia="黑体"/>
          <w:b/>
          <w:sz w:val="32"/>
        </w:rPr>
        <w:t xml:space="preserve">  </w:t>
      </w:r>
    </w:p>
    <w:p>
      <w:pPr>
        <w:tabs>
          <w:tab w:val="center" w:pos="4739"/>
        </w:tabs>
        <w:ind w:left="180"/>
        <w:jc w:val="center"/>
        <w:rPr>
          <w:rFonts w:hint="eastAsia" w:ascii="黑体" w:eastAsia="黑体"/>
          <w:b/>
          <w:sz w:val="32"/>
        </w:rPr>
      </w:pPr>
    </w:p>
    <w:p>
      <w:pPr>
        <w:tabs>
          <w:tab w:val="center" w:pos="4739"/>
        </w:tabs>
        <w:ind w:firstLine="2240" w:firstLineChars="700"/>
        <w:jc w:val="both"/>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w:t>
      </w:r>
      <w:r>
        <w:rPr>
          <w:rFonts w:hint="eastAsia" w:ascii="黑体" w:eastAsia="黑体"/>
          <w:b/>
          <w:sz w:val="32"/>
          <w:lang w:val="en-US" w:eastAsia="zh-CN"/>
        </w:rPr>
        <w:t xml:space="preserve">  </w:t>
      </w:r>
      <w:r>
        <w:rPr>
          <w:rFonts w:hint="eastAsia" w:ascii="黑体" w:eastAsia="黑体"/>
          <w:b/>
          <w:sz w:val="32"/>
        </w:rPr>
        <w:t>月</w:t>
      </w:r>
      <w:r>
        <w:rPr>
          <w:rFonts w:hint="eastAsia" w:ascii="黑体" w:eastAsia="黑体"/>
          <w:b/>
          <w:sz w:val="32"/>
          <w:lang w:val="en-US" w:eastAsia="zh-CN"/>
        </w:rPr>
        <w:t xml:space="preserve">  </w:t>
      </w:r>
      <w:r>
        <w:rPr>
          <w:rFonts w:hint="eastAsia" w:ascii="黑体" w:eastAsia="黑体"/>
          <w:b/>
          <w:sz w:val="32"/>
        </w:rPr>
        <w:t>日</w:t>
      </w: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tabs>
          <w:tab w:val="center" w:pos="4739"/>
        </w:tabs>
        <w:spacing w:beforeLines="100" w:afterLines="100"/>
        <w:jc w:val="right"/>
        <w:rPr>
          <w:rFonts w:hint="eastAsia"/>
          <w:sz w:val="32"/>
          <w:szCs w:val="32"/>
        </w:rPr>
      </w:pPr>
    </w:p>
    <w:p>
      <w:pPr>
        <w:tabs>
          <w:tab w:val="center" w:pos="4739"/>
        </w:tabs>
        <w:spacing w:beforeLines="100" w:afterLines="100"/>
        <w:jc w:val="right"/>
        <w:rPr>
          <w:sz w:val="32"/>
          <w:szCs w:val="32"/>
        </w:rPr>
      </w:pPr>
      <w:r>
        <w:rPr>
          <w:rFonts w:hint="eastAsia"/>
          <w:sz w:val="32"/>
          <w:szCs w:val="32"/>
        </w:rPr>
        <w:t>正（副）本</w:t>
      </w:r>
    </w:p>
    <w:p>
      <w:pPr>
        <w:tabs>
          <w:tab w:val="center" w:pos="4739"/>
        </w:tabs>
        <w:ind w:left="180"/>
        <w:jc w:val="center"/>
        <w:rPr>
          <w:rFonts w:ascii="黑体" w:eastAsia="黑体"/>
          <w:b/>
          <w:sz w:val="36"/>
          <w:szCs w:val="36"/>
        </w:rPr>
      </w:pPr>
      <w:r>
        <w:rPr>
          <w:rFonts w:hint="eastAsia" w:ascii="黑体" w:eastAsia="黑体"/>
          <w:b/>
          <w:sz w:val="36"/>
          <w:szCs w:val="36"/>
          <w:u w:val="single"/>
        </w:rPr>
        <w:t xml:space="preserve">                    (项目名称)</w:t>
      </w:r>
      <w:r>
        <w:rPr>
          <w:rFonts w:hint="eastAsia" w:ascii="黑体" w:eastAsia="黑体"/>
          <w:b/>
          <w:sz w:val="36"/>
          <w:szCs w:val="36"/>
          <w:u w:val="single"/>
          <w:lang w:eastAsia="zh-CN"/>
        </w:rPr>
        <w:t>（标段）</w:t>
      </w:r>
      <w:r>
        <w:rPr>
          <w:rFonts w:hint="eastAsia" w:ascii="黑体" w:eastAsia="黑体"/>
          <w:b/>
          <w:sz w:val="36"/>
          <w:szCs w:val="36"/>
          <w:u w:val="single"/>
        </w:rPr>
        <w:t xml:space="preserve">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jc w:val="both"/>
        <w:rPr>
          <w:rFonts w:hint="eastAsia" w:ascii="黑体" w:eastAsia="黑体"/>
          <w:b/>
          <w:sz w:val="32"/>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w:t>
      </w:r>
      <w:r>
        <w:rPr>
          <w:rFonts w:hint="eastAsia" w:ascii="黑体" w:eastAsia="黑体"/>
          <w:b/>
          <w:sz w:val="32"/>
          <w:lang w:val="en-US" w:eastAsia="zh-CN"/>
        </w:rPr>
        <w:t xml:space="preserve">   </w:t>
      </w:r>
      <w:r>
        <w:rPr>
          <w:rFonts w:hint="eastAsia" w:ascii="黑体" w:eastAsia="黑体"/>
          <w:b/>
          <w:sz w:val="32"/>
        </w:rPr>
        <w:t>月</w:t>
      </w:r>
      <w:r>
        <w:rPr>
          <w:rFonts w:hint="eastAsia" w:ascii="黑体" w:eastAsia="黑体"/>
          <w:b/>
          <w:sz w:val="32"/>
          <w:lang w:val="en-US" w:eastAsia="zh-CN"/>
        </w:rPr>
        <w:t xml:space="preserve">  </w:t>
      </w:r>
      <w:r>
        <w:rPr>
          <w:rFonts w:hint="eastAsia" w:ascii="黑体" w:eastAsia="黑体"/>
          <w:b/>
          <w:sz w:val="32"/>
        </w:rPr>
        <w:t>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center"/>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一、投标函及投标函附录；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二、法定代表人身份证明或附有法定代表人证明的授权委托书；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三、投标担保；</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七、近年财务状况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八、近年完成的类似项目情况；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十、近年发生的诉讼及仲裁情况；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十一、承诺书；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十二、其它材料；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tabs>
          <w:tab w:val="center" w:pos="4739"/>
        </w:tabs>
        <w:adjustRightInd w:val="0"/>
        <w:snapToGrid w:val="0"/>
        <w:spacing w:line="440" w:lineRule="exact"/>
        <w:ind w:left="180"/>
        <w:jc w:val="center"/>
        <w:rPr>
          <w:rFonts w:hAnsi="宋体"/>
          <w:b/>
          <w:sz w:val="32"/>
        </w:rPr>
      </w:pPr>
      <w:r>
        <w:rPr>
          <w:rFonts w:hAnsi="宋体"/>
          <w:b/>
          <w:sz w:val="32"/>
        </w:rPr>
        <w:br w:type="page"/>
      </w:r>
      <w:r>
        <w:rPr>
          <w:rFonts w:hint="eastAsia" w:hAnsi="宋体"/>
          <w:b/>
          <w:sz w:val="32"/>
        </w:rPr>
        <w:t>一、投标函及投标函附录</w:t>
      </w:r>
    </w:p>
    <w:p>
      <w:pPr>
        <w:adjustRightInd w:val="0"/>
        <w:snapToGrid w:val="0"/>
        <w:spacing w:beforeLines="100" w:afterLines="50" w:line="440" w:lineRule="exact"/>
        <w:jc w:val="center"/>
        <w:rPr>
          <w:rFonts w:ascii="黑体" w:eastAsia="黑体"/>
          <w:sz w:val="28"/>
          <w:szCs w:val="28"/>
        </w:rPr>
      </w:pPr>
      <w:bookmarkStart w:id="206" w:name="_Toc271787730"/>
      <w:r>
        <w:rPr>
          <w:rFonts w:hint="eastAsia" w:ascii="黑体" w:eastAsia="黑体"/>
          <w:sz w:val="28"/>
          <w:szCs w:val="28"/>
        </w:rPr>
        <w:t>（一）投标函</w:t>
      </w:r>
    </w:p>
    <w:p>
      <w:pPr>
        <w:spacing w:line="440" w:lineRule="exact"/>
        <w:rPr>
          <w:rFonts w:hint="eastAsia" w:ascii="宋体" w:hAnsi="宋体"/>
          <w:sz w:val="24"/>
          <w:szCs w:val="24"/>
        </w:rPr>
      </w:pPr>
      <w:bookmarkStart w:id="207" w:name="_Toc250616672"/>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（招标人名称）</w:t>
      </w:r>
    </w:p>
    <w:p>
      <w:pPr>
        <w:spacing w:line="440" w:lineRule="exact"/>
        <w:ind w:firstLine="480" w:firstLineChars="200"/>
        <w:rPr>
          <w:rFonts w:hint="eastAsia" w:ascii="宋体" w:hAnsi="宋体"/>
          <w:sz w:val="24"/>
          <w:szCs w:val="24"/>
        </w:rPr>
      </w:pPr>
      <w:r>
        <w:rPr>
          <w:rFonts w:hint="eastAsia" w:ascii="宋体" w:hAnsi="宋体"/>
          <w:sz w:val="24"/>
          <w:szCs w:val="24"/>
        </w:rPr>
        <w:t>在考察现场并充分研究</w:t>
      </w:r>
      <w:r>
        <w:rPr>
          <w:rFonts w:hint="eastAsia" w:ascii="宋体" w:hAnsi="宋体"/>
          <w:sz w:val="24"/>
          <w:szCs w:val="24"/>
          <w:u w:val="single"/>
        </w:rPr>
        <w:t xml:space="preserve">          </w:t>
      </w:r>
      <w:r>
        <w:rPr>
          <w:rFonts w:hint="eastAsia" w:ascii="宋体" w:hAnsi="宋体"/>
          <w:sz w:val="24"/>
          <w:szCs w:val="24"/>
        </w:rPr>
        <w:t>（项目名称）（以下简称“本工程”）施工招标文件的全部内容后，我方兹以：</w:t>
      </w:r>
    </w:p>
    <w:p>
      <w:pPr>
        <w:spacing w:line="440" w:lineRule="exact"/>
        <w:ind w:left="873" w:leftChars="257"/>
        <w:rPr>
          <w:rFonts w:hint="eastAsia" w:ascii="宋体" w:hAnsi="宋体"/>
          <w:sz w:val="24"/>
          <w:szCs w:val="24"/>
        </w:rPr>
      </w:pPr>
      <w:r>
        <w:rPr>
          <w:rFonts w:hint="eastAsia" w:ascii="宋体" w:hAnsi="宋体"/>
          <w:sz w:val="24"/>
          <w:szCs w:val="24"/>
        </w:rPr>
        <w:t>人民币（大写）：</w:t>
      </w:r>
      <w:r>
        <w:rPr>
          <w:rFonts w:hint="eastAsia" w:ascii="宋体" w:hAnsi="宋体"/>
          <w:sz w:val="24"/>
          <w:szCs w:val="24"/>
          <w:u w:val="single"/>
        </w:rPr>
        <w:t xml:space="preserve">                </w:t>
      </w:r>
      <w:r>
        <w:rPr>
          <w:rFonts w:hint="eastAsia" w:ascii="宋体" w:hAnsi="宋体"/>
          <w:sz w:val="24"/>
          <w:szCs w:val="24"/>
        </w:rPr>
        <w:t xml:space="preserve">元 </w:t>
      </w:r>
    </w:p>
    <w:p>
      <w:pPr>
        <w:spacing w:line="440" w:lineRule="exact"/>
        <w:ind w:left="873" w:leftChars="257"/>
        <w:rPr>
          <w:rFonts w:hint="eastAsia" w:ascii="宋体" w:hAnsi="宋体"/>
          <w:sz w:val="24"/>
          <w:szCs w:val="24"/>
        </w:rPr>
      </w:pPr>
      <w:r>
        <w:rPr>
          <w:rFonts w:hint="eastAsia" w:ascii="宋体" w:hAnsi="宋体"/>
          <w:sz w:val="24"/>
          <w:szCs w:val="24"/>
        </w:rPr>
        <w:t>RMB￥：</w:t>
      </w:r>
      <w:r>
        <w:rPr>
          <w:rFonts w:hint="eastAsia" w:ascii="宋体" w:hAnsi="宋体"/>
          <w:sz w:val="24"/>
          <w:szCs w:val="24"/>
          <w:u w:val="single"/>
        </w:rPr>
        <w:t xml:space="preserve">                      </w:t>
      </w:r>
      <w:r>
        <w:rPr>
          <w:rFonts w:hint="eastAsia" w:ascii="宋体" w:hAnsi="宋体"/>
          <w:sz w:val="24"/>
          <w:szCs w:val="24"/>
        </w:rPr>
        <w:t>元</w:t>
      </w:r>
    </w:p>
    <w:p>
      <w:pPr>
        <w:spacing w:line="440" w:lineRule="exact"/>
        <w:rPr>
          <w:rFonts w:hint="eastAsia" w:ascii="宋体" w:hAnsi="宋体"/>
          <w:sz w:val="24"/>
          <w:szCs w:val="24"/>
        </w:rPr>
      </w:pPr>
      <w:r>
        <w:rPr>
          <w:rFonts w:hint="eastAsia" w:ascii="宋体" w:hAnsi="宋体"/>
          <w:sz w:val="24"/>
          <w:szCs w:val="24"/>
        </w:rPr>
        <w:t>的投标价格和按合同约定有权得到的其它金额，并严格按照合同约定，施工、竣工和交付本工程并维修其中的任何缺陷。</w:t>
      </w:r>
    </w:p>
    <w:p>
      <w:pPr>
        <w:spacing w:line="480" w:lineRule="exact"/>
        <w:ind w:firstLine="480" w:firstLineChars="200"/>
        <w:rPr>
          <w:rFonts w:hint="eastAsia" w:ascii="宋体" w:hAnsi="宋体"/>
          <w:sz w:val="24"/>
          <w:szCs w:val="24"/>
        </w:rPr>
      </w:pPr>
      <w:r>
        <w:rPr>
          <w:rFonts w:hint="eastAsia" w:ascii="宋体" w:hAnsi="宋体"/>
          <w:sz w:val="24"/>
          <w:szCs w:val="24"/>
        </w:rPr>
        <w:t>在我方的上述投标总报价中，包括：</w:t>
      </w:r>
    </w:p>
    <w:p>
      <w:pPr>
        <w:spacing w:line="480" w:lineRule="exact"/>
        <w:ind w:firstLine="480" w:firstLineChars="200"/>
        <w:rPr>
          <w:rFonts w:hint="eastAsia" w:ascii="宋体" w:hAnsi="宋体"/>
          <w:sz w:val="24"/>
          <w:szCs w:val="24"/>
        </w:rPr>
      </w:pPr>
      <w:r>
        <w:rPr>
          <w:rFonts w:hint="eastAsia" w:ascii="宋体" w:hAnsi="宋体"/>
          <w:sz w:val="24"/>
          <w:szCs w:val="24"/>
        </w:rPr>
        <w:t>规费RMB￥：</w:t>
      </w:r>
      <w:r>
        <w:rPr>
          <w:rFonts w:hint="eastAsia" w:ascii="宋体" w:hAnsi="宋体"/>
          <w:sz w:val="24"/>
          <w:szCs w:val="24"/>
          <w:u w:val="single"/>
        </w:rPr>
        <w:t xml:space="preserve">        </w:t>
      </w:r>
      <w:r>
        <w:rPr>
          <w:rFonts w:hint="eastAsia" w:ascii="宋体" w:hAnsi="宋体"/>
          <w:sz w:val="24"/>
          <w:szCs w:val="24"/>
        </w:rPr>
        <w:t>元</w:t>
      </w:r>
    </w:p>
    <w:p>
      <w:pPr>
        <w:spacing w:line="480" w:lineRule="exact"/>
        <w:ind w:firstLine="480" w:firstLineChars="200"/>
        <w:rPr>
          <w:rFonts w:hint="eastAsia" w:ascii="宋体" w:hAnsi="宋体"/>
          <w:sz w:val="24"/>
          <w:szCs w:val="24"/>
        </w:rPr>
      </w:pPr>
      <w:r>
        <w:rPr>
          <w:rFonts w:hint="eastAsia" w:ascii="宋体" w:hAnsi="宋体"/>
          <w:sz w:val="24"/>
          <w:szCs w:val="24"/>
        </w:rPr>
        <w:t>税金RMB￥：</w:t>
      </w:r>
      <w:r>
        <w:rPr>
          <w:rFonts w:hint="eastAsia" w:ascii="宋体" w:hAnsi="宋体"/>
          <w:sz w:val="24"/>
          <w:szCs w:val="24"/>
          <w:u w:val="single"/>
        </w:rPr>
        <w:t xml:space="preserve">        </w:t>
      </w:r>
      <w:r>
        <w:rPr>
          <w:rFonts w:hint="eastAsia" w:ascii="宋体" w:hAnsi="宋体"/>
          <w:sz w:val="24"/>
          <w:szCs w:val="24"/>
        </w:rPr>
        <w:t>元</w:t>
      </w:r>
    </w:p>
    <w:p>
      <w:pPr>
        <w:spacing w:line="480" w:lineRule="exact"/>
        <w:ind w:firstLine="480" w:firstLineChars="200"/>
        <w:rPr>
          <w:rFonts w:hint="eastAsia" w:ascii="宋体" w:hAnsi="宋体"/>
          <w:sz w:val="24"/>
          <w:szCs w:val="24"/>
        </w:rPr>
      </w:pPr>
      <w:r>
        <w:rPr>
          <w:rFonts w:hint="eastAsia" w:ascii="宋体" w:hAnsi="宋体"/>
          <w:sz w:val="24"/>
          <w:szCs w:val="24"/>
        </w:rPr>
        <w:t>安全文明措施费RMB￥：</w:t>
      </w:r>
      <w:r>
        <w:rPr>
          <w:rFonts w:hint="eastAsia" w:ascii="宋体" w:hAnsi="宋体"/>
          <w:sz w:val="24"/>
          <w:szCs w:val="24"/>
          <w:u w:val="single"/>
        </w:rPr>
        <w:t xml:space="preserve">               </w:t>
      </w:r>
      <w:r>
        <w:rPr>
          <w:rFonts w:hint="eastAsia" w:ascii="宋体" w:hAnsi="宋体"/>
          <w:sz w:val="24"/>
          <w:szCs w:val="24"/>
        </w:rPr>
        <w:t>元</w:t>
      </w:r>
    </w:p>
    <w:p>
      <w:pPr>
        <w:spacing w:line="440" w:lineRule="exact"/>
        <w:ind w:firstLine="480" w:firstLineChars="200"/>
        <w:rPr>
          <w:rFonts w:hint="eastAsia" w:ascii="宋体" w:hAnsi="宋体"/>
          <w:sz w:val="24"/>
          <w:szCs w:val="24"/>
        </w:rPr>
      </w:pPr>
      <w:r>
        <w:rPr>
          <w:rFonts w:hint="eastAsia" w:ascii="宋体" w:hAnsi="宋体"/>
          <w:sz w:val="24"/>
          <w:szCs w:val="24"/>
        </w:rPr>
        <w:t>如果我方中标，我方保证按照合同约定的开工日期开始本工程的施工，</w:t>
      </w:r>
      <w:r>
        <w:rPr>
          <w:rFonts w:hint="eastAsia" w:ascii="宋体" w:hAnsi="宋体"/>
          <w:sz w:val="24"/>
          <w:szCs w:val="24"/>
          <w:u w:val="single"/>
        </w:rPr>
        <w:t xml:space="preserve">      </w:t>
      </w:r>
      <w:r>
        <w:rPr>
          <w:rFonts w:hint="eastAsia" w:ascii="宋体" w:hAnsi="宋体"/>
          <w:sz w:val="24"/>
          <w:szCs w:val="24"/>
        </w:rPr>
        <w:t>天（日历天）内竣工，并确保工程质量达到</w:t>
      </w:r>
      <w:r>
        <w:rPr>
          <w:rFonts w:hint="eastAsia" w:ascii="宋体" w:hAnsi="宋体"/>
          <w:sz w:val="24"/>
          <w:szCs w:val="24"/>
          <w:u w:val="single"/>
        </w:rPr>
        <w:t xml:space="preserve">     </w:t>
      </w:r>
      <w:r>
        <w:rPr>
          <w:rFonts w:hint="eastAsia" w:ascii="宋体" w:hAnsi="宋体"/>
          <w:sz w:val="24"/>
          <w:szCs w:val="24"/>
        </w:rPr>
        <w:t>标准。我方同意本投标函在招标文件规定的提交投标文件截止时间后，在招标文件规定的投标有效期期满前对我方具有约束力，且随时准备接受你方发出的中标通知书。</w:t>
      </w:r>
    </w:p>
    <w:p>
      <w:pPr>
        <w:spacing w:line="440" w:lineRule="exact"/>
        <w:ind w:firstLine="480" w:firstLineChars="200"/>
        <w:rPr>
          <w:rFonts w:hint="eastAsia" w:ascii="宋体" w:hAnsi="宋体"/>
          <w:sz w:val="24"/>
          <w:szCs w:val="24"/>
        </w:rPr>
      </w:pPr>
      <w:r>
        <w:rPr>
          <w:rFonts w:hint="eastAsia" w:ascii="宋体" w:hAnsi="宋体"/>
          <w:sz w:val="24"/>
          <w:szCs w:val="24"/>
        </w:rPr>
        <w:t>随本投标函递交的投标函附录是本投标函的组成部分，对我方构成约束力。</w:t>
      </w:r>
    </w:p>
    <w:p>
      <w:pPr>
        <w:spacing w:line="440" w:lineRule="exact"/>
        <w:ind w:firstLine="480" w:firstLineChars="200"/>
        <w:rPr>
          <w:rFonts w:hint="eastAsia" w:ascii="宋体" w:hAnsi="宋体"/>
          <w:sz w:val="24"/>
          <w:szCs w:val="24"/>
        </w:rPr>
      </w:pPr>
      <w:r>
        <w:rPr>
          <w:rFonts w:hint="eastAsia" w:ascii="宋体" w:hAnsi="宋体"/>
          <w:sz w:val="24"/>
          <w:szCs w:val="24"/>
        </w:rPr>
        <w:t>随同本投标函递交投标保证金一份，金额为人民币（大写）：</w:t>
      </w:r>
      <w:r>
        <w:rPr>
          <w:rFonts w:hint="eastAsia" w:ascii="宋体" w:hAnsi="宋体"/>
          <w:sz w:val="24"/>
          <w:szCs w:val="24"/>
          <w:u w:val="single"/>
        </w:rPr>
        <w:t xml:space="preserve">        </w:t>
      </w:r>
      <w:r>
        <w:rPr>
          <w:rFonts w:hint="eastAsia" w:ascii="宋体" w:hAnsi="宋体"/>
          <w:sz w:val="24"/>
          <w:szCs w:val="24"/>
        </w:rPr>
        <w:t>元。</w:t>
      </w:r>
    </w:p>
    <w:p>
      <w:pPr>
        <w:spacing w:line="440" w:lineRule="exact"/>
        <w:ind w:firstLine="480" w:firstLineChars="200"/>
        <w:rPr>
          <w:rFonts w:hint="eastAsia" w:ascii="宋体" w:hAnsi="宋体"/>
          <w:sz w:val="24"/>
          <w:szCs w:val="24"/>
        </w:rPr>
      </w:pPr>
      <w:r>
        <w:rPr>
          <w:rFonts w:hint="eastAsia" w:ascii="宋体" w:hAnsi="宋体"/>
          <w:sz w:val="24"/>
          <w:szCs w:val="24"/>
        </w:rPr>
        <w:t>在签署协议书之前，你方的中标通知书连同本投标函，包括投标函附录，对双方具有约束力。</w:t>
      </w:r>
    </w:p>
    <w:p>
      <w:pPr>
        <w:spacing w:line="440" w:lineRule="exact"/>
        <w:ind w:firstLine="480" w:firstLineChars="200"/>
        <w:rPr>
          <w:rFonts w:hint="eastAsia" w:ascii="宋体" w:hAnsi="宋体"/>
          <w:sz w:val="24"/>
          <w:szCs w:val="24"/>
        </w:rPr>
      </w:pPr>
    </w:p>
    <w:p>
      <w:pPr>
        <w:spacing w:line="440" w:lineRule="exact"/>
        <w:ind w:firstLine="480" w:firstLineChars="200"/>
        <w:rPr>
          <w:rFonts w:hint="eastAsia" w:ascii="宋体" w:hAnsi="宋体"/>
          <w:sz w:val="24"/>
          <w:szCs w:val="24"/>
        </w:rPr>
      </w:pPr>
    </w:p>
    <w:p>
      <w:pPr>
        <w:spacing w:line="440" w:lineRule="exact"/>
        <w:ind w:firstLine="480" w:firstLineChars="200"/>
        <w:rPr>
          <w:rFonts w:hint="eastAsia" w:ascii="宋体" w:hAnsi="宋体"/>
          <w:sz w:val="24"/>
          <w:szCs w:val="24"/>
        </w:rPr>
      </w:pPr>
    </w:p>
    <w:p>
      <w:pPr>
        <w:spacing w:line="440" w:lineRule="exact"/>
        <w:ind w:firstLine="3360" w:firstLineChars="1400"/>
        <w:rPr>
          <w:rFonts w:hint="eastAsia" w:ascii="宋体" w:hAnsi="宋体"/>
          <w:sz w:val="24"/>
          <w:szCs w:val="24"/>
        </w:rPr>
      </w:pPr>
      <w:r>
        <w:rPr>
          <w:rFonts w:hint="eastAsia" w:ascii="宋体" w:hAnsi="宋体"/>
          <w:sz w:val="24"/>
          <w:szCs w:val="24"/>
        </w:rPr>
        <w:t>投标人（盖章）：</w:t>
      </w:r>
    </w:p>
    <w:p>
      <w:pPr>
        <w:spacing w:line="440" w:lineRule="exact"/>
        <w:ind w:firstLine="3240" w:firstLineChars="1350"/>
        <w:rPr>
          <w:rFonts w:hint="eastAsia" w:ascii="宋体" w:hAnsi="宋体"/>
          <w:sz w:val="24"/>
          <w:szCs w:val="24"/>
        </w:rPr>
      </w:pPr>
      <w:r>
        <w:rPr>
          <w:rFonts w:hint="eastAsia" w:ascii="宋体" w:hAnsi="宋体"/>
          <w:sz w:val="24"/>
          <w:szCs w:val="24"/>
        </w:rPr>
        <w:t>法定代表人或委托代理人（</w:t>
      </w:r>
      <w:r>
        <w:rPr>
          <w:rFonts w:hint="eastAsia" w:ascii="宋体" w:hAnsi="宋体" w:cs="宋体"/>
          <w:kern w:val="0"/>
          <w:sz w:val="24"/>
          <w:szCs w:val="24"/>
        </w:rPr>
        <w:t>签字</w:t>
      </w:r>
      <w:r>
        <w:rPr>
          <w:rFonts w:hint="eastAsia" w:ascii="宋体" w:hAnsi="宋体"/>
          <w:sz w:val="24"/>
          <w:szCs w:val="24"/>
        </w:rPr>
        <w:t>）：</w:t>
      </w:r>
    </w:p>
    <w:p>
      <w:pPr>
        <w:spacing w:line="440" w:lineRule="exact"/>
        <w:ind w:firstLine="3360" w:firstLineChars="1400"/>
        <w:rPr>
          <w:rFonts w:hint="eastAsia"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autoSpaceDE w:val="0"/>
        <w:autoSpaceDN w:val="0"/>
        <w:adjustRightInd w:val="0"/>
        <w:snapToGrid w:val="0"/>
        <w:spacing w:line="440" w:lineRule="exact"/>
        <w:jc w:val="center"/>
        <w:outlineLvl w:val="0"/>
        <w:rPr>
          <w:rFonts w:ascii="黑体" w:hAnsi="新宋体" w:eastAsia="黑体" w:cs="黑体"/>
          <w:sz w:val="28"/>
          <w:szCs w:val="28"/>
        </w:rPr>
      </w:pPr>
      <w:r>
        <w:rPr>
          <w:rFonts w:ascii="黑体" w:hAnsi="新宋体" w:eastAsia="黑体" w:cs="黑体"/>
          <w:sz w:val="28"/>
          <w:szCs w:val="28"/>
        </w:rPr>
        <w:br w:type="page"/>
      </w:r>
      <w:r>
        <w:rPr>
          <w:rFonts w:hint="eastAsia" w:ascii="黑体" w:hAnsi="新宋体" w:eastAsia="黑体" w:cs="黑体"/>
          <w:sz w:val="28"/>
          <w:szCs w:val="28"/>
        </w:rPr>
        <w:t>（二）投标函附录</w:t>
      </w:r>
      <w:bookmarkEnd w:id="207"/>
    </w:p>
    <w:tbl>
      <w:tblPr>
        <w:tblStyle w:val="12"/>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488"/>
        <w:gridCol w:w="709"/>
        <w:gridCol w:w="1165"/>
        <w:gridCol w:w="1188"/>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736" w:type="dxa"/>
            <w:vAlign w:val="center"/>
          </w:tcPr>
          <w:p>
            <w:pPr>
              <w:jc w:val="center"/>
              <w:rPr>
                <w:rFonts w:hAnsi="宋体"/>
                <w:sz w:val="24"/>
                <w:szCs w:val="24"/>
              </w:rPr>
            </w:pPr>
            <w:r>
              <w:rPr>
                <w:rFonts w:hint="eastAsia" w:hAnsi="宋体"/>
                <w:sz w:val="24"/>
                <w:szCs w:val="24"/>
              </w:rPr>
              <w:t>工程名称</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投标人</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项目负责人</w:t>
            </w:r>
          </w:p>
        </w:tc>
        <w:tc>
          <w:tcPr>
            <w:tcW w:w="1488" w:type="dxa"/>
            <w:vAlign w:val="center"/>
          </w:tcPr>
          <w:p>
            <w:pPr>
              <w:jc w:val="center"/>
              <w:rPr>
                <w:rFonts w:hAnsi="宋体"/>
                <w:sz w:val="24"/>
                <w:szCs w:val="24"/>
              </w:rPr>
            </w:pPr>
          </w:p>
        </w:tc>
        <w:tc>
          <w:tcPr>
            <w:tcW w:w="709" w:type="dxa"/>
            <w:vAlign w:val="center"/>
          </w:tcPr>
          <w:p>
            <w:pPr>
              <w:jc w:val="center"/>
              <w:rPr>
                <w:rFonts w:hAnsi="宋体"/>
                <w:sz w:val="24"/>
                <w:szCs w:val="24"/>
              </w:rPr>
            </w:pPr>
            <w:r>
              <w:rPr>
                <w:rFonts w:hint="eastAsia" w:hAnsi="宋体"/>
                <w:sz w:val="24"/>
                <w:szCs w:val="24"/>
              </w:rPr>
              <w:t>级别</w:t>
            </w:r>
          </w:p>
        </w:tc>
        <w:tc>
          <w:tcPr>
            <w:tcW w:w="1165" w:type="dxa"/>
            <w:vAlign w:val="center"/>
          </w:tcPr>
          <w:p>
            <w:pPr>
              <w:jc w:val="center"/>
              <w:rPr>
                <w:rFonts w:hAnsi="宋体"/>
                <w:sz w:val="24"/>
                <w:szCs w:val="24"/>
              </w:rPr>
            </w:pPr>
          </w:p>
        </w:tc>
        <w:tc>
          <w:tcPr>
            <w:tcW w:w="1188" w:type="dxa"/>
            <w:vAlign w:val="center"/>
          </w:tcPr>
          <w:p>
            <w:pPr>
              <w:jc w:val="center"/>
              <w:rPr>
                <w:rFonts w:hAnsi="宋体"/>
                <w:sz w:val="24"/>
                <w:szCs w:val="24"/>
              </w:rPr>
            </w:pPr>
            <w:r>
              <w:rPr>
                <w:rFonts w:hint="eastAsia" w:hAnsi="宋体"/>
                <w:sz w:val="24"/>
                <w:szCs w:val="24"/>
              </w:rPr>
              <w:t>证书编号</w:t>
            </w:r>
          </w:p>
        </w:tc>
        <w:tc>
          <w:tcPr>
            <w:tcW w:w="2057"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技术负责人</w:t>
            </w:r>
          </w:p>
        </w:tc>
        <w:tc>
          <w:tcPr>
            <w:tcW w:w="1488" w:type="dxa"/>
            <w:vAlign w:val="center"/>
          </w:tcPr>
          <w:p>
            <w:pPr>
              <w:jc w:val="center"/>
              <w:rPr>
                <w:rFonts w:hAnsi="宋体"/>
                <w:sz w:val="24"/>
                <w:szCs w:val="24"/>
              </w:rPr>
            </w:pPr>
          </w:p>
        </w:tc>
        <w:tc>
          <w:tcPr>
            <w:tcW w:w="709" w:type="dxa"/>
            <w:vAlign w:val="center"/>
          </w:tcPr>
          <w:p>
            <w:pPr>
              <w:jc w:val="center"/>
              <w:rPr>
                <w:rFonts w:hAnsi="宋体"/>
                <w:sz w:val="24"/>
                <w:szCs w:val="24"/>
              </w:rPr>
            </w:pPr>
            <w:r>
              <w:rPr>
                <w:rFonts w:hint="eastAsia" w:hAnsi="宋体"/>
                <w:sz w:val="24"/>
                <w:szCs w:val="24"/>
              </w:rPr>
              <w:t>级别</w:t>
            </w:r>
          </w:p>
        </w:tc>
        <w:tc>
          <w:tcPr>
            <w:tcW w:w="1165" w:type="dxa"/>
            <w:vAlign w:val="center"/>
          </w:tcPr>
          <w:p>
            <w:pPr>
              <w:jc w:val="center"/>
              <w:rPr>
                <w:rFonts w:hAnsi="宋体"/>
                <w:sz w:val="24"/>
                <w:szCs w:val="24"/>
              </w:rPr>
            </w:pPr>
          </w:p>
        </w:tc>
        <w:tc>
          <w:tcPr>
            <w:tcW w:w="1188" w:type="dxa"/>
            <w:vAlign w:val="center"/>
          </w:tcPr>
          <w:p>
            <w:pPr>
              <w:jc w:val="center"/>
              <w:rPr>
                <w:rFonts w:hAnsi="宋体"/>
                <w:sz w:val="24"/>
                <w:szCs w:val="24"/>
              </w:rPr>
            </w:pPr>
            <w:r>
              <w:rPr>
                <w:rFonts w:hint="eastAsia" w:hAnsi="宋体"/>
                <w:sz w:val="24"/>
                <w:szCs w:val="24"/>
              </w:rPr>
              <w:t>证书编号</w:t>
            </w:r>
          </w:p>
        </w:tc>
        <w:tc>
          <w:tcPr>
            <w:tcW w:w="2057"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Merge w:val="restart"/>
            <w:vAlign w:val="center"/>
          </w:tcPr>
          <w:p>
            <w:pPr>
              <w:jc w:val="center"/>
              <w:rPr>
                <w:rFonts w:hAnsi="宋体"/>
                <w:sz w:val="24"/>
                <w:szCs w:val="24"/>
              </w:rPr>
            </w:pPr>
            <w:r>
              <w:rPr>
                <w:rFonts w:hint="eastAsia" w:hAnsi="宋体"/>
                <w:sz w:val="24"/>
                <w:szCs w:val="24"/>
              </w:rPr>
              <w:t>投标总报价</w:t>
            </w:r>
          </w:p>
        </w:tc>
        <w:tc>
          <w:tcPr>
            <w:tcW w:w="3362" w:type="dxa"/>
            <w:gridSpan w:val="3"/>
            <w:vAlign w:val="center"/>
          </w:tcPr>
          <w:p>
            <w:pPr>
              <w:pStyle w:val="2"/>
              <w:ind w:firstLine="0" w:firstLineChars="0"/>
              <w:rPr>
                <w:rFonts w:hAnsi="宋体"/>
                <w:sz w:val="24"/>
                <w:szCs w:val="24"/>
              </w:rPr>
            </w:pPr>
            <w:r>
              <w:rPr>
                <w:rFonts w:hint="eastAsia" w:hAnsi="宋体"/>
                <w:sz w:val="24"/>
                <w:szCs w:val="24"/>
              </w:rPr>
              <w:t>（大写）</w:t>
            </w:r>
          </w:p>
          <w:p>
            <w:pPr>
              <w:pStyle w:val="2"/>
              <w:ind w:firstLine="0" w:firstLineChars="0"/>
              <w:rPr>
                <w:rFonts w:hAnsi="宋体"/>
                <w:sz w:val="24"/>
                <w:szCs w:val="24"/>
              </w:rPr>
            </w:pPr>
          </w:p>
        </w:tc>
        <w:tc>
          <w:tcPr>
            <w:tcW w:w="3245" w:type="dxa"/>
            <w:gridSpan w:val="2"/>
            <w:vAlign w:val="center"/>
          </w:tcPr>
          <w:p>
            <w:pPr>
              <w:widowControl/>
              <w:jc w:val="left"/>
              <w:rPr>
                <w:rFonts w:hAnsi="宋体"/>
                <w:sz w:val="24"/>
                <w:szCs w:val="24"/>
              </w:rPr>
            </w:pPr>
            <w:r>
              <w:rPr>
                <w:rFonts w:hint="eastAsia" w:hAnsi="宋体"/>
                <w:sz w:val="24"/>
                <w:szCs w:val="24"/>
              </w:rPr>
              <w:t>（小写）</w:t>
            </w:r>
          </w:p>
          <w:p>
            <w:pPr>
              <w:pStyle w:val="2"/>
              <w:ind w:firstLine="3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Merge w:val="continue"/>
            <w:vAlign w:val="center"/>
          </w:tcPr>
          <w:p>
            <w:pPr>
              <w:jc w:val="center"/>
              <w:rPr>
                <w:rFonts w:hAnsi="宋体"/>
                <w:sz w:val="24"/>
                <w:szCs w:val="24"/>
              </w:rPr>
            </w:pPr>
          </w:p>
        </w:tc>
        <w:tc>
          <w:tcPr>
            <w:tcW w:w="6607" w:type="dxa"/>
            <w:gridSpan w:val="5"/>
            <w:vAlign w:val="center"/>
          </w:tcPr>
          <w:p>
            <w:pPr>
              <w:rPr>
                <w:rFonts w:hAnsi="宋体"/>
                <w:sz w:val="24"/>
                <w:szCs w:val="24"/>
              </w:rPr>
            </w:pPr>
            <w:r>
              <w:rPr>
                <w:rFonts w:hint="eastAsia" w:hAnsi="宋体"/>
                <w:sz w:val="24"/>
                <w:szCs w:val="24"/>
              </w:rPr>
              <w:t>其中：</w:t>
            </w:r>
          </w:p>
          <w:p>
            <w:pPr>
              <w:rPr>
                <w:rFonts w:hAnsi="宋体"/>
                <w:sz w:val="24"/>
                <w:szCs w:val="24"/>
              </w:rPr>
            </w:pPr>
            <w:r>
              <w:rPr>
                <w:rFonts w:hint="eastAsia" w:hAnsi="宋体"/>
                <w:sz w:val="24"/>
                <w:szCs w:val="24"/>
              </w:rPr>
              <w:t>规费RMB￥：               元</w:t>
            </w:r>
          </w:p>
          <w:p>
            <w:pPr>
              <w:rPr>
                <w:rFonts w:hAnsi="宋体"/>
                <w:sz w:val="24"/>
                <w:szCs w:val="24"/>
              </w:rPr>
            </w:pPr>
            <w:r>
              <w:rPr>
                <w:rFonts w:hint="eastAsia" w:hAnsi="宋体"/>
                <w:sz w:val="24"/>
                <w:szCs w:val="24"/>
              </w:rPr>
              <w:t>税金RMB￥：元</w:t>
            </w:r>
          </w:p>
          <w:p>
            <w:pPr>
              <w:rPr>
                <w:rFonts w:hAnsi="宋体"/>
                <w:sz w:val="24"/>
                <w:szCs w:val="24"/>
              </w:rPr>
            </w:pPr>
            <w:r>
              <w:rPr>
                <w:rFonts w:hint="eastAsia" w:hAnsi="宋体"/>
                <w:sz w:val="24"/>
                <w:szCs w:val="24"/>
              </w:rPr>
              <w:t>安全文明措施费RMB￥：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投标质量等级</w:t>
            </w:r>
          </w:p>
        </w:tc>
        <w:tc>
          <w:tcPr>
            <w:tcW w:w="6607" w:type="dxa"/>
            <w:gridSpan w:val="5"/>
            <w:vAlign w:val="center"/>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lang w:eastAsia="zh-CN"/>
              </w:rPr>
              <w:t>投标工</w:t>
            </w:r>
            <w:r>
              <w:rPr>
                <w:rFonts w:hint="eastAsia" w:hAnsi="宋体"/>
                <w:sz w:val="24"/>
                <w:szCs w:val="24"/>
              </w:rPr>
              <w:t>期</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投标有效期</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43" w:type="dxa"/>
            <w:gridSpan w:val="6"/>
          </w:tcPr>
          <w:p>
            <w:pPr>
              <w:rPr>
                <w:rFonts w:hAnsi="宋体" w:cs="宋体"/>
                <w:sz w:val="24"/>
              </w:rPr>
            </w:pPr>
            <w:r>
              <w:rPr>
                <w:rFonts w:hint="eastAsia" w:hAnsi="宋体" w:cs="宋体"/>
                <w:sz w:val="24"/>
              </w:rPr>
              <w:t xml:space="preserve"> 优惠与服务承诺：</w:t>
            </w:r>
          </w:p>
          <w:p>
            <w:pPr>
              <w:rPr>
                <w:rFonts w:hAnsi="宋体"/>
                <w:sz w:val="24"/>
                <w:szCs w:val="24"/>
              </w:rPr>
            </w:pPr>
          </w:p>
          <w:p>
            <w:pPr>
              <w:pStyle w:val="11"/>
              <w:keepNext w:val="0"/>
              <w:keepLines w:val="0"/>
              <w:widowControl/>
              <w:suppressLineNumbers w:val="0"/>
              <w:spacing w:line="360" w:lineRule="atLeast"/>
              <w:rPr>
                <w:rFonts w:hint="eastAsia" w:ascii="宋体" w:hAnsi="宋体" w:eastAsia="宋体" w:cs="宋体"/>
                <w:sz w:val="24"/>
                <w:szCs w:val="24"/>
              </w:rPr>
            </w:pPr>
          </w:p>
          <w:p>
            <w:pPr>
              <w:pStyle w:val="11"/>
              <w:keepNext w:val="0"/>
              <w:keepLines w:val="0"/>
              <w:widowControl/>
              <w:suppressLineNumbers w:val="0"/>
              <w:spacing w:line="360" w:lineRule="atLeast"/>
              <w:rPr>
                <w:rFonts w:hint="eastAsia" w:ascii="宋体" w:hAnsi="宋体" w:eastAsia="宋体" w:cs="宋体"/>
                <w:sz w:val="24"/>
                <w:szCs w:val="24"/>
              </w:rPr>
            </w:pPr>
          </w:p>
          <w:p>
            <w:pPr>
              <w:pStyle w:val="11"/>
              <w:keepNext w:val="0"/>
              <w:keepLines w:val="0"/>
              <w:widowControl/>
              <w:suppressLineNumbers w:val="0"/>
              <w:spacing w:line="360" w:lineRule="atLeast"/>
              <w:rPr>
                <w:rFonts w:hint="eastAsia" w:ascii="宋体" w:hAnsi="宋体" w:eastAsia="宋体" w:cs="宋体"/>
                <w:sz w:val="24"/>
                <w:szCs w:val="24"/>
              </w:rPr>
            </w:pPr>
          </w:p>
          <w:p>
            <w:pPr>
              <w:pStyle w:val="11"/>
              <w:keepNext w:val="0"/>
              <w:keepLines w:val="0"/>
              <w:widowControl/>
              <w:suppressLineNumbers w:val="0"/>
              <w:spacing w:line="360" w:lineRule="atLeast"/>
            </w:pPr>
            <w:r>
              <w:rPr>
                <w:rFonts w:hint="eastAsia" w:ascii="宋体" w:hAnsi="宋体" w:eastAsia="宋体" w:cs="宋体"/>
                <w:sz w:val="24"/>
                <w:szCs w:val="24"/>
              </w:rPr>
              <w:t>（包含优惠承诺、服务承诺及按扬尘污染整治标准进行各工序的施工）</w:t>
            </w:r>
          </w:p>
          <w:p>
            <w:pPr>
              <w:rPr>
                <w:rFonts w:hAnsi="宋体"/>
                <w:sz w:val="24"/>
                <w:szCs w:val="24"/>
              </w:rPr>
            </w:pPr>
          </w:p>
          <w:p>
            <w:pPr>
              <w:rPr>
                <w:rFonts w:hAnsi="宋体"/>
                <w:sz w:val="24"/>
                <w:szCs w:val="24"/>
              </w:rPr>
            </w:pPr>
          </w:p>
        </w:tc>
      </w:tr>
    </w:tbl>
    <w:p>
      <w:pPr>
        <w:spacing w:line="360" w:lineRule="auto"/>
        <w:ind w:right="475"/>
        <w:jc w:val="right"/>
        <w:rPr>
          <w:rFonts w:ascii="新宋体" w:hAnsi="新宋体" w:eastAsia="新宋体"/>
          <w:sz w:val="24"/>
        </w:rPr>
      </w:pPr>
    </w:p>
    <w:p>
      <w:pPr>
        <w:spacing w:line="360" w:lineRule="auto"/>
        <w:ind w:right="475"/>
        <w:jc w:val="right"/>
        <w:rPr>
          <w:rFonts w:ascii="新宋体" w:hAnsi="新宋体" w:eastAsia="新宋体"/>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r>
        <w:rPr>
          <w:rFonts w:hint="eastAsia" w:hAnsi="宋体"/>
          <w:sz w:val="24"/>
          <w:szCs w:val="24"/>
          <w:u w:val="single"/>
        </w:rPr>
        <w:t xml:space="preserve">         .</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r>
        <w:rPr>
          <w:rFonts w:hint="eastAsia" w:hAnsi="宋体"/>
          <w:sz w:val="24"/>
          <w:szCs w:val="24"/>
          <w:u w:val="single"/>
        </w:rPr>
        <w:t xml:space="preserve">         .</w:t>
      </w:r>
    </w:p>
    <w:p>
      <w:pPr>
        <w:wordWrap w:val="0"/>
        <w:spacing w:line="360" w:lineRule="auto"/>
        <w:ind w:right="1110"/>
        <w:jc w:val="right"/>
        <w:rPr>
          <w:rFonts w:ascii="黑体" w:hAnsi="新宋体" w:eastAsia="黑体" w:cs="黑体"/>
          <w:sz w:val="28"/>
          <w:szCs w:val="28"/>
        </w:rPr>
      </w:pPr>
      <w:r>
        <w:rPr>
          <w:rFonts w:hint="eastAsia" w:ascii="新宋体" w:hAnsi="新宋体" w:eastAsia="新宋体"/>
          <w:sz w:val="24"/>
        </w:rPr>
        <w:t>年月日</w:t>
      </w:r>
    </w:p>
    <w:p>
      <w:pPr>
        <w:autoSpaceDE w:val="0"/>
        <w:autoSpaceDN w:val="0"/>
        <w:adjustRightInd w:val="0"/>
        <w:spacing w:beforeLines="100" w:afterLines="100" w:line="420" w:lineRule="exact"/>
        <w:jc w:val="center"/>
        <w:outlineLvl w:val="0"/>
        <w:rPr>
          <w:rFonts w:hAnsi="宋体" w:cs="仿宋_GB2312"/>
          <w:b/>
          <w:sz w:val="28"/>
          <w:szCs w:val="28"/>
        </w:rPr>
      </w:pPr>
      <w:r>
        <w:rPr>
          <w:rFonts w:ascii="黑体" w:hAnsi="新宋体" w:eastAsia="黑体" w:cs="黑体"/>
          <w:sz w:val="28"/>
          <w:szCs w:val="28"/>
        </w:rPr>
        <w:br w:type="page"/>
      </w:r>
      <w:r>
        <w:rPr>
          <w:rFonts w:hint="eastAsia" w:ascii="黑体" w:hAnsi="新宋体" w:eastAsia="黑体" w:cs="黑体"/>
          <w:sz w:val="28"/>
          <w:szCs w:val="28"/>
        </w:rPr>
        <w:t>二、</w:t>
      </w:r>
      <w:bookmarkEnd w:id="206"/>
      <w:r>
        <w:rPr>
          <w:rFonts w:hint="eastAsia" w:hAnsi="宋体" w:cs="仿宋_GB2312"/>
          <w:b/>
          <w:sz w:val="28"/>
          <w:szCs w:val="28"/>
        </w:rPr>
        <w:t>法定代表人身份证明或附有法定代表人证明的授权委托书</w:t>
      </w:r>
    </w:p>
    <w:p>
      <w:pPr>
        <w:autoSpaceDE w:val="0"/>
        <w:autoSpaceDN w:val="0"/>
        <w:adjustRightInd w:val="0"/>
        <w:spacing w:line="420" w:lineRule="exact"/>
        <w:jc w:val="center"/>
        <w:outlineLvl w:val="0"/>
        <w:rPr>
          <w:rFonts w:ascii="黑体" w:hAnsi="新宋体" w:eastAsia="黑体" w:cs="黑体"/>
          <w:sz w:val="28"/>
          <w:szCs w:val="28"/>
        </w:rPr>
      </w:pPr>
      <w:bookmarkStart w:id="208" w:name="_Toc271787731"/>
      <w:r>
        <w:rPr>
          <w:rFonts w:hint="eastAsia" w:ascii="黑体" w:hAnsi="新宋体" w:eastAsia="黑体" w:cs="黑体"/>
          <w:sz w:val="28"/>
          <w:szCs w:val="28"/>
        </w:rPr>
        <w:t>（一）法定代表人身份证明</w:t>
      </w:r>
      <w:bookmarkEnd w:id="208"/>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TimesNewRomanPSMT"/>
          <w:sz w:val="24"/>
          <w:u w:val="single"/>
        </w:rPr>
      </w:pPr>
      <w:r>
        <w:rPr>
          <w:rFonts w:hint="eastAsia" w:hAnsi="宋体" w:cs="仿宋_GB2312"/>
          <w:sz w:val="24"/>
        </w:rPr>
        <w:t>投标人名称：</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成立时间：年月日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center"/>
        <w:rPr>
          <w:rFonts w:hAnsi="宋体" w:cs="仿宋_GB2312"/>
          <w:sz w:val="24"/>
        </w:rPr>
      </w:pPr>
      <w:r>
        <w:rPr>
          <w:rFonts w:hint="eastAsia" w:hAnsi="宋体" w:cs="仿宋_GB2312"/>
          <w:sz w:val="24"/>
          <w:lang w:val="en-US" w:eastAsia="zh-CN"/>
        </w:rPr>
        <w:t xml:space="preserve">     </w:t>
      </w:r>
      <w:r>
        <w:rPr>
          <w:rFonts w:hint="eastAsia" w:hAnsi="宋体" w:cs="仿宋_GB2312"/>
          <w:sz w:val="24"/>
        </w:rPr>
        <w:t>投标人：（盖单位章）</w:t>
      </w:r>
    </w:p>
    <w:p>
      <w:pPr>
        <w:autoSpaceDE w:val="0"/>
        <w:autoSpaceDN w:val="0"/>
        <w:adjustRightInd w:val="0"/>
        <w:spacing w:line="420" w:lineRule="exact"/>
        <w:ind w:firstLine="480" w:firstLineChars="200"/>
        <w:jc w:val="center"/>
        <w:rPr>
          <w:rFonts w:hAnsi="宋体" w:cs="仿宋_GB2312"/>
          <w:sz w:val="24"/>
        </w:rPr>
      </w:pPr>
      <w:r>
        <w:rPr>
          <w:rFonts w:hint="eastAsia" w:hAnsi="宋体" w:cs="仿宋_GB2312"/>
          <w:sz w:val="24"/>
          <w:lang w:val="en-US" w:eastAsia="zh-CN"/>
        </w:rPr>
        <w:t xml:space="preserve">               </w:t>
      </w:r>
      <w:r>
        <w:rPr>
          <w:rFonts w:hint="eastAsia" w:hAnsi="宋体" w:cs="仿宋_GB2312"/>
          <w:sz w:val="24"/>
        </w:rPr>
        <w:t>年</w:t>
      </w:r>
      <w:r>
        <w:rPr>
          <w:rFonts w:hint="eastAsia" w:hAnsi="宋体" w:cs="仿宋_GB2312"/>
          <w:sz w:val="24"/>
          <w:lang w:val="en-US" w:eastAsia="zh-CN"/>
        </w:rPr>
        <w:t xml:space="preserve">   </w:t>
      </w:r>
      <w:r>
        <w:rPr>
          <w:rFonts w:hint="eastAsia" w:hAnsi="宋体" w:cs="仿宋_GB2312"/>
          <w:sz w:val="24"/>
        </w:rPr>
        <w:t>月</w:t>
      </w:r>
      <w:r>
        <w:rPr>
          <w:rFonts w:hint="eastAsia" w:hAnsi="宋体" w:cs="仿宋_GB2312"/>
          <w:sz w:val="24"/>
          <w:lang w:val="en-US" w:eastAsia="zh-CN"/>
        </w:rPr>
        <w:t xml:space="preserve">   </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pStyle w:val="4"/>
        <w:rPr>
          <w:rFonts w:hAnsi="宋体" w:cs="仿宋_GB2312"/>
          <w:szCs w:val="21"/>
        </w:rPr>
      </w:pPr>
    </w:p>
    <w:p>
      <w:pPr>
        <w:rPr>
          <w:rFonts w:hAnsi="宋体" w:cs="仿宋_GB2312"/>
          <w:szCs w:val="21"/>
        </w:rPr>
      </w:pPr>
    </w:p>
    <w:p>
      <w:pPr>
        <w:pStyle w:val="4"/>
        <w:rPr>
          <w:rFonts w:hAnsi="宋体" w:cs="仿宋_GB2312"/>
          <w:szCs w:val="21"/>
        </w:rPr>
      </w:pPr>
    </w:p>
    <w:p>
      <w:pPr>
        <w:rPr>
          <w:rFonts w:hAnsi="宋体" w:cs="仿宋_GB2312"/>
          <w:szCs w:val="21"/>
        </w:rPr>
      </w:pPr>
    </w:p>
    <w:p>
      <w:pPr>
        <w:pStyle w:val="4"/>
        <w:rPr>
          <w:rFonts w:hAnsi="宋体" w:cs="仿宋_GB2312"/>
          <w:szCs w:val="21"/>
        </w:rPr>
      </w:pPr>
    </w:p>
    <w:p>
      <w:pPr>
        <w:rPr>
          <w:rFonts w:hAnsi="宋体" w:cs="仿宋_GB2312"/>
          <w:szCs w:val="21"/>
        </w:rPr>
      </w:pPr>
    </w:p>
    <w:p>
      <w:pPr>
        <w:pStyle w:val="4"/>
        <w:rPr>
          <w:rFonts w:hAnsi="宋体" w:cs="仿宋_GB2312"/>
          <w:szCs w:val="21"/>
        </w:rPr>
      </w:pPr>
    </w:p>
    <w:p>
      <w:pPr>
        <w:rPr>
          <w:rFonts w:hAnsi="宋体" w:cs="仿宋_GB2312"/>
          <w:szCs w:val="21"/>
        </w:rPr>
      </w:pPr>
    </w:p>
    <w:p>
      <w:pPr>
        <w:pStyle w:val="4"/>
      </w:pPr>
    </w:p>
    <w:p>
      <w:pPr>
        <w:pStyle w:val="4"/>
      </w:pPr>
    </w:p>
    <w:p>
      <w:pPr>
        <w:autoSpaceDE w:val="0"/>
        <w:autoSpaceDN w:val="0"/>
        <w:adjustRightInd w:val="0"/>
        <w:spacing w:line="420" w:lineRule="exact"/>
        <w:jc w:val="center"/>
        <w:outlineLvl w:val="0"/>
        <w:rPr>
          <w:rFonts w:ascii="黑体" w:hAnsi="新宋体" w:eastAsia="黑体" w:cs="黑体"/>
          <w:sz w:val="28"/>
          <w:szCs w:val="28"/>
        </w:rPr>
      </w:pPr>
      <w:bookmarkStart w:id="209" w:name="_Toc271787732"/>
      <w:r>
        <w:rPr>
          <w:rFonts w:hint="eastAsia" w:ascii="黑体" w:hAnsi="新宋体" w:eastAsia="黑体" w:cs="黑体"/>
          <w:sz w:val="28"/>
          <w:szCs w:val="28"/>
        </w:rPr>
        <w:t>（二）授权委托书</w:t>
      </w:r>
      <w:bookmarkEnd w:id="209"/>
    </w:p>
    <w:p>
      <w:pPr>
        <w:autoSpaceDE w:val="0"/>
        <w:autoSpaceDN w:val="0"/>
        <w:adjustRightInd w:val="0"/>
        <w:spacing w:line="420" w:lineRule="exact"/>
        <w:jc w:val="center"/>
        <w:outlineLvl w:val="0"/>
        <w:rPr>
          <w:rFonts w:ascii="黑体" w:hAnsi="新宋体" w:eastAsia="黑体" w:cs="黑体"/>
          <w:sz w:val="28"/>
          <w:szCs w:val="28"/>
        </w:rPr>
      </w:pP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w:t>
      </w:r>
      <w:r>
        <w:rPr>
          <w:rFonts w:hint="eastAsia" w:hAnsi="宋体" w:cs="仿宋_GB2312"/>
          <w:sz w:val="24"/>
          <w:szCs w:val="24"/>
          <w:u w:val="single"/>
        </w:rPr>
        <w:t xml:space="preserve">      (姓名) </w:t>
      </w:r>
      <w:r>
        <w:rPr>
          <w:rFonts w:hint="eastAsia" w:hAnsi="宋体" w:cs="仿宋_GB2312"/>
          <w:sz w:val="24"/>
          <w:szCs w:val="24"/>
        </w:rPr>
        <w:t>系</w:t>
      </w:r>
      <w:r>
        <w:rPr>
          <w:rFonts w:hint="eastAsia" w:hAnsi="宋体" w:cs="仿宋_GB2312"/>
          <w:sz w:val="24"/>
          <w:szCs w:val="24"/>
          <w:u w:val="single"/>
        </w:rPr>
        <w:t xml:space="preserve">       （投标人名称）</w:t>
      </w:r>
      <w:r>
        <w:rPr>
          <w:rFonts w:hint="eastAsia" w:hAnsi="宋体" w:cs="仿宋_GB2312"/>
          <w:sz w:val="24"/>
          <w:szCs w:val="24"/>
        </w:rPr>
        <w:t>的法定代表人，现授权委托</w:t>
      </w:r>
      <w:r>
        <w:rPr>
          <w:rFonts w:hint="eastAsia" w:hAnsi="宋体" w:cs="仿宋_GB2312"/>
          <w:sz w:val="24"/>
          <w:szCs w:val="24"/>
          <w:u w:val="single"/>
        </w:rPr>
        <w:t xml:space="preserve">     （姓名）</w:t>
      </w:r>
      <w:r>
        <w:rPr>
          <w:rFonts w:hint="eastAsia" w:hAnsi="宋体" w:cs="仿宋_GB2312"/>
          <w:sz w:val="24"/>
          <w:szCs w:val="24"/>
        </w:rPr>
        <w:t>（身份证号：，联系电话： ）为我公司处理</w:t>
      </w:r>
      <w:r>
        <w:rPr>
          <w:rFonts w:hint="eastAsia" w:hAnsi="宋体" w:cs="仿宋_GB2312"/>
          <w:sz w:val="24"/>
          <w:szCs w:val="24"/>
          <w:u w:val="single"/>
        </w:rPr>
        <w:t xml:space="preserve">        （项目名称/标段）</w:t>
      </w:r>
      <w:r>
        <w:rPr>
          <w:rFonts w:hint="eastAsia" w:hAnsi="宋体" w:cs="仿宋_GB2312"/>
          <w:sz w:val="24"/>
          <w:szCs w:val="24"/>
        </w:rPr>
        <w:t>投标事宜的唯一授权委托人，该项委托权不得转让。</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600" w:lineRule="exact"/>
        <w:ind w:firstLine="480" w:firstLineChars="200"/>
        <w:rPr>
          <w:rFonts w:hAnsi="宋体" w:cs="仿宋_GB2312"/>
          <w:sz w:val="24"/>
          <w:szCs w:val="24"/>
        </w:rPr>
      </w:pPr>
      <w:r>
        <w:rPr>
          <w:rFonts w:hint="eastAsia" w:hAnsi="宋体" w:cs="仿宋_GB2312"/>
          <w:sz w:val="24"/>
          <w:szCs w:val="24"/>
        </w:rPr>
        <w:t>附：法定代表人（单位负责人）及授权委托人身份证原件扫描件（或图片）（正反面）</w:t>
      </w:r>
    </w:p>
    <w:p>
      <w:pPr>
        <w:spacing w:line="600" w:lineRule="exact"/>
        <w:ind w:firstLine="480" w:firstLineChars="200"/>
        <w:jc w:val="right"/>
        <w:rPr>
          <w:rFonts w:hAnsi="宋体" w:cs="仿宋_GB2312"/>
          <w:sz w:val="24"/>
          <w:szCs w:val="24"/>
        </w:rPr>
      </w:pPr>
      <w:r>
        <w:rPr>
          <w:rFonts w:hint="eastAsia" w:hAnsi="宋体" w:cs="仿宋_GB2312"/>
          <w:sz w:val="24"/>
          <w:szCs w:val="24"/>
        </w:rPr>
        <w:t xml:space="preserve">投标单位： </w:t>
      </w:r>
      <w:r>
        <w:rPr>
          <w:rFonts w:hint="eastAsia" w:hAnsi="宋体" w:cs="仿宋_GB2312"/>
          <w:sz w:val="24"/>
          <w:szCs w:val="24"/>
          <w:u w:val="single"/>
        </w:rPr>
        <w:t xml:space="preserve">                      （盖章）</w:t>
      </w:r>
    </w:p>
    <w:p>
      <w:pPr>
        <w:spacing w:line="600" w:lineRule="exact"/>
        <w:ind w:firstLine="480" w:firstLineChars="200"/>
        <w:jc w:val="right"/>
        <w:rPr>
          <w:rFonts w:hAnsi="宋体" w:cs="仿宋_GB2312"/>
          <w:sz w:val="24"/>
          <w:szCs w:val="24"/>
        </w:rPr>
      </w:pPr>
      <w:r>
        <w:rPr>
          <w:rFonts w:hint="eastAsia" w:hAnsi="宋体" w:cs="仿宋_GB2312"/>
          <w:sz w:val="24"/>
          <w:szCs w:val="24"/>
        </w:rPr>
        <w:t>法定代表人：</w:t>
      </w:r>
      <w:r>
        <w:rPr>
          <w:rFonts w:hint="eastAsia" w:hAnsi="宋体" w:cs="仿宋_GB2312"/>
          <w:sz w:val="24"/>
          <w:szCs w:val="24"/>
          <w:u w:val="single"/>
        </w:rPr>
        <w:t xml:space="preserve">                     （签字）</w:t>
      </w:r>
    </w:p>
    <w:p>
      <w:pPr>
        <w:spacing w:line="600" w:lineRule="exact"/>
        <w:ind w:firstLine="480" w:firstLineChars="200"/>
        <w:jc w:val="right"/>
        <w:rPr>
          <w:rFonts w:hAnsi="宋体" w:cs="仿宋_GB2312"/>
          <w:sz w:val="24"/>
          <w:szCs w:val="24"/>
        </w:rPr>
      </w:pPr>
      <w:r>
        <w:rPr>
          <w:rFonts w:hint="eastAsia" w:hAnsi="宋体" w:cs="仿宋_GB2312"/>
          <w:sz w:val="24"/>
          <w:szCs w:val="24"/>
        </w:rPr>
        <w:t xml:space="preserve">受委托人：  </w:t>
      </w:r>
      <w:r>
        <w:rPr>
          <w:rFonts w:hint="eastAsia" w:hAnsi="宋体" w:cs="仿宋_GB2312"/>
          <w:sz w:val="24"/>
          <w:szCs w:val="24"/>
          <w:u w:val="single"/>
        </w:rPr>
        <w:t xml:space="preserve">                     （签字）</w:t>
      </w:r>
    </w:p>
    <w:p>
      <w:pPr>
        <w:spacing w:line="600" w:lineRule="exact"/>
        <w:ind w:firstLine="480" w:firstLineChars="200"/>
        <w:jc w:val="center"/>
        <w:rPr>
          <w:rFonts w:hAnsi="宋体" w:cs="仿宋_GB2312"/>
          <w:sz w:val="24"/>
          <w:szCs w:val="24"/>
        </w:rPr>
      </w:pPr>
      <w:r>
        <w:rPr>
          <w:rFonts w:hint="eastAsia" w:hAnsi="宋体" w:cs="仿宋_GB2312"/>
          <w:sz w:val="24"/>
          <w:szCs w:val="24"/>
          <w:lang w:val="en-US" w:eastAsia="zh-CN"/>
        </w:rPr>
        <w:t xml:space="preserve">                                    </w:t>
      </w:r>
      <w:r>
        <w:rPr>
          <w:rFonts w:hint="eastAsia" w:hAnsi="宋体" w:cs="仿宋_GB2312"/>
          <w:sz w:val="24"/>
          <w:szCs w:val="24"/>
        </w:rPr>
        <w:t>年</w:t>
      </w:r>
      <w:r>
        <w:rPr>
          <w:rFonts w:hint="eastAsia" w:hAnsi="宋体" w:cs="仿宋_GB2312"/>
          <w:sz w:val="24"/>
          <w:szCs w:val="24"/>
          <w:lang w:val="en-US" w:eastAsia="zh-CN"/>
        </w:rPr>
        <w:t xml:space="preserve">  </w:t>
      </w:r>
      <w:r>
        <w:rPr>
          <w:rFonts w:hint="eastAsia" w:hAnsi="宋体" w:cs="仿宋_GB2312"/>
          <w:sz w:val="24"/>
          <w:szCs w:val="24"/>
        </w:rPr>
        <w:t>月</w:t>
      </w:r>
      <w:r>
        <w:rPr>
          <w:rFonts w:hint="eastAsia" w:hAnsi="宋体" w:cs="仿宋_GB2312"/>
          <w:sz w:val="24"/>
          <w:szCs w:val="24"/>
          <w:lang w:val="en-US" w:eastAsia="zh-CN"/>
        </w:rPr>
        <w:t xml:space="preserve">   </w:t>
      </w:r>
      <w:r>
        <w:rPr>
          <w:rFonts w:hint="eastAsia" w:hAnsi="宋体" w:cs="仿宋_GB2312"/>
          <w:sz w:val="24"/>
          <w:szCs w:val="24"/>
        </w:rPr>
        <w:t>日</w:t>
      </w: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r>
        <w:rPr>
          <w:rFonts w:hint="eastAsia" w:hAnsi="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7"/>
                    <a:stretch>
                      <a:fillRect/>
                    </a:stretch>
                  </pic:blipFill>
                  <pic:spPr>
                    <a:xfrm>
                      <a:off x="0" y="0"/>
                      <a:ext cx="952500" cy="927100"/>
                    </a:xfrm>
                    <a:prstGeom prst="rect">
                      <a:avLst/>
                    </a:prstGeom>
                    <a:noFill/>
                    <a:ln w="9525">
                      <a:noFill/>
                    </a:ln>
                  </pic:spPr>
                </pic:pic>
              </a:graphicData>
            </a:graphic>
          </wp:anchor>
        </w:drawing>
      </w:r>
      <w:r>
        <w:rPr>
          <w:rFonts w:hint="eastAsia" w:hAnsi="宋体"/>
          <w:b/>
          <w:sz w:val="36"/>
          <w:szCs w:val="36"/>
        </w:rPr>
        <w:t>三、投标担保</w:t>
      </w:r>
    </w:p>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附投标保证金有效银行转账凭证原件扫描件（或图片）；</w:t>
      </w:r>
    </w:p>
    <w:p>
      <w:pPr>
        <w:autoSpaceDE w:val="0"/>
        <w:autoSpaceDN w:val="0"/>
        <w:adjustRightInd w:val="0"/>
        <w:spacing w:line="420" w:lineRule="exact"/>
        <w:jc w:val="center"/>
        <w:rPr>
          <w:rFonts w:hAnsi="宋体" w:cs="仿宋_GB2312"/>
          <w:sz w:val="24"/>
          <w:szCs w:val="24"/>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ind w:left="180"/>
        <w:jc w:val="center"/>
        <w:rPr>
          <w:rFonts w:hAnsi="宋体"/>
          <w:b/>
          <w:bCs/>
          <w:sz w:val="32"/>
          <w:szCs w:val="32"/>
        </w:rPr>
      </w:pPr>
      <w:r>
        <w:rPr>
          <w:rFonts w:hint="eastAsia" w:hAnsi="宋体"/>
          <w:b/>
          <w:bCs/>
          <w:sz w:val="32"/>
          <w:szCs w:val="32"/>
        </w:rPr>
        <w:t>四、项目管理机构配备情况</w:t>
      </w:r>
    </w:p>
    <w:p>
      <w:pPr>
        <w:autoSpaceDE w:val="0"/>
        <w:autoSpaceDN w:val="0"/>
        <w:adjustRightInd w:val="0"/>
        <w:spacing w:line="360" w:lineRule="auto"/>
        <w:ind w:right="215" w:firstLine="420"/>
        <w:jc w:val="center"/>
        <w:rPr>
          <w:rFonts w:hAnsi="宋体"/>
          <w:sz w:val="24"/>
          <w:szCs w:val="24"/>
        </w:rPr>
      </w:pPr>
      <w:r>
        <w:rPr>
          <w:rFonts w:hint="eastAsia" w:hAnsi="宋体"/>
          <w:sz w:val="24"/>
          <w:szCs w:val="24"/>
        </w:rPr>
        <w:t>（一）项目管理机构组成表</w:t>
      </w:r>
    </w:p>
    <w:tbl>
      <w:tblPr>
        <w:tblStyle w:val="12"/>
        <w:tblW w:w="9395" w:type="dxa"/>
        <w:jc w:val="center"/>
        <w:tblLayout w:type="fixed"/>
        <w:tblCellMar>
          <w:top w:w="0" w:type="dxa"/>
          <w:left w:w="108" w:type="dxa"/>
          <w:bottom w:w="0" w:type="dxa"/>
          <w:right w:w="108" w:type="dxa"/>
        </w:tblCellMar>
      </w:tblPr>
      <w:tblGrid>
        <w:gridCol w:w="913"/>
        <w:gridCol w:w="914"/>
        <w:gridCol w:w="914"/>
        <w:gridCol w:w="1405"/>
        <w:gridCol w:w="945"/>
        <w:gridCol w:w="945"/>
        <w:gridCol w:w="945"/>
        <w:gridCol w:w="1470"/>
        <w:gridCol w:w="944"/>
      </w:tblGrid>
      <w:tr>
        <w:tblPrEx>
          <w:tblCellMar>
            <w:top w:w="0" w:type="dxa"/>
            <w:left w:w="108" w:type="dxa"/>
            <w:bottom w:w="0" w:type="dxa"/>
            <w:right w:w="108" w:type="dxa"/>
          </w:tblCellMar>
        </w:tblPrEx>
        <w:trPr>
          <w:trHeight w:val="499" w:hRule="atLeast"/>
          <w:jc w:val="center"/>
        </w:trPr>
        <w:tc>
          <w:tcPr>
            <w:tcW w:w="91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职务</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姓名</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职称</w:t>
            </w:r>
          </w:p>
        </w:tc>
        <w:tc>
          <w:tcPr>
            <w:tcW w:w="5710"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执业或职业资格证明</w:t>
            </w:r>
          </w:p>
        </w:tc>
        <w:tc>
          <w:tcPr>
            <w:tcW w:w="9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备注</w:t>
            </w:r>
          </w:p>
        </w:tc>
      </w:tr>
      <w:tr>
        <w:tblPrEx>
          <w:tblCellMar>
            <w:top w:w="0" w:type="dxa"/>
            <w:left w:w="108" w:type="dxa"/>
            <w:bottom w:w="0" w:type="dxa"/>
            <w:right w:w="108" w:type="dxa"/>
          </w:tblCellMar>
        </w:tblPrEx>
        <w:trPr>
          <w:trHeight w:val="155" w:hRule="atLeast"/>
          <w:jc w:val="center"/>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sz w:val="24"/>
                <w:szCs w:val="24"/>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rFonts w:hAnsi="宋体"/>
                <w:sz w:val="24"/>
                <w:szCs w:val="24"/>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rFonts w:hAnsi="宋体"/>
                <w:sz w:val="24"/>
                <w:szCs w:val="24"/>
              </w:rPr>
            </w:pPr>
          </w:p>
        </w:tc>
        <w:tc>
          <w:tcPr>
            <w:tcW w:w="14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证书名称</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级别</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证号</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专业</w:t>
            </w:r>
          </w:p>
        </w:tc>
        <w:tc>
          <w:tcPr>
            <w:tcW w:w="147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养老保险</w:t>
            </w:r>
          </w:p>
        </w:tc>
        <w:tc>
          <w:tcPr>
            <w:tcW w:w="9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76"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bl>
    <w:p>
      <w:pPr>
        <w:spacing w:beforeLines="50" w:afterLines="100" w:line="420" w:lineRule="exact"/>
        <w:jc w:val="center"/>
        <w:rPr>
          <w:rFonts w:hAnsi="宋体"/>
          <w:b/>
          <w:bCs/>
          <w:sz w:val="24"/>
          <w:szCs w:val="24"/>
        </w:rPr>
      </w:pPr>
    </w:p>
    <w:p>
      <w:pPr>
        <w:spacing w:beforeLines="50" w:afterLines="100" w:line="420" w:lineRule="exact"/>
        <w:jc w:val="center"/>
        <w:rPr>
          <w:rFonts w:hAnsi="宋体"/>
          <w:b/>
          <w:bCs/>
          <w:sz w:val="24"/>
          <w:szCs w:val="24"/>
        </w:rPr>
      </w:pPr>
    </w:p>
    <w:p>
      <w:pPr>
        <w:spacing w:beforeLines="50" w:afterLines="100" w:line="420" w:lineRule="exact"/>
        <w:jc w:val="center"/>
        <w:rPr>
          <w:rFonts w:hAnsi="宋体"/>
          <w:b/>
          <w:bCs/>
          <w:sz w:val="24"/>
          <w:szCs w:val="24"/>
        </w:rPr>
      </w:pPr>
    </w:p>
    <w:p>
      <w:pPr>
        <w:pStyle w:val="4"/>
        <w:rPr>
          <w:rFonts w:hAnsi="宋体"/>
          <w:sz w:val="24"/>
          <w:szCs w:val="24"/>
        </w:rPr>
      </w:pPr>
    </w:p>
    <w:p>
      <w:pPr>
        <w:rPr>
          <w:rFonts w:hAnsi="宋体"/>
          <w:b/>
          <w:bCs/>
          <w:sz w:val="24"/>
          <w:szCs w:val="24"/>
        </w:rPr>
      </w:pPr>
    </w:p>
    <w:p>
      <w:pPr>
        <w:pStyle w:val="4"/>
        <w:rPr>
          <w:rFonts w:hAnsi="宋体"/>
          <w:sz w:val="24"/>
          <w:szCs w:val="24"/>
        </w:rPr>
      </w:pPr>
    </w:p>
    <w:p/>
    <w:p>
      <w:pPr>
        <w:pStyle w:val="4"/>
      </w:pPr>
    </w:p>
    <w:p>
      <w:pPr>
        <w:pStyle w:val="2"/>
        <w:ind w:firstLine="340"/>
      </w:pPr>
    </w:p>
    <w:p>
      <w:pPr>
        <w:spacing w:beforeLines="50" w:afterLines="100" w:line="420" w:lineRule="exact"/>
        <w:jc w:val="center"/>
        <w:rPr>
          <w:rFonts w:hAnsi="宋体"/>
          <w:b/>
          <w:bCs/>
          <w:sz w:val="32"/>
          <w:szCs w:val="32"/>
        </w:rPr>
      </w:pPr>
      <w:r>
        <w:rPr>
          <w:rFonts w:hint="eastAsia" w:hAnsi="宋体"/>
          <w:b/>
          <w:bCs/>
          <w:sz w:val="32"/>
          <w:szCs w:val="32"/>
        </w:rPr>
        <w:t>（二）主要人员简历表</w:t>
      </w:r>
    </w:p>
    <w:p>
      <w:pPr>
        <w:spacing w:line="420" w:lineRule="exact"/>
        <w:rPr>
          <w:rFonts w:hAnsi="宋体"/>
          <w:sz w:val="24"/>
          <w:szCs w:val="24"/>
        </w:rPr>
      </w:pPr>
      <w:r>
        <w:rPr>
          <w:rFonts w:hint="eastAsia" w:hAnsi="宋体"/>
          <w:sz w:val="24"/>
          <w:szCs w:val="24"/>
        </w:rPr>
        <w:t>附1：项目负责人简历表</w:t>
      </w:r>
    </w:p>
    <w:p>
      <w:pPr>
        <w:spacing w:line="420" w:lineRule="exact"/>
        <w:ind w:firstLine="480" w:firstLineChars="200"/>
        <w:rPr>
          <w:rFonts w:hAnsi="宋体"/>
          <w:sz w:val="24"/>
          <w:szCs w:val="24"/>
        </w:rPr>
      </w:pPr>
      <w:r>
        <w:rPr>
          <w:rFonts w:hint="eastAsia" w:hAnsi="宋体"/>
          <w:sz w:val="24"/>
          <w:szCs w:val="24"/>
        </w:rPr>
        <w:t>项目负责人应附</w:t>
      </w:r>
      <w:r>
        <w:rPr>
          <w:rFonts w:hint="eastAsia" w:hAnsi="宋体" w:cs="仿宋_GB2312"/>
          <w:sz w:val="24"/>
          <w:szCs w:val="24"/>
        </w:rPr>
        <w:t>身份证</w:t>
      </w:r>
      <w:r>
        <w:rPr>
          <w:rFonts w:hint="eastAsia" w:hAnsi="宋体"/>
          <w:sz w:val="24"/>
          <w:szCs w:val="24"/>
        </w:rPr>
        <w:t>、职称证、养老保险复印件，管理过的项目业绩须</w:t>
      </w:r>
      <w:r>
        <w:rPr>
          <w:rFonts w:hint="eastAsia" w:hAnsi="宋体" w:cs="仿宋_GB2312"/>
          <w:sz w:val="24"/>
          <w:szCs w:val="24"/>
        </w:rPr>
        <w:t>提供法定媒介中标(成交)公示网页截图、合同、中标通知书(或竣工备案表)，并在投标文件中附完整的复印件。</w:t>
      </w:r>
      <w:r>
        <w:rPr>
          <w:rFonts w:hint="eastAsia" w:hAnsi="宋体"/>
          <w:sz w:val="24"/>
          <w:szCs w:val="24"/>
        </w:rPr>
        <w:t>类似项目限于以项目负责人身份参与的项目。</w:t>
      </w:r>
    </w:p>
    <w:tbl>
      <w:tblPr>
        <w:tblStyle w:val="12"/>
        <w:tblW w:w="9039" w:type="dxa"/>
        <w:jc w:val="center"/>
        <w:tblLayout w:type="fixed"/>
        <w:tblCellMar>
          <w:top w:w="0" w:type="dxa"/>
          <w:left w:w="108" w:type="dxa"/>
          <w:bottom w:w="0" w:type="dxa"/>
          <w:right w:w="108" w:type="dxa"/>
        </w:tblCellMar>
      </w:tblPr>
      <w:tblGrid>
        <w:gridCol w:w="1233"/>
        <w:gridCol w:w="1029"/>
        <w:gridCol w:w="1204"/>
        <w:gridCol w:w="1355"/>
        <w:gridCol w:w="1959"/>
        <w:gridCol w:w="2259"/>
      </w:tblGrid>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姓  名</w:t>
            </w:r>
          </w:p>
        </w:tc>
        <w:tc>
          <w:tcPr>
            <w:tcW w:w="102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204"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年  龄</w:t>
            </w:r>
          </w:p>
        </w:tc>
        <w:tc>
          <w:tcPr>
            <w:tcW w:w="1355"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学历</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职  称</w:t>
            </w:r>
          </w:p>
        </w:tc>
        <w:tc>
          <w:tcPr>
            <w:tcW w:w="102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204"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职  务</w:t>
            </w:r>
          </w:p>
        </w:tc>
        <w:tc>
          <w:tcPr>
            <w:tcW w:w="1355"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拟在本工程任职</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毕业学校</w:t>
            </w:r>
          </w:p>
        </w:tc>
        <w:tc>
          <w:tcPr>
            <w:tcW w:w="7806" w:type="dxa"/>
            <w:gridSpan w:val="5"/>
            <w:tcBorders>
              <w:top w:val="single" w:color="auto" w:sz="4" w:space="0"/>
              <w:left w:val="nil"/>
              <w:bottom w:val="single" w:color="auto" w:sz="4" w:space="0"/>
              <w:right w:val="single" w:color="auto" w:sz="4" w:space="0"/>
            </w:tcBorders>
            <w:vAlign w:val="center"/>
          </w:tcPr>
          <w:p>
            <w:pPr>
              <w:ind w:firstLine="960" w:firstLineChars="400"/>
              <w:rPr>
                <w:rFonts w:hAnsi="宋体"/>
                <w:sz w:val="24"/>
                <w:szCs w:val="24"/>
              </w:rPr>
            </w:pPr>
            <w:r>
              <w:rPr>
                <w:rFonts w:hint="eastAsia" w:hAnsi="宋体"/>
                <w:sz w:val="24"/>
                <w:szCs w:val="24"/>
              </w:rPr>
              <w:t>年毕业于                  学校            专业</w:t>
            </w:r>
          </w:p>
        </w:tc>
      </w:tr>
      <w:tr>
        <w:tblPrEx>
          <w:tblCellMar>
            <w:top w:w="0" w:type="dxa"/>
            <w:left w:w="108" w:type="dxa"/>
            <w:bottom w:w="0" w:type="dxa"/>
            <w:right w:w="108" w:type="dxa"/>
          </w:tblCellMar>
        </w:tblPrEx>
        <w:trPr>
          <w:trHeight w:val="374" w:hRule="atLeast"/>
          <w:jc w:val="center"/>
        </w:trPr>
        <w:tc>
          <w:tcPr>
            <w:tcW w:w="9039" w:type="dxa"/>
            <w:gridSpan w:val="6"/>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主要工作经历</w:t>
            </w: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时  间</w:t>
            </w: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参加过的类似项目名称</w:t>
            </w: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工程概况说明</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发包人及联系电话</w:t>
            </w: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bl>
    <w:p>
      <w:pPr>
        <w:spacing w:line="420" w:lineRule="exact"/>
        <w:rPr>
          <w:rFonts w:hAnsi="宋体"/>
          <w:sz w:val="24"/>
          <w:szCs w:val="24"/>
        </w:rPr>
      </w:pPr>
    </w:p>
    <w:p>
      <w:pPr>
        <w:spacing w:line="420" w:lineRule="exact"/>
        <w:rPr>
          <w:rFonts w:hAnsi="宋体"/>
          <w:sz w:val="24"/>
          <w:szCs w:val="24"/>
        </w:rPr>
      </w:pPr>
    </w:p>
    <w:p>
      <w:pPr>
        <w:pStyle w:val="2"/>
        <w:ind w:firstLine="340"/>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pStyle w:val="4"/>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pStyle w:val="4"/>
      </w:pPr>
    </w:p>
    <w:p>
      <w:pPr>
        <w:spacing w:line="420" w:lineRule="exact"/>
        <w:rPr>
          <w:rFonts w:hAnsi="宋体"/>
          <w:sz w:val="24"/>
          <w:szCs w:val="24"/>
        </w:rPr>
      </w:pPr>
    </w:p>
    <w:p>
      <w:pPr>
        <w:spacing w:line="420" w:lineRule="exact"/>
        <w:rPr>
          <w:rFonts w:hAnsi="宋体"/>
          <w:sz w:val="24"/>
          <w:szCs w:val="24"/>
        </w:rPr>
      </w:pPr>
      <w:r>
        <w:rPr>
          <w:rFonts w:hint="eastAsia" w:hAnsi="宋体"/>
          <w:sz w:val="24"/>
          <w:szCs w:val="24"/>
        </w:rPr>
        <w:t>附2：主要项目管理人员简历表</w:t>
      </w:r>
    </w:p>
    <w:p>
      <w:pPr>
        <w:spacing w:line="420" w:lineRule="exact"/>
        <w:ind w:firstLine="480" w:firstLineChars="200"/>
        <w:rPr>
          <w:rFonts w:hAnsi="宋体"/>
          <w:sz w:val="24"/>
          <w:szCs w:val="24"/>
        </w:rPr>
      </w:pPr>
      <w:r>
        <w:rPr>
          <w:rFonts w:hint="eastAsia" w:hAnsi="宋体"/>
          <w:sz w:val="24"/>
          <w:szCs w:val="24"/>
        </w:rPr>
        <w:t>主要项目管理人员是指技术负责人、专职安全生产管理员等岗位人员。应附身份证、执业证或岗位证书、养老保险复印件，专职安全生产管理人员应附安全生产考核合格证书。</w:t>
      </w:r>
    </w:p>
    <w:tbl>
      <w:tblPr>
        <w:tblStyle w:val="12"/>
        <w:tblW w:w="8729" w:type="dxa"/>
        <w:jc w:val="center"/>
        <w:tblLayout w:type="fixed"/>
        <w:tblCellMar>
          <w:top w:w="0" w:type="dxa"/>
          <w:left w:w="108" w:type="dxa"/>
          <w:bottom w:w="0" w:type="dxa"/>
          <w:right w:w="108" w:type="dxa"/>
        </w:tblCellMar>
      </w:tblPr>
      <w:tblGrid>
        <w:gridCol w:w="1104"/>
        <w:gridCol w:w="1250"/>
        <w:gridCol w:w="1894"/>
        <w:gridCol w:w="1590"/>
        <w:gridCol w:w="2891"/>
      </w:tblGrid>
      <w:tr>
        <w:tblPrEx>
          <w:tblCellMar>
            <w:top w:w="0" w:type="dxa"/>
            <w:left w:w="108" w:type="dxa"/>
            <w:bottom w:w="0" w:type="dxa"/>
            <w:right w:w="108" w:type="dxa"/>
          </w:tblCellMar>
        </w:tblPrEx>
        <w:trPr>
          <w:trHeight w:val="649" w:hRule="atLeast"/>
          <w:jc w:val="center"/>
        </w:trPr>
        <w:tc>
          <w:tcPr>
            <w:tcW w:w="8729"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岗位名称</w:t>
            </w:r>
          </w:p>
        </w:tc>
      </w:tr>
      <w:tr>
        <w:tblPrEx>
          <w:tblCellMar>
            <w:top w:w="0" w:type="dxa"/>
            <w:left w:w="108" w:type="dxa"/>
            <w:bottom w:w="0" w:type="dxa"/>
            <w:right w:w="108" w:type="dxa"/>
          </w:tblCellMar>
        </w:tblPrEx>
        <w:trPr>
          <w:trHeight w:val="47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姓    名</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年    龄</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399"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性    别</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毕业学校</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548"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学历和专业</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毕业时间</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444"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拥有的执业资格</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专业职称</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63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执业资格证书编号</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工作年限</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CellMar>
            <w:top w:w="0" w:type="dxa"/>
            <w:left w:w="108" w:type="dxa"/>
            <w:bottom w:w="0" w:type="dxa"/>
            <w:right w:w="108" w:type="dxa"/>
          </w:tblCellMar>
        </w:tblPrEx>
        <w:trPr>
          <w:trHeight w:val="269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主要</w:t>
            </w:r>
          </w:p>
          <w:p>
            <w:pPr>
              <w:jc w:val="center"/>
              <w:rPr>
                <w:rFonts w:hAnsi="宋体"/>
                <w:sz w:val="24"/>
                <w:szCs w:val="24"/>
              </w:rPr>
            </w:pPr>
            <w:r>
              <w:rPr>
                <w:rFonts w:hint="eastAsia" w:hAnsi="宋体"/>
                <w:sz w:val="24"/>
                <w:szCs w:val="24"/>
              </w:rPr>
              <w:t>工作</w:t>
            </w:r>
          </w:p>
          <w:p>
            <w:pPr>
              <w:jc w:val="center"/>
              <w:rPr>
                <w:rFonts w:hAnsi="宋体"/>
                <w:sz w:val="24"/>
                <w:szCs w:val="24"/>
              </w:rPr>
            </w:pPr>
            <w:r>
              <w:rPr>
                <w:rFonts w:hint="eastAsia" w:hAnsi="宋体"/>
                <w:sz w:val="24"/>
                <w:szCs w:val="24"/>
              </w:rPr>
              <w:t>业绩</w:t>
            </w:r>
          </w:p>
          <w:p>
            <w:pPr>
              <w:jc w:val="center"/>
              <w:rPr>
                <w:rFonts w:hAnsi="宋体"/>
                <w:sz w:val="24"/>
                <w:szCs w:val="24"/>
              </w:rPr>
            </w:pPr>
            <w:r>
              <w:rPr>
                <w:rFonts w:hint="eastAsia" w:hAnsi="宋体"/>
                <w:sz w:val="24"/>
                <w:szCs w:val="24"/>
              </w:rPr>
              <w:t>及担</w:t>
            </w:r>
          </w:p>
          <w:p>
            <w:pPr>
              <w:jc w:val="center"/>
              <w:rPr>
                <w:rFonts w:hAnsi="宋体"/>
                <w:sz w:val="24"/>
                <w:szCs w:val="24"/>
              </w:rPr>
            </w:pPr>
            <w:r>
              <w:rPr>
                <w:rFonts w:hint="eastAsia" w:hAnsi="宋体"/>
                <w:sz w:val="24"/>
                <w:szCs w:val="24"/>
              </w:rPr>
              <w:t>任的</w:t>
            </w:r>
          </w:p>
          <w:p>
            <w:pPr>
              <w:jc w:val="center"/>
              <w:rPr>
                <w:rFonts w:hAnsi="宋体"/>
                <w:sz w:val="24"/>
                <w:szCs w:val="24"/>
              </w:rPr>
            </w:pPr>
            <w:r>
              <w:rPr>
                <w:rFonts w:hint="eastAsia" w:hAnsi="宋体"/>
                <w:sz w:val="24"/>
                <w:szCs w:val="24"/>
              </w:rPr>
              <w:t>主要</w:t>
            </w:r>
          </w:p>
          <w:p>
            <w:pPr>
              <w:jc w:val="center"/>
              <w:rPr>
                <w:rFonts w:hAnsi="宋体"/>
                <w:sz w:val="24"/>
                <w:szCs w:val="24"/>
              </w:rPr>
            </w:pPr>
            <w:r>
              <w:rPr>
                <w:rFonts w:hint="eastAsia" w:hAnsi="宋体"/>
                <w:sz w:val="24"/>
                <w:szCs w:val="24"/>
              </w:rPr>
              <w:t>工作</w:t>
            </w:r>
          </w:p>
        </w:tc>
        <w:tc>
          <w:tcPr>
            <w:tcW w:w="7625" w:type="dxa"/>
            <w:gridSpan w:val="4"/>
            <w:tcBorders>
              <w:top w:val="single" w:color="auto" w:sz="4" w:space="0"/>
              <w:left w:val="nil"/>
              <w:bottom w:val="single" w:color="auto" w:sz="4" w:space="0"/>
              <w:right w:val="single" w:color="auto" w:sz="4" w:space="0"/>
            </w:tcBorders>
          </w:tcPr>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tc>
      </w:tr>
    </w:tbl>
    <w:p>
      <w:pPr>
        <w:rPr>
          <w:rFonts w:ascii="黑体" w:hAnsi="宋体" w:eastAsia="黑体"/>
          <w:szCs w:val="21"/>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五、</w:t>
      </w:r>
      <w:r>
        <w:rPr>
          <w:rFonts w:hint="eastAsia" w:hAnsi="宋体"/>
          <w:b/>
          <w:sz w:val="32"/>
          <w:szCs w:val="32"/>
        </w:rPr>
        <w:t>投标单位基本情况表</w:t>
      </w:r>
    </w:p>
    <w:p>
      <w:pPr>
        <w:autoSpaceDE w:val="0"/>
        <w:autoSpaceDN w:val="0"/>
        <w:adjustRightInd w:val="0"/>
        <w:spacing w:line="360" w:lineRule="auto"/>
        <w:ind w:right="215" w:firstLine="420"/>
        <w:jc w:val="center"/>
        <w:rPr>
          <w:rFonts w:hAnsi="宋体"/>
          <w:b/>
          <w:sz w:val="28"/>
        </w:rPr>
      </w:pPr>
    </w:p>
    <w:tbl>
      <w:tblPr>
        <w:tblStyle w:val="12"/>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759"/>
        <w:gridCol w:w="930"/>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134" w:type="dxa"/>
            <w:gridSpan w:val="5"/>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2929" w:type="dxa"/>
            <w:gridSpan w:val="4"/>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sz w:val="24"/>
              </w:rPr>
            </w:pP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2929" w:type="dxa"/>
            <w:gridSpan w:val="4"/>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435" w:type="dxa"/>
            <w:gridSpan w:val="9"/>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05" w:type="dxa"/>
            <w:vAlign w:val="center"/>
          </w:tcPr>
          <w:p>
            <w:pPr>
              <w:autoSpaceDE w:val="0"/>
              <w:autoSpaceDN w:val="0"/>
              <w:adjustRightInd w:val="0"/>
              <w:spacing w:line="360" w:lineRule="auto"/>
              <w:ind w:right="215"/>
              <w:jc w:val="center"/>
              <w:rPr>
                <w:rFonts w:hAnsi="宋体"/>
                <w:sz w:val="24"/>
              </w:rPr>
            </w:pPr>
          </w:p>
        </w:tc>
        <w:tc>
          <w:tcPr>
            <w:tcW w:w="1689"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069" w:type="dxa"/>
            <w:gridSpan w:val="2"/>
            <w:vAlign w:val="center"/>
          </w:tcPr>
          <w:p>
            <w:pPr>
              <w:autoSpaceDE w:val="0"/>
              <w:autoSpaceDN w:val="0"/>
              <w:adjustRightInd w:val="0"/>
              <w:spacing w:line="360" w:lineRule="auto"/>
              <w:ind w:right="215"/>
              <w:jc w:val="center"/>
              <w:rPr>
                <w:rFonts w:hAnsi="宋体"/>
                <w:sz w:val="24"/>
              </w:rPr>
            </w:pPr>
          </w:p>
        </w:tc>
        <w:tc>
          <w:tcPr>
            <w:tcW w:w="106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05" w:type="dxa"/>
            <w:vAlign w:val="center"/>
          </w:tcPr>
          <w:p>
            <w:pPr>
              <w:autoSpaceDE w:val="0"/>
              <w:autoSpaceDN w:val="0"/>
              <w:adjustRightInd w:val="0"/>
              <w:spacing w:line="360" w:lineRule="auto"/>
              <w:ind w:right="215"/>
              <w:jc w:val="center"/>
              <w:rPr>
                <w:rFonts w:hAnsi="宋体"/>
                <w:sz w:val="24"/>
              </w:rPr>
            </w:pPr>
          </w:p>
        </w:tc>
        <w:tc>
          <w:tcPr>
            <w:tcW w:w="1689"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069" w:type="dxa"/>
            <w:gridSpan w:val="2"/>
            <w:vAlign w:val="center"/>
          </w:tcPr>
          <w:p>
            <w:pPr>
              <w:autoSpaceDE w:val="0"/>
              <w:autoSpaceDN w:val="0"/>
              <w:adjustRightInd w:val="0"/>
              <w:spacing w:line="360" w:lineRule="auto"/>
              <w:ind w:right="215"/>
              <w:jc w:val="center"/>
              <w:rPr>
                <w:rFonts w:hAnsi="宋体"/>
                <w:sz w:val="24"/>
              </w:rPr>
            </w:pPr>
          </w:p>
        </w:tc>
        <w:tc>
          <w:tcPr>
            <w:tcW w:w="106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5025" w:type="dxa"/>
            <w:gridSpan w:val="7"/>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项目经理</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435" w:type="dxa"/>
            <w:gridSpan w:val="9"/>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435" w:type="dxa"/>
            <w:gridSpan w:val="9"/>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r>
        <w:rPr>
          <w:rFonts w:hint="eastAsia" w:hAnsi="宋体"/>
          <w:sz w:val="24"/>
        </w:rPr>
        <w:t>备注：本表后应附企业法人营业执照等材料的的原件扫描件或图片。</w:t>
      </w:r>
    </w:p>
    <w:p>
      <w:pPr>
        <w:autoSpaceDE w:val="0"/>
        <w:autoSpaceDN w:val="0"/>
        <w:adjustRightInd w:val="0"/>
        <w:spacing w:line="276" w:lineRule="auto"/>
        <w:ind w:right="215" w:firstLine="420"/>
        <w:jc w:val="center"/>
        <w:rPr>
          <w:rFonts w:hAnsi="宋体"/>
          <w:b/>
          <w:sz w:val="28"/>
        </w:rPr>
      </w:pPr>
      <w:r>
        <w:rPr>
          <w:rFonts w:hAnsi="宋体"/>
          <w:sz w:val="24"/>
        </w:rPr>
        <w:br w:type="page"/>
      </w:r>
    </w:p>
    <w:p>
      <w:pPr>
        <w:autoSpaceDE w:val="0"/>
        <w:autoSpaceDN w:val="0"/>
        <w:adjustRightInd w:val="0"/>
        <w:spacing w:line="360" w:lineRule="auto"/>
        <w:ind w:right="215" w:firstLine="420"/>
        <w:jc w:val="center"/>
        <w:rPr>
          <w:rFonts w:hint="eastAsia" w:hAnsi="宋体"/>
          <w:b/>
          <w:bCs/>
          <w:sz w:val="32"/>
          <w:szCs w:val="32"/>
        </w:rPr>
      </w:pPr>
    </w:p>
    <w:p>
      <w:pPr>
        <w:autoSpaceDE w:val="0"/>
        <w:autoSpaceDN w:val="0"/>
        <w:adjustRightInd w:val="0"/>
        <w:spacing w:line="360" w:lineRule="auto"/>
        <w:ind w:right="215" w:firstLine="420"/>
        <w:jc w:val="center"/>
        <w:rPr>
          <w:rFonts w:hAnsi="宋体"/>
          <w:b/>
          <w:bCs/>
          <w:sz w:val="32"/>
          <w:szCs w:val="32"/>
        </w:rPr>
      </w:pPr>
      <w:r>
        <w:rPr>
          <w:rFonts w:hint="eastAsia" w:hAnsi="宋体"/>
          <w:b/>
          <w:bCs/>
          <w:sz w:val="32"/>
          <w:szCs w:val="32"/>
        </w:rPr>
        <w:t>六、资格证明文件</w:t>
      </w:r>
    </w:p>
    <w:p>
      <w:pPr>
        <w:autoSpaceDE w:val="0"/>
        <w:autoSpaceDN w:val="0"/>
        <w:adjustRightInd w:val="0"/>
        <w:spacing w:line="276" w:lineRule="auto"/>
        <w:ind w:right="215" w:firstLine="960" w:firstLineChars="400"/>
        <w:rPr>
          <w:rFonts w:hAnsi="宋体"/>
          <w:sz w:val="24"/>
        </w:rPr>
      </w:pPr>
      <w:r>
        <w:rPr>
          <w:rFonts w:hint="eastAsia" w:hAnsi="宋体"/>
          <w:sz w:val="24"/>
        </w:rPr>
        <w:t>投标人资格要求及评标办法中涉及的相关资格证明文件及材料；</w:t>
      </w:r>
    </w:p>
    <w:p>
      <w:pPr>
        <w:pStyle w:val="4"/>
        <w:rPr>
          <w:rFonts w:hAnsi="宋体"/>
          <w:sz w:val="32"/>
          <w:szCs w:val="32"/>
        </w:rPr>
      </w:pPr>
    </w:p>
    <w:p>
      <w:pPr>
        <w:rPr>
          <w:rFonts w:hAnsi="宋体"/>
          <w:b/>
          <w:sz w:val="32"/>
          <w:szCs w:val="32"/>
        </w:rPr>
      </w:pPr>
    </w:p>
    <w:p>
      <w:pPr>
        <w:pStyle w:val="4"/>
        <w:rPr>
          <w:rFonts w:hAnsi="宋体"/>
          <w:sz w:val="32"/>
          <w:szCs w:val="32"/>
        </w:rPr>
      </w:pPr>
    </w:p>
    <w:p>
      <w:pPr>
        <w:rPr>
          <w:rFonts w:hAnsi="宋体"/>
          <w:b/>
          <w:sz w:val="32"/>
          <w:szCs w:val="32"/>
        </w:rPr>
      </w:pPr>
    </w:p>
    <w:p>
      <w:pPr>
        <w:pStyle w:val="4"/>
        <w:rPr>
          <w:rFonts w:hAnsi="宋体"/>
          <w:sz w:val="32"/>
          <w:szCs w:val="32"/>
        </w:rPr>
      </w:pPr>
    </w:p>
    <w:p>
      <w:pPr>
        <w:rPr>
          <w:rFonts w:hAnsi="宋体"/>
          <w:b/>
          <w:sz w:val="32"/>
          <w:szCs w:val="32"/>
        </w:rPr>
      </w:pPr>
    </w:p>
    <w:p>
      <w:pPr>
        <w:pStyle w:val="4"/>
        <w:rPr>
          <w:rFonts w:hAnsi="宋体"/>
          <w:sz w:val="32"/>
          <w:szCs w:val="32"/>
        </w:rPr>
      </w:pPr>
    </w:p>
    <w:p>
      <w:pPr>
        <w:rPr>
          <w:rFonts w:hAnsi="宋体"/>
          <w:b/>
          <w:sz w:val="32"/>
          <w:szCs w:val="32"/>
        </w:rPr>
      </w:pPr>
    </w:p>
    <w:p>
      <w:pPr>
        <w:pStyle w:val="4"/>
        <w:rPr>
          <w:rFonts w:hAnsi="宋体"/>
          <w:sz w:val="32"/>
          <w:szCs w:val="32"/>
        </w:rPr>
      </w:pPr>
    </w:p>
    <w:p>
      <w:pPr>
        <w:rPr>
          <w:rFonts w:hAnsi="宋体"/>
          <w:b/>
          <w:sz w:val="32"/>
          <w:szCs w:val="32"/>
        </w:rPr>
      </w:pPr>
    </w:p>
    <w:p>
      <w:pPr>
        <w:pStyle w:val="4"/>
        <w:rPr>
          <w:rFonts w:hAnsi="宋体"/>
          <w:b/>
          <w:sz w:val="32"/>
          <w:szCs w:val="32"/>
        </w:rPr>
      </w:pPr>
    </w:p>
    <w:p>
      <w:pPr>
        <w:rPr>
          <w:rFonts w:hAnsi="宋体"/>
          <w:b/>
          <w:sz w:val="32"/>
          <w:szCs w:val="32"/>
        </w:rPr>
      </w:pPr>
    </w:p>
    <w:p>
      <w:pPr>
        <w:pStyle w:val="4"/>
        <w:rPr>
          <w:rFonts w:hAnsi="宋体"/>
          <w:b/>
          <w:sz w:val="32"/>
          <w:szCs w:val="32"/>
        </w:rPr>
      </w:pPr>
    </w:p>
    <w:p>
      <w:pPr>
        <w:rPr>
          <w:rFonts w:hAnsi="宋体"/>
          <w:b/>
          <w:sz w:val="32"/>
          <w:szCs w:val="32"/>
        </w:rPr>
      </w:pPr>
    </w:p>
    <w:p>
      <w:pPr>
        <w:pStyle w:val="4"/>
        <w:rPr>
          <w:rFonts w:hAnsi="宋体"/>
          <w:b/>
          <w:sz w:val="32"/>
          <w:szCs w:val="32"/>
        </w:rPr>
      </w:pPr>
    </w:p>
    <w:p>
      <w:pPr>
        <w:rPr>
          <w:rFonts w:hAnsi="宋体"/>
          <w:b/>
          <w:sz w:val="32"/>
          <w:szCs w:val="32"/>
        </w:rPr>
      </w:pPr>
    </w:p>
    <w:p>
      <w:pPr>
        <w:pStyle w:val="4"/>
      </w:pPr>
    </w:p>
    <w:p/>
    <w:p>
      <w:pPr>
        <w:numPr>
          <w:ilvl w:val="0"/>
          <w:numId w:val="4"/>
        </w:numPr>
        <w:autoSpaceDE w:val="0"/>
        <w:autoSpaceDN w:val="0"/>
        <w:adjustRightInd w:val="0"/>
        <w:spacing w:line="360" w:lineRule="auto"/>
        <w:ind w:right="215" w:firstLine="420"/>
        <w:jc w:val="center"/>
        <w:rPr>
          <w:rFonts w:hint="eastAsia" w:hAnsi="宋体"/>
          <w:b/>
          <w:sz w:val="32"/>
          <w:szCs w:val="32"/>
          <w:lang w:eastAsia="zh-CN"/>
        </w:rPr>
      </w:pPr>
      <w:r>
        <w:rPr>
          <w:rFonts w:hint="eastAsia" w:hAnsi="宋体"/>
          <w:b/>
          <w:sz w:val="32"/>
          <w:szCs w:val="32"/>
          <w:lang w:eastAsia="zh-CN"/>
        </w:rPr>
        <w:t>近年财务状况</w:t>
      </w:r>
    </w:p>
    <w:p>
      <w:pPr>
        <w:autoSpaceDE w:val="0"/>
        <w:autoSpaceDN w:val="0"/>
        <w:adjustRightInd w:val="0"/>
        <w:spacing w:line="360" w:lineRule="auto"/>
        <w:ind w:right="215" w:firstLine="420"/>
        <w:jc w:val="left"/>
        <w:rPr>
          <w:rFonts w:hint="eastAsia"/>
          <w:bCs/>
          <w:sz w:val="21"/>
          <w:szCs w:val="21"/>
        </w:rPr>
      </w:pPr>
      <w:r>
        <w:rPr>
          <w:rFonts w:hint="eastAsia"/>
          <w:bCs/>
          <w:sz w:val="21"/>
          <w:szCs w:val="21"/>
        </w:rPr>
        <w:t>备注：在此附经会计师事务所或审计机构审计的财务会计报表，具体年份要求见第二章“投标人须知”的规定</w:t>
      </w:r>
    </w:p>
    <w:p>
      <w:pPr>
        <w:autoSpaceDE w:val="0"/>
        <w:autoSpaceDN w:val="0"/>
        <w:adjustRightInd w:val="0"/>
        <w:spacing w:line="360" w:lineRule="auto"/>
        <w:ind w:right="215"/>
        <w:jc w:val="both"/>
        <w:rPr>
          <w:rFonts w:hint="eastAsia"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lang w:eastAsia="zh-CN"/>
        </w:rPr>
        <w:t>八、</w:t>
      </w:r>
      <w:r>
        <w:rPr>
          <w:rFonts w:hint="eastAsia" w:hAnsi="宋体"/>
          <w:b/>
          <w:sz w:val="32"/>
          <w:szCs w:val="32"/>
        </w:rPr>
        <w:t>近年完成的类似项目情况表</w:t>
      </w:r>
    </w:p>
    <w:tbl>
      <w:tblPr>
        <w:tblStyle w:val="12"/>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项目名称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项目所在地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发包人名称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发包人地址</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发包人电话</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合同价格</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开工日期</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竣工日期</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承担的工作</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工程质量</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项目经理</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技术负责人</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pacing w:val="-20"/>
                <w:sz w:val="24"/>
              </w:rPr>
            </w:pPr>
            <w:r>
              <w:rPr>
                <w:rFonts w:hint="eastAsia" w:hAnsi="宋体"/>
                <w:spacing w:val="-20"/>
                <w:sz w:val="24"/>
              </w:rPr>
              <w:t>总监理工程师及电话</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255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578"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55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578"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jc w:val="center"/>
        <w:rPr>
          <w:rFonts w:hAnsi="宋体"/>
          <w:b/>
          <w:sz w:val="32"/>
          <w:szCs w:val="32"/>
        </w:rPr>
      </w:pPr>
      <w:r>
        <w:rPr>
          <w:rFonts w:hAnsi="宋体"/>
          <w:sz w:val="24"/>
          <w:szCs w:val="24"/>
        </w:rPr>
        <w:br w:type="page"/>
      </w:r>
      <w:r>
        <w:rPr>
          <w:rFonts w:hint="eastAsia" w:hAnsi="宋体"/>
          <w:b/>
          <w:sz w:val="32"/>
          <w:szCs w:val="32"/>
          <w:lang w:eastAsia="zh-CN"/>
        </w:rPr>
        <w:t>九</w:t>
      </w:r>
      <w:r>
        <w:rPr>
          <w:rFonts w:hint="eastAsia" w:hAnsi="宋体"/>
          <w:b/>
          <w:sz w:val="32"/>
          <w:szCs w:val="32"/>
        </w:rPr>
        <w:t>、正在施工的和新承接的项目情况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12"/>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项目经理</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727"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727"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80" w:lineRule="exact"/>
        <w:jc w:val="center"/>
        <w:rPr>
          <w:rFonts w:ascii="新宋体" w:hAnsi="新宋体" w:eastAsia="新宋体" w:cs="TimesNewRomanPSMT"/>
          <w:b/>
          <w:sz w:val="32"/>
          <w:szCs w:val="32"/>
        </w:rPr>
      </w:pPr>
    </w:p>
    <w:p>
      <w:pPr>
        <w:pStyle w:val="4"/>
        <w:rPr>
          <w:rFonts w:ascii="新宋体" w:hAnsi="新宋体" w:eastAsia="新宋体" w:cs="TimesNewRomanPSMT"/>
          <w:sz w:val="32"/>
          <w:szCs w:val="32"/>
        </w:rPr>
      </w:pPr>
    </w:p>
    <w:p>
      <w:pPr>
        <w:rPr>
          <w:rFonts w:ascii="新宋体" w:hAnsi="新宋体" w:eastAsia="新宋体" w:cs="TimesNewRomanPSMT"/>
          <w:b/>
          <w:sz w:val="32"/>
          <w:szCs w:val="32"/>
        </w:rPr>
      </w:pPr>
    </w:p>
    <w:p>
      <w:pPr>
        <w:autoSpaceDE w:val="0"/>
        <w:autoSpaceDN w:val="0"/>
        <w:adjustRightInd w:val="0"/>
        <w:spacing w:line="380" w:lineRule="exact"/>
        <w:jc w:val="center"/>
        <w:rPr>
          <w:rFonts w:ascii="新宋体" w:hAnsi="新宋体" w:eastAsia="新宋体" w:cs="TimesNewRomanPSMT"/>
          <w:b/>
          <w:sz w:val="32"/>
          <w:szCs w:val="32"/>
        </w:rPr>
      </w:pPr>
    </w:p>
    <w:p>
      <w:pPr>
        <w:pStyle w:val="4"/>
      </w:pPr>
    </w:p>
    <w:p>
      <w:pPr>
        <w:autoSpaceDE w:val="0"/>
        <w:autoSpaceDN w:val="0"/>
        <w:adjustRightInd w:val="0"/>
        <w:spacing w:line="380" w:lineRule="exact"/>
        <w:jc w:val="center"/>
        <w:rPr>
          <w:rFonts w:hint="eastAsia" w:ascii="新宋体" w:hAnsi="新宋体" w:eastAsia="新宋体" w:cs="TimesNewRomanPSMT"/>
          <w:b/>
          <w:sz w:val="32"/>
          <w:szCs w:val="32"/>
        </w:rPr>
      </w:pPr>
    </w:p>
    <w:p>
      <w:pPr>
        <w:autoSpaceDE w:val="0"/>
        <w:autoSpaceDN w:val="0"/>
        <w:adjustRightInd w:val="0"/>
        <w:spacing w:line="360" w:lineRule="auto"/>
        <w:ind w:right="215"/>
        <w:jc w:val="center"/>
        <w:rPr>
          <w:rFonts w:hint="eastAsia" w:ascii="新宋体" w:hAnsi="新宋体" w:eastAsia="新宋体" w:cs="TimesNewRomanPSMT"/>
          <w:b/>
          <w:sz w:val="32"/>
          <w:szCs w:val="32"/>
        </w:rPr>
      </w:pPr>
      <w:r>
        <w:rPr>
          <w:rFonts w:hint="eastAsia" w:ascii="新宋体" w:hAnsi="新宋体" w:eastAsia="新宋体" w:cs="TimesNewRomanPSMT"/>
          <w:b/>
          <w:sz w:val="32"/>
          <w:szCs w:val="32"/>
          <w:lang w:eastAsia="zh-CN"/>
        </w:rPr>
        <w:t>十</w:t>
      </w:r>
      <w:r>
        <w:rPr>
          <w:rFonts w:hint="eastAsia" w:ascii="新宋体" w:hAnsi="新宋体" w:eastAsia="新宋体" w:cs="TimesNewRomanPSMT"/>
          <w:b/>
          <w:sz w:val="32"/>
          <w:szCs w:val="32"/>
        </w:rPr>
        <w:t>、近年发生的诉讼及仲裁情况；</w:t>
      </w:r>
    </w:p>
    <w:p>
      <w:pPr>
        <w:autoSpaceDE w:val="0"/>
        <w:autoSpaceDN w:val="0"/>
        <w:adjustRightInd w:val="0"/>
        <w:spacing w:line="380" w:lineRule="exact"/>
        <w:jc w:val="center"/>
        <w:rPr>
          <w:rFonts w:hint="eastAsia" w:ascii="新宋体" w:hAnsi="新宋体" w:eastAsia="新宋体" w:cs="TimesNewRomanPSMT"/>
          <w:b/>
          <w:sz w:val="32"/>
          <w:szCs w:val="32"/>
        </w:rPr>
      </w:pPr>
    </w:p>
    <w:p>
      <w:pPr>
        <w:jc w:val="center"/>
      </w:pPr>
      <w:r>
        <w:rPr>
          <w:rFonts w:hint="eastAsia" w:hAnsi="宋体"/>
          <w:b/>
          <w:bCs/>
          <w:sz w:val="21"/>
          <w:szCs w:val="21"/>
        </w:rPr>
        <w:t>格式可自行编制。</w:t>
      </w:r>
    </w:p>
    <w:p>
      <w:pPr>
        <w:autoSpaceDE w:val="0"/>
        <w:autoSpaceDN w:val="0"/>
        <w:adjustRightInd w:val="0"/>
        <w:spacing w:line="380" w:lineRule="exact"/>
        <w:jc w:val="both"/>
        <w:rPr>
          <w:rFonts w:hint="eastAsia" w:ascii="新宋体" w:hAnsi="新宋体" w:eastAsia="新宋体" w:cs="TimesNewRomanPSMT"/>
          <w:b/>
          <w:sz w:val="32"/>
          <w:szCs w:val="32"/>
        </w:rPr>
      </w:pPr>
    </w:p>
    <w:p>
      <w:pPr>
        <w:autoSpaceDE w:val="0"/>
        <w:autoSpaceDN w:val="0"/>
        <w:adjustRightInd w:val="0"/>
        <w:spacing w:line="380" w:lineRule="exact"/>
        <w:jc w:val="center"/>
        <w:rPr>
          <w:rFonts w:hint="eastAsia" w:ascii="新宋体" w:hAnsi="新宋体" w:eastAsia="新宋体" w:cs="TimesNewRomanPSMT"/>
          <w:b/>
          <w:sz w:val="32"/>
          <w:szCs w:val="32"/>
        </w:rPr>
      </w:pPr>
    </w:p>
    <w:p>
      <w:pPr>
        <w:pStyle w:val="4"/>
        <w:rPr>
          <w:rFonts w:hint="eastAsia" w:ascii="新宋体" w:hAnsi="新宋体" w:eastAsia="新宋体" w:cs="TimesNewRomanPSMT"/>
          <w:b/>
          <w:sz w:val="32"/>
          <w:szCs w:val="32"/>
        </w:rPr>
      </w:pPr>
    </w:p>
    <w:p>
      <w:pPr>
        <w:rPr>
          <w:rFonts w:hint="eastAsia" w:ascii="新宋体" w:hAnsi="新宋体" w:eastAsia="新宋体" w:cs="TimesNewRomanPSMT"/>
          <w:b/>
          <w:sz w:val="32"/>
          <w:szCs w:val="32"/>
        </w:rPr>
      </w:pPr>
    </w:p>
    <w:p>
      <w:pPr>
        <w:pStyle w:val="4"/>
        <w:rPr>
          <w:rFonts w:hint="eastAsia" w:ascii="新宋体" w:hAnsi="新宋体" w:eastAsia="新宋体" w:cs="TimesNewRomanPSMT"/>
          <w:b/>
          <w:sz w:val="32"/>
          <w:szCs w:val="32"/>
        </w:rPr>
      </w:pPr>
    </w:p>
    <w:p>
      <w:pPr>
        <w:rPr>
          <w:rFonts w:hint="eastAsia" w:ascii="新宋体" w:hAnsi="新宋体" w:eastAsia="新宋体" w:cs="TimesNewRomanPSMT"/>
          <w:b/>
          <w:sz w:val="32"/>
          <w:szCs w:val="32"/>
        </w:rPr>
      </w:pPr>
    </w:p>
    <w:p>
      <w:pPr>
        <w:pStyle w:val="4"/>
        <w:rPr>
          <w:rFonts w:hint="eastAsia" w:ascii="新宋体" w:hAnsi="新宋体" w:eastAsia="新宋体" w:cs="TimesNewRomanPSMT"/>
          <w:b/>
          <w:sz w:val="32"/>
          <w:szCs w:val="32"/>
        </w:rPr>
      </w:pPr>
    </w:p>
    <w:p>
      <w:pPr>
        <w:rPr>
          <w:rFonts w:hint="eastAsia" w:ascii="新宋体" w:hAnsi="新宋体" w:eastAsia="新宋体" w:cs="TimesNewRomanPSMT"/>
          <w:b/>
          <w:sz w:val="32"/>
          <w:szCs w:val="32"/>
        </w:rPr>
      </w:pPr>
    </w:p>
    <w:p>
      <w:pPr>
        <w:pStyle w:val="4"/>
        <w:rPr>
          <w:rFonts w:hint="eastAsia" w:ascii="新宋体" w:hAnsi="新宋体" w:eastAsia="新宋体" w:cs="TimesNewRomanPSMT"/>
          <w:b/>
          <w:sz w:val="32"/>
          <w:szCs w:val="32"/>
        </w:rPr>
      </w:pPr>
    </w:p>
    <w:p>
      <w:pPr>
        <w:rPr>
          <w:rFonts w:hint="eastAsia" w:ascii="新宋体" w:hAnsi="新宋体" w:eastAsia="新宋体" w:cs="TimesNewRomanPSMT"/>
          <w:b/>
          <w:sz w:val="32"/>
          <w:szCs w:val="32"/>
        </w:rPr>
      </w:pPr>
    </w:p>
    <w:p>
      <w:pPr>
        <w:pStyle w:val="4"/>
        <w:rPr>
          <w:rFonts w:hint="eastAsia" w:ascii="新宋体" w:hAnsi="新宋体" w:eastAsia="新宋体" w:cs="TimesNewRomanPSMT"/>
          <w:b/>
          <w:sz w:val="32"/>
          <w:szCs w:val="32"/>
        </w:rPr>
      </w:pPr>
    </w:p>
    <w:p>
      <w:pPr>
        <w:rPr>
          <w:rFonts w:hint="eastAsia" w:ascii="新宋体" w:hAnsi="新宋体" w:eastAsia="新宋体" w:cs="TimesNewRomanPSMT"/>
          <w:b/>
          <w:sz w:val="32"/>
          <w:szCs w:val="32"/>
        </w:rPr>
      </w:pPr>
    </w:p>
    <w:p>
      <w:pPr>
        <w:pStyle w:val="4"/>
        <w:rPr>
          <w:rFonts w:hint="eastAsia" w:ascii="新宋体" w:hAnsi="新宋体" w:eastAsia="新宋体" w:cs="TimesNewRomanPSMT"/>
          <w:b/>
          <w:sz w:val="32"/>
          <w:szCs w:val="32"/>
        </w:rPr>
      </w:pPr>
    </w:p>
    <w:p>
      <w:pPr>
        <w:rPr>
          <w:rFonts w:hint="eastAsia" w:ascii="新宋体" w:hAnsi="新宋体" w:eastAsia="新宋体" w:cs="TimesNewRomanPSMT"/>
          <w:b/>
          <w:sz w:val="32"/>
          <w:szCs w:val="32"/>
        </w:rPr>
      </w:pPr>
    </w:p>
    <w:p>
      <w:pPr>
        <w:pStyle w:val="4"/>
        <w:rPr>
          <w:rFonts w:hint="eastAsia" w:ascii="新宋体" w:hAnsi="新宋体" w:eastAsia="新宋体" w:cs="TimesNewRomanPSMT"/>
          <w:b/>
          <w:sz w:val="32"/>
          <w:szCs w:val="32"/>
        </w:rPr>
      </w:pPr>
    </w:p>
    <w:p>
      <w:pPr>
        <w:rPr>
          <w:rFonts w:hint="eastAsia" w:ascii="新宋体" w:hAnsi="新宋体" w:eastAsia="新宋体" w:cs="TimesNewRomanPSMT"/>
          <w:b/>
          <w:sz w:val="32"/>
          <w:szCs w:val="32"/>
        </w:rPr>
      </w:pPr>
    </w:p>
    <w:p>
      <w:pPr>
        <w:pStyle w:val="4"/>
        <w:rPr>
          <w:rFonts w:hint="eastAsia" w:ascii="新宋体" w:hAnsi="新宋体" w:eastAsia="新宋体" w:cs="TimesNewRomanPSMT"/>
          <w:b/>
          <w:sz w:val="32"/>
          <w:szCs w:val="32"/>
        </w:rPr>
      </w:pPr>
    </w:p>
    <w:p>
      <w:pPr>
        <w:rPr>
          <w:rFonts w:hint="eastAsia" w:ascii="新宋体" w:hAnsi="新宋体" w:eastAsia="新宋体" w:cs="TimesNewRomanPSMT"/>
          <w:b/>
          <w:sz w:val="32"/>
          <w:szCs w:val="32"/>
        </w:rPr>
      </w:pPr>
    </w:p>
    <w:p>
      <w:pPr>
        <w:rPr>
          <w:rFonts w:hint="eastAsia"/>
        </w:rPr>
      </w:pPr>
    </w:p>
    <w:p>
      <w:pPr>
        <w:pStyle w:val="2"/>
        <w:rPr>
          <w:rFonts w:hint="eastAsia"/>
        </w:rPr>
      </w:pPr>
    </w:p>
    <w:p>
      <w:pPr>
        <w:autoSpaceDE w:val="0"/>
        <w:autoSpaceDN w:val="0"/>
        <w:adjustRightInd w:val="0"/>
        <w:spacing w:line="380" w:lineRule="exact"/>
        <w:ind w:firstLine="3840" w:firstLineChars="1200"/>
        <w:jc w:val="both"/>
        <w:rPr>
          <w:rFonts w:ascii="新宋体" w:hAnsi="新宋体" w:eastAsia="新宋体" w:cs="TimesNewRomanPSMT"/>
          <w:b/>
          <w:sz w:val="32"/>
          <w:szCs w:val="32"/>
        </w:rPr>
      </w:pPr>
      <w:r>
        <w:rPr>
          <w:rFonts w:hint="eastAsia" w:ascii="新宋体" w:hAnsi="新宋体" w:eastAsia="新宋体" w:cs="TimesNewRomanPSMT"/>
          <w:b/>
          <w:sz w:val="32"/>
          <w:szCs w:val="32"/>
          <w:lang w:eastAsia="zh-CN"/>
        </w:rPr>
        <w:t>十一、</w:t>
      </w:r>
      <w:r>
        <w:rPr>
          <w:rFonts w:hint="eastAsia" w:ascii="新宋体" w:hAnsi="新宋体" w:eastAsia="新宋体" w:cs="TimesNewRomanPSMT"/>
          <w:b/>
          <w:sz w:val="32"/>
          <w:szCs w:val="32"/>
        </w:rPr>
        <w:t>承诺书</w:t>
      </w:r>
    </w:p>
    <w:p>
      <w:pPr>
        <w:spacing w:line="360" w:lineRule="auto"/>
        <w:jc w:val="center"/>
        <w:rPr>
          <w:rFonts w:hAnsi="宋体" w:cs="方正大标宋简体"/>
          <w:b/>
          <w:sz w:val="24"/>
          <w:szCs w:val="24"/>
        </w:rPr>
      </w:pPr>
      <w:r>
        <w:rPr>
          <w:rFonts w:hint="eastAsia" w:hAnsi="宋体" w:cs="方正大标宋简体"/>
          <w:b/>
          <w:sz w:val="24"/>
          <w:szCs w:val="24"/>
        </w:rPr>
        <w:t>附件1、关于农民工工资的承诺</w:t>
      </w:r>
    </w:p>
    <w:p>
      <w:pPr>
        <w:spacing w:line="440" w:lineRule="exact"/>
        <w:rPr>
          <w:rFonts w:hAnsi="宋体"/>
          <w:sz w:val="24"/>
          <w:szCs w:val="24"/>
          <w:u w:val="single"/>
        </w:rPr>
      </w:pPr>
      <w:r>
        <w:rPr>
          <w:rFonts w:hint="eastAsia" w:hAnsi="宋体"/>
          <w:sz w:val="24"/>
          <w:szCs w:val="24"/>
        </w:rPr>
        <w:t>致</w:t>
      </w:r>
      <w:r>
        <w:rPr>
          <w:rFonts w:hint="eastAsia" w:hAnsi="宋体"/>
          <w:sz w:val="24"/>
          <w:szCs w:val="24"/>
          <w:u w:val="single"/>
        </w:rPr>
        <w:t xml:space="preserve">     （招标人）    </w:t>
      </w:r>
      <w:r>
        <w:rPr>
          <w:rFonts w:hint="eastAsia" w:hAnsi="宋体"/>
          <w:sz w:val="24"/>
          <w:szCs w:val="24"/>
        </w:rPr>
        <w:t>：</w:t>
      </w:r>
    </w:p>
    <w:p>
      <w:pPr>
        <w:spacing w:line="440" w:lineRule="exact"/>
        <w:ind w:firstLine="480" w:firstLineChars="200"/>
        <w:rPr>
          <w:rFonts w:hAnsi="宋体"/>
          <w:sz w:val="24"/>
          <w:szCs w:val="24"/>
        </w:rPr>
      </w:pPr>
      <w:r>
        <w:rPr>
          <w:rFonts w:hint="eastAsia" w:hAnsi="宋体"/>
          <w:sz w:val="24"/>
          <w:szCs w:val="24"/>
        </w:rPr>
        <w:t>我单位为守法经营的建筑工程施工企业，针对本次（</w:t>
      </w:r>
      <w:r>
        <w:rPr>
          <w:rFonts w:hint="eastAsia" w:hAnsi="宋体"/>
          <w:sz w:val="24"/>
          <w:szCs w:val="24"/>
          <w:u w:val="single"/>
        </w:rPr>
        <w:t>项目及标段全称）</w:t>
      </w:r>
      <w:r>
        <w:rPr>
          <w:rFonts w:hint="eastAsia" w:hAnsi="宋体"/>
          <w:sz w:val="24"/>
          <w:szCs w:val="24"/>
        </w:rPr>
        <w:t>招标项目，我公司郑重承诺：</w:t>
      </w:r>
    </w:p>
    <w:p>
      <w:pPr>
        <w:spacing w:line="440" w:lineRule="exact"/>
        <w:ind w:firstLine="480" w:firstLineChars="200"/>
        <w:rPr>
          <w:rFonts w:hAnsi="宋体"/>
          <w:sz w:val="24"/>
          <w:szCs w:val="24"/>
        </w:rPr>
      </w:pPr>
      <w:r>
        <w:rPr>
          <w:rFonts w:hint="eastAsia" w:hAnsi="宋体"/>
          <w:sz w:val="24"/>
          <w:szCs w:val="24"/>
        </w:rPr>
        <w:t xml:space="preserve">1、 </w:t>
      </w:r>
      <w:r>
        <w:rPr>
          <w:rFonts w:hint="eastAsia" w:hAnsi="宋体"/>
          <w:b/>
          <w:bCs/>
          <w:sz w:val="24"/>
          <w:szCs w:val="24"/>
        </w:rPr>
        <w:t>截止本工程开标之日止，本企业无拖欠农民工工资及其他职工工资，无克扣或拖欠农民工工资的不良记录</w:t>
      </w:r>
      <w:r>
        <w:rPr>
          <w:rFonts w:hint="eastAsia" w:hAnsi="宋体"/>
          <w:sz w:val="24"/>
          <w:szCs w:val="24"/>
        </w:rPr>
        <w:t>；</w:t>
      </w:r>
    </w:p>
    <w:p>
      <w:pPr>
        <w:spacing w:line="440" w:lineRule="exact"/>
        <w:ind w:firstLine="480" w:firstLineChars="200"/>
        <w:rPr>
          <w:rFonts w:hAnsi="宋体"/>
          <w:sz w:val="24"/>
          <w:szCs w:val="24"/>
        </w:rPr>
      </w:pPr>
      <w:r>
        <w:rPr>
          <w:rFonts w:hint="eastAsia" w:hAnsi="宋体"/>
          <w:sz w:val="24"/>
          <w:szCs w:val="24"/>
        </w:rPr>
        <w:t>2、一旦确定本公司为该项目中标单位，我公司为保证不拖欠农民工资及其他职工工资，特作以下承诺： </w:t>
      </w:r>
    </w:p>
    <w:p>
      <w:pPr>
        <w:spacing w:line="440" w:lineRule="exact"/>
        <w:ind w:firstLine="480" w:firstLineChars="200"/>
        <w:rPr>
          <w:rFonts w:hAnsi="宋体"/>
          <w:b/>
          <w:bCs/>
          <w:sz w:val="24"/>
          <w:szCs w:val="24"/>
        </w:rPr>
      </w:pPr>
      <w:r>
        <w:rPr>
          <w:rFonts w:hint="eastAsia" w:hAnsi="宋体"/>
          <w:b/>
          <w:bCs/>
          <w:sz w:val="24"/>
          <w:szCs w:val="24"/>
        </w:rPr>
        <w:t>（1）我单位中标后，将及时、足额存入农民工工资保障金；</w:t>
      </w:r>
    </w:p>
    <w:p>
      <w:pPr>
        <w:spacing w:line="440" w:lineRule="exact"/>
        <w:ind w:firstLine="480" w:firstLineChars="200"/>
        <w:rPr>
          <w:rFonts w:hAnsi="宋体"/>
          <w:b/>
          <w:bCs/>
          <w:sz w:val="24"/>
          <w:szCs w:val="24"/>
        </w:rPr>
      </w:pPr>
      <w:r>
        <w:rPr>
          <w:rFonts w:hint="eastAsia" w:hAnsi="宋体"/>
          <w:b/>
          <w:bCs/>
          <w:sz w:val="24"/>
          <w:szCs w:val="24"/>
        </w:rPr>
        <w:t>（2）工程款优先支付农民工工资，不以任何理由拖欠农民工工资； 一旦我单位承建的建筑工程中出现拖欠职工工资情况的，可由建设行政主管部门从工资保障金中先予划支；</w:t>
      </w:r>
    </w:p>
    <w:p>
      <w:pPr>
        <w:spacing w:line="440" w:lineRule="exact"/>
        <w:ind w:firstLine="480" w:firstLineChars="200"/>
        <w:rPr>
          <w:rFonts w:hAnsi="宋体"/>
          <w:sz w:val="24"/>
          <w:szCs w:val="24"/>
        </w:rPr>
      </w:pPr>
      <w:r>
        <w:rPr>
          <w:rFonts w:hint="eastAsia" w:hAnsi="宋体"/>
          <w:b/>
          <w:bCs/>
          <w:sz w:val="24"/>
          <w:szCs w:val="24"/>
        </w:rPr>
        <w:t xml:space="preserve">（3）在工程款结算或农民工工资支付出现争议纠纷时，积极配合主管部门协调解决。 </w:t>
      </w:r>
    </w:p>
    <w:p>
      <w:pPr>
        <w:spacing w:line="440" w:lineRule="exact"/>
        <w:ind w:firstLine="480" w:firstLineChars="200"/>
        <w:rPr>
          <w:rFonts w:hAnsi="宋体"/>
          <w:sz w:val="24"/>
          <w:szCs w:val="24"/>
        </w:rPr>
      </w:pPr>
      <w:r>
        <w:rPr>
          <w:rFonts w:hint="eastAsia" w:hAnsi="宋体"/>
          <w:sz w:val="24"/>
          <w:szCs w:val="24"/>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440" w:lineRule="exact"/>
        <w:ind w:firstLine="480" w:firstLineChars="200"/>
        <w:jc w:val="right"/>
        <w:rPr>
          <w:rFonts w:hAnsi="宋体"/>
          <w:sz w:val="24"/>
          <w:szCs w:val="24"/>
        </w:rPr>
      </w:pPr>
      <w:r>
        <w:rPr>
          <w:rFonts w:hint="eastAsia" w:hAnsi="宋体"/>
          <w:sz w:val="24"/>
          <w:szCs w:val="24"/>
        </w:rPr>
        <w:t xml:space="preserve">单位全称： （盖  章） </w:t>
      </w:r>
    </w:p>
    <w:p>
      <w:pPr>
        <w:spacing w:line="440" w:lineRule="exact"/>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440" w:lineRule="exact"/>
        <w:jc w:val="center"/>
        <w:rPr>
          <w:rFonts w:hAnsi="宋体" w:cs="TimesNewRomanPSMT"/>
          <w:b/>
          <w:sz w:val="24"/>
          <w:szCs w:val="24"/>
        </w:rPr>
      </w:pPr>
      <w:r>
        <w:rPr>
          <w:rFonts w:hint="eastAsia" w:hAnsi="宋体"/>
          <w:sz w:val="24"/>
          <w:szCs w:val="24"/>
        </w:rPr>
        <w:t xml:space="preserve">                                                           年    月    日</w:t>
      </w:r>
    </w:p>
    <w:p>
      <w:pPr>
        <w:spacing w:line="440" w:lineRule="exact"/>
        <w:jc w:val="center"/>
        <w:rPr>
          <w:rFonts w:ascii="黑体" w:hAnsi="宋体" w:eastAsia="黑体"/>
          <w:sz w:val="24"/>
          <w:szCs w:val="24"/>
        </w:rPr>
      </w:pPr>
      <w:r>
        <w:rPr>
          <w:rFonts w:hint="eastAsia" w:ascii="黑体" w:hAnsi="宋体" w:eastAsia="黑体"/>
          <w:sz w:val="24"/>
          <w:szCs w:val="24"/>
        </w:rPr>
        <w:t>附件2、项目经理无在建承诺书</w:t>
      </w:r>
    </w:p>
    <w:p>
      <w:pPr>
        <w:spacing w:line="440" w:lineRule="exact"/>
        <w:rPr>
          <w:sz w:val="24"/>
          <w:szCs w:val="24"/>
        </w:rPr>
      </w:pPr>
      <w:r>
        <w:rPr>
          <w:rFonts w:hint="eastAsia"/>
          <w:sz w:val="24"/>
          <w:szCs w:val="24"/>
        </w:rPr>
        <w:t>————————（招标人名称）：</w:t>
      </w:r>
    </w:p>
    <w:p>
      <w:pPr>
        <w:spacing w:line="440" w:lineRule="exact"/>
        <w:rPr>
          <w:sz w:val="24"/>
          <w:szCs w:val="24"/>
        </w:rPr>
      </w:pPr>
      <w:r>
        <w:rPr>
          <w:rFonts w:hint="eastAsia"/>
          <w:sz w:val="24"/>
          <w:szCs w:val="24"/>
        </w:rPr>
        <w:t xml:space="preserve">    我方在此声明，我方拟派往</w:t>
      </w:r>
      <w:r>
        <w:rPr>
          <w:rFonts w:hint="eastAsia"/>
          <w:sz w:val="24"/>
          <w:szCs w:val="24"/>
          <w:u w:val="single"/>
        </w:rPr>
        <w:t>（项目名称）标段</w:t>
      </w:r>
      <w:r>
        <w:rPr>
          <w:rFonts w:hint="eastAsia"/>
          <w:sz w:val="24"/>
          <w:szCs w:val="24"/>
        </w:rPr>
        <w:t>（以下简称“本工程”）的项目经理（姓名）现阶段没有担任任何在施建设工程项目的项目经理。</w:t>
      </w:r>
    </w:p>
    <w:p>
      <w:pPr>
        <w:spacing w:line="440" w:lineRule="exact"/>
        <w:rPr>
          <w:sz w:val="24"/>
          <w:szCs w:val="24"/>
        </w:rPr>
      </w:pPr>
      <w:r>
        <w:rPr>
          <w:rFonts w:hint="eastAsia"/>
          <w:sz w:val="24"/>
          <w:szCs w:val="24"/>
        </w:rPr>
        <w:t xml:space="preserve">    我方保证上述信息的真实和准确，并愿意承担因我方就此弄虚作假所引起的一切法律后果。</w:t>
      </w:r>
    </w:p>
    <w:p>
      <w:pPr>
        <w:spacing w:line="440" w:lineRule="exact"/>
        <w:rPr>
          <w:sz w:val="24"/>
          <w:szCs w:val="24"/>
        </w:rPr>
      </w:pPr>
      <w:r>
        <w:rPr>
          <w:rFonts w:hint="eastAsia"/>
          <w:sz w:val="24"/>
          <w:szCs w:val="24"/>
        </w:rPr>
        <w:t xml:space="preserve">    特此承诺</w:t>
      </w:r>
    </w:p>
    <w:p>
      <w:pPr>
        <w:spacing w:line="440" w:lineRule="exact"/>
        <w:rPr>
          <w:sz w:val="24"/>
          <w:szCs w:val="24"/>
        </w:rPr>
      </w:pPr>
      <w:r>
        <w:rPr>
          <w:rFonts w:hint="eastAsia"/>
          <w:sz w:val="24"/>
          <w:szCs w:val="24"/>
        </w:rPr>
        <w:t xml:space="preserve">                                              投标人：</w:t>
      </w:r>
      <w:r>
        <w:rPr>
          <w:rFonts w:hint="eastAsia"/>
          <w:sz w:val="24"/>
          <w:szCs w:val="24"/>
          <w:u w:val="single"/>
        </w:rPr>
        <w:t xml:space="preserve">（盖单位章）             </w:t>
      </w:r>
    </w:p>
    <w:p>
      <w:pPr>
        <w:spacing w:line="440" w:lineRule="exact"/>
        <w:rPr>
          <w:sz w:val="24"/>
          <w:szCs w:val="24"/>
        </w:rPr>
      </w:pPr>
      <w:r>
        <w:rPr>
          <w:rFonts w:hint="eastAsia"/>
          <w:sz w:val="24"/>
          <w:szCs w:val="24"/>
        </w:rPr>
        <w:t xml:space="preserve">                                          法定代表人或其委托代理人：</w:t>
      </w:r>
      <w:r>
        <w:rPr>
          <w:rFonts w:hint="eastAsia"/>
          <w:sz w:val="24"/>
          <w:szCs w:val="24"/>
          <w:u w:val="single"/>
        </w:rPr>
        <w:t xml:space="preserve">（签字） </w:t>
      </w:r>
    </w:p>
    <w:p>
      <w:pPr>
        <w:spacing w:line="440" w:lineRule="exact"/>
        <w:rPr>
          <w:sz w:val="24"/>
          <w:szCs w:val="24"/>
        </w:rPr>
      </w:pPr>
      <w:r>
        <w:rPr>
          <w:rFonts w:hint="eastAsia"/>
          <w:sz w:val="24"/>
          <w:szCs w:val="24"/>
        </w:rPr>
        <w:t xml:space="preserve">                                           项目经理：</w:t>
      </w:r>
      <w:r>
        <w:rPr>
          <w:rFonts w:hint="eastAsia"/>
          <w:sz w:val="24"/>
          <w:szCs w:val="24"/>
          <w:u w:val="single"/>
        </w:rPr>
        <w:t>（签字）</w:t>
      </w:r>
    </w:p>
    <w:p>
      <w:pPr>
        <w:autoSpaceDE w:val="0"/>
        <w:autoSpaceDN w:val="0"/>
        <w:adjustRightInd w:val="0"/>
        <w:spacing w:line="360" w:lineRule="auto"/>
        <w:jc w:val="center"/>
        <w:rPr>
          <w:rFonts w:ascii="新宋体" w:hAnsi="新宋体" w:eastAsia="新宋体" w:cs="TimesNewRomanPSMT"/>
          <w:b/>
          <w:sz w:val="24"/>
          <w:szCs w:val="24"/>
        </w:rPr>
      </w:pPr>
      <w:r>
        <w:rPr>
          <w:rFonts w:hint="eastAsia" w:hAnsi="宋体"/>
          <w:sz w:val="24"/>
          <w:szCs w:val="24"/>
          <w:lang w:val="en-US" w:eastAsia="zh-CN"/>
        </w:rPr>
        <w:t xml:space="preserve">                                        </w:t>
      </w:r>
      <w:r>
        <w:rPr>
          <w:rFonts w:hint="eastAsia" w:hAnsi="宋体"/>
          <w:sz w:val="24"/>
          <w:szCs w:val="24"/>
        </w:rPr>
        <w:t>年</w:t>
      </w:r>
      <w:r>
        <w:rPr>
          <w:rFonts w:hint="eastAsia" w:hAnsi="宋体"/>
          <w:sz w:val="24"/>
          <w:szCs w:val="24"/>
          <w:lang w:val="en-US" w:eastAsia="zh-CN"/>
        </w:rPr>
        <w:t xml:space="preserve">  </w:t>
      </w:r>
      <w:r>
        <w:rPr>
          <w:rFonts w:hint="eastAsia" w:hAnsi="宋体"/>
          <w:sz w:val="24"/>
          <w:szCs w:val="24"/>
        </w:rPr>
        <w:t>月</w:t>
      </w:r>
      <w:r>
        <w:rPr>
          <w:rFonts w:hint="eastAsia" w:hAnsi="宋体"/>
          <w:sz w:val="24"/>
          <w:szCs w:val="24"/>
          <w:lang w:val="en-US" w:eastAsia="zh-CN"/>
        </w:rPr>
        <w:t xml:space="preserve">   </w:t>
      </w:r>
      <w:r>
        <w:rPr>
          <w:rFonts w:hint="eastAsia" w:hAnsi="宋体"/>
          <w:sz w:val="24"/>
          <w:szCs w:val="24"/>
        </w:rPr>
        <w:t>日</w:t>
      </w:r>
    </w:p>
    <w:p>
      <w:pPr>
        <w:autoSpaceDE w:val="0"/>
        <w:autoSpaceDN w:val="0"/>
        <w:adjustRightInd w:val="0"/>
        <w:spacing w:line="380" w:lineRule="exact"/>
        <w:rPr>
          <w:rFonts w:ascii="新宋体" w:hAnsi="新宋体" w:eastAsia="新宋体" w:cs="宋体"/>
          <w:b/>
          <w:sz w:val="24"/>
          <w:szCs w:val="24"/>
        </w:rPr>
      </w:pPr>
    </w:p>
    <w:p>
      <w:pPr>
        <w:spacing w:line="360" w:lineRule="auto"/>
        <w:jc w:val="center"/>
        <w:rPr>
          <w:rFonts w:hAnsi="宋体"/>
          <w:b/>
          <w:sz w:val="24"/>
          <w:szCs w:val="24"/>
        </w:rPr>
      </w:pPr>
      <w:r>
        <w:rPr>
          <w:rFonts w:hint="eastAsia" w:hAnsi="宋体"/>
          <w:b/>
          <w:sz w:val="24"/>
          <w:szCs w:val="24"/>
        </w:rPr>
        <w:t>附件3：“不挂靠、不转包、不违法分包”专项承诺书</w:t>
      </w:r>
    </w:p>
    <w:p>
      <w:pPr>
        <w:spacing w:line="360" w:lineRule="auto"/>
        <w:rPr>
          <w:rFonts w:hAnsi="宋体"/>
          <w:sz w:val="24"/>
          <w:szCs w:val="24"/>
          <w:u w:val="single"/>
        </w:rPr>
      </w:pPr>
      <w:r>
        <w:rPr>
          <w:rFonts w:hint="eastAsia" w:hAnsi="宋体"/>
          <w:sz w:val="24"/>
          <w:szCs w:val="24"/>
        </w:rPr>
        <w:t>致</w:t>
      </w:r>
      <w:r>
        <w:rPr>
          <w:rFonts w:hint="eastAsia" w:hAnsi="宋体"/>
          <w:sz w:val="24"/>
          <w:szCs w:val="24"/>
          <w:u w:val="single"/>
        </w:rPr>
        <w:t xml:space="preserve">     （招标人）    </w:t>
      </w:r>
      <w:r>
        <w:rPr>
          <w:rFonts w:hint="eastAsia" w:hAnsi="宋体"/>
          <w:sz w:val="24"/>
          <w:szCs w:val="24"/>
        </w:rPr>
        <w:t>：</w:t>
      </w:r>
    </w:p>
    <w:p>
      <w:pPr>
        <w:spacing w:line="360" w:lineRule="auto"/>
        <w:ind w:firstLine="480" w:firstLineChars="200"/>
        <w:rPr>
          <w:rFonts w:hAnsi="宋体" w:cs="Arial"/>
          <w:b/>
          <w:sz w:val="24"/>
          <w:szCs w:val="24"/>
          <w:shd w:val="clear" w:color="auto" w:fill="FFFFFF"/>
        </w:rPr>
      </w:pPr>
      <w:r>
        <w:rPr>
          <w:rFonts w:hint="eastAsia" w:hAnsi="宋体"/>
          <w:sz w:val="24"/>
          <w:szCs w:val="24"/>
        </w:rPr>
        <w:t>我单位为守法经营的建筑工程施工企业，针对本次（</w:t>
      </w:r>
      <w:r>
        <w:rPr>
          <w:rFonts w:hint="eastAsia" w:hAnsi="宋体"/>
          <w:sz w:val="24"/>
          <w:szCs w:val="24"/>
          <w:u w:val="single"/>
        </w:rPr>
        <w:t>项目全称）</w:t>
      </w:r>
      <w:r>
        <w:rPr>
          <w:rFonts w:hint="eastAsia" w:hAnsi="宋体"/>
          <w:sz w:val="24"/>
          <w:szCs w:val="24"/>
        </w:rPr>
        <w:t>招标项目，我公司郑重承诺：</w:t>
      </w:r>
      <w:r>
        <w:rPr>
          <w:rFonts w:hAnsi="宋体" w:cs="Arial"/>
          <w:b/>
          <w:sz w:val="24"/>
          <w:szCs w:val="24"/>
          <w:shd w:val="clear" w:color="auto" w:fill="FFFFFF"/>
        </w:rPr>
        <w:t>绝不</w:t>
      </w:r>
      <w:r>
        <w:rPr>
          <w:rFonts w:hint="eastAsia" w:hAnsi="宋体" w:cs="Arial"/>
          <w:b/>
          <w:sz w:val="24"/>
          <w:szCs w:val="24"/>
          <w:shd w:val="clear" w:color="auto" w:fill="FFFFFF"/>
        </w:rPr>
        <w:t>挂靠、不</w:t>
      </w:r>
      <w:r>
        <w:rPr>
          <w:rFonts w:hAnsi="宋体" w:cs="Arial"/>
          <w:b/>
          <w:sz w:val="24"/>
          <w:szCs w:val="24"/>
          <w:shd w:val="clear" w:color="auto" w:fill="FFFFFF"/>
        </w:rPr>
        <w:t>转包</w:t>
      </w:r>
      <w:r>
        <w:rPr>
          <w:rFonts w:hint="eastAsia" w:hAnsi="宋体" w:cs="Arial"/>
          <w:b/>
          <w:sz w:val="24"/>
          <w:szCs w:val="24"/>
          <w:shd w:val="clear" w:color="auto" w:fill="FFFFFF"/>
        </w:rPr>
        <w:t>、不违法分包</w:t>
      </w:r>
      <w:r>
        <w:rPr>
          <w:rFonts w:hAnsi="宋体" w:cs="Arial"/>
          <w:b/>
          <w:sz w:val="24"/>
          <w:szCs w:val="24"/>
          <w:shd w:val="clear" w:color="auto" w:fill="FFFFFF"/>
        </w:rPr>
        <w:t>。</w:t>
      </w:r>
    </w:p>
    <w:p>
      <w:pPr>
        <w:spacing w:line="360" w:lineRule="auto"/>
        <w:ind w:firstLine="480" w:firstLineChars="200"/>
        <w:rPr>
          <w:rFonts w:hAnsi="宋体"/>
          <w:sz w:val="24"/>
          <w:szCs w:val="24"/>
        </w:rPr>
      </w:pPr>
      <w:r>
        <w:rPr>
          <w:rFonts w:hAnsi="宋体" w:cs="Arial"/>
          <w:sz w:val="24"/>
          <w:szCs w:val="24"/>
          <w:shd w:val="clear" w:color="auto" w:fill="FFFFFF"/>
        </w:rPr>
        <w:t>若有</w:t>
      </w:r>
      <w:r>
        <w:rPr>
          <w:rFonts w:hint="eastAsia" w:hAnsi="宋体" w:cs="Arial"/>
          <w:sz w:val="24"/>
          <w:szCs w:val="24"/>
          <w:shd w:val="clear" w:color="auto" w:fill="FFFFFF"/>
        </w:rPr>
        <w:t>挂靠、</w:t>
      </w:r>
      <w:r>
        <w:rPr>
          <w:rFonts w:hAnsi="宋体" w:cs="Arial"/>
          <w:sz w:val="24"/>
          <w:szCs w:val="24"/>
          <w:shd w:val="clear" w:color="auto" w:fill="FFFFFF"/>
        </w:rPr>
        <w:t>转包或</w:t>
      </w:r>
      <w:r>
        <w:rPr>
          <w:rFonts w:hint="eastAsia" w:hAnsi="宋体" w:cs="Arial"/>
          <w:sz w:val="24"/>
          <w:szCs w:val="24"/>
          <w:shd w:val="clear" w:color="auto" w:fill="FFFFFF"/>
        </w:rPr>
        <w:t>违法分包</w:t>
      </w:r>
      <w:r>
        <w:rPr>
          <w:rFonts w:hAnsi="宋体" w:cs="Arial"/>
          <w:sz w:val="24"/>
          <w:szCs w:val="24"/>
          <w:shd w:val="clear" w:color="auto" w:fill="FFFFFF"/>
        </w:rPr>
        <w:t>行为</w:t>
      </w:r>
      <w:r>
        <w:rPr>
          <w:rFonts w:hint="eastAsia" w:hAnsi="宋体" w:cs="Arial"/>
          <w:sz w:val="24"/>
          <w:szCs w:val="24"/>
          <w:shd w:val="clear" w:color="auto" w:fill="FFFFFF"/>
        </w:rPr>
        <w:t>愿意接受以下处罚：</w:t>
      </w:r>
    </w:p>
    <w:p>
      <w:pPr>
        <w:spacing w:line="360" w:lineRule="auto"/>
        <w:ind w:firstLine="480" w:firstLineChars="200"/>
        <w:rPr>
          <w:rFonts w:hAnsi="宋体"/>
          <w:b/>
          <w:sz w:val="24"/>
          <w:szCs w:val="24"/>
        </w:rPr>
      </w:pPr>
      <w:r>
        <w:rPr>
          <w:rFonts w:hAnsi="宋体" w:cs="Arial"/>
          <w:b/>
          <w:sz w:val="24"/>
          <w:szCs w:val="24"/>
          <w:shd w:val="clear" w:color="auto" w:fill="FFFFFF"/>
        </w:rPr>
        <w:t>1、由招标人向市、省和国家建设等行政主管部门报告，</w:t>
      </w:r>
      <w:r>
        <w:rPr>
          <w:rFonts w:hint="eastAsia" w:hAnsi="宋体" w:cs="Arial"/>
          <w:b/>
          <w:sz w:val="24"/>
          <w:szCs w:val="24"/>
          <w:shd w:val="clear" w:color="auto" w:fill="FFFFFF"/>
        </w:rPr>
        <w:t>记入</w:t>
      </w:r>
      <w:r>
        <w:rPr>
          <w:rFonts w:hAnsi="宋体" w:cs="Arial"/>
          <w:b/>
          <w:sz w:val="24"/>
          <w:szCs w:val="24"/>
          <w:shd w:val="clear" w:color="auto" w:fill="FFFFFF"/>
        </w:rPr>
        <w:t>不良记录</w:t>
      </w:r>
      <w:r>
        <w:rPr>
          <w:rFonts w:hint="eastAsia" w:hAnsi="宋体" w:cs="Arial"/>
          <w:b/>
          <w:sz w:val="24"/>
          <w:szCs w:val="24"/>
          <w:shd w:val="clear" w:color="auto" w:fill="FFFFFF"/>
        </w:rPr>
        <w:t>，并愿意接受任何处理决定</w:t>
      </w:r>
      <w:r>
        <w:rPr>
          <w:rFonts w:hAnsi="宋体" w:cs="Arial"/>
          <w:b/>
          <w:sz w:val="24"/>
          <w:szCs w:val="24"/>
          <w:shd w:val="clear" w:color="auto" w:fill="FFFFFF"/>
        </w:rPr>
        <w:t>；</w:t>
      </w:r>
      <w:r>
        <w:rPr>
          <w:rFonts w:hAnsi="宋体" w:cs="Arial"/>
          <w:b/>
          <w:sz w:val="24"/>
          <w:szCs w:val="24"/>
        </w:rPr>
        <w:br w:type="textWrapping"/>
      </w:r>
      <w:r>
        <w:rPr>
          <w:rFonts w:hAnsi="宋体" w:cs="Arial"/>
          <w:b/>
          <w:sz w:val="24"/>
          <w:szCs w:val="24"/>
          <w:shd w:val="clear" w:color="auto" w:fill="FFFFFF"/>
        </w:rPr>
        <w:t>2、投标期间没收投标保证金，合同履行期间发包人有权责令其出场、</w:t>
      </w:r>
      <w:r>
        <w:rPr>
          <w:rFonts w:hint="eastAsia" w:hAnsi="宋体" w:cs="Arial"/>
          <w:b/>
          <w:sz w:val="24"/>
          <w:szCs w:val="24"/>
          <w:shd w:val="clear" w:color="auto" w:fill="FFFFFF"/>
        </w:rPr>
        <w:t>没收履约担保</w:t>
      </w:r>
      <w:r>
        <w:rPr>
          <w:rFonts w:hAnsi="宋体" w:cs="Arial"/>
          <w:b/>
          <w:sz w:val="24"/>
          <w:szCs w:val="24"/>
          <w:shd w:val="clear" w:color="auto" w:fill="FFFFFF"/>
        </w:rPr>
        <w:t>，并有权单方面取消承包人的中标资格，终止合同，有此产生的责任和损失均由承包人负责，发包人有权向承包人索赔</w:t>
      </w:r>
      <w:r>
        <w:rPr>
          <w:rFonts w:hint="eastAsia" w:hAnsi="宋体" w:cs="Arial"/>
          <w:b/>
          <w:sz w:val="24"/>
          <w:szCs w:val="24"/>
          <w:shd w:val="clear" w:color="auto" w:fill="FFFFFF"/>
        </w:rPr>
        <w:t>；</w:t>
      </w:r>
      <w:r>
        <w:rPr>
          <w:rFonts w:hAnsi="宋体" w:cs="Arial"/>
          <w:b/>
          <w:sz w:val="24"/>
          <w:szCs w:val="24"/>
        </w:rPr>
        <w:br w:type="textWrapping"/>
      </w:r>
      <w:r>
        <w:rPr>
          <w:rFonts w:hAnsi="宋体" w:cs="Arial"/>
          <w:b/>
          <w:sz w:val="24"/>
          <w:szCs w:val="24"/>
          <w:shd w:val="clear" w:color="auto" w:fill="FFFFFF"/>
        </w:rPr>
        <w:t>3、由招标人联系司法机关追究相关法律责任。</w:t>
      </w:r>
    </w:p>
    <w:p>
      <w:pPr>
        <w:spacing w:line="360" w:lineRule="auto"/>
        <w:ind w:firstLine="480" w:firstLineChars="200"/>
        <w:rPr>
          <w:rFonts w:hAnsi="宋体"/>
          <w:sz w:val="24"/>
          <w:szCs w:val="24"/>
        </w:rPr>
      </w:pPr>
    </w:p>
    <w:p>
      <w:pPr>
        <w:spacing w:line="360" w:lineRule="auto"/>
        <w:ind w:firstLine="480" w:firstLineChars="200"/>
        <w:jc w:val="right"/>
        <w:rPr>
          <w:rFonts w:hAnsi="宋体"/>
          <w:sz w:val="24"/>
          <w:szCs w:val="24"/>
        </w:rPr>
      </w:pPr>
      <w:r>
        <w:rPr>
          <w:rFonts w:hint="eastAsia" w:hAnsi="宋体"/>
          <w:sz w:val="24"/>
          <w:szCs w:val="24"/>
        </w:rPr>
        <w:t xml:space="preserve">单位全称： （盖  章） </w:t>
      </w:r>
    </w:p>
    <w:p>
      <w:pPr>
        <w:spacing w:line="360" w:lineRule="auto"/>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380" w:lineRule="exact"/>
        <w:rPr>
          <w:rFonts w:hAnsi="宋体"/>
          <w:sz w:val="24"/>
          <w:szCs w:val="24"/>
        </w:rPr>
      </w:pPr>
      <w:r>
        <w:rPr>
          <w:rFonts w:hint="eastAsia" w:hAnsi="宋体"/>
          <w:sz w:val="24"/>
          <w:szCs w:val="24"/>
        </w:rPr>
        <w:t xml:space="preserve">                                                           年    月    日</w:t>
      </w:r>
    </w:p>
    <w:p>
      <w:pPr>
        <w:autoSpaceDE w:val="0"/>
        <w:autoSpaceDN w:val="0"/>
        <w:adjustRightInd w:val="0"/>
        <w:spacing w:line="380" w:lineRule="exact"/>
        <w:rPr>
          <w:rFonts w:hAnsi="宋体"/>
          <w:sz w:val="24"/>
          <w:szCs w:val="24"/>
        </w:rPr>
      </w:pPr>
    </w:p>
    <w:p>
      <w:pPr>
        <w:autoSpaceDE w:val="0"/>
        <w:autoSpaceDN w:val="0"/>
        <w:adjustRightInd w:val="0"/>
        <w:spacing w:line="360" w:lineRule="auto"/>
        <w:ind w:right="215"/>
        <w:jc w:val="center"/>
        <w:rPr>
          <w:rFonts w:hAnsi="宋体"/>
          <w:b/>
          <w:sz w:val="24"/>
          <w:szCs w:val="24"/>
        </w:rPr>
      </w:pPr>
    </w:p>
    <w:p>
      <w:pPr>
        <w:autoSpaceDE w:val="0"/>
        <w:autoSpaceDN w:val="0"/>
        <w:adjustRightInd w:val="0"/>
        <w:spacing w:line="360" w:lineRule="auto"/>
        <w:ind w:right="215"/>
        <w:jc w:val="center"/>
        <w:rPr>
          <w:rFonts w:hAnsi="宋体" w:cs="方正大标宋简体"/>
          <w:b/>
          <w:sz w:val="24"/>
          <w:szCs w:val="24"/>
        </w:rPr>
      </w:pPr>
      <w:r>
        <w:rPr>
          <w:rFonts w:hint="eastAsia" w:hAnsi="宋体" w:cs="方正大标宋简体"/>
          <w:b/>
          <w:sz w:val="24"/>
          <w:szCs w:val="24"/>
        </w:rPr>
        <w:t>附件4、关于施工工地扬尘污染整治的承诺</w:t>
      </w:r>
    </w:p>
    <w:p>
      <w:pPr>
        <w:autoSpaceDE w:val="0"/>
        <w:autoSpaceDN w:val="0"/>
        <w:adjustRightInd w:val="0"/>
        <w:spacing w:line="360" w:lineRule="auto"/>
        <w:ind w:right="215"/>
        <w:jc w:val="center"/>
        <w:rPr>
          <w:rFonts w:hAnsi="宋体" w:cs="方正大标宋简体"/>
          <w:b/>
          <w:sz w:val="24"/>
          <w:szCs w:val="24"/>
        </w:rPr>
      </w:pPr>
      <w:r>
        <w:rPr>
          <w:rFonts w:hint="eastAsia" w:hAnsi="宋体" w:cs="方正大标宋简体"/>
          <w:b/>
          <w:sz w:val="24"/>
          <w:szCs w:val="24"/>
        </w:rPr>
        <w:t>（内容自行编制）</w:t>
      </w:r>
    </w:p>
    <w:p>
      <w:pPr>
        <w:autoSpaceDE w:val="0"/>
        <w:autoSpaceDN w:val="0"/>
        <w:adjustRightInd w:val="0"/>
        <w:spacing w:line="360" w:lineRule="auto"/>
        <w:ind w:right="215"/>
        <w:jc w:val="center"/>
        <w:rPr>
          <w:rFonts w:hAnsi="宋体" w:cs="方正大标宋简体"/>
          <w:b/>
          <w:sz w:val="24"/>
          <w:szCs w:val="24"/>
        </w:rPr>
      </w:pPr>
    </w:p>
    <w:p>
      <w:pPr>
        <w:spacing w:line="360" w:lineRule="auto"/>
        <w:ind w:firstLine="480" w:firstLineChars="200"/>
        <w:jc w:val="right"/>
        <w:rPr>
          <w:rFonts w:hAnsi="宋体"/>
          <w:sz w:val="24"/>
          <w:szCs w:val="24"/>
        </w:rPr>
      </w:pPr>
      <w:r>
        <w:rPr>
          <w:rFonts w:hint="eastAsia" w:hAnsi="宋体"/>
          <w:sz w:val="24"/>
          <w:szCs w:val="24"/>
        </w:rPr>
        <w:t xml:space="preserve">单位全称： （盖  章） </w:t>
      </w:r>
    </w:p>
    <w:p>
      <w:pPr>
        <w:spacing w:line="360" w:lineRule="auto"/>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360" w:lineRule="auto"/>
        <w:ind w:right="215"/>
        <w:jc w:val="center"/>
        <w:rPr>
          <w:rFonts w:hAnsi="宋体"/>
          <w:b/>
          <w:sz w:val="24"/>
          <w:szCs w:val="24"/>
        </w:rPr>
      </w:pPr>
      <w:r>
        <w:rPr>
          <w:rFonts w:hint="eastAsia" w:hAnsi="宋体"/>
          <w:sz w:val="24"/>
          <w:szCs w:val="24"/>
        </w:rPr>
        <w:t xml:space="preserve">                                                         年    月    日</w:t>
      </w:r>
    </w:p>
    <w:p>
      <w:pPr>
        <w:autoSpaceDE w:val="0"/>
        <w:autoSpaceDN w:val="0"/>
        <w:adjustRightInd w:val="0"/>
        <w:spacing w:line="360" w:lineRule="auto"/>
        <w:ind w:right="215"/>
        <w:jc w:val="center"/>
        <w:rPr>
          <w:rFonts w:hAnsi="宋体"/>
          <w:b/>
          <w:sz w:val="32"/>
        </w:rPr>
      </w:pPr>
      <w:r>
        <w:rPr>
          <w:rFonts w:hint="eastAsia" w:hAnsi="宋体"/>
          <w:b/>
          <w:sz w:val="32"/>
          <w:szCs w:val="32"/>
        </w:rPr>
        <w:t>十</w:t>
      </w:r>
      <w:r>
        <w:rPr>
          <w:rFonts w:hint="eastAsia" w:hAnsi="宋体"/>
          <w:b/>
          <w:sz w:val="32"/>
          <w:szCs w:val="32"/>
          <w:lang w:eastAsia="zh-CN"/>
        </w:rPr>
        <w:t>二</w:t>
      </w:r>
      <w:r>
        <w:rPr>
          <w:rFonts w:hint="eastAsia" w:hAnsi="宋体"/>
          <w:b/>
          <w:sz w:val="32"/>
          <w:szCs w:val="32"/>
        </w:rPr>
        <w:t>、</w:t>
      </w:r>
      <w:r>
        <w:rPr>
          <w:rFonts w:hint="eastAsia" w:hAnsi="宋体"/>
          <w:b/>
          <w:sz w:val="32"/>
        </w:rPr>
        <w:t>其它材料</w:t>
      </w:r>
    </w:p>
    <w:p>
      <w:pPr>
        <w:autoSpaceDE w:val="0"/>
        <w:autoSpaceDN w:val="0"/>
        <w:adjustRightInd w:val="0"/>
        <w:spacing w:line="360" w:lineRule="auto"/>
        <w:ind w:right="215"/>
        <w:jc w:val="center"/>
        <w:rPr>
          <w:rFonts w:hAnsi="宋体"/>
          <w:b/>
          <w:sz w:val="32"/>
        </w:rPr>
      </w:pPr>
    </w:p>
    <w:p>
      <w:pPr>
        <w:autoSpaceDE w:val="0"/>
        <w:autoSpaceDN w:val="0"/>
        <w:adjustRightInd w:val="0"/>
        <w:spacing w:line="360" w:lineRule="auto"/>
        <w:ind w:right="215"/>
        <w:jc w:val="center"/>
        <w:rPr>
          <w:rFonts w:hAnsi="宋体"/>
          <w:b/>
          <w:sz w:val="32"/>
        </w:rPr>
      </w:pPr>
    </w:p>
    <w:p>
      <w:pPr>
        <w:autoSpaceDE w:val="0"/>
        <w:autoSpaceDN w:val="0"/>
        <w:adjustRightInd w:val="0"/>
        <w:spacing w:line="360" w:lineRule="auto"/>
        <w:ind w:right="215"/>
        <w:jc w:val="center"/>
        <w:rPr>
          <w:rFonts w:hAnsi="宋体"/>
          <w:b/>
          <w:sz w:val="32"/>
        </w:rPr>
      </w:pPr>
    </w:p>
    <w:p>
      <w:pPr>
        <w:autoSpaceDE w:val="0"/>
        <w:autoSpaceDN w:val="0"/>
        <w:adjustRightInd w:val="0"/>
        <w:spacing w:line="360" w:lineRule="auto"/>
        <w:ind w:right="215"/>
        <w:jc w:val="center"/>
        <w:rPr>
          <w:rFonts w:hAnsi="宋体"/>
          <w:b/>
          <w:sz w:val="32"/>
        </w:rPr>
      </w:pPr>
    </w:p>
    <w:p>
      <w:pPr>
        <w:tabs>
          <w:tab w:val="center" w:pos="4739"/>
        </w:tabs>
        <w:ind w:left="18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rPr>
        <w:t>　</w:t>
      </w:r>
    </w:p>
    <w:p>
      <w:pPr>
        <w:autoSpaceDE w:val="0"/>
        <w:autoSpaceDN w:val="0"/>
        <w:adjustRightInd w:val="0"/>
        <w:jc w:val="center"/>
        <w:rPr>
          <w:rFonts w:hAnsi="宋体" w:cs="黑体"/>
          <w:b/>
          <w:spacing w:val="60"/>
          <w:sz w:val="52"/>
          <w:szCs w:val="52"/>
        </w:rPr>
      </w:pPr>
      <w:r>
        <w:rPr>
          <w:rFonts w:hint="eastAsia" w:ascii="黑体" w:eastAsia="黑体"/>
          <w:b/>
          <w:sz w:val="36"/>
          <w:szCs w:val="36"/>
          <w:u w:val="single"/>
        </w:rPr>
        <w:t xml:space="preserve">                    (项目名称)</w:t>
      </w:r>
      <w:r>
        <w:rPr>
          <w:rFonts w:hint="eastAsia" w:ascii="黑体" w:eastAsia="黑体"/>
          <w:b/>
          <w:sz w:val="36"/>
          <w:szCs w:val="36"/>
          <w:u w:val="single"/>
          <w:lang w:eastAsia="zh-CN"/>
        </w:rPr>
        <w:t>（标段）</w:t>
      </w:r>
      <w:r>
        <w:rPr>
          <w:rFonts w:hint="eastAsia" w:ascii="黑体" w:eastAsia="黑体"/>
          <w:b/>
          <w:sz w:val="36"/>
          <w:szCs w:val="36"/>
          <w:u w:val="single"/>
        </w:rPr>
        <w:t xml:space="preserve">     </w:t>
      </w:r>
    </w:p>
    <w:p>
      <w:pPr>
        <w:tabs>
          <w:tab w:val="center" w:pos="4739"/>
        </w:tabs>
        <w:ind w:left="180"/>
        <w:jc w:val="center"/>
        <w:rPr>
          <w:rFonts w:ascii="黑体" w:eastAsia="黑体"/>
          <w:b/>
          <w:sz w:val="36"/>
          <w:szCs w:val="36"/>
        </w:rPr>
      </w:pPr>
    </w:p>
    <w:p>
      <w:pPr>
        <w:tabs>
          <w:tab w:val="center" w:pos="4739"/>
        </w:tabs>
        <w:ind w:left="180"/>
        <w:rPr>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w:t>
      </w:r>
      <w:r>
        <w:rPr>
          <w:rFonts w:hint="eastAsia" w:ascii="黑体" w:eastAsia="黑体"/>
          <w:b/>
          <w:sz w:val="32"/>
          <w:lang w:val="en-US" w:eastAsia="zh-CN"/>
        </w:rPr>
        <w:t xml:space="preserve">  </w:t>
      </w:r>
      <w:r>
        <w:rPr>
          <w:rFonts w:hint="eastAsia" w:ascii="黑体" w:eastAsia="黑体"/>
          <w:b/>
          <w:sz w:val="32"/>
        </w:rPr>
        <w:t>月</w:t>
      </w:r>
      <w:r>
        <w:rPr>
          <w:rFonts w:hint="eastAsia" w:ascii="黑体" w:eastAsia="黑体"/>
          <w:b/>
          <w:sz w:val="32"/>
          <w:lang w:val="en-US" w:eastAsia="zh-CN"/>
        </w:rPr>
        <w:t xml:space="preserve">   </w:t>
      </w:r>
      <w:r>
        <w:rPr>
          <w:rFonts w:hint="eastAsia" w:ascii="黑体" w:eastAsia="黑体"/>
          <w:b/>
          <w:sz w:val="32"/>
        </w:rPr>
        <w:t>日</w:t>
      </w:r>
    </w:p>
    <w:p>
      <w:pPr>
        <w:autoSpaceDE w:val="0"/>
        <w:autoSpaceDN w:val="0"/>
        <w:spacing w:line="540" w:lineRule="exact"/>
        <w:jc w:val="center"/>
        <w:rPr>
          <w:rFonts w:hAnsi="宋体" w:cs="宋体"/>
          <w:b/>
          <w:sz w:val="36"/>
          <w:szCs w:val="36"/>
        </w:rPr>
      </w:pPr>
      <w:r>
        <w:rPr>
          <w:rFonts w:hAnsi="宋体" w:cs="宋体"/>
          <w:b/>
          <w:sz w:val="36"/>
          <w:szCs w:val="36"/>
        </w:rPr>
        <w:br w:type="page"/>
      </w: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autoSpaceDE w:val="0"/>
        <w:autoSpaceDN w:val="0"/>
        <w:spacing w:line="540" w:lineRule="exact"/>
        <w:ind w:firstLine="520" w:firstLineChars="200"/>
        <w:jc w:val="left"/>
        <w:rPr>
          <w:rFonts w:hAnsi="宋体" w:cs="宋体"/>
          <w:b/>
          <w:sz w:val="26"/>
          <w:szCs w:val="26"/>
        </w:rPr>
      </w:pPr>
    </w:p>
    <w:p>
      <w:pPr>
        <w:autoSpaceDE w:val="0"/>
        <w:autoSpaceDN w:val="0"/>
        <w:adjustRightInd w:val="0"/>
        <w:spacing w:line="420" w:lineRule="exact"/>
        <w:jc w:val="center"/>
        <w:rPr>
          <w:rFonts w:hAnsi="宋体" w:cs="宋体"/>
          <w:b/>
          <w:sz w:val="26"/>
          <w:szCs w:val="26"/>
        </w:rPr>
      </w:pPr>
    </w:p>
    <w:p/>
    <w:sectPr>
      <w:headerReference r:id="rId3" w:type="default"/>
      <w:footerReference r:id="rId4" w:type="default"/>
      <w:footerReference r:id="rId5" w:type="even"/>
      <w:pgSz w:w="11906" w:h="16838"/>
      <w:pgMar w:top="1304" w:right="1531" w:bottom="1304" w:left="1531"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方正大标宋简体">
    <w:altName w:val="微软雅黑"/>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fldChar w:fldCharType="begin"/>
    </w:r>
    <w:r>
      <w:rPr>
        <w:rStyle w:val="14"/>
      </w:rPr>
      <w:instrText xml:space="preserve"> PAGE </w:instrText>
    </w:r>
    <w:r>
      <w:fldChar w:fldCharType="separate"/>
    </w:r>
    <w:r>
      <w:rPr>
        <w:rStyle w:val="14"/>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33</w: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rFonts w:ascii="楷体_GB2312" w:hAnsi="楷体" w:eastAsia="楷体_GB2312" w:cs="楷体"/>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7714E"/>
    <w:multiLevelType w:val="singleLevel"/>
    <w:tmpl w:val="9297714E"/>
    <w:lvl w:ilvl="0" w:tentative="0">
      <w:start w:val="7"/>
      <w:numFmt w:val="chineseCounting"/>
      <w:suff w:val="nothing"/>
      <w:lvlText w:val="%1、"/>
      <w:lvlJc w:val="left"/>
      <w:rPr>
        <w:rFonts w:hint="eastAsia"/>
      </w:rPr>
    </w:lvl>
  </w:abstractNum>
  <w:abstractNum w:abstractNumId="1">
    <w:nsid w:val="E210DF82"/>
    <w:multiLevelType w:val="singleLevel"/>
    <w:tmpl w:val="E210DF82"/>
    <w:lvl w:ilvl="0" w:tentative="0">
      <w:start w:val="1"/>
      <w:numFmt w:val="decimal"/>
      <w:lvlText w:val="%1."/>
      <w:lvlJc w:val="left"/>
      <w:pPr>
        <w:tabs>
          <w:tab w:val="left" w:pos="312"/>
        </w:tabs>
      </w:pPr>
    </w:lvl>
  </w:abstractNum>
  <w:abstractNum w:abstractNumId="2">
    <w:nsid w:val="46967C26"/>
    <w:multiLevelType w:val="singleLevel"/>
    <w:tmpl w:val="46967C26"/>
    <w:lvl w:ilvl="0" w:tentative="0">
      <w:start w:val="6"/>
      <w:numFmt w:val="decimal"/>
      <w:suff w:val="nothing"/>
      <w:lvlText w:val="%1、"/>
      <w:lvlJc w:val="left"/>
    </w:lvl>
  </w:abstractNum>
  <w:abstractNum w:abstractNumId="3">
    <w:nsid w:val="5754D847"/>
    <w:multiLevelType w:val="singleLevel"/>
    <w:tmpl w:val="5754D847"/>
    <w:lvl w:ilvl="0" w:tentative="0">
      <w:start w:val="2"/>
      <w:numFmt w:val="decimal"/>
      <w:suff w:val="space"/>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D5801D8"/>
    <w:rsid w:val="0001366B"/>
    <w:rsid w:val="0019126E"/>
    <w:rsid w:val="001E19C1"/>
    <w:rsid w:val="003842E4"/>
    <w:rsid w:val="00595A40"/>
    <w:rsid w:val="00EC0535"/>
    <w:rsid w:val="01F35FBE"/>
    <w:rsid w:val="021008F0"/>
    <w:rsid w:val="02453CA4"/>
    <w:rsid w:val="02815737"/>
    <w:rsid w:val="031B4DD3"/>
    <w:rsid w:val="03555BA4"/>
    <w:rsid w:val="04063D7C"/>
    <w:rsid w:val="043744BE"/>
    <w:rsid w:val="04DD0F4C"/>
    <w:rsid w:val="067D2913"/>
    <w:rsid w:val="067F1C16"/>
    <w:rsid w:val="07397615"/>
    <w:rsid w:val="077E3132"/>
    <w:rsid w:val="08257C7A"/>
    <w:rsid w:val="08B23829"/>
    <w:rsid w:val="09363DE9"/>
    <w:rsid w:val="09543C2E"/>
    <w:rsid w:val="09902EFC"/>
    <w:rsid w:val="0A102EC9"/>
    <w:rsid w:val="0B8F007D"/>
    <w:rsid w:val="0C582145"/>
    <w:rsid w:val="0CA1123F"/>
    <w:rsid w:val="0CE23862"/>
    <w:rsid w:val="0D5708D8"/>
    <w:rsid w:val="0F41072E"/>
    <w:rsid w:val="0F8B6115"/>
    <w:rsid w:val="0FB767D8"/>
    <w:rsid w:val="10374190"/>
    <w:rsid w:val="10443EF7"/>
    <w:rsid w:val="113C76A9"/>
    <w:rsid w:val="11530C09"/>
    <w:rsid w:val="11C873B4"/>
    <w:rsid w:val="129022F4"/>
    <w:rsid w:val="12F941B9"/>
    <w:rsid w:val="141651F7"/>
    <w:rsid w:val="14224580"/>
    <w:rsid w:val="14C50EFA"/>
    <w:rsid w:val="163E11A1"/>
    <w:rsid w:val="174C4256"/>
    <w:rsid w:val="17A05497"/>
    <w:rsid w:val="18556BE4"/>
    <w:rsid w:val="18A857FD"/>
    <w:rsid w:val="19443669"/>
    <w:rsid w:val="195636FC"/>
    <w:rsid w:val="1AF8758C"/>
    <w:rsid w:val="1B431C20"/>
    <w:rsid w:val="1B5105E7"/>
    <w:rsid w:val="1B6960C7"/>
    <w:rsid w:val="1B7C26C5"/>
    <w:rsid w:val="1CE260F2"/>
    <w:rsid w:val="1D2B2C11"/>
    <w:rsid w:val="1E537242"/>
    <w:rsid w:val="1F1F0CB9"/>
    <w:rsid w:val="205458D0"/>
    <w:rsid w:val="20700A1A"/>
    <w:rsid w:val="21984E8E"/>
    <w:rsid w:val="21D70979"/>
    <w:rsid w:val="228B7C79"/>
    <w:rsid w:val="22C823B1"/>
    <w:rsid w:val="248C10DA"/>
    <w:rsid w:val="25CD3E50"/>
    <w:rsid w:val="294721AB"/>
    <w:rsid w:val="29700514"/>
    <w:rsid w:val="29937DCD"/>
    <w:rsid w:val="2AE03881"/>
    <w:rsid w:val="2B0E113B"/>
    <w:rsid w:val="2B782856"/>
    <w:rsid w:val="2BA61987"/>
    <w:rsid w:val="2C044C30"/>
    <w:rsid w:val="2C083279"/>
    <w:rsid w:val="2C2F7008"/>
    <w:rsid w:val="2C4D7B24"/>
    <w:rsid w:val="32067C1D"/>
    <w:rsid w:val="32997AE5"/>
    <w:rsid w:val="334B5CBE"/>
    <w:rsid w:val="334E5B62"/>
    <w:rsid w:val="35F52777"/>
    <w:rsid w:val="35F634D6"/>
    <w:rsid w:val="36220549"/>
    <w:rsid w:val="371A3B67"/>
    <w:rsid w:val="38955661"/>
    <w:rsid w:val="39DD178A"/>
    <w:rsid w:val="3A766BE4"/>
    <w:rsid w:val="3B360DF7"/>
    <w:rsid w:val="3BEB3C32"/>
    <w:rsid w:val="3C7E386B"/>
    <w:rsid w:val="3F9D13B9"/>
    <w:rsid w:val="40CF2FDF"/>
    <w:rsid w:val="441E2394"/>
    <w:rsid w:val="443A7A94"/>
    <w:rsid w:val="44C537D9"/>
    <w:rsid w:val="44E944E3"/>
    <w:rsid w:val="4541373D"/>
    <w:rsid w:val="455048C7"/>
    <w:rsid w:val="45FE10EB"/>
    <w:rsid w:val="4711280E"/>
    <w:rsid w:val="476B3DF2"/>
    <w:rsid w:val="477F682B"/>
    <w:rsid w:val="47AE59EA"/>
    <w:rsid w:val="481A1697"/>
    <w:rsid w:val="49C401FA"/>
    <w:rsid w:val="4AA43679"/>
    <w:rsid w:val="4B497FEC"/>
    <w:rsid w:val="4B501C70"/>
    <w:rsid w:val="4BB4110B"/>
    <w:rsid w:val="4C551C24"/>
    <w:rsid w:val="4C8E4A67"/>
    <w:rsid w:val="4CA74A71"/>
    <w:rsid w:val="4CAC269F"/>
    <w:rsid w:val="4D4C2F5C"/>
    <w:rsid w:val="4D5A5213"/>
    <w:rsid w:val="4D6223A4"/>
    <w:rsid w:val="4ECA7BF5"/>
    <w:rsid w:val="4F490467"/>
    <w:rsid w:val="4F9677F9"/>
    <w:rsid w:val="501D12CE"/>
    <w:rsid w:val="50A70730"/>
    <w:rsid w:val="50C058E0"/>
    <w:rsid w:val="52025475"/>
    <w:rsid w:val="531305C2"/>
    <w:rsid w:val="54115E17"/>
    <w:rsid w:val="541C6967"/>
    <w:rsid w:val="547C236A"/>
    <w:rsid w:val="54F0600E"/>
    <w:rsid w:val="5505359F"/>
    <w:rsid w:val="553801BE"/>
    <w:rsid w:val="55895113"/>
    <w:rsid w:val="561A3930"/>
    <w:rsid w:val="57C05B1B"/>
    <w:rsid w:val="58CB4EA2"/>
    <w:rsid w:val="58D34493"/>
    <w:rsid w:val="5A545E7F"/>
    <w:rsid w:val="5A5B26C3"/>
    <w:rsid w:val="5B3108D4"/>
    <w:rsid w:val="5B5B0C0D"/>
    <w:rsid w:val="5BBF032C"/>
    <w:rsid w:val="5C004905"/>
    <w:rsid w:val="5E305B52"/>
    <w:rsid w:val="5EC36501"/>
    <w:rsid w:val="60D047B8"/>
    <w:rsid w:val="61CB68A9"/>
    <w:rsid w:val="61E506E4"/>
    <w:rsid w:val="62286631"/>
    <w:rsid w:val="62AF2B69"/>
    <w:rsid w:val="637D5E6A"/>
    <w:rsid w:val="63850EE0"/>
    <w:rsid w:val="644B440D"/>
    <w:rsid w:val="64C9025D"/>
    <w:rsid w:val="658C6C2B"/>
    <w:rsid w:val="67875400"/>
    <w:rsid w:val="678A3E0F"/>
    <w:rsid w:val="68766254"/>
    <w:rsid w:val="68B941FD"/>
    <w:rsid w:val="691F77E8"/>
    <w:rsid w:val="6A2D1A2F"/>
    <w:rsid w:val="6A3655CE"/>
    <w:rsid w:val="6ADD1CB3"/>
    <w:rsid w:val="6B360C47"/>
    <w:rsid w:val="6B7944DD"/>
    <w:rsid w:val="6CB33322"/>
    <w:rsid w:val="6CD715E5"/>
    <w:rsid w:val="6D535020"/>
    <w:rsid w:val="6FC57D1A"/>
    <w:rsid w:val="6FEB609B"/>
    <w:rsid w:val="70537238"/>
    <w:rsid w:val="705D0561"/>
    <w:rsid w:val="70723B56"/>
    <w:rsid w:val="71815EA8"/>
    <w:rsid w:val="72036C24"/>
    <w:rsid w:val="72037543"/>
    <w:rsid w:val="72AD68E4"/>
    <w:rsid w:val="73A66E32"/>
    <w:rsid w:val="73A75217"/>
    <w:rsid w:val="740E649B"/>
    <w:rsid w:val="741C2401"/>
    <w:rsid w:val="7429136A"/>
    <w:rsid w:val="746C6934"/>
    <w:rsid w:val="750553BF"/>
    <w:rsid w:val="751475CE"/>
    <w:rsid w:val="75183820"/>
    <w:rsid w:val="76493516"/>
    <w:rsid w:val="77386096"/>
    <w:rsid w:val="77566998"/>
    <w:rsid w:val="77752DDD"/>
    <w:rsid w:val="78122E83"/>
    <w:rsid w:val="789E2EC3"/>
    <w:rsid w:val="798A145C"/>
    <w:rsid w:val="7A6733DF"/>
    <w:rsid w:val="7AA17160"/>
    <w:rsid w:val="7BB77A35"/>
    <w:rsid w:val="7C861EEB"/>
    <w:rsid w:val="7D5801D8"/>
    <w:rsid w:val="7DA25A11"/>
    <w:rsid w:val="7DB10314"/>
    <w:rsid w:val="7DCD4497"/>
    <w:rsid w:val="7E2E70F6"/>
    <w:rsid w:val="7E3C689E"/>
    <w:rsid w:val="7E5D02F6"/>
    <w:rsid w:val="7F2226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line="578" w:lineRule="auto"/>
      <w:outlineLvl w:val="0"/>
    </w:pPr>
    <w:rPr>
      <w:b/>
      <w:bCs/>
      <w:kern w:val="44"/>
      <w:sz w:val="44"/>
      <w:szCs w:val="44"/>
    </w:rPr>
  </w:style>
  <w:style w:type="paragraph" w:styleId="5">
    <w:name w:val="heading 3"/>
    <w:basedOn w:val="1"/>
    <w:next w:val="1"/>
    <w:qFormat/>
    <w:uiPriority w:val="0"/>
    <w:pPr>
      <w:keepNext/>
      <w:keepLines/>
      <w:spacing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spacing w:beforeAutospacing="1"/>
      <w:ind w:firstLine="420" w:firstLineChars="100"/>
    </w:pPr>
  </w:style>
  <w:style w:type="paragraph" w:styleId="3">
    <w:name w:val="Body Text"/>
    <w:basedOn w:val="1"/>
    <w:qFormat/>
    <w:uiPriority w:val="1"/>
  </w:style>
  <w:style w:type="paragraph" w:styleId="6">
    <w:name w:val="Body Text 3"/>
    <w:basedOn w:val="1"/>
    <w:qFormat/>
    <w:uiPriority w:val="0"/>
    <w:pPr>
      <w:spacing w:after="120"/>
    </w:pPr>
    <w:rPr>
      <w:sz w:val="16"/>
      <w:szCs w:val="16"/>
    </w:rPr>
  </w:style>
  <w:style w:type="paragraph" w:styleId="7">
    <w:name w:val="Balloon Text"/>
    <w:basedOn w:val="1"/>
    <w:link w:val="25"/>
    <w:qFormat/>
    <w:uiPriority w:val="0"/>
    <w:rPr>
      <w:sz w:val="18"/>
      <w:szCs w:val="18"/>
    </w:r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Message Header"/>
    <w:basedOn w:val="1"/>
    <w:next w:val="1"/>
    <w:unhideWhenUsed/>
    <w:qFormat/>
    <w:uiPriority w:val="99"/>
    <w:pPr>
      <w:spacing w:before="100" w:beforeAutospacing="1" w:after="100" w:afterAutospacing="1"/>
      <w:ind w:left="1080" w:leftChars="500" w:hanging="1080" w:hangingChars="500"/>
    </w:pPr>
    <w:rPr>
      <w:rFonts w:ascii="Arial" w:hAnsi="Arial"/>
      <w:sz w:val="24"/>
      <w:szCs w:val="24"/>
    </w:r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4">
    <w:name w:val="page number"/>
    <w:basedOn w:val="13"/>
    <w:qFormat/>
    <w:uiPriority w:val="0"/>
  </w:style>
  <w:style w:type="character" w:styleId="15">
    <w:name w:val="FollowedHyperlink"/>
    <w:basedOn w:val="13"/>
    <w:qFormat/>
    <w:uiPriority w:val="0"/>
    <w:rPr>
      <w:color w:val="000000"/>
      <w:u w:val="none"/>
    </w:rPr>
  </w:style>
  <w:style w:type="character" w:styleId="16">
    <w:name w:val="Emphasis"/>
    <w:basedOn w:val="13"/>
    <w:qFormat/>
    <w:uiPriority w:val="0"/>
  </w:style>
  <w:style w:type="character" w:styleId="17">
    <w:name w:val="Hyperlink"/>
    <w:qFormat/>
    <w:uiPriority w:val="0"/>
    <w:rPr>
      <w:color w:val="000000"/>
      <w:u w:val="none"/>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9">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paragraph" w:customStyle="1" w:styleId="20">
    <w:name w:val="Heading #2|1"/>
    <w:basedOn w:val="1"/>
    <w:qFormat/>
    <w:uiPriority w:val="0"/>
    <w:pPr>
      <w:shd w:val="clear" w:color="auto" w:fill="FFFFFF"/>
      <w:spacing w:before="200" w:line="320" w:lineRule="exact"/>
      <w:jc w:val="center"/>
      <w:outlineLvl w:val="1"/>
    </w:pPr>
    <w:rPr>
      <w:rFonts w:ascii="PMingLiU" w:hAnsi="PMingLiU" w:eastAsia="PMingLiU" w:cs="PMingLiU"/>
      <w:sz w:val="32"/>
      <w:szCs w:val="32"/>
    </w:rPr>
  </w:style>
  <w:style w:type="paragraph" w:customStyle="1" w:styleId="21">
    <w:name w:val="Body text|2"/>
    <w:basedOn w:val="1"/>
    <w:link w:val="23"/>
    <w:qFormat/>
    <w:uiPriority w:val="0"/>
    <w:pPr>
      <w:shd w:val="clear" w:color="auto" w:fill="FFFFFF"/>
      <w:spacing w:after="1680" w:line="300" w:lineRule="exact"/>
      <w:jc w:val="center"/>
    </w:pPr>
    <w:rPr>
      <w:rFonts w:ascii="PMingLiU" w:hAnsi="PMingLiU" w:eastAsia="PMingLiU" w:cs="PMingLiU"/>
      <w:spacing w:val="20"/>
      <w:sz w:val="30"/>
      <w:szCs w:val="30"/>
    </w:rPr>
  </w:style>
  <w:style w:type="character" w:customStyle="1" w:styleId="22">
    <w:name w:val="Body text|2 + 9.5 pt"/>
    <w:basedOn w:val="23"/>
    <w:unhideWhenUsed/>
    <w:qFormat/>
    <w:uiPriority w:val="0"/>
    <w:rPr>
      <w:color w:val="000000"/>
      <w:spacing w:val="0"/>
      <w:w w:val="100"/>
      <w:position w:val="0"/>
      <w:sz w:val="19"/>
      <w:szCs w:val="19"/>
      <w:lang w:val="zh-CN" w:eastAsia="zh-CN" w:bidi="zh-CN"/>
    </w:rPr>
  </w:style>
  <w:style w:type="character" w:customStyle="1" w:styleId="23">
    <w:name w:val="Body text|2_"/>
    <w:basedOn w:val="13"/>
    <w:link w:val="21"/>
    <w:qFormat/>
    <w:uiPriority w:val="0"/>
    <w:rPr>
      <w:rFonts w:ascii="PMingLiU" w:hAnsi="PMingLiU" w:eastAsia="PMingLiU" w:cs="PMingLiU"/>
      <w:spacing w:val="20"/>
      <w:sz w:val="30"/>
      <w:szCs w:val="30"/>
      <w:u w:val="none"/>
    </w:rPr>
  </w:style>
  <w:style w:type="paragraph" w:customStyle="1" w:styleId="24">
    <w:name w:val="Body text|4"/>
    <w:basedOn w:val="1"/>
    <w:qFormat/>
    <w:uiPriority w:val="0"/>
    <w:pPr>
      <w:shd w:val="clear" w:color="auto" w:fill="FFFFFF"/>
      <w:spacing w:after="500" w:line="300" w:lineRule="exact"/>
      <w:ind w:hanging="180"/>
    </w:pPr>
    <w:rPr>
      <w:rFonts w:ascii="PMingLiU" w:hAnsi="PMingLiU" w:eastAsia="PMingLiU" w:cs="PMingLiU"/>
      <w:b/>
      <w:bCs/>
      <w:sz w:val="30"/>
      <w:szCs w:val="30"/>
    </w:rPr>
  </w:style>
  <w:style w:type="character" w:customStyle="1" w:styleId="25">
    <w:name w:val="批注框文本 Char"/>
    <w:basedOn w:val="13"/>
    <w:link w:val="7"/>
    <w:qFormat/>
    <w:uiPriority w:val="0"/>
    <w:rPr>
      <w:rFonts w:ascii="宋体" w:hAnsi="Calibri"/>
      <w:sz w:val="18"/>
      <w:szCs w:val="18"/>
    </w:rPr>
  </w:style>
  <w:style w:type="character" w:customStyle="1" w:styleId="26">
    <w:name w:val="red"/>
    <w:basedOn w:val="13"/>
    <w:qFormat/>
    <w:uiPriority w:val="0"/>
    <w:rPr>
      <w:color w:val="FF0000"/>
      <w:sz w:val="18"/>
      <w:szCs w:val="18"/>
    </w:rPr>
  </w:style>
  <w:style w:type="character" w:customStyle="1" w:styleId="27">
    <w:name w:val="red1"/>
    <w:basedOn w:val="13"/>
    <w:qFormat/>
    <w:uiPriority w:val="0"/>
    <w:rPr>
      <w:color w:val="FF0000"/>
      <w:sz w:val="18"/>
      <w:szCs w:val="18"/>
    </w:rPr>
  </w:style>
  <w:style w:type="character" w:customStyle="1" w:styleId="28">
    <w:name w:val="red2"/>
    <w:basedOn w:val="13"/>
    <w:qFormat/>
    <w:uiPriority w:val="0"/>
    <w:rPr>
      <w:color w:val="CC0000"/>
    </w:rPr>
  </w:style>
  <w:style w:type="character" w:customStyle="1" w:styleId="29">
    <w:name w:val="red3"/>
    <w:basedOn w:val="13"/>
    <w:qFormat/>
    <w:uiPriority w:val="0"/>
    <w:rPr>
      <w:color w:val="FF0000"/>
    </w:rPr>
  </w:style>
  <w:style w:type="character" w:customStyle="1" w:styleId="30">
    <w:name w:val="green"/>
    <w:basedOn w:val="13"/>
    <w:qFormat/>
    <w:uiPriority w:val="0"/>
    <w:rPr>
      <w:color w:val="66AE00"/>
      <w:sz w:val="18"/>
      <w:szCs w:val="18"/>
    </w:rPr>
  </w:style>
  <w:style w:type="character" w:customStyle="1" w:styleId="31">
    <w:name w:val="green1"/>
    <w:basedOn w:val="13"/>
    <w:qFormat/>
    <w:uiPriority w:val="0"/>
    <w:rPr>
      <w:color w:val="66AE00"/>
      <w:sz w:val="18"/>
      <w:szCs w:val="18"/>
    </w:rPr>
  </w:style>
  <w:style w:type="character" w:customStyle="1" w:styleId="32">
    <w:name w:val="hover25"/>
    <w:basedOn w:val="13"/>
    <w:qFormat/>
    <w:uiPriority w:val="0"/>
  </w:style>
  <w:style w:type="character" w:customStyle="1" w:styleId="33">
    <w:name w:val="gb-jt"/>
    <w:basedOn w:val="13"/>
    <w:qFormat/>
    <w:uiPriority w:val="0"/>
  </w:style>
  <w:style w:type="character" w:customStyle="1" w:styleId="34">
    <w:name w:val="blue"/>
    <w:basedOn w:val="13"/>
    <w:qFormat/>
    <w:uiPriority w:val="0"/>
    <w:rPr>
      <w:color w:val="0371C6"/>
      <w:sz w:val="21"/>
      <w:szCs w:val="21"/>
    </w:rPr>
  </w:style>
  <w:style w:type="character" w:customStyle="1" w:styleId="35">
    <w:name w:val="right"/>
    <w:basedOn w:val="13"/>
    <w:qFormat/>
    <w:uiPriority w:val="0"/>
    <w:rPr>
      <w:color w:val="999999"/>
      <w:sz w:val="18"/>
      <w:szCs w:val="18"/>
    </w:rPr>
  </w:style>
  <w:style w:type="character" w:customStyle="1" w:styleId="36">
    <w:name w:val="icon_xzry"/>
    <w:basedOn w:val="13"/>
    <w:uiPriority w:val="0"/>
  </w:style>
  <w:style w:type="character" w:customStyle="1" w:styleId="37">
    <w:name w:val="searchclose"/>
    <w:basedOn w:val="13"/>
    <w:uiPriority w:val="0"/>
  </w:style>
  <w:style w:type="character" w:customStyle="1" w:styleId="38">
    <w:name w:val="l_13"/>
    <w:basedOn w:val="13"/>
    <w:uiPriority w:val="0"/>
  </w:style>
  <w:style w:type="character" w:customStyle="1" w:styleId="39">
    <w:name w:val="swapimg"/>
    <w:basedOn w:val="13"/>
    <w:uiPriority w:val="0"/>
  </w:style>
  <w:style w:type="character" w:customStyle="1" w:styleId="40">
    <w:name w:val="icon_xglc"/>
    <w:basedOn w:val="13"/>
    <w:uiPriority w:val="0"/>
  </w:style>
  <w:style w:type="character" w:customStyle="1" w:styleId="41">
    <w:name w:val="focus2"/>
    <w:basedOn w:val="13"/>
    <w:uiPriority w:val="0"/>
    <w:rPr>
      <w:b/>
      <w:color w:val="000000"/>
    </w:rPr>
  </w:style>
  <w:style w:type="character" w:customStyle="1" w:styleId="42">
    <w:name w:val="searchopen"/>
    <w:basedOn w:val="13"/>
    <w:qFormat/>
    <w:uiPriority w:val="0"/>
  </w:style>
  <w:style w:type="character" w:customStyle="1" w:styleId="43">
    <w:name w:val="color_cdyy"/>
    <w:basedOn w:val="13"/>
    <w:qFormat/>
    <w:uiPriority w:val="0"/>
    <w:rPr>
      <w:color w:val="FFFFFF"/>
      <w:bdr w:val="single" w:color="FFFFFF" w:sz="6" w:space="0"/>
    </w:rPr>
  </w:style>
  <w:style w:type="character" w:customStyle="1" w:styleId="44">
    <w:name w:val="close"/>
    <w:basedOn w:val="13"/>
    <w:qFormat/>
    <w:uiPriority w:val="0"/>
  </w:style>
  <w:style w:type="character" w:customStyle="1" w:styleId="45">
    <w:name w:val="l_7"/>
    <w:basedOn w:val="13"/>
    <w:qFormat/>
    <w:uiPriority w:val="0"/>
  </w:style>
  <w:style w:type="character" w:customStyle="1" w:styleId="46">
    <w:name w:val="l_8"/>
    <w:basedOn w:val="13"/>
    <w:qFormat/>
    <w:uiPriority w:val="0"/>
  </w:style>
  <w:style w:type="character" w:customStyle="1" w:styleId="47">
    <w:name w:val="l_81"/>
    <w:basedOn w:val="13"/>
    <w:qFormat/>
    <w:uiPriority w:val="0"/>
  </w:style>
  <w:style w:type="character" w:customStyle="1" w:styleId="48">
    <w:name w:val="icon_cxktbr"/>
    <w:basedOn w:val="13"/>
    <w:qFormat/>
    <w:uiPriority w:val="0"/>
  </w:style>
  <w:style w:type="character" w:customStyle="1" w:styleId="49">
    <w:name w:val="l_4"/>
    <w:basedOn w:val="13"/>
    <w:qFormat/>
    <w:uiPriority w:val="0"/>
  </w:style>
  <w:style w:type="character" w:customStyle="1" w:styleId="50">
    <w:name w:val="l_41"/>
    <w:basedOn w:val="13"/>
    <w:qFormat/>
    <w:uiPriority w:val="0"/>
  </w:style>
  <w:style w:type="character" w:customStyle="1" w:styleId="51">
    <w:name w:val="l_14"/>
    <w:basedOn w:val="13"/>
    <w:qFormat/>
    <w:uiPriority w:val="0"/>
  </w:style>
  <w:style w:type="character" w:customStyle="1" w:styleId="52">
    <w:name w:val="icon_dljg"/>
    <w:basedOn w:val="13"/>
    <w:qFormat/>
    <w:uiPriority w:val="0"/>
  </w:style>
  <w:style w:type="character" w:customStyle="1" w:styleId="53">
    <w:name w:val="icon_cxkcyry"/>
    <w:basedOn w:val="13"/>
    <w:qFormat/>
    <w:uiPriority w:val="0"/>
  </w:style>
  <w:style w:type="character" w:customStyle="1" w:styleId="54">
    <w:name w:val="l_0"/>
    <w:basedOn w:val="13"/>
    <w:qFormat/>
    <w:uiPriority w:val="0"/>
  </w:style>
  <w:style w:type="character" w:customStyle="1" w:styleId="55">
    <w:name w:val="l_15"/>
    <w:basedOn w:val="13"/>
    <w:qFormat/>
    <w:uiPriority w:val="0"/>
  </w:style>
  <w:style w:type="character" w:customStyle="1" w:styleId="56">
    <w:name w:val="menutitle10"/>
    <w:basedOn w:val="13"/>
    <w:qFormat/>
    <w:uiPriority w:val="0"/>
    <w:rPr>
      <w:color w:val="333333"/>
      <w:sz w:val="24"/>
      <w:szCs w:val="24"/>
    </w:rPr>
  </w:style>
  <w:style w:type="character" w:customStyle="1" w:styleId="57">
    <w:name w:val="menutitle11"/>
    <w:basedOn w:val="13"/>
    <w:qFormat/>
    <w:uiPriority w:val="0"/>
    <w:rPr>
      <w:color w:val="333333"/>
      <w:sz w:val="24"/>
      <w:szCs w:val="24"/>
    </w:rPr>
  </w:style>
  <w:style w:type="character" w:customStyle="1" w:styleId="58">
    <w:name w:val="icon_lzrz"/>
    <w:basedOn w:val="13"/>
    <w:qFormat/>
    <w:uiPriority w:val="0"/>
  </w:style>
  <w:style w:type="character" w:customStyle="1" w:styleId="59">
    <w:name w:val="icon_gzkj"/>
    <w:basedOn w:val="13"/>
    <w:qFormat/>
    <w:uiPriority w:val="0"/>
  </w:style>
  <w:style w:type="character" w:customStyle="1" w:styleId="60">
    <w:name w:val="m-text"/>
    <w:basedOn w:val="13"/>
    <w:qFormat/>
    <w:uiPriority w:val="0"/>
  </w:style>
  <w:style w:type="character" w:customStyle="1" w:styleId="61">
    <w:name w:val="l_3"/>
    <w:basedOn w:val="13"/>
    <w:qFormat/>
    <w:uiPriority w:val="0"/>
  </w:style>
  <w:style w:type="character" w:customStyle="1" w:styleId="62">
    <w:name w:val="l_31"/>
    <w:basedOn w:val="13"/>
    <w:qFormat/>
    <w:uiPriority w:val="0"/>
  </w:style>
  <w:style w:type="character" w:customStyle="1" w:styleId="63">
    <w:name w:val="l_2"/>
    <w:basedOn w:val="13"/>
    <w:qFormat/>
    <w:uiPriority w:val="0"/>
  </w:style>
  <w:style w:type="character" w:customStyle="1" w:styleId="64">
    <w:name w:val="l_21"/>
    <w:basedOn w:val="13"/>
    <w:qFormat/>
    <w:uiPriority w:val="0"/>
  </w:style>
  <w:style w:type="character" w:customStyle="1" w:styleId="65">
    <w:name w:val="l_1"/>
    <w:basedOn w:val="13"/>
    <w:qFormat/>
    <w:uiPriority w:val="0"/>
  </w:style>
  <w:style w:type="character" w:customStyle="1" w:styleId="66">
    <w:name w:val="l_11"/>
    <w:basedOn w:val="13"/>
    <w:qFormat/>
    <w:uiPriority w:val="0"/>
  </w:style>
  <w:style w:type="character" w:customStyle="1" w:styleId="67">
    <w:name w:val="l_6"/>
    <w:basedOn w:val="13"/>
    <w:qFormat/>
    <w:uiPriority w:val="0"/>
  </w:style>
  <w:style w:type="character" w:customStyle="1" w:styleId="68">
    <w:name w:val="l_61"/>
    <w:basedOn w:val="13"/>
    <w:qFormat/>
    <w:uiPriority w:val="0"/>
  </w:style>
  <w:style w:type="character" w:customStyle="1" w:styleId="69">
    <w:name w:val="l_5"/>
    <w:basedOn w:val="13"/>
    <w:uiPriority w:val="0"/>
  </w:style>
  <w:style w:type="character" w:customStyle="1" w:styleId="70">
    <w:name w:val="l_51"/>
    <w:basedOn w:val="13"/>
    <w:uiPriority w:val="0"/>
  </w:style>
  <w:style w:type="character" w:customStyle="1" w:styleId="71">
    <w:name w:val="l_9"/>
    <w:basedOn w:val="13"/>
    <w:uiPriority w:val="0"/>
  </w:style>
  <w:style w:type="character" w:customStyle="1" w:styleId="72">
    <w:name w:val="l_91"/>
    <w:basedOn w:val="13"/>
    <w:uiPriority w:val="0"/>
  </w:style>
  <w:style w:type="character" w:customStyle="1" w:styleId="73">
    <w:name w:val="l_10"/>
    <w:basedOn w:val="13"/>
    <w:uiPriority w:val="0"/>
  </w:style>
  <w:style w:type="character" w:customStyle="1" w:styleId="74">
    <w:name w:val="l_101"/>
    <w:basedOn w:val="13"/>
    <w:uiPriority w:val="0"/>
  </w:style>
  <w:style w:type="character" w:customStyle="1" w:styleId="75">
    <w:name w:val="l_111"/>
    <w:basedOn w:val="13"/>
    <w:uiPriority w:val="0"/>
  </w:style>
  <w:style w:type="character" w:customStyle="1" w:styleId="76">
    <w:name w:val="l_112"/>
    <w:basedOn w:val="13"/>
    <w:uiPriority w:val="0"/>
  </w:style>
  <w:style w:type="character" w:customStyle="1" w:styleId="77">
    <w:name w:val="l_12"/>
    <w:basedOn w:val="13"/>
    <w:uiPriority w:val="0"/>
  </w:style>
  <w:style w:type="character" w:customStyle="1" w:styleId="78">
    <w:name w:val="l_121"/>
    <w:basedOn w:val="13"/>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76</Pages>
  <Words>41392</Words>
  <Characters>6027</Characters>
  <Lines>50</Lines>
  <Paragraphs>94</Paragraphs>
  <TotalTime>11</TotalTime>
  <ScaleCrop>false</ScaleCrop>
  <LinksUpToDate>false</LinksUpToDate>
  <CharactersWithSpaces>47325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2019-12-03T03:19:00Z</dcterms:created>
  <dc:creator>Administrator</dc:creator>
  <cp:lastModifiedBy>智远工程管理有限公司:高波</cp:lastModifiedBy>
  <cp:lastPrinted>2019-12-26T02:37:00Z</cp:lastPrinted>
  <dcterms:modified xsi:type="dcterms:W3CDTF">2019-12-26T03:16:46Z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