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w:b/>
          <w:bCs/>
          <w:kern w:val="0"/>
          <w:sz w:val="52"/>
          <w:szCs w:val="52"/>
        </w:rPr>
      </w:pPr>
    </w:p>
    <w:p>
      <w:pPr>
        <w:jc w:val="center"/>
        <w:rPr>
          <w:rFonts w:hint="default" w:asciiTheme="minorEastAsia" w:hAnsiTheme="minorEastAsia" w:eastAsiaTheme="minorEastAsia" w:cstheme="minorEastAsia"/>
          <w:b/>
          <w:bCs/>
          <w:kern w:val="0"/>
          <w:sz w:val="56"/>
          <w:szCs w:val="56"/>
          <w:lang w:val="en-US" w:eastAsia="zh-CN"/>
        </w:rPr>
      </w:pPr>
      <w:r>
        <w:rPr>
          <w:rFonts w:hint="eastAsia" w:asciiTheme="minorEastAsia" w:hAnsiTheme="minorEastAsia" w:eastAsiaTheme="minorEastAsia" w:cstheme="minorEastAsia"/>
          <w:b/>
          <w:bCs/>
          <w:kern w:val="0"/>
          <w:sz w:val="56"/>
          <w:szCs w:val="56"/>
        </w:rPr>
        <w:t>鄢陵县201</w:t>
      </w:r>
      <w:r>
        <w:rPr>
          <w:rFonts w:hint="eastAsia" w:asciiTheme="minorEastAsia" w:hAnsiTheme="minorEastAsia" w:eastAsiaTheme="minorEastAsia" w:cstheme="minorEastAsia"/>
          <w:b/>
          <w:bCs/>
          <w:kern w:val="0"/>
          <w:sz w:val="56"/>
          <w:szCs w:val="56"/>
          <w:lang w:val="en-US" w:eastAsia="zh-CN"/>
        </w:rPr>
        <w:t>9</w:t>
      </w:r>
      <w:r>
        <w:rPr>
          <w:rFonts w:hint="eastAsia" w:asciiTheme="minorEastAsia" w:hAnsiTheme="minorEastAsia" w:eastAsiaTheme="minorEastAsia" w:cstheme="minorEastAsia"/>
          <w:b/>
          <w:bCs/>
          <w:kern w:val="0"/>
          <w:sz w:val="56"/>
          <w:szCs w:val="56"/>
        </w:rPr>
        <w:t>年</w:t>
      </w:r>
      <w:r>
        <w:rPr>
          <w:rFonts w:hint="eastAsia" w:asciiTheme="minorEastAsia" w:hAnsiTheme="minorEastAsia" w:eastAsiaTheme="minorEastAsia" w:cstheme="minorEastAsia"/>
          <w:b/>
          <w:bCs/>
          <w:kern w:val="0"/>
          <w:sz w:val="56"/>
          <w:szCs w:val="56"/>
          <w:lang w:val="en-US" w:eastAsia="zh-CN"/>
        </w:rPr>
        <w:t>农田水利维修养护项目</w:t>
      </w:r>
    </w:p>
    <w:p>
      <w:pPr>
        <w:jc w:val="center"/>
        <w:rPr>
          <w:rFonts w:ascii="宋体" w:hAnsi="宋体"/>
          <w:b/>
          <w:bCs/>
          <w:sz w:val="32"/>
        </w:rPr>
      </w:pPr>
    </w:p>
    <w:p>
      <w:pPr>
        <w:jc w:val="center"/>
        <w:rPr>
          <w:rFonts w:ascii="宋体" w:hAnsi="宋体"/>
          <w:b/>
          <w:sz w:val="28"/>
          <w:szCs w:val="28"/>
        </w:rPr>
      </w:pPr>
      <w:r>
        <w:rPr>
          <w:rFonts w:hint="eastAsia" w:ascii="宋体" w:hAnsi="宋体"/>
          <w:b/>
          <w:bCs/>
          <w:sz w:val="72"/>
          <w:szCs w:val="72"/>
        </w:rPr>
        <w:t>招标文件</w:t>
      </w:r>
    </w:p>
    <w:p>
      <w:pPr>
        <w:ind w:firstLine="2811" w:firstLineChars="1000"/>
        <w:rPr>
          <w:rFonts w:hint="default" w:ascii="宋体" w:hAnsi="宋体" w:eastAsia="宋体"/>
          <w:bCs/>
          <w:sz w:val="28"/>
          <w:szCs w:val="28"/>
          <w:lang w:val="en-US" w:eastAsia="zh-CN"/>
        </w:rPr>
      </w:pPr>
      <w:r>
        <w:rPr>
          <w:rFonts w:hint="eastAsia" w:ascii="宋体" w:hAnsi="宋体"/>
          <w:b/>
          <w:bCs w:val="0"/>
          <w:sz w:val="28"/>
          <w:szCs w:val="28"/>
        </w:rPr>
        <w:t>招标编号：XCGC-</w:t>
      </w:r>
      <w:r>
        <w:rPr>
          <w:rFonts w:hint="eastAsia" w:ascii="宋体" w:hAnsi="宋体"/>
          <w:b/>
          <w:bCs w:val="0"/>
          <w:sz w:val="28"/>
          <w:szCs w:val="28"/>
          <w:lang w:val="en-US" w:eastAsia="zh-CN"/>
        </w:rPr>
        <w:t>S2019030</w:t>
      </w:r>
    </w:p>
    <w:p>
      <w:pPr>
        <w:pStyle w:val="2"/>
        <w:ind w:firstLine="361"/>
      </w:pPr>
      <w:r>
        <w:rPr>
          <w:rFonts w:hint="eastAsia" w:ascii="黑体" w:hAnsi="宋体" w:eastAsia="黑体"/>
          <w:b/>
          <w:bCs/>
          <w:sz w:val="36"/>
          <w:szCs w:val="36"/>
        </w:rPr>
        <w:drawing>
          <wp:anchor distT="0" distB="0" distL="114300" distR="114300" simplePos="0" relativeHeight="251660288" behindDoc="1" locked="0" layoutInCell="1" allowOverlap="1">
            <wp:simplePos x="0" y="0"/>
            <wp:positionH relativeFrom="column">
              <wp:posOffset>2197735</wp:posOffset>
            </wp:positionH>
            <wp:positionV relativeFrom="paragraph">
              <wp:posOffset>236855</wp:posOffset>
            </wp:positionV>
            <wp:extent cx="1879600" cy="3289300"/>
            <wp:effectExtent l="0" t="0" r="6350" b="6350"/>
            <wp:wrapNone/>
            <wp:docPr id="2" name="图片 4"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公司标志-清晰版1"/>
                    <pic:cNvPicPr>
                      <a:picLocks noChangeAspect="1"/>
                    </pic:cNvPicPr>
                  </pic:nvPicPr>
                  <pic:blipFill>
                    <a:blip r:embed="rId9"/>
                    <a:stretch>
                      <a:fillRect/>
                    </a:stretch>
                  </pic:blipFill>
                  <pic:spPr>
                    <a:xfrm>
                      <a:off x="0" y="0"/>
                      <a:ext cx="1879600" cy="3289300"/>
                    </a:xfrm>
                    <a:prstGeom prst="rect">
                      <a:avLst/>
                    </a:prstGeom>
                    <a:noFill/>
                    <a:ln w="9525">
                      <a:noFill/>
                    </a:ln>
                  </pic:spPr>
                </pic:pic>
              </a:graphicData>
            </a:graphic>
          </wp:anchor>
        </w:drawing>
      </w:r>
    </w:p>
    <w:p>
      <w:pPr>
        <w:pStyle w:val="2"/>
        <w:ind w:firstLine="210"/>
        <w:rPr>
          <w:rFonts w:eastAsia="仿宋"/>
        </w:rPr>
      </w:pPr>
    </w:p>
    <w:p>
      <w:pPr>
        <w:tabs>
          <w:tab w:val="left" w:pos="2850"/>
        </w:tabs>
        <w:spacing w:line="580" w:lineRule="exact"/>
        <w:ind w:firstLine="1110" w:firstLineChars="395"/>
        <w:jc w:val="left"/>
        <w:rPr>
          <w:rFonts w:ascii="宋体" w:hAnsi="宋体"/>
          <w:b/>
          <w:bCs/>
          <w:sz w:val="28"/>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tabs>
          <w:tab w:val="left" w:pos="2850"/>
        </w:tabs>
        <w:spacing w:line="580" w:lineRule="exact"/>
        <w:ind w:firstLine="1110" w:firstLineChars="395"/>
        <w:jc w:val="left"/>
        <w:rPr>
          <w:rFonts w:ascii="宋体" w:hAnsi="宋体"/>
          <w:b/>
          <w:bCs/>
          <w:sz w:val="28"/>
        </w:rPr>
      </w:pPr>
    </w:p>
    <w:p/>
    <w:p>
      <w:pPr>
        <w:tabs>
          <w:tab w:val="left" w:pos="2850"/>
        </w:tabs>
        <w:spacing w:line="580" w:lineRule="exact"/>
        <w:ind w:firstLine="1110" w:firstLineChars="395"/>
        <w:jc w:val="left"/>
        <w:rPr>
          <w:rFonts w:ascii="宋体" w:hAnsi="宋体"/>
          <w:b/>
          <w:bCs/>
          <w:sz w:val="28"/>
        </w:rPr>
      </w:pPr>
    </w:p>
    <w:p>
      <w:pPr>
        <w:spacing w:line="580" w:lineRule="exact"/>
        <w:ind w:firstLine="1285" w:firstLineChars="400"/>
        <w:rPr>
          <w:rFonts w:ascii="宋体" w:hAnsi="宋体"/>
          <w:b/>
          <w:bCs/>
          <w:sz w:val="32"/>
          <w:szCs w:val="32"/>
        </w:rPr>
      </w:pPr>
      <w:r>
        <w:rPr>
          <w:rFonts w:hint="eastAsia" w:ascii="宋体" w:hAnsi="宋体"/>
          <w:b/>
          <w:bCs/>
          <w:sz w:val="32"/>
          <w:szCs w:val="32"/>
        </w:rPr>
        <w:t>招 标 人：鄢陵县农田水利工程建设管理局</w:t>
      </w:r>
    </w:p>
    <w:p>
      <w:pPr>
        <w:spacing w:line="580" w:lineRule="exact"/>
        <w:ind w:firstLine="1285" w:firstLineChars="400"/>
        <w:rPr>
          <w:rFonts w:hint="eastAsia" w:eastAsia="宋体"/>
          <w:lang w:eastAsia="zh-CN"/>
        </w:rPr>
      </w:pPr>
      <w:r>
        <w:rPr>
          <w:rFonts w:hint="eastAsia" w:ascii="宋体" w:hAnsi="宋体"/>
          <w:b/>
          <w:bCs/>
          <w:sz w:val="32"/>
          <w:szCs w:val="32"/>
        </w:rPr>
        <w:t>代理机构：</w:t>
      </w:r>
      <w:r>
        <w:rPr>
          <w:rFonts w:hint="eastAsia" w:ascii="宋体" w:hAnsi="宋体"/>
          <w:b/>
          <w:bCs/>
          <w:sz w:val="32"/>
          <w:szCs w:val="32"/>
          <w:lang w:eastAsia="zh-CN"/>
        </w:rPr>
        <w:t>中建山河建设管理集团有限公司</w:t>
      </w:r>
    </w:p>
    <w:p>
      <w:pPr>
        <w:spacing w:line="580" w:lineRule="exact"/>
        <w:jc w:val="center"/>
        <w:rPr>
          <w:rFonts w:ascii="宋体" w:hAnsi="宋体"/>
          <w:b/>
          <w:bCs/>
          <w:sz w:val="32"/>
          <w:szCs w:val="32"/>
        </w:rPr>
      </w:pPr>
    </w:p>
    <w:p>
      <w:pPr>
        <w:spacing w:line="580" w:lineRule="exact"/>
        <w:jc w:val="center"/>
        <w:rPr>
          <w:b/>
          <w:spacing w:val="36"/>
          <w:sz w:val="32"/>
          <w:szCs w:val="32"/>
        </w:rPr>
      </w:pPr>
      <w:r>
        <w:rPr>
          <w:rFonts w:hint="eastAsia" w:ascii="宋体" w:hAnsi="宋体"/>
          <w:b/>
          <w:bCs/>
          <w:sz w:val="32"/>
          <w:szCs w:val="32"/>
        </w:rPr>
        <w:t>201</w:t>
      </w:r>
      <w:r>
        <w:rPr>
          <w:rFonts w:hint="eastAsia" w:ascii="宋体" w:hAnsi="宋体"/>
          <w:b/>
          <w:bCs/>
          <w:sz w:val="32"/>
          <w:szCs w:val="32"/>
          <w:lang w:val="en-US" w:eastAsia="zh-CN"/>
        </w:rPr>
        <w:t>9</w:t>
      </w:r>
      <w:r>
        <w:rPr>
          <w:rFonts w:hint="eastAsia" w:ascii="宋体" w:hAnsi="宋体"/>
          <w:b/>
          <w:bCs/>
          <w:sz w:val="32"/>
          <w:szCs w:val="32"/>
        </w:rPr>
        <w:t>年12月</w:t>
      </w:r>
    </w:p>
    <w:p>
      <w:pPr>
        <w:spacing w:line="312" w:lineRule="auto"/>
        <w:jc w:val="center"/>
        <w:rPr>
          <w:rFonts w:ascii="宋体" w:hAnsi="宋体" w:cs="宋体"/>
          <w:b/>
          <w:sz w:val="30"/>
          <w:szCs w:val="30"/>
        </w:rPr>
      </w:pPr>
    </w:p>
    <w:p>
      <w:pPr>
        <w:spacing w:line="312" w:lineRule="auto"/>
        <w:jc w:val="center"/>
        <w:rPr>
          <w:rFonts w:ascii="宋体" w:hAnsi="宋体" w:cs="宋体"/>
          <w:b/>
          <w:sz w:val="30"/>
          <w:szCs w:val="30"/>
        </w:rPr>
        <w:sectPr>
          <w:headerReference r:id="rId3" w:type="default"/>
          <w:footerReference r:id="rId4" w:type="default"/>
          <w:footerReference r:id="rId5" w:type="even"/>
          <w:pgSz w:w="11906" w:h="16838"/>
          <w:pgMar w:top="1247" w:right="1191" w:bottom="1247" w:left="1191" w:header="851" w:footer="992" w:gutter="0"/>
          <w:pgNumType w:start="1"/>
          <w:cols w:space="720" w:num="1"/>
          <w:titlePg/>
          <w:docGrid w:type="lines" w:linePitch="312" w:charSpace="0"/>
        </w:sectPr>
      </w:pPr>
    </w:p>
    <w:p>
      <w:pPr>
        <w:jc w:val="cente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ascii="宋体" w:hAnsi="宋体"/>
          <w:b/>
          <w:sz w:val="32"/>
        </w:rPr>
      </w:pPr>
    </w:p>
    <w:p>
      <w:pPr>
        <w:tabs>
          <w:tab w:val="left" w:leader="hyphen" w:pos="7919"/>
        </w:tabs>
        <w:snapToGrid w:val="0"/>
        <w:spacing w:line="480" w:lineRule="auto"/>
        <w:ind w:firstLine="548" w:firstLineChars="196"/>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32"/>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图纸</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ascii="黑体" w:hAnsi="宋体" w:eastAsia="黑体"/>
          <w:b/>
          <w:sz w:val="28"/>
        </w:rPr>
        <w:tab/>
      </w:r>
    </w:p>
    <w:p>
      <w:pPr>
        <w:spacing w:line="312" w:lineRule="auto"/>
      </w:pPr>
    </w:p>
    <w:p>
      <w:pPr>
        <w:widowControl/>
        <w:jc w:val="left"/>
      </w:pPr>
      <w:r>
        <w:br w:type="page"/>
      </w:r>
    </w:p>
    <w:p>
      <w:pPr>
        <w:pStyle w:val="14"/>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13242"/>
      <w:bookmarkStart w:id="1" w:name="_Toc405406287"/>
      <w:r>
        <w:rPr>
          <w:rFonts w:hint="eastAsia" w:ascii="宋体" w:hAnsi="宋体" w:cs="宋体"/>
          <w:b/>
          <w:sz w:val="36"/>
          <w:szCs w:val="36"/>
        </w:rPr>
        <w:t>招 标 公 告</w:t>
      </w:r>
      <w:bookmarkEnd w:id="0"/>
      <w:bookmarkEnd w:id="1"/>
    </w:p>
    <w:p>
      <w:pPr>
        <w:spacing w:line="500" w:lineRule="exact"/>
        <w:ind w:firstLine="320" w:firstLineChars="100"/>
        <w:jc w:val="center"/>
        <w:rPr>
          <w:rFonts w:ascii="宋体" w:hAnsi="宋体"/>
          <w:b/>
          <w:bCs/>
          <w:sz w:val="32"/>
          <w:szCs w:val="32"/>
        </w:rPr>
      </w:pPr>
      <w:r>
        <w:rPr>
          <w:rFonts w:hint="eastAsia" w:ascii="宋体" w:hAnsi="宋体"/>
          <w:b/>
          <w:bCs/>
          <w:sz w:val="32"/>
          <w:szCs w:val="32"/>
        </w:rPr>
        <w:t>XCGC-S201</w:t>
      </w:r>
      <w:r>
        <w:rPr>
          <w:rFonts w:hint="eastAsia" w:ascii="宋体" w:hAnsi="宋体"/>
          <w:b/>
          <w:bCs/>
          <w:sz w:val="32"/>
          <w:szCs w:val="32"/>
          <w:lang w:val="en-US" w:eastAsia="zh-CN"/>
        </w:rPr>
        <w:t>9030</w:t>
      </w:r>
      <w:r>
        <w:rPr>
          <w:rFonts w:hint="eastAsia" w:ascii="宋体" w:hAnsi="宋体"/>
          <w:b/>
          <w:bCs/>
          <w:sz w:val="32"/>
          <w:szCs w:val="32"/>
        </w:rPr>
        <w:t>鄢陵县农田水利工程建设管理局“</w:t>
      </w:r>
      <w:r>
        <w:rPr>
          <w:rFonts w:hint="eastAsia" w:ascii="宋体" w:hAnsi="宋体"/>
          <w:b/>
          <w:bCs/>
          <w:sz w:val="32"/>
          <w:szCs w:val="32"/>
          <w:lang w:eastAsia="zh-CN"/>
        </w:rPr>
        <w:t>鄢陵县2019年农田水利维修养护项目</w:t>
      </w:r>
      <w:r>
        <w:rPr>
          <w:rFonts w:hint="eastAsia" w:ascii="宋体" w:hAnsi="宋体"/>
          <w:b/>
          <w:bCs/>
          <w:sz w:val="32"/>
          <w:szCs w:val="32"/>
        </w:rPr>
        <w:t>”招标公告</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1.招标条件</w:t>
      </w:r>
    </w:p>
    <w:p>
      <w:pPr>
        <w:spacing w:line="360" w:lineRule="auto"/>
        <w:ind w:firstLine="480" w:firstLineChars="200"/>
        <w:rPr>
          <w:rFonts w:asciiTheme="minorEastAsia" w:hAnsiTheme="minorEastAsia" w:eastAsiaTheme="minorEastAsia"/>
          <w:sz w:val="24"/>
          <w:highlight w:val="yellow"/>
        </w:rPr>
      </w:pPr>
      <w:r>
        <w:rPr>
          <w:rFonts w:hint="eastAsia" w:asciiTheme="minorEastAsia" w:hAnsiTheme="minorEastAsia" w:eastAsiaTheme="minorEastAsia"/>
          <w:sz w:val="24"/>
          <w:lang w:eastAsia="zh-CN"/>
        </w:rPr>
        <w:t>鄢陵县2019年农田水利维修养护项目</w:t>
      </w:r>
      <w:r>
        <w:rPr>
          <w:rFonts w:hint="eastAsia" w:asciiTheme="minorEastAsia" w:hAnsiTheme="minorEastAsia" w:eastAsiaTheme="minorEastAsia"/>
          <w:sz w:val="24"/>
        </w:rPr>
        <w:t>，已由</w:t>
      </w:r>
      <w:r>
        <w:rPr>
          <w:rFonts w:hint="eastAsia" w:asciiTheme="minorEastAsia" w:hAnsiTheme="minorEastAsia" w:eastAsiaTheme="minorEastAsia"/>
          <w:sz w:val="24"/>
          <w:lang w:val="en-US" w:eastAsia="zh-CN"/>
        </w:rPr>
        <w:t>鄢陵县水利局</w:t>
      </w:r>
      <w:r>
        <w:rPr>
          <w:rFonts w:hint="eastAsia" w:asciiTheme="minorEastAsia" w:hAnsiTheme="minorEastAsia" w:eastAsiaTheme="minorEastAsia"/>
          <w:sz w:val="24"/>
        </w:rPr>
        <w:t>以</w:t>
      </w:r>
      <w:r>
        <w:rPr>
          <w:rFonts w:hint="eastAsia" w:asciiTheme="minorEastAsia" w:hAnsiTheme="minorEastAsia" w:eastAsiaTheme="minorEastAsia"/>
          <w:sz w:val="24"/>
          <w:lang w:val="en-US" w:eastAsia="zh-CN"/>
        </w:rPr>
        <w:t>鄢水</w:t>
      </w:r>
      <w:r>
        <w:rPr>
          <w:rFonts w:hint="eastAsia" w:asciiTheme="minorEastAsia" w:hAnsiTheme="minorEastAsia" w:eastAsiaTheme="minorEastAsia"/>
          <w:sz w:val="24"/>
        </w:rPr>
        <w:t>【201</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99</w:t>
      </w:r>
      <w:r>
        <w:rPr>
          <w:rFonts w:hint="eastAsia" w:asciiTheme="minorEastAsia" w:hAnsiTheme="minorEastAsia" w:eastAsiaTheme="minorEastAsia"/>
          <w:sz w:val="24"/>
        </w:rPr>
        <w:t>号批准建设，招标人为鄢陵县农田水利工程建设管理局，建设资金来源为财政资金，出资比例100%。招标代理机构为</w:t>
      </w:r>
      <w:r>
        <w:rPr>
          <w:rFonts w:hint="eastAsia" w:asciiTheme="minorEastAsia" w:hAnsiTheme="minorEastAsia" w:eastAsiaTheme="minorEastAsia"/>
          <w:sz w:val="24"/>
          <w:lang w:eastAsia="zh-CN"/>
        </w:rPr>
        <w:t>中建山河建设管理集团有限公司</w:t>
      </w:r>
      <w:r>
        <w:rPr>
          <w:rFonts w:hint="eastAsia" w:asciiTheme="minorEastAsia" w:hAnsiTheme="minorEastAsia" w:eastAsiaTheme="minorEastAsia"/>
          <w:sz w:val="24"/>
        </w:rPr>
        <w:t>。项目已具备招标条件，现对该项目进行公开招标。</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2.项目概况与招标范围</w:t>
      </w:r>
    </w:p>
    <w:p>
      <w:pPr>
        <w:spacing w:line="360" w:lineRule="auto"/>
        <w:ind w:firstLine="720" w:firstLineChars="300"/>
        <w:rPr>
          <w:rFonts w:hint="default" w:asciiTheme="minorEastAsia" w:hAnsiTheme="minorEastAsia" w:eastAsiaTheme="minorEastAsia"/>
          <w:sz w:val="24"/>
          <w:highlight w:val="yellow"/>
          <w:lang w:val="en-US" w:eastAsia="zh-CN"/>
        </w:rPr>
      </w:pPr>
      <w:r>
        <w:rPr>
          <w:rFonts w:hint="eastAsia" w:asciiTheme="minorEastAsia" w:hAnsiTheme="minorEastAsia" w:eastAsiaTheme="minorEastAsia"/>
          <w:sz w:val="24"/>
        </w:rPr>
        <w:t>2.1项目编号：XCGC-S201</w:t>
      </w:r>
      <w:r>
        <w:rPr>
          <w:rFonts w:hint="eastAsia" w:asciiTheme="minorEastAsia" w:hAnsiTheme="minorEastAsia" w:eastAsiaTheme="minorEastAsia"/>
          <w:sz w:val="24"/>
          <w:lang w:val="en-US" w:eastAsia="zh-CN"/>
        </w:rPr>
        <w:t xml:space="preserve">9030  </w:t>
      </w:r>
    </w:p>
    <w:p>
      <w:pPr>
        <w:spacing w:line="360" w:lineRule="auto"/>
        <w:ind w:left="210" w:leftChars="100"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2.2项目概况：</w:t>
      </w:r>
      <w:r>
        <w:rPr>
          <w:rFonts w:hint="eastAsia" w:asciiTheme="minorEastAsia" w:hAnsiTheme="minorEastAsia" w:eastAsiaTheme="minorEastAsia"/>
          <w:sz w:val="24"/>
          <w:lang w:val="en-US" w:eastAsia="zh-CN"/>
        </w:rPr>
        <w:t>该项目为</w:t>
      </w:r>
      <w:r>
        <w:rPr>
          <w:rFonts w:hint="eastAsia" w:asciiTheme="minorEastAsia" w:hAnsiTheme="minorEastAsia" w:eastAsiaTheme="minorEastAsia"/>
          <w:sz w:val="24"/>
          <w:lang w:eastAsia="zh-CN"/>
        </w:rPr>
        <w:t>鄢陵县2019年农田水利维修养护项目，</w:t>
      </w:r>
      <w:r>
        <w:rPr>
          <w:rFonts w:hint="eastAsia" w:asciiTheme="minorEastAsia" w:hAnsiTheme="minorEastAsia" w:eastAsiaTheme="minorEastAsia"/>
          <w:sz w:val="24"/>
          <w:lang w:val="en-US" w:eastAsia="zh-CN"/>
        </w:rPr>
        <w:t>包含南坞镇、陶城镇、张桥镇、马栏镇、马坊镇、望田镇、彭店镇、柏梁镇等8个乡镇</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主要建设内容为更新机井76眼，井深40米，疏浚渠道300米，埋设涵管90米，新建节制闸1座，重建生产桥1座。</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2.3招标范围：招标文件、工程量清单、</w:t>
      </w:r>
      <w:r>
        <w:rPr>
          <w:rFonts w:hint="eastAsia" w:asciiTheme="minorEastAsia" w:hAnsiTheme="minorEastAsia" w:eastAsiaTheme="minorEastAsia"/>
          <w:sz w:val="24"/>
          <w:lang w:val="en-US" w:eastAsia="zh-CN"/>
        </w:rPr>
        <w:t>施工图纸、</w:t>
      </w:r>
      <w:r>
        <w:rPr>
          <w:rFonts w:hint="eastAsia" w:asciiTheme="minorEastAsia" w:hAnsiTheme="minorEastAsia" w:eastAsiaTheme="minorEastAsia"/>
          <w:sz w:val="24"/>
        </w:rPr>
        <w:t>设计变更（如有）及答疑纪要（如有）范围内的所有工程内容。</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2.4标段划分：本项目共划分为一个标段。</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2.5施工工期: 60日历天。</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2.6质量要求：合格。</w:t>
      </w:r>
    </w:p>
    <w:p>
      <w:pPr>
        <w:spacing w:line="360" w:lineRule="auto"/>
        <w:ind w:firstLine="720" w:firstLineChars="300"/>
        <w:jc w:val="left"/>
        <w:outlineLvl w:val="0"/>
        <w:rPr>
          <w:rFonts w:asciiTheme="minorEastAsia" w:hAnsiTheme="minorEastAsia" w:eastAsiaTheme="minorEastAsia"/>
          <w:b/>
          <w:bCs/>
          <w:sz w:val="24"/>
        </w:rPr>
      </w:pPr>
      <w:r>
        <w:rPr>
          <w:rFonts w:hint="eastAsia" w:asciiTheme="minorEastAsia" w:hAnsiTheme="minorEastAsia" w:eastAsiaTheme="minorEastAsia"/>
          <w:sz w:val="24"/>
        </w:rPr>
        <w:t>2.7招标控制价：</w:t>
      </w:r>
      <w:r>
        <w:rPr>
          <w:rFonts w:hint="eastAsia" w:asciiTheme="minorEastAsia" w:hAnsiTheme="minorEastAsia" w:eastAsiaTheme="minorEastAsia"/>
          <w:sz w:val="24"/>
          <w:lang w:val="en-US" w:eastAsia="zh-CN"/>
        </w:rPr>
        <w:t>987969.04元</w:t>
      </w:r>
      <w:r>
        <w:rPr>
          <w:rFonts w:hint="eastAsia" w:asciiTheme="minorEastAsia" w:hAnsiTheme="minorEastAsia" w:eastAsiaTheme="minorEastAsia"/>
          <w:sz w:val="24"/>
        </w:rPr>
        <w:t>。</w:t>
      </w:r>
    </w:p>
    <w:p>
      <w:pPr>
        <w:numPr>
          <w:ilvl w:val="0"/>
          <w:numId w:val="2"/>
        </w:numPr>
        <w:spacing w:line="360" w:lineRule="auto"/>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投标人资格要求</w:t>
      </w:r>
    </w:p>
    <w:p>
      <w:pPr>
        <w:tabs>
          <w:tab w:val="left" w:pos="4860"/>
        </w:tabs>
        <w:spacing w:line="288" w:lineRule="auto"/>
        <w:ind w:firstLine="480" w:firstLineChars="200"/>
        <w:jc w:val="left"/>
        <w:rPr>
          <w:rFonts w:hint="eastAsia" w:ascii="宋体" w:hAnsi="宋体" w:eastAsia="宋体" w:cs="宋体"/>
          <w:sz w:val="24"/>
          <w:lang w:eastAsia="zh-CN"/>
        </w:rPr>
      </w:pPr>
      <w:r>
        <w:rPr>
          <w:rFonts w:hint="eastAsia" w:ascii="宋体" w:hAnsi="宋体" w:cs="宋体"/>
          <w:bCs/>
          <w:kern w:val="11"/>
          <w:sz w:val="24"/>
        </w:rPr>
        <w:t>3.1</w:t>
      </w:r>
      <w:r>
        <w:rPr>
          <w:rFonts w:hint="eastAsia" w:ascii="宋体" w:hAnsi="宋体"/>
          <w:sz w:val="24"/>
        </w:rPr>
        <w:t>投标人均须具有独立法人资格</w:t>
      </w:r>
      <w:r>
        <w:rPr>
          <w:rFonts w:hint="eastAsia" w:ascii="宋体" w:hAnsi="宋体"/>
          <w:sz w:val="24"/>
          <w:lang w:eastAsia="zh-CN"/>
        </w:rPr>
        <w:t>。</w:t>
      </w:r>
    </w:p>
    <w:p>
      <w:pPr>
        <w:widowControl/>
        <w:spacing w:line="360" w:lineRule="auto"/>
        <w:ind w:firstLine="480" w:firstLineChars="200"/>
        <w:jc w:val="left"/>
        <w:rPr>
          <w:rFonts w:ascii="宋体" w:hAnsi="宋体"/>
          <w:sz w:val="24"/>
        </w:rPr>
      </w:pPr>
      <w:r>
        <w:rPr>
          <w:rFonts w:hint="eastAsia" w:ascii="宋体" w:hAnsi="宋体"/>
          <w:sz w:val="24"/>
        </w:rPr>
        <w:t>3.2投标人均须具有水利水电工程施工总承包叁级以上（含叁级）资质，且具有有效的安全生产许可证；拟派项目经理须具备水利水电工程专业二级以上（含二级）注册建造师执业资格，且不得担任其它在建工程的项目经理，技术负责人具有相关专业中级及以上技术职称。</w:t>
      </w:r>
    </w:p>
    <w:p>
      <w:pPr>
        <w:widowControl/>
        <w:spacing w:line="360" w:lineRule="auto"/>
        <w:ind w:firstLine="480" w:firstLineChars="200"/>
        <w:jc w:val="left"/>
        <w:rPr>
          <w:rFonts w:hint="eastAsia" w:ascii="宋体" w:hAnsi="宋体"/>
          <w:sz w:val="24"/>
        </w:rPr>
      </w:pPr>
      <w:r>
        <w:rPr>
          <w:rFonts w:hint="eastAsia" w:ascii="宋体" w:hAnsi="宋体"/>
          <w:sz w:val="24"/>
        </w:rPr>
        <w:t>3.3企业主要负责人、项目经理及专职安全员应取得水行政主管部门核发的安全生产考核合格证。</w:t>
      </w:r>
    </w:p>
    <w:p>
      <w:pPr>
        <w:widowControl/>
        <w:spacing w:line="360" w:lineRule="auto"/>
        <w:ind w:firstLine="480" w:firstLineChars="200"/>
        <w:jc w:val="left"/>
        <w:rPr>
          <w:rFonts w:hint="default" w:ascii="Times New Roman" w:hAnsi="Times New Roman" w:cs="Times New Roman" w:eastAsiaTheme="minorEastAsia"/>
          <w:sz w:val="24"/>
        </w:rPr>
      </w:pPr>
      <w:r>
        <w:rPr>
          <w:rFonts w:hint="eastAsia" w:asciiTheme="minorEastAsia" w:hAnsiTheme="minorEastAsia" w:eastAsiaTheme="minorEastAsia"/>
          <w:sz w:val="24"/>
        </w:rPr>
        <w:t xml:space="preserve">3.4 </w:t>
      </w:r>
      <w:r>
        <w:rPr>
          <w:rFonts w:hint="default" w:ascii="Times New Roman" w:hAnsi="Times New Roman" w:cs="Times New Roman" w:eastAsiaTheme="minorEastAsia"/>
          <w:sz w:val="24"/>
        </w:rPr>
        <w:t>投标人</w:t>
      </w:r>
      <w:r>
        <w:rPr>
          <w:rFonts w:hint="default" w:ascii="Times New Roman" w:hAnsi="Times New Roman" w:cs="Times New Roman" w:eastAsiaTheme="minorEastAsia"/>
          <w:sz w:val="24"/>
          <w:lang w:val="en-US" w:eastAsia="zh-CN"/>
        </w:rPr>
        <w:t>未</w:t>
      </w:r>
      <w:r>
        <w:rPr>
          <w:rFonts w:hint="default" w:ascii="Times New Roman" w:hAnsi="Times New Roman" w:cs="Times New Roman" w:eastAsiaTheme="minorEastAsia"/>
          <w:sz w:val="24"/>
        </w:rPr>
        <w:t>被“信用中国”（https://www.creditchina.gov.cn/）</w:t>
      </w:r>
      <w:r>
        <w:rPr>
          <w:rFonts w:hint="default" w:ascii="Times New Roman" w:hAnsi="Times New Roman" w:cs="Times New Roman" w:eastAsiaTheme="minorEastAsia"/>
          <w:sz w:val="24"/>
          <w:lang w:val="en-US" w:eastAsia="zh-CN"/>
        </w:rPr>
        <w:t>列入失信被执行人、重大税收违法案件当事人名单，未被</w:t>
      </w:r>
      <w:r>
        <w:rPr>
          <w:rFonts w:hint="default" w:ascii="Times New Roman" w:hAnsi="Times New Roman" w:cs="Times New Roman" w:eastAsiaTheme="minorEastAsia"/>
          <w:sz w:val="24"/>
        </w:rPr>
        <w:t>“信用河南”（http://www.xyhn.gov.cn/）网站信用信息栏列入黑名单，</w:t>
      </w:r>
      <w:r>
        <w:rPr>
          <w:rFonts w:hint="default" w:ascii="Times New Roman" w:hAnsi="Times New Roman" w:cs="Times New Roman" w:eastAsiaTheme="minorEastAsia"/>
          <w:sz w:val="24"/>
          <w:lang w:val="en-US" w:eastAsia="zh-CN"/>
        </w:rPr>
        <w:t>未</w:t>
      </w:r>
      <w:r>
        <w:rPr>
          <w:rFonts w:hint="default" w:ascii="Times New Roman" w:hAnsi="Times New Roman" w:cs="Times New Roman" w:eastAsiaTheme="minorEastAsia"/>
          <w:sz w:val="24"/>
        </w:rPr>
        <w:t>被“国家企业信用信息公示系统”（http://www.gsxt.gov.cn/index.html）列入经营异常名录或严重失信黑名单，不能被“中国执行信息公开网”（http://zxgk.court.gov.cn/）列入失信被执行人名单，不能被“中国政府采购网”（http://www.ccgp.gov.cn/search/cr/）列为政府采购严重违法失信行为记录名单，不能被国家税务总局网站（http://hd.chinatax.gov.cn/xxk/）列入重大税收违法案件信息公布栏。（招标人、代理机构或评标专家委员会评标现场查询）。信用信息查询记录和证据留存具体方式：经评标专家委员会确认的查询结果网页截图作为查询记录和证据，与其他文件一并保存。</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投标人应提供近3年是否有行贿犯罪记录的情况说明。如提供虚假情况说明的，招标人将取消投标人的投标资格或中标资格。如存在行贿犯罪记录情况的，按不良行为处理。</w:t>
      </w:r>
    </w:p>
    <w:p>
      <w:pPr>
        <w:spacing w:line="360" w:lineRule="auto"/>
        <w:ind w:left="210" w:leftChars="10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3.6投标企业需在全国水利建设市场监管服务平台信息公开（以网上公示为准），拟派项目经理、委托代理人均在全国水利建设市场监管服务平台信用信息公开，且报名后企业被委托人不得更换，企业所有拟派人员必须为本单位在职人员且在全国水利建设市场监管服务平台进行信用信息公示，开标时被委托人到场参加开标会议。 </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3.7资格审查：本次招标实行资格后审。</w:t>
      </w:r>
    </w:p>
    <w:p>
      <w:pPr>
        <w:spacing w:line="360" w:lineRule="auto"/>
        <w:outlineLvl w:val="0"/>
        <w:rPr>
          <w:rFonts w:ascii="宋体" w:hAnsi="宋体" w:cs="宋体"/>
          <w:b/>
          <w:sz w:val="24"/>
        </w:rPr>
      </w:pPr>
      <w:r>
        <w:rPr>
          <w:rFonts w:hint="eastAsia" w:ascii="宋体" w:hAnsi="宋体" w:cs="宋体"/>
          <w:b/>
          <w:sz w:val="24"/>
        </w:rPr>
        <w:t>4、投标报名时间及方式</w:t>
      </w:r>
    </w:p>
    <w:p>
      <w:pPr>
        <w:pStyle w:val="2"/>
        <w:spacing w:line="360" w:lineRule="auto"/>
        <w:ind w:left="-417" w:leftChars="-199" w:firstLine="698" w:firstLineChars="291"/>
        <w:jc w:val="left"/>
        <w:rPr>
          <w:rFonts w:hint="default" w:ascii="Times New Roman" w:hAnsi="Times New Roman" w:cs="Times New Roman"/>
          <w:sz w:val="24"/>
        </w:rPr>
      </w:pPr>
      <w:r>
        <w:rPr>
          <w:rFonts w:hint="default" w:ascii="Times New Roman" w:hAnsi="Times New Roman" w:cs="Times New Roman"/>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
        <w:keepNext w:val="0"/>
        <w:keepLines w:val="0"/>
        <w:pageBreakBefore w:val="0"/>
        <w:widowControl w:val="0"/>
        <w:kinsoku/>
        <w:wordWrap/>
        <w:overflowPunct/>
        <w:topLinePunct w:val="0"/>
        <w:autoSpaceDE/>
        <w:autoSpaceDN/>
        <w:bidi w:val="0"/>
        <w:adjustRightInd/>
        <w:snapToGrid/>
        <w:spacing w:after="0" w:line="360" w:lineRule="auto"/>
        <w:ind w:left="-417" w:leftChars="-199" w:firstLine="698" w:firstLineChars="291"/>
        <w:jc w:val="left"/>
        <w:textAlignment w:val="auto"/>
        <w:rPr>
          <w:rFonts w:hint="default" w:ascii="Times New Roman" w:hAnsi="Times New Roman" w:cs="Times New Roman"/>
          <w:color w:val="000000"/>
          <w:sz w:val="24"/>
        </w:rPr>
      </w:pPr>
      <w:r>
        <w:rPr>
          <w:rFonts w:hint="default" w:ascii="Times New Roman" w:hAnsi="Times New Roman" w:cs="Times New Roman"/>
          <w:sz w:val="24"/>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outlineLvl w:val="0"/>
        <w:rPr>
          <w:rFonts w:hint="default" w:ascii="Times New Roman" w:hAnsi="Times New Roman" w:cs="Times New Roman"/>
          <w:sz w:val="24"/>
        </w:rPr>
      </w:pPr>
      <w:r>
        <w:rPr>
          <w:rFonts w:hint="default" w:ascii="Times New Roman" w:hAnsi="Times New Roman" w:cs="Times New Roman"/>
          <w:b/>
          <w:sz w:val="24"/>
        </w:rPr>
        <w:t>招标文件的获取</w:t>
      </w:r>
    </w:p>
    <w:p>
      <w:pPr>
        <w:spacing w:line="360" w:lineRule="auto"/>
        <w:ind w:firstLine="240" w:firstLineChars="100"/>
        <w:outlineLvl w:val="0"/>
        <w:rPr>
          <w:rFonts w:ascii="宋体" w:hAnsi="宋体" w:cs="宋体"/>
          <w:sz w:val="24"/>
        </w:rPr>
      </w:pPr>
      <w:r>
        <w:rPr>
          <w:rFonts w:hint="default" w:ascii="Times New Roman" w:hAnsi="Times New Roman" w:cs="Times New Roman"/>
          <w:sz w:val="24"/>
        </w:rPr>
        <w:t>5.1招标文件、图纸和工程量清单的获取：投标人于投标文件递交截止时间前均可登录《全国公共资源交易平台(河南省▪许昌市)》（http://ggzy.xuchang.gov.cn/），通过</w:t>
      </w:r>
      <w:r>
        <w:rPr>
          <w:rFonts w:hint="eastAsia" w:ascii="宋体" w:hAnsi="宋体" w:cs="宋体"/>
          <w:sz w:val="24"/>
        </w:rPr>
        <w:t>“投标人/供应商登录”入口自行下载。</w:t>
      </w:r>
    </w:p>
    <w:p>
      <w:pPr>
        <w:autoSpaceDE w:val="0"/>
        <w:autoSpaceDN w:val="0"/>
        <w:adjustRightInd w:val="0"/>
        <w:spacing w:line="360" w:lineRule="auto"/>
        <w:ind w:firstLine="240" w:firstLineChars="100"/>
        <w:jc w:val="left"/>
        <w:rPr>
          <w:rFonts w:ascii="宋体" w:hAnsi="宋体" w:cs="宋体"/>
          <w:b/>
          <w:bCs/>
          <w:sz w:val="24"/>
        </w:rPr>
      </w:pPr>
      <w:r>
        <w:rPr>
          <w:rFonts w:hint="eastAsia" w:ascii="宋体" w:hAnsi="宋体" w:cs="宋体"/>
          <w:sz w:val="24"/>
        </w:rPr>
        <w:t>5.2招标文件每套售价</w:t>
      </w:r>
      <w:r>
        <w:rPr>
          <w:rFonts w:hint="eastAsia" w:ascii="宋体" w:hAnsi="宋体" w:cs="宋体"/>
          <w:sz w:val="24"/>
          <w:u w:val="single"/>
        </w:rPr>
        <w:t>1000</w:t>
      </w:r>
      <w:r>
        <w:rPr>
          <w:rFonts w:hint="eastAsia" w:ascii="宋体" w:hAnsi="宋体" w:cs="宋体"/>
          <w:sz w:val="24"/>
        </w:rPr>
        <w:t>元，于提交电子投标文件时缴纳给招标代理机构，售后不退。</w:t>
      </w:r>
    </w:p>
    <w:p>
      <w:pPr>
        <w:pStyle w:val="14"/>
        <w:spacing w:before="0" w:beforeAutospacing="0" w:after="200" w:afterAutospacing="0" w:line="360" w:lineRule="auto"/>
        <w:rPr>
          <w:b/>
        </w:rPr>
      </w:pPr>
      <w:r>
        <w:rPr>
          <w:rFonts w:hint="eastAsia"/>
          <w:b/>
        </w:rPr>
        <w:t>6、投标文件的递交</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6.1 本项目为全流程电子化交易项目，</w:t>
      </w:r>
      <w:r>
        <w:rPr>
          <w:rFonts w:hint="eastAsia" w:ascii="宋体" w:hAnsi="宋体" w:cs="宋体"/>
          <w:color w:val="000000"/>
          <w:kern w:val="0"/>
          <w:sz w:val="24"/>
          <w:shd w:val="clear" w:color="auto" w:fill="FFFFFF"/>
        </w:rPr>
        <w:t>须提交电子投标文件和电子介质存储的投标文件（</w:t>
      </w:r>
      <w:r>
        <w:rPr>
          <w:rFonts w:hint="eastAsia" w:ascii="宋体" w:hAnsi="宋体" w:cs="宋体"/>
          <w:color w:val="000000"/>
          <w:sz w:val="24"/>
        </w:rPr>
        <w:t>不必递交纸质投标文件）。</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6.2 投标文件提交的截止时间及开标时间：20</w:t>
      </w:r>
      <w:r>
        <w:rPr>
          <w:rFonts w:hint="eastAsia" w:ascii="宋体" w:hAnsi="宋体" w:cs="宋体"/>
          <w:color w:val="000000"/>
          <w:sz w:val="24"/>
          <w:lang w:val="en-US" w:eastAsia="zh-CN"/>
        </w:rPr>
        <w:t>20</w:t>
      </w:r>
      <w:r>
        <w:rPr>
          <w:rFonts w:hint="eastAsia" w:ascii="宋体" w:hAnsi="宋体" w:cs="宋体"/>
          <w:color w:val="000000"/>
          <w:sz w:val="24"/>
        </w:rPr>
        <w:t>年</w:t>
      </w:r>
      <w:r>
        <w:rPr>
          <w:rFonts w:hint="eastAsia" w:ascii="宋体" w:hAnsi="宋体" w:cs="宋体"/>
          <w:color w:val="000000"/>
          <w:sz w:val="24"/>
          <w:lang w:val="en-US" w:eastAsia="zh-CN"/>
        </w:rPr>
        <w:t>1</w:t>
      </w:r>
      <w:r>
        <w:rPr>
          <w:rFonts w:hint="eastAsia" w:ascii="宋体" w:hAnsi="宋体" w:cs="宋体"/>
          <w:color w:val="000000"/>
          <w:sz w:val="24"/>
        </w:rPr>
        <w:t>月</w:t>
      </w:r>
      <w:r>
        <w:rPr>
          <w:rFonts w:hint="eastAsia" w:ascii="宋体" w:hAnsi="宋体" w:cs="宋体"/>
          <w:color w:val="000000"/>
          <w:sz w:val="24"/>
          <w:lang w:val="en-US" w:eastAsia="zh-CN"/>
        </w:rPr>
        <w:t>16</w:t>
      </w:r>
      <w:r>
        <w:rPr>
          <w:rFonts w:hint="eastAsia" w:ascii="宋体" w:hAnsi="宋体" w:cs="宋体"/>
          <w:color w:val="000000"/>
          <w:sz w:val="24"/>
        </w:rPr>
        <w:t>日</w:t>
      </w:r>
      <w:r>
        <w:rPr>
          <w:rFonts w:hint="eastAsia" w:ascii="宋体" w:hAnsi="宋体" w:cs="宋体"/>
          <w:color w:val="000000"/>
          <w:sz w:val="24"/>
          <w:lang w:val="en-US" w:eastAsia="zh-CN"/>
        </w:rPr>
        <w:t>8</w:t>
      </w:r>
      <w:r>
        <w:rPr>
          <w:rFonts w:hint="eastAsia" w:ascii="宋体" w:hAnsi="宋体" w:cs="宋体"/>
          <w:color w:val="000000"/>
          <w:sz w:val="24"/>
        </w:rPr>
        <w:t>时30分。</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6.3电子投标文件的提交：电子投标文件应在投标文件提交截止时间（开标时间）之前成功提交至《全国公共资源交易平台(河南省▪许昌市)》公共资源交易系统，同时提交2份使用电子介质存储的备份文件。</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6.4电子投标文件提交地点：许昌市公共资源交易中心（许昌市龙兴路竹林路交汇处公共资源大厦三楼）开标</w:t>
      </w:r>
      <w:r>
        <w:rPr>
          <w:rFonts w:hint="eastAsia" w:ascii="宋体" w:hAnsi="宋体" w:cs="宋体"/>
          <w:color w:val="000000"/>
          <w:sz w:val="24"/>
          <w:lang w:val="en-US" w:eastAsia="zh-CN"/>
        </w:rPr>
        <w:t>五</w:t>
      </w:r>
      <w:r>
        <w:rPr>
          <w:rFonts w:hint="eastAsia" w:ascii="宋体" w:hAnsi="宋体" w:cs="宋体"/>
          <w:color w:val="000000"/>
          <w:sz w:val="24"/>
        </w:rPr>
        <w:t>室。</w:t>
      </w:r>
    </w:p>
    <w:p>
      <w:pPr>
        <w:tabs>
          <w:tab w:val="left" w:pos="7095"/>
        </w:tabs>
        <w:spacing w:line="360" w:lineRule="auto"/>
        <w:ind w:firstLine="360" w:firstLineChars="150"/>
        <w:rPr>
          <w:rFonts w:ascii="宋体" w:hAnsi="宋体" w:cs="宋体"/>
          <w:color w:val="000000"/>
          <w:sz w:val="24"/>
        </w:rPr>
      </w:pPr>
      <w:r>
        <w:rPr>
          <w:rFonts w:hint="eastAsia" w:ascii="宋体" w:hAnsi="宋体" w:cs="宋体"/>
          <w:color w:val="000000"/>
          <w:sz w:val="24"/>
        </w:rPr>
        <w:t>6.5</w:t>
      </w:r>
      <w:r>
        <w:rPr>
          <w:rFonts w:hint="eastAsia" w:hAnsi="宋体" w:cs="宋体"/>
          <w:color w:val="000000"/>
          <w:sz w:val="24"/>
        </w:rPr>
        <w:t>逾期送达的或者未送达指定地点的电子版投标文件的，招标人不予受理。</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b/>
        </w:rPr>
      </w:pPr>
      <w:r>
        <w:rPr>
          <w:rFonts w:hint="eastAsia"/>
          <w:b/>
        </w:rPr>
        <w:t>七、招标公告发布的媒介 </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pPr>
      <w:r>
        <w:rPr>
          <w:rFonts w:hint="eastAsia"/>
        </w:rPr>
        <w:t>本次公告及相关信息发布媒体：《全国公共资源交易平台（河南省·许昌市)》、《河南省电子招标投标公共服务平台》和</w:t>
      </w:r>
      <w:r>
        <w:rPr>
          <w:rFonts w:hint="eastAsia" w:hAnsi="宋体" w:cs="宋体"/>
        </w:rPr>
        <w:t>《河南省水利网》</w:t>
      </w:r>
      <w:r>
        <w:rPr>
          <w:rFonts w:hint="eastAsia"/>
        </w:rPr>
        <w:t>。</w:t>
      </w:r>
    </w:p>
    <w:p>
      <w:pPr>
        <w:tabs>
          <w:tab w:val="left" w:pos="7095"/>
        </w:tabs>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8.联系方式</w:t>
      </w:r>
    </w:p>
    <w:p>
      <w:pPr>
        <w:tabs>
          <w:tab w:val="left" w:pos="4140"/>
        </w:tabs>
        <w:spacing w:line="360" w:lineRule="auto"/>
        <w:ind w:left="21" w:leftChars="10" w:right="-357" w:rightChars="-170" w:firstLine="480" w:firstLineChars="200"/>
        <w:rPr>
          <w:rFonts w:asciiTheme="minorEastAsia" w:hAnsiTheme="minorEastAsia" w:eastAsiaTheme="minorEastAsia"/>
          <w:sz w:val="24"/>
        </w:rPr>
      </w:pPr>
      <w:r>
        <w:rPr>
          <w:rFonts w:hint="eastAsia" w:asciiTheme="minorEastAsia" w:hAnsiTheme="minorEastAsia" w:eastAsiaTheme="minorEastAsia"/>
          <w:sz w:val="24"/>
        </w:rPr>
        <w:t>招标人：鄢陵县农田水利工程建设管理局</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  址：鄢陵县站前街195号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联系人：薛先生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  话：15649833999</w:t>
      </w:r>
    </w:p>
    <w:p>
      <w:pPr>
        <w:autoSpaceDE w:val="0"/>
        <w:autoSpaceDN w:val="0"/>
        <w:adjustRightIn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代理机构：中建山河建设管理集团有限公司</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地 址：郑州市金水区经三路与农业路交叉口财富广场</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hint="eastAsia" w:asciiTheme="minorEastAsia" w:hAnsiTheme="minorEastAsia" w:eastAsiaTheme="minorEastAsia"/>
          <w:sz w:val="24"/>
        </w:rPr>
        <w:t>郑</w:t>
      </w:r>
      <w:r>
        <w:rPr>
          <w:rFonts w:hint="eastAsia" w:asciiTheme="minorEastAsia" w:hAnsiTheme="minorEastAsia" w:eastAsiaTheme="minorEastAsia"/>
          <w:sz w:val="24"/>
          <w:lang w:val="zh-CN"/>
        </w:rPr>
        <w:t>先生</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联系电话：13569917698</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水行政监督部门：</w:t>
      </w:r>
      <w:r>
        <w:rPr>
          <w:rFonts w:hint="eastAsia" w:asciiTheme="minorEastAsia" w:hAnsiTheme="minorEastAsia" w:eastAsiaTheme="minorEastAsia"/>
          <w:sz w:val="24"/>
        </w:rPr>
        <w:t>鄢陵县水</w:t>
      </w:r>
      <w:r>
        <w:rPr>
          <w:rFonts w:hint="eastAsia" w:asciiTheme="minorEastAsia" w:hAnsiTheme="minorEastAsia" w:eastAsiaTheme="minorEastAsia"/>
          <w:sz w:val="24"/>
          <w:lang w:val="en-US" w:eastAsia="zh-CN"/>
        </w:rPr>
        <w:t>利</w:t>
      </w:r>
      <w:r>
        <w:rPr>
          <w:rFonts w:hint="eastAsia" w:asciiTheme="minorEastAsia" w:hAnsiTheme="minorEastAsia" w:eastAsiaTheme="minorEastAsia"/>
          <w:sz w:val="24"/>
        </w:rPr>
        <w:t>局</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电话：0374-2708199</w:t>
      </w:r>
    </w:p>
    <w:p>
      <w:pPr>
        <w:pStyle w:val="2"/>
        <w:spacing w:line="360" w:lineRule="auto"/>
        <w:ind w:firstLine="4800" w:firstLineChars="20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鄢陵县农田水利工程建设管理局</w:t>
      </w:r>
    </w:p>
    <w:p>
      <w:pPr>
        <w:pStyle w:val="2"/>
        <w:spacing w:line="360" w:lineRule="auto"/>
        <w:ind w:firstLine="4320" w:firstLineChars="1800"/>
        <w:rPr>
          <w:rFonts w:cs="宋体" w:asciiTheme="minorEastAsia" w:hAnsiTheme="minorEastAsia" w:eastAsiaTheme="minorEastAsia"/>
          <w:b/>
          <w:bCs/>
          <w:sz w:val="36"/>
          <w:szCs w:val="36"/>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en-US" w:eastAsia="zh-CN"/>
        </w:rPr>
        <w:t xml:space="preserve">2019 </w:t>
      </w:r>
      <w:r>
        <w:rPr>
          <w:rFonts w:hint="eastAsia" w:cs="宋体" w:asciiTheme="minorEastAsia" w:hAnsiTheme="minorEastAsia" w:eastAsiaTheme="minorEastAsia"/>
          <w:kern w:val="0"/>
          <w:sz w:val="24"/>
        </w:rPr>
        <w:t xml:space="preserve">年 </w:t>
      </w:r>
      <w:r>
        <w:rPr>
          <w:rFonts w:hint="eastAsia" w:cs="宋体" w:asciiTheme="minorEastAsia" w:hAnsiTheme="minorEastAsia" w:eastAsiaTheme="minorEastAsia"/>
          <w:kern w:val="0"/>
          <w:sz w:val="24"/>
          <w:lang w:val="en-US" w:eastAsia="zh-CN"/>
        </w:rPr>
        <w:t>12</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25</w:t>
      </w:r>
      <w:r>
        <w:rPr>
          <w:rFonts w:hint="eastAsia" w:cs="宋体" w:asciiTheme="minorEastAsia" w:hAnsiTheme="minorEastAsia" w:eastAsiaTheme="minorEastAsia"/>
          <w:kern w:val="0"/>
          <w:sz w:val="24"/>
        </w:rPr>
        <w:t>日</w:t>
      </w:r>
      <w:bookmarkStart w:id="2" w:name="_Toc19466"/>
      <w:bookmarkStart w:id="3" w:name="_Toc18374"/>
      <w:bookmarkStart w:id="4" w:name="_Toc15029"/>
      <w:bookmarkStart w:id="5" w:name="_Toc17593"/>
    </w:p>
    <w:p>
      <w:pPr>
        <w:rPr>
          <w:rFonts w:hint="eastAsia" w:hAnsi="宋体" w:cs="宋体"/>
          <w:b/>
          <w:bCs/>
          <w:color w:val="000000"/>
          <w:sz w:val="24"/>
        </w:rPr>
      </w:pPr>
      <w:r>
        <w:rPr>
          <w:rFonts w:hint="eastAsia" w:hAnsi="宋体" w:cs="宋体"/>
          <w:b/>
          <w:bCs/>
          <w:color w:val="000000"/>
          <w:sz w:val="24"/>
        </w:rPr>
        <w:br w:type="page"/>
      </w:r>
    </w:p>
    <w:p>
      <w:pPr>
        <w:shd w:val="clear" w:color="auto" w:fill="FFFFFF"/>
        <w:snapToGrid w:val="0"/>
        <w:spacing w:line="360" w:lineRule="auto"/>
        <w:ind w:firstLine="240" w:firstLineChars="100"/>
        <w:rPr>
          <w:rFonts w:hAnsi="宋体" w:cs="宋体"/>
          <w:color w:val="000000"/>
          <w:sz w:val="24"/>
        </w:rPr>
      </w:pPr>
      <w:r>
        <w:rPr>
          <w:rFonts w:hint="eastAsia" w:hAnsi="宋体" w:cs="宋体"/>
          <w:b/>
          <w:bCs/>
          <w:color w:val="000000"/>
          <w:sz w:val="24"/>
        </w:rPr>
        <w:t>温馨提示：</w:t>
      </w:r>
    </w:p>
    <w:p>
      <w:pPr>
        <w:widowControl/>
        <w:shd w:val="clear" w:color="auto" w:fill="FFFFFF"/>
        <w:snapToGrid w:val="0"/>
        <w:spacing w:line="360" w:lineRule="auto"/>
        <w:ind w:firstLine="562"/>
        <w:jc w:val="left"/>
        <w:rPr>
          <w:rFonts w:hAnsi="宋体" w:cs="宋体"/>
          <w:color w:val="000000"/>
          <w:sz w:val="24"/>
        </w:rPr>
      </w:pPr>
      <w:r>
        <w:rPr>
          <w:rFonts w:hint="eastAsia" w:hAnsi="宋体" w:cs="宋体"/>
          <w:b/>
          <w:bCs/>
          <w:color w:val="000000"/>
          <w:sz w:val="24"/>
        </w:rPr>
        <w:t>本项目为全流程电子化交易项目，请认真阅读招标文件，并注意以下事项。</w:t>
      </w:r>
    </w:p>
    <w:p>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1.</w:t>
      </w:r>
      <w:r>
        <w:rPr>
          <w:rFonts w:hint="eastAsia" w:hAnsi="宋体" w:cs="Arial"/>
          <w:b/>
          <w:bCs/>
          <w:color w:val="000000"/>
          <w:sz w:val="24"/>
        </w:rPr>
        <w:t>投标人应按招标文件规定下载、编制、提交电子投标文件。开、评标现场不接受投标人递交的电子投标文件以外的其他资料。</w:t>
      </w:r>
    </w:p>
    <w:p>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2.</w:t>
      </w:r>
      <w:r>
        <w:rPr>
          <w:rFonts w:hint="eastAsia" w:hAnsi="宋体" w:cs="Arial"/>
          <w:b/>
          <w:bCs/>
          <w:color w:val="000000"/>
          <w:sz w:val="24"/>
        </w:rPr>
        <w:t>电子文件下载、制作、提交期间和开标（电子投标文件的解密）环节，投标人须使用</w:t>
      </w:r>
      <w:r>
        <w:rPr>
          <w:rFonts w:ascii="Arial" w:hAnsi="Arial" w:cs="Arial"/>
          <w:b/>
          <w:bCs/>
          <w:color w:val="000000"/>
          <w:sz w:val="24"/>
        </w:rPr>
        <w:t>CA</w:t>
      </w:r>
      <w:r>
        <w:rPr>
          <w:rFonts w:hint="eastAsia" w:hAnsi="宋体" w:cs="Arial"/>
          <w:b/>
          <w:bCs/>
          <w:color w:val="000000"/>
          <w:sz w:val="24"/>
        </w:rPr>
        <w:t>数字证书（证书须在有效期内）。</w:t>
      </w:r>
    </w:p>
    <w:p>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3.</w:t>
      </w:r>
      <w:r>
        <w:rPr>
          <w:rFonts w:hint="eastAsia" w:hAnsi="宋体" w:cs="Arial"/>
          <w:b/>
          <w:bCs/>
          <w:color w:val="000000"/>
          <w:sz w:val="24"/>
        </w:rPr>
        <w:t>电子投标文件的制作。</w:t>
      </w:r>
    </w:p>
    <w:p>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 xml:space="preserve">3.1 </w:t>
      </w:r>
      <w:r>
        <w:rPr>
          <w:rFonts w:hint="eastAsia" w:hAnsi="宋体" w:cs="Arial"/>
          <w:color w:val="000000"/>
          <w:sz w:val="24"/>
        </w:rPr>
        <w:t>投标人登录《全国公共资源交易平台（河南省·许昌市）》公共资源交易系统（http:/ggzy.xuchang.gov.cn）下载“许昌投标文件制作系统</w:t>
      </w:r>
      <w:r>
        <w:rPr>
          <w:rFonts w:ascii="Arial" w:hAnsi="Arial" w:cs="Arial"/>
          <w:color w:val="000000"/>
          <w:sz w:val="24"/>
        </w:rPr>
        <w:t>SEARUN V1.0</w:t>
      </w:r>
      <w:r>
        <w:rPr>
          <w:rFonts w:hint="eastAsia" w:hAnsi="宋体" w:cs="Arial"/>
          <w:color w:val="000000"/>
          <w:sz w:val="24"/>
        </w:rPr>
        <w:t>”，按招标文件要求制作电子投标文件。</w:t>
      </w:r>
    </w:p>
    <w:p>
      <w:pPr>
        <w:widowControl/>
        <w:shd w:val="clear" w:color="auto" w:fill="FFFFFF"/>
        <w:snapToGrid w:val="0"/>
        <w:spacing w:line="360" w:lineRule="auto"/>
        <w:ind w:firstLine="480"/>
        <w:jc w:val="left"/>
        <w:rPr>
          <w:rFonts w:ascii="Arial" w:hAnsi="Arial" w:cs="Arial"/>
          <w:color w:val="000000"/>
          <w:sz w:val="24"/>
        </w:rPr>
      </w:pPr>
      <w:r>
        <w:rPr>
          <w:rFonts w:hint="eastAsia" w:hAnsi="宋体" w:cs="Arial"/>
          <w:color w:val="000000"/>
          <w:sz w:val="24"/>
        </w:rPr>
        <w:t>电子投标文件的制作，参考《全国公共资源交易平台（河南省·许昌市）》公共资源交易系统</w:t>
      </w:r>
      <w:r>
        <w:rPr>
          <w:rFonts w:hAnsi="宋体" w:cs="Arial"/>
          <w:color w:val="000000"/>
          <w:sz w:val="24"/>
        </w:rPr>
        <w:t>——</w:t>
      </w:r>
      <w:r>
        <w:rPr>
          <w:rFonts w:hint="eastAsia" w:hAnsi="宋体" w:cs="Arial"/>
          <w:color w:val="000000"/>
          <w:sz w:val="24"/>
        </w:rPr>
        <w:t>组件下载</w:t>
      </w:r>
      <w:r>
        <w:rPr>
          <w:rFonts w:hAnsi="宋体" w:cs="Arial"/>
          <w:color w:val="000000"/>
          <w:sz w:val="24"/>
        </w:rPr>
        <w:t>——</w:t>
      </w:r>
      <w:r>
        <w:rPr>
          <w:rFonts w:hint="eastAsia" w:hAnsi="宋体" w:cs="Arial"/>
          <w:color w:val="000000"/>
          <w:sz w:val="24"/>
        </w:rPr>
        <w:t>交易系统操作手册（投标人、供应商）。</w:t>
      </w:r>
    </w:p>
    <w:p>
      <w:pPr>
        <w:widowControl/>
        <w:shd w:val="clear" w:color="auto" w:fill="FFFFFF"/>
        <w:snapToGrid w:val="0"/>
        <w:spacing w:line="360" w:lineRule="auto"/>
        <w:ind w:left="105" w:firstLine="360"/>
        <w:jc w:val="left"/>
        <w:rPr>
          <w:rFonts w:ascii="Arial" w:hAnsi="Arial" w:cs="Arial"/>
          <w:color w:val="000000"/>
          <w:sz w:val="24"/>
        </w:rPr>
      </w:pPr>
      <w:r>
        <w:rPr>
          <w:rFonts w:ascii="Arial" w:hAnsi="Arial" w:cs="Arial"/>
          <w:color w:val="000000"/>
          <w:sz w:val="24"/>
        </w:rPr>
        <w:t xml:space="preserve">3.2 </w:t>
      </w:r>
      <w:r>
        <w:rPr>
          <w:rFonts w:hint="eastAsia" w:hAnsi="宋体" w:cs="Arial"/>
          <w:color w:val="000000"/>
          <w:sz w:val="24"/>
        </w:rPr>
        <w:t>投标人须将招标文件要求的资质、业绩、荣誉及相关人员证明材料等资料原件扫描件（或图片）制作到所提交的电子投标文件中。</w:t>
      </w:r>
    </w:p>
    <w:p>
      <w:pPr>
        <w:widowControl/>
        <w:shd w:val="clear" w:color="auto" w:fill="FFFFFF"/>
        <w:snapToGrid w:val="0"/>
        <w:spacing w:line="360" w:lineRule="auto"/>
        <w:ind w:left="105" w:firstLine="360"/>
        <w:jc w:val="left"/>
        <w:rPr>
          <w:rFonts w:ascii="Arial" w:hAnsi="Arial" w:cs="Arial"/>
          <w:color w:val="000000"/>
          <w:sz w:val="24"/>
        </w:rPr>
      </w:pPr>
      <w:r>
        <w:rPr>
          <w:rFonts w:ascii="Arial" w:hAnsi="Arial" w:cs="Arial"/>
          <w:color w:val="000000"/>
          <w:sz w:val="24"/>
        </w:rPr>
        <w:t>3.3</w:t>
      </w:r>
      <w:r>
        <w:rPr>
          <w:rFonts w:hint="eastAsia" w:hAnsi="宋体" w:cs="Arial"/>
          <w:color w:val="000000"/>
          <w:sz w:val="24"/>
        </w:rPr>
        <w:t>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napToGrid w:val="0"/>
        <w:spacing w:line="360" w:lineRule="auto"/>
        <w:ind w:left="105" w:firstLine="361"/>
        <w:jc w:val="left"/>
        <w:rPr>
          <w:rFonts w:ascii="Arial" w:hAnsi="Arial" w:cs="Arial"/>
          <w:color w:val="000000"/>
          <w:sz w:val="24"/>
        </w:rPr>
      </w:pPr>
      <w:r>
        <w:rPr>
          <w:rFonts w:hint="eastAsia" w:hAnsi="宋体" w:cs="Arial"/>
          <w:b/>
          <w:bCs/>
          <w:color w:val="000000"/>
          <w:sz w:val="24"/>
        </w:rPr>
        <w:t>一个标段对应生成一个文件夹（</w:t>
      </w:r>
      <w:r>
        <w:rPr>
          <w:rFonts w:ascii="Arial" w:hAnsi="Arial" w:cs="Arial"/>
          <w:b/>
          <w:bCs/>
          <w:color w:val="000000"/>
          <w:sz w:val="24"/>
        </w:rPr>
        <w:t>xxxx</w:t>
      </w:r>
      <w:r>
        <w:rPr>
          <w:rFonts w:hint="eastAsia" w:hAnsi="宋体" w:cs="Arial"/>
          <w:b/>
          <w:bCs/>
          <w:color w:val="000000"/>
          <w:sz w:val="24"/>
        </w:rPr>
        <w:t>项目</w:t>
      </w:r>
      <w:r>
        <w:rPr>
          <w:rFonts w:ascii="Arial" w:hAnsi="Arial" w:cs="Arial"/>
          <w:b/>
          <w:bCs/>
          <w:color w:val="000000"/>
          <w:sz w:val="24"/>
        </w:rPr>
        <w:t>xx</w:t>
      </w:r>
      <w:r>
        <w:rPr>
          <w:rFonts w:hint="eastAsia" w:hAnsi="宋体" w:cs="Arial"/>
          <w:b/>
          <w:bCs/>
          <w:color w:val="000000"/>
          <w:sz w:val="24"/>
        </w:rPr>
        <w:t>标段）</w:t>
      </w:r>
      <w:r>
        <w:rPr>
          <w:rFonts w:ascii="Arial" w:hAnsi="Arial" w:cs="Arial"/>
          <w:b/>
          <w:bCs/>
          <w:color w:val="000000"/>
          <w:sz w:val="24"/>
        </w:rPr>
        <w:t xml:space="preserve">, </w:t>
      </w:r>
      <w:r>
        <w:rPr>
          <w:rFonts w:hint="eastAsia" w:hAnsi="宋体" w:cs="Arial"/>
          <w:b/>
          <w:bCs/>
          <w:color w:val="000000"/>
          <w:sz w:val="24"/>
        </w:rPr>
        <w:t>其中包含</w:t>
      </w:r>
      <w:r>
        <w:rPr>
          <w:rFonts w:ascii="Arial" w:hAnsi="Arial" w:cs="Arial"/>
          <w:b/>
          <w:bCs/>
          <w:color w:val="000000"/>
          <w:sz w:val="24"/>
        </w:rPr>
        <w:t>2</w:t>
      </w:r>
      <w:r>
        <w:rPr>
          <w:rFonts w:hint="eastAsia" w:hAnsi="宋体" w:cs="Arial"/>
          <w:b/>
          <w:bCs/>
          <w:color w:val="000000"/>
          <w:sz w:val="24"/>
        </w:rPr>
        <w:t>个文件和</w:t>
      </w:r>
      <w:r>
        <w:rPr>
          <w:rFonts w:ascii="Arial" w:hAnsi="Arial" w:cs="Arial"/>
          <w:b/>
          <w:bCs/>
          <w:color w:val="000000"/>
          <w:sz w:val="24"/>
        </w:rPr>
        <w:t>1</w:t>
      </w:r>
      <w:r>
        <w:rPr>
          <w:rFonts w:hint="eastAsia" w:hAnsi="宋体" w:cs="Arial"/>
          <w:b/>
          <w:bCs/>
          <w:color w:val="000000"/>
          <w:sz w:val="24"/>
        </w:rPr>
        <w:t>个文件夹。</w:t>
      </w:r>
      <w:r>
        <w:rPr>
          <w:rFonts w:hint="eastAsia" w:hAnsi="宋体" w:cs="Arial"/>
          <w:color w:val="000000"/>
          <w:sz w:val="24"/>
        </w:rPr>
        <w:t>后缀名为“</w:t>
      </w:r>
      <w:r>
        <w:rPr>
          <w:rFonts w:ascii="Arial" w:hAnsi="Arial" w:cs="Arial"/>
          <w:color w:val="000000"/>
          <w:sz w:val="24"/>
        </w:rPr>
        <w:t>.file</w:t>
      </w:r>
      <w:r>
        <w:rPr>
          <w:rFonts w:hint="eastAsia" w:hAnsi="宋体" w:cs="Arial"/>
          <w:color w:val="000000"/>
          <w:sz w:val="24"/>
        </w:rPr>
        <w:t>”的文件用于电子投标使用，后缀名为“</w:t>
      </w:r>
      <w:r>
        <w:rPr>
          <w:rFonts w:ascii="Arial" w:hAnsi="Arial" w:cs="Arial"/>
          <w:color w:val="000000"/>
          <w:sz w:val="24"/>
        </w:rPr>
        <w:t>.PDF</w:t>
      </w:r>
      <w:r>
        <w:rPr>
          <w:rFonts w:hint="eastAsia" w:hAnsi="宋体" w:cs="Arial"/>
          <w:color w:val="000000"/>
          <w:sz w:val="24"/>
        </w:rPr>
        <w:t>”的文件、“备份文件夹”使用电子介质存储，供开标现场备用。</w:t>
      </w:r>
    </w:p>
    <w:p>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4.</w:t>
      </w:r>
      <w:r>
        <w:rPr>
          <w:rFonts w:hint="eastAsia" w:hAnsi="宋体" w:cs="Arial"/>
          <w:b/>
          <w:bCs/>
          <w:color w:val="000000"/>
          <w:sz w:val="24"/>
        </w:rPr>
        <w:t>电子投标文件的提交</w:t>
      </w:r>
    </w:p>
    <w:p>
      <w:pPr>
        <w:widowControl/>
        <w:shd w:val="clear" w:color="auto" w:fill="FFFFFF"/>
        <w:snapToGrid w:val="0"/>
        <w:spacing w:line="360" w:lineRule="auto"/>
        <w:jc w:val="left"/>
        <w:rPr>
          <w:rFonts w:ascii="Arial" w:hAnsi="Arial" w:cs="Arial"/>
          <w:color w:val="000000"/>
          <w:sz w:val="24"/>
        </w:rPr>
      </w:pPr>
      <w:r>
        <w:rPr>
          <w:rFonts w:ascii="Arial" w:hAnsi="Arial" w:cs="Arial"/>
          <w:color w:val="000000"/>
          <w:sz w:val="24"/>
        </w:rPr>
        <w:t>    4.1</w:t>
      </w:r>
      <w:r>
        <w:rPr>
          <w:rFonts w:hint="eastAsia" w:hAnsi="宋体" w:cs="Arial"/>
          <w:color w:val="000000"/>
          <w:sz w:val="24"/>
        </w:rPr>
        <w:t>电子投标文件应在招标文件规定的投标文件提交截止时间（开标时间）之前成功提交至《全国公共资源交易平台（河南省·许昌市）》公共资源交易系统（http:/ggzy.</w:t>
      </w:r>
      <w:r>
        <w:rPr>
          <w:rFonts w:hint="eastAsia" w:hAnsi="宋体" w:cs="Arial"/>
          <w:color w:val="000000"/>
          <w:sz w:val="24"/>
          <w:lang w:val="en-US" w:eastAsia="zh-CN"/>
        </w:rPr>
        <w:t>xuchang.</w:t>
      </w:r>
      <w:r>
        <w:rPr>
          <w:rFonts w:hint="eastAsia" w:hAnsi="宋体" w:cs="Arial"/>
          <w:color w:val="000000"/>
          <w:sz w:val="24"/>
        </w:rPr>
        <w:t>gov.cn/）。</w:t>
      </w:r>
    </w:p>
    <w:p>
      <w:pPr>
        <w:widowControl/>
        <w:shd w:val="clear" w:color="auto" w:fill="FFFFFF"/>
        <w:snapToGrid w:val="0"/>
        <w:spacing w:line="360" w:lineRule="auto"/>
        <w:ind w:firstLine="480"/>
        <w:jc w:val="left"/>
        <w:rPr>
          <w:rFonts w:ascii="Arial" w:hAnsi="Arial" w:cs="Arial"/>
          <w:color w:val="000000"/>
          <w:sz w:val="24"/>
        </w:rPr>
      </w:pPr>
      <w:r>
        <w:rPr>
          <w:rFonts w:hint="eastAsia" w:hAnsi="宋体" w:cs="Arial"/>
          <w:color w:val="000000"/>
          <w:sz w:val="24"/>
        </w:rPr>
        <w:t>投标人应充分考虑并预留技术处理和上传数据所需时间。</w:t>
      </w:r>
    </w:p>
    <w:p>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 xml:space="preserve">4.2 </w:t>
      </w:r>
      <w:r>
        <w:rPr>
          <w:rFonts w:hint="eastAsia" w:hAnsi="宋体" w:cs="Arial"/>
          <w:color w:val="000000"/>
          <w:sz w:val="24"/>
        </w:rPr>
        <w:t>投标人对同一项目多个标段进行投标的，电子投标文件应按标段分别提交。</w:t>
      </w:r>
    </w:p>
    <w:p>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 xml:space="preserve">4.3 </w:t>
      </w:r>
      <w:r>
        <w:rPr>
          <w:rFonts w:hint="eastAsia" w:hAnsi="宋体" w:cs="Arial"/>
          <w:color w:val="000000"/>
          <w:sz w:val="24"/>
        </w:rPr>
        <w:t>电子投标文件成功提交后，投标人应打印“投标文件提交回执单”，供开标现场备查。</w:t>
      </w:r>
    </w:p>
    <w:p>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5.</w:t>
      </w:r>
      <w:r>
        <w:rPr>
          <w:rFonts w:hint="eastAsia" w:hAnsi="宋体" w:cs="Arial"/>
          <w:b/>
          <w:bCs/>
          <w:color w:val="000000"/>
          <w:sz w:val="24"/>
        </w:rPr>
        <w:t>评标依据</w:t>
      </w:r>
    </w:p>
    <w:p>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5.1</w:t>
      </w:r>
      <w:r>
        <w:rPr>
          <w:rFonts w:hint="eastAsia" w:hAnsi="宋体" w:cs="Arial"/>
          <w:color w:val="000000"/>
          <w:sz w:val="24"/>
        </w:rPr>
        <w:t>采用全流程电子化交易评标时，评标委员会以电子投标文件为依据评标。</w:t>
      </w:r>
    </w:p>
    <w:p>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5.2</w:t>
      </w:r>
      <w:r>
        <w:rPr>
          <w:rFonts w:hint="eastAsia" w:hAnsi="宋体" w:cs="Arial"/>
          <w:color w:val="000000"/>
          <w:sz w:val="24"/>
        </w:rPr>
        <w:t>全流程电子化交易系统如因系统异常情况无法完成，将以人工方式进行。评标委员会以投标人提供的</w:t>
      </w:r>
      <w:r>
        <w:rPr>
          <w:rFonts w:hint="eastAsia" w:hAnsi="宋体" w:cs="宋体"/>
          <w:sz w:val="24"/>
        </w:rPr>
        <w:t>电子介质存储的备份文件</w:t>
      </w:r>
      <w:r>
        <w:rPr>
          <w:rFonts w:hint="eastAsia" w:hAnsi="宋体" w:cs="Arial"/>
          <w:color w:val="000000"/>
          <w:sz w:val="24"/>
        </w:rPr>
        <w:t>为依据评标。</w:t>
      </w:r>
    </w:p>
    <w:p>
      <w:pPr>
        <w:tabs>
          <w:tab w:val="left" w:pos="7095"/>
        </w:tabs>
        <w:spacing w:line="440" w:lineRule="exact"/>
        <w:ind w:firstLine="480" w:firstLineChars="200"/>
        <w:contextualSpacing/>
        <w:rPr>
          <w:rFonts w:hAnsi="宋体"/>
          <w:sz w:val="24"/>
        </w:rPr>
      </w:pPr>
      <w:r>
        <w:rPr>
          <w:rFonts w:hint="eastAsia" w:hAnsi="宋体"/>
          <w:sz w:val="24"/>
        </w:rPr>
        <w:t>招标人及其代理机构需留存项目电子档案时，可在质疑期满后使用CA锁从交易平台自行下载。</w:t>
      </w:r>
    </w:p>
    <w:p>
      <w:pPr>
        <w:pStyle w:val="14"/>
        <w:widowControl/>
        <w:shd w:val="clear" w:color="060000" w:fill="FFFFFF"/>
        <w:spacing w:before="0" w:beforeAutospacing="0" w:after="0" w:afterAutospacing="0" w:line="288" w:lineRule="auto"/>
        <w:ind w:firstLine="3600" w:firstLineChars="1000"/>
        <w:jc w:val="both"/>
        <w:rPr>
          <w:rFonts w:ascii="宋体" w:hAnsi="宋体" w:cs="宋体"/>
          <w:b/>
          <w:bCs/>
          <w:sz w:val="36"/>
          <w:szCs w:val="36"/>
        </w:rPr>
      </w:pPr>
    </w:p>
    <w:p>
      <w:pPr>
        <w:pStyle w:val="14"/>
        <w:widowControl/>
        <w:shd w:val="clear" w:color="060000" w:fill="FFFFFF"/>
        <w:spacing w:before="0" w:beforeAutospacing="0" w:after="0" w:afterAutospacing="0" w:line="288" w:lineRule="auto"/>
        <w:ind w:firstLine="3600" w:firstLineChars="1000"/>
        <w:jc w:val="both"/>
        <w:rPr>
          <w:rFonts w:ascii="宋体" w:hAnsi="宋体" w:cs="宋体"/>
          <w:b/>
          <w:bCs/>
          <w:sz w:val="36"/>
          <w:szCs w:val="36"/>
        </w:rPr>
      </w:pPr>
      <w:r>
        <w:rPr>
          <w:rFonts w:ascii="宋体" w:hAnsi="宋体" w:cs="宋体"/>
          <w:b/>
          <w:bCs/>
          <w:sz w:val="36"/>
          <w:szCs w:val="36"/>
        </w:rPr>
        <w:br w:type="page"/>
      </w:r>
      <w:r>
        <w:rPr>
          <w:rFonts w:hint="eastAsia" w:ascii="宋体" w:hAnsi="宋体" w:cs="宋体"/>
          <w:b/>
          <w:bCs/>
          <w:sz w:val="36"/>
          <w:szCs w:val="36"/>
        </w:rPr>
        <w:t>第二章 投标人须知</w:t>
      </w:r>
      <w:bookmarkStart w:id="6" w:name="_Toc1802"/>
    </w:p>
    <w:p>
      <w:pPr>
        <w:pStyle w:val="14"/>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hint="eastAsia" w:ascii="宋体" w:hAnsi="宋体" w:cs="宋体"/>
          <w:b/>
          <w:sz w:val="28"/>
          <w:szCs w:val="21"/>
        </w:rPr>
        <w:t>投标人须知前附表</w:t>
      </w:r>
      <w:bookmarkEnd w:id="6"/>
      <w:bookmarkEnd w:id="7"/>
    </w:p>
    <w:tbl>
      <w:tblPr>
        <w:tblStyle w:val="1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0"/>
        <w:gridCol w:w="19"/>
        <w:gridCol w:w="2281"/>
        <w:gridCol w:w="24"/>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90" w:type="dxa"/>
            <w:vAlign w:val="center"/>
          </w:tcPr>
          <w:p>
            <w:pPr>
              <w:spacing w:line="312" w:lineRule="auto"/>
              <w:jc w:val="center"/>
              <w:rPr>
                <w:rFonts w:ascii="宋体" w:hAnsi="宋体" w:cs="宋体"/>
                <w:b/>
                <w:kern w:val="0"/>
                <w:sz w:val="24"/>
              </w:rPr>
            </w:pPr>
            <w:r>
              <w:rPr>
                <w:rFonts w:hint="eastAsia" w:ascii="宋体" w:hAnsi="宋体" w:cs="宋体"/>
                <w:b/>
                <w:kern w:val="0"/>
                <w:sz w:val="24"/>
              </w:rPr>
              <w:t>条款号</w:t>
            </w:r>
          </w:p>
        </w:tc>
        <w:tc>
          <w:tcPr>
            <w:tcW w:w="2384" w:type="dxa"/>
            <w:gridSpan w:val="4"/>
            <w:vAlign w:val="center"/>
          </w:tcPr>
          <w:p>
            <w:pPr>
              <w:spacing w:line="312" w:lineRule="auto"/>
              <w:jc w:val="center"/>
              <w:rPr>
                <w:rFonts w:ascii="宋体" w:hAnsi="宋体" w:cs="宋体"/>
                <w:b/>
                <w:kern w:val="0"/>
                <w:sz w:val="24"/>
              </w:rPr>
            </w:pPr>
            <w:r>
              <w:rPr>
                <w:rFonts w:hint="eastAsia" w:ascii="宋体" w:hAnsi="宋体" w:cs="宋体"/>
                <w:b/>
                <w:kern w:val="0"/>
                <w:sz w:val="24"/>
              </w:rPr>
              <w:t>条  款  名  称</w:t>
            </w:r>
          </w:p>
        </w:tc>
        <w:tc>
          <w:tcPr>
            <w:tcW w:w="6441" w:type="dxa"/>
            <w:vAlign w:val="center"/>
          </w:tcPr>
          <w:p>
            <w:pPr>
              <w:spacing w:line="312" w:lineRule="auto"/>
              <w:jc w:val="center"/>
              <w:rPr>
                <w:rFonts w:ascii="宋体" w:hAnsi="宋体" w:cs="宋体"/>
                <w:b/>
                <w:kern w:val="0"/>
                <w:sz w:val="24"/>
              </w:rPr>
            </w:pPr>
            <w:r>
              <w:rPr>
                <w:rFonts w:hint="eastAsia" w:ascii="宋体" w:hAnsi="宋体" w:cs="宋体"/>
                <w:b/>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w:t>
            </w:r>
          </w:p>
        </w:tc>
        <w:tc>
          <w:tcPr>
            <w:tcW w:w="6441" w:type="dxa"/>
            <w:vAlign w:val="center"/>
          </w:tcPr>
          <w:p>
            <w:pPr>
              <w:pStyle w:val="14"/>
              <w:widowControl/>
              <w:shd w:val="clear" w:color="060000" w:fill="FFFFFF"/>
              <w:spacing w:before="0" w:beforeAutospacing="0" w:after="0" w:afterAutospacing="0" w:line="288" w:lineRule="auto"/>
              <w:rPr>
                <w:rFonts w:cs="宋体" w:asciiTheme="minorEastAsia" w:hAnsiTheme="minorEastAsia" w:eastAsiaTheme="minorEastAsia"/>
                <w:szCs w:val="24"/>
              </w:rPr>
            </w:pPr>
            <w:r>
              <w:rPr>
                <w:rFonts w:hint="eastAsia" w:cs="宋体" w:asciiTheme="minorEastAsia" w:hAnsiTheme="minorEastAsia" w:eastAsiaTheme="minorEastAsia"/>
                <w:szCs w:val="24"/>
              </w:rPr>
              <w:t>招标人：鄢陵县农田水利工程建设管理局</w:t>
            </w:r>
          </w:p>
          <w:p>
            <w:pPr>
              <w:pStyle w:val="14"/>
              <w:widowControl/>
              <w:shd w:val="clear" w:color="060000" w:fill="FFFFFF"/>
              <w:spacing w:before="0" w:beforeAutospacing="0" w:after="0" w:afterAutospacing="0" w:line="288" w:lineRule="auto"/>
              <w:rPr>
                <w:rFonts w:cs="宋体" w:asciiTheme="minorEastAsia" w:hAnsiTheme="minorEastAsia" w:eastAsiaTheme="minorEastAsia"/>
                <w:sz w:val="24"/>
                <w:szCs w:val="24"/>
              </w:rPr>
            </w:pPr>
            <w:r>
              <w:rPr>
                <w:rFonts w:hint="eastAsia" w:cs="宋体" w:asciiTheme="minorEastAsia" w:hAnsiTheme="minorEastAsia" w:eastAsiaTheme="minorEastAsia"/>
                <w:szCs w:val="24"/>
              </w:rPr>
              <w:t>地  址：鄢陵县站前街195号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代理机构</w:t>
            </w:r>
          </w:p>
        </w:tc>
        <w:tc>
          <w:tcPr>
            <w:tcW w:w="6441" w:type="dxa"/>
            <w:vAlign w:val="center"/>
          </w:tcPr>
          <w:p>
            <w:pPr>
              <w:autoSpaceDE w:val="0"/>
              <w:autoSpaceDN w:val="0"/>
              <w:adjustRightInd w:val="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代代理机构：中建山河建设管理集团有限公司</w:t>
            </w:r>
          </w:p>
          <w:p>
            <w:pPr>
              <w:autoSpaceDE w:val="0"/>
              <w:autoSpaceDN w:val="0"/>
              <w:adjustRightInd w:val="0"/>
              <w:rPr>
                <w:rFonts w:cs="宋体" w:asciiTheme="minorEastAsia" w:hAnsiTheme="minorEastAsia" w:eastAsiaTheme="minorEastAsia"/>
                <w:szCs w:val="24"/>
                <w:lang w:val="zh-CN"/>
              </w:rPr>
            </w:pPr>
            <w:r>
              <w:rPr>
                <w:rFonts w:hint="eastAsia" w:cs="宋体" w:asciiTheme="minorEastAsia" w:hAnsiTheme="minorEastAsia" w:eastAsiaTheme="minorEastAsia"/>
                <w:kern w:val="0"/>
                <w:sz w:val="24"/>
                <w:lang w:val="zh-CN"/>
              </w:rPr>
              <w:t>地 址：郑州市金水区经三路与农业路交叉口财富广场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1.1.3</w:t>
            </w:r>
          </w:p>
        </w:tc>
        <w:tc>
          <w:tcPr>
            <w:tcW w:w="2384" w:type="dxa"/>
            <w:gridSpan w:val="4"/>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6441" w:type="dxa"/>
            <w:vAlign w:val="center"/>
          </w:tcPr>
          <w:p>
            <w:pPr>
              <w:autoSpaceDE w:val="0"/>
              <w:autoSpaceDN w:val="0"/>
              <w:adjustRightInd w:val="0"/>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lang w:eastAsia="zh-CN"/>
              </w:rPr>
              <w:t>鄢陵县2019年农田水利维修养护项目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1.1.4</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建设地点</w:t>
            </w:r>
          </w:p>
        </w:tc>
        <w:tc>
          <w:tcPr>
            <w:tcW w:w="6441" w:type="dxa"/>
            <w:vAlign w:val="center"/>
          </w:tcPr>
          <w:p>
            <w:pPr>
              <w:autoSpaceDE w:val="0"/>
              <w:autoSpaceDN w:val="0"/>
              <w:adjustRightInd w:val="0"/>
              <w:spacing w:line="40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包含南坞镇、陶城镇、张桥镇、马栏镇、马坊镇、望田镇、彭店镇、柏梁镇等8个乡镇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资金来源及比例</w:t>
            </w:r>
          </w:p>
        </w:tc>
        <w:tc>
          <w:tcPr>
            <w:tcW w:w="6441" w:type="dxa"/>
            <w:vAlign w:val="center"/>
          </w:tcPr>
          <w:p>
            <w:pPr>
              <w:autoSpaceDE w:val="0"/>
              <w:autoSpaceDN w:val="0"/>
              <w:adjustRightInd w:val="0"/>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资金落实情况</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1.2.3</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标段划分</w:t>
            </w:r>
          </w:p>
        </w:tc>
        <w:tc>
          <w:tcPr>
            <w:tcW w:w="6441" w:type="dxa"/>
            <w:vAlign w:val="center"/>
          </w:tcPr>
          <w:p>
            <w:pPr>
              <w:spacing w:line="400" w:lineRule="exact"/>
              <w:rPr>
                <w:rFonts w:cs="宋体" w:asciiTheme="minorEastAsia" w:hAnsiTheme="minorEastAsia" w:eastAsiaTheme="minorEastAsia"/>
                <w:kern w:val="0"/>
                <w:sz w:val="24"/>
              </w:rPr>
            </w:pPr>
            <w:r>
              <w:rPr>
                <w:rFonts w:hint="eastAsia" w:ascii="宋体" w:hAnsi="宋体" w:cs="宋体"/>
                <w:kern w:val="0"/>
                <w:sz w:val="24"/>
              </w:rPr>
              <w:t>1</w:t>
            </w:r>
            <w:r>
              <w:rPr>
                <w:rFonts w:hint="eastAsia" w:asciiTheme="minorEastAsia" w:hAnsiTheme="minorEastAsia" w:eastAsiaTheme="minorEastAsia"/>
                <w:sz w:val="24"/>
              </w:rPr>
              <w:t>个施工标段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招标范围</w:t>
            </w:r>
          </w:p>
        </w:tc>
        <w:tc>
          <w:tcPr>
            <w:tcW w:w="6441" w:type="dxa"/>
            <w:vAlign w:val="center"/>
          </w:tcPr>
          <w:p>
            <w:pPr>
              <w:spacing w:line="400" w:lineRule="exact"/>
              <w:rPr>
                <w:rFonts w:cs="宋体" w:asciiTheme="minorEastAsia" w:hAnsiTheme="minorEastAsia"/>
                <w:kern w:val="0"/>
                <w:sz w:val="24"/>
              </w:rPr>
            </w:pPr>
            <w:r>
              <w:rPr>
                <w:rFonts w:hint="eastAsia" w:ascii="宋体" w:hAnsi="宋体"/>
                <w:sz w:val="24"/>
              </w:rPr>
              <w:t>招标文件、工程量清单、</w:t>
            </w:r>
            <w:r>
              <w:rPr>
                <w:rFonts w:hint="eastAsia" w:ascii="宋体" w:hAnsi="宋体"/>
                <w:sz w:val="24"/>
                <w:lang w:val="en-US" w:eastAsia="zh-CN"/>
              </w:rPr>
              <w:t>施工图纸、</w:t>
            </w:r>
            <w:r>
              <w:rPr>
                <w:rFonts w:hint="eastAsia" w:ascii="宋体" w:hAnsi="宋体"/>
                <w:sz w:val="24"/>
              </w:rPr>
              <w:t>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1.3.2</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计划工期</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1.3.3</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质量要求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投标人资质条件和能力</w:t>
            </w:r>
          </w:p>
        </w:tc>
        <w:tc>
          <w:tcPr>
            <w:tcW w:w="6441" w:type="dxa"/>
            <w:vAlign w:val="center"/>
          </w:tcPr>
          <w:p>
            <w:pPr>
              <w:tabs>
                <w:tab w:val="left" w:pos="4860"/>
              </w:tabs>
              <w:spacing w:line="288" w:lineRule="auto"/>
              <w:ind w:firstLine="480" w:firstLineChars="200"/>
              <w:jc w:val="left"/>
              <w:rPr>
                <w:rFonts w:hint="eastAsia" w:ascii="宋体" w:hAnsi="宋体" w:eastAsia="宋体" w:cs="宋体"/>
                <w:sz w:val="24"/>
                <w:lang w:eastAsia="zh-CN"/>
              </w:rPr>
            </w:pPr>
            <w:r>
              <w:rPr>
                <w:rFonts w:hint="eastAsia" w:ascii="宋体" w:hAnsi="宋体" w:cs="宋体"/>
                <w:bCs/>
                <w:kern w:val="11"/>
                <w:sz w:val="24"/>
              </w:rPr>
              <w:t>3.1</w:t>
            </w:r>
            <w:r>
              <w:rPr>
                <w:rFonts w:hint="eastAsia" w:ascii="宋体" w:hAnsi="宋体"/>
                <w:sz w:val="24"/>
              </w:rPr>
              <w:t>投标人均须具有独立法人资格</w:t>
            </w:r>
            <w:r>
              <w:rPr>
                <w:rFonts w:hint="eastAsia" w:ascii="宋体" w:hAnsi="宋体"/>
                <w:sz w:val="24"/>
                <w:lang w:eastAsia="zh-CN"/>
              </w:rPr>
              <w:t>。</w:t>
            </w:r>
          </w:p>
          <w:p>
            <w:pPr>
              <w:widowControl/>
              <w:spacing w:line="360" w:lineRule="auto"/>
              <w:ind w:firstLine="480" w:firstLineChars="200"/>
              <w:jc w:val="left"/>
              <w:rPr>
                <w:rFonts w:ascii="宋体" w:hAnsi="宋体"/>
                <w:sz w:val="24"/>
              </w:rPr>
            </w:pPr>
            <w:r>
              <w:rPr>
                <w:rFonts w:hint="eastAsia" w:ascii="宋体" w:hAnsi="宋体"/>
                <w:sz w:val="24"/>
              </w:rPr>
              <w:t>3.2投标人均须具有水利水电工程施工总承包叁级以上（含叁级）资质，且具有有效的安全生产许可证；拟派项目经理须具备水利水电工程专业二级以上（含二级）注册建造师执业资格，且不得担任其它在建工程的项目经理，技术负责人具有相关专业中级及以上技术职称。</w:t>
            </w:r>
          </w:p>
          <w:p>
            <w:pPr>
              <w:widowControl/>
              <w:spacing w:line="360" w:lineRule="auto"/>
              <w:ind w:firstLine="480" w:firstLineChars="200"/>
              <w:jc w:val="left"/>
              <w:rPr>
                <w:rFonts w:hint="eastAsia" w:ascii="宋体" w:hAnsi="宋体"/>
                <w:sz w:val="24"/>
              </w:rPr>
            </w:pPr>
            <w:r>
              <w:rPr>
                <w:rFonts w:hint="eastAsia" w:ascii="宋体" w:hAnsi="宋体"/>
                <w:sz w:val="24"/>
              </w:rPr>
              <w:t>3.3企业主要负责人、项目经理及专职安全员应取得水行政主管部门核发的安全生产考核合格证。</w:t>
            </w:r>
          </w:p>
          <w:p>
            <w:pPr>
              <w:widowControl/>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3.4 投标人</w:t>
            </w:r>
            <w:r>
              <w:rPr>
                <w:rFonts w:hint="eastAsia" w:asciiTheme="minorEastAsia" w:hAnsiTheme="minorEastAsia" w:eastAsiaTheme="minorEastAsia"/>
                <w:sz w:val="24"/>
                <w:lang w:val="en-US" w:eastAsia="zh-CN"/>
              </w:rPr>
              <w:t>未</w:t>
            </w:r>
            <w:r>
              <w:rPr>
                <w:rFonts w:hint="eastAsia" w:asciiTheme="minorEastAsia" w:hAnsiTheme="minorEastAsia" w:eastAsiaTheme="minorEastAsia"/>
                <w:sz w:val="24"/>
              </w:rPr>
              <w:t>被“信用中国”（https://www.creditchina.gov.cn/）</w:t>
            </w:r>
            <w:r>
              <w:rPr>
                <w:rFonts w:hint="eastAsia" w:asciiTheme="minorEastAsia" w:hAnsiTheme="minorEastAsia" w:eastAsiaTheme="minorEastAsia"/>
                <w:sz w:val="24"/>
                <w:lang w:val="en-US" w:eastAsia="zh-CN"/>
              </w:rPr>
              <w:t>列入失信被执行人、重大税收违法案件当事人名单，未被</w:t>
            </w:r>
            <w:r>
              <w:rPr>
                <w:rFonts w:hint="eastAsia" w:asciiTheme="minorEastAsia" w:hAnsiTheme="minorEastAsia" w:eastAsiaTheme="minorEastAsia"/>
                <w:sz w:val="24"/>
              </w:rPr>
              <w:t>“信用河南”（http://www.xyhn.gov.cn/）网站信用信息栏列入黑名单，</w:t>
            </w:r>
            <w:r>
              <w:rPr>
                <w:rFonts w:hint="eastAsia" w:asciiTheme="minorEastAsia" w:hAnsiTheme="minorEastAsia" w:eastAsiaTheme="minorEastAsia"/>
                <w:sz w:val="24"/>
                <w:lang w:val="en-US" w:eastAsia="zh-CN"/>
              </w:rPr>
              <w:t>未</w:t>
            </w:r>
            <w:r>
              <w:rPr>
                <w:rFonts w:hint="eastAsia" w:asciiTheme="minorEastAsia" w:hAnsiTheme="minorEastAsia" w:eastAsiaTheme="minorEastAsia"/>
                <w:sz w:val="24"/>
              </w:rPr>
              <w:t>被“国家企业信用信息公示系统”（http://www.gsxt.gov.cn/index.html）列入经营异常名录或严重失信黑名单，不能被“中国执行信息公开网”（http://zxgk.court.gov.cn/）列入失信被执行人名单，不能被“中国政府采购网”（http://www.ccgp.gov.cn/search/cr/）列为政府采购严重违法失信行为记录名单，不能被国家税务总局网站（http://hd.chinatax.gov.cn/xxk/）列入重大税收违法案件信息公布栏。（招标人、代理机构或评标专家委员会评标现场查询）。信用信息查询记录和证据留存具体方式：经评标专家委员会确认的查询结果网页截图作为查询记录和证据，与其他文件一并保存。</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投标人应提供近3年是否有行贿犯罪记录的情况说明。如提供虚假情况说明的，招标人将取消投标人的投标资格或中标资格。如存在行贿犯罪记录情况的，按不良行为处理。</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3.6投标企业需在全国水利建设市场监管服务平台信息公开（以网上公示为准），拟派项目经理、委托代理人均在全国水利建设市场监管服务平台信用信息公开，且报名后企业被委托人不得更换，企业所有拟派人员必须为本单位在职人员且在全国水利建设市场监管服务平台进行信用信息公示，开标时被委托人到场参加开标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是否接受联合体投标</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踏勘现场</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投标预备会</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1.10.2</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投标人提出问题的截止时间</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1.10.3</w:t>
            </w:r>
          </w:p>
        </w:tc>
        <w:tc>
          <w:tcPr>
            <w:tcW w:w="2384" w:type="dxa"/>
            <w:gridSpan w:val="4"/>
            <w:vAlign w:val="center"/>
          </w:tcPr>
          <w:p>
            <w:pPr>
              <w:spacing w:line="400" w:lineRule="exact"/>
              <w:jc w:val="center"/>
              <w:rPr>
                <w:rFonts w:asciiTheme="minorEastAsia" w:hAnsiTheme="minorEastAsia" w:eastAsiaTheme="minorEastAsia"/>
                <w:sz w:val="24"/>
              </w:rPr>
            </w:pPr>
            <w:r>
              <w:rPr>
                <w:rFonts w:hint="eastAsia" w:cs="宋体" w:asciiTheme="minorEastAsia" w:hAnsiTheme="minorEastAsia" w:eastAsiaTheme="minorEastAsia"/>
                <w:sz w:val="24"/>
              </w:rPr>
              <w:t>招标人澄清的时间</w:t>
            </w:r>
          </w:p>
        </w:tc>
        <w:tc>
          <w:tcPr>
            <w:tcW w:w="6441" w:type="dxa"/>
            <w:vAlign w:val="center"/>
          </w:tcPr>
          <w:p>
            <w:pPr>
              <w:spacing w:line="400" w:lineRule="exact"/>
              <w:rPr>
                <w:rFonts w:cs="仿宋_GB2312" w:asciiTheme="minorEastAsia" w:hAnsiTheme="minorEastAsia" w:eastAsiaTheme="minorEastAsia"/>
                <w:sz w:val="24"/>
              </w:rPr>
            </w:pPr>
            <w:r>
              <w:rPr>
                <w:rFonts w:hint="eastAsia" w:cs="宋体" w:asciiTheme="minorEastAsia" w:hAnsiTheme="minorEastAsia" w:eastAsia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分  包</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偏  离</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w:t>
            </w:r>
          </w:p>
        </w:tc>
        <w:tc>
          <w:tcPr>
            <w:tcW w:w="2384" w:type="dxa"/>
            <w:gridSpan w:val="4"/>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构成招标文件的其他材料</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2.1.1</w:t>
            </w:r>
          </w:p>
        </w:tc>
        <w:tc>
          <w:tcPr>
            <w:tcW w:w="2384" w:type="dxa"/>
            <w:gridSpan w:val="4"/>
            <w:vAlign w:val="center"/>
          </w:tcPr>
          <w:p>
            <w:pPr>
              <w:spacing w:line="400" w:lineRule="exact"/>
              <w:jc w:val="center"/>
              <w:rPr>
                <w:rFonts w:cs="黑体" w:asciiTheme="minorEastAsia" w:hAnsiTheme="minorEastAsia" w:eastAsiaTheme="minorEastAsia"/>
                <w:sz w:val="24"/>
              </w:rPr>
            </w:pPr>
            <w:r>
              <w:rPr>
                <w:rFonts w:hint="eastAsia" w:cs="宋体" w:asciiTheme="minorEastAsia" w:hAnsiTheme="minorEastAsia" w:eastAsiaTheme="minorEastAsia"/>
                <w:kern w:val="0"/>
                <w:sz w:val="24"/>
              </w:rPr>
              <w:t>招标文件及图纸的下载</w:t>
            </w:r>
          </w:p>
        </w:tc>
        <w:tc>
          <w:tcPr>
            <w:tcW w:w="6441" w:type="dxa"/>
          </w:tcPr>
          <w:p>
            <w:pPr>
              <w:autoSpaceDE w:val="0"/>
              <w:autoSpaceDN w:val="0"/>
              <w:adjustRightInd w:val="0"/>
              <w:spacing w:line="400" w:lineRule="exact"/>
              <w:rPr>
                <w:rFonts w:asciiTheme="minorEastAsia" w:hAnsiTheme="minorEastAsia" w:eastAsiaTheme="minorEastAsia"/>
                <w:sz w:val="24"/>
              </w:rPr>
            </w:pPr>
            <w:r>
              <w:rPr>
                <w:rFonts w:hint="eastAsia" w:cs="仿宋_GB2312" w:asciiTheme="minorEastAsia" w:hAnsiTheme="minorEastAsia" w:eastAsiaTheme="minorEastAsia"/>
                <w:sz w:val="24"/>
              </w:rPr>
              <w:t>招标文件的获取：投标人于投标文件递交截止时间前均可登录【全国公共资源交易平台(河南省▪许昌市)】（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cs="仿宋_GB2312" w:asciiTheme="minorEastAsia" w:hAnsiTheme="minorEastAsia" w:eastAsiaTheme="minorEastAsia"/>
                <w:sz w:val="24"/>
              </w:rPr>
              <w:t>http://www.</w:t>
            </w:r>
            <w:r>
              <w:rPr>
                <w:rFonts w:hint="eastAsia" w:cs="仿宋_GB2312" w:asciiTheme="minorEastAsia" w:hAnsiTheme="minorEastAsia" w:eastAsiaTheme="minorEastAsia"/>
                <w:sz w:val="24"/>
                <w:lang w:val="en-US" w:eastAsia="zh-CN"/>
              </w:rPr>
              <w:t>ggzy</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xuchang.gov.</w:t>
            </w:r>
            <w:r>
              <w:rPr>
                <w:rFonts w:hint="eastAsia" w:cs="仿宋_GB2312" w:asciiTheme="minorEastAsia" w:hAnsiTheme="minorEastAsia" w:eastAsiaTheme="minorEastAsia"/>
                <w:sz w:val="24"/>
              </w:rPr>
              <w:t>c</w:t>
            </w:r>
            <w:r>
              <w:rPr>
                <w:rFonts w:hint="eastAsia" w:cs="仿宋_GB2312" w:asciiTheme="minorEastAsia" w:hAnsiTheme="minorEastAsia" w:eastAsiaTheme="minorEastAsia"/>
                <w:sz w:val="24"/>
                <w:lang w:val="en-US" w:eastAsia="zh-CN"/>
              </w:rPr>
              <w:t>n</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rPr>
              <w:fldChar w:fldCharType="end"/>
            </w:r>
            <w:r>
              <w:rPr>
                <w:rFonts w:hint="eastAsia" w:cs="仿宋_GB2312" w:asciiTheme="minorEastAsia" w:hAnsiTheme="minorEastAsia" w:eastAsiaTheme="minorEastAsia"/>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2.2.1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投标人要求澄清招标文件的截止时间</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2.2.2</w:t>
            </w:r>
          </w:p>
        </w:tc>
        <w:tc>
          <w:tcPr>
            <w:tcW w:w="2384" w:type="dxa"/>
            <w:gridSpan w:val="4"/>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投标截止时间</w:t>
            </w:r>
          </w:p>
        </w:tc>
        <w:tc>
          <w:tcPr>
            <w:tcW w:w="6441" w:type="dxa"/>
            <w:vAlign w:val="center"/>
          </w:tcPr>
          <w:p>
            <w:pPr>
              <w:spacing w:line="400" w:lineRule="exact"/>
              <w:rPr>
                <w:rFonts w:cs="宋体" w:asciiTheme="minorEastAsia" w:hAnsiTheme="minorEastAsia" w:eastAsiaTheme="minorEastAsia"/>
                <w:color w:val="FF0000"/>
                <w:sz w:val="24"/>
              </w:rPr>
            </w:pPr>
            <w:r>
              <w:rPr>
                <w:rFonts w:hint="eastAsia" w:ascii="宋体" w:hAnsi="宋体" w:cs="宋体"/>
                <w:color w:val="000000"/>
                <w:sz w:val="24"/>
              </w:rPr>
              <w:t>20</w:t>
            </w:r>
            <w:r>
              <w:rPr>
                <w:rFonts w:hint="eastAsia" w:ascii="宋体" w:hAnsi="宋体" w:cs="宋体"/>
                <w:color w:val="000000"/>
                <w:sz w:val="24"/>
                <w:lang w:val="en-US" w:eastAsia="zh-CN"/>
              </w:rPr>
              <w:t>20</w:t>
            </w:r>
            <w:r>
              <w:rPr>
                <w:rFonts w:hint="eastAsia" w:ascii="宋体" w:hAnsi="宋体" w:cs="宋体"/>
                <w:color w:val="000000"/>
                <w:sz w:val="24"/>
              </w:rPr>
              <w:t>年</w:t>
            </w:r>
            <w:r>
              <w:rPr>
                <w:rFonts w:hint="eastAsia" w:ascii="宋体" w:hAnsi="宋体" w:cs="宋体"/>
                <w:color w:val="000000"/>
                <w:sz w:val="24"/>
                <w:lang w:val="en-US" w:eastAsia="zh-CN"/>
              </w:rPr>
              <w:t>1</w:t>
            </w:r>
            <w:r>
              <w:rPr>
                <w:rFonts w:hint="eastAsia" w:ascii="宋体" w:hAnsi="宋体" w:cs="宋体"/>
                <w:color w:val="000000"/>
                <w:sz w:val="24"/>
              </w:rPr>
              <w:t>月</w:t>
            </w:r>
            <w:r>
              <w:rPr>
                <w:rFonts w:hint="eastAsia" w:ascii="宋体" w:hAnsi="宋体" w:cs="宋体"/>
                <w:color w:val="000000"/>
                <w:sz w:val="24"/>
                <w:lang w:val="en-US" w:eastAsia="zh-CN"/>
              </w:rPr>
              <w:t>16</w:t>
            </w:r>
            <w:r>
              <w:rPr>
                <w:rFonts w:hint="eastAsia" w:ascii="宋体" w:hAnsi="宋体" w:cs="宋体"/>
                <w:color w:val="000000"/>
                <w:sz w:val="24"/>
              </w:rPr>
              <w:t>日</w:t>
            </w:r>
            <w:r>
              <w:rPr>
                <w:rFonts w:hint="eastAsia" w:ascii="宋体" w:hAnsi="宋体" w:cs="宋体"/>
                <w:color w:val="000000"/>
                <w:sz w:val="24"/>
                <w:lang w:val="en-US" w:eastAsia="zh-CN"/>
              </w:rPr>
              <w:t>8</w:t>
            </w:r>
            <w:r>
              <w:rPr>
                <w:rFonts w:hint="eastAsia" w:ascii="宋体" w:hAnsi="宋体" w:cs="宋体"/>
                <w:color w:val="000000"/>
                <w:sz w:val="24"/>
              </w:rPr>
              <w:t>时30分</w:t>
            </w:r>
            <w:r>
              <w:rPr>
                <w:rFonts w:hint="eastAsia" w:cs="宋体" w:asciiTheme="minorEastAsia" w:hAnsiTheme="minorEastAsia" w:eastAsiaTheme="minorEastAsia"/>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2.2.3</w:t>
            </w:r>
          </w:p>
        </w:tc>
        <w:tc>
          <w:tcPr>
            <w:tcW w:w="2384" w:type="dxa"/>
            <w:gridSpan w:val="4"/>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投标人确认收到招标文件澄清的时间</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招标人发出24小时内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0"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2.3.2</w:t>
            </w:r>
          </w:p>
        </w:tc>
        <w:tc>
          <w:tcPr>
            <w:tcW w:w="2384" w:type="dxa"/>
            <w:gridSpan w:val="4"/>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投标人确认收到招标文件修改的时间</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招标人发出24小时内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构成投标文件的其他材料</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投标有效期</w:t>
            </w:r>
          </w:p>
        </w:tc>
        <w:tc>
          <w:tcPr>
            <w:tcW w:w="6441" w:type="dxa"/>
            <w:vAlign w:val="center"/>
          </w:tcPr>
          <w:p>
            <w:pPr>
              <w:spacing w:line="400" w:lineRule="exact"/>
              <w:rPr>
                <w:rFonts w:cs="宋体" w:asciiTheme="minorEastAsia" w:hAnsiTheme="minorEastAsia" w:eastAsiaTheme="minorEastAsia"/>
                <w:kern w:val="0"/>
                <w:sz w:val="24"/>
              </w:rPr>
            </w:pPr>
            <w:r>
              <w:rPr>
                <w:rFonts w:hint="eastAsia" w:cs="仿宋_GB2312" w:asciiTheme="minorEastAsia" w:hAnsiTheme="minorEastAsia" w:eastAsiaTheme="minorEastAsia"/>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3.4.1</w:t>
            </w:r>
          </w:p>
        </w:tc>
        <w:tc>
          <w:tcPr>
            <w:tcW w:w="2384" w:type="dxa"/>
            <w:gridSpan w:val="4"/>
            <w:vAlign w:val="center"/>
          </w:tcPr>
          <w:p>
            <w:pPr>
              <w:autoSpaceDE w:val="0"/>
              <w:autoSpaceDN w:val="0"/>
              <w:adjustRightInd w:val="0"/>
              <w:spacing w:line="420" w:lineRule="exact"/>
              <w:jc w:val="center"/>
              <w:rPr>
                <w:rFonts w:hAnsi="宋体" w:cs="仿宋_GB2312"/>
                <w:sz w:val="24"/>
              </w:rPr>
            </w:pPr>
          </w:p>
          <w:p>
            <w:pPr>
              <w:autoSpaceDE w:val="0"/>
              <w:autoSpaceDN w:val="0"/>
              <w:adjustRightInd w:val="0"/>
              <w:spacing w:line="420" w:lineRule="exact"/>
              <w:jc w:val="center"/>
              <w:rPr>
                <w:rFonts w:hAnsi="宋体" w:cs="仿宋_GB2312"/>
                <w:sz w:val="24"/>
              </w:rPr>
            </w:pPr>
          </w:p>
          <w:p>
            <w:pPr>
              <w:autoSpaceDE w:val="0"/>
              <w:autoSpaceDN w:val="0"/>
              <w:adjustRightInd w:val="0"/>
              <w:spacing w:line="420" w:lineRule="exact"/>
              <w:jc w:val="center"/>
              <w:rPr>
                <w:rFonts w:hAnsi="宋体" w:cs="仿宋_GB2312"/>
                <w:sz w:val="24"/>
              </w:rPr>
            </w:pPr>
          </w:p>
          <w:p>
            <w:pPr>
              <w:autoSpaceDE w:val="0"/>
              <w:autoSpaceDN w:val="0"/>
              <w:adjustRightInd w:val="0"/>
              <w:spacing w:line="420" w:lineRule="exact"/>
              <w:jc w:val="center"/>
              <w:rPr>
                <w:rFonts w:hAnsi="宋体" w:cs="仿宋_GB2312"/>
                <w:sz w:val="24"/>
              </w:rPr>
            </w:pPr>
          </w:p>
          <w:p>
            <w:pPr>
              <w:autoSpaceDE w:val="0"/>
              <w:autoSpaceDN w:val="0"/>
              <w:adjustRightInd w:val="0"/>
              <w:spacing w:line="420" w:lineRule="exact"/>
              <w:jc w:val="center"/>
              <w:rPr>
                <w:rFonts w:hAnsi="宋体" w:cs="仿宋_GB2312"/>
                <w:sz w:val="24"/>
              </w:rPr>
            </w:pPr>
          </w:p>
          <w:p>
            <w:pPr>
              <w:autoSpaceDE w:val="0"/>
              <w:autoSpaceDN w:val="0"/>
              <w:adjustRightInd w:val="0"/>
              <w:spacing w:line="420" w:lineRule="exact"/>
              <w:jc w:val="center"/>
              <w:rPr>
                <w:rFonts w:cs="宋体" w:asciiTheme="minorEastAsia" w:hAnsiTheme="minorEastAsia" w:eastAsiaTheme="minorEastAsia"/>
                <w:kern w:val="0"/>
                <w:sz w:val="24"/>
              </w:rPr>
            </w:pPr>
            <w:r>
              <w:rPr>
                <w:rFonts w:hint="eastAsia" w:hAnsi="宋体" w:cs="仿宋_GB2312"/>
                <w:sz w:val="24"/>
              </w:rPr>
              <w:t>投标保证金须知</w:t>
            </w:r>
          </w:p>
        </w:tc>
        <w:tc>
          <w:tcPr>
            <w:tcW w:w="6441" w:type="dxa"/>
            <w:vAlign w:val="center"/>
          </w:tcPr>
          <w:p>
            <w:pPr>
              <w:autoSpaceDE w:val="0"/>
              <w:autoSpaceDN w:val="0"/>
              <w:adjustRightInd w:val="0"/>
              <w:spacing w:line="276" w:lineRule="auto"/>
              <w:rPr>
                <w:rFonts w:hAnsi="宋体" w:cs="仿宋_GB2312"/>
                <w:sz w:val="24"/>
              </w:rPr>
            </w:pPr>
            <w:r>
              <w:rPr>
                <w:rFonts w:hint="eastAsia" w:hAnsi="宋体" w:cs="仿宋_GB2312"/>
                <w:sz w:val="24"/>
              </w:rPr>
              <w:t>1、因投标人的原因无法及时退还投标（竞买）保证金、滞留三年以上的，投标（竞买）保证金上缴财政。</w:t>
            </w:r>
          </w:p>
          <w:p>
            <w:pPr>
              <w:autoSpaceDE w:val="0"/>
              <w:autoSpaceDN w:val="0"/>
              <w:adjustRightInd w:val="0"/>
              <w:spacing w:line="276" w:lineRule="auto"/>
              <w:rPr>
                <w:rFonts w:hAnsi="宋体" w:cs="仿宋_GB2312"/>
                <w:sz w:val="24"/>
              </w:rPr>
            </w:pPr>
            <w:r>
              <w:rPr>
                <w:rFonts w:hint="eastAsia" w:hAnsi="宋体" w:cs="仿宋_GB2312"/>
                <w:sz w:val="24"/>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276" w:lineRule="auto"/>
              <w:rPr>
                <w:rFonts w:hAnsi="宋体" w:cs="仿宋_GB2312"/>
                <w:sz w:val="24"/>
              </w:rPr>
            </w:pPr>
            <w:r>
              <w:rPr>
                <w:rFonts w:hint="eastAsia" w:hAnsi="宋体" w:cs="仿宋_GB2312"/>
                <w:sz w:val="24"/>
              </w:rPr>
              <w:t xml:space="preserve">3、基本户备案流程： </w:t>
            </w:r>
          </w:p>
          <w:p>
            <w:pPr>
              <w:autoSpaceDE w:val="0"/>
              <w:autoSpaceDN w:val="0"/>
              <w:adjustRightInd w:val="0"/>
              <w:spacing w:line="276"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00" w:lineRule="exact"/>
              <w:jc w:val="left"/>
              <w:rPr>
                <w:rFonts w:cs="仿宋_GB2312" w:asciiTheme="minorEastAsia" w:hAnsiTheme="minorEastAsia" w:eastAsiaTheme="minorEastAsia"/>
                <w:sz w:val="24"/>
              </w:rPr>
            </w:pPr>
            <w:r>
              <w:rPr>
                <w:rFonts w:hint="eastAsia" w:hAnsi="宋体" w:cs="仿宋_GB2312"/>
                <w:sz w:val="24"/>
              </w:rPr>
              <w:t>4、特殊情况处理  投标人投标过程中因账户开户银行、银行账号发生变化，不能按照来款途径原路返还投标保证金的，投标人须提供原账户开户银行相关证明及新开账户开户许可证，到中心</w:t>
            </w:r>
            <w:r>
              <w:rPr>
                <w:rFonts w:hint="eastAsia" w:hAnsi="宋体" w:cs="仿宋_GB2312"/>
                <w:sz w:val="24"/>
                <w:lang w:val="en-US" w:eastAsia="zh-CN"/>
              </w:rPr>
              <w:t>一</w:t>
            </w:r>
            <w:r>
              <w:rPr>
                <w:rFonts w:hint="eastAsia" w:hAnsi="宋体" w:cs="仿宋_GB2312"/>
                <w:sz w:val="24"/>
              </w:rPr>
              <w:t>楼交易见证部办理退款手续（0374-2968027）。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w:t>
            </w:r>
          </w:p>
        </w:tc>
        <w:tc>
          <w:tcPr>
            <w:tcW w:w="2384" w:type="dxa"/>
            <w:gridSpan w:val="4"/>
            <w:vAlign w:val="center"/>
          </w:tcPr>
          <w:p>
            <w:pPr>
              <w:autoSpaceDE w:val="0"/>
              <w:autoSpaceDN w:val="0"/>
              <w:adjustRightInd w:val="0"/>
              <w:spacing w:line="420" w:lineRule="exact"/>
              <w:jc w:val="center"/>
              <w:rPr>
                <w:rFonts w:cs="仿宋_GB2312" w:asciiTheme="minorEastAsia" w:hAnsiTheme="minorEastAsia" w:eastAsiaTheme="minorEastAsia"/>
                <w:sz w:val="24"/>
              </w:rPr>
            </w:pPr>
            <w:r>
              <w:rPr>
                <w:rFonts w:hint="eastAsia" w:hAnsi="宋体" w:cs="仿宋_GB2312"/>
                <w:sz w:val="24"/>
              </w:rPr>
              <w:t>投标保证金</w:t>
            </w:r>
          </w:p>
        </w:tc>
        <w:tc>
          <w:tcPr>
            <w:tcW w:w="6441" w:type="dxa"/>
            <w:vAlign w:val="center"/>
          </w:tcPr>
          <w:p>
            <w:pPr>
              <w:autoSpaceDE w:val="0"/>
              <w:autoSpaceDN w:val="0"/>
              <w:adjustRightInd w:val="0"/>
              <w:spacing w:line="360" w:lineRule="auto"/>
              <w:jc w:val="left"/>
              <w:rPr>
                <w:rFonts w:hAnsi="宋体" w:cs="宋体"/>
                <w:sz w:val="24"/>
              </w:rPr>
            </w:pPr>
            <w:r>
              <w:rPr>
                <w:rFonts w:hint="eastAsia" w:hAnsi="宋体" w:cs="宋体"/>
                <w:sz w:val="24"/>
              </w:rPr>
              <w:t>投标保证金递交截止时间：（同投标截止时间）。</w:t>
            </w:r>
          </w:p>
          <w:p>
            <w:pPr>
              <w:autoSpaceDE w:val="0"/>
              <w:autoSpaceDN w:val="0"/>
              <w:adjustRightInd w:val="0"/>
              <w:spacing w:line="360" w:lineRule="auto"/>
              <w:jc w:val="left"/>
              <w:rPr>
                <w:rFonts w:hAnsi="宋体" w:cs="宋体"/>
                <w:b/>
                <w:bCs/>
                <w:sz w:val="24"/>
              </w:rPr>
            </w:pPr>
            <w:r>
              <w:rPr>
                <w:rFonts w:hint="eastAsia" w:hAnsi="宋体" w:cs="宋体"/>
                <w:b/>
                <w:bCs/>
                <w:sz w:val="24"/>
              </w:rPr>
              <w:t>金额：￥</w:t>
            </w:r>
            <w:r>
              <w:rPr>
                <w:rFonts w:hint="eastAsia" w:hAnsi="宋体" w:cs="宋体"/>
                <w:b/>
                <w:bCs/>
                <w:sz w:val="24"/>
                <w:lang w:val="en-US" w:eastAsia="zh-CN"/>
              </w:rPr>
              <w:t>19</w:t>
            </w:r>
            <w:r>
              <w:rPr>
                <w:rFonts w:hint="eastAsia" w:hAnsi="宋体" w:cs="宋体"/>
                <w:b/>
                <w:bCs/>
                <w:sz w:val="24"/>
              </w:rPr>
              <w:t>000.00元（</w:t>
            </w:r>
            <w:r>
              <w:rPr>
                <w:rFonts w:hint="eastAsia" w:hAnsi="宋体" w:cs="宋体"/>
                <w:b/>
                <w:sz w:val="24"/>
              </w:rPr>
              <w:t>大写：</w:t>
            </w:r>
            <w:r>
              <w:rPr>
                <w:rFonts w:hint="eastAsia" w:hAnsi="宋体" w:cs="宋体"/>
                <w:b/>
                <w:sz w:val="24"/>
                <w:lang w:val="en-US" w:eastAsia="zh-CN"/>
              </w:rPr>
              <w:t>壹万玖仟元整</w:t>
            </w:r>
            <w:r>
              <w:rPr>
                <w:rFonts w:hint="eastAsia" w:hAnsi="宋体" w:cs="宋体"/>
                <w:b/>
                <w:bCs/>
                <w:sz w:val="24"/>
              </w:rPr>
              <w:t>）</w:t>
            </w:r>
          </w:p>
          <w:p>
            <w:pPr>
              <w:numPr>
                <w:ilvl w:val="0"/>
                <w:numId w:val="4"/>
              </w:numPr>
              <w:autoSpaceDE w:val="0"/>
              <w:autoSpaceDN w:val="0"/>
              <w:adjustRightInd w:val="0"/>
              <w:spacing w:line="276" w:lineRule="auto"/>
              <w:rPr>
                <w:rFonts w:hAnsi="宋体" w:cs="宋体"/>
                <w:sz w:val="24"/>
                <w:lang w:val="zh-CN"/>
              </w:rPr>
            </w:pP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276" w:lineRule="auto"/>
              <w:rPr>
                <w:rFonts w:hAnsi="宋体" w:cs="宋体"/>
                <w:sz w:val="24"/>
                <w:lang w:val="zh-CN"/>
              </w:rPr>
            </w:pPr>
            <w:r>
              <w:rPr>
                <w:rFonts w:hint="eastAsia"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276"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276"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276" w:lineRule="auto"/>
              <w:rPr>
                <w:rFonts w:hAnsi="宋体" w:cs="宋体"/>
                <w:sz w:val="24"/>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276"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276"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276"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276"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276"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276"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276" w:lineRule="auto"/>
              <w:rPr>
                <w:rFonts w:hAnsi="宋体" w:cs="宋体"/>
                <w:sz w:val="24"/>
              </w:rPr>
            </w:pPr>
            <w:r>
              <w:rPr>
                <w:rFonts w:hint="eastAsia" w:hAnsi="宋体" w:cs="宋体"/>
                <w:sz w:val="24"/>
              </w:rPr>
              <w:t>(2)投标保证金未按照招标文件划分的标段依次转账。</w:t>
            </w:r>
          </w:p>
          <w:p>
            <w:pPr>
              <w:autoSpaceDE w:val="0"/>
              <w:autoSpaceDN w:val="0"/>
              <w:adjustRightInd w:val="0"/>
              <w:spacing w:line="276"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276" w:lineRule="auto"/>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400" w:lineRule="exact"/>
              <w:jc w:val="left"/>
              <w:rPr>
                <w:rFonts w:asciiTheme="minorEastAsia" w:hAnsiTheme="minorEastAsia" w:eastAsiaTheme="minorEastAsia"/>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近年财务状况的年份要求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2016年、2017年、2018年度（若公司成立未满三年，从成立当年算起）。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3.5.3</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近年完成的类似项目的年份要求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近年，2016年1月1日至今，以合同签订时间为准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3.5.4</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近年荣誉的年份要求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3.5.5</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近年发生的诉讼及仲裁情况的年份要求</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是否允许递交备选投标方案</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0" w:type="dxa"/>
            <w:vAlign w:val="center"/>
          </w:tcPr>
          <w:p>
            <w:pPr>
              <w:autoSpaceDE w:val="0"/>
              <w:autoSpaceDN w:val="0"/>
              <w:adjustRightInd w:val="0"/>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3.7.3</w:t>
            </w:r>
          </w:p>
        </w:tc>
        <w:tc>
          <w:tcPr>
            <w:tcW w:w="2384" w:type="dxa"/>
            <w:gridSpan w:val="4"/>
            <w:vAlign w:val="center"/>
          </w:tcPr>
          <w:p>
            <w:pPr>
              <w:autoSpaceDE w:val="0"/>
              <w:autoSpaceDN w:val="0"/>
              <w:adjustRightInd w:val="0"/>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签字和（或）盖章要求</w:t>
            </w:r>
          </w:p>
        </w:tc>
        <w:tc>
          <w:tcPr>
            <w:tcW w:w="6441" w:type="dxa"/>
            <w:vAlign w:val="center"/>
          </w:tcPr>
          <w:p>
            <w:pPr>
              <w:autoSpaceDE w:val="0"/>
              <w:autoSpaceDN w:val="0"/>
              <w:adjustRightInd w:val="0"/>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3.7.4</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投标文件份数</w:t>
            </w:r>
          </w:p>
        </w:tc>
        <w:tc>
          <w:tcPr>
            <w:tcW w:w="6441" w:type="dxa"/>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lang w:val="zh-CN"/>
              </w:rPr>
              <w:t>1</w:t>
            </w: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（2）使用电子介质存储的投标文件2份文件格式为：xxx公司XXX（项目编号）.bin）、同时生成与电子投标文件内容、水印码、电子签章一致的PDF文件2份（用于监督部门、招标人及代理机构存档）。</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2、电子介质（U盘）须用标签标注投标单位名称、项目编号。</w:t>
            </w:r>
          </w:p>
          <w:p>
            <w:pPr>
              <w:spacing w:line="400" w:lineRule="exact"/>
              <w:rPr>
                <w:rFonts w:cs="宋体" w:asciiTheme="minorEastAsia" w:hAnsiTheme="minorEastAsia" w:eastAsiaTheme="minorEastAsia"/>
                <w:kern w:val="0"/>
                <w:sz w:val="24"/>
              </w:rPr>
            </w:pPr>
            <w:r>
              <w:rPr>
                <w:rFonts w:hint="eastAsia" w:ascii="新宋体" w:hAnsi="新宋体" w:eastAsia="新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3.7.5</w:t>
            </w:r>
          </w:p>
        </w:tc>
        <w:tc>
          <w:tcPr>
            <w:tcW w:w="2384" w:type="dxa"/>
            <w:gridSpan w:val="4"/>
            <w:vAlign w:val="center"/>
          </w:tcPr>
          <w:p>
            <w:pPr>
              <w:autoSpaceDE w:val="0"/>
              <w:autoSpaceDN w:val="0"/>
              <w:adjustRightInd w:val="0"/>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装订要求</w:t>
            </w:r>
          </w:p>
        </w:tc>
        <w:tc>
          <w:tcPr>
            <w:tcW w:w="6441" w:type="dxa"/>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封套上写明</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招标人地址：</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招标人名称：</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项目名称） (标段名称)</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投标人名称：（盖章）</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递交投标文件地点</w:t>
            </w:r>
          </w:p>
        </w:tc>
        <w:tc>
          <w:tcPr>
            <w:tcW w:w="6441" w:type="dxa"/>
            <w:vAlign w:val="center"/>
          </w:tcPr>
          <w:p>
            <w:pPr>
              <w:spacing w:line="400" w:lineRule="exact"/>
              <w:rPr>
                <w:rFonts w:cs="宋体" w:asciiTheme="minorEastAsia" w:hAnsiTheme="minorEastAsia" w:eastAsiaTheme="minorEastAsia"/>
                <w:kern w:val="0"/>
                <w:sz w:val="24"/>
              </w:rPr>
            </w:pPr>
            <w:r>
              <w:rPr>
                <w:rFonts w:hint="eastAsia" w:hAnsi="宋体" w:cs="宋体"/>
                <w:sz w:val="24"/>
              </w:rPr>
              <w:t>许昌市公共资源交易中心开</w:t>
            </w:r>
            <w:r>
              <w:rPr>
                <w:rFonts w:hint="eastAsia" w:hAnsi="宋体" w:cs="宋体"/>
                <w:sz w:val="24"/>
                <w:lang w:val="en-US" w:eastAsia="zh-CN"/>
              </w:rPr>
              <w:t>五</w:t>
            </w:r>
            <w:r>
              <w:rPr>
                <w:rFonts w:hint="eastAsia" w:hAnsi="宋体" w:cs="宋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是否退还投标文件</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开标时间和地点</w:t>
            </w:r>
          </w:p>
        </w:tc>
        <w:tc>
          <w:tcPr>
            <w:tcW w:w="6441" w:type="dxa"/>
            <w:vAlign w:val="center"/>
          </w:tcPr>
          <w:p>
            <w:pPr>
              <w:autoSpaceDE w:val="0"/>
              <w:autoSpaceDN w:val="0"/>
              <w:adjustRightInd w:val="0"/>
              <w:spacing w:line="40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开标时间：同投标截止时间</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开标程序</w:t>
            </w:r>
          </w:p>
        </w:tc>
        <w:tc>
          <w:tcPr>
            <w:tcW w:w="644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密封情况检查：由投标人代表对密封情况进行检查</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90"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6.1</w:t>
            </w:r>
          </w:p>
        </w:tc>
        <w:tc>
          <w:tcPr>
            <w:tcW w:w="2384" w:type="dxa"/>
            <w:gridSpan w:val="4"/>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评标委员会的组建</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评标委员会构成：从河南省综合评标专家库中随机抽取相关经济、技术4人和招标人代表1名（其中含造价专业2人）。</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90" w:type="dxa"/>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7.1</w:t>
            </w:r>
          </w:p>
        </w:tc>
        <w:tc>
          <w:tcPr>
            <w:tcW w:w="2384" w:type="dxa"/>
            <w:gridSpan w:val="4"/>
            <w:vAlign w:val="center"/>
          </w:tcPr>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是否授权评标委员会</w:t>
            </w:r>
          </w:p>
          <w:p>
            <w:pPr>
              <w:spacing w:line="4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确定中标人</w:t>
            </w:r>
          </w:p>
        </w:tc>
        <w:tc>
          <w:tcPr>
            <w:tcW w:w="6441" w:type="dxa"/>
            <w:vAlign w:val="center"/>
          </w:tcPr>
          <w:p>
            <w:pPr>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15" w:type="dxa"/>
            <w:gridSpan w:val="6"/>
            <w:vAlign w:val="center"/>
          </w:tcPr>
          <w:p>
            <w:pPr>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15" w:type="dxa"/>
            <w:gridSpan w:val="6"/>
            <w:vAlign w:val="center"/>
          </w:tcPr>
          <w:p>
            <w:pPr>
              <w:spacing w:line="40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w:t>
            </w:r>
          </w:p>
        </w:tc>
        <w:tc>
          <w:tcPr>
            <w:tcW w:w="2281" w:type="dxa"/>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类似项目</w:t>
            </w:r>
          </w:p>
        </w:tc>
        <w:tc>
          <w:tcPr>
            <w:tcW w:w="6465" w:type="dxa"/>
            <w:gridSpan w:val="2"/>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指2016年1月1日（以合同签订时间为准）以来，承建过单项合同金额不低于本项目招标控制价的</w:t>
            </w:r>
            <w:r>
              <w:rPr>
                <w:rFonts w:hint="eastAsia" w:asciiTheme="minorEastAsia" w:hAnsiTheme="minorEastAsia" w:eastAsiaTheme="minorEastAsia"/>
                <w:sz w:val="24"/>
                <w:lang w:val="en-US" w:eastAsia="zh-CN"/>
              </w:rPr>
              <w:t>类似</w:t>
            </w:r>
            <w:r>
              <w:rPr>
                <w:rFonts w:hint="eastAsia" w:asciiTheme="minorEastAsia" w:hAnsiTheme="minorEastAsia" w:eastAsiaTheme="minor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w:t>
            </w: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10.2.1</w:t>
            </w:r>
          </w:p>
        </w:tc>
        <w:tc>
          <w:tcPr>
            <w:tcW w:w="2281" w:type="dxa"/>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p>
            <w:pPr>
              <w:spacing w:line="400" w:lineRule="exact"/>
              <w:rPr>
                <w:rFonts w:cs="宋体" w:asciiTheme="minorEastAsia" w:hAnsiTheme="minorEastAsia" w:eastAsiaTheme="minorEastAsia"/>
                <w:kern w:val="0"/>
                <w:sz w:val="24"/>
              </w:rPr>
            </w:pPr>
          </w:p>
        </w:tc>
        <w:tc>
          <w:tcPr>
            <w:tcW w:w="6465" w:type="dxa"/>
            <w:gridSpan w:val="2"/>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本工程设招标控制价： </w:t>
            </w:r>
          </w:p>
          <w:p>
            <w:pPr>
              <w:keepNext/>
              <w:spacing w:line="400" w:lineRule="exact"/>
              <w:rPr>
                <w:rFonts w:hint="eastAsia" w:cs="宋体" w:asciiTheme="minorEastAsia" w:hAnsiTheme="minorEastAsia" w:eastAsiaTheme="minorEastAsia"/>
                <w:b/>
                <w:bCs/>
                <w:kern w:val="0"/>
                <w:sz w:val="24"/>
                <w:lang w:eastAsia="zh-CN"/>
              </w:rPr>
            </w:pPr>
            <w:r>
              <w:rPr>
                <w:rFonts w:hint="eastAsia" w:cs="宋体" w:asciiTheme="minorEastAsia" w:hAnsiTheme="minorEastAsia" w:eastAsiaTheme="minorEastAsia"/>
                <w:b/>
                <w:bCs/>
                <w:kern w:val="0"/>
                <w:sz w:val="24"/>
              </w:rPr>
              <w:t>大写：</w:t>
            </w:r>
            <w:r>
              <w:rPr>
                <w:rFonts w:hint="eastAsia" w:cs="宋体" w:asciiTheme="minorEastAsia" w:hAnsiTheme="minorEastAsia" w:eastAsiaTheme="minorEastAsia"/>
                <w:b/>
                <w:bCs/>
                <w:kern w:val="0"/>
                <w:sz w:val="24"/>
                <w:lang w:val="en-US" w:eastAsia="zh-CN"/>
              </w:rPr>
              <w:t>玖拾捌万柒仟玖佰陆拾玖元零肆分</w:t>
            </w:r>
          </w:p>
          <w:p>
            <w:pPr>
              <w:keepNext/>
              <w:spacing w:line="400" w:lineRule="exac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小写：</w:t>
            </w:r>
            <w:r>
              <w:rPr>
                <w:rFonts w:hint="eastAsia" w:cs="宋体" w:asciiTheme="minorEastAsia" w:hAnsiTheme="minorEastAsia" w:eastAsiaTheme="minorEastAsia"/>
                <w:b/>
                <w:bCs/>
                <w:kern w:val="0"/>
                <w:sz w:val="24"/>
                <w:lang w:val="en-US" w:eastAsia="zh-CN"/>
              </w:rPr>
              <w:t>987969.04</w:t>
            </w:r>
            <w:r>
              <w:rPr>
                <w:rFonts w:hint="eastAsia" w:cs="宋体" w:asciiTheme="minorEastAsia" w:hAnsiTheme="minorEastAsia" w:eastAsiaTheme="minorEastAsia"/>
                <w:b/>
                <w:bCs/>
                <w:kern w:val="0"/>
                <w:sz w:val="24"/>
              </w:rPr>
              <w:t>元</w:t>
            </w:r>
          </w:p>
          <w:p>
            <w:pPr>
              <w:spacing w:line="400" w:lineRule="exac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10.2.2</w:t>
            </w:r>
          </w:p>
        </w:tc>
        <w:tc>
          <w:tcPr>
            <w:tcW w:w="2281" w:type="dxa"/>
            <w:vAlign w:val="center"/>
          </w:tcPr>
          <w:p>
            <w:pPr>
              <w:spacing w:line="340" w:lineRule="exact"/>
              <w:ind w:firstLine="480" w:firstLineChars="200"/>
              <w:rPr>
                <w:rFonts w:hAnsi="宋体" w:cs="宋体"/>
                <w:sz w:val="24"/>
              </w:rPr>
            </w:pPr>
            <w:r>
              <w:rPr>
                <w:rFonts w:hint="eastAsia" w:hAnsi="宋体" w:cs="宋体"/>
                <w:sz w:val="24"/>
              </w:rPr>
              <w:t>履约保证金</w:t>
            </w:r>
          </w:p>
        </w:tc>
        <w:tc>
          <w:tcPr>
            <w:tcW w:w="6465" w:type="dxa"/>
            <w:gridSpan w:val="2"/>
            <w:vAlign w:val="center"/>
          </w:tcPr>
          <w:p>
            <w:pPr>
              <w:spacing w:line="340" w:lineRule="exact"/>
              <w:rPr>
                <w:rFonts w:hAnsi="宋体" w:cs="宋体"/>
                <w:sz w:val="24"/>
              </w:rPr>
            </w:pPr>
            <w:r>
              <w:rPr>
                <w:rFonts w:hint="eastAsia" w:hAnsi="宋体" w:cs="宋体"/>
                <w:sz w:val="24"/>
              </w:rPr>
              <w:t>履约保证金递交方式：由中标人基本账户转帐；</w:t>
            </w:r>
          </w:p>
          <w:p>
            <w:pPr>
              <w:spacing w:line="340" w:lineRule="exact"/>
              <w:rPr>
                <w:rFonts w:hAnsi="宋体" w:cs="宋体"/>
                <w:sz w:val="24"/>
              </w:rPr>
            </w:pPr>
            <w:r>
              <w:rPr>
                <w:rFonts w:hint="eastAsia" w:hAnsi="宋体" w:cs="宋体"/>
                <w:sz w:val="24"/>
              </w:rPr>
              <w:t>履约保证金递交时间：中标公示期满后，与在招标人签订合同前（招标人应向中标人发出中标通知书并与其在三十日内签订合同）；</w:t>
            </w:r>
          </w:p>
          <w:p>
            <w:pPr>
              <w:spacing w:line="340" w:lineRule="exact"/>
              <w:rPr>
                <w:rFonts w:hAnsi="宋体" w:cs="宋体"/>
                <w:sz w:val="24"/>
              </w:rPr>
            </w:pPr>
            <w:r>
              <w:rPr>
                <w:rFonts w:hint="eastAsia" w:hAnsi="宋体" w:cs="宋体"/>
                <w:sz w:val="24"/>
              </w:rPr>
              <w:t>履约保证金的金额：中标合同金额的5%；（百元取整）</w:t>
            </w:r>
          </w:p>
          <w:p>
            <w:pPr>
              <w:spacing w:line="340" w:lineRule="exact"/>
              <w:rPr>
                <w:rFonts w:hAnsi="宋体" w:cs="宋体"/>
                <w:sz w:val="24"/>
              </w:rPr>
            </w:pPr>
            <w:r>
              <w:rPr>
                <w:rFonts w:hint="eastAsia" w:hAnsi="宋体" w:cs="宋体"/>
                <w:sz w:val="24"/>
              </w:rPr>
              <w:t>有下列情形之一的履约保证金不予退还:</w:t>
            </w:r>
          </w:p>
          <w:p>
            <w:pPr>
              <w:spacing w:line="340" w:lineRule="exact"/>
              <w:rPr>
                <w:rFonts w:hAnsi="宋体" w:cs="宋体"/>
                <w:sz w:val="24"/>
              </w:rPr>
            </w:pPr>
            <w:r>
              <w:rPr>
                <w:rFonts w:hint="eastAsia" w:hAnsi="宋体" w:cs="宋体"/>
                <w:sz w:val="24"/>
              </w:rPr>
              <w:t>在合同履行过程中，发现中标人与其它投标人串通投标的或者以他人名义投标的；</w:t>
            </w:r>
          </w:p>
          <w:p>
            <w:pPr>
              <w:spacing w:line="340" w:lineRule="exact"/>
              <w:rPr>
                <w:rFonts w:hAnsi="宋体" w:cs="宋体"/>
                <w:sz w:val="24"/>
              </w:rPr>
            </w:pPr>
            <w:r>
              <w:rPr>
                <w:rFonts w:hint="eastAsia" w:hAnsi="宋体" w:cs="宋体"/>
                <w:sz w:val="24"/>
              </w:rPr>
              <w:t>在合同履行过程中，发现中标人有弄虚作假行为，情节严重由相关部门调查处理的；</w:t>
            </w:r>
          </w:p>
          <w:p>
            <w:pPr>
              <w:spacing w:line="340" w:lineRule="exact"/>
              <w:rPr>
                <w:rFonts w:hAnsi="宋体" w:cs="宋体"/>
                <w:sz w:val="24"/>
              </w:rPr>
            </w:pPr>
            <w:r>
              <w:rPr>
                <w:rFonts w:hint="eastAsia" w:hAnsi="宋体" w:cs="宋体"/>
                <w:sz w:val="24"/>
              </w:rPr>
              <w:t>中标人向他人转让中标项目或将中标项目肢解后分别向他人转让；</w:t>
            </w:r>
          </w:p>
          <w:p>
            <w:pPr>
              <w:spacing w:line="340" w:lineRule="exact"/>
              <w:rPr>
                <w:rFonts w:hAnsi="宋体" w:cs="宋体"/>
                <w:sz w:val="24"/>
              </w:rPr>
            </w:pPr>
            <w:r>
              <w:rPr>
                <w:rFonts w:hint="eastAsia" w:hAnsi="宋体" w:cs="宋体"/>
                <w:sz w:val="24"/>
              </w:rPr>
              <w:t>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69" w:type="dxa"/>
            <w:gridSpan w:val="3"/>
            <w:vAlign w:val="center"/>
          </w:tcPr>
          <w:p>
            <w:pPr>
              <w:spacing w:line="40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10.2.3</w:t>
            </w:r>
          </w:p>
        </w:tc>
        <w:tc>
          <w:tcPr>
            <w:tcW w:w="2281" w:type="dxa"/>
            <w:vAlign w:val="center"/>
          </w:tcPr>
          <w:p>
            <w:pPr>
              <w:autoSpaceDE w:val="0"/>
              <w:autoSpaceDN w:val="0"/>
              <w:adjustRightInd w:val="0"/>
              <w:jc w:val="center"/>
              <w:rPr>
                <w:rFonts w:hAnsi="宋体" w:cs="仿宋_GB2312"/>
                <w:sz w:val="24"/>
                <w:szCs w:val="22"/>
              </w:rPr>
            </w:pPr>
            <w:r>
              <w:rPr>
                <w:rFonts w:hint="eastAsia" w:hAnsi="宋体" w:cs="仿宋_GB2312"/>
                <w:sz w:val="24"/>
                <w:szCs w:val="22"/>
              </w:rPr>
              <w:t>农民工工资保证金</w:t>
            </w:r>
          </w:p>
        </w:tc>
        <w:tc>
          <w:tcPr>
            <w:tcW w:w="6465" w:type="dxa"/>
            <w:gridSpan w:val="2"/>
            <w:vAlign w:val="center"/>
          </w:tcPr>
          <w:p>
            <w:pPr>
              <w:autoSpaceDE w:val="0"/>
              <w:autoSpaceDN w:val="0"/>
              <w:adjustRightInd w:val="0"/>
              <w:rPr>
                <w:rFonts w:hAnsi="宋体" w:cs="仿宋_GB2312"/>
                <w:sz w:val="24"/>
                <w:szCs w:val="22"/>
              </w:rPr>
            </w:pPr>
            <w:r>
              <w:rPr>
                <w:rFonts w:hint="eastAsia" w:hAnsi="宋体" w:cs="仿宋_GB2312"/>
                <w:sz w:val="24"/>
                <w:szCs w:val="22"/>
              </w:rPr>
              <w:t>按照《许昌市水利建设领域保障农民工工资支付工作管理办法》（许市水[2018]153号）文件要求，“施工总承包企业应在工程开工前按照中标价的2%向建设单位缴纳农民工工资保证金，并由建设单位将施工总承包企业缴纳农民工工资保证金的银行凭证向工程所在地水行政主管部门报备”，</w:t>
            </w:r>
            <w:r>
              <w:rPr>
                <w:rFonts w:hint="eastAsia" w:hAnsi="宋体" w:cs="仿宋_GB2312"/>
                <w:b/>
                <w:bCs/>
                <w:sz w:val="24"/>
                <w:szCs w:val="22"/>
              </w:rPr>
              <w:t>施工标段投标人必须在标书中作如下承诺：1．承诺中标后及时、足额缴纳农民工工资保证金。2．承诺依法足额支付农民工工资，一旦其承建的工程项目出现拖欠农民工工资情况的，可由建设单位从其缴纳的农民工工资保证金中先予垫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ind w:firstLine="352" w:firstLineChars="147"/>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在中标通知书发出前，招标人将中标候选人的情况在《全国公共资源交易平台(河南省</w:t>
            </w:r>
            <w:r>
              <w:rPr>
                <w:rFonts w:hint="eastAsia" w:hAnsi="MS Mincho" w:eastAsia="MS Mincho" w:cs="MS Mincho" w:asciiTheme="minorEastAsia"/>
                <w:sz w:val="24"/>
              </w:rPr>
              <w:t>▪</w:t>
            </w:r>
            <w:r>
              <w:rPr>
                <w:rFonts w:hint="eastAsia" w:cs="宋体" w:asciiTheme="minorEastAsia" w:hAnsiTheme="minorEastAsia" w:eastAsiaTheme="minorEastAsia"/>
                <w:sz w:val="24"/>
              </w:rPr>
              <w:t>许昌市)》、《河南省电子招标投标公共服务平台》和</w:t>
            </w:r>
            <w:r>
              <w:rPr>
                <w:rFonts w:hint="eastAsia" w:hAnsi="宋体" w:cs="宋体"/>
                <w:sz w:val="24"/>
              </w:rPr>
              <w:t>《河南省水利网》</w:t>
            </w:r>
            <w:r>
              <w:rPr>
                <w:rFonts w:hint="eastAsia" w:cs="宋体" w:asciiTheme="minorEastAsia" w:hAnsiTheme="minorEastAsia" w:eastAsiaTheme="minorEastAsia"/>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50" w:type="dxa"/>
            <w:gridSpan w:val="2"/>
            <w:vAlign w:val="center"/>
          </w:tcPr>
          <w:p>
            <w:pPr>
              <w:spacing w:line="400" w:lineRule="exact"/>
              <w:rPr>
                <w:rFonts w:cs="宋体" w:asciiTheme="minorEastAsia" w:hAnsiTheme="minorEastAsia" w:eastAsiaTheme="minorEastAsia"/>
                <w:kern w:val="0"/>
                <w:sz w:val="24"/>
              </w:rPr>
            </w:pPr>
          </w:p>
        </w:tc>
        <w:tc>
          <w:tcPr>
            <w:tcW w:w="8765" w:type="dxa"/>
            <w:gridSpan w:val="4"/>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10.10投标文件的拒收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1、投标文件逾期送达或未送达指定地点的；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2、未按招标文件要求密封和标识的；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r>
              <w:rPr>
                <w:rFonts w:hint="eastAsia" w:cs="仿宋_GB2312" w:asciiTheme="minorEastAsia" w:hAnsiTheme="minorEastAsia" w:eastAsiaTheme="minorEastAsia"/>
                <w:sz w:val="24"/>
              </w:rPr>
              <w:t>未按招标文件要求缴纳投标保证金的；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4、开标时授权委托人未携带有效的授权委托书及本人身份证到开标现场并签到的；</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5、未按规定支付招标文件费用的；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15" w:type="dxa"/>
            <w:gridSpan w:val="6"/>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cs="宋体" w:asciiTheme="minorEastAsia" w:hAnsiTheme="minorEastAsia" w:eastAsiaTheme="minorEastAsia"/>
                <w:kern w:val="0"/>
                <w:sz w:val="24"/>
              </w:rPr>
            </w:pPr>
          </w:p>
        </w:tc>
        <w:tc>
          <w:tcPr>
            <w:tcW w:w="8746" w:type="dxa"/>
            <w:gridSpan w:val="3"/>
            <w:vAlign w:val="center"/>
          </w:tcPr>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招标文件及有关资料费：1000元/套，售后不退。</w:t>
            </w:r>
          </w:p>
          <w:p>
            <w:pPr>
              <w:spacing w:line="400" w:lineRule="exact"/>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15" w:type="dxa"/>
            <w:gridSpan w:val="6"/>
            <w:vAlign w:val="center"/>
          </w:tcPr>
          <w:p>
            <w:pPr>
              <w:spacing w:line="400" w:lineRule="exact"/>
              <w:rPr>
                <w:rFonts w:ascii="宋体" w:hAnsi="宋体" w:cs="宋体"/>
                <w:sz w:val="24"/>
              </w:rPr>
            </w:pPr>
            <w:r>
              <w:rPr>
                <w:rFonts w:hint="eastAsia" w:ascii="宋体" w:hAnsi="宋体" w:cs="宋体"/>
                <w:kern w:val="0"/>
                <w:sz w:val="24"/>
              </w:rPr>
              <w:t>10.12特别提示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ascii="宋体" w:hAnsi="宋体" w:cs="宋体"/>
                <w:kern w:val="0"/>
                <w:sz w:val="24"/>
              </w:rPr>
            </w:pPr>
          </w:p>
        </w:tc>
        <w:tc>
          <w:tcPr>
            <w:tcW w:w="8746" w:type="dxa"/>
            <w:gridSpan w:val="3"/>
            <w:vAlign w:val="center"/>
          </w:tcPr>
          <w:p>
            <w:pPr>
              <w:autoSpaceDE w:val="0"/>
              <w:autoSpaceDN w:val="0"/>
              <w:spacing w:line="440" w:lineRule="exact"/>
              <w:jc w:val="left"/>
              <w:rPr>
                <w:rFonts w:hAnsi="宋体" w:cs="宋体"/>
                <w:sz w:val="24"/>
                <w:szCs w:val="22"/>
              </w:rPr>
            </w:pPr>
            <w:r>
              <w:rPr>
                <w:rFonts w:hint="eastAsia" w:hAnsi="宋体" w:cs="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sz w:val="24"/>
                <w:szCs w:val="22"/>
              </w:rPr>
            </w:pPr>
            <w:r>
              <w:rPr>
                <w:rFonts w:hint="eastAsia" w:hAnsi="宋体" w:cs="宋体"/>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Ansi="宋体" w:cs="宋体"/>
                <w:sz w:val="24"/>
                <w:szCs w:val="22"/>
              </w:rPr>
            </w:pPr>
            <w:r>
              <w:rPr>
                <w:rFonts w:hint="eastAsia" w:hAnsi="宋体" w:cs="宋体"/>
                <w:sz w:val="24"/>
                <w:szCs w:val="22"/>
              </w:rPr>
              <w:t>3、投标人在投标截止时间前应随时关注《全国公共资源交易平台（河南省·许昌市）》公共资源交易系统发出的有关本项目的答疑、修改等相关内容。所有不能显示网页截图查询日期的文件，视同未提供相应文件。</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00" w:lineRule="exact"/>
              <w:jc w:val="left"/>
              <w:outlineLvl w:val="0"/>
              <w:rPr>
                <w:rFonts w:ascii="宋体" w:hAnsi="宋体"/>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9" w:type="dxa"/>
            <w:gridSpan w:val="3"/>
            <w:vAlign w:val="center"/>
          </w:tcPr>
          <w:p>
            <w:pPr>
              <w:spacing w:line="400" w:lineRule="exact"/>
              <w:rPr>
                <w:rFonts w:hint="default" w:ascii="宋体" w:hAnsi="宋体" w:eastAsia="宋体" w:cs="宋体"/>
                <w:kern w:val="0"/>
                <w:sz w:val="24"/>
                <w:lang w:val="en-US" w:eastAsia="zh-CN"/>
              </w:rPr>
            </w:pPr>
            <w:r>
              <w:rPr>
                <w:rFonts w:hint="eastAsia" w:ascii="宋体" w:hAnsi="宋体" w:cs="宋体"/>
                <w:kern w:val="0"/>
                <w:sz w:val="24"/>
                <w:lang w:val="en-US" w:eastAsia="zh-CN"/>
              </w:rPr>
              <w:t>10.13</w:t>
            </w:r>
          </w:p>
        </w:tc>
        <w:tc>
          <w:tcPr>
            <w:tcW w:w="8746" w:type="dxa"/>
            <w:gridSpan w:val="3"/>
            <w:vAlign w:val="center"/>
          </w:tcPr>
          <w:p>
            <w:pPr>
              <w:spacing w:line="360" w:lineRule="auto"/>
              <w:ind w:firstLine="480" w:firstLineChars="200"/>
              <w:rPr>
                <w:rFonts w:hint="eastAsia" w:hAnsi="宋体" w:cs="宋体"/>
                <w:sz w:val="24"/>
              </w:rPr>
            </w:pPr>
            <w:r>
              <w:rPr>
                <w:rFonts w:hint="eastAsia" w:hAnsi="宋体" w:cs="宋体"/>
                <w:b/>
                <w:bCs/>
                <w:sz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widowControl/>
        <w:jc w:val="left"/>
        <w:rPr>
          <w:rFonts w:ascii="宋体" w:hAnsi="宋体" w:cs="宋体"/>
          <w:b/>
          <w:bCs/>
          <w:kern w:val="0"/>
          <w:sz w:val="36"/>
          <w:szCs w:val="36"/>
        </w:rPr>
      </w:pPr>
    </w:p>
    <w:bookmarkEnd w:id="2"/>
    <w:bookmarkEnd w:id="3"/>
    <w:bookmarkEnd w:id="4"/>
    <w:bookmarkEnd w:id="5"/>
    <w:p>
      <w:pPr>
        <w:autoSpaceDE w:val="0"/>
        <w:autoSpaceDN w:val="0"/>
        <w:adjustRightInd w:val="0"/>
        <w:snapToGrid w:val="0"/>
        <w:spacing w:line="360" w:lineRule="auto"/>
        <w:jc w:val="left"/>
        <w:rPr>
          <w:rFonts w:ascii="宋体" w:hAnsi="宋体" w:cs="宋体"/>
          <w:b/>
          <w:bCs/>
          <w:sz w:val="24"/>
        </w:rPr>
      </w:pPr>
      <w:bookmarkStart w:id="8" w:name="_Toc215282127"/>
      <w:bookmarkStart w:id="9" w:name="_Toc215282133"/>
      <w:r>
        <w:rPr>
          <w:rFonts w:hint="eastAsia" w:ascii="宋体" w:hAnsi="宋体"/>
          <w:b/>
          <w:bCs/>
          <w:sz w:val="22"/>
          <w:szCs w:val="28"/>
        </w:rPr>
        <w:br w:type="page"/>
      </w:r>
      <w:bookmarkStart w:id="10" w:name="_Toc1059"/>
      <w:r>
        <w:rPr>
          <w:rFonts w:hint="eastAsia" w:ascii="宋体" w:hAnsi="宋体" w:cs="宋体"/>
          <w:b/>
          <w:bCs/>
          <w:sz w:val="24"/>
        </w:rPr>
        <w:t>1. 总则</w:t>
      </w:r>
      <w:bookmarkEnd w:id="8"/>
      <w:bookmarkEnd w:id="10"/>
    </w:p>
    <w:p>
      <w:pPr>
        <w:autoSpaceDE w:val="0"/>
        <w:autoSpaceDN w:val="0"/>
        <w:adjustRightInd w:val="0"/>
        <w:snapToGrid w:val="0"/>
        <w:spacing w:line="360" w:lineRule="auto"/>
        <w:jc w:val="left"/>
        <w:rPr>
          <w:rFonts w:ascii="宋体" w:hAnsi="宋体" w:cs="宋体"/>
          <w:b/>
          <w:bCs/>
          <w:sz w:val="24"/>
        </w:rPr>
      </w:pPr>
      <w:bookmarkStart w:id="11" w:name="_Toc152042306"/>
      <w:bookmarkStart w:id="12" w:name="_Toc152045530"/>
      <w:bookmarkStart w:id="13" w:name="_Toc144974498"/>
      <w:bookmarkStart w:id="14" w:name="_Toc179632547"/>
      <w:r>
        <w:rPr>
          <w:rFonts w:hint="eastAsia" w:ascii="宋体" w:hAnsi="宋体" w:cs="宋体"/>
          <w:b/>
          <w:bCs/>
          <w:sz w:val="24"/>
        </w:rPr>
        <w:t>1.1 项目概况</w:t>
      </w:r>
      <w:bookmarkEnd w:id="11"/>
      <w:bookmarkEnd w:id="12"/>
      <w:bookmarkEnd w:id="13"/>
      <w:bookmarkEnd w:id="14"/>
      <w:r>
        <w:rPr>
          <w:rFonts w:hint="eastAsia" w:ascii="宋体" w:hAnsi="宋体" w:cs="宋体"/>
          <w:b/>
          <w:bCs/>
          <w:sz w:val="24"/>
        </w:rPr>
        <w:tab/>
      </w:r>
    </w:p>
    <w:p>
      <w:pPr>
        <w:pStyle w:val="21"/>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1.1.1根据《中华人民共和国招标投标法》等有关法律、法规和规章的规定，本招标项目已具备招标条件，现对本工程进行公开招标。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1.1.2 本招标项目招标人：见投标人须知前附表。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1.1.4 本招标项目地点：见投标人须知前附表。</w:t>
      </w:r>
    </w:p>
    <w:p>
      <w:pPr>
        <w:autoSpaceDE w:val="0"/>
        <w:autoSpaceDN w:val="0"/>
        <w:adjustRightInd w:val="0"/>
        <w:snapToGrid w:val="0"/>
        <w:spacing w:line="360" w:lineRule="auto"/>
        <w:jc w:val="left"/>
        <w:rPr>
          <w:rFonts w:ascii="宋体" w:hAnsi="宋体" w:cs="宋体"/>
          <w:b/>
          <w:bCs/>
          <w:sz w:val="24"/>
        </w:rPr>
      </w:pPr>
      <w:bookmarkStart w:id="15" w:name="_Toc152042307"/>
      <w:bookmarkStart w:id="16" w:name="_Toc152045531"/>
      <w:bookmarkStart w:id="17" w:name="_Toc179632548"/>
      <w:bookmarkStart w:id="18" w:name="_Toc144974499"/>
      <w:r>
        <w:rPr>
          <w:rFonts w:hint="eastAsia" w:ascii="宋体" w:hAnsi="宋体" w:cs="宋体"/>
          <w:b/>
          <w:bCs/>
          <w:sz w:val="24"/>
        </w:rPr>
        <w:t>1.2 资金来源和落实情况</w:t>
      </w:r>
      <w:bookmarkEnd w:id="15"/>
      <w:bookmarkEnd w:id="16"/>
      <w:bookmarkEnd w:id="17"/>
      <w:bookmarkEnd w:id="18"/>
    </w:p>
    <w:p>
      <w:pPr>
        <w:adjustRightInd w:val="0"/>
        <w:snapToGrid w:val="0"/>
        <w:spacing w:line="360" w:lineRule="auto"/>
        <w:ind w:firstLine="480" w:firstLineChars="200"/>
        <w:rPr>
          <w:rFonts w:ascii="宋体" w:hAnsi="宋体" w:cs="宋体"/>
          <w:sz w:val="24"/>
        </w:rPr>
      </w:pPr>
      <w:r>
        <w:rPr>
          <w:rFonts w:hint="eastAsia" w:ascii="宋体" w:hAnsi="宋体" w:cs="宋体"/>
          <w:sz w:val="24"/>
        </w:rPr>
        <w:t>1.2.1 本招标项目的资金来源及出资比例：见投标人须知前附表。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1.2.2本招标项目的资金落实情况：见投标人须知前附表。</w:t>
      </w:r>
    </w:p>
    <w:p>
      <w:pPr>
        <w:autoSpaceDE w:val="0"/>
        <w:autoSpaceDN w:val="0"/>
        <w:adjustRightInd w:val="0"/>
        <w:snapToGrid w:val="0"/>
        <w:spacing w:line="360" w:lineRule="auto"/>
        <w:jc w:val="left"/>
        <w:rPr>
          <w:rFonts w:ascii="宋体" w:hAnsi="宋体" w:cs="宋体"/>
          <w:b/>
          <w:bCs/>
          <w:sz w:val="24"/>
        </w:rPr>
      </w:pPr>
      <w:bookmarkStart w:id="19" w:name="_Toc152042308"/>
      <w:bookmarkStart w:id="20" w:name="_Toc152045532"/>
      <w:bookmarkStart w:id="21" w:name="_Toc179632549"/>
      <w:bookmarkStart w:id="22" w:name="_Toc144974500"/>
      <w:r>
        <w:rPr>
          <w:rFonts w:hint="eastAsia" w:ascii="宋体" w:hAnsi="宋体" w:cs="宋体"/>
          <w:b/>
          <w:bCs/>
          <w:sz w:val="24"/>
        </w:rPr>
        <w:t>1.3 标段划分、招标范围、工期、质量要求及安全</w:t>
      </w:r>
      <w:bookmarkEnd w:id="19"/>
      <w:bookmarkEnd w:id="20"/>
      <w:bookmarkEnd w:id="21"/>
      <w:bookmarkEnd w:id="22"/>
      <w:r>
        <w:rPr>
          <w:rFonts w:hint="eastAsia" w:ascii="宋体" w:hAnsi="宋体" w:cs="宋体"/>
          <w:b/>
          <w:bCs/>
          <w:sz w:val="24"/>
        </w:rPr>
        <w:t>目标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1.3.1 标段划分：见投标人须知前附表。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1.3.2本招标项目的招标范围：见投标人须知前附表。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1.3.3 本招标项目的计划工期要求：见投标人须知前附表。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1.3.4 本招标项目的质量要求：见投标人须知前附表。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1.3.5 本招标项目的安全目标：见投标人须知前附表。</w:t>
      </w:r>
    </w:p>
    <w:p>
      <w:pPr>
        <w:autoSpaceDE w:val="0"/>
        <w:autoSpaceDN w:val="0"/>
        <w:adjustRightInd w:val="0"/>
        <w:snapToGrid w:val="0"/>
        <w:spacing w:line="360" w:lineRule="auto"/>
        <w:jc w:val="left"/>
        <w:rPr>
          <w:rFonts w:ascii="宋体" w:hAnsi="宋体" w:cs="宋体"/>
          <w:b/>
          <w:bCs/>
          <w:sz w:val="24"/>
        </w:rPr>
      </w:pPr>
      <w:bookmarkStart w:id="23" w:name="_Toc179632550"/>
      <w:bookmarkStart w:id="24" w:name="_Toc144974501"/>
      <w:bookmarkStart w:id="25" w:name="_Toc152042309"/>
      <w:bookmarkStart w:id="26" w:name="_Toc152045533"/>
      <w:r>
        <w:rPr>
          <w:rFonts w:hint="eastAsia" w:ascii="宋体" w:hAnsi="宋体" w:cs="宋体"/>
          <w:b/>
          <w:bCs/>
          <w:sz w:val="24"/>
        </w:rPr>
        <w:t>1.4 投标人及技术负责人资格要求</w:t>
      </w:r>
      <w:bookmarkEnd w:id="23"/>
      <w:bookmarkEnd w:id="24"/>
      <w:bookmarkEnd w:id="25"/>
      <w:bookmarkEnd w:id="26"/>
    </w:p>
    <w:p>
      <w:pPr>
        <w:adjustRightInd w:val="0"/>
        <w:snapToGrid w:val="0"/>
        <w:spacing w:line="360" w:lineRule="auto"/>
        <w:ind w:firstLine="480" w:firstLineChars="200"/>
        <w:rPr>
          <w:rFonts w:ascii="宋体" w:hAnsi="宋体" w:cs="宋体"/>
          <w:sz w:val="24"/>
        </w:rPr>
      </w:pPr>
      <w:r>
        <w:rPr>
          <w:rFonts w:hint="eastAsia" w:ascii="宋体" w:hAnsi="宋体" w:cs="宋体"/>
          <w:sz w:val="24"/>
        </w:rPr>
        <w:t>1.4.1投标人、技术负责人资格要求：见投标人须知前附表。</w:t>
      </w:r>
      <w:bookmarkStart w:id="27" w:name="_Toc152045534"/>
      <w:bookmarkStart w:id="28" w:name="_Toc144974502"/>
      <w:bookmarkStart w:id="29" w:name="_Toc152042310"/>
      <w:bookmarkStart w:id="30" w:name="_Toc270513360"/>
    </w:p>
    <w:p>
      <w:pPr>
        <w:adjustRightInd w:val="0"/>
        <w:snapToGrid w:val="0"/>
        <w:spacing w:line="360" w:lineRule="auto"/>
        <w:ind w:firstLine="480" w:firstLineChars="200"/>
        <w:rPr>
          <w:rFonts w:ascii="宋体" w:hAnsi="宋体" w:cs="宋体"/>
          <w:sz w:val="24"/>
        </w:rPr>
      </w:pPr>
      <w:r>
        <w:rPr>
          <w:rFonts w:hint="eastAsia" w:ascii="宋体" w:hAnsi="宋体" w:cs="宋体"/>
          <w:sz w:val="24"/>
        </w:rPr>
        <w:t>1.4.2 投标人资格要求</w:t>
      </w:r>
      <w:bookmarkEnd w:id="27"/>
      <w:bookmarkEnd w:id="28"/>
      <w:bookmarkEnd w:id="29"/>
      <w:r>
        <w:rPr>
          <w:rFonts w:hint="eastAsia" w:ascii="宋体" w:hAnsi="宋体" w:cs="宋体"/>
          <w:sz w:val="24"/>
        </w:rPr>
        <w:t>（详见投标人须知前附表）</w:t>
      </w:r>
      <w:bookmarkEnd w:id="30"/>
    </w:p>
    <w:p>
      <w:pPr>
        <w:adjustRightInd w:val="0"/>
        <w:snapToGrid w:val="0"/>
        <w:spacing w:line="360" w:lineRule="auto"/>
        <w:ind w:firstLine="480" w:firstLineChars="200"/>
        <w:rPr>
          <w:rFonts w:ascii="宋体" w:hAnsi="宋体" w:cs="宋体"/>
          <w:sz w:val="24"/>
        </w:rPr>
      </w:pPr>
      <w:r>
        <w:rPr>
          <w:rFonts w:hint="eastAsia" w:ascii="宋体" w:hAnsi="宋体" w:cs="宋体"/>
          <w:sz w:val="24"/>
        </w:rPr>
        <w:t>1.4.3投标人不得存在下列情形之一：</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（1）为招标人不具有独立法人资格的附属机构（单位）；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（2）为本标段前期准备提供设计或咨询服务的；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（3）为本标段的监理人；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（4）为本标段的代建人；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（5）为本标段提供招标代理服务的；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（6）与本标段的监理人或代建人或招标代理机构同为一个法定代表人的；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（7）与本标段的监理人或代建人或招标代理机构相互控股或参股的；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（8）与本标段的监理人或代建人或招标代理机构相互任职或工作的；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（9）被责令停业的；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（10）被暂停或取消投标资格的；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（11）财产被接管或冻结的。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1.5 费用承担</w:t>
      </w:r>
      <w:bookmarkEnd w:id="9"/>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投标人准备和参加投标活动发生的费用自理。</w:t>
      </w:r>
    </w:p>
    <w:p>
      <w:pPr>
        <w:autoSpaceDE w:val="0"/>
        <w:autoSpaceDN w:val="0"/>
        <w:adjustRightInd w:val="0"/>
        <w:snapToGrid w:val="0"/>
        <w:spacing w:line="360" w:lineRule="auto"/>
        <w:jc w:val="left"/>
        <w:rPr>
          <w:rFonts w:ascii="宋体" w:hAnsi="宋体" w:cs="宋体"/>
          <w:b/>
          <w:sz w:val="24"/>
        </w:rPr>
      </w:pPr>
      <w:bookmarkStart w:id="31" w:name="_Toc215282134"/>
      <w:r>
        <w:rPr>
          <w:rFonts w:hint="eastAsia" w:ascii="宋体" w:hAnsi="宋体" w:cs="宋体"/>
          <w:b/>
          <w:sz w:val="24"/>
        </w:rPr>
        <w:t>1.6 保密</w:t>
      </w:r>
      <w:bookmarkEnd w:id="31"/>
    </w:p>
    <w:p>
      <w:pPr>
        <w:adjustRightInd w:val="0"/>
        <w:snapToGrid w:val="0"/>
        <w:spacing w:line="360" w:lineRule="auto"/>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autoSpaceDE w:val="0"/>
        <w:autoSpaceDN w:val="0"/>
        <w:adjustRightInd w:val="0"/>
        <w:snapToGrid w:val="0"/>
        <w:spacing w:line="360" w:lineRule="auto"/>
        <w:jc w:val="left"/>
        <w:rPr>
          <w:rFonts w:ascii="宋体" w:hAnsi="宋体" w:cs="宋体"/>
          <w:b/>
          <w:sz w:val="24"/>
        </w:rPr>
      </w:pPr>
      <w:bookmarkStart w:id="32" w:name="_Toc215282135"/>
      <w:r>
        <w:rPr>
          <w:rFonts w:hint="eastAsia" w:ascii="宋体" w:hAnsi="宋体" w:cs="宋体"/>
          <w:b/>
          <w:sz w:val="24"/>
        </w:rPr>
        <w:t>1.7 语言文字</w:t>
      </w:r>
      <w:bookmarkEnd w:id="32"/>
    </w:p>
    <w:p>
      <w:pPr>
        <w:adjustRightInd w:val="0"/>
        <w:snapToGrid w:val="0"/>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pPr>
        <w:autoSpaceDE w:val="0"/>
        <w:autoSpaceDN w:val="0"/>
        <w:adjustRightInd w:val="0"/>
        <w:snapToGrid w:val="0"/>
        <w:spacing w:line="360" w:lineRule="auto"/>
        <w:jc w:val="left"/>
        <w:rPr>
          <w:rFonts w:ascii="宋体" w:hAnsi="宋体" w:cs="宋体"/>
          <w:b/>
          <w:sz w:val="24"/>
        </w:rPr>
      </w:pPr>
      <w:bookmarkStart w:id="33" w:name="_Toc215282136"/>
      <w:r>
        <w:rPr>
          <w:rFonts w:hint="eastAsia" w:ascii="宋体" w:hAnsi="宋体" w:cs="宋体"/>
          <w:b/>
          <w:sz w:val="24"/>
        </w:rPr>
        <w:t>1.8 计量单位</w:t>
      </w:r>
      <w:bookmarkEnd w:id="33"/>
    </w:p>
    <w:p>
      <w:pPr>
        <w:adjustRightInd w:val="0"/>
        <w:snapToGrid w:val="0"/>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pPr>
        <w:autoSpaceDE w:val="0"/>
        <w:autoSpaceDN w:val="0"/>
        <w:adjustRightInd w:val="0"/>
        <w:snapToGrid w:val="0"/>
        <w:spacing w:line="360" w:lineRule="auto"/>
        <w:jc w:val="left"/>
        <w:rPr>
          <w:rFonts w:ascii="宋体" w:hAnsi="宋体" w:cs="宋体"/>
          <w:b/>
          <w:sz w:val="24"/>
        </w:rPr>
      </w:pPr>
      <w:bookmarkStart w:id="34" w:name="_Toc215282137"/>
      <w:r>
        <w:rPr>
          <w:rFonts w:hint="eastAsia" w:ascii="宋体" w:hAnsi="宋体" w:cs="宋体"/>
          <w:b/>
          <w:sz w:val="24"/>
        </w:rPr>
        <w:t>1.9 踏勘现场</w:t>
      </w:r>
      <w:bookmarkEnd w:id="34"/>
    </w:p>
    <w:p>
      <w:pPr>
        <w:adjustRightInd w:val="0"/>
        <w:snapToGrid w:val="0"/>
        <w:spacing w:line="360" w:lineRule="auto"/>
        <w:ind w:firstLine="480" w:firstLineChars="200"/>
        <w:rPr>
          <w:rFonts w:ascii="宋体" w:hAnsi="宋体" w:cs="宋体"/>
          <w:sz w:val="24"/>
        </w:rPr>
      </w:pPr>
      <w:r>
        <w:rPr>
          <w:rFonts w:hint="eastAsia" w:ascii="宋体" w:hAnsi="宋体" w:cs="宋体"/>
          <w:sz w:val="24"/>
        </w:rPr>
        <w:t>1.9.1招标人不组织踏勘现场，投标人可自行踏勘现场。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1.9.2 投标人踏勘现场发生的费用自理。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autoSpaceDE w:val="0"/>
        <w:autoSpaceDN w:val="0"/>
        <w:adjustRightInd w:val="0"/>
        <w:snapToGrid w:val="0"/>
        <w:spacing w:line="360" w:lineRule="auto"/>
        <w:jc w:val="left"/>
        <w:rPr>
          <w:rFonts w:ascii="宋体" w:hAnsi="宋体" w:cs="宋体"/>
          <w:b/>
          <w:sz w:val="24"/>
        </w:rPr>
      </w:pPr>
      <w:bookmarkStart w:id="35" w:name="_Toc215282138"/>
      <w:r>
        <w:rPr>
          <w:rFonts w:hint="eastAsia" w:ascii="宋体" w:hAnsi="宋体" w:cs="宋体"/>
          <w:b/>
          <w:sz w:val="24"/>
        </w:rPr>
        <w:t>1.10 投标预备会</w:t>
      </w:r>
      <w:bookmarkEnd w:id="35"/>
      <w:r>
        <w:rPr>
          <w:rFonts w:hint="eastAsia" w:ascii="宋体" w:hAnsi="宋体" w:cs="宋体"/>
          <w:b/>
          <w:sz w:val="24"/>
        </w:rPr>
        <w:t>（无）</w:t>
      </w:r>
      <w:bookmarkStart w:id="36" w:name="_Toc215282139"/>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1.11 分包</w:t>
      </w:r>
      <w:bookmarkEnd w:id="36"/>
      <w:r>
        <w:rPr>
          <w:rFonts w:hint="eastAsia" w:ascii="宋体" w:hAnsi="宋体" w:cs="宋体"/>
          <w:b/>
          <w:sz w:val="24"/>
        </w:rPr>
        <w:t>（见投标人须知前附表）</w:t>
      </w:r>
      <w:bookmarkStart w:id="37" w:name="_Toc215282140"/>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1.12 偏离</w:t>
      </w:r>
      <w:bookmarkEnd w:id="37"/>
      <w:r>
        <w:rPr>
          <w:rFonts w:hint="eastAsia" w:ascii="宋体" w:hAnsi="宋体" w:cs="宋体"/>
          <w:b/>
          <w:sz w:val="24"/>
        </w:rPr>
        <w:t>（不允许）</w:t>
      </w:r>
      <w:bookmarkStart w:id="38" w:name="_Toc215282141"/>
    </w:p>
    <w:p>
      <w:pPr>
        <w:autoSpaceDE w:val="0"/>
        <w:autoSpaceDN w:val="0"/>
        <w:adjustRightInd w:val="0"/>
        <w:snapToGrid w:val="0"/>
        <w:spacing w:line="360" w:lineRule="auto"/>
        <w:jc w:val="left"/>
        <w:outlineLvl w:val="1"/>
        <w:rPr>
          <w:rFonts w:ascii="Arial" w:hAnsi="Arial" w:eastAsia="黑体"/>
          <w:b/>
          <w:bCs/>
          <w:kern w:val="0"/>
          <w:sz w:val="24"/>
        </w:rPr>
      </w:pPr>
      <w:bookmarkStart w:id="39" w:name="_Toc14209"/>
      <w:r>
        <w:rPr>
          <w:rFonts w:hint="eastAsia" w:ascii="Arial" w:hAnsi="Arial" w:eastAsia="黑体"/>
          <w:b/>
          <w:bCs/>
          <w:kern w:val="0"/>
          <w:sz w:val="24"/>
        </w:rPr>
        <w:t>2. 招标文件</w:t>
      </w:r>
      <w:bookmarkEnd w:id="38"/>
      <w:bookmarkEnd w:id="39"/>
    </w:p>
    <w:p>
      <w:pPr>
        <w:autoSpaceDE w:val="0"/>
        <w:autoSpaceDN w:val="0"/>
        <w:adjustRightInd w:val="0"/>
        <w:snapToGrid w:val="0"/>
        <w:spacing w:line="360" w:lineRule="auto"/>
        <w:jc w:val="left"/>
        <w:rPr>
          <w:rFonts w:ascii="宋体" w:hAnsi="宋体" w:cs="宋体"/>
          <w:b/>
          <w:sz w:val="24"/>
        </w:rPr>
      </w:pPr>
      <w:bookmarkStart w:id="40" w:name="_Toc215282142"/>
      <w:r>
        <w:rPr>
          <w:rFonts w:hint="eastAsia" w:ascii="宋体" w:hAnsi="宋体" w:cs="宋体"/>
          <w:b/>
          <w:sz w:val="24"/>
        </w:rPr>
        <w:t>2.1 招标文件的组成</w:t>
      </w:r>
      <w:bookmarkEnd w:id="40"/>
    </w:p>
    <w:p>
      <w:pPr>
        <w:adjustRightInd w:val="0"/>
        <w:snapToGrid w:val="0"/>
        <w:spacing w:line="360" w:lineRule="auto"/>
        <w:ind w:firstLine="480" w:firstLineChars="200"/>
        <w:rPr>
          <w:rFonts w:ascii="宋体" w:hAnsi="宋体" w:cs="宋体"/>
          <w:sz w:val="24"/>
        </w:rPr>
      </w:pPr>
      <w:r>
        <w:rPr>
          <w:rFonts w:hint="eastAsia" w:ascii="宋体" w:hAnsi="宋体" w:cs="宋体"/>
          <w:sz w:val="24"/>
        </w:rPr>
        <w:t>本招标文件包括：</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（1）招标公告；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（2）投标人须知；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（3）评标办法；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（4）合同条款、协议及格式；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（6）图纸；</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（7）技术标准和要求；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（8）投标文件格式；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（9）投标人须知前附表规定的其他材料。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根据本章第2.2 款和第2.3款对招标文件所作的澄清、修改，构成招标文件的组成部分。</w:t>
      </w:r>
    </w:p>
    <w:p>
      <w:pPr>
        <w:autoSpaceDE w:val="0"/>
        <w:autoSpaceDN w:val="0"/>
        <w:adjustRightInd w:val="0"/>
        <w:snapToGrid w:val="0"/>
        <w:spacing w:line="360" w:lineRule="auto"/>
        <w:jc w:val="left"/>
        <w:rPr>
          <w:rFonts w:ascii="宋体" w:hAnsi="宋体" w:cs="宋体"/>
          <w:b/>
          <w:sz w:val="24"/>
        </w:rPr>
      </w:pPr>
      <w:bookmarkStart w:id="41" w:name="_Toc215282143"/>
      <w:r>
        <w:rPr>
          <w:rFonts w:hint="eastAsia" w:ascii="宋体" w:hAnsi="宋体" w:cs="宋体"/>
          <w:b/>
          <w:sz w:val="24"/>
        </w:rPr>
        <w:t>2.2 招标文件的澄清</w:t>
      </w:r>
      <w:bookmarkEnd w:id="41"/>
    </w:p>
    <w:p>
      <w:pPr>
        <w:adjustRightInd w:val="0"/>
        <w:snapToGrid w:val="0"/>
        <w:spacing w:line="360" w:lineRule="auto"/>
        <w:ind w:firstLine="480" w:firstLineChars="200"/>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360" w:lineRule="auto"/>
        <w:ind w:firstLine="480" w:firstLineChars="200"/>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2.3 招标文件的修改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 当招标文件（含评标、定标办法）、补充通知、答疑纪要，内容相互矛盾时，以最后发出的通知（或纪要）为准。</w:t>
      </w:r>
    </w:p>
    <w:p>
      <w:pPr>
        <w:autoSpaceDE w:val="0"/>
        <w:autoSpaceDN w:val="0"/>
        <w:adjustRightInd w:val="0"/>
        <w:snapToGrid w:val="0"/>
        <w:spacing w:line="360" w:lineRule="auto"/>
        <w:jc w:val="left"/>
        <w:outlineLvl w:val="1"/>
        <w:rPr>
          <w:rFonts w:ascii="宋体" w:hAnsi="宋体" w:cs="宋体"/>
          <w:b/>
          <w:sz w:val="24"/>
        </w:rPr>
      </w:pPr>
      <w:bookmarkStart w:id="42" w:name="_Toc215282145"/>
      <w:bookmarkStart w:id="43" w:name="_Toc30979"/>
      <w:r>
        <w:rPr>
          <w:rFonts w:hint="eastAsia" w:ascii="Arial" w:hAnsi="Arial" w:eastAsia="黑体"/>
          <w:b/>
          <w:bCs/>
          <w:kern w:val="0"/>
          <w:sz w:val="24"/>
        </w:rPr>
        <w:t>3. 投标文件</w:t>
      </w:r>
      <w:bookmarkEnd w:id="42"/>
      <w:bookmarkEnd w:id="43"/>
    </w:p>
    <w:p>
      <w:pPr>
        <w:autoSpaceDE w:val="0"/>
        <w:autoSpaceDN w:val="0"/>
        <w:adjustRightInd w:val="0"/>
        <w:snapToGrid w:val="0"/>
        <w:spacing w:line="360" w:lineRule="auto"/>
        <w:jc w:val="left"/>
        <w:rPr>
          <w:rFonts w:ascii="宋体" w:hAnsi="宋体" w:cs="宋体"/>
          <w:b/>
          <w:sz w:val="24"/>
        </w:rPr>
      </w:pPr>
      <w:bookmarkStart w:id="44" w:name="_Toc215282146"/>
      <w:r>
        <w:rPr>
          <w:rFonts w:hint="eastAsia" w:ascii="宋体" w:hAnsi="宋体" w:cs="宋体"/>
          <w:b/>
          <w:sz w:val="24"/>
        </w:rPr>
        <w:t>3.1 投标文件的组成</w:t>
      </w:r>
      <w:bookmarkEnd w:id="44"/>
    </w:p>
    <w:p>
      <w:pPr>
        <w:adjustRightInd w:val="0"/>
        <w:snapToGrid w:val="0"/>
        <w:spacing w:line="360" w:lineRule="auto"/>
        <w:rPr>
          <w:rFonts w:ascii="宋体" w:hAnsi="宋体" w:cs="宋体"/>
          <w:sz w:val="24"/>
        </w:rPr>
      </w:pPr>
      <w:bookmarkStart w:id="45" w:name="_Toc215282147"/>
      <w:r>
        <w:rPr>
          <w:rFonts w:hint="eastAsia" w:ascii="宋体" w:hAnsi="宋体" w:cs="宋体"/>
          <w:sz w:val="24"/>
        </w:rPr>
        <w:t xml:space="preserve">    投标文件包括但不限于以下内容：</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（1）投标函及投标函附录</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（2）法定代表人身份证明及授权委托书</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（3）投标保证金</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（4）已标价工程量清单</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（5）施工组织设计</w:t>
      </w:r>
    </w:p>
    <w:p>
      <w:pPr>
        <w:adjustRightInd w:val="0"/>
        <w:snapToGrid w:val="0"/>
        <w:spacing w:line="420" w:lineRule="exact"/>
        <w:ind w:firstLine="480" w:firstLineChars="2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（6）项目管理机构</w:t>
      </w:r>
      <w:r>
        <w:rPr>
          <w:rFonts w:hint="eastAsia" w:cs="宋体" w:asciiTheme="minorEastAsia" w:hAnsiTheme="minorEastAsia" w:eastAsiaTheme="minorEastAsia"/>
          <w:sz w:val="24"/>
          <w:lang w:val="en-US" w:eastAsia="zh-CN"/>
        </w:rPr>
        <w:t>配备情况</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（7）资格证明文件</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（8）近年财务状况</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（9）近年完成的类似项目情况</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（10）正在施工的和新承接的项目情况</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（11）承诺书</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（12）投标人须知前附表规定的其它材料</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3.2 投标报价</w:t>
      </w:r>
      <w:bookmarkEnd w:id="45"/>
    </w:p>
    <w:p>
      <w:pPr>
        <w:adjustRightInd w:val="0"/>
        <w:snapToGrid w:val="0"/>
        <w:spacing w:line="360" w:lineRule="auto"/>
        <w:ind w:firstLine="480" w:firstLineChars="200"/>
        <w:rPr>
          <w:rFonts w:ascii="宋体" w:hAnsi="宋体" w:cs="宋体"/>
          <w:sz w:val="24"/>
        </w:rPr>
      </w:pPr>
      <w:bookmarkStart w:id="46" w:name="_Toc215282148"/>
      <w:r>
        <w:rPr>
          <w:rFonts w:hint="eastAsia" w:ascii="宋体" w:hAnsi="宋体" w:cs="宋体"/>
          <w:sz w:val="24"/>
        </w:rPr>
        <w:t>3.2.1 投标报价编制的依据：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河南省现行水利水电工程造价规范及省、市相关配套文件；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 现场踏勘资料及招标答疑资料（如有）。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3.2.2 投标报价的有关要求：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招标人设置招标控制价，超出招标控制价的投标报价按无效标处理；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本工程招标采用合理低价的报价方式，不保证最低价中标。投标人应按招标文件有关要求并结合市场行情和自身实力编制投标报价。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(3)投标人在投标截止时间前修改投标函中的投标报价总额，应同时修改“已标价工程量清单”中的相应报价，投标报价总额为各分项金额之和。此修改须符合本章第4.3款的有关要求。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 投标人应充分考虑各类风险因素，以合理的优惠报价进行投标，报价在中标后不作调整；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 投标报价是投标人完成本工程并验收合格所需的全部费用，是单价基础上的总价；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 投标人因抢工期而发生的技术措施费、抢工费，由投标人自行负担。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3.2.3 本次招标不接受任何有选择的报价，投标文件中只允许有一个投标报价。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3.2.4 中标价即合同价。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3.2.5招标代理服务费计取办法参照国家发改委文件“计价格【2002】1980号”、“发改办价格【2003】857号”由中标人支付。</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3.3 投标有效期</w:t>
      </w:r>
      <w:bookmarkEnd w:id="46"/>
    </w:p>
    <w:p>
      <w:pPr>
        <w:adjustRightInd w:val="0"/>
        <w:snapToGrid w:val="0"/>
        <w:spacing w:line="360" w:lineRule="auto"/>
        <w:ind w:firstLine="480" w:firstLineChars="200"/>
        <w:rPr>
          <w:rFonts w:ascii="宋体" w:hAnsi="宋体" w:cs="宋体"/>
          <w:sz w:val="24"/>
        </w:rPr>
      </w:pPr>
      <w:r>
        <w:rPr>
          <w:rFonts w:hint="eastAsia" w:ascii="宋体" w:hAnsi="宋体" w:cs="宋体"/>
          <w:sz w:val="24"/>
        </w:rPr>
        <w:t>3.3.1 在投标人须知前附表规定的投标有效期内，投标人不得要求撤销或修改其投标文件。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360" w:lineRule="auto"/>
        <w:jc w:val="left"/>
        <w:rPr>
          <w:rFonts w:ascii="宋体" w:hAnsi="宋体" w:cs="宋体"/>
          <w:b/>
          <w:sz w:val="24"/>
        </w:rPr>
      </w:pPr>
      <w:bookmarkStart w:id="47" w:name="_Toc282436964"/>
      <w:r>
        <w:rPr>
          <w:rFonts w:hint="eastAsia" w:ascii="宋体" w:hAnsi="宋体" w:cs="宋体"/>
          <w:b/>
          <w:sz w:val="24"/>
        </w:rPr>
        <w:t>3.4 投标保证金</w:t>
      </w:r>
      <w:bookmarkEnd w:id="47"/>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3.4.1 投标保证金的递交</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3.4.1.1因投标人的原因无法及时退还投标（竞买）保证金、滞留三年以上的，投标（竞买）保证金上缴财政。</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3.4.1.2自文件发布之日起，投标人需进行基本户备案（建设工程项目），已备案的基本户开户银行、账户发生变化的，须重新办理备案手续。备案后方可提交投标（竞买）保证金。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lang w:val="en-US" w:eastAsia="zh-CN"/>
        </w:rPr>
        <w:t>一</w:t>
      </w:r>
      <w:r>
        <w:rPr>
          <w:rFonts w:hint="eastAsia" w:ascii="新宋体" w:hAnsi="新宋体" w:eastAsia="新宋体" w:cs="仿宋_GB2312"/>
          <w:sz w:val="24"/>
        </w:rPr>
        <w:t>楼交易见证部办理退款手续（0374-2968027）。</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投标人应按投标人须知前附表规定缴纳投标保证金。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(2)投标保证金未按照招标文件划分的标段依次转账。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（1）中标公示期满没有质疑或投诉的，5个工作日内退还非中标候选人投标保证金及银行同期活期存款利息。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jc w:val="left"/>
        <w:rPr>
          <w:rFonts w:hAnsi="宋体" w:cs="宋体"/>
          <w:sz w:val="24"/>
        </w:rPr>
      </w:pPr>
      <w:r>
        <w:rPr>
          <w:rFonts w:hint="eastAsia" w:hAnsi="宋体"/>
          <w:color w:val="000000"/>
          <w:sz w:val="24"/>
        </w:rPr>
        <w:t xml:space="preserve">    （6）退还投标保证金，除另有规定外，一般以转账方式一次性退还至投标保证金的原提交账户。</w:t>
      </w:r>
    </w:p>
    <w:p>
      <w:pPr>
        <w:tabs>
          <w:tab w:val="left" w:pos="1260"/>
        </w:tabs>
        <w:autoSpaceDE w:val="0"/>
        <w:autoSpaceDN w:val="0"/>
        <w:adjustRightInd w:val="0"/>
        <w:spacing w:line="360" w:lineRule="auto"/>
        <w:jc w:val="left"/>
        <w:rPr>
          <w:rFonts w:hAnsi="宋体" w:cs="宋体"/>
          <w:sz w:val="24"/>
        </w:rPr>
      </w:pPr>
      <w:r>
        <w:rPr>
          <w:rFonts w:hint="eastAsia" w:hAnsi="宋体" w:cs="宋体"/>
          <w:sz w:val="24"/>
        </w:rPr>
        <w:t xml:space="preserve">    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（五）拒绝履行合同义务的；</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（六）相关法律、法规规定不予退还的其它情形。 </w:t>
      </w:r>
    </w:p>
    <w:p>
      <w:pPr>
        <w:autoSpaceDE w:val="0"/>
        <w:autoSpaceDN w:val="0"/>
        <w:adjustRightInd w:val="0"/>
        <w:spacing w:line="500" w:lineRule="exact"/>
        <w:ind w:firstLine="480" w:firstLineChars="200"/>
        <w:jc w:val="left"/>
        <w:rPr>
          <w:rFonts w:hAnsi="宋体" w:cs="宋体"/>
          <w:sz w:val="24"/>
        </w:rPr>
      </w:pPr>
      <w:r>
        <w:rPr>
          <w:rFonts w:hint="eastAsia" w:ascii="新宋体" w:hAnsi="新宋体" w:eastAsia="新宋体" w:cs="仿宋_GB2312"/>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sz w:val="24"/>
          <w:lang w:val="zh-CN"/>
        </w:rPr>
        <w:t>。</w:t>
      </w:r>
      <w:r>
        <w:rPr>
          <w:rFonts w:hint="eastAsia" w:hAnsi="宋体" w:cs="宋体"/>
          <w:sz w:val="24"/>
        </w:rPr>
        <w:t xml:space="preserve"> </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3.5 资格审查资料</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3.5.1“投标人基本情况表”应附投标人资格要求中涉及的材料。</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3.5.2 “近年财务状况表”应附经会计师事务所或审计机构审计的财务会计报表，包括资产负债表、现金流量表、利润表和财务情况说明书，具体年份要求见投标人须知前附表。</w:t>
      </w:r>
    </w:p>
    <w:p>
      <w:pPr>
        <w:adjustRightInd w:val="0"/>
        <w:snapToGrid w:val="0"/>
        <w:spacing w:line="420" w:lineRule="exact"/>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3.5.3 “近年完成类似工程的情况”应附法定媒介中标（成交）公示网页截图、合同、中标通知书和完工证明，具体年份要求见投标人要求前附表。</w:t>
      </w:r>
    </w:p>
    <w:p>
      <w:pPr>
        <w:adjustRightInd w:val="0"/>
        <w:snapToGrid w:val="0"/>
        <w:spacing w:line="420" w:lineRule="exact"/>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3.5.4“正在施工的和新承接的工程情况” 应附中标通知书或合同协议书。</w:t>
      </w:r>
    </w:p>
    <w:p>
      <w:pPr>
        <w:adjustRightInd w:val="0"/>
        <w:snapToGrid w:val="0"/>
        <w:spacing w:line="420" w:lineRule="exact"/>
        <w:ind w:firstLine="480" w:firstLineChars="200"/>
      </w:pPr>
      <w:r>
        <w:rPr>
          <w:rFonts w:hint="eastAsia" w:cs="宋体" w:asciiTheme="minorEastAsia" w:hAnsiTheme="minorEastAsia" w:eastAsiaTheme="minorEastAsia"/>
          <w:sz w:val="24"/>
        </w:rPr>
        <w:t>3.5.5中标单位负责在项目建设中涉及地方关系等方面的协调,并承担由此产生的费用；同时对施工过程中的一切安全问题负责，投标人应对此项作出承诺，否则按废标处理。</w:t>
      </w:r>
    </w:p>
    <w:p>
      <w:pPr>
        <w:adjustRightInd w:val="0"/>
        <w:snapToGrid w:val="0"/>
        <w:spacing w:line="420" w:lineRule="exact"/>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资格审查资料中涉及的证明材料均应附原件扫描件或彩色图片。</w:t>
      </w:r>
    </w:p>
    <w:p>
      <w:pPr>
        <w:adjustRightInd w:val="0"/>
        <w:snapToGrid w:val="0"/>
        <w:spacing w:line="360" w:lineRule="auto"/>
        <w:ind w:firstLine="480" w:firstLineChars="200"/>
        <w:rPr>
          <w:rFonts w:ascii="宋体" w:hAnsi="宋体" w:cs="宋体"/>
          <w:b/>
          <w:bCs/>
          <w:sz w:val="24"/>
        </w:rPr>
      </w:pPr>
      <w:r>
        <w:rPr>
          <w:rFonts w:hint="eastAsia" w:ascii="宋体" w:hAnsi="宋体" w:cs="宋体"/>
          <w:b/>
          <w:bCs/>
          <w:sz w:val="24"/>
        </w:rPr>
        <w:t>在招投标期间，被河南省相关行政主管部门列入禁止在河南省进行投标的企业，所递交的投标文件无效，按废标处理。</w:t>
      </w:r>
    </w:p>
    <w:p>
      <w:pPr>
        <w:autoSpaceDE w:val="0"/>
        <w:autoSpaceDN w:val="0"/>
        <w:adjustRightInd w:val="0"/>
        <w:snapToGrid w:val="0"/>
        <w:spacing w:line="360" w:lineRule="auto"/>
        <w:jc w:val="left"/>
        <w:rPr>
          <w:rFonts w:ascii="宋体" w:hAnsi="宋体" w:cs="宋体"/>
          <w:b/>
          <w:sz w:val="24"/>
        </w:rPr>
      </w:pPr>
      <w:bookmarkStart w:id="48" w:name="_Toc215282150"/>
      <w:r>
        <w:rPr>
          <w:rFonts w:hint="eastAsia" w:ascii="宋体" w:hAnsi="宋体" w:cs="宋体"/>
          <w:b/>
          <w:sz w:val="24"/>
        </w:rPr>
        <w:t>3.</w:t>
      </w:r>
      <w:bookmarkEnd w:id="48"/>
      <w:r>
        <w:rPr>
          <w:rFonts w:hint="eastAsia" w:ascii="宋体" w:hAnsi="宋体" w:cs="宋体"/>
          <w:b/>
          <w:sz w:val="24"/>
        </w:rPr>
        <w:t>6备选投标方案（不需要）</w:t>
      </w:r>
    </w:p>
    <w:p>
      <w:pPr>
        <w:autoSpaceDE w:val="0"/>
        <w:autoSpaceDN w:val="0"/>
        <w:adjustRightInd w:val="0"/>
        <w:snapToGrid w:val="0"/>
        <w:spacing w:line="360" w:lineRule="auto"/>
        <w:jc w:val="left"/>
        <w:rPr>
          <w:rFonts w:ascii="宋体" w:hAnsi="宋体" w:cs="宋体"/>
          <w:b/>
          <w:sz w:val="24"/>
        </w:rPr>
      </w:pPr>
      <w:bookmarkStart w:id="49" w:name="_Toc215282152"/>
      <w:r>
        <w:rPr>
          <w:rFonts w:hint="eastAsia" w:ascii="宋体" w:hAnsi="宋体" w:cs="宋体"/>
          <w:b/>
          <w:sz w:val="24"/>
        </w:rPr>
        <w:t>3.7 投标文件的编制</w:t>
      </w:r>
      <w:bookmarkEnd w:id="49"/>
    </w:p>
    <w:p>
      <w:pPr>
        <w:adjustRightInd w:val="0"/>
        <w:snapToGrid w:val="0"/>
        <w:spacing w:line="420" w:lineRule="exact"/>
        <w:ind w:firstLine="480" w:firstLineChars="200"/>
        <w:rPr>
          <w:rFonts w:cs="宋体" w:asciiTheme="minorEastAsia" w:hAnsiTheme="minorEastAsia" w:eastAsiaTheme="minorEastAsia"/>
          <w:sz w:val="24"/>
        </w:rPr>
      </w:pPr>
      <w:bookmarkStart w:id="50" w:name="_Toc23256"/>
      <w:bookmarkStart w:id="51" w:name="_Toc215282153"/>
      <w:bookmarkStart w:id="52" w:name="_Toc215282154"/>
      <w:r>
        <w:rPr>
          <w:rFonts w:hint="eastAsia" w:cs="宋体" w:asciiTheme="minorEastAsia" w:hAnsiTheme="minorEastAsia" w:eastAsiaTheme="minor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3.7.2 投标文件应当对招标文件有关工期、投标有效期、质量要求、支付及招标范围作出响应。</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3.7.3 投标人登录许昌公共资源交易系统下载“许昌投标文件制作系统SEARUN V1.1”，按招标文件要求制作电子投标文件。</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3.7.4 使用电子介质存储的投标文件2份（文件格式为：xxx公司XXX（项目编号）XXX标段.bin）。</w:t>
      </w:r>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3.7.5</w:t>
      </w:r>
      <w:r>
        <w:rPr>
          <w:rFonts w:hint="eastAsia" w:hAnsi="宋体" w:cs="宋体"/>
          <w:sz w:val="24"/>
        </w:rPr>
        <w:t>同时生成与电子投标文件内容、水印码、电子签章一致的PDF文件,用于监督部门、招标人及代理机构存档。</w:t>
      </w:r>
    </w:p>
    <w:p>
      <w:pPr>
        <w:adjustRightInd w:val="0"/>
        <w:snapToGrid w:val="0"/>
        <w:spacing w:line="42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3.7.6投标文件制作技术咨询：0374-2961598。</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4. 投标</w:t>
      </w:r>
      <w:bookmarkEnd w:id="50"/>
      <w:bookmarkEnd w:id="51"/>
    </w:p>
    <w:bookmarkEnd w:id="52"/>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53" w:name="_Toc215282160"/>
      <w:bookmarkStart w:id="54" w:name="_Toc419"/>
      <w:r>
        <w:rPr>
          <w:rFonts w:hint="eastAsia" w:cs="宋体" w:asciiTheme="minorEastAsia" w:hAnsiTheme="minorEastAsia" w:eastAsiaTheme="minorEastAsia"/>
          <w:b/>
          <w:sz w:val="24"/>
        </w:rPr>
        <w:t>4.1 投标文件的密封和标记</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bookmarkStart w:id="55" w:name="_Toc215282155"/>
      <w:r>
        <w:rPr>
          <w:rFonts w:hint="eastAsia" w:cs="宋体" w:asciiTheme="minorEastAsia" w:hAnsiTheme="minorEastAsia" w:eastAsiaTheme="minorEastAsia"/>
          <w:bCs/>
          <w:sz w:val="24"/>
        </w:rPr>
        <w:t>4.1.1 使用电子介质存储的投标文件应单独密封，封套上写明“招标人名称、项目名称、投标人名称，在  年  月  日  时  分前不得开启”，并加盖单位公章及密封印章，法定代表人或委托代理人签名，在投标截止时间前递交。</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4.1.2 未按本章第4.1.1项要求密封和加写标记的投标文件，招标人不予受理。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4.2 投标文件的递交</w:t>
      </w:r>
      <w:bookmarkEnd w:id="55"/>
    </w:p>
    <w:p>
      <w:pPr>
        <w:autoSpaceDE w:val="0"/>
        <w:autoSpaceDN w:val="0"/>
        <w:spacing w:line="440" w:lineRule="exact"/>
        <w:ind w:firstLine="480" w:firstLineChars="200"/>
        <w:jc w:val="left"/>
        <w:outlineLvl w:val="0"/>
        <w:rPr>
          <w:rFonts w:hAnsi="宋体" w:cs="宋体"/>
          <w:sz w:val="24"/>
        </w:rPr>
      </w:pPr>
      <w:bookmarkStart w:id="56" w:name="_Toc215282156"/>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cs="宋体" w:asciiTheme="minorEastAsia" w:hAnsiTheme="minorEastAsia" w:eastAsiaTheme="minorEastAsia"/>
          <w:sz w:val="24"/>
        </w:rPr>
      </w:pPr>
      <w:r>
        <w:rPr>
          <w:rFonts w:hint="eastAsia" w:hAnsi="宋体" w:cs="宋体"/>
          <w:sz w:val="24"/>
        </w:rPr>
        <w:t>4.2.4 逾期送达的或者未送达指定地点的电子介质存储的投标文件，招标人不予受理。</w:t>
      </w:r>
    </w:p>
    <w:p>
      <w:pPr>
        <w:spacing w:line="420" w:lineRule="exact"/>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4.3 投标文件的修改与撤回</w:t>
      </w:r>
      <w:bookmarkEnd w:id="56"/>
      <w:bookmarkStart w:id="57" w:name="_Toc215282157"/>
      <w:bookmarkStart w:id="58" w:name="_Toc2220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项规定的投标截止时间前，投标人可以修改或撤回已提交的投标文件，电子介质存储投标文件的修改或撤回应以书面形式通知招标人。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投标人修改或撤回已提交电子介质存储投标文件的书面通知应按照投标人须知前附表第3.7.3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修改的内容为投标文件的组成部分。修改的电子介质存储投标文件应按照本章第3条、第4条规定进行编制、密封、标记和提交，并标明“修改”字样。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9"/>
        <w:spacing w:before="0" w:after="0" w:line="420" w:lineRule="exact"/>
        <w:ind w:firstLine="480" w:firstLineChars="200"/>
        <w:rPr>
          <w:rFonts w:cs="宋体" w:asciiTheme="minorEastAsia" w:hAnsiTheme="minorEastAsia" w:eastAsiaTheme="minorEastAsia"/>
          <w:sz w:val="24"/>
          <w:szCs w:val="24"/>
        </w:rPr>
      </w:pPr>
      <w:bookmarkStart w:id="59" w:name="_Toc517940870"/>
      <w:r>
        <w:rPr>
          <w:rFonts w:hint="eastAsia" w:cs="宋体" w:asciiTheme="minorEastAsia" w:hAnsiTheme="minorEastAsia" w:eastAsiaTheme="minorEastAsia"/>
          <w:sz w:val="24"/>
          <w:szCs w:val="24"/>
        </w:rPr>
        <w:t>5. 开标</w:t>
      </w:r>
      <w:bookmarkEnd w:id="57"/>
      <w:bookmarkEnd w:id="58"/>
      <w:bookmarkEnd w:id="59"/>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60" w:name="_Toc215282158"/>
      <w:r>
        <w:rPr>
          <w:rFonts w:hint="eastAsia" w:cs="宋体" w:asciiTheme="minorEastAsia" w:hAnsiTheme="minorEastAsia" w:eastAsiaTheme="minorEastAsia"/>
          <w:b/>
          <w:sz w:val="24"/>
        </w:rPr>
        <w:t>5.1 开标时间和地点</w:t>
      </w:r>
      <w:bookmarkEnd w:id="60"/>
    </w:p>
    <w:p>
      <w:pPr>
        <w:adjustRightInd w:val="0"/>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投标人在本章第2.2.2款规定的投标截止时间（开标时间）和投标人须知前附表规定的地点公开开标，并邀请所有投标人的法定代表人或委托代理人准时参加。</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b/>
          <w:sz w:val="24"/>
        </w:rPr>
      </w:pPr>
      <w:bookmarkStart w:id="61" w:name="_Toc215282159"/>
      <w:r>
        <w:rPr>
          <w:rFonts w:hint="eastAsia" w:cs="宋体" w:asciiTheme="minorEastAsia" w:hAnsiTheme="minorEastAsia" w:eastAsiaTheme="minorEastAsia"/>
          <w:b/>
          <w:sz w:val="24"/>
        </w:rPr>
        <w:t>5.2开标程序</w:t>
      </w:r>
      <w:bookmarkEnd w:id="61"/>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主持人按下列程序进行开标：</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（1）宣布投标截止时间，并公布招标人、代理机构、监督部门名称；</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（2）宣布开标纪律；</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（3）公布在投标截止时间前递交投标文件的投标人名称和投标保证金缴纳情况；</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（4）电子投标文件解密；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（5）宣布唱标顺序，按已定顺序唱标，唱标内容为：投标人名称、投标报价、质量目标、工期及其他内容，并记录；</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（6）现场抽取调整系数并宣布，同时公布招标控制价；</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（7）投标人代表、招标人代表、监标人、记录人等有关人员在开标记录上签字确认；</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（8）开标结束。</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5.2.2 电子投标文件的解密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5.2.2.1本项目为全流程电子化交易项目，电子投标文件采用双重加密。在投标截止时间到达后，分标段进行解密。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(1)投标人解密：投标人使用本单位CA数字证书远程或现场进行解密。需现场使用一体机进行解密的，请在代理机构引导下进行。</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(2)代理机构解密：代理机构按电子投标文件到达交易系统的先后顺序，使用本单位CA数字证书进行再次解密。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5.2.2.2电子投标文件解密异常情况处理</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（1）因电子交易系统异常无法解密电子投标文件的，使用电子版投标文件，以人工方式进行。</w:t>
      </w:r>
    </w:p>
    <w:p>
      <w:pPr>
        <w:autoSpaceDE w:val="0"/>
        <w:autoSpaceDN w:val="0"/>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6. 评标</w:t>
      </w:r>
      <w:bookmarkEnd w:id="53"/>
      <w:bookmarkEnd w:id="54"/>
      <w:bookmarkStart w:id="62" w:name="_Toc215282161"/>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6.1 评标委员会</w:t>
      </w:r>
      <w:bookmarkEnd w:id="62"/>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6.1.1 评标由招标人依法组建的评标委员会负责。评标委员成员人数的确定方式见投标人须知前附表。</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6.1.2 评标委员会成员有下列情形之一的，应当回避：</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（1）招标人或投标人的主要负责人的近亲属；</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（2）项目主管部门或者行政监督部门的人员；</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adjustRightInd w:val="0"/>
        <w:snapToGrid w:val="0"/>
        <w:spacing w:line="360" w:lineRule="auto"/>
        <w:jc w:val="left"/>
        <w:rPr>
          <w:rFonts w:ascii="宋体" w:hAnsi="宋体" w:cs="宋体"/>
          <w:b/>
          <w:sz w:val="24"/>
        </w:rPr>
      </w:pPr>
      <w:bookmarkStart w:id="63" w:name="_Toc215282162"/>
      <w:r>
        <w:rPr>
          <w:rFonts w:hint="eastAsia" w:ascii="宋体" w:hAnsi="宋体" w:cs="宋体"/>
          <w:b/>
          <w:sz w:val="24"/>
        </w:rPr>
        <w:t>6.2 评标原则</w:t>
      </w:r>
      <w:bookmarkEnd w:id="63"/>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评标活动遵循公平、公正、科学和择优的原则。</w:t>
      </w:r>
    </w:p>
    <w:p>
      <w:pPr>
        <w:autoSpaceDE w:val="0"/>
        <w:autoSpaceDN w:val="0"/>
        <w:adjustRightInd w:val="0"/>
        <w:snapToGrid w:val="0"/>
        <w:spacing w:line="360" w:lineRule="auto"/>
        <w:jc w:val="left"/>
        <w:rPr>
          <w:rFonts w:ascii="宋体" w:hAnsi="宋体" w:cs="宋体"/>
          <w:b/>
          <w:sz w:val="24"/>
        </w:rPr>
      </w:pPr>
      <w:bookmarkStart w:id="64" w:name="_Toc215282163"/>
      <w:r>
        <w:rPr>
          <w:rFonts w:hint="eastAsia" w:ascii="宋体" w:hAnsi="宋体" w:cs="宋体"/>
          <w:b/>
          <w:sz w:val="24"/>
        </w:rPr>
        <w:t>6.3 评标</w:t>
      </w:r>
      <w:bookmarkEnd w:id="64"/>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auto"/>
        <w:jc w:val="left"/>
        <w:rPr>
          <w:rFonts w:ascii="宋体" w:hAnsi="宋体" w:cs="宋体"/>
          <w:b/>
          <w:sz w:val="24"/>
        </w:rPr>
      </w:pPr>
      <w:bookmarkStart w:id="65" w:name="_Toc23856"/>
      <w:bookmarkStart w:id="66" w:name="_Toc215282164"/>
      <w:r>
        <w:rPr>
          <w:rFonts w:hint="eastAsia" w:ascii="宋体" w:hAnsi="宋体" w:cs="宋体"/>
          <w:b/>
          <w:sz w:val="24"/>
        </w:rPr>
        <w:t>7. 合同授予</w:t>
      </w:r>
      <w:bookmarkEnd w:id="65"/>
      <w:bookmarkEnd w:id="66"/>
    </w:p>
    <w:p>
      <w:pPr>
        <w:autoSpaceDE w:val="0"/>
        <w:autoSpaceDN w:val="0"/>
        <w:adjustRightInd w:val="0"/>
        <w:snapToGrid w:val="0"/>
        <w:spacing w:line="360" w:lineRule="auto"/>
        <w:jc w:val="left"/>
        <w:rPr>
          <w:rFonts w:ascii="宋体" w:hAnsi="宋体" w:cs="宋体"/>
          <w:b/>
          <w:sz w:val="24"/>
        </w:rPr>
      </w:pPr>
      <w:bookmarkStart w:id="67" w:name="_Toc215282165"/>
      <w:r>
        <w:rPr>
          <w:rFonts w:hint="eastAsia" w:ascii="宋体" w:hAnsi="宋体" w:cs="宋体"/>
          <w:b/>
          <w:sz w:val="24"/>
        </w:rPr>
        <w:t>7.1 定标方式</w:t>
      </w:r>
      <w:bookmarkEnd w:id="67"/>
    </w:p>
    <w:p>
      <w:pPr>
        <w:adjustRightInd w:val="0"/>
        <w:snapToGrid w:val="0"/>
        <w:spacing w:line="360" w:lineRule="auto"/>
        <w:ind w:firstLine="480" w:firstLineChars="200"/>
        <w:rPr>
          <w:rFonts w:ascii="宋体" w:hAnsi="宋体" w:cs="宋体"/>
          <w:sz w:val="24"/>
        </w:rPr>
      </w:pPr>
      <w:bookmarkStart w:id="68" w:name="_Toc215282166"/>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7.2 中标通知</w:t>
      </w:r>
      <w:bookmarkEnd w:id="6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在本章第3.3 款规定的投标有效期内，招标人以书面形式向中标人发出中标通知书，同时将中标结果通知未中标的投标人。</w:t>
      </w:r>
    </w:p>
    <w:p>
      <w:pPr>
        <w:autoSpaceDE w:val="0"/>
        <w:autoSpaceDN w:val="0"/>
        <w:adjustRightInd w:val="0"/>
        <w:snapToGrid w:val="0"/>
        <w:spacing w:line="360" w:lineRule="auto"/>
        <w:jc w:val="left"/>
        <w:rPr>
          <w:rFonts w:ascii="宋体" w:hAnsi="宋体" w:cs="宋体"/>
          <w:b/>
          <w:sz w:val="24"/>
        </w:rPr>
      </w:pPr>
      <w:bookmarkStart w:id="69" w:name="_Toc152045569"/>
      <w:bookmarkStart w:id="70" w:name="_Toc144974537"/>
      <w:bookmarkStart w:id="71" w:name="_Toc152042345"/>
      <w:bookmarkStart w:id="72" w:name="_Toc179632587"/>
      <w:bookmarkStart w:id="73" w:name="_Toc215282169"/>
      <w:r>
        <w:rPr>
          <w:rFonts w:hint="eastAsia" w:ascii="宋体" w:hAnsi="宋体" w:cs="宋体"/>
          <w:b/>
          <w:sz w:val="24"/>
        </w:rPr>
        <w:t>7.3</w:t>
      </w:r>
      <w:bookmarkEnd w:id="69"/>
      <w:bookmarkEnd w:id="70"/>
      <w:bookmarkEnd w:id="71"/>
      <w:bookmarkEnd w:id="72"/>
      <w:r>
        <w:rPr>
          <w:rFonts w:hint="eastAsia" w:ascii="宋体" w:hAnsi="宋体" w:cs="宋体"/>
          <w:b/>
          <w:sz w:val="24"/>
        </w:rPr>
        <w:t xml:space="preserve"> 履约担保</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7.3.2 中标人不能按本章第7.3.1项要求提交履约担保的，视为放弃中标，其投标保证金不予退还，给招标人造成的损失超过投标保证金数额的，中标人还应当对超过部分予以赔偿。</w:t>
      </w:r>
    </w:p>
    <w:p>
      <w:pPr>
        <w:autoSpaceDE w:val="0"/>
        <w:autoSpaceDN w:val="0"/>
        <w:adjustRightInd w:val="0"/>
        <w:snapToGrid w:val="0"/>
        <w:spacing w:line="360" w:lineRule="auto"/>
        <w:jc w:val="left"/>
        <w:rPr>
          <w:rFonts w:ascii="宋体" w:hAnsi="宋体" w:cs="宋体"/>
          <w:b/>
          <w:sz w:val="24"/>
        </w:rPr>
      </w:pPr>
      <w:bookmarkStart w:id="74" w:name="_Toc144974538"/>
      <w:bookmarkStart w:id="75" w:name="_Toc152045570"/>
      <w:bookmarkStart w:id="76" w:name="_Toc152042346"/>
      <w:bookmarkStart w:id="77" w:name="_Toc179632588"/>
      <w:r>
        <w:rPr>
          <w:rFonts w:hint="eastAsia" w:ascii="宋体" w:hAnsi="宋体" w:cs="宋体"/>
          <w:b/>
          <w:sz w:val="24"/>
        </w:rPr>
        <w:t>7.4 签订合同</w:t>
      </w:r>
      <w:bookmarkEnd w:id="74"/>
      <w:bookmarkEnd w:id="75"/>
      <w:bookmarkEnd w:id="76"/>
      <w:bookmarkEnd w:id="77"/>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360" w:lineRule="auto"/>
        <w:jc w:val="left"/>
        <w:rPr>
          <w:rFonts w:ascii="宋体" w:hAnsi="宋体" w:cs="宋体"/>
          <w:sz w:val="24"/>
        </w:rPr>
      </w:pPr>
      <w:bookmarkStart w:id="78" w:name="_Toc221950219"/>
      <w:r>
        <w:rPr>
          <w:rFonts w:hint="eastAsia" w:ascii="宋体" w:hAnsi="宋体" w:cs="宋体"/>
          <w:sz w:val="24"/>
        </w:rPr>
        <w:t xml:space="preserve">    7.4.2 发出中标通知书后，招标人无正当理由拒签合同的，招标人向中标人退还投标保证金，并按投标保证金双倍的金额赔偿投标人损失。</w:t>
      </w:r>
      <w:bookmarkEnd w:id="78"/>
    </w:p>
    <w:p>
      <w:pPr>
        <w:autoSpaceDE w:val="0"/>
        <w:autoSpaceDN w:val="0"/>
        <w:adjustRightInd w:val="0"/>
        <w:snapToGrid w:val="0"/>
        <w:spacing w:line="360" w:lineRule="auto"/>
        <w:jc w:val="left"/>
        <w:rPr>
          <w:rFonts w:ascii="宋体" w:hAnsi="宋体" w:cs="宋体"/>
          <w:b/>
          <w:sz w:val="24"/>
        </w:rPr>
      </w:pPr>
      <w:bookmarkStart w:id="79" w:name="_Toc19935"/>
      <w:r>
        <w:rPr>
          <w:rFonts w:hint="eastAsia" w:ascii="宋体" w:hAnsi="宋体" w:cs="宋体"/>
          <w:b/>
          <w:sz w:val="24"/>
        </w:rPr>
        <w:t>8. 重新招标和不再招标</w:t>
      </w:r>
      <w:bookmarkEnd w:id="73"/>
      <w:bookmarkEnd w:id="79"/>
    </w:p>
    <w:p>
      <w:pPr>
        <w:autoSpaceDE w:val="0"/>
        <w:autoSpaceDN w:val="0"/>
        <w:adjustRightInd w:val="0"/>
        <w:snapToGrid w:val="0"/>
        <w:spacing w:line="360" w:lineRule="auto"/>
        <w:jc w:val="left"/>
        <w:rPr>
          <w:rFonts w:ascii="宋体" w:hAnsi="宋体" w:cs="宋体"/>
          <w:b/>
          <w:sz w:val="24"/>
        </w:rPr>
      </w:pPr>
      <w:bookmarkStart w:id="80" w:name="_Toc215282170"/>
      <w:r>
        <w:rPr>
          <w:rFonts w:hint="eastAsia" w:ascii="宋体" w:hAnsi="宋体" w:cs="宋体"/>
          <w:b/>
          <w:sz w:val="24"/>
        </w:rPr>
        <w:t>8.1 重新招标</w:t>
      </w:r>
      <w:bookmarkEnd w:id="80"/>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有下列情形之一的，招标人将重新招标：</w:t>
      </w:r>
    </w:p>
    <w:p>
      <w:pPr>
        <w:numPr>
          <w:ilvl w:val="0"/>
          <w:numId w:val="5"/>
        </w:num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投标截止时间止，投标人少于3个的；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（2）经评标委员会评审后否决所有投标的。</w:t>
      </w:r>
    </w:p>
    <w:p>
      <w:pPr>
        <w:autoSpaceDE w:val="0"/>
        <w:autoSpaceDN w:val="0"/>
        <w:adjustRightInd w:val="0"/>
        <w:snapToGrid w:val="0"/>
        <w:spacing w:line="360" w:lineRule="auto"/>
        <w:jc w:val="left"/>
        <w:rPr>
          <w:rFonts w:ascii="宋体" w:hAnsi="宋体" w:cs="宋体"/>
          <w:b/>
          <w:sz w:val="24"/>
        </w:rPr>
      </w:pPr>
      <w:bookmarkStart w:id="81" w:name="_Toc215282171"/>
      <w:r>
        <w:rPr>
          <w:rFonts w:hint="eastAsia" w:ascii="宋体" w:hAnsi="宋体" w:cs="宋体"/>
          <w:b/>
          <w:sz w:val="24"/>
        </w:rPr>
        <w:t>8.2 不再招标</w:t>
      </w:r>
      <w:bookmarkEnd w:id="81"/>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ascii="宋体" w:hAnsi="宋体" w:cs="宋体"/>
          <w:b/>
          <w:sz w:val="24"/>
        </w:rPr>
      </w:pPr>
      <w:bookmarkStart w:id="82" w:name="_Toc215282172"/>
      <w:bookmarkStart w:id="83" w:name="_Toc26940"/>
      <w:r>
        <w:rPr>
          <w:rFonts w:hint="eastAsia" w:ascii="宋体" w:hAnsi="宋体" w:cs="宋体"/>
          <w:b/>
          <w:sz w:val="24"/>
        </w:rPr>
        <w:t>9. 纪律和监督</w:t>
      </w:r>
      <w:bookmarkEnd w:id="82"/>
      <w:bookmarkEnd w:id="83"/>
    </w:p>
    <w:p>
      <w:pPr>
        <w:autoSpaceDE w:val="0"/>
        <w:autoSpaceDN w:val="0"/>
        <w:adjustRightInd w:val="0"/>
        <w:snapToGrid w:val="0"/>
        <w:spacing w:line="360" w:lineRule="auto"/>
        <w:ind w:firstLine="480" w:firstLineChars="200"/>
        <w:jc w:val="left"/>
        <w:rPr>
          <w:rFonts w:ascii="宋体" w:hAnsi="宋体" w:cs="宋体"/>
          <w:sz w:val="24"/>
        </w:rPr>
      </w:pPr>
      <w:bookmarkStart w:id="84" w:name="_Toc215282173"/>
      <w:r>
        <w:rPr>
          <w:rFonts w:hint="eastAsia" w:ascii="宋体" w:hAnsi="宋体" w:cs="宋体"/>
          <w:sz w:val="24"/>
        </w:rPr>
        <w:t>9.1 对招标人的纪律要求</w:t>
      </w:r>
      <w:bookmarkEnd w:id="84"/>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ascii="宋体" w:hAnsi="宋体" w:cs="宋体"/>
          <w:sz w:val="24"/>
        </w:rPr>
      </w:pPr>
      <w:bookmarkStart w:id="85" w:name="_Toc215282174"/>
      <w:r>
        <w:rPr>
          <w:rFonts w:hint="eastAsia" w:ascii="宋体" w:hAnsi="宋体" w:cs="宋体"/>
          <w:sz w:val="24"/>
        </w:rPr>
        <w:t>9.2 对投标人的纪律要求</w:t>
      </w:r>
      <w:bookmarkEnd w:id="85"/>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ascii="宋体" w:hAnsi="宋体" w:cs="宋体"/>
          <w:sz w:val="24"/>
        </w:rPr>
      </w:pPr>
      <w:bookmarkStart w:id="86" w:name="_Toc215282175"/>
      <w:r>
        <w:rPr>
          <w:rFonts w:hint="eastAsia" w:ascii="宋体" w:hAnsi="宋体" w:cs="宋体"/>
          <w:sz w:val="24"/>
        </w:rPr>
        <w:t>9.3 对评标委员会成员的纪律要求</w:t>
      </w:r>
      <w:bookmarkEnd w:id="86"/>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ascii="宋体" w:hAnsi="宋体" w:cs="宋体"/>
          <w:sz w:val="24"/>
        </w:rPr>
      </w:pPr>
      <w:bookmarkStart w:id="87" w:name="_Toc215282176"/>
      <w:r>
        <w:rPr>
          <w:rFonts w:hint="eastAsia" w:ascii="宋体" w:hAnsi="宋体" w:cs="宋体"/>
          <w:sz w:val="24"/>
        </w:rPr>
        <w:t>9.4 对与评标活动有关的工作人员的纪律要求</w:t>
      </w:r>
      <w:bookmarkEnd w:id="87"/>
    </w:p>
    <w:p>
      <w:pPr>
        <w:autoSpaceDE w:val="0"/>
        <w:autoSpaceDN w:val="0"/>
        <w:adjustRightInd w:val="0"/>
        <w:snapToGrid w:val="0"/>
        <w:spacing w:line="360" w:lineRule="auto"/>
        <w:ind w:firstLine="480" w:firstLineChars="200"/>
        <w:jc w:val="left"/>
        <w:rPr>
          <w:rFonts w:ascii="宋体" w:hAnsi="宋体" w:cs="宋体"/>
          <w:sz w:val="24"/>
        </w:rPr>
      </w:pPr>
      <w:bookmarkStart w:id="88"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9.5 投诉</w:t>
      </w:r>
      <w:bookmarkEnd w:id="8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ascii="宋体" w:hAnsi="宋体" w:cs="宋体"/>
          <w:b/>
          <w:sz w:val="24"/>
        </w:rPr>
      </w:pPr>
      <w:bookmarkStart w:id="89" w:name="_Toc10389"/>
      <w:r>
        <w:rPr>
          <w:rFonts w:hint="eastAsia" w:ascii="宋体" w:hAnsi="宋体" w:cs="宋体"/>
          <w:b/>
          <w:sz w:val="24"/>
        </w:rPr>
        <w:t>10.需要补充的其他内容</w:t>
      </w:r>
      <w:bookmarkEnd w:id="89"/>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需要补充的其他内容：详见投标人须知前附表。</w:t>
      </w:r>
    </w:p>
    <w:p>
      <w:pPr>
        <w:pStyle w:val="2"/>
        <w:ind w:firstLine="240"/>
        <w:rPr>
          <w:rFonts w:ascii="宋体" w:hAnsi="宋体" w:cs="宋体"/>
          <w:sz w:val="24"/>
        </w:rPr>
      </w:pPr>
    </w:p>
    <w:p>
      <w:pPr>
        <w:pStyle w:val="2"/>
        <w:ind w:firstLine="240"/>
        <w:rPr>
          <w:rFonts w:ascii="宋体" w:hAnsi="宋体" w:cs="宋体"/>
          <w:sz w:val="24"/>
        </w:rPr>
      </w:pPr>
    </w:p>
    <w:p>
      <w:pPr>
        <w:autoSpaceDE w:val="0"/>
        <w:autoSpaceDN w:val="0"/>
        <w:adjustRightInd w:val="0"/>
        <w:spacing w:line="312" w:lineRule="auto"/>
        <w:jc w:val="left"/>
        <w:outlineLvl w:val="2"/>
        <w:rPr>
          <w:rFonts w:ascii="宋体" w:hAnsi="宋体" w:cs="宋体"/>
          <w:b/>
          <w:sz w:val="24"/>
        </w:rPr>
      </w:pPr>
      <w:bookmarkStart w:id="90" w:name="_Toc22712"/>
      <w:bookmarkStart w:id="91" w:name="_Toc5248"/>
      <w:bookmarkStart w:id="92" w:name="_Toc20265"/>
      <w:bookmarkStart w:id="93" w:name="_Toc26838"/>
      <w:r>
        <w:rPr>
          <w:rFonts w:hint="eastAsia" w:ascii="宋体" w:hAnsi="宋体" w:cs="宋体"/>
          <w:b/>
          <w:sz w:val="24"/>
        </w:rPr>
        <w:br w:type="page"/>
      </w:r>
    </w:p>
    <w:p>
      <w:pPr>
        <w:spacing w:line="312" w:lineRule="auto"/>
        <w:jc w:val="left"/>
        <w:outlineLvl w:val="2"/>
        <w:rPr>
          <w:rFonts w:ascii="宋体" w:hAnsi="宋体" w:cs="宋体"/>
          <w:b/>
          <w:sz w:val="24"/>
        </w:rPr>
      </w:pPr>
      <w:r>
        <w:rPr>
          <w:rFonts w:hint="eastAsia" w:ascii="宋体" w:hAnsi="宋体" w:cs="宋体"/>
          <w:b/>
          <w:sz w:val="24"/>
        </w:rPr>
        <w:t>附表一：</w:t>
      </w:r>
      <w:bookmarkEnd w:id="90"/>
      <w:bookmarkEnd w:id="91"/>
      <w:bookmarkEnd w:id="92"/>
      <w:bookmarkEnd w:id="93"/>
      <w:bookmarkStart w:id="94" w:name="_Toc32640"/>
      <w:r>
        <w:rPr>
          <w:rFonts w:hint="eastAsia" w:ascii="宋体" w:hAnsi="宋体" w:cs="宋体"/>
          <w:b/>
          <w:sz w:val="24"/>
        </w:rPr>
        <w:t>问题澄清通知</w:t>
      </w:r>
      <w:bookmarkEnd w:id="94"/>
    </w:p>
    <w:p>
      <w:pPr>
        <w:spacing w:beforeLines="100"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ind w:firstLine="480" w:firstLineChars="200"/>
        <w:rPr>
          <w:rFonts w:ascii="宋体" w:hAnsi="宋体" w:cs="宋体"/>
          <w:sz w:val="24"/>
        </w:rPr>
      </w:pP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rPr>
        <w:t>（项目名称）招标的评标委员会，对你方的投标文件进行了仔细的审查，现需你方对本通知所附质疑问卷中的问题以书面形式予以澄清、说明或者补正。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sz w:val="24"/>
        </w:rPr>
      </w:pPr>
      <w:r>
        <w:rPr>
          <w:rFonts w:hint="eastAsia" w:ascii="宋体" w:hAnsi="宋体" w:cs="宋体"/>
          <w:sz w:val="24"/>
        </w:rPr>
        <w:t>请将上述问题的澄清、说明或者补正于年月日时前密封递交至（详细地址）或传真至（传真号码）。采用传真方式的，应在年月日</w:t>
      </w:r>
    </w:p>
    <w:p>
      <w:pPr>
        <w:spacing w:line="312" w:lineRule="auto"/>
        <w:rPr>
          <w:rFonts w:ascii="宋体" w:hAnsi="宋体" w:cs="宋体"/>
          <w:sz w:val="24"/>
        </w:rPr>
      </w:pPr>
      <w:r>
        <w:rPr>
          <w:rFonts w:hint="eastAsia" w:ascii="宋体" w:hAnsi="宋体" w:cs="宋体"/>
          <w:sz w:val="24"/>
        </w:rPr>
        <w:t>时前将原件递交至 （详细地址）。</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附件：质疑问卷</w:t>
      </w:r>
    </w:p>
    <w:p>
      <w:pPr>
        <w:spacing w:line="312" w:lineRule="auto"/>
        <w:ind w:left="3360" w:leftChars="1600" w:firstLine="360" w:firstLineChars="150"/>
        <w:rPr>
          <w:rFonts w:ascii="宋体" w:hAnsi="宋体" w:cs="宋体"/>
          <w:sz w:val="24"/>
        </w:rPr>
      </w:pPr>
      <w:bookmarkStart w:id="95" w:name="_Toc425"/>
      <w:bookmarkStart w:id="96" w:name="_Toc18603"/>
      <w:bookmarkStart w:id="97" w:name="_Toc13289"/>
      <w:bookmarkStart w:id="98" w:name="_Toc22729"/>
      <w:bookmarkStart w:id="99" w:name="_Toc30339"/>
      <w:r>
        <w:rPr>
          <w:rFonts w:hint="eastAsia" w:ascii="宋体" w:hAnsi="宋体" w:cs="宋体"/>
          <w:sz w:val="24"/>
        </w:rPr>
        <w:t>（项目名称）招标评标委员会（经评标委员会授权的招标人代表签字或招标人加盖单位章）</w:t>
      </w:r>
      <w:bookmarkEnd w:id="95"/>
      <w:bookmarkEnd w:id="96"/>
      <w:bookmarkEnd w:id="97"/>
      <w:bookmarkEnd w:id="98"/>
      <w:bookmarkEnd w:id="99"/>
    </w:p>
    <w:p>
      <w:pPr>
        <w:spacing w:line="312" w:lineRule="auto"/>
        <w:ind w:firstLine="5280" w:firstLineChars="2200"/>
        <w:rPr>
          <w:rFonts w:ascii="宋体" w:hAnsi="宋体" w:cs="宋体"/>
          <w:sz w:val="24"/>
        </w:rPr>
      </w:pPr>
      <w:r>
        <w:rPr>
          <w:rFonts w:hint="eastAsia" w:ascii="宋体" w:hAnsi="宋体" w:cs="宋体"/>
          <w:sz w:val="24"/>
        </w:rPr>
        <w:t>年月日</w:t>
      </w:r>
    </w:p>
    <w:p>
      <w:pPr>
        <w:spacing w:line="312" w:lineRule="auto"/>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outlineLvl w:val="2"/>
        <w:rPr>
          <w:rFonts w:ascii="宋体" w:hAnsi="宋体" w:cs="宋体"/>
          <w:sz w:val="24"/>
        </w:rPr>
      </w:pPr>
      <w:r>
        <w:rPr>
          <w:rFonts w:hint="eastAsia" w:ascii="宋体" w:hAnsi="宋体" w:cs="宋体"/>
          <w:sz w:val="24"/>
        </w:rPr>
        <w:br w:type="page"/>
      </w:r>
      <w:bookmarkStart w:id="100" w:name="_Toc25361"/>
      <w:r>
        <w:rPr>
          <w:rFonts w:hint="eastAsia" w:ascii="宋体" w:hAnsi="宋体" w:cs="宋体"/>
          <w:b/>
          <w:sz w:val="24"/>
        </w:rPr>
        <w:t>附表二：问题的澄清</w:t>
      </w:r>
      <w:bookmarkEnd w:id="100"/>
    </w:p>
    <w:p>
      <w:pPr>
        <w:spacing w:beforeLines="100"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rPr>
          <w:rFonts w:ascii="宋体" w:hAnsi="宋体" w:cs="宋体"/>
          <w:sz w:val="24"/>
        </w:rPr>
      </w:pPr>
      <w:r>
        <w:rPr>
          <w:rFonts w:hint="eastAsia" w:ascii="宋体" w:hAnsi="宋体" w:cs="宋体"/>
          <w:sz w:val="24"/>
        </w:rPr>
        <w:t>（项目名称）招标评标委员会：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 xml:space="preserve"> 投标人：（盖单位章） </w:t>
      </w:r>
    </w:p>
    <w:p>
      <w:pPr>
        <w:wordWrap w:val="0"/>
        <w:spacing w:beforeLines="50" w:afterLines="50" w:line="312" w:lineRule="auto"/>
        <w:jc w:val="right"/>
        <w:rPr>
          <w:rFonts w:ascii="宋体" w:hAnsi="宋体" w:cs="宋体"/>
          <w:sz w:val="24"/>
        </w:rPr>
      </w:pPr>
      <w:r>
        <w:rPr>
          <w:rFonts w:hint="eastAsia" w:ascii="宋体" w:hAnsi="宋体" w:cs="宋体"/>
          <w:sz w:val="24"/>
        </w:rPr>
        <w:t xml:space="preserve">法定代表人或其委托代理人：（签字或盖章） </w:t>
      </w:r>
    </w:p>
    <w:p>
      <w:pPr>
        <w:spacing w:line="312" w:lineRule="auto"/>
        <w:ind w:firstLine="5760" w:firstLineChars="2400"/>
        <w:rPr>
          <w:rFonts w:ascii="宋体" w:hAnsi="宋体" w:cs="宋体"/>
          <w:sz w:val="24"/>
          <w:u w:val="single"/>
        </w:rPr>
      </w:pPr>
    </w:p>
    <w:p>
      <w:pPr>
        <w:spacing w:line="312" w:lineRule="auto"/>
        <w:ind w:firstLine="5760" w:firstLineChars="2400"/>
        <w:rPr>
          <w:rFonts w:ascii="宋体" w:hAnsi="宋体" w:cs="宋体"/>
          <w:sz w:val="24"/>
        </w:rPr>
      </w:pPr>
      <w:r>
        <w:rPr>
          <w:rFonts w:hint="eastAsia" w:ascii="宋体" w:hAnsi="宋体" w:cs="宋体"/>
          <w:sz w:val="24"/>
        </w:rPr>
        <w:t>年月日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pStyle w:val="8"/>
        <w:spacing w:before="0" w:after="0" w:line="312" w:lineRule="auto"/>
        <w:jc w:val="center"/>
        <w:rPr>
          <w:rStyle w:val="22"/>
          <w:b w:val="0"/>
          <w:bCs w:val="0"/>
          <w:sz w:val="30"/>
          <w:szCs w:val="30"/>
        </w:rPr>
      </w:pPr>
      <w:bookmarkStart w:id="101" w:name="_Toc16968"/>
      <w:bookmarkStart w:id="102" w:name="_Toc29777"/>
      <w:bookmarkStart w:id="103" w:name="_Toc14547"/>
      <w:bookmarkStart w:id="104" w:name="_Toc26924"/>
      <w:r>
        <w:rPr>
          <w:rStyle w:val="22"/>
          <w:rFonts w:hint="eastAsia"/>
          <w:b w:val="0"/>
          <w:bCs w:val="0"/>
          <w:sz w:val="30"/>
          <w:szCs w:val="30"/>
        </w:rPr>
        <w:t>第三章 评标办法</w:t>
      </w:r>
      <w:bookmarkEnd w:id="101"/>
      <w:bookmarkEnd w:id="102"/>
      <w:bookmarkEnd w:id="103"/>
      <w:bookmarkEnd w:id="104"/>
      <w:bookmarkStart w:id="105" w:name="_Toc280271136"/>
      <w:bookmarkStart w:id="106" w:name="_Toc280275114"/>
      <w:bookmarkStart w:id="107" w:name="_Toc280271283"/>
      <w:r>
        <w:rPr>
          <w:rStyle w:val="22"/>
          <w:rFonts w:hint="eastAsia"/>
          <w:b w:val="0"/>
          <w:bCs w:val="0"/>
          <w:sz w:val="30"/>
          <w:szCs w:val="30"/>
        </w:rPr>
        <w:t>（合理投标价法）</w:t>
      </w:r>
    </w:p>
    <w:bookmarkEnd w:id="105"/>
    <w:bookmarkEnd w:id="106"/>
    <w:bookmarkEnd w:id="107"/>
    <w:p>
      <w:pPr>
        <w:spacing w:beforeLines="20" w:afterLines="20" w:line="360" w:lineRule="auto"/>
        <w:rPr>
          <w:szCs w:val="21"/>
        </w:rPr>
      </w:pPr>
      <w:bookmarkStart w:id="108" w:name="_Toc382164569"/>
      <w:bookmarkStart w:id="109" w:name="_Toc399834329"/>
      <w:r>
        <w:rPr>
          <w:rFonts w:hint="eastAsia"/>
          <w:szCs w:val="21"/>
        </w:rPr>
        <w:t>评标办法前附表</w:t>
      </w:r>
      <w:bookmarkEnd w:id="108"/>
      <w:bookmarkEnd w:id="109"/>
    </w:p>
    <w:tbl>
      <w:tblPr>
        <w:tblStyle w:val="15"/>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25"/>
        <w:gridCol w:w="2303"/>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25" w:type="dxa"/>
            <w:gridSpan w:val="2"/>
            <w:vAlign w:val="center"/>
          </w:tcPr>
          <w:p>
            <w:pPr>
              <w:spacing w:line="312" w:lineRule="auto"/>
              <w:jc w:val="center"/>
              <w:rPr>
                <w:rFonts w:ascii="宋体" w:hAnsi="宋体"/>
                <w:b/>
                <w:szCs w:val="21"/>
              </w:rPr>
            </w:pPr>
            <w:bookmarkStart w:id="110" w:name="_Toc179632618"/>
            <w:bookmarkStart w:id="111" w:name="_Toc152045600"/>
            <w:bookmarkStart w:id="112" w:name="_Toc179632619"/>
            <w:bookmarkStart w:id="113" w:name="_Toc152042378"/>
            <w:bookmarkStart w:id="114" w:name="_Toc296602489"/>
            <w:bookmarkStart w:id="115" w:name="_Toc247085759"/>
            <w:bookmarkStart w:id="116" w:name="_Toc144974567"/>
            <w:bookmarkStart w:id="117" w:name="_Toc246996244"/>
            <w:bookmarkStart w:id="118" w:name="_Toc21173"/>
            <w:bookmarkStart w:id="119" w:name="_Toc152042377"/>
            <w:bookmarkStart w:id="120" w:name="_Toc246996987"/>
            <w:bookmarkStart w:id="121" w:name="_Toc144974568"/>
            <w:bookmarkStart w:id="122" w:name="_Toc152045601"/>
            <w:r>
              <w:rPr>
                <w:rFonts w:ascii="宋体" w:hAnsi="宋体"/>
                <w:b/>
                <w:szCs w:val="21"/>
              </w:rPr>
              <w:t>条款号</w:t>
            </w:r>
          </w:p>
        </w:tc>
        <w:tc>
          <w:tcPr>
            <w:tcW w:w="2303" w:type="dxa"/>
            <w:vAlign w:val="center"/>
          </w:tcPr>
          <w:p>
            <w:pPr>
              <w:spacing w:line="312" w:lineRule="auto"/>
              <w:jc w:val="center"/>
              <w:rPr>
                <w:rFonts w:ascii="宋体" w:hAnsi="宋体"/>
                <w:b/>
                <w:szCs w:val="21"/>
              </w:rPr>
            </w:pPr>
            <w:bookmarkStart w:id="123" w:name="_Toc221950446"/>
            <w:r>
              <w:rPr>
                <w:rFonts w:ascii="宋体" w:hAnsi="宋体"/>
                <w:b/>
                <w:szCs w:val="21"/>
              </w:rPr>
              <w:t>评审因素</w:t>
            </w:r>
            <w:bookmarkEnd w:id="123"/>
          </w:p>
        </w:tc>
        <w:tc>
          <w:tcPr>
            <w:tcW w:w="6056" w:type="dxa"/>
            <w:vAlign w:val="center"/>
          </w:tcPr>
          <w:p>
            <w:pPr>
              <w:spacing w:line="312" w:lineRule="auto"/>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restart"/>
            <w:vAlign w:val="center"/>
          </w:tcPr>
          <w:p>
            <w:pPr>
              <w:spacing w:line="312" w:lineRule="auto"/>
              <w:jc w:val="center"/>
              <w:rPr>
                <w:rFonts w:ascii="宋体" w:hAnsi="宋体"/>
                <w:szCs w:val="21"/>
              </w:rPr>
            </w:pPr>
            <w:bookmarkStart w:id="124" w:name="_Toc221950448"/>
            <w:r>
              <w:rPr>
                <w:rFonts w:ascii="宋体" w:hAnsi="宋体"/>
                <w:szCs w:val="21"/>
              </w:rPr>
              <w:t>2.1.1</w:t>
            </w:r>
            <w:bookmarkEnd w:id="124"/>
          </w:p>
        </w:tc>
        <w:tc>
          <w:tcPr>
            <w:tcW w:w="625" w:type="dxa"/>
            <w:vMerge w:val="restart"/>
            <w:vAlign w:val="center"/>
          </w:tcPr>
          <w:p>
            <w:pPr>
              <w:autoSpaceDE w:val="0"/>
              <w:autoSpaceDN w:val="0"/>
              <w:spacing w:line="312" w:lineRule="auto"/>
              <w:contextualSpacing/>
              <w:jc w:val="center"/>
              <w:rPr>
                <w:rFonts w:ascii="宋体" w:hAnsi="宋体"/>
                <w:sz w:val="24"/>
              </w:rPr>
            </w:pPr>
            <w:r>
              <w:rPr>
                <w:rFonts w:ascii="宋体" w:hAnsi="宋体"/>
                <w:sz w:val="24"/>
              </w:rPr>
              <w:t>形式评审</w:t>
            </w: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投标人名称</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cs="宋体"/>
                <w:sz w:val="24"/>
              </w:rPr>
              <w:t>与营业执照、资质证书是否一致；</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contextualSpacing/>
              <w:jc w:val="center"/>
              <w:rPr>
                <w:rFonts w:ascii="宋体" w:hAnsi="宋体"/>
                <w:sz w:val="24"/>
              </w:rPr>
            </w:pPr>
            <w:r>
              <w:rPr>
                <w:rFonts w:hint="eastAsia" w:ascii="宋体" w:hAnsi="宋体"/>
                <w:sz w:val="24"/>
              </w:rPr>
              <w:t>投标文件的签字盖章</w:t>
            </w:r>
          </w:p>
        </w:tc>
        <w:tc>
          <w:tcPr>
            <w:tcW w:w="6056" w:type="dxa"/>
            <w:vAlign w:val="center"/>
          </w:tcPr>
          <w:p>
            <w:pPr>
              <w:spacing w:line="312" w:lineRule="auto"/>
              <w:rPr>
                <w:rFonts w:ascii="宋体" w:hAnsi="宋体"/>
                <w:sz w:val="24"/>
              </w:rPr>
            </w:pPr>
            <w:r>
              <w:rPr>
                <w:rFonts w:hint="eastAsia" w:ascii="宋体" w:hAnsi="宋体" w:cs="宋体"/>
                <w:sz w:val="24"/>
              </w:rPr>
              <w:t>投标文件应经投标单位盖章和单位负责人签字。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投标文件格式</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报价唯一</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投标文件的份数</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contextualSpacing/>
              <w:jc w:val="center"/>
              <w:rPr>
                <w:rFonts w:ascii="宋体" w:hAnsi="宋体"/>
                <w:sz w:val="24"/>
              </w:rPr>
            </w:pPr>
            <w:r>
              <w:rPr>
                <w:rFonts w:hint="eastAsia" w:ascii="宋体" w:hAnsi="宋体"/>
                <w:sz w:val="24"/>
              </w:rPr>
              <w:t>投标文件的印刷与装订</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章投标人须知第3.7.5款规定；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vMerge w:val="restart"/>
            <w:vAlign w:val="center"/>
          </w:tcPr>
          <w:p>
            <w:pPr>
              <w:spacing w:line="312" w:lineRule="auto"/>
              <w:jc w:val="center"/>
              <w:rPr>
                <w:rFonts w:ascii="宋体" w:hAnsi="宋体"/>
                <w:szCs w:val="21"/>
              </w:rPr>
            </w:pPr>
            <w:r>
              <w:rPr>
                <w:rFonts w:hint="eastAsia" w:ascii="宋体" w:hAnsi="宋体"/>
                <w:szCs w:val="21"/>
              </w:rPr>
              <w:t>2.1.2</w:t>
            </w:r>
          </w:p>
        </w:tc>
        <w:tc>
          <w:tcPr>
            <w:tcW w:w="625" w:type="dxa"/>
            <w:vMerge w:val="restart"/>
            <w:vAlign w:val="center"/>
          </w:tcPr>
          <w:p>
            <w:pPr>
              <w:autoSpaceDE w:val="0"/>
              <w:autoSpaceDN w:val="0"/>
              <w:spacing w:line="312" w:lineRule="auto"/>
              <w:contextualSpacing/>
              <w:jc w:val="center"/>
              <w:rPr>
                <w:rFonts w:ascii="宋体" w:hAnsi="宋体"/>
                <w:sz w:val="24"/>
              </w:rPr>
            </w:pPr>
            <w:r>
              <w:rPr>
                <w:rFonts w:hint="eastAsia" w:ascii="宋体" w:hAnsi="宋体"/>
                <w:sz w:val="24"/>
              </w:rPr>
              <w:t>资格评审</w:t>
            </w: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营业执照</w:t>
            </w:r>
          </w:p>
        </w:tc>
        <w:tc>
          <w:tcPr>
            <w:tcW w:w="6056" w:type="dxa"/>
            <w:vAlign w:val="center"/>
          </w:tcPr>
          <w:p>
            <w:pPr>
              <w:spacing w:line="312" w:lineRule="auto"/>
              <w:rPr>
                <w:rFonts w:ascii="宋体" w:hAnsi="宋体"/>
                <w:b/>
                <w:sz w:val="24"/>
              </w:rPr>
            </w:pPr>
            <w:r>
              <w:rPr>
                <w:rFonts w:ascii="宋体" w:hAnsi="宋体"/>
                <w:sz w:val="24"/>
              </w:rPr>
              <w:t>具备有效的营业执照</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spacing w:line="312" w:lineRule="auto"/>
              <w:jc w:val="center"/>
              <w:rPr>
                <w:rFonts w:ascii="宋体" w:hAnsi="宋体"/>
                <w:sz w:val="24"/>
              </w:rPr>
            </w:pPr>
            <w:r>
              <w:rPr>
                <w:rFonts w:hint="eastAsia" w:ascii="宋体" w:hAnsi="宋体"/>
                <w:sz w:val="24"/>
              </w:rPr>
              <w:t>资质要求</w:t>
            </w:r>
          </w:p>
        </w:tc>
        <w:tc>
          <w:tcPr>
            <w:tcW w:w="6056" w:type="dxa"/>
            <w:vAlign w:val="center"/>
          </w:tcPr>
          <w:p>
            <w:pPr>
              <w:spacing w:line="312" w:lineRule="auto"/>
              <w:rPr>
                <w:rFonts w:ascii="宋体" w:hAnsi="Courier New" w:cs="Courier New"/>
                <w:b/>
                <w:bCs/>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spacing w:line="312" w:lineRule="auto"/>
              <w:jc w:val="center"/>
              <w:rPr>
                <w:rFonts w:ascii="宋体" w:hAnsi="宋体"/>
                <w:sz w:val="24"/>
              </w:rPr>
            </w:pPr>
            <w:r>
              <w:rPr>
                <w:rFonts w:hint="eastAsia" w:ascii="宋体" w:hAnsi="宋体"/>
                <w:sz w:val="24"/>
              </w:rPr>
              <w:t>企业业绩</w:t>
            </w:r>
          </w:p>
        </w:tc>
        <w:tc>
          <w:tcPr>
            <w:tcW w:w="6056" w:type="dxa"/>
            <w:vAlign w:val="center"/>
          </w:tcPr>
          <w:p>
            <w:pPr>
              <w:rPr>
                <w:rFonts w:ascii="宋体" w:hAnsi="宋体"/>
                <w:sz w:val="24"/>
              </w:rPr>
            </w:pPr>
            <w:r>
              <w:rPr>
                <w:rFonts w:hint="eastAsia" w:ascii="宋体" w:hAnsi="宋体"/>
                <w:sz w:val="24"/>
              </w:rPr>
              <w:t>企业2016年1月1日以来具有类似工程业绩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财务状况</w:t>
            </w:r>
            <w:r>
              <w:rPr>
                <w:rFonts w:hint="eastAsia" w:ascii="宋体" w:hAnsi="宋体"/>
                <w:sz w:val="24"/>
              </w:rPr>
              <w:t>要求</w:t>
            </w:r>
          </w:p>
        </w:tc>
        <w:tc>
          <w:tcPr>
            <w:tcW w:w="6056" w:type="dxa"/>
            <w:vAlign w:val="center"/>
          </w:tcPr>
          <w:p>
            <w:pPr>
              <w:rPr>
                <w:rFonts w:ascii="宋体" w:hAnsi="宋体"/>
                <w:sz w:val="24"/>
              </w:rPr>
            </w:pPr>
            <w:r>
              <w:rPr>
                <w:rFonts w:hint="eastAsia" w:ascii="宋体" w:hAnsi="宋体"/>
                <w:sz w:val="24"/>
              </w:rPr>
              <w:t>2016、2017、2018年财务良好</w:t>
            </w:r>
            <w:r>
              <w:rPr>
                <w:rFonts w:hint="eastAsia" w:ascii="宋体" w:hAnsi="宋体"/>
                <w:b/>
                <w:sz w:val="24"/>
              </w:rPr>
              <w:t>（以财务报告原件</w:t>
            </w:r>
            <w:r>
              <w:rPr>
                <w:rFonts w:hint="eastAsia" w:ascii="宋体" w:hAnsi="宋体"/>
                <w:b/>
                <w:sz w:val="24"/>
                <w:lang w:val="en-US" w:eastAsia="zh-CN"/>
              </w:rPr>
              <w:t>扫描件</w:t>
            </w:r>
            <w:r>
              <w:rPr>
                <w:rFonts w:hint="eastAsia" w:ascii="宋体" w:hAnsi="宋体"/>
                <w:b/>
                <w:sz w:val="24"/>
              </w:rPr>
              <w:t>为准），</w:t>
            </w:r>
            <w:r>
              <w:rPr>
                <w:rFonts w:hint="eastAsia" w:ascii="宋体" w:hAnsi="宋体"/>
                <w:bCs/>
                <w:sz w:val="24"/>
              </w:rPr>
              <w:t>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信誉</w:t>
            </w:r>
            <w:r>
              <w:rPr>
                <w:rFonts w:hint="eastAsia" w:ascii="宋体" w:hAnsi="宋体"/>
                <w:sz w:val="24"/>
              </w:rPr>
              <w:t>要求</w:t>
            </w:r>
          </w:p>
        </w:tc>
        <w:tc>
          <w:tcPr>
            <w:tcW w:w="6056" w:type="dxa"/>
            <w:vAlign w:val="center"/>
          </w:tcPr>
          <w:p>
            <w:pPr>
              <w:rPr>
                <w:rFonts w:ascii="宋体" w:hAnsi="Courier New" w:cs="Courier New"/>
                <w:sz w:val="24"/>
              </w:rPr>
            </w:pPr>
            <w:r>
              <w:rPr>
                <w:rFonts w:hint="eastAsia" w:ascii="宋体" w:hAnsi="Courier New" w:cs="Courier New"/>
                <w:sz w:val="24"/>
              </w:rPr>
              <w:t>核实投标人信誉及信用记录情况：仅核实投标人获奖、受罚、信用信息登记等的真实性</w:t>
            </w:r>
            <w:r>
              <w:rPr>
                <w:rFonts w:hint="eastAsia" w:ascii="宋体" w:hAnsi="Courier New" w:cs="Courier New"/>
                <w:sz w:val="24"/>
                <w:lang w:eastAsia="zh-CN"/>
              </w:rPr>
              <w:t>（</w:t>
            </w:r>
            <w:r>
              <w:rPr>
                <w:rFonts w:hint="eastAsia" w:ascii="宋体" w:hAnsi="宋体"/>
                <w:b/>
                <w:sz w:val="24"/>
              </w:rPr>
              <w:t>以全国水利建设市场监管服务平台公示为准）</w:t>
            </w:r>
            <w:r>
              <w:rPr>
                <w:rFonts w:hint="eastAsia" w:ascii="宋体" w:hAnsi="Courier New" w:cs="Courier New"/>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contextualSpacing/>
              <w:jc w:val="center"/>
              <w:rPr>
                <w:rFonts w:ascii="宋体" w:hAnsi="宋体"/>
                <w:sz w:val="24"/>
              </w:rPr>
            </w:pPr>
            <w:r>
              <w:rPr>
                <w:rFonts w:hint="eastAsia" w:ascii="宋体" w:hAnsi="宋体"/>
                <w:sz w:val="24"/>
              </w:rPr>
              <w:t>拟派技术负责人</w:t>
            </w:r>
            <w:r>
              <w:rPr>
                <w:rFonts w:ascii="宋体" w:hAnsi="宋体"/>
                <w:sz w:val="24"/>
              </w:rPr>
              <w:t>资格</w:t>
            </w:r>
            <w:r>
              <w:rPr>
                <w:rFonts w:hint="eastAsia" w:ascii="宋体" w:hAnsi="宋体"/>
                <w:sz w:val="24"/>
              </w:rPr>
              <w:t>要求</w:t>
            </w:r>
          </w:p>
        </w:tc>
        <w:tc>
          <w:tcPr>
            <w:tcW w:w="6056" w:type="dxa"/>
            <w:vAlign w:val="center"/>
          </w:tcPr>
          <w:p>
            <w:pPr>
              <w:rPr>
                <w:rFonts w:ascii="宋体" w:hAnsi="宋体"/>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其他</w:t>
            </w:r>
          </w:p>
        </w:tc>
        <w:tc>
          <w:tcPr>
            <w:tcW w:w="6056" w:type="dxa"/>
            <w:vAlign w:val="center"/>
          </w:tcPr>
          <w:p>
            <w:pPr>
              <w:spacing w:line="312" w:lineRule="auto"/>
              <w:rPr>
                <w:rFonts w:ascii="宋体" w:hAnsi="宋体"/>
                <w:sz w:val="24"/>
              </w:rPr>
            </w:pPr>
            <w:r>
              <w:rPr>
                <w:rFonts w:hint="eastAsia" w:ascii="宋体" w:hAnsi="宋体" w:cs="宋体"/>
                <w:kern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restart"/>
            <w:vAlign w:val="center"/>
          </w:tcPr>
          <w:p>
            <w:pPr>
              <w:spacing w:line="312" w:lineRule="auto"/>
              <w:jc w:val="center"/>
              <w:rPr>
                <w:rFonts w:ascii="宋体" w:hAnsi="宋体"/>
                <w:szCs w:val="21"/>
              </w:rPr>
            </w:pPr>
            <w:bookmarkStart w:id="125" w:name="_Toc221950452"/>
            <w:r>
              <w:rPr>
                <w:rFonts w:ascii="宋体" w:hAnsi="宋体"/>
                <w:szCs w:val="21"/>
              </w:rPr>
              <w:t>2.1.3</w:t>
            </w:r>
            <w:bookmarkEnd w:id="125"/>
          </w:p>
        </w:tc>
        <w:tc>
          <w:tcPr>
            <w:tcW w:w="625" w:type="dxa"/>
            <w:vMerge w:val="restart"/>
            <w:vAlign w:val="center"/>
          </w:tcPr>
          <w:p>
            <w:pPr>
              <w:autoSpaceDE w:val="0"/>
              <w:autoSpaceDN w:val="0"/>
              <w:spacing w:line="312" w:lineRule="auto"/>
              <w:contextualSpacing/>
              <w:jc w:val="center"/>
              <w:rPr>
                <w:rFonts w:ascii="宋体" w:hAnsi="宋体"/>
                <w:sz w:val="24"/>
              </w:rPr>
            </w:pPr>
          </w:p>
          <w:p>
            <w:pPr>
              <w:autoSpaceDE w:val="0"/>
              <w:autoSpaceDN w:val="0"/>
              <w:spacing w:line="312" w:lineRule="auto"/>
              <w:contextualSpacing/>
              <w:jc w:val="center"/>
              <w:rPr>
                <w:rFonts w:ascii="宋体" w:hAnsi="宋体"/>
                <w:sz w:val="24"/>
              </w:rPr>
            </w:pPr>
            <w:r>
              <w:rPr>
                <w:rFonts w:ascii="宋体" w:hAnsi="宋体"/>
                <w:sz w:val="24"/>
              </w:rPr>
              <w:t>响应性评审</w:t>
            </w: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投标</w:t>
            </w:r>
            <w:r>
              <w:rPr>
                <w:rFonts w:hint="eastAsia" w:ascii="宋体" w:hAnsi="宋体"/>
                <w:sz w:val="24"/>
              </w:rPr>
              <w:t>范围</w:t>
            </w:r>
          </w:p>
        </w:tc>
        <w:tc>
          <w:tcPr>
            <w:tcW w:w="6056" w:type="dxa"/>
            <w:vAlign w:val="center"/>
          </w:tcPr>
          <w:p>
            <w:pPr>
              <w:spacing w:line="312" w:lineRule="auto"/>
              <w:rPr>
                <w:rFonts w:ascii="宋体" w:hAnsi="宋体"/>
                <w:sz w:val="24"/>
              </w:rPr>
            </w:pPr>
            <w:bookmarkStart w:id="126" w:name="_Toc221950422"/>
            <w:bookmarkStart w:id="127" w:name="_Toc221950424"/>
            <w:r>
              <w:rPr>
                <w:rFonts w:ascii="宋体" w:hAnsi="宋体"/>
                <w:sz w:val="24"/>
              </w:rPr>
              <w:t>符合第二章“投标人须知”第1.3.1项规定</w:t>
            </w:r>
            <w:bookmarkEnd w:id="126"/>
            <w:r>
              <w:rPr>
                <w:rFonts w:hint="eastAsia" w:ascii="宋体" w:hAnsi="宋体"/>
                <w:sz w:val="24"/>
              </w:rPr>
              <w:t>；</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计划</w:t>
            </w:r>
            <w:r>
              <w:rPr>
                <w:rFonts w:ascii="宋体" w:hAnsi="宋体"/>
                <w:sz w:val="24"/>
              </w:rPr>
              <w:t>工期</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符合第二章“投标人须知”第1.3.2项规定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工程质量</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符合第二章“投标人须知”第1.3.3项规定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投标</w:t>
            </w:r>
            <w:r>
              <w:rPr>
                <w:rFonts w:hint="eastAsia" w:ascii="宋体" w:hAnsi="宋体"/>
                <w:sz w:val="24"/>
              </w:rPr>
              <w:t>有效期</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投标</w:t>
            </w:r>
            <w:r>
              <w:rPr>
                <w:rFonts w:hint="eastAsia" w:ascii="宋体" w:hAnsi="宋体"/>
                <w:sz w:val="24"/>
              </w:rPr>
              <w:t>保证金</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符合第二章“投标人须知”第3.</w:t>
            </w:r>
            <w:r>
              <w:rPr>
                <w:rFonts w:hint="eastAsia" w:ascii="宋体" w:hAnsi="宋体"/>
                <w:sz w:val="24"/>
              </w:rPr>
              <w:t>4</w:t>
            </w:r>
            <w:r>
              <w:rPr>
                <w:rFonts w:ascii="宋体" w:hAnsi="宋体"/>
                <w:sz w:val="24"/>
              </w:rPr>
              <w:t>款规定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ascii="宋体" w:hAnsi="宋体"/>
                <w:sz w:val="24"/>
              </w:rPr>
              <w:t>已标价工程量清单</w:t>
            </w:r>
          </w:p>
        </w:tc>
        <w:tc>
          <w:tcPr>
            <w:tcW w:w="6056" w:type="dxa"/>
            <w:vAlign w:val="center"/>
          </w:tcPr>
          <w:p>
            <w:pPr>
              <w:autoSpaceDE w:val="0"/>
              <w:autoSpaceDN w:val="0"/>
              <w:spacing w:line="312" w:lineRule="auto"/>
              <w:contextualSpacing/>
              <w:rPr>
                <w:rFonts w:ascii="宋体" w:hAnsi="宋体"/>
                <w:sz w:val="24"/>
              </w:rPr>
            </w:pPr>
            <w:r>
              <w:rPr>
                <w:rFonts w:ascii="宋体" w:hAnsi="宋体"/>
                <w:sz w:val="24"/>
              </w:rPr>
              <w:t>符合第五章“工程量清单”</w:t>
            </w:r>
            <w:r>
              <w:rPr>
                <w:rFonts w:hint="eastAsia" w:ascii="宋体" w:hAnsi="宋体"/>
                <w:sz w:val="24"/>
              </w:rPr>
              <w:t>填报的要求；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技术标准和要求</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sz w:val="24"/>
              </w:rPr>
              <w:t>符合第七章“技术标准和要求”（合同技术条款）的规定。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投标报价</w:t>
            </w:r>
          </w:p>
        </w:tc>
        <w:tc>
          <w:tcPr>
            <w:tcW w:w="6056" w:type="dxa"/>
            <w:vAlign w:val="center"/>
          </w:tcPr>
          <w:p>
            <w:pPr>
              <w:autoSpaceDE w:val="0"/>
              <w:autoSpaceDN w:val="0"/>
              <w:spacing w:line="312" w:lineRule="auto"/>
              <w:contextualSpacing/>
              <w:jc w:val="left"/>
              <w:rPr>
                <w:rFonts w:ascii="宋体" w:hAnsi="宋体"/>
                <w:sz w:val="24"/>
              </w:rPr>
            </w:pPr>
            <w:r>
              <w:rPr>
                <w:rFonts w:hint="eastAsia" w:ascii="宋体" w:hAnsi="宋体"/>
                <w:sz w:val="24"/>
              </w:rPr>
              <w:t>投标报价不得低于成本或者高于招标文件设定的最高投标限价；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其他</w:t>
            </w:r>
          </w:p>
        </w:tc>
        <w:tc>
          <w:tcPr>
            <w:tcW w:w="6056" w:type="dxa"/>
            <w:vAlign w:val="center"/>
          </w:tcPr>
          <w:p>
            <w:pPr>
              <w:autoSpaceDE w:val="0"/>
              <w:autoSpaceDN w:val="0"/>
              <w:spacing w:line="312" w:lineRule="auto"/>
              <w:contextualSpacing/>
              <w:jc w:val="left"/>
              <w:rPr>
                <w:rFonts w:ascii="宋体" w:hAnsi="宋体"/>
                <w:sz w:val="24"/>
              </w:rPr>
            </w:pPr>
            <w:r>
              <w:rPr>
                <w:rFonts w:hint="eastAsia" w:ascii="宋体" w:hAnsi="宋体"/>
                <w:sz w:val="24"/>
              </w:rPr>
              <w:t>1、投标文件应附农民工工资支付承诺书和廉政承诺书 。</w:t>
            </w:r>
          </w:p>
          <w:p>
            <w:pPr>
              <w:autoSpaceDE w:val="0"/>
              <w:autoSpaceDN w:val="0"/>
              <w:spacing w:line="312" w:lineRule="auto"/>
              <w:contextualSpacing/>
              <w:jc w:val="left"/>
              <w:rPr>
                <w:rFonts w:ascii="宋体" w:hAnsi="宋体"/>
                <w:sz w:val="24"/>
              </w:rPr>
            </w:pPr>
            <w:r>
              <w:rPr>
                <w:rFonts w:hint="eastAsia" w:ascii="宋体" w:hAnsi="宋体"/>
                <w:sz w:val="24"/>
              </w:rPr>
              <w:t>2、投标人应提供主要参建人员签字备案表，载明姓名、拟任职务、个人身份信息等内容。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spacing w:line="312" w:lineRule="auto"/>
              <w:jc w:val="center"/>
              <w:rPr>
                <w:rFonts w:ascii="宋体" w:hAnsi="宋体"/>
                <w:b/>
                <w:sz w:val="24"/>
              </w:rPr>
            </w:pPr>
            <w:r>
              <w:rPr>
                <w:rFonts w:ascii="宋体" w:hAnsi="宋体"/>
                <w:b/>
                <w:sz w:val="24"/>
              </w:rPr>
              <w:t>条款号</w:t>
            </w:r>
          </w:p>
        </w:tc>
        <w:tc>
          <w:tcPr>
            <w:tcW w:w="2303" w:type="dxa"/>
            <w:vAlign w:val="center"/>
          </w:tcPr>
          <w:p>
            <w:pPr>
              <w:spacing w:line="312" w:lineRule="auto"/>
              <w:jc w:val="center"/>
              <w:rPr>
                <w:rFonts w:ascii="宋体" w:hAnsi="宋体"/>
                <w:b/>
                <w:sz w:val="24"/>
              </w:rPr>
            </w:pPr>
            <w:r>
              <w:rPr>
                <w:rFonts w:hint="eastAsia" w:ascii="宋体" w:hAnsi="宋体"/>
                <w:b/>
                <w:sz w:val="24"/>
              </w:rPr>
              <w:t>评分因素</w:t>
            </w:r>
          </w:p>
        </w:tc>
        <w:tc>
          <w:tcPr>
            <w:tcW w:w="6056" w:type="dxa"/>
            <w:vAlign w:val="center"/>
          </w:tcPr>
          <w:p>
            <w:pPr>
              <w:spacing w:line="312" w:lineRule="auto"/>
              <w:ind w:right="248"/>
              <w:rPr>
                <w:rFonts w:ascii="宋体" w:hAnsi="宋体"/>
                <w:sz w:val="24"/>
              </w:rPr>
            </w:pPr>
            <w:r>
              <w:rPr>
                <w:rFonts w:hint="eastAsia" w:ascii="宋体" w:hAnsi="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Merge w:val="restart"/>
            <w:vAlign w:val="center"/>
          </w:tcPr>
          <w:p>
            <w:pPr>
              <w:spacing w:line="276" w:lineRule="auto"/>
              <w:jc w:val="center"/>
              <w:rPr>
                <w:rFonts w:ascii="宋体" w:hAnsi="宋体" w:cs="宋体"/>
                <w:kern w:val="1"/>
                <w:sz w:val="24"/>
              </w:rPr>
            </w:pPr>
            <w:r>
              <w:rPr>
                <w:rFonts w:ascii="宋体" w:hAnsi="宋体"/>
                <w:sz w:val="24"/>
              </w:rPr>
              <w:t>2.2.2</w:t>
            </w:r>
          </w:p>
        </w:tc>
        <w:tc>
          <w:tcPr>
            <w:tcW w:w="2303" w:type="dxa"/>
            <w:vAlign w:val="center"/>
          </w:tcPr>
          <w:p>
            <w:pPr>
              <w:spacing w:line="276" w:lineRule="auto"/>
              <w:contextualSpacing/>
              <w:jc w:val="center"/>
              <w:rPr>
                <w:rFonts w:ascii="宋体" w:hAnsi="宋体" w:cs="宋体"/>
                <w:kern w:val="1"/>
                <w:sz w:val="24"/>
              </w:rPr>
            </w:pPr>
            <w:r>
              <w:rPr>
                <w:rFonts w:ascii="宋体" w:hAnsi="宋体" w:cs="宋体"/>
                <w:kern w:val="1"/>
                <w:sz w:val="24"/>
              </w:rPr>
              <w:t>投标人获奖</w:t>
            </w:r>
          </w:p>
        </w:tc>
        <w:tc>
          <w:tcPr>
            <w:tcW w:w="6056" w:type="dxa"/>
            <w:vAlign w:val="center"/>
          </w:tcPr>
          <w:p>
            <w:pPr>
              <w:tabs>
                <w:tab w:val="left" w:pos="1080"/>
              </w:tabs>
              <w:spacing w:line="276" w:lineRule="auto"/>
              <w:rPr>
                <w:rFonts w:ascii="宋体" w:hAnsi="宋体" w:cs="宋体"/>
                <w:kern w:val="1"/>
                <w:sz w:val="24"/>
              </w:rPr>
            </w:pPr>
            <w:r>
              <w:rPr>
                <w:rFonts w:ascii="宋体" w:hAnsi="宋体" w:cs="宋体"/>
                <w:kern w:val="1"/>
                <w:sz w:val="24"/>
              </w:rPr>
              <w:t>以下情形为奖励额度，累计不超过3%：</w:t>
            </w:r>
          </w:p>
          <w:p>
            <w:pPr>
              <w:tabs>
                <w:tab w:val="left" w:pos="1080"/>
              </w:tabs>
              <w:spacing w:line="276" w:lineRule="auto"/>
              <w:rPr>
                <w:rFonts w:ascii="宋体" w:hAnsi="宋体" w:cs="宋体"/>
                <w:kern w:val="1"/>
                <w:sz w:val="24"/>
              </w:rPr>
            </w:pPr>
            <w:r>
              <w:rPr>
                <w:rFonts w:ascii="宋体" w:hAnsi="宋体" w:cs="宋体"/>
                <w:kern w:val="1"/>
                <w:sz w:val="24"/>
              </w:rPr>
              <w:t>1.承建的水利工程近三年获得省级以上（含省级）行政主管部门或其精神文明指导委员会颁发的“文明工地”称号的，增加或减少投标报价的0.</w:t>
            </w:r>
            <w:r>
              <w:rPr>
                <w:rFonts w:hint="eastAsia" w:ascii="宋体" w:hAnsi="宋体" w:cs="宋体"/>
                <w:kern w:val="1"/>
                <w:sz w:val="24"/>
              </w:rPr>
              <w:t>1</w:t>
            </w:r>
            <w:r>
              <w:rPr>
                <w:rFonts w:ascii="宋体" w:hAnsi="宋体" w:cs="宋体"/>
                <w:kern w:val="1"/>
                <w:sz w:val="24"/>
              </w:rPr>
              <w:t>%，本项最多不超过0.5%。</w:t>
            </w:r>
          </w:p>
          <w:p>
            <w:pPr>
              <w:tabs>
                <w:tab w:val="left" w:pos="1080"/>
              </w:tabs>
              <w:spacing w:line="276" w:lineRule="auto"/>
              <w:rPr>
                <w:rFonts w:ascii="宋体" w:hAnsi="宋体" w:cs="宋体"/>
                <w:kern w:val="1"/>
                <w:sz w:val="24"/>
              </w:rPr>
            </w:pPr>
            <w:r>
              <w:rPr>
                <w:rFonts w:ascii="宋体" w:hAnsi="宋体" w:cs="宋体"/>
                <w:kern w:val="1"/>
                <w:sz w:val="24"/>
              </w:rPr>
              <w:t>2.承建的水利工程近三年获得省级行政主管部门颁发的“优质工程”或“优秀施工”的，增加或减少投标报价的0.</w:t>
            </w:r>
            <w:r>
              <w:rPr>
                <w:rFonts w:hint="eastAsia" w:ascii="宋体" w:hAnsi="宋体" w:cs="宋体"/>
                <w:kern w:val="1"/>
                <w:sz w:val="24"/>
              </w:rPr>
              <w:t>1</w:t>
            </w:r>
            <w:r>
              <w:rPr>
                <w:rFonts w:ascii="宋体" w:hAnsi="宋体" w:cs="宋体"/>
                <w:kern w:val="1"/>
                <w:sz w:val="24"/>
              </w:rPr>
              <w:t>%，本项最多不超过0.5%。</w:t>
            </w:r>
          </w:p>
          <w:p>
            <w:pPr>
              <w:tabs>
                <w:tab w:val="left" w:pos="1080"/>
              </w:tabs>
              <w:spacing w:line="276" w:lineRule="auto"/>
              <w:rPr>
                <w:rFonts w:ascii="宋体" w:hAnsi="宋体" w:cs="宋体"/>
                <w:kern w:val="1"/>
                <w:sz w:val="24"/>
              </w:rPr>
            </w:pPr>
            <w:r>
              <w:rPr>
                <w:rFonts w:ascii="宋体" w:hAnsi="宋体" w:cs="宋体"/>
                <w:kern w:val="1"/>
                <w:sz w:val="24"/>
              </w:rPr>
              <w:t>3.承建的水利工程近三年获得“大禹奖”或“鲁班奖”的，增加或减少投标报价的1%，本项最多不超过1%。</w:t>
            </w:r>
          </w:p>
          <w:p>
            <w:pPr>
              <w:tabs>
                <w:tab w:val="left" w:pos="1080"/>
              </w:tabs>
              <w:spacing w:line="276" w:lineRule="auto"/>
              <w:rPr>
                <w:rFonts w:ascii="宋体" w:hAnsi="宋体" w:cs="宋体"/>
                <w:kern w:val="1"/>
                <w:sz w:val="24"/>
              </w:rPr>
            </w:pPr>
            <w:r>
              <w:rPr>
                <w:rFonts w:ascii="宋体" w:hAnsi="宋体" w:cs="宋体"/>
                <w:kern w:val="1"/>
                <w:sz w:val="24"/>
              </w:rPr>
              <w:t>4.获得“水利安全生产标准化”达标单位的，一级（水利部颁发）增加或减少投标报价1.5%，二级（省级水行政主管部门颁发）增加或减少投标报价1%，三级（省辖市或直管县水行政主管部门颁发）增加或减少投标报价0.5%。</w:t>
            </w:r>
          </w:p>
          <w:p>
            <w:pPr>
              <w:tabs>
                <w:tab w:val="left" w:pos="1080"/>
              </w:tabs>
              <w:spacing w:line="276" w:lineRule="auto"/>
              <w:rPr>
                <w:rFonts w:ascii="宋体" w:hAnsi="宋体" w:cs="宋体"/>
                <w:kern w:val="1"/>
                <w:sz w:val="24"/>
              </w:rPr>
            </w:pPr>
            <w:r>
              <w:rPr>
                <w:rFonts w:ascii="宋体" w:hAnsi="宋体" w:cs="宋体"/>
                <w:kern w:val="1"/>
                <w:sz w:val="24"/>
              </w:rPr>
              <w:t>上述1、2、3项加分时，同一奖项类别的同一工程不重复计算,同一工程获得两个以上奖项按最高奖项计算一次。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Merge w:val="continue"/>
            <w:vAlign w:val="center"/>
          </w:tcPr>
          <w:p>
            <w:pPr>
              <w:spacing w:line="276" w:lineRule="auto"/>
              <w:rPr>
                <w:rFonts w:ascii="宋体" w:hAnsi="宋体" w:cs="宋体"/>
                <w:kern w:val="1"/>
                <w:sz w:val="24"/>
              </w:rPr>
            </w:pPr>
          </w:p>
        </w:tc>
        <w:tc>
          <w:tcPr>
            <w:tcW w:w="2303" w:type="dxa"/>
            <w:vAlign w:val="center"/>
          </w:tcPr>
          <w:p>
            <w:pPr>
              <w:spacing w:line="276" w:lineRule="auto"/>
              <w:contextualSpacing/>
              <w:jc w:val="center"/>
              <w:rPr>
                <w:rFonts w:ascii="宋体" w:hAnsi="宋体" w:cs="宋体"/>
                <w:kern w:val="1"/>
                <w:sz w:val="24"/>
              </w:rPr>
            </w:pPr>
            <w:r>
              <w:rPr>
                <w:rFonts w:ascii="宋体" w:hAnsi="宋体" w:cs="宋体"/>
                <w:kern w:val="1"/>
                <w:sz w:val="24"/>
              </w:rPr>
              <w:t>投标人受罚</w:t>
            </w:r>
          </w:p>
        </w:tc>
        <w:tc>
          <w:tcPr>
            <w:tcW w:w="6056" w:type="dxa"/>
            <w:vAlign w:val="center"/>
          </w:tcPr>
          <w:p>
            <w:pPr>
              <w:tabs>
                <w:tab w:val="left" w:pos="1080"/>
              </w:tabs>
              <w:spacing w:line="276" w:lineRule="auto"/>
              <w:rPr>
                <w:rFonts w:ascii="宋体" w:hAnsi="宋体" w:cs="宋体"/>
                <w:kern w:val="1"/>
                <w:sz w:val="24"/>
              </w:rPr>
            </w:pPr>
            <w:r>
              <w:rPr>
                <w:rFonts w:ascii="宋体" w:hAnsi="宋体" w:cs="宋体"/>
                <w:kern w:val="1"/>
                <w:sz w:val="24"/>
              </w:rPr>
              <w:t>以下情形为惩罚额度，没有累计限制：</w:t>
            </w:r>
          </w:p>
          <w:p>
            <w:pPr>
              <w:tabs>
                <w:tab w:val="left" w:pos="1080"/>
              </w:tabs>
              <w:spacing w:line="276" w:lineRule="auto"/>
              <w:rPr>
                <w:rFonts w:ascii="宋体" w:hAnsi="宋体" w:cs="宋体"/>
                <w:kern w:val="1"/>
                <w:sz w:val="24"/>
              </w:rPr>
            </w:pPr>
            <w:r>
              <w:rPr>
                <w:rFonts w:ascii="宋体" w:hAnsi="宋体" w:cs="宋体"/>
                <w:kern w:val="1"/>
                <w:sz w:val="24"/>
              </w:rPr>
              <w:t>1.近三年承建的水利工程发生过一般安全生产事故的，一次增加或减少投标报价的3%，较大及以上的一次增加或减少投标报价的5%。</w:t>
            </w:r>
          </w:p>
          <w:p>
            <w:pPr>
              <w:tabs>
                <w:tab w:val="left" w:pos="1080"/>
              </w:tabs>
              <w:spacing w:line="276" w:lineRule="auto"/>
              <w:rPr>
                <w:rFonts w:ascii="宋体" w:hAnsi="宋体" w:cs="宋体"/>
                <w:kern w:val="1"/>
                <w:sz w:val="24"/>
              </w:rPr>
            </w:pPr>
            <w:r>
              <w:rPr>
                <w:rFonts w:ascii="宋体" w:hAnsi="宋体" w:cs="宋体"/>
                <w:kern w:val="1"/>
                <w:sz w:val="24"/>
              </w:rPr>
              <w:t>2.近三年承建的水利工程发生过一般质量事故的，一次增加或减少投标报价的3%，较大及以上的一次增加或减少投标报价的5%。</w:t>
            </w:r>
          </w:p>
          <w:p>
            <w:pPr>
              <w:tabs>
                <w:tab w:val="left" w:pos="1080"/>
              </w:tabs>
              <w:spacing w:line="276" w:lineRule="auto"/>
              <w:rPr>
                <w:rFonts w:ascii="宋体" w:hAnsi="宋体" w:cs="宋体"/>
                <w:kern w:val="1"/>
                <w:sz w:val="24"/>
              </w:rPr>
            </w:pPr>
            <w:r>
              <w:rPr>
                <w:rFonts w:ascii="宋体" w:hAnsi="宋体" w:cs="宋体"/>
                <w:kern w:val="1"/>
                <w:sz w:val="24"/>
              </w:rPr>
              <w:t>3.除以上1、2项外，不良行为记录在</w:t>
            </w:r>
            <w:r>
              <w:rPr>
                <w:rFonts w:hint="eastAsia" w:ascii="宋体" w:hAnsi="宋体"/>
                <w:sz w:val="24"/>
              </w:rPr>
              <w:t>全国水利建设市场监管服务平台</w:t>
            </w:r>
            <w:r>
              <w:rPr>
                <w:rFonts w:ascii="宋体" w:hAnsi="宋体" w:cs="宋体"/>
                <w:kern w:val="1"/>
                <w:sz w:val="24"/>
              </w:rPr>
              <w:t>公告且在处罚期限内的，一次增加或减少投标报价的3%。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spacing w:line="276" w:lineRule="auto"/>
              <w:rPr>
                <w:rFonts w:ascii="宋体" w:hAnsi="宋体" w:cs="宋体"/>
                <w:kern w:val="1"/>
                <w:sz w:val="24"/>
              </w:rPr>
            </w:pPr>
          </w:p>
        </w:tc>
        <w:tc>
          <w:tcPr>
            <w:tcW w:w="2303" w:type="dxa"/>
            <w:vAlign w:val="center"/>
          </w:tcPr>
          <w:p>
            <w:pPr>
              <w:spacing w:line="276" w:lineRule="auto"/>
              <w:contextualSpacing/>
              <w:jc w:val="center"/>
              <w:rPr>
                <w:rFonts w:ascii="宋体" w:hAnsi="宋体" w:cs="宋体"/>
                <w:kern w:val="1"/>
                <w:sz w:val="24"/>
              </w:rPr>
            </w:pPr>
            <w:r>
              <w:rPr>
                <w:rFonts w:hint="eastAsia" w:ascii="宋体" w:hAnsi="宋体" w:cs="宋体"/>
                <w:kern w:val="1"/>
                <w:sz w:val="24"/>
              </w:rPr>
              <w:t>投标人信用等级</w:t>
            </w:r>
          </w:p>
        </w:tc>
        <w:tc>
          <w:tcPr>
            <w:tcW w:w="6056" w:type="dxa"/>
            <w:vAlign w:val="center"/>
          </w:tcPr>
          <w:p>
            <w:pPr>
              <w:tabs>
                <w:tab w:val="left" w:pos="1080"/>
              </w:tabs>
              <w:spacing w:line="276" w:lineRule="auto"/>
              <w:rPr>
                <w:rFonts w:ascii="宋体" w:hAnsi="宋体" w:cs="宋体"/>
                <w:kern w:val="1"/>
                <w:sz w:val="24"/>
              </w:rPr>
            </w:pPr>
            <w:r>
              <w:rPr>
                <w:rFonts w:hint="eastAsia" w:ascii="宋体" w:hAnsi="宋体" w:cs="宋体"/>
                <w:kern w:val="1"/>
                <w:sz w:val="24"/>
              </w:rPr>
              <w:t>投标人信用等级的权重:信用等级经水利部评定且在有效期内，并以</w:t>
            </w:r>
            <w:r>
              <w:rPr>
                <w:rFonts w:hint="eastAsia" w:ascii="宋体" w:hAnsi="宋体"/>
                <w:sz w:val="24"/>
              </w:rPr>
              <w:t>全国水利建设市场监管服务平台</w:t>
            </w:r>
            <w:r>
              <w:rPr>
                <w:rFonts w:hint="eastAsia" w:ascii="宋体" w:hAnsi="宋体" w:cs="宋体"/>
                <w:kern w:val="1"/>
                <w:sz w:val="24"/>
              </w:rPr>
              <w:t>公开的为准。信用等级分值或权重：AAA级为5%，AA级为4%，A级为3%，BBB级为1%，CCC级为0。</w:t>
            </w:r>
          </w:p>
          <w:p>
            <w:pPr>
              <w:tabs>
                <w:tab w:val="left" w:pos="1080"/>
              </w:tabs>
              <w:spacing w:line="276" w:lineRule="auto"/>
              <w:rPr>
                <w:rFonts w:ascii="宋体" w:hAnsi="宋体" w:cs="宋体"/>
                <w:kern w:val="1"/>
                <w:sz w:val="24"/>
              </w:rPr>
            </w:pPr>
            <w:r>
              <w:rPr>
                <w:rFonts w:hint="eastAsia" w:ascii="宋体" w:hAnsi="宋体" w:cs="宋体"/>
                <w:kern w:val="1"/>
                <w:sz w:val="24"/>
              </w:rPr>
              <w:t>（一）投标人在</w:t>
            </w:r>
            <w:r>
              <w:rPr>
                <w:rFonts w:hint="eastAsia" w:ascii="宋体" w:hAnsi="宋体"/>
                <w:sz w:val="24"/>
              </w:rPr>
              <w:t>全国水利建设市场监管服务平台</w:t>
            </w:r>
            <w:r>
              <w:rPr>
                <w:rFonts w:hint="eastAsia" w:ascii="宋体" w:hAnsi="宋体" w:cs="宋体"/>
                <w:kern w:val="1"/>
                <w:sz w:val="24"/>
              </w:rPr>
              <w:t>已建立信用档案，没有信用等级的，其信用等级视为BBB级；未建立信用档案的视为CCC级。</w:t>
            </w:r>
          </w:p>
          <w:p>
            <w:pPr>
              <w:tabs>
                <w:tab w:val="left" w:pos="1080"/>
              </w:tabs>
              <w:spacing w:line="276" w:lineRule="auto"/>
              <w:rPr>
                <w:rFonts w:ascii="宋体" w:hAnsi="宋体" w:cs="宋体"/>
                <w:kern w:val="1"/>
                <w:sz w:val="24"/>
              </w:rPr>
            </w:pPr>
            <w:r>
              <w:rPr>
                <w:rFonts w:hint="eastAsia" w:ascii="宋体" w:hAnsi="宋体" w:cs="宋体"/>
                <w:kern w:val="1"/>
                <w:sz w:val="24"/>
              </w:rPr>
              <w:t>（二）投标人近两年内存在且被发现有下列严重失信行为的，信用等级视为CCC级：</w:t>
            </w:r>
          </w:p>
          <w:p>
            <w:pPr>
              <w:tabs>
                <w:tab w:val="left" w:pos="1080"/>
              </w:tabs>
              <w:spacing w:line="276" w:lineRule="auto"/>
              <w:rPr>
                <w:rFonts w:ascii="宋体" w:hAnsi="宋体" w:cs="宋体"/>
                <w:kern w:val="1"/>
                <w:sz w:val="24"/>
              </w:rPr>
            </w:pPr>
            <w:r>
              <w:rPr>
                <w:rFonts w:hint="eastAsia" w:ascii="宋体" w:hAnsi="宋体" w:cs="宋体"/>
                <w:kern w:val="1"/>
                <w:sz w:val="24"/>
              </w:rPr>
              <w:t>1.出借、借用资质证书进行投标或承接工程的；</w:t>
            </w:r>
          </w:p>
          <w:p>
            <w:pPr>
              <w:tabs>
                <w:tab w:val="left" w:pos="1080"/>
              </w:tabs>
              <w:spacing w:line="276" w:lineRule="auto"/>
              <w:rPr>
                <w:rFonts w:ascii="宋体" w:hAnsi="宋体" w:cs="宋体"/>
                <w:kern w:val="1"/>
                <w:sz w:val="24"/>
              </w:rPr>
            </w:pPr>
            <w:r>
              <w:rPr>
                <w:rFonts w:hint="eastAsia" w:ascii="宋体" w:hAnsi="宋体" w:cs="宋体"/>
                <w:kern w:val="1"/>
                <w:sz w:val="24"/>
              </w:rPr>
              <w:t>2.围标、串标的；</w:t>
            </w:r>
          </w:p>
          <w:p>
            <w:pPr>
              <w:tabs>
                <w:tab w:val="left" w:pos="1080"/>
              </w:tabs>
              <w:spacing w:line="276" w:lineRule="auto"/>
              <w:rPr>
                <w:rFonts w:ascii="宋体" w:hAnsi="宋体" w:cs="宋体"/>
                <w:kern w:val="1"/>
                <w:sz w:val="24"/>
              </w:rPr>
            </w:pPr>
            <w:r>
              <w:rPr>
                <w:rFonts w:hint="eastAsia" w:ascii="宋体" w:hAnsi="宋体" w:cs="宋体"/>
                <w:kern w:val="1"/>
                <w:sz w:val="24"/>
              </w:rPr>
              <w:t>3.转包或违法分包所承揽工程的；</w:t>
            </w:r>
          </w:p>
          <w:p>
            <w:pPr>
              <w:tabs>
                <w:tab w:val="left" w:pos="1080"/>
              </w:tabs>
              <w:spacing w:line="276" w:lineRule="auto"/>
              <w:rPr>
                <w:rFonts w:ascii="宋体" w:hAnsi="宋体" w:cs="宋体"/>
                <w:kern w:val="1"/>
                <w:sz w:val="24"/>
              </w:rPr>
            </w:pPr>
            <w:r>
              <w:rPr>
                <w:rFonts w:hint="eastAsia" w:ascii="宋体" w:hAnsi="宋体" w:cs="宋体"/>
                <w:kern w:val="1"/>
                <w:sz w:val="24"/>
              </w:rPr>
              <w:t>4.有行贿、受贿违法记录的；</w:t>
            </w:r>
          </w:p>
          <w:p>
            <w:pPr>
              <w:tabs>
                <w:tab w:val="left" w:pos="1080"/>
              </w:tabs>
              <w:spacing w:line="276" w:lineRule="auto"/>
              <w:rPr>
                <w:rFonts w:ascii="宋体" w:hAnsi="宋体" w:cs="宋体"/>
                <w:kern w:val="1"/>
                <w:sz w:val="24"/>
              </w:rPr>
            </w:pPr>
            <w:r>
              <w:rPr>
                <w:rFonts w:hint="eastAsia" w:ascii="宋体" w:hAnsi="宋体" w:cs="宋体"/>
                <w:kern w:val="1"/>
                <w:sz w:val="24"/>
              </w:rPr>
              <w:t>5.对重(特)大质量事故、生产安全事故负有直接责任的；</w:t>
            </w:r>
          </w:p>
          <w:p>
            <w:pPr>
              <w:tabs>
                <w:tab w:val="left" w:pos="1080"/>
              </w:tabs>
              <w:spacing w:line="276" w:lineRule="auto"/>
              <w:rPr>
                <w:rFonts w:ascii="宋体" w:hAnsi="宋体" w:cs="宋体"/>
                <w:kern w:val="1"/>
                <w:sz w:val="24"/>
              </w:rPr>
            </w:pPr>
            <w:r>
              <w:rPr>
                <w:rFonts w:hint="eastAsia" w:ascii="宋体" w:hAnsi="宋体" w:cs="宋体"/>
                <w:kern w:val="1"/>
                <w:sz w:val="24"/>
              </w:rPr>
              <w:t>6.公开信息隐瞒真实情况、弄虚作假的;</w:t>
            </w:r>
          </w:p>
          <w:p>
            <w:pPr>
              <w:tabs>
                <w:tab w:val="left" w:pos="1080"/>
              </w:tabs>
              <w:spacing w:line="276" w:lineRule="auto"/>
              <w:rPr>
                <w:rFonts w:ascii="宋体" w:hAnsi="宋体" w:cs="宋体"/>
                <w:kern w:val="1"/>
                <w:sz w:val="24"/>
              </w:rPr>
            </w:pPr>
            <w:r>
              <w:rPr>
                <w:rFonts w:hint="eastAsia" w:ascii="宋体" w:hAnsi="宋体" w:cs="宋体"/>
                <w:kern w:val="1"/>
                <w:sz w:val="24"/>
              </w:rPr>
              <w:t>7.拖欠农民工工资数额较大或造成严重不良影响的;</w:t>
            </w:r>
          </w:p>
          <w:p>
            <w:pPr>
              <w:tabs>
                <w:tab w:val="left" w:pos="1080"/>
              </w:tabs>
              <w:spacing w:line="276" w:lineRule="auto"/>
              <w:rPr>
                <w:rFonts w:ascii="宋体" w:hAnsi="宋体" w:cs="宋体"/>
                <w:kern w:val="1"/>
                <w:sz w:val="24"/>
              </w:rPr>
            </w:pPr>
            <w:r>
              <w:rPr>
                <w:rFonts w:hint="eastAsia" w:ascii="宋体" w:hAnsi="宋体" w:cs="宋体"/>
                <w:kern w:val="1"/>
                <w:sz w:val="24"/>
              </w:rPr>
              <w:t>8.国家和省有关法律法规规定的其他情形。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Align w:val="center"/>
          </w:tcPr>
          <w:p>
            <w:pPr>
              <w:spacing w:line="276" w:lineRule="auto"/>
              <w:rPr>
                <w:rFonts w:ascii="宋体" w:hAnsi="宋体" w:cs="宋体"/>
                <w:kern w:val="1"/>
                <w:sz w:val="24"/>
              </w:rPr>
            </w:pPr>
          </w:p>
        </w:tc>
        <w:tc>
          <w:tcPr>
            <w:tcW w:w="2303" w:type="dxa"/>
            <w:vAlign w:val="center"/>
          </w:tcPr>
          <w:p>
            <w:pPr>
              <w:spacing w:line="276" w:lineRule="auto"/>
              <w:contextualSpacing/>
              <w:jc w:val="center"/>
              <w:rPr>
                <w:rFonts w:ascii="宋体" w:hAnsi="宋体" w:cs="宋体"/>
                <w:kern w:val="1"/>
                <w:sz w:val="24"/>
              </w:rPr>
            </w:pPr>
            <w:r>
              <w:rPr>
                <w:rFonts w:ascii="宋体" w:hAnsi="宋体" w:cs="宋体"/>
                <w:kern w:val="1"/>
                <w:sz w:val="24"/>
              </w:rPr>
              <w:t>评标价的确定</w:t>
            </w:r>
          </w:p>
        </w:tc>
        <w:tc>
          <w:tcPr>
            <w:tcW w:w="6056" w:type="dxa"/>
            <w:vAlign w:val="center"/>
          </w:tcPr>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投标人权重Q具体计算过程</w:t>
            </w:r>
            <w:r>
              <w:rPr>
                <w:rFonts w:hint="eastAsia" w:ascii="宋体" w:hAnsi="宋体" w:cs="宋体"/>
                <w:kern w:val="1"/>
                <w:sz w:val="24"/>
              </w:rPr>
              <w:t>：</w:t>
            </w:r>
          </w:p>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投标人权重Q=（1-|A-B|/A）×100％+C</w:t>
            </w:r>
          </w:p>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投标人权重结果保留两位小数。</w:t>
            </w:r>
          </w:p>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A（合理评标价）=最高投标限价×调整系数</w:t>
            </w:r>
            <w:r>
              <w:rPr>
                <w:rFonts w:hint="eastAsia" w:ascii="宋体" w:hAnsi="宋体" w:cs="宋体"/>
                <w:kern w:val="1"/>
                <w:sz w:val="24"/>
              </w:rPr>
              <w:t>α</w:t>
            </w:r>
          </w:p>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B（投标人评标价）=投标人报价±奖励惩罚额度合计</w:t>
            </w:r>
          </w:p>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C（信用权重）=0—5%</w:t>
            </w:r>
          </w:p>
          <w:p>
            <w:pPr>
              <w:spacing w:line="276" w:lineRule="auto"/>
              <w:rPr>
                <w:rFonts w:ascii="宋体" w:hAnsi="宋体" w:cs="宋体"/>
                <w:kern w:val="1"/>
                <w:sz w:val="24"/>
              </w:rPr>
            </w:pPr>
            <w:r>
              <w:rPr>
                <w:rFonts w:hint="eastAsia" w:ascii="宋体" w:hAnsi="宋体" w:cs="宋体"/>
                <w:kern w:val="1"/>
                <w:sz w:val="24"/>
              </w:rPr>
              <w:t xml:space="preserve">    （一）</w:t>
            </w:r>
            <w:r>
              <w:rPr>
                <w:rFonts w:hint="eastAsia" w:ascii="宋体" w:hAnsi="宋体" w:cs="宋体"/>
                <w:b/>
                <w:kern w:val="1"/>
                <w:sz w:val="24"/>
              </w:rPr>
              <w:t>合理评标价确定：</w:t>
            </w:r>
            <w:r>
              <w:rPr>
                <w:rFonts w:hint="eastAsia" w:ascii="宋体" w:hAnsi="宋体" w:cs="宋体"/>
                <w:kern w:val="1"/>
                <w:sz w:val="24"/>
              </w:rPr>
              <w:t>以招标人的最高投标限价为标准，约定5个调整系数（≥0.95），在开标时随机抽取1个，将调整后的最高投标限价作为合理评标价。</w:t>
            </w:r>
          </w:p>
          <w:p>
            <w:pPr>
              <w:spacing w:line="276" w:lineRule="auto"/>
              <w:rPr>
                <w:rFonts w:ascii="宋体" w:hAnsi="宋体" w:cs="宋体"/>
                <w:kern w:val="1"/>
                <w:sz w:val="24"/>
              </w:rPr>
            </w:pPr>
            <w:r>
              <w:rPr>
                <w:rFonts w:hint="eastAsia" w:ascii="宋体" w:hAnsi="宋体" w:cs="宋体"/>
                <w:kern w:val="1"/>
                <w:sz w:val="24"/>
              </w:rPr>
              <w:t>调整系数是唱标结束后，在监督人的监督下，由投标人代表随机从0.95、0.96、0.97、0.98、0.99这5个数值中抽取1个数值。</w:t>
            </w:r>
          </w:p>
          <w:p>
            <w:pPr>
              <w:spacing w:line="276" w:lineRule="auto"/>
              <w:rPr>
                <w:rFonts w:ascii="宋体" w:hAnsi="宋体" w:cs="宋体"/>
                <w:kern w:val="1"/>
                <w:sz w:val="24"/>
              </w:rPr>
            </w:pPr>
            <w:r>
              <w:rPr>
                <w:rFonts w:hint="eastAsia" w:ascii="宋体" w:hAnsi="宋体" w:cs="宋体"/>
                <w:kern w:val="1"/>
                <w:sz w:val="24"/>
              </w:rPr>
              <w:t xml:space="preserve">    （二）</w:t>
            </w:r>
            <w:r>
              <w:rPr>
                <w:rFonts w:hint="eastAsia" w:ascii="宋体" w:hAnsi="宋体" w:cs="宋体"/>
                <w:b/>
                <w:kern w:val="1"/>
                <w:sz w:val="24"/>
              </w:rPr>
              <w:t>投标人评标价计算：</w:t>
            </w:r>
            <w:r>
              <w:rPr>
                <w:rFonts w:hint="eastAsia" w:ascii="宋体" w:hAnsi="宋体" w:cs="宋体"/>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25" w:type="dxa"/>
            <w:gridSpan w:val="2"/>
            <w:vAlign w:val="center"/>
          </w:tcPr>
          <w:p>
            <w:pPr>
              <w:autoSpaceDE w:val="0"/>
              <w:autoSpaceDN w:val="0"/>
              <w:spacing w:line="276" w:lineRule="auto"/>
              <w:contextualSpacing/>
              <w:jc w:val="center"/>
              <w:rPr>
                <w:rFonts w:ascii="宋体" w:hAnsi="宋体"/>
                <w:sz w:val="24"/>
              </w:rPr>
            </w:pPr>
            <w:r>
              <w:rPr>
                <w:rFonts w:ascii="宋体" w:hAnsi="宋体"/>
                <w:sz w:val="24"/>
              </w:rPr>
              <w:t>2.2.3</w:t>
            </w:r>
          </w:p>
        </w:tc>
        <w:tc>
          <w:tcPr>
            <w:tcW w:w="2303" w:type="dxa"/>
            <w:vAlign w:val="center"/>
          </w:tcPr>
          <w:p>
            <w:pPr>
              <w:autoSpaceDE w:val="0"/>
              <w:autoSpaceDN w:val="0"/>
              <w:spacing w:line="276" w:lineRule="auto"/>
              <w:contextualSpacing/>
              <w:jc w:val="center"/>
              <w:rPr>
                <w:rFonts w:ascii="宋体" w:hAnsi="宋体" w:cs="宋体"/>
                <w:sz w:val="24"/>
              </w:rPr>
            </w:pPr>
            <w:r>
              <w:rPr>
                <w:rFonts w:hint="eastAsia" w:ascii="宋体" w:hAnsi="宋体" w:cs="宋体"/>
                <w:sz w:val="24"/>
              </w:rPr>
              <w:t>推荐中标候选人</w:t>
            </w:r>
          </w:p>
        </w:tc>
        <w:tc>
          <w:tcPr>
            <w:tcW w:w="6056" w:type="dxa"/>
            <w:vAlign w:val="center"/>
          </w:tcPr>
          <w:p>
            <w:pPr>
              <w:spacing w:line="276" w:lineRule="auto"/>
              <w:ind w:right="248"/>
              <w:rPr>
                <w:rFonts w:ascii="宋体" w:hAnsi="宋体" w:cs="宋体"/>
                <w:sz w:val="24"/>
              </w:rPr>
            </w:pP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525" w:type="dxa"/>
            <w:gridSpan w:val="2"/>
            <w:vAlign w:val="center"/>
          </w:tcPr>
          <w:p>
            <w:pPr>
              <w:autoSpaceDE w:val="0"/>
              <w:autoSpaceDN w:val="0"/>
              <w:spacing w:line="276" w:lineRule="auto"/>
              <w:contextualSpacing/>
              <w:jc w:val="center"/>
              <w:rPr>
                <w:rFonts w:ascii="宋体" w:hAnsi="宋体"/>
                <w:sz w:val="24"/>
              </w:rPr>
            </w:pPr>
            <w:r>
              <w:rPr>
                <w:rFonts w:hint="eastAsia" w:ascii="宋体" w:hAnsi="宋体"/>
                <w:sz w:val="24"/>
              </w:rPr>
              <w:t>惩罚标准</w:t>
            </w:r>
          </w:p>
        </w:tc>
        <w:tc>
          <w:tcPr>
            <w:tcW w:w="8359" w:type="dxa"/>
            <w:gridSpan w:val="2"/>
            <w:vAlign w:val="center"/>
          </w:tcPr>
          <w:p>
            <w:pPr>
              <w:spacing w:line="276" w:lineRule="auto"/>
              <w:ind w:firstLine="480" w:firstLineChars="200"/>
              <w:rPr>
                <w:rFonts w:ascii="宋体" w:hAnsi="宋体" w:cs="宋体"/>
                <w:kern w:val="1"/>
                <w:sz w:val="24"/>
              </w:rPr>
            </w:pPr>
            <w:r>
              <w:rPr>
                <w:rFonts w:hint="eastAsia" w:ascii="宋体" w:hAnsi="宋体" w:cs="宋体"/>
                <w:kern w:val="1"/>
                <w:sz w:val="24"/>
              </w:rPr>
              <w:t>投标人获奖、受罚、信用备案等信息，由评标委员会从全国水利建设市场监管服务平台上收集，评标委员会应以此为依据核实投标人提供的相关证明材料。</w:t>
            </w:r>
          </w:p>
          <w:p>
            <w:pPr>
              <w:spacing w:line="276" w:lineRule="auto"/>
              <w:ind w:firstLine="480" w:firstLineChars="200"/>
              <w:rPr>
                <w:rFonts w:ascii="宋体" w:hAnsi="宋体" w:cs="宋体"/>
                <w:kern w:val="1"/>
                <w:sz w:val="24"/>
              </w:rPr>
            </w:pPr>
            <w:r>
              <w:rPr>
                <w:rFonts w:hint="eastAsia" w:ascii="宋体" w:hAnsi="宋体" w:cs="宋体"/>
                <w:kern w:val="1"/>
                <w:sz w:val="24"/>
              </w:rPr>
              <w:t>评标委员会应以此为依据核实投标人提供的相关证明材料（获奖文件和荣誉证书原件</w:t>
            </w:r>
            <w:r>
              <w:rPr>
                <w:rFonts w:hint="eastAsia" w:ascii="宋体" w:hAnsi="宋体" w:cs="宋体"/>
                <w:kern w:val="1"/>
                <w:sz w:val="24"/>
                <w:lang w:val="en-US" w:eastAsia="zh-CN"/>
              </w:rPr>
              <w:t>扫描件或复印件</w:t>
            </w:r>
            <w:r>
              <w:rPr>
                <w:rFonts w:hint="eastAsia" w:ascii="宋体" w:hAnsi="宋体" w:cs="宋体"/>
                <w:kern w:val="1"/>
                <w:sz w:val="24"/>
              </w:rPr>
              <w:t>）。未在上述平台收集到奖励信息的或投标人未按要求提供证明材料原件</w:t>
            </w:r>
            <w:r>
              <w:rPr>
                <w:rFonts w:hint="eastAsia" w:ascii="宋体" w:hAnsi="宋体" w:cs="宋体"/>
                <w:kern w:val="1"/>
                <w:sz w:val="24"/>
                <w:lang w:val="en-US" w:eastAsia="zh-CN"/>
              </w:rPr>
              <w:t>扫描件或复印件</w:t>
            </w:r>
            <w:r>
              <w:rPr>
                <w:rFonts w:hint="eastAsia" w:ascii="宋体" w:hAnsi="宋体" w:cs="宋体"/>
                <w:kern w:val="1"/>
                <w:sz w:val="24"/>
              </w:rPr>
              <w:t>的，材料不一致的其获奖情况评标委员会不予认可；在上述平台收集到的受罚、信用信息备案等不利于投标人的情况，不论投标人是否提供相关材料，评标委员会均予以认可。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9884" w:type="dxa"/>
            <w:gridSpan w:val="4"/>
            <w:vAlign w:val="center"/>
          </w:tcPr>
          <w:p>
            <w:pPr>
              <w:spacing w:line="276" w:lineRule="auto"/>
              <w:ind w:firstLine="641"/>
              <w:rPr>
                <w:rFonts w:ascii="宋体" w:hAnsi="宋体" w:cs="宋体"/>
                <w:kern w:val="1"/>
                <w:sz w:val="24"/>
              </w:rPr>
            </w:pPr>
            <w:r>
              <w:rPr>
                <w:rFonts w:ascii="宋体" w:hAnsi="宋体" w:cs="宋体"/>
                <w:bCs/>
                <w:kern w:val="1"/>
                <w:sz w:val="24"/>
                <w:lang w:bidi="zh-CN"/>
              </w:rPr>
              <w:t>投标人有下列情形之一的，其单位及主要参建人员的资格资历、工程业绩、良好行为等不予认定：</w:t>
            </w:r>
          </w:p>
          <w:p>
            <w:pPr>
              <w:spacing w:line="276" w:lineRule="auto"/>
              <w:ind w:firstLine="641"/>
              <w:rPr>
                <w:rFonts w:ascii="宋体" w:hAnsi="宋体" w:cs="宋体"/>
                <w:kern w:val="1"/>
                <w:sz w:val="24"/>
              </w:rPr>
            </w:pPr>
            <w:r>
              <w:rPr>
                <w:rFonts w:ascii="宋体" w:hAnsi="宋体" w:cs="宋体"/>
                <w:bCs/>
                <w:kern w:val="1"/>
                <w:sz w:val="24"/>
                <w:lang w:bidi="zh-CN"/>
              </w:rPr>
              <w:t>（一）未在</w:t>
            </w:r>
            <w:r>
              <w:rPr>
                <w:rFonts w:hint="eastAsia" w:ascii="宋体" w:hAnsi="宋体"/>
                <w:sz w:val="24"/>
              </w:rPr>
              <w:t>全国水利建设市场监管服务平台</w:t>
            </w:r>
            <w:r>
              <w:rPr>
                <w:rFonts w:ascii="宋体" w:hAnsi="宋体" w:cs="宋体"/>
                <w:bCs/>
                <w:kern w:val="1"/>
                <w:sz w:val="24"/>
                <w:lang w:bidi="zh-CN"/>
              </w:rPr>
              <w:t>建立信用档案的，或提交的材料与信用平台公开的信息不符的。</w:t>
            </w:r>
          </w:p>
          <w:p>
            <w:pPr>
              <w:spacing w:line="276" w:lineRule="auto"/>
              <w:ind w:firstLine="641"/>
              <w:rPr>
                <w:rFonts w:ascii="宋体" w:hAnsi="宋体" w:cs="宋体"/>
                <w:kern w:val="1"/>
                <w:sz w:val="24"/>
              </w:rPr>
            </w:pPr>
            <w:r>
              <w:rPr>
                <w:rFonts w:ascii="宋体" w:hAnsi="宋体" w:cs="宋体"/>
                <w:kern w:val="1"/>
                <w:sz w:val="24"/>
              </w:rPr>
              <w:t>（二）</w:t>
            </w:r>
            <w:r>
              <w:rPr>
                <w:rFonts w:hint="eastAsia" w:ascii="宋体" w:hAnsi="宋体"/>
                <w:sz w:val="24"/>
              </w:rPr>
              <w:t>全国水利建设市场监管服务平台</w:t>
            </w:r>
            <w:r>
              <w:rPr>
                <w:rFonts w:ascii="宋体" w:hAnsi="宋体" w:cs="宋体"/>
                <w:kern w:val="1"/>
                <w:sz w:val="24"/>
              </w:rPr>
              <w:t>内容不包含招标人要求提供的其他信用信息的，投标人未按招标人的要求提供相关证明材料的。</w:t>
            </w:r>
          </w:p>
          <w:p>
            <w:pPr>
              <w:spacing w:line="276" w:lineRule="auto"/>
              <w:ind w:firstLine="641"/>
              <w:rPr>
                <w:rFonts w:ascii="宋体" w:hAnsi="宋体" w:cs="宋体"/>
                <w:kern w:val="1"/>
                <w:sz w:val="24"/>
              </w:rPr>
            </w:pP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pPr>
        <w:spacing w:line="360" w:lineRule="auto"/>
        <w:rPr>
          <w:rFonts w:ascii="宋体" w:hAnsi="宋体" w:cs="宋体"/>
          <w:kern w:val="1"/>
          <w:szCs w:val="21"/>
        </w:rPr>
      </w:pPr>
      <w:r>
        <w:rPr>
          <w:rFonts w:ascii="宋体" w:hAnsi="宋体" w:cs="宋体"/>
          <w:kern w:val="1"/>
          <w:szCs w:val="21"/>
        </w:rPr>
        <w:t>备注：</w:t>
      </w:r>
    </w:p>
    <w:p>
      <w:pPr>
        <w:spacing w:line="360" w:lineRule="auto"/>
        <w:rPr>
          <w:rFonts w:ascii="宋体" w:hAnsi="宋体" w:cs="宋体"/>
          <w:kern w:val="1"/>
          <w:sz w:val="24"/>
        </w:rPr>
      </w:pPr>
      <w:r>
        <w:rPr>
          <w:rFonts w:ascii="宋体" w:hAnsi="宋体" w:cs="宋体"/>
          <w:kern w:val="1"/>
          <w:sz w:val="24"/>
        </w:rPr>
        <w:t>（1）以上涉及到资格审查的</w:t>
      </w:r>
      <w:r>
        <w:rPr>
          <w:rFonts w:hint="eastAsia" w:ascii="宋体" w:hAnsi="宋体" w:cs="宋体"/>
          <w:kern w:val="1"/>
          <w:sz w:val="24"/>
        </w:rPr>
        <w:t>资料</w:t>
      </w:r>
      <w:r>
        <w:rPr>
          <w:rFonts w:ascii="宋体" w:hAnsi="宋体" w:cs="宋体"/>
          <w:kern w:val="1"/>
          <w:sz w:val="24"/>
        </w:rPr>
        <w:t>均需以</w:t>
      </w:r>
      <w:r>
        <w:rPr>
          <w:rFonts w:hint="eastAsia" w:ascii="宋体" w:hAnsi="宋体" w:cs="宋体"/>
          <w:kern w:val="1"/>
          <w:sz w:val="24"/>
        </w:rPr>
        <w:t>投标文件正本中所附复印件</w:t>
      </w:r>
      <w:r>
        <w:rPr>
          <w:rFonts w:ascii="宋体" w:hAnsi="宋体" w:cs="宋体"/>
          <w:kern w:val="1"/>
          <w:sz w:val="24"/>
        </w:rPr>
        <w:t>为准。</w:t>
      </w:r>
    </w:p>
    <w:p>
      <w:pPr>
        <w:spacing w:line="360" w:lineRule="auto"/>
        <w:rPr>
          <w:rFonts w:ascii="宋体" w:hAnsi="宋体" w:cs="宋体"/>
          <w:kern w:val="1"/>
          <w:sz w:val="24"/>
        </w:rPr>
      </w:pPr>
      <w:r>
        <w:rPr>
          <w:rFonts w:ascii="宋体" w:hAnsi="宋体" w:cs="宋体"/>
          <w:kern w:val="1"/>
          <w:sz w:val="24"/>
        </w:rPr>
        <w:t>（2）所有证件如遇延期办理的应提供相关行政主管部门出具的证明。</w:t>
      </w:r>
    </w:p>
    <w:bookmarkEnd w:id="110"/>
    <w:bookmarkEnd w:id="111"/>
    <w:bookmarkEnd w:id="112"/>
    <w:bookmarkEnd w:id="113"/>
    <w:bookmarkEnd w:id="114"/>
    <w:bookmarkEnd w:id="115"/>
    <w:bookmarkEnd w:id="116"/>
    <w:bookmarkEnd w:id="117"/>
    <w:bookmarkEnd w:id="118"/>
    <w:bookmarkEnd w:id="119"/>
    <w:bookmarkEnd w:id="120"/>
    <w:bookmarkEnd w:id="121"/>
    <w:bookmarkEnd w:id="122"/>
    <w:p>
      <w:pPr>
        <w:spacing w:line="360" w:lineRule="auto"/>
        <w:rPr>
          <w:b/>
          <w:sz w:val="24"/>
        </w:rPr>
      </w:pPr>
      <w:r>
        <w:rPr>
          <w:rFonts w:hint="eastAsia"/>
          <w:b/>
          <w:sz w:val="24"/>
        </w:rPr>
        <w:t>1. 评标方法</w:t>
      </w:r>
    </w:p>
    <w:p>
      <w:pPr>
        <w:spacing w:line="360" w:lineRule="auto"/>
        <w:ind w:firstLine="480" w:firstLineChars="200"/>
      </w:pPr>
      <w:r>
        <w:rPr>
          <w:rFonts w:hint="eastAsia" w:ascii="宋体" w:hAnsi="宋体" w:cs="宋体"/>
          <w:sz w:val="24"/>
        </w:rPr>
        <w:t>本次评标</w:t>
      </w: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w:t>
      </w:r>
      <w:r>
        <w:rPr>
          <w:rFonts w:hint="eastAsia" w:ascii="宋体" w:hAnsi="宋体" w:cs="宋体"/>
          <w:kern w:val="1"/>
          <w:sz w:val="24"/>
        </w:rPr>
        <w:t>若投标报价也相同时，在监督部门的监督下由评标委员会采用随机抽取的方式进行确定。</w:t>
      </w:r>
    </w:p>
    <w:p>
      <w:pPr>
        <w:spacing w:line="360" w:lineRule="auto"/>
        <w:rPr>
          <w:b/>
          <w:sz w:val="24"/>
        </w:rPr>
      </w:pPr>
      <w:r>
        <w:rPr>
          <w:rFonts w:hint="eastAsia"/>
          <w:b/>
          <w:sz w:val="24"/>
        </w:rPr>
        <w:t>2. 评审标准</w:t>
      </w:r>
    </w:p>
    <w:p>
      <w:pPr>
        <w:spacing w:line="360" w:lineRule="auto"/>
        <w:rPr>
          <w:rFonts w:ascii="宋体" w:hAnsi="宋体" w:cs="宋体"/>
          <w:b/>
          <w:sz w:val="24"/>
        </w:rPr>
      </w:pPr>
      <w:bookmarkStart w:id="128" w:name="_Toc247085761"/>
      <w:bookmarkStart w:id="129" w:name="_Toc144974570"/>
      <w:bookmarkStart w:id="130" w:name="_Toc179632621"/>
      <w:bookmarkStart w:id="131" w:name="_Toc246996989"/>
      <w:bookmarkStart w:id="132" w:name="_Toc152042380"/>
      <w:bookmarkStart w:id="133" w:name="_Toc296602491"/>
      <w:bookmarkStart w:id="134" w:name="_Toc152045603"/>
      <w:bookmarkStart w:id="135" w:name="_Toc246996246"/>
      <w:r>
        <w:rPr>
          <w:rFonts w:hint="eastAsia" w:ascii="宋体" w:hAnsi="宋体" w:cs="宋体"/>
          <w:b/>
          <w:sz w:val="24"/>
        </w:rPr>
        <w:t>2.1  初步评审标准</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Cs/>
          <w:sz w:val="24"/>
        </w:rPr>
        <w:t>2.1.1形式评审标准：</w:t>
      </w:r>
      <w:r>
        <w:rPr>
          <w:rFonts w:hint="eastAsia" w:ascii="宋体" w:hAnsi="宋体" w:cs="宋体"/>
          <w:sz w:val="24"/>
        </w:rPr>
        <w:t>详见评标办法前附表。</w:t>
      </w:r>
    </w:p>
    <w:p>
      <w:pPr>
        <w:spacing w:line="360" w:lineRule="auto"/>
        <w:ind w:firstLine="235" w:firstLineChars="98"/>
        <w:rPr>
          <w:rFonts w:ascii="宋体" w:hAnsi="宋体" w:cs="宋体"/>
          <w:sz w:val="24"/>
        </w:rPr>
      </w:pPr>
      <w:r>
        <w:rPr>
          <w:rFonts w:hint="eastAsia" w:ascii="宋体" w:hAnsi="宋体" w:cs="宋体"/>
          <w:bCs/>
          <w:sz w:val="24"/>
        </w:rPr>
        <w:t xml:space="preserve"> 2.1.2资格评审标准：</w:t>
      </w:r>
      <w:r>
        <w:rPr>
          <w:rFonts w:hint="eastAsia" w:ascii="宋体" w:hAnsi="宋体" w:cs="宋体"/>
          <w:sz w:val="24"/>
        </w:rPr>
        <w:t>详见评标办法前附表，本项目实行资格后审，投标单位资格应符合本章评标办法前附表第2.1.2款要求，并应提供其相应原件</w:t>
      </w:r>
      <w:r>
        <w:rPr>
          <w:rFonts w:hint="eastAsia" w:ascii="宋体" w:hAnsi="宋体" w:cs="宋体"/>
          <w:sz w:val="24"/>
          <w:lang w:val="en-US" w:eastAsia="zh-CN"/>
        </w:rPr>
        <w:t>扫描件或复印件</w:t>
      </w:r>
      <w:r>
        <w:rPr>
          <w:rFonts w:hint="eastAsia" w:ascii="宋体" w:hAnsi="宋体" w:cs="宋体"/>
          <w:sz w:val="24"/>
        </w:rPr>
        <w:t>，有一项不符合要求的即视为废标。</w:t>
      </w:r>
    </w:p>
    <w:p>
      <w:pPr>
        <w:spacing w:line="360" w:lineRule="auto"/>
        <w:ind w:firstLine="235" w:firstLineChars="98"/>
        <w:rPr>
          <w:rFonts w:ascii="宋体" w:hAnsi="宋体" w:cs="宋体"/>
          <w:sz w:val="24"/>
        </w:rPr>
      </w:pPr>
      <w:r>
        <w:rPr>
          <w:rFonts w:hint="eastAsia" w:ascii="宋体" w:hAnsi="宋体" w:cs="宋体"/>
          <w:bCs/>
          <w:sz w:val="24"/>
        </w:rPr>
        <w:t xml:space="preserve"> 2.1.3 响应性评审标准：</w:t>
      </w:r>
      <w:r>
        <w:rPr>
          <w:rFonts w:hint="eastAsia" w:ascii="宋体" w:hAnsi="宋体" w:cs="宋体"/>
          <w:sz w:val="24"/>
        </w:rPr>
        <w:t>详见评标办法前附表。</w:t>
      </w:r>
      <w:bookmarkEnd w:id="128"/>
      <w:bookmarkEnd w:id="129"/>
      <w:bookmarkEnd w:id="130"/>
      <w:bookmarkEnd w:id="131"/>
      <w:bookmarkEnd w:id="132"/>
      <w:bookmarkEnd w:id="133"/>
      <w:bookmarkEnd w:id="134"/>
      <w:bookmarkEnd w:id="135"/>
      <w:bookmarkStart w:id="136" w:name="_Toc246996990"/>
      <w:bookmarkStart w:id="137" w:name="_Toc152042381"/>
      <w:bookmarkStart w:id="138" w:name="_Toc152045604"/>
      <w:bookmarkStart w:id="139" w:name="_Toc247085762"/>
      <w:bookmarkStart w:id="140" w:name="_Toc144974571"/>
      <w:bookmarkStart w:id="141" w:name="_Toc296602492"/>
      <w:bookmarkStart w:id="142" w:name="_Toc246996247"/>
      <w:bookmarkStart w:id="143" w:name="_Toc179632622"/>
    </w:p>
    <w:p>
      <w:pPr>
        <w:spacing w:line="360" w:lineRule="auto"/>
        <w:rPr>
          <w:b/>
          <w:sz w:val="24"/>
        </w:rPr>
      </w:pPr>
      <w:r>
        <w:rPr>
          <w:rFonts w:hint="eastAsia"/>
          <w:b/>
          <w:sz w:val="24"/>
        </w:rPr>
        <w:t>2.2 合理评标价的确定、投标人评标价与信用权重的确定</w:t>
      </w:r>
    </w:p>
    <w:p>
      <w:pPr>
        <w:spacing w:line="360" w:lineRule="auto"/>
        <w:rPr>
          <w:rFonts w:ascii="宋体" w:hAnsi="宋体" w:cs="宋体"/>
          <w:sz w:val="24"/>
        </w:rPr>
      </w:pPr>
      <w:r>
        <w:rPr>
          <w:rFonts w:hint="eastAsia" w:cs="仿宋_GB2312"/>
          <w:b/>
          <w:szCs w:val="21"/>
        </w:rPr>
        <w:t xml:space="preserve">    </w:t>
      </w:r>
      <w:r>
        <w:rPr>
          <w:rFonts w:hint="eastAsia" w:ascii="宋体" w:hAnsi="宋体" w:cs="宋体"/>
          <w:b/>
          <w:sz w:val="24"/>
        </w:rPr>
        <w:t xml:space="preserve"> </w:t>
      </w:r>
      <w:r>
        <w:rPr>
          <w:rFonts w:hint="eastAsia" w:ascii="宋体" w:hAnsi="宋体" w:cs="宋体"/>
          <w:sz w:val="24"/>
        </w:rPr>
        <w:t>2.2.1 合理投标价确定计算方法：详见评标办法前附表。</w:t>
      </w:r>
    </w:p>
    <w:p>
      <w:pPr>
        <w:spacing w:line="360" w:lineRule="auto"/>
        <w:ind w:firstLine="420"/>
        <w:rPr>
          <w:rFonts w:ascii="宋体" w:hAnsi="宋体" w:cs="宋体"/>
          <w:sz w:val="24"/>
        </w:rPr>
      </w:pPr>
      <w:r>
        <w:rPr>
          <w:rFonts w:hint="eastAsia" w:ascii="宋体" w:hAnsi="宋体" w:cs="宋体"/>
          <w:sz w:val="24"/>
        </w:rPr>
        <w:t xml:space="preserve"> 2.2.2 投标人评标价的确定计算办法：详见评标办法前附表。</w:t>
      </w:r>
      <w:r>
        <w:rPr>
          <w:rFonts w:hint="eastAsia" w:ascii="宋体" w:hAnsi="宋体" w:cs="宋体"/>
          <w:sz w:val="24"/>
        </w:rPr>
        <w:tab/>
      </w:r>
    </w:p>
    <w:p>
      <w:pPr>
        <w:spacing w:line="360" w:lineRule="auto"/>
        <w:ind w:firstLine="420"/>
        <w:rPr>
          <w:rFonts w:ascii="宋体" w:hAnsi="宋体" w:cs="宋体"/>
          <w:b/>
          <w:sz w:val="24"/>
        </w:rPr>
      </w:pPr>
      <w:r>
        <w:rPr>
          <w:rFonts w:hint="eastAsia" w:ascii="宋体" w:hAnsi="宋体" w:cs="宋体"/>
          <w:sz w:val="24"/>
        </w:rPr>
        <w:t xml:space="preserve"> 2.2.3信用权重的确定计算方法：详见评标办法前附表。</w:t>
      </w:r>
    </w:p>
    <w:bookmarkEnd w:id="136"/>
    <w:bookmarkEnd w:id="137"/>
    <w:bookmarkEnd w:id="138"/>
    <w:bookmarkEnd w:id="139"/>
    <w:bookmarkEnd w:id="140"/>
    <w:bookmarkEnd w:id="141"/>
    <w:bookmarkEnd w:id="142"/>
    <w:bookmarkEnd w:id="143"/>
    <w:p>
      <w:pPr>
        <w:spacing w:line="360" w:lineRule="auto"/>
        <w:rPr>
          <w:b/>
          <w:sz w:val="24"/>
        </w:rPr>
      </w:pPr>
      <w:r>
        <w:rPr>
          <w:rFonts w:hint="eastAsia"/>
          <w:b/>
          <w:sz w:val="24"/>
        </w:rPr>
        <w:t>3、评标程序</w:t>
      </w:r>
    </w:p>
    <w:p>
      <w:pPr>
        <w:spacing w:line="360" w:lineRule="auto"/>
        <w:rPr>
          <w:b/>
          <w:sz w:val="24"/>
        </w:rPr>
      </w:pPr>
      <w:r>
        <w:rPr>
          <w:rFonts w:hint="eastAsia"/>
          <w:b/>
          <w:sz w:val="24"/>
        </w:rPr>
        <w:t>3.1 初步评审</w:t>
      </w:r>
    </w:p>
    <w:p>
      <w:pPr>
        <w:spacing w:line="360" w:lineRule="auto"/>
        <w:ind w:firstLine="480" w:firstLineChars="200"/>
        <w:rPr>
          <w:rFonts w:ascii="宋体" w:hAnsi="宋体" w:cs="宋体"/>
          <w:sz w:val="24"/>
        </w:rPr>
      </w:pPr>
      <w:r>
        <w:rPr>
          <w:rFonts w:hint="eastAsia" w:ascii="宋体" w:hAnsi="宋体" w:cs="宋体"/>
          <w:sz w:val="24"/>
        </w:rPr>
        <w:t>3.1.1 评标委员会可以要求投标人提交第二章“投标人须知”中第3.5.1 项至第3.5.4 项规定的有关证明和证件的原件</w:t>
      </w:r>
      <w:r>
        <w:rPr>
          <w:rFonts w:hint="eastAsia" w:ascii="宋体" w:hAnsi="宋体" w:cs="宋体"/>
          <w:sz w:val="24"/>
          <w:lang w:val="en-US" w:eastAsia="zh-CN"/>
        </w:rPr>
        <w:t>扫描件或复印件</w:t>
      </w:r>
      <w:r>
        <w:rPr>
          <w:rFonts w:hint="eastAsia" w:ascii="宋体" w:hAnsi="宋体" w:cs="宋体"/>
          <w:sz w:val="24"/>
        </w:rPr>
        <w:t>，以便核验。评标委员会依据本章第2.1 款规定的标准对投标文件进行初步评审。</w:t>
      </w:r>
    </w:p>
    <w:p>
      <w:pPr>
        <w:spacing w:line="360" w:lineRule="auto"/>
        <w:ind w:firstLine="480" w:firstLineChars="200"/>
        <w:rPr>
          <w:rFonts w:ascii="宋体" w:hAnsi="宋体" w:cs="宋体"/>
          <w:b/>
          <w:sz w:val="24"/>
        </w:rPr>
      </w:pPr>
      <w:r>
        <w:rPr>
          <w:rFonts w:hint="eastAsia" w:ascii="宋体" w:hAnsi="宋体" w:cs="宋体"/>
          <w:b/>
          <w:sz w:val="24"/>
        </w:rPr>
        <w:t>3.1.2 投标人有以下情形之一的，其投标做废标处理：</w:t>
      </w:r>
    </w:p>
    <w:p>
      <w:pPr>
        <w:spacing w:line="360" w:lineRule="auto"/>
        <w:ind w:firstLine="480" w:firstLineChars="200"/>
        <w:jc w:val="left"/>
        <w:rPr>
          <w:rFonts w:ascii="宋体" w:hAnsi="宋体" w:cs="宋体"/>
          <w:b/>
          <w:sz w:val="24"/>
        </w:rPr>
      </w:pPr>
      <w:r>
        <w:rPr>
          <w:rFonts w:hint="eastAsia" w:ascii="宋体" w:hAnsi="宋体" w:cs="宋体"/>
          <w:b/>
          <w:sz w:val="24"/>
        </w:rPr>
        <w:t>⑴未按规定的格式填写，内容不全，关键字迹模糊或无法辨认的；</w:t>
      </w:r>
    </w:p>
    <w:p>
      <w:pPr>
        <w:spacing w:line="360" w:lineRule="auto"/>
        <w:ind w:firstLine="480" w:firstLineChars="200"/>
        <w:jc w:val="left"/>
        <w:rPr>
          <w:rFonts w:ascii="宋体" w:hAnsi="宋体" w:cs="宋体"/>
          <w:b/>
          <w:sz w:val="24"/>
        </w:rPr>
      </w:pPr>
      <w:r>
        <w:rPr>
          <w:rFonts w:hint="eastAsia" w:ascii="宋体" w:hAnsi="宋体" w:cs="宋体"/>
          <w:b/>
          <w:sz w:val="24"/>
        </w:rPr>
        <w:t>⑵未提供授权委托人、项目经理、技术负责人的近三个月社保证明和劳动合同的；</w:t>
      </w:r>
    </w:p>
    <w:p>
      <w:pPr>
        <w:spacing w:line="360" w:lineRule="auto"/>
        <w:ind w:firstLine="480" w:firstLineChars="200"/>
        <w:jc w:val="left"/>
        <w:rPr>
          <w:rFonts w:ascii="宋体" w:hAnsi="宋体" w:cs="宋体"/>
          <w:b/>
          <w:sz w:val="24"/>
        </w:rPr>
      </w:pPr>
      <w:r>
        <w:rPr>
          <w:rFonts w:hint="eastAsia" w:ascii="宋体" w:hAnsi="宋体" w:cs="宋体"/>
          <w:b/>
          <w:sz w:val="24"/>
        </w:rPr>
        <w:t>⑶未按招标文件要求提交投标保证金的；</w:t>
      </w:r>
    </w:p>
    <w:p>
      <w:pPr>
        <w:spacing w:line="360" w:lineRule="auto"/>
        <w:ind w:firstLine="480" w:firstLineChars="200"/>
        <w:jc w:val="left"/>
        <w:rPr>
          <w:rFonts w:ascii="宋体" w:hAnsi="宋体" w:cs="宋体"/>
          <w:b/>
          <w:sz w:val="24"/>
        </w:rPr>
      </w:pPr>
      <w:r>
        <w:rPr>
          <w:rFonts w:hint="eastAsia" w:ascii="宋体" w:hAnsi="宋体" w:cs="宋体"/>
          <w:b/>
          <w:sz w:val="24"/>
        </w:rPr>
        <w:t>⑷投标人资格条件不符合国家有关规定和招标文件要求的；</w:t>
      </w:r>
    </w:p>
    <w:p>
      <w:pPr>
        <w:spacing w:line="360" w:lineRule="auto"/>
        <w:ind w:firstLine="480" w:firstLineChars="200"/>
        <w:jc w:val="left"/>
        <w:rPr>
          <w:rFonts w:ascii="宋体" w:hAnsi="宋体" w:cs="宋体"/>
          <w:b/>
          <w:sz w:val="24"/>
        </w:rPr>
      </w:pPr>
      <w:r>
        <w:rPr>
          <w:rFonts w:hint="eastAsia" w:ascii="宋体" w:hAnsi="宋体" w:cs="宋体"/>
          <w:b/>
          <w:sz w:val="24"/>
        </w:rPr>
        <w:t>⑸违反国家强制性标准的；</w:t>
      </w:r>
    </w:p>
    <w:p>
      <w:pPr>
        <w:spacing w:line="360" w:lineRule="auto"/>
        <w:ind w:firstLine="480" w:firstLineChars="200"/>
        <w:jc w:val="left"/>
        <w:rPr>
          <w:rFonts w:ascii="宋体" w:hAnsi="宋体" w:cs="宋体"/>
          <w:b/>
          <w:sz w:val="24"/>
        </w:rPr>
      </w:pPr>
      <w:r>
        <w:rPr>
          <w:rFonts w:hint="eastAsia" w:ascii="宋体" w:hAnsi="宋体" w:cs="宋体"/>
          <w:b/>
          <w:sz w:val="24"/>
        </w:rPr>
        <w:t>⑹是否按照要求对投标报价进行确认、对投标文件进行澄清、说明或者补充的；</w:t>
      </w:r>
    </w:p>
    <w:p>
      <w:pPr>
        <w:spacing w:line="360" w:lineRule="auto"/>
        <w:ind w:firstLine="480" w:firstLineChars="200"/>
        <w:jc w:val="left"/>
        <w:rPr>
          <w:rFonts w:ascii="宋体" w:hAnsi="宋体" w:cs="宋体"/>
          <w:b/>
          <w:sz w:val="24"/>
        </w:rPr>
      </w:pPr>
      <w:r>
        <w:rPr>
          <w:rFonts w:hint="eastAsia" w:ascii="宋体" w:hAnsi="宋体" w:cs="宋体"/>
          <w:b/>
          <w:sz w:val="24"/>
        </w:rPr>
        <w:t>⑺投标文件附有招标人不能接受的条件的或不符合招标文件规定的其它情况的；</w:t>
      </w:r>
    </w:p>
    <w:p>
      <w:pPr>
        <w:spacing w:line="360" w:lineRule="auto"/>
        <w:ind w:firstLine="480" w:firstLineChars="200"/>
        <w:jc w:val="left"/>
        <w:rPr>
          <w:rFonts w:ascii="宋体" w:hAnsi="宋体" w:cs="宋体"/>
          <w:b/>
          <w:sz w:val="24"/>
        </w:rPr>
      </w:pPr>
      <w:r>
        <w:rPr>
          <w:rFonts w:hint="eastAsia" w:ascii="宋体" w:hAnsi="宋体" w:cs="宋体"/>
          <w:b/>
          <w:sz w:val="24"/>
        </w:rPr>
        <w:t>⑻变更工程量清单内容的；</w:t>
      </w:r>
    </w:p>
    <w:p>
      <w:pPr>
        <w:spacing w:line="360" w:lineRule="auto"/>
        <w:ind w:firstLine="480" w:firstLineChars="200"/>
        <w:jc w:val="left"/>
        <w:rPr>
          <w:rFonts w:ascii="宋体" w:hAnsi="宋体" w:cs="宋体"/>
          <w:b/>
          <w:sz w:val="24"/>
        </w:rPr>
      </w:pPr>
      <w:r>
        <w:rPr>
          <w:rFonts w:hint="eastAsia" w:ascii="宋体" w:hAnsi="宋体" w:cs="宋体"/>
          <w:b/>
          <w:sz w:val="24"/>
        </w:rPr>
        <w:t>⑼以他人名义投标、串通投标、弄虚作假的；</w:t>
      </w:r>
    </w:p>
    <w:p>
      <w:pPr>
        <w:spacing w:line="360" w:lineRule="auto"/>
        <w:ind w:firstLine="480" w:firstLineChars="200"/>
        <w:rPr>
          <w:rFonts w:ascii="宋体" w:hAnsi="宋体" w:cs="宋体"/>
          <w:sz w:val="24"/>
        </w:rPr>
      </w:pPr>
      <w:r>
        <w:rPr>
          <w:rFonts w:hint="eastAsia" w:ascii="宋体" w:hAnsi="宋体" w:cs="宋体"/>
          <w:sz w:val="24"/>
        </w:rPr>
        <w:t>3.1.3 投标报价有算术错误的，评标委员会按以下原则对投标报价进行修正，修正的价格经投标人书面确认后具有约束力。投标人不接受修正价格的，其投标作废标处理。</w:t>
      </w:r>
    </w:p>
    <w:p>
      <w:pPr>
        <w:spacing w:line="360" w:lineRule="auto"/>
        <w:ind w:firstLine="480" w:firstLineChars="200"/>
        <w:rPr>
          <w:rFonts w:ascii="宋体" w:hAnsi="宋体" w:cs="宋体"/>
          <w:sz w:val="24"/>
        </w:rPr>
      </w:pPr>
      <w:r>
        <w:rPr>
          <w:rFonts w:hint="eastAsia" w:ascii="宋体" w:hAnsi="宋体" w:cs="宋体"/>
          <w:sz w:val="24"/>
        </w:rPr>
        <w:t>(1）投标文件中的大写金额与小写金额不一致的，以大写金额为准；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pPr>
        <w:spacing w:line="360" w:lineRule="auto"/>
        <w:rPr>
          <w:rFonts w:ascii="宋体" w:hAnsi="宋体" w:cs="宋体"/>
          <w:sz w:val="24"/>
        </w:rPr>
      </w:pPr>
      <w:r>
        <w:rPr>
          <w:rFonts w:hint="eastAsia" w:ascii="宋体" w:hAnsi="宋体" w:cs="宋体"/>
          <w:sz w:val="24"/>
        </w:rPr>
        <w:t>3.2 详细评审</w:t>
      </w:r>
    </w:p>
    <w:p>
      <w:pPr>
        <w:spacing w:line="360" w:lineRule="auto"/>
        <w:ind w:firstLine="480" w:firstLineChars="200"/>
        <w:rPr>
          <w:rFonts w:ascii="宋体" w:hAnsi="宋体" w:cs="宋体"/>
          <w:sz w:val="24"/>
        </w:rPr>
      </w:pPr>
      <w:r>
        <w:rPr>
          <w:rFonts w:hint="eastAsia" w:ascii="宋体" w:hAnsi="宋体" w:cs="宋体"/>
          <w:sz w:val="24"/>
        </w:rPr>
        <w:t>3.2.1 评标委员会按本章第2.2 款规定的量化因素和要求进行评审，并计算出投标人评标价。</w:t>
      </w:r>
    </w:p>
    <w:p>
      <w:pPr>
        <w:spacing w:line="360" w:lineRule="auto"/>
        <w:ind w:firstLine="480" w:firstLineChars="200"/>
        <w:rPr>
          <w:rFonts w:ascii="宋体" w:hAnsi="宋体" w:cs="宋体"/>
          <w:sz w:val="24"/>
        </w:rPr>
      </w:pPr>
      <w:r>
        <w:rPr>
          <w:rFonts w:hint="eastAsia" w:ascii="宋体" w:hAnsi="宋体" w:cs="宋体"/>
          <w:sz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ind w:firstLine="480" w:firstLineChars="200"/>
        <w:rPr>
          <w:rFonts w:ascii="宋体" w:hAnsi="宋体" w:cs="宋体"/>
          <w:sz w:val="24"/>
        </w:rPr>
      </w:pPr>
      <w:r>
        <w:rPr>
          <w:rFonts w:hint="eastAsia" w:ascii="宋体" w:hAnsi="宋体" w:cs="宋体"/>
          <w:sz w:val="24"/>
        </w:rPr>
        <w:t>3.2.3投标人获奖、受罚、信用信息登记等，由招标代理机构从“全国水利建设市场监管服务平台”（http://xypt.mwr.gov.cn/）上收集并向评标委员会提供，评标委员会应以此为依据核实投标人提供的相关证明材料。</w:t>
      </w:r>
    </w:p>
    <w:p>
      <w:pPr>
        <w:spacing w:line="360" w:lineRule="auto"/>
        <w:rPr>
          <w:rFonts w:ascii="宋体" w:hAnsi="宋体" w:cs="宋体"/>
          <w:sz w:val="24"/>
        </w:rPr>
      </w:pPr>
      <w:r>
        <w:rPr>
          <w:rFonts w:hint="eastAsia" w:ascii="宋体" w:hAnsi="宋体" w:cs="宋体"/>
          <w:sz w:val="24"/>
        </w:rPr>
        <w:t>3.3 投标文件的澄清和补正</w:t>
      </w:r>
    </w:p>
    <w:p>
      <w:pPr>
        <w:spacing w:line="360" w:lineRule="auto"/>
        <w:ind w:firstLine="480" w:firstLineChars="200"/>
        <w:rPr>
          <w:rFonts w:ascii="宋体" w:hAnsi="宋体" w:cs="宋体"/>
          <w:sz w:val="24"/>
        </w:rPr>
      </w:pPr>
      <w:r>
        <w:rPr>
          <w:rFonts w:hint="eastAsia" w:ascii="宋体" w:hAnsi="宋体" w:cs="宋体"/>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3.3.2 澄清、说明和补正不得改变投标文件的实质性内容（算术性错误修正的除外）。投标人的书面澄清、说明和补正属于投标文件的组成部分。</w:t>
      </w:r>
    </w:p>
    <w:p>
      <w:pPr>
        <w:spacing w:line="360" w:lineRule="auto"/>
        <w:ind w:firstLine="480" w:firstLineChars="200"/>
        <w:rPr>
          <w:rFonts w:ascii="宋体" w:hAnsi="宋体" w:cs="宋体"/>
          <w:sz w:val="24"/>
        </w:rPr>
      </w:pPr>
      <w:r>
        <w:rPr>
          <w:rFonts w:hint="eastAsia" w:ascii="宋体" w:hAnsi="宋体" w:cs="宋体"/>
          <w:sz w:val="24"/>
        </w:rPr>
        <w:t>3.3.3 评标委员会对投标人提交的澄清、说明或补正有疑问的，可以要求投标人进一步澄清、说明或补正，直至满足评标委员会的要求。</w:t>
      </w:r>
    </w:p>
    <w:p>
      <w:pPr>
        <w:spacing w:line="360" w:lineRule="auto"/>
        <w:rPr>
          <w:rFonts w:ascii="宋体" w:hAnsi="宋体" w:cs="宋体"/>
          <w:sz w:val="24"/>
        </w:rPr>
      </w:pPr>
      <w:r>
        <w:rPr>
          <w:rFonts w:hint="eastAsia" w:ascii="宋体" w:hAnsi="宋体" w:cs="宋体"/>
          <w:sz w:val="24"/>
        </w:rPr>
        <w:t>3.4 评标结果</w:t>
      </w:r>
    </w:p>
    <w:p>
      <w:pPr>
        <w:spacing w:line="360" w:lineRule="auto"/>
        <w:ind w:firstLine="480" w:firstLineChars="200"/>
        <w:rPr>
          <w:rFonts w:ascii="宋体" w:hAnsi="宋体" w:cs="宋体"/>
          <w:sz w:val="24"/>
        </w:rPr>
      </w:pPr>
      <w:r>
        <w:rPr>
          <w:rFonts w:hint="eastAsia" w:ascii="宋体" w:hAnsi="宋体" w:cs="宋体"/>
          <w:sz w:val="24"/>
        </w:rPr>
        <w:t>3.4.1 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3.4.2 评标委员会完成评标后，应当向招标人提交书面评标报告。</w:t>
      </w:r>
    </w:p>
    <w:p>
      <w:pPr>
        <w:spacing w:line="360" w:lineRule="auto"/>
        <w:ind w:firstLine="480" w:firstLineChars="200"/>
        <w:rPr>
          <w:rStyle w:val="22"/>
          <w:sz w:val="36"/>
          <w:szCs w:val="36"/>
        </w:rPr>
      </w:pPr>
      <w:r>
        <w:rPr>
          <w:rFonts w:hint="eastAsia" w:ascii="宋体" w:hAnsi="宋体" w:cs="宋体"/>
          <w:sz w:val="24"/>
        </w:rPr>
        <w:t>3.4.3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bookmarkStart w:id="144" w:name="_Toc24212"/>
      <w:bookmarkStart w:id="145" w:name="_Toc4299"/>
      <w:bookmarkStart w:id="146" w:name="_Toc701"/>
      <w:bookmarkStart w:id="147" w:name="_Toc21870"/>
      <w:bookmarkStart w:id="148" w:name="_Toc24218"/>
      <w:r>
        <w:rPr>
          <w:rStyle w:val="22"/>
          <w:rFonts w:hint="eastAsia"/>
          <w:sz w:val="36"/>
          <w:szCs w:val="36"/>
        </w:rPr>
        <w:br w:type="page"/>
      </w:r>
    </w:p>
    <w:p>
      <w:pPr>
        <w:pStyle w:val="8"/>
        <w:spacing w:before="0" w:after="0" w:line="312" w:lineRule="auto"/>
        <w:jc w:val="center"/>
        <w:rPr>
          <w:rStyle w:val="22"/>
          <w:b w:val="0"/>
          <w:bCs w:val="0"/>
          <w:sz w:val="36"/>
          <w:szCs w:val="36"/>
        </w:rPr>
      </w:pPr>
      <w:r>
        <w:rPr>
          <w:rStyle w:val="22"/>
          <w:rFonts w:hint="eastAsia"/>
          <w:b w:val="0"/>
          <w:bCs w:val="0"/>
          <w:sz w:val="36"/>
          <w:szCs w:val="36"/>
        </w:rPr>
        <w:t>第四章  合同条款、协议及格式</w:t>
      </w:r>
      <w:bookmarkEnd w:id="144"/>
      <w:bookmarkEnd w:id="145"/>
      <w:bookmarkEnd w:id="146"/>
      <w:bookmarkEnd w:id="147"/>
      <w:bookmarkEnd w:id="148"/>
    </w:p>
    <w:p>
      <w:pPr>
        <w:spacing w:line="312" w:lineRule="auto"/>
        <w:jc w:val="center"/>
        <w:rPr>
          <w:rFonts w:ascii="宋体" w:hAnsi="宋体"/>
          <w:b/>
          <w:bCs/>
          <w:sz w:val="28"/>
          <w:szCs w:val="28"/>
        </w:rPr>
      </w:pPr>
      <w:r>
        <w:rPr>
          <w:rFonts w:hint="eastAsia" w:ascii="宋体" w:hAnsi="宋体"/>
          <w:b/>
          <w:bCs/>
          <w:sz w:val="28"/>
          <w:szCs w:val="28"/>
        </w:rPr>
        <w:t xml:space="preserve"> 第一节 </w:t>
      </w:r>
      <w:r>
        <w:rPr>
          <w:rFonts w:ascii="宋体" w:hAnsi="宋体"/>
          <w:b/>
          <w:bCs/>
          <w:sz w:val="28"/>
          <w:szCs w:val="28"/>
        </w:rPr>
        <w:t>通用合同条款</w:t>
      </w:r>
      <w:r>
        <w:rPr>
          <w:rFonts w:hint="eastAsia" w:ascii="宋体" w:hAnsi="宋体"/>
          <w:b/>
          <w:bCs/>
          <w:sz w:val="28"/>
          <w:szCs w:val="28"/>
        </w:rPr>
        <w:t>(略)</w:t>
      </w:r>
    </w:p>
    <w:p>
      <w:pPr>
        <w:spacing w:line="312" w:lineRule="auto"/>
        <w:jc w:val="center"/>
        <w:rPr>
          <w:rFonts w:ascii="宋体" w:hAnsi="宋体"/>
          <w:b/>
          <w:bCs/>
          <w:sz w:val="28"/>
          <w:szCs w:val="28"/>
        </w:rPr>
      </w:pPr>
      <w:bookmarkStart w:id="149" w:name="_Toc382164703"/>
      <w:bookmarkStart w:id="150" w:name="_Toc221951110"/>
      <w:bookmarkStart w:id="151" w:name="_Toc222029526"/>
      <w:bookmarkStart w:id="152" w:name="_Toc229305386"/>
      <w:bookmarkStart w:id="153" w:name="_Toc222033877"/>
      <w:bookmarkStart w:id="154" w:name="_Toc221948340"/>
      <w:bookmarkStart w:id="155" w:name="_Toc382164588"/>
      <w:bookmarkStart w:id="156" w:name="_Toc222032695"/>
      <w:bookmarkStart w:id="157" w:name="_Toc222031028"/>
      <w:r>
        <w:rPr>
          <w:rFonts w:hint="eastAsia" w:ascii="宋体" w:hAnsi="宋体"/>
          <w:b/>
          <w:bCs/>
          <w:sz w:val="28"/>
          <w:szCs w:val="28"/>
        </w:rPr>
        <w:t>第二节 专用合同条款</w:t>
      </w:r>
      <w:bookmarkEnd w:id="149"/>
      <w:bookmarkEnd w:id="150"/>
      <w:bookmarkEnd w:id="151"/>
      <w:bookmarkEnd w:id="152"/>
      <w:bookmarkEnd w:id="153"/>
      <w:bookmarkEnd w:id="154"/>
      <w:bookmarkEnd w:id="155"/>
      <w:bookmarkEnd w:id="156"/>
      <w:bookmarkEnd w:id="157"/>
    </w:p>
    <w:p>
      <w:pPr>
        <w:spacing w:line="312" w:lineRule="auto"/>
        <w:rPr>
          <w:rFonts w:ascii="宋体" w:hAnsi="宋体" w:cs="宋体"/>
          <w:b/>
          <w:sz w:val="24"/>
        </w:rPr>
      </w:pPr>
      <w:bookmarkStart w:id="158" w:name="_Toc222031029"/>
      <w:bookmarkStart w:id="159" w:name="_Toc221951111"/>
      <w:bookmarkStart w:id="160" w:name="_Toc229305387"/>
      <w:bookmarkStart w:id="161" w:name="_Toc222033878"/>
      <w:bookmarkStart w:id="162" w:name="_Toc222029527"/>
      <w:bookmarkStart w:id="163" w:name="_Toc222032696"/>
      <w:r>
        <w:rPr>
          <w:rFonts w:hint="eastAsia" w:ascii="宋体" w:hAnsi="宋体" w:cs="宋体"/>
          <w:b/>
          <w:sz w:val="24"/>
        </w:rPr>
        <w:t>1．一般约定</w:t>
      </w:r>
      <w:bookmarkEnd w:id="158"/>
      <w:bookmarkEnd w:id="159"/>
      <w:bookmarkEnd w:id="160"/>
      <w:bookmarkEnd w:id="161"/>
      <w:bookmarkEnd w:id="162"/>
      <w:bookmarkEnd w:id="163"/>
    </w:p>
    <w:p>
      <w:pPr>
        <w:spacing w:line="312" w:lineRule="auto"/>
        <w:rPr>
          <w:rFonts w:ascii="宋体" w:hAnsi="宋体" w:cs="宋体"/>
          <w:b/>
          <w:bCs/>
          <w:sz w:val="24"/>
        </w:rPr>
      </w:pPr>
      <w:bookmarkStart w:id="164" w:name="_Toc221951112"/>
      <w:r>
        <w:rPr>
          <w:rFonts w:hint="eastAsia" w:ascii="宋体" w:hAnsi="宋体" w:cs="宋体"/>
          <w:b/>
          <w:bCs/>
          <w:sz w:val="24"/>
        </w:rPr>
        <w:t>1.1  词语定义</w:t>
      </w:r>
      <w:bookmarkEnd w:id="164"/>
    </w:p>
    <w:p>
      <w:pPr>
        <w:spacing w:line="312" w:lineRule="auto"/>
        <w:rPr>
          <w:rFonts w:ascii="宋体" w:hAnsi="宋体" w:cs="宋体"/>
          <w:sz w:val="24"/>
        </w:rPr>
      </w:pPr>
      <w:bookmarkStart w:id="165" w:name="_Toc221951113"/>
      <w:r>
        <w:rPr>
          <w:rFonts w:hint="eastAsia" w:ascii="宋体" w:hAnsi="宋体" w:cs="宋体"/>
          <w:sz w:val="24"/>
        </w:rPr>
        <w:t>1.1.2  合同当事人和人员</w:t>
      </w:r>
      <w:bookmarkEnd w:id="165"/>
    </w:p>
    <w:p>
      <w:pPr>
        <w:spacing w:line="312" w:lineRule="auto"/>
        <w:rPr>
          <w:rFonts w:ascii="宋体" w:hAnsi="宋体" w:cs="宋体"/>
          <w:sz w:val="24"/>
        </w:rPr>
      </w:pPr>
      <w:bookmarkStart w:id="166" w:name="_Toc221951114"/>
      <w:r>
        <w:rPr>
          <w:rFonts w:hint="eastAsia" w:ascii="宋体" w:hAnsi="宋体" w:cs="宋体"/>
          <w:sz w:val="24"/>
        </w:rPr>
        <w:t>1.1.2.2  发包人：</w:t>
      </w:r>
      <w:r>
        <w:rPr>
          <w:rFonts w:hint="eastAsia" w:ascii="宋体" w:hAnsi="宋体" w:cs="宋体"/>
          <w:sz w:val="24"/>
          <w:u w:val="single"/>
        </w:rPr>
        <w:t xml:space="preserve">             (填入发包人的名称)       </w:t>
      </w:r>
      <w:r>
        <w:rPr>
          <w:rFonts w:hint="eastAsia" w:ascii="宋体" w:hAnsi="宋体" w:cs="宋体"/>
          <w:sz w:val="24"/>
        </w:rPr>
        <w:t>。</w:t>
      </w:r>
      <w:bookmarkEnd w:id="166"/>
    </w:p>
    <w:p>
      <w:pPr>
        <w:spacing w:line="312" w:lineRule="auto"/>
        <w:rPr>
          <w:rFonts w:ascii="宋体" w:hAnsi="宋体" w:cs="宋体"/>
          <w:sz w:val="24"/>
        </w:rPr>
      </w:pPr>
      <w:bookmarkStart w:id="167" w:name="_Toc221951115"/>
      <w:r>
        <w:rPr>
          <w:rFonts w:hint="eastAsia" w:ascii="宋体" w:hAnsi="宋体" w:cs="宋体"/>
          <w:sz w:val="24"/>
        </w:rPr>
        <w:t>1.1.2.3  承包人：</w:t>
      </w:r>
      <w:r>
        <w:rPr>
          <w:rFonts w:hint="eastAsia" w:ascii="宋体" w:hAnsi="宋体" w:cs="宋体"/>
          <w:sz w:val="24"/>
          <w:u w:val="single"/>
        </w:rPr>
        <w:t xml:space="preserve">                 (签约后填入承包人的名称)    </w:t>
      </w:r>
      <w:r>
        <w:rPr>
          <w:rFonts w:hint="eastAsia" w:ascii="宋体" w:hAnsi="宋体" w:cs="宋体"/>
          <w:sz w:val="24"/>
        </w:rPr>
        <w:t>。</w:t>
      </w:r>
      <w:bookmarkEnd w:id="167"/>
    </w:p>
    <w:p>
      <w:pPr>
        <w:spacing w:line="312" w:lineRule="auto"/>
        <w:rPr>
          <w:rFonts w:ascii="宋体" w:hAnsi="宋体" w:cs="宋体"/>
          <w:sz w:val="24"/>
        </w:rPr>
      </w:pPr>
      <w:bookmarkStart w:id="168" w:name="_Toc221951116"/>
      <w:r>
        <w:rPr>
          <w:rFonts w:hint="eastAsia" w:ascii="宋体" w:hAnsi="宋体" w:cs="宋体"/>
          <w:sz w:val="24"/>
        </w:rPr>
        <w:t>1.1.2.5  分包人：</w:t>
      </w:r>
      <w:r>
        <w:rPr>
          <w:rFonts w:hint="eastAsia" w:ascii="宋体" w:hAnsi="宋体" w:cs="宋体"/>
          <w:sz w:val="24"/>
          <w:u w:val="single"/>
        </w:rPr>
        <w:t xml:space="preserve">                 (签约后填入分包人的名称)    </w:t>
      </w:r>
      <w:r>
        <w:rPr>
          <w:rFonts w:hint="eastAsia" w:ascii="宋体" w:hAnsi="宋体" w:cs="宋体"/>
          <w:sz w:val="24"/>
        </w:rPr>
        <w:t>。</w:t>
      </w:r>
      <w:bookmarkEnd w:id="168"/>
    </w:p>
    <w:p>
      <w:pPr>
        <w:spacing w:line="312" w:lineRule="auto"/>
        <w:rPr>
          <w:rFonts w:ascii="宋体" w:hAnsi="宋体" w:cs="宋体"/>
          <w:sz w:val="24"/>
        </w:rPr>
      </w:pPr>
      <w:bookmarkStart w:id="169" w:name="_Toc221951117"/>
      <w:r>
        <w:rPr>
          <w:rFonts w:hint="eastAsia" w:ascii="宋体" w:hAnsi="宋体" w:cs="宋体"/>
          <w:sz w:val="24"/>
        </w:rPr>
        <w:t>1.1.2.6  监理人：</w:t>
      </w:r>
      <w:r>
        <w:rPr>
          <w:rFonts w:hint="eastAsia" w:ascii="宋体" w:hAnsi="宋体" w:cs="宋体"/>
          <w:sz w:val="24"/>
          <w:u w:val="single"/>
        </w:rPr>
        <w:t xml:space="preserve">                     (填入监理人名称)       </w:t>
      </w:r>
      <w:r>
        <w:rPr>
          <w:rFonts w:hint="eastAsia" w:ascii="宋体" w:hAnsi="宋体" w:cs="宋体"/>
          <w:sz w:val="24"/>
        </w:rPr>
        <w:t xml:space="preserve"> 。</w:t>
      </w:r>
      <w:bookmarkEnd w:id="169"/>
    </w:p>
    <w:p>
      <w:pPr>
        <w:spacing w:line="312" w:lineRule="auto"/>
        <w:rPr>
          <w:rFonts w:ascii="宋体" w:hAnsi="宋体" w:cs="宋体"/>
          <w:sz w:val="24"/>
        </w:rPr>
      </w:pPr>
      <w:bookmarkStart w:id="170" w:name="_Toc221951125"/>
      <w:r>
        <w:rPr>
          <w:rFonts w:hint="eastAsia" w:ascii="宋体" w:hAnsi="宋体" w:cs="宋体"/>
          <w:sz w:val="24"/>
        </w:rPr>
        <w:t>1.1.4  日期</w:t>
      </w:r>
      <w:bookmarkEnd w:id="170"/>
      <w:r>
        <w:rPr>
          <w:rFonts w:hint="eastAsia" w:ascii="宋体" w:hAnsi="宋体" w:cs="宋体"/>
          <w:sz w:val="24"/>
        </w:rPr>
        <w:t>：</w:t>
      </w:r>
    </w:p>
    <w:p>
      <w:pPr>
        <w:spacing w:line="312" w:lineRule="auto"/>
        <w:rPr>
          <w:rFonts w:ascii="宋体" w:hAnsi="宋体" w:cs="宋体"/>
          <w:sz w:val="24"/>
        </w:rPr>
      </w:pPr>
      <w:bookmarkStart w:id="171" w:name="_Toc221951126"/>
      <w:r>
        <w:rPr>
          <w:rFonts w:hint="eastAsia" w:ascii="宋体" w:hAnsi="宋体" w:cs="宋体"/>
          <w:sz w:val="24"/>
        </w:rPr>
        <w:t>1.1.4.5  缺陷责任期：</w:t>
      </w:r>
      <w:r>
        <w:rPr>
          <w:rFonts w:hint="eastAsia" w:ascii="宋体" w:hAnsi="宋体" w:cs="宋体"/>
          <w:sz w:val="24"/>
          <w:u w:val="single"/>
        </w:rPr>
        <w:t xml:space="preserve">    （填写本合同工程的缺陷责任期限）    </w:t>
      </w:r>
      <w:r>
        <w:rPr>
          <w:rFonts w:hint="eastAsia" w:ascii="宋体" w:hAnsi="宋体" w:cs="宋体"/>
          <w:sz w:val="24"/>
        </w:rPr>
        <w:t>。</w:t>
      </w:r>
      <w:bookmarkEnd w:id="171"/>
    </w:p>
    <w:p>
      <w:pPr>
        <w:spacing w:line="312" w:lineRule="auto"/>
        <w:rPr>
          <w:rFonts w:ascii="宋体" w:hAnsi="宋体" w:cs="宋体"/>
          <w:b/>
          <w:bCs/>
          <w:sz w:val="24"/>
        </w:rPr>
      </w:pPr>
      <w:bookmarkStart w:id="172" w:name="_Toc221951127"/>
      <w:r>
        <w:rPr>
          <w:rFonts w:hint="eastAsia" w:ascii="宋体" w:hAnsi="宋体" w:cs="宋体"/>
          <w:b/>
          <w:bCs/>
          <w:sz w:val="24"/>
        </w:rPr>
        <w:t>1.4  合同文件的优先顺序</w:t>
      </w:r>
      <w:bookmarkEnd w:id="172"/>
      <w:bookmarkStart w:id="173" w:name="_Toc221951129"/>
    </w:p>
    <w:p>
      <w:pPr>
        <w:spacing w:line="312" w:lineRule="auto"/>
        <w:ind w:firstLine="120" w:firstLineChars="50"/>
        <w:rPr>
          <w:rFonts w:ascii="宋体" w:hAnsi="宋体" w:cs="宋体"/>
          <w:sz w:val="24"/>
        </w:rPr>
      </w:pPr>
      <w:r>
        <w:rPr>
          <w:rFonts w:hint="eastAsia" w:ascii="宋体" w:hAnsi="宋体" w:cs="宋体"/>
          <w:sz w:val="24"/>
        </w:rPr>
        <w:t>进人合同文件的各项文件及其优先顺序是。</w:t>
      </w:r>
    </w:p>
    <w:p>
      <w:pPr>
        <w:spacing w:line="312" w:lineRule="auto"/>
        <w:rPr>
          <w:rFonts w:ascii="宋体" w:hAnsi="宋体" w:cs="宋体"/>
          <w:b/>
          <w:bCs/>
          <w:sz w:val="24"/>
        </w:rPr>
      </w:pPr>
      <w:r>
        <w:rPr>
          <w:rFonts w:hint="eastAsia" w:ascii="宋体" w:hAnsi="宋体" w:cs="宋体"/>
          <w:b/>
          <w:bCs/>
          <w:sz w:val="24"/>
        </w:rPr>
        <w:t>1.7  联络</w:t>
      </w:r>
      <w:bookmarkEnd w:id="173"/>
    </w:p>
    <w:p>
      <w:pPr>
        <w:spacing w:line="312" w:lineRule="auto"/>
        <w:rPr>
          <w:rFonts w:ascii="宋体" w:hAnsi="宋体" w:cs="宋体"/>
          <w:sz w:val="24"/>
        </w:rPr>
      </w:pPr>
      <w:bookmarkStart w:id="174" w:name="_Toc221951130"/>
      <w:r>
        <w:rPr>
          <w:rFonts w:hint="eastAsia" w:ascii="宋体" w:hAnsi="宋体" w:cs="宋体"/>
          <w:sz w:val="24"/>
        </w:rPr>
        <w:t>1.7.2来往函件均应按技术标准和要求（合同技术条款）约定的期限送达</w:t>
      </w:r>
      <w:r>
        <w:rPr>
          <w:rFonts w:hint="eastAsia" w:ascii="宋体" w:hAnsi="宋体" w:cs="宋体"/>
          <w:sz w:val="24"/>
          <w:u w:val="single"/>
        </w:rPr>
        <w:t xml:space="preserve">  (填写文件送达地点)  </w:t>
      </w:r>
      <w:r>
        <w:rPr>
          <w:rFonts w:hint="eastAsia" w:ascii="宋体" w:hAnsi="宋体" w:cs="宋体"/>
          <w:sz w:val="24"/>
        </w:rPr>
        <w:t>。</w:t>
      </w:r>
      <w:bookmarkEnd w:id="174"/>
    </w:p>
    <w:p>
      <w:pPr>
        <w:spacing w:line="312" w:lineRule="auto"/>
        <w:rPr>
          <w:rFonts w:ascii="宋体" w:hAnsi="宋体" w:cs="宋体"/>
          <w:b/>
          <w:sz w:val="24"/>
        </w:rPr>
      </w:pPr>
      <w:bookmarkStart w:id="175" w:name="_Toc229305388"/>
      <w:bookmarkStart w:id="176" w:name="_Toc222031030"/>
      <w:bookmarkStart w:id="177" w:name="_Toc221951131"/>
      <w:bookmarkStart w:id="178" w:name="_Toc222029528"/>
      <w:bookmarkStart w:id="179" w:name="_Toc222032697"/>
      <w:bookmarkStart w:id="180" w:name="_Toc222033879"/>
      <w:bookmarkStart w:id="181" w:name="_Toc221951132"/>
      <w:r>
        <w:rPr>
          <w:rFonts w:hint="eastAsia" w:ascii="宋体" w:hAnsi="宋体" w:cs="宋体"/>
          <w:b/>
          <w:sz w:val="24"/>
        </w:rPr>
        <w:t>2  发包人义务</w:t>
      </w:r>
      <w:bookmarkEnd w:id="175"/>
      <w:bookmarkEnd w:id="176"/>
      <w:bookmarkEnd w:id="177"/>
      <w:bookmarkEnd w:id="178"/>
      <w:bookmarkEnd w:id="179"/>
      <w:bookmarkEnd w:id="180"/>
    </w:p>
    <w:p>
      <w:pPr>
        <w:spacing w:line="312" w:lineRule="auto"/>
        <w:rPr>
          <w:rFonts w:ascii="宋体" w:hAnsi="宋体" w:cs="宋体"/>
          <w:b/>
          <w:bCs/>
          <w:sz w:val="24"/>
        </w:rPr>
      </w:pPr>
      <w:r>
        <w:rPr>
          <w:rFonts w:hint="eastAsia" w:ascii="宋体" w:hAnsi="宋体" w:cs="宋体"/>
          <w:b/>
          <w:bCs/>
          <w:sz w:val="24"/>
        </w:rPr>
        <w:t>2.3  提供施工场地</w:t>
      </w:r>
      <w:bookmarkEnd w:id="181"/>
    </w:p>
    <w:p>
      <w:pPr>
        <w:spacing w:line="312" w:lineRule="auto"/>
        <w:ind w:right="248" w:firstLine="480"/>
        <w:rPr>
          <w:rFonts w:ascii="宋体" w:hAnsi="宋体" w:cs="宋体"/>
          <w:sz w:val="24"/>
        </w:rPr>
      </w:pPr>
      <w:bookmarkStart w:id="182" w:name="_Toc221951133"/>
      <w:r>
        <w:rPr>
          <w:rFonts w:hint="eastAsia" w:ascii="宋体" w:hAnsi="宋体" w:cs="宋体"/>
          <w:sz w:val="24"/>
        </w:rPr>
        <w:t>2.3.2</w:t>
      </w:r>
      <w:bookmarkEnd w:id="182"/>
      <w:r>
        <w:rPr>
          <w:rFonts w:hint="eastAsia" w:ascii="宋体" w:hAnsi="宋体" w:cs="宋体"/>
          <w:sz w:val="24"/>
        </w:rPr>
        <w:t>发包人提供的施工场地范围为：。</w:t>
      </w:r>
    </w:p>
    <w:p>
      <w:pPr>
        <w:spacing w:line="312" w:lineRule="auto"/>
        <w:ind w:right="248" w:firstLine="480"/>
        <w:rPr>
          <w:rFonts w:ascii="宋体" w:hAnsi="宋体" w:cs="宋体"/>
          <w:sz w:val="24"/>
        </w:rPr>
      </w:pPr>
      <w:r>
        <w:rPr>
          <w:rFonts w:hint="eastAsia" w:ascii="宋体" w:hAnsi="宋体" w:cs="宋体"/>
          <w:sz w:val="24"/>
        </w:rPr>
        <w:t>2.2.3承包人自行勘察的施工场地范围为：。</w:t>
      </w:r>
    </w:p>
    <w:p>
      <w:pPr>
        <w:spacing w:line="312" w:lineRule="auto"/>
        <w:rPr>
          <w:rFonts w:ascii="宋体" w:hAnsi="宋体" w:cs="宋体"/>
          <w:b/>
          <w:bCs/>
          <w:sz w:val="24"/>
        </w:rPr>
      </w:pPr>
      <w:bookmarkStart w:id="183" w:name="_Toc221951134"/>
      <w:r>
        <w:rPr>
          <w:rFonts w:hint="eastAsia" w:ascii="宋体" w:hAnsi="宋体" w:cs="宋体"/>
          <w:b/>
          <w:bCs/>
          <w:sz w:val="24"/>
        </w:rPr>
        <w:t>2.8  其它义务</w:t>
      </w:r>
      <w:bookmarkEnd w:id="183"/>
    </w:p>
    <w:p>
      <w:pPr>
        <w:pStyle w:val="10"/>
        <w:spacing w:line="312" w:lineRule="auto"/>
        <w:ind w:right="248"/>
        <w:rPr>
          <w:rFonts w:ascii="宋体" w:hAnsi="宋体" w:cs="宋体"/>
          <w:sz w:val="24"/>
        </w:rPr>
      </w:pPr>
      <w:bookmarkStart w:id="184" w:name="_Toc221951135"/>
      <w:r>
        <w:rPr>
          <w:rFonts w:hint="eastAsia" w:ascii="宋体" w:hAnsi="宋体" w:cs="宋体"/>
          <w:sz w:val="24"/>
        </w:rPr>
        <w:t xml:space="preserve"> (根据发包人的合同管理要求补充)</w:t>
      </w:r>
      <w:bookmarkEnd w:id="184"/>
    </w:p>
    <w:p>
      <w:pPr>
        <w:spacing w:line="312" w:lineRule="auto"/>
        <w:ind w:right="248" w:firstLine="480"/>
        <w:rPr>
          <w:rFonts w:ascii="宋体" w:hAnsi="宋体" w:cs="宋体"/>
          <w:sz w:val="24"/>
        </w:rPr>
      </w:pPr>
      <w:bookmarkStart w:id="185" w:name="_Toc221951136"/>
      <w:r>
        <w:rPr>
          <w:rFonts w:hint="eastAsia" w:ascii="宋体" w:hAnsi="宋体" w:cs="宋体"/>
          <w:sz w:val="24"/>
        </w:rPr>
        <w:t>(1) ……</w:t>
      </w:r>
      <w:bookmarkEnd w:id="185"/>
    </w:p>
    <w:p>
      <w:pPr>
        <w:spacing w:line="312" w:lineRule="auto"/>
        <w:ind w:right="248" w:firstLine="480"/>
        <w:rPr>
          <w:rFonts w:ascii="宋体" w:hAnsi="宋体" w:cs="宋体"/>
          <w:sz w:val="24"/>
        </w:rPr>
      </w:pPr>
      <w:bookmarkStart w:id="186" w:name="_Toc221951137"/>
      <w:r>
        <w:rPr>
          <w:rFonts w:hint="eastAsia" w:ascii="宋体" w:hAnsi="宋体" w:cs="宋体"/>
          <w:sz w:val="24"/>
        </w:rPr>
        <w:t>(2) ……</w:t>
      </w:r>
      <w:bookmarkEnd w:id="186"/>
    </w:p>
    <w:p>
      <w:pPr>
        <w:spacing w:line="312" w:lineRule="auto"/>
        <w:rPr>
          <w:rFonts w:ascii="宋体" w:hAnsi="宋体" w:cs="宋体"/>
          <w:b/>
          <w:sz w:val="24"/>
        </w:rPr>
      </w:pPr>
      <w:bookmarkStart w:id="187" w:name="_Toc222033880"/>
      <w:bookmarkStart w:id="188" w:name="_Toc222029529"/>
      <w:bookmarkStart w:id="189" w:name="_Toc221951140"/>
      <w:bookmarkStart w:id="190" w:name="_Toc222032698"/>
      <w:bookmarkStart w:id="191" w:name="_Toc229305389"/>
      <w:bookmarkStart w:id="192" w:name="_Toc222031031"/>
      <w:r>
        <w:rPr>
          <w:rFonts w:hint="eastAsia" w:ascii="宋体" w:hAnsi="宋体" w:cs="宋体"/>
          <w:b/>
          <w:sz w:val="24"/>
        </w:rPr>
        <w:t>3  监理人</w:t>
      </w:r>
      <w:bookmarkEnd w:id="187"/>
      <w:bookmarkEnd w:id="188"/>
      <w:bookmarkEnd w:id="189"/>
      <w:bookmarkEnd w:id="190"/>
      <w:bookmarkEnd w:id="191"/>
      <w:bookmarkEnd w:id="192"/>
    </w:p>
    <w:p>
      <w:pPr>
        <w:spacing w:line="312" w:lineRule="auto"/>
        <w:rPr>
          <w:rFonts w:ascii="宋体" w:hAnsi="宋体" w:cs="宋体"/>
          <w:b/>
          <w:bCs/>
          <w:sz w:val="24"/>
        </w:rPr>
      </w:pPr>
      <w:bookmarkStart w:id="193" w:name="_Toc221951141"/>
      <w:r>
        <w:rPr>
          <w:rFonts w:hint="eastAsia" w:ascii="宋体" w:hAnsi="宋体" w:cs="宋体"/>
          <w:b/>
          <w:bCs/>
          <w:sz w:val="24"/>
        </w:rPr>
        <w:t>3.1  监理人的职责和权力</w:t>
      </w:r>
      <w:bookmarkEnd w:id="193"/>
    </w:p>
    <w:p>
      <w:pPr>
        <w:spacing w:line="312" w:lineRule="auto"/>
        <w:ind w:right="248" w:firstLine="480"/>
        <w:rPr>
          <w:rFonts w:ascii="宋体" w:hAnsi="宋体" w:cs="宋体"/>
          <w:sz w:val="24"/>
        </w:rPr>
      </w:pPr>
      <w:bookmarkStart w:id="194" w:name="_Toc221951142"/>
      <w:r>
        <w:rPr>
          <w:rFonts w:hint="eastAsia" w:ascii="宋体" w:hAnsi="宋体" w:cs="宋体"/>
          <w:sz w:val="24"/>
        </w:rPr>
        <w:t>3.1.1</w:t>
      </w:r>
      <w:bookmarkEnd w:id="194"/>
      <w:r>
        <w:rPr>
          <w:rFonts w:hint="eastAsia" w:ascii="宋体" w:hAnsi="宋体" w:cs="宋体"/>
          <w:sz w:val="24"/>
        </w:rPr>
        <w:t>监理人须根据发包人事先批准的权力范围行使权力，发包人批准的权力范围：（填写监理人须经发包人批准才能行使的权力，以下示例供参考）</w:t>
      </w:r>
    </w:p>
    <w:p>
      <w:pPr>
        <w:spacing w:line="312" w:lineRule="auto"/>
        <w:ind w:right="248" w:firstLine="480"/>
        <w:rPr>
          <w:rFonts w:ascii="宋体" w:hAnsi="宋体" w:cs="宋体"/>
          <w:sz w:val="24"/>
        </w:rPr>
      </w:pPr>
      <w:bookmarkStart w:id="195" w:name="_Toc222032699"/>
      <w:bookmarkStart w:id="196" w:name="_Toc229305390"/>
      <w:bookmarkStart w:id="197" w:name="_Toc221951150"/>
      <w:bookmarkStart w:id="198" w:name="_Toc222029530"/>
      <w:bookmarkStart w:id="199" w:name="_Toc222031032"/>
      <w:bookmarkStart w:id="200" w:name="_Toc222033881"/>
      <w:r>
        <w:rPr>
          <w:rFonts w:hint="eastAsia" w:ascii="宋体" w:hAnsi="宋体" w:cs="宋体"/>
          <w:sz w:val="24"/>
        </w:rPr>
        <w:t>(l）按第4.3款约定，批准工程的分包；</w:t>
      </w:r>
    </w:p>
    <w:p>
      <w:pPr>
        <w:spacing w:line="312" w:lineRule="auto"/>
        <w:ind w:right="248" w:firstLine="480"/>
        <w:rPr>
          <w:rFonts w:ascii="宋体" w:hAnsi="宋体" w:cs="宋体"/>
          <w:sz w:val="24"/>
        </w:rPr>
      </w:pPr>
      <w:r>
        <w:rPr>
          <w:rFonts w:hint="eastAsia" w:ascii="宋体" w:hAnsi="宋体" w:cs="宋体"/>
          <w:sz w:val="24"/>
        </w:rPr>
        <w:t>(2）按第11.3款约定，确定延长完工期限；</w:t>
      </w:r>
    </w:p>
    <w:p>
      <w:pPr>
        <w:spacing w:line="312" w:lineRule="auto"/>
        <w:ind w:right="248" w:firstLine="480"/>
        <w:rPr>
          <w:rFonts w:ascii="宋体" w:hAnsi="宋体" w:cs="宋体"/>
          <w:sz w:val="24"/>
        </w:rPr>
      </w:pPr>
      <w:r>
        <w:rPr>
          <w:rFonts w:hint="eastAsia" w:ascii="宋体" w:hAnsi="宋体" w:cs="宋体"/>
          <w:sz w:val="24"/>
        </w:rPr>
        <w:t>(3）按第15.6款约定，批准暂列金额的使用；</w:t>
      </w:r>
    </w:p>
    <w:p>
      <w:pPr>
        <w:spacing w:line="312" w:lineRule="auto"/>
        <w:ind w:right="248" w:firstLine="480"/>
        <w:rPr>
          <w:rFonts w:ascii="宋体" w:hAnsi="宋体" w:cs="宋体"/>
          <w:sz w:val="24"/>
        </w:rPr>
      </w:pPr>
      <w:r>
        <w:rPr>
          <w:rFonts w:hint="eastAsia" w:ascii="宋体" w:hAnsi="宋体" w:cs="宋体"/>
          <w:sz w:val="24"/>
        </w:rPr>
        <w:t xml:space="preserve">(4）… … </w:t>
      </w:r>
    </w:p>
    <w:p>
      <w:pPr>
        <w:spacing w:line="312" w:lineRule="auto"/>
        <w:rPr>
          <w:rFonts w:ascii="宋体" w:hAnsi="宋体" w:cs="宋体"/>
          <w:b/>
          <w:sz w:val="24"/>
        </w:rPr>
      </w:pPr>
      <w:r>
        <w:rPr>
          <w:rFonts w:hint="eastAsia" w:ascii="宋体" w:hAnsi="宋体" w:cs="宋体"/>
          <w:b/>
          <w:sz w:val="24"/>
        </w:rPr>
        <w:t>4  承包人</w:t>
      </w:r>
      <w:bookmarkEnd w:id="195"/>
      <w:bookmarkEnd w:id="196"/>
      <w:bookmarkEnd w:id="197"/>
      <w:bookmarkEnd w:id="198"/>
      <w:bookmarkEnd w:id="199"/>
      <w:bookmarkEnd w:id="200"/>
    </w:p>
    <w:p>
      <w:pPr>
        <w:spacing w:line="312" w:lineRule="auto"/>
        <w:rPr>
          <w:rFonts w:ascii="宋体" w:hAnsi="宋体" w:cs="宋体"/>
          <w:b/>
          <w:bCs/>
          <w:sz w:val="24"/>
        </w:rPr>
      </w:pPr>
      <w:bookmarkStart w:id="201" w:name="_Toc221951151"/>
      <w:r>
        <w:rPr>
          <w:rFonts w:hint="eastAsia" w:ascii="宋体" w:hAnsi="宋体" w:cs="宋体"/>
          <w:b/>
          <w:bCs/>
          <w:sz w:val="24"/>
        </w:rPr>
        <w:t>4.1  承包人的一般义务</w:t>
      </w:r>
      <w:bookmarkEnd w:id="201"/>
    </w:p>
    <w:p>
      <w:pPr>
        <w:spacing w:line="312" w:lineRule="auto"/>
        <w:ind w:right="248" w:firstLine="480"/>
        <w:rPr>
          <w:rFonts w:ascii="宋体" w:hAnsi="宋体" w:cs="宋体"/>
          <w:sz w:val="24"/>
        </w:rPr>
      </w:pPr>
      <w:bookmarkStart w:id="202" w:name="_Toc221951152"/>
      <w:r>
        <w:rPr>
          <w:rFonts w:hint="eastAsia" w:ascii="宋体" w:hAnsi="宋体" w:cs="宋体"/>
          <w:sz w:val="24"/>
        </w:rPr>
        <w:t>4.1.1承包人项目班子其他成员：</w:t>
      </w:r>
    </w:p>
    <w:p>
      <w:pPr>
        <w:spacing w:line="312" w:lineRule="auto"/>
        <w:ind w:right="248" w:firstLine="480"/>
        <w:rPr>
          <w:rFonts w:ascii="宋体" w:hAnsi="宋体" w:cs="宋体"/>
          <w:sz w:val="24"/>
        </w:rPr>
      </w:pPr>
      <w:r>
        <w:rPr>
          <w:rFonts w:hint="eastAsia" w:ascii="宋体" w:hAnsi="宋体" w:cs="宋体"/>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10000元/人的罚款。</w:t>
      </w:r>
    </w:p>
    <w:p>
      <w:pPr>
        <w:spacing w:line="312" w:lineRule="auto"/>
        <w:ind w:right="248" w:firstLine="480"/>
        <w:rPr>
          <w:rFonts w:ascii="宋体" w:hAnsi="宋体" w:cs="宋体"/>
          <w:sz w:val="24"/>
        </w:rPr>
      </w:pPr>
      <w:r>
        <w:rPr>
          <w:rFonts w:hint="eastAsia" w:ascii="宋体" w:hAnsi="宋体" w:cs="宋体"/>
          <w:sz w:val="24"/>
        </w:rPr>
        <w:t>4.1.10  其他义务</w:t>
      </w:r>
      <w:bookmarkEnd w:id="202"/>
    </w:p>
    <w:p>
      <w:pPr>
        <w:spacing w:line="312" w:lineRule="auto"/>
        <w:ind w:right="248" w:firstLine="480"/>
        <w:rPr>
          <w:rFonts w:ascii="宋体" w:hAnsi="宋体" w:cs="宋体"/>
          <w:sz w:val="24"/>
        </w:rPr>
      </w:pPr>
      <w:r>
        <w:rPr>
          <w:rFonts w:hint="eastAsia" w:ascii="宋体" w:hAnsi="宋体" w:cs="宋体"/>
          <w:sz w:val="24"/>
        </w:rPr>
        <w:t>　（1）… …</w:t>
      </w:r>
    </w:p>
    <w:p>
      <w:pPr>
        <w:spacing w:line="312" w:lineRule="auto"/>
        <w:ind w:right="248" w:firstLine="480"/>
        <w:rPr>
          <w:rFonts w:ascii="宋体" w:hAnsi="宋体" w:cs="宋体"/>
          <w:sz w:val="24"/>
        </w:rPr>
      </w:pPr>
      <w:r>
        <w:rPr>
          <w:rFonts w:hint="eastAsia" w:ascii="宋体" w:hAnsi="宋体" w:cs="宋体"/>
          <w:sz w:val="24"/>
        </w:rPr>
        <w:t>　（2）… …</w:t>
      </w:r>
    </w:p>
    <w:p>
      <w:pPr>
        <w:spacing w:line="312" w:lineRule="auto"/>
        <w:rPr>
          <w:rFonts w:ascii="宋体" w:hAnsi="宋体" w:cs="宋体"/>
          <w:b/>
          <w:bCs/>
          <w:sz w:val="24"/>
        </w:rPr>
      </w:pPr>
      <w:bookmarkStart w:id="203" w:name="_Toc221951153"/>
      <w:r>
        <w:rPr>
          <w:rFonts w:hint="eastAsia" w:ascii="宋体" w:hAnsi="宋体" w:cs="宋体"/>
          <w:b/>
          <w:bCs/>
          <w:sz w:val="24"/>
        </w:rPr>
        <w:t>4.3  分包</w:t>
      </w:r>
      <w:bookmarkEnd w:id="203"/>
    </w:p>
    <w:p>
      <w:pPr>
        <w:spacing w:line="312" w:lineRule="auto"/>
        <w:ind w:right="248" w:firstLine="360" w:firstLineChars="150"/>
        <w:rPr>
          <w:rFonts w:ascii="宋体" w:hAnsi="宋体" w:cs="宋体"/>
          <w:bCs/>
          <w:sz w:val="24"/>
        </w:rPr>
      </w:pPr>
      <w:bookmarkStart w:id="204" w:name="_Toc221951154"/>
      <w:r>
        <w:rPr>
          <w:rFonts w:hint="eastAsia" w:ascii="宋体" w:hAnsi="宋体" w:cs="宋体"/>
          <w:bCs/>
          <w:sz w:val="24"/>
        </w:rPr>
        <w:t>4.3.2  允许承包人分包的工程项目、工作内容与</w:t>
      </w:r>
      <w:r>
        <w:rPr>
          <w:rFonts w:hint="eastAsia" w:ascii="宋体" w:hAnsi="宋体" w:cs="宋体"/>
          <w:sz w:val="24"/>
          <w:lang w:val="zh-CN"/>
        </w:rPr>
        <w:t>分包金额</w:t>
      </w:r>
      <w:r>
        <w:rPr>
          <w:rFonts w:hint="eastAsia" w:ascii="宋体" w:hAnsi="宋体" w:cs="宋体"/>
          <w:bCs/>
          <w:sz w:val="24"/>
        </w:rPr>
        <w:t>限额为：</w:t>
      </w:r>
      <w:bookmarkEnd w:id="204"/>
    </w:p>
    <w:p>
      <w:pPr>
        <w:pStyle w:val="10"/>
        <w:spacing w:line="312" w:lineRule="auto"/>
        <w:ind w:left="0" w:leftChars="0" w:right="248"/>
        <w:rPr>
          <w:rFonts w:ascii="宋体" w:hAnsi="宋体" w:cs="宋体"/>
          <w:bCs/>
          <w:sz w:val="24"/>
        </w:rPr>
      </w:pPr>
      <w:bookmarkStart w:id="205" w:name="_Toc221951155"/>
      <w:r>
        <w:rPr>
          <w:rFonts w:hint="eastAsia" w:ascii="宋体" w:hAnsi="宋体" w:cs="宋体"/>
          <w:sz w:val="24"/>
        </w:rPr>
        <w:t>（</w:t>
      </w:r>
      <w:r>
        <w:rPr>
          <w:rFonts w:hint="eastAsia" w:ascii="宋体" w:hAnsi="宋体" w:cs="宋体"/>
          <w:bCs/>
          <w:sz w:val="24"/>
        </w:rPr>
        <w:t>1）工程项目：。</w:t>
      </w:r>
      <w:bookmarkEnd w:id="205"/>
    </w:p>
    <w:p>
      <w:pPr>
        <w:pStyle w:val="10"/>
        <w:spacing w:line="312" w:lineRule="auto"/>
        <w:ind w:left="0" w:leftChars="0" w:right="248" w:firstLine="120" w:firstLineChars="50"/>
        <w:rPr>
          <w:rFonts w:ascii="宋体" w:hAnsi="宋体" w:cs="宋体"/>
          <w:bCs/>
          <w:sz w:val="24"/>
        </w:rPr>
      </w:pPr>
      <w:bookmarkStart w:id="206" w:name="_Toc221951156"/>
      <w:r>
        <w:rPr>
          <w:rFonts w:hint="eastAsia" w:ascii="宋体" w:hAnsi="宋体" w:cs="宋体"/>
          <w:bCs/>
          <w:sz w:val="24"/>
        </w:rPr>
        <w:t>（2）工作内容：。</w:t>
      </w:r>
      <w:bookmarkEnd w:id="206"/>
    </w:p>
    <w:p>
      <w:pPr>
        <w:pStyle w:val="10"/>
        <w:spacing w:line="312" w:lineRule="auto"/>
        <w:ind w:left="0" w:leftChars="0" w:right="248" w:firstLine="240" w:firstLineChars="100"/>
        <w:rPr>
          <w:rFonts w:ascii="宋体" w:hAnsi="宋体" w:cs="宋体"/>
          <w:sz w:val="24"/>
        </w:rPr>
      </w:pPr>
      <w:bookmarkStart w:id="207" w:name="_Toc221951157"/>
      <w:r>
        <w:rPr>
          <w:rFonts w:hint="eastAsia" w:ascii="宋体" w:hAnsi="宋体" w:cs="宋体"/>
          <w:sz w:val="24"/>
        </w:rPr>
        <w:t>（3）分包金额限额：。</w:t>
      </w:r>
      <w:bookmarkEnd w:id="207"/>
    </w:p>
    <w:p>
      <w:pPr>
        <w:pStyle w:val="10"/>
        <w:spacing w:line="312" w:lineRule="auto"/>
        <w:ind w:left="0" w:leftChars="0" w:right="248" w:firstLine="360" w:firstLineChars="150"/>
        <w:rPr>
          <w:rFonts w:ascii="宋体" w:hAnsi="宋体" w:cs="宋体"/>
          <w:bCs/>
          <w:sz w:val="24"/>
        </w:rPr>
      </w:pPr>
      <w:r>
        <w:rPr>
          <w:rFonts w:hint="eastAsia" w:ascii="宋体" w:hAnsi="宋体" w:cs="宋体"/>
          <w:sz w:val="24"/>
        </w:rPr>
        <w:t xml:space="preserve">4.3.10 分包人项目管理机构的设立：。 </w:t>
      </w:r>
    </w:p>
    <w:p>
      <w:pPr>
        <w:spacing w:line="312" w:lineRule="auto"/>
        <w:rPr>
          <w:rFonts w:ascii="宋体" w:hAnsi="宋体" w:cs="宋体"/>
          <w:b/>
          <w:bCs/>
          <w:sz w:val="24"/>
        </w:rPr>
      </w:pPr>
      <w:bookmarkStart w:id="208" w:name="_Toc221951158"/>
      <w:r>
        <w:rPr>
          <w:rFonts w:hint="eastAsia" w:ascii="宋体" w:hAnsi="宋体" w:cs="宋体"/>
          <w:b/>
          <w:bCs/>
          <w:sz w:val="24"/>
        </w:rPr>
        <w:t>4.11  不利物质条件</w:t>
      </w:r>
      <w:bookmarkEnd w:id="208"/>
    </w:p>
    <w:p>
      <w:pPr>
        <w:spacing w:line="312" w:lineRule="auto"/>
        <w:ind w:right="248" w:firstLine="360" w:firstLineChars="150"/>
        <w:rPr>
          <w:rFonts w:ascii="宋体" w:hAnsi="宋体" w:cs="宋体"/>
          <w:sz w:val="24"/>
        </w:rPr>
      </w:pPr>
      <w:bookmarkStart w:id="209" w:name="_Toc221951159"/>
      <w:r>
        <w:rPr>
          <w:rFonts w:hint="eastAsia" w:ascii="宋体" w:hAnsi="宋体" w:cs="宋体"/>
          <w:sz w:val="24"/>
        </w:rPr>
        <w:t>4.11.1 不利物质条件的范围：。</w:t>
      </w:r>
      <w:bookmarkEnd w:id="209"/>
    </w:p>
    <w:p>
      <w:pPr>
        <w:spacing w:line="312" w:lineRule="auto"/>
        <w:rPr>
          <w:rFonts w:ascii="宋体" w:hAnsi="宋体" w:cs="宋体"/>
          <w:b/>
          <w:sz w:val="24"/>
        </w:rPr>
      </w:pPr>
      <w:bookmarkStart w:id="210" w:name="_Toc221951160"/>
      <w:bookmarkStart w:id="211" w:name="_Toc229305391"/>
      <w:bookmarkStart w:id="212" w:name="_Toc222031033"/>
      <w:bookmarkStart w:id="213" w:name="_Toc222033882"/>
      <w:bookmarkStart w:id="214" w:name="_Toc222029531"/>
      <w:bookmarkStart w:id="215" w:name="_Toc222032700"/>
      <w:r>
        <w:rPr>
          <w:rFonts w:hint="eastAsia" w:ascii="宋体" w:hAnsi="宋体" w:cs="宋体"/>
          <w:b/>
          <w:sz w:val="24"/>
        </w:rPr>
        <w:t>5  材料和工程设备</w:t>
      </w:r>
      <w:bookmarkEnd w:id="210"/>
      <w:bookmarkEnd w:id="211"/>
      <w:bookmarkEnd w:id="212"/>
      <w:bookmarkEnd w:id="213"/>
      <w:bookmarkEnd w:id="214"/>
      <w:bookmarkEnd w:id="215"/>
    </w:p>
    <w:p>
      <w:pPr>
        <w:spacing w:line="312" w:lineRule="auto"/>
        <w:rPr>
          <w:rFonts w:ascii="宋体" w:hAnsi="宋体" w:cs="宋体"/>
          <w:b/>
          <w:bCs/>
          <w:sz w:val="24"/>
        </w:rPr>
      </w:pPr>
      <w:bookmarkStart w:id="216" w:name="_Toc221951161"/>
      <w:r>
        <w:rPr>
          <w:rFonts w:hint="eastAsia" w:ascii="宋体" w:hAnsi="宋体" w:cs="宋体"/>
          <w:b/>
          <w:bCs/>
          <w:sz w:val="24"/>
        </w:rPr>
        <w:t xml:space="preserve">5.2  </w:t>
      </w:r>
      <w:bookmarkEnd w:id="216"/>
      <w:r>
        <w:rPr>
          <w:rFonts w:hint="eastAsia" w:ascii="宋体" w:hAnsi="宋体" w:cs="宋体"/>
          <w:b/>
          <w:bCs/>
          <w:sz w:val="24"/>
        </w:rPr>
        <w:t>发包人提供的材料和工程设备</w:t>
      </w:r>
    </w:p>
    <w:p>
      <w:pPr>
        <w:spacing w:line="312" w:lineRule="auto"/>
        <w:ind w:firstLine="360" w:firstLineChars="150"/>
        <w:rPr>
          <w:rFonts w:ascii="宋体" w:hAnsi="宋体" w:cs="宋体"/>
          <w:sz w:val="24"/>
        </w:rPr>
      </w:pPr>
      <w:r>
        <w:rPr>
          <w:rFonts w:hint="eastAsia" w:ascii="宋体" w:hAnsi="宋体" w:cs="宋体"/>
          <w:sz w:val="24"/>
        </w:rPr>
        <w:t>5.2.1 发包人提</w:t>
      </w:r>
      <w:r>
        <w:rPr>
          <w:rFonts w:hint="eastAsia" w:ascii="宋体" w:hAnsi="宋体" w:cs="宋体"/>
          <w:bCs/>
          <w:sz w:val="24"/>
        </w:rPr>
        <w:t>供的材料和工程设备</w:t>
      </w:r>
      <w:r>
        <w:rPr>
          <w:rFonts w:hint="eastAsia" w:ascii="宋体" w:hAnsi="宋体" w:cs="宋体"/>
          <w:sz w:val="24"/>
        </w:rPr>
        <w:t>见下表：</w:t>
      </w:r>
    </w:p>
    <w:p>
      <w:pPr>
        <w:spacing w:line="312" w:lineRule="auto"/>
        <w:ind w:right="248" w:firstLine="2800" w:firstLineChars="1167"/>
        <w:rPr>
          <w:rFonts w:ascii="宋体" w:hAnsi="宋体" w:cs="宋体"/>
          <w:sz w:val="24"/>
        </w:rPr>
      </w:pPr>
      <w:r>
        <w:rPr>
          <w:rFonts w:hint="eastAsia" w:ascii="宋体" w:hAnsi="宋体" w:cs="宋体"/>
          <w:b/>
          <w:sz w:val="24"/>
        </w:rPr>
        <w:t>发包人提供的主要材料表(</w:t>
      </w:r>
      <w:r>
        <w:rPr>
          <w:rFonts w:hint="eastAsia" w:ascii="宋体" w:hAnsi="宋体" w:cs="宋体"/>
          <w:sz w:val="24"/>
        </w:rPr>
        <w:t>参考格式</w:t>
      </w:r>
      <w:r>
        <w:rPr>
          <w:rFonts w:hint="eastAsia" w:ascii="宋体" w:hAnsi="宋体" w:cs="宋体"/>
          <w:b/>
          <w:sz w:val="24"/>
        </w:rPr>
        <w:t>)</w:t>
      </w:r>
    </w:p>
    <w:tbl>
      <w:tblPr>
        <w:tblStyle w:val="15"/>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6"/>
        <w:gridCol w:w="1196"/>
        <w:gridCol w:w="763"/>
        <w:gridCol w:w="1196"/>
        <w:gridCol w:w="1196"/>
        <w:gridCol w:w="15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196" w:type="dxa"/>
          </w:tcPr>
          <w:p>
            <w:pPr>
              <w:spacing w:line="312" w:lineRule="auto"/>
              <w:jc w:val="center"/>
              <w:rPr>
                <w:rFonts w:ascii="宋体" w:hAnsi="宋体" w:cs="宋体"/>
                <w:sz w:val="24"/>
              </w:rPr>
            </w:pPr>
            <w:r>
              <w:rPr>
                <w:rFonts w:hint="eastAsia" w:ascii="宋体" w:hAnsi="宋体" w:cs="宋体"/>
                <w:sz w:val="24"/>
              </w:rPr>
              <w:t>材料名称</w:t>
            </w:r>
          </w:p>
        </w:tc>
        <w:tc>
          <w:tcPr>
            <w:tcW w:w="1196" w:type="dxa"/>
          </w:tcPr>
          <w:p>
            <w:pPr>
              <w:spacing w:line="312" w:lineRule="auto"/>
              <w:jc w:val="center"/>
              <w:rPr>
                <w:rFonts w:ascii="宋体" w:hAnsi="宋体" w:cs="宋体"/>
                <w:sz w:val="24"/>
              </w:rPr>
            </w:pPr>
            <w:r>
              <w:rPr>
                <w:rFonts w:hint="eastAsia" w:ascii="宋体" w:hAnsi="宋体" w:cs="宋体"/>
                <w:sz w:val="24"/>
              </w:rPr>
              <w:t>材料规格</w:t>
            </w:r>
          </w:p>
        </w:tc>
        <w:tc>
          <w:tcPr>
            <w:tcW w:w="763" w:type="dxa"/>
          </w:tcPr>
          <w:p>
            <w:pPr>
              <w:spacing w:line="312" w:lineRule="auto"/>
              <w:ind w:right="-33"/>
              <w:jc w:val="center"/>
              <w:rPr>
                <w:rFonts w:ascii="宋体" w:hAnsi="宋体" w:cs="宋体"/>
                <w:sz w:val="24"/>
              </w:rPr>
            </w:pPr>
            <w:r>
              <w:rPr>
                <w:rFonts w:hint="eastAsia" w:ascii="宋体" w:hAnsi="宋体" w:cs="宋体"/>
                <w:sz w:val="24"/>
              </w:rPr>
              <w:t>数量</w:t>
            </w:r>
          </w:p>
        </w:tc>
        <w:tc>
          <w:tcPr>
            <w:tcW w:w="1196" w:type="dxa"/>
          </w:tcPr>
          <w:p>
            <w:pPr>
              <w:spacing w:line="312" w:lineRule="auto"/>
              <w:jc w:val="center"/>
              <w:rPr>
                <w:rFonts w:ascii="宋体" w:hAnsi="宋体" w:cs="宋体"/>
                <w:sz w:val="24"/>
              </w:rPr>
            </w:pPr>
            <w:r>
              <w:rPr>
                <w:rFonts w:hint="eastAsia" w:ascii="宋体" w:hAnsi="宋体" w:cs="宋体"/>
                <w:sz w:val="24"/>
              </w:rPr>
              <w:t>交货地点</w:t>
            </w:r>
          </w:p>
        </w:tc>
        <w:tc>
          <w:tcPr>
            <w:tcW w:w="1196" w:type="dxa"/>
          </w:tcPr>
          <w:p>
            <w:pPr>
              <w:spacing w:line="312" w:lineRule="auto"/>
              <w:jc w:val="center"/>
              <w:rPr>
                <w:rFonts w:ascii="宋体" w:hAnsi="宋体" w:cs="宋体"/>
                <w:sz w:val="24"/>
              </w:rPr>
            </w:pPr>
            <w:r>
              <w:rPr>
                <w:rFonts w:hint="eastAsia" w:ascii="宋体" w:hAnsi="宋体" w:cs="宋体"/>
                <w:sz w:val="24"/>
              </w:rPr>
              <w:t>交货方式</w:t>
            </w:r>
          </w:p>
        </w:tc>
        <w:tc>
          <w:tcPr>
            <w:tcW w:w="1596" w:type="dxa"/>
          </w:tcPr>
          <w:p>
            <w:pPr>
              <w:spacing w:line="312" w:lineRule="auto"/>
              <w:jc w:val="center"/>
              <w:rPr>
                <w:rFonts w:ascii="宋体" w:hAnsi="宋体" w:cs="宋体"/>
                <w:sz w:val="24"/>
              </w:rPr>
            </w:pPr>
            <w:r>
              <w:rPr>
                <w:rFonts w:hint="eastAsia" w:ascii="宋体" w:hAnsi="宋体" w:cs="宋体"/>
                <w:sz w:val="24"/>
              </w:rPr>
              <w:t>计划交货日期</w:t>
            </w:r>
          </w:p>
        </w:tc>
        <w:tc>
          <w:tcPr>
            <w:tcW w:w="796" w:type="dxa"/>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bl>
    <w:p>
      <w:pPr>
        <w:spacing w:line="312" w:lineRule="auto"/>
        <w:ind w:right="248"/>
        <w:rPr>
          <w:rFonts w:ascii="宋体" w:hAnsi="宋体" w:cs="宋体"/>
          <w:b/>
          <w:sz w:val="24"/>
        </w:rPr>
      </w:pPr>
    </w:p>
    <w:p>
      <w:pPr>
        <w:spacing w:line="312" w:lineRule="auto"/>
        <w:ind w:right="248" w:firstLine="3585" w:firstLineChars="1494"/>
        <w:rPr>
          <w:rFonts w:ascii="宋体" w:hAnsi="宋体" w:cs="宋体"/>
          <w:sz w:val="24"/>
        </w:rPr>
      </w:pPr>
      <w:r>
        <w:rPr>
          <w:rFonts w:hint="eastAsia" w:ascii="宋体" w:hAnsi="宋体" w:cs="宋体"/>
          <w:b/>
          <w:sz w:val="24"/>
        </w:rPr>
        <w:t>发包人提供的工程设备表(</w:t>
      </w:r>
      <w:r>
        <w:rPr>
          <w:rFonts w:hint="eastAsia" w:ascii="宋体" w:hAnsi="宋体" w:cs="宋体"/>
          <w:sz w:val="24"/>
        </w:rPr>
        <w:t>参考格式</w:t>
      </w:r>
      <w:r>
        <w:rPr>
          <w:rFonts w:hint="eastAsia" w:ascii="宋体" w:hAnsi="宋体" w:cs="宋体"/>
          <w:b/>
          <w:sz w:val="24"/>
        </w:rPr>
        <w:t>)</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96"/>
        <w:gridCol w:w="1396"/>
        <w:gridCol w:w="763"/>
        <w:gridCol w:w="1196"/>
        <w:gridCol w:w="1196"/>
        <w:gridCol w:w="155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596" w:type="dxa"/>
          </w:tcPr>
          <w:p>
            <w:pPr>
              <w:spacing w:line="312" w:lineRule="auto"/>
              <w:jc w:val="center"/>
              <w:rPr>
                <w:rFonts w:ascii="宋体" w:hAnsi="宋体" w:cs="宋体"/>
                <w:sz w:val="24"/>
              </w:rPr>
            </w:pPr>
            <w:r>
              <w:rPr>
                <w:rFonts w:hint="eastAsia" w:ascii="宋体" w:hAnsi="宋体" w:cs="宋体"/>
                <w:sz w:val="24"/>
              </w:rPr>
              <w:t>工程设备名称</w:t>
            </w:r>
          </w:p>
        </w:tc>
        <w:tc>
          <w:tcPr>
            <w:tcW w:w="1396" w:type="dxa"/>
          </w:tcPr>
          <w:p>
            <w:pPr>
              <w:spacing w:line="312" w:lineRule="auto"/>
              <w:jc w:val="center"/>
              <w:rPr>
                <w:rFonts w:ascii="宋体" w:hAnsi="宋体" w:cs="宋体"/>
                <w:sz w:val="24"/>
              </w:rPr>
            </w:pPr>
            <w:r>
              <w:rPr>
                <w:rFonts w:hint="eastAsia" w:ascii="宋体" w:hAnsi="宋体" w:cs="宋体"/>
                <w:sz w:val="24"/>
              </w:rPr>
              <w:t>型号及规格</w:t>
            </w:r>
          </w:p>
        </w:tc>
        <w:tc>
          <w:tcPr>
            <w:tcW w:w="763" w:type="dxa"/>
          </w:tcPr>
          <w:p>
            <w:pPr>
              <w:spacing w:line="312" w:lineRule="auto"/>
              <w:ind w:right="-33"/>
              <w:jc w:val="center"/>
              <w:rPr>
                <w:rFonts w:ascii="宋体" w:hAnsi="宋体" w:cs="宋体"/>
                <w:sz w:val="24"/>
              </w:rPr>
            </w:pPr>
            <w:r>
              <w:rPr>
                <w:rFonts w:hint="eastAsia" w:ascii="宋体" w:hAnsi="宋体" w:cs="宋体"/>
                <w:sz w:val="24"/>
              </w:rPr>
              <w:t>数量</w:t>
            </w:r>
          </w:p>
        </w:tc>
        <w:tc>
          <w:tcPr>
            <w:tcW w:w="1196" w:type="dxa"/>
          </w:tcPr>
          <w:p>
            <w:pPr>
              <w:spacing w:line="312" w:lineRule="auto"/>
              <w:jc w:val="center"/>
              <w:rPr>
                <w:rFonts w:ascii="宋体" w:hAnsi="宋体" w:cs="宋体"/>
                <w:sz w:val="24"/>
              </w:rPr>
            </w:pPr>
            <w:r>
              <w:rPr>
                <w:rFonts w:hint="eastAsia" w:ascii="宋体" w:hAnsi="宋体" w:cs="宋体"/>
                <w:sz w:val="24"/>
              </w:rPr>
              <w:t>交货地点</w:t>
            </w:r>
          </w:p>
        </w:tc>
        <w:tc>
          <w:tcPr>
            <w:tcW w:w="1196" w:type="dxa"/>
          </w:tcPr>
          <w:p>
            <w:pPr>
              <w:spacing w:line="312" w:lineRule="auto"/>
              <w:jc w:val="center"/>
              <w:rPr>
                <w:rFonts w:ascii="宋体" w:hAnsi="宋体" w:cs="宋体"/>
                <w:sz w:val="24"/>
              </w:rPr>
            </w:pPr>
            <w:r>
              <w:rPr>
                <w:rFonts w:hint="eastAsia" w:ascii="宋体" w:hAnsi="宋体" w:cs="宋体"/>
                <w:sz w:val="24"/>
              </w:rPr>
              <w:t>交货方式</w:t>
            </w:r>
          </w:p>
        </w:tc>
        <w:tc>
          <w:tcPr>
            <w:tcW w:w="1550" w:type="dxa"/>
          </w:tcPr>
          <w:p>
            <w:pPr>
              <w:spacing w:line="312" w:lineRule="auto"/>
              <w:jc w:val="center"/>
              <w:rPr>
                <w:rFonts w:ascii="宋体" w:hAnsi="宋体" w:cs="宋体"/>
                <w:sz w:val="24"/>
              </w:rPr>
            </w:pPr>
            <w:r>
              <w:rPr>
                <w:rFonts w:hint="eastAsia" w:ascii="宋体" w:hAnsi="宋体" w:cs="宋体"/>
                <w:sz w:val="24"/>
              </w:rPr>
              <w:t>计划交货日期</w:t>
            </w:r>
          </w:p>
        </w:tc>
        <w:tc>
          <w:tcPr>
            <w:tcW w:w="796" w:type="dxa"/>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bl>
    <w:p>
      <w:pPr>
        <w:spacing w:line="312" w:lineRule="auto"/>
        <w:rPr>
          <w:rFonts w:ascii="宋体" w:hAnsi="宋体" w:cs="宋体"/>
          <w:sz w:val="24"/>
        </w:rPr>
      </w:pPr>
    </w:p>
    <w:p>
      <w:pPr>
        <w:spacing w:line="312" w:lineRule="auto"/>
        <w:rPr>
          <w:rFonts w:ascii="宋体" w:hAnsi="宋体" w:cs="宋体"/>
          <w:b/>
          <w:sz w:val="24"/>
        </w:rPr>
      </w:pPr>
      <w:bookmarkStart w:id="217" w:name="_Toc229305392"/>
      <w:bookmarkStart w:id="218" w:name="_Toc221951166"/>
      <w:bookmarkStart w:id="219" w:name="_Toc222033883"/>
      <w:bookmarkStart w:id="220" w:name="_Toc222029532"/>
      <w:bookmarkStart w:id="221" w:name="_Toc222032701"/>
      <w:bookmarkStart w:id="222" w:name="_Toc222031034"/>
      <w:r>
        <w:rPr>
          <w:rFonts w:hint="eastAsia" w:ascii="宋体" w:hAnsi="宋体" w:cs="宋体"/>
          <w:b/>
          <w:sz w:val="24"/>
        </w:rPr>
        <w:t>6  施工设备和临时设施</w:t>
      </w:r>
      <w:bookmarkEnd w:id="217"/>
      <w:bookmarkEnd w:id="218"/>
      <w:bookmarkEnd w:id="219"/>
      <w:bookmarkEnd w:id="220"/>
      <w:bookmarkEnd w:id="221"/>
      <w:bookmarkEnd w:id="222"/>
    </w:p>
    <w:p>
      <w:pPr>
        <w:spacing w:line="312" w:lineRule="auto"/>
        <w:rPr>
          <w:rFonts w:ascii="宋体" w:hAnsi="宋体" w:cs="宋体"/>
          <w:b/>
          <w:bCs/>
          <w:sz w:val="24"/>
        </w:rPr>
      </w:pPr>
      <w:bookmarkStart w:id="223" w:name="_Toc221951167"/>
      <w:r>
        <w:rPr>
          <w:rFonts w:hint="eastAsia" w:ascii="宋体" w:hAnsi="宋体" w:cs="宋体"/>
          <w:b/>
          <w:bCs/>
          <w:sz w:val="24"/>
        </w:rPr>
        <w:t>6.2  发包人提供的施工设备和临时设施</w:t>
      </w:r>
      <w:bookmarkEnd w:id="223"/>
    </w:p>
    <w:p>
      <w:pPr>
        <w:spacing w:line="312" w:lineRule="auto"/>
        <w:ind w:right="248"/>
        <w:rPr>
          <w:rFonts w:ascii="宋体" w:hAnsi="宋体" w:cs="宋体"/>
          <w:bCs/>
          <w:sz w:val="24"/>
        </w:rPr>
      </w:pPr>
      <w:bookmarkStart w:id="224" w:name="_Toc221951169"/>
      <w:r>
        <w:rPr>
          <w:rFonts w:hint="eastAsia" w:ascii="宋体" w:hAnsi="宋体" w:cs="宋体"/>
          <w:bCs/>
          <w:sz w:val="24"/>
        </w:rPr>
        <w:t>（1）发包人提供的的施工设备见下表</w:t>
      </w:r>
      <w:bookmarkEnd w:id="224"/>
      <w:r>
        <w:rPr>
          <w:rFonts w:hint="eastAsia" w:ascii="宋体" w:hAnsi="宋体" w:cs="宋体"/>
          <w:bCs/>
          <w:sz w:val="24"/>
        </w:rPr>
        <w:t>：</w:t>
      </w:r>
      <w:bookmarkStart w:id="225" w:name="_Toc221951170"/>
    </w:p>
    <w:p>
      <w:pPr>
        <w:spacing w:line="312" w:lineRule="auto"/>
        <w:ind w:right="248" w:firstLine="3146" w:firstLineChars="1311"/>
        <w:rPr>
          <w:rFonts w:ascii="宋体" w:hAnsi="宋体" w:cs="宋体"/>
          <w:sz w:val="24"/>
        </w:rPr>
      </w:pPr>
      <w:r>
        <w:rPr>
          <w:rFonts w:hint="eastAsia" w:ascii="宋体" w:hAnsi="宋体" w:cs="宋体"/>
          <w:b/>
          <w:sz w:val="24"/>
        </w:rPr>
        <w:t>发包人提供的施工设备表(</w:t>
      </w:r>
      <w:r>
        <w:rPr>
          <w:rFonts w:hint="eastAsia" w:ascii="宋体" w:hAnsi="宋体" w:cs="宋体"/>
          <w:sz w:val="24"/>
        </w:rPr>
        <w:t>参考格式</w:t>
      </w:r>
      <w:r>
        <w:rPr>
          <w:rFonts w:hint="eastAsia" w:ascii="宋体" w:hAnsi="宋体" w:cs="宋体"/>
          <w:b/>
          <w:sz w:val="24"/>
        </w:rPr>
        <w:t>)</w:t>
      </w:r>
      <w:bookmarkEnd w:id="225"/>
    </w:p>
    <w:tbl>
      <w:tblPr>
        <w:tblStyle w:val="15"/>
        <w:tblW w:w="89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3"/>
        <w:gridCol w:w="1396"/>
        <w:gridCol w:w="1196"/>
        <w:gridCol w:w="763"/>
        <w:gridCol w:w="1196"/>
        <w:gridCol w:w="1596"/>
        <w:gridCol w:w="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193" w:type="dxa"/>
            <w:vAlign w:val="center"/>
          </w:tcPr>
          <w:p>
            <w:pPr>
              <w:spacing w:line="312" w:lineRule="auto"/>
              <w:ind w:right="-3"/>
              <w:jc w:val="center"/>
              <w:rPr>
                <w:rFonts w:ascii="宋体" w:hAnsi="宋体" w:cs="宋体"/>
                <w:sz w:val="24"/>
              </w:rPr>
            </w:pPr>
            <w:bookmarkStart w:id="226" w:name="_Toc221951171"/>
            <w:r>
              <w:rPr>
                <w:rFonts w:hint="eastAsia" w:ascii="宋体" w:hAnsi="宋体" w:cs="宋体"/>
                <w:sz w:val="24"/>
              </w:rPr>
              <w:t>设备名称</w:t>
            </w:r>
            <w:bookmarkEnd w:id="226"/>
          </w:p>
        </w:tc>
        <w:tc>
          <w:tcPr>
            <w:tcW w:w="1396" w:type="dxa"/>
            <w:vAlign w:val="center"/>
          </w:tcPr>
          <w:p>
            <w:pPr>
              <w:spacing w:line="312" w:lineRule="auto"/>
              <w:jc w:val="center"/>
              <w:rPr>
                <w:rFonts w:ascii="宋体" w:hAnsi="宋体" w:cs="宋体"/>
                <w:sz w:val="24"/>
              </w:rPr>
            </w:pPr>
            <w:bookmarkStart w:id="227" w:name="_Toc221951172"/>
            <w:r>
              <w:rPr>
                <w:rFonts w:hint="eastAsia" w:ascii="宋体" w:hAnsi="宋体" w:cs="宋体"/>
                <w:sz w:val="24"/>
              </w:rPr>
              <w:t>型号及规格</w:t>
            </w:r>
            <w:bookmarkEnd w:id="227"/>
          </w:p>
        </w:tc>
        <w:tc>
          <w:tcPr>
            <w:tcW w:w="1196" w:type="dxa"/>
            <w:vAlign w:val="center"/>
          </w:tcPr>
          <w:p>
            <w:pPr>
              <w:spacing w:line="312" w:lineRule="auto"/>
              <w:jc w:val="center"/>
              <w:rPr>
                <w:rFonts w:ascii="宋体" w:hAnsi="宋体" w:cs="宋体"/>
                <w:sz w:val="24"/>
              </w:rPr>
            </w:pPr>
            <w:bookmarkStart w:id="228" w:name="_Toc221951173"/>
            <w:r>
              <w:rPr>
                <w:rFonts w:hint="eastAsia" w:ascii="宋体" w:hAnsi="宋体" w:cs="宋体"/>
                <w:sz w:val="24"/>
              </w:rPr>
              <w:t>设备状况</w:t>
            </w:r>
            <w:bookmarkEnd w:id="228"/>
          </w:p>
        </w:tc>
        <w:tc>
          <w:tcPr>
            <w:tcW w:w="763" w:type="dxa"/>
            <w:vAlign w:val="center"/>
          </w:tcPr>
          <w:p>
            <w:pPr>
              <w:spacing w:line="312" w:lineRule="auto"/>
              <w:ind w:right="-33"/>
              <w:jc w:val="center"/>
              <w:rPr>
                <w:rFonts w:ascii="宋体" w:hAnsi="宋体" w:cs="宋体"/>
                <w:sz w:val="24"/>
              </w:rPr>
            </w:pPr>
            <w:bookmarkStart w:id="229" w:name="_Toc221951174"/>
            <w:r>
              <w:rPr>
                <w:rFonts w:hint="eastAsia" w:ascii="宋体" w:hAnsi="宋体" w:cs="宋体"/>
                <w:sz w:val="24"/>
              </w:rPr>
              <w:t>数量</w:t>
            </w:r>
            <w:bookmarkEnd w:id="229"/>
          </w:p>
        </w:tc>
        <w:tc>
          <w:tcPr>
            <w:tcW w:w="1196" w:type="dxa"/>
            <w:vAlign w:val="center"/>
          </w:tcPr>
          <w:p>
            <w:pPr>
              <w:spacing w:line="312" w:lineRule="auto"/>
              <w:jc w:val="center"/>
              <w:rPr>
                <w:rFonts w:ascii="宋体" w:hAnsi="宋体" w:cs="宋体"/>
                <w:sz w:val="24"/>
              </w:rPr>
            </w:pPr>
            <w:bookmarkStart w:id="230" w:name="_Toc221951175"/>
            <w:r>
              <w:rPr>
                <w:rFonts w:hint="eastAsia" w:ascii="宋体" w:hAnsi="宋体" w:cs="宋体"/>
                <w:sz w:val="24"/>
              </w:rPr>
              <w:t>移交地点</w:t>
            </w:r>
            <w:bookmarkEnd w:id="230"/>
          </w:p>
        </w:tc>
        <w:tc>
          <w:tcPr>
            <w:tcW w:w="1596" w:type="dxa"/>
          </w:tcPr>
          <w:p>
            <w:pPr>
              <w:spacing w:line="312" w:lineRule="auto"/>
              <w:jc w:val="center"/>
              <w:rPr>
                <w:rFonts w:ascii="宋体" w:hAnsi="宋体" w:cs="宋体"/>
                <w:sz w:val="24"/>
              </w:rPr>
            </w:pPr>
            <w:r>
              <w:rPr>
                <w:rFonts w:hint="eastAsia" w:ascii="宋体" w:hAnsi="宋体" w:cs="宋体"/>
                <w:sz w:val="24"/>
              </w:rPr>
              <w:t>计划移交日期</w:t>
            </w:r>
          </w:p>
        </w:tc>
        <w:tc>
          <w:tcPr>
            <w:tcW w:w="796" w:type="dxa"/>
            <w:vAlign w:val="center"/>
          </w:tcPr>
          <w:p>
            <w:pPr>
              <w:spacing w:line="312" w:lineRule="auto"/>
              <w:jc w:val="center"/>
              <w:rPr>
                <w:rFonts w:ascii="宋体" w:hAnsi="宋体" w:cs="宋体"/>
                <w:sz w:val="24"/>
              </w:rPr>
            </w:pPr>
            <w:bookmarkStart w:id="231" w:name="_Toc221951176"/>
            <w:r>
              <w:rPr>
                <w:rFonts w:hint="eastAsia" w:ascii="宋体" w:hAnsi="宋体" w:cs="宋体"/>
                <w:sz w:val="24"/>
              </w:rPr>
              <w:t>备注</w:t>
            </w:r>
            <w:bookmarkEnd w:id="23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bl>
    <w:p>
      <w:pPr>
        <w:pStyle w:val="13"/>
        <w:spacing w:line="312" w:lineRule="auto"/>
        <w:rPr>
          <w:rFonts w:ascii="宋体" w:hAnsi="宋体" w:cs="宋体"/>
          <w:sz w:val="24"/>
        </w:rPr>
      </w:pPr>
      <w:bookmarkStart w:id="232" w:name="_Toc221951177"/>
      <w:r>
        <w:rPr>
          <w:rFonts w:hint="eastAsia" w:ascii="宋体" w:hAnsi="宋体" w:cs="宋体"/>
          <w:sz w:val="24"/>
        </w:rPr>
        <w:t>注：设备状况栏内填写该设备的新旧程度、购进时间、已使用小时数和最近一次的大修时间。</w:t>
      </w:r>
      <w:bookmarkEnd w:id="232"/>
    </w:p>
    <w:p>
      <w:pPr>
        <w:spacing w:line="312" w:lineRule="auto"/>
        <w:ind w:right="248"/>
        <w:rPr>
          <w:rFonts w:ascii="宋体" w:hAnsi="宋体" w:cs="宋体"/>
          <w:sz w:val="24"/>
        </w:rPr>
      </w:pPr>
      <w:r>
        <w:rPr>
          <w:rFonts w:hint="eastAsia" w:ascii="宋体" w:hAnsi="宋体" w:cs="宋体"/>
          <w:sz w:val="24"/>
        </w:rPr>
        <w:t>（2）</w:t>
      </w:r>
      <w:r>
        <w:rPr>
          <w:rFonts w:hint="eastAsia" w:ascii="宋体" w:hAnsi="宋体" w:cs="宋体"/>
          <w:bCs/>
          <w:sz w:val="24"/>
        </w:rPr>
        <w:t>发包人提供的临时设施：</w:t>
      </w:r>
      <w:r>
        <w:rPr>
          <w:rFonts w:hint="eastAsia" w:ascii="宋体" w:hAnsi="宋体" w:cs="宋体"/>
          <w:sz w:val="24"/>
        </w:rPr>
        <w:t>。</w:t>
      </w:r>
    </w:p>
    <w:p>
      <w:pPr>
        <w:spacing w:line="312" w:lineRule="auto"/>
        <w:rPr>
          <w:rFonts w:ascii="宋体" w:hAnsi="宋体" w:cs="宋体"/>
          <w:b/>
          <w:sz w:val="24"/>
        </w:rPr>
      </w:pPr>
      <w:bookmarkStart w:id="233" w:name="_Toc222029533"/>
      <w:bookmarkStart w:id="234" w:name="_Toc222033884"/>
      <w:bookmarkStart w:id="235" w:name="_Toc222031035"/>
      <w:bookmarkStart w:id="236" w:name="_Toc221951178"/>
      <w:bookmarkStart w:id="237" w:name="_Toc222032702"/>
      <w:r>
        <w:rPr>
          <w:rFonts w:hint="eastAsia" w:ascii="宋体" w:hAnsi="宋体" w:cs="宋体"/>
          <w:b/>
          <w:sz w:val="24"/>
        </w:rPr>
        <w:t>7  交通运输</w:t>
      </w:r>
      <w:bookmarkEnd w:id="233"/>
      <w:bookmarkEnd w:id="234"/>
      <w:bookmarkEnd w:id="235"/>
      <w:bookmarkEnd w:id="236"/>
      <w:bookmarkEnd w:id="237"/>
    </w:p>
    <w:p>
      <w:pPr>
        <w:spacing w:line="312" w:lineRule="auto"/>
        <w:rPr>
          <w:rFonts w:ascii="宋体" w:hAnsi="宋体" w:cs="宋体"/>
          <w:b/>
          <w:bCs/>
          <w:sz w:val="24"/>
        </w:rPr>
      </w:pPr>
      <w:bookmarkStart w:id="238" w:name="_Toc221951179"/>
      <w:r>
        <w:rPr>
          <w:rFonts w:hint="eastAsia" w:ascii="宋体" w:hAnsi="宋体" w:cs="宋体"/>
          <w:b/>
          <w:bCs/>
          <w:sz w:val="24"/>
        </w:rPr>
        <w:t>7.1  道路通行权和场外设施</w:t>
      </w:r>
      <w:bookmarkEnd w:id="238"/>
    </w:p>
    <w:p>
      <w:pPr>
        <w:spacing w:line="312" w:lineRule="auto"/>
        <w:ind w:right="248" w:firstLine="360" w:firstLineChars="150"/>
        <w:rPr>
          <w:rFonts w:ascii="宋体" w:hAnsi="宋体" w:cs="宋体"/>
          <w:sz w:val="24"/>
        </w:rPr>
      </w:pPr>
      <w:r>
        <w:rPr>
          <w:rFonts w:hint="eastAsia" w:ascii="宋体" w:hAnsi="宋体" w:cs="宋体"/>
          <w:bCs/>
          <w:sz w:val="24"/>
        </w:rPr>
        <w:t>道路通行权和场外设施的约定</w:t>
      </w:r>
      <w:r>
        <w:rPr>
          <w:rFonts w:hint="eastAsia" w:ascii="宋体" w:hAnsi="宋体" w:cs="宋体"/>
          <w:sz w:val="24"/>
        </w:rPr>
        <w:t>：。</w:t>
      </w:r>
    </w:p>
    <w:p>
      <w:pPr>
        <w:spacing w:line="312" w:lineRule="auto"/>
        <w:rPr>
          <w:rFonts w:ascii="宋体" w:hAnsi="宋体" w:cs="宋体"/>
          <w:b/>
          <w:sz w:val="24"/>
        </w:rPr>
      </w:pPr>
      <w:r>
        <w:rPr>
          <w:rFonts w:hint="eastAsia" w:ascii="宋体" w:hAnsi="宋体" w:cs="宋体"/>
          <w:b/>
          <w:sz w:val="24"/>
        </w:rPr>
        <w:t xml:space="preserve">8 测量放线   </w:t>
      </w:r>
    </w:p>
    <w:p>
      <w:pPr>
        <w:spacing w:line="312" w:lineRule="auto"/>
        <w:rPr>
          <w:rFonts w:ascii="宋体" w:hAnsi="宋体" w:cs="宋体"/>
          <w:b/>
          <w:bCs/>
          <w:sz w:val="24"/>
        </w:rPr>
      </w:pPr>
      <w:r>
        <w:rPr>
          <w:rFonts w:hint="eastAsia" w:ascii="宋体" w:hAnsi="宋体" w:cs="宋体"/>
          <w:b/>
          <w:bCs/>
          <w:sz w:val="24"/>
        </w:rPr>
        <w:t>8.1施工控制网</w:t>
      </w:r>
    </w:p>
    <w:p>
      <w:pPr>
        <w:spacing w:line="312" w:lineRule="auto"/>
        <w:ind w:right="248" w:firstLine="360" w:firstLineChars="150"/>
        <w:rPr>
          <w:rFonts w:ascii="宋体" w:hAnsi="宋体" w:cs="宋体"/>
          <w:sz w:val="24"/>
        </w:rPr>
      </w:pPr>
      <w:r>
        <w:rPr>
          <w:rFonts w:hint="eastAsia" w:ascii="宋体" w:hAnsi="宋体" w:cs="宋体"/>
          <w:bCs/>
          <w:sz w:val="24"/>
        </w:rPr>
        <w:t>8.1.1 施工控制网的约定：</w:t>
      </w:r>
      <w:r>
        <w:rPr>
          <w:rFonts w:hint="eastAsia" w:ascii="宋体" w:hAnsi="宋体" w:cs="宋体"/>
          <w:sz w:val="24"/>
        </w:rPr>
        <w:t xml:space="preserve"> 。</w:t>
      </w:r>
    </w:p>
    <w:p>
      <w:pPr>
        <w:spacing w:line="312" w:lineRule="auto"/>
        <w:rPr>
          <w:rFonts w:ascii="宋体" w:hAnsi="宋体" w:cs="宋体"/>
          <w:b/>
          <w:sz w:val="24"/>
        </w:rPr>
      </w:pPr>
      <w:r>
        <w:rPr>
          <w:rFonts w:hint="eastAsia" w:ascii="宋体" w:hAnsi="宋体" w:cs="宋体"/>
          <w:b/>
          <w:sz w:val="24"/>
        </w:rPr>
        <w:t>9 施工安全、治安保卫和环境保护</w:t>
      </w:r>
    </w:p>
    <w:p>
      <w:pPr>
        <w:spacing w:line="312" w:lineRule="auto"/>
        <w:rPr>
          <w:rFonts w:ascii="宋体" w:hAnsi="宋体" w:cs="宋体"/>
          <w:b/>
          <w:bCs/>
          <w:sz w:val="24"/>
        </w:rPr>
      </w:pPr>
      <w:r>
        <w:rPr>
          <w:rFonts w:hint="eastAsia" w:ascii="宋体" w:hAnsi="宋体" w:cs="宋体"/>
          <w:b/>
          <w:bCs/>
          <w:sz w:val="24"/>
        </w:rPr>
        <w:t>9.1 发包人的施工安全责任</w:t>
      </w:r>
    </w:p>
    <w:p>
      <w:pPr>
        <w:spacing w:line="312" w:lineRule="auto"/>
        <w:ind w:right="248" w:firstLine="360" w:firstLineChars="150"/>
        <w:rPr>
          <w:rFonts w:ascii="宋体" w:hAnsi="宋体" w:cs="宋体"/>
          <w:sz w:val="24"/>
          <w:u w:val="single"/>
        </w:rPr>
      </w:pPr>
      <w:r>
        <w:rPr>
          <w:rFonts w:hint="eastAsia" w:ascii="宋体" w:hAnsi="宋体" w:cs="宋体"/>
          <w:sz w:val="24"/>
        </w:rPr>
        <w:t>9</w:t>
      </w:r>
      <w:r>
        <w:rPr>
          <w:rFonts w:hint="eastAsia" w:ascii="宋体" w:hAnsi="宋体" w:cs="宋体"/>
          <w:bCs/>
          <w:sz w:val="24"/>
        </w:rPr>
        <w:t>.1.4 发包人提供资料，其余资料由承包人负责收集。</w:t>
      </w:r>
    </w:p>
    <w:p>
      <w:pPr>
        <w:spacing w:line="312" w:lineRule="auto"/>
        <w:rPr>
          <w:rFonts w:ascii="宋体" w:hAnsi="宋体" w:cs="宋体"/>
          <w:b/>
          <w:bCs/>
          <w:sz w:val="24"/>
        </w:rPr>
      </w:pPr>
      <w:r>
        <w:rPr>
          <w:rFonts w:hint="eastAsia" w:ascii="宋体" w:hAnsi="宋体" w:cs="宋体"/>
          <w:b/>
          <w:bCs/>
          <w:sz w:val="24"/>
        </w:rPr>
        <w:t>9.2 承包人的施工安全责任</w:t>
      </w:r>
    </w:p>
    <w:p>
      <w:pPr>
        <w:spacing w:line="312" w:lineRule="auto"/>
        <w:ind w:right="248" w:firstLine="480"/>
        <w:rPr>
          <w:rFonts w:ascii="宋体" w:hAnsi="宋体" w:cs="宋体"/>
          <w:sz w:val="24"/>
        </w:rPr>
      </w:pPr>
      <w:r>
        <w:rPr>
          <w:rFonts w:hint="eastAsia" w:ascii="宋体" w:hAnsi="宋体" w:cs="宋体"/>
          <w:sz w:val="24"/>
        </w:rPr>
        <w:t>9.2.12 下列工程应编制专项施工方案：。其中应组织专家论证和审查。</w:t>
      </w:r>
    </w:p>
    <w:p>
      <w:pPr>
        <w:spacing w:line="312" w:lineRule="auto"/>
        <w:rPr>
          <w:rFonts w:ascii="宋体" w:hAnsi="宋体" w:cs="宋体"/>
          <w:b/>
          <w:bCs/>
          <w:sz w:val="24"/>
        </w:rPr>
      </w:pPr>
      <w:r>
        <w:rPr>
          <w:rFonts w:hint="eastAsia" w:ascii="宋体" w:hAnsi="宋体" w:cs="宋体"/>
          <w:b/>
          <w:bCs/>
          <w:sz w:val="24"/>
        </w:rPr>
        <w:t>9.7 文明工地</w:t>
      </w:r>
    </w:p>
    <w:p>
      <w:pPr>
        <w:spacing w:line="312" w:lineRule="auto"/>
        <w:ind w:right="248" w:firstLine="480"/>
        <w:rPr>
          <w:rFonts w:ascii="宋体" w:hAnsi="宋体" w:cs="宋体"/>
          <w:sz w:val="24"/>
        </w:rPr>
      </w:pPr>
      <w:r>
        <w:rPr>
          <w:rFonts w:hint="eastAsia" w:ascii="宋体" w:hAnsi="宋体" w:cs="宋体"/>
          <w:sz w:val="24"/>
        </w:rPr>
        <w:t>9.7.1 本合同文明工地的约定：。</w:t>
      </w:r>
    </w:p>
    <w:p>
      <w:pPr>
        <w:spacing w:line="312" w:lineRule="auto"/>
        <w:rPr>
          <w:rFonts w:ascii="宋体" w:hAnsi="宋体" w:cs="宋体"/>
          <w:b/>
          <w:sz w:val="24"/>
        </w:rPr>
      </w:pPr>
      <w:bookmarkStart w:id="239" w:name="_Toc222033887"/>
      <w:bookmarkStart w:id="240" w:name="_Toc222032705"/>
      <w:bookmarkStart w:id="241" w:name="_Toc229305394"/>
      <w:bookmarkStart w:id="242" w:name="_Toc222031038"/>
      <w:bookmarkStart w:id="243" w:name="_Toc221951188"/>
      <w:bookmarkStart w:id="244" w:name="_Toc222029536"/>
      <w:r>
        <w:rPr>
          <w:rFonts w:hint="eastAsia" w:ascii="宋体" w:hAnsi="宋体" w:cs="宋体"/>
          <w:b/>
          <w:sz w:val="24"/>
        </w:rPr>
        <w:t>11  开工和竣工</w:t>
      </w:r>
      <w:bookmarkEnd w:id="239"/>
      <w:bookmarkEnd w:id="240"/>
      <w:bookmarkEnd w:id="241"/>
      <w:bookmarkEnd w:id="242"/>
      <w:bookmarkEnd w:id="243"/>
      <w:bookmarkEnd w:id="244"/>
      <w:r>
        <w:rPr>
          <w:rFonts w:hint="eastAsia" w:ascii="宋体" w:hAnsi="宋体" w:cs="宋体"/>
          <w:b/>
          <w:sz w:val="24"/>
        </w:rPr>
        <w:t>（完工）</w:t>
      </w:r>
    </w:p>
    <w:p>
      <w:pPr>
        <w:spacing w:line="312" w:lineRule="auto"/>
        <w:rPr>
          <w:rFonts w:ascii="宋体" w:hAnsi="宋体" w:cs="宋体"/>
          <w:sz w:val="24"/>
        </w:rPr>
      </w:pPr>
      <w:bookmarkStart w:id="245" w:name="_Toc221951189"/>
      <w:r>
        <w:rPr>
          <w:rFonts w:hint="eastAsia" w:ascii="宋体" w:hAnsi="宋体" w:cs="宋体"/>
          <w:b/>
          <w:bCs/>
          <w:sz w:val="24"/>
        </w:rPr>
        <w:t>11</w:t>
      </w:r>
      <w:r>
        <w:rPr>
          <w:rFonts w:hint="eastAsia" w:ascii="宋体" w:hAnsi="宋体" w:cs="宋体"/>
          <w:sz w:val="24"/>
        </w:rPr>
        <w:t>.4  异常恶劣的气候条件</w:t>
      </w:r>
      <w:bookmarkEnd w:id="245"/>
    </w:p>
    <w:p>
      <w:pPr>
        <w:spacing w:line="312" w:lineRule="auto"/>
        <w:ind w:right="248" w:firstLine="480"/>
        <w:rPr>
          <w:rFonts w:ascii="宋体" w:hAnsi="宋体" w:cs="宋体"/>
          <w:sz w:val="24"/>
        </w:rPr>
      </w:pPr>
      <w:bookmarkStart w:id="246" w:name="_Toc221951191"/>
      <w:r>
        <w:rPr>
          <w:rFonts w:hint="eastAsia" w:ascii="宋体" w:hAnsi="宋体" w:cs="宋体"/>
          <w:sz w:val="24"/>
        </w:rPr>
        <w:t>11.4.3  本合同工程界定异常恶劣气候条件的范围为：</w:t>
      </w:r>
      <w:bookmarkEnd w:id="246"/>
    </w:p>
    <w:p>
      <w:pPr>
        <w:spacing w:line="312" w:lineRule="auto"/>
        <w:ind w:right="248" w:firstLine="480"/>
        <w:rPr>
          <w:rFonts w:ascii="宋体" w:hAnsi="宋体" w:cs="宋体"/>
          <w:sz w:val="24"/>
        </w:rPr>
      </w:pPr>
      <w:bookmarkStart w:id="247" w:name="_Toc221951192"/>
      <w:r>
        <w:rPr>
          <w:rFonts w:hint="eastAsia" w:ascii="宋体" w:hAnsi="宋体" w:cs="宋体"/>
          <w:sz w:val="24"/>
        </w:rPr>
        <w:t>（1）日降雨量大于㎜的雨日超过天； `</w:t>
      </w:r>
      <w:bookmarkEnd w:id="247"/>
    </w:p>
    <w:p>
      <w:pPr>
        <w:spacing w:line="312" w:lineRule="auto"/>
        <w:ind w:right="248" w:firstLine="480"/>
        <w:rPr>
          <w:rFonts w:ascii="宋体" w:hAnsi="宋体" w:cs="宋体"/>
          <w:sz w:val="24"/>
        </w:rPr>
      </w:pPr>
      <w:bookmarkStart w:id="248" w:name="_Toc221951193"/>
      <w:r>
        <w:rPr>
          <w:rFonts w:hint="eastAsia" w:ascii="宋体" w:hAnsi="宋体" w:cs="宋体"/>
          <w:sz w:val="24"/>
        </w:rPr>
        <w:t>（2）风速大于m/s的级以上台风灾害；</w:t>
      </w:r>
      <w:bookmarkEnd w:id="248"/>
    </w:p>
    <w:p>
      <w:pPr>
        <w:spacing w:line="312" w:lineRule="auto"/>
        <w:ind w:right="248" w:firstLine="480"/>
        <w:rPr>
          <w:rFonts w:ascii="宋体" w:hAnsi="宋体" w:cs="宋体"/>
          <w:sz w:val="24"/>
        </w:rPr>
      </w:pPr>
      <w:bookmarkStart w:id="249" w:name="_Toc221951194"/>
      <w:r>
        <w:rPr>
          <w:rFonts w:hint="eastAsia" w:ascii="宋体" w:hAnsi="宋体" w:cs="宋体"/>
          <w:sz w:val="24"/>
        </w:rPr>
        <w:t>（3）</w:t>
      </w:r>
      <w:bookmarkEnd w:id="249"/>
      <w:r>
        <w:rPr>
          <w:rFonts w:hint="eastAsia" w:ascii="宋体" w:hAnsi="宋体" w:cs="宋体"/>
          <w:sz w:val="24"/>
        </w:rPr>
        <w:t>日气温超过℃的高温大于天；</w:t>
      </w:r>
    </w:p>
    <w:p>
      <w:pPr>
        <w:spacing w:line="312" w:lineRule="auto"/>
        <w:ind w:right="248" w:firstLine="480"/>
        <w:rPr>
          <w:rFonts w:ascii="宋体" w:hAnsi="宋体" w:cs="宋体"/>
          <w:sz w:val="24"/>
        </w:rPr>
      </w:pPr>
      <w:bookmarkStart w:id="250" w:name="_Toc221951195"/>
      <w:r>
        <w:rPr>
          <w:rFonts w:hint="eastAsia" w:ascii="宋体" w:hAnsi="宋体" w:cs="宋体"/>
          <w:sz w:val="24"/>
        </w:rPr>
        <w:t>（4）</w:t>
      </w:r>
      <w:bookmarkEnd w:id="250"/>
      <w:r>
        <w:rPr>
          <w:rFonts w:hint="eastAsia" w:ascii="宋体" w:hAnsi="宋体" w:cs="宋体"/>
          <w:sz w:val="24"/>
        </w:rPr>
        <w:t>日气温低于℃的严寒大于天。</w:t>
      </w:r>
    </w:p>
    <w:p>
      <w:pPr>
        <w:spacing w:line="312" w:lineRule="auto"/>
        <w:ind w:right="248" w:firstLine="480"/>
        <w:rPr>
          <w:rFonts w:ascii="宋体" w:hAnsi="宋体" w:cs="宋体"/>
          <w:sz w:val="24"/>
        </w:rPr>
      </w:pPr>
      <w:bookmarkStart w:id="251" w:name="_Toc221951196"/>
      <w:r>
        <w:rPr>
          <w:rFonts w:hint="eastAsia" w:ascii="宋体" w:hAnsi="宋体" w:cs="宋体"/>
          <w:sz w:val="24"/>
        </w:rPr>
        <w:t>（5）</w:t>
      </w:r>
      <w:bookmarkEnd w:id="251"/>
      <w:r>
        <w:rPr>
          <w:rFonts w:hint="eastAsia" w:ascii="宋体" w:hAnsi="宋体" w:cs="宋体"/>
          <w:sz w:val="24"/>
        </w:rPr>
        <w:t>造成工程损坏的冰雹和大雪灾害：                。</w:t>
      </w:r>
    </w:p>
    <w:p>
      <w:pPr>
        <w:spacing w:line="312" w:lineRule="auto"/>
        <w:ind w:right="248" w:firstLine="480"/>
        <w:rPr>
          <w:rFonts w:ascii="宋体" w:hAnsi="宋体" w:cs="宋体"/>
          <w:sz w:val="24"/>
        </w:rPr>
      </w:pPr>
      <w:bookmarkStart w:id="252" w:name="_Toc221951197"/>
      <w:r>
        <w:rPr>
          <w:rFonts w:hint="eastAsia" w:ascii="宋体" w:hAnsi="宋体" w:cs="宋体"/>
          <w:sz w:val="24"/>
        </w:rPr>
        <w:t>（6）其他异常恶劣气候灾害。</w:t>
      </w:r>
      <w:bookmarkEnd w:id="252"/>
    </w:p>
    <w:p>
      <w:pPr>
        <w:spacing w:line="312" w:lineRule="auto"/>
        <w:rPr>
          <w:rFonts w:ascii="宋体" w:hAnsi="宋体" w:cs="宋体"/>
          <w:sz w:val="24"/>
        </w:rPr>
      </w:pPr>
      <w:bookmarkStart w:id="253" w:name="_Toc221951198"/>
      <w:r>
        <w:rPr>
          <w:rFonts w:hint="eastAsia" w:ascii="宋体" w:hAnsi="宋体" w:cs="宋体"/>
          <w:b/>
          <w:bCs/>
          <w:sz w:val="24"/>
        </w:rPr>
        <w:t>11</w:t>
      </w:r>
      <w:r>
        <w:rPr>
          <w:rFonts w:hint="eastAsia" w:ascii="宋体" w:hAnsi="宋体" w:cs="宋体"/>
          <w:sz w:val="24"/>
        </w:rPr>
        <w:t>.5  承包人工期延误</w:t>
      </w:r>
      <w:bookmarkEnd w:id="253"/>
    </w:p>
    <w:p>
      <w:pPr>
        <w:spacing w:line="312" w:lineRule="auto"/>
        <w:ind w:right="248" w:firstLine="480" w:firstLineChars="200"/>
        <w:rPr>
          <w:rFonts w:ascii="宋体" w:hAnsi="宋体" w:cs="宋体"/>
          <w:bCs/>
          <w:sz w:val="24"/>
        </w:rPr>
      </w:pPr>
      <w:bookmarkStart w:id="254" w:name="_Toc221951200"/>
      <w:r>
        <w:rPr>
          <w:rFonts w:hint="eastAsia" w:ascii="宋体" w:hAnsi="宋体" w:cs="宋体"/>
          <w:bCs/>
          <w:sz w:val="24"/>
        </w:rPr>
        <w:t>（1）逾期竣工违约金表(参考格式)</w:t>
      </w:r>
      <w:bookmarkEnd w:id="254"/>
    </w:p>
    <w:tbl>
      <w:tblPr>
        <w:tblStyle w:val="15"/>
        <w:tblW w:w="92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99"/>
        <w:gridCol w:w="2172"/>
        <w:gridCol w:w="2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18" w:type="dxa"/>
            <w:vAlign w:val="center"/>
          </w:tcPr>
          <w:p>
            <w:pPr>
              <w:spacing w:line="312" w:lineRule="auto"/>
              <w:ind w:right="-3"/>
              <w:jc w:val="center"/>
              <w:rPr>
                <w:rFonts w:ascii="宋体" w:hAnsi="宋体" w:cs="宋体"/>
                <w:sz w:val="24"/>
              </w:rPr>
            </w:pPr>
            <w:bookmarkStart w:id="255" w:name="_Toc221951201"/>
            <w:r>
              <w:rPr>
                <w:rFonts w:hint="eastAsia" w:ascii="宋体" w:hAnsi="宋体" w:cs="宋体"/>
                <w:sz w:val="24"/>
              </w:rPr>
              <w:t>序号</w:t>
            </w:r>
            <w:bookmarkEnd w:id="255"/>
          </w:p>
        </w:tc>
        <w:tc>
          <w:tcPr>
            <w:tcW w:w="3999" w:type="dxa"/>
            <w:vAlign w:val="center"/>
          </w:tcPr>
          <w:p>
            <w:pPr>
              <w:spacing w:line="312" w:lineRule="auto"/>
              <w:ind w:right="3"/>
              <w:jc w:val="center"/>
              <w:rPr>
                <w:rFonts w:ascii="宋体" w:hAnsi="宋体" w:cs="宋体"/>
                <w:sz w:val="24"/>
              </w:rPr>
            </w:pPr>
            <w:bookmarkStart w:id="256" w:name="_Toc221951202"/>
            <w:r>
              <w:rPr>
                <w:rFonts w:hint="eastAsia" w:ascii="宋体" w:hAnsi="宋体" w:cs="宋体"/>
                <w:sz w:val="24"/>
              </w:rPr>
              <w:t>项目及其说明</w:t>
            </w:r>
            <w:bookmarkEnd w:id="256"/>
          </w:p>
        </w:tc>
        <w:tc>
          <w:tcPr>
            <w:tcW w:w="2172" w:type="dxa"/>
            <w:vAlign w:val="center"/>
          </w:tcPr>
          <w:p>
            <w:pPr>
              <w:spacing w:line="312" w:lineRule="auto"/>
              <w:ind w:right="9"/>
              <w:jc w:val="center"/>
              <w:rPr>
                <w:rFonts w:ascii="宋体" w:hAnsi="宋体" w:cs="宋体"/>
                <w:sz w:val="24"/>
              </w:rPr>
            </w:pPr>
            <w:bookmarkStart w:id="257" w:name="_Toc221951203"/>
            <w:r>
              <w:rPr>
                <w:rFonts w:hint="eastAsia" w:ascii="宋体" w:hAnsi="宋体" w:cs="宋体"/>
                <w:sz w:val="24"/>
              </w:rPr>
              <w:t>要求竣工日期</w:t>
            </w:r>
            <w:bookmarkEnd w:id="257"/>
          </w:p>
        </w:tc>
        <w:tc>
          <w:tcPr>
            <w:tcW w:w="2171" w:type="dxa"/>
          </w:tcPr>
          <w:p>
            <w:pPr>
              <w:spacing w:line="312" w:lineRule="auto"/>
              <w:ind w:right="9"/>
              <w:jc w:val="center"/>
              <w:rPr>
                <w:rFonts w:ascii="宋体" w:hAnsi="宋体" w:cs="宋体"/>
                <w:sz w:val="24"/>
              </w:rPr>
            </w:pPr>
            <w:bookmarkStart w:id="258" w:name="_Toc221951204"/>
            <w:r>
              <w:rPr>
                <w:rFonts w:hint="eastAsia" w:ascii="宋体" w:hAnsi="宋体" w:cs="宋体"/>
                <w:sz w:val="24"/>
              </w:rPr>
              <w:t>违约金(元/天)</w:t>
            </w:r>
            <w:bookmarkEnd w:id="25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bl>
    <w:p>
      <w:pPr>
        <w:spacing w:line="312" w:lineRule="auto"/>
        <w:ind w:right="248" w:firstLine="480" w:firstLineChars="200"/>
        <w:rPr>
          <w:rFonts w:ascii="宋体" w:hAnsi="宋体" w:cs="宋体"/>
          <w:sz w:val="24"/>
        </w:rPr>
      </w:pPr>
      <w:bookmarkStart w:id="259" w:name="_Toc221951205"/>
      <w:r>
        <w:rPr>
          <w:rFonts w:hint="eastAsia" w:ascii="宋体" w:hAnsi="宋体" w:cs="宋体"/>
          <w:sz w:val="24"/>
        </w:rPr>
        <w:t>（2）全部逾期竣工违约金的总限额为</w:t>
      </w:r>
      <w:r>
        <w:rPr>
          <w:rFonts w:hint="eastAsia" w:ascii="宋体" w:hAnsi="宋体" w:cs="宋体"/>
          <w:sz w:val="24"/>
          <w:u w:val="single"/>
        </w:rPr>
        <w:t xml:space="preserve">  （不超过合同总价的  %） </w:t>
      </w:r>
      <w:r>
        <w:rPr>
          <w:rFonts w:hint="eastAsia" w:ascii="宋体" w:hAnsi="宋体" w:cs="宋体"/>
          <w:sz w:val="24"/>
        </w:rPr>
        <w:t>。</w:t>
      </w:r>
      <w:bookmarkEnd w:id="259"/>
    </w:p>
    <w:p>
      <w:pPr>
        <w:spacing w:line="312" w:lineRule="auto"/>
        <w:rPr>
          <w:rFonts w:ascii="宋体" w:hAnsi="宋体" w:cs="宋体"/>
          <w:sz w:val="24"/>
        </w:rPr>
      </w:pPr>
      <w:r>
        <w:rPr>
          <w:rFonts w:hint="eastAsia" w:ascii="宋体" w:hAnsi="宋体" w:cs="宋体"/>
          <w:b/>
          <w:bCs/>
          <w:sz w:val="24"/>
        </w:rPr>
        <w:t>11</w:t>
      </w:r>
      <w:r>
        <w:rPr>
          <w:rFonts w:hint="eastAsia" w:ascii="宋体" w:hAnsi="宋体" w:cs="宋体"/>
          <w:sz w:val="24"/>
        </w:rPr>
        <w:t>.6 工期提前</w:t>
      </w:r>
    </w:p>
    <w:p>
      <w:pPr>
        <w:spacing w:line="312" w:lineRule="auto"/>
        <w:ind w:right="248" w:firstLine="480"/>
        <w:rPr>
          <w:rFonts w:ascii="宋体" w:hAnsi="宋体" w:cs="宋体"/>
          <w:sz w:val="24"/>
        </w:rPr>
      </w:pPr>
      <w:r>
        <w:rPr>
          <w:rFonts w:hint="eastAsia" w:ascii="宋体" w:hAnsi="宋体" w:cs="宋体"/>
          <w:sz w:val="24"/>
        </w:rPr>
        <w:t>工期提前的奖金约定：。</w:t>
      </w:r>
    </w:p>
    <w:p>
      <w:pPr>
        <w:spacing w:line="312" w:lineRule="auto"/>
        <w:rPr>
          <w:rFonts w:ascii="宋体" w:hAnsi="宋体" w:cs="宋体"/>
          <w:b/>
          <w:sz w:val="24"/>
        </w:rPr>
      </w:pPr>
      <w:bookmarkStart w:id="260" w:name="_Toc222032706"/>
      <w:bookmarkStart w:id="261" w:name="_Toc221951206"/>
      <w:bookmarkStart w:id="262" w:name="_Toc229305395"/>
      <w:bookmarkStart w:id="263" w:name="_Toc222031039"/>
      <w:bookmarkStart w:id="264" w:name="_Toc222033888"/>
      <w:bookmarkStart w:id="265" w:name="_Toc222029537"/>
      <w:r>
        <w:rPr>
          <w:rFonts w:hint="eastAsia" w:ascii="宋体" w:hAnsi="宋体" w:cs="宋体"/>
          <w:b/>
          <w:sz w:val="24"/>
        </w:rPr>
        <w:t>12  暂停施工</w:t>
      </w:r>
      <w:bookmarkEnd w:id="260"/>
      <w:bookmarkEnd w:id="261"/>
      <w:bookmarkEnd w:id="262"/>
      <w:bookmarkEnd w:id="263"/>
      <w:bookmarkEnd w:id="264"/>
      <w:bookmarkEnd w:id="265"/>
    </w:p>
    <w:p>
      <w:pPr>
        <w:spacing w:line="312" w:lineRule="auto"/>
        <w:rPr>
          <w:rFonts w:ascii="宋体" w:hAnsi="宋体" w:cs="宋体"/>
          <w:b/>
          <w:bCs/>
          <w:sz w:val="24"/>
        </w:rPr>
      </w:pPr>
      <w:bookmarkStart w:id="266" w:name="_Toc221951207"/>
      <w:r>
        <w:rPr>
          <w:rFonts w:hint="eastAsia" w:ascii="宋体" w:hAnsi="宋体" w:cs="宋体"/>
          <w:b/>
          <w:bCs/>
          <w:sz w:val="24"/>
        </w:rPr>
        <w:t>12.1  承包人暂停施工的责任</w:t>
      </w:r>
      <w:bookmarkEnd w:id="266"/>
    </w:p>
    <w:p>
      <w:pPr>
        <w:spacing w:line="312" w:lineRule="auto"/>
        <w:ind w:right="248" w:firstLine="480"/>
        <w:rPr>
          <w:rFonts w:ascii="宋体" w:hAnsi="宋体" w:cs="宋体"/>
          <w:sz w:val="24"/>
        </w:rPr>
      </w:pPr>
      <w:bookmarkStart w:id="267" w:name="_Toc221951209"/>
      <w:r>
        <w:rPr>
          <w:rFonts w:hint="eastAsia" w:ascii="宋体" w:hAnsi="宋体" w:cs="宋体"/>
          <w:sz w:val="24"/>
        </w:rPr>
        <w:t xml:space="preserve"> (5) 承包人承担的其他暂停施工责任的其它情形：。</w:t>
      </w:r>
      <w:bookmarkEnd w:id="267"/>
    </w:p>
    <w:p>
      <w:pPr>
        <w:spacing w:line="312" w:lineRule="auto"/>
        <w:rPr>
          <w:rFonts w:ascii="宋体" w:hAnsi="宋体" w:cs="宋体"/>
          <w:b/>
          <w:bCs/>
          <w:sz w:val="24"/>
        </w:rPr>
      </w:pPr>
      <w:r>
        <w:rPr>
          <w:rFonts w:hint="eastAsia" w:ascii="宋体" w:hAnsi="宋体" w:cs="宋体"/>
          <w:b/>
          <w:bCs/>
          <w:sz w:val="24"/>
        </w:rPr>
        <w:t xml:space="preserve">12.2  发包人暂停施工的责任   </w:t>
      </w:r>
    </w:p>
    <w:p>
      <w:pPr>
        <w:spacing w:line="312" w:lineRule="auto"/>
        <w:rPr>
          <w:rFonts w:ascii="宋体" w:hAnsi="宋体" w:cs="宋体"/>
          <w:sz w:val="24"/>
        </w:rPr>
      </w:pPr>
      <w:r>
        <w:rPr>
          <w:rFonts w:hint="eastAsia" w:ascii="宋体" w:hAnsi="宋体" w:cs="宋体"/>
          <w:sz w:val="24"/>
        </w:rPr>
        <w:t xml:space="preserve">      (3) 发包人承担的其他暂停施工责任的其它情形：。</w:t>
      </w:r>
    </w:p>
    <w:p>
      <w:pPr>
        <w:spacing w:line="312" w:lineRule="auto"/>
        <w:rPr>
          <w:rFonts w:ascii="宋体" w:hAnsi="宋体" w:cs="宋体"/>
          <w:b/>
          <w:sz w:val="24"/>
        </w:rPr>
      </w:pPr>
      <w:r>
        <w:rPr>
          <w:rFonts w:hint="eastAsia" w:ascii="宋体" w:hAnsi="宋体" w:cs="宋体"/>
          <w:b/>
          <w:sz w:val="24"/>
        </w:rPr>
        <w:t>13 工程质量</w:t>
      </w:r>
    </w:p>
    <w:p>
      <w:pPr>
        <w:spacing w:line="312" w:lineRule="auto"/>
        <w:rPr>
          <w:rFonts w:ascii="宋体" w:hAnsi="宋体" w:cs="宋体"/>
          <w:b/>
          <w:bCs/>
          <w:sz w:val="24"/>
        </w:rPr>
      </w:pPr>
      <w:r>
        <w:rPr>
          <w:rFonts w:hint="eastAsia" w:ascii="宋体" w:hAnsi="宋体" w:cs="宋体"/>
          <w:b/>
          <w:bCs/>
          <w:sz w:val="24"/>
        </w:rPr>
        <w:t>13.7 质量评定</w:t>
      </w:r>
    </w:p>
    <w:p>
      <w:pPr>
        <w:spacing w:line="312" w:lineRule="auto"/>
        <w:rPr>
          <w:rFonts w:ascii="宋体" w:hAnsi="宋体" w:cs="宋体"/>
          <w:sz w:val="24"/>
          <w:u w:val="single"/>
        </w:rPr>
      </w:pPr>
      <w:r>
        <w:rPr>
          <w:rFonts w:hint="eastAsia" w:ascii="宋体" w:hAnsi="宋体" w:cs="宋体"/>
          <w:sz w:val="24"/>
        </w:rPr>
        <w:t>13.7.4 重要隐蔽单元工程和关键部位单元工程质量评定的约定：。</w:t>
      </w:r>
    </w:p>
    <w:p>
      <w:pPr>
        <w:spacing w:line="312" w:lineRule="auto"/>
        <w:rPr>
          <w:rFonts w:ascii="宋体" w:hAnsi="宋体" w:cs="宋体"/>
          <w:sz w:val="24"/>
          <w:u w:val="single"/>
        </w:rPr>
      </w:pPr>
      <w:r>
        <w:rPr>
          <w:rFonts w:hint="eastAsia" w:ascii="宋体" w:hAnsi="宋体" w:cs="宋体"/>
          <w:sz w:val="24"/>
        </w:rPr>
        <w:t>13.7.7 工程合格标准为：；优良标准为：。达到优良的奖金为：。</w:t>
      </w:r>
    </w:p>
    <w:p>
      <w:pPr>
        <w:spacing w:line="312" w:lineRule="auto"/>
        <w:rPr>
          <w:rFonts w:ascii="宋体" w:hAnsi="宋体" w:cs="宋体"/>
          <w:b/>
          <w:bCs/>
          <w:sz w:val="24"/>
        </w:rPr>
      </w:pPr>
      <w:r>
        <w:rPr>
          <w:rFonts w:hint="eastAsia" w:ascii="宋体" w:hAnsi="宋体" w:cs="宋体"/>
          <w:b/>
          <w:bCs/>
          <w:sz w:val="24"/>
        </w:rPr>
        <w:t>13.8 质量事故处理</w:t>
      </w:r>
    </w:p>
    <w:p>
      <w:pPr>
        <w:spacing w:line="312" w:lineRule="auto"/>
        <w:rPr>
          <w:rFonts w:ascii="宋体" w:hAnsi="宋体" w:cs="宋体"/>
          <w:sz w:val="24"/>
        </w:rPr>
      </w:pPr>
      <w:r>
        <w:rPr>
          <w:rFonts w:hint="eastAsia" w:ascii="宋体" w:hAnsi="宋体" w:cs="宋体"/>
          <w:sz w:val="24"/>
        </w:rPr>
        <w:t>13.8.4 工程竣工验收时，向竣工验收委员会汇报并提交历次质量缺陷处理的备案资料。</w:t>
      </w:r>
    </w:p>
    <w:p>
      <w:pPr>
        <w:spacing w:line="312" w:lineRule="auto"/>
        <w:rPr>
          <w:rFonts w:ascii="宋体" w:hAnsi="宋体" w:cs="宋体"/>
          <w:b/>
          <w:sz w:val="24"/>
        </w:rPr>
      </w:pPr>
      <w:r>
        <w:rPr>
          <w:rFonts w:hint="eastAsia" w:ascii="宋体" w:hAnsi="宋体" w:cs="宋体"/>
          <w:b/>
          <w:sz w:val="24"/>
        </w:rPr>
        <w:t>14. 试验和检验</w:t>
      </w:r>
    </w:p>
    <w:p>
      <w:pPr>
        <w:spacing w:line="312" w:lineRule="auto"/>
        <w:rPr>
          <w:rFonts w:ascii="宋体" w:hAnsi="宋体" w:cs="宋体"/>
          <w:b/>
          <w:bCs/>
          <w:sz w:val="24"/>
        </w:rPr>
      </w:pPr>
      <w:r>
        <w:rPr>
          <w:rFonts w:hint="eastAsia" w:ascii="宋体" w:hAnsi="宋体" w:cs="宋体"/>
          <w:b/>
          <w:bCs/>
          <w:sz w:val="24"/>
        </w:rPr>
        <w:t>14.1材料、工程设备和工程的试验和检验</w:t>
      </w:r>
    </w:p>
    <w:p>
      <w:pPr>
        <w:spacing w:line="312" w:lineRule="auto"/>
        <w:rPr>
          <w:rFonts w:ascii="宋体" w:hAnsi="宋体" w:cs="宋体"/>
          <w:sz w:val="24"/>
          <w:u w:val="single"/>
        </w:rPr>
      </w:pPr>
      <w:r>
        <w:rPr>
          <w:rFonts w:hint="eastAsia" w:ascii="宋体" w:hAnsi="宋体" w:cs="宋体"/>
          <w:sz w:val="24"/>
        </w:rPr>
        <w:t>14.1.5 水工金属结构、启闭机及机电产品进场后的交货检查和验收中，承包人负责。</w:t>
      </w:r>
    </w:p>
    <w:p>
      <w:pPr>
        <w:spacing w:line="312" w:lineRule="auto"/>
        <w:rPr>
          <w:rFonts w:ascii="宋体" w:hAnsi="宋体" w:cs="宋体"/>
          <w:sz w:val="24"/>
        </w:rPr>
      </w:pPr>
      <w:r>
        <w:rPr>
          <w:rFonts w:hint="eastAsia" w:ascii="宋体" w:hAnsi="宋体" w:cs="宋体"/>
          <w:sz w:val="24"/>
        </w:rPr>
        <w:t>14.1.6 本工程实行见证取样的试块、试件及有关材料：。</w:t>
      </w:r>
    </w:p>
    <w:p>
      <w:pPr>
        <w:spacing w:line="312" w:lineRule="auto"/>
        <w:rPr>
          <w:rFonts w:ascii="宋体" w:hAnsi="宋体" w:cs="宋体"/>
          <w:b/>
          <w:sz w:val="24"/>
        </w:rPr>
      </w:pPr>
      <w:bookmarkStart w:id="268" w:name="_Toc229305396"/>
      <w:bookmarkStart w:id="269" w:name="_Toc222032708"/>
      <w:bookmarkStart w:id="270" w:name="_Toc221951213"/>
      <w:bookmarkStart w:id="271" w:name="_Toc222033890"/>
      <w:bookmarkStart w:id="272" w:name="_Toc222029539"/>
      <w:bookmarkStart w:id="273" w:name="_Toc222031041"/>
      <w:r>
        <w:rPr>
          <w:rFonts w:hint="eastAsia" w:ascii="宋体" w:hAnsi="宋体" w:cs="宋体"/>
          <w:b/>
          <w:sz w:val="24"/>
        </w:rPr>
        <w:t>15  变更</w:t>
      </w:r>
      <w:bookmarkEnd w:id="268"/>
      <w:bookmarkEnd w:id="269"/>
      <w:bookmarkEnd w:id="270"/>
      <w:bookmarkEnd w:id="271"/>
      <w:bookmarkEnd w:id="272"/>
      <w:bookmarkEnd w:id="273"/>
    </w:p>
    <w:p>
      <w:pPr>
        <w:spacing w:line="312" w:lineRule="auto"/>
        <w:rPr>
          <w:rFonts w:ascii="宋体" w:hAnsi="宋体" w:cs="宋体"/>
          <w:b/>
          <w:bCs/>
          <w:sz w:val="24"/>
        </w:rPr>
      </w:pPr>
      <w:bookmarkStart w:id="274" w:name="_Toc221951214"/>
      <w:r>
        <w:rPr>
          <w:rFonts w:hint="eastAsia" w:ascii="宋体" w:hAnsi="宋体" w:cs="宋体"/>
          <w:b/>
          <w:bCs/>
          <w:sz w:val="24"/>
        </w:rPr>
        <w:t>15.1  变更的范围和内容</w:t>
      </w:r>
      <w:bookmarkEnd w:id="274"/>
    </w:p>
    <w:p>
      <w:pPr>
        <w:spacing w:line="312" w:lineRule="auto"/>
        <w:ind w:right="248" w:firstLine="480"/>
        <w:rPr>
          <w:rFonts w:ascii="宋体" w:hAnsi="宋体" w:cs="宋体"/>
          <w:sz w:val="24"/>
        </w:rPr>
      </w:pPr>
      <w:bookmarkStart w:id="275" w:name="_Toc221951216"/>
      <w:r>
        <w:rPr>
          <w:rFonts w:hint="eastAsia" w:ascii="宋体" w:hAnsi="宋体" w:cs="宋体"/>
          <w:sz w:val="24"/>
        </w:rPr>
        <w:t>（6）增加或减少合同中关键项目的工程量超过其项目工程总量的％。</w:t>
      </w:r>
      <w:bookmarkEnd w:id="275"/>
      <w:r>
        <w:rPr>
          <w:rFonts w:hint="eastAsia" w:ascii="宋体" w:hAnsi="宋体" w:cs="宋体"/>
          <w:sz w:val="24"/>
        </w:rPr>
        <w:t>关键项目：，单价调整方式：。</w:t>
      </w:r>
    </w:p>
    <w:p>
      <w:pPr>
        <w:spacing w:line="312" w:lineRule="auto"/>
        <w:rPr>
          <w:rFonts w:ascii="宋体" w:hAnsi="宋体" w:cs="宋体"/>
          <w:b/>
          <w:bCs/>
          <w:sz w:val="24"/>
        </w:rPr>
      </w:pPr>
      <w:bookmarkStart w:id="276" w:name="_Toc221951218"/>
      <w:r>
        <w:rPr>
          <w:rFonts w:hint="eastAsia" w:ascii="宋体" w:hAnsi="宋体" w:cs="宋体"/>
          <w:b/>
          <w:bCs/>
          <w:sz w:val="24"/>
        </w:rPr>
        <w:t>15.5承包人的合理化建议</w:t>
      </w:r>
    </w:p>
    <w:p>
      <w:pPr>
        <w:spacing w:line="312" w:lineRule="auto"/>
        <w:ind w:firstLine="420"/>
        <w:rPr>
          <w:rFonts w:ascii="宋体" w:hAnsi="宋体" w:cs="宋体"/>
          <w:sz w:val="24"/>
        </w:rPr>
      </w:pPr>
      <w:r>
        <w:rPr>
          <w:rFonts w:hint="eastAsia" w:ascii="宋体" w:hAnsi="宋体" w:cs="宋体"/>
          <w:sz w:val="24"/>
        </w:rPr>
        <w:t xml:space="preserve">15.5.2 </w:t>
      </w:r>
      <w:bookmarkEnd w:id="276"/>
      <w:bookmarkStart w:id="277" w:name="_Toc221951219"/>
      <w:r>
        <w:rPr>
          <w:rFonts w:hint="eastAsia" w:ascii="宋体" w:hAnsi="宋体" w:cs="宋体"/>
          <w:sz w:val="24"/>
        </w:rPr>
        <w:t>承包人实现合理化建议的奖励金额为：</w:t>
      </w:r>
      <w:r>
        <w:rPr>
          <w:rFonts w:hint="eastAsia" w:ascii="宋体" w:hAnsi="宋体" w:cs="宋体"/>
          <w:sz w:val="24"/>
          <w:u w:val="single"/>
        </w:rPr>
        <w:t xml:space="preserve">  （填写奖励额度</w:t>
      </w:r>
      <w:bookmarkEnd w:id="277"/>
      <w:bookmarkStart w:id="278" w:name="_Toc221951220"/>
      <w:r>
        <w:rPr>
          <w:rFonts w:hint="eastAsia" w:ascii="宋体" w:hAnsi="宋体" w:cs="宋体"/>
          <w:sz w:val="24"/>
          <w:u w:val="single"/>
        </w:rPr>
        <w:t>）</w:t>
      </w:r>
      <w:r>
        <w:rPr>
          <w:rFonts w:hint="eastAsia" w:ascii="宋体" w:hAnsi="宋体" w:cs="宋体"/>
          <w:sz w:val="24"/>
        </w:rPr>
        <w:t>。</w:t>
      </w:r>
      <w:bookmarkEnd w:id="278"/>
    </w:p>
    <w:p>
      <w:pPr>
        <w:spacing w:line="312" w:lineRule="auto"/>
        <w:rPr>
          <w:rFonts w:ascii="宋体" w:hAnsi="宋体" w:cs="宋体"/>
          <w:b/>
          <w:bCs/>
          <w:sz w:val="24"/>
        </w:rPr>
      </w:pPr>
      <w:bookmarkStart w:id="279" w:name="_Toc221951221"/>
      <w:r>
        <w:rPr>
          <w:rFonts w:hint="eastAsia" w:ascii="宋体" w:hAnsi="宋体" w:cs="宋体"/>
          <w:b/>
          <w:bCs/>
          <w:sz w:val="24"/>
        </w:rPr>
        <w:t>15.8  暂估价</w:t>
      </w:r>
      <w:bookmarkEnd w:id="279"/>
    </w:p>
    <w:p>
      <w:pPr>
        <w:spacing w:line="312" w:lineRule="auto"/>
        <w:rPr>
          <w:rFonts w:ascii="宋体" w:hAnsi="宋体" w:cs="宋体"/>
          <w:sz w:val="24"/>
        </w:rPr>
      </w:pPr>
      <w:r>
        <w:rPr>
          <w:rFonts w:hint="eastAsia" w:ascii="宋体" w:hAnsi="宋体" w:cs="宋体"/>
          <w:sz w:val="24"/>
        </w:rPr>
        <w:t xml:space="preserve">    15.8.1 (l）发包人和承包人组织招标的暂估价项目：</w:t>
      </w:r>
      <w:r>
        <w:rPr>
          <w:rFonts w:hint="eastAsia" w:ascii="宋体" w:hAnsi="宋体" w:cs="宋体"/>
          <w:sz w:val="24"/>
          <w:u w:val="single"/>
        </w:rPr>
        <w:t xml:space="preserve">    （签约后填入）  </w:t>
      </w:r>
      <w:r>
        <w:rPr>
          <w:rFonts w:hint="eastAsia" w:ascii="宋体" w:hAnsi="宋体" w:cs="宋体"/>
          <w:sz w:val="24"/>
        </w:rPr>
        <w:t>；发包人组织招标的暂估价项目：</w:t>
      </w:r>
      <w:r>
        <w:rPr>
          <w:rFonts w:hint="eastAsia" w:ascii="宋体" w:hAnsi="宋体" w:cs="宋体"/>
          <w:sz w:val="24"/>
          <w:u w:val="single"/>
        </w:rPr>
        <w:t xml:space="preserve">   （签约后填入）    </w:t>
      </w:r>
      <w:r>
        <w:rPr>
          <w:rFonts w:hint="eastAsia" w:ascii="宋体" w:hAnsi="宋体" w:cs="宋体"/>
          <w:sz w:val="24"/>
        </w:rPr>
        <w:t>。</w:t>
      </w:r>
    </w:p>
    <w:p>
      <w:pPr>
        <w:spacing w:line="312" w:lineRule="auto"/>
        <w:ind w:firstLine="720" w:firstLineChars="300"/>
        <w:rPr>
          <w:rFonts w:ascii="宋体" w:hAnsi="宋体" w:cs="宋体"/>
          <w:sz w:val="24"/>
        </w:rPr>
      </w:pPr>
      <w:r>
        <w:rPr>
          <w:rFonts w:hint="eastAsia" w:ascii="宋体" w:hAnsi="宋体" w:cs="宋体"/>
          <w:sz w:val="24"/>
        </w:rPr>
        <w:t xml:space="preserve">    （2）发包人和承包人以招标方式选择暂估价项目供应商或分包人时，双方的权利义务关系：。</w:t>
      </w:r>
    </w:p>
    <w:p>
      <w:pPr>
        <w:spacing w:line="312" w:lineRule="auto"/>
        <w:rPr>
          <w:rFonts w:ascii="宋体" w:hAnsi="宋体" w:cs="宋体"/>
          <w:b/>
          <w:sz w:val="24"/>
        </w:rPr>
      </w:pPr>
      <w:bookmarkStart w:id="280" w:name="_Toc229305397"/>
      <w:r>
        <w:rPr>
          <w:rFonts w:hint="eastAsia" w:ascii="宋体" w:hAnsi="宋体" w:cs="宋体"/>
          <w:b/>
          <w:sz w:val="24"/>
        </w:rPr>
        <w:t>16 价格调整</w:t>
      </w:r>
      <w:bookmarkEnd w:id="280"/>
    </w:p>
    <w:p>
      <w:pPr>
        <w:spacing w:line="312" w:lineRule="auto"/>
        <w:rPr>
          <w:rFonts w:ascii="宋体" w:hAnsi="宋体" w:cs="宋体"/>
          <w:b/>
          <w:bCs/>
          <w:sz w:val="24"/>
        </w:rPr>
      </w:pPr>
      <w:r>
        <w:rPr>
          <w:rFonts w:hint="eastAsia" w:ascii="宋体" w:hAnsi="宋体" w:cs="宋体"/>
          <w:b/>
          <w:bCs/>
          <w:sz w:val="24"/>
        </w:rPr>
        <w:t>16.1 物价波动引起的价格调整</w:t>
      </w:r>
    </w:p>
    <w:p>
      <w:pPr>
        <w:spacing w:line="312" w:lineRule="auto"/>
        <w:rPr>
          <w:rFonts w:ascii="宋体" w:hAnsi="宋体" w:cs="宋体"/>
          <w:sz w:val="24"/>
        </w:rPr>
      </w:pPr>
      <w:bookmarkStart w:id="281" w:name="_Toc222032709"/>
      <w:bookmarkStart w:id="282" w:name="_Toc221951223"/>
      <w:bookmarkStart w:id="283" w:name="_Toc222033891"/>
      <w:bookmarkStart w:id="284" w:name="_Toc229305398"/>
      <w:bookmarkStart w:id="285" w:name="_Toc222031042"/>
      <w:bookmarkStart w:id="286" w:name="_Toc222029540"/>
      <w:r>
        <w:rPr>
          <w:rFonts w:hint="eastAsia" w:ascii="宋体" w:hAnsi="宋体" w:cs="宋体"/>
          <w:sz w:val="24"/>
        </w:rPr>
        <w:t xml:space="preserve">   16.1.1物价波动引起的价格调整方式：。</w:t>
      </w:r>
    </w:p>
    <w:p>
      <w:pPr>
        <w:spacing w:line="312" w:lineRule="auto"/>
        <w:rPr>
          <w:rFonts w:ascii="宋体" w:hAnsi="宋体" w:cs="宋体"/>
          <w:sz w:val="24"/>
        </w:rPr>
      </w:pPr>
      <w:r>
        <w:rPr>
          <w:rFonts w:hint="eastAsia" w:ascii="宋体" w:hAnsi="宋体" w:cs="宋体"/>
          <w:sz w:val="24"/>
        </w:rPr>
        <w:t xml:space="preserve">   16.1.2采用造价信息调整价格差额。        </w:t>
      </w:r>
    </w:p>
    <w:p>
      <w:pPr>
        <w:spacing w:line="312" w:lineRule="auto"/>
        <w:rPr>
          <w:rFonts w:ascii="宋体" w:hAnsi="宋体" w:cs="宋体"/>
          <w:sz w:val="24"/>
        </w:rPr>
      </w:pPr>
      <w:r>
        <w:rPr>
          <w:rFonts w:hint="eastAsia" w:ascii="宋体" w:hAnsi="宋体" w:cs="宋体"/>
          <w:sz w:val="24"/>
        </w:rPr>
        <w:t xml:space="preserve">         工程造价信息及其来源： 。</w:t>
      </w:r>
    </w:p>
    <w:p>
      <w:pPr>
        <w:spacing w:line="312" w:lineRule="auto"/>
        <w:rPr>
          <w:rFonts w:ascii="宋体" w:hAnsi="宋体" w:cs="宋体"/>
          <w:sz w:val="24"/>
        </w:rPr>
      </w:pPr>
      <w:r>
        <w:rPr>
          <w:rFonts w:hint="eastAsia" w:ascii="宋体" w:hAnsi="宋体" w:cs="宋体"/>
          <w:sz w:val="24"/>
        </w:rPr>
        <w:t xml:space="preserve">         价格调整的项目和系数： 。</w:t>
      </w:r>
    </w:p>
    <w:p>
      <w:pPr>
        <w:spacing w:line="312" w:lineRule="auto"/>
        <w:rPr>
          <w:rFonts w:ascii="宋体" w:hAnsi="宋体" w:cs="宋体"/>
          <w:b/>
          <w:sz w:val="24"/>
        </w:rPr>
      </w:pPr>
      <w:r>
        <w:rPr>
          <w:rFonts w:hint="eastAsia" w:ascii="宋体" w:hAnsi="宋体" w:cs="宋体"/>
          <w:b/>
          <w:sz w:val="24"/>
        </w:rPr>
        <w:t>17  计量与支付</w:t>
      </w:r>
      <w:bookmarkEnd w:id="281"/>
      <w:bookmarkEnd w:id="282"/>
      <w:bookmarkEnd w:id="283"/>
      <w:bookmarkEnd w:id="284"/>
      <w:bookmarkEnd w:id="285"/>
      <w:bookmarkEnd w:id="286"/>
    </w:p>
    <w:p>
      <w:pPr>
        <w:spacing w:line="312" w:lineRule="auto"/>
        <w:rPr>
          <w:rFonts w:ascii="宋体" w:hAnsi="宋体" w:cs="宋体"/>
          <w:b/>
          <w:bCs/>
          <w:sz w:val="24"/>
        </w:rPr>
      </w:pPr>
      <w:bookmarkStart w:id="287" w:name="_Toc221951224"/>
      <w:r>
        <w:rPr>
          <w:rFonts w:hint="eastAsia" w:ascii="宋体" w:hAnsi="宋体" w:cs="宋体"/>
          <w:b/>
          <w:bCs/>
          <w:sz w:val="24"/>
        </w:rPr>
        <w:t>17.2  预付款</w:t>
      </w:r>
      <w:bookmarkEnd w:id="287"/>
    </w:p>
    <w:p>
      <w:pPr>
        <w:spacing w:line="312" w:lineRule="auto"/>
        <w:ind w:right="248" w:firstLine="480"/>
        <w:rPr>
          <w:rFonts w:ascii="宋体" w:hAnsi="宋体" w:cs="宋体"/>
          <w:sz w:val="24"/>
        </w:rPr>
      </w:pPr>
      <w:bookmarkStart w:id="288" w:name="_Toc221951226"/>
      <w:r>
        <w:rPr>
          <w:rFonts w:hint="eastAsia" w:ascii="宋体" w:hAnsi="宋体" w:cs="宋体"/>
          <w:sz w:val="24"/>
        </w:rPr>
        <w:t>17.2.1预付款</w:t>
      </w:r>
      <w:bookmarkEnd w:id="288"/>
      <w:r>
        <w:rPr>
          <w:rFonts w:hint="eastAsia" w:ascii="宋体" w:hAnsi="宋体" w:cs="宋体"/>
          <w:sz w:val="24"/>
        </w:rPr>
        <w:t xml:space="preserve"> ：</w:t>
      </w:r>
    </w:p>
    <w:p>
      <w:pPr>
        <w:spacing w:line="312" w:lineRule="auto"/>
        <w:ind w:right="248" w:firstLine="480"/>
        <w:rPr>
          <w:rFonts w:ascii="宋体" w:hAnsi="宋体" w:cs="宋体"/>
          <w:sz w:val="24"/>
        </w:rPr>
      </w:pPr>
      <w:bookmarkStart w:id="289" w:name="_Toc221951228"/>
      <w:r>
        <w:rPr>
          <w:rFonts w:hint="eastAsia" w:ascii="宋体" w:hAnsi="宋体" w:cs="宋体"/>
          <w:sz w:val="24"/>
        </w:rPr>
        <w:t>工程预付款的总金额为签约合同价的%，分次支付给承包人。</w:t>
      </w:r>
      <w:bookmarkEnd w:id="289"/>
    </w:p>
    <w:p>
      <w:pPr>
        <w:spacing w:line="312" w:lineRule="auto"/>
        <w:ind w:right="248" w:firstLine="480"/>
        <w:rPr>
          <w:rFonts w:ascii="宋体" w:hAnsi="宋体" w:cs="宋体"/>
          <w:sz w:val="24"/>
        </w:rPr>
      </w:pPr>
      <w:bookmarkStart w:id="290" w:name="_Toc221951229"/>
      <w:r>
        <w:rPr>
          <w:rFonts w:hint="eastAsia" w:ascii="宋体" w:hAnsi="宋体" w:cs="宋体"/>
          <w:sz w:val="24"/>
        </w:rPr>
        <w:t>各次预付款的支付额度和付款时间为：</w:t>
      </w:r>
      <w:bookmarkEnd w:id="290"/>
    </w:p>
    <w:p>
      <w:pPr>
        <w:spacing w:line="312" w:lineRule="auto"/>
        <w:ind w:right="248" w:firstLine="480"/>
        <w:rPr>
          <w:rFonts w:ascii="宋体" w:hAnsi="宋体" w:cs="宋体"/>
          <w:sz w:val="24"/>
        </w:rPr>
      </w:pPr>
      <w:bookmarkStart w:id="291" w:name="_Toc221951230"/>
      <w:r>
        <w:rPr>
          <w:rFonts w:hint="eastAsia" w:ascii="宋体" w:hAnsi="宋体" w:cs="宋体"/>
          <w:sz w:val="24"/>
        </w:rPr>
        <w:t>1）第一次预付款金额为工程预付款总金额的%，付款时间应在合同协议书签订后，由承包人向发包人提交了发包人认可的银行出具的工程预付款保函，并经监理人出具付款证书报送发包人批准后14天内予以支付。</w:t>
      </w:r>
      <w:bookmarkEnd w:id="291"/>
    </w:p>
    <w:p>
      <w:pPr>
        <w:spacing w:line="312" w:lineRule="auto"/>
        <w:ind w:right="248" w:firstLine="480"/>
        <w:rPr>
          <w:rFonts w:ascii="宋体" w:hAnsi="宋体" w:cs="宋体"/>
          <w:sz w:val="24"/>
        </w:rPr>
      </w:pPr>
      <w:bookmarkStart w:id="292" w:name="_Toc221951231"/>
      <w:r>
        <w:rPr>
          <w:rFonts w:hint="eastAsia" w:ascii="宋体" w:hAnsi="宋体" w:cs="宋体"/>
          <w:sz w:val="24"/>
        </w:rPr>
        <w:t>2）第二次预付款金额为工程预付款总金额的%。付款时间需待承包人主要设备进入工地后，其估算价值已达到本次预付款金额时，由承包人提出书面申请，经监理人核实后出具付款证书报送发包人批准后14天内予以支付。</w:t>
      </w:r>
      <w:bookmarkEnd w:id="292"/>
    </w:p>
    <w:p>
      <w:pPr>
        <w:spacing w:line="312" w:lineRule="auto"/>
        <w:ind w:right="248" w:firstLine="480"/>
        <w:rPr>
          <w:rFonts w:ascii="宋体" w:hAnsi="宋体" w:cs="宋体"/>
          <w:sz w:val="24"/>
        </w:rPr>
      </w:pPr>
      <w:bookmarkStart w:id="293" w:name="_Toc221951232"/>
      <w:r>
        <w:rPr>
          <w:rFonts w:hint="eastAsia" w:ascii="宋体" w:hAnsi="宋体" w:cs="宋体"/>
          <w:sz w:val="24"/>
        </w:rPr>
        <w:t>3）第三次预付款 …………………………………。</w:t>
      </w:r>
      <w:bookmarkEnd w:id="293"/>
    </w:p>
    <w:p>
      <w:pPr>
        <w:spacing w:line="312" w:lineRule="auto"/>
        <w:ind w:right="248" w:firstLine="480"/>
        <w:rPr>
          <w:rFonts w:ascii="宋体" w:hAnsi="宋体" w:cs="宋体"/>
          <w:sz w:val="24"/>
        </w:rPr>
      </w:pPr>
      <w:bookmarkStart w:id="294" w:name="_Toc221951235"/>
      <w:r>
        <w:rPr>
          <w:rFonts w:hint="eastAsia" w:ascii="宋体" w:hAnsi="宋体" w:cs="宋体"/>
          <w:sz w:val="24"/>
        </w:rPr>
        <w:t>17.2.2 预付款保函</w:t>
      </w:r>
      <w:bookmarkEnd w:id="294"/>
      <w:r>
        <w:rPr>
          <w:rFonts w:hint="eastAsia" w:ascii="宋体" w:hAnsi="宋体" w:cs="宋体"/>
          <w:sz w:val="24"/>
        </w:rPr>
        <w:t>（担保）</w:t>
      </w:r>
    </w:p>
    <w:p>
      <w:pPr>
        <w:spacing w:line="312" w:lineRule="auto"/>
        <w:ind w:right="248" w:firstLine="480" w:firstLineChars="200"/>
        <w:rPr>
          <w:rFonts w:ascii="宋体" w:hAnsi="宋体" w:cs="宋体"/>
          <w:sz w:val="24"/>
        </w:rPr>
      </w:pPr>
      <w:bookmarkStart w:id="295" w:name="_Toc221951236"/>
      <w:r>
        <w:rPr>
          <w:rFonts w:hint="eastAsia" w:ascii="宋体" w:hAnsi="宋体" w:cs="宋体"/>
          <w:sz w:val="24"/>
        </w:rPr>
        <w:t>（2）工程材料预付款的担保约定为：。</w:t>
      </w:r>
      <w:bookmarkEnd w:id="295"/>
    </w:p>
    <w:p>
      <w:pPr>
        <w:spacing w:line="312" w:lineRule="auto"/>
        <w:ind w:right="248" w:firstLine="480" w:firstLineChars="200"/>
        <w:rPr>
          <w:rFonts w:ascii="宋体" w:hAnsi="宋体" w:cs="宋体"/>
          <w:sz w:val="24"/>
        </w:rPr>
      </w:pPr>
      <w:bookmarkStart w:id="296" w:name="_Toc221951237"/>
      <w:r>
        <w:rPr>
          <w:rFonts w:hint="eastAsia" w:ascii="宋体" w:hAnsi="宋体" w:cs="宋体"/>
          <w:sz w:val="24"/>
        </w:rPr>
        <w:t>17.2.3 预付款的扣回与还清</w:t>
      </w:r>
      <w:bookmarkEnd w:id="296"/>
    </w:p>
    <w:p>
      <w:pPr>
        <w:spacing w:line="312" w:lineRule="auto"/>
        <w:ind w:left="119" w:leftChars="57" w:right="248" w:firstLine="360" w:firstLineChars="150"/>
        <w:rPr>
          <w:rFonts w:ascii="宋体" w:hAnsi="宋体" w:cs="宋体"/>
          <w:sz w:val="24"/>
        </w:rPr>
      </w:pPr>
      <w:bookmarkStart w:id="297" w:name="_Toc221951238"/>
      <w:r>
        <w:rPr>
          <w:rFonts w:hint="eastAsia" w:ascii="宋体" w:hAnsi="宋体" w:cs="宋体"/>
          <w:sz w:val="24"/>
        </w:rPr>
        <w:t>（1）工程预付款在合同累计完成金额达到合同价格的%时开始扣款，直至合同累计完成金额达到合同价格的%时全部扣清。</w:t>
      </w:r>
      <w:bookmarkEnd w:id="297"/>
    </w:p>
    <w:p>
      <w:pPr>
        <w:spacing w:line="312" w:lineRule="auto"/>
        <w:ind w:right="248" w:firstLine="1080" w:firstLineChars="450"/>
        <w:rPr>
          <w:rFonts w:ascii="宋体" w:hAnsi="宋体" w:cs="宋体"/>
          <w:sz w:val="24"/>
        </w:rPr>
      </w:pPr>
      <w:r>
        <w:rPr>
          <w:rFonts w:ascii="宋体" w:hAnsi="宋体" w:cs="宋体"/>
          <w:sz w:val="24"/>
          <w:lang w:val="zh-CN"/>
        </w:rPr>
        <w:pict>
          <v:shape id="对象 3" o:spid="_x0000_s1026" o:spt="75" type="#_x0000_t75" style="position:absolute;left:0pt;margin-left:63pt;margin-top:4.8pt;height:39pt;width:128.9pt;mso-wrap-distance-bottom:0pt;mso-wrap-distance-left:9pt;mso-wrap-distance-right:9pt;mso-wrap-distance-top:0pt;z-index:251659264;mso-width-relative:page;mso-height-relative:page;" o:ole="t" fillcolor="#000011" filled="f" o:preferrelative="t" stroked="f" coordsize="21600,21600">
            <v:path/>
            <v:fill on="f" focussize="0,0"/>
            <v:stroke on="f" joinstyle="miter"/>
            <v:imagedata r:id="rId11" o:title=""/>
            <o:lock v:ext="edit" aspectratio="t"/>
            <w10:wrap type="square" side="right"/>
          </v:shape>
          <o:OLEObject Type="Embed" ProgID="Equation.3" ShapeID="对象 3" DrawAspect="Content" ObjectID="_1468075725" r:id="rId10">
            <o:LockedField>false</o:LockedField>
          </o:OLEObject>
        </w:pict>
      </w:r>
      <w:bookmarkStart w:id="298" w:name="_Toc221951240"/>
    </w:p>
    <w:p>
      <w:pPr>
        <w:spacing w:line="312" w:lineRule="auto"/>
        <w:ind w:right="248"/>
        <w:rPr>
          <w:rFonts w:ascii="宋体" w:hAnsi="宋体" w:cs="宋体"/>
          <w:sz w:val="24"/>
        </w:rPr>
      </w:pPr>
    </w:p>
    <w:p>
      <w:pPr>
        <w:spacing w:line="312" w:lineRule="auto"/>
        <w:ind w:right="248"/>
        <w:rPr>
          <w:rFonts w:ascii="宋体" w:hAnsi="宋体" w:cs="宋体"/>
          <w:sz w:val="24"/>
        </w:rPr>
      </w:pPr>
    </w:p>
    <w:p>
      <w:pPr>
        <w:spacing w:line="312" w:lineRule="auto"/>
        <w:ind w:right="248" w:firstLine="600" w:firstLineChars="250"/>
        <w:rPr>
          <w:rFonts w:ascii="宋体" w:hAnsi="宋体" w:cs="宋体"/>
          <w:sz w:val="24"/>
        </w:rPr>
      </w:pPr>
      <w:r>
        <w:rPr>
          <w:rFonts w:hint="eastAsia" w:ascii="宋体" w:hAnsi="宋体" w:cs="宋体"/>
          <w:sz w:val="24"/>
        </w:rPr>
        <w:t>式中：R——每次进度付款中累计扣回的金额；</w:t>
      </w:r>
      <w:bookmarkEnd w:id="298"/>
    </w:p>
    <w:p>
      <w:pPr>
        <w:spacing w:line="312" w:lineRule="auto"/>
        <w:ind w:right="248" w:firstLine="480"/>
        <w:rPr>
          <w:rFonts w:ascii="宋体" w:hAnsi="宋体" w:cs="宋体"/>
          <w:sz w:val="24"/>
        </w:rPr>
      </w:pPr>
      <w:bookmarkStart w:id="299" w:name="_Toc221951241"/>
      <w:r>
        <w:rPr>
          <w:rFonts w:hint="eastAsia" w:ascii="宋体" w:hAnsi="宋体" w:cs="宋体"/>
          <w:sz w:val="24"/>
        </w:rPr>
        <w:t>A——工程预付款总金额；</w:t>
      </w:r>
      <w:bookmarkEnd w:id="299"/>
    </w:p>
    <w:p>
      <w:pPr>
        <w:spacing w:line="312" w:lineRule="auto"/>
        <w:ind w:right="248" w:firstLine="480"/>
        <w:rPr>
          <w:rFonts w:ascii="宋体" w:hAnsi="宋体" w:cs="宋体"/>
          <w:sz w:val="24"/>
        </w:rPr>
      </w:pPr>
      <w:bookmarkStart w:id="300" w:name="_Toc221951242"/>
      <w:r>
        <w:rPr>
          <w:rFonts w:hint="eastAsia" w:ascii="宋体" w:hAnsi="宋体" w:cs="宋体"/>
          <w:sz w:val="24"/>
        </w:rPr>
        <w:t>S——合同价格；</w:t>
      </w:r>
      <w:bookmarkEnd w:id="300"/>
    </w:p>
    <w:p>
      <w:pPr>
        <w:spacing w:line="312" w:lineRule="auto"/>
        <w:ind w:right="248" w:firstLine="480"/>
        <w:rPr>
          <w:rFonts w:ascii="宋体" w:hAnsi="宋体" w:cs="宋体"/>
          <w:sz w:val="24"/>
        </w:rPr>
      </w:pPr>
      <w:bookmarkStart w:id="301" w:name="_Toc221951243"/>
      <w:r>
        <w:rPr>
          <w:rFonts w:hint="eastAsia" w:ascii="宋体" w:hAnsi="宋体" w:cs="宋体"/>
          <w:sz w:val="24"/>
        </w:rPr>
        <w:t>C——合同累计完成金额；</w:t>
      </w:r>
      <w:bookmarkEnd w:id="301"/>
    </w:p>
    <w:p>
      <w:pPr>
        <w:spacing w:line="312" w:lineRule="auto"/>
        <w:ind w:right="248" w:firstLine="480"/>
        <w:rPr>
          <w:rFonts w:ascii="宋体" w:hAnsi="宋体" w:cs="宋体"/>
          <w:sz w:val="24"/>
        </w:rPr>
      </w:pPr>
      <w:bookmarkStart w:id="302" w:name="_Toc221951244"/>
      <w:r>
        <w:rPr>
          <w:rFonts w:hint="eastAsia" w:ascii="宋体" w:hAnsi="宋体" w:cs="宋体"/>
          <w:sz w:val="24"/>
        </w:rPr>
        <w:t>F1——开始扣款时合同累计完成金额达到合同价格的比例；</w:t>
      </w:r>
      <w:bookmarkEnd w:id="302"/>
    </w:p>
    <w:p>
      <w:pPr>
        <w:spacing w:line="312" w:lineRule="auto"/>
        <w:ind w:right="248" w:firstLine="480"/>
        <w:rPr>
          <w:rFonts w:ascii="宋体" w:hAnsi="宋体" w:cs="宋体"/>
          <w:sz w:val="24"/>
        </w:rPr>
      </w:pPr>
      <w:bookmarkStart w:id="303" w:name="_Toc221951245"/>
      <w:r>
        <w:rPr>
          <w:rFonts w:hint="eastAsia" w:ascii="宋体" w:hAnsi="宋体" w:cs="宋体"/>
          <w:sz w:val="24"/>
        </w:rPr>
        <w:t>F2——全部扣清时合同累计完成金额达到合同价格的比例。</w:t>
      </w:r>
      <w:bookmarkEnd w:id="303"/>
    </w:p>
    <w:p>
      <w:pPr>
        <w:spacing w:line="312" w:lineRule="auto"/>
        <w:ind w:right="248" w:firstLine="480"/>
        <w:rPr>
          <w:rFonts w:ascii="宋体" w:hAnsi="宋体" w:cs="宋体"/>
          <w:sz w:val="24"/>
        </w:rPr>
      </w:pPr>
      <w:bookmarkStart w:id="304" w:name="_Toc221951246"/>
      <w:r>
        <w:rPr>
          <w:rFonts w:hint="eastAsia" w:ascii="宋体" w:hAnsi="宋体" w:cs="宋体"/>
          <w:sz w:val="24"/>
        </w:rPr>
        <w:t>上述合同累计完成金额均指价格调整前未扣质量保证金的金额。</w:t>
      </w:r>
      <w:bookmarkEnd w:id="304"/>
    </w:p>
    <w:p>
      <w:pPr>
        <w:spacing w:line="312" w:lineRule="auto"/>
        <w:ind w:right="248" w:firstLine="480"/>
        <w:rPr>
          <w:rFonts w:ascii="宋体" w:hAnsi="宋体" w:cs="宋体"/>
          <w:sz w:val="24"/>
        </w:rPr>
      </w:pPr>
      <w:r>
        <w:rPr>
          <w:rFonts w:hint="eastAsia" w:ascii="宋体" w:hAnsi="宋体" w:cs="宋体"/>
          <w:sz w:val="24"/>
        </w:rPr>
        <w:t>（2）工程材料预付款的扣回与还清约定为： 。</w:t>
      </w:r>
    </w:p>
    <w:p>
      <w:pPr>
        <w:spacing w:line="312" w:lineRule="auto"/>
        <w:rPr>
          <w:rFonts w:ascii="宋体" w:hAnsi="宋体" w:cs="宋体"/>
          <w:b/>
          <w:bCs/>
          <w:sz w:val="24"/>
        </w:rPr>
      </w:pPr>
      <w:bookmarkStart w:id="305" w:name="_Toc221951260"/>
      <w:r>
        <w:rPr>
          <w:rFonts w:hint="eastAsia" w:ascii="宋体" w:hAnsi="宋体" w:cs="宋体"/>
          <w:b/>
          <w:bCs/>
          <w:sz w:val="24"/>
        </w:rPr>
        <w:t>17.4  质量保证金</w:t>
      </w:r>
      <w:bookmarkEnd w:id="305"/>
    </w:p>
    <w:p>
      <w:pPr>
        <w:spacing w:line="312" w:lineRule="auto"/>
        <w:ind w:right="248" w:firstLine="480" w:firstLineChars="200"/>
        <w:rPr>
          <w:rFonts w:ascii="宋体" w:hAnsi="宋体" w:cs="宋体"/>
          <w:sz w:val="24"/>
        </w:rPr>
      </w:pPr>
      <w:bookmarkStart w:id="306" w:name="_Toc221951262"/>
      <w:r>
        <w:rPr>
          <w:rFonts w:hint="eastAsia" w:ascii="宋体" w:hAnsi="宋体" w:cs="宋体"/>
          <w:sz w:val="24"/>
        </w:rPr>
        <w:t>17.4.1</w:t>
      </w:r>
      <w:bookmarkEnd w:id="306"/>
      <w:r>
        <w:rPr>
          <w:rFonts w:hint="eastAsia" w:ascii="宋体" w:hAnsi="宋体" w:cs="宋体"/>
          <w:sz w:val="24"/>
        </w:rPr>
        <w:t xml:space="preserve"> 每个付款周期扣留的质量保证金为工程进度付款的</w:t>
      </w:r>
      <w:r>
        <w:rPr>
          <w:rFonts w:hint="eastAsia" w:ascii="宋体" w:hAnsi="宋体" w:cs="宋体"/>
          <w:sz w:val="24"/>
          <w:u w:val="single"/>
        </w:rPr>
        <w:t xml:space="preserve"> 5 </w:t>
      </w:r>
      <w:r>
        <w:rPr>
          <w:rFonts w:hint="eastAsia" w:ascii="宋体" w:hAnsi="宋体" w:cs="宋体"/>
          <w:sz w:val="24"/>
        </w:rPr>
        <w:t>％，扣留的质量保证金总额为签约合同价的</w:t>
      </w:r>
      <w:r>
        <w:rPr>
          <w:rFonts w:hint="eastAsia" w:ascii="宋体" w:hAnsi="宋体" w:cs="宋体"/>
          <w:sz w:val="24"/>
          <w:u w:val="single"/>
        </w:rPr>
        <w:t xml:space="preserve"> 5 </w:t>
      </w:r>
      <w:r>
        <w:rPr>
          <w:rFonts w:hint="eastAsia" w:ascii="宋体" w:hAnsi="宋体" w:cs="宋体"/>
          <w:sz w:val="24"/>
        </w:rPr>
        <w:t>％。</w:t>
      </w:r>
    </w:p>
    <w:p>
      <w:pPr>
        <w:spacing w:line="312" w:lineRule="auto"/>
        <w:rPr>
          <w:rFonts w:ascii="宋体" w:hAnsi="宋体" w:cs="宋体"/>
          <w:b/>
          <w:bCs/>
          <w:sz w:val="24"/>
        </w:rPr>
      </w:pPr>
      <w:bookmarkStart w:id="307" w:name="_Toc221951265"/>
      <w:r>
        <w:rPr>
          <w:rFonts w:hint="eastAsia" w:ascii="宋体" w:hAnsi="宋体" w:cs="宋体"/>
          <w:b/>
          <w:bCs/>
          <w:sz w:val="24"/>
        </w:rPr>
        <w:t>17.5  竣工（完工）结算</w:t>
      </w:r>
      <w:bookmarkEnd w:id="307"/>
    </w:p>
    <w:p>
      <w:pPr>
        <w:spacing w:line="312" w:lineRule="auto"/>
        <w:ind w:right="248" w:firstLine="480"/>
        <w:rPr>
          <w:rFonts w:ascii="宋体" w:hAnsi="宋体" w:cs="宋体"/>
          <w:sz w:val="24"/>
        </w:rPr>
      </w:pPr>
      <w:bookmarkStart w:id="308" w:name="_Toc221951266"/>
      <w:r>
        <w:rPr>
          <w:rFonts w:hint="eastAsia" w:ascii="宋体" w:hAnsi="宋体" w:cs="宋体"/>
          <w:sz w:val="24"/>
        </w:rPr>
        <w:t>17.5.1  竣工（完工）付款申请单</w:t>
      </w:r>
      <w:bookmarkEnd w:id="308"/>
    </w:p>
    <w:p>
      <w:pPr>
        <w:spacing w:line="312" w:lineRule="auto"/>
        <w:ind w:right="248" w:firstLine="480"/>
        <w:rPr>
          <w:rFonts w:ascii="宋体" w:hAnsi="宋体" w:cs="宋体"/>
          <w:sz w:val="24"/>
        </w:rPr>
      </w:pPr>
      <w:bookmarkStart w:id="309" w:name="_Toc221951267"/>
      <w:r>
        <w:rPr>
          <w:rFonts w:hint="eastAsia" w:ascii="宋体" w:hAnsi="宋体" w:cs="宋体"/>
          <w:sz w:val="24"/>
        </w:rPr>
        <w:t>（1）承包人应提交竣工付款申请单一式份。</w:t>
      </w:r>
      <w:bookmarkEnd w:id="309"/>
    </w:p>
    <w:p>
      <w:pPr>
        <w:spacing w:line="312" w:lineRule="auto"/>
        <w:rPr>
          <w:rFonts w:ascii="宋体" w:hAnsi="宋体" w:cs="宋体"/>
          <w:b/>
          <w:bCs/>
          <w:sz w:val="24"/>
        </w:rPr>
      </w:pPr>
      <w:bookmarkStart w:id="310" w:name="_Toc221951268"/>
      <w:r>
        <w:rPr>
          <w:rFonts w:hint="eastAsia" w:ascii="宋体" w:hAnsi="宋体" w:cs="宋体"/>
          <w:b/>
          <w:bCs/>
          <w:sz w:val="24"/>
        </w:rPr>
        <w:t>17.6  最终结清</w:t>
      </w:r>
      <w:bookmarkEnd w:id="310"/>
    </w:p>
    <w:p>
      <w:pPr>
        <w:spacing w:line="312" w:lineRule="auto"/>
        <w:ind w:right="248" w:firstLine="480"/>
        <w:rPr>
          <w:rFonts w:ascii="宋体" w:hAnsi="宋体" w:cs="宋体"/>
          <w:sz w:val="24"/>
        </w:rPr>
      </w:pPr>
      <w:bookmarkStart w:id="311" w:name="_Toc221951269"/>
      <w:r>
        <w:rPr>
          <w:rFonts w:hint="eastAsia" w:ascii="宋体" w:hAnsi="宋体" w:cs="宋体"/>
          <w:sz w:val="24"/>
        </w:rPr>
        <w:t>17.6 1  最终结清申请单</w:t>
      </w:r>
      <w:bookmarkEnd w:id="311"/>
    </w:p>
    <w:p>
      <w:pPr>
        <w:spacing w:line="312" w:lineRule="auto"/>
        <w:ind w:right="248" w:firstLine="480"/>
        <w:rPr>
          <w:rFonts w:ascii="宋体" w:hAnsi="宋体" w:cs="宋体"/>
          <w:sz w:val="24"/>
        </w:rPr>
      </w:pPr>
      <w:bookmarkStart w:id="312" w:name="_Toc221951270"/>
      <w:r>
        <w:rPr>
          <w:rFonts w:hint="eastAsia" w:ascii="宋体" w:hAnsi="宋体" w:cs="宋体"/>
          <w:sz w:val="24"/>
        </w:rPr>
        <w:t>（1）承包人应提交最终结清申请单一式份。</w:t>
      </w:r>
      <w:bookmarkEnd w:id="312"/>
    </w:p>
    <w:p>
      <w:pPr>
        <w:spacing w:line="312" w:lineRule="auto"/>
        <w:rPr>
          <w:rFonts w:ascii="宋体" w:hAnsi="宋体" w:cs="宋体"/>
          <w:b/>
          <w:bCs/>
          <w:sz w:val="24"/>
        </w:rPr>
      </w:pPr>
      <w:r>
        <w:rPr>
          <w:rFonts w:hint="eastAsia" w:ascii="宋体" w:hAnsi="宋体" w:cs="宋体"/>
          <w:b/>
          <w:bCs/>
          <w:sz w:val="24"/>
        </w:rPr>
        <w:t>17.7 竣工财务决算</w:t>
      </w:r>
    </w:p>
    <w:p>
      <w:pPr>
        <w:spacing w:line="312" w:lineRule="auto"/>
        <w:ind w:right="248" w:firstLine="480"/>
        <w:rPr>
          <w:rFonts w:ascii="宋体" w:hAnsi="宋体" w:cs="宋体"/>
          <w:sz w:val="24"/>
        </w:rPr>
      </w:pPr>
      <w:r>
        <w:rPr>
          <w:rFonts w:hint="eastAsia" w:ascii="宋体" w:hAnsi="宋体" w:cs="宋体"/>
          <w:sz w:val="24"/>
        </w:rPr>
        <w:t>承包人应为竣工财务决算编制提供的资料：。</w:t>
      </w:r>
    </w:p>
    <w:p>
      <w:pPr>
        <w:spacing w:line="312" w:lineRule="auto"/>
        <w:rPr>
          <w:rFonts w:ascii="宋体" w:hAnsi="宋体" w:cs="宋体"/>
          <w:b/>
          <w:sz w:val="24"/>
        </w:rPr>
      </w:pPr>
      <w:bookmarkStart w:id="313" w:name="_Toc222031043"/>
      <w:bookmarkStart w:id="314" w:name="_Toc222029541"/>
      <w:bookmarkStart w:id="315" w:name="_Toc221951271"/>
      <w:bookmarkStart w:id="316" w:name="_Toc222033892"/>
      <w:bookmarkStart w:id="317" w:name="_Toc222032710"/>
      <w:bookmarkStart w:id="318" w:name="_Toc229305399"/>
      <w:r>
        <w:rPr>
          <w:rFonts w:hint="eastAsia" w:ascii="宋体" w:hAnsi="宋体" w:cs="宋体"/>
          <w:b/>
          <w:sz w:val="24"/>
        </w:rPr>
        <w:t>18  竣工验收</w:t>
      </w:r>
      <w:bookmarkEnd w:id="313"/>
      <w:bookmarkEnd w:id="314"/>
      <w:bookmarkEnd w:id="315"/>
      <w:bookmarkEnd w:id="316"/>
      <w:bookmarkEnd w:id="317"/>
      <w:bookmarkEnd w:id="318"/>
      <w:r>
        <w:rPr>
          <w:rFonts w:hint="eastAsia" w:ascii="宋体" w:hAnsi="宋体" w:cs="宋体"/>
          <w:b/>
          <w:sz w:val="24"/>
        </w:rPr>
        <w:t>（验收）</w:t>
      </w:r>
    </w:p>
    <w:p>
      <w:pPr>
        <w:spacing w:line="312" w:lineRule="auto"/>
        <w:rPr>
          <w:rFonts w:ascii="宋体" w:hAnsi="宋体" w:cs="宋体"/>
          <w:b/>
          <w:bCs/>
          <w:sz w:val="24"/>
        </w:rPr>
      </w:pPr>
      <w:bookmarkStart w:id="319" w:name="_Toc221951272"/>
      <w:r>
        <w:rPr>
          <w:rFonts w:hint="eastAsia" w:ascii="宋体" w:hAnsi="宋体" w:cs="宋体"/>
          <w:b/>
          <w:bCs/>
          <w:sz w:val="24"/>
        </w:rPr>
        <w:t xml:space="preserve">18.1 </w:t>
      </w:r>
      <w:bookmarkEnd w:id="319"/>
      <w:r>
        <w:rPr>
          <w:rFonts w:hint="eastAsia" w:ascii="宋体" w:hAnsi="宋体" w:cs="宋体"/>
          <w:b/>
          <w:bCs/>
          <w:sz w:val="24"/>
        </w:rPr>
        <w:t>验收工作分类</w:t>
      </w:r>
    </w:p>
    <w:p>
      <w:pPr>
        <w:spacing w:line="312" w:lineRule="auto"/>
        <w:ind w:firstLine="360" w:firstLineChars="150"/>
        <w:rPr>
          <w:rFonts w:ascii="宋体" w:hAnsi="宋体" w:cs="宋体"/>
          <w:sz w:val="24"/>
        </w:rPr>
      </w:pPr>
      <w:bookmarkStart w:id="320" w:name="_Toc221951274"/>
      <w:r>
        <w:rPr>
          <w:rFonts w:hint="eastAsia" w:ascii="宋体" w:hAnsi="宋体" w:cs="宋体"/>
          <w:sz w:val="24"/>
        </w:rPr>
        <w:t>本工程法人验收包括：；政府验收包括：。验收条件为：，验收程序为：。</w:t>
      </w:r>
    </w:p>
    <w:p>
      <w:pPr>
        <w:spacing w:line="312" w:lineRule="auto"/>
        <w:rPr>
          <w:rFonts w:ascii="宋体" w:hAnsi="宋体" w:cs="宋体"/>
          <w:b/>
          <w:bCs/>
          <w:sz w:val="24"/>
        </w:rPr>
      </w:pPr>
      <w:r>
        <w:rPr>
          <w:rFonts w:hint="eastAsia" w:ascii="宋体" w:hAnsi="宋体" w:cs="宋体"/>
          <w:b/>
          <w:bCs/>
          <w:sz w:val="24"/>
        </w:rPr>
        <w:t>18.2 分部工程验收</w:t>
      </w:r>
    </w:p>
    <w:p>
      <w:pPr>
        <w:spacing w:line="312" w:lineRule="auto"/>
        <w:ind w:firstLine="360" w:firstLineChars="150"/>
        <w:rPr>
          <w:rFonts w:ascii="宋体" w:hAnsi="宋体" w:cs="宋体"/>
          <w:sz w:val="24"/>
        </w:rPr>
      </w:pPr>
      <w:r>
        <w:rPr>
          <w:rFonts w:hint="eastAsia" w:ascii="宋体" w:hAnsi="宋体" w:cs="宋体"/>
          <w:sz w:val="24"/>
        </w:rPr>
        <w:t>18.2.2 本工程由发包人主持的分部工程验收为，其余由监理人主持。</w:t>
      </w:r>
    </w:p>
    <w:p>
      <w:pPr>
        <w:spacing w:line="312" w:lineRule="auto"/>
        <w:rPr>
          <w:rFonts w:ascii="宋体" w:hAnsi="宋体" w:cs="宋体"/>
          <w:b/>
          <w:bCs/>
          <w:sz w:val="24"/>
        </w:rPr>
      </w:pPr>
      <w:r>
        <w:rPr>
          <w:rFonts w:hint="eastAsia" w:ascii="宋体" w:hAnsi="宋体" w:cs="宋体"/>
          <w:b/>
          <w:bCs/>
          <w:sz w:val="24"/>
        </w:rPr>
        <w:t>18.3 单位工程验收</w:t>
      </w:r>
    </w:p>
    <w:p>
      <w:pPr>
        <w:spacing w:line="312" w:lineRule="auto"/>
        <w:ind w:firstLine="360" w:firstLineChars="150"/>
        <w:rPr>
          <w:rFonts w:ascii="宋体" w:hAnsi="宋体" w:cs="宋体"/>
          <w:sz w:val="24"/>
        </w:rPr>
      </w:pPr>
      <w:r>
        <w:rPr>
          <w:rFonts w:hint="eastAsia" w:ascii="宋体" w:hAnsi="宋体" w:cs="宋体"/>
          <w:sz w:val="24"/>
        </w:rPr>
        <w:t xml:space="preserve">18.3.4 提前投人使用的单位工程包括：、、。 </w:t>
      </w:r>
    </w:p>
    <w:p>
      <w:pPr>
        <w:spacing w:line="312" w:lineRule="auto"/>
        <w:rPr>
          <w:rFonts w:ascii="宋体" w:hAnsi="宋体" w:cs="宋体"/>
          <w:b/>
          <w:bCs/>
          <w:sz w:val="24"/>
        </w:rPr>
      </w:pPr>
      <w:r>
        <w:rPr>
          <w:rFonts w:hint="eastAsia" w:ascii="宋体" w:hAnsi="宋体" w:cs="宋体"/>
          <w:b/>
          <w:bCs/>
          <w:sz w:val="24"/>
        </w:rPr>
        <w:t>18.5 阶段验收</w:t>
      </w:r>
    </w:p>
    <w:p>
      <w:pPr>
        <w:spacing w:line="312" w:lineRule="auto"/>
        <w:ind w:firstLine="360" w:firstLineChars="150"/>
        <w:rPr>
          <w:rFonts w:ascii="宋体" w:hAnsi="宋体" w:cs="宋体"/>
          <w:sz w:val="24"/>
        </w:rPr>
      </w:pPr>
      <w:r>
        <w:rPr>
          <w:rFonts w:hint="eastAsia" w:ascii="宋体" w:hAnsi="宋体" w:cs="宋体"/>
          <w:sz w:val="24"/>
        </w:rPr>
        <w:t>18.5.1 本合同工程阶段验收类别包括：、、。</w:t>
      </w:r>
    </w:p>
    <w:p>
      <w:pPr>
        <w:spacing w:line="312" w:lineRule="auto"/>
        <w:rPr>
          <w:rFonts w:ascii="宋体" w:hAnsi="宋体" w:cs="宋体"/>
          <w:b/>
          <w:bCs/>
          <w:sz w:val="24"/>
        </w:rPr>
      </w:pPr>
      <w:r>
        <w:rPr>
          <w:rFonts w:hint="eastAsia" w:ascii="宋体" w:hAnsi="宋体" w:cs="宋体"/>
          <w:b/>
          <w:bCs/>
          <w:sz w:val="24"/>
        </w:rPr>
        <w:t>18.6 专项验收</w:t>
      </w:r>
    </w:p>
    <w:p>
      <w:pPr>
        <w:spacing w:line="312" w:lineRule="auto"/>
        <w:ind w:firstLine="360" w:firstLineChars="150"/>
        <w:rPr>
          <w:rFonts w:ascii="宋体" w:hAnsi="宋体" w:cs="宋体"/>
          <w:sz w:val="24"/>
        </w:rPr>
      </w:pPr>
      <w:r>
        <w:rPr>
          <w:rFonts w:hint="eastAsia" w:ascii="宋体" w:hAnsi="宋体" w:cs="宋体"/>
          <w:sz w:val="24"/>
        </w:rPr>
        <w:t>18.6.2 本合同工程专项验收类别包括：、、。</w:t>
      </w:r>
    </w:p>
    <w:p>
      <w:pPr>
        <w:spacing w:line="312" w:lineRule="auto"/>
        <w:rPr>
          <w:rFonts w:ascii="宋体" w:hAnsi="宋体" w:cs="宋体"/>
          <w:b/>
          <w:bCs/>
          <w:sz w:val="24"/>
        </w:rPr>
      </w:pPr>
      <w:r>
        <w:rPr>
          <w:rFonts w:hint="eastAsia" w:ascii="宋体" w:hAnsi="宋体" w:cs="宋体"/>
          <w:b/>
          <w:bCs/>
          <w:sz w:val="24"/>
        </w:rPr>
        <w:t>18.7 竣工验收</w:t>
      </w:r>
    </w:p>
    <w:p>
      <w:pPr>
        <w:spacing w:line="312" w:lineRule="auto"/>
        <w:ind w:firstLine="360" w:firstLineChars="150"/>
        <w:rPr>
          <w:rFonts w:ascii="宋体" w:hAnsi="宋体" w:cs="宋体"/>
          <w:sz w:val="24"/>
        </w:rPr>
      </w:pPr>
      <w:r>
        <w:rPr>
          <w:rFonts w:hint="eastAsia" w:ascii="宋体" w:hAnsi="宋体" w:cs="宋体"/>
          <w:sz w:val="24"/>
        </w:rPr>
        <w:t>18.7.3 本工程（需要／不需要）竣工验收技术鉴定（蓄水安全鉴定）。</w:t>
      </w:r>
    </w:p>
    <w:bookmarkEnd w:id="320"/>
    <w:p>
      <w:pPr>
        <w:spacing w:line="312" w:lineRule="auto"/>
        <w:rPr>
          <w:rFonts w:ascii="宋体" w:hAnsi="宋体" w:cs="宋体"/>
          <w:b/>
          <w:bCs/>
          <w:sz w:val="24"/>
        </w:rPr>
      </w:pPr>
      <w:bookmarkStart w:id="321" w:name="_Toc221951282"/>
      <w:r>
        <w:rPr>
          <w:rFonts w:hint="eastAsia" w:ascii="宋体" w:hAnsi="宋体" w:cs="宋体"/>
          <w:b/>
          <w:bCs/>
          <w:sz w:val="24"/>
        </w:rPr>
        <w:t>18.8 施工期运行</w:t>
      </w:r>
      <w:bookmarkEnd w:id="321"/>
    </w:p>
    <w:p>
      <w:pPr>
        <w:spacing w:line="312" w:lineRule="auto"/>
        <w:ind w:firstLine="360" w:firstLineChars="150"/>
        <w:rPr>
          <w:rFonts w:ascii="宋体" w:hAnsi="宋体" w:cs="宋体"/>
          <w:sz w:val="24"/>
        </w:rPr>
      </w:pPr>
      <w:bookmarkStart w:id="322" w:name="_Toc221951283"/>
      <w:r>
        <w:rPr>
          <w:rFonts w:hint="eastAsia" w:ascii="宋体" w:hAnsi="宋体" w:cs="宋体"/>
          <w:sz w:val="24"/>
        </w:rPr>
        <w:t>18.8.1 需要在施工期运行的单位工程或工程设备为：</w:t>
      </w:r>
      <w:bookmarkEnd w:id="322"/>
      <w:r>
        <w:rPr>
          <w:rFonts w:hint="eastAsia" w:ascii="宋体" w:hAnsi="宋体" w:cs="宋体"/>
          <w:sz w:val="24"/>
        </w:rPr>
        <w:t>、、。</w:t>
      </w:r>
    </w:p>
    <w:p>
      <w:pPr>
        <w:spacing w:line="312" w:lineRule="auto"/>
        <w:rPr>
          <w:rFonts w:ascii="宋体" w:hAnsi="宋体" w:cs="宋体"/>
          <w:b/>
          <w:bCs/>
          <w:sz w:val="24"/>
        </w:rPr>
      </w:pPr>
      <w:bookmarkStart w:id="323" w:name="_Toc221951285"/>
      <w:r>
        <w:rPr>
          <w:rFonts w:hint="eastAsia" w:ascii="宋体" w:hAnsi="宋体" w:cs="宋体"/>
          <w:b/>
          <w:bCs/>
          <w:sz w:val="24"/>
        </w:rPr>
        <w:t>18.9 试运行</w:t>
      </w:r>
      <w:bookmarkEnd w:id="323"/>
    </w:p>
    <w:p>
      <w:pPr>
        <w:spacing w:line="312" w:lineRule="auto"/>
        <w:ind w:right="248" w:firstLine="600" w:firstLineChars="250"/>
        <w:rPr>
          <w:rFonts w:ascii="宋体" w:hAnsi="宋体" w:cs="宋体"/>
          <w:sz w:val="24"/>
        </w:rPr>
      </w:pPr>
      <w:bookmarkStart w:id="324" w:name="_Toc221951286"/>
      <w:r>
        <w:rPr>
          <w:rFonts w:hint="eastAsia" w:ascii="宋体" w:hAnsi="宋体" w:cs="宋体"/>
          <w:sz w:val="24"/>
        </w:rPr>
        <w:t xml:space="preserve">18.9.1 </w:t>
      </w:r>
      <w:bookmarkEnd w:id="324"/>
      <w:r>
        <w:rPr>
          <w:rFonts w:hint="eastAsia" w:ascii="宋体" w:hAnsi="宋体" w:cs="宋体"/>
          <w:sz w:val="24"/>
        </w:rPr>
        <w:t>试运行的组织：；费用承担： 。</w:t>
      </w:r>
    </w:p>
    <w:p>
      <w:pPr>
        <w:spacing w:line="312" w:lineRule="auto"/>
        <w:rPr>
          <w:rFonts w:ascii="宋体" w:hAnsi="宋体" w:cs="宋体"/>
          <w:b/>
          <w:sz w:val="24"/>
        </w:rPr>
      </w:pPr>
      <w:r>
        <w:rPr>
          <w:rFonts w:hint="eastAsia" w:ascii="宋体" w:hAnsi="宋体" w:cs="宋体"/>
          <w:b/>
          <w:sz w:val="24"/>
        </w:rPr>
        <w:t>19 缺陷责任与保修责任</w:t>
      </w:r>
    </w:p>
    <w:p>
      <w:pPr>
        <w:spacing w:line="312" w:lineRule="auto"/>
        <w:rPr>
          <w:rFonts w:ascii="宋体" w:hAnsi="宋体" w:cs="宋体"/>
          <w:b/>
          <w:bCs/>
          <w:sz w:val="24"/>
        </w:rPr>
      </w:pPr>
      <w:r>
        <w:rPr>
          <w:rFonts w:hint="eastAsia" w:ascii="宋体" w:hAnsi="宋体" w:cs="宋体"/>
          <w:b/>
          <w:bCs/>
          <w:sz w:val="24"/>
        </w:rPr>
        <w:t>19.1 缺陷责任期（工程质量保修期）的起算时间</w:t>
      </w:r>
    </w:p>
    <w:p>
      <w:pPr>
        <w:spacing w:line="312" w:lineRule="auto"/>
        <w:ind w:right="248" w:firstLine="600" w:firstLineChars="250"/>
        <w:rPr>
          <w:rFonts w:ascii="宋体" w:hAnsi="宋体" w:cs="宋体"/>
          <w:sz w:val="24"/>
        </w:rPr>
      </w:pPr>
      <w:r>
        <w:rPr>
          <w:rFonts w:hint="eastAsia" w:ascii="宋体" w:hAnsi="宋体" w:cs="宋体"/>
          <w:sz w:val="24"/>
        </w:rPr>
        <w:t>本工程缺陷责任期（工程质量保修期）计算如下： 。</w:t>
      </w:r>
    </w:p>
    <w:p>
      <w:pPr>
        <w:spacing w:line="312" w:lineRule="auto"/>
        <w:rPr>
          <w:rFonts w:ascii="宋体" w:hAnsi="宋体" w:cs="宋体"/>
          <w:b/>
          <w:sz w:val="24"/>
        </w:rPr>
      </w:pPr>
      <w:bookmarkStart w:id="325" w:name="_Toc221951299"/>
      <w:bookmarkStart w:id="326" w:name="_Toc222033893"/>
      <w:bookmarkStart w:id="327" w:name="_Toc229305400"/>
      <w:bookmarkStart w:id="328" w:name="_Toc222032711"/>
      <w:bookmarkStart w:id="329" w:name="_Toc222031044"/>
      <w:bookmarkStart w:id="330" w:name="_Toc222029542"/>
      <w:r>
        <w:rPr>
          <w:rFonts w:hint="eastAsia" w:ascii="宋体" w:hAnsi="宋体" w:cs="宋体"/>
          <w:b/>
          <w:sz w:val="24"/>
        </w:rPr>
        <w:t>20  保险</w:t>
      </w:r>
      <w:bookmarkEnd w:id="325"/>
      <w:bookmarkEnd w:id="326"/>
      <w:bookmarkEnd w:id="327"/>
      <w:bookmarkEnd w:id="328"/>
      <w:bookmarkEnd w:id="329"/>
      <w:bookmarkEnd w:id="330"/>
    </w:p>
    <w:p>
      <w:pPr>
        <w:spacing w:line="312" w:lineRule="auto"/>
        <w:rPr>
          <w:rFonts w:ascii="宋体" w:hAnsi="宋体" w:cs="宋体"/>
          <w:b/>
          <w:bCs/>
          <w:sz w:val="24"/>
        </w:rPr>
      </w:pPr>
      <w:bookmarkStart w:id="331" w:name="_Toc221951321"/>
      <w:r>
        <w:rPr>
          <w:rFonts w:hint="eastAsia" w:ascii="宋体" w:hAnsi="宋体" w:cs="宋体"/>
          <w:b/>
          <w:bCs/>
          <w:sz w:val="24"/>
        </w:rPr>
        <w:t>20.1  工程保险</w:t>
      </w:r>
      <w:bookmarkEnd w:id="331"/>
    </w:p>
    <w:p>
      <w:pPr>
        <w:spacing w:line="312" w:lineRule="auto"/>
        <w:ind w:right="248" w:firstLine="480"/>
        <w:rPr>
          <w:rFonts w:ascii="宋体" w:hAnsi="宋体" w:cs="宋体"/>
          <w:sz w:val="24"/>
        </w:rPr>
      </w:pPr>
      <w:bookmarkStart w:id="332" w:name="_Toc221951323"/>
      <w:r>
        <w:rPr>
          <w:rFonts w:hint="eastAsia" w:ascii="宋体" w:hAnsi="宋体" w:cs="宋体"/>
          <w:sz w:val="24"/>
        </w:rPr>
        <w:t xml:space="preserve">建筑工程一切险和（或）安装工程一切险投保人：；                        </w:t>
      </w:r>
    </w:p>
    <w:p>
      <w:pPr>
        <w:spacing w:line="312" w:lineRule="auto"/>
        <w:ind w:right="248" w:firstLine="480"/>
        <w:rPr>
          <w:rFonts w:ascii="宋体" w:hAnsi="宋体" w:cs="宋体"/>
          <w:sz w:val="24"/>
        </w:rPr>
      </w:pPr>
      <w:r>
        <w:rPr>
          <w:rFonts w:hint="eastAsia" w:ascii="宋体" w:hAnsi="宋体" w:cs="宋体"/>
          <w:sz w:val="24"/>
        </w:rPr>
        <w:t xml:space="preserve">投保内容：；                                                      </w:t>
      </w:r>
    </w:p>
    <w:p>
      <w:pPr>
        <w:spacing w:line="312" w:lineRule="auto"/>
        <w:ind w:right="248" w:firstLine="480"/>
        <w:rPr>
          <w:rFonts w:ascii="宋体" w:hAnsi="宋体" w:cs="宋体"/>
          <w:sz w:val="24"/>
        </w:rPr>
      </w:pPr>
      <w:r>
        <w:rPr>
          <w:rFonts w:hint="eastAsia" w:ascii="宋体" w:hAnsi="宋体" w:cs="宋体"/>
          <w:sz w:val="24"/>
        </w:rPr>
        <w:t>保险金额、保险费率和保险期限：。</w:t>
      </w:r>
    </w:p>
    <w:p>
      <w:pPr>
        <w:spacing w:line="312" w:lineRule="auto"/>
        <w:rPr>
          <w:rFonts w:ascii="宋体" w:hAnsi="宋体" w:cs="宋体"/>
          <w:b/>
          <w:bCs/>
          <w:sz w:val="24"/>
        </w:rPr>
      </w:pPr>
      <w:r>
        <w:rPr>
          <w:rFonts w:hint="eastAsia" w:ascii="宋体" w:hAnsi="宋体" w:cs="宋体"/>
          <w:b/>
          <w:bCs/>
          <w:sz w:val="24"/>
        </w:rPr>
        <w:t>20.4  第三者责任险</w:t>
      </w:r>
      <w:bookmarkEnd w:id="332"/>
    </w:p>
    <w:p>
      <w:pPr>
        <w:spacing w:line="312" w:lineRule="auto"/>
        <w:ind w:right="248" w:firstLine="480"/>
        <w:rPr>
          <w:rFonts w:ascii="宋体" w:hAnsi="宋体" w:cs="宋体"/>
          <w:sz w:val="24"/>
        </w:rPr>
      </w:pPr>
      <w:bookmarkStart w:id="333" w:name="_Toc221951325"/>
      <w:r>
        <w:rPr>
          <w:rFonts w:hint="eastAsia" w:ascii="宋体" w:hAnsi="宋体" w:cs="宋体"/>
          <w:sz w:val="24"/>
        </w:rPr>
        <w:t xml:space="preserve">20.4.2 第三者责任险保险费率：；                                       </w:t>
      </w:r>
    </w:p>
    <w:p>
      <w:pPr>
        <w:spacing w:line="312" w:lineRule="auto"/>
        <w:ind w:right="248" w:firstLine="480"/>
        <w:rPr>
          <w:rFonts w:ascii="宋体" w:hAnsi="宋体" w:cs="宋体"/>
          <w:sz w:val="24"/>
        </w:rPr>
      </w:pPr>
      <w:r>
        <w:rPr>
          <w:rFonts w:hint="eastAsia" w:ascii="宋体" w:hAnsi="宋体" w:cs="宋体"/>
          <w:sz w:val="24"/>
        </w:rPr>
        <w:t xml:space="preserve">第三者责任险保险金额：。 </w:t>
      </w:r>
    </w:p>
    <w:p>
      <w:pPr>
        <w:spacing w:line="312" w:lineRule="auto"/>
        <w:rPr>
          <w:rFonts w:ascii="宋体" w:hAnsi="宋体" w:cs="宋体"/>
          <w:b/>
          <w:bCs/>
          <w:sz w:val="24"/>
        </w:rPr>
      </w:pPr>
      <w:r>
        <w:rPr>
          <w:rFonts w:hint="eastAsia" w:ascii="宋体" w:hAnsi="宋体" w:cs="宋体"/>
          <w:b/>
          <w:bCs/>
          <w:sz w:val="24"/>
        </w:rPr>
        <w:t>20.5  其他保险</w:t>
      </w:r>
      <w:bookmarkEnd w:id="333"/>
    </w:p>
    <w:p>
      <w:pPr>
        <w:spacing w:line="312" w:lineRule="auto"/>
        <w:ind w:right="248" w:firstLine="480"/>
        <w:rPr>
          <w:rFonts w:ascii="宋体" w:hAnsi="宋体" w:cs="宋体"/>
          <w:sz w:val="24"/>
        </w:rPr>
      </w:pPr>
      <w:bookmarkStart w:id="334" w:name="_Toc221951327"/>
      <w:r>
        <w:rPr>
          <w:rFonts w:hint="eastAsia" w:ascii="宋体" w:hAnsi="宋体" w:cs="宋体"/>
          <w:sz w:val="24"/>
        </w:rPr>
        <w:t>需要投保的其他内容：；</w:t>
      </w:r>
    </w:p>
    <w:p>
      <w:pPr>
        <w:spacing w:line="312" w:lineRule="auto"/>
        <w:ind w:right="248" w:firstLine="480"/>
        <w:rPr>
          <w:rFonts w:ascii="宋体" w:hAnsi="宋体" w:cs="宋体"/>
          <w:sz w:val="24"/>
        </w:rPr>
      </w:pPr>
      <w:r>
        <w:rPr>
          <w:rFonts w:hint="eastAsia" w:ascii="宋体" w:hAnsi="宋体" w:cs="宋体"/>
          <w:sz w:val="24"/>
        </w:rPr>
        <w:t>保险金额、保险费率和保险期限：。</w:t>
      </w:r>
    </w:p>
    <w:p>
      <w:pPr>
        <w:spacing w:line="312" w:lineRule="auto"/>
        <w:rPr>
          <w:rFonts w:ascii="宋体" w:hAnsi="宋体" w:cs="宋体"/>
          <w:b/>
          <w:bCs/>
          <w:sz w:val="24"/>
        </w:rPr>
      </w:pPr>
      <w:r>
        <w:rPr>
          <w:rFonts w:hint="eastAsia" w:ascii="宋体" w:hAnsi="宋体" w:cs="宋体"/>
          <w:b/>
          <w:bCs/>
          <w:sz w:val="24"/>
        </w:rPr>
        <w:t>20.6  对各项保险的一般要求</w:t>
      </w:r>
      <w:bookmarkEnd w:id="334"/>
    </w:p>
    <w:p>
      <w:pPr>
        <w:spacing w:line="312" w:lineRule="auto"/>
        <w:rPr>
          <w:rFonts w:ascii="宋体" w:hAnsi="宋体" w:cs="宋体"/>
          <w:sz w:val="24"/>
        </w:rPr>
      </w:pPr>
      <w:bookmarkStart w:id="335" w:name="_Toc221951328"/>
      <w:r>
        <w:rPr>
          <w:rFonts w:hint="eastAsia" w:ascii="宋体" w:hAnsi="宋体" w:cs="宋体"/>
          <w:sz w:val="24"/>
        </w:rPr>
        <w:t xml:space="preserve">     20.6.1  保险凭证</w:t>
      </w:r>
      <w:bookmarkEnd w:id="335"/>
    </w:p>
    <w:p>
      <w:pPr>
        <w:spacing w:line="312" w:lineRule="auto"/>
        <w:ind w:right="248" w:firstLine="480"/>
        <w:rPr>
          <w:rFonts w:ascii="宋体" w:hAnsi="宋体" w:cs="宋体"/>
          <w:sz w:val="24"/>
        </w:rPr>
      </w:pPr>
      <w:bookmarkStart w:id="336" w:name="_Toc221951330"/>
      <w:r>
        <w:rPr>
          <w:rFonts w:hint="eastAsia" w:ascii="宋体" w:hAnsi="宋体" w:cs="宋体"/>
          <w:sz w:val="24"/>
        </w:rPr>
        <w:t>承包人提交保险凭证的期限：</w:t>
      </w:r>
      <w:bookmarkEnd w:id="336"/>
      <w:r>
        <w:rPr>
          <w:rFonts w:hint="eastAsia" w:ascii="宋体" w:hAnsi="宋体" w:cs="宋体"/>
          <w:sz w:val="24"/>
        </w:rPr>
        <w:t>；</w:t>
      </w:r>
    </w:p>
    <w:p>
      <w:pPr>
        <w:spacing w:line="312" w:lineRule="auto"/>
        <w:ind w:right="248" w:firstLine="480"/>
        <w:rPr>
          <w:rFonts w:ascii="宋体" w:hAnsi="宋体" w:cs="宋体"/>
          <w:sz w:val="24"/>
        </w:rPr>
      </w:pPr>
      <w:bookmarkStart w:id="337" w:name="_Toc221951329"/>
      <w:r>
        <w:rPr>
          <w:rFonts w:hint="eastAsia" w:ascii="宋体" w:hAnsi="宋体" w:cs="宋体"/>
          <w:sz w:val="24"/>
        </w:rPr>
        <w:t>保险条件：</w:t>
      </w:r>
      <w:bookmarkEnd w:id="337"/>
      <w:r>
        <w:rPr>
          <w:rFonts w:hint="eastAsia" w:ascii="宋体" w:hAnsi="宋体" w:cs="宋体"/>
          <w:sz w:val="24"/>
        </w:rPr>
        <w:t>。</w:t>
      </w:r>
    </w:p>
    <w:p>
      <w:pPr>
        <w:spacing w:line="312" w:lineRule="auto"/>
        <w:ind w:right="248" w:firstLine="480"/>
        <w:rPr>
          <w:rFonts w:ascii="宋体" w:hAnsi="宋体" w:cs="宋体"/>
          <w:sz w:val="24"/>
        </w:rPr>
      </w:pPr>
      <w:bookmarkStart w:id="338" w:name="_Toc221951331"/>
      <w:r>
        <w:rPr>
          <w:rFonts w:hint="eastAsia" w:ascii="宋体" w:hAnsi="宋体" w:cs="宋体"/>
          <w:sz w:val="24"/>
        </w:rPr>
        <w:t>20.6.4  保险金不足的补偿</w:t>
      </w:r>
      <w:bookmarkEnd w:id="338"/>
    </w:p>
    <w:p>
      <w:pPr>
        <w:spacing w:line="312" w:lineRule="auto"/>
        <w:ind w:left="958" w:leftChars="228" w:right="248" w:hanging="480" w:hangingChars="200"/>
        <w:rPr>
          <w:rFonts w:ascii="宋体" w:hAnsi="宋体" w:cs="宋体"/>
          <w:sz w:val="24"/>
        </w:rPr>
      </w:pPr>
      <w:bookmarkStart w:id="339" w:name="_Toc221951332"/>
      <w:r>
        <w:rPr>
          <w:rFonts w:hint="eastAsia" w:ascii="宋体" w:hAnsi="宋体" w:cs="宋体"/>
          <w:sz w:val="24"/>
        </w:rPr>
        <w:t>承包人负责补偿的范围与金额：</w:t>
      </w:r>
      <w:bookmarkEnd w:id="339"/>
      <w:r>
        <w:rPr>
          <w:rFonts w:hint="eastAsia" w:ascii="宋体" w:hAnsi="宋体" w:cs="宋体"/>
          <w:sz w:val="24"/>
        </w:rPr>
        <w:t>；</w:t>
      </w:r>
    </w:p>
    <w:p>
      <w:pPr>
        <w:spacing w:line="312" w:lineRule="auto"/>
        <w:ind w:left="958" w:leftChars="228" w:right="248" w:hanging="480" w:hangingChars="200"/>
        <w:rPr>
          <w:rFonts w:ascii="宋体" w:hAnsi="宋体" w:cs="宋体"/>
          <w:sz w:val="24"/>
          <w:u w:val="single"/>
        </w:rPr>
      </w:pPr>
      <w:r>
        <w:rPr>
          <w:rFonts w:hint="eastAsia" w:ascii="宋体" w:hAnsi="宋体" w:cs="宋体"/>
          <w:sz w:val="24"/>
        </w:rPr>
        <w:t xml:space="preserve">发包人负责补偿的范围与金额：。                                                                                                                                                                                                                                                                                                                                                                                                                                                                                                                                                                                                                                                                                                                                                                                                                                                                                                                                                                                                                                                                                                                                                                                                                                                                                                                                                                                                                                                                                                                                                                                                                                                                                                                                                                                                                                                                                                                                                                                                                                          </w:t>
      </w:r>
    </w:p>
    <w:p>
      <w:pPr>
        <w:spacing w:line="312" w:lineRule="auto"/>
        <w:rPr>
          <w:rFonts w:ascii="宋体" w:hAnsi="宋体" w:cs="宋体"/>
          <w:b/>
          <w:sz w:val="24"/>
        </w:rPr>
      </w:pPr>
      <w:bookmarkStart w:id="340" w:name="_Toc221951334"/>
      <w:bookmarkStart w:id="341" w:name="_Toc222031045"/>
      <w:bookmarkStart w:id="342" w:name="_Toc222033894"/>
      <w:bookmarkStart w:id="343" w:name="_Toc222032712"/>
      <w:bookmarkStart w:id="344" w:name="_Toc229305401"/>
      <w:bookmarkStart w:id="345" w:name="_Toc222029543"/>
      <w:r>
        <w:rPr>
          <w:rFonts w:hint="eastAsia" w:ascii="宋体" w:hAnsi="宋体" w:cs="宋体"/>
          <w:b/>
          <w:sz w:val="24"/>
        </w:rPr>
        <w:t>24. 争议的解决</w:t>
      </w:r>
      <w:bookmarkEnd w:id="340"/>
      <w:bookmarkEnd w:id="341"/>
      <w:bookmarkEnd w:id="342"/>
      <w:bookmarkEnd w:id="343"/>
      <w:bookmarkEnd w:id="344"/>
      <w:bookmarkEnd w:id="345"/>
    </w:p>
    <w:p>
      <w:pPr>
        <w:spacing w:after="120" w:line="312" w:lineRule="auto"/>
        <w:ind w:firstLine="480" w:firstLineChars="200"/>
        <w:rPr>
          <w:rFonts w:ascii="宋体" w:hAnsi="宋体" w:cs="宋体"/>
          <w:sz w:val="24"/>
        </w:rPr>
      </w:pPr>
      <w:r>
        <w:rPr>
          <w:rFonts w:hint="eastAsia" w:ascii="宋体" w:hAnsi="宋体" w:cs="宋体"/>
          <w:sz w:val="24"/>
        </w:rPr>
        <w:t>发包人和承包人在履行合同中发生争议的，可以友好协商解决或者提请争议评审组评审。合同当事人友好协商解决不成、不愿提请争议评审或者不接受争议评审组意见的，可按下列第种方式解决：</w:t>
      </w:r>
    </w:p>
    <w:p>
      <w:pPr>
        <w:spacing w:line="312" w:lineRule="auto"/>
        <w:ind w:firstLine="480" w:firstLineChars="200"/>
        <w:jc w:val="left"/>
        <w:rPr>
          <w:rFonts w:ascii="宋体" w:hAnsi="宋体" w:cs="宋体"/>
          <w:sz w:val="24"/>
        </w:rPr>
      </w:pPr>
      <w:r>
        <w:rPr>
          <w:rFonts w:hint="eastAsia" w:ascii="宋体" w:hAnsi="宋体" w:cs="宋体"/>
          <w:sz w:val="24"/>
        </w:rPr>
        <w:t>（1）向仲裁委员会申请仲裁；</w:t>
      </w:r>
    </w:p>
    <w:p>
      <w:pPr>
        <w:pStyle w:val="14"/>
        <w:spacing w:before="0" w:beforeAutospacing="0" w:after="0" w:afterAutospacing="0" w:line="312" w:lineRule="auto"/>
        <w:rPr>
          <w:rFonts w:ascii="宋体" w:hAnsi="宋体" w:cs="宋体"/>
          <w:szCs w:val="24"/>
        </w:rPr>
      </w:pPr>
      <w:r>
        <w:rPr>
          <w:rFonts w:hint="eastAsia" w:ascii="宋体" w:hAnsi="宋体" w:cs="宋体"/>
          <w:szCs w:val="24"/>
        </w:rPr>
        <w:t xml:space="preserve">    （2）向人民法院起诉。</w:t>
      </w:r>
    </w:p>
    <w:p>
      <w:pPr>
        <w:pStyle w:val="14"/>
        <w:spacing w:line="312" w:lineRule="auto"/>
      </w:pPr>
    </w:p>
    <w:p>
      <w:pPr>
        <w:spacing w:line="312" w:lineRule="auto"/>
        <w:contextualSpacing/>
        <w:rPr>
          <w:rFonts w:ascii="宋体" w:hAnsi="宋体"/>
          <w:b/>
          <w:sz w:val="32"/>
          <w:szCs w:val="32"/>
        </w:rPr>
      </w:pPr>
      <w:bookmarkStart w:id="346" w:name="_Toc279701706"/>
      <w:bookmarkStart w:id="347" w:name="_Toc144974826"/>
      <w:bookmarkStart w:id="348" w:name="_Toc168475883"/>
      <w:bookmarkStart w:id="349" w:name="_Toc168476286"/>
      <w:bookmarkStart w:id="350" w:name="_Toc229305402"/>
      <w:bookmarkStart w:id="351" w:name="_Toc276296576"/>
      <w:r>
        <w:rPr>
          <w:rFonts w:ascii="宋体" w:hAnsi="宋体"/>
          <w:b/>
          <w:sz w:val="32"/>
          <w:szCs w:val="32"/>
        </w:rPr>
        <w:t>第三节  合同附件格式</w:t>
      </w:r>
      <w:bookmarkEnd w:id="346"/>
      <w:bookmarkEnd w:id="347"/>
      <w:bookmarkEnd w:id="348"/>
      <w:bookmarkEnd w:id="349"/>
      <w:bookmarkEnd w:id="350"/>
      <w:bookmarkEnd w:id="351"/>
    </w:p>
    <w:p>
      <w:pPr>
        <w:spacing w:before="120" w:line="312" w:lineRule="auto"/>
        <w:rPr>
          <w:rFonts w:ascii="宋体" w:hAnsi="宋体"/>
          <w:sz w:val="24"/>
        </w:rPr>
      </w:pPr>
      <w:bookmarkStart w:id="352" w:name="_Toc168475884"/>
      <w:bookmarkStart w:id="353" w:name="_Toc277250438"/>
      <w:bookmarkStart w:id="354" w:name="_Toc266859678"/>
      <w:bookmarkStart w:id="355" w:name="_Toc276296577"/>
      <w:bookmarkStart w:id="356" w:name="_Toc277253913"/>
      <w:bookmarkStart w:id="357" w:name="_Toc168476287"/>
      <w:bookmarkStart w:id="358" w:name="_Toc279698662"/>
      <w:bookmarkStart w:id="359" w:name="_Toc266885982"/>
      <w:bookmarkStart w:id="360" w:name="_Toc144974827"/>
      <w:bookmarkStart w:id="361" w:name="_Toc279701707"/>
      <w:r>
        <w:rPr>
          <w:rFonts w:ascii="宋体" w:hAnsi="宋体"/>
          <w:sz w:val="24"/>
        </w:rPr>
        <w:t>附件一：</w:t>
      </w:r>
      <w:bookmarkEnd w:id="352"/>
      <w:bookmarkEnd w:id="353"/>
      <w:bookmarkEnd w:id="354"/>
      <w:bookmarkEnd w:id="355"/>
      <w:bookmarkEnd w:id="356"/>
      <w:bookmarkEnd w:id="357"/>
      <w:bookmarkEnd w:id="358"/>
      <w:bookmarkEnd w:id="359"/>
      <w:bookmarkEnd w:id="360"/>
      <w:bookmarkEnd w:id="361"/>
    </w:p>
    <w:p>
      <w:pPr>
        <w:spacing w:line="312" w:lineRule="auto"/>
        <w:jc w:val="center"/>
        <w:rPr>
          <w:rFonts w:ascii="宋体" w:hAnsi="宋体"/>
          <w:b/>
          <w:sz w:val="24"/>
        </w:rPr>
      </w:pPr>
      <w:r>
        <w:rPr>
          <w:rFonts w:ascii="宋体" w:hAnsi="宋体"/>
          <w:b/>
          <w:sz w:val="24"/>
        </w:rPr>
        <w:t>合同协议书</w:t>
      </w:r>
    </w:p>
    <w:p>
      <w:pPr>
        <w:spacing w:line="312" w:lineRule="auto"/>
        <w:jc w:val="center"/>
        <w:rPr>
          <w:rFonts w:ascii="宋体" w:hAnsi="宋体"/>
          <w:b/>
          <w:sz w:val="24"/>
        </w:rPr>
      </w:pPr>
    </w:p>
    <w:p>
      <w:pPr>
        <w:autoSpaceDE w:val="0"/>
        <w:autoSpaceDN w:val="0"/>
        <w:adjustRightInd w:val="0"/>
        <w:spacing w:line="312" w:lineRule="auto"/>
        <w:ind w:firstLine="424" w:firstLineChars="177"/>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pPr>
        <w:spacing w:line="312" w:lineRule="auto"/>
        <w:ind w:firstLine="424" w:firstLineChars="177"/>
        <w:rPr>
          <w:rFonts w:ascii="宋体" w:hAnsi="宋体"/>
          <w:sz w:val="24"/>
        </w:rPr>
      </w:pPr>
      <w:bookmarkStart w:id="362" w:name="_Toc168476288"/>
      <w:bookmarkStart w:id="363" w:name="_Toc144974828"/>
      <w:bookmarkStart w:id="364" w:name="_Toc168475885"/>
      <w:r>
        <w:rPr>
          <w:rFonts w:ascii="宋体" w:hAnsi="宋体"/>
          <w:sz w:val="24"/>
        </w:rPr>
        <w:t>1. 本协议书与下列文件一起构成合同文件：</w:t>
      </w:r>
      <w:bookmarkEnd w:id="362"/>
      <w:bookmarkEnd w:id="363"/>
      <w:bookmarkEnd w:id="364"/>
    </w:p>
    <w:p>
      <w:pPr>
        <w:spacing w:line="312" w:lineRule="auto"/>
        <w:ind w:firstLine="424" w:firstLineChars="177"/>
        <w:rPr>
          <w:rFonts w:ascii="宋体" w:hAnsi="宋体"/>
          <w:sz w:val="24"/>
        </w:rPr>
      </w:pPr>
      <w:r>
        <w:rPr>
          <w:rFonts w:ascii="宋体" w:hAnsi="宋体"/>
          <w:sz w:val="24"/>
        </w:rPr>
        <w:t>（1）中标通知书；</w:t>
      </w:r>
    </w:p>
    <w:p>
      <w:pPr>
        <w:spacing w:line="312" w:lineRule="auto"/>
        <w:ind w:firstLine="424" w:firstLineChars="177"/>
        <w:rPr>
          <w:rFonts w:ascii="宋体" w:hAnsi="宋体"/>
          <w:sz w:val="24"/>
        </w:rPr>
      </w:pPr>
      <w:r>
        <w:rPr>
          <w:rFonts w:ascii="宋体" w:hAnsi="宋体"/>
          <w:sz w:val="24"/>
        </w:rPr>
        <w:t>（2）投标函及投标函附录；</w:t>
      </w:r>
    </w:p>
    <w:p>
      <w:pPr>
        <w:spacing w:line="312" w:lineRule="auto"/>
        <w:ind w:firstLine="424" w:firstLineChars="177"/>
        <w:rPr>
          <w:rFonts w:ascii="宋体" w:hAnsi="宋体"/>
          <w:sz w:val="24"/>
        </w:rPr>
      </w:pPr>
      <w:r>
        <w:rPr>
          <w:rFonts w:ascii="宋体" w:hAnsi="宋体"/>
          <w:sz w:val="24"/>
        </w:rPr>
        <w:t>（3）专用合同条款；</w:t>
      </w:r>
    </w:p>
    <w:p>
      <w:pPr>
        <w:spacing w:line="312" w:lineRule="auto"/>
        <w:ind w:firstLine="424" w:firstLineChars="177"/>
        <w:rPr>
          <w:rFonts w:ascii="宋体" w:hAnsi="宋体"/>
          <w:sz w:val="24"/>
        </w:rPr>
      </w:pPr>
      <w:r>
        <w:rPr>
          <w:rFonts w:ascii="宋体" w:hAnsi="宋体"/>
          <w:sz w:val="24"/>
        </w:rPr>
        <w:t>（4）通用合同条款；</w:t>
      </w:r>
    </w:p>
    <w:p>
      <w:pPr>
        <w:spacing w:line="312" w:lineRule="auto"/>
        <w:ind w:firstLine="424" w:firstLineChars="177"/>
        <w:rPr>
          <w:rFonts w:ascii="宋体" w:hAnsi="宋体"/>
          <w:sz w:val="24"/>
        </w:rPr>
      </w:pPr>
      <w:r>
        <w:rPr>
          <w:rFonts w:ascii="宋体" w:hAnsi="宋体"/>
          <w:sz w:val="24"/>
        </w:rPr>
        <w:t>（5）技术标准和要求；</w:t>
      </w:r>
    </w:p>
    <w:p>
      <w:pPr>
        <w:spacing w:line="312" w:lineRule="auto"/>
        <w:ind w:firstLine="424" w:firstLineChars="177"/>
        <w:rPr>
          <w:rFonts w:ascii="宋体" w:hAnsi="宋体"/>
          <w:sz w:val="24"/>
        </w:rPr>
      </w:pPr>
      <w:r>
        <w:rPr>
          <w:rFonts w:ascii="宋体" w:hAnsi="宋体"/>
          <w:sz w:val="24"/>
        </w:rPr>
        <w:t>（6）图纸；</w:t>
      </w:r>
    </w:p>
    <w:p>
      <w:pPr>
        <w:spacing w:line="312" w:lineRule="auto"/>
        <w:ind w:firstLine="424" w:firstLineChars="177"/>
        <w:rPr>
          <w:rFonts w:ascii="宋体" w:hAnsi="宋体"/>
          <w:sz w:val="24"/>
        </w:rPr>
      </w:pPr>
      <w:r>
        <w:rPr>
          <w:rFonts w:ascii="宋体" w:hAnsi="宋体"/>
          <w:sz w:val="24"/>
        </w:rPr>
        <w:t>（7）已标价工程量清单；</w:t>
      </w:r>
    </w:p>
    <w:p>
      <w:pPr>
        <w:spacing w:line="312" w:lineRule="auto"/>
        <w:ind w:firstLine="424" w:firstLineChars="177"/>
        <w:rPr>
          <w:rFonts w:ascii="宋体" w:hAnsi="宋体"/>
          <w:sz w:val="24"/>
        </w:rPr>
      </w:pPr>
      <w:r>
        <w:rPr>
          <w:rFonts w:ascii="宋体" w:hAnsi="宋体"/>
          <w:sz w:val="24"/>
        </w:rPr>
        <w:t>（8）其他合同文件。</w:t>
      </w:r>
    </w:p>
    <w:p>
      <w:pPr>
        <w:spacing w:line="312" w:lineRule="auto"/>
        <w:ind w:firstLine="424" w:firstLineChars="177"/>
        <w:rPr>
          <w:rFonts w:ascii="宋体" w:hAnsi="宋体"/>
          <w:sz w:val="24"/>
        </w:rPr>
      </w:pPr>
      <w:bookmarkStart w:id="365" w:name="_Toc168476289"/>
      <w:bookmarkStart w:id="366" w:name="_Toc168475886"/>
      <w:bookmarkStart w:id="367" w:name="_Toc144974829"/>
      <w:r>
        <w:rPr>
          <w:rFonts w:ascii="宋体" w:hAnsi="宋体"/>
          <w:sz w:val="24"/>
        </w:rPr>
        <w:t>2. 上述文</w:t>
      </w:r>
      <w:r>
        <w:rPr>
          <w:rFonts w:ascii="宋体" w:hAnsi="宋体"/>
          <w:spacing w:val="-4"/>
          <w:sz w:val="24"/>
        </w:rPr>
        <w:t>件互相补充和解释，如有不明确或不一致之处，以合同约定次序在先者为准。</w:t>
      </w:r>
      <w:bookmarkEnd w:id="365"/>
      <w:bookmarkEnd w:id="366"/>
      <w:bookmarkEnd w:id="367"/>
    </w:p>
    <w:p>
      <w:pPr>
        <w:spacing w:line="312" w:lineRule="auto"/>
        <w:ind w:firstLine="424" w:firstLineChars="177"/>
        <w:rPr>
          <w:rFonts w:ascii="宋体" w:hAnsi="宋体"/>
          <w:sz w:val="24"/>
        </w:rPr>
      </w:pPr>
      <w:r>
        <w:rPr>
          <w:rFonts w:ascii="宋体" w:hAnsi="宋体"/>
          <w:sz w:val="24"/>
        </w:rPr>
        <w:t>3. 签约合同价：人民币（大写）元（¥）。</w:t>
      </w:r>
    </w:p>
    <w:p>
      <w:pPr>
        <w:spacing w:line="312" w:lineRule="auto"/>
        <w:ind w:firstLine="424" w:firstLineChars="177"/>
        <w:rPr>
          <w:rFonts w:ascii="宋体" w:hAnsi="宋体"/>
          <w:sz w:val="24"/>
          <w:u w:val="single"/>
        </w:rPr>
      </w:pPr>
      <w:r>
        <w:rPr>
          <w:rFonts w:ascii="宋体" w:hAnsi="宋体"/>
          <w:sz w:val="24"/>
        </w:rPr>
        <w:t>4. 承包人项目经理：。</w:t>
      </w:r>
    </w:p>
    <w:p>
      <w:pPr>
        <w:spacing w:line="312" w:lineRule="auto"/>
        <w:ind w:firstLine="424" w:firstLineChars="177"/>
        <w:rPr>
          <w:rFonts w:ascii="宋体" w:hAnsi="宋体"/>
          <w:sz w:val="24"/>
        </w:rPr>
      </w:pPr>
      <w:r>
        <w:rPr>
          <w:rFonts w:ascii="宋体" w:hAnsi="宋体"/>
          <w:sz w:val="24"/>
        </w:rPr>
        <w:t>5. 工程质量符合标准。</w:t>
      </w:r>
    </w:p>
    <w:p>
      <w:pPr>
        <w:spacing w:line="312" w:lineRule="auto"/>
        <w:ind w:firstLine="424" w:firstLineChars="177"/>
        <w:rPr>
          <w:rFonts w:ascii="宋体" w:hAnsi="宋体"/>
          <w:sz w:val="24"/>
        </w:rPr>
      </w:pPr>
      <w:r>
        <w:rPr>
          <w:rFonts w:ascii="宋体" w:hAnsi="宋体"/>
          <w:sz w:val="24"/>
        </w:rPr>
        <w:t>6. 承包人承诺按合同约定承担工程的实施、完成及缺陷修复。</w:t>
      </w:r>
    </w:p>
    <w:p>
      <w:pPr>
        <w:spacing w:line="312" w:lineRule="auto"/>
        <w:ind w:firstLine="424" w:firstLineChars="177"/>
        <w:rPr>
          <w:rFonts w:ascii="宋体" w:hAnsi="宋体"/>
          <w:sz w:val="24"/>
        </w:rPr>
      </w:pPr>
      <w:r>
        <w:rPr>
          <w:rFonts w:ascii="宋体" w:hAnsi="宋体"/>
          <w:sz w:val="24"/>
        </w:rPr>
        <w:t>7. 发包人承诺按合同约定的条件、时间和方式向承包人支付合同价款。</w:t>
      </w:r>
    </w:p>
    <w:p>
      <w:pPr>
        <w:spacing w:line="312" w:lineRule="auto"/>
        <w:ind w:firstLine="424" w:firstLineChars="177"/>
        <w:rPr>
          <w:rFonts w:ascii="宋体" w:hAnsi="宋体"/>
          <w:sz w:val="24"/>
        </w:rPr>
      </w:pPr>
      <w:r>
        <w:rPr>
          <w:rFonts w:ascii="宋体" w:hAnsi="宋体"/>
          <w:sz w:val="24"/>
        </w:rPr>
        <w:t>8. 承包人应按照监理人指示开工，工期为天。</w:t>
      </w:r>
    </w:p>
    <w:p>
      <w:pPr>
        <w:spacing w:line="312" w:lineRule="auto"/>
        <w:ind w:firstLine="424" w:firstLineChars="177"/>
        <w:rPr>
          <w:rFonts w:ascii="宋体" w:hAnsi="宋体"/>
          <w:sz w:val="24"/>
        </w:rPr>
      </w:pPr>
      <w:r>
        <w:rPr>
          <w:rFonts w:ascii="宋体" w:hAnsi="宋体"/>
          <w:sz w:val="24"/>
        </w:rPr>
        <w:t>9. 本协议一式份。双方各执份。</w:t>
      </w:r>
    </w:p>
    <w:p>
      <w:pPr>
        <w:spacing w:line="312" w:lineRule="auto"/>
        <w:ind w:firstLine="424" w:firstLineChars="177"/>
        <w:rPr>
          <w:rFonts w:ascii="宋体" w:hAnsi="宋体"/>
          <w:sz w:val="24"/>
        </w:rPr>
      </w:pPr>
      <w:bookmarkStart w:id="368" w:name="_Toc168476290"/>
      <w:bookmarkStart w:id="369" w:name="_Toc144974830"/>
      <w:bookmarkStart w:id="370" w:name="_Toc168475887"/>
      <w:r>
        <w:rPr>
          <w:rFonts w:ascii="宋体" w:hAnsi="宋体"/>
          <w:sz w:val="24"/>
        </w:rPr>
        <w:t>10. 合同未尽事宜，双方另行签订补充协议。补充协议是合同的组成部分。</w:t>
      </w:r>
      <w:bookmarkEnd w:id="368"/>
      <w:bookmarkEnd w:id="369"/>
      <w:bookmarkEnd w:id="370"/>
    </w:p>
    <w:p>
      <w:pPr>
        <w:spacing w:line="312" w:lineRule="auto"/>
        <w:ind w:firstLine="424" w:firstLineChars="177"/>
        <w:rPr>
          <w:rFonts w:ascii="宋体" w:hAnsi="宋体"/>
          <w:sz w:val="24"/>
        </w:rPr>
      </w:pPr>
    </w:p>
    <w:p>
      <w:pPr>
        <w:spacing w:line="312" w:lineRule="auto"/>
        <w:rPr>
          <w:rFonts w:ascii="宋体" w:hAnsi="宋体"/>
          <w:sz w:val="24"/>
        </w:rPr>
      </w:pPr>
      <w:r>
        <w:rPr>
          <w:rFonts w:ascii="宋体" w:hAnsi="宋体"/>
          <w:sz w:val="24"/>
        </w:rPr>
        <w:t>发包人：（盖单位章）      承包人：（盖单位章）</w:t>
      </w:r>
    </w:p>
    <w:p>
      <w:pPr>
        <w:spacing w:line="312" w:lineRule="auto"/>
        <w:rPr>
          <w:rFonts w:ascii="宋体" w:hAnsi="宋体"/>
          <w:sz w:val="24"/>
        </w:rPr>
      </w:pPr>
      <w:r>
        <w:rPr>
          <w:rFonts w:ascii="宋体" w:hAnsi="宋体"/>
          <w:sz w:val="24"/>
        </w:rPr>
        <w:t>法定代表人或其委托代理人：（签字）  法定代表人或其委托代理人：（签字）</w:t>
      </w:r>
    </w:p>
    <w:p>
      <w:pPr>
        <w:spacing w:line="312" w:lineRule="auto"/>
        <w:ind w:firstLine="360" w:firstLineChars="150"/>
        <w:rPr>
          <w:rFonts w:ascii="宋体" w:hAnsi="宋体"/>
          <w:sz w:val="24"/>
        </w:rPr>
      </w:pPr>
      <w:r>
        <w:rPr>
          <w:rFonts w:ascii="宋体" w:hAnsi="宋体"/>
          <w:sz w:val="24"/>
        </w:rPr>
        <w:t>年月  日                  年月 日</w:t>
      </w:r>
      <w:bookmarkStart w:id="371" w:name="_Toc266859679"/>
      <w:bookmarkStart w:id="372" w:name="_Toc257988090"/>
      <w:bookmarkStart w:id="373" w:name="_Toc266885983"/>
    </w:p>
    <w:p>
      <w:pPr>
        <w:spacing w:before="120" w:line="312" w:lineRule="auto"/>
        <w:rPr>
          <w:rFonts w:ascii="宋体" w:hAnsi="宋体"/>
          <w:szCs w:val="21"/>
        </w:rPr>
      </w:pPr>
      <w:r>
        <w:rPr>
          <w:rFonts w:ascii="宋体" w:hAnsi="宋体"/>
          <w:szCs w:val="21"/>
        </w:rPr>
        <w:br w:type="page"/>
      </w:r>
      <w:bookmarkStart w:id="374" w:name="_Toc279701708"/>
      <w:bookmarkStart w:id="375" w:name="_Toc279698663"/>
      <w:bookmarkStart w:id="376" w:name="_Toc277250439"/>
      <w:bookmarkStart w:id="377" w:name="_Toc277253914"/>
      <w:bookmarkStart w:id="378" w:name="_Toc276296578"/>
      <w:r>
        <w:rPr>
          <w:rFonts w:ascii="宋体" w:hAnsi="宋体"/>
          <w:szCs w:val="21"/>
        </w:rPr>
        <w:t>附件二：</w:t>
      </w:r>
      <w:bookmarkEnd w:id="371"/>
      <w:bookmarkEnd w:id="372"/>
      <w:bookmarkEnd w:id="373"/>
      <w:bookmarkEnd w:id="374"/>
      <w:bookmarkEnd w:id="375"/>
      <w:bookmarkEnd w:id="376"/>
      <w:bookmarkEnd w:id="377"/>
      <w:bookmarkEnd w:id="378"/>
    </w:p>
    <w:p>
      <w:pPr>
        <w:tabs>
          <w:tab w:val="center" w:pos="4320"/>
          <w:tab w:val="left" w:pos="7815"/>
        </w:tabs>
        <w:autoSpaceDE w:val="0"/>
        <w:autoSpaceDN w:val="0"/>
        <w:adjustRightInd w:val="0"/>
        <w:snapToGrid w:val="0"/>
        <w:spacing w:before="238" w:line="312"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建设单位（甲方）：</w:t>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承建单位（乙方）：</w:t>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autoSpaceDE w:val="0"/>
        <w:autoSpaceDN w:val="0"/>
        <w:adjustRightInd w:val="0"/>
        <w:snapToGrid w:val="0"/>
        <w:spacing w:line="312"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tabs>
          <w:tab w:val="left" w:pos="7260"/>
        </w:tabs>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pPr>
        <w:tabs>
          <w:tab w:val="left" w:pos="7260"/>
        </w:tabs>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pPr>
        <w:tabs>
          <w:tab w:val="left" w:pos="4470"/>
        </w:tabs>
        <w:autoSpaceDE w:val="0"/>
        <w:autoSpaceDN w:val="0"/>
        <w:adjustRightInd w:val="0"/>
        <w:snapToGrid w:val="0"/>
        <w:spacing w:line="312"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r>
      <w:r>
        <w:rPr>
          <w:rFonts w:ascii="宋体" w:hAnsi="宋体"/>
          <w:kern w:val="28"/>
          <w:sz w:val="24"/>
          <w:lang w:val="zh-CN"/>
        </w:rPr>
        <w:t xml:space="preserve">           乙方：</w:t>
      </w:r>
    </w:p>
    <w:p>
      <w:pPr>
        <w:tabs>
          <w:tab w:val="left" w:pos="519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r>
      <w:r>
        <w:rPr>
          <w:rFonts w:ascii="宋体" w:hAnsi="宋体"/>
          <w:kern w:val="28"/>
          <w:sz w:val="24"/>
          <w:lang w:val="zh-CN"/>
        </w:rPr>
        <w:t xml:space="preserve">     签字：</w:t>
      </w:r>
    </w:p>
    <w:p>
      <w:pPr>
        <w:tabs>
          <w:tab w:val="left" w:pos="543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r>
      <w:r>
        <w:rPr>
          <w:rFonts w:ascii="宋体" w:hAnsi="宋体"/>
          <w:kern w:val="28"/>
          <w:sz w:val="24"/>
          <w:lang w:val="zh-CN"/>
        </w:rPr>
        <w:t xml:space="preserve">   盖章</w:t>
      </w:r>
    </w:p>
    <w:p>
      <w:pPr>
        <w:tabs>
          <w:tab w:val="left" w:pos="581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ab/>
      </w:r>
      <w:r>
        <w:rPr>
          <w:rFonts w:ascii="宋体" w:hAnsi="宋体"/>
          <w:kern w:val="28"/>
          <w:sz w:val="24"/>
          <w:lang w:val="zh-CN"/>
        </w:rPr>
        <w:t>年    月    日</w:t>
      </w:r>
    </w:p>
    <w:p>
      <w:pPr>
        <w:spacing w:line="312" w:lineRule="auto"/>
        <w:jc w:val="center"/>
        <w:rPr>
          <w:b/>
          <w:bCs/>
          <w:sz w:val="32"/>
          <w:szCs w:val="32"/>
        </w:rPr>
      </w:pPr>
      <w:bookmarkStart w:id="379" w:name="_Toc16924"/>
      <w:r>
        <w:rPr>
          <w:rFonts w:hint="eastAsia"/>
          <w:b/>
          <w:bCs/>
          <w:sz w:val="32"/>
          <w:szCs w:val="32"/>
        </w:rPr>
        <w:t>第五章  工程量清单</w:t>
      </w:r>
      <w:bookmarkEnd w:id="379"/>
    </w:p>
    <w:p>
      <w:pPr>
        <w:spacing w:line="360" w:lineRule="auto"/>
        <w:ind w:firstLine="480" w:firstLineChars="200"/>
        <w:rPr>
          <w:rFonts w:asciiTheme="minorEastAsia" w:hAnsiTheme="minorEastAsia" w:eastAsiaTheme="minorEastAsia" w:cstheme="minorEastAsia"/>
          <w:bCs/>
          <w:color w:val="000000"/>
          <w:sz w:val="24"/>
        </w:rPr>
      </w:pPr>
      <w:bookmarkStart w:id="380" w:name="_Toc21351"/>
      <w:r>
        <w:rPr>
          <w:rFonts w:hint="eastAsia" w:asciiTheme="minorEastAsia" w:hAnsiTheme="minorEastAsia" w:eastAsiaTheme="minorEastAsia" w:cstheme="minorEastAsia"/>
          <w:bCs/>
          <w:color w:val="000000"/>
          <w:sz w:val="24"/>
        </w:rPr>
        <w:t>1. 工程量清单说明</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1.2 本工程量清单应与招标文件中的投标人须知、通用合同条款、专用合同条款、技术标准和要求及图纸等一起阅读和理解。</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1.3 本工程量清单仅是投标报价的共同基础，实际工程计量和工程价款的支付应遵循合同条款的约定和第七章“技术标准和要求”的有关规定。</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 投标报价说明</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2.1 工程量清单中的每一子目须填入单价或价格，且只允许有一个报价。每一子目须有子目单价分析表。</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2.2 工程量清单中标价的单价或金额，应包括所需人工费、施工机械使用费、材料费、其他（运杂费、质检费、安装费、缺陷修复费、保险费，以及合同明示或暗示的风险、责任和义务等），以及管理费、利润等。</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2.3 工程量清单中投标人没有填入单价或价格的子目，其费用视为已分摊在工程量清单中其他相关子目的单价或价格之中。</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 xml:space="preserve">2.4 暂列金额的数量及拟用子目的说明：   /    </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 xml:space="preserve">2.5暂估价的数量及拟用子目的说明：    /    </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 其他说明</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3.1工程量清单中有计算或汇总中的算术错误时，应按以下原则改正：</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（1）投标文件中的大写与小写金额不一致的，以大写金额为准；</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3.2投标人在编制报价时，其定额及费用标准可参考有关规定，并发挥自身的优势，招标人在此不作统一规定。</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3.3进入单价的材料均应以当地实际材料预算价计入单价，不再计取材料价差，投标人的报价在合同实施期间不进行单价调整。</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3.4所列工程量的变化，丝毫不会使合同条件或条款无效或降低，也不免除承包人按要求的标准进行施工和缺陷修复的责任。</w:t>
      </w:r>
    </w:p>
    <w:p>
      <w:pPr>
        <w:spacing w:line="360" w:lineRule="auto"/>
        <w:ind w:firstLine="480" w:firstLineChars="200"/>
        <w:rPr>
          <w:rFonts w:ascii="宋体" w:hAnsi="宋体"/>
          <w:sz w:val="24"/>
        </w:rPr>
      </w:pPr>
      <w:r>
        <w:rPr>
          <w:rFonts w:hint="eastAsia" w:ascii="宋体" w:hAnsi="宋体"/>
          <w:sz w:val="24"/>
        </w:rPr>
        <w:t>4、工程量清单</w:t>
      </w:r>
    </w:p>
    <w:p>
      <w:pPr>
        <w:pStyle w:val="2"/>
        <w:ind w:firstLine="0" w:firstLineChars="0"/>
        <w:rPr>
          <w:rFonts w:hint="default" w:eastAsia="宋体"/>
          <w:lang w:val="en-US" w:eastAsia="zh-CN"/>
        </w:rPr>
      </w:pPr>
      <w:r>
        <w:rPr>
          <w:rFonts w:hint="eastAsia"/>
          <w:lang w:val="en-US" w:eastAsia="zh-CN"/>
        </w:rPr>
        <w:t>详见附件</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312" w:lineRule="auto"/>
        <w:jc w:val="center"/>
        <w:rPr>
          <w:b/>
          <w:bCs/>
          <w:sz w:val="32"/>
          <w:szCs w:val="32"/>
        </w:rPr>
      </w:pPr>
      <w:r>
        <w:rPr>
          <w:rFonts w:hint="eastAsia"/>
          <w:b/>
          <w:bCs/>
          <w:sz w:val="32"/>
          <w:szCs w:val="32"/>
        </w:rPr>
        <w:t>第六章   图  纸</w:t>
      </w:r>
    </w:p>
    <w:bookmarkEnd w:id="380"/>
    <w:p>
      <w:pPr>
        <w:spacing w:line="312" w:lineRule="auto"/>
        <w:jc w:val="center"/>
        <w:rPr>
          <w:sz w:val="24"/>
        </w:rPr>
      </w:pPr>
      <w:r>
        <w:rPr>
          <w:rFonts w:hint="eastAsia" w:hAnsi="宋体" w:cs="黑体"/>
          <w:sz w:val="24"/>
        </w:rPr>
        <w:t>（根据招标文件第二章投标人须知前附表第2.1.1项给出的网址自行下载。）</w:t>
      </w:r>
    </w:p>
    <w:p>
      <w:pPr>
        <w:pStyle w:val="6"/>
      </w:pPr>
    </w:p>
    <w:p/>
    <w:p>
      <w:pPr>
        <w:spacing w:line="312" w:lineRule="auto"/>
        <w:jc w:val="center"/>
        <w:rPr>
          <w:b/>
          <w:sz w:val="32"/>
          <w:szCs w:val="32"/>
        </w:rPr>
      </w:pPr>
      <w:bookmarkStart w:id="381" w:name="_Toc4592"/>
      <w:bookmarkStart w:id="382" w:name="_Toc23526"/>
      <w:bookmarkStart w:id="383" w:name="_Toc30393"/>
      <w:bookmarkStart w:id="384" w:name="_Toc24512"/>
      <w:r>
        <w:rPr>
          <w:rFonts w:hint="eastAsia"/>
          <w:b/>
          <w:sz w:val="32"/>
          <w:szCs w:val="32"/>
        </w:rPr>
        <w:t>第七章  技术标准和要求</w:t>
      </w:r>
      <w:bookmarkEnd w:id="381"/>
      <w:bookmarkEnd w:id="382"/>
      <w:bookmarkEnd w:id="383"/>
      <w:bookmarkEnd w:id="384"/>
    </w:p>
    <w:p>
      <w:pPr>
        <w:spacing w:line="312" w:lineRule="auto"/>
        <w:ind w:left="2700"/>
        <w:rPr>
          <w:rFonts w:ascii="宋体" w:hAnsi="宋体" w:cs="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本工程技术标准和要求以适用的国家、行业以及地方规范、标准和规程为准。</w:t>
      </w:r>
    </w:p>
    <w:p>
      <w:pPr>
        <w:tabs>
          <w:tab w:val="left" w:pos="6510"/>
        </w:tabs>
        <w:spacing w:line="500" w:lineRule="exact"/>
        <w:ind w:firstLine="470" w:firstLineChars="196"/>
        <w:jc w:val="left"/>
        <w:rPr>
          <w:rFonts w:ascii="宋体" w:hAnsi="宋体" w:cs="宋体"/>
          <w:sz w:val="24"/>
        </w:rPr>
      </w:pPr>
      <w:r>
        <w:rPr>
          <w:rFonts w:hint="eastAsia" w:ascii="新宋体" w:hAnsi="新宋体" w:eastAsia="新宋体"/>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pStyle w:val="2"/>
        <w:ind w:firstLine="240"/>
        <w:rPr>
          <w:rFonts w:ascii="宋体" w:hAnsi="宋体" w:cs="宋体"/>
          <w:sz w:val="24"/>
        </w:rPr>
      </w:pPr>
    </w:p>
    <w:p>
      <w:pPr>
        <w:pStyle w:val="2"/>
        <w:ind w:firstLine="240"/>
        <w:rPr>
          <w:rFonts w:ascii="宋体" w:hAnsi="宋体" w:cs="宋体"/>
          <w:sz w:val="24"/>
        </w:rPr>
      </w:pPr>
    </w:p>
    <w:p>
      <w:pPr>
        <w:spacing w:afterLines="200" w:line="312" w:lineRule="auto"/>
        <w:jc w:val="center"/>
        <w:rPr>
          <w:rFonts w:ascii="宋体" w:hAnsi="宋体" w:cs="宋体"/>
          <w:sz w:val="24"/>
        </w:rPr>
      </w:pPr>
    </w:p>
    <w:p>
      <w:pPr>
        <w:pStyle w:val="2"/>
        <w:rPr>
          <w:rFonts w:ascii="宋体" w:hAnsi="宋体" w:cs="宋体"/>
          <w:sz w:val="24"/>
        </w:rPr>
      </w:pPr>
    </w:p>
    <w:p>
      <w:pPr>
        <w:pStyle w:val="6"/>
        <w:rPr>
          <w:rFonts w:ascii="宋体" w:hAnsi="宋体" w:cs="宋体"/>
          <w:sz w:val="24"/>
        </w:rPr>
      </w:pPr>
    </w:p>
    <w:p/>
    <w:p>
      <w:pPr>
        <w:numPr>
          <w:ilvl w:val="0"/>
          <w:numId w:val="6"/>
        </w:numPr>
        <w:spacing w:afterLines="200" w:line="312" w:lineRule="auto"/>
        <w:jc w:val="center"/>
        <w:rPr>
          <w:rStyle w:val="22"/>
          <w:sz w:val="36"/>
          <w:szCs w:val="36"/>
        </w:rPr>
      </w:pPr>
      <w:bookmarkStart w:id="385" w:name="_Toc27217"/>
      <w:r>
        <w:rPr>
          <w:rStyle w:val="22"/>
          <w:rFonts w:hint="eastAsia"/>
          <w:sz w:val="36"/>
          <w:szCs w:val="36"/>
        </w:rPr>
        <w:t xml:space="preserve"> 投标文件格式</w:t>
      </w:r>
      <w:bookmarkEnd w:id="385"/>
    </w:p>
    <w:p>
      <w:pPr>
        <w:pStyle w:val="6"/>
        <w:ind w:left="0" w:leftChars="0" w:firstLine="0" w:firstLineChars="0"/>
        <w:rPr>
          <w:rFonts w:ascii="宋体" w:hAnsi="宋体" w:cs="宋体"/>
          <w:sz w:val="24"/>
        </w:rPr>
      </w:pPr>
      <w:r>
        <w:rPr>
          <w:rFonts w:hint="eastAsia" w:ascii="宋体" w:hAnsi="宋体" w:cs="宋体"/>
          <w:sz w:val="24"/>
        </w:rPr>
        <w:t>投标文件封面</w:t>
      </w:r>
    </w:p>
    <w:p>
      <w:pPr>
        <w:spacing w:beforeLines="100" w:line="312" w:lineRule="auto"/>
        <w:jc w:val="right"/>
        <w:rPr>
          <w:rFonts w:ascii="宋体" w:hAnsi="宋体" w:cs="宋体"/>
          <w:sz w:val="24"/>
          <w:u w:val="single"/>
        </w:rPr>
      </w:pPr>
      <w:r>
        <w:rPr>
          <w:rFonts w:hint="eastAsia"/>
        </w:rPr>
        <w:t xml:space="preserve">   </w:t>
      </w:r>
    </w:p>
    <w:p>
      <w:pPr>
        <w:spacing w:beforeLines="100" w:line="312" w:lineRule="auto"/>
        <w:jc w:val="center"/>
        <w:rPr>
          <w:rFonts w:ascii="宋体" w:hAnsi="宋体" w:cs="宋体"/>
          <w:b/>
          <w:sz w:val="28"/>
          <w:szCs w:val="28"/>
          <w:u w:val="single"/>
        </w:rPr>
      </w:pPr>
      <w:r>
        <w:rPr>
          <w:rFonts w:hint="eastAsia" w:ascii="宋体" w:hAnsi="宋体" w:cs="宋体"/>
          <w:b/>
          <w:sz w:val="28"/>
          <w:szCs w:val="28"/>
          <w:u w:val="single"/>
        </w:rPr>
        <w:t>项目名称</w:t>
      </w:r>
    </w:p>
    <w:p>
      <w:pPr>
        <w:spacing w:beforeLines="100" w:line="312" w:lineRule="auto"/>
        <w:jc w:val="center"/>
        <w:rPr>
          <w:rFonts w:ascii="宋体" w:hAnsi="宋体" w:cs="宋体"/>
          <w:sz w:val="52"/>
          <w:szCs w:val="52"/>
        </w:rPr>
      </w:pPr>
    </w:p>
    <w:p>
      <w:pPr>
        <w:spacing w:beforeLines="100" w:line="312" w:lineRule="auto"/>
        <w:jc w:val="center"/>
        <w:rPr>
          <w:rFonts w:ascii="宋体" w:hAnsi="宋体" w:cs="宋体"/>
          <w:b/>
          <w:sz w:val="52"/>
          <w:szCs w:val="52"/>
        </w:rPr>
      </w:pPr>
      <w:r>
        <w:rPr>
          <w:rFonts w:hint="eastAsia" w:ascii="宋体" w:hAnsi="宋体" w:cs="宋体"/>
          <w:b/>
          <w:sz w:val="52"/>
          <w:szCs w:val="52"/>
        </w:rPr>
        <w:t>投标文件</w:t>
      </w:r>
    </w:p>
    <w:p>
      <w:pPr>
        <w:spacing w:line="312" w:lineRule="auto"/>
        <w:jc w:val="center"/>
        <w:rPr>
          <w:rFonts w:ascii="宋体" w:hAnsi="宋体" w:cs="宋体"/>
          <w:b/>
          <w:sz w:val="24"/>
        </w:rPr>
      </w:pPr>
    </w:p>
    <w:p>
      <w:pPr>
        <w:spacing w:line="312" w:lineRule="auto"/>
        <w:rPr>
          <w:rFonts w:ascii="宋体" w:hAnsi="宋体" w:cs="宋体"/>
          <w:b/>
          <w:bCs/>
          <w:sz w:val="24"/>
        </w:rPr>
      </w:pPr>
      <w:r>
        <w:rPr>
          <w:rFonts w:hint="eastAsia" w:ascii="宋体" w:hAnsi="宋体" w:cs="宋体"/>
          <w:b/>
          <w:bCs/>
          <w:sz w:val="24"/>
        </w:rPr>
        <w:t xml:space="preserve">                       项目编号：</w:t>
      </w:r>
    </w:p>
    <w:p>
      <w:pPr>
        <w:spacing w:line="312" w:lineRule="auto"/>
        <w:jc w:val="center"/>
        <w:rPr>
          <w:rFonts w:ascii="宋体" w:hAnsi="宋体" w:cs="宋体"/>
          <w:b/>
          <w:bCs/>
          <w:sz w:val="24"/>
        </w:rPr>
      </w:pPr>
    </w:p>
    <w:p>
      <w:pPr>
        <w:spacing w:line="312" w:lineRule="auto"/>
        <w:rPr>
          <w:rFonts w:ascii="宋体" w:hAnsi="宋体" w:cs="宋体"/>
          <w:b/>
          <w:sz w:val="24"/>
        </w:rPr>
      </w:pPr>
    </w:p>
    <w:p>
      <w:pPr>
        <w:spacing w:line="312" w:lineRule="auto"/>
        <w:jc w:val="center"/>
        <w:rPr>
          <w:rFonts w:ascii="宋体" w:hAnsi="宋体" w:cs="宋体"/>
          <w:b/>
          <w:sz w:val="24"/>
        </w:rPr>
      </w:pPr>
    </w:p>
    <w:p>
      <w:pPr>
        <w:spacing w:line="312" w:lineRule="auto"/>
        <w:jc w:val="center"/>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240" w:firstLineChars="100"/>
        <w:rPr>
          <w:rFonts w:ascii="宋体" w:hAnsi="宋体" w:cs="宋体"/>
          <w:b/>
          <w:sz w:val="24"/>
        </w:rPr>
      </w:pPr>
    </w:p>
    <w:p>
      <w:pPr>
        <w:spacing w:line="312" w:lineRule="auto"/>
        <w:ind w:firstLine="1975" w:firstLineChars="823"/>
        <w:rPr>
          <w:rFonts w:ascii="宋体" w:hAnsi="宋体" w:cs="宋体"/>
          <w:b/>
          <w:sz w:val="24"/>
          <w:u w:val="single"/>
        </w:rPr>
      </w:pPr>
      <w:r>
        <w:rPr>
          <w:rFonts w:hint="eastAsia" w:ascii="宋体" w:hAnsi="宋体" w:cs="宋体"/>
          <w:b/>
          <w:sz w:val="24"/>
        </w:rPr>
        <w:t>投   标   人：</w:t>
      </w:r>
      <w:r>
        <w:rPr>
          <w:rFonts w:hint="eastAsia" w:ascii="宋体" w:hAnsi="宋体" w:cs="宋体"/>
          <w:b/>
          <w:sz w:val="24"/>
          <w:u w:val="single"/>
        </w:rPr>
        <w:t xml:space="preserve">              （盖单位章）</w:t>
      </w:r>
    </w:p>
    <w:p>
      <w:pPr>
        <w:spacing w:line="312" w:lineRule="auto"/>
        <w:ind w:firstLine="1975" w:firstLineChars="823"/>
        <w:rPr>
          <w:rFonts w:ascii="宋体" w:hAnsi="宋体" w:cs="宋体"/>
          <w:b/>
          <w:sz w:val="24"/>
        </w:rPr>
      </w:pPr>
    </w:p>
    <w:p>
      <w:pPr>
        <w:spacing w:line="312" w:lineRule="auto"/>
        <w:ind w:firstLine="1975" w:firstLineChars="823"/>
        <w:rPr>
          <w:rFonts w:ascii="宋体" w:hAnsi="宋体" w:cs="宋体"/>
          <w:b/>
          <w:sz w:val="24"/>
        </w:rPr>
      </w:pPr>
      <w:r>
        <w:rPr>
          <w:rFonts w:hint="eastAsia" w:ascii="宋体" w:hAnsi="宋体" w:cs="宋体"/>
          <w:b/>
          <w:sz w:val="24"/>
        </w:rPr>
        <w:t>法定代表人或其委托代理人：</w:t>
      </w:r>
      <w:r>
        <w:rPr>
          <w:rFonts w:hint="eastAsia" w:ascii="宋体" w:hAnsi="宋体" w:cs="宋体"/>
          <w:b/>
          <w:sz w:val="24"/>
          <w:u w:val="single"/>
        </w:rPr>
        <w:t>（签字或盖章）</w:t>
      </w:r>
    </w:p>
    <w:p>
      <w:pPr>
        <w:spacing w:line="312" w:lineRule="auto"/>
        <w:jc w:val="center"/>
        <w:rPr>
          <w:rFonts w:ascii="宋体" w:hAnsi="宋体" w:cs="宋体"/>
          <w:b/>
          <w:sz w:val="24"/>
        </w:rPr>
      </w:pPr>
    </w:p>
    <w:p>
      <w:pPr>
        <w:spacing w:line="312" w:lineRule="auto"/>
        <w:jc w:val="center"/>
        <w:rPr>
          <w:rFonts w:ascii="宋体" w:hAnsi="宋体" w:cs="宋体"/>
          <w:b/>
          <w:sz w:val="24"/>
        </w:rPr>
      </w:pPr>
    </w:p>
    <w:p>
      <w:pPr>
        <w:spacing w:line="312" w:lineRule="auto"/>
        <w:jc w:val="center"/>
        <w:rPr>
          <w:rFonts w:ascii="宋体" w:hAnsi="宋体" w:cs="宋体"/>
          <w:b/>
          <w:sz w:val="24"/>
        </w:rPr>
      </w:pPr>
      <w:r>
        <w:rPr>
          <w:rFonts w:hint="eastAsia" w:ascii="宋体" w:hAnsi="宋体" w:cs="宋体"/>
          <w:b/>
          <w:sz w:val="24"/>
        </w:rPr>
        <w:t>年月日</w:t>
      </w:r>
    </w:p>
    <w:p>
      <w:pPr>
        <w:widowControl/>
        <w:spacing w:line="312" w:lineRule="auto"/>
        <w:ind w:firstLine="1920" w:firstLineChars="800"/>
        <w:jc w:val="left"/>
        <w:rPr>
          <w:rFonts w:ascii="宋体" w:hAnsi="宋体" w:cs="宋体"/>
          <w:b/>
          <w:sz w:val="24"/>
        </w:rPr>
      </w:pPr>
      <w:r>
        <w:rPr>
          <w:rFonts w:hint="eastAsia" w:ascii="宋体" w:hAnsi="宋体" w:cs="宋体"/>
          <w:b/>
          <w:sz w:val="24"/>
        </w:rPr>
        <w:br w:type="page"/>
      </w:r>
      <w:r>
        <w:rPr>
          <w:rFonts w:hint="eastAsia" w:ascii="宋体" w:hAnsi="宋体" w:cs="宋体"/>
          <w:b/>
          <w:sz w:val="44"/>
          <w:szCs w:val="44"/>
        </w:rPr>
        <w:t>目      录</w:t>
      </w:r>
    </w:p>
    <w:p>
      <w:pPr>
        <w:widowControl/>
        <w:spacing w:line="312" w:lineRule="auto"/>
        <w:jc w:val="left"/>
        <w:rPr>
          <w:rFonts w:ascii="宋体" w:hAnsi="宋体" w:cs="宋体"/>
          <w:b/>
          <w:kern w:val="0"/>
          <w:sz w:val="24"/>
        </w:rPr>
      </w:pPr>
    </w:p>
    <w:p>
      <w:pPr>
        <w:widowControl/>
        <w:spacing w:line="312" w:lineRule="auto"/>
        <w:jc w:val="left"/>
        <w:rPr>
          <w:rFonts w:ascii="宋体" w:hAnsi="宋体" w:cs="宋体"/>
          <w:b/>
          <w:kern w:val="0"/>
          <w:sz w:val="24"/>
        </w:rPr>
      </w:pPr>
    </w:p>
    <w:p>
      <w:pPr>
        <w:autoSpaceDE w:val="0"/>
        <w:autoSpaceDN w:val="0"/>
        <w:adjustRightInd w:val="0"/>
        <w:spacing w:line="312" w:lineRule="auto"/>
        <w:jc w:val="left"/>
        <w:rPr>
          <w:rFonts w:ascii="宋体" w:hAnsi="宋体" w:cs="宋体"/>
          <w:kern w:val="0"/>
          <w:sz w:val="24"/>
        </w:rPr>
      </w:pPr>
      <w:r>
        <w:rPr>
          <w:rFonts w:hint="eastAsia" w:ascii="宋体" w:hAnsi="宋体" w:cs="宋体"/>
          <w:kern w:val="0"/>
          <w:sz w:val="24"/>
        </w:rPr>
        <w:t xml:space="preserve">   一 投标函及投标函附录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 法定代表人身份证明或附有法定代表人身份证明的授权委托书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（一）法定代表人身份证明</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三 投标保证金</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四 已标价工程量清单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五 施工组织设计</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六 项目管理机构配备情况</w:t>
      </w:r>
    </w:p>
    <w:p>
      <w:pPr>
        <w:spacing w:line="312" w:lineRule="auto"/>
        <w:ind w:firstLine="120" w:firstLineChars="50"/>
        <w:rPr>
          <w:rFonts w:ascii="宋体" w:hAnsi="宋体" w:cs="宋体"/>
          <w:kern w:val="0"/>
          <w:sz w:val="24"/>
        </w:rPr>
      </w:pPr>
      <w:r>
        <w:rPr>
          <w:rFonts w:hint="eastAsia" w:ascii="宋体" w:hAnsi="宋体" w:cs="宋体"/>
          <w:kern w:val="0"/>
          <w:sz w:val="24"/>
        </w:rPr>
        <w:t xml:space="preserve">  七 资格证明文件</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八 近年财务状况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九 近年完成的类似项目情况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 正在施工的和新承接的项目情况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十一 承诺书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十二 投标人须知前附表规定的其它材料</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w:t>
      </w:r>
    </w:p>
    <w:p>
      <w:pPr>
        <w:autoSpaceDE w:val="0"/>
        <w:autoSpaceDN w:val="0"/>
        <w:adjustRightInd w:val="0"/>
        <w:spacing w:line="312" w:lineRule="auto"/>
        <w:ind w:firstLine="120" w:firstLineChars="50"/>
        <w:jc w:val="left"/>
        <w:rPr>
          <w:rFonts w:ascii="宋体" w:hAnsi="宋体" w:cs="宋体"/>
          <w:kern w:val="0"/>
          <w:sz w:val="24"/>
        </w:rPr>
      </w:pP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autoSpaceDE w:val="0"/>
        <w:autoSpaceDN w:val="0"/>
        <w:adjustRightInd w:val="0"/>
        <w:spacing w:line="312" w:lineRule="auto"/>
        <w:jc w:val="left"/>
        <w:rPr>
          <w:rFonts w:ascii="宋体" w:hAnsi="宋体" w:cs="宋体"/>
          <w:kern w:val="0"/>
          <w:sz w:val="24"/>
        </w:rPr>
      </w:pPr>
      <w:r>
        <w:rPr>
          <w:rFonts w:hint="eastAsia" w:ascii="新宋体" w:hAnsi="新宋体" w:eastAsia="新宋体"/>
          <w:b/>
          <w:sz w:val="24"/>
        </w:rPr>
        <w:t xml:space="preserve">       如有本章未提供的格式，投标人可自行编制。</w:t>
      </w: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sectPr>
          <w:footerReference r:id="rId6" w:type="default"/>
          <w:pgSz w:w="11906" w:h="16838"/>
          <w:pgMar w:top="1531" w:right="1418" w:bottom="1531" w:left="1418" w:header="851" w:footer="992" w:gutter="0"/>
          <w:pgNumType w:fmt="decimal" w:start="2"/>
          <w:cols w:space="720" w:num="1"/>
          <w:docGrid w:type="linesAndChars" w:linePitch="312" w:charSpace="0"/>
        </w:sectPr>
      </w:pPr>
    </w:p>
    <w:p>
      <w:pPr>
        <w:pStyle w:val="9"/>
        <w:jc w:val="center"/>
        <w:rPr>
          <w:rFonts w:ascii="黑体" w:hAnsi="黑体" w:cs="黑体"/>
          <w:sz w:val="28"/>
          <w:szCs w:val="28"/>
        </w:rPr>
      </w:pPr>
      <w:bookmarkStart w:id="386" w:name="_Toc6618"/>
      <w:bookmarkStart w:id="387" w:name="_Toc11744"/>
      <w:bookmarkStart w:id="388" w:name="_Toc9303"/>
      <w:bookmarkStart w:id="389" w:name="_Toc6391"/>
      <w:bookmarkStart w:id="390" w:name="_Toc32211"/>
      <w:bookmarkStart w:id="391" w:name="_Toc517940888"/>
      <w:r>
        <w:rPr>
          <w:rFonts w:hint="eastAsia" w:ascii="黑体" w:hAnsi="黑体" w:cs="黑体"/>
          <w:sz w:val="28"/>
          <w:szCs w:val="28"/>
        </w:rPr>
        <w:t>一、投标函</w:t>
      </w:r>
      <w:bookmarkEnd w:id="386"/>
      <w:bookmarkEnd w:id="387"/>
      <w:bookmarkEnd w:id="388"/>
      <w:bookmarkEnd w:id="389"/>
      <w:r>
        <w:rPr>
          <w:rFonts w:hint="eastAsia" w:ascii="黑体" w:hAnsi="黑体" w:cs="黑体"/>
          <w:sz w:val="28"/>
          <w:szCs w:val="28"/>
        </w:rPr>
        <w:t>及投标函附录</w:t>
      </w:r>
      <w:bookmarkEnd w:id="390"/>
      <w:bookmarkEnd w:id="391"/>
    </w:p>
    <w:p>
      <w:pPr>
        <w:spacing w:line="312" w:lineRule="auto"/>
      </w:pPr>
    </w:p>
    <w:p>
      <w:pPr>
        <w:jc w:val="center"/>
        <w:rPr>
          <w:rFonts w:ascii="宋体" w:hAnsi="宋体" w:cs="宋体"/>
          <w:b/>
          <w:sz w:val="28"/>
          <w:szCs w:val="28"/>
        </w:rPr>
      </w:pPr>
      <w:bookmarkStart w:id="392" w:name="_Toc296676346"/>
      <w:bookmarkStart w:id="393" w:name="_Toc296678831"/>
      <w:bookmarkStart w:id="394" w:name="_Toc215282239"/>
      <w:bookmarkStart w:id="395" w:name="_Toc280271338"/>
      <w:bookmarkStart w:id="396" w:name="_Toc280271191"/>
      <w:bookmarkStart w:id="397" w:name="_Toc280275169"/>
      <w:r>
        <w:rPr>
          <w:rFonts w:hint="eastAsia" w:ascii="宋体" w:hAnsi="宋体" w:cs="宋体"/>
          <w:b/>
          <w:sz w:val="28"/>
          <w:szCs w:val="28"/>
        </w:rPr>
        <w:t>（一）投标函</w:t>
      </w:r>
      <w:bookmarkEnd w:id="392"/>
      <w:bookmarkEnd w:id="393"/>
    </w:p>
    <w:p>
      <w:pPr>
        <w:tabs>
          <w:tab w:val="left" w:pos="360"/>
          <w:tab w:val="left" w:pos="540"/>
          <w:tab w:val="left" w:pos="900"/>
        </w:tabs>
        <w:spacing w:line="360" w:lineRule="auto"/>
        <w:rPr>
          <w:rFonts w:ascii="宋体" w:hAnsi="宋体" w:cs="宋体"/>
          <w:sz w:val="24"/>
        </w:rPr>
      </w:pPr>
      <w:r>
        <w:rPr>
          <w:rFonts w:hint="eastAsia" w:ascii="宋体" w:hAnsi="宋体" w:cs="宋体"/>
          <w:sz w:val="24"/>
          <w:u w:val="single"/>
        </w:rPr>
        <w:t>（招标人名称）</w:t>
      </w:r>
      <w:r>
        <w:rPr>
          <w:rFonts w:hint="eastAsia" w:ascii="宋体" w:hAnsi="宋体" w:cs="宋体"/>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sz w:val="24"/>
        </w:rPr>
        <w:t>1、我方仔细研究了</w:t>
      </w:r>
      <w:r>
        <w:rPr>
          <w:rFonts w:hint="eastAsia" w:ascii="宋体" w:hAnsi="宋体" w:cs="宋体"/>
          <w:bCs/>
          <w:sz w:val="24"/>
          <w:u w:val="single"/>
        </w:rPr>
        <w:t xml:space="preserve">     （工程名称、标段）    </w:t>
      </w:r>
      <w:r>
        <w:rPr>
          <w:rFonts w:hint="eastAsia" w:ascii="宋体" w:hAnsi="宋体" w:cs="宋体"/>
          <w:bCs/>
          <w:sz w:val="24"/>
        </w:rPr>
        <w:t>招标文件（包括补充通知）的全部内容并勘察了现场，愿意以人民币（大写）</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cs="宋体"/>
          <w:bCs/>
          <w:sz w:val="24"/>
        </w:rPr>
        <w:t>）的投标总报价，按招标文件规定的条件和要求承包合同规定的全部工作，并承担相关的责任。</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3、随同本投标文件附上元投标保证金，作为我方投标的担保。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4、本次投标，我方投标工期：</w:t>
      </w:r>
      <w:r>
        <w:rPr>
          <w:rFonts w:hint="eastAsia" w:ascii="宋体" w:hAnsi="宋体" w:cs="宋体"/>
          <w:bCs/>
          <w:sz w:val="24"/>
          <w:u w:val="single"/>
          <w:lang w:val="en-US" w:eastAsia="zh-CN"/>
        </w:rPr>
        <w:t xml:space="preserve">  </w:t>
      </w:r>
      <w:r>
        <w:rPr>
          <w:rFonts w:hint="eastAsia" w:ascii="宋体" w:hAnsi="宋体" w:cs="宋体"/>
          <w:bCs/>
          <w:sz w:val="24"/>
        </w:rPr>
        <w:t>日历天，质量：</w:t>
      </w:r>
      <w:r>
        <w:rPr>
          <w:rFonts w:hint="eastAsia" w:ascii="宋体" w:hAnsi="宋体" w:cs="宋体"/>
          <w:bCs/>
          <w:sz w:val="24"/>
          <w:u w:val="single"/>
        </w:rPr>
        <w:t>　　　　</w:t>
      </w:r>
      <w:r>
        <w:rPr>
          <w:rFonts w:hint="eastAsia" w:ascii="宋体" w:hAnsi="宋体" w:cs="宋体"/>
          <w:bCs/>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5、若我方中标：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（1）我方保证在收到你方的中标通知书后，按招标文件规定的期限，及时派代表前去签定合同。</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（2）随同本投标文件提交的投标辅助资料中的任何部分，经你方确认后作为合同文件的组成部分。</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360" w:lineRule="auto"/>
        <w:ind w:firstLine="480" w:firstLineChars="200"/>
      </w:pPr>
      <w:r>
        <w:rPr>
          <w:rFonts w:hint="eastAsia" w:ascii="宋体" w:hAnsi="宋体" w:cs="宋体"/>
          <w:bCs/>
          <w:sz w:val="24"/>
        </w:rPr>
        <w:t>(4)我公司承诺中标后及时、足额存入农民工工资保障金,承诺依法足额支付农民工工资，一旦其承包的工程项目中出现拖欠职工工资情况的，可由建设单位从其缴纳的农民工工资保障金中先予垫资。</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6、我方完全理解你方不保证投标报价最低的投标人中标。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7、我方承诺，若我方中标，愿意按要求交纳代理费等相关费用。</w:t>
      </w:r>
    </w:p>
    <w:p>
      <w:pPr>
        <w:spacing w:line="360" w:lineRule="auto"/>
        <w:ind w:firstLine="480" w:firstLineChars="200"/>
        <w:rPr>
          <w:rFonts w:ascii="宋体" w:hAnsi="宋体" w:cs="宋体"/>
          <w:sz w:val="24"/>
        </w:rPr>
      </w:pPr>
      <w:r>
        <w:rPr>
          <w:rFonts w:hint="eastAsia" w:ascii="宋体" w:hAnsi="宋体" w:cs="宋体"/>
          <w:sz w:val="24"/>
        </w:rPr>
        <w:t>投标人（盖章）：</w:t>
      </w:r>
    </w:p>
    <w:p>
      <w:pPr>
        <w:spacing w:line="360" w:lineRule="auto"/>
        <w:ind w:firstLine="480" w:firstLineChars="200"/>
        <w:rPr>
          <w:rFonts w:ascii="宋体" w:hAnsi="宋体" w:cs="宋体"/>
          <w:sz w:val="24"/>
        </w:rPr>
      </w:pPr>
      <w:r>
        <w:rPr>
          <w:rFonts w:hint="eastAsia" w:ascii="宋体" w:hAnsi="宋体" w:cs="宋体"/>
          <w:sz w:val="24"/>
        </w:rPr>
        <w:t>法人代表或委托代理人（签字或盖章）：</w:t>
      </w:r>
    </w:p>
    <w:p>
      <w:pPr>
        <w:spacing w:line="360" w:lineRule="auto"/>
        <w:ind w:firstLine="480" w:firstLineChars="200"/>
        <w:rPr>
          <w:rFonts w:ascii="宋体" w:hAnsi="宋体" w:cs="宋体"/>
          <w:sz w:val="24"/>
        </w:rPr>
      </w:pPr>
      <w:r>
        <w:rPr>
          <w:rFonts w:hint="eastAsia" w:ascii="宋体" w:hAnsi="宋体" w:cs="宋体"/>
          <w:sz w:val="24"/>
        </w:rPr>
        <w:t>日期：年月日</w:t>
      </w:r>
    </w:p>
    <w:bookmarkEnd w:id="394"/>
    <w:bookmarkEnd w:id="395"/>
    <w:bookmarkEnd w:id="396"/>
    <w:bookmarkEnd w:id="397"/>
    <w:p>
      <w:pPr>
        <w:rPr>
          <w:rFonts w:ascii="宋体" w:hAnsi="宋体" w:cs="宋体"/>
          <w:b/>
          <w:bCs/>
          <w:sz w:val="32"/>
          <w:szCs w:val="32"/>
        </w:rPr>
      </w:pPr>
      <w:bookmarkStart w:id="398" w:name="_Toc26011"/>
      <w:bookmarkStart w:id="399" w:name="_Toc5184"/>
      <w:bookmarkStart w:id="400" w:name="_Toc15432"/>
      <w:bookmarkStart w:id="401" w:name="_Toc6320"/>
      <w:r>
        <w:rPr>
          <w:rFonts w:hint="eastAsia" w:ascii="宋体" w:hAnsi="宋体" w:cs="宋体"/>
          <w:sz w:val="24"/>
        </w:rPr>
        <w:br w:type="page"/>
      </w:r>
      <w:r>
        <w:rPr>
          <w:rFonts w:hint="eastAsia" w:ascii="宋体" w:hAnsi="宋体" w:cs="宋体"/>
          <w:sz w:val="32"/>
          <w:szCs w:val="32"/>
        </w:rPr>
        <w:t>（二）投标</w:t>
      </w:r>
      <w:bookmarkEnd w:id="398"/>
      <w:bookmarkEnd w:id="399"/>
      <w:bookmarkEnd w:id="400"/>
      <w:bookmarkEnd w:id="401"/>
      <w:r>
        <w:rPr>
          <w:rFonts w:hint="eastAsia" w:ascii="宋体" w:hAnsi="宋体" w:cs="宋体"/>
          <w:sz w:val="32"/>
          <w:szCs w:val="32"/>
        </w:rPr>
        <w:t>函附录</w:t>
      </w:r>
    </w:p>
    <w:tbl>
      <w:tblPr>
        <w:tblStyle w:val="15"/>
        <w:tblW w:w="91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149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exact"/>
        </w:trPr>
        <w:tc>
          <w:tcPr>
            <w:tcW w:w="2520" w:type="dxa"/>
            <w:vAlign w:val="center"/>
          </w:tcPr>
          <w:p>
            <w:pPr>
              <w:pStyle w:val="23"/>
              <w:spacing w:line="312" w:lineRule="auto"/>
              <w:jc w:val="center"/>
              <w:textAlignment w:val="center"/>
              <w:rPr>
                <w:rFonts w:ascii="宋体" w:hAnsi="宋体" w:cs="宋体"/>
                <w:sz w:val="24"/>
                <w:szCs w:val="24"/>
              </w:rPr>
            </w:pPr>
            <w:r>
              <w:rPr>
                <w:rFonts w:hint="eastAsia" w:ascii="宋体" w:hAnsi="宋体" w:cs="宋体"/>
                <w:sz w:val="24"/>
                <w:szCs w:val="24"/>
              </w:rPr>
              <w:t>项目名称</w:t>
            </w:r>
          </w:p>
        </w:tc>
        <w:tc>
          <w:tcPr>
            <w:tcW w:w="6676" w:type="dxa"/>
            <w:gridSpan w:val="3"/>
            <w:vAlign w:val="center"/>
          </w:tcPr>
          <w:p>
            <w:pPr>
              <w:pStyle w:val="23"/>
              <w:spacing w:line="312" w:lineRule="auto"/>
              <w:jc w:val="center"/>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exact"/>
        </w:trPr>
        <w:tc>
          <w:tcPr>
            <w:tcW w:w="2520" w:type="dxa"/>
            <w:vAlign w:val="center"/>
          </w:tcPr>
          <w:p>
            <w:pPr>
              <w:pStyle w:val="23"/>
              <w:spacing w:line="312" w:lineRule="auto"/>
              <w:jc w:val="center"/>
              <w:textAlignment w:val="center"/>
              <w:rPr>
                <w:rFonts w:ascii="宋体" w:hAnsi="宋体" w:cs="宋体"/>
                <w:sz w:val="24"/>
                <w:szCs w:val="24"/>
              </w:rPr>
            </w:pPr>
            <w:r>
              <w:rPr>
                <w:rFonts w:hint="eastAsia" w:ascii="宋体" w:hAnsi="宋体" w:cs="宋体"/>
                <w:sz w:val="24"/>
                <w:szCs w:val="24"/>
              </w:rPr>
              <w:t>标段名称</w:t>
            </w:r>
          </w:p>
        </w:tc>
        <w:tc>
          <w:tcPr>
            <w:tcW w:w="6676" w:type="dxa"/>
            <w:gridSpan w:val="3"/>
            <w:vAlign w:val="center"/>
          </w:tcPr>
          <w:p>
            <w:pPr>
              <w:pStyle w:val="23"/>
              <w:spacing w:line="312" w:lineRule="auto"/>
              <w:jc w:val="center"/>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exact"/>
        </w:trPr>
        <w:tc>
          <w:tcPr>
            <w:tcW w:w="2520" w:type="dxa"/>
            <w:vAlign w:val="center"/>
          </w:tcPr>
          <w:p>
            <w:pPr>
              <w:pStyle w:val="23"/>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3"/>
            <w:vAlign w:val="center"/>
          </w:tcPr>
          <w:p>
            <w:pPr>
              <w:pStyle w:val="23"/>
              <w:spacing w:line="312" w:lineRule="auto"/>
              <w:jc w:val="center"/>
              <w:textAlignment w:val="top"/>
              <w:rPr>
                <w:rFonts w:ascii="宋体" w:hAnsi="宋体" w:cs="宋体"/>
                <w:sz w:val="24"/>
                <w:szCs w:val="24"/>
              </w:rPr>
            </w:pPr>
            <w:bookmarkStart w:id="501" w:name="_GoBack"/>
            <w:bookmarkEnd w:id="50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2520" w:type="dxa"/>
            <w:vAlign w:val="center"/>
          </w:tcPr>
          <w:p>
            <w:pPr>
              <w:pStyle w:val="23"/>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3"/>
            <w:vAlign w:val="center"/>
          </w:tcPr>
          <w:p>
            <w:pPr>
              <w:pStyle w:val="23"/>
              <w:spacing w:line="312" w:lineRule="auto"/>
              <w:ind w:right="210"/>
              <w:jc w:val="both"/>
              <w:textAlignment w:val="top"/>
              <w:rPr>
                <w:rFonts w:ascii="宋体" w:hAnsi="宋体" w:cs="宋体"/>
                <w:sz w:val="24"/>
                <w:szCs w:val="24"/>
              </w:rPr>
            </w:pPr>
            <w:r>
              <w:rPr>
                <w:rFonts w:hint="eastAsia" w:ascii="宋体" w:hAnsi="宋体" w:cs="宋体"/>
                <w:sz w:val="24"/>
                <w:szCs w:val="24"/>
              </w:rPr>
              <w:t>大写：                 元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520" w:type="dxa"/>
            <w:vAlign w:val="center"/>
          </w:tcPr>
          <w:p>
            <w:pPr>
              <w:pStyle w:val="23"/>
              <w:spacing w:line="312" w:lineRule="auto"/>
              <w:jc w:val="center"/>
              <w:textAlignment w:val="top"/>
              <w:rPr>
                <w:rFonts w:ascii="宋体" w:hAnsi="宋体" w:cs="宋体"/>
                <w:sz w:val="24"/>
                <w:szCs w:val="24"/>
              </w:rPr>
            </w:pPr>
            <w:r>
              <w:rPr>
                <w:rFonts w:hint="eastAsia" w:ascii="宋体" w:hAnsi="宋体" w:cs="宋体"/>
                <w:sz w:val="24"/>
                <w:szCs w:val="24"/>
              </w:rPr>
              <w:t>投标工期</w:t>
            </w:r>
          </w:p>
        </w:tc>
        <w:tc>
          <w:tcPr>
            <w:tcW w:w="6676" w:type="dxa"/>
            <w:gridSpan w:val="3"/>
            <w:vAlign w:val="center"/>
          </w:tcPr>
          <w:p>
            <w:pPr>
              <w:pStyle w:val="23"/>
              <w:spacing w:line="312" w:lineRule="auto"/>
              <w:jc w:val="center"/>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520" w:type="dxa"/>
            <w:vAlign w:val="center"/>
          </w:tcPr>
          <w:p>
            <w:pPr>
              <w:pStyle w:val="23"/>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3"/>
            <w:vAlign w:val="center"/>
          </w:tcPr>
          <w:p>
            <w:pPr>
              <w:pStyle w:val="23"/>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2520" w:type="dxa"/>
            <w:vAlign w:val="center"/>
          </w:tcPr>
          <w:p>
            <w:pPr>
              <w:pStyle w:val="23"/>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3"/>
            <w:vAlign w:val="center"/>
          </w:tcPr>
          <w:p>
            <w:pPr>
              <w:pStyle w:val="23"/>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exact"/>
        </w:trPr>
        <w:tc>
          <w:tcPr>
            <w:tcW w:w="2520" w:type="dxa"/>
            <w:vAlign w:val="center"/>
          </w:tcPr>
          <w:p>
            <w:pPr>
              <w:pStyle w:val="23"/>
              <w:spacing w:line="312" w:lineRule="auto"/>
              <w:jc w:val="center"/>
              <w:textAlignment w:val="center"/>
              <w:rPr>
                <w:rFonts w:ascii="宋体" w:hAnsi="宋体" w:cs="宋体"/>
                <w:sz w:val="24"/>
                <w:szCs w:val="24"/>
              </w:rPr>
            </w:pPr>
            <w:r>
              <w:rPr>
                <w:rFonts w:hint="eastAsia" w:ascii="宋体" w:hAnsi="宋体" w:cs="宋体"/>
                <w:sz w:val="24"/>
                <w:szCs w:val="24"/>
              </w:rPr>
              <w:t>拟派项目经理</w:t>
            </w:r>
          </w:p>
        </w:tc>
        <w:tc>
          <w:tcPr>
            <w:tcW w:w="2280" w:type="dxa"/>
            <w:vAlign w:val="center"/>
          </w:tcPr>
          <w:p>
            <w:pPr>
              <w:pStyle w:val="23"/>
              <w:spacing w:line="312" w:lineRule="auto"/>
              <w:jc w:val="center"/>
              <w:textAlignment w:val="center"/>
              <w:rPr>
                <w:rFonts w:ascii="宋体" w:hAnsi="宋体" w:cs="宋体"/>
                <w:sz w:val="24"/>
                <w:szCs w:val="24"/>
              </w:rPr>
            </w:pPr>
          </w:p>
        </w:tc>
        <w:tc>
          <w:tcPr>
            <w:tcW w:w="1490" w:type="dxa"/>
            <w:vAlign w:val="center"/>
          </w:tcPr>
          <w:p>
            <w:pPr>
              <w:pStyle w:val="23"/>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23"/>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vAlign w:val="center"/>
          </w:tcPr>
          <w:p>
            <w:pPr>
              <w:pStyle w:val="23"/>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exact"/>
        </w:trPr>
        <w:tc>
          <w:tcPr>
            <w:tcW w:w="2520" w:type="dxa"/>
            <w:vAlign w:val="center"/>
          </w:tcPr>
          <w:p>
            <w:pPr>
              <w:pStyle w:val="23"/>
              <w:spacing w:line="312" w:lineRule="auto"/>
              <w:jc w:val="center"/>
              <w:textAlignment w:val="center"/>
              <w:rPr>
                <w:rFonts w:ascii="宋体" w:hAnsi="宋体" w:cs="宋体"/>
                <w:sz w:val="24"/>
                <w:szCs w:val="24"/>
              </w:rPr>
            </w:pPr>
            <w:r>
              <w:rPr>
                <w:rFonts w:hint="eastAsia" w:ascii="宋体" w:hAnsi="宋体" w:cs="宋体"/>
                <w:sz w:val="24"/>
                <w:szCs w:val="24"/>
              </w:rPr>
              <w:t>拟派技术负责人</w:t>
            </w:r>
          </w:p>
        </w:tc>
        <w:tc>
          <w:tcPr>
            <w:tcW w:w="2280" w:type="dxa"/>
            <w:vAlign w:val="center"/>
          </w:tcPr>
          <w:p>
            <w:pPr>
              <w:pStyle w:val="23"/>
              <w:spacing w:line="312" w:lineRule="auto"/>
              <w:jc w:val="center"/>
              <w:textAlignment w:val="center"/>
              <w:rPr>
                <w:rFonts w:ascii="宋体" w:hAnsi="宋体" w:cs="宋体"/>
                <w:sz w:val="24"/>
                <w:szCs w:val="24"/>
              </w:rPr>
            </w:pPr>
          </w:p>
        </w:tc>
        <w:tc>
          <w:tcPr>
            <w:tcW w:w="1490" w:type="dxa"/>
            <w:vAlign w:val="center"/>
          </w:tcPr>
          <w:p>
            <w:pPr>
              <w:pStyle w:val="23"/>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23"/>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vAlign w:val="center"/>
          </w:tcPr>
          <w:p>
            <w:pPr>
              <w:pStyle w:val="23"/>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exact"/>
        </w:trPr>
        <w:tc>
          <w:tcPr>
            <w:tcW w:w="4800" w:type="dxa"/>
            <w:gridSpan w:val="2"/>
          </w:tcPr>
          <w:p>
            <w:pPr>
              <w:pStyle w:val="23"/>
              <w:spacing w:line="312" w:lineRule="auto"/>
              <w:textAlignment w:val="top"/>
              <w:rPr>
                <w:rFonts w:ascii="宋体" w:hAnsi="宋体" w:cs="宋体"/>
                <w:sz w:val="24"/>
                <w:szCs w:val="24"/>
              </w:rPr>
            </w:pPr>
          </w:p>
          <w:p>
            <w:pPr>
              <w:pStyle w:val="23"/>
              <w:spacing w:line="312" w:lineRule="auto"/>
              <w:textAlignment w:val="top"/>
              <w:rPr>
                <w:rFonts w:ascii="宋体" w:hAnsi="宋体" w:cs="宋体"/>
                <w:sz w:val="24"/>
                <w:szCs w:val="24"/>
              </w:rPr>
            </w:pPr>
          </w:p>
          <w:p>
            <w:pPr>
              <w:pStyle w:val="23"/>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23"/>
              <w:spacing w:line="312" w:lineRule="auto"/>
              <w:textAlignment w:val="top"/>
              <w:rPr>
                <w:rFonts w:ascii="宋体" w:hAnsi="宋体" w:cs="宋体"/>
                <w:sz w:val="24"/>
                <w:szCs w:val="24"/>
              </w:rPr>
            </w:pPr>
          </w:p>
          <w:p>
            <w:pPr>
              <w:pStyle w:val="23"/>
              <w:spacing w:line="312" w:lineRule="auto"/>
              <w:textAlignment w:val="top"/>
              <w:rPr>
                <w:rFonts w:ascii="宋体" w:hAnsi="宋体" w:cs="宋体"/>
                <w:sz w:val="24"/>
                <w:szCs w:val="24"/>
              </w:rPr>
            </w:pPr>
          </w:p>
          <w:p>
            <w:pPr>
              <w:pStyle w:val="23"/>
              <w:spacing w:line="312" w:lineRule="auto"/>
              <w:textAlignment w:val="top"/>
              <w:rPr>
                <w:rFonts w:ascii="宋体" w:hAnsi="宋体" w:cs="宋体"/>
                <w:sz w:val="24"/>
                <w:szCs w:val="24"/>
              </w:rPr>
            </w:pPr>
          </w:p>
          <w:p>
            <w:pPr>
              <w:pStyle w:val="23"/>
              <w:spacing w:line="312" w:lineRule="auto"/>
              <w:textAlignment w:val="top"/>
              <w:rPr>
                <w:rFonts w:ascii="宋体" w:hAnsi="宋体" w:cs="宋体"/>
                <w:sz w:val="24"/>
                <w:szCs w:val="24"/>
              </w:rPr>
            </w:pPr>
          </w:p>
          <w:p>
            <w:pPr>
              <w:pStyle w:val="23"/>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gridSpan w:val="2"/>
          </w:tcPr>
          <w:p>
            <w:pPr>
              <w:pStyle w:val="23"/>
              <w:spacing w:line="312" w:lineRule="auto"/>
              <w:textAlignment w:val="top"/>
              <w:rPr>
                <w:rFonts w:ascii="宋体" w:hAnsi="宋体" w:cs="宋体"/>
                <w:sz w:val="24"/>
                <w:szCs w:val="24"/>
              </w:rPr>
            </w:pPr>
          </w:p>
          <w:p>
            <w:pPr>
              <w:pStyle w:val="23"/>
              <w:spacing w:line="312" w:lineRule="auto"/>
              <w:textAlignment w:val="top"/>
              <w:rPr>
                <w:rFonts w:ascii="宋体" w:hAnsi="宋体" w:cs="宋体"/>
                <w:sz w:val="24"/>
                <w:szCs w:val="24"/>
              </w:rPr>
            </w:pPr>
          </w:p>
          <w:p>
            <w:pPr>
              <w:pStyle w:val="23"/>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23"/>
              <w:spacing w:line="312" w:lineRule="auto"/>
              <w:textAlignment w:val="top"/>
              <w:rPr>
                <w:rFonts w:ascii="宋体" w:hAnsi="宋体" w:cs="宋体"/>
                <w:sz w:val="24"/>
                <w:szCs w:val="24"/>
              </w:rPr>
            </w:pPr>
          </w:p>
          <w:p>
            <w:pPr>
              <w:pStyle w:val="23"/>
              <w:spacing w:line="312" w:lineRule="auto"/>
              <w:textAlignment w:val="top"/>
              <w:rPr>
                <w:rFonts w:ascii="宋体" w:hAnsi="宋体" w:cs="宋体"/>
                <w:sz w:val="24"/>
                <w:szCs w:val="24"/>
              </w:rPr>
            </w:pPr>
          </w:p>
          <w:p>
            <w:pPr>
              <w:pStyle w:val="23"/>
              <w:spacing w:line="312" w:lineRule="auto"/>
              <w:textAlignment w:val="top"/>
              <w:rPr>
                <w:rFonts w:ascii="宋体" w:hAnsi="宋体" w:cs="宋体"/>
                <w:sz w:val="24"/>
                <w:szCs w:val="24"/>
              </w:rPr>
            </w:pPr>
          </w:p>
          <w:p>
            <w:pPr>
              <w:pStyle w:val="23"/>
              <w:spacing w:line="312" w:lineRule="auto"/>
              <w:textAlignment w:val="top"/>
              <w:rPr>
                <w:rFonts w:ascii="宋体" w:hAnsi="宋体" w:cs="宋体"/>
                <w:sz w:val="24"/>
                <w:szCs w:val="24"/>
              </w:rPr>
            </w:pPr>
          </w:p>
          <w:p>
            <w:pPr>
              <w:pStyle w:val="23"/>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jc w:val="center"/>
        <w:outlineLvl w:val="1"/>
        <w:rPr>
          <w:rFonts w:ascii="黑体" w:hAnsi="黑体" w:eastAsia="黑体" w:cs="黑体"/>
          <w:kern w:val="0"/>
          <w:sz w:val="28"/>
          <w:szCs w:val="28"/>
        </w:rPr>
      </w:pPr>
      <w:bookmarkStart w:id="402" w:name="_Toc27165"/>
      <w:bookmarkStart w:id="403" w:name="_Toc517940889"/>
      <w:r>
        <w:rPr>
          <w:rFonts w:hint="eastAsia" w:ascii="黑体" w:hAnsi="黑体" w:eastAsia="黑体" w:cs="黑体"/>
          <w:kern w:val="0"/>
          <w:sz w:val="28"/>
          <w:szCs w:val="28"/>
        </w:rPr>
        <w:t>二、法定代表人身份证明或附有法定代表人身份证明的授权委托书</w:t>
      </w:r>
      <w:bookmarkEnd w:id="402"/>
      <w:bookmarkEnd w:id="403"/>
    </w:p>
    <w:p>
      <w:pPr>
        <w:spacing w:line="312" w:lineRule="auto"/>
        <w:rPr>
          <w:rFonts w:ascii="宋体" w:hAnsi="宋体" w:cs="宋体"/>
          <w:b/>
          <w:bCs/>
          <w:sz w:val="24"/>
        </w:rPr>
      </w:pPr>
      <w:bookmarkStart w:id="404" w:name="_Toc30421"/>
      <w:bookmarkStart w:id="405" w:name="_Toc26298"/>
      <w:bookmarkStart w:id="406" w:name="_Toc3047"/>
      <w:bookmarkStart w:id="407" w:name="_Toc15089"/>
      <w:bookmarkStart w:id="408" w:name="_Toc26381"/>
    </w:p>
    <w:p>
      <w:pPr>
        <w:jc w:val="center"/>
        <w:rPr>
          <w:rFonts w:ascii="宋体" w:hAnsi="宋体" w:cs="宋体"/>
          <w:b/>
          <w:bCs/>
          <w:sz w:val="24"/>
        </w:rPr>
      </w:pPr>
      <w:r>
        <w:rPr>
          <w:rFonts w:hint="eastAsia" w:ascii="宋体" w:hAnsi="宋体" w:cs="宋体"/>
          <w:b/>
          <w:bCs/>
          <w:sz w:val="24"/>
        </w:rPr>
        <w:t>（一）法定代表人身份证明</w:t>
      </w:r>
      <w:bookmarkEnd w:id="404"/>
      <w:bookmarkEnd w:id="405"/>
      <w:bookmarkEnd w:id="406"/>
      <w:bookmarkEnd w:id="407"/>
      <w:bookmarkEnd w:id="408"/>
    </w:p>
    <w:p>
      <w:pPr>
        <w:spacing w:line="312" w:lineRule="auto"/>
      </w:pPr>
    </w:p>
    <w:p>
      <w:pPr>
        <w:spacing w:line="312" w:lineRule="auto"/>
        <w:ind w:firstLine="960" w:firstLineChars="400"/>
        <w:rPr>
          <w:rFonts w:ascii="宋体" w:hAnsi="宋体" w:cs="宋体"/>
          <w:sz w:val="24"/>
        </w:rPr>
      </w:pPr>
      <w:r>
        <w:rPr>
          <w:rFonts w:hint="eastAsia" w:ascii="宋体" w:hAnsi="宋体" w:cs="宋体"/>
          <w:sz w:val="24"/>
        </w:rPr>
        <w:t>投 标 人：</w:t>
      </w:r>
    </w:p>
    <w:p>
      <w:pPr>
        <w:spacing w:line="312" w:lineRule="auto"/>
        <w:ind w:firstLine="960" w:firstLineChars="400"/>
        <w:rPr>
          <w:rFonts w:ascii="宋体" w:hAnsi="宋体" w:cs="宋体"/>
          <w:sz w:val="24"/>
        </w:rPr>
      </w:pPr>
      <w:r>
        <w:rPr>
          <w:rFonts w:hint="eastAsia" w:ascii="宋体" w:hAnsi="宋体" w:cs="宋体"/>
          <w:sz w:val="24"/>
        </w:rPr>
        <w:t>单位性质：</w:t>
      </w:r>
    </w:p>
    <w:p>
      <w:pPr>
        <w:spacing w:line="312" w:lineRule="auto"/>
        <w:ind w:firstLine="960" w:firstLineChars="400"/>
        <w:rPr>
          <w:rFonts w:ascii="宋体" w:hAnsi="宋体" w:cs="宋体"/>
          <w:sz w:val="24"/>
          <w:u w:val="single"/>
        </w:rPr>
      </w:pPr>
      <w:r>
        <w:rPr>
          <w:rFonts w:hint="eastAsia" w:ascii="宋体" w:hAnsi="宋体" w:cs="宋体"/>
          <w:sz w:val="24"/>
        </w:rPr>
        <w:t>地    址：</w:t>
      </w:r>
    </w:p>
    <w:p>
      <w:pPr>
        <w:spacing w:line="312" w:lineRule="auto"/>
        <w:ind w:firstLine="960" w:firstLineChars="400"/>
        <w:rPr>
          <w:rFonts w:ascii="宋体" w:hAnsi="宋体" w:cs="宋体"/>
          <w:sz w:val="24"/>
        </w:rPr>
      </w:pPr>
      <w:r>
        <w:rPr>
          <w:rFonts w:hint="eastAsia" w:ascii="宋体" w:hAnsi="宋体" w:cs="宋体"/>
          <w:sz w:val="24"/>
        </w:rPr>
        <w:t>成立时间：年月日</w:t>
      </w:r>
    </w:p>
    <w:p>
      <w:pPr>
        <w:spacing w:line="312" w:lineRule="auto"/>
        <w:ind w:firstLine="960" w:firstLineChars="400"/>
        <w:rPr>
          <w:rFonts w:ascii="宋体" w:hAnsi="宋体" w:cs="宋体"/>
          <w:sz w:val="24"/>
        </w:rPr>
      </w:pPr>
      <w:r>
        <w:rPr>
          <w:rFonts w:hint="eastAsia" w:ascii="宋体" w:hAnsi="宋体" w:cs="宋体"/>
          <w:sz w:val="24"/>
        </w:rPr>
        <w:t>经营期限：</w:t>
      </w:r>
    </w:p>
    <w:p>
      <w:pPr>
        <w:spacing w:line="312" w:lineRule="auto"/>
        <w:ind w:firstLine="960" w:firstLineChars="400"/>
        <w:rPr>
          <w:rFonts w:ascii="宋体" w:hAnsi="宋体" w:cs="宋体"/>
          <w:sz w:val="24"/>
        </w:rPr>
      </w:pPr>
      <w:r>
        <w:rPr>
          <w:rFonts w:hint="eastAsia" w:ascii="宋体" w:hAnsi="宋体" w:cs="宋体"/>
          <w:sz w:val="24"/>
        </w:rPr>
        <w:t>姓    名：性    别：</w:t>
      </w:r>
    </w:p>
    <w:p>
      <w:pPr>
        <w:spacing w:line="312" w:lineRule="auto"/>
        <w:ind w:firstLine="960" w:firstLineChars="400"/>
        <w:rPr>
          <w:rFonts w:ascii="宋体" w:hAnsi="宋体" w:cs="宋体"/>
          <w:sz w:val="24"/>
        </w:rPr>
      </w:pPr>
      <w:r>
        <w:rPr>
          <w:rFonts w:hint="eastAsia" w:ascii="宋体" w:hAnsi="宋体" w:cs="宋体"/>
          <w:sz w:val="24"/>
        </w:rPr>
        <w:t>年    龄：职    务：</w:t>
      </w:r>
    </w:p>
    <w:p>
      <w:pPr>
        <w:spacing w:line="312" w:lineRule="auto"/>
        <w:ind w:firstLine="960" w:firstLineChars="400"/>
        <w:rPr>
          <w:rFonts w:ascii="宋体" w:hAnsi="宋体" w:cs="宋体"/>
          <w:sz w:val="24"/>
        </w:rPr>
      </w:pPr>
      <w:r>
        <w:rPr>
          <w:rFonts w:hint="eastAsia" w:ascii="宋体" w:hAnsi="宋体" w:cs="宋体"/>
          <w:sz w:val="24"/>
        </w:rPr>
        <w:t>系（投标人名称）的法定代表人。</w:t>
      </w:r>
    </w:p>
    <w:p>
      <w:pPr>
        <w:spacing w:line="312" w:lineRule="auto"/>
        <w:ind w:firstLine="960" w:firstLineChars="400"/>
        <w:rPr>
          <w:rFonts w:ascii="宋体" w:hAnsi="宋体" w:cs="宋体"/>
          <w:sz w:val="24"/>
        </w:rPr>
      </w:pPr>
      <w:r>
        <w:rPr>
          <w:rFonts w:hint="eastAsia" w:ascii="宋体" w:hAnsi="宋体" w:cs="宋体"/>
          <w:sz w:val="24"/>
        </w:rPr>
        <w:t>特此证明。</w:t>
      </w:r>
    </w:p>
    <w:p>
      <w:pPr>
        <w:spacing w:line="312" w:lineRule="auto"/>
        <w:rPr>
          <w:rFonts w:ascii="宋体" w:hAnsi="宋体" w:cs="宋体"/>
          <w:sz w:val="24"/>
        </w:rPr>
      </w:pPr>
    </w:p>
    <w:p>
      <w:pPr>
        <w:spacing w:line="312" w:lineRule="auto"/>
        <w:rPr>
          <w:rFonts w:ascii="宋体" w:hAnsi="宋体" w:cs="宋体"/>
          <w:sz w:val="24"/>
        </w:rPr>
      </w:pPr>
    </w:p>
    <w:p>
      <w:pPr>
        <w:wordWrap w:val="0"/>
        <w:spacing w:line="312" w:lineRule="auto"/>
        <w:jc w:val="center"/>
        <w:rPr>
          <w:rFonts w:ascii="宋体" w:hAnsi="宋体" w:cs="宋体"/>
          <w:sz w:val="24"/>
        </w:rPr>
      </w:pPr>
      <w:r>
        <w:rPr>
          <w:rFonts w:hint="eastAsia" w:ascii="宋体" w:hAnsi="宋体" w:cs="宋体"/>
          <w:sz w:val="24"/>
        </w:rPr>
        <w:t xml:space="preserve">                                          投标人：（盖单位章）</w:t>
      </w:r>
    </w:p>
    <w:p>
      <w:pPr>
        <w:wordWrap w:val="0"/>
        <w:spacing w:line="312" w:lineRule="auto"/>
        <w:jc w:val="center"/>
        <w:rPr>
          <w:rFonts w:ascii="宋体" w:hAnsi="宋体" w:cs="宋体"/>
          <w:sz w:val="24"/>
        </w:rPr>
      </w:pPr>
      <w:r>
        <w:rPr>
          <w:rFonts w:hint="eastAsia" w:ascii="宋体" w:hAnsi="宋体" w:cs="宋体"/>
          <w:sz w:val="24"/>
        </w:rPr>
        <w:t xml:space="preserve">                                       </w:t>
      </w:r>
    </w:p>
    <w:p>
      <w:pPr>
        <w:wordWrap w:val="0"/>
        <w:spacing w:line="312" w:lineRule="auto"/>
        <w:jc w:val="center"/>
        <w:rPr>
          <w:rFonts w:ascii="宋体" w:hAnsi="宋体" w:cs="宋体"/>
          <w:sz w:val="24"/>
        </w:rPr>
      </w:pPr>
      <w:r>
        <w:rPr>
          <w:rFonts w:hint="eastAsia" w:ascii="宋体" w:hAnsi="宋体" w:cs="宋体"/>
          <w:sz w:val="24"/>
        </w:rPr>
        <w:t xml:space="preserve">                                            年  月  日          </w:t>
      </w:r>
    </w:p>
    <w:p>
      <w:pPr>
        <w:jc w:val="center"/>
        <w:rPr>
          <w:rFonts w:ascii="宋体" w:hAnsi="宋体" w:cs="宋体"/>
          <w:b/>
          <w:bCs/>
          <w:sz w:val="24"/>
        </w:rPr>
      </w:pPr>
      <w:r>
        <w:rPr>
          <w:rFonts w:hint="eastAsia" w:ascii="宋体" w:hAnsi="宋体" w:cs="宋体"/>
          <w:sz w:val="24"/>
        </w:rPr>
        <w:br w:type="page"/>
      </w:r>
      <w:bookmarkStart w:id="409" w:name="_Toc1682"/>
      <w:bookmarkStart w:id="410" w:name="_Toc5932"/>
      <w:bookmarkStart w:id="411" w:name="_Toc7548"/>
      <w:bookmarkStart w:id="412" w:name="_Toc14115"/>
      <w:bookmarkStart w:id="413" w:name="_Toc28779"/>
      <w:r>
        <w:rPr>
          <w:rFonts w:hint="eastAsia" w:ascii="宋体" w:hAnsi="宋体" w:cs="宋体"/>
          <w:b/>
          <w:bCs/>
          <w:sz w:val="24"/>
        </w:rPr>
        <w:t>（二）授权委托书</w:t>
      </w:r>
      <w:bookmarkEnd w:id="409"/>
      <w:bookmarkEnd w:id="410"/>
      <w:bookmarkEnd w:id="411"/>
      <w:bookmarkEnd w:id="412"/>
      <w:bookmarkEnd w:id="413"/>
    </w:p>
    <w:p>
      <w:pPr>
        <w:spacing w:line="312" w:lineRule="auto"/>
      </w:pPr>
    </w:p>
    <w:p>
      <w:pPr>
        <w:spacing w:line="312" w:lineRule="auto"/>
        <w:rPr>
          <w:rFonts w:ascii="宋体" w:hAnsi="宋体" w:cs="宋体"/>
          <w:sz w:val="24"/>
        </w:rPr>
      </w:pPr>
      <w:r>
        <w:rPr>
          <w:rFonts w:hint="eastAsia" w:ascii="宋体" w:hAnsi="宋体" w:cs="宋体"/>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pPr>
        <w:spacing w:line="312" w:lineRule="auto"/>
        <w:rPr>
          <w:rFonts w:ascii="宋体" w:hAnsi="宋体" w:cs="宋体"/>
          <w:sz w:val="24"/>
        </w:rPr>
      </w:pPr>
      <w:r>
        <w:rPr>
          <w:rFonts w:hint="eastAsia" w:ascii="宋体" w:hAnsi="宋体" w:cs="宋体"/>
          <w:sz w:val="24"/>
        </w:rPr>
        <w:t xml:space="preserve">      委托期限：               </w:t>
      </w:r>
    </w:p>
    <w:p>
      <w:pPr>
        <w:spacing w:line="312" w:lineRule="auto"/>
        <w:rPr>
          <w:rFonts w:ascii="宋体" w:hAnsi="宋体" w:cs="宋体"/>
          <w:sz w:val="24"/>
        </w:rPr>
      </w:pPr>
      <w:r>
        <w:rPr>
          <w:rFonts w:hint="eastAsia" w:ascii="宋体" w:hAnsi="宋体" w:cs="宋体"/>
          <w:sz w:val="24"/>
        </w:rPr>
        <w:t xml:space="preserve">      代理人无转委托权。</w:t>
      </w:r>
    </w:p>
    <w:p>
      <w:pPr>
        <w:spacing w:line="312" w:lineRule="auto"/>
        <w:rPr>
          <w:rFonts w:ascii="宋体" w:hAnsi="宋体" w:cs="宋体"/>
          <w:sz w:val="24"/>
        </w:rPr>
      </w:pPr>
      <w:r>
        <w:rPr>
          <w:rFonts w:hint="eastAsia" w:ascii="宋体" w:hAnsi="宋体" w:cs="宋体"/>
          <w:sz w:val="24"/>
        </w:rPr>
        <w:t xml:space="preserve">      附：法定代表人身份证明、授权委托人身份证明</w:t>
      </w:r>
    </w:p>
    <w:p>
      <w:pPr>
        <w:spacing w:line="312" w:lineRule="auto"/>
        <w:rPr>
          <w:rFonts w:ascii="宋体" w:hAnsi="宋体" w:cs="宋体"/>
          <w:sz w:val="24"/>
        </w:rPr>
      </w:pP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投  标  人：（盖单位章）</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法定代表人：（签字）</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委托代理人：（签字）</w:t>
      </w:r>
    </w:p>
    <w:p>
      <w:pPr>
        <w:spacing w:line="312" w:lineRule="auto"/>
        <w:rPr>
          <w:rFonts w:ascii="宋体" w:hAnsi="宋体" w:cs="宋体"/>
          <w:sz w:val="24"/>
        </w:rPr>
      </w:pPr>
    </w:p>
    <w:p>
      <w:pPr>
        <w:spacing w:line="312" w:lineRule="auto"/>
        <w:ind w:firstLine="720" w:firstLineChars="300"/>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 xml:space="preserve">                                     </w:t>
      </w:r>
    </w:p>
    <w:p>
      <w:pPr>
        <w:spacing w:line="312" w:lineRule="auto"/>
        <w:rPr>
          <w:rFonts w:ascii="宋体" w:hAnsi="宋体" w:cs="宋体"/>
          <w:sz w:val="24"/>
        </w:rPr>
      </w:pPr>
    </w:p>
    <w:p>
      <w:pPr>
        <w:spacing w:line="312" w:lineRule="auto"/>
        <w:ind w:firstLine="5760" w:firstLineChars="2400"/>
        <w:rPr>
          <w:rFonts w:ascii="宋体" w:hAnsi="宋体" w:cs="宋体"/>
          <w:sz w:val="24"/>
        </w:rPr>
      </w:pPr>
      <w:r>
        <w:rPr>
          <w:rFonts w:hint="eastAsia" w:ascii="宋体" w:hAnsi="宋体" w:cs="宋体"/>
          <w:sz w:val="24"/>
        </w:rPr>
        <w:t xml:space="preserve"> 年        月        日</w:t>
      </w:r>
    </w:p>
    <w:p>
      <w:pPr>
        <w:spacing w:line="312" w:lineRule="auto"/>
        <w:rPr>
          <w:rFonts w:ascii="宋体" w:hAnsi="宋体" w:cs="宋体"/>
          <w:sz w:val="24"/>
        </w:rPr>
      </w:pPr>
    </w:p>
    <w:p>
      <w:pPr>
        <w:spacing w:line="312" w:lineRule="auto"/>
        <w:rPr>
          <w:rFonts w:ascii="宋体" w:hAnsi="宋体" w:cs="宋体"/>
          <w:sz w:val="24"/>
        </w:rPr>
      </w:pPr>
    </w:p>
    <w:p>
      <w:pPr>
        <w:pStyle w:val="9"/>
        <w:jc w:val="center"/>
        <w:rPr>
          <w:rFonts w:ascii="宋体" w:hAnsi="宋体" w:cs="宋体"/>
          <w:sz w:val="24"/>
        </w:rPr>
      </w:pPr>
      <w:r>
        <w:rPr>
          <w:rFonts w:hint="eastAsia" w:ascii="宋体" w:hAnsi="宋体" w:cs="宋体"/>
          <w:sz w:val="24"/>
        </w:rPr>
        <w:br w:type="page"/>
      </w:r>
      <w:bookmarkStart w:id="414" w:name="_Toc517940890"/>
      <w:bookmarkStart w:id="415" w:name="_Toc12158"/>
      <w:r>
        <w:rPr>
          <w:rFonts w:hint="eastAsia" w:ascii="黑体" w:hAnsi="黑体" w:cs="黑体"/>
          <w:sz w:val="28"/>
          <w:szCs w:val="28"/>
        </w:rPr>
        <w:t>三、投标保证金</w:t>
      </w:r>
      <w:bookmarkEnd w:id="414"/>
      <w:bookmarkEnd w:id="415"/>
    </w:p>
    <w:p>
      <w:pPr>
        <w:spacing w:line="312" w:lineRule="auto"/>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投标保证金：</w:t>
      </w:r>
    </w:p>
    <w:p>
      <w:pPr>
        <w:spacing w:line="312" w:lineRule="auto"/>
        <w:ind w:firstLine="480" w:firstLineChars="200"/>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305435</wp:posOffset>
                </wp:positionH>
                <wp:positionV relativeFrom="paragraph">
                  <wp:posOffset>198755</wp:posOffset>
                </wp:positionV>
                <wp:extent cx="4909185" cy="2377440"/>
                <wp:effectExtent l="4445" t="4445" r="20320" b="18415"/>
                <wp:wrapNone/>
                <wp:docPr id="1" name="文本框 1"/>
                <wp:cNvGraphicFramePr/>
                <a:graphic xmlns:a="http://schemas.openxmlformats.org/drawingml/2006/main">
                  <a:graphicData uri="http://schemas.microsoft.com/office/word/2010/wordprocessingShape">
                    <wps:wsp>
                      <wps:cNvSpPr txBox="1"/>
                      <wps:spPr>
                        <a:xfrm>
                          <a:off x="0" y="0"/>
                          <a:ext cx="490918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附有效投标保证金转账凭证</w:t>
                            </w:r>
                          </w:p>
                          <w:p>
                            <w:pPr>
                              <w:ind w:firstLine="525" w:firstLineChars="250"/>
                              <w:jc w:val="center"/>
                            </w:pPr>
                          </w:p>
                        </w:txbxContent>
                      </wps:txbx>
                      <wps:bodyPr upright="1"/>
                    </wps:wsp>
                  </a:graphicData>
                </a:graphic>
              </wp:anchor>
            </w:drawing>
          </mc:Choice>
          <mc:Fallback>
            <w:pict>
              <v:shape id="_x0000_s1026" o:spid="_x0000_s1026" o:spt="202" type="#_x0000_t202" style="position:absolute;left:0pt;margin-left:24.05pt;margin-top:15.65pt;height:187.2pt;width:386.55pt;z-index:251661312;mso-width-relative:page;mso-height-relative:page;" fillcolor="#FFFFFF" filled="t" stroked="t" coordsize="21600,21600"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cKjTYAAAACQEAAA8AAAAAAAAAAQAgAAAAIgAAAGRycy9kb3ducmV2LnhtbFBLAQIU&#10;ABQAAAAIAIdO4kBl6oLH8wEAAOkDAAAOAAAAAAAAAAEAIAAAACcBAABkcnMvZTJvRG9jLnhtbFBL&#10;BQYAAAAABgAGAFkBAACMBQAAAAA=&#10;">
                <v:fill on="t" focussize="0,0"/>
                <v:stroke color="#000000" joinstyle="miter"/>
                <v:imagedata o:title=""/>
                <o:lock v:ext="edit" aspectratio="f"/>
                <v:textbo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附有效投标保证金转账凭证</w:t>
                      </w:r>
                    </w:p>
                    <w:p>
                      <w:pPr>
                        <w:ind w:firstLine="525" w:firstLineChars="250"/>
                        <w:jc w:val="center"/>
                      </w:pPr>
                    </w:p>
                  </w:txbxContent>
                </v:textbox>
              </v:shape>
            </w:pict>
          </mc:Fallback>
        </mc:AlternateConten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5520" w:firstLineChars="2300"/>
        <w:rPr>
          <w:rFonts w:ascii="宋体" w:hAnsi="宋体" w:cs="宋体"/>
          <w:sz w:val="24"/>
        </w:rPr>
      </w:pPr>
    </w:p>
    <w:p>
      <w:pPr>
        <w:spacing w:line="312" w:lineRule="auto"/>
        <w:ind w:firstLine="5520" w:firstLineChars="2300"/>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pStyle w:val="9"/>
        <w:jc w:val="center"/>
        <w:rPr>
          <w:rFonts w:ascii="宋体" w:hAnsi="宋体" w:cs="宋体"/>
          <w:sz w:val="24"/>
        </w:rPr>
      </w:pPr>
      <w:bookmarkStart w:id="416" w:name="_Toc1165"/>
      <w:bookmarkStart w:id="417" w:name="_Toc517940891"/>
      <w:bookmarkStart w:id="418" w:name="_Toc7150"/>
      <w:bookmarkStart w:id="419" w:name="_Toc7389"/>
      <w:bookmarkStart w:id="420" w:name="_Toc9624"/>
      <w:bookmarkStart w:id="421" w:name="_Toc1827"/>
      <w:r>
        <w:rPr>
          <w:rFonts w:hint="eastAsia" w:ascii="黑体" w:hAnsi="黑体" w:cs="黑体"/>
          <w:sz w:val="28"/>
          <w:szCs w:val="28"/>
        </w:rPr>
        <w:t>四、已标价工程量清单</w:t>
      </w:r>
      <w:bookmarkEnd w:id="416"/>
      <w:bookmarkEnd w:id="417"/>
    </w:p>
    <w:p>
      <w:pPr>
        <w:rPr>
          <w:rFonts w:ascii="黑体" w:hAnsi="黑体" w:eastAsia="黑体" w:cs="黑体"/>
          <w:kern w:val="0"/>
          <w:sz w:val="28"/>
          <w:szCs w:val="28"/>
        </w:rPr>
      </w:pPr>
      <w:bookmarkStart w:id="422" w:name="_Toc2561"/>
    </w:p>
    <w:p>
      <w:pPr>
        <w:pStyle w:val="9"/>
        <w:jc w:val="center"/>
        <w:rPr>
          <w:rFonts w:ascii="黑体" w:hAnsi="黑体" w:cs="黑体"/>
          <w:sz w:val="28"/>
          <w:szCs w:val="28"/>
        </w:rPr>
      </w:pPr>
      <w:bookmarkStart w:id="423" w:name="_Toc517940892"/>
      <w:r>
        <w:rPr>
          <w:rFonts w:hint="eastAsia" w:ascii="黑体" w:hAnsi="黑体" w:cs="黑体"/>
          <w:sz w:val="28"/>
          <w:szCs w:val="28"/>
        </w:rPr>
        <w:t>五、施工组织设计</w:t>
      </w:r>
      <w:bookmarkEnd w:id="422"/>
      <w:bookmarkEnd w:id="423"/>
    </w:p>
    <w:p>
      <w:pPr>
        <w:spacing w:line="312" w:lineRule="auto"/>
        <w:ind w:firstLine="600" w:firstLineChars="250"/>
        <w:rPr>
          <w:rFonts w:ascii="宋体" w:hAnsi="宋体" w:cs="宋体"/>
          <w:sz w:val="24"/>
        </w:rPr>
      </w:pPr>
      <w:r>
        <w:rPr>
          <w:rFonts w:hint="eastAsia" w:ascii="宋体" w:hAnsi="宋体" w:cs="宋体"/>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pPr>
        <w:tabs>
          <w:tab w:val="left" w:pos="720"/>
        </w:tabs>
        <w:spacing w:line="312" w:lineRule="auto"/>
        <w:ind w:firstLine="480" w:firstLineChars="200"/>
        <w:rPr>
          <w:rFonts w:ascii="宋体" w:hAnsi="宋体" w:cs="宋体"/>
          <w:sz w:val="24"/>
        </w:rPr>
      </w:pPr>
      <w:r>
        <w:rPr>
          <w:rFonts w:hint="eastAsia" w:ascii="宋体" w:hAnsi="宋体" w:cs="宋体"/>
          <w:sz w:val="24"/>
        </w:rPr>
        <w:t>2.施工组织设计除采用文字表述外应附相应图表,图表自拟。</w:t>
      </w:r>
    </w:p>
    <w:p>
      <w:pPr>
        <w:spacing w:line="312" w:lineRule="auto"/>
        <w:rPr>
          <w:rFonts w:ascii="宋体" w:hAnsi="宋体" w:cs="宋体"/>
          <w:sz w:val="24"/>
        </w:rPr>
      </w:pPr>
    </w:p>
    <w:p>
      <w:pPr>
        <w:spacing w:line="312" w:lineRule="auto"/>
        <w:rPr>
          <w:rFonts w:ascii="宋体" w:hAnsi="宋体" w:cs="宋体"/>
          <w:szCs w:val="21"/>
        </w:rPr>
      </w:pPr>
    </w:p>
    <w:p>
      <w:pPr>
        <w:spacing w:line="312" w:lineRule="auto"/>
        <w:rPr>
          <w:rFonts w:ascii="宋体" w:hAnsi="宋体" w:cs="宋体"/>
          <w:szCs w:val="21"/>
        </w:rPr>
      </w:pPr>
    </w:p>
    <w:p>
      <w:pPr>
        <w:spacing w:line="312" w:lineRule="auto"/>
      </w:pPr>
    </w:p>
    <w:p>
      <w:pPr>
        <w:spacing w:line="312" w:lineRule="auto"/>
      </w:pPr>
    </w:p>
    <w:p>
      <w:pPr>
        <w:pStyle w:val="9"/>
        <w:jc w:val="center"/>
        <w:rPr>
          <w:rFonts w:hint="default" w:ascii="宋体" w:hAnsi="宋体" w:eastAsia="黑体" w:cs="宋体"/>
          <w:sz w:val="24"/>
          <w:lang w:val="en-US" w:eastAsia="zh-CN"/>
        </w:rPr>
      </w:pPr>
      <w:bookmarkStart w:id="424" w:name="_Toc517940893"/>
      <w:bookmarkStart w:id="425" w:name="_Toc20269"/>
      <w:r>
        <w:rPr>
          <w:rFonts w:hint="eastAsia" w:ascii="黑体" w:hAnsi="黑体" w:cs="黑体"/>
          <w:sz w:val="28"/>
          <w:szCs w:val="28"/>
        </w:rPr>
        <w:t>六、项目管理机构</w:t>
      </w:r>
      <w:bookmarkEnd w:id="418"/>
      <w:bookmarkEnd w:id="419"/>
      <w:bookmarkEnd w:id="420"/>
      <w:bookmarkEnd w:id="421"/>
      <w:bookmarkEnd w:id="424"/>
      <w:bookmarkEnd w:id="425"/>
      <w:r>
        <w:rPr>
          <w:rFonts w:hint="eastAsia" w:ascii="黑体" w:hAnsi="黑体" w:cs="黑体"/>
          <w:sz w:val="28"/>
          <w:szCs w:val="28"/>
          <w:lang w:val="en-US" w:eastAsia="zh-CN"/>
        </w:rPr>
        <w:t>配备情况</w:t>
      </w:r>
    </w:p>
    <w:p>
      <w:pPr>
        <w:rPr>
          <w:rFonts w:ascii="宋体" w:hAnsi="宋体" w:cs="宋体"/>
          <w:b/>
          <w:bCs/>
          <w:sz w:val="24"/>
        </w:rPr>
      </w:pPr>
      <w:bookmarkStart w:id="426" w:name="_Toc21137"/>
      <w:bookmarkStart w:id="427" w:name="_Toc26208"/>
      <w:bookmarkStart w:id="428" w:name="_Toc8921"/>
      <w:bookmarkStart w:id="429" w:name="_Toc25342"/>
      <w:bookmarkStart w:id="430" w:name="_Toc27720"/>
      <w:r>
        <w:rPr>
          <w:rFonts w:hint="eastAsia" w:ascii="宋体" w:hAnsi="宋体" w:cs="宋体"/>
          <w:b/>
          <w:bCs/>
          <w:sz w:val="24"/>
        </w:rPr>
        <w:t>（一）项目管理机构组成表</w:t>
      </w:r>
      <w:bookmarkEnd w:id="426"/>
      <w:bookmarkEnd w:id="427"/>
      <w:bookmarkEnd w:id="428"/>
      <w:bookmarkEnd w:id="429"/>
      <w:bookmarkEnd w:id="430"/>
    </w:p>
    <w:tbl>
      <w:tblPr>
        <w:tblStyle w:val="15"/>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职务</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职称</w:t>
            </w:r>
          </w:p>
        </w:tc>
        <w:tc>
          <w:tcPr>
            <w:tcW w:w="5892"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708"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9"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900"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900"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677" w:type="dxa"/>
            <w:vAlign w:val="center"/>
          </w:tcPr>
          <w:p>
            <w:pPr>
              <w:spacing w:line="312" w:lineRule="auto"/>
              <w:jc w:val="center"/>
              <w:rPr>
                <w:rFonts w:ascii="宋体" w:hAnsi="宋体" w:cs="宋体"/>
                <w:sz w:val="24"/>
              </w:rPr>
            </w:pPr>
            <w:r>
              <w:rPr>
                <w:rFonts w:hint="eastAsia" w:ascii="宋体" w:hAnsi="宋体" w:cs="宋体"/>
                <w:sz w:val="24"/>
              </w:rPr>
              <w:t>养老保险</w:t>
            </w:r>
          </w:p>
        </w:tc>
        <w:tc>
          <w:tcPr>
            <w:tcW w:w="708"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rPr>
          <w:rFonts w:ascii="宋体" w:hAnsi="宋体" w:cs="宋体"/>
          <w:sz w:val="24"/>
        </w:rPr>
      </w:pPr>
      <w:bookmarkStart w:id="431" w:name="_Toc590"/>
      <w:bookmarkStart w:id="432" w:name="_Toc3522"/>
      <w:bookmarkStart w:id="433" w:name="_Toc27110"/>
      <w:bookmarkStart w:id="434" w:name="_Toc22776"/>
      <w:bookmarkStart w:id="435" w:name="_Toc26047"/>
      <w:r>
        <w:rPr>
          <w:rFonts w:hint="eastAsia" w:ascii="宋体" w:hAnsi="宋体" w:cs="宋体"/>
          <w:b/>
          <w:bCs/>
          <w:sz w:val="24"/>
        </w:rPr>
        <w:t>（二）主要人员简历表</w:t>
      </w:r>
      <w:bookmarkEnd w:id="431"/>
      <w:bookmarkEnd w:id="432"/>
      <w:bookmarkEnd w:id="433"/>
      <w:bookmarkEnd w:id="434"/>
      <w:bookmarkEnd w:id="435"/>
    </w:p>
    <w:p>
      <w:pPr>
        <w:rPr>
          <w:rFonts w:hint="eastAsia" w:ascii="宋体" w:hAnsi="宋体" w:cs="宋体"/>
          <w:b/>
          <w:sz w:val="24"/>
        </w:rPr>
      </w:pPr>
      <w:bookmarkStart w:id="436" w:name="_Toc20036"/>
      <w:bookmarkStart w:id="437" w:name="_Toc9814"/>
      <w:bookmarkStart w:id="438" w:name="_Toc23995"/>
      <w:bookmarkStart w:id="439" w:name="_Toc13679"/>
      <w:bookmarkStart w:id="440" w:name="_Toc20732"/>
    </w:p>
    <w:p>
      <w:pPr>
        <w:rPr>
          <w:rFonts w:ascii="宋体" w:hAnsi="宋体" w:cs="宋体"/>
          <w:b/>
          <w:sz w:val="24"/>
        </w:rPr>
      </w:pPr>
      <w:r>
        <w:rPr>
          <w:rFonts w:hint="eastAsia" w:ascii="宋体" w:hAnsi="宋体" w:cs="宋体"/>
          <w:b/>
          <w:sz w:val="24"/>
        </w:rPr>
        <w:t>附1：项目经理简历表</w:t>
      </w:r>
    </w:p>
    <w:p>
      <w:pPr>
        <w:spacing w:line="312" w:lineRule="auto"/>
        <w:ind w:firstLine="600" w:firstLineChars="250"/>
        <w:rPr>
          <w:rFonts w:ascii="宋体" w:hAnsi="宋体" w:cs="宋体"/>
          <w:sz w:val="24"/>
        </w:rPr>
      </w:pPr>
      <w:r>
        <w:rPr>
          <w:rFonts w:hint="eastAsia" w:ascii="宋体" w:hAnsi="宋体" w:cs="宋体"/>
          <w:sz w:val="24"/>
        </w:rPr>
        <w:t>项目经理应附项目经理身份证、注册建造师证书、继续教育证明（如有）、职称证（如有）、劳动合同、养老保险复印件及未担任其他在施建设工程项目经理的承诺书，类似项目业绩（如有）。</w:t>
      </w:r>
    </w:p>
    <w:tbl>
      <w:tblPr>
        <w:tblStyle w:val="15"/>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50" w:type="dxa"/>
            <w:vAlign w:val="center"/>
          </w:tcPr>
          <w:p>
            <w:pPr>
              <w:spacing w:line="312" w:lineRule="auto"/>
              <w:jc w:val="center"/>
              <w:rPr>
                <w:rFonts w:ascii="宋体" w:hAnsi="宋体" w:cs="宋体"/>
                <w:sz w:val="24"/>
              </w:rPr>
            </w:pPr>
            <w:r>
              <w:rPr>
                <w:rFonts w:hint="eastAsia" w:ascii="宋体" w:hAnsi="宋体" w:cs="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409"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37"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93"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80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37"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50"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bookmarkEnd w:id="436"/>
      <w:bookmarkEnd w:id="437"/>
      <w:bookmarkEnd w:id="438"/>
      <w:bookmarkEnd w:id="439"/>
      <w:bookmarkEnd w:id="440"/>
    </w:tbl>
    <w:p>
      <w:pPr>
        <w:spacing w:line="312" w:lineRule="auto"/>
        <w:rPr>
          <w:rFonts w:hint="eastAsia" w:ascii="宋体" w:hAnsi="宋体" w:cs="宋体"/>
          <w:b/>
          <w:sz w:val="24"/>
        </w:rPr>
      </w:pPr>
      <w:bookmarkStart w:id="441" w:name="_Toc29679"/>
      <w:bookmarkStart w:id="442" w:name="_Toc32193"/>
      <w:bookmarkStart w:id="443" w:name="_Toc17717"/>
      <w:bookmarkStart w:id="444" w:name="_Toc23329"/>
      <w:bookmarkStart w:id="445" w:name="_Toc5309"/>
    </w:p>
    <w:p>
      <w:pPr>
        <w:spacing w:line="312" w:lineRule="auto"/>
        <w:rPr>
          <w:rFonts w:ascii="宋体" w:hAnsi="宋体" w:cs="宋体"/>
          <w:b/>
          <w:sz w:val="24"/>
        </w:rPr>
      </w:pPr>
      <w:r>
        <w:rPr>
          <w:rFonts w:hint="eastAsia" w:ascii="宋体" w:hAnsi="宋体" w:cs="宋体"/>
          <w:b/>
          <w:sz w:val="24"/>
        </w:rPr>
        <w:t>附2：技术负责人简历表</w:t>
      </w:r>
    </w:p>
    <w:p>
      <w:pPr>
        <w:spacing w:line="312" w:lineRule="auto"/>
        <w:ind w:firstLine="600" w:firstLineChars="250"/>
        <w:rPr>
          <w:rFonts w:ascii="宋体" w:hAnsi="宋体" w:cs="宋体"/>
          <w:sz w:val="24"/>
        </w:rPr>
      </w:pPr>
    </w:p>
    <w:tbl>
      <w:tblPr>
        <w:tblStyle w:val="15"/>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394"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15"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06"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76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15"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25"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bl>
    <w:p>
      <w:pPr>
        <w:spacing w:line="312" w:lineRule="auto"/>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2"/>
        <w:ind w:firstLine="280"/>
        <w:rPr>
          <w:rFonts w:ascii="黑体" w:hAnsi="黑体" w:eastAsia="黑体" w:cs="黑体"/>
          <w:kern w:val="0"/>
          <w:sz w:val="28"/>
          <w:szCs w:val="28"/>
        </w:rPr>
      </w:pPr>
    </w:p>
    <w:p>
      <w:pPr>
        <w:pStyle w:val="9"/>
        <w:rPr>
          <w:rFonts w:ascii="宋体" w:hAnsi="宋体" w:cs="宋体"/>
          <w:sz w:val="24"/>
        </w:rPr>
      </w:pPr>
      <w:bookmarkStart w:id="446" w:name="_Toc517940894"/>
      <w:r>
        <w:rPr>
          <w:rFonts w:hint="eastAsia" w:ascii="黑体" w:hAnsi="黑体" w:cs="黑体"/>
          <w:sz w:val="28"/>
          <w:szCs w:val="28"/>
        </w:rPr>
        <w:t>七、资格证明文件</w:t>
      </w:r>
      <w:bookmarkEnd w:id="441"/>
      <w:bookmarkEnd w:id="442"/>
      <w:bookmarkEnd w:id="443"/>
      <w:bookmarkEnd w:id="444"/>
      <w:bookmarkEnd w:id="445"/>
      <w:bookmarkEnd w:id="446"/>
    </w:p>
    <w:p>
      <w:pPr>
        <w:rPr>
          <w:rFonts w:ascii="宋体" w:hAnsi="宋体" w:cs="宋体"/>
          <w:b/>
          <w:bCs/>
          <w:sz w:val="24"/>
        </w:rPr>
      </w:pPr>
      <w:bookmarkStart w:id="447" w:name="_Toc15464"/>
      <w:bookmarkStart w:id="448" w:name="_Toc1268"/>
      <w:bookmarkStart w:id="449" w:name="_Toc28368"/>
      <w:bookmarkStart w:id="450" w:name="_Toc7115"/>
      <w:bookmarkStart w:id="451" w:name="_Toc2951"/>
      <w:r>
        <w:rPr>
          <w:rFonts w:hint="eastAsia" w:ascii="宋体" w:hAnsi="宋体" w:cs="宋体"/>
          <w:b/>
          <w:bCs/>
          <w:sz w:val="24"/>
        </w:rPr>
        <w:t>（一）投标人基本情况表</w:t>
      </w:r>
      <w:bookmarkEnd w:id="447"/>
      <w:bookmarkEnd w:id="448"/>
      <w:bookmarkEnd w:id="449"/>
      <w:bookmarkEnd w:id="450"/>
      <w:bookmarkEnd w:id="451"/>
    </w:p>
    <w:tbl>
      <w:tblPr>
        <w:tblStyle w:val="15"/>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90"/>
        <w:gridCol w:w="426"/>
        <w:gridCol w:w="702"/>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投标人名称</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注册地址</w:t>
            </w:r>
          </w:p>
        </w:tc>
        <w:tc>
          <w:tcPr>
            <w:tcW w:w="3389" w:type="dxa"/>
            <w:gridSpan w:val="6"/>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邮政编码</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Merge w:val="restart"/>
            <w:vAlign w:val="center"/>
          </w:tcPr>
          <w:p>
            <w:pPr>
              <w:spacing w:line="312" w:lineRule="auto"/>
              <w:jc w:val="left"/>
              <w:rPr>
                <w:rFonts w:ascii="宋体" w:hAnsi="宋体" w:cs="宋体"/>
                <w:sz w:val="24"/>
              </w:rPr>
            </w:pPr>
            <w:r>
              <w:rPr>
                <w:rFonts w:hint="eastAsia" w:ascii="宋体" w:hAnsi="宋体" w:cs="宋体"/>
                <w:sz w:val="24"/>
              </w:rPr>
              <w:t>联系方式</w:t>
            </w: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联系人</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电  话</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Merge w:val="continue"/>
            <w:vAlign w:val="center"/>
          </w:tcPr>
          <w:p>
            <w:pPr>
              <w:spacing w:line="312" w:lineRule="auto"/>
              <w:jc w:val="left"/>
              <w:rPr>
                <w:rFonts w:ascii="宋体" w:hAnsi="宋体" w:cs="宋体"/>
                <w:sz w:val="24"/>
              </w:rPr>
            </w:pP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传  真</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网  址</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组织结构</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法定代表人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技术负责人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成立时间</w:t>
            </w:r>
          </w:p>
        </w:tc>
        <w:tc>
          <w:tcPr>
            <w:tcW w:w="1918" w:type="dxa"/>
            <w:gridSpan w:val="3"/>
            <w:vAlign w:val="center"/>
          </w:tcPr>
          <w:p>
            <w:pPr>
              <w:spacing w:line="312" w:lineRule="auto"/>
              <w:jc w:val="center"/>
              <w:rPr>
                <w:rFonts w:ascii="宋体" w:hAnsi="宋体" w:cs="宋体"/>
                <w:sz w:val="24"/>
              </w:rPr>
            </w:pPr>
          </w:p>
        </w:tc>
        <w:tc>
          <w:tcPr>
            <w:tcW w:w="5102" w:type="dxa"/>
            <w:gridSpan w:val="7"/>
            <w:vAlign w:val="center"/>
          </w:tcPr>
          <w:p>
            <w:pPr>
              <w:spacing w:line="312" w:lineRule="auto"/>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企业资质等级</w:t>
            </w:r>
          </w:p>
        </w:tc>
        <w:tc>
          <w:tcPr>
            <w:tcW w:w="1918" w:type="dxa"/>
            <w:gridSpan w:val="3"/>
            <w:vAlign w:val="center"/>
          </w:tcPr>
          <w:p>
            <w:pPr>
              <w:spacing w:line="312" w:lineRule="auto"/>
              <w:jc w:val="center"/>
              <w:rPr>
                <w:rFonts w:ascii="宋体" w:hAnsi="宋体" w:cs="宋体"/>
                <w:sz w:val="24"/>
              </w:rPr>
            </w:pPr>
          </w:p>
        </w:tc>
        <w:tc>
          <w:tcPr>
            <w:tcW w:w="993" w:type="dxa"/>
            <w:vMerge w:val="restart"/>
            <w:vAlign w:val="center"/>
          </w:tcPr>
          <w:p>
            <w:pPr>
              <w:spacing w:line="312" w:lineRule="auto"/>
              <w:jc w:val="center"/>
              <w:rPr>
                <w:rFonts w:ascii="宋体" w:hAnsi="宋体" w:cs="宋体"/>
                <w:sz w:val="24"/>
              </w:rPr>
            </w:pPr>
            <w:r>
              <w:rPr>
                <w:rFonts w:hint="eastAsia" w:ascii="宋体" w:hAnsi="宋体" w:cs="宋体"/>
                <w:sz w:val="24"/>
              </w:rPr>
              <w:t>其中</w:t>
            </w: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项目经理</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营业执照号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高级职称人员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注册资金</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中级职称人员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开户银行</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初级职称人员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账号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技  工</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经营范围</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备注</w:t>
            </w:r>
          </w:p>
        </w:tc>
        <w:tc>
          <w:tcPr>
            <w:tcW w:w="7020" w:type="dxa"/>
            <w:gridSpan w:val="10"/>
            <w:vAlign w:val="center"/>
          </w:tcPr>
          <w:p>
            <w:pPr>
              <w:spacing w:line="312" w:lineRule="auto"/>
              <w:jc w:val="center"/>
              <w:rPr>
                <w:rFonts w:ascii="宋体" w:hAnsi="宋体" w:cs="宋体"/>
                <w:sz w:val="24"/>
              </w:rPr>
            </w:pPr>
          </w:p>
        </w:tc>
      </w:tr>
    </w:tbl>
    <w:p>
      <w:pPr>
        <w:rPr>
          <w:rFonts w:ascii="宋体" w:hAnsi="宋体" w:cs="宋体"/>
          <w:kern w:val="0"/>
          <w:sz w:val="24"/>
        </w:rPr>
      </w:pPr>
      <w:bookmarkStart w:id="452" w:name="_Toc28785"/>
      <w:bookmarkStart w:id="453" w:name="_Toc6846"/>
      <w:bookmarkStart w:id="454" w:name="_Toc2791"/>
      <w:bookmarkStart w:id="455" w:name="_Toc25724"/>
      <w:bookmarkStart w:id="456" w:name="_Toc6643"/>
      <w:r>
        <w:rPr>
          <w:rFonts w:hint="eastAsia" w:ascii="宋体" w:hAnsi="宋体" w:cs="宋体"/>
          <w:kern w:val="0"/>
          <w:sz w:val="24"/>
        </w:rPr>
        <w:br w:type="page"/>
      </w:r>
      <w:bookmarkEnd w:id="452"/>
      <w:bookmarkEnd w:id="453"/>
      <w:bookmarkEnd w:id="454"/>
      <w:bookmarkEnd w:id="455"/>
      <w:bookmarkEnd w:id="456"/>
      <w:r>
        <w:rPr>
          <w:rFonts w:hint="eastAsia" w:ascii="宋体" w:hAnsi="宋体" w:cs="宋体"/>
          <w:b/>
          <w:bCs/>
          <w:kern w:val="0"/>
          <w:sz w:val="24"/>
        </w:rPr>
        <w:t>（二）服务承诺书</w:t>
      </w:r>
    </w:p>
    <w:p>
      <w:pPr>
        <w:autoSpaceDE w:val="0"/>
        <w:autoSpaceDN w:val="0"/>
        <w:adjustRightInd w:val="0"/>
        <w:spacing w:line="312" w:lineRule="auto"/>
        <w:jc w:val="left"/>
        <w:rPr>
          <w:rFonts w:ascii="宋体" w:hAnsi="宋体" w:cs="宋体"/>
          <w:kern w:val="0"/>
          <w:sz w:val="24"/>
        </w:rPr>
      </w:pPr>
    </w:p>
    <w:tbl>
      <w:tblPr>
        <w:tblStyle w:val="1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57" w:type="dxa"/>
            <w:vAlign w:val="center"/>
          </w:tcPr>
          <w:p>
            <w:pPr>
              <w:spacing w:line="312" w:lineRule="auto"/>
              <w:rPr>
                <w:rFonts w:ascii="宋体" w:hAnsi="宋体" w:cs="宋体"/>
                <w:sz w:val="24"/>
              </w:rPr>
            </w:pPr>
            <w:bookmarkStart w:id="457" w:name="_Toc1890"/>
            <w:bookmarkStart w:id="458" w:name="_Toc26172"/>
            <w:bookmarkStart w:id="459" w:name="_Toc28062"/>
            <w:bookmarkStart w:id="460" w:name="_Toc23283"/>
            <w:bookmarkStart w:id="461" w:name="_Toc25113"/>
            <w:r>
              <w:rPr>
                <w:rFonts w:hint="eastAsia" w:ascii="宋体" w:hAnsi="宋体" w:cs="宋体"/>
                <w:sz w:val="24"/>
              </w:rPr>
              <w:t>投  标  单 位</w:t>
            </w:r>
          </w:p>
        </w:tc>
        <w:tc>
          <w:tcPr>
            <w:tcW w:w="7083" w:type="dxa"/>
            <w:vAlign w:val="center"/>
          </w:tcPr>
          <w:p>
            <w:pPr>
              <w:spacing w:line="312" w:lineRule="auto"/>
              <w:jc w:val="center"/>
              <w:rPr>
                <w:rFonts w:ascii="宋体" w:hAnsi="宋体" w:cs="宋体"/>
                <w:sz w:val="24"/>
              </w:rPr>
            </w:pPr>
            <w:r>
              <w:rPr>
                <w:rFonts w:hint="eastAsia" w:ascii="宋体" w:hAnsi="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140" w:type="dxa"/>
            <w:gridSpan w:val="2"/>
            <w:tcBorders>
              <w:bottom w:val="single" w:color="auto" w:sz="4" w:space="0"/>
            </w:tcBorders>
          </w:tcPr>
          <w:p>
            <w:pPr>
              <w:spacing w:line="312" w:lineRule="auto"/>
              <w:rPr>
                <w:rFonts w:ascii="宋体" w:hAnsi="宋体" w:cs="宋体"/>
                <w:sz w:val="24"/>
              </w:rPr>
            </w:pPr>
            <w:r>
              <w:rPr>
                <w:rFonts w:hint="eastAsia" w:ascii="宋体" w:hAnsi="宋体" w:cs="宋体"/>
                <w:sz w:val="24"/>
              </w:rPr>
              <w:t>承诺内容：</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ind w:firstLine="2400" w:firstLineChars="1000"/>
              <w:rPr>
                <w:rFonts w:ascii="宋体" w:hAnsi="宋体" w:cs="宋体"/>
                <w:sz w:val="24"/>
              </w:rPr>
            </w:pPr>
          </w:p>
          <w:p>
            <w:pPr>
              <w:spacing w:line="312" w:lineRule="auto"/>
              <w:ind w:firstLine="2400" w:firstLineChars="1000"/>
              <w:jc w:val="right"/>
              <w:rPr>
                <w:rFonts w:ascii="宋体" w:hAnsi="宋体" w:cs="宋体"/>
                <w:sz w:val="24"/>
              </w:rPr>
            </w:pPr>
            <w:r>
              <w:rPr>
                <w:rFonts w:hint="eastAsia" w:ascii="宋体" w:hAnsi="宋体" w:cs="宋体"/>
                <w:sz w:val="24"/>
              </w:rPr>
              <w:t>投标人法定代表人或授权委托人：（签字或盖章）</w:t>
            </w:r>
          </w:p>
          <w:p>
            <w:pPr>
              <w:spacing w:line="312" w:lineRule="auto"/>
              <w:ind w:firstLine="960" w:firstLineChars="400"/>
              <w:jc w:val="right"/>
              <w:rPr>
                <w:rFonts w:ascii="宋体" w:hAnsi="宋体" w:cs="宋体"/>
                <w:sz w:val="24"/>
              </w:rPr>
            </w:pPr>
          </w:p>
          <w:p>
            <w:pPr>
              <w:tabs>
                <w:tab w:val="center" w:pos="4535"/>
              </w:tabs>
              <w:spacing w:line="312" w:lineRule="auto"/>
              <w:ind w:firstLine="3240" w:firstLineChars="1350"/>
              <w:jc w:val="right"/>
              <w:rPr>
                <w:rFonts w:ascii="宋体" w:hAnsi="宋体" w:cs="宋体"/>
                <w:sz w:val="24"/>
              </w:rPr>
            </w:pPr>
            <w:r>
              <w:rPr>
                <w:rFonts w:hint="eastAsia" w:ascii="宋体" w:hAnsi="宋体" w:cs="宋体"/>
                <w:sz w:val="24"/>
              </w:rPr>
              <w:t>日期：   年    月     日</w:t>
            </w:r>
            <w:r>
              <w:rPr>
                <w:rFonts w:hint="eastAsia" w:ascii="宋体" w:hAnsi="宋体" w:cs="宋体"/>
                <w:sz w:val="24"/>
              </w:rPr>
              <w:tab/>
            </w:r>
          </w:p>
        </w:tc>
      </w:tr>
    </w:tbl>
    <w:p>
      <w:pPr>
        <w:spacing w:line="312" w:lineRule="auto"/>
      </w:pPr>
    </w:p>
    <w:bookmarkEnd w:id="457"/>
    <w:bookmarkEnd w:id="458"/>
    <w:bookmarkEnd w:id="459"/>
    <w:bookmarkEnd w:id="460"/>
    <w:bookmarkEnd w:id="461"/>
    <w:p>
      <w:pPr>
        <w:spacing w:line="312" w:lineRule="auto"/>
      </w:pPr>
      <w:bookmarkStart w:id="462" w:name="_Toc17947"/>
      <w:bookmarkStart w:id="463" w:name="_Toc2992"/>
      <w:bookmarkStart w:id="464" w:name="_Toc18027"/>
      <w:bookmarkStart w:id="465" w:name="_Toc3076"/>
      <w:bookmarkStart w:id="466" w:name="_Toc8776"/>
    </w:p>
    <w:bookmarkEnd w:id="462"/>
    <w:bookmarkEnd w:id="463"/>
    <w:bookmarkEnd w:id="464"/>
    <w:bookmarkEnd w:id="465"/>
    <w:bookmarkEnd w:id="466"/>
    <w:p>
      <w:pPr>
        <w:spacing w:line="312" w:lineRule="auto"/>
      </w:pPr>
      <w:bookmarkStart w:id="467" w:name="_Toc31783"/>
      <w:bookmarkStart w:id="468" w:name="_Toc389"/>
      <w:bookmarkStart w:id="469" w:name="_Toc10712"/>
      <w:bookmarkStart w:id="470" w:name="_Toc30171"/>
    </w:p>
    <w:p>
      <w:pPr>
        <w:spacing w:line="312" w:lineRule="auto"/>
      </w:pPr>
    </w:p>
    <w:p>
      <w:pPr>
        <w:pStyle w:val="9"/>
        <w:jc w:val="center"/>
        <w:rPr>
          <w:rFonts w:ascii="黑体" w:hAnsi="黑体" w:cs="黑体"/>
          <w:sz w:val="28"/>
          <w:szCs w:val="28"/>
        </w:rPr>
      </w:pPr>
      <w:bookmarkStart w:id="471" w:name="_Toc965"/>
      <w:bookmarkStart w:id="472" w:name="_Toc517940895"/>
      <w:r>
        <w:rPr>
          <w:rFonts w:hint="eastAsia" w:ascii="黑体" w:hAnsi="黑体" w:cs="黑体"/>
          <w:sz w:val="28"/>
          <w:szCs w:val="28"/>
        </w:rPr>
        <w:t>八、近年财务状况</w:t>
      </w:r>
      <w:bookmarkEnd w:id="467"/>
      <w:bookmarkEnd w:id="468"/>
      <w:bookmarkEnd w:id="469"/>
      <w:bookmarkEnd w:id="470"/>
      <w:bookmarkEnd w:id="471"/>
      <w:bookmarkEnd w:id="472"/>
    </w:p>
    <w:p>
      <w:pPr>
        <w:spacing w:line="312" w:lineRule="auto"/>
        <w:ind w:left="720" w:hanging="720" w:hangingChars="300"/>
        <w:rPr>
          <w:rFonts w:ascii="宋体" w:hAnsi="宋体" w:cs="宋体"/>
          <w:sz w:val="24"/>
        </w:rPr>
      </w:pPr>
      <w:r>
        <w:rPr>
          <w:rFonts w:hint="eastAsia" w:ascii="宋体" w:hAnsi="宋体" w:cs="宋体"/>
          <w:sz w:val="24"/>
        </w:rPr>
        <w:t>备注：在此附经会计师事务所或审计机构审计的财务会计报表，包括资产负债表、损益表、现金流量表、利润表和财务情况说明书的原件扫描件或彩色图片，具体年份要求见第二章“投标人须知”的规定。</w:t>
      </w:r>
    </w:p>
    <w:p>
      <w:pPr>
        <w:pStyle w:val="9"/>
        <w:rPr>
          <w:rFonts w:ascii="宋体" w:hAnsi="宋体" w:cs="宋体"/>
          <w:sz w:val="28"/>
          <w:szCs w:val="28"/>
        </w:rPr>
      </w:pPr>
      <w:r>
        <w:rPr>
          <w:rFonts w:hint="eastAsia" w:ascii="宋体" w:hAnsi="宋体" w:cs="宋体"/>
          <w:sz w:val="24"/>
        </w:rPr>
        <w:br w:type="page"/>
      </w:r>
      <w:bookmarkStart w:id="473" w:name="_Toc21593"/>
      <w:bookmarkStart w:id="474" w:name="_Toc15075"/>
      <w:bookmarkStart w:id="475" w:name="_Toc16611"/>
      <w:bookmarkStart w:id="476" w:name="_Toc15031"/>
      <w:bookmarkStart w:id="477" w:name="_Toc18551"/>
      <w:bookmarkStart w:id="478" w:name="_Toc517940896"/>
      <w:r>
        <w:rPr>
          <w:rFonts w:hint="eastAsia" w:ascii="黑体" w:hAnsi="黑体" w:cs="黑体"/>
          <w:sz w:val="28"/>
          <w:szCs w:val="28"/>
        </w:rPr>
        <w:t>九、近年完成的类似项目情况</w:t>
      </w:r>
      <w:bookmarkEnd w:id="473"/>
      <w:bookmarkEnd w:id="474"/>
      <w:bookmarkEnd w:id="475"/>
      <w:bookmarkEnd w:id="476"/>
      <w:bookmarkEnd w:id="477"/>
      <w:bookmarkEnd w:id="478"/>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发包人联系人及电话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合同价格</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竣工日期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项目经理</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4" w:type="dxa"/>
            <w:vAlign w:val="center"/>
          </w:tcPr>
          <w:p>
            <w:pPr>
              <w:spacing w:line="312" w:lineRule="auto"/>
              <w:jc w:val="center"/>
              <w:rPr>
                <w:rFonts w:ascii="宋体" w:hAnsi="宋体" w:cs="宋体"/>
                <w:sz w:val="24"/>
              </w:rPr>
            </w:pPr>
          </w:p>
        </w:tc>
      </w:tr>
    </w:tbl>
    <w:p>
      <w:pPr>
        <w:pStyle w:val="9"/>
        <w:rPr>
          <w:rFonts w:ascii="黑体" w:hAnsi="黑体" w:cs="黑体"/>
          <w:sz w:val="28"/>
          <w:szCs w:val="28"/>
        </w:rPr>
      </w:pPr>
      <w:r>
        <w:rPr>
          <w:rFonts w:hint="eastAsia" w:ascii="宋体" w:hAnsi="宋体" w:cs="宋体"/>
          <w:sz w:val="24"/>
        </w:rPr>
        <w:br w:type="page"/>
      </w:r>
      <w:bookmarkStart w:id="479" w:name="_Toc7014"/>
      <w:bookmarkStart w:id="480" w:name="_Toc49"/>
      <w:bookmarkStart w:id="481" w:name="_Toc18092"/>
      <w:bookmarkStart w:id="482" w:name="_Toc517940897"/>
      <w:bookmarkStart w:id="483" w:name="_Toc8051"/>
      <w:bookmarkStart w:id="484" w:name="_Toc21600"/>
      <w:r>
        <w:rPr>
          <w:rFonts w:hint="eastAsia" w:ascii="黑体" w:hAnsi="黑体" w:cs="黑体"/>
          <w:sz w:val="28"/>
          <w:szCs w:val="28"/>
        </w:rPr>
        <w:t>十、正在施工的和新承接的项目情况</w:t>
      </w:r>
      <w:bookmarkEnd w:id="479"/>
      <w:bookmarkEnd w:id="480"/>
      <w:bookmarkEnd w:id="481"/>
      <w:bookmarkEnd w:id="482"/>
      <w:bookmarkEnd w:id="483"/>
      <w:bookmarkEnd w:id="484"/>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签约合同价</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计划竣工日期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项目经理</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3"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5" w:type="dxa"/>
            <w:vAlign w:val="center"/>
          </w:tcPr>
          <w:p>
            <w:pPr>
              <w:spacing w:line="312" w:lineRule="auto"/>
              <w:jc w:val="center"/>
              <w:rPr>
                <w:rFonts w:ascii="宋体" w:hAnsi="宋体" w:cs="宋体"/>
                <w:sz w:val="24"/>
              </w:rPr>
            </w:pPr>
          </w:p>
        </w:tc>
      </w:tr>
    </w:tbl>
    <w:p>
      <w:pPr>
        <w:spacing w:line="312" w:lineRule="auto"/>
        <w:ind w:firstLine="240" w:firstLineChars="100"/>
        <w:rPr>
          <w:rFonts w:ascii="宋体" w:hAnsi="宋体" w:cs="宋体"/>
          <w:sz w:val="24"/>
          <w:highlight w:val="yellow"/>
        </w:rPr>
      </w:pPr>
      <w:r>
        <w:rPr>
          <w:rFonts w:hint="eastAsia" w:ascii="宋体" w:hAnsi="宋体" w:cs="宋体"/>
          <w:sz w:val="24"/>
        </w:rPr>
        <w:t>备注：每张表格只填写一个项目，并标明序号。</w:t>
      </w:r>
    </w:p>
    <w:p>
      <w:pPr>
        <w:pStyle w:val="9"/>
        <w:rPr>
          <w:rFonts w:ascii="宋体" w:hAnsi="宋体" w:eastAsia="宋体" w:cs="宋体"/>
          <w:b w:val="0"/>
          <w:bCs w:val="0"/>
          <w:kern w:val="2"/>
          <w:sz w:val="24"/>
          <w:szCs w:val="24"/>
        </w:rPr>
      </w:pPr>
      <w:bookmarkStart w:id="485" w:name="_Toc23559"/>
      <w:bookmarkStart w:id="486" w:name="_Toc25001"/>
      <w:bookmarkStart w:id="487" w:name="_Toc10462"/>
      <w:bookmarkStart w:id="488" w:name="_Toc31962"/>
      <w:r>
        <w:rPr>
          <w:rFonts w:hint="eastAsia" w:ascii="宋体" w:hAnsi="宋体" w:cs="宋体"/>
          <w:sz w:val="24"/>
        </w:rPr>
        <w:br w:type="page"/>
      </w:r>
      <w:bookmarkStart w:id="489" w:name="_Toc517940898"/>
      <w:bookmarkStart w:id="490" w:name="_Toc19843"/>
      <w:r>
        <w:rPr>
          <w:rFonts w:hint="eastAsia" w:ascii="黑体" w:hAnsi="黑体" w:cs="黑体"/>
          <w:sz w:val="28"/>
          <w:szCs w:val="28"/>
        </w:rPr>
        <w:t>十一、</w:t>
      </w:r>
      <w:bookmarkEnd w:id="485"/>
      <w:bookmarkEnd w:id="486"/>
      <w:bookmarkEnd w:id="487"/>
      <w:bookmarkEnd w:id="488"/>
      <w:bookmarkEnd w:id="489"/>
      <w:bookmarkEnd w:id="490"/>
      <w:bookmarkStart w:id="491" w:name="_Toc29877"/>
      <w:bookmarkStart w:id="492" w:name="_Toc10922"/>
      <w:bookmarkStart w:id="493" w:name="_Toc13881"/>
      <w:bookmarkStart w:id="494" w:name="_Toc24665"/>
      <w:bookmarkStart w:id="495" w:name="_Toc31843"/>
      <w:r>
        <w:rPr>
          <w:rFonts w:hint="eastAsia" w:ascii="黑体" w:hAnsi="黑体" w:cs="黑体"/>
          <w:sz w:val="28"/>
          <w:szCs w:val="28"/>
        </w:rPr>
        <w:t>承诺书</w:t>
      </w:r>
    </w:p>
    <w:p>
      <w:pPr>
        <w:pStyle w:val="9"/>
        <w:rPr>
          <w:rFonts w:ascii="宋体" w:hAnsi="宋体" w:eastAsia="宋体" w:cs="宋体"/>
          <w:b w:val="0"/>
          <w:bCs w:val="0"/>
          <w:kern w:val="2"/>
          <w:sz w:val="24"/>
          <w:szCs w:val="24"/>
        </w:rPr>
      </w:pPr>
    </w:p>
    <w:p>
      <w:pPr>
        <w:pStyle w:val="9"/>
        <w:rPr>
          <w:rFonts w:ascii="宋体" w:hAnsi="宋体" w:cs="宋体"/>
          <w:position w:val="-7"/>
          <w:sz w:val="24"/>
        </w:rPr>
      </w:pPr>
      <w:bookmarkStart w:id="496" w:name="_Toc517940900"/>
      <w:r>
        <w:rPr>
          <w:rFonts w:hint="eastAsia" w:ascii="黑体" w:hAnsi="黑体" w:cs="黑体"/>
          <w:sz w:val="28"/>
          <w:szCs w:val="28"/>
        </w:rPr>
        <w:t>十二、</w:t>
      </w:r>
      <w:bookmarkEnd w:id="491"/>
      <w:bookmarkEnd w:id="492"/>
      <w:bookmarkEnd w:id="493"/>
      <w:bookmarkEnd w:id="494"/>
      <w:bookmarkEnd w:id="495"/>
      <w:bookmarkEnd w:id="496"/>
      <w:r>
        <w:rPr>
          <w:rFonts w:hint="eastAsia" w:ascii="黑体" w:hAnsi="黑体" w:cs="黑体"/>
          <w:sz w:val="28"/>
          <w:szCs w:val="28"/>
        </w:rPr>
        <w:t>投标人须知前附表规定的其它材料</w:t>
      </w:r>
    </w:p>
    <w:p>
      <w:pPr>
        <w:spacing w:line="312" w:lineRule="auto"/>
        <w:jc w:val="right"/>
        <w:rPr>
          <w:rFonts w:ascii="黑体" w:hAnsi="宋体" w:eastAsia="黑体"/>
          <w:sz w:val="28"/>
          <w:szCs w:val="28"/>
        </w:rPr>
      </w:pPr>
      <w:bookmarkStart w:id="497" w:name="_Toc30480"/>
      <w:bookmarkStart w:id="498" w:name="_Toc14405"/>
      <w:bookmarkStart w:id="499" w:name="_Toc21067"/>
      <w:bookmarkStart w:id="500" w:name="_Toc2136"/>
    </w:p>
    <w:p>
      <w:pPr>
        <w:spacing w:line="312" w:lineRule="auto"/>
      </w:pPr>
    </w:p>
    <w:p>
      <w:pPr>
        <w:spacing w:line="312" w:lineRule="auto"/>
        <w:ind w:left="840" w:hanging="840" w:hangingChars="300"/>
        <w:jc w:val="left"/>
        <w:outlineLvl w:val="1"/>
        <w:rPr>
          <w:rFonts w:ascii="黑体" w:hAnsi="黑体" w:eastAsia="黑体" w:cs="黑体"/>
          <w:kern w:val="0"/>
          <w:sz w:val="28"/>
          <w:szCs w:val="28"/>
        </w:rPr>
      </w:pPr>
      <w:r>
        <w:rPr>
          <w:rFonts w:hint="eastAsia" w:ascii="黑体" w:hAnsi="黑体" w:eastAsia="黑体" w:cs="黑体"/>
          <w:kern w:val="0"/>
          <w:sz w:val="28"/>
          <w:szCs w:val="28"/>
        </w:rPr>
        <w:t>附表：             投标人主要参建人员备案表</w:t>
      </w:r>
    </w:p>
    <w:p>
      <w:pPr>
        <w:spacing w:line="312" w:lineRule="auto"/>
        <w:ind w:left="840" w:hanging="840" w:hangingChars="300"/>
        <w:jc w:val="left"/>
        <w:outlineLvl w:val="1"/>
        <w:rPr>
          <w:rFonts w:ascii="黑体" w:hAnsi="黑体" w:eastAsia="黑体" w:cs="黑体"/>
          <w:kern w:val="0"/>
          <w:sz w:val="28"/>
          <w:szCs w:val="28"/>
        </w:rPr>
      </w:pPr>
    </w:p>
    <w:tbl>
      <w:tblPr>
        <w:tblStyle w:val="15"/>
        <w:tblW w:w="6828" w:type="dxa"/>
        <w:tblInd w:w="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760"/>
        <w:gridCol w:w="1760"/>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姓名</w:t>
            </w:r>
          </w:p>
        </w:tc>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拟任职务</w:t>
            </w:r>
          </w:p>
        </w:tc>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身份证号</w:t>
            </w:r>
          </w:p>
        </w:tc>
        <w:tc>
          <w:tcPr>
            <w:tcW w:w="1548"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r>
    </w:tbl>
    <w:p>
      <w:pPr>
        <w:spacing w:line="312" w:lineRule="auto"/>
      </w:pPr>
    </w:p>
    <w:bookmarkEnd w:id="497"/>
    <w:bookmarkEnd w:id="498"/>
    <w:bookmarkEnd w:id="499"/>
    <w:bookmarkEnd w:id="500"/>
    <w:p/>
    <w:sectPr>
      <w:headerReference r:id="rId7" w:type="default"/>
      <w:pgSz w:w="11906" w:h="16838"/>
      <w:pgMar w:top="1304" w:right="1304" w:bottom="1304" w:left="130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1250"/>
      <w:docPartObj>
        <w:docPartGallery w:val="autotext"/>
      </w:docPartObj>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7"/>
      </w:rPr>
    </w:pPr>
    <w:r>
      <w:fldChar w:fldCharType="begin"/>
    </w:r>
    <w:r>
      <w:rPr>
        <w:rStyle w:val="17"/>
      </w:rPr>
      <w:instrText xml:space="preserve">PAGE  </w:instrText>
    </w:r>
    <w:r>
      <w:fldChar w:fldCharType="separate"/>
    </w:r>
    <w:r>
      <w:rPr>
        <w:rStyle w:val="17"/>
      </w:rPr>
      <w:t>3</w: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991250"/>
                            <w:docPartObj>
                              <w:docPartGallery w:val="autotext"/>
                            </w:docPartObj>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5991250"/>
                      <w:docPartObj>
                        <w:docPartGallery w:val="autotext"/>
                      </w:docPartObj>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right" w:pos="935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354"/>
      </w:tabs>
      <w:ind w:firstLine="3072" w:firstLineChars="1700"/>
      <w:jc w:val="both"/>
      <w:rPr>
        <w:rFonts w:ascii="楷体" w:hAnsi="楷体" w:eastAsia="楷体"/>
        <w:b/>
        <w:i/>
      </w:rPr>
    </w:pPr>
    <w:r>
      <w:rPr>
        <w:rFonts w:hint="eastAsia" w:ascii="楷体" w:hAnsi="楷体" w:eastAsia="楷体"/>
        <w:b/>
        <w:i/>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91B41"/>
    <w:multiLevelType w:val="singleLevel"/>
    <w:tmpl w:val="91491B41"/>
    <w:lvl w:ilvl="0" w:tentative="0">
      <w:start w:val="8"/>
      <w:numFmt w:val="chineseCounting"/>
      <w:suff w:val="space"/>
      <w:lvlText w:val="第%1章"/>
      <w:lvlJc w:val="left"/>
      <w:rPr>
        <w:rFonts w:hint="eastAsia"/>
      </w:rPr>
    </w:lvl>
  </w:abstractNum>
  <w:abstractNum w:abstractNumId="1">
    <w:nsid w:val="B9EEE9E7"/>
    <w:multiLevelType w:val="singleLevel"/>
    <w:tmpl w:val="B9EEE9E7"/>
    <w:lvl w:ilvl="0" w:tentative="0">
      <w:start w:val="5"/>
      <w:numFmt w:val="decimal"/>
      <w:suff w:val="nothing"/>
      <w:lvlText w:val="%1、"/>
      <w:lvlJc w:val="left"/>
    </w:lvl>
  </w:abstractNum>
  <w:abstractNum w:abstractNumId="2">
    <w:nsid w:val="EA254172"/>
    <w:multiLevelType w:val="singleLevel"/>
    <w:tmpl w:val="EA254172"/>
    <w:lvl w:ilvl="0" w:tentative="0">
      <w:start w:val="3"/>
      <w:numFmt w:val="decimal"/>
      <w:suff w:val="nothing"/>
      <w:lvlText w:val="%1、"/>
      <w:lvlJc w:val="left"/>
    </w:lvl>
  </w:abstractNum>
  <w:abstractNum w:abstractNumId="3">
    <w:nsid w:val="5278B250"/>
    <w:multiLevelType w:val="singleLevel"/>
    <w:tmpl w:val="5278B250"/>
    <w:lvl w:ilvl="0" w:tentative="0">
      <w:start w:val="1"/>
      <w:numFmt w:val="decimal"/>
      <w:suff w:val="nothing"/>
      <w:lvlText w:val="（%1）"/>
      <w:lvlJc w:val="left"/>
    </w:lvl>
  </w:abstractNum>
  <w:abstractNum w:abstractNumId="4">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B20290"/>
    <w:multiLevelType w:val="singleLevel"/>
    <w:tmpl w:val="59B20290"/>
    <w:lvl w:ilvl="0" w:tentative="0">
      <w:start w:val="1"/>
      <w:numFmt w:val="decimal"/>
      <w:suff w:val="nothing"/>
      <w:lvlText w:val="%1、"/>
      <w:lvlJc w:val="left"/>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01D35"/>
    <w:rsid w:val="010E2631"/>
    <w:rsid w:val="03726D1E"/>
    <w:rsid w:val="077C066D"/>
    <w:rsid w:val="08D6357F"/>
    <w:rsid w:val="0D5F5F6B"/>
    <w:rsid w:val="0EE01D35"/>
    <w:rsid w:val="116069B9"/>
    <w:rsid w:val="12184F52"/>
    <w:rsid w:val="13DC3F1F"/>
    <w:rsid w:val="14325E41"/>
    <w:rsid w:val="14FE0BD0"/>
    <w:rsid w:val="19DA5329"/>
    <w:rsid w:val="1F2C65BB"/>
    <w:rsid w:val="21A4622F"/>
    <w:rsid w:val="260F2282"/>
    <w:rsid w:val="27293A13"/>
    <w:rsid w:val="2B8E4392"/>
    <w:rsid w:val="2B936CA7"/>
    <w:rsid w:val="2EE13544"/>
    <w:rsid w:val="30E74C9C"/>
    <w:rsid w:val="3531170B"/>
    <w:rsid w:val="37980937"/>
    <w:rsid w:val="386859C2"/>
    <w:rsid w:val="3936077D"/>
    <w:rsid w:val="39534901"/>
    <w:rsid w:val="3A0A3DC7"/>
    <w:rsid w:val="3A9A4707"/>
    <w:rsid w:val="3C9D44EE"/>
    <w:rsid w:val="3E626A37"/>
    <w:rsid w:val="45635A62"/>
    <w:rsid w:val="462E5C6D"/>
    <w:rsid w:val="476F442D"/>
    <w:rsid w:val="480A7412"/>
    <w:rsid w:val="488C3D03"/>
    <w:rsid w:val="48DD6CB6"/>
    <w:rsid w:val="4C8F48B8"/>
    <w:rsid w:val="4CB374BC"/>
    <w:rsid w:val="4FE32137"/>
    <w:rsid w:val="503B549A"/>
    <w:rsid w:val="54AD7FA8"/>
    <w:rsid w:val="56864E28"/>
    <w:rsid w:val="56946EEC"/>
    <w:rsid w:val="592E1715"/>
    <w:rsid w:val="5A821271"/>
    <w:rsid w:val="5ABD751A"/>
    <w:rsid w:val="5CB51A55"/>
    <w:rsid w:val="5D9B311D"/>
    <w:rsid w:val="624B21CF"/>
    <w:rsid w:val="627D1A45"/>
    <w:rsid w:val="669B3E01"/>
    <w:rsid w:val="6733738E"/>
    <w:rsid w:val="67E06AB4"/>
    <w:rsid w:val="691B691B"/>
    <w:rsid w:val="6BDD0454"/>
    <w:rsid w:val="6F935649"/>
    <w:rsid w:val="744A607A"/>
    <w:rsid w:val="74CB79D6"/>
    <w:rsid w:val="76D56967"/>
    <w:rsid w:val="77937906"/>
    <w:rsid w:val="7A36629F"/>
    <w:rsid w:val="7E44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spacing w:before="340" w:after="330" w:line="576" w:lineRule="auto"/>
      <w:outlineLvl w:val="0"/>
    </w:pPr>
    <w:rPr>
      <w:b/>
      <w:bCs/>
      <w:kern w:val="44"/>
      <w:sz w:val="44"/>
      <w:szCs w:val="44"/>
    </w:rPr>
  </w:style>
  <w:style w:type="paragraph" w:styleId="9">
    <w:name w:val="heading 2"/>
    <w:basedOn w:val="1"/>
    <w:next w:val="1"/>
    <w:link w:val="22"/>
    <w:qFormat/>
    <w:uiPriority w:val="0"/>
    <w:pPr>
      <w:keepNext/>
      <w:keepLines/>
      <w:spacing w:before="260" w:after="260" w:line="413" w:lineRule="auto"/>
      <w:outlineLvl w:val="1"/>
    </w:pPr>
    <w:rPr>
      <w:rFonts w:ascii="Arial" w:hAnsi="Arial" w:eastAsia="黑体"/>
      <w:b/>
      <w:bCs/>
      <w:kern w:val="0"/>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qFormat/>
    <w:uiPriority w:val="0"/>
    <w:pPr>
      <w:ind w:firstLine="420" w:firstLineChars="200"/>
    </w:pPr>
  </w:style>
  <w:style w:type="paragraph" w:styleId="7">
    <w:name w:val="Body Text Indent"/>
    <w:basedOn w:val="1"/>
    <w:unhideWhenUsed/>
    <w:qFormat/>
    <w:uiPriority w:val="99"/>
    <w:pPr>
      <w:spacing w:after="120"/>
      <w:ind w:left="420" w:leftChars="200"/>
    </w:p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spacing w:before="100" w:beforeAutospacing="1" w:after="100" w:afterAutospacing="1"/>
      <w:jc w:val="left"/>
    </w:pPr>
    <w:rPr>
      <w:kern w:val="0"/>
      <w:sz w:val="24"/>
      <w:szCs w:val="20"/>
    </w:rPr>
  </w:style>
  <w:style w:type="character" w:styleId="17">
    <w:name w:val="page number"/>
    <w:basedOn w:val="16"/>
    <w:qFormat/>
    <w:uiPriority w:val="0"/>
  </w:style>
  <w:style w:type="character" w:styleId="18">
    <w:name w:val="FollowedHyperlink"/>
    <w:basedOn w:val="16"/>
    <w:uiPriority w:val="0"/>
    <w:rPr>
      <w:color w:val="000000"/>
      <w:u w:val="none"/>
    </w:rPr>
  </w:style>
  <w:style w:type="character" w:styleId="19">
    <w:name w:val="Emphasis"/>
    <w:basedOn w:val="16"/>
    <w:qFormat/>
    <w:uiPriority w:val="0"/>
  </w:style>
  <w:style w:type="character" w:styleId="20">
    <w:name w:val="Hyperlink"/>
    <w:basedOn w:val="16"/>
    <w:uiPriority w:val="0"/>
    <w:rPr>
      <w:color w:val="000000"/>
      <w:u w:val="none"/>
    </w:rPr>
  </w:style>
  <w:style w:type="paragraph" w:customStyle="1" w:styleId="21">
    <w:name w:val="p0"/>
    <w:basedOn w:val="1"/>
    <w:qFormat/>
    <w:uiPriority w:val="0"/>
    <w:pPr>
      <w:widowControl/>
      <w:jc w:val="left"/>
    </w:pPr>
    <w:rPr>
      <w:kern w:val="0"/>
      <w:szCs w:val="21"/>
    </w:rPr>
  </w:style>
  <w:style w:type="character" w:customStyle="1" w:styleId="22">
    <w:name w:val="标题 2 Char"/>
    <w:link w:val="9"/>
    <w:qFormat/>
    <w:uiPriority w:val="0"/>
    <w:rPr>
      <w:rFonts w:ascii="Arial" w:hAnsi="Arial" w:eastAsia="黑体"/>
      <w:b/>
      <w:bCs/>
      <w:kern w:val="0"/>
      <w:sz w:val="32"/>
      <w:szCs w:val="32"/>
    </w:rPr>
  </w:style>
  <w:style w:type="paragraph" w:customStyle="1" w:styleId="23">
    <w:name w:val="WPS Plain"/>
    <w:qFormat/>
    <w:uiPriority w:val="0"/>
    <w:rPr>
      <w:rFonts w:ascii="Times New Roman" w:hAnsi="Times New Roman" w:eastAsia="宋体" w:cs="Times New Roman"/>
      <w:lang w:val="en-US" w:eastAsia="zh-CN" w:bidi="ar-SA"/>
    </w:rPr>
  </w:style>
  <w:style w:type="character" w:customStyle="1" w:styleId="24">
    <w:name w:val="green"/>
    <w:basedOn w:val="16"/>
    <w:uiPriority w:val="0"/>
    <w:rPr>
      <w:color w:val="66AE00"/>
      <w:sz w:val="18"/>
      <w:szCs w:val="18"/>
    </w:rPr>
  </w:style>
  <w:style w:type="character" w:customStyle="1" w:styleId="25">
    <w:name w:val="green1"/>
    <w:basedOn w:val="16"/>
    <w:uiPriority w:val="0"/>
    <w:rPr>
      <w:color w:val="66AE00"/>
      <w:sz w:val="18"/>
      <w:szCs w:val="18"/>
    </w:rPr>
  </w:style>
  <w:style w:type="character" w:customStyle="1" w:styleId="26">
    <w:name w:val="red"/>
    <w:basedOn w:val="16"/>
    <w:uiPriority w:val="0"/>
    <w:rPr>
      <w:color w:val="FF0000"/>
    </w:rPr>
  </w:style>
  <w:style w:type="character" w:customStyle="1" w:styleId="27">
    <w:name w:val="red1"/>
    <w:basedOn w:val="16"/>
    <w:uiPriority w:val="0"/>
    <w:rPr>
      <w:color w:val="FF0000"/>
      <w:sz w:val="18"/>
      <w:szCs w:val="18"/>
    </w:rPr>
  </w:style>
  <w:style w:type="character" w:customStyle="1" w:styleId="28">
    <w:name w:val="red2"/>
    <w:basedOn w:val="16"/>
    <w:uiPriority w:val="0"/>
    <w:rPr>
      <w:color w:val="FF0000"/>
      <w:sz w:val="18"/>
      <w:szCs w:val="18"/>
    </w:rPr>
  </w:style>
  <w:style w:type="character" w:customStyle="1" w:styleId="29">
    <w:name w:val="red3"/>
    <w:basedOn w:val="16"/>
    <w:uiPriority w:val="0"/>
    <w:rPr>
      <w:color w:val="CC0000"/>
    </w:rPr>
  </w:style>
  <w:style w:type="character" w:customStyle="1" w:styleId="30">
    <w:name w:val="right"/>
    <w:basedOn w:val="16"/>
    <w:uiPriority w:val="0"/>
    <w:rPr>
      <w:color w:val="999999"/>
      <w:sz w:val="18"/>
      <w:szCs w:val="18"/>
    </w:rPr>
  </w:style>
  <w:style w:type="character" w:customStyle="1" w:styleId="31">
    <w:name w:val="hover25"/>
    <w:basedOn w:val="16"/>
    <w:uiPriority w:val="0"/>
  </w:style>
  <w:style w:type="character" w:customStyle="1" w:styleId="32">
    <w:name w:val="gb-jt"/>
    <w:basedOn w:val="16"/>
    <w:uiPriority w:val="0"/>
  </w:style>
  <w:style w:type="character" w:customStyle="1" w:styleId="33">
    <w:name w:val="blue"/>
    <w:basedOn w:val="16"/>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2019-12-13T08:50:00Z</dcterms:created>
  <dc:creator>中建山河建设管理集团有限公司:郑晓光</dc:creator>
  <cp:lastModifiedBy>中建山河建设管理集团有限公司:郑晓光</cp:lastModifiedBy>
  <cp:lastPrinted>2019-12-24T09:24:27Z</cp:lastPrinted>
  <dcterms:modified xsi:type="dcterms:W3CDTF">2019-12-24T09:29:47Z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