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bookmarkStart w:id="630" w:name="_GoBack"/>
      <w:bookmarkEnd w:id="630"/>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left="0" w:leftChars="0" w:firstLine="1699" w:firstLineChars="531"/>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w:t>
      </w:r>
      <w:r>
        <w:rPr>
          <w:rFonts w:hint="eastAsia" w:asciiTheme="minorEastAsia" w:hAnsiTheme="minorEastAsia" w:eastAsiaTheme="minorEastAsia"/>
          <w:color w:val="auto"/>
          <w:sz w:val="32"/>
          <w:szCs w:val="32"/>
        </w:rPr>
        <w:t>〔2019〕</w:t>
      </w:r>
      <w:r>
        <w:rPr>
          <w:rFonts w:hint="eastAsia" w:asciiTheme="minorEastAsia" w:hAnsiTheme="minorEastAsia" w:eastAsiaTheme="minorEastAsia"/>
          <w:color w:val="auto"/>
          <w:sz w:val="32"/>
          <w:szCs w:val="32"/>
          <w:lang w:val="en-US" w:eastAsia="zh-CN"/>
        </w:rPr>
        <w:t>231</w:t>
      </w:r>
      <w:r>
        <w:rPr>
          <w:rFonts w:hint="eastAsia" w:asciiTheme="minorEastAsia" w:hAnsiTheme="minorEastAsia" w:eastAsiaTheme="minorEastAsia"/>
          <w:color w:val="auto"/>
          <w:sz w:val="32"/>
          <w:szCs w:val="32"/>
        </w:rPr>
        <w:t>号</w:t>
      </w:r>
    </w:p>
    <w:p>
      <w:pPr>
        <w:ind w:left="0" w:leftChars="0" w:firstLine="1699" w:firstLineChars="531"/>
        <w:jc w:val="both"/>
        <w:rPr>
          <w:rFonts w:hint="eastAsia" w:asciiTheme="minorEastAsia" w:hAnsiTheme="minorEastAsia" w:eastAsiaTheme="minorEastAsia"/>
          <w:spacing w:val="-20"/>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w:t>
      </w:r>
      <w:r>
        <w:rPr>
          <w:rFonts w:hint="eastAsia" w:asciiTheme="minorEastAsia" w:hAnsiTheme="minorEastAsia" w:eastAsiaTheme="minorEastAsia"/>
          <w:spacing w:val="-20"/>
          <w:sz w:val="32"/>
          <w:szCs w:val="32"/>
        </w:rPr>
        <w:t>建安区蒋李集镇蒋东村混凝土道路一事一议项目</w:t>
      </w:r>
    </w:p>
    <w:p>
      <w:pPr>
        <w:ind w:left="1260" w:leftChars="0" w:firstLine="420" w:firstLineChars="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许昌市建安区蒋李集镇人民政府</w:t>
      </w:r>
    </w:p>
    <w:p>
      <w:pPr>
        <w:ind w:left="0" w:leftChars="0" w:firstLine="1699" w:firstLineChars="531"/>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二〇一九年十</w:t>
      </w:r>
      <w:r>
        <w:rPr>
          <w:rFonts w:hint="eastAsia" w:asciiTheme="minorEastAsia" w:hAnsiTheme="minorEastAsia" w:eastAsiaTheme="minorEastAsia"/>
          <w:sz w:val="32"/>
          <w:szCs w:val="32"/>
          <w:lang w:eastAsia="zh-CN"/>
        </w:rPr>
        <w:t>二</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建安建工公字</w:t>
      </w:r>
      <w:r>
        <w:rPr>
          <w:rFonts w:hint="eastAsia" w:hAnsi="宋体" w:cs="宋体"/>
          <w:color w:val="auto"/>
          <w:sz w:val="24"/>
          <w:szCs w:val="24"/>
        </w:rPr>
        <w:t>〔2019〕</w:t>
      </w:r>
      <w:r>
        <w:rPr>
          <w:rFonts w:hint="eastAsia" w:hAnsi="宋体" w:cs="宋体"/>
          <w:color w:val="auto"/>
          <w:sz w:val="24"/>
          <w:szCs w:val="24"/>
          <w:lang w:val="en-US" w:eastAsia="zh-CN"/>
        </w:rPr>
        <w:t>231</w:t>
      </w:r>
      <w:r>
        <w:rPr>
          <w:rFonts w:hint="eastAsia" w:hAnsi="宋体" w:cs="宋体"/>
          <w:color w:val="auto"/>
          <w:sz w:val="24"/>
          <w:szCs w:val="24"/>
        </w:rPr>
        <w:t>号</w:t>
      </w:r>
    </w:p>
    <w:p>
      <w:pPr>
        <w:autoSpaceDE w:val="0"/>
        <w:autoSpaceDN w:val="0"/>
        <w:adjustRightInd w:val="0"/>
        <w:spacing w:line="520" w:lineRule="exact"/>
        <w:ind w:firstLine="480" w:firstLineChars="200"/>
        <w:jc w:val="center"/>
        <w:outlineLvl w:val="0"/>
        <w:rPr>
          <w:rFonts w:hint="eastAsia" w:hAnsi="宋体" w:cs="宋体"/>
          <w:sz w:val="24"/>
          <w:szCs w:val="24"/>
        </w:rPr>
      </w:pPr>
      <w:r>
        <w:rPr>
          <w:rFonts w:hint="eastAsia" w:hAnsi="宋体" w:cs="宋体"/>
          <w:sz w:val="24"/>
          <w:szCs w:val="24"/>
        </w:rPr>
        <w:t>许昌市建安区蒋李集镇人民政府</w:t>
      </w:r>
    </w:p>
    <w:p>
      <w:pPr>
        <w:autoSpaceDE w:val="0"/>
        <w:autoSpaceDN w:val="0"/>
        <w:adjustRightInd w:val="0"/>
        <w:spacing w:line="520" w:lineRule="exact"/>
        <w:ind w:firstLine="480" w:firstLineChars="200"/>
        <w:jc w:val="center"/>
        <w:outlineLvl w:val="0"/>
        <w:rPr>
          <w:rFonts w:hint="eastAsia" w:hAnsi="宋体" w:cs="宋体"/>
          <w:sz w:val="24"/>
          <w:szCs w:val="24"/>
        </w:rPr>
      </w:pPr>
      <w:r>
        <w:rPr>
          <w:rFonts w:hint="eastAsia" w:hAnsi="宋体" w:cs="宋体"/>
          <w:sz w:val="24"/>
          <w:szCs w:val="24"/>
        </w:rPr>
        <w:t>建安区蒋李集镇蒋东村混凝土道路一事一议项目</w:t>
      </w:r>
    </w:p>
    <w:p>
      <w:pPr>
        <w:autoSpaceDE w:val="0"/>
        <w:autoSpaceDN w:val="0"/>
        <w:adjustRightInd w:val="0"/>
        <w:spacing w:line="520" w:lineRule="exact"/>
        <w:ind w:firstLine="480" w:firstLineChars="200"/>
        <w:jc w:val="center"/>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1、项目编号：建安建工公字〔2019〕</w:t>
      </w:r>
      <w:r>
        <w:rPr>
          <w:rFonts w:hint="eastAsia" w:hAnsi="宋体" w:cs="宋体"/>
          <w:sz w:val="24"/>
          <w:szCs w:val="22"/>
          <w:lang w:val="en-US" w:eastAsia="zh-CN"/>
        </w:rPr>
        <w:t>231</w:t>
      </w:r>
      <w:r>
        <w:rPr>
          <w:rFonts w:hint="eastAsia" w:hAnsi="宋体" w:cs="宋体"/>
          <w:sz w:val="24"/>
          <w:szCs w:val="22"/>
        </w:rPr>
        <w:t>号。</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2、项目名称：建安区蒋李集镇蒋东村混凝土道路一事一议项目</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3、招标单位：许昌市建安区蒋李集镇人民政府</w:t>
      </w:r>
      <w:r>
        <w:rPr>
          <w:rFonts w:hint="eastAsia" w:hAnsi="宋体" w:cs="宋体"/>
          <w:sz w:val="24"/>
          <w:szCs w:val="22"/>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4、工程概况：</w:t>
      </w:r>
      <w:r>
        <w:rPr>
          <w:rFonts w:hint="eastAsia" w:hAnsi="宋体" w:cs="宋体"/>
          <w:sz w:val="24"/>
          <w:szCs w:val="22"/>
          <w:lang w:val="en-US" w:eastAsia="zh-CN"/>
        </w:rPr>
        <w:t>本工程为建</w:t>
      </w:r>
      <w:r>
        <w:rPr>
          <w:rFonts w:hint="eastAsia" w:hAnsi="宋体" w:cs="宋体"/>
          <w:sz w:val="24"/>
          <w:szCs w:val="24"/>
          <w:lang w:val="en-US" w:eastAsia="zh-CN"/>
        </w:rPr>
        <w:t xml:space="preserve">安区蒋李集镇蒋东村混凝土道路一事一议项目，该工程位于许昌市建安区蒋东村。项目建设主要内容包括蒋东村混凝土路面，该段路宽4m，总长为1250m。 </w:t>
      </w:r>
      <w:r>
        <w:rPr>
          <w:rFonts w:hint="eastAsia" w:hAnsi="宋体" w:cs="宋体"/>
          <w:sz w:val="24"/>
          <w:szCs w:val="22"/>
        </w:rPr>
        <w:t xml:space="preserve">  </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2"/>
          <w:lang w:val="en-US" w:eastAsia="zh-CN"/>
        </w:rPr>
        <w:t>498182.06</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int="eastAsia" w:hAnsi="宋体" w:cs="宋体"/>
          <w:color w:val="auto"/>
          <w:sz w:val="24"/>
          <w:szCs w:val="24"/>
          <w:lang w:val="en-US" w:eastAsia="zh-CN"/>
        </w:rPr>
        <w:t>30</w:t>
      </w:r>
      <w:r>
        <w:rPr>
          <w:rFonts w:hint="eastAsia" w:hAnsi="宋体" w:cs="宋体"/>
          <w:color w:val="auto"/>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hAnsi="宋体" w:eastAsia="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rPr>
        <w:t>1、投标人须具备独立的法人资格；须具备建设行政主管部门颁发的市政公用工程施工总承包叁级及以上资质，且具备有效的安全生产许可证</w:t>
      </w:r>
      <w:r>
        <w:rPr>
          <w:rFonts w:hint="eastAsia" w:hAnsi="宋体" w:cs="仿宋_GB2312"/>
          <w:color w:val="auto"/>
          <w:kern w:val="2"/>
          <w:sz w:val="24"/>
          <w:szCs w:val="24"/>
          <w:shd w:val="clear" w:color="auto" w:fill="FFFFFF"/>
          <w:lang w:eastAsia="zh-CN"/>
        </w:rPr>
        <w:t>。</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lang w:val="en-US" w:eastAsia="zh-CN"/>
        </w:rPr>
        <w:t>2、</w:t>
      </w:r>
      <w:r>
        <w:rPr>
          <w:rFonts w:hint="eastAsia" w:hAnsi="宋体" w:cs="仿宋_GB2312"/>
          <w:color w:val="auto"/>
          <w:kern w:val="2"/>
          <w:sz w:val="24"/>
          <w:szCs w:val="24"/>
          <w:shd w:val="clear" w:color="auto" w:fill="FFFFFF"/>
        </w:rPr>
        <w:t>拟派项目负责人须具备市政公用工程专业贰级及以上注册建造师资格，且具有有效的安全生产考核合格证，并未承担其他在施建设工程项目的项目负责人。</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lang w:val="en-US" w:eastAsia="zh-CN"/>
        </w:rPr>
        <w:t>3、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lang w:val="en-US" w:eastAsia="zh-CN"/>
        </w:rPr>
        <w:t>4</w:t>
      </w:r>
      <w:r>
        <w:rPr>
          <w:rFonts w:hint="eastAsia" w:hAnsi="宋体" w:cs="仿宋_GB2312"/>
          <w:kern w:val="2"/>
          <w:sz w:val="24"/>
          <w:szCs w:val="24"/>
          <w:shd w:val="clear" w:color="auto" w:fill="FFFFFF"/>
        </w:rPr>
        <w:t>、不接受联合体投标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5</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4.2招标文件每套售价100元，于递交投标文件时缴纳给招标代理机构，售后不退。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w:t>
      </w:r>
      <w:r>
        <w:rPr>
          <w:rFonts w:hint="eastAsia" w:hAnsi="宋体" w:cs="宋体"/>
          <w:sz w:val="24"/>
          <w:shd w:val="clear" w:color="auto" w:fill="FFFFFF"/>
        </w:rPr>
        <w:t>电子投标文件和存储有备份文件的电子介质2份</w:t>
      </w:r>
      <w:r>
        <w:rPr>
          <w:rFonts w:hint="eastAsia" w:hAnsi="宋体" w:cs="宋体"/>
          <w:bCs/>
          <w:sz w:val="24"/>
          <w:lang w:eastAsia="zh-CN"/>
        </w:rPr>
        <w:t>（</w:t>
      </w:r>
      <w:r>
        <w:rPr>
          <w:rFonts w:hint="eastAsia" w:hAnsi="宋体" w:cs="宋体"/>
          <w:bCs/>
          <w:sz w:val="24"/>
          <w:lang w:val="en-US" w:eastAsia="zh-CN"/>
        </w:rPr>
        <w:t>U盘</w:t>
      </w:r>
      <w:r>
        <w:rPr>
          <w:rFonts w:hint="eastAsia" w:hAnsi="宋体" w:cs="宋体"/>
          <w:bCs/>
          <w:sz w:val="24"/>
          <w:lang w:eastAsia="zh-CN"/>
        </w:rPr>
        <w:t>）</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w:t>
      </w:r>
      <w:r>
        <w:rPr>
          <w:rFonts w:hint="eastAsia" w:hAnsi="宋体" w:cs="宋体"/>
          <w:color w:val="auto"/>
          <w:sz w:val="24"/>
          <w:szCs w:val="24"/>
        </w:rPr>
        <w:t>间：20</w:t>
      </w:r>
      <w:r>
        <w:rPr>
          <w:rFonts w:hint="eastAsia" w:hAnsi="宋体" w:cs="宋体"/>
          <w:color w:val="auto"/>
          <w:sz w:val="24"/>
          <w:szCs w:val="24"/>
          <w:lang w:val="en-US" w:eastAsia="zh-CN"/>
        </w:rPr>
        <w:t>20</w:t>
      </w:r>
      <w:r>
        <w:rPr>
          <w:rFonts w:hint="eastAsia" w:hAnsi="宋体" w:cs="宋体"/>
          <w:color w:val="auto"/>
          <w:sz w:val="24"/>
          <w:szCs w:val="24"/>
        </w:rPr>
        <w:t>年</w:t>
      </w:r>
      <w:r>
        <w:rPr>
          <w:rFonts w:hint="eastAsia" w:hAnsi="宋体" w:cs="宋体"/>
          <w:color w:val="auto"/>
          <w:sz w:val="24"/>
          <w:szCs w:val="24"/>
          <w:lang w:val="en-US" w:eastAsia="zh-CN"/>
        </w:rPr>
        <w:t>1</w:t>
      </w:r>
      <w:r>
        <w:rPr>
          <w:rFonts w:hint="eastAsia" w:hAnsi="宋体" w:cs="宋体"/>
          <w:color w:val="auto"/>
          <w:sz w:val="24"/>
          <w:szCs w:val="24"/>
        </w:rPr>
        <w:t>月</w:t>
      </w:r>
      <w:r>
        <w:rPr>
          <w:rFonts w:hint="eastAsia" w:hAnsi="宋体" w:cs="宋体"/>
          <w:color w:val="auto"/>
          <w:sz w:val="24"/>
          <w:szCs w:val="24"/>
          <w:lang w:val="en-US" w:eastAsia="zh-CN"/>
        </w:rPr>
        <w:t>15</w:t>
      </w:r>
      <w:r>
        <w:rPr>
          <w:rFonts w:hint="eastAsia" w:hAnsi="宋体" w:cs="宋体"/>
          <w:color w:val="auto"/>
          <w:sz w:val="24"/>
          <w:szCs w:val="24"/>
        </w:rPr>
        <w:t>日9时30分。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5.3电子投标文件的提交：电子投标文件应在投标文件提交截止时间（开标时间）之前成功提交至《全国公共资源交易平台(河南省▪许昌市)》公共资源交易系统，并同时提交</w:t>
      </w:r>
      <w:r>
        <w:rPr>
          <w:rFonts w:hint="eastAsia" w:hAnsi="宋体" w:cs="宋体"/>
          <w:sz w:val="24"/>
          <w:shd w:val="clear" w:color="auto" w:fill="FFFFFF"/>
        </w:rPr>
        <w:t>存储有备份文件的电子介质2份</w:t>
      </w:r>
      <w:r>
        <w:rPr>
          <w:rFonts w:hint="eastAsia" w:hAnsi="宋体" w:cs="宋体"/>
          <w:sz w:val="24"/>
          <w:shd w:val="clear" w:color="auto" w:fill="FFFFFF"/>
          <w:lang w:eastAsia="zh-CN"/>
        </w:rPr>
        <w:t>（</w:t>
      </w:r>
      <w:r>
        <w:rPr>
          <w:rFonts w:hint="eastAsia" w:hAnsi="宋体" w:cs="宋体"/>
          <w:sz w:val="24"/>
          <w:shd w:val="clear" w:color="auto" w:fill="FFFFFF"/>
          <w:lang w:val="en-US" w:eastAsia="zh-CN"/>
        </w:rPr>
        <w:t>U盘</w:t>
      </w:r>
      <w:r>
        <w:rPr>
          <w:rFonts w:hint="eastAsia" w:hAnsi="宋体" w:cs="宋体"/>
          <w:sz w:val="24"/>
          <w:shd w:val="clear" w:color="auto" w:fill="FFFFFF"/>
          <w:lang w:eastAsia="zh-CN"/>
        </w:rPr>
        <w:t>）</w:t>
      </w:r>
      <w:r>
        <w:rPr>
          <w:rFonts w:hint="eastAsia" w:hAnsi="宋体" w:cs="宋体"/>
          <w:sz w:val="24"/>
          <w:szCs w:val="24"/>
        </w:rPr>
        <w:t>。</w:t>
      </w:r>
    </w:p>
    <w:p>
      <w:pPr>
        <w:spacing w:line="440" w:lineRule="exact"/>
        <w:ind w:firstLine="480" w:firstLineChars="200"/>
        <w:jc w:val="left"/>
        <w:rPr>
          <w:rFonts w:hint="eastAsia" w:hAnsi="宋体" w:cs="宋体"/>
          <w:color w:val="auto"/>
          <w:sz w:val="24"/>
          <w:szCs w:val="24"/>
        </w:rPr>
      </w:pPr>
      <w:r>
        <w:rPr>
          <w:rFonts w:hint="eastAsia" w:hAnsi="宋体" w:cs="宋体"/>
          <w:sz w:val="24"/>
          <w:szCs w:val="24"/>
        </w:rPr>
        <w:t>5.4</w:t>
      </w:r>
      <w:r>
        <w:rPr>
          <w:rFonts w:hint="eastAsia" w:hAnsi="宋体" w:cs="宋体"/>
          <w:sz w:val="24"/>
          <w:shd w:val="clear" w:color="auto" w:fill="FFFFFF"/>
        </w:rPr>
        <w:t>存储有备份文件的电子介质</w:t>
      </w:r>
      <w:r>
        <w:rPr>
          <w:rFonts w:hint="eastAsia" w:hAnsi="宋体" w:cs="宋体"/>
          <w:sz w:val="24"/>
          <w:szCs w:val="24"/>
        </w:rPr>
        <w:t>提交地点：许昌市建安区新元大道兴业大厦</w:t>
      </w:r>
      <w:r>
        <w:rPr>
          <w:rFonts w:hint="eastAsia" w:hAnsi="宋体" w:cs="宋体"/>
          <w:color w:val="auto"/>
          <w:sz w:val="24"/>
          <w:szCs w:val="24"/>
        </w:rPr>
        <w:t>4楼</w:t>
      </w:r>
      <w:r>
        <w:rPr>
          <w:rFonts w:hint="eastAsia" w:hAnsi="宋体" w:cs="宋体"/>
          <w:color w:val="auto"/>
          <w:sz w:val="24"/>
          <w:szCs w:val="24"/>
          <w:lang w:val="en-US" w:eastAsia="zh-CN"/>
        </w:rPr>
        <w:t>4167</w:t>
      </w:r>
      <w:r>
        <w:rPr>
          <w:rFonts w:hint="eastAsia" w:hAnsi="宋体" w:cs="宋体"/>
          <w:color w:val="auto"/>
          <w:sz w:val="24"/>
          <w:szCs w:val="24"/>
        </w:rPr>
        <w:t>室</w:t>
      </w:r>
      <w:r>
        <w:rPr>
          <w:rFonts w:hint="eastAsia" w:hAnsi="宋体" w:cs="宋体"/>
          <w:color w:val="auto"/>
          <w:sz w:val="24"/>
          <w:szCs w:val="24"/>
          <w:lang w:eastAsia="zh-CN"/>
        </w:rPr>
        <w:t>（开标</w:t>
      </w:r>
      <w:r>
        <w:rPr>
          <w:rFonts w:hint="eastAsia" w:hAnsi="宋体" w:cs="宋体"/>
          <w:color w:val="auto"/>
          <w:sz w:val="24"/>
          <w:szCs w:val="24"/>
          <w:lang w:val="en-US" w:eastAsia="zh-CN"/>
        </w:rPr>
        <w:t>一</w:t>
      </w:r>
      <w:r>
        <w:rPr>
          <w:rFonts w:hint="eastAsia" w:hAnsi="宋体" w:cs="宋体"/>
          <w:color w:val="auto"/>
          <w:sz w:val="24"/>
          <w:szCs w:val="24"/>
          <w:lang w:eastAsia="zh-CN"/>
        </w:rPr>
        <w:t>室）</w:t>
      </w:r>
      <w:r>
        <w:rPr>
          <w:rFonts w:hint="eastAsia" w:hAnsi="宋体" w:cs="宋体"/>
          <w:color w:val="auto"/>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w:t>
      </w:r>
      <w:r>
        <w:rPr>
          <w:rFonts w:hint="eastAsia" w:hAnsi="宋体" w:cs="宋体"/>
          <w:sz w:val="24"/>
          <w:shd w:val="clear" w:color="auto" w:fill="FFFFFF"/>
        </w:rPr>
        <w:t>存储有备份文件的电子介质</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人：许昌市建安区蒋李集镇人民政府</w:t>
      </w:r>
    </w:p>
    <w:p>
      <w:pPr>
        <w:spacing w:line="440" w:lineRule="exact"/>
        <w:ind w:firstLine="480" w:firstLineChars="200"/>
        <w:jc w:val="left"/>
        <w:rPr>
          <w:rFonts w:hAnsi="宋体" w:cs="宋体"/>
          <w:sz w:val="24"/>
          <w:szCs w:val="24"/>
        </w:rPr>
      </w:pPr>
      <w:r>
        <w:rPr>
          <w:rFonts w:hint="eastAsia" w:hAnsi="宋体" w:cs="宋体"/>
          <w:sz w:val="24"/>
          <w:szCs w:val="24"/>
        </w:rPr>
        <w:t>项目负责人：李尚超</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话：</w:t>
      </w:r>
      <w:r>
        <w:rPr>
          <w:rFonts w:hint="eastAsia" w:hAnsi="宋体" w:cs="宋体"/>
          <w:color w:val="000000" w:themeColor="text1"/>
          <w:sz w:val="24"/>
          <w:szCs w:val="24"/>
          <w:lang w:val="en-US" w:eastAsia="zh-CN"/>
          <w14:textFill>
            <w14:solidFill>
              <w14:schemeClr w14:val="tx1"/>
            </w14:solidFill>
          </w14:textFill>
        </w:rPr>
        <w:t>13608439118</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项目负责人：刘</w:t>
      </w:r>
      <w:r>
        <w:rPr>
          <w:rFonts w:hint="eastAsia" w:hAnsi="宋体" w:cs="宋体"/>
          <w:sz w:val="24"/>
          <w:szCs w:val="24"/>
          <w:lang w:val="en-US" w:eastAsia="zh-CN"/>
        </w:rPr>
        <w:t xml:space="preserve">  </w:t>
      </w:r>
      <w:r>
        <w:rPr>
          <w:rFonts w:hint="eastAsia" w:hAnsi="宋体" w:cs="宋体"/>
          <w:sz w:val="24"/>
          <w:szCs w:val="24"/>
        </w:rPr>
        <w:t>昕</w:t>
      </w:r>
    </w:p>
    <w:p>
      <w:pPr>
        <w:spacing w:line="440" w:lineRule="exact"/>
        <w:ind w:firstLine="480" w:firstLineChars="200"/>
        <w:jc w:val="left"/>
        <w:rPr>
          <w:rFonts w:hAnsi="宋体" w:cs="宋体"/>
          <w:sz w:val="24"/>
          <w:szCs w:val="24"/>
        </w:rPr>
      </w:pPr>
      <w:r>
        <w:rPr>
          <w:rFonts w:hint="eastAsia" w:hAnsi="宋体" w:cs="宋体"/>
          <w:sz w:val="24"/>
          <w:szCs w:val="24"/>
        </w:rPr>
        <w:t>电</w:t>
      </w:r>
      <w:r>
        <w:rPr>
          <w:rFonts w:hint="eastAsia" w:hAnsi="宋体" w:cs="宋体"/>
          <w:sz w:val="24"/>
          <w:szCs w:val="24"/>
          <w:lang w:val="en-US" w:eastAsia="zh-CN"/>
        </w:rPr>
        <w:t xml:space="preserve">   </w:t>
      </w:r>
      <w:r>
        <w:rPr>
          <w:rFonts w:hint="eastAsia" w:hAnsi="宋体" w:cs="宋体"/>
          <w:sz w:val="24"/>
          <w:szCs w:val="24"/>
        </w:rPr>
        <w:t xml:space="preserve"> 话：13903749177</w:t>
      </w:r>
    </w:p>
    <w:p>
      <w:pPr>
        <w:pStyle w:val="2"/>
        <w:jc w:val="right"/>
        <w:rPr>
          <w:rFonts w:hint="eastAsia" w:hAnsi="宋体" w:cs="宋体"/>
          <w:sz w:val="24"/>
          <w:szCs w:val="24"/>
        </w:rPr>
      </w:pPr>
      <w:r>
        <w:rPr>
          <w:rFonts w:hint="eastAsia" w:hAnsi="宋体" w:cs="宋体"/>
          <w:sz w:val="24"/>
          <w:szCs w:val="24"/>
        </w:rPr>
        <w:t>许昌市建安区蒋李集镇人民政府</w:t>
      </w:r>
    </w:p>
    <w:p>
      <w:pPr>
        <w:pStyle w:val="2"/>
        <w:jc w:val="righ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20</w:t>
      </w:r>
      <w:r>
        <w:rPr>
          <w:rFonts w:hint="eastAsia" w:hAnsi="宋体" w:cs="宋体"/>
          <w:color w:val="auto"/>
          <w:sz w:val="24"/>
          <w:szCs w:val="24"/>
          <w:lang w:val="en-US" w:eastAsia="zh-CN" w:bidi="ar-SA"/>
        </w:rPr>
        <w:t>19</w:t>
      </w:r>
      <w:r>
        <w:rPr>
          <w:rFonts w:hint="eastAsia" w:ascii="宋体" w:hAnsi="宋体" w:eastAsia="宋体" w:cs="宋体"/>
          <w:color w:val="auto"/>
          <w:sz w:val="24"/>
          <w:szCs w:val="24"/>
          <w:lang w:val="en-US" w:eastAsia="zh-CN" w:bidi="ar-SA"/>
        </w:rPr>
        <w:t xml:space="preserve">年12月24日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hAnsi="宋体"/>
          <w:color w:val="000000"/>
          <w:sz w:val="24"/>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pStyle w:val="2"/>
        <w:rPr>
          <w:rFonts w:hAnsi="宋体" w:cs="黑体"/>
          <w:b/>
          <w:sz w:val="36"/>
          <w:szCs w:val="36"/>
        </w:rPr>
      </w:pPr>
    </w:p>
    <w:p>
      <w:pPr>
        <w:pStyle w:val="4"/>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许昌市建安区蒋李集镇人民政府</w:t>
            </w:r>
          </w:p>
          <w:p>
            <w:pPr>
              <w:autoSpaceDE w:val="0"/>
              <w:autoSpaceDN w:val="0"/>
              <w:adjustRightInd w:val="0"/>
              <w:spacing w:line="320" w:lineRule="exact"/>
              <w:rPr>
                <w:rFonts w:hAnsi="宋体"/>
                <w:sz w:val="24"/>
                <w:szCs w:val="22"/>
              </w:rPr>
            </w:pPr>
            <w:r>
              <w:rPr>
                <w:rFonts w:hint="eastAsia" w:hAnsi="宋体"/>
                <w:sz w:val="24"/>
                <w:szCs w:val="22"/>
              </w:rPr>
              <w:t>联 系 人：李尚超</w:t>
            </w:r>
          </w:p>
          <w:p>
            <w:pPr>
              <w:autoSpaceDE w:val="0"/>
              <w:autoSpaceDN w:val="0"/>
              <w:adjustRightInd w:val="0"/>
              <w:spacing w:line="320" w:lineRule="exact"/>
              <w:rPr>
                <w:rFonts w:hAnsi="宋体"/>
                <w:bCs/>
                <w:sz w:val="24"/>
              </w:rPr>
            </w:pPr>
            <w:r>
              <w:rPr>
                <w:rFonts w:hint="eastAsia" w:hAnsi="宋体"/>
                <w:sz w:val="24"/>
                <w:szCs w:val="22"/>
              </w:rPr>
              <w:t>联系电话：13608439118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Ansi="宋体"/>
                <w:sz w:val="24"/>
              </w:rPr>
            </w:pPr>
            <w:r>
              <w:rPr>
                <w:rFonts w:hint="eastAsia" w:hAnsi="宋体"/>
                <w:sz w:val="24"/>
              </w:rPr>
              <w:t>联 系 人：刘  昕</w:t>
            </w:r>
          </w:p>
          <w:p>
            <w:pPr>
              <w:autoSpaceDE w:val="0"/>
              <w:autoSpaceDN w:val="0"/>
              <w:adjustRightInd w:val="0"/>
              <w:spacing w:line="320" w:lineRule="exact"/>
              <w:rPr>
                <w:rFonts w:hAnsi="宋体"/>
                <w:sz w:val="24"/>
              </w:rPr>
            </w:pPr>
            <w:r>
              <w:rPr>
                <w:rFonts w:hint="eastAsia" w:hAnsi="宋体"/>
                <w:sz w:val="24"/>
              </w:rPr>
              <w:t>联系电话：13903749177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spacing w:line="320" w:lineRule="exact"/>
              <w:jc w:val="left"/>
              <w:rPr>
                <w:rFonts w:hAnsi="宋体" w:cs="宋体"/>
                <w:sz w:val="24"/>
                <w:szCs w:val="24"/>
              </w:rPr>
            </w:pPr>
            <w:r>
              <w:rPr>
                <w:rFonts w:hint="eastAsia" w:hAnsi="宋体" w:cs="宋体"/>
                <w:sz w:val="24"/>
                <w:szCs w:val="24"/>
              </w:rPr>
              <w:t>建安区蒋李集镇蒋东村混凝土道路一事一议项目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Ansi="宋体" w:cs="仿宋_GB2312"/>
                <w:sz w:val="24"/>
                <w:szCs w:val="24"/>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color w:val="000000" w:themeColor="text1"/>
                <w:sz w:val="24"/>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color w:val="auto"/>
                <w:sz w:val="24"/>
                <w:lang w:val="en-US" w:eastAsia="zh-CN"/>
              </w:rPr>
              <w:t>30</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黑体"/>
                <w:color w:val="auto"/>
                <w:sz w:val="24"/>
              </w:rPr>
              <w:t>投标人资质条件</w:t>
            </w:r>
          </w:p>
        </w:tc>
        <w:tc>
          <w:tcPr>
            <w:tcW w:w="7017" w:type="dxa"/>
          </w:tcPr>
          <w:p>
            <w:pPr>
              <w:numPr>
                <w:ilvl w:val="0"/>
                <w:numId w:val="3"/>
              </w:numPr>
              <w:autoSpaceDE w:val="0"/>
              <w:autoSpaceDN w:val="0"/>
              <w:adjustRightInd w:val="0"/>
              <w:spacing w:line="420" w:lineRule="exact"/>
              <w:jc w:val="left"/>
              <w:outlineLvl w:val="0"/>
              <w:rPr>
                <w:rFonts w:hint="eastAsia"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rPr>
              <w:t>投标人须具备独立的法人资格；须具备建设行政主管部门颁发的市政公用工程施工总承包叁级及以上资质，且具备有效的安全生产许可证</w:t>
            </w:r>
            <w:r>
              <w:rPr>
                <w:rFonts w:hint="eastAsia" w:hAnsi="宋体" w:cs="仿宋_GB2312"/>
                <w:color w:val="auto"/>
                <w:kern w:val="2"/>
                <w:sz w:val="24"/>
                <w:szCs w:val="24"/>
                <w:shd w:val="clear" w:color="auto" w:fill="FFFFFF"/>
                <w:lang w:eastAsia="zh-CN"/>
              </w:rPr>
              <w:t>。</w:t>
            </w:r>
          </w:p>
          <w:p>
            <w:pPr>
              <w:numPr>
                <w:ilvl w:val="0"/>
                <w:numId w:val="3"/>
              </w:numPr>
              <w:autoSpaceDE w:val="0"/>
              <w:autoSpaceDN w:val="0"/>
              <w:adjustRightInd w:val="0"/>
              <w:spacing w:line="420" w:lineRule="exact"/>
              <w:jc w:val="left"/>
              <w:outlineLvl w:val="0"/>
              <w:rPr>
                <w:rFonts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rPr>
              <w:t>拟派项目负责人须具备市政公用工程专业贰级及以上注册建造师资格，且具有有效的安全生产考核合格证，并未承担其他在施建设工程项目的项目负责人。</w:t>
            </w:r>
          </w:p>
          <w:p>
            <w:pPr>
              <w:pStyle w:val="28"/>
              <w:keepNext w:val="0"/>
              <w:keepLines w:val="0"/>
              <w:widowControl/>
              <w:suppressLineNumbers w:val="0"/>
              <w:spacing w:before="0" w:beforeAutospacing="0" w:after="0" w:afterAutospacing="0" w:line="312" w:lineRule="auto"/>
              <w:ind w:left="0" w:right="0"/>
              <w:jc w:val="left"/>
              <w:rPr>
                <w:rFonts w:ascii="仿宋_GB2312" w:eastAsia="仿宋_GB2312" w:cs="仿宋_GB2312"/>
                <w:i w:val="0"/>
                <w:color w:val="auto"/>
                <w:spacing w:val="0"/>
                <w:sz w:val="32"/>
                <w:szCs w:val="32"/>
                <w:vertAlign w:val="baseline"/>
              </w:rPr>
            </w:pPr>
            <w:r>
              <w:rPr>
                <w:rFonts w:hint="eastAsia" w:hAnsi="宋体" w:cs="仿宋_GB2312"/>
                <w:color w:val="auto"/>
                <w:kern w:val="2"/>
                <w:sz w:val="24"/>
                <w:szCs w:val="24"/>
                <w:shd w:val="clear" w:color="auto" w:fill="FFFFFF"/>
                <w:lang w:val="en-US" w:eastAsia="zh-CN"/>
              </w:rPr>
              <w:t>3</w:t>
            </w:r>
            <w:r>
              <w:rPr>
                <w:rFonts w:hint="eastAsia" w:hAnsi="宋体" w:cs="仿宋_GB2312"/>
                <w:color w:val="auto"/>
                <w:kern w:val="2"/>
                <w:sz w:val="24"/>
                <w:szCs w:val="24"/>
                <w:shd w:val="clear" w:color="auto" w:fill="FFFFFF"/>
              </w:rPr>
              <w:t>、</w:t>
            </w:r>
            <w:r>
              <w:rPr>
                <w:rFonts w:hint="eastAsia" w:hAnsi="宋体" w:cs="仿宋_GB2312"/>
                <w:color w:val="auto"/>
                <w:kern w:val="2"/>
                <w:sz w:val="24"/>
                <w:szCs w:val="24"/>
                <w:shd w:val="clear" w:color="auto" w:fill="FFFFFF"/>
                <w:lang w:val="en-US" w:eastAsia="zh-CN"/>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420" w:lineRule="exact"/>
              <w:jc w:val="left"/>
              <w:outlineLvl w:val="0"/>
              <w:rPr>
                <w:rFonts w:hAnsi="宋体" w:cs="仿宋_GB2312"/>
                <w:color w:val="auto"/>
                <w:kern w:val="2"/>
                <w:sz w:val="21"/>
                <w:szCs w:val="21"/>
                <w:shd w:val="clear" w:color="auto" w:fill="FFFFFF"/>
              </w:rPr>
            </w:pPr>
            <w:r>
              <w:rPr>
                <w:rFonts w:hint="eastAsia" w:hAnsi="宋体" w:cs="仿宋_GB2312"/>
                <w:color w:val="auto"/>
                <w:kern w:val="2"/>
                <w:sz w:val="24"/>
                <w:szCs w:val="24"/>
                <w:shd w:val="clear" w:color="auto" w:fill="FFFFFF"/>
                <w:lang w:val="en-US" w:eastAsia="zh-CN"/>
              </w:rPr>
              <w:t>4</w:t>
            </w:r>
            <w:r>
              <w:rPr>
                <w:rFonts w:hint="eastAsia" w:hAnsi="宋体" w:cs="仿宋_GB2312"/>
                <w:color w:val="auto"/>
                <w:kern w:val="2"/>
                <w:sz w:val="24"/>
                <w:szCs w:val="24"/>
                <w:shd w:val="clear" w:color="auto" w:fill="FFFFFF"/>
              </w:rPr>
              <w:t>、不接受联合体投标</w:t>
            </w:r>
            <w:r>
              <w:rPr>
                <w:rFonts w:hint="eastAsia" w:hAnsi="宋体" w:cs="仿宋_GB2312"/>
                <w:color w:val="auto"/>
                <w:kern w:val="2"/>
                <w:sz w:val="21"/>
                <w:szCs w:val="21"/>
                <w:shd w:val="clear" w:color="auto" w:fill="FFFFFF"/>
              </w:rPr>
              <w:t>。</w:t>
            </w:r>
          </w:p>
          <w:p>
            <w:pPr>
              <w:autoSpaceDE w:val="0"/>
              <w:autoSpaceDN w:val="0"/>
              <w:adjustRightInd w:val="0"/>
              <w:spacing w:line="420" w:lineRule="exact"/>
              <w:jc w:val="left"/>
              <w:outlineLvl w:val="0"/>
              <w:rPr>
                <w:rFonts w:hAnsi="宋体"/>
                <w:b/>
                <w:color w:val="auto"/>
                <w:sz w:val="24"/>
              </w:rPr>
            </w:pPr>
            <w:r>
              <w:rPr>
                <w:rFonts w:hint="eastAsia" w:hAnsi="宋体" w:cs="宋体"/>
                <w:color w:val="auto"/>
                <w:sz w:val="24"/>
                <w:szCs w:val="24"/>
                <w:lang w:val="en-US" w:eastAsia="zh-CN"/>
              </w:rPr>
              <w:t>5</w:t>
            </w:r>
            <w:r>
              <w:rPr>
                <w:rFonts w:hint="eastAsia" w:hAnsi="宋体" w:cs="宋体"/>
                <w:color w:val="auto"/>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auto"/>
                <w:sz w:val="24"/>
                <w:szCs w:val="22"/>
              </w:rPr>
            </w:pPr>
            <w:r>
              <w:rPr>
                <w:rFonts w:hint="eastAsia" w:hAnsi="宋体"/>
                <w:bCs/>
                <w:color w:val="auto"/>
                <w:sz w:val="24"/>
                <w:szCs w:val="22"/>
              </w:rPr>
              <w:t>投标截止时间</w:t>
            </w:r>
          </w:p>
        </w:tc>
        <w:tc>
          <w:tcPr>
            <w:tcW w:w="7017" w:type="dxa"/>
            <w:vAlign w:val="center"/>
          </w:tcPr>
          <w:p>
            <w:pPr>
              <w:autoSpaceDE w:val="0"/>
              <w:autoSpaceDN w:val="0"/>
              <w:adjustRightInd w:val="0"/>
              <w:spacing w:line="340" w:lineRule="exact"/>
              <w:rPr>
                <w:rFonts w:hAnsi="宋体"/>
                <w:bCs/>
                <w:color w:val="auto"/>
                <w:sz w:val="24"/>
                <w:szCs w:val="22"/>
              </w:rPr>
            </w:pPr>
            <w:r>
              <w:rPr>
                <w:rFonts w:hint="eastAsia" w:hAnsi="宋体" w:cs="宋体"/>
                <w:color w:val="auto"/>
                <w:sz w:val="24"/>
                <w:szCs w:val="24"/>
              </w:rPr>
              <w:t>20</w:t>
            </w:r>
            <w:r>
              <w:rPr>
                <w:rFonts w:hint="eastAsia" w:hAnsi="宋体" w:cs="宋体"/>
                <w:color w:val="auto"/>
                <w:sz w:val="24"/>
                <w:szCs w:val="24"/>
                <w:lang w:val="en-US" w:eastAsia="zh-CN"/>
              </w:rPr>
              <w:t>20</w:t>
            </w:r>
            <w:r>
              <w:rPr>
                <w:rFonts w:hint="eastAsia" w:hAnsi="宋体" w:cs="宋体"/>
                <w:color w:val="auto"/>
                <w:sz w:val="24"/>
                <w:szCs w:val="24"/>
              </w:rPr>
              <w:t>年</w:t>
            </w:r>
            <w:r>
              <w:rPr>
                <w:rFonts w:hint="eastAsia" w:hAnsi="宋体" w:cs="宋体"/>
                <w:color w:val="auto"/>
                <w:sz w:val="24"/>
                <w:szCs w:val="24"/>
                <w:lang w:val="en-US" w:eastAsia="zh-CN"/>
              </w:rPr>
              <w:t>1</w:t>
            </w:r>
            <w:r>
              <w:rPr>
                <w:rFonts w:hint="eastAsia" w:hAnsi="宋体" w:cs="宋体"/>
                <w:color w:val="auto"/>
                <w:sz w:val="24"/>
                <w:szCs w:val="24"/>
              </w:rPr>
              <w:t>月</w:t>
            </w:r>
            <w:r>
              <w:rPr>
                <w:rFonts w:hint="eastAsia" w:hAnsi="宋体" w:cs="宋体"/>
                <w:color w:val="auto"/>
                <w:sz w:val="24"/>
                <w:szCs w:val="24"/>
                <w:lang w:val="en-US" w:eastAsia="zh-CN"/>
              </w:rPr>
              <w:t>15</w:t>
            </w:r>
            <w:r>
              <w:rPr>
                <w:rFonts w:hint="eastAsia" w:hAnsi="宋体" w:cs="宋体"/>
                <w:color w:val="auto"/>
                <w:sz w:val="24"/>
                <w:szCs w:val="24"/>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_Hlk424659721"/>
            <w:bookmarkStart w:id="4" w:name="OLE_LINK3" w:colFirst="0" w:colLast="2"/>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both"/>
              <w:rPr>
                <w:rFonts w:hAnsi="宋体" w:cs="黑体"/>
                <w:spacing w:val="-6"/>
                <w:sz w:val="24"/>
              </w:rPr>
            </w:pPr>
            <w:r>
              <w:rPr>
                <w:rFonts w:hint="eastAsia" w:hAnsi="宋体" w:cs="仿宋_GB2312"/>
                <w:spacing w:val="-6"/>
                <w:sz w:val="24"/>
              </w:rPr>
              <w:t>签字或盖章要求</w:t>
            </w:r>
          </w:p>
        </w:tc>
        <w:tc>
          <w:tcPr>
            <w:tcW w:w="7017" w:type="dxa"/>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（2）</w:t>
            </w:r>
            <w:r>
              <w:rPr>
                <w:rFonts w:hint="eastAsia" w:hAnsi="宋体" w:cs="宋体"/>
                <w:bCs/>
                <w:sz w:val="24"/>
              </w:rPr>
              <w:t>存储有备份文件的电子介质2份</w:t>
            </w:r>
            <w:r>
              <w:rPr>
                <w:rFonts w:hint="eastAsia" w:hAnsi="宋体" w:cs="宋体"/>
                <w:bCs/>
                <w:sz w:val="24"/>
                <w:lang w:eastAsia="zh-CN"/>
              </w:rPr>
              <w:t>（</w:t>
            </w:r>
            <w:r>
              <w:rPr>
                <w:rFonts w:hint="eastAsia" w:hAnsi="宋体" w:cs="宋体"/>
                <w:bCs/>
                <w:sz w:val="24"/>
                <w:lang w:val="en-US" w:eastAsia="zh-CN"/>
              </w:rPr>
              <w:t>U盘</w:t>
            </w:r>
            <w:r>
              <w:rPr>
                <w:rFonts w:hint="eastAsia" w:hAnsi="宋体" w:cs="宋体"/>
                <w:bCs/>
                <w:sz w:val="24"/>
                <w:lang w:eastAsia="zh-CN"/>
              </w:rPr>
              <w:t>）</w:t>
            </w:r>
            <w:r>
              <w:rPr>
                <w:rFonts w:hint="eastAsia" w:ascii="新宋体" w:hAnsi="新宋体" w:eastAsia="新宋体"/>
                <w:sz w:val="24"/>
                <w:szCs w:val="22"/>
                <w:lang w:val="zh-CN"/>
              </w:rPr>
              <w:t>。</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sz w:val="24"/>
              </w:rPr>
            </w:pPr>
            <w:r>
              <w:rPr>
                <w:rFonts w:hint="eastAsia" w:hAnsi="宋体" w:cs="宋体"/>
                <w:bCs/>
                <w:sz w:val="24"/>
              </w:rPr>
              <w:t>存储有备份文件的电子介质2份</w:t>
            </w:r>
            <w:r>
              <w:rPr>
                <w:rFonts w:hint="eastAsia" w:hAnsi="宋体" w:cs="宋体"/>
                <w:bCs/>
                <w:sz w:val="24"/>
                <w:lang w:eastAsia="zh-CN"/>
              </w:rPr>
              <w:t>（</w:t>
            </w:r>
            <w:r>
              <w:rPr>
                <w:rFonts w:hint="eastAsia" w:hAnsi="宋体" w:cs="宋体"/>
                <w:bCs/>
                <w:sz w:val="24"/>
                <w:lang w:val="en-US" w:eastAsia="zh-CN"/>
              </w:rPr>
              <w:t>U盘</w:t>
            </w:r>
            <w:r>
              <w:rPr>
                <w:rFonts w:hint="eastAsia" w:hAnsi="宋体" w:cs="宋体"/>
                <w:bCs/>
                <w:sz w:val="24"/>
                <w:lang w:eastAsia="zh-CN"/>
              </w:rPr>
              <w:t>）</w:t>
            </w:r>
            <w:r>
              <w:rPr>
                <w:rFonts w:hint="eastAsia" w:hAnsi="宋体" w:cs="宋体"/>
                <w:sz w:val="24"/>
              </w:rPr>
              <w:t>应分开单独密封、盖章，封套上写明“投标人名称、项目名称、项目编号、标段，在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hAnsi="宋体" w:cs="宋体"/>
                <w:color w:val="auto"/>
                <w:sz w:val="24"/>
                <w:szCs w:val="24"/>
              </w:rPr>
              <w:t>投标文件在20</w:t>
            </w:r>
            <w:r>
              <w:rPr>
                <w:rFonts w:hint="eastAsia" w:hAnsi="宋体" w:cs="宋体"/>
                <w:color w:val="auto"/>
                <w:sz w:val="24"/>
                <w:szCs w:val="24"/>
                <w:lang w:val="en-US" w:eastAsia="zh-CN"/>
              </w:rPr>
              <w:t>20</w:t>
            </w:r>
            <w:r>
              <w:rPr>
                <w:rFonts w:hint="eastAsia" w:hAnsi="宋体" w:cs="宋体"/>
                <w:color w:val="auto"/>
                <w:sz w:val="24"/>
                <w:szCs w:val="24"/>
              </w:rPr>
              <w:t>年</w:t>
            </w:r>
            <w:r>
              <w:rPr>
                <w:rFonts w:hint="eastAsia" w:hAnsi="宋体" w:cs="宋体"/>
                <w:color w:val="auto"/>
                <w:sz w:val="24"/>
                <w:szCs w:val="24"/>
                <w:lang w:val="en-US" w:eastAsia="zh-CN"/>
              </w:rPr>
              <w:t>1</w:t>
            </w:r>
            <w:r>
              <w:rPr>
                <w:rFonts w:hint="eastAsia" w:hAnsi="宋体" w:cs="宋体"/>
                <w:color w:val="auto"/>
                <w:sz w:val="24"/>
                <w:szCs w:val="24"/>
              </w:rPr>
              <w:t>月</w:t>
            </w:r>
            <w:r>
              <w:rPr>
                <w:rFonts w:hint="eastAsia" w:hAnsi="宋体" w:cs="宋体"/>
                <w:color w:val="auto"/>
                <w:sz w:val="24"/>
                <w:szCs w:val="24"/>
                <w:lang w:val="en-US" w:eastAsia="zh-CN"/>
              </w:rPr>
              <w:t>15</w:t>
            </w:r>
            <w:r>
              <w:rPr>
                <w:rFonts w:hint="eastAsia" w:hAnsi="宋体" w:cs="宋体"/>
                <w:color w:val="auto"/>
                <w:sz w:val="24"/>
                <w:szCs w:val="24"/>
              </w:rPr>
              <w:t>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4"/>
              </w:numPr>
              <w:tabs>
                <w:tab w:val="left" w:pos="0"/>
                <w:tab w:val="clear" w:pos="360"/>
              </w:tabs>
              <w:spacing w:line="288" w:lineRule="auto"/>
              <w:ind w:left="0" w:hanging="648"/>
              <w:rPr>
                <w:sz w:val="24"/>
                <w:u w:val="single"/>
              </w:rPr>
            </w:pPr>
            <w:r>
              <w:rPr>
                <w:rFonts w:hint="eastAsia" w:hAnsi="宋体" w:cs="宋体"/>
                <w:sz w:val="24"/>
                <w:szCs w:val="22"/>
              </w:rPr>
              <w:t>许昌市建安区新元大道兴业</w:t>
            </w:r>
            <w:r>
              <w:rPr>
                <w:rFonts w:hint="eastAsia" w:hAnsi="宋体" w:cs="宋体"/>
                <w:color w:val="auto"/>
                <w:sz w:val="24"/>
                <w:szCs w:val="22"/>
              </w:rPr>
              <w:t>大厦4</w:t>
            </w:r>
            <w:r>
              <w:rPr>
                <w:rFonts w:hint="eastAsia" w:hAnsi="宋体" w:cs="宋体"/>
                <w:color w:val="auto"/>
                <w:sz w:val="24"/>
                <w:szCs w:val="24"/>
              </w:rPr>
              <w:t>楼</w:t>
            </w:r>
            <w:r>
              <w:rPr>
                <w:rFonts w:hint="eastAsia" w:hAnsi="宋体" w:cs="宋体"/>
                <w:color w:val="auto"/>
                <w:sz w:val="24"/>
                <w:szCs w:val="24"/>
                <w:lang w:val="en-US" w:eastAsia="zh-CN"/>
              </w:rPr>
              <w:t>4167室（开标一室）</w:t>
            </w: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pacing w:val="-20"/>
                <w:sz w:val="24"/>
                <w:szCs w:val="22"/>
              </w:rPr>
              <w:t>许昌市建安区新元大道兴业大</w:t>
            </w:r>
            <w:r>
              <w:rPr>
                <w:rFonts w:hint="eastAsia" w:hAnsi="宋体" w:cs="宋体"/>
                <w:color w:val="auto"/>
                <w:sz w:val="24"/>
                <w:szCs w:val="24"/>
              </w:rPr>
              <w:t>厦4楼</w:t>
            </w:r>
            <w:r>
              <w:rPr>
                <w:rFonts w:hint="eastAsia" w:hAnsi="宋体" w:cs="宋体"/>
                <w:color w:val="auto"/>
                <w:sz w:val="24"/>
                <w:szCs w:val="24"/>
                <w:lang w:val="en-US" w:eastAsia="zh-CN"/>
              </w:rPr>
              <w:t>4167室（开标一室）</w:t>
            </w: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sz w:val="24"/>
              </w:rPr>
              <w:t>类似工程</w:t>
            </w:r>
          </w:p>
        </w:tc>
        <w:tc>
          <w:tcPr>
            <w:tcW w:w="7226" w:type="dxa"/>
            <w:gridSpan w:val="2"/>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color w:val="auto"/>
                <w:sz w:val="24"/>
                <w:szCs w:val="22"/>
              </w:rPr>
              <w:t>不低于本项目招标控制价金额的市政工程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0"/>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肆</w:t>
                  </w:r>
                  <w:r>
                    <w:rPr>
                      <w:rFonts w:hint="eastAsia" w:hAnsi="宋体" w:cs="宋体"/>
                      <w:b/>
                      <w:bCs/>
                      <w:sz w:val="24"/>
                      <w:szCs w:val="24"/>
                    </w:rPr>
                    <w:t>拾玖万捌仟</w:t>
                  </w:r>
                  <w:r>
                    <w:rPr>
                      <w:rFonts w:hint="eastAsia" w:hAnsi="宋体" w:cs="宋体"/>
                      <w:b/>
                      <w:bCs/>
                      <w:sz w:val="24"/>
                      <w:szCs w:val="24"/>
                      <w:lang w:eastAsia="zh-CN"/>
                    </w:rPr>
                    <w:t>壹</w:t>
                  </w:r>
                  <w:r>
                    <w:rPr>
                      <w:rFonts w:hint="eastAsia" w:hAnsi="宋体" w:cs="宋体"/>
                      <w:b/>
                      <w:bCs/>
                      <w:sz w:val="24"/>
                      <w:szCs w:val="24"/>
                    </w:rPr>
                    <w:t>佰</w:t>
                  </w:r>
                  <w:r>
                    <w:rPr>
                      <w:rFonts w:hint="eastAsia" w:hAnsi="宋体" w:cs="宋体"/>
                      <w:b/>
                      <w:bCs/>
                      <w:sz w:val="24"/>
                      <w:szCs w:val="24"/>
                      <w:lang w:eastAsia="zh-CN"/>
                    </w:rPr>
                    <w:t>捌拾</w:t>
                  </w:r>
                  <w:r>
                    <w:rPr>
                      <w:rFonts w:hint="eastAsia" w:hAnsi="宋体" w:cs="宋体"/>
                      <w:b/>
                      <w:bCs/>
                      <w:sz w:val="24"/>
                      <w:szCs w:val="24"/>
                    </w:rPr>
                    <w:t>贰元</w:t>
                  </w:r>
                  <w:r>
                    <w:rPr>
                      <w:rFonts w:hint="eastAsia" w:hAnsi="宋体" w:cs="宋体"/>
                      <w:b/>
                      <w:bCs/>
                      <w:sz w:val="24"/>
                      <w:szCs w:val="24"/>
                      <w:lang w:eastAsia="zh-CN"/>
                    </w:rPr>
                    <w:t>零</w:t>
                  </w:r>
                  <w:r>
                    <w:rPr>
                      <w:rFonts w:hint="eastAsia" w:hAnsi="宋体" w:cs="宋体"/>
                      <w:b/>
                      <w:bCs/>
                      <w:sz w:val="24"/>
                      <w:szCs w:val="24"/>
                    </w:rPr>
                    <w:t>角</w:t>
                  </w:r>
                  <w:r>
                    <w:rPr>
                      <w:rFonts w:hint="eastAsia" w:hAnsi="宋体" w:cs="宋体"/>
                      <w:b/>
                      <w:bCs/>
                      <w:sz w:val="24"/>
                      <w:szCs w:val="24"/>
                      <w:lang w:eastAsia="zh-CN"/>
                    </w:rPr>
                    <w:t>陆</w:t>
                  </w:r>
                  <w:r>
                    <w:rPr>
                      <w:rFonts w:hint="eastAsia" w:hAnsi="宋体" w:cs="宋体"/>
                      <w:b/>
                      <w:bCs/>
                      <w:sz w:val="24"/>
                      <w:szCs w:val="24"/>
                    </w:rPr>
                    <w:t>分（含规费、税金、安全文明措施费）；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498182.06</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新宋体" w:hAnsi="新宋体" w:eastAsia="新宋体"/>
                <w:sz w:val="24"/>
              </w:rPr>
            </w:pPr>
            <w:r>
              <w:rPr>
                <w:rFonts w:hint="eastAsia" w:hAnsi="宋体" w:cs="宋体"/>
                <w:sz w:val="24"/>
                <w:szCs w:val="22"/>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w:t>
            </w:r>
            <w:r>
              <w:rPr>
                <w:rFonts w:hint="eastAsia" w:hAnsi="宋体" w:cs="宋体"/>
                <w:bCs/>
                <w:sz w:val="24"/>
              </w:rPr>
              <w:t>存储有备份文件的电子介质</w:t>
            </w:r>
            <w:r>
              <w:rPr>
                <w:rFonts w:hint="eastAsia" w:ascii="新宋体" w:hAnsi="新宋体" w:eastAsia="新宋体"/>
                <w:sz w:val="24"/>
                <w:szCs w:val="22"/>
              </w:rPr>
              <w:t>；</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w:t>
            </w:r>
            <w:r>
              <w:rPr>
                <w:rFonts w:hint="eastAsia" w:hAnsi="宋体" w:cs="宋体"/>
                <w:bCs/>
                <w:sz w:val="24"/>
              </w:rPr>
              <w:t>存储有备份文件的电子介质</w:t>
            </w:r>
            <w:r>
              <w:rPr>
                <w:rFonts w:hint="eastAsia" w:ascii="新宋体" w:hAnsi="新宋体" w:eastAsia="新宋体"/>
                <w:sz w:val="24"/>
                <w:szCs w:val="22"/>
              </w:rPr>
              <w:t>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35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35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sz w:val="24"/>
              </w:rPr>
            </w:pPr>
            <w:r>
              <w:rPr>
                <w:rFonts w:hint="eastAsia" w:hAnsi="宋体" w:cs="宋体"/>
                <w:sz w:val="24"/>
              </w:rPr>
              <w:t>7.2 商务标投标文件制作技术咨询：0374-2961598。</w:t>
            </w:r>
          </w:p>
          <w:p>
            <w:pPr>
              <w:autoSpaceDE w:val="0"/>
              <w:autoSpaceDN w:val="0"/>
              <w:adjustRightInd w:val="0"/>
              <w:snapToGrid w:val="0"/>
              <w:spacing w:line="350" w:lineRule="exact"/>
              <w:jc w:val="left"/>
              <w:outlineLvl w:val="0"/>
              <w:rPr>
                <w:rFonts w:hAnsi="宋体" w:cs="仿宋_GB2312"/>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44974503"/>
      <w:bookmarkStart w:id="10" w:name="_Toc152042311"/>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44974504"/>
      <w:bookmarkStart w:id="14" w:name="_Toc152042312"/>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2314"/>
      <w:bookmarkStart w:id="22" w:name="_Toc152045538"/>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2322"/>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6"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7" w:name="_Toc144974521"/>
      <w:bookmarkStart w:id="38" w:name="_Toc152042329"/>
      <w:bookmarkStart w:id="39" w:name="_Toc179632571"/>
      <w:bookmarkStart w:id="40" w:name="_Toc152045553"/>
      <w:r>
        <w:rPr>
          <w:rFonts w:hint="eastAsia" w:hAnsi="宋体" w:cs="宋体"/>
          <w:b/>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6"/>
    <w:p>
      <w:pPr>
        <w:autoSpaceDE w:val="0"/>
        <w:autoSpaceDN w:val="0"/>
        <w:spacing w:line="440" w:lineRule="exact"/>
        <w:jc w:val="left"/>
        <w:rPr>
          <w:rFonts w:hAnsi="宋体" w:cs="宋体"/>
          <w:b/>
          <w:sz w:val="24"/>
        </w:rPr>
      </w:pPr>
      <w:bookmarkStart w:id="41"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存储有备份文件的电子介质2份</w:t>
      </w:r>
      <w:r>
        <w:rPr>
          <w:rFonts w:hint="eastAsia" w:hAnsi="宋体" w:cs="宋体"/>
          <w:bCs/>
          <w:sz w:val="24"/>
          <w:lang w:eastAsia="zh-CN"/>
        </w:rPr>
        <w:t>（</w:t>
      </w:r>
      <w:r>
        <w:rPr>
          <w:rFonts w:hint="eastAsia" w:hAnsi="宋体" w:cs="宋体"/>
          <w:bCs/>
          <w:sz w:val="24"/>
          <w:lang w:val="en-US" w:eastAsia="zh-CN"/>
        </w:rPr>
        <w:t>U盘</w:t>
      </w:r>
      <w:r>
        <w:rPr>
          <w:rFonts w:hint="eastAsia" w:hAnsi="宋体" w:cs="宋体"/>
          <w:bCs/>
          <w:sz w:val="24"/>
          <w:lang w:eastAsia="zh-CN"/>
        </w:rPr>
        <w:t>）</w:t>
      </w:r>
      <w:r>
        <w:rPr>
          <w:rFonts w:hint="eastAsia" w:hAnsi="宋体" w:cs="宋体"/>
          <w:sz w:val="24"/>
        </w:rPr>
        <w:t>（注明：投标人名称、项目名称、项目编号、标段）。</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1"/>
    </w:p>
    <w:p>
      <w:pPr>
        <w:autoSpaceDE w:val="0"/>
        <w:autoSpaceDN w:val="0"/>
        <w:adjustRightInd w:val="0"/>
        <w:spacing w:line="440" w:lineRule="exact"/>
        <w:jc w:val="left"/>
        <w:outlineLvl w:val="0"/>
        <w:rPr>
          <w:rFonts w:hAnsi="宋体" w:cs="宋体"/>
          <w:b/>
          <w:sz w:val="24"/>
        </w:rPr>
      </w:pPr>
      <w:bookmarkStart w:id="42" w:name="_Toc283559962"/>
      <w:r>
        <w:rPr>
          <w:rFonts w:hAnsi="宋体" w:cs="宋体"/>
          <w:b/>
          <w:sz w:val="24"/>
        </w:rPr>
        <w:t xml:space="preserve">4.1 </w:t>
      </w:r>
      <w:r>
        <w:rPr>
          <w:rFonts w:hint="eastAsia" w:hAnsi="宋体" w:cs="宋体"/>
          <w:b/>
          <w:sz w:val="24"/>
        </w:rPr>
        <w:t>投标文件的密封和标记</w:t>
      </w:r>
      <w:bookmarkEnd w:id="42"/>
    </w:p>
    <w:p>
      <w:pPr>
        <w:autoSpaceDE w:val="0"/>
        <w:autoSpaceDN w:val="0"/>
        <w:spacing w:line="440" w:lineRule="exact"/>
        <w:ind w:firstLine="480" w:firstLineChars="200"/>
        <w:jc w:val="left"/>
        <w:outlineLvl w:val="0"/>
        <w:rPr>
          <w:rFonts w:hAnsi="宋体" w:cs="宋体"/>
          <w:sz w:val="24"/>
        </w:rPr>
      </w:pPr>
      <w:bookmarkStart w:id="43" w:name="_Toc283559963"/>
      <w:r>
        <w:rPr>
          <w:rFonts w:hint="eastAsia" w:hAnsi="宋体" w:cs="宋体"/>
          <w:sz w:val="24"/>
        </w:rPr>
        <w:t>4.1.1</w:t>
      </w:r>
      <w:r>
        <w:rPr>
          <w:rFonts w:hint="eastAsia" w:hAnsi="宋体" w:cs="宋体"/>
          <w:bCs/>
          <w:sz w:val="24"/>
        </w:rPr>
        <w:t>存储有备份文件的电子介质</w:t>
      </w:r>
      <w:r>
        <w:rPr>
          <w:rFonts w:hint="eastAsia" w:hAnsi="宋体" w:cs="宋体"/>
          <w:sz w:val="24"/>
        </w:rPr>
        <w:t>应单独密封，封套上写明“投标人名称、项目名称、项目编号、标段，在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3"/>
    </w:p>
    <w:p>
      <w:pPr>
        <w:autoSpaceDE w:val="0"/>
        <w:autoSpaceDN w:val="0"/>
        <w:spacing w:line="440" w:lineRule="exact"/>
        <w:ind w:firstLine="480" w:firstLineChars="200"/>
        <w:jc w:val="left"/>
        <w:outlineLvl w:val="0"/>
        <w:rPr>
          <w:rFonts w:hAnsi="宋体" w:cs="宋体"/>
          <w:sz w:val="24"/>
        </w:rPr>
      </w:pPr>
      <w:bookmarkStart w:id="44" w:name="_Toc283559964"/>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存储有备份文件的电子介质2份</w:t>
      </w:r>
      <w:r>
        <w:rPr>
          <w:rFonts w:hint="eastAsia" w:hAnsi="宋体" w:cs="宋体"/>
          <w:bCs/>
          <w:sz w:val="24"/>
          <w:lang w:eastAsia="zh-CN"/>
        </w:rPr>
        <w:t>（</w:t>
      </w:r>
      <w:r>
        <w:rPr>
          <w:rFonts w:hint="eastAsia" w:hAnsi="宋体" w:cs="宋体"/>
          <w:bCs/>
          <w:sz w:val="24"/>
          <w:lang w:val="en-US" w:eastAsia="zh-CN"/>
        </w:rPr>
        <w:t>U盘</w:t>
      </w:r>
      <w:r>
        <w:rPr>
          <w:rFonts w:hint="eastAsia" w:hAnsi="宋体" w:cs="宋体"/>
          <w:bCs/>
          <w:sz w:val="24"/>
          <w:lang w:eastAsia="zh-CN"/>
        </w:rPr>
        <w:t>）</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rPr>
      </w:pPr>
      <w:bookmarkStart w:id="45" w:name="_Toc283559967"/>
      <w:r>
        <w:rPr>
          <w:rFonts w:hAnsi="宋体"/>
          <w:b/>
          <w:color w:val="auto"/>
        </w:rPr>
        <w:t xml:space="preserve">5. </w:t>
      </w:r>
      <w:r>
        <w:rPr>
          <w:rFonts w:hint="eastAsia" w:hAnsi="宋体"/>
          <w:b/>
          <w:color w:val="auto"/>
        </w:rPr>
        <w:t>开标</w:t>
      </w:r>
      <w:bookmarkEnd w:id="45"/>
    </w:p>
    <w:p>
      <w:pPr>
        <w:autoSpaceDE w:val="0"/>
        <w:autoSpaceDN w:val="0"/>
        <w:adjustRightInd w:val="0"/>
        <w:spacing w:line="440" w:lineRule="exact"/>
        <w:jc w:val="left"/>
        <w:outlineLvl w:val="0"/>
        <w:rPr>
          <w:rFonts w:hAnsi="宋体" w:cs="宋体"/>
          <w:b/>
          <w:sz w:val="24"/>
        </w:rPr>
      </w:pPr>
      <w:bookmarkStart w:id="46" w:name="_Toc283559968"/>
      <w:r>
        <w:rPr>
          <w:rFonts w:hAnsi="宋体" w:cs="宋体"/>
          <w:b/>
          <w:sz w:val="24"/>
        </w:rPr>
        <w:t xml:space="preserve">5.1 </w:t>
      </w:r>
      <w:r>
        <w:rPr>
          <w:rFonts w:hint="eastAsia" w:hAnsi="宋体" w:cs="宋体"/>
          <w:b/>
          <w:sz w:val="24"/>
        </w:rPr>
        <w:t>开标时间和地点</w:t>
      </w:r>
      <w:bookmarkEnd w:id="46"/>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7"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cs="宋体"/>
          <w:bCs/>
          <w:sz w:val="24"/>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8"/>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7"/>
    </w:p>
    <w:p>
      <w:pPr>
        <w:autoSpaceDE w:val="0"/>
        <w:autoSpaceDN w:val="0"/>
        <w:adjustRightInd w:val="0"/>
        <w:spacing w:line="440" w:lineRule="exact"/>
        <w:jc w:val="left"/>
        <w:outlineLvl w:val="0"/>
        <w:rPr>
          <w:rFonts w:hAnsi="宋体" w:cs="宋体"/>
          <w:b/>
          <w:sz w:val="24"/>
        </w:rPr>
      </w:pPr>
      <w:bookmarkStart w:id="48" w:name="_Toc283559971"/>
      <w:r>
        <w:rPr>
          <w:rFonts w:hAnsi="宋体" w:cs="宋体"/>
          <w:b/>
          <w:sz w:val="24"/>
        </w:rPr>
        <w:t xml:space="preserve">6.1 </w:t>
      </w:r>
      <w:r>
        <w:rPr>
          <w:rFonts w:hint="eastAsia" w:hAnsi="宋体" w:cs="宋体"/>
          <w:b/>
          <w:sz w:val="24"/>
        </w:rPr>
        <w:t>评标委员会</w:t>
      </w:r>
      <w:bookmarkEnd w:id="48"/>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49" w:name="_Toc283559972"/>
      <w:r>
        <w:rPr>
          <w:rFonts w:hAnsi="宋体" w:cs="宋体"/>
          <w:b/>
          <w:sz w:val="24"/>
        </w:rPr>
        <w:t xml:space="preserve">6.2 </w:t>
      </w:r>
      <w:r>
        <w:rPr>
          <w:rFonts w:hint="eastAsia" w:hAnsi="宋体" w:cs="宋体"/>
          <w:b/>
          <w:sz w:val="24"/>
        </w:rPr>
        <w:t>评标原则</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0" w:name="_Toc283559973"/>
      <w:r>
        <w:rPr>
          <w:rFonts w:hAnsi="宋体" w:cs="宋体"/>
          <w:b/>
          <w:sz w:val="24"/>
        </w:rPr>
        <w:t xml:space="preserve">6.3 </w:t>
      </w:r>
      <w:r>
        <w:rPr>
          <w:rFonts w:hint="eastAsia" w:hAnsi="宋体" w:cs="宋体"/>
          <w:b/>
          <w:sz w:val="24"/>
        </w:rPr>
        <w:t>评标</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0"/>
        <w:rPr>
          <w:rFonts w:hAnsi="宋体"/>
          <w:b/>
          <w:color w:val="auto"/>
        </w:rPr>
      </w:pPr>
      <w:bookmarkStart w:id="51" w:name="_Toc283559974"/>
      <w:r>
        <w:rPr>
          <w:rFonts w:hAnsi="宋体"/>
          <w:b/>
          <w:color w:val="auto"/>
        </w:rPr>
        <w:t xml:space="preserve">7. </w:t>
      </w:r>
      <w:r>
        <w:rPr>
          <w:rFonts w:hint="eastAsia" w:hAnsi="宋体"/>
          <w:b/>
          <w:color w:val="auto"/>
        </w:rPr>
        <w:t>合同授予</w:t>
      </w:r>
      <w:bookmarkEnd w:id="51"/>
    </w:p>
    <w:p>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int="eastAsia" w:hAnsi="宋体" w:cs="宋体"/>
          <w:b/>
          <w:sz w:val="24"/>
        </w:rPr>
        <w:t>定标方式</w:t>
      </w:r>
      <w:bookmarkEnd w:id="52"/>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int="eastAsia" w:hAnsi="宋体" w:cs="宋体"/>
          <w:b/>
          <w:sz w:val="24"/>
        </w:rPr>
        <w:t>2中标通知</w:t>
      </w:r>
      <w:bookmarkEnd w:id="5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4" w:name="_Toc152045569"/>
      <w:bookmarkStart w:id="55" w:name="_Toc144974537"/>
      <w:bookmarkStart w:id="56" w:name="_Toc179632587"/>
      <w:bookmarkStart w:id="57" w:name="_Toc152042345"/>
    </w:p>
    <w:bookmarkEnd w:id="54"/>
    <w:bookmarkEnd w:id="55"/>
    <w:bookmarkEnd w:id="56"/>
    <w:bookmarkEnd w:id="57"/>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8"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lang w:val="en-US" w:eastAsia="zh-CN"/>
        </w:rPr>
        <w:t>1</w:t>
      </w:r>
      <w:r>
        <w:rPr>
          <w:rFonts w:hint="eastAsia" w:hAnsi="宋体" w:cs="宋体"/>
          <w:sz w:val="24"/>
          <w:szCs w:val="22"/>
        </w:rPr>
        <w:t xml:space="preserve">、现金支票和现金不得作为履约保证金提交方式。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lang w:val="en-US" w:eastAsia="zh-CN"/>
        </w:rPr>
        <w:t>2</w:t>
      </w:r>
      <w:r>
        <w:rPr>
          <w:rFonts w:hint="eastAsia" w:hAnsi="宋体" w:cs="宋体"/>
          <w:sz w:val="24"/>
          <w:szCs w:val="22"/>
        </w:rPr>
        <w:t>、中标人必须通过其公司账户按照规定的方式提交，其名称应与中标单位的名称一致。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lang w:val="en-US" w:eastAsia="zh-CN"/>
        </w:rPr>
        <w:t>3</w:t>
      </w:r>
      <w:r>
        <w:rPr>
          <w:rFonts w:hint="eastAsia" w:hAnsi="宋体" w:cs="宋体"/>
          <w:sz w:val="24"/>
          <w:szCs w:val="22"/>
        </w:rPr>
        <w:t>、中标人在缴纳履约保证金时必须在附言、备注和用途栏注明“项目编号及标段”，否则可能造成延迟退还。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8"/>
    </w:p>
    <w:p>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t xml:space="preserve">8.1 </w:t>
      </w:r>
      <w:r>
        <w:rPr>
          <w:rFonts w:hint="eastAsia" w:hAnsi="宋体" w:cs="宋体"/>
          <w:b/>
          <w:sz w:val="24"/>
        </w:rPr>
        <w:t>重新招标</w:t>
      </w:r>
      <w:bookmarkEnd w:id="59"/>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int="eastAsia" w:hAnsi="宋体" w:cs="宋体"/>
          <w:b/>
          <w:sz w:val="24"/>
        </w:rPr>
        <w:t>不再招标</w:t>
      </w:r>
      <w:bookmarkEnd w:id="60"/>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8"/>
        <w:spacing w:line="440" w:lineRule="exact"/>
        <w:jc w:val="both"/>
        <w:outlineLvl w:val="0"/>
        <w:rPr>
          <w:rFonts w:hAnsi="宋体"/>
          <w:b/>
          <w:color w:val="auto"/>
        </w:rPr>
      </w:pPr>
      <w:bookmarkStart w:id="61" w:name="_Toc283559981"/>
      <w:r>
        <w:rPr>
          <w:rFonts w:hAnsi="宋体"/>
          <w:b/>
          <w:color w:val="auto"/>
        </w:rPr>
        <w:t xml:space="preserve">9. </w:t>
      </w:r>
      <w:r>
        <w:rPr>
          <w:rFonts w:hint="eastAsia" w:hAnsi="宋体"/>
          <w:b/>
          <w:color w:val="auto"/>
        </w:rPr>
        <w:t>纪律和监督</w:t>
      </w:r>
      <w:bookmarkEnd w:id="61"/>
    </w:p>
    <w:p>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int="eastAsia" w:hAnsi="宋体" w:cs="宋体"/>
          <w:b/>
          <w:sz w:val="24"/>
        </w:rPr>
        <w:t>对招标人的纪律要求</w:t>
      </w:r>
      <w:bookmarkEnd w:id="6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int="eastAsia" w:hAnsi="宋体" w:cs="宋体"/>
          <w:b/>
          <w:sz w:val="24"/>
        </w:rPr>
        <w:t>对投标人的纪律要求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int="eastAsia" w:hAnsi="宋体" w:cs="宋体"/>
          <w:b/>
          <w:sz w:val="24"/>
        </w:rPr>
        <w:t>对评标委员会成员的纪律要求</w:t>
      </w:r>
      <w:bookmarkEnd w:id="64"/>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int="eastAsia" w:hAnsi="宋体" w:cs="宋体"/>
          <w:b/>
          <w:sz w:val="24"/>
        </w:rPr>
        <w:t>对与评标活动有关的工作人员的纪律要求</w:t>
      </w:r>
      <w:bookmarkEnd w:id="65"/>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t xml:space="preserve">9.5 </w:t>
      </w:r>
      <w:r>
        <w:rPr>
          <w:rFonts w:hint="eastAsia" w:hAnsi="宋体" w:cs="宋体"/>
          <w:b/>
          <w:sz w:val="24"/>
        </w:rPr>
        <w:t>投诉</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8"/>
        <w:spacing w:line="440" w:lineRule="exact"/>
        <w:jc w:val="both"/>
        <w:outlineLvl w:val="0"/>
        <w:rPr>
          <w:rFonts w:hAnsi="宋体"/>
          <w:b/>
          <w:color w:val="auto"/>
        </w:rPr>
      </w:pPr>
      <w:bookmarkStart w:id="67" w:name="_Toc283559987"/>
      <w:r>
        <w:rPr>
          <w:rFonts w:hAnsi="宋体"/>
          <w:b/>
          <w:color w:val="auto"/>
        </w:rPr>
        <w:t xml:space="preserve">10. </w:t>
      </w:r>
      <w:r>
        <w:rPr>
          <w:rFonts w:hint="eastAsia" w:hAnsi="宋体"/>
          <w:b/>
          <w:color w:val="auto"/>
        </w:rPr>
        <w:t>需要补充的其他内容</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8"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pStyle w:val="2"/>
        <w:rPr>
          <w:rFonts w:hAnsi="宋体" w:cs="宋体"/>
          <w:b/>
          <w:bCs/>
          <w:sz w:val="24"/>
        </w:rPr>
      </w:pPr>
    </w:p>
    <w:p>
      <w:pPr>
        <w:pStyle w:val="4"/>
        <w:rPr>
          <w:rFonts w:hAnsi="宋体" w:cs="宋体"/>
          <w:b/>
          <w:bCs/>
          <w:sz w:val="24"/>
        </w:rPr>
      </w:pPr>
    </w:p>
    <w:p>
      <w:pPr>
        <w:pStyle w:val="4"/>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pPr>
    </w:p>
    <w:p>
      <w:pPr>
        <w:pStyle w:val="2"/>
        <w:ind w:firstLine="340"/>
      </w:pPr>
    </w:p>
    <w:p>
      <w:pPr>
        <w:pStyle w:val="4"/>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snapToGrid w:val="0"/>
        <w:spacing w:line="360" w:lineRule="auto"/>
        <w:ind w:firstLine="480" w:firstLineChars="200"/>
        <w:rPr>
          <w:rFonts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w:t>
      </w:r>
      <w:r>
        <w:rPr>
          <w:rFonts w:hint="eastAsia" w:ascii="新宋体" w:hAnsi="新宋体" w:eastAsia="新宋体" w:cs="宋体"/>
          <w:bCs/>
          <w:sz w:val="24"/>
          <w:lang w:eastAsia="zh-CN"/>
        </w:rPr>
        <w:t>条</w:t>
      </w:r>
      <w:r>
        <w:rPr>
          <w:rFonts w:hint="eastAsia" w:ascii="新宋体" w:hAnsi="新宋体" w:eastAsia="新宋体" w:cs="宋体"/>
          <w:bCs/>
          <w:sz w:val="24"/>
        </w:rPr>
        <w:t>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0"/>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1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320" w:lineRule="exact"/>
              <w:jc w:val="center"/>
              <w:rPr>
                <w:rFonts w:ascii="新宋体" w:hAnsi="新宋体" w:eastAsia="新宋体"/>
                <w:sz w:val="21"/>
                <w:szCs w:val="21"/>
              </w:rPr>
            </w:pPr>
            <w:bookmarkStart w:id="69" w:name="_Toc272833453"/>
            <w:bookmarkStart w:id="70" w:name="_Toc273546398"/>
            <w:bookmarkStart w:id="71" w:name="_Toc270931534"/>
            <w:bookmarkStart w:id="72" w:name="_Toc295572535"/>
            <w:r>
              <w:rPr>
                <w:rFonts w:hint="eastAsia" w:ascii="新宋体" w:hAnsi="新宋体" w:eastAsia="新宋体"/>
                <w:sz w:val="21"/>
                <w:szCs w:val="21"/>
              </w:rPr>
              <w:t>序号</w:t>
            </w:r>
          </w:p>
        </w:tc>
        <w:tc>
          <w:tcPr>
            <w:tcW w:w="1410" w:type="dxa"/>
            <w:vAlign w:val="center"/>
          </w:tcPr>
          <w:p>
            <w:pPr>
              <w:spacing w:line="320" w:lineRule="exact"/>
              <w:ind w:firstLine="420" w:firstLineChars="200"/>
              <w:rPr>
                <w:rFonts w:ascii="新宋体" w:hAnsi="新宋体" w:eastAsia="新宋体"/>
                <w:sz w:val="21"/>
                <w:szCs w:val="21"/>
              </w:rPr>
            </w:pPr>
            <w:r>
              <w:rPr>
                <w:rFonts w:hint="eastAsia" w:ascii="新宋体" w:hAnsi="新宋体" w:eastAsia="新宋体"/>
                <w:sz w:val="21"/>
                <w:szCs w:val="21"/>
              </w:rPr>
              <w:t>内容</w:t>
            </w:r>
          </w:p>
        </w:tc>
        <w:tc>
          <w:tcPr>
            <w:tcW w:w="1044" w:type="dxa"/>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分值</w:t>
            </w:r>
          </w:p>
        </w:tc>
        <w:tc>
          <w:tcPr>
            <w:tcW w:w="5014" w:type="dxa"/>
            <w:vAlign w:val="center"/>
          </w:tcPr>
          <w:p>
            <w:pPr>
              <w:spacing w:line="320" w:lineRule="exact"/>
              <w:ind w:firstLine="420" w:firstLineChars="200"/>
              <w:jc w:val="center"/>
              <w:rPr>
                <w:rFonts w:ascii="新宋体" w:hAnsi="新宋体" w:eastAsia="新宋体"/>
                <w:sz w:val="21"/>
                <w:szCs w:val="21"/>
              </w:rPr>
            </w:pPr>
            <w:r>
              <w:rPr>
                <w:rFonts w:hint="eastAsia" w:ascii="新宋体" w:hAnsi="新宋体" w:eastAsia="新宋体"/>
                <w:sz w:val="21"/>
                <w:szCs w:val="21"/>
              </w:rPr>
              <w:t>评审标准</w:t>
            </w:r>
          </w:p>
        </w:tc>
        <w:tc>
          <w:tcPr>
            <w:tcW w:w="1500" w:type="dxa"/>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1</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内容完整性</w:t>
            </w:r>
          </w:p>
        </w:tc>
        <w:tc>
          <w:tcPr>
            <w:tcW w:w="1044"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0-0.5分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技术标的主要内容具有完整性，符合招标文件的要求。</w:t>
            </w:r>
          </w:p>
        </w:tc>
        <w:tc>
          <w:tcPr>
            <w:tcW w:w="1500" w:type="dxa"/>
            <w:vAlign w:val="center"/>
          </w:tcPr>
          <w:p>
            <w:pPr>
              <w:spacing w:line="320" w:lineRule="exact"/>
              <w:ind w:firstLine="420" w:firstLineChars="200"/>
              <w:rPr>
                <w:rFonts w:ascii="新宋体" w:hAnsi="新宋体" w:eastAsia="新宋体"/>
                <w:sz w:val="21"/>
                <w:szCs w:val="21"/>
              </w:rPr>
            </w:pPr>
            <w:r>
              <w:rPr>
                <w:rFonts w:hint="eastAsia" w:ascii="新宋体" w:hAnsi="新宋体" w:eastAsia="新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技术标不符合招标文件要求。</w:t>
            </w:r>
          </w:p>
        </w:tc>
        <w:tc>
          <w:tcPr>
            <w:tcW w:w="1500" w:type="dxa"/>
            <w:vAlign w:val="center"/>
          </w:tcPr>
          <w:p>
            <w:pPr>
              <w:spacing w:line="320" w:lineRule="exact"/>
              <w:ind w:firstLine="420" w:firstLineChars="200"/>
              <w:rPr>
                <w:rFonts w:ascii="新宋体" w:hAnsi="新宋体" w:eastAsia="新宋体"/>
                <w:sz w:val="21"/>
                <w:szCs w:val="21"/>
              </w:rPr>
            </w:pPr>
            <w:r>
              <w:rPr>
                <w:rFonts w:hint="eastAsia" w:ascii="新宋体" w:hAnsi="新宋体" w:eastAsia="新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2</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主要施工方案与技术措施</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1-3分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施工方案（含工程特点、施工重点与难点及绿色施工）总体安排合理，运用先进、合理的施工工艺、施工机械；对施工难点有先进和合理的建议。</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施工方案（含工程特点、施工重点与难点及绿色施工）总体安排合理，施工工艺、施工机械合理、可行；对施工难点有合理的建议。</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3</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质量管理体系与措施</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1-2分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4</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安全管理体系与措施</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1-2分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5</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文明施工、环境保护管理体系及施工现场扬尘治理措施</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1-3分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6</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工期保证措施</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1-2分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工期承诺满足招标文件要求，工期保证措施合理且有针对性，有具体的违约责任承诺。</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工期承诺满足招标文件要求，工期保证措施基本合理，有具体的违约责任承诺。</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7</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拟投入资源配备计划</w:t>
            </w:r>
          </w:p>
        </w:tc>
        <w:tc>
          <w:tcPr>
            <w:tcW w:w="1044"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0.5-2分</w:t>
            </w:r>
          </w:p>
        </w:tc>
        <w:tc>
          <w:tcPr>
            <w:tcW w:w="5014" w:type="dxa"/>
            <w:vAlign w:val="center"/>
          </w:tcPr>
          <w:p>
            <w:pPr>
              <w:numPr>
                <w:ilvl w:val="0"/>
                <w:numId w:val="5"/>
              </w:numPr>
              <w:spacing w:line="320" w:lineRule="exact"/>
              <w:rPr>
                <w:rFonts w:ascii="新宋体" w:hAnsi="新宋体" w:eastAsia="新宋体"/>
                <w:sz w:val="21"/>
                <w:szCs w:val="21"/>
              </w:rPr>
            </w:pPr>
            <w:r>
              <w:rPr>
                <w:rFonts w:hint="eastAsia" w:ascii="新宋体" w:hAnsi="新宋体" w:eastAsia="新宋体"/>
                <w:sz w:val="21"/>
                <w:szCs w:val="21"/>
              </w:rPr>
              <w:t>机械：投入计划与进度计划呼应，采用先进机械设备且配置合理、先进，满足安全技术规范和施工进度需要；PC构件运输、安装设备满足施工要求；</w:t>
            </w:r>
          </w:p>
          <w:p>
            <w:pPr>
              <w:numPr>
                <w:ilvl w:val="0"/>
                <w:numId w:val="5"/>
              </w:numPr>
              <w:spacing w:line="320" w:lineRule="exact"/>
              <w:rPr>
                <w:rFonts w:ascii="新宋体" w:hAnsi="新宋体" w:eastAsia="新宋体"/>
                <w:sz w:val="21"/>
                <w:szCs w:val="21"/>
              </w:rPr>
            </w:pPr>
            <w:r>
              <w:rPr>
                <w:rFonts w:hint="eastAsia" w:ascii="新宋体" w:hAnsi="新宋体" w:eastAsia="新宋体"/>
                <w:sz w:val="21"/>
                <w:szCs w:val="21"/>
              </w:rPr>
              <w:t>劳动力：投入计划与进度计划呼应，较好满足施工需要，调配投入计划合理、准确；</w:t>
            </w:r>
          </w:p>
          <w:p>
            <w:pPr>
              <w:spacing w:line="320" w:lineRule="exact"/>
              <w:rPr>
                <w:rFonts w:ascii="新宋体" w:hAnsi="新宋体" w:eastAsia="新宋体"/>
                <w:sz w:val="21"/>
                <w:szCs w:val="21"/>
              </w:rPr>
            </w:pPr>
            <w:r>
              <w:rPr>
                <w:rFonts w:hint="eastAsia" w:ascii="新宋体" w:hAnsi="新宋体" w:eastAsia="新宋体"/>
                <w:sz w:val="21"/>
                <w:szCs w:val="21"/>
              </w:rPr>
              <w:t>3、主要物资计划：主要物资（含PC构件的供应需求）投入计划与进度计划呼应，较好满足施工需要，调配投入计划合理、准确。</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numPr>
                <w:ilvl w:val="0"/>
                <w:numId w:val="6"/>
              </w:numPr>
              <w:spacing w:line="320" w:lineRule="exact"/>
              <w:rPr>
                <w:rFonts w:ascii="新宋体" w:hAnsi="新宋体" w:eastAsia="新宋体"/>
                <w:sz w:val="21"/>
                <w:szCs w:val="21"/>
              </w:rPr>
            </w:pPr>
            <w:r>
              <w:rPr>
                <w:rFonts w:hint="eastAsia" w:ascii="新宋体" w:hAnsi="新宋体" w:eastAsia="新宋体"/>
                <w:sz w:val="21"/>
                <w:szCs w:val="21"/>
              </w:rPr>
              <w:t>机械：投入计划与进度计划呼应，机械设备配置基本合理，满足安全技术规范和施工进度需要；</w:t>
            </w:r>
          </w:p>
          <w:p>
            <w:pPr>
              <w:numPr>
                <w:ilvl w:val="0"/>
                <w:numId w:val="6"/>
              </w:numPr>
              <w:spacing w:line="320" w:lineRule="exact"/>
              <w:rPr>
                <w:rFonts w:ascii="新宋体" w:hAnsi="新宋体" w:eastAsia="新宋体"/>
                <w:sz w:val="21"/>
                <w:szCs w:val="21"/>
              </w:rPr>
            </w:pPr>
            <w:r>
              <w:rPr>
                <w:rFonts w:hint="eastAsia" w:ascii="新宋体" w:hAnsi="新宋体" w:eastAsia="新宋体"/>
                <w:sz w:val="21"/>
                <w:szCs w:val="21"/>
              </w:rPr>
              <w:t>劳动力：投入计划与进度计划呼应，基本满足施工需要，调配投入计划基本合理；</w:t>
            </w:r>
          </w:p>
          <w:p>
            <w:pPr>
              <w:spacing w:line="320" w:lineRule="exact"/>
              <w:rPr>
                <w:rFonts w:ascii="新宋体" w:hAnsi="新宋体" w:eastAsia="新宋体"/>
                <w:sz w:val="21"/>
                <w:szCs w:val="21"/>
              </w:rPr>
            </w:pPr>
            <w:r>
              <w:rPr>
                <w:rFonts w:hint="eastAsia" w:ascii="新宋体" w:hAnsi="新宋体" w:eastAsia="新宋体"/>
                <w:sz w:val="21"/>
                <w:szCs w:val="21"/>
              </w:rPr>
              <w:t>3、主要物资计划：主要物资（含PC构件的供应需求）投入计划与进度计划呼应，基本满足施工需要，调配投入计划基本合理。</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8</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施工进度表与网络计划图</w:t>
            </w:r>
          </w:p>
        </w:tc>
        <w:tc>
          <w:tcPr>
            <w:tcW w:w="1044"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0.5-2分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关键线路清晰、准确、完整、计划编制合理、可行、满足招标文件对工期的要求。</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关键线路基本准确，计划编制基本可行。</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9</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施工总平面图布置</w:t>
            </w:r>
          </w:p>
        </w:tc>
        <w:tc>
          <w:tcPr>
            <w:tcW w:w="1044"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0.5-1分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总体布置有针对性、合理、能较好满足施工需要，符合安全、文明施工要求；材料堆放有序。</w:t>
            </w:r>
          </w:p>
        </w:tc>
        <w:tc>
          <w:tcPr>
            <w:tcW w:w="1500" w:type="dxa"/>
            <w:vAlign w:val="center"/>
          </w:tcPr>
          <w:p>
            <w:pPr>
              <w:spacing w:line="320" w:lineRule="exact"/>
              <w:ind w:firstLine="420" w:firstLineChars="200"/>
              <w:rPr>
                <w:rFonts w:ascii="新宋体" w:hAnsi="新宋体" w:eastAsia="新宋体"/>
                <w:sz w:val="21"/>
                <w:szCs w:val="21"/>
              </w:rPr>
            </w:pPr>
            <w:r>
              <w:rPr>
                <w:rFonts w:hint="eastAsia" w:ascii="新宋体" w:hAnsi="新宋体" w:eastAsia="新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总体布置基本合理、基本满足施工需要。</w:t>
            </w:r>
          </w:p>
        </w:tc>
        <w:tc>
          <w:tcPr>
            <w:tcW w:w="1500" w:type="dxa"/>
            <w:vAlign w:val="center"/>
          </w:tcPr>
          <w:p>
            <w:pPr>
              <w:spacing w:line="320" w:lineRule="exact"/>
              <w:ind w:firstLine="420" w:firstLineChars="200"/>
              <w:rPr>
                <w:rFonts w:ascii="新宋体" w:hAnsi="新宋体" w:eastAsia="新宋体"/>
                <w:sz w:val="21"/>
                <w:szCs w:val="21"/>
              </w:rPr>
            </w:pPr>
            <w:r>
              <w:rPr>
                <w:rFonts w:hint="eastAsia" w:ascii="新宋体" w:hAnsi="新宋体" w:eastAsia="新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10</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技术创新的应用实施措施</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1-2分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节能减排、绿色施工、工艺创新、装配式建筑等技术创新的应用实施措施符合工程情况，具有针对性、可行性、经济适用性。</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节能减排、绿色施工、工艺创新、装配式建筑等技术创新的应用实施措施基本符合工程情况，具有针对性。</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11</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采用新工艺、新技术、新设备、新材料、BIM等的程度</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1-2分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采用新工艺、新技术、新设备、新材料、BIM等的程度满足设计要求，符合施工需要和相应技术标准等规定，经济适用。</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采用新工艺、新技术、新设备、新材料、BIM等的程度满足设计要求，基本符合施工要求和相应技术标准等规定。</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12</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施工现场实施信息化监控和数据处理</w:t>
            </w:r>
          </w:p>
        </w:tc>
        <w:tc>
          <w:tcPr>
            <w:tcW w:w="1044" w:type="dxa"/>
            <w:vMerge w:val="restart"/>
            <w:vAlign w:val="center"/>
          </w:tcPr>
          <w:p>
            <w:pPr>
              <w:spacing w:line="320" w:lineRule="exact"/>
              <w:rPr>
                <w:rFonts w:ascii="新宋体" w:hAnsi="新宋体" w:eastAsia="新宋体"/>
                <w:spacing w:val="-20"/>
                <w:sz w:val="21"/>
                <w:szCs w:val="21"/>
              </w:rPr>
            </w:pPr>
            <w:r>
              <w:rPr>
                <w:rFonts w:hint="eastAsia" w:ascii="新宋体" w:hAnsi="新宋体" w:eastAsia="新宋体"/>
                <w:spacing w:val="-20"/>
                <w:sz w:val="21"/>
                <w:szCs w:val="21"/>
              </w:rPr>
              <w:t>0.5-1.5分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施工现场实施信息化监控数据处理系统布置合理，满足需要。</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施工现场实施信息化监控数据处理系统布置基本符合需要。</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21"/>
                <w:szCs w:val="21"/>
              </w:rPr>
            </w:pPr>
            <w:r>
              <w:rPr>
                <w:rFonts w:hint="eastAsia" w:ascii="新宋体" w:hAnsi="新宋体" w:eastAsia="新宋体"/>
                <w:sz w:val="21"/>
                <w:szCs w:val="21"/>
              </w:rPr>
              <w:t>13</w:t>
            </w:r>
          </w:p>
        </w:tc>
        <w:tc>
          <w:tcPr>
            <w:tcW w:w="1410" w:type="dxa"/>
            <w:vMerge w:val="restart"/>
            <w:vAlign w:val="center"/>
          </w:tcPr>
          <w:p>
            <w:pPr>
              <w:spacing w:line="320" w:lineRule="exact"/>
              <w:rPr>
                <w:rFonts w:ascii="新宋体" w:hAnsi="新宋体" w:eastAsia="新宋体"/>
                <w:sz w:val="21"/>
                <w:szCs w:val="21"/>
              </w:rPr>
            </w:pPr>
            <w:r>
              <w:rPr>
                <w:rFonts w:hint="eastAsia" w:ascii="新宋体" w:hAnsi="新宋体" w:eastAsia="新宋体"/>
                <w:sz w:val="21"/>
                <w:szCs w:val="21"/>
              </w:rPr>
              <w:t>风险管理措施</w:t>
            </w:r>
          </w:p>
        </w:tc>
        <w:tc>
          <w:tcPr>
            <w:tcW w:w="1044" w:type="dxa"/>
            <w:vMerge w:val="restart"/>
            <w:vAlign w:val="center"/>
          </w:tcPr>
          <w:p>
            <w:pPr>
              <w:spacing w:line="320" w:lineRule="exact"/>
              <w:ind w:firstLine="210" w:firstLineChars="100"/>
              <w:rPr>
                <w:rFonts w:ascii="新宋体" w:hAnsi="新宋体" w:eastAsia="新宋体"/>
                <w:sz w:val="21"/>
                <w:szCs w:val="21"/>
              </w:rPr>
            </w:pPr>
            <w:r>
              <w:rPr>
                <w:rFonts w:hint="eastAsia" w:ascii="新宋体" w:hAnsi="新宋体" w:eastAsia="新宋体"/>
                <w:sz w:val="21"/>
                <w:szCs w:val="21"/>
              </w:rPr>
              <w:t>1-2分</w:t>
            </w: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风险防控管理措施齐全，风险预控符合规范要求，风险控制要点定位准确 ，各阶段风险控制及应急措施得力。</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21"/>
                <w:szCs w:val="21"/>
              </w:rPr>
            </w:pPr>
          </w:p>
        </w:tc>
        <w:tc>
          <w:tcPr>
            <w:tcW w:w="1410" w:type="dxa"/>
            <w:vMerge w:val="continue"/>
            <w:vAlign w:val="center"/>
          </w:tcPr>
          <w:p>
            <w:pPr>
              <w:spacing w:line="320" w:lineRule="exact"/>
              <w:ind w:firstLine="420" w:firstLineChars="200"/>
              <w:rPr>
                <w:rFonts w:ascii="新宋体" w:hAnsi="新宋体" w:eastAsia="新宋体"/>
                <w:sz w:val="21"/>
                <w:szCs w:val="21"/>
              </w:rPr>
            </w:pPr>
          </w:p>
        </w:tc>
        <w:tc>
          <w:tcPr>
            <w:tcW w:w="1044" w:type="dxa"/>
            <w:vMerge w:val="continue"/>
            <w:vAlign w:val="center"/>
          </w:tcPr>
          <w:p>
            <w:pPr>
              <w:spacing w:line="320" w:lineRule="exact"/>
              <w:ind w:firstLine="420" w:firstLineChars="200"/>
              <w:jc w:val="center"/>
              <w:rPr>
                <w:rFonts w:ascii="新宋体" w:hAnsi="新宋体" w:eastAsia="新宋体"/>
                <w:sz w:val="21"/>
                <w:szCs w:val="21"/>
              </w:rPr>
            </w:pPr>
          </w:p>
        </w:tc>
        <w:tc>
          <w:tcPr>
            <w:tcW w:w="501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风险防控管理措施基本齐全，风险预控符合规范要求，风险控制要点定位基本准确 ，有各阶段风险控制及应急措施。</w:t>
            </w: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320" w:lineRule="exact"/>
              <w:ind w:firstLine="420" w:firstLineChars="200"/>
              <w:rPr>
                <w:rFonts w:ascii="新宋体" w:hAnsi="新宋体" w:eastAsia="新宋体"/>
                <w:sz w:val="21"/>
                <w:szCs w:val="21"/>
              </w:rPr>
            </w:pPr>
            <w:r>
              <w:rPr>
                <w:rFonts w:hint="eastAsia" w:ascii="新宋体" w:hAnsi="新宋体" w:eastAsia="新宋体"/>
                <w:sz w:val="21"/>
                <w:szCs w:val="21"/>
              </w:rPr>
              <w:t>合计</w:t>
            </w:r>
          </w:p>
        </w:tc>
        <w:tc>
          <w:tcPr>
            <w:tcW w:w="1044"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10-25分</w:t>
            </w:r>
          </w:p>
        </w:tc>
        <w:tc>
          <w:tcPr>
            <w:tcW w:w="5014" w:type="dxa"/>
            <w:vAlign w:val="center"/>
          </w:tcPr>
          <w:p>
            <w:pPr>
              <w:spacing w:line="320" w:lineRule="exact"/>
              <w:rPr>
                <w:rFonts w:ascii="新宋体" w:hAnsi="新宋体" w:eastAsia="新宋体"/>
                <w:sz w:val="21"/>
                <w:szCs w:val="21"/>
              </w:rPr>
            </w:pPr>
          </w:p>
        </w:tc>
        <w:tc>
          <w:tcPr>
            <w:tcW w:w="1500" w:type="dxa"/>
            <w:vAlign w:val="center"/>
          </w:tcPr>
          <w:p>
            <w:pPr>
              <w:spacing w:line="320" w:lineRule="exact"/>
              <w:rPr>
                <w:rFonts w:ascii="新宋体" w:hAnsi="新宋体" w:eastAsia="新宋体"/>
                <w:sz w:val="21"/>
                <w:szCs w:val="21"/>
              </w:rPr>
            </w:pPr>
            <w:r>
              <w:rPr>
                <w:rFonts w:hint="eastAsia" w:ascii="新宋体" w:hAnsi="新宋体" w:eastAsia="新宋体"/>
                <w:sz w:val="21"/>
                <w:szCs w:val="21"/>
              </w:rPr>
              <w:t>10≤得分≤25</w:t>
            </w:r>
          </w:p>
        </w:tc>
      </w:tr>
    </w:tbl>
    <w:p>
      <w:pPr>
        <w:keepNext w:val="0"/>
        <w:keepLines w:val="0"/>
        <w:pageBreakBefore w:val="0"/>
        <w:widowControl w:val="0"/>
        <w:kinsoku/>
        <w:wordWrap/>
        <w:overflowPunct/>
        <w:topLinePunct w:val="0"/>
        <w:autoSpaceDE/>
        <w:autoSpaceDN/>
        <w:bidi w:val="0"/>
        <w:adjustRightInd/>
        <w:snapToGrid w:val="0"/>
        <w:spacing w:line="440" w:lineRule="exact"/>
        <w:ind w:firstLine="481"/>
        <w:textAlignment w:val="auto"/>
        <w:rPr>
          <w:rFonts w:hAnsi="宋体" w:cs="宋体"/>
          <w:sz w:val="24"/>
          <w:szCs w:val="24"/>
        </w:rPr>
      </w:pPr>
      <w:r>
        <w:rPr>
          <w:rFonts w:hint="eastAsia" w:hAnsi="宋体" w:cs="宋体"/>
          <w:sz w:val="24"/>
          <w:szCs w:val="24"/>
        </w:rPr>
        <w:t>以上项目若有缺项，该项为0分。</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Ansi="宋体" w:cs="宋体"/>
          <w:b/>
          <w:bCs/>
          <w:sz w:val="24"/>
          <w:szCs w:val="24"/>
        </w:rPr>
      </w:pPr>
      <w:r>
        <w:rPr>
          <w:rFonts w:hint="eastAsia" w:hAnsi="宋体" w:cs="宋体"/>
          <w:b/>
          <w:bCs/>
          <w:sz w:val="24"/>
          <w:szCs w:val="24"/>
        </w:rPr>
        <w:t>（二）商务标（50分）</w:t>
      </w:r>
    </w:p>
    <w:p>
      <w:pPr>
        <w:keepNext w:val="0"/>
        <w:keepLines w:val="0"/>
        <w:pageBreakBefore w:val="0"/>
        <w:widowControl w:val="0"/>
        <w:kinsoku/>
        <w:wordWrap/>
        <w:overflowPunct/>
        <w:topLinePunct w:val="0"/>
        <w:autoSpaceDE/>
        <w:autoSpaceDN/>
        <w:bidi w:val="0"/>
        <w:adjustRightInd/>
        <w:spacing w:line="440" w:lineRule="exact"/>
        <w:textAlignment w:val="auto"/>
        <w:rPr>
          <w:rFonts w:hAnsi="宋体" w:cs="宋体"/>
          <w:b/>
          <w:bCs/>
          <w:sz w:val="24"/>
          <w:szCs w:val="24"/>
        </w:rPr>
      </w:pPr>
      <w:r>
        <w:rPr>
          <w:rFonts w:hint="eastAsia" w:hAnsi="宋体" w:cs="宋体"/>
          <w:b/>
          <w:bCs/>
          <w:sz w:val="24"/>
          <w:szCs w:val="24"/>
        </w:rPr>
        <w:t xml:space="preserve">   工程量清单报价评标基准价按下列公式确定：</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sz w:val="24"/>
        </w:rPr>
      </w:pPr>
      <w:bookmarkStart w:id="73" w:name="_Toc5078"/>
      <w:r>
        <w:rPr>
          <w:rFonts w:hint="eastAsia" w:ascii="新宋体" w:hAnsi="新宋体" w:eastAsia="新宋体"/>
          <w:sz w:val="24"/>
        </w:rPr>
        <w:t>评标基准价＝招标控制价×K+投标报价×（1－K）</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sz w:val="24"/>
        </w:rPr>
      </w:pPr>
      <w:r>
        <w:rPr>
          <w:rFonts w:hint="eastAsia" w:ascii="新宋体" w:hAnsi="新宋体" w:eastAsia="新宋体"/>
          <w:sz w:val="24"/>
        </w:rPr>
        <w:t>注：①有效投标人指通过清标和初步评审的投标人；</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keepNext w:val="0"/>
        <w:keepLines w:val="0"/>
        <w:pageBreakBefore w:val="0"/>
        <w:widowControl w:val="0"/>
        <w:kinsoku/>
        <w:wordWrap/>
        <w:overflowPunct/>
        <w:topLinePunct w:val="0"/>
        <w:autoSpaceDE/>
        <w:autoSpaceDN/>
        <w:bidi w:val="0"/>
        <w:adjustRightInd/>
        <w:spacing w:line="440" w:lineRule="exact"/>
        <w:ind w:firstLine="960" w:firstLineChars="400"/>
        <w:textAlignment w:val="auto"/>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3"/>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Ansi="宋体" w:cs="宋体"/>
          <w:b/>
          <w:bCs/>
          <w:sz w:val="24"/>
          <w:szCs w:val="24"/>
        </w:rPr>
      </w:pPr>
      <w:r>
        <w:rPr>
          <w:rFonts w:hint="eastAsia" w:hAnsi="宋体" w:cs="宋体"/>
          <w:b/>
          <w:bCs/>
          <w:sz w:val="24"/>
          <w:szCs w:val="24"/>
        </w:rPr>
        <w:t xml:space="preserve">1、投标报价（30分） </w:t>
      </w:r>
    </w:p>
    <w:p>
      <w:pPr>
        <w:keepNext w:val="0"/>
        <w:keepLines w:val="0"/>
        <w:pageBreakBefore w:val="0"/>
        <w:widowControl w:val="0"/>
        <w:kinsoku/>
        <w:wordWrap/>
        <w:overflowPunct/>
        <w:topLinePunct w:val="0"/>
        <w:autoSpaceDE/>
        <w:autoSpaceDN/>
        <w:bidi w:val="0"/>
        <w:adjustRightInd/>
        <w:snapToGrid w:val="0"/>
        <w:spacing w:line="440" w:lineRule="exact"/>
        <w:ind w:firstLine="481"/>
        <w:textAlignment w:val="auto"/>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keepNext w:val="0"/>
        <w:keepLines w:val="0"/>
        <w:pageBreakBefore w:val="0"/>
        <w:widowControl w:val="0"/>
        <w:numPr>
          <w:ilvl w:val="0"/>
          <w:numId w:val="7"/>
        </w:numPr>
        <w:kinsoku/>
        <w:wordWrap/>
        <w:overflowPunct/>
        <w:topLinePunct w:val="0"/>
        <w:autoSpaceDE/>
        <w:autoSpaceDN/>
        <w:bidi w:val="0"/>
        <w:adjustRightInd/>
        <w:snapToGrid w:val="0"/>
        <w:spacing w:line="440" w:lineRule="exact"/>
        <w:ind w:firstLine="481"/>
        <w:textAlignment w:val="auto"/>
        <w:rPr>
          <w:rFonts w:hAnsi="宋体" w:cs="宋体"/>
          <w:b/>
          <w:bCs/>
          <w:sz w:val="24"/>
          <w:szCs w:val="24"/>
        </w:rPr>
      </w:pPr>
      <w:r>
        <w:rPr>
          <w:rFonts w:hint="eastAsia" w:hAnsi="宋体" w:cs="宋体"/>
          <w:b/>
          <w:bCs/>
          <w:sz w:val="24"/>
          <w:szCs w:val="24"/>
        </w:rPr>
        <w:t>分部分项工程项目清单单价（10分）</w:t>
      </w:r>
    </w:p>
    <w:p>
      <w:pPr>
        <w:keepNext w:val="0"/>
        <w:keepLines w:val="0"/>
        <w:pageBreakBefore w:val="0"/>
        <w:widowControl w:val="0"/>
        <w:kinsoku/>
        <w:wordWrap/>
        <w:overflowPunct/>
        <w:topLinePunct w:val="0"/>
        <w:autoSpaceDE/>
        <w:autoSpaceDN/>
        <w:bidi w:val="0"/>
        <w:adjustRightInd/>
        <w:snapToGrid w:val="0"/>
        <w:spacing w:line="440" w:lineRule="exact"/>
        <w:ind w:firstLine="484"/>
        <w:textAlignment w:val="auto"/>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keepNext w:val="0"/>
        <w:keepLines w:val="0"/>
        <w:pageBreakBefore w:val="0"/>
        <w:widowControl w:val="0"/>
        <w:kinsoku/>
        <w:wordWrap/>
        <w:overflowPunct/>
        <w:topLinePunct w:val="0"/>
        <w:autoSpaceDE/>
        <w:autoSpaceDN/>
        <w:bidi w:val="0"/>
        <w:adjustRightInd/>
        <w:snapToGrid w:val="0"/>
        <w:spacing w:line="440" w:lineRule="exact"/>
        <w:ind w:firstLine="484"/>
        <w:textAlignment w:val="auto"/>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Ansi="宋体" w:cs="宋体"/>
          <w:sz w:val="24"/>
          <w:szCs w:val="24"/>
        </w:rPr>
      </w:pPr>
      <w:r>
        <w:rPr>
          <w:rFonts w:hint="eastAsia" w:hAnsi="宋体" w:cs="宋体"/>
          <w:b/>
          <w:bCs/>
          <w:sz w:val="24"/>
          <w:szCs w:val="24"/>
        </w:rPr>
        <w:t xml:space="preserve">    3、措施项目费（不含安全文明措施费）（5分）</w:t>
      </w:r>
    </w:p>
    <w:p>
      <w:pPr>
        <w:keepNext w:val="0"/>
        <w:keepLines w:val="0"/>
        <w:pageBreakBefore w:val="0"/>
        <w:widowControl w:val="0"/>
        <w:kinsoku/>
        <w:wordWrap/>
        <w:overflowPunct/>
        <w:topLinePunct w:val="0"/>
        <w:autoSpaceDE/>
        <w:autoSpaceDN/>
        <w:bidi w:val="0"/>
        <w:adjustRightInd/>
        <w:snapToGrid w:val="0"/>
        <w:spacing w:line="440" w:lineRule="exact"/>
        <w:ind w:firstLine="484"/>
        <w:textAlignment w:val="auto"/>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keepNext w:val="0"/>
        <w:keepLines w:val="0"/>
        <w:pageBreakBefore w:val="0"/>
        <w:widowControl w:val="0"/>
        <w:numPr>
          <w:ilvl w:val="0"/>
          <w:numId w:val="8"/>
        </w:numPr>
        <w:kinsoku/>
        <w:wordWrap/>
        <w:overflowPunct/>
        <w:topLinePunct w:val="0"/>
        <w:autoSpaceDE/>
        <w:autoSpaceDN/>
        <w:bidi w:val="0"/>
        <w:adjustRightInd/>
        <w:snapToGrid w:val="0"/>
        <w:spacing w:line="440" w:lineRule="exact"/>
        <w:ind w:firstLine="484"/>
        <w:textAlignment w:val="auto"/>
        <w:rPr>
          <w:rFonts w:hAnsi="宋体" w:cs="宋体"/>
          <w:b/>
          <w:bCs/>
          <w:sz w:val="24"/>
          <w:szCs w:val="24"/>
        </w:rPr>
      </w:pPr>
      <w:r>
        <w:rPr>
          <w:rFonts w:hint="eastAsia" w:hAnsi="宋体" w:cs="宋体"/>
          <w:b/>
          <w:bCs/>
          <w:sz w:val="24"/>
          <w:szCs w:val="24"/>
        </w:rPr>
        <w:t>主要材料单价（5分）</w:t>
      </w:r>
    </w:p>
    <w:p>
      <w:pPr>
        <w:keepNext w:val="0"/>
        <w:keepLines w:val="0"/>
        <w:pageBreakBefore w:val="0"/>
        <w:widowControl w:val="0"/>
        <w:kinsoku/>
        <w:wordWrap/>
        <w:overflowPunct/>
        <w:topLinePunct w:val="0"/>
        <w:autoSpaceDE/>
        <w:autoSpaceDN/>
        <w:bidi w:val="0"/>
        <w:adjustRightInd/>
        <w:snapToGrid w:val="0"/>
        <w:spacing w:line="440" w:lineRule="exact"/>
        <w:ind w:firstLine="484"/>
        <w:textAlignment w:val="auto"/>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pPr>
        <w:spacing w:line="360" w:lineRule="auto"/>
        <w:rPr>
          <w:b/>
          <w:bCs/>
          <w:sz w:val="24"/>
          <w:szCs w:val="24"/>
        </w:rPr>
      </w:pPr>
      <w:r>
        <w:rPr>
          <w:rFonts w:hint="eastAsia" w:cs="宋体"/>
          <w:b/>
          <w:bCs/>
          <w:sz w:val="24"/>
          <w:szCs w:val="24"/>
        </w:rPr>
        <w:t>（三）综合（信用）标的评标分值（25分）</w:t>
      </w:r>
    </w:p>
    <w:tbl>
      <w:tblPr>
        <w:tblStyle w:val="30"/>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项目</w:t>
            </w:r>
          </w:p>
        </w:tc>
        <w:tc>
          <w:tcPr>
            <w:tcW w:w="4678" w:type="dxa"/>
            <w:vAlign w:val="center"/>
          </w:tcPr>
          <w:p>
            <w:pPr>
              <w:jc w:val="center"/>
              <w:rPr>
                <w:rFonts w:ascii="Times New Roman"/>
                <w:kern w:val="2"/>
                <w:sz w:val="21"/>
                <w:szCs w:val="21"/>
              </w:rPr>
            </w:pPr>
            <w:r>
              <w:rPr>
                <w:rFonts w:hint="eastAsia" w:ascii="Times New Roman"/>
                <w:kern w:val="2"/>
                <w:sz w:val="21"/>
                <w:szCs w:val="21"/>
              </w:rPr>
              <w:t>评审标准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hint="eastAsia" w:ascii="Times New Roman" w:eastAsia="宋体"/>
                <w:color w:val="000000" w:themeColor="text1"/>
                <w:kern w:val="2"/>
                <w:sz w:val="21"/>
                <w:szCs w:val="21"/>
                <w:lang w:eastAsia="zh-CN"/>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企业业绩</w:t>
            </w:r>
            <w:r>
              <w:rPr>
                <w:rFonts w:hint="eastAsia" w:ascii="Times New Roman"/>
                <w:color w:val="000000" w:themeColor="text1"/>
                <w:kern w:val="2"/>
                <w:sz w:val="21"/>
                <w:szCs w:val="21"/>
                <w:lang w:eastAsia="zh-CN"/>
                <w14:textFill>
                  <w14:solidFill>
                    <w14:schemeClr w14:val="tx1"/>
                  </w14:solidFill>
                </w14:textFill>
              </w:rPr>
              <w:t>（</w:t>
            </w:r>
            <w:r>
              <w:rPr>
                <w:rFonts w:hint="eastAsia" w:ascii="Times New Roman"/>
                <w:color w:val="000000" w:themeColor="text1"/>
                <w:kern w:val="2"/>
                <w:sz w:val="21"/>
                <w:szCs w:val="21"/>
                <w:lang w:val="en-US" w:eastAsia="zh-CN"/>
                <w14:textFill>
                  <w14:solidFill>
                    <w14:schemeClr w14:val="tx1"/>
                  </w14:solidFill>
                </w14:textFill>
              </w:rPr>
              <w:t>0-4分</w:t>
            </w:r>
            <w:r>
              <w:rPr>
                <w:rFonts w:hint="eastAsia" w:ascii="Times New Roman"/>
                <w:color w:val="000000" w:themeColor="text1"/>
                <w:kern w:val="2"/>
                <w:sz w:val="21"/>
                <w:szCs w:val="21"/>
                <w:lang w:eastAsia="zh-CN"/>
                <w14:textFill>
                  <w14:solidFill>
                    <w14:schemeClr w14:val="tx1"/>
                  </w14:solidFill>
                </w14:textFill>
              </w:rPr>
              <w:t>）</w:t>
            </w:r>
          </w:p>
        </w:tc>
        <w:tc>
          <w:tcPr>
            <w:tcW w:w="4678" w:type="dxa"/>
            <w:vAlign w:val="center"/>
          </w:tcPr>
          <w:p>
            <w:pPr>
              <w:spacing w:line="240" w:lineRule="exact"/>
              <w:jc w:val="left"/>
              <w:rPr>
                <w:rFonts w:ascii="Times New Roman"/>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自2016年1月1日以来（以合同签订时间为准）企业具有类似项目业绩者，每项得2分，最高得4分。（以中标公示截图和中标通知书和施工合同为准，缺一不得分。）</w:t>
            </w:r>
          </w:p>
        </w:tc>
        <w:tc>
          <w:tcPr>
            <w:tcW w:w="1843" w:type="dxa"/>
            <w:vAlign w:val="center"/>
          </w:tcPr>
          <w:p>
            <w:pPr>
              <w:jc w:val="center"/>
              <w:rPr>
                <w:rFonts w:asci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0</w:t>
            </w:r>
            <w:r>
              <w:rPr>
                <w:rFonts w:hint="eastAsia" w:ascii="Times New Roman"/>
                <w:color w:val="000000" w:themeColor="text1"/>
                <w:kern w:val="2"/>
                <w:sz w:val="21"/>
                <w:szCs w:val="21"/>
                <w14:textFill>
                  <w14:solidFill>
                    <w14:schemeClr w14:val="tx1"/>
                  </w14:solidFill>
                </w14:textFill>
              </w:rPr>
              <w:t>＜得分</w:t>
            </w:r>
            <w:r>
              <w:rPr>
                <w:rFonts w:ascii="Times New Roman"/>
                <w:color w:val="000000" w:themeColor="text1"/>
                <w:kern w:val="2"/>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spacing w:line="240" w:lineRule="exact"/>
              <w:jc w:val="left"/>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项目负责人业绩</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0-6分</w:t>
            </w:r>
            <w:r>
              <w:rPr>
                <w:rFonts w:hint="eastAsia"/>
                <w:color w:val="000000" w:themeColor="text1"/>
                <w:sz w:val="21"/>
                <w:szCs w:val="21"/>
                <w:lang w:eastAsia="zh-CN"/>
                <w14:textFill>
                  <w14:solidFill>
                    <w14:schemeClr w14:val="tx1"/>
                  </w14:solidFill>
                </w14:textFill>
              </w:rPr>
              <w:t>）</w:t>
            </w:r>
          </w:p>
        </w:tc>
        <w:tc>
          <w:tcPr>
            <w:tcW w:w="4678" w:type="dxa"/>
            <w:vAlign w:val="center"/>
          </w:tcPr>
          <w:p>
            <w:pPr>
              <w:spacing w:line="240" w:lineRule="exact"/>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自2016年1月1日以来（以合同签订时间为准）：拟派项目负责人具有类似项目业绩者得6分，最高得6分（以中标公示截图和中标通知书和施工合同为准，缺一不得分。）</w:t>
            </w:r>
          </w:p>
        </w:tc>
        <w:tc>
          <w:tcPr>
            <w:tcW w:w="1843" w:type="dxa"/>
            <w:vAlign w:val="center"/>
          </w:tcPr>
          <w:p>
            <w:pPr>
              <w:jc w:val="center"/>
              <w:rPr>
                <w:rFonts w:ascii="Times New Roman"/>
                <w:color w:val="000000" w:themeColor="text1"/>
                <w:kern w:val="2"/>
                <w:sz w:val="21"/>
                <w:szCs w:val="21"/>
                <w14:textFill>
                  <w14:solidFill>
                    <w14:schemeClr w14:val="tx1"/>
                  </w14:solidFill>
                </w14:textFill>
              </w:rPr>
            </w:pPr>
            <w:r>
              <w:rPr>
                <w:rFonts w:ascii="Times New Roman"/>
                <w:color w:val="000000" w:themeColor="text1"/>
                <w:kern w:val="2"/>
                <w:sz w:val="21"/>
                <w:szCs w:val="21"/>
                <w14:textFill>
                  <w14:solidFill>
                    <w14:schemeClr w14:val="tx1"/>
                  </w14:solidFill>
                </w14:textFill>
              </w:rPr>
              <w:t>0</w:t>
            </w:r>
            <w:r>
              <w:rPr>
                <w:rFonts w:hint="eastAsia" w:ascii="Times New Roman"/>
                <w:color w:val="000000" w:themeColor="text1"/>
                <w:kern w:val="2"/>
                <w:sz w:val="21"/>
                <w:szCs w:val="21"/>
                <w14:textFill>
                  <w14:solidFill>
                    <w14:schemeClr w14:val="tx1"/>
                  </w14:solidFill>
                </w14:textFill>
              </w:rPr>
              <w:t>＜得分</w:t>
            </w:r>
            <w:r>
              <w:rPr>
                <w:rFonts w:ascii="Times New Roman"/>
                <w:color w:val="000000" w:themeColor="text1"/>
                <w:kern w:val="2"/>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spacing w:line="240" w:lineRule="exact"/>
              <w:jc w:val="left"/>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优惠承诺</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1-4分</w:t>
            </w:r>
            <w:r>
              <w:rPr>
                <w:rFonts w:hint="eastAsia"/>
                <w:color w:val="000000" w:themeColor="text1"/>
                <w:sz w:val="21"/>
                <w:szCs w:val="21"/>
                <w:lang w:eastAsia="zh-CN"/>
                <w14:textFill>
                  <w14:solidFill>
                    <w14:schemeClr w14:val="tx1"/>
                  </w14:solidFill>
                </w14:textFill>
              </w:rPr>
              <w:t>）</w:t>
            </w:r>
          </w:p>
        </w:tc>
        <w:tc>
          <w:tcPr>
            <w:tcW w:w="4678" w:type="dxa"/>
            <w:vAlign w:val="center"/>
          </w:tcPr>
          <w:p>
            <w:pPr>
              <w:spacing w:line="240" w:lineRule="exact"/>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spacing w:line="240" w:lineRule="exact"/>
              <w:jc w:val="left"/>
              <w:rPr>
                <w:rFonts w:hint="eastAsia"/>
                <w:color w:val="000000" w:themeColor="text1"/>
                <w:sz w:val="21"/>
                <w:szCs w:val="21"/>
                <w14:textFill>
                  <w14:solidFill>
                    <w14:schemeClr w14:val="tx1"/>
                  </w14:solidFill>
                </w14:textFill>
              </w:rPr>
            </w:pPr>
          </w:p>
        </w:tc>
        <w:tc>
          <w:tcPr>
            <w:tcW w:w="4678" w:type="dxa"/>
            <w:vAlign w:val="center"/>
          </w:tcPr>
          <w:p>
            <w:pPr>
              <w:spacing w:line="240" w:lineRule="exact"/>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spacing w:line="240" w:lineRule="exact"/>
              <w:jc w:val="left"/>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履职尽责承诺</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1-3分</w:t>
            </w:r>
            <w:r>
              <w:rPr>
                <w:rFonts w:hint="eastAsia"/>
                <w:color w:val="000000" w:themeColor="text1"/>
                <w:sz w:val="21"/>
                <w:szCs w:val="21"/>
                <w:lang w:eastAsia="zh-CN"/>
                <w14:textFill>
                  <w14:solidFill>
                    <w14:schemeClr w14:val="tx1"/>
                  </w14:solidFill>
                </w14:textFill>
              </w:rPr>
              <w:t>）</w:t>
            </w:r>
          </w:p>
        </w:tc>
        <w:tc>
          <w:tcPr>
            <w:tcW w:w="4678" w:type="dxa"/>
            <w:vAlign w:val="center"/>
          </w:tcPr>
          <w:p>
            <w:pPr>
              <w:spacing w:line="240" w:lineRule="exact"/>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具有全面、详实、可行、合法有效的书面保证技术措施落实到位的承诺和落实不到位的处理承诺，其中包括各关键岗位人员（项目负责人、技术负责人及相关技术人员、质量员、安全员、材料员、</w:t>
            </w:r>
            <w:r>
              <w:rPr>
                <w:rFonts w:hint="eastAsia"/>
                <w:color w:val="000000" w:themeColor="text1"/>
                <w:sz w:val="21"/>
                <w:szCs w:val="21"/>
                <w:lang w:eastAsia="zh-CN"/>
                <w14:textFill>
                  <w14:solidFill>
                    <w14:schemeClr w14:val="tx1"/>
                  </w14:solidFill>
                </w14:textFill>
              </w:rPr>
              <w:t>预算</w:t>
            </w:r>
            <w:r>
              <w:rPr>
                <w:rFonts w:hint="eastAsia"/>
                <w:color w:val="000000" w:themeColor="text1"/>
                <w:sz w:val="21"/>
                <w:szCs w:val="21"/>
                <w14:textFill>
                  <w14:solidFill>
                    <w14:schemeClr w14:val="tx1"/>
                  </w14:solidFill>
                </w14:textFill>
              </w:rPr>
              <w:t>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spacing w:line="240" w:lineRule="exact"/>
              <w:jc w:val="left"/>
              <w:rPr>
                <w:rFonts w:hint="eastAsia"/>
                <w:color w:val="000000" w:themeColor="text1"/>
                <w:sz w:val="21"/>
                <w:szCs w:val="21"/>
                <w14:textFill>
                  <w14:solidFill>
                    <w14:schemeClr w14:val="tx1"/>
                  </w14:solidFill>
                </w14:textFill>
              </w:rPr>
            </w:pPr>
          </w:p>
        </w:tc>
        <w:tc>
          <w:tcPr>
            <w:tcW w:w="4678" w:type="dxa"/>
            <w:vAlign w:val="center"/>
          </w:tcPr>
          <w:p>
            <w:pPr>
              <w:spacing w:line="240" w:lineRule="exact"/>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具有可行、合法有效的书面保证技术措施落实到位的承诺和落实不到位的处理承诺，其中包括各关键岗位人员（项目负责人、技术负责人及相关技术人员、质量员、安全员、材料员、</w:t>
            </w:r>
            <w:r>
              <w:rPr>
                <w:rFonts w:hint="eastAsia"/>
                <w:color w:val="000000" w:themeColor="text1"/>
                <w:sz w:val="21"/>
                <w:szCs w:val="21"/>
                <w:lang w:eastAsia="zh-CN"/>
                <w14:textFill>
                  <w14:solidFill>
                    <w14:schemeClr w14:val="tx1"/>
                  </w14:solidFill>
                </w14:textFill>
              </w:rPr>
              <w:t>预算</w:t>
            </w:r>
            <w:r>
              <w:rPr>
                <w:rFonts w:hint="eastAsia"/>
                <w:color w:val="000000" w:themeColor="text1"/>
                <w:sz w:val="21"/>
                <w:szCs w:val="21"/>
                <w14:textFill>
                  <w14:solidFill>
                    <w14:schemeClr w14:val="tx1"/>
                  </w14:solidFill>
                </w14:textFill>
              </w:rPr>
              <w:t>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spacing w:line="240" w:lineRule="exact"/>
              <w:jc w:val="left"/>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企业信用（含纳税诚信）</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0-4分</w:t>
            </w:r>
            <w:r>
              <w:rPr>
                <w:rFonts w:hint="eastAsia"/>
                <w:color w:val="000000" w:themeColor="text1"/>
                <w:sz w:val="21"/>
                <w:szCs w:val="21"/>
                <w:lang w:eastAsia="zh-CN"/>
                <w14:textFill>
                  <w14:solidFill>
                    <w14:schemeClr w14:val="tx1"/>
                  </w14:solidFill>
                </w14:textFill>
              </w:rPr>
              <w:t>）</w:t>
            </w:r>
          </w:p>
        </w:tc>
        <w:tc>
          <w:tcPr>
            <w:tcW w:w="4678" w:type="dxa"/>
            <w:vAlign w:val="center"/>
          </w:tcPr>
          <w:p>
            <w:pPr>
              <w:spacing w:line="240" w:lineRule="exact"/>
              <w:jc w:val="left"/>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自2016年1月1日以来投标人获得质量管理先进企业、安全先进企业市级荣誉及以上者每项得1分；本项最高得2分（以同级奖励文件为准）。</w:t>
            </w:r>
          </w:p>
          <w:p>
            <w:pPr>
              <w:spacing w:line="240" w:lineRule="exact"/>
              <w:jc w:val="left"/>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自2016年1月1日以来企业纳税信用等级为A级或B级的，得2分，其他不得分。（以税务部门颁发的信用等级证书或国家税务总局网上截图为准，若为网上截图，须加盖税务部门公章）。</w:t>
            </w:r>
          </w:p>
        </w:tc>
        <w:tc>
          <w:tcPr>
            <w:tcW w:w="1843" w:type="dxa"/>
            <w:vAlign w:val="center"/>
          </w:tcPr>
          <w:p>
            <w:pPr>
              <w:jc w:val="center"/>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0</w:t>
            </w:r>
            <w:r>
              <w:rPr>
                <w:rFonts w:ascii="Times New Roman"/>
                <w:color w:val="000000" w:themeColor="text1"/>
                <w:kern w:val="2"/>
                <w:sz w:val="21"/>
                <w:szCs w:val="21"/>
                <w14:textFill>
                  <w14:solidFill>
                    <w14:schemeClr w14:val="tx1"/>
                  </w14:solidFill>
                </w14:textFill>
              </w:rPr>
              <w:t>≤</w:t>
            </w:r>
            <w:r>
              <w:rPr>
                <w:rFonts w:hint="eastAsia" w:ascii="Times New Roman"/>
                <w:color w:val="000000" w:themeColor="text1"/>
                <w:kern w:val="2"/>
                <w:sz w:val="21"/>
                <w:szCs w:val="21"/>
                <w14:textFill>
                  <w14:solidFill>
                    <w14:schemeClr w14:val="tx1"/>
                  </w14:solidFill>
                </w14:textFill>
              </w:rPr>
              <w:t>得分</w:t>
            </w:r>
            <w:r>
              <w:rPr>
                <w:rFonts w:ascii="Times New Roman"/>
                <w:color w:val="000000" w:themeColor="text1"/>
                <w:kern w:val="2"/>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spacing w:line="240" w:lineRule="exact"/>
              <w:jc w:val="left"/>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项目负责人信用</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0-2分</w:t>
            </w:r>
            <w:r>
              <w:rPr>
                <w:rFonts w:hint="eastAsia"/>
                <w:color w:val="000000" w:themeColor="text1"/>
                <w:sz w:val="21"/>
                <w:szCs w:val="21"/>
                <w:lang w:eastAsia="zh-CN"/>
                <w14:textFill>
                  <w14:solidFill>
                    <w14:schemeClr w14:val="tx1"/>
                  </w14:solidFill>
                </w14:textFill>
              </w:rPr>
              <w:t>）</w:t>
            </w:r>
          </w:p>
        </w:tc>
        <w:tc>
          <w:tcPr>
            <w:tcW w:w="4678" w:type="dxa"/>
            <w:vAlign w:val="center"/>
          </w:tcPr>
          <w:p>
            <w:pPr>
              <w:spacing w:line="240" w:lineRule="exact"/>
              <w:jc w:val="left"/>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拟派项目负责人近年获得建筑业企业省级优秀项目经理荣誉的得1分。</w:t>
            </w:r>
          </w:p>
          <w:p>
            <w:pPr>
              <w:spacing w:line="240" w:lineRule="exact"/>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2、拟派项目负责人近年来参与的市政项目获得省级“安全文明标准化工地”奖项的得1分。（均需提供有效期内的荣誉证书及同级奖励文件原件</w:t>
            </w:r>
            <w:r>
              <w:rPr>
                <w:rFonts w:hint="eastAsia"/>
                <w:color w:val="auto"/>
                <w:sz w:val="21"/>
                <w:szCs w:val="21"/>
                <w:lang w:eastAsia="zh-CN"/>
              </w:rPr>
              <w:t>扫描件或图片）。</w:t>
            </w:r>
          </w:p>
        </w:tc>
        <w:tc>
          <w:tcPr>
            <w:tcW w:w="1843" w:type="dxa"/>
            <w:vAlign w:val="center"/>
          </w:tcPr>
          <w:p>
            <w:pPr>
              <w:jc w:val="center"/>
              <w:rPr>
                <w:rFonts w:ascii="Times New Roman"/>
                <w:color w:val="000000" w:themeColor="text1"/>
                <w:kern w:val="2"/>
                <w:sz w:val="21"/>
                <w:szCs w:val="21"/>
                <w14:textFill>
                  <w14:solidFill>
                    <w14:schemeClr w14:val="tx1"/>
                  </w14:solidFill>
                </w14:textFill>
              </w:rPr>
            </w:pPr>
            <w:r>
              <w:rPr>
                <w:rFonts w:hint="eastAsia" w:ascii="Times New Roman"/>
                <w:color w:val="000000" w:themeColor="text1"/>
                <w:kern w:val="2"/>
                <w:sz w:val="21"/>
                <w:szCs w:val="21"/>
                <w14:textFill>
                  <w14:solidFill>
                    <w14:schemeClr w14:val="tx1"/>
                  </w14:solidFill>
                </w14:textFill>
              </w:rPr>
              <w:t>0</w:t>
            </w:r>
            <w:r>
              <w:rPr>
                <w:rFonts w:ascii="Times New Roman"/>
                <w:color w:val="000000" w:themeColor="text1"/>
                <w:kern w:val="2"/>
                <w:sz w:val="21"/>
                <w:szCs w:val="21"/>
                <w14:textFill>
                  <w14:solidFill>
                    <w14:schemeClr w14:val="tx1"/>
                  </w14:solidFill>
                </w14:textFill>
              </w:rPr>
              <w:t>≤</w:t>
            </w:r>
            <w:r>
              <w:rPr>
                <w:rFonts w:hint="eastAsia" w:ascii="Times New Roman"/>
                <w:color w:val="000000" w:themeColor="text1"/>
                <w:kern w:val="2"/>
                <w:sz w:val="21"/>
                <w:szCs w:val="21"/>
                <w14:textFill>
                  <w14:solidFill>
                    <w14:schemeClr w14:val="tx1"/>
                  </w14:solidFill>
                </w14:textFill>
              </w:rPr>
              <w:t>得分</w:t>
            </w:r>
            <w:r>
              <w:rPr>
                <w:rFonts w:ascii="Times New Roman"/>
                <w:color w:val="000000" w:themeColor="text1"/>
                <w:kern w:val="2"/>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ascii="Times New Roman"/>
                <w:kern w:val="2"/>
                <w:sz w:val="21"/>
                <w:szCs w:val="21"/>
              </w:rPr>
            </w:pPr>
          </w:p>
        </w:tc>
        <w:tc>
          <w:tcPr>
            <w:tcW w:w="1843" w:type="dxa"/>
            <w:vAlign w:val="center"/>
          </w:tcPr>
          <w:p>
            <w:pPr>
              <w:jc w:val="center"/>
              <w:rPr>
                <w:rFonts w:ascii="Times New Roman"/>
                <w:kern w:val="2"/>
                <w:sz w:val="21"/>
                <w:szCs w:val="21"/>
              </w:rPr>
            </w:pPr>
            <w:r>
              <w:rPr>
                <w:rFonts w:hint="eastAsia" w:ascii="Times New Roman"/>
                <w:kern w:val="2"/>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pacing w:line="360" w:lineRule="auto"/>
        <w:ind w:firstLine="480" w:firstLineChars="200"/>
        <w:rPr>
          <w:b/>
          <w:bCs/>
          <w:sz w:val="24"/>
          <w:szCs w:val="24"/>
        </w:rPr>
      </w:pP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numPr>
          <w:ilvl w:val="0"/>
          <w:numId w:val="9"/>
        </w:numPr>
        <w:snapToGrid w:val="0"/>
        <w:spacing w:line="420" w:lineRule="exact"/>
        <w:ind w:firstLine="960" w:firstLineChars="400"/>
        <w:rPr>
          <w:rFonts w:hAnsi="宋体" w:cs="宋体"/>
          <w:b/>
          <w:bCs/>
          <w:color w:val="000000" w:themeColor="text1"/>
          <w:sz w:val="24"/>
          <w:szCs w:val="22"/>
          <w14:textFill>
            <w14:solidFill>
              <w14:schemeClr w14:val="tx1"/>
            </w14:solidFill>
          </w14:textFill>
        </w:rPr>
      </w:pPr>
      <w:r>
        <w:rPr>
          <w:rFonts w:hint="eastAsia" w:hAnsi="宋体" w:cs="宋体"/>
          <w:b/>
          <w:bCs/>
          <w:color w:val="auto"/>
          <w:sz w:val="24"/>
          <w:szCs w:val="22"/>
        </w:rPr>
        <w:t>类似工程：指2016年1月1日</w:t>
      </w:r>
      <w:r>
        <w:rPr>
          <w:rFonts w:hint="eastAsia" w:hAnsi="宋体" w:cs="宋体"/>
          <w:b/>
          <w:bCs/>
          <w:color w:val="000000" w:themeColor="text1"/>
          <w:sz w:val="24"/>
          <w:szCs w:val="22"/>
          <w14:textFill>
            <w14:solidFill>
              <w14:schemeClr w14:val="tx1"/>
            </w14:solidFill>
          </w14:textFill>
        </w:rPr>
        <w:t>以来承建的合同金额不低于本项目招标控制价金额的市政工程项目；</w:t>
      </w:r>
    </w:p>
    <w:p>
      <w:pPr>
        <w:numPr>
          <w:ilvl w:val="0"/>
          <w:numId w:val="9"/>
        </w:num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（四）投标人综合得分按下列公式计算：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7"/>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ascii="新宋体" w:eastAsia="新宋体"/>
          <w:b/>
          <w:szCs w:val="24"/>
        </w:rPr>
      </w:pPr>
      <w:bookmarkStart w:id="74" w:name="_Toc23277"/>
      <w:r>
        <w:rPr>
          <w:rFonts w:hint="eastAsia" w:ascii="新宋体" w:eastAsia="新宋体"/>
          <w:b/>
          <w:szCs w:val="24"/>
        </w:rPr>
        <w:t>九、评标报告</w:t>
      </w:r>
      <w:bookmarkEnd w:id="74"/>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7"/>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ascii="新宋体" w:eastAsia="新宋体"/>
          <w:b/>
          <w:szCs w:val="24"/>
        </w:rPr>
      </w:pPr>
      <w:bookmarkStart w:id="75" w:name="_Toc8686"/>
      <w:r>
        <w:rPr>
          <w:rFonts w:hint="eastAsia" w:ascii="新宋体" w:eastAsia="新宋体"/>
          <w:b/>
        </w:rPr>
        <w:t>十、</w:t>
      </w:r>
      <w:r>
        <w:rPr>
          <w:rFonts w:hint="eastAsia" w:ascii="新宋体" w:eastAsia="新宋体"/>
          <w:b/>
          <w:szCs w:val="24"/>
        </w:rPr>
        <w:t>公示</w:t>
      </w:r>
      <w:bookmarkEnd w:id="75"/>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color w:val="auto"/>
                <w:sz w:val="24"/>
                <w:szCs w:val="22"/>
              </w:rPr>
              <w:t>建安建工公字〔2019〕</w:t>
            </w:r>
            <w:r>
              <w:rPr>
                <w:rFonts w:hint="eastAsia" w:ascii="仿宋_GB2312" w:hAnsi="宋体" w:eastAsia="仿宋_GB2312" w:cs="宋体"/>
                <w:color w:val="auto"/>
                <w:sz w:val="24"/>
                <w:szCs w:val="22"/>
                <w:lang w:val="en-US" w:eastAsia="zh-CN"/>
              </w:rPr>
              <w:t>231</w:t>
            </w:r>
            <w:r>
              <w:rPr>
                <w:rFonts w:hint="eastAsia" w:ascii="仿宋_GB2312" w:hAnsi="宋体" w:eastAsia="仿宋_GB2312" w:cs="宋体"/>
                <w:color w:val="auto"/>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建安区蒋李集镇蒋东村混凝土道路一事一议项目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玖仟</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9</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6"/>
                <w:rFonts w:hint="eastAsia" w:ascii="仿宋_GB2312" w:hAnsi="宋体" w:eastAsia="仿宋_GB2312" w:cs="宋体"/>
                <w:sz w:val="24"/>
              </w:rPr>
              <w:t>http://221.14.6.70:8088/ggzy</w:t>
            </w:r>
            <w:r>
              <w:rPr>
                <w:rStyle w:val="36"/>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pStyle w:val="2"/>
        <w:rPr>
          <w:rFonts w:hint="eastAsia" w:ascii="方正小标宋简体" w:hAnsi="宋体" w:eastAsia="方正小标宋简体" w:cs="宋体"/>
          <w:sz w:val="36"/>
          <w:szCs w:val="36"/>
        </w:rPr>
      </w:pPr>
    </w:p>
    <w:p>
      <w:pPr>
        <w:pStyle w:val="4"/>
        <w:rPr>
          <w:rFonts w:hint="eastAsia" w:ascii="方正小标宋简体" w:hAnsi="宋体" w:eastAsia="方正小标宋简体" w:cs="宋体"/>
          <w:sz w:val="36"/>
          <w:szCs w:val="36"/>
        </w:rPr>
      </w:pPr>
    </w:p>
    <w:p>
      <w:pPr>
        <w:pStyle w:val="4"/>
        <w:rPr>
          <w:rFonts w:hint="eastAsia" w:ascii="方正小标宋简体" w:hAnsi="宋体" w:eastAsia="方正小标宋简体" w:cs="宋体"/>
          <w:sz w:val="36"/>
          <w:szCs w:val="36"/>
        </w:rPr>
      </w:pPr>
    </w:p>
    <w:p>
      <w:pPr>
        <w:pStyle w:val="4"/>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pacing w:line="520" w:lineRule="exact"/>
        <w:rPr>
          <w:rFonts w:ascii="仿宋_GB2312" w:hAnsi="Arial" w:eastAsia="仿宋_GB2312" w:cs="Arial"/>
          <w:b/>
          <w:bCs/>
          <w:color w:val="000000"/>
          <w:sz w:val="40"/>
          <w:szCs w:val="40"/>
        </w:rPr>
      </w:pPr>
    </w:p>
    <w:p>
      <w:pPr>
        <w:jc w:val="center"/>
        <w:rPr>
          <w:rFonts w:hint="eastAsia" w:ascii="方正小标宋简体" w:hAnsi="宋体" w:eastAsia="方正小标宋简体" w:cs="宋体"/>
          <w:sz w:val="36"/>
          <w:szCs w:val="36"/>
        </w:rPr>
      </w:pPr>
      <w:r>
        <w:rPr>
          <w:rFonts w:hint="eastAsia" w:ascii="方正小标宋简体" w:hAnsi="宋体" w:eastAsia="方正小标宋简体" w:cs="宋体"/>
          <w:sz w:val="36"/>
          <w:szCs w:val="36"/>
        </w:rPr>
        <w:t>履约保证金退还通知单</w:t>
      </w:r>
    </w:p>
    <w:tbl>
      <w:tblPr>
        <w:tblStyle w:val="3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ascii="仿宋_GB2312" w:hAnsi="华文中宋" w:eastAsia="仿宋_GB2312" w:cs="Times New Roman"/>
                <w:sz w:val="24"/>
                <w:szCs w:val="22"/>
              </w:rPr>
            </w:pPr>
            <w:r>
              <w:rPr>
                <w:rFonts w:hint="eastAsia" w:ascii="仿宋_GB2312" w:hAnsi="华文中宋" w:eastAsia="仿宋_GB2312" w:cs="Times New Roman"/>
                <w:sz w:val="24"/>
                <w:szCs w:val="22"/>
              </w:rPr>
              <w:t>项目编号</w:t>
            </w:r>
          </w:p>
        </w:tc>
        <w:tc>
          <w:tcPr>
            <w:tcW w:w="4140" w:type="dxa"/>
            <w:gridSpan w:val="2"/>
            <w:vAlign w:val="center"/>
          </w:tcPr>
          <w:p>
            <w:pPr>
              <w:spacing w:line="360" w:lineRule="exact"/>
              <w:jc w:val="center"/>
              <w:rPr>
                <w:rFonts w:ascii="仿宋_GB2312" w:hAnsi="华文中宋" w:eastAsia="仿宋_GB2312" w:cs="Times New Roman"/>
                <w:sz w:val="24"/>
                <w:szCs w:val="22"/>
              </w:rPr>
            </w:pPr>
          </w:p>
        </w:tc>
        <w:tc>
          <w:tcPr>
            <w:tcW w:w="1440" w:type="dxa"/>
            <w:gridSpan w:val="2"/>
            <w:vAlign w:val="center"/>
          </w:tcPr>
          <w:p>
            <w:pPr>
              <w:spacing w:line="360" w:lineRule="exact"/>
              <w:jc w:val="center"/>
              <w:rPr>
                <w:rFonts w:ascii="仿宋_GB2312" w:hAnsi="华文中宋" w:eastAsia="仿宋_GB2312" w:cs="Times New Roman"/>
                <w:sz w:val="24"/>
                <w:szCs w:val="22"/>
              </w:rPr>
            </w:pPr>
            <w:r>
              <w:rPr>
                <w:rFonts w:hint="eastAsia" w:ascii="仿宋_GB2312" w:hAnsi="华文中宋" w:eastAsia="仿宋_GB2312" w:cs="Times New Roman"/>
                <w:sz w:val="24"/>
                <w:szCs w:val="22"/>
              </w:rPr>
              <w:t>是否完工</w:t>
            </w:r>
          </w:p>
        </w:tc>
        <w:tc>
          <w:tcPr>
            <w:tcW w:w="2162" w:type="dxa"/>
            <w:vAlign w:val="center"/>
          </w:tcPr>
          <w:p>
            <w:pPr>
              <w:spacing w:line="360" w:lineRule="exact"/>
              <w:jc w:val="center"/>
              <w:rPr>
                <w:rFonts w:ascii="仿宋_GB2312" w:hAnsi="华文中宋" w:eastAsia="仿宋_GB2312" w:cs="Times New Roman"/>
                <w:sz w:val="24"/>
                <w:szCs w:val="22"/>
              </w:rPr>
            </w:pPr>
            <w:r>
              <w:rPr>
                <w:rFonts w:hint="eastAsia" w:ascii="仿宋_GB2312" w:hAnsi="华文中宋" w:eastAsia="仿宋_GB2312" w:cs="Times New Roman"/>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ascii="仿宋_GB2312" w:hAnsi="华文中宋" w:eastAsia="仿宋_GB2312" w:cs="Times New Roman"/>
                <w:sz w:val="24"/>
                <w:szCs w:val="22"/>
              </w:rPr>
            </w:pPr>
            <w:r>
              <w:rPr>
                <w:rFonts w:hint="eastAsia" w:ascii="仿宋_GB2312" w:hAnsi="华文中宋" w:eastAsia="仿宋_GB2312" w:cs="Times New Roman"/>
                <w:sz w:val="24"/>
                <w:szCs w:val="22"/>
              </w:rPr>
              <w:t>中标企业名称</w:t>
            </w:r>
          </w:p>
        </w:tc>
        <w:tc>
          <w:tcPr>
            <w:tcW w:w="7742" w:type="dxa"/>
            <w:gridSpan w:val="5"/>
            <w:vAlign w:val="center"/>
          </w:tcPr>
          <w:p>
            <w:pPr>
              <w:spacing w:line="360" w:lineRule="exact"/>
              <w:jc w:val="center"/>
              <w:rPr>
                <w:rFonts w:ascii="仿宋_GB2312" w:hAnsi="华文中宋"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2086" w:type="dxa"/>
            <w:vAlign w:val="center"/>
          </w:tcPr>
          <w:p>
            <w:pPr>
              <w:spacing w:line="360" w:lineRule="exact"/>
              <w:jc w:val="center"/>
              <w:rPr>
                <w:rFonts w:ascii="仿宋_GB2312" w:hAnsi="华文中宋" w:eastAsia="仿宋_GB2312" w:cs="Times New Roman"/>
                <w:sz w:val="24"/>
                <w:szCs w:val="22"/>
              </w:rPr>
            </w:pPr>
            <w:r>
              <w:rPr>
                <w:rFonts w:hint="eastAsia" w:ascii="仿宋_GB2312" w:hAnsi="华文中宋" w:eastAsia="仿宋_GB2312" w:cs="Times New Roman"/>
                <w:sz w:val="24"/>
                <w:szCs w:val="22"/>
              </w:rPr>
              <w:t>开户银行</w:t>
            </w:r>
          </w:p>
        </w:tc>
        <w:tc>
          <w:tcPr>
            <w:tcW w:w="3780" w:type="dxa"/>
            <w:vAlign w:val="center"/>
          </w:tcPr>
          <w:p>
            <w:pPr>
              <w:spacing w:line="360" w:lineRule="exact"/>
              <w:jc w:val="center"/>
              <w:rPr>
                <w:rFonts w:ascii="仿宋_GB2312" w:hAnsi="华文中宋" w:eastAsia="仿宋_GB2312" w:cs="Times New Roman"/>
                <w:sz w:val="24"/>
                <w:szCs w:val="22"/>
              </w:rPr>
            </w:pPr>
          </w:p>
        </w:tc>
        <w:tc>
          <w:tcPr>
            <w:tcW w:w="722" w:type="dxa"/>
            <w:gridSpan w:val="2"/>
            <w:vAlign w:val="center"/>
          </w:tcPr>
          <w:p>
            <w:pPr>
              <w:spacing w:line="360" w:lineRule="exact"/>
              <w:jc w:val="center"/>
              <w:rPr>
                <w:rFonts w:ascii="仿宋_GB2312" w:hAnsi="华文中宋" w:eastAsia="仿宋_GB2312" w:cs="Times New Roman"/>
                <w:sz w:val="24"/>
                <w:szCs w:val="22"/>
              </w:rPr>
            </w:pPr>
            <w:r>
              <w:rPr>
                <w:rFonts w:hint="eastAsia" w:ascii="仿宋_GB2312" w:hAnsi="华文中宋" w:eastAsia="仿宋_GB2312" w:cs="Times New Roman"/>
                <w:sz w:val="24"/>
                <w:szCs w:val="22"/>
              </w:rPr>
              <w:t>账号</w:t>
            </w:r>
          </w:p>
        </w:tc>
        <w:tc>
          <w:tcPr>
            <w:tcW w:w="3240" w:type="dxa"/>
            <w:gridSpan w:val="2"/>
            <w:vAlign w:val="center"/>
          </w:tcPr>
          <w:p>
            <w:pPr>
              <w:spacing w:line="360" w:lineRule="exact"/>
              <w:jc w:val="center"/>
              <w:rPr>
                <w:rFonts w:ascii="仿宋_GB2312" w:hAnsi="华文中宋" w:eastAsia="仿宋_GB2312"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jc w:val="center"/>
              <w:rPr>
                <w:rFonts w:ascii="仿宋_GB2312" w:hAnsi="华文中宋" w:eastAsia="仿宋_GB2312" w:cs="Times New Roman"/>
                <w:sz w:val="24"/>
                <w:szCs w:val="22"/>
              </w:rPr>
            </w:pPr>
            <w:r>
              <w:rPr>
                <w:rFonts w:hint="eastAsia" w:ascii="仿宋_GB2312" w:hAnsi="华文中宋" w:eastAsia="仿宋_GB2312" w:cs="Times New Roman"/>
                <w:sz w:val="24"/>
                <w:szCs w:val="22"/>
              </w:rPr>
              <w:t>金额</w:t>
            </w:r>
          </w:p>
        </w:tc>
        <w:tc>
          <w:tcPr>
            <w:tcW w:w="7742" w:type="dxa"/>
            <w:gridSpan w:val="5"/>
            <w:vAlign w:val="center"/>
          </w:tcPr>
          <w:p>
            <w:pPr>
              <w:spacing w:line="360" w:lineRule="exact"/>
              <w:jc w:val="center"/>
              <w:rPr>
                <w:rFonts w:ascii="仿宋_GB2312" w:hAnsi="华文中宋" w:eastAsia="仿宋_GB2312" w:cs="Times New Roman"/>
                <w:sz w:val="24"/>
                <w:szCs w:val="22"/>
              </w:rPr>
            </w:pPr>
            <w:r>
              <w:rPr>
                <w:rFonts w:hint="eastAsia" w:ascii="仿宋_GB2312" w:hAnsi="华文中宋" w:eastAsia="仿宋_GB2312" w:cs="Times New Roman"/>
                <w:sz w:val="24"/>
                <w:szCs w:val="22"/>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ascii="仿宋_GB2312" w:hAnsi="华文中宋" w:eastAsia="仿宋_GB2312" w:cs="Times New Roman"/>
                <w:sz w:val="24"/>
                <w:szCs w:val="22"/>
              </w:rPr>
            </w:pPr>
            <w:r>
              <w:rPr>
                <w:rFonts w:hint="eastAsia" w:ascii="仿宋_GB2312" w:hAnsi="华文中宋" w:eastAsia="仿宋_GB2312" w:cs="Times New Roman"/>
                <w:sz w:val="24"/>
                <w:szCs w:val="22"/>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28" w:type="dxa"/>
            <w:gridSpan w:val="6"/>
          </w:tcPr>
          <w:p>
            <w:pPr>
              <w:spacing w:line="360" w:lineRule="exact"/>
              <w:jc w:val="center"/>
              <w:rPr>
                <w:rFonts w:ascii="仿宋_GB2312" w:hAnsi="华文中宋" w:eastAsia="仿宋_GB2312" w:cs="Times New Roman"/>
                <w:sz w:val="24"/>
                <w:szCs w:val="22"/>
              </w:rPr>
            </w:pPr>
          </w:p>
          <w:p>
            <w:pPr>
              <w:spacing w:line="360" w:lineRule="exact"/>
              <w:jc w:val="center"/>
              <w:rPr>
                <w:rFonts w:ascii="仿宋_GB2312" w:hAnsi="华文中宋" w:eastAsia="仿宋_GB2312" w:cs="Times New Roman"/>
                <w:sz w:val="24"/>
                <w:szCs w:val="22"/>
              </w:rPr>
            </w:pPr>
          </w:p>
          <w:p>
            <w:pPr>
              <w:spacing w:line="360" w:lineRule="exact"/>
              <w:jc w:val="center"/>
              <w:rPr>
                <w:rFonts w:ascii="仿宋_GB2312" w:hAnsi="华文中宋" w:eastAsia="仿宋_GB2312" w:cs="Times New Roman"/>
                <w:sz w:val="24"/>
                <w:szCs w:val="22"/>
              </w:rPr>
            </w:pPr>
            <w:r>
              <w:rPr>
                <w:rFonts w:hint="eastAsia" w:ascii="仿宋_GB2312" w:hAnsi="华文中宋" w:eastAsia="仿宋_GB2312" w:cs="Times New Roman"/>
                <w:sz w:val="24"/>
                <w:szCs w:val="22"/>
              </w:rPr>
              <w:t>主要负责人签字 ：                           盖  章：</w:t>
            </w:r>
          </w:p>
          <w:p>
            <w:pPr>
              <w:spacing w:line="360" w:lineRule="exact"/>
              <w:jc w:val="center"/>
              <w:rPr>
                <w:rFonts w:ascii="仿宋_GB2312" w:hAnsi="华文中宋" w:eastAsia="仿宋_GB2312" w:cs="Times New Roman"/>
                <w:sz w:val="24"/>
                <w:szCs w:val="22"/>
              </w:rPr>
            </w:pPr>
          </w:p>
          <w:p>
            <w:pPr>
              <w:spacing w:line="360" w:lineRule="exact"/>
              <w:jc w:val="center"/>
              <w:rPr>
                <w:rFonts w:ascii="仿宋_GB2312" w:hAnsi="华文中宋" w:eastAsia="仿宋_GB2312" w:cs="Times New Roman"/>
                <w:sz w:val="24"/>
                <w:szCs w:val="22"/>
              </w:rPr>
            </w:pPr>
            <w:r>
              <w:rPr>
                <w:rFonts w:hint="eastAsia" w:ascii="仿宋_GB2312" w:hAnsi="华文中宋" w:eastAsia="仿宋_GB2312" w:cs="Times New Roman"/>
                <w:sz w:val="24"/>
                <w:szCs w:val="22"/>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pPr>
    </w:p>
    <w:p>
      <w:pPr>
        <w:snapToGrid w:val="0"/>
        <w:spacing w:line="360" w:lineRule="auto"/>
        <w:jc w:val="center"/>
        <w:rPr>
          <w:rFonts w:hAnsi="宋体" w:cs="黑体"/>
          <w:b/>
          <w:sz w:val="36"/>
          <w:szCs w:val="36"/>
        </w:rPr>
      </w:pPr>
      <w:r>
        <w:rPr>
          <w:rFonts w:hint="eastAsia" w:hAnsi="宋体" w:cs="黑体"/>
          <w:b/>
          <w:sz w:val="36"/>
          <w:szCs w:val="36"/>
        </w:rPr>
        <w:t>第四章</w:t>
      </w:r>
      <w:r>
        <w:rPr>
          <w:rFonts w:hint="eastAsia" w:hAnsi="宋体" w:cs="黑体"/>
          <w:b/>
          <w:sz w:val="36"/>
          <w:szCs w:val="36"/>
          <w:lang w:val="en-US" w:eastAsia="zh-CN"/>
        </w:rPr>
        <w:t xml:space="preserve"> </w:t>
      </w:r>
      <w:r>
        <w:rPr>
          <w:rFonts w:hint="eastAsia" w:hAnsi="宋体" w:cs="黑体"/>
          <w:b/>
          <w:sz w:val="36"/>
          <w:szCs w:val="36"/>
        </w:rPr>
        <w:t>合同条款及格式</w:t>
      </w:r>
      <w:bookmarkEnd w:id="68"/>
    </w:p>
    <w:p>
      <w:pPr>
        <w:tabs>
          <w:tab w:val="left" w:pos="5000"/>
        </w:tabs>
        <w:spacing w:line="360" w:lineRule="auto"/>
        <w:ind w:firstLine="490"/>
        <w:rPr>
          <w:rFonts w:hAnsi="宋体" w:cs="黑体"/>
          <w:b/>
          <w:sz w:val="32"/>
          <w:szCs w:val="32"/>
        </w:rPr>
      </w:pPr>
      <w:bookmarkStart w:id="76"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6"/>
      <w:bookmarkStart w:id="77"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9"/>
        <w:spacing w:line="480" w:lineRule="exact"/>
        <w:rPr>
          <w:rFonts w:ascii="Times New Roman" w:hAnsi="Times New Roman" w:eastAsia="黑体"/>
          <w:bCs w:val="0"/>
          <w:color w:val="000000"/>
          <w:sz w:val="24"/>
          <w:szCs w:val="24"/>
        </w:rPr>
      </w:pPr>
      <w:bookmarkStart w:id="78" w:name="_Toc351203481"/>
      <w:r>
        <w:rPr>
          <w:rFonts w:ascii="Times New Roman" w:hAnsi="Times New Roman" w:eastAsia="黑体"/>
          <w:b w:val="0"/>
          <w:color w:val="000000"/>
          <w:sz w:val="24"/>
          <w:szCs w:val="24"/>
        </w:rPr>
        <w:t>一、工程概况</w:t>
      </w:r>
      <w:bookmarkEnd w:id="78"/>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79" w:name="_Toc351203482"/>
      <w:r>
        <w:rPr>
          <w:rFonts w:ascii="Times New Roman" w:hAnsi="Times New Roman" w:eastAsia="黑体"/>
          <w:b w:val="0"/>
          <w:color w:val="000000"/>
          <w:sz w:val="24"/>
          <w:szCs w:val="24"/>
        </w:rPr>
        <w:t>二、合同工期</w:t>
      </w:r>
      <w:bookmarkEnd w:id="79"/>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color w:val="000000"/>
          <w:sz w:val="24"/>
          <w:szCs w:val="24"/>
        </w:rPr>
      </w:pPr>
      <w:bookmarkStart w:id="80" w:name="_Toc351203483"/>
      <w:r>
        <w:rPr>
          <w:rFonts w:ascii="Times New Roman" w:hAnsi="Times New Roman" w:eastAsia="黑体"/>
          <w:b w:val="0"/>
          <w:color w:val="000000"/>
          <w:sz w:val="24"/>
          <w:szCs w:val="24"/>
        </w:rPr>
        <w:t>三、质量标准</w:t>
      </w:r>
      <w:bookmarkEnd w:id="80"/>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9"/>
        <w:spacing w:line="480" w:lineRule="exact"/>
        <w:rPr>
          <w:rFonts w:ascii="Times New Roman" w:hAnsi="Times New Roman" w:eastAsia="黑体"/>
          <w:bCs w:val="0"/>
          <w:color w:val="000000"/>
          <w:sz w:val="24"/>
          <w:szCs w:val="24"/>
        </w:rPr>
      </w:pPr>
      <w:bookmarkStart w:id="81" w:name="_Toc351203484"/>
      <w:r>
        <w:rPr>
          <w:rFonts w:ascii="Times New Roman" w:hAnsi="Times New Roman" w:eastAsia="黑体"/>
          <w:b w:val="0"/>
          <w:color w:val="000000"/>
          <w:sz w:val="24"/>
          <w:szCs w:val="24"/>
        </w:rPr>
        <w:t>四、签约合同价与合同价格形式</w:t>
      </w:r>
      <w:bookmarkEnd w:id="81"/>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2" w:name="_Toc351203485"/>
      <w:r>
        <w:rPr>
          <w:rFonts w:ascii="Times New Roman" w:hAnsi="Times New Roman" w:eastAsia="黑体"/>
          <w:b w:val="0"/>
          <w:color w:val="000000"/>
          <w:sz w:val="24"/>
          <w:szCs w:val="24"/>
        </w:rPr>
        <w:t>五、</w:t>
      </w:r>
      <w:bookmarkEnd w:id="82"/>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Cs w:val="0"/>
          <w:color w:val="000000"/>
          <w:sz w:val="24"/>
          <w:szCs w:val="24"/>
        </w:rPr>
      </w:pPr>
      <w:bookmarkStart w:id="83" w:name="_Toc351203486"/>
      <w:r>
        <w:rPr>
          <w:rFonts w:ascii="Times New Roman" w:hAnsi="Times New Roman" w:eastAsia="黑体"/>
          <w:b w:val="0"/>
          <w:color w:val="000000"/>
          <w:sz w:val="24"/>
          <w:szCs w:val="24"/>
        </w:rPr>
        <w:t>六、合同文件构成</w:t>
      </w:r>
      <w:bookmarkEnd w:id="83"/>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9"/>
        <w:spacing w:line="480" w:lineRule="exact"/>
        <w:rPr>
          <w:rFonts w:ascii="Times New Roman" w:hAnsi="Times New Roman" w:eastAsia="黑体"/>
          <w:b w:val="0"/>
          <w:bCs w:val="0"/>
          <w:color w:val="000000"/>
          <w:sz w:val="24"/>
          <w:szCs w:val="24"/>
        </w:rPr>
      </w:pPr>
      <w:bookmarkStart w:id="84" w:name="_Toc351203487"/>
      <w:r>
        <w:rPr>
          <w:rFonts w:ascii="Times New Roman" w:hAnsi="Times New Roman" w:eastAsia="黑体"/>
          <w:b w:val="0"/>
          <w:color w:val="000000"/>
          <w:sz w:val="24"/>
          <w:szCs w:val="24"/>
        </w:rPr>
        <w:t>七、承诺</w:t>
      </w:r>
      <w:bookmarkEnd w:id="84"/>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5" w:name="_Toc351203488"/>
      <w:r>
        <w:rPr>
          <w:rFonts w:ascii="Times New Roman" w:eastAsia="黑体"/>
          <w:b/>
          <w:color w:val="000000"/>
          <w:sz w:val="24"/>
          <w:szCs w:val="24"/>
        </w:rPr>
        <w:t>八、词语含义</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9"/>
        <w:spacing w:line="480" w:lineRule="exact"/>
        <w:rPr>
          <w:rFonts w:ascii="Times New Roman" w:hAnsi="Times New Roman" w:eastAsia="黑体"/>
          <w:bCs w:val="0"/>
          <w:color w:val="000000"/>
          <w:sz w:val="24"/>
          <w:szCs w:val="24"/>
        </w:rPr>
      </w:pPr>
      <w:bookmarkStart w:id="86" w:name="_Toc351203489"/>
      <w:r>
        <w:rPr>
          <w:rFonts w:ascii="Times New Roman" w:hAnsi="Times New Roman" w:eastAsia="黑体"/>
          <w:b w:val="0"/>
          <w:color w:val="000000"/>
          <w:sz w:val="24"/>
          <w:szCs w:val="24"/>
        </w:rPr>
        <w:t>九、签订时间</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9"/>
        <w:spacing w:line="480" w:lineRule="exact"/>
        <w:rPr>
          <w:rFonts w:ascii="Times New Roman" w:hAnsi="Times New Roman" w:eastAsia="黑体"/>
          <w:bCs w:val="0"/>
          <w:color w:val="000000"/>
          <w:sz w:val="24"/>
          <w:szCs w:val="24"/>
        </w:rPr>
      </w:pPr>
      <w:bookmarkStart w:id="87" w:name="_Toc351203490"/>
      <w:r>
        <w:rPr>
          <w:rFonts w:ascii="Times New Roman" w:hAnsi="Times New Roman" w:eastAsia="黑体"/>
          <w:b w:val="0"/>
          <w:color w:val="000000"/>
          <w:sz w:val="24"/>
          <w:szCs w:val="24"/>
        </w:rPr>
        <w:t>十、签订地点</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9"/>
        <w:spacing w:line="480" w:lineRule="exact"/>
        <w:rPr>
          <w:rFonts w:ascii="Times New Roman" w:hAnsi="Times New Roman" w:eastAsia="黑体"/>
          <w:bCs w:val="0"/>
          <w:color w:val="000000"/>
          <w:sz w:val="24"/>
          <w:szCs w:val="24"/>
        </w:rPr>
      </w:pPr>
      <w:bookmarkStart w:id="88" w:name="_Toc351203491"/>
      <w:r>
        <w:rPr>
          <w:rFonts w:ascii="Times New Roman" w:hAnsi="Times New Roman" w:eastAsia="黑体"/>
          <w:b w:val="0"/>
          <w:color w:val="000000"/>
          <w:sz w:val="24"/>
          <w:szCs w:val="24"/>
        </w:rPr>
        <w:t>十一、补充协议</w:t>
      </w:r>
      <w:bookmarkEnd w:id="88"/>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9"/>
        <w:spacing w:line="480" w:lineRule="exact"/>
        <w:rPr>
          <w:rFonts w:ascii="Times New Roman" w:hAnsi="Times New Roman" w:eastAsia="黑体"/>
          <w:bCs w:val="0"/>
          <w:color w:val="000000"/>
          <w:sz w:val="24"/>
          <w:szCs w:val="24"/>
        </w:rPr>
      </w:pPr>
      <w:bookmarkStart w:id="89" w:name="_Toc351203492"/>
      <w:r>
        <w:rPr>
          <w:rFonts w:ascii="Times New Roman" w:hAnsi="Times New Roman" w:eastAsia="黑体"/>
          <w:b w:val="0"/>
          <w:color w:val="000000"/>
          <w:sz w:val="24"/>
          <w:szCs w:val="24"/>
        </w:rPr>
        <w:t>十二、合同生效</w:t>
      </w:r>
      <w:bookmarkEnd w:id="8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9"/>
        <w:spacing w:line="480" w:lineRule="exact"/>
        <w:rPr>
          <w:rFonts w:ascii="Times New Roman" w:hAnsi="Times New Roman" w:eastAsia="黑体"/>
          <w:bCs w:val="0"/>
          <w:color w:val="000000"/>
          <w:sz w:val="24"/>
          <w:szCs w:val="24"/>
        </w:rPr>
      </w:pPr>
      <w:bookmarkStart w:id="90" w:name="_Toc351203493"/>
      <w:r>
        <w:rPr>
          <w:rFonts w:ascii="Times New Roman" w:hAnsi="Times New Roman" w:eastAsia="黑体"/>
          <w:b w:val="0"/>
          <w:color w:val="000000"/>
          <w:sz w:val="24"/>
          <w:szCs w:val="24"/>
        </w:rPr>
        <w:t>十三、合同份数</w:t>
      </w:r>
      <w:bookmarkEnd w:id="90"/>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8"/>
        <w:jc w:val="center"/>
        <w:rPr>
          <w:rFonts w:ascii="华文中宋" w:hAnsi="华文中宋" w:eastAsia="华文中宋"/>
          <w:sz w:val="44"/>
          <w:szCs w:val="44"/>
        </w:rPr>
      </w:pPr>
      <w:r>
        <w:rPr>
          <w:rFonts w:eastAsia="仿宋_GB2312"/>
        </w:rPr>
        <w:br w:type="page"/>
      </w:r>
      <w:bookmarkStart w:id="91" w:name="_Toc351203494"/>
      <w:r>
        <w:rPr>
          <w:rFonts w:ascii="华文中宋" w:hAnsi="华文中宋" w:eastAsia="华文中宋"/>
          <w:sz w:val="44"/>
          <w:szCs w:val="44"/>
        </w:rPr>
        <w:t>第二部分 通用合同条款</w:t>
      </w:r>
      <w:bookmarkEnd w:id="91"/>
      <w:r>
        <w:rPr>
          <w:rFonts w:hint="eastAsia" w:ascii="华文中宋" w:hAnsi="华文中宋" w:eastAsia="华文中宋"/>
          <w:sz w:val="44"/>
          <w:szCs w:val="44"/>
        </w:rPr>
        <w:t>（略）</w:t>
      </w: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rPr>
          <w:rFonts w:ascii="华文中宋" w:hAnsi="华文中宋" w:eastAsia="华文中宋"/>
          <w:sz w:val="44"/>
          <w:szCs w:val="44"/>
        </w:rPr>
      </w:pPr>
    </w:p>
    <w:p>
      <w:pPr>
        <w:pStyle w:val="2"/>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
      <w:pPr>
        <w:pStyle w:val="8"/>
        <w:ind w:firstLine="2640" w:firstLineChars="6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9"/>
        <w:spacing w:line="480" w:lineRule="exact"/>
        <w:rPr>
          <w:rFonts w:ascii="Times New Roman" w:hAnsi="Times New Roman" w:eastAsia="黑体"/>
          <w:b w:val="0"/>
          <w:color w:val="000000"/>
          <w:sz w:val="24"/>
          <w:szCs w:val="24"/>
        </w:rPr>
      </w:pPr>
      <w:bookmarkStart w:id="92" w:name="_Toc351203633"/>
      <w:r>
        <w:rPr>
          <w:rFonts w:ascii="Times New Roman" w:hAnsi="Times New Roman" w:eastAsia="黑体"/>
          <w:b w:val="0"/>
          <w:color w:val="000000"/>
          <w:sz w:val="24"/>
          <w:szCs w:val="24"/>
        </w:rPr>
        <w:t>1</w:t>
      </w:r>
      <w:bookmarkStart w:id="93" w:name="_Toc292559361"/>
      <w:bookmarkStart w:id="94" w:name="_Toc296891196"/>
      <w:bookmarkStart w:id="95" w:name="_Toc297120456"/>
      <w:bookmarkStart w:id="96" w:name="_Toc296890984"/>
      <w:bookmarkStart w:id="97" w:name="_Toc296944495"/>
      <w:bookmarkStart w:id="98" w:name="_Toc296503156"/>
      <w:bookmarkStart w:id="99" w:name="_Toc297048342"/>
      <w:bookmarkStart w:id="100" w:name="_Toc292559866"/>
      <w:bookmarkStart w:id="101" w:name="_Toc296346657"/>
      <w:bookmarkStart w:id="102" w:name="_Toc296347155"/>
      <w:r>
        <w:rPr>
          <w:rFonts w:ascii="Times New Roman" w:hAnsi="Times New Roman" w:eastAsia="黑体"/>
          <w:b w:val="0"/>
          <w:color w:val="000000"/>
          <w:sz w:val="24"/>
          <w:szCs w:val="24"/>
        </w:rPr>
        <w:t>. 一般约定</w:t>
      </w:r>
      <w:bookmarkEnd w:id="92"/>
    </w:p>
    <w:bookmarkEnd w:id="93"/>
    <w:bookmarkEnd w:id="94"/>
    <w:bookmarkEnd w:id="95"/>
    <w:bookmarkEnd w:id="96"/>
    <w:bookmarkEnd w:id="97"/>
    <w:bookmarkEnd w:id="98"/>
    <w:bookmarkEnd w:id="99"/>
    <w:bookmarkEnd w:id="100"/>
    <w:bookmarkEnd w:id="101"/>
    <w:bookmarkEnd w:id="102"/>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3" w:name="_Toc304295521"/>
      <w:bookmarkStart w:id="104" w:name="_Toc318581155"/>
      <w:bookmarkStart w:id="105" w:name="_Toc300934943"/>
      <w:bookmarkStart w:id="106" w:name="_Toc303539100"/>
      <w:bookmarkStart w:id="107" w:name="_Toc312677986"/>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3"/>
    <w:bookmarkEnd w:id="104"/>
    <w:bookmarkEnd w:id="105"/>
    <w:bookmarkEnd w:id="106"/>
    <w:bookmarkEnd w:id="107"/>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08" w:name="_Toc300934944"/>
      <w:bookmarkStart w:id="109" w:name="_Toc318581156"/>
      <w:bookmarkStart w:id="110" w:name="_Toc312677987"/>
      <w:bookmarkStart w:id="111" w:name="_Toc303539101"/>
      <w:bookmarkStart w:id="112" w:name="_Toc304295522"/>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08"/>
      <w:bookmarkEnd w:id="109"/>
      <w:bookmarkEnd w:id="110"/>
      <w:bookmarkEnd w:id="111"/>
      <w:bookmarkEnd w:id="112"/>
      <w:bookmarkStart w:id="113"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3"/>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14" w:name="_Toc351203634"/>
      <w:r>
        <w:rPr>
          <w:rFonts w:ascii="Times New Roman" w:hAnsi="Times New Roman" w:eastAsia="黑体"/>
          <w:b w:val="0"/>
          <w:color w:val="000000"/>
          <w:sz w:val="24"/>
          <w:szCs w:val="24"/>
        </w:rPr>
        <w:t>2</w:t>
      </w:r>
      <w:bookmarkStart w:id="115" w:name="_Toc292559362"/>
      <w:bookmarkStart w:id="116" w:name="_Toc296347156"/>
      <w:bookmarkStart w:id="117" w:name="_Toc292559867"/>
      <w:bookmarkStart w:id="118" w:name="_Toc296346658"/>
      <w:bookmarkStart w:id="119" w:name="_Toc297048343"/>
      <w:bookmarkStart w:id="120" w:name="_Toc297120457"/>
      <w:bookmarkStart w:id="121" w:name="_Toc296890985"/>
      <w:bookmarkStart w:id="122" w:name="_Toc296944496"/>
      <w:bookmarkStart w:id="123" w:name="_Toc296503157"/>
      <w:bookmarkStart w:id="124" w:name="_Toc296891197"/>
      <w:r>
        <w:rPr>
          <w:rFonts w:ascii="Times New Roman" w:hAnsi="Times New Roman" w:eastAsia="黑体"/>
          <w:b w:val="0"/>
          <w:color w:val="000000"/>
          <w:sz w:val="24"/>
          <w:szCs w:val="24"/>
        </w:rPr>
        <w:t>. 发包人</w:t>
      </w:r>
      <w:bookmarkEnd w:id="114"/>
    </w:p>
    <w:bookmarkEnd w:id="115"/>
    <w:bookmarkEnd w:id="116"/>
    <w:bookmarkEnd w:id="117"/>
    <w:bookmarkEnd w:id="118"/>
    <w:bookmarkEnd w:id="119"/>
    <w:bookmarkEnd w:id="120"/>
    <w:bookmarkEnd w:id="121"/>
    <w:bookmarkEnd w:id="122"/>
    <w:bookmarkEnd w:id="123"/>
    <w:bookmarkEnd w:id="12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25" w:name="_Toc351203635"/>
      <w:r>
        <w:rPr>
          <w:rFonts w:ascii="Times New Roman" w:hAnsi="Times New Roman" w:eastAsia="黑体"/>
          <w:b w:val="0"/>
          <w:color w:val="000000"/>
          <w:sz w:val="24"/>
          <w:szCs w:val="24"/>
        </w:rPr>
        <w:t>3</w:t>
      </w:r>
      <w:bookmarkStart w:id="126" w:name="_Toc296890986"/>
      <w:bookmarkStart w:id="127" w:name="_Toc292559868"/>
      <w:bookmarkStart w:id="128" w:name="_Toc292559363"/>
      <w:bookmarkStart w:id="129" w:name="_Toc297120458"/>
      <w:bookmarkStart w:id="130" w:name="_Toc296347157"/>
      <w:bookmarkStart w:id="131" w:name="_Toc296503158"/>
      <w:bookmarkStart w:id="132" w:name="_Toc296891198"/>
      <w:bookmarkStart w:id="133" w:name="_Toc296944497"/>
      <w:bookmarkStart w:id="134" w:name="_Toc296346659"/>
      <w:bookmarkStart w:id="135" w:name="_Toc297048344"/>
      <w:r>
        <w:rPr>
          <w:rFonts w:ascii="Times New Roman" w:hAnsi="Times New Roman" w:eastAsia="黑体"/>
          <w:b w:val="0"/>
          <w:color w:val="000000"/>
          <w:sz w:val="24"/>
          <w:szCs w:val="24"/>
        </w:rPr>
        <w:t>. 承包人</w:t>
      </w:r>
      <w:bookmarkEnd w:id="125"/>
    </w:p>
    <w:bookmarkEnd w:id="126"/>
    <w:bookmarkEnd w:id="127"/>
    <w:bookmarkEnd w:id="128"/>
    <w:bookmarkEnd w:id="129"/>
    <w:bookmarkEnd w:id="130"/>
    <w:bookmarkEnd w:id="131"/>
    <w:bookmarkEnd w:id="132"/>
    <w:bookmarkEnd w:id="133"/>
    <w:bookmarkEnd w:id="134"/>
    <w:bookmarkEnd w:id="13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6" w:name="_Toc297048345"/>
      <w:bookmarkStart w:id="137" w:name="_Toc304295523"/>
      <w:bookmarkStart w:id="138" w:name="_Toc303539102"/>
      <w:bookmarkStart w:id="139" w:name="_Toc296891199"/>
      <w:bookmarkStart w:id="140" w:name="_Toc296346660"/>
      <w:bookmarkStart w:id="141" w:name="_Toc296890987"/>
      <w:bookmarkStart w:id="142" w:name="_Toc297123492"/>
      <w:bookmarkStart w:id="143" w:name="_Toc297216151"/>
      <w:bookmarkStart w:id="144" w:name="_Toc312677988"/>
      <w:bookmarkStart w:id="145" w:name="_Toc292559869"/>
      <w:bookmarkStart w:id="146" w:name="_Toc296944498"/>
      <w:bookmarkStart w:id="147" w:name="_Toc292559364"/>
      <w:bookmarkStart w:id="148" w:name="_Toc296503159"/>
      <w:bookmarkStart w:id="149" w:name="_Toc297120459"/>
      <w:bookmarkStart w:id="150" w:name="_Toc296347158"/>
      <w:bookmarkStart w:id="151" w:name="_Toc300934945"/>
      <w:r>
        <w:rPr>
          <w:rFonts w:ascii="Times New Roman" w:eastAsia="黑体"/>
          <w:color w:val="000000"/>
          <w:sz w:val="24"/>
          <w:szCs w:val="24"/>
        </w:rPr>
        <w:t>.5 分包</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2" w:name="_Toc296347159"/>
      <w:bookmarkStart w:id="153" w:name="_Toc296346661"/>
      <w:bookmarkStart w:id="154" w:name="_Toc296503160"/>
      <w:bookmarkStart w:id="155" w:name="_Toc297120460"/>
      <w:bookmarkStart w:id="156" w:name="_Toc304295524"/>
      <w:bookmarkStart w:id="157" w:name="_Toc296891200"/>
      <w:bookmarkStart w:id="158" w:name="_Toc300934946"/>
      <w:bookmarkStart w:id="159" w:name="_Toc292559870"/>
      <w:bookmarkStart w:id="160" w:name="_Toc303539103"/>
      <w:bookmarkStart w:id="161" w:name="_Toc297123493"/>
      <w:bookmarkStart w:id="162" w:name="_Toc296944499"/>
      <w:bookmarkStart w:id="163" w:name="_Toc297216152"/>
      <w:bookmarkStart w:id="164" w:name="_Toc292559365"/>
      <w:bookmarkStart w:id="165" w:name="_Toc297048346"/>
      <w:bookmarkStart w:id="166" w:name="_Toc296890988"/>
      <w:bookmarkStart w:id="167" w:name="_Toc318581158"/>
      <w:bookmarkStart w:id="168" w:name="_Toc312677989"/>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Start w:id="169" w:name="_Toc296944500"/>
      <w:bookmarkStart w:id="170" w:name="_Toc297120461"/>
      <w:bookmarkStart w:id="171" w:name="_Toc304295525"/>
      <w:bookmarkStart w:id="172" w:name="_Toc297048347"/>
      <w:bookmarkStart w:id="173" w:name="_Toc296890989"/>
      <w:bookmarkStart w:id="174" w:name="_Toc297216153"/>
      <w:bookmarkStart w:id="175" w:name="_Toc296347160"/>
      <w:bookmarkStart w:id="176" w:name="_Toc296891201"/>
      <w:bookmarkStart w:id="177" w:name="_Toc296346662"/>
      <w:bookmarkStart w:id="178" w:name="_Toc300934947"/>
      <w:bookmarkStart w:id="179" w:name="_Toc296503161"/>
      <w:bookmarkStart w:id="180" w:name="_Toc303539104"/>
      <w:bookmarkStart w:id="181" w:name="_Toc297123494"/>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Pr>
        <w:spacing w:line="480" w:lineRule="exact"/>
        <w:rPr>
          <w:rFonts w:ascii="Times New Roman" w:eastAsia="仿宋_GB2312"/>
          <w:sz w:val="24"/>
          <w:szCs w:val="24"/>
        </w:rPr>
      </w:pPr>
      <w:r>
        <w:rPr>
          <w:rFonts w:ascii="Times New Roman" w:eastAsia="仿宋_GB2312"/>
          <w:sz w:val="24"/>
          <w:szCs w:val="24"/>
        </w:rPr>
        <w:t xml:space="preserve">    3</w:t>
      </w:r>
      <w:bookmarkStart w:id="182" w:name="_Toc318581159"/>
      <w:bookmarkStart w:id="183" w:name="_Toc312677990"/>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2"/>
    <w:bookmarkEnd w:id="183"/>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84" w:name="_Toc351203636"/>
      <w:r>
        <w:rPr>
          <w:rFonts w:ascii="Times New Roman" w:hAnsi="Times New Roman" w:eastAsia="黑体"/>
          <w:b w:val="0"/>
          <w:color w:val="000000"/>
          <w:sz w:val="24"/>
          <w:szCs w:val="24"/>
        </w:rPr>
        <w:t>4</w:t>
      </w:r>
      <w:bookmarkStart w:id="185" w:name="_Toc297048348"/>
      <w:bookmarkStart w:id="186" w:name="_Toc292559366"/>
      <w:bookmarkStart w:id="187" w:name="_Toc267251413"/>
      <w:bookmarkStart w:id="188" w:name="_Toc296347161"/>
      <w:bookmarkStart w:id="189" w:name="_Toc296503162"/>
      <w:bookmarkStart w:id="190" w:name="_Toc296890990"/>
      <w:bookmarkStart w:id="191" w:name="_Toc297120462"/>
      <w:bookmarkStart w:id="192" w:name="_Toc296944501"/>
      <w:bookmarkStart w:id="193" w:name="_Toc296346663"/>
      <w:bookmarkStart w:id="194" w:name="_Toc292559871"/>
      <w:bookmarkStart w:id="195" w:name="_Toc296891202"/>
      <w:r>
        <w:rPr>
          <w:rFonts w:ascii="Times New Roman" w:hAnsi="Times New Roman" w:eastAsia="黑体"/>
          <w:b w:val="0"/>
          <w:color w:val="000000"/>
          <w:sz w:val="24"/>
          <w:szCs w:val="24"/>
        </w:rPr>
        <w:t>. 监</w:t>
      </w:r>
      <w:bookmarkEnd w:id="185"/>
      <w:bookmarkEnd w:id="186"/>
      <w:bookmarkEnd w:id="187"/>
      <w:bookmarkEnd w:id="188"/>
      <w:bookmarkEnd w:id="189"/>
      <w:bookmarkEnd w:id="190"/>
      <w:bookmarkEnd w:id="191"/>
      <w:bookmarkEnd w:id="192"/>
      <w:bookmarkEnd w:id="193"/>
      <w:bookmarkEnd w:id="194"/>
      <w:bookmarkEnd w:id="195"/>
      <w:r>
        <w:rPr>
          <w:rFonts w:ascii="Times New Roman" w:hAnsi="Times New Roman" w:eastAsia="黑体"/>
          <w:b w:val="0"/>
          <w:color w:val="000000"/>
          <w:sz w:val="24"/>
          <w:szCs w:val="24"/>
        </w:rPr>
        <w:t>理人</w:t>
      </w:r>
      <w:bookmarkEnd w:id="184"/>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关于监理人的监理权限：。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6"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9"/>
        <w:spacing w:line="480" w:lineRule="exact"/>
        <w:rPr>
          <w:rFonts w:ascii="Times New Roman" w:hAnsi="Times New Roman" w:eastAsia="黑体"/>
          <w:b w:val="0"/>
          <w:color w:val="000000"/>
          <w:sz w:val="24"/>
          <w:szCs w:val="24"/>
        </w:rPr>
      </w:pPr>
      <w:bookmarkStart w:id="197" w:name="_Toc351203637"/>
      <w:r>
        <w:rPr>
          <w:rFonts w:ascii="Times New Roman" w:hAnsi="Times New Roman" w:eastAsia="黑体"/>
          <w:b w:val="0"/>
          <w:color w:val="000000"/>
          <w:sz w:val="24"/>
          <w:szCs w:val="24"/>
        </w:rPr>
        <w:t>5</w:t>
      </w:r>
      <w:bookmarkEnd w:id="196"/>
      <w:bookmarkStart w:id="198" w:name="_Toc292559872"/>
      <w:bookmarkStart w:id="199" w:name="_Toc296503163"/>
      <w:bookmarkStart w:id="200" w:name="_Toc296890991"/>
      <w:bookmarkStart w:id="201" w:name="_Toc296346664"/>
      <w:bookmarkStart w:id="202" w:name="_Toc297048349"/>
      <w:bookmarkStart w:id="203" w:name="_Toc296347162"/>
      <w:bookmarkStart w:id="204" w:name="_Toc292559367"/>
      <w:bookmarkStart w:id="205" w:name="_Toc296891203"/>
      <w:bookmarkStart w:id="206" w:name="_Toc296944502"/>
      <w:bookmarkStart w:id="207" w:name="_Toc297120463"/>
      <w:r>
        <w:rPr>
          <w:rFonts w:ascii="Times New Roman" w:hAnsi="Times New Roman" w:eastAsia="黑体"/>
          <w:b w:val="0"/>
          <w:color w:val="000000"/>
          <w:sz w:val="24"/>
          <w:szCs w:val="24"/>
        </w:rPr>
        <w:t>. 工程质量</w:t>
      </w:r>
      <w:bookmarkEnd w:id="197"/>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08" w:name="_Toc297216155"/>
      <w:bookmarkStart w:id="209" w:name="_Toc297123496"/>
      <w:bookmarkStart w:id="210" w:name="_Toc304295527"/>
      <w:bookmarkStart w:id="211" w:name="_Toc312677997"/>
      <w:bookmarkStart w:id="212" w:name="_Toc300934949"/>
      <w:bookmarkStart w:id="213" w:name="_Toc318581164"/>
      <w:bookmarkStart w:id="214" w:name="_Toc303539106"/>
      <w:r>
        <w:rPr>
          <w:rFonts w:ascii="Times New Roman" w:eastAsia="仿宋_GB2312"/>
          <w:sz w:val="24"/>
          <w:szCs w:val="24"/>
        </w:rPr>
        <w:t>.1.1 特殊质量标准和要求：。</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9"/>
        <w:spacing w:line="480" w:lineRule="exact"/>
        <w:rPr>
          <w:rFonts w:ascii="Times New Roman" w:hAnsi="Times New Roman" w:eastAsia="黑体"/>
          <w:b w:val="0"/>
          <w:color w:val="000000"/>
          <w:sz w:val="24"/>
          <w:szCs w:val="24"/>
        </w:rPr>
      </w:pPr>
      <w:bookmarkStart w:id="215" w:name="_Toc351203638"/>
      <w:r>
        <w:rPr>
          <w:rFonts w:ascii="Times New Roman" w:hAnsi="Times New Roman" w:eastAsia="黑体"/>
          <w:b w:val="0"/>
          <w:color w:val="000000"/>
          <w:sz w:val="24"/>
          <w:szCs w:val="24"/>
        </w:rPr>
        <w:t>6. 安全文明施工与环境保护</w:t>
      </w:r>
      <w:bookmarkEnd w:id="215"/>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08"/>
    <w:bookmarkEnd w:id="209"/>
    <w:bookmarkEnd w:id="210"/>
    <w:bookmarkEnd w:id="211"/>
    <w:bookmarkEnd w:id="212"/>
    <w:bookmarkEnd w:id="213"/>
    <w:bookmarkEnd w:id="214"/>
    <w:p>
      <w:pPr>
        <w:pStyle w:val="9"/>
        <w:spacing w:line="480" w:lineRule="exact"/>
        <w:rPr>
          <w:rFonts w:ascii="Times New Roman" w:hAnsi="Times New Roman" w:eastAsia="黑体"/>
          <w:b w:val="0"/>
          <w:color w:val="000000"/>
          <w:sz w:val="24"/>
          <w:szCs w:val="24"/>
        </w:rPr>
      </w:pPr>
      <w:bookmarkStart w:id="216" w:name="_Toc351203639"/>
      <w:r>
        <w:rPr>
          <w:rFonts w:ascii="Times New Roman" w:hAnsi="Times New Roman" w:eastAsia="黑体"/>
          <w:b w:val="0"/>
          <w:color w:val="000000"/>
          <w:sz w:val="24"/>
          <w:szCs w:val="24"/>
        </w:rPr>
        <w:t>7. 工期和进度</w:t>
      </w:r>
      <w:bookmarkEnd w:id="21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7" w:name="_Toc297123514"/>
      <w:bookmarkStart w:id="218" w:name="_Toc297216173"/>
      <w:bookmarkStart w:id="219" w:name="_Toc312678005"/>
      <w:bookmarkStart w:id="220" w:name="_Toc303539123"/>
      <w:bookmarkStart w:id="221" w:name="_Toc304295541"/>
      <w:bookmarkStart w:id="222" w:name="_Toc312677479"/>
      <w:bookmarkStart w:id="223" w:name="_Toc300934966"/>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7"/>
    <w:bookmarkEnd w:id="218"/>
    <w:bookmarkEnd w:id="219"/>
    <w:bookmarkEnd w:id="220"/>
    <w:bookmarkEnd w:id="221"/>
    <w:bookmarkEnd w:id="222"/>
    <w:bookmarkEnd w:id="223"/>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4" w:name="_Toc312678010"/>
      <w:bookmarkStart w:id="225" w:name="_Toc312677484"/>
      <w:bookmarkStart w:id="226" w:name="_Toc303539125"/>
      <w:bookmarkStart w:id="227" w:name="_Toc300934968"/>
      <w:bookmarkStart w:id="228" w:name="_Toc304295546"/>
      <w:bookmarkStart w:id="229" w:name="_Toc297216175"/>
      <w:bookmarkStart w:id="230" w:name="_Toc297123516"/>
      <w:r>
        <w:rPr>
          <w:rFonts w:ascii="Times New Roman" w:eastAsia="黑体"/>
          <w:color w:val="000000"/>
          <w:sz w:val="24"/>
          <w:szCs w:val="24"/>
        </w:rPr>
        <w:t>.5 工期延误</w:t>
      </w:r>
    </w:p>
    <w:bookmarkEnd w:id="224"/>
    <w:bookmarkEnd w:id="225"/>
    <w:bookmarkEnd w:id="226"/>
    <w:bookmarkEnd w:id="227"/>
    <w:bookmarkEnd w:id="228"/>
    <w:bookmarkEnd w:id="229"/>
    <w:bookmarkEnd w:id="230"/>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1" w:name="_Toc312678012"/>
      <w:bookmarkStart w:id="232" w:name="_Toc312677486"/>
      <w:bookmarkStart w:id="233" w:name="_Toc318581169"/>
      <w:bookmarkStart w:id="234" w:name="_Toc300934970"/>
      <w:bookmarkStart w:id="235" w:name="_Toc297123518"/>
      <w:bookmarkStart w:id="236" w:name="_Toc304295548"/>
      <w:bookmarkStart w:id="237" w:name="_Toc303539127"/>
      <w:bookmarkStart w:id="238" w:name="_Toc297216177"/>
      <w:r>
        <w:rPr>
          <w:rFonts w:ascii="Times New Roman" w:eastAsia="仿宋_GB2312"/>
          <w:sz w:val="24"/>
          <w:szCs w:val="24"/>
        </w:rPr>
        <w:t>.5.2 因承包人原因导致工期延误</w:t>
      </w:r>
    </w:p>
    <w:bookmarkEnd w:id="231"/>
    <w:bookmarkEnd w:id="232"/>
    <w:bookmarkEnd w:id="233"/>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39" w:name="_Toc312677487"/>
      <w:bookmarkStart w:id="240" w:name="_Toc312678013"/>
      <w:bookmarkStart w:id="241" w:name="_Toc318581170"/>
      <w:r>
        <w:rPr>
          <w:rFonts w:ascii="Times New Roman" w:eastAsia="仿宋_GB2312"/>
          <w:sz w:val="24"/>
          <w:szCs w:val="24"/>
        </w:rPr>
        <w:t>承包人原因造成工期延误，逾期竣工违约金的计算方法为：。</w:t>
      </w:r>
      <w:bookmarkEnd w:id="234"/>
      <w:bookmarkEnd w:id="235"/>
      <w:bookmarkEnd w:id="236"/>
      <w:bookmarkEnd w:id="237"/>
      <w:bookmarkEnd w:id="238"/>
      <w:bookmarkEnd w:id="239"/>
      <w:bookmarkEnd w:id="240"/>
    </w:p>
    <w:bookmarkEnd w:id="241"/>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2" w:name="_Toc318581171"/>
      <w:bookmarkStart w:id="243" w:name="_Toc312678014"/>
      <w:r>
        <w:rPr>
          <w:rFonts w:ascii="Times New Roman" w:eastAsia="仿宋_GB2312"/>
          <w:sz w:val="24"/>
          <w:szCs w:val="24"/>
        </w:rPr>
        <w:t>期竣工违约金的上限：。</w:t>
      </w:r>
    </w:p>
    <w:bookmarkEnd w:id="242"/>
    <w:bookmarkEnd w:id="243"/>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4" w:name="_Toc304295549"/>
      <w:bookmarkStart w:id="245" w:name="_Toc300934971"/>
      <w:bookmarkStart w:id="246" w:name="_Toc297216178"/>
      <w:bookmarkStart w:id="247" w:name="_Toc303539128"/>
      <w:bookmarkStart w:id="248" w:name="_Toc297123519"/>
      <w:bookmarkStart w:id="249" w:name="_Toc312678015"/>
      <w:r>
        <w:rPr>
          <w:rFonts w:ascii="Times New Roman" w:eastAsia="黑体"/>
          <w:color w:val="000000"/>
          <w:sz w:val="24"/>
          <w:szCs w:val="24"/>
        </w:rPr>
        <w:t>.6 不</w:t>
      </w:r>
      <w:bookmarkEnd w:id="244"/>
      <w:bookmarkEnd w:id="245"/>
      <w:bookmarkEnd w:id="246"/>
      <w:bookmarkEnd w:id="247"/>
      <w:bookmarkEnd w:id="248"/>
      <w:bookmarkEnd w:id="249"/>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0" w:name="_Toc303539129"/>
      <w:bookmarkStart w:id="251" w:name="_Toc312678016"/>
      <w:bookmarkStart w:id="252" w:name="_Toc304295550"/>
      <w:bookmarkStart w:id="253" w:name="_Toc318581172"/>
      <w:bookmarkStart w:id="254" w:name="_Toc300934972"/>
      <w:bookmarkStart w:id="255" w:name="_Toc297216179"/>
      <w:bookmarkStart w:id="256" w:name="_Toc297123520"/>
      <w:r>
        <w:rPr>
          <w:rFonts w:ascii="Times New Roman" w:eastAsia="仿宋_GB2312"/>
          <w:sz w:val="24"/>
          <w:szCs w:val="24"/>
        </w:rPr>
        <w:t>不利物质条件的其他情形和有关约定：。</w:t>
      </w:r>
    </w:p>
    <w:bookmarkEnd w:id="250"/>
    <w:bookmarkEnd w:id="251"/>
    <w:bookmarkEnd w:id="252"/>
    <w:bookmarkEnd w:id="253"/>
    <w:bookmarkEnd w:id="254"/>
    <w:bookmarkEnd w:id="255"/>
    <w:bookmarkEnd w:id="25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7" w:name="_Toc300934973"/>
      <w:bookmarkStart w:id="258" w:name="_Toc297216180"/>
      <w:bookmarkStart w:id="259" w:name="_Toc303539130"/>
      <w:bookmarkStart w:id="260" w:name="_Toc312678017"/>
      <w:bookmarkStart w:id="261" w:name="_Toc304295551"/>
      <w:bookmarkStart w:id="262" w:name="_Toc297123521"/>
      <w:r>
        <w:rPr>
          <w:rFonts w:ascii="Times New Roman" w:eastAsia="黑体"/>
          <w:color w:val="000000"/>
          <w:sz w:val="24"/>
          <w:szCs w:val="24"/>
        </w:rPr>
        <w:t>.7异常恶劣的气候条件</w:t>
      </w:r>
    </w:p>
    <w:bookmarkEnd w:id="257"/>
    <w:bookmarkEnd w:id="258"/>
    <w:bookmarkEnd w:id="259"/>
    <w:bookmarkEnd w:id="260"/>
    <w:bookmarkEnd w:id="261"/>
    <w:bookmarkEnd w:id="262"/>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9"/>
        <w:spacing w:line="480" w:lineRule="exact"/>
        <w:rPr>
          <w:rFonts w:ascii="Times New Roman" w:hAnsi="Times New Roman" w:eastAsia="黑体"/>
          <w:b w:val="0"/>
          <w:color w:val="000000"/>
          <w:sz w:val="24"/>
          <w:szCs w:val="24"/>
        </w:rPr>
      </w:pPr>
      <w:bookmarkStart w:id="263" w:name="_Toc351203640"/>
      <w:r>
        <w:rPr>
          <w:rFonts w:ascii="Times New Roman" w:hAnsi="Times New Roman" w:eastAsia="黑体"/>
          <w:b w:val="0"/>
          <w:color w:val="000000"/>
          <w:sz w:val="24"/>
          <w:szCs w:val="24"/>
        </w:rPr>
        <w:t>8. 材料与设备</w:t>
      </w:r>
      <w:bookmarkEnd w:id="263"/>
    </w:p>
    <w:bookmarkEnd w:id="198"/>
    <w:bookmarkEnd w:id="199"/>
    <w:bookmarkEnd w:id="200"/>
    <w:bookmarkEnd w:id="201"/>
    <w:bookmarkEnd w:id="202"/>
    <w:bookmarkEnd w:id="203"/>
    <w:bookmarkEnd w:id="204"/>
    <w:bookmarkEnd w:id="205"/>
    <w:bookmarkEnd w:id="206"/>
    <w:bookmarkEnd w:id="20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4" w:name="_Toc296347166"/>
      <w:bookmarkStart w:id="265" w:name="_Toc303539136"/>
      <w:bookmarkStart w:id="266" w:name="_Toc296890995"/>
      <w:bookmarkStart w:id="267" w:name="_Toc297216186"/>
      <w:bookmarkStart w:id="268" w:name="_Toc292559877"/>
      <w:bookmarkStart w:id="269" w:name="_Toc297048353"/>
      <w:bookmarkStart w:id="270" w:name="_Toc297123527"/>
      <w:bookmarkStart w:id="271" w:name="_Toc296944506"/>
      <w:bookmarkStart w:id="272" w:name="_Toc312677493"/>
      <w:bookmarkStart w:id="273" w:name="_Toc296891207"/>
      <w:bookmarkStart w:id="274" w:name="_Toc292559372"/>
      <w:bookmarkStart w:id="275" w:name="_Toc296503167"/>
      <w:bookmarkStart w:id="276" w:name="_Toc300934979"/>
      <w:bookmarkStart w:id="277" w:name="_Toc304295556"/>
      <w:bookmarkStart w:id="278" w:name="_Toc312678019"/>
      <w:bookmarkStart w:id="279" w:name="_Toc280868654"/>
      <w:bookmarkStart w:id="280" w:name="_Toc297120467"/>
      <w:bookmarkStart w:id="281" w:name="_Toc296346668"/>
      <w:bookmarkStart w:id="282" w:name="_Toc267251424"/>
      <w:bookmarkStart w:id="283" w:name="_Toc280868656"/>
      <w:bookmarkStart w:id="284" w:name="_Toc280868655"/>
      <w:r>
        <w:rPr>
          <w:rFonts w:ascii="Times New Roman" w:eastAsia="黑体"/>
          <w:color w:val="000000"/>
          <w:sz w:val="24"/>
          <w:szCs w:val="24"/>
        </w:rPr>
        <w:t>.4材料与工程设备的保管与使用</w:t>
      </w:r>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5" w:name="_Toc292559878"/>
      <w:bookmarkStart w:id="286" w:name="_Toc292559373"/>
      <w:bookmarkStart w:id="287" w:name="_Toc297123528"/>
      <w:bookmarkStart w:id="288" w:name="_Toc296347167"/>
      <w:bookmarkStart w:id="289" w:name="_Toc296944507"/>
      <w:bookmarkStart w:id="290" w:name="_Toc303539137"/>
      <w:bookmarkStart w:id="291" w:name="_Toc296891208"/>
      <w:bookmarkStart w:id="292" w:name="_Toc296346669"/>
      <w:bookmarkStart w:id="293" w:name="_Toc304295557"/>
      <w:bookmarkStart w:id="294" w:name="_Toc312677494"/>
      <w:bookmarkStart w:id="295" w:name="_Toc312678020"/>
      <w:bookmarkStart w:id="296" w:name="_Toc297120468"/>
      <w:bookmarkStart w:id="297" w:name="_Toc300934980"/>
      <w:bookmarkStart w:id="298" w:name="_Toc296890996"/>
      <w:bookmarkStart w:id="299" w:name="_Toc297216187"/>
      <w:bookmarkStart w:id="300" w:name="_Toc296503168"/>
      <w:bookmarkStart w:id="301" w:name="_Toc297048354"/>
      <w:bookmarkStart w:id="302" w:name="_Toc318581173"/>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5"/>
      <w:bookmarkEnd w:id="286"/>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Pr>
        <w:pStyle w:val="9"/>
        <w:spacing w:line="480" w:lineRule="exact"/>
        <w:rPr>
          <w:rFonts w:ascii="Times New Roman" w:hAnsi="Times New Roman" w:eastAsia="黑体"/>
          <w:b w:val="0"/>
          <w:color w:val="000000"/>
          <w:sz w:val="24"/>
          <w:szCs w:val="24"/>
        </w:rPr>
      </w:pPr>
      <w:bookmarkStart w:id="303" w:name="_Toc351203641"/>
      <w:r>
        <w:rPr>
          <w:rFonts w:ascii="Times New Roman" w:hAnsi="Times New Roman" w:eastAsia="黑体"/>
          <w:b w:val="0"/>
          <w:color w:val="000000"/>
          <w:sz w:val="24"/>
          <w:szCs w:val="24"/>
        </w:rPr>
        <w:t>9</w:t>
      </w:r>
      <w:bookmarkEnd w:id="282"/>
      <w:bookmarkEnd w:id="283"/>
      <w:bookmarkEnd w:id="284"/>
      <w:bookmarkStart w:id="304" w:name="_Toc312677495"/>
      <w:bookmarkStart w:id="305" w:name="_Toc312678021"/>
      <w:bookmarkStart w:id="306" w:name="_Toc303539139"/>
      <w:bookmarkStart w:id="307" w:name="_Toc300934982"/>
      <w:bookmarkStart w:id="308" w:name="_Toc304295559"/>
      <w:bookmarkStart w:id="309" w:name="_Toc297123533"/>
      <w:bookmarkStart w:id="310" w:name="_Toc297216192"/>
      <w:bookmarkStart w:id="311" w:name="_Toc296944512"/>
      <w:bookmarkStart w:id="312" w:name="_Toc267251427"/>
      <w:bookmarkStart w:id="313" w:name="_Toc292559883"/>
      <w:bookmarkStart w:id="314" w:name="_Toc296503173"/>
      <w:bookmarkStart w:id="315" w:name="_Toc296891213"/>
      <w:bookmarkStart w:id="316" w:name="_Toc267251428"/>
      <w:bookmarkStart w:id="317" w:name="_Toc296891001"/>
      <w:bookmarkStart w:id="318" w:name="_Toc296346674"/>
      <w:bookmarkStart w:id="319" w:name="_Toc296347172"/>
      <w:bookmarkStart w:id="320" w:name="_Toc292559378"/>
      <w:bookmarkStart w:id="321" w:name="_Toc297120473"/>
      <w:bookmarkStart w:id="322" w:name="_Toc297048359"/>
      <w:r>
        <w:rPr>
          <w:rFonts w:ascii="Times New Roman" w:hAnsi="Times New Roman" w:eastAsia="黑体"/>
          <w:b w:val="0"/>
          <w:color w:val="000000"/>
          <w:sz w:val="24"/>
          <w:szCs w:val="24"/>
        </w:rPr>
        <w:t>. 试验与检验</w:t>
      </w:r>
      <w:bookmarkEnd w:id="303"/>
    </w:p>
    <w:bookmarkEnd w:id="304"/>
    <w:bookmarkEnd w:id="305"/>
    <w:bookmarkEnd w:id="306"/>
    <w:bookmarkEnd w:id="307"/>
    <w:bookmarkEnd w:id="308"/>
    <w:bookmarkEnd w:id="309"/>
    <w:bookmarkEnd w:id="310"/>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3" w:name="_Toc297123534"/>
      <w:bookmarkStart w:id="324" w:name="_Toc297216193"/>
      <w:bookmarkStart w:id="325" w:name="_Toc300934983"/>
      <w:bookmarkStart w:id="326" w:name="_Toc312677496"/>
      <w:bookmarkStart w:id="327" w:name="_Toc312678022"/>
      <w:bookmarkStart w:id="328" w:name="_Toc303539140"/>
      <w:bookmarkStart w:id="329" w:name="_Toc304295560"/>
      <w:r>
        <w:rPr>
          <w:rFonts w:ascii="Times New Roman" w:eastAsia="黑体"/>
          <w:color w:val="000000"/>
          <w:sz w:val="24"/>
          <w:szCs w:val="24"/>
        </w:rPr>
        <w:t>.1试验设备与试验人员</w:t>
      </w:r>
    </w:p>
    <w:bookmarkEnd w:id="323"/>
    <w:bookmarkEnd w:id="324"/>
    <w:bookmarkEnd w:id="325"/>
    <w:bookmarkEnd w:id="326"/>
    <w:bookmarkEnd w:id="327"/>
    <w:bookmarkEnd w:id="328"/>
    <w:bookmarkEnd w:id="329"/>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0" w:name="_Toc297123535"/>
      <w:bookmarkStart w:id="331" w:name="_Toc303539141"/>
      <w:bookmarkStart w:id="332" w:name="_Toc312677497"/>
      <w:bookmarkStart w:id="333" w:name="_Toc312678023"/>
      <w:bookmarkStart w:id="334" w:name="_Toc297216194"/>
      <w:bookmarkStart w:id="335" w:name="_Toc300934984"/>
      <w:bookmarkStart w:id="336" w:name="_Toc304295561"/>
      <w:bookmarkStart w:id="337"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0"/>
      <w:bookmarkEnd w:id="331"/>
      <w:bookmarkEnd w:id="332"/>
      <w:bookmarkEnd w:id="333"/>
      <w:bookmarkEnd w:id="334"/>
      <w:bookmarkEnd w:id="335"/>
      <w:bookmarkEnd w:id="336"/>
      <w:bookmarkStart w:id="338" w:name="_Toc300934985"/>
      <w:bookmarkStart w:id="339" w:name="_Toc304295562"/>
      <w:bookmarkStart w:id="340" w:name="_Toc312678024"/>
      <w:bookmarkStart w:id="341" w:name="_Toc297216195"/>
      <w:bookmarkStart w:id="342" w:name="_Toc303539142"/>
      <w:bookmarkStart w:id="343" w:name="_Toc312677498"/>
      <w:bookmarkStart w:id="344" w:name="_Toc297123536"/>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7"/>
    <w:bookmarkEnd w:id="338"/>
    <w:bookmarkEnd w:id="339"/>
    <w:bookmarkEnd w:id="340"/>
    <w:bookmarkEnd w:id="341"/>
    <w:bookmarkEnd w:id="342"/>
    <w:bookmarkEnd w:id="343"/>
    <w:bookmarkEnd w:id="344"/>
    <w:p>
      <w:pPr>
        <w:pStyle w:val="9"/>
        <w:spacing w:line="480" w:lineRule="exact"/>
        <w:rPr>
          <w:rFonts w:ascii="Times New Roman" w:hAnsi="Times New Roman" w:eastAsia="黑体"/>
          <w:b w:val="0"/>
          <w:color w:val="000000"/>
          <w:sz w:val="24"/>
          <w:szCs w:val="24"/>
        </w:rPr>
      </w:pPr>
      <w:bookmarkStart w:id="345" w:name="_Toc351203642"/>
      <w:r>
        <w:rPr>
          <w:rFonts w:ascii="Times New Roman" w:hAnsi="Times New Roman" w:eastAsia="黑体"/>
          <w:b w:val="0"/>
          <w:color w:val="000000"/>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Start w:id="346" w:name="_Toc304295566"/>
      <w:bookmarkStart w:id="347" w:name="_Toc296503193"/>
      <w:bookmarkStart w:id="348" w:name="_Toc296347192"/>
      <w:bookmarkStart w:id="349" w:name="_Toc296346694"/>
      <w:bookmarkStart w:id="350" w:name="_Toc296891021"/>
      <w:bookmarkStart w:id="351" w:name="_Toc296944532"/>
      <w:bookmarkStart w:id="352" w:name="_Toc297120493"/>
      <w:bookmarkStart w:id="353" w:name="_Toc303539146"/>
      <w:bookmarkStart w:id="354" w:name="_Toc297048379"/>
      <w:bookmarkStart w:id="355" w:name="_Toc300934989"/>
      <w:bookmarkStart w:id="356" w:name="_Toc297123540"/>
      <w:bookmarkStart w:id="357" w:name="_Toc296891233"/>
      <w:bookmarkStart w:id="358" w:name="_Toc297216199"/>
      <w:bookmarkStart w:id="359" w:name="_Toc292559903"/>
      <w:bookmarkStart w:id="360" w:name="_Toc292559398"/>
      <w:bookmarkStart w:id="361" w:name="_Toc312677499"/>
      <w:bookmarkStart w:id="362" w:name="_Toc312678025"/>
      <w:bookmarkStart w:id="363" w:name="_Toc267251441"/>
      <w:bookmarkStart w:id="364" w:name="_Toc267251439"/>
      <w:bookmarkStart w:id="365" w:name="_Toc267251437"/>
      <w:bookmarkStart w:id="366" w:name="_Toc267251435"/>
      <w:bookmarkStart w:id="367" w:name="_Toc267251440"/>
      <w:bookmarkStart w:id="368" w:name="_Toc267251433"/>
      <w:bookmarkStart w:id="369" w:name="_Toc267251442"/>
      <w:r>
        <w:rPr>
          <w:rFonts w:ascii="Times New Roman" w:hAnsi="Times New Roman" w:eastAsia="黑体"/>
          <w:b w:val="0"/>
          <w:color w:val="000000"/>
          <w:sz w:val="24"/>
          <w:szCs w:val="24"/>
        </w:rPr>
        <w:t>0. 变更</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bookmarkEnd w:id="361"/>
    <w:bookmarkEnd w:id="36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0" w:name="_Toc303539147"/>
      <w:bookmarkStart w:id="371" w:name="_Toc297123541"/>
      <w:bookmarkStart w:id="372" w:name="_Toc297216200"/>
      <w:bookmarkStart w:id="373" w:name="_Toc297048380"/>
      <w:bookmarkStart w:id="374" w:name="_Toc296891022"/>
      <w:bookmarkStart w:id="375" w:name="_Toc292559904"/>
      <w:bookmarkStart w:id="376" w:name="_Toc296891234"/>
      <w:bookmarkStart w:id="377" w:name="_Toc300934990"/>
      <w:bookmarkStart w:id="378" w:name="_Toc296346695"/>
      <w:bookmarkStart w:id="379" w:name="_Toc296944533"/>
      <w:bookmarkStart w:id="380" w:name="_Toc297120494"/>
      <w:bookmarkStart w:id="381" w:name="_Toc292559399"/>
      <w:bookmarkStart w:id="382" w:name="_Toc304295567"/>
      <w:bookmarkStart w:id="383" w:name="_Toc296347193"/>
      <w:bookmarkStart w:id="384" w:name="_Toc296503194"/>
      <w:bookmarkStart w:id="385" w:name="_Toc312678026"/>
      <w:bookmarkStart w:id="386" w:name="_Toc312677500"/>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关于变更估价的约定: 。</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Start w:id="387" w:name="_Toc296891237"/>
      <w:bookmarkStart w:id="388" w:name="_Toc292559907"/>
      <w:bookmarkStart w:id="389" w:name="_Toc296944536"/>
      <w:bookmarkStart w:id="390" w:name="_Toc300934993"/>
      <w:bookmarkStart w:id="391" w:name="_Toc297048383"/>
      <w:bookmarkStart w:id="392" w:name="_Toc296891025"/>
      <w:bookmarkStart w:id="393" w:name="_Toc296346698"/>
      <w:bookmarkStart w:id="394" w:name="_Toc296503197"/>
      <w:bookmarkStart w:id="395" w:name="_Toc303539150"/>
      <w:bookmarkStart w:id="396" w:name="_Toc296347196"/>
      <w:bookmarkStart w:id="397" w:name="_Toc297216203"/>
      <w:bookmarkStart w:id="398" w:name="_Toc297123544"/>
      <w:bookmarkStart w:id="399" w:name="_Toc297120497"/>
      <w:bookmarkStart w:id="400" w:name="_Toc292559402"/>
      <w:bookmarkStart w:id="401" w:name="_Toc312677503"/>
      <w:bookmarkStart w:id="402" w:name="_Toc312678029"/>
      <w:bookmarkStart w:id="403" w:name="_Toc304295570"/>
      <w:r>
        <w:rPr>
          <w:rFonts w:ascii="Times New Roman" w:eastAsia="黑体"/>
          <w:color w:val="000000"/>
          <w:sz w:val="24"/>
          <w:szCs w:val="24"/>
        </w:rPr>
        <w:t>0.5承</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Start w:id="404" w:name="_Toc296944542"/>
      <w:bookmarkStart w:id="405" w:name="_Toc296503203"/>
      <w:bookmarkStart w:id="406" w:name="_Toc297120503"/>
      <w:bookmarkStart w:id="407" w:name="_Toc297123545"/>
      <w:bookmarkStart w:id="408" w:name="_Toc297216204"/>
      <w:bookmarkStart w:id="409" w:name="_Toc296346704"/>
      <w:bookmarkStart w:id="410" w:name="_Toc292559408"/>
      <w:bookmarkStart w:id="411" w:name="_Toc297048389"/>
      <w:bookmarkStart w:id="412" w:name="_Toc296891243"/>
      <w:bookmarkStart w:id="413" w:name="_Toc292559913"/>
      <w:bookmarkStart w:id="414" w:name="_Toc296347202"/>
      <w:bookmarkStart w:id="415" w:name="_Toc300934994"/>
      <w:bookmarkStart w:id="416" w:name="_Toc303539151"/>
      <w:bookmarkStart w:id="417" w:name="_Toc296891031"/>
      <w:r>
        <w:rPr>
          <w:rFonts w:ascii="Times New Roman" w:eastAsia="黑体"/>
          <w:color w:val="000000"/>
          <w:sz w:val="24"/>
          <w:szCs w:val="24"/>
        </w:rPr>
        <w:t>包人的合理化建议</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18" w:name="_Toc297048390"/>
      <w:bookmarkStart w:id="419" w:name="_Toc303539152"/>
      <w:bookmarkStart w:id="420" w:name="_Toc296347203"/>
      <w:bookmarkStart w:id="421" w:name="_Toc296891244"/>
      <w:bookmarkStart w:id="422" w:name="_Toc296944543"/>
      <w:bookmarkStart w:id="423" w:name="_Toc296503204"/>
      <w:bookmarkStart w:id="424" w:name="_Toc312678030"/>
      <w:bookmarkStart w:id="425" w:name="_Toc318581175"/>
      <w:bookmarkStart w:id="426" w:name="_Toc297123546"/>
      <w:bookmarkStart w:id="427" w:name="_Toc292559409"/>
      <w:bookmarkStart w:id="428" w:name="_Toc300934995"/>
      <w:bookmarkStart w:id="429" w:name="_Toc296891032"/>
      <w:bookmarkStart w:id="430" w:name="_Toc312677504"/>
      <w:bookmarkStart w:id="431" w:name="_Toc296346705"/>
      <w:bookmarkStart w:id="432" w:name="_Toc297216205"/>
      <w:bookmarkStart w:id="433" w:name="_Toc292559914"/>
      <w:bookmarkStart w:id="434" w:name="_Toc297120504"/>
      <w:bookmarkStart w:id="435" w:name="_Toc304295571"/>
      <w:r>
        <w:rPr>
          <w:rFonts w:ascii="Times New Roman" w:eastAsia="仿宋_GB2312"/>
          <w:sz w:val="24"/>
          <w:szCs w:val="24"/>
        </w:rPr>
        <w:t>包人提出的合理化建议降低了合同价格或者提高了工程经济效益的奖励的方法和金额为：。</w:t>
      </w:r>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6" w:name="_Toc303539154"/>
      <w:bookmarkStart w:id="437" w:name="_Toc296891239"/>
      <w:bookmarkStart w:id="438" w:name="_Toc304295574"/>
      <w:bookmarkStart w:id="439" w:name="_Toc296944538"/>
      <w:bookmarkStart w:id="440" w:name="_Toc296891027"/>
      <w:bookmarkStart w:id="441" w:name="_Toc297216207"/>
      <w:bookmarkStart w:id="442" w:name="_Toc296346700"/>
      <w:bookmarkStart w:id="443" w:name="_Toc292559404"/>
      <w:bookmarkStart w:id="444" w:name="_Toc297123548"/>
      <w:bookmarkStart w:id="445" w:name="_Toc297048385"/>
      <w:bookmarkStart w:id="446" w:name="_Toc312678033"/>
      <w:bookmarkStart w:id="447" w:name="_Toc300934997"/>
      <w:bookmarkStart w:id="448" w:name="_Toc296503199"/>
      <w:bookmarkStart w:id="449" w:name="_Toc296347198"/>
      <w:bookmarkStart w:id="450" w:name="_Toc292559909"/>
      <w:bookmarkStart w:id="451" w:name="_Toc312677507"/>
      <w:bookmarkStart w:id="452" w:name="_Toc297120499"/>
      <w:r>
        <w:rPr>
          <w:rFonts w:ascii="Times New Roman" w:eastAsia="黑体"/>
          <w:color w:val="000000"/>
          <w:sz w:val="24"/>
          <w:szCs w:val="24"/>
        </w:rPr>
        <w:t>0.7 暂估价</w:t>
      </w:r>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3" w:name="_Toc312678034"/>
      <w:bookmarkStart w:id="454" w:name="_Toc312677508"/>
      <w:bookmarkStart w:id="455" w:name="_Toc318581176"/>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3"/>
    <w:bookmarkEnd w:id="454"/>
    <w:bookmarkEnd w:id="455"/>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6" w:name="_Toc312677509"/>
      <w:bookmarkStart w:id="457" w:name="_Toc318581177"/>
      <w:bookmarkStart w:id="458" w:name="_Toc312678035"/>
      <w:r>
        <w:rPr>
          <w:rFonts w:ascii="Times New Roman" w:eastAsia="仿宋_GB2312"/>
          <w:sz w:val="24"/>
          <w:szCs w:val="24"/>
        </w:rPr>
        <w:t>0.7.1 依法必须招标的暂估价项目</w:t>
      </w:r>
    </w:p>
    <w:bookmarkEnd w:id="456"/>
    <w:bookmarkEnd w:id="457"/>
    <w:bookmarkEnd w:id="458"/>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p>
    <w:p>
      <w:pPr>
        <w:pStyle w:val="9"/>
        <w:spacing w:line="480" w:lineRule="exact"/>
        <w:rPr>
          <w:rFonts w:ascii="Times New Roman" w:hAnsi="Times New Roman" w:eastAsia="黑体"/>
          <w:b w:val="0"/>
          <w:color w:val="000000"/>
          <w:sz w:val="24"/>
          <w:szCs w:val="24"/>
        </w:rPr>
      </w:pPr>
      <w:bookmarkStart w:id="459" w:name="_Toc351203643"/>
      <w:r>
        <w:rPr>
          <w:rFonts w:ascii="Times New Roman" w:hAnsi="Times New Roman" w:eastAsia="黑体"/>
          <w:b w:val="0"/>
          <w:color w:val="000000"/>
          <w:sz w:val="24"/>
          <w:szCs w:val="24"/>
        </w:rPr>
        <w:t>11. 价格调整</w:t>
      </w:r>
      <w:bookmarkEnd w:id="459"/>
    </w:p>
    <w:p>
      <w:pPr>
        <w:spacing w:line="480" w:lineRule="exact"/>
        <w:ind w:firstLine="480" w:firstLineChars="200"/>
        <w:rPr>
          <w:rFonts w:ascii="Times New Roman" w:eastAsia="黑体"/>
          <w:color w:val="000000"/>
          <w:sz w:val="24"/>
          <w:szCs w:val="24"/>
        </w:rPr>
      </w:pPr>
      <w:bookmarkStart w:id="460" w:name="_Toc296503201"/>
      <w:bookmarkStart w:id="461" w:name="_Toc312678039"/>
      <w:bookmarkStart w:id="462" w:name="_Toc292559911"/>
      <w:bookmarkStart w:id="463" w:name="_Toc297048387"/>
      <w:bookmarkStart w:id="464" w:name="_Toc296347200"/>
      <w:bookmarkStart w:id="465" w:name="_Toc297216209"/>
      <w:bookmarkStart w:id="466" w:name="_Toc303539157"/>
      <w:bookmarkStart w:id="467" w:name="_Toc300935000"/>
      <w:bookmarkStart w:id="468" w:name="_Toc292559406"/>
      <w:bookmarkStart w:id="469" w:name="_Toc297123550"/>
      <w:bookmarkStart w:id="470" w:name="_Toc296944540"/>
      <w:bookmarkStart w:id="471" w:name="_Toc296891029"/>
      <w:bookmarkStart w:id="472" w:name="_Toc296891241"/>
      <w:bookmarkStart w:id="473" w:name="_Toc297120501"/>
      <w:bookmarkStart w:id="474" w:name="_Toc296346702"/>
      <w:bookmarkStart w:id="475" w:name="_Toc304295577"/>
      <w:r>
        <w:rPr>
          <w:rFonts w:ascii="Times New Roman" w:eastAsia="黑体"/>
          <w:color w:val="000000"/>
          <w:sz w:val="24"/>
          <w:szCs w:val="24"/>
        </w:rPr>
        <w:t>11.1 市场价格波动引起的调整</w:t>
      </w:r>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关于各可调因子、定值和变值权重，以及基本价格指数及其来源的约定：；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p>
    <w:bookmarkEnd w:id="363"/>
    <w:bookmarkEnd w:id="364"/>
    <w:bookmarkEnd w:id="365"/>
    <w:bookmarkEnd w:id="366"/>
    <w:bookmarkEnd w:id="367"/>
    <w:bookmarkEnd w:id="368"/>
    <w:p>
      <w:pPr>
        <w:pStyle w:val="9"/>
        <w:spacing w:line="480" w:lineRule="exact"/>
        <w:rPr>
          <w:rFonts w:ascii="Times New Roman" w:hAnsi="Times New Roman" w:eastAsia="黑体"/>
          <w:b w:val="0"/>
          <w:color w:val="000000"/>
          <w:sz w:val="24"/>
          <w:szCs w:val="24"/>
        </w:rPr>
      </w:pPr>
      <w:bookmarkStart w:id="476" w:name="_Toc296891033"/>
      <w:bookmarkStart w:id="477" w:name="_Toc297120505"/>
      <w:bookmarkStart w:id="478" w:name="_Toc296891245"/>
      <w:bookmarkStart w:id="479" w:name="_Toc296944544"/>
      <w:bookmarkStart w:id="480" w:name="_Toc297048391"/>
      <w:bookmarkStart w:id="481" w:name="_Toc296503205"/>
      <w:bookmarkStart w:id="482" w:name="_Toc296347204"/>
      <w:bookmarkStart w:id="483" w:name="_Toc292559915"/>
      <w:bookmarkStart w:id="484" w:name="_Toc292559410"/>
      <w:bookmarkStart w:id="485" w:name="_Toc296346706"/>
      <w:bookmarkStart w:id="486" w:name="_Toc351203644"/>
      <w:bookmarkStart w:id="487" w:name="_Toc297123552"/>
      <w:bookmarkStart w:id="488" w:name="_Toc312678040"/>
      <w:bookmarkStart w:id="489" w:name="_Toc304295579"/>
      <w:bookmarkStart w:id="490" w:name="_Toc297216211"/>
      <w:bookmarkStart w:id="491" w:name="_Toc300935002"/>
      <w:bookmarkStart w:id="492" w:name="_Toc303539159"/>
      <w:r>
        <w:rPr>
          <w:rFonts w:ascii="Times New Roman" w:hAnsi="Times New Roman" w:eastAsia="黑体"/>
          <w:b w:val="0"/>
          <w:color w:val="000000"/>
          <w:sz w:val="24"/>
          <w:szCs w:val="24"/>
        </w:rPr>
        <w:t xml:space="preserve">12. </w:t>
      </w:r>
      <w:bookmarkEnd w:id="476"/>
      <w:bookmarkEnd w:id="477"/>
      <w:bookmarkEnd w:id="478"/>
      <w:bookmarkEnd w:id="479"/>
      <w:bookmarkEnd w:id="480"/>
      <w:bookmarkEnd w:id="481"/>
      <w:bookmarkEnd w:id="482"/>
      <w:bookmarkEnd w:id="483"/>
      <w:bookmarkEnd w:id="484"/>
      <w:bookmarkEnd w:id="485"/>
      <w:r>
        <w:rPr>
          <w:rFonts w:ascii="Times New Roman" w:hAnsi="Times New Roman" w:eastAsia="黑体"/>
          <w:b w:val="0"/>
          <w:color w:val="000000"/>
          <w:sz w:val="24"/>
          <w:szCs w:val="24"/>
        </w:rPr>
        <w:t>合同价格、计量与支付</w:t>
      </w:r>
      <w:bookmarkEnd w:id="486"/>
    </w:p>
    <w:bookmarkEnd w:id="487"/>
    <w:bookmarkEnd w:id="488"/>
    <w:bookmarkEnd w:id="489"/>
    <w:bookmarkEnd w:id="490"/>
    <w:bookmarkEnd w:id="491"/>
    <w:bookmarkEnd w:id="492"/>
    <w:p>
      <w:pPr>
        <w:spacing w:line="480" w:lineRule="exact"/>
        <w:ind w:firstLine="480" w:firstLineChars="200"/>
        <w:rPr>
          <w:rFonts w:ascii="Times New Roman" w:eastAsia="黑体"/>
          <w:color w:val="000000"/>
          <w:sz w:val="24"/>
          <w:szCs w:val="24"/>
        </w:rPr>
      </w:pPr>
      <w:bookmarkStart w:id="493" w:name="_Toc292559411"/>
      <w:bookmarkStart w:id="494" w:name="_Toc267251461"/>
      <w:bookmarkStart w:id="495" w:name="_Toc292559916"/>
      <w:bookmarkStart w:id="496" w:name="_Toc297120506"/>
      <w:bookmarkStart w:id="497" w:name="_Toc296891034"/>
      <w:bookmarkStart w:id="498" w:name="_Toc296944545"/>
      <w:bookmarkStart w:id="499" w:name="_Toc297048392"/>
      <w:bookmarkStart w:id="500" w:name="_Toc296346707"/>
      <w:bookmarkStart w:id="501" w:name="_Toc296347205"/>
      <w:bookmarkStart w:id="502" w:name="_Toc296503206"/>
      <w:bookmarkStart w:id="503" w:name="_Toc296891246"/>
      <w:bookmarkStart w:id="504" w:name="_Toc304295580"/>
      <w:bookmarkStart w:id="505" w:name="_Toc312678041"/>
      <w:bookmarkStart w:id="506" w:name="_Toc303539160"/>
      <w:bookmarkStart w:id="507" w:name="_Toc300935003"/>
      <w:bookmarkStart w:id="508" w:name="_Toc297123553"/>
      <w:bookmarkStart w:id="509" w:name="_Toc297216212"/>
      <w:r>
        <w:rPr>
          <w:rFonts w:ascii="Times New Roman" w:eastAsia="黑体"/>
          <w:color w:val="000000"/>
          <w:sz w:val="24"/>
          <w:szCs w:val="24"/>
        </w:rPr>
        <w:t>12.1 合</w:t>
      </w:r>
      <w:bookmarkEnd w:id="493"/>
      <w:bookmarkEnd w:id="494"/>
      <w:bookmarkEnd w:id="495"/>
      <w:r>
        <w:rPr>
          <w:rFonts w:ascii="Times New Roman" w:eastAsia="黑体"/>
          <w:color w:val="000000"/>
          <w:sz w:val="24"/>
          <w:szCs w:val="24"/>
        </w:rPr>
        <w:t>同价</w:t>
      </w:r>
      <w:bookmarkEnd w:id="496"/>
      <w:bookmarkEnd w:id="497"/>
      <w:bookmarkEnd w:id="498"/>
      <w:bookmarkEnd w:id="499"/>
      <w:bookmarkEnd w:id="500"/>
      <w:bookmarkEnd w:id="501"/>
      <w:bookmarkEnd w:id="502"/>
      <w:bookmarkEnd w:id="503"/>
      <w:r>
        <w:rPr>
          <w:rFonts w:ascii="Times New Roman" w:eastAsia="黑体"/>
          <w:color w:val="000000"/>
          <w:sz w:val="24"/>
          <w:szCs w:val="24"/>
        </w:rPr>
        <w:t>格形式</w:t>
      </w:r>
    </w:p>
    <w:bookmarkEnd w:id="504"/>
    <w:bookmarkEnd w:id="505"/>
    <w:bookmarkEnd w:id="506"/>
    <w:bookmarkEnd w:id="507"/>
    <w:bookmarkEnd w:id="508"/>
    <w:bookmarkEnd w:id="509"/>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numPr>
          <w:ilvl w:val="0"/>
          <w:numId w:val="7"/>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pPr>
        <w:spacing w:line="480" w:lineRule="exact"/>
        <w:ind w:firstLine="480" w:firstLineChars="200"/>
        <w:rPr>
          <w:rFonts w:ascii="Times New Roman" w:eastAsia="黑体"/>
          <w:color w:val="000000"/>
          <w:sz w:val="24"/>
          <w:szCs w:val="24"/>
        </w:rPr>
      </w:pPr>
      <w:bookmarkStart w:id="510" w:name="_Toc297123554"/>
      <w:bookmarkStart w:id="511" w:name="_Toc304295581"/>
      <w:bookmarkStart w:id="512" w:name="_Toc300935004"/>
      <w:bookmarkStart w:id="513" w:name="_Toc312678042"/>
      <w:bookmarkStart w:id="514" w:name="_Toc303539161"/>
      <w:bookmarkStart w:id="515" w:name="_Toc297216213"/>
      <w:bookmarkStart w:id="516" w:name="_Toc297120507"/>
      <w:bookmarkStart w:id="517" w:name="_Toc296944546"/>
      <w:bookmarkStart w:id="518" w:name="_Toc296347206"/>
      <w:bookmarkStart w:id="519" w:name="_Toc296891035"/>
      <w:bookmarkStart w:id="520" w:name="_Toc296891247"/>
      <w:bookmarkStart w:id="521" w:name="_Toc292559917"/>
      <w:bookmarkStart w:id="522" w:name="_Toc296503207"/>
      <w:bookmarkStart w:id="523" w:name="_Toc297048393"/>
      <w:bookmarkStart w:id="524" w:name="_Toc296346708"/>
      <w:bookmarkStart w:id="525" w:name="_Toc292559412"/>
      <w:r>
        <w:rPr>
          <w:rFonts w:ascii="Times New Roman" w:eastAsia="黑体"/>
          <w:color w:val="000000"/>
          <w:sz w:val="24"/>
          <w:szCs w:val="24"/>
        </w:rPr>
        <w:t>12.2 预付款</w:t>
      </w:r>
    </w:p>
    <w:bookmarkEnd w:id="510"/>
    <w:bookmarkEnd w:id="511"/>
    <w:bookmarkEnd w:id="512"/>
    <w:bookmarkEnd w:id="513"/>
    <w:bookmarkEnd w:id="514"/>
    <w:bookmarkEnd w:id="51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6"/>
    <w:bookmarkEnd w:id="517"/>
    <w:bookmarkEnd w:id="518"/>
    <w:bookmarkEnd w:id="519"/>
    <w:bookmarkEnd w:id="520"/>
    <w:bookmarkEnd w:id="521"/>
    <w:bookmarkEnd w:id="522"/>
    <w:bookmarkEnd w:id="523"/>
    <w:bookmarkEnd w:id="524"/>
    <w:bookmarkEnd w:id="52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6" w:name="_Toc303539163"/>
      <w:bookmarkStart w:id="527" w:name="_Toc297216215"/>
      <w:bookmarkStart w:id="528" w:name="_Toc296944550"/>
      <w:bookmarkStart w:id="529" w:name="_Toc300935006"/>
      <w:bookmarkStart w:id="530" w:name="_Toc292559921"/>
      <w:bookmarkStart w:id="531" w:name="_Toc296347210"/>
      <w:bookmarkStart w:id="532" w:name="_Toc297120511"/>
      <w:bookmarkStart w:id="533" w:name="_Toc297123556"/>
      <w:bookmarkStart w:id="534" w:name="_Toc296891251"/>
      <w:bookmarkStart w:id="535" w:name="_Toc296503211"/>
      <w:bookmarkStart w:id="536" w:name="_Toc292559416"/>
      <w:bookmarkStart w:id="537" w:name="_Toc296346712"/>
      <w:bookmarkStart w:id="538" w:name="_Toc296891039"/>
      <w:bookmarkStart w:id="539" w:name="_Toc297048397"/>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p>
    <w:bookmarkEnd w:id="369"/>
    <w:p>
      <w:pPr>
        <w:pStyle w:val="9"/>
        <w:spacing w:line="480" w:lineRule="exact"/>
        <w:rPr>
          <w:rFonts w:ascii="Times New Roman" w:hAnsi="Times New Roman" w:eastAsia="黑体"/>
          <w:b w:val="0"/>
          <w:color w:val="000000"/>
          <w:sz w:val="24"/>
          <w:szCs w:val="24"/>
        </w:rPr>
      </w:pPr>
      <w:bookmarkStart w:id="540" w:name="_Toc351203645"/>
      <w:bookmarkStart w:id="541" w:name="_Toc292559424"/>
      <w:bookmarkStart w:id="542" w:name="_Toc297123564"/>
      <w:bookmarkStart w:id="543" w:name="_Toc296346720"/>
      <w:bookmarkStart w:id="544" w:name="_Toc312678053"/>
      <w:bookmarkStart w:id="545" w:name="_Toc296891259"/>
      <w:bookmarkStart w:id="546" w:name="_Toc292559929"/>
      <w:bookmarkStart w:id="547" w:name="_Toc296891047"/>
      <w:bookmarkStart w:id="548" w:name="_Toc304295593"/>
      <w:bookmarkStart w:id="549" w:name="_Toc297216223"/>
      <w:bookmarkStart w:id="550" w:name="_Toc296944558"/>
      <w:bookmarkStart w:id="551" w:name="_Toc297048405"/>
      <w:bookmarkStart w:id="552" w:name="_Toc300935015"/>
      <w:bookmarkStart w:id="553" w:name="_Toc296347218"/>
      <w:bookmarkStart w:id="554" w:name="_Toc296503219"/>
      <w:bookmarkStart w:id="555" w:name="_Toc297120519"/>
      <w:bookmarkStart w:id="556" w:name="_Toc303539172"/>
      <w:r>
        <w:rPr>
          <w:rFonts w:ascii="Times New Roman" w:hAnsi="Times New Roman" w:eastAsia="黑体"/>
          <w:b w:val="0"/>
          <w:color w:val="000000"/>
          <w:sz w:val="24"/>
          <w:szCs w:val="24"/>
        </w:rPr>
        <w:t>13.验收和工程试车</w:t>
      </w:r>
      <w:bookmarkEnd w:id="540"/>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color w:val="000000"/>
          <w:sz w:val="24"/>
          <w:szCs w:val="24"/>
        </w:rPr>
      </w:pPr>
      <w:bookmarkStart w:id="557" w:name="_Toc312678056"/>
      <w:bookmarkStart w:id="558" w:name="_Toc296346724"/>
      <w:bookmarkStart w:id="559" w:name="_Toc297048409"/>
      <w:bookmarkStart w:id="560" w:name="_Toc303539173"/>
      <w:bookmarkStart w:id="561" w:name="_Toc296347222"/>
      <w:bookmarkStart w:id="562" w:name="_Toc292559428"/>
      <w:bookmarkStart w:id="563" w:name="_Toc296891051"/>
      <w:bookmarkStart w:id="564" w:name="_Toc297120523"/>
      <w:bookmarkStart w:id="565" w:name="_Toc296891263"/>
      <w:bookmarkStart w:id="566" w:name="_Toc304295596"/>
      <w:bookmarkStart w:id="567" w:name="_Toc297123565"/>
      <w:bookmarkStart w:id="568" w:name="_Toc297216224"/>
      <w:bookmarkStart w:id="569" w:name="_Toc300935016"/>
      <w:bookmarkStart w:id="570" w:name="_Toc296503223"/>
      <w:bookmarkStart w:id="571" w:name="_Toc296944562"/>
      <w:bookmarkStart w:id="572" w:name="_Toc292559933"/>
      <w:bookmarkStart w:id="573" w:name="_Toc267251472"/>
      <w:bookmarkStart w:id="574" w:name="_Toc267251470"/>
      <w:bookmarkStart w:id="575" w:name="_Toc267251474"/>
      <w:bookmarkStart w:id="576" w:name="_Toc267251475"/>
      <w:bookmarkStart w:id="577" w:name="_Toc267251476"/>
      <w:bookmarkStart w:id="578" w:name="_Toc267251471"/>
      <w:bookmarkStart w:id="579" w:name="_Toc267251473"/>
      <w:r>
        <w:rPr>
          <w:rFonts w:ascii="Times New Roman" w:eastAsia="黑体"/>
          <w:color w:val="000000"/>
          <w:sz w:val="24"/>
          <w:szCs w:val="24"/>
        </w:rPr>
        <w:t>13.2 竣工验收</w:t>
      </w:r>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Pr>
        <w:spacing w:line="480" w:lineRule="exact"/>
        <w:ind w:firstLine="480" w:firstLineChars="200"/>
        <w:jc w:val="left"/>
        <w:rPr>
          <w:rFonts w:ascii="Times New Roman" w:eastAsia="仿宋_GB2312"/>
          <w:color w:val="000000"/>
          <w:sz w:val="24"/>
          <w:szCs w:val="24"/>
        </w:rPr>
      </w:pPr>
      <w:bookmarkStart w:id="580" w:name="_Toc280868704"/>
      <w:bookmarkStart w:id="581" w:name="_Toc280868705"/>
      <w:bookmarkStart w:id="582" w:name="_Toc280868706"/>
      <w:bookmarkStart w:id="583" w:name="_Toc280868707"/>
      <w:bookmarkStart w:id="584" w:name="_Toc280868708"/>
      <w:bookmarkStart w:id="585" w:name="_Toc280868709"/>
      <w:r>
        <w:rPr>
          <w:rFonts w:ascii="Times New Roman" w:eastAsia="仿宋_GB2312"/>
          <w:color w:val="000000"/>
          <w:sz w:val="24"/>
          <w:szCs w:val="24"/>
        </w:rPr>
        <w:t>13.2.2竣工验收程序</w:t>
      </w:r>
    </w:p>
    <w:bookmarkEnd w:id="580"/>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2"/>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4"/>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pPr>
        <w:pStyle w:val="9"/>
        <w:spacing w:line="480" w:lineRule="exact"/>
        <w:rPr>
          <w:rFonts w:ascii="Times New Roman" w:hAnsi="Times New Roman" w:eastAsia="黑体"/>
          <w:b w:val="0"/>
          <w:color w:val="000000"/>
          <w:sz w:val="24"/>
          <w:szCs w:val="24"/>
        </w:rPr>
      </w:pPr>
      <w:bookmarkStart w:id="586" w:name="_Toc351203646"/>
      <w:r>
        <w:rPr>
          <w:rFonts w:ascii="Times New Roman" w:hAnsi="Times New Roman" w:eastAsia="黑体"/>
          <w:b w:val="0"/>
          <w:color w:val="000000"/>
          <w:sz w:val="24"/>
          <w:szCs w:val="24"/>
        </w:rPr>
        <w:t>14. 竣工结算</w:t>
      </w:r>
      <w:bookmarkEnd w:id="5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rPr>
        <w:t>。</w:t>
      </w:r>
    </w:p>
    <w:bookmarkEnd w:id="573"/>
    <w:bookmarkEnd w:id="574"/>
    <w:bookmarkEnd w:id="575"/>
    <w:bookmarkEnd w:id="576"/>
    <w:bookmarkEnd w:id="577"/>
    <w:bookmarkEnd w:id="578"/>
    <w:bookmarkEnd w:id="579"/>
    <w:bookmarkEnd w:id="585"/>
    <w:p>
      <w:pPr>
        <w:pStyle w:val="9"/>
        <w:spacing w:line="480" w:lineRule="exact"/>
        <w:rPr>
          <w:rFonts w:ascii="Times New Roman" w:hAnsi="Times New Roman" w:eastAsia="黑体"/>
          <w:b w:val="0"/>
          <w:color w:val="000000"/>
          <w:sz w:val="24"/>
          <w:szCs w:val="24"/>
        </w:rPr>
      </w:pPr>
      <w:bookmarkStart w:id="587" w:name="_Toc351203647"/>
      <w:bookmarkStart w:id="588" w:name="_Toc267251483"/>
      <w:bookmarkStart w:id="589" w:name="_Toc267251484"/>
      <w:bookmarkStart w:id="590" w:name="_Toc267251482"/>
      <w:bookmarkStart w:id="591" w:name="_Toc267251485"/>
      <w:bookmarkStart w:id="592" w:name="_Toc267251489"/>
      <w:bookmarkStart w:id="593" w:name="_Toc267251486"/>
      <w:bookmarkStart w:id="594" w:name="_Toc267251488"/>
      <w:bookmarkStart w:id="595" w:name="_Toc267251490"/>
      <w:bookmarkStart w:id="596" w:name="_Toc267251491"/>
      <w:bookmarkStart w:id="597" w:name="_Toc267251493"/>
      <w:bookmarkStart w:id="598" w:name="_Toc267251495"/>
      <w:bookmarkStart w:id="599" w:name="_Toc267251499"/>
      <w:bookmarkStart w:id="600" w:name="_Toc267251492"/>
      <w:bookmarkStart w:id="601" w:name="_Toc267251503"/>
      <w:bookmarkStart w:id="602" w:name="_Toc267251497"/>
      <w:bookmarkStart w:id="603" w:name="_Toc267251494"/>
      <w:bookmarkStart w:id="604" w:name="_Toc267251502"/>
      <w:bookmarkStart w:id="605" w:name="_Toc267251501"/>
      <w:bookmarkStart w:id="606" w:name="_Toc267251496"/>
      <w:bookmarkStart w:id="607" w:name="_Toc267251498"/>
      <w:bookmarkStart w:id="608" w:name="_Toc267251504"/>
      <w:bookmarkStart w:id="609" w:name="_Toc267251506"/>
      <w:bookmarkStart w:id="610" w:name="_Toc267251507"/>
      <w:bookmarkStart w:id="611" w:name="_Toc267251508"/>
      <w:bookmarkStart w:id="612" w:name="_Toc267251510"/>
      <w:bookmarkStart w:id="613" w:name="_Toc267251511"/>
      <w:bookmarkStart w:id="614" w:name="_Toc267251509"/>
      <w:bookmarkStart w:id="615" w:name="_Toc267251514"/>
      <w:bookmarkStart w:id="616" w:name="_Toc267251515"/>
      <w:bookmarkStart w:id="617" w:name="_Toc267251513"/>
      <w:r>
        <w:rPr>
          <w:rFonts w:ascii="Times New Roman" w:hAnsi="Times New Roman" w:eastAsia="黑体"/>
          <w:b w:val="0"/>
          <w:color w:val="000000"/>
          <w:sz w:val="24"/>
          <w:szCs w:val="24"/>
        </w:rPr>
        <w:t>15. 缺陷责任期与保修</w:t>
      </w:r>
      <w:bookmarkEnd w:id="58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88"/>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89"/>
    <w:bookmarkEnd w:id="590"/>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1"/>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bookmarkEnd w:id="592"/>
    <w:bookmarkEnd w:id="593"/>
    <w:bookmarkEnd w:id="594"/>
    <w:bookmarkEnd w:id="595"/>
    <w:p>
      <w:pPr>
        <w:pStyle w:val="9"/>
        <w:spacing w:line="480" w:lineRule="exact"/>
        <w:rPr>
          <w:rFonts w:ascii="Times New Roman" w:hAnsi="Times New Roman" w:eastAsia="黑体"/>
          <w:b w:val="0"/>
          <w:color w:val="000000"/>
          <w:sz w:val="24"/>
          <w:szCs w:val="24"/>
        </w:rPr>
      </w:pPr>
      <w:bookmarkStart w:id="618" w:name="_Toc351203648"/>
      <w:bookmarkStart w:id="619" w:name="_Toc280868717"/>
      <w:bookmarkStart w:id="620" w:name="_Toc280868718"/>
      <w:r>
        <w:rPr>
          <w:rFonts w:ascii="Times New Roman" w:hAnsi="Times New Roman" w:eastAsia="黑体"/>
          <w:b w:val="0"/>
          <w:color w:val="000000"/>
          <w:sz w:val="24"/>
          <w:szCs w:val="24"/>
        </w:rPr>
        <w:t>16. 违约</w:t>
      </w:r>
      <w:bookmarkEnd w:id="61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621" w:name="_Toc351203649"/>
      <w:r>
        <w:rPr>
          <w:rFonts w:ascii="Times New Roman" w:hAnsi="Times New Roman" w:eastAsia="黑体"/>
          <w:b w:val="0"/>
          <w:color w:val="000000"/>
          <w:sz w:val="24"/>
          <w:szCs w:val="24"/>
        </w:rPr>
        <w:t>17. 不可抗力</w:t>
      </w:r>
      <w:bookmarkEnd w:id="619"/>
      <w:bookmarkEnd w:id="621"/>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9"/>
        <w:spacing w:line="480" w:lineRule="exact"/>
        <w:rPr>
          <w:rFonts w:ascii="Times New Roman" w:hAnsi="Times New Roman" w:eastAsia="黑体"/>
          <w:b w:val="0"/>
          <w:color w:val="000000"/>
          <w:sz w:val="24"/>
          <w:szCs w:val="24"/>
        </w:rPr>
      </w:pPr>
      <w:bookmarkStart w:id="622" w:name="_Toc351203650"/>
      <w:r>
        <w:rPr>
          <w:rFonts w:ascii="Times New Roman" w:hAnsi="Times New Roman" w:eastAsia="黑体"/>
          <w:b w:val="0"/>
          <w:color w:val="000000"/>
          <w:sz w:val="24"/>
          <w:szCs w:val="24"/>
        </w:rPr>
        <w:t>18. 保险</w:t>
      </w:r>
      <w:bookmarkEnd w:id="622"/>
    </w:p>
    <w:bookmarkEnd w:id="620"/>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bookmarkEnd w:id="596"/>
    <w:bookmarkEnd w:id="597"/>
    <w:bookmarkEnd w:id="598"/>
    <w:bookmarkEnd w:id="599"/>
    <w:bookmarkEnd w:id="600"/>
    <w:bookmarkEnd w:id="601"/>
    <w:bookmarkEnd w:id="602"/>
    <w:bookmarkEnd w:id="603"/>
    <w:bookmarkEnd w:id="604"/>
    <w:bookmarkEnd w:id="605"/>
    <w:bookmarkEnd w:id="606"/>
    <w:bookmarkEnd w:id="607"/>
    <w:p>
      <w:pPr>
        <w:pStyle w:val="9"/>
        <w:spacing w:line="480" w:lineRule="exact"/>
        <w:rPr>
          <w:rFonts w:ascii="Times New Roman" w:hAnsi="Times New Roman" w:eastAsia="黑体"/>
          <w:b w:val="0"/>
          <w:color w:val="000000"/>
          <w:sz w:val="24"/>
          <w:szCs w:val="24"/>
        </w:rPr>
      </w:pPr>
      <w:bookmarkStart w:id="623" w:name="_Toc351203651"/>
      <w:r>
        <w:rPr>
          <w:rFonts w:ascii="Times New Roman" w:hAnsi="Times New Roman" w:eastAsia="黑体"/>
          <w:b w:val="0"/>
          <w:color w:val="000000"/>
          <w:sz w:val="24"/>
          <w:szCs w:val="24"/>
        </w:rPr>
        <w:t>20. 争议解决</w:t>
      </w:r>
      <w:bookmarkEnd w:id="623"/>
    </w:p>
    <w:bookmarkEnd w:id="608"/>
    <w:bookmarkEnd w:id="609"/>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0"/>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 xml:space="preserve">定：。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1"/>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2"/>
      <w:bookmarkEnd w:id="613"/>
      <w:bookmarkEnd w:id="614"/>
      <w:bookmarkEnd w:id="615"/>
      <w:bookmarkEnd w:id="616"/>
      <w:bookmarkEnd w:id="617"/>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（2）《建设工程工程量清单计价规范》（GB50500-2013）、《河南省市政工程预算定额》（HA A1-31-2016）及</w:t>
      </w:r>
      <w:r>
        <w:rPr>
          <w:rFonts w:hint="eastAsia" w:hAnsi="宋体" w:cs="宋体"/>
          <w:sz w:val="24"/>
          <w:lang w:eastAsia="zh-CN"/>
        </w:rPr>
        <w:t>其有</w:t>
      </w:r>
      <w:r>
        <w:rPr>
          <w:rFonts w:hint="eastAsia" w:hAnsi="宋体" w:cs="宋体"/>
          <w:sz w:val="24"/>
        </w:rPr>
        <w:t>关配套文件；</w:t>
      </w:r>
    </w:p>
    <w:p>
      <w:pPr>
        <w:spacing w:line="440" w:lineRule="exact"/>
        <w:ind w:firstLine="240" w:firstLineChars="100"/>
        <w:rPr>
          <w:rFonts w:hAnsi="宋体" w:cs="宋体"/>
          <w:sz w:val="24"/>
        </w:rPr>
      </w:pPr>
      <w:r>
        <w:rPr>
          <w:rFonts w:hint="eastAsia" w:hAnsi="宋体" w:cs="宋体"/>
          <w:sz w:val="24"/>
        </w:rPr>
        <w:t>（3）</w:t>
      </w:r>
      <w:r>
        <w:rPr>
          <w:rFonts w:hint="eastAsia" w:hAnsi="宋体" w:cs="宋体"/>
          <w:sz w:val="24"/>
          <w:lang w:eastAsia="zh-CN"/>
        </w:rPr>
        <w:t>主要</w:t>
      </w:r>
      <w:r>
        <w:rPr>
          <w:rFonts w:hint="eastAsia" w:hAnsi="宋体" w:cs="宋体"/>
          <w:sz w:val="24"/>
        </w:rPr>
        <w:t>材料</w:t>
      </w:r>
      <w:r>
        <w:rPr>
          <w:rFonts w:hint="eastAsia" w:hAnsi="宋体" w:cs="宋体"/>
          <w:sz w:val="24"/>
          <w:lang w:eastAsia="zh-CN"/>
        </w:rPr>
        <w:t>价</w:t>
      </w:r>
      <w:r>
        <w:rPr>
          <w:rFonts w:hint="eastAsia" w:hAnsi="宋体" w:cs="宋体"/>
          <w:sz w:val="24"/>
        </w:rPr>
        <w:t>依据2019年《许昌工程造价信息》第四期材</w:t>
      </w:r>
      <w:r>
        <w:rPr>
          <w:rFonts w:hint="eastAsia" w:hAnsi="宋体" w:cs="宋体"/>
          <w:sz w:val="24"/>
          <w:lang w:eastAsia="zh-CN"/>
        </w:rPr>
        <w:t>料价格及市场询价</w:t>
      </w:r>
      <w:r>
        <w:rPr>
          <w:rFonts w:hint="eastAsia" w:hAnsi="宋体" w:cs="宋体"/>
          <w:sz w:val="24"/>
        </w:rPr>
        <w:t>；</w:t>
      </w:r>
    </w:p>
    <w:p>
      <w:pPr>
        <w:spacing w:line="440" w:lineRule="exact"/>
        <w:ind w:firstLine="240" w:firstLineChars="100"/>
        <w:rPr>
          <w:rFonts w:hAnsi="宋体" w:cs="宋体"/>
          <w:sz w:val="24"/>
        </w:rPr>
      </w:pPr>
      <w:r>
        <w:rPr>
          <w:rFonts w:hint="eastAsia" w:hAnsi="宋体" w:cs="宋体"/>
          <w:sz w:val="24"/>
        </w:rPr>
        <w:t>（4）</w:t>
      </w:r>
      <w:r>
        <w:rPr>
          <w:rFonts w:hint="eastAsia" w:hAnsi="宋体" w:cs="宋体"/>
          <w:sz w:val="24"/>
          <w:lang w:eastAsia="zh-CN"/>
        </w:rPr>
        <w:t>价格指数依据</w:t>
      </w:r>
      <w:r>
        <w:rPr>
          <w:rFonts w:hint="eastAsia" w:hAnsi="宋体" w:cs="宋体"/>
          <w:sz w:val="24"/>
        </w:rPr>
        <w:t>豫建标定【2019】26号文</w:t>
      </w:r>
      <w:r>
        <w:rPr>
          <w:rFonts w:hint="eastAsia" w:hAnsi="宋体" w:cs="宋体"/>
          <w:sz w:val="24"/>
          <w:lang w:eastAsia="zh-CN"/>
        </w:rPr>
        <w:t>发布的</w:t>
      </w:r>
      <w:r>
        <w:rPr>
          <w:rFonts w:hint="eastAsia" w:hAnsi="宋体" w:cs="宋体"/>
          <w:sz w:val="24"/>
          <w:lang w:val="en-US" w:eastAsia="zh-CN"/>
        </w:rPr>
        <w:t>2019年1-6月价格指数进行调整</w:t>
      </w:r>
      <w:r>
        <w:rPr>
          <w:rFonts w:hint="eastAsia" w:hAnsi="宋体" w:cs="宋体"/>
          <w:sz w:val="24"/>
        </w:rPr>
        <w:t>。</w:t>
      </w:r>
    </w:p>
    <w:p>
      <w:pPr>
        <w:spacing w:line="440" w:lineRule="exact"/>
        <w:ind w:firstLine="240" w:firstLineChars="100"/>
        <w:rPr>
          <w:rFonts w:hAnsi="宋体" w:cs="宋体"/>
          <w:sz w:val="24"/>
        </w:rPr>
      </w:pPr>
      <w:r>
        <w:rPr>
          <w:rFonts w:hint="eastAsia" w:hAnsi="宋体" w:cs="宋体"/>
          <w:sz w:val="24"/>
        </w:rPr>
        <w:t>（5）税金按</w:t>
      </w:r>
      <w:r>
        <w:rPr>
          <w:rFonts w:hint="eastAsia" w:hAnsi="宋体" w:cs="宋体"/>
          <w:sz w:val="24"/>
          <w:lang w:eastAsia="zh-CN"/>
        </w:rPr>
        <w:t>照建办标函</w:t>
      </w:r>
      <w:r>
        <w:rPr>
          <w:rFonts w:hint="eastAsia" w:hAnsi="宋体" w:cs="宋体"/>
          <w:sz w:val="24"/>
        </w:rPr>
        <w:t>【2019】</w:t>
      </w:r>
      <w:r>
        <w:rPr>
          <w:rFonts w:hint="eastAsia" w:hAnsi="宋体" w:cs="宋体"/>
          <w:sz w:val="24"/>
          <w:lang w:val="en-US" w:eastAsia="zh-CN"/>
        </w:rPr>
        <w:t>193号文</w:t>
      </w:r>
      <w:r>
        <w:rPr>
          <w:rFonts w:hint="eastAsia" w:hAnsi="宋体" w:cs="宋体"/>
          <w:sz w:val="24"/>
        </w:rPr>
        <w:t>9%计入</w:t>
      </w:r>
      <w:r>
        <w:rPr>
          <w:rFonts w:hint="eastAsia" w:hAnsi="宋体" w:cs="宋体"/>
          <w:sz w:val="24"/>
          <w:lang w:eastAsia="zh-CN"/>
        </w:rPr>
        <w:t>。</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7"/>
    <w:p>
      <w:pPr>
        <w:autoSpaceDE w:val="0"/>
        <w:autoSpaceDN w:val="0"/>
        <w:adjustRightInd w:val="0"/>
        <w:outlineLvl w:val="0"/>
        <w:rPr>
          <w:rFonts w:hAnsi="宋体" w:cs="黑体"/>
          <w:b/>
          <w:sz w:val="36"/>
          <w:szCs w:val="36"/>
        </w:rPr>
      </w:pPr>
      <w:bookmarkStart w:id="624" w:name="_Toc278443522"/>
    </w:p>
    <w:p>
      <w:pPr>
        <w:autoSpaceDE w:val="0"/>
        <w:autoSpaceDN w:val="0"/>
        <w:adjustRightInd w:val="0"/>
        <w:jc w:val="center"/>
        <w:outlineLvl w:val="0"/>
        <w:rPr>
          <w:rFonts w:hAnsi="宋体" w:cs="黑体"/>
          <w:b/>
          <w:sz w:val="36"/>
          <w:szCs w:val="36"/>
        </w:rPr>
      </w:pPr>
    </w:p>
    <w:p>
      <w:pPr>
        <w:pStyle w:val="2"/>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4"/>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5"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5"/>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auto"/>
          <w:sz w:val="52"/>
          <w:szCs w:val="22"/>
        </w:rPr>
      </w:pPr>
      <w:r>
        <w:rPr>
          <w:rFonts w:hint="eastAsia" w:hAnsi="宋体" w:cs="宋体"/>
          <w:bCs/>
          <w:color w:val="auto"/>
          <w:sz w:val="32"/>
          <w:szCs w:val="22"/>
        </w:rPr>
        <w:t>建安建工公字〔2019〕</w:t>
      </w:r>
      <w:r>
        <w:rPr>
          <w:rFonts w:hint="eastAsia" w:hAnsi="宋体" w:cs="宋体"/>
          <w:bCs/>
          <w:color w:val="auto"/>
          <w:sz w:val="32"/>
          <w:szCs w:val="22"/>
          <w:lang w:val="en-US" w:eastAsia="zh-CN"/>
        </w:rPr>
        <w:t>231</w:t>
      </w:r>
      <w:r>
        <w:rPr>
          <w:rFonts w:hint="eastAsia" w:hAnsi="宋体" w:cs="宋体"/>
          <w:bCs/>
          <w:color w:val="auto"/>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jc w:val="center"/>
        <w:rPr>
          <w:rFonts w:hAnsi="宋体"/>
          <w:color w:val="auto"/>
          <w:sz w:val="23"/>
          <w:u w:val="single"/>
        </w:rPr>
      </w:pP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auto"/>
          <w:sz w:val="52"/>
          <w:szCs w:val="22"/>
        </w:rPr>
      </w:pPr>
      <w:r>
        <w:rPr>
          <w:rFonts w:hint="eastAsia" w:hAnsi="宋体" w:cs="宋体"/>
          <w:bCs/>
          <w:color w:val="auto"/>
          <w:sz w:val="32"/>
          <w:szCs w:val="22"/>
        </w:rPr>
        <w:t>建安建工公字〔2019〕</w:t>
      </w:r>
      <w:r>
        <w:rPr>
          <w:rFonts w:hint="eastAsia" w:hAnsi="宋体" w:cs="宋体"/>
          <w:bCs/>
          <w:color w:val="auto"/>
          <w:sz w:val="32"/>
          <w:szCs w:val="22"/>
          <w:lang w:val="en-US" w:eastAsia="zh-CN"/>
        </w:rPr>
        <w:t>231</w:t>
      </w:r>
      <w:r>
        <w:rPr>
          <w:rFonts w:hint="eastAsia" w:hAnsi="宋体" w:cs="宋体"/>
          <w:bCs/>
          <w:color w:val="auto"/>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10"/>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10"/>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pStyle w:val="2"/>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pStyle w:val="2"/>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6"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7"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7"/>
    </w:p>
    <w:tbl>
      <w:tblPr>
        <w:tblStyle w:val="30"/>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级别</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职称</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55"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96"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sz w:val="24"/>
              </w:rPr>
            </w:pPr>
          </w:p>
        </w:tc>
        <w:tc>
          <w:tcPr>
            <w:tcW w:w="6251"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480" w:firstLineChars="200"/>
              <w:rPr>
                <w:rFonts w:hint="eastAsia" w:ascii="新宋体" w:hAnsi="新宋体" w:eastAsia="新宋体"/>
                <w:sz w:val="24"/>
                <w:szCs w:val="22"/>
              </w:rPr>
            </w:pPr>
            <w:r>
              <w:rPr>
                <w:rFonts w:hint="eastAsia" w:ascii="新宋体" w:hAnsi="新宋体" w:eastAsia="新宋体"/>
                <w:sz w:val="24"/>
                <w:szCs w:val="22"/>
              </w:rPr>
              <w:t>规费RMB￥：元</w:t>
            </w:r>
          </w:p>
          <w:p>
            <w:pPr>
              <w:spacing w:line="480" w:lineRule="exact"/>
              <w:ind w:firstLine="480" w:firstLineChars="200"/>
              <w:rPr>
                <w:rFonts w:hint="eastAsia" w:ascii="新宋体" w:hAnsi="新宋体" w:eastAsia="新宋体"/>
                <w:sz w:val="24"/>
                <w:szCs w:val="22"/>
              </w:rPr>
            </w:pPr>
            <w:r>
              <w:rPr>
                <w:rFonts w:hint="eastAsia" w:ascii="新宋体" w:hAnsi="新宋体" w:eastAsia="新宋体"/>
                <w:sz w:val="24"/>
                <w:szCs w:val="22"/>
              </w:rPr>
              <w:t>税金RMB￥：元</w:t>
            </w:r>
          </w:p>
          <w:p>
            <w:pPr>
              <w:spacing w:line="480" w:lineRule="exact"/>
              <w:ind w:firstLine="480" w:firstLineChars="200"/>
              <w:rPr>
                <w:rFonts w:ascii="新宋体" w:hAnsi="新宋体" w:eastAsia="新宋体"/>
                <w:sz w:val="24"/>
              </w:rPr>
            </w:pPr>
            <w:r>
              <w:rPr>
                <w:rFonts w:hint="eastAsia" w:ascii="新宋体" w:hAnsi="新宋体" w:eastAsia="新宋体"/>
                <w:sz w:val="24"/>
                <w:szCs w:val="22"/>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51"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51"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9180"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6"/>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8" w:name="_Toc271787731"/>
      <w:r>
        <w:rPr>
          <w:rFonts w:hint="eastAsia" w:ascii="黑体" w:hAnsi="新宋体" w:eastAsia="黑体" w:cs="黑体"/>
          <w:sz w:val="28"/>
          <w:szCs w:val="28"/>
        </w:rPr>
        <w:t>（一）法定代表人身份证明</w:t>
      </w:r>
      <w:bookmarkEnd w:id="628"/>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2"/>
      <w:r>
        <w:rPr>
          <w:rFonts w:hint="eastAsia" w:ascii="黑体" w:hAnsi="新宋体" w:eastAsia="黑体" w:cs="黑体"/>
          <w:sz w:val="28"/>
          <w:szCs w:val="28"/>
        </w:rPr>
        <w:t>（二）授权委托书</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0"/>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auto"/>
          <w:sz w:val="52"/>
          <w:szCs w:val="22"/>
        </w:rPr>
      </w:pPr>
      <w:r>
        <w:rPr>
          <w:rFonts w:hint="eastAsia" w:hAnsi="宋体" w:cs="宋体"/>
          <w:bCs/>
          <w:color w:val="auto"/>
          <w:sz w:val="32"/>
          <w:szCs w:val="22"/>
        </w:rPr>
        <w:t>建安建工公字〔2019〕</w:t>
      </w:r>
      <w:r>
        <w:rPr>
          <w:rFonts w:hint="eastAsia" w:hAnsi="宋体" w:cs="宋体"/>
          <w:bCs/>
          <w:color w:val="auto"/>
          <w:sz w:val="32"/>
          <w:szCs w:val="22"/>
          <w:lang w:val="en-US" w:eastAsia="zh-CN"/>
        </w:rPr>
        <w:t>231</w:t>
      </w:r>
      <w:r>
        <w:rPr>
          <w:rFonts w:hint="eastAsia" w:hAnsi="宋体" w:cs="宋体"/>
          <w:bCs/>
          <w:color w:val="auto"/>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jc w:val="center"/>
        <w:rPr>
          <w:rFonts w:hAnsi="宋体"/>
          <w:color w:val="auto"/>
          <w:sz w:val="23"/>
          <w:u w:val="single"/>
        </w:rPr>
      </w:pP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roman"/>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56C0A9"/>
    <w:multiLevelType w:val="singleLevel"/>
    <w:tmpl w:val="EC56C0A9"/>
    <w:lvl w:ilvl="0" w:tentative="0">
      <w:start w:val="1"/>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4CAAF2B"/>
    <w:multiLevelType w:val="singleLevel"/>
    <w:tmpl w:val="04CAAF2B"/>
    <w:lvl w:ilvl="0" w:tentative="0">
      <w:start w:val="1"/>
      <w:numFmt w:val="decimal"/>
      <w:suff w:val="nothing"/>
      <w:lvlText w:val="%1、"/>
      <w:lvlJc w:val="left"/>
    </w:lvl>
  </w:abstractNum>
  <w:abstractNum w:abstractNumId="3">
    <w:nsid w:val="2CC990DF"/>
    <w:multiLevelType w:val="singleLevel"/>
    <w:tmpl w:val="2CC990DF"/>
    <w:lvl w:ilvl="0" w:tentative="0">
      <w:start w:val="1"/>
      <w:numFmt w:val="decimal"/>
      <w:suff w:val="nothing"/>
      <w:lvlText w:val="%1、"/>
      <w:lvlJc w:val="left"/>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A73B3EB"/>
    <w:multiLevelType w:val="singleLevel"/>
    <w:tmpl w:val="5A73B3EB"/>
    <w:lvl w:ilvl="0" w:tentative="0">
      <w:start w:val="1"/>
      <w:numFmt w:val="chineseCounting"/>
      <w:suff w:val="nothing"/>
      <w:lvlText w:val="%1、"/>
      <w:lvlJc w:val="left"/>
    </w:lvl>
  </w:abstractNum>
  <w:abstractNum w:abstractNumId="7">
    <w:nsid w:val="5A9F875C"/>
    <w:multiLevelType w:val="singleLevel"/>
    <w:tmpl w:val="5A9F875C"/>
    <w:lvl w:ilvl="0" w:tentative="0">
      <w:start w:val="1"/>
      <w:numFmt w:val="chineseCounting"/>
      <w:suff w:val="space"/>
      <w:lvlText w:val="第%1章"/>
      <w:lvlJc w:val="left"/>
    </w:lvl>
  </w:abstractNum>
  <w:abstractNum w:abstractNumId="8">
    <w:nsid w:val="690FD563"/>
    <w:multiLevelType w:val="singleLevel"/>
    <w:tmpl w:val="690FD563"/>
    <w:lvl w:ilvl="0" w:tentative="0">
      <w:start w:val="2"/>
      <w:numFmt w:val="decimal"/>
      <w:suff w:val="nothing"/>
      <w:lvlText w:val="%1）"/>
      <w:lvlJc w:val="left"/>
    </w:lvl>
  </w:abstractNum>
  <w:abstractNum w:abstractNumId="9">
    <w:nsid w:val="7A188572"/>
    <w:multiLevelType w:val="singleLevel"/>
    <w:tmpl w:val="7A188572"/>
    <w:lvl w:ilvl="0" w:tentative="0">
      <w:start w:val="1"/>
      <w:numFmt w:val="chineseCounting"/>
      <w:suff w:val="space"/>
      <w:lvlText w:val="第%1章"/>
      <w:lvlJc w:val="left"/>
      <w:rPr>
        <w:rFonts w:hint="eastAsia"/>
      </w:rPr>
    </w:lvl>
  </w:abstractNum>
  <w:num w:numId="1">
    <w:abstractNumId w:val="9"/>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04071"/>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0579D"/>
    <w:rsid w:val="00141371"/>
    <w:rsid w:val="00154C12"/>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437AB"/>
    <w:rsid w:val="0025532F"/>
    <w:rsid w:val="00262141"/>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3CA9"/>
    <w:rsid w:val="00386B3C"/>
    <w:rsid w:val="00393239"/>
    <w:rsid w:val="003B04D0"/>
    <w:rsid w:val="003B483B"/>
    <w:rsid w:val="003C6656"/>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4364"/>
    <w:rsid w:val="005F5DB4"/>
    <w:rsid w:val="0061138F"/>
    <w:rsid w:val="0061516E"/>
    <w:rsid w:val="006321AA"/>
    <w:rsid w:val="00661C56"/>
    <w:rsid w:val="00670388"/>
    <w:rsid w:val="006A3BD6"/>
    <w:rsid w:val="006C58EE"/>
    <w:rsid w:val="006D2897"/>
    <w:rsid w:val="006D5BAE"/>
    <w:rsid w:val="006E42B1"/>
    <w:rsid w:val="006F2F1D"/>
    <w:rsid w:val="00711825"/>
    <w:rsid w:val="00715420"/>
    <w:rsid w:val="00715CEE"/>
    <w:rsid w:val="00716966"/>
    <w:rsid w:val="007258B7"/>
    <w:rsid w:val="00751460"/>
    <w:rsid w:val="007545F3"/>
    <w:rsid w:val="00760E93"/>
    <w:rsid w:val="0076250B"/>
    <w:rsid w:val="007675A2"/>
    <w:rsid w:val="007A249B"/>
    <w:rsid w:val="007C65BC"/>
    <w:rsid w:val="007E6E4C"/>
    <w:rsid w:val="007F00E2"/>
    <w:rsid w:val="008100C7"/>
    <w:rsid w:val="0081250A"/>
    <w:rsid w:val="0081767F"/>
    <w:rsid w:val="00827E47"/>
    <w:rsid w:val="008353F2"/>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250C"/>
    <w:rsid w:val="00B33A32"/>
    <w:rsid w:val="00B6036D"/>
    <w:rsid w:val="00B6140C"/>
    <w:rsid w:val="00B64709"/>
    <w:rsid w:val="00B84440"/>
    <w:rsid w:val="00B93564"/>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C5CD7"/>
    <w:rsid w:val="00DE66BC"/>
    <w:rsid w:val="00DF7149"/>
    <w:rsid w:val="00E1107C"/>
    <w:rsid w:val="00E26CD1"/>
    <w:rsid w:val="00E44B4D"/>
    <w:rsid w:val="00E52A0A"/>
    <w:rsid w:val="00E538F9"/>
    <w:rsid w:val="00E66398"/>
    <w:rsid w:val="00EA5008"/>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E6973"/>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43AAA"/>
    <w:rsid w:val="02DD27BB"/>
    <w:rsid w:val="02E87DC4"/>
    <w:rsid w:val="02F679FE"/>
    <w:rsid w:val="02FD37F2"/>
    <w:rsid w:val="03156621"/>
    <w:rsid w:val="03163FAD"/>
    <w:rsid w:val="03190EC3"/>
    <w:rsid w:val="031A2A62"/>
    <w:rsid w:val="03213611"/>
    <w:rsid w:val="032248BA"/>
    <w:rsid w:val="032359AD"/>
    <w:rsid w:val="033B664C"/>
    <w:rsid w:val="033E4D02"/>
    <w:rsid w:val="034C0ABC"/>
    <w:rsid w:val="034E4787"/>
    <w:rsid w:val="03500B36"/>
    <w:rsid w:val="0364090D"/>
    <w:rsid w:val="036647A3"/>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D24854"/>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521D85"/>
    <w:rsid w:val="05535D92"/>
    <w:rsid w:val="055E72FF"/>
    <w:rsid w:val="05674392"/>
    <w:rsid w:val="056C4502"/>
    <w:rsid w:val="056E2781"/>
    <w:rsid w:val="056E5C1A"/>
    <w:rsid w:val="057D235D"/>
    <w:rsid w:val="058751AA"/>
    <w:rsid w:val="0596338A"/>
    <w:rsid w:val="05A07B6E"/>
    <w:rsid w:val="05B01A2F"/>
    <w:rsid w:val="05B2033B"/>
    <w:rsid w:val="05B2313E"/>
    <w:rsid w:val="05B47AC6"/>
    <w:rsid w:val="05C957DB"/>
    <w:rsid w:val="05D011E8"/>
    <w:rsid w:val="05D3476D"/>
    <w:rsid w:val="05D63571"/>
    <w:rsid w:val="05E655CF"/>
    <w:rsid w:val="05EC14DC"/>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5C5AC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BC5A61"/>
    <w:rsid w:val="0ABE5AFE"/>
    <w:rsid w:val="0ABF36A1"/>
    <w:rsid w:val="0AC709E5"/>
    <w:rsid w:val="0ACB45ED"/>
    <w:rsid w:val="0AD81CA6"/>
    <w:rsid w:val="0AD97181"/>
    <w:rsid w:val="0AE475BC"/>
    <w:rsid w:val="0AE9299A"/>
    <w:rsid w:val="0AF05433"/>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22C53"/>
    <w:rsid w:val="0BD306C1"/>
    <w:rsid w:val="0BD31DE1"/>
    <w:rsid w:val="0BD629CF"/>
    <w:rsid w:val="0BD63168"/>
    <w:rsid w:val="0BE926FE"/>
    <w:rsid w:val="0BF0362D"/>
    <w:rsid w:val="0BF15254"/>
    <w:rsid w:val="0BF607AA"/>
    <w:rsid w:val="0C057449"/>
    <w:rsid w:val="0C071F7A"/>
    <w:rsid w:val="0C123464"/>
    <w:rsid w:val="0C2F476E"/>
    <w:rsid w:val="0C355D3B"/>
    <w:rsid w:val="0C3B40A5"/>
    <w:rsid w:val="0C49492D"/>
    <w:rsid w:val="0C511332"/>
    <w:rsid w:val="0C5C550B"/>
    <w:rsid w:val="0C656A4B"/>
    <w:rsid w:val="0C71462B"/>
    <w:rsid w:val="0C75458E"/>
    <w:rsid w:val="0C934DB6"/>
    <w:rsid w:val="0C995BDF"/>
    <w:rsid w:val="0CA273F1"/>
    <w:rsid w:val="0CB11936"/>
    <w:rsid w:val="0CC27407"/>
    <w:rsid w:val="0CCC5C04"/>
    <w:rsid w:val="0CD2047B"/>
    <w:rsid w:val="0CDB2A0A"/>
    <w:rsid w:val="0CDB7DFA"/>
    <w:rsid w:val="0CDC66FE"/>
    <w:rsid w:val="0CE0722E"/>
    <w:rsid w:val="0CE12681"/>
    <w:rsid w:val="0CEF24BA"/>
    <w:rsid w:val="0D032F9E"/>
    <w:rsid w:val="0D065361"/>
    <w:rsid w:val="0D0D6A84"/>
    <w:rsid w:val="0D0E21C5"/>
    <w:rsid w:val="0D245BED"/>
    <w:rsid w:val="0D2A3CB9"/>
    <w:rsid w:val="0D2E7CDE"/>
    <w:rsid w:val="0D31472A"/>
    <w:rsid w:val="0D347316"/>
    <w:rsid w:val="0D51347C"/>
    <w:rsid w:val="0D52544D"/>
    <w:rsid w:val="0D631BA2"/>
    <w:rsid w:val="0D697A40"/>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4C91"/>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43A3C"/>
    <w:rsid w:val="10762B17"/>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97FCC"/>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C0600D"/>
    <w:rsid w:val="12C77051"/>
    <w:rsid w:val="12C95AA1"/>
    <w:rsid w:val="12D55ED5"/>
    <w:rsid w:val="12D644C8"/>
    <w:rsid w:val="12D928D1"/>
    <w:rsid w:val="12DF1D8A"/>
    <w:rsid w:val="12E073E8"/>
    <w:rsid w:val="12EE7D04"/>
    <w:rsid w:val="12F17637"/>
    <w:rsid w:val="12FA1FBA"/>
    <w:rsid w:val="13040A65"/>
    <w:rsid w:val="1306646C"/>
    <w:rsid w:val="132523FC"/>
    <w:rsid w:val="13396B15"/>
    <w:rsid w:val="1369407F"/>
    <w:rsid w:val="136A0D4C"/>
    <w:rsid w:val="136A43D4"/>
    <w:rsid w:val="136B4255"/>
    <w:rsid w:val="13701D45"/>
    <w:rsid w:val="13704865"/>
    <w:rsid w:val="137A15F9"/>
    <w:rsid w:val="13A65EBB"/>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55695"/>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70A83"/>
    <w:rsid w:val="151E3969"/>
    <w:rsid w:val="15282B11"/>
    <w:rsid w:val="152A5B52"/>
    <w:rsid w:val="15303351"/>
    <w:rsid w:val="15343A2B"/>
    <w:rsid w:val="153D3AF3"/>
    <w:rsid w:val="153E0259"/>
    <w:rsid w:val="15432082"/>
    <w:rsid w:val="154A550F"/>
    <w:rsid w:val="154C5FD5"/>
    <w:rsid w:val="15523C6B"/>
    <w:rsid w:val="15532CCA"/>
    <w:rsid w:val="156311D8"/>
    <w:rsid w:val="15656850"/>
    <w:rsid w:val="156B5715"/>
    <w:rsid w:val="15723C5B"/>
    <w:rsid w:val="157B5D24"/>
    <w:rsid w:val="157B72EF"/>
    <w:rsid w:val="158D068A"/>
    <w:rsid w:val="158D4130"/>
    <w:rsid w:val="15911664"/>
    <w:rsid w:val="15993788"/>
    <w:rsid w:val="1599417E"/>
    <w:rsid w:val="159B180C"/>
    <w:rsid w:val="15B73BFA"/>
    <w:rsid w:val="15BE121B"/>
    <w:rsid w:val="15C6091E"/>
    <w:rsid w:val="15CD667A"/>
    <w:rsid w:val="15DE28B3"/>
    <w:rsid w:val="15EB0836"/>
    <w:rsid w:val="16063D42"/>
    <w:rsid w:val="1608380C"/>
    <w:rsid w:val="16135DC2"/>
    <w:rsid w:val="161530BC"/>
    <w:rsid w:val="16180A85"/>
    <w:rsid w:val="161E22D2"/>
    <w:rsid w:val="163248E1"/>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7DFC"/>
    <w:rsid w:val="17364AED"/>
    <w:rsid w:val="174342F4"/>
    <w:rsid w:val="174972AA"/>
    <w:rsid w:val="176150E8"/>
    <w:rsid w:val="177E7E5E"/>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D0AEC"/>
    <w:rsid w:val="18A80767"/>
    <w:rsid w:val="18AD14A5"/>
    <w:rsid w:val="18B6371F"/>
    <w:rsid w:val="18BB5B10"/>
    <w:rsid w:val="18D5153F"/>
    <w:rsid w:val="18DD6A2D"/>
    <w:rsid w:val="18E72DBC"/>
    <w:rsid w:val="18EE4A1B"/>
    <w:rsid w:val="18F616EF"/>
    <w:rsid w:val="18FF026F"/>
    <w:rsid w:val="190C3ACE"/>
    <w:rsid w:val="19112AB7"/>
    <w:rsid w:val="191A476F"/>
    <w:rsid w:val="19211BB6"/>
    <w:rsid w:val="192C22CA"/>
    <w:rsid w:val="192D5227"/>
    <w:rsid w:val="19376D41"/>
    <w:rsid w:val="19392087"/>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16D15"/>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5D7D11"/>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D00278C"/>
    <w:rsid w:val="1D135A95"/>
    <w:rsid w:val="1D140A55"/>
    <w:rsid w:val="1D1934A4"/>
    <w:rsid w:val="1D1A1617"/>
    <w:rsid w:val="1D236B78"/>
    <w:rsid w:val="1D2A793C"/>
    <w:rsid w:val="1D3869FB"/>
    <w:rsid w:val="1D3C3646"/>
    <w:rsid w:val="1D44451B"/>
    <w:rsid w:val="1D4C75AC"/>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E006F"/>
    <w:rsid w:val="1F2B290F"/>
    <w:rsid w:val="1F366C08"/>
    <w:rsid w:val="1F385699"/>
    <w:rsid w:val="1F3A315D"/>
    <w:rsid w:val="1F3A3294"/>
    <w:rsid w:val="1F4479BB"/>
    <w:rsid w:val="1F483A7A"/>
    <w:rsid w:val="1F4A5920"/>
    <w:rsid w:val="1F591517"/>
    <w:rsid w:val="1F5C488D"/>
    <w:rsid w:val="1F66155A"/>
    <w:rsid w:val="1F7034ED"/>
    <w:rsid w:val="1F7E6058"/>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56420"/>
    <w:rsid w:val="21873316"/>
    <w:rsid w:val="2192795E"/>
    <w:rsid w:val="21940F51"/>
    <w:rsid w:val="219F1645"/>
    <w:rsid w:val="21A35923"/>
    <w:rsid w:val="21B14A7F"/>
    <w:rsid w:val="21B8400D"/>
    <w:rsid w:val="21DF071A"/>
    <w:rsid w:val="21E57530"/>
    <w:rsid w:val="21E73D68"/>
    <w:rsid w:val="21ED699C"/>
    <w:rsid w:val="21F93AE4"/>
    <w:rsid w:val="2202624C"/>
    <w:rsid w:val="22074A6D"/>
    <w:rsid w:val="221F345A"/>
    <w:rsid w:val="22214561"/>
    <w:rsid w:val="2223235D"/>
    <w:rsid w:val="22286427"/>
    <w:rsid w:val="22397D8C"/>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F581C"/>
    <w:rsid w:val="23273BD2"/>
    <w:rsid w:val="23350AE4"/>
    <w:rsid w:val="233E3A9F"/>
    <w:rsid w:val="23412A03"/>
    <w:rsid w:val="23457434"/>
    <w:rsid w:val="234C745B"/>
    <w:rsid w:val="235B7F38"/>
    <w:rsid w:val="23606E4D"/>
    <w:rsid w:val="236503B6"/>
    <w:rsid w:val="237822EC"/>
    <w:rsid w:val="2382385E"/>
    <w:rsid w:val="23850B41"/>
    <w:rsid w:val="239F2CDA"/>
    <w:rsid w:val="23AA5BAD"/>
    <w:rsid w:val="23B15280"/>
    <w:rsid w:val="23B43BD2"/>
    <w:rsid w:val="23B74D20"/>
    <w:rsid w:val="23BA6F2A"/>
    <w:rsid w:val="23C0578B"/>
    <w:rsid w:val="23E63240"/>
    <w:rsid w:val="23ED5BF9"/>
    <w:rsid w:val="23FD080D"/>
    <w:rsid w:val="23FD3B1C"/>
    <w:rsid w:val="23FE4E88"/>
    <w:rsid w:val="23FE4EB2"/>
    <w:rsid w:val="240842B1"/>
    <w:rsid w:val="240C3267"/>
    <w:rsid w:val="24151319"/>
    <w:rsid w:val="24253A31"/>
    <w:rsid w:val="244C7F99"/>
    <w:rsid w:val="244F0613"/>
    <w:rsid w:val="245453D0"/>
    <w:rsid w:val="245625A7"/>
    <w:rsid w:val="24562E91"/>
    <w:rsid w:val="245D5736"/>
    <w:rsid w:val="245F6AF8"/>
    <w:rsid w:val="24815989"/>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6087595"/>
    <w:rsid w:val="261230C9"/>
    <w:rsid w:val="26175924"/>
    <w:rsid w:val="26206288"/>
    <w:rsid w:val="26286BA8"/>
    <w:rsid w:val="262B336A"/>
    <w:rsid w:val="264D3C46"/>
    <w:rsid w:val="265C39F8"/>
    <w:rsid w:val="265D3A52"/>
    <w:rsid w:val="26657B0A"/>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7731"/>
    <w:rsid w:val="285B0BE4"/>
    <w:rsid w:val="285C6EF8"/>
    <w:rsid w:val="287E7D01"/>
    <w:rsid w:val="287F5677"/>
    <w:rsid w:val="28807841"/>
    <w:rsid w:val="288524EF"/>
    <w:rsid w:val="288C5967"/>
    <w:rsid w:val="288F1EE2"/>
    <w:rsid w:val="289A3026"/>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35118"/>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11F67"/>
    <w:rsid w:val="2A082E16"/>
    <w:rsid w:val="2A0C0C0D"/>
    <w:rsid w:val="2A106A62"/>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CF21D1"/>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5E55DF"/>
    <w:rsid w:val="2B661A55"/>
    <w:rsid w:val="2B6645EF"/>
    <w:rsid w:val="2B6724FA"/>
    <w:rsid w:val="2B6C0A85"/>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3F2DF7"/>
    <w:rsid w:val="2C41373D"/>
    <w:rsid w:val="2C4338B1"/>
    <w:rsid w:val="2C443D3B"/>
    <w:rsid w:val="2C5F36FC"/>
    <w:rsid w:val="2C626AE7"/>
    <w:rsid w:val="2C6732B9"/>
    <w:rsid w:val="2C775CEF"/>
    <w:rsid w:val="2C816614"/>
    <w:rsid w:val="2C865271"/>
    <w:rsid w:val="2C891323"/>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30364"/>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BF7C37"/>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B4701"/>
    <w:rsid w:val="2FBE38BB"/>
    <w:rsid w:val="2FD1570F"/>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3019B"/>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E54AE7"/>
    <w:rsid w:val="31EE7AC2"/>
    <w:rsid w:val="31F17843"/>
    <w:rsid w:val="31F61862"/>
    <w:rsid w:val="32001232"/>
    <w:rsid w:val="3209485F"/>
    <w:rsid w:val="320D00ED"/>
    <w:rsid w:val="321A7D0D"/>
    <w:rsid w:val="32240DA9"/>
    <w:rsid w:val="322435D5"/>
    <w:rsid w:val="322922F9"/>
    <w:rsid w:val="322B1A70"/>
    <w:rsid w:val="322F7FE2"/>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C768B9"/>
    <w:rsid w:val="32C9672E"/>
    <w:rsid w:val="32D977A7"/>
    <w:rsid w:val="32DC197F"/>
    <w:rsid w:val="32DC3B5D"/>
    <w:rsid w:val="32DE5A9D"/>
    <w:rsid w:val="32E25E1F"/>
    <w:rsid w:val="32E31088"/>
    <w:rsid w:val="32EB0CCC"/>
    <w:rsid w:val="32F9789E"/>
    <w:rsid w:val="33010D66"/>
    <w:rsid w:val="330316C9"/>
    <w:rsid w:val="33164755"/>
    <w:rsid w:val="332417BF"/>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217E5"/>
    <w:rsid w:val="33F225A5"/>
    <w:rsid w:val="33F43B4D"/>
    <w:rsid w:val="33F63062"/>
    <w:rsid w:val="33F95E02"/>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3198F"/>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D089A"/>
    <w:rsid w:val="36E357BF"/>
    <w:rsid w:val="36E432D2"/>
    <w:rsid w:val="36E45E61"/>
    <w:rsid w:val="36EB6EDA"/>
    <w:rsid w:val="36F07B74"/>
    <w:rsid w:val="36F157FC"/>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13193"/>
    <w:rsid w:val="39567274"/>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372CE7"/>
    <w:rsid w:val="3A3F2FC0"/>
    <w:rsid w:val="3A424AA7"/>
    <w:rsid w:val="3A426B31"/>
    <w:rsid w:val="3A4D18D7"/>
    <w:rsid w:val="3A56566D"/>
    <w:rsid w:val="3A5771CA"/>
    <w:rsid w:val="3A5F5373"/>
    <w:rsid w:val="3A60120E"/>
    <w:rsid w:val="3A7C44D8"/>
    <w:rsid w:val="3A803445"/>
    <w:rsid w:val="3A8457E9"/>
    <w:rsid w:val="3A952F9B"/>
    <w:rsid w:val="3A9750EA"/>
    <w:rsid w:val="3AA45EAC"/>
    <w:rsid w:val="3ABD7B89"/>
    <w:rsid w:val="3AC50924"/>
    <w:rsid w:val="3ACF4766"/>
    <w:rsid w:val="3AD37D3F"/>
    <w:rsid w:val="3AE667A3"/>
    <w:rsid w:val="3AE96818"/>
    <w:rsid w:val="3AF2191D"/>
    <w:rsid w:val="3B0D14CC"/>
    <w:rsid w:val="3B0D6C43"/>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A58B1"/>
    <w:rsid w:val="3BB829D4"/>
    <w:rsid w:val="3BB863FA"/>
    <w:rsid w:val="3BBF6814"/>
    <w:rsid w:val="3BC23A0E"/>
    <w:rsid w:val="3BCB1D59"/>
    <w:rsid w:val="3BD15A61"/>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45FC"/>
    <w:rsid w:val="3C953734"/>
    <w:rsid w:val="3CA33BCF"/>
    <w:rsid w:val="3CB17DFC"/>
    <w:rsid w:val="3CBB7816"/>
    <w:rsid w:val="3CBD72CF"/>
    <w:rsid w:val="3CC2265C"/>
    <w:rsid w:val="3CC54662"/>
    <w:rsid w:val="3CCE2163"/>
    <w:rsid w:val="3CD066AB"/>
    <w:rsid w:val="3CD23D60"/>
    <w:rsid w:val="3CD603FE"/>
    <w:rsid w:val="3CDB78F3"/>
    <w:rsid w:val="3CE70D6B"/>
    <w:rsid w:val="3CE90FFD"/>
    <w:rsid w:val="3CEB5F2A"/>
    <w:rsid w:val="3CF126AE"/>
    <w:rsid w:val="3CF276C6"/>
    <w:rsid w:val="3D0326E7"/>
    <w:rsid w:val="3D0728FF"/>
    <w:rsid w:val="3D140CF3"/>
    <w:rsid w:val="3D154BA8"/>
    <w:rsid w:val="3D1F43C9"/>
    <w:rsid w:val="3D25676B"/>
    <w:rsid w:val="3D2E3B62"/>
    <w:rsid w:val="3D2E7B0F"/>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0A38DA"/>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3541D"/>
    <w:rsid w:val="41EB0141"/>
    <w:rsid w:val="41F46F01"/>
    <w:rsid w:val="41F91632"/>
    <w:rsid w:val="41FA6DBD"/>
    <w:rsid w:val="420A6E21"/>
    <w:rsid w:val="420B640A"/>
    <w:rsid w:val="420E4C15"/>
    <w:rsid w:val="420F73FB"/>
    <w:rsid w:val="42115848"/>
    <w:rsid w:val="42271F26"/>
    <w:rsid w:val="42385A57"/>
    <w:rsid w:val="423B0C83"/>
    <w:rsid w:val="423E6CF6"/>
    <w:rsid w:val="423E710F"/>
    <w:rsid w:val="42453399"/>
    <w:rsid w:val="42545D27"/>
    <w:rsid w:val="42585005"/>
    <w:rsid w:val="4271157C"/>
    <w:rsid w:val="42756582"/>
    <w:rsid w:val="42800834"/>
    <w:rsid w:val="42836B00"/>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342D02"/>
    <w:rsid w:val="43515855"/>
    <w:rsid w:val="43561C6E"/>
    <w:rsid w:val="43575876"/>
    <w:rsid w:val="4362032D"/>
    <w:rsid w:val="436922F9"/>
    <w:rsid w:val="437144B6"/>
    <w:rsid w:val="43785B1D"/>
    <w:rsid w:val="43814A52"/>
    <w:rsid w:val="43877EFB"/>
    <w:rsid w:val="438C24C3"/>
    <w:rsid w:val="43A92F20"/>
    <w:rsid w:val="43AC68B2"/>
    <w:rsid w:val="43AE4A57"/>
    <w:rsid w:val="43AF3496"/>
    <w:rsid w:val="43B07C6D"/>
    <w:rsid w:val="43BD5341"/>
    <w:rsid w:val="43C37E5C"/>
    <w:rsid w:val="43D4154E"/>
    <w:rsid w:val="43EE4381"/>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70417"/>
    <w:rsid w:val="45314EEE"/>
    <w:rsid w:val="454F2B92"/>
    <w:rsid w:val="45513178"/>
    <w:rsid w:val="45583629"/>
    <w:rsid w:val="455C770B"/>
    <w:rsid w:val="456A0E72"/>
    <w:rsid w:val="457734D8"/>
    <w:rsid w:val="45870C31"/>
    <w:rsid w:val="458B0F1B"/>
    <w:rsid w:val="458C013A"/>
    <w:rsid w:val="459267A0"/>
    <w:rsid w:val="45956D47"/>
    <w:rsid w:val="45A70E51"/>
    <w:rsid w:val="45B34E9E"/>
    <w:rsid w:val="45B97366"/>
    <w:rsid w:val="45E033B4"/>
    <w:rsid w:val="45E05619"/>
    <w:rsid w:val="45EA2A62"/>
    <w:rsid w:val="45EB6A74"/>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97715"/>
    <w:rsid w:val="47BD4A55"/>
    <w:rsid w:val="47BE1862"/>
    <w:rsid w:val="47C660BC"/>
    <w:rsid w:val="47C759B2"/>
    <w:rsid w:val="47C84C3C"/>
    <w:rsid w:val="47DF7B25"/>
    <w:rsid w:val="47E133F8"/>
    <w:rsid w:val="47FD68F2"/>
    <w:rsid w:val="4804251B"/>
    <w:rsid w:val="48110298"/>
    <w:rsid w:val="48160AA7"/>
    <w:rsid w:val="4819425B"/>
    <w:rsid w:val="481B64AF"/>
    <w:rsid w:val="481D3C11"/>
    <w:rsid w:val="4833129C"/>
    <w:rsid w:val="483B509F"/>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638F4"/>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14A9"/>
    <w:rsid w:val="4A5E387A"/>
    <w:rsid w:val="4A7927AA"/>
    <w:rsid w:val="4A7B0D63"/>
    <w:rsid w:val="4A7D687D"/>
    <w:rsid w:val="4A8E7904"/>
    <w:rsid w:val="4A8F4094"/>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9342B"/>
    <w:rsid w:val="4B2E6623"/>
    <w:rsid w:val="4B3D0ED4"/>
    <w:rsid w:val="4B3D17EB"/>
    <w:rsid w:val="4B410885"/>
    <w:rsid w:val="4B50375B"/>
    <w:rsid w:val="4B5140FD"/>
    <w:rsid w:val="4B514A9F"/>
    <w:rsid w:val="4B59231A"/>
    <w:rsid w:val="4B5D3849"/>
    <w:rsid w:val="4B6A1344"/>
    <w:rsid w:val="4B7756BC"/>
    <w:rsid w:val="4B787AE8"/>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0689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F4B1C"/>
    <w:rsid w:val="4E345F2C"/>
    <w:rsid w:val="4E350611"/>
    <w:rsid w:val="4E42201F"/>
    <w:rsid w:val="4E4A07D9"/>
    <w:rsid w:val="4E4F1276"/>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3D1C10"/>
    <w:rsid w:val="503F19CC"/>
    <w:rsid w:val="50506634"/>
    <w:rsid w:val="50543A73"/>
    <w:rsid w:val="50583DB2"/>
    <w:rsid w:val="5061671F"/>
    <w:rsid w:val="50660E2A"/>
    <w:rsid w:val="50665A2B"/>
    <w:rsid w:val="50673B5C"/>
    <w:rsid w:val="50681DF5"/>
    <w:rsid w:val="506A4060"/>
    <w:rsid w:val="507501C2"/>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C344D"/>
    <w:rsid w:val="51CF463C"/>
    <w:rsid w:val="51D20A7D"/>
    <w:rsid w:val="51D23F0C"/>
    <w:rsid w:val="51D272E9"/>
    <w:rsid w:val="51DA52E1"/>
    <w:rsid w:val="51DD5042"/>
    <w:rsid w:val="51DF2F38"/>
    <w:rsid w:val="51E60E87"/>
    <w:rsid w:val="51E87B8B"/>
    <w:rsid w:val="51F66CD0"/>
    <w:rsid w:val="520324A0"/>
    <w:rsid w:val="520C3AF0"/>
    <w:rsid w:val="520E5624"/>
    <w:rsid w:val="521D4E15"/>
    <w:rsid w:val="521F12B3"/>
    <w:rsid w:val="52291369"/>
    <w:rsid w:val="522B084B"/>
    <w:rsid w:val="52302EF8"/>
    <w:rsid w:val="523B4937"/>
    <w:rsid w:val="523E6488"/>
    <w:rsid w:val="52521258"/>
    <w:rsid w:val="525A455A"/>
    <w:rsid w:val="526577CA"/>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B482F"/>
    <w:rsid w:val="52F11FBD"/>
    <w:rsid w:val="52F90701"/>
    <w:rsid w:val="53006DA6"/>
    <w:rsid w:val="53041ADB"/>
    <w:rsid w:val="53132328"/>
    <w:rsid w:val="531E6C37"/>
    <w:rsid w:val="53242CA4"/>
    <w:rsid w:val="532C5BCA"/>
    <w:rsid w:val="532D0D25"/>
    <w:rsid w:val="532D147E"/>
    <w:rsid w:val="533040AA"/>
    <w:rsid w:val="533446B1"/>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A04EF"/>
    <w:rsid w:val="53C13E8F"/>
    <w:rsid w:val="53D61F96"/>
    <w:rsid w:val="53D704E3"/>
    <w:rsid w:val="53E2517A"/>
    <w:rsid w:val="53F26FC1"/>
    <w:rsid w:val="53F6679C"/>
    <w:rsid w:val="53FC307D"/>
    <w:rsid w:val="53FD6839"/>
    <w:rsid w:val="53FE1486"/>
    <w:rsid w:val="54021BCD"/>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74B54"/>
    <w:rsid w:val="57F1178B"/>
    <w:rsid w:val="57F1635C"/>
    <w:rsid w:val="57F44CAC"/>
    <w:rsid w:val="57F51D84"/>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A3C16"/>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B1C41"/>
    <w:rsid w:val="5ACD0B07"/>
    <w:rsid w:val="5ADB55E3"/>
    <w:rsid w:val="5ADD68C2"/>
    <w:rsid w:val="5AE32AE6"/>
    <w:rsid w:val="5AE412C2"/>
    <w:rsid w:val="5AE83649"/>
    <w:rsid w:val="5AF01F35"/>
    <w:rsid w:val="5AF3320E"/>
    <w:rsid w:val="5B19529D"/>
    <w:rsid w:val="5B2533DB"/>
    <w:rsid w:val="5B264F16"/>
    <w:rsid w:val="5B3E502A"/>
    <w:rsid w:val="5B3F06DB"/>
    <w:rsid w:val="5B4356DA"/>
    <w:rsid w:val="5B4D464F"/>
    <w:rsid w:val="5B565EED"/>
    <w:rsid w:val="5B6349B8"/>
    <w:rsid w:val="5B7149F1"/>
    <w:rsid w:val="5B793214"/>
    <w:rsid w:val="5B7D3D4C"/>
    <w:rsid w:val="5B801E98"/>
    <w:rsid w:val="5B930800"/>
    <w:rsid w:val="5B9D4F94"/>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41906"/>
    <w:rsid w:val="5C40175F"/>
    <w:rsid w:val="5C4A08CE"/>
    <w:rsid w:val="5C651367"/>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60635"/>
    <w:rsid w:val="5ED7582B"/>
    <w:rsid w:val="5ED87066"/>
    <w:rsid w:val="5EE93B70"/>
    <w:rsid w:val="5EF069FA"/>
    <w:rsid w:val="5EF56606"/>
    <w:rsid w:val="5EFA1D84"/>
    <w:rsid w:val="5EFC3C5C"/>
    <w:rsid w:val="5F0345EF"/>
    <w:rsid w:val="5F0E591C"/>
    <w:rsid w:val="5F0E6504"/>
    <w:rsid w:val="5F1624A0"/>
    <w:rsid w:val="5F2464EA"/>
    <w:rsid w:val="5F2556F8"/>
    <w:rsid w:val="5F323E15"/>
    <w:rsid w:val="5F361247"/>
    <w:rsid w:val="5F3F7625"/>
    <w:rsid w:val="5F450A54"/>
    <w:rsid w:val="5F472817"/>
    <w:rsid w:val="5F4B6E17"/>
    <w:rsid w:val="5F4E3E35"/>
    <w:rsid w:val="5F65126D"/>
    <w:rsid w:val="5F675708"/>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991B4F"/>
    <w:rsid w:val="609A3B85"/>
    <w:rsid w:val="60B400EC"/>
    <w:rsid w:val="60B905F3"/>
    <w:rsid w:val="60C345AA"/>
    <w:rsid w:val="60C45FFD"/>
    <w:rsid w:val="60C50406"/>
    <w:rsid w:val="60C818AE"/>
    <w:rsid w:val="60C90BD3"/>
    <w:rsid w:val="60D53DCF"/>
    <w:rsid w:val="60ED1F9C"/>
    <w:rsid w:val="60ED4C93"/>
    <w:rsid w:val="60FB6F62"/>
    <w:rsid w:val="610415BB"/>
    <w:rsid w:val="610628EA"/>
    <w:rsid w:val="61110018"/>
    <w:rsid w:val="61114351"/>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B5C92"/>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2E4D18"/>
    <w:rsid w:val="634A2117"/>
    <w:rsid w:val="63613B44"/>
    <w:rsid w:val="63617C3F"/>
    <w:rsid w:val="63663411"/>
    <w:rsid w:val="63693E52"/>
    <w:rsid w:val="636E5379"/>
    <w:rsid w:val="636E5C0D"/>
    <w:rsid w:val="63725411"/>
    <w:rsid w:val="63764367"/>
    <w:rsid w:val="638C029E"/>
    <w:rsid w:val="63A22241"/>
    <w:rsid w:val="63A824DA"/>
    <w:rsid w:val="63A931DA"/>
    <w:rsid w:val="63B0157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42B0D"/>
    <w:rsid w:val="64DE29BA"/>
    <w:rsid w:val="64DF0ED2"/>
    <w:rsid w:val="64E43804"/>
    <w:rsid w:val="64F46FD2"/>
    <w:rsid w:val="64F549AC"/>
    <w:rsid w:val="64F6497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F5244"/>
    <w:rsid w:val="66597FF0"/>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07DBC"/>
    <w:rsid w:val="6989582D"/>
    <w:rsid w:val="698F58C5"/>
    <w:rsid w:val="699E641D"/>
    <w:rsid w:val="69A9357D"/>
    <w:rsid w:val="69B17D0A"/>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E400FF"/>
    <w:rsid w:val="6AE461AD"/>
    <w:rsid w:val="6AE65093"/>
    <w:rsid w:val="6AEC4F69"/>
    <w:rsid w:val="6AEF65E6"/>
    <w:rsid w:val="6AF43944"/>
    <w:rsid w:val="6AFD0C52"/>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E15AC"/>
    <w:rsid w:val="6B9E2AD3"/>
    <w:rsid w:val="6BA10998"/>
    <w:rsid w:val="6BA854E8"/>
    <w:rsid w:val="6BA97EFD"/>
    <w:rsid w:val="6BAA5459"/>
    <w:rsid w:val="6BC81A9A"/>
    <w:rsid w:val="6BC8480E"/>
    <w:rsid w:val="6BD95B85"/>
    <w:rsid w:val="6BDD1068"/>
    <w:rsid w:val="6BDE7655"/>
    <w:rsid w:val="6BE74E05"/>
    <w:rsid w:val="6BF72F38"/>
    <w:rsid w:val="6BF77D6C"/>
    <w:rsid w:val="6BFA717B"/>
    <w:rsid w:val="6C065856"/>
    <w:rsid w:val="6C23219D"/>
    <w:rsid w:val="6C261D38"/>
    <w:rsid w:val="6C267397"/>
    <w:rsid w:val="6C2A74A4"/>
    <w:rsid w:val="6C354FB6"/>
    <w:rsid w:val="6C387ED8"/>
    <w:rsid w:val="6C437023"/>
    <w:rsid w:val="6C4718FB"/>
    <w:rsid w:val="6C5C2BAF"/>
    <w:rsid w:val="6C614735"/>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C689C"/>
    <w:rsid w:val="6CE82177"/>
    <w:rsid w:val="6CEB2609"/>
    <w:rsid w:val="6CFC572F"/>
    <w:rsid w:val="6CFE37CA"/>
    <w:rsid w:val="6D096047"/>
    <w:rsid w:val="6D13285A"/>
    <w:rsid w:val="6D1C0FED"/>
    <w:rsid w:val="6D214955"/>
    <w:rsid w:val="6D24131E"/>
    <w:rsid w:val="6D246680"/>
    <w:rsid w:val="6D261D0F"/>
    <w:rsid w:val="6D517BB9"/>
    <w:rsid w:val="6D530358"/>
    <w:rsid w:val="6D531591"/>
    <w:rsid w:val="6D583F1A"/>
    <w:rsid w:val="6D595250"/>
    <w:rsid w:val="6D606442"/>
    <w:rsid w:val="6D612FC0"/>
    <w:rsid w:val="6D65485E"/>
    <w:rsid w:val="6D696FA7"/>
    <w:rsid w:val="6D6C3FB3"/>
    <w:rsid w:val="6D6F583F"/>
    <w:rsid w:val="6D8E6DC2"/>
    <w:rsid w:val="6D967B5F"/>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E667E"/>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B729F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31641D"/>
    <w:rsid w:val="71382257"/>
    <w:rsid w:val="71402DF4"/>
    <w:rsid w:val="714D5575"/>
    <w:rsid w:val="715044D6"/>
    <w:rsid w:val="71535003"/>
    <w:rsid w:val="715920CC"/>
    <w:rsid w:val="715F0DCB"/>
    <w:rsid w:val="7164108C"/>
    <w:rsid w:val="71667CB7"/>
    <w:rsid w:val="717D77B3"/>
    <w:rsid w:val="71863CBA"/>
    <w:rsid w:val="718A720D"/>
    <w:rsid w:val="71905E12"/>
    <w:rsid w:val="71935972"/>
    <w:rsid w:val="71940829"/>
    <w:rsid w:val="719D4006"/>
    <w:rsid w:val="719F3D15"/>
    <w:rsid w:val="71AE3FEB"/>
    <w:rsid w:val="71BE7204"/>
    <w:rsid w:val="71C15203"/>
    <w:rsid w:val="71D53C85"/>
    <w:rsid w:val="71D97B23"/>
    <w:rsid w:val="71DB65D7"/>
    <w:rsid w:val="71E11088"/>
    <w:rsid w:val="71EE363B"/>
    <w:rsid w:val="71F56317"/>
    <w:rsid w:val="71FF78F9"/>
    <w:rsid w:val="72084708"/>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C14C0"/>
    <w:rsid w:val="743C213A"/>
    <w:rsid w:val="743D795A"/>
    <w:rsid w:val="74400FAE"/>
    <w:rsid w:val="74411D22"/>
    <w:rsid w:val="744B3786"/>
    <w:rsid w:val="7450157E"/>
    <w:rsid w:val="745867B8"/>
    <w:rsid w:val="74652872"/>
    <w:rsid w:val="746D1BD9"/>
    <w:rsid w:val="74713F3C"/>
    <w:rsid w:val="74737B99"/>
    <w:rsid w:val="747B4797"/>
    <w:rsid w:val="747B5FBA"/>
    <w:rsid w:val="748C1F9B"/>
    <w:rsid w:val="748E6151"/>
    <w:rsid w:val="74902572"/>
    <w:rsid w:val="749144FC"/>
    <w:rsid w:val="74967B49"/>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5584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0D1AE6"/>
    <w:rsid w:val="78185AD9"/>
    <w:rsid w:val="781D03F1"/>
    <w:rsid w:val="781E1935"/>
    <w:rsid w:val="781F3917"/>
    <w:rsid w:val="78293A6F"/>
    <w:rsid w:val="782D5E2E"/>
    <w:rsid w:val="78513111"/>
    <w:rsid w:val="78525B74"/>
    <w:rsid w:val="785C23A0"/>
    <w:rsid w:val="785C39A9"/>
    <w:rsid w:val="785F21D7"/>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B71AC"/>
    <w:rsid w:val="7A0254DE"/>
    <w:rsid w:val="7A0550F6"/>
    <w:rsid w:val="7A080F43"/>
    <w:rsid w:val="7A135E80"/>
    <w:rsid w:val="7A214813"/>
    <w:rsid w:val="7A2150CD"/>
    <w:rsid w:val="7A2213F0"/>
    <w:rsid w:val="7A2B1A3A"/>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442D5"/>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04D5B"/>
    <w:rsid w:val="7E315B96"/>
    <w:rsid w:val="7E3172BF"/>
    <w:rsid w:val="7E320236"/>
    <w:rsid w:val="7E3261A0"/>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42"/>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1"/>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Normal (Web)"/>
    <w:basedOn w:val="1"/>
    <w:qFormat/>
    <w:uiPriority w:val="0"/>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basedOn w:val="31"/>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1"/>
    <w:qFormat/>
    <w:uiPriority w:val="0"/>
  </w:style>
  <w:style w:type="character" w:customStyle="1" w:styleId="39">
    <w:name w:val="textcontents"/>
    <w:basedOn w:val="31"/>
    <w:qFormat/>
    <w:uiPriority w:val="0"/>
  </w:style>
  <w:style w:type="character" w:customStyle="1" w:styleId="40">
    <w:name w:val="down"/>
    <w:qFormat/>
    <w:uiPriority w:val="0"/>
    <w:rPr>
      <w:shd w:val="clear" w:color="auto" w:fill="DAEEF9"/>
    </w:rPr>
  </w:style>
  <w:style w:type="character" w:customStyle="1" w:styleId="41">
    <w:name w:val="标题 2 Char"/>
    <w:link w:val="7"/>
    <w:qFormat/>
    <w:uiPriority w:val="0"/>
    <w:rPr>
      <w:rFonts w:ascii="Arial" w:hAnsi="Arial" w:eastAsia="黑体"/>
      <w:b/>
      <w:bCs/>
      <w:kern w:val="2"/>
      <w:sz w:val="32"/>
      <w:szCs w:val="32"/>
      <w:lang w:val="en-US" w:eastAsia="zh-CN" w:bidi="ar-SA"/>
    </w:rPr>
  </w:style>
  <w:style w:type="character" w:customStyle="1" w:styleId="42">
    <w:name w:val="纯文本 Char"/>
    <w:link w:val="20"/>
    <w:qFormat/>
    <w:uiPriority w:val="0"/>
    <w:rPr>
      <w:rFonts w:ascii="宋体" w:hAnsi="Courier New" w:eastAsia="宋体" w:cs="Courier New"/>
      <w:kern w:val="2"/>
      <w:sz w:val="21"/>
      <w:szCs w:val="21"/>
      <w:lang w:val="en-US" w:eastAsia="zh-CN" w:bidi="ar-SA"/>
    </w:rPr>
  </w:style>
  <w:style w:type="character" w:customStyle="1" w:styleId="43">
    <w:name w:val="lsl"/>
    <w:basedOn w:val="31"/>
    <w:qFormat/>
    <w:uiPriority w:val="0"/>
  </w:style>
  <w:style w:type="character" w:customStyle="1" w:styleId="44">
    <w:name w:val="tit"/>
    <w:basedOn w:val="31"/>
    <w:qFormat/>
    <w:uiPriority w:val="0"/>
  </w:style>
  <w:style w:type="character" w:customStyle="1" w:styleId="45">
    <w:name w:val="sl"/>
    <w:basedOn w:val="31"/>
    <w:qFormat/>
    <w:uiPriority w:val="0"/>
  </w:style>
  <w:style w:type="character" w:customStyle="1" w:styleId="46">
    <w:name w:val="up"/>
    <w:basedOn w:val="31"/>
    <w:qFormat/>
    <w:uiPriority w:val="0"/>
  </w:style>
  <w:style w:type="character" w:customStyle="1" w:styleId="47">
    <w:name w:val="lsr"/>
    <w:basedOn w:val="31"/>
    <w:qFormat/>
    <w:uiPriority w:val="0"/>
  </w:style>
  <w:style w:type="character" w:customStyle="1" w:styleId="48">
    <w:name w:val="cpb"/>
    <w:qFormat/>
    <w:uiPriority w:val="0"/>
    <w:rPr>
      <w:color w:val="FFFFFF"/>
    </w:rPr>
  </w:style>
  <w:style w:type="character" w:customStyle="1" w:styleId="49">
    <w:name w:val="sr"/>
    <w:basedOn w:val="31"/>
    <w:qFormat/>
    <w:uiPriority w:val="0"/>
  </w:style>
  <w:style w:type="character" w:customStyle="1" w:styleId="50">
    <w:name w:val="apple-converted-space"/>
    <w:basedOn w:val="31"/>
    <w:qFormat/>
    <w:uiPriority w:val="0"/>
  </w:style>
  <w:style w:type="character" w:customStyle="1" w:styleId="51">
    <w:name w:val="页脚 Char"/>
    <w:link w:val="24"/>
    <w:qFormat/>
    <w:uiPriority w:val="0"/>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blue"/>
    <w:basedOn w:val="31"/>
    <w:qFormat/>
    <w:uiPriority w:val="0"/>
    <w:rPr>
      <w:color w:val="0371C6"/>
      <w:sz w:val="21"/>
      <w:szCs w:val="21"/>
    </w:rPr>
  </w:style>
  <w:style w:type="character" w:customStyle="1" w:styleId="74">
    <w:name w:val="gb-jt"/>
    <w:basedOn w:val="31"/>
    <w:qFormat/>
    <w:uiPriority w:val="0"/>
  </w:style>
  <w:style w:type="character" w:customStyle="1" w:styleId="75">
    <w:name w:val="red"/>
    <w:basedOn w:val="31"/>
    <w:qFormat/>
    <w:uiPriority w:val="0"/>
    <w:rPr>
      <w:color w:val="FF0000"/>
      <w:sz w:val="18"/>
      <w:szCs w:val="18"/>
    </w:rPr>
  </w:style>
  <w:style w:type="character" w:customStyle="1" w:styleId="76">
    <w:name w:val="red1"/>
    <w:basedOn w:val="31"/>
    <w:qFormat/>
    <w:uiPriority w:val="0"/>
    <w:rPr>
      <w:color w:val="FF0000"/>
      <w:sz w:val="18"/>
      <w:szCs w:val="18"/>
    </w:rPr>
  </w:style>
  <w:style w:type="character" w:customStyle="1" w:styleId="77">
    <w:name w:val="red2"/>
    <w:basedOn w:val="31"/>
    <w:qFormat/>
    <w:uiPriority w:val="0"/>
    <w:rPr>
      <w:color w:val="FF0000"/>
    </w:rPr>
  </w:style>
  <w:style w:type="character" w:customStyle="1" w:styleId="78">
    <w:name w:val="green"/>
    <w:basedOn w:val="31"/>
    <w:qFormat/>
    <w:uiPriority w:val="0"/>
    <w:rPr>
      <w:color w:val="66AE00"/>
      <w:sz w:val="18"/>
      <w:szCs w:val="18"/>
    </w:rPr>
  </w:style>
  <w:style w:type="character" w:customStyle="1" w:styleId="79">
    <w:name w:val="green1"/>
    <w:basedOn w:val="31"/>
    <w:qFormat/>
    <w:uiPriority w:val="0"/>
    <w:rPr>
      <w:color w:val="66AE00"/>
      <w:sz w:val="18"/>
      <w:szCs w:val="18"/>
    </w:rPr>
  </w:style>
  <w:style w:type="character" w:customStyle="1" w:styleId="80">
    <w:name w:val="hover25"/>
    <w:basedOn w:val="31"/>
    <w:qFormat/>
    <w:uiPriority w:val="0"/>
  </w:style>
  <w:style w:type="character" w:customStyle="1" w:styleId="81">
    <w:name w:val="right"/>
    <w:basedOn w:val="31"/>
    <w:qFormat/>
    <w:uiPriority w:val="0"/>
    <w:rPr>
      <w:color w:val="999999"/>
      <w:sz w:val="18"/>
      <w:szCs w:val="18"/>
    </w:rPr>
  </w:style>
  <w:style w:type="character" w:customStyle="1" w:styleId="82">
    <w:name w:val="hover"/>
    <w:basedOn w:val="31"/>
    <w:qFormat/>
    <w:uiPriority w:val="0"/>
  </w:style>
  <w:style w:type="character" w:customStyle="1" w:styleId="83">
    <w:name w:val="页眉 Char"/>
    <w:basedOn w:val="31"/>
    <w:link w:val="25"/>
    <w:qFormat/>
    <w:uiPriority w:val="0"/>
    <w:rPr>
      <w:rFonts w:ascii="宋体"/>
      <w:sz w:val="18"/>
      <w:szCs w:val="18"/>
    </w:rPr>
  </w:style>
  <w:style w:type="character" w:customStyle="1" w:styleId="84">
    <w:name w:val="red3"/>
    <w:basedOn w:val="31"/>
    <w:qFormat/>
    <w:uiPriority w:val="0"/>
    <w:rPr>
      <w:color w:val="FF0000"/>
    </w:rPr>
  </w:style>
  <w:style w:type="character" w:customStyle="1" w:styleId="85">
    <w:name w:val="hover24"/>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25C3E-AC4E-4E0B-AA5C-8EB6A5516F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77</Pages>
  <Words>6430</Words>
  <Characters>36652</Characters>
  <Lines>305</Lines>
  <Paragraphs>85</Paragraphs>
  <TotalTime>39</TotalTime>
  <ScaleCrop>false</ScaleCrop>
  <LinksUpToDate>false</LinksUpToDate>
  <CharactersWithSpaces>42997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果子</cp:lastModifiedBy>
  <cp:lastPrinted>2019-12-23T03:21:50Z</cp:lastPrinted>
  <dcterms:modified xsi:type="dcterms:W3CDTF">2019-12-23T03:35:24Z</dcterms:modified>
  <dc:title>魏武大道曹操饮马河桥工程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