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禹州市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文化广电和旅游局</w:t>
      </w:r>
    </w:p>
    <w:p>
      <w:pPr>
        <w:widowControl/>
        <w:shd w:val="clear" w:color="auto" w:fill="FFFFFF"/>
        <w:spacing w:line="400" w:lineRule="exact"/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创建国家公共文化服务示范区图书采购项目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3538" w:leftChars="142" w:hanging="3240" w:hangingChars="9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/>
          <w:sz w:val="30"/>
          <w:szCs w:val="22"/>
        </w:rPr>
        <w:t>禹州市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文化广电和旅游局创建国家公共文化服务示范区图书采购项目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firstLine="0" w:firstLineChars="0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 xml:space="preserve"> YZCG-</w:t>
      </w:r>
      <w:r>
        <w:rPr>
          <w:rFonts w:hint="eastAsia" w:ascii="仿宋" w:hAnsi="仿宋" w:eastAsia="仿宋"/>
          <w:sz w:val="30"/>
          <w:lang w:val="en-US" w:eastAsia="zh-CN"/>
        </w:rPr>
        <w:t>G2019291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2019年11月25日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开标结束后，采购人依法对投标人的资格进行审查。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30"/>
          <w:szCs w:val="22"/>
        </w:rPr>
        <w:t>禹州市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文化广电和旅游局创建国家公共文化服务示范区图书采购项目</w:t>
      </w:r>
    </w:p>
    <w:tbl>
      <w:tblPr>
        <w:tblStyle w:val="8"/>
        <w:tblW w:w="8600" w:type="dxa"/>
        <w:tblCellSpacing w:w="0" w:type="dxa"/>
        <w:tblInd w:w="-31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bidi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北京集文天下文化发展有限公司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1441134.91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北京民谐文化传播有限公司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1440935.57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北京京六泰文化传媒有限公司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1442957.38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instrText xml:space="preserve"> HYPERLINK "http://ggzy.xuchang.gov.cn:8088/ggzy/eps/zb/xmps/qscn/XmpsLeft,$DirectLink.sdirect?sp=S7A64C028E07C42E8889A80879039AE62&amp;sp=0&amp;sp=Sc91f54a4d92b4296b320dccede7cb840&amp;sp=T" </w:instrText>
            </w: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fldChar w:fldCharType="separate"/>
            </w:r>
            <w:r>
              <w:rPr>
                <w:rStyle w:val="13"/>
                <w:rFonts w:hint="eastAsia"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t xml:space="preserve">北京国盛文体科教装备有限公司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fldChar w:fldCharType="end"/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1439132.80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四家供应商硬件特征码均无异常。四家企业均通过符合性审查。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150"/>
        <w:gridCol w:w="1150"/>
        <w:gridCol w:w="1151"/>
        <w:gridCol w:w="1151"/>
        <w:gridCol w:w="1151"/>
        <w:gridCol w:w="11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6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北京集文天下文化发展有限公司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类似业绩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售后服务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49.93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88.93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49.93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89.93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49.93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89.93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49.93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89.93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49.93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89.93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89.73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150"/>
        <w:gridCol w:w="1150"/>
        <w:gridCol w:w="1151"/>
        <w:gridCol w:w="1151"/>
        <w:gridCol w:w="1151"/>
        <w:gridCol w:w="11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北京民谐文化传播有限公司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类似业绩</w:t>
            </w:r>
          </w:p>
          <w:p>
            <w:pPr>
              <w:pStyle w:val="2"/>
              <w:ind w:left="0" w:leftChars="0" w:firstLine="0" w:firstLineChars="0"/>
              <w:jc w:val="center"/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售后服务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49.94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94.94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49.94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95.94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49.94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95.94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49.94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95.94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49.94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95.94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9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95.74</w:t>
            </w:r>
          </w:p>
        </w:tc>
      </w:tr>
    </w:tbl>
    <w:p>
      <w:pPr>
        <w:rPr>
          <w:rFonts w:hint="eastAsia"/>
          <w:lang w:val="en-US" w:eastAsia="zh-CN"/>
        </w:rPr>
      </w:pP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150"/>
        <w:gridCol w:w="1150"/>
        <w:gridCol w:w="1151"/>
        <w:gridCol w:w="1151"/>
        <w:gridCol w:w="1151"/>
        <w:gridCol w:w="11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北京京六泰文化传媒有限公司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类似业绩</w:t>
            </w:r>
          </w:p>
          <w:p>
            <w:pPr>
              <w:pStyle w:val="2"/>
              <w:ind w:left="0" w:leftChars="0" w:firstLine="0" w:firstLineChars="0"/>
              <w:jc w:val="center"/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售后服务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49.87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92.87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49.87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93.87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49.87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93.87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49.87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93.87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49.87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93.87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9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93.67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150"/>
        <w:gridCol w:w="1150"/>
        <w:gridCol w:w="1151"/>
        <w:gridCol w:w="1151"/>
        <w:gridCol w:w="1151"/>
        <w:gridCol w:w="11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instrText xml:space="preserve"> HYPERLINK "http://ggzy.xuchang.gov.cn:8088/ggzy/eps/zb/xmps/qscn/XmpsLeft,$DirectLink.sdirect?sp=S7A64C028E07C42E8889A80879039AE62&amp;sp=0&amp;sp=Sc91f54a4d92b4296b320dccede7cb840&amp;sp=T" </w:instrText>
            </w: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fldChar w:fldCharType="separate"/>
            </w:r>
            <w:r>
              <w:rPr>
                <w:rStyle w:val="13"/>
                <w:rFonts w:hint="eastAsia"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t xml:space="preserve">北京国盛文体科教装备有限公司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u w:val="none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类似业绩</w:t>
            </w:r>
          </w:p>
          <w:p>
            <w:pPr>
              <w:pStyle w:val="2"/>
              <w:ind w:left="0" w:leftChars="0" w:firstLine="0" w:firstLineChars="0"/>
              <w:jc w:val="center"/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售后服务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  <w:lang w:val="en-US" w:eastAsia="zh-CN"/>
              </w:rPr>
              <w:t>96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9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95.80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8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5097"/>
        <w:gridCol w:w="136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09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instrText xml:space="preserve"> HYPERLINK "http://ggzy.xuchang.gov.cn:8088/ggzy/eps/zb/xmps/qscn/XmpsLeft,$DirectLink.sdirect?sp=S7A64C028E07C42E8889A80879039AE62&amp;sp=0&amp;sp=Sc91f54a4d92b4296b320dccede7cb840&amp;sp=T" </w:instrTex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北京国盛文体科教装备有限公司 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95.80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北京民谐文化传播有限公司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95.74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北京京六泰文化传媒有限公司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93.67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4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北京集文天下文化发展有限公司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89.73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fldChar w:fldCharType="begin"/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instrText xml:space="preserve"> HYPERLINK "http://ggzy.xuchang.gov.cn:8088/ggzy/eps/zb/xmps/qscn/XmpsLeft,$DirectLink.sdirect?sp=S7A64C028E07C42E8889A80879039AE62&amp;sp=0&amp;sp=Sc91f54a4d92b4296b320dccede7cb840&amp;sp=T" </w:instrTex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fldChar w:fldCharType="separate"/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 xml:space="preserve">北京国盛文体科教装备有限公司 </w: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fldChar w:fldCharType="end"/>
      </w:r>
    </w:p>
    <w:p>
      <w:pPr>
        <w:keepNext w:val="0"/>
        <w:keepLines w:val="0"/>
        <w:widowControl/>
        <w:suppressLineNumbers w:val="0"/>
        <w:ind w:left="596" w:leftChars="284" w:firstLine="0" w:firstLineChars="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投标报价：1439132.80元</w:t>
      </w:r>
      <w:r>
        <w:rPr>
          <w:rFonts w:hint="eastAsia" w:ascii="仿宋" w:hAnsi="仿宋" w:eastAsia="仿宋" w:cs="仿宋"/>
          <w:color w:val="000000"/>
          <w:spacing w:val="-20"/>
          <w:kern w:val="0"/>
          <w:sz w:val="30"/>
          <w:szCs w:val="30"/>
          <w:lang w:val="en-US" w:eastAsia="zh-CN" w:bidi="ar"/>
        </w:rPr>
        <w:t>（壹佰肆拾叁万玖仟壹佰叁拾贰元捌角）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地址：北京市大兴区华佗路 9 号院 2 号楼 5 层 535 室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联系人：佟建东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联系电话：010-61237986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北京民谐文化传播有限公司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spacing w:val="-2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投标报价：1440935.57元</w:t>
      </w:r>
      <w:r>
        <w:rPr>
          <w:rFonts w:hint="eastAsia" w:ascii="仿宋" w:hAnsi="仿宋" w:eastAsia="仿宋" w:cs="仿宋"/>
          <w:color w:val="000000"/>
          <w:spacing w:val="-20"/>
          <w:kern w:val="0"/>
          <w:sz w:val="30"/>
          <w:szCs w:val="30"/>
          <w:lang w:val="en-US" w:eastAsia="zh-CN" w:bidi="ar"/>
        </w:rPr>
        <w:t>（壹佰肆拾肆万零玖佰叁拾伍元伍角柒分）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地址：北京市大兴区生物医药基地天华大街 31 号院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联系人：李铁胜  联系电话：010-63776935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北京京六泰文化传媒有限公司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="仿宋"/>
          <w:color w:val="000000"/>
          <w:spacing w:val="-2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投标报价：1442957.38元</w:t>
      </w:r>
      <w:r>
        <w:rPr>
          <w:rFonts w:hint="eastAsia" w:ascii="仿宋" w:hAnsi="仿宋" w:eastAsia="仿宋" w:cs="仿宋"/>
          <w:color w:val="000000"/>
          <w:spacing w:val="-20"/>
          <w:kern w:val="0"/>
          <w:sz w:val="30"/>
          <w:szCs w:val="30"/>
          <w:lang w:val="en-US" w:eastAsia="zh-CN" w:bidi="ar"/>
        </w:rPr>
        <w:t>（壹佰肆拾肆万贰仟玖佰伍拾柒元叁角捌分）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地址：北京市大兴区天水大街 46 号院 2 号楼 3 层 306 室 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联系人：许京明      联系电话：010-61258232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七、评标委员会主任签字：王银海        业主代表：张磊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评标委员会成员签字：王银海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ab/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王万松 李艳 柴晓丽 张磊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440" w:firstLineChars="17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2019年12月23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286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4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4876B21"/>
    <w:rsid w:val="058D6C93"/>
    <w:rsid w:val="05D75E0B"/>
    <w:rsid w:val="06B37F87"/>
    <w:rsid w:val="06E91268"/>
    <w:rsid w:val="075E4613"/>
    <w:rsid w:val="077C3E26"/>
    <w:rsid w:val="08151E32"/>
    <w:rsid w:val="0855317E"/>
    <w:rsid w:val="08CE7D6E"/>
    <w:rsid w:val="0993362B"/>
    <w:rsid w:val="09CA5E2B"/>
    <w:rsid w:val="09FB1071"/>
    <w:rsid w:val="0A8A6497"/>
    <w:rsid w:val="0ADE43AF"/>
    <w:rsid w:val="0AE85AF4"/>
    <w:rsid w:val="0C911D4C"/>
    <w:rsid w:val="0DE26094"/>
    <w:rsid w:val="0E3D02A4"/>
    <w:rsid w:val="0E55413B"/>
    <w:rsid w:val="0F132DAA"/>
    <w:rsid w:val="0F4920B3"/>
    <w:rsid w:val="0FB16A75"/>
    <w:rsid w:val="10D27887"/>
    <w:rsid w:val="114F3448"/>
    <w:rsid w:val="114F3861"/>
    <w:rsid w:val="11613EAB"/>
    <w:rsid w:val="118E1E6C"/>
    <w:rsid w:val="123147C2"/>
    <w:rsid w:val="12AC779F"/>
    <w:rsid w:val="142E1BD3"/>
    <w:rsid w:val="15DE63F9"/>
    <w:rsid w:val="16B06484"/>
    <w:rsid w:val="17D926FA"/>
    <w:rsid w:val="182730C9"/>
    <w:rsid w:val="186905FB"/>
    <w:rsid w:val="18ED3BF9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CF03955"/>
    <w:rsid w:val="1DB649A4"/>
    <w:rsid w:val="1E3F04A0"/>
    <w:rsid w:val="1F665050"/>
    <w:rsid w:val="20410280"/>
    <w:rsid w:val="2056075F"/>
    <w:rsid w:val="212A27BB"/>
    <w:rsid w:val="222D5A43"/>
    <w:rsid w:val="22D4318A"/>
    <w:rsid w:val="25F83B7E"/>
    <w:rsid w:val="270B4CC9"/>
    <w:rsid w:val="27132221"/>
    <w:rsid w:val="276352B8"/>
    <w:rsid w:val="278C5A42"/>
    <w:rsid w:val="27B31D82"/>
    <w:rsid w:val="2CD40E60"/>
    <w:rsid w:val="2D525A7F"/>
    <w:rsid w:val="2E1D0269"/>
    <w:rsid w:val="2E4E60A8"/>
    <w:rsid w:val="2ED67925"/>
    <w:rsid w:val="2FE05F57"/>
    <w:rsid w:val="309602ED"/>
    <w:rsid w:val="31562344"/>
    <w:rsid w:val="332F6F96"/>
    <w:rsid w:val="33352D3F"/>
    <w:rsid w:val="33594798"/>
    <w:rsid w:val="33D0456B"/>
    <w:rsid w:val="35503EF9"/>
    <w:rsid w:val="35C4234F"/>
    <w:rsid w:val="35D52E87"/>
    <w:rsid w:val="37287054"/>
    <w:rsid w:val="3830129F"/>
    <w:rsid w:val="3984516A"/>
    <w:rsid w:val="39DD6B3B"/>
    <w:rsid w:val="3AC466DC"/>
    <w:rsid w:val="3AD30B32"/>
    <w:rsid w:val="3C987926"/>
    <w:rsid w:val="3D183477"/>
    <w:rsid w:val="3D2A17EB"/>
    <w:rsid w:val="3DC820B3"/>
    <w:rsid w:val="3E7D189F"/>
    <w:rsid w:val="401666AC"/>
    <w:rsid w:val="42154AD9"/>
    <w:rsid w:val="42A668D7"/>
    <w:rsid w:val="43387E26"/>
    <w:rsid w:val="43584343"/>
    <w:rsid w:val="43902574"/>
    <w:rsid w:val="43D51557"/>
    <w:rsid w:val="43E579D4"/>
    <w:rsid w:val="454B2B80"/>
    <w:rsid w:val="455C444F"/>
    <w:rsid w:val="46394D8A"/>
    <w:rsid w:val="463B1FB6"/>
    <w:rsid w:val="47446D0D"/>
    <w:rsid w:val="47B63603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CC3EAE"/>
    <w:rsid w:val="537F4E5B"/>
    <w:rsid w:val="538C6AD4"/>
    <w:rsid w:val="53F021E9"/>
    <w:rsid w:val="54642484"/>
    <w:rsid w:val="54967818"/>
    <w:rsid w:val="55DB5089"/>
    <w:rsid w:val="56C76E0F"/>
    <w:rsid w:val="58B568D9"/>
    <w:rsid w:val="59C11524"/>
    <w:rsid w:val="5A104E66"/>
    <w:rsid w:val="5A534A4C"/>
    <w:rsid w:val="5B087BD4"/>
    <w:rsid w:val="5BD7481B"/>
    <w:rsid w:val="5C963663"/>
    <w:rsid w:val="5DE74906"/>
    <w:rsid w:val="5E8B38F1"/>
    <w:rsid w:val="5E945D5F"/>
    <w:rsid w:val="5EAE3DD7"/>
    <w:rsid w:val="5F45158F"/>
    <w:rsid w:val="5F5D3340"/>
    <w:rsid w:val="606C022F"/>
    <w:rsid w:val="62560283"/>
    <w:rsid w:val="627E2658"/>
    <w:rsid w:val="63986664"/>
    <w:rsid w:val="643A2FDE"/>
    <w:rsid w:val="64572E10"/>
    <w:rsid w:val="666B7E70"/>
    <w:rsid w:val="67740AC0"/>
    <w:rsid w:val="67F739EE"/>
    <w:rsid w:val="68E709E5"/>
    <w:rsid w:val="69173852"/>
    <w:rsid w:val="69DD0595"/>
    <w:rsid w:val="6A4813DA"/>
    <w:rsid w:val="6B8D3458"/>
    <w:rsid w:val="6BAF0BC2"/>
    <w:rsid w:val="6BC0352D"/>
    <w:rsid w:val="6DC604A8"/>
    <w:rsid w:val="6EC76EDE"/>
    <w:rsid w:val="6ED20FDF"/>
    <w:rsid w:val="6F4731E7"/>
    <w:rsid w:val="6F7F707B"/>
    <w:rsid w:val="6FC87706"/>
    <w:rsid w:val="6FD41625"/>
    <w:rsid w:val="702C0A2C"/>
    <w:rsid w:val="70C20698"/>
    <w:rsid w:val="7121295A"/>
    <w:rsid w:val="715011E1"/>
    <w:rsid w:val="715035E1"/>
    <w:rsid w:val="71C54A29"/>
    <w:rsid w:val="72782F6E"/>
    <w:rsid w:val="736C2C55"/>
    <w:rsid w:val="73A7579F"/>
    <w:rsid w:val="73C955BE"/>
    <w:rsid w:val="73F6619A"/>
    <w:rsid w:val="748C6E05"/>
    <w:rsid w:val="74EA4B0E"/>
    <w:rsid w:val="75B03D0A"/>
    <w:rsid w:val="76445611"/>
    <w:rsid w:val="799E3C39"/>
    <w:rsid w:val="79A30C85"/>
    <w:rsid w:val="79C75272"/>
    <w:rsid w:val="7AC97F53"/>
    <w:rsid w:val="7C631F0A"/>
    <w:rsid w:val="7D9E3A77"/>
    <w:rsid w:val="7DA976BE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CC0000"/>
    </w:rPr>
  </w:style>
  <w:style w:type="character" w:customStyle="1" w:styleId="17">
    <w:name w:val="red3"/>
    <w:basedOn w:val="10"/>
    <w:qFormat/>
    <w:uiPriority w:val="0"/>
    <w:rPr>
      <w:color w:val="FF0000"/>
    </w:rPr>
  </w:style>
  <w:style w:type="character" w:customStyle="1" w:styleId="18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b-jt"/>
    <w:basedOn w:val="10"/>
    <w:qFormat/>
    <w:uiPriority w:val="0"/>
  </w:style>
  <w:style w:type="character" w:customStyle="1" w:styleId="22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3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24">
    <w:name w:val="l_15"/>
    <w:basedOn w:val="10"/>
    <w:qFormat/>
    <w:uiPriority w:val="0"/>
  </w:style>
  <w:style w:type="character" w:customStyle="1" w:styleId="25">
    <w:name w:val="l_151"/>
    <w:basedOn w:val="10"/>
    <w:uiPriority w:val="0"/>
  </w:style>
  <w:style w:type="character" w:customStyle="1" w:styleId="26">
    <w:name w:val="m-text"/>
    <w:basedOn w:val="10"/>
    <w:qFormat/>
    <w:uiPriority w:val="0"/>
  </w:style>
  <w:style w:type="character" w:customStyle="1" w:styleId="27">
    <w:name w:val="l_9"/>
    <w:basedOn w:val="10"/>
    <w:qFormat/>
    <w:uiPriority w:val="0"/>
  </w:style>
  <w:style w:type="character" w:customStyle="1" w:styleId="28">
    <w:name w:val="l_91"/>
    <w:basedOn w:val="10"/>
    <w:uiPriority w:val="0"/>
  </w:style>
  <w:style w:type="character" w:customStyle="1" w:styleId="29">
    <w:name w:val="l_4"/>
    <w:basedOn w:val="10"/>
    <w:qFormat/>
    <w:uiPriority w:val="0"/>
  </w:style>
  <w:style w:type="character" w:customStyle="1" w:styleId="30">
    <w:name w:val="icon_xzry"/>
    <w:basedOn w:val="10"/>
    <w:uiPriority w:val="0"/>
  </w:style>
  <w:style w:type="character" w:customStyle="1" w:styleId="31">
    <w:name w:val="swapimg"/>
    <w:basedOn w:val="10"/>
    <w:uiPriority w:val="0"/>
  </w:style>
  <w:style w:type="character" w:customStyle="1" w:styleId="32">
    <w:name w:val="swapimg1"/>
    <w:basedOn w:val="10"/>
    <w:qFormat/>
    <w:uiPriority w:val="0"/>
  </w:style>
  <w:style w:type="character" w:customStyle="1" w:styleId="33">
    <w:name w:val="menutitle"/>
    <w:basedOn w:val="10"/>
    <w:uiPriority w:val="0"/>
    <w:rPr>
      <w:color w:val="333333"/>
      <w:sz w:val="24"/>
      <w:szCs w:val="24"/>
    </w:rPr>
  </w:style>
  <w:style w:type="character" w:customStyle="1" w:styleId="34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35">
    <w:name w:val="icon_lzrz"/>
    <w:basedOn w:val="10"/>
    <w:uiPriority w:val="0"/>
  </w:style>
  <w:style w:type="character" w:customStyle="1" w:styleId="36">
    <w:name w:val="focus2"/>
    <w:basedOn w:val="10"/>
    <w:uiPriority w:val="0"/>
    <w:rPr>
      <w:b/>
      <w:color w:val="000000"/>
    </w:rPr>
  </w:style>
  <w:style w:type="character" w:customStyle="1" w:styleId="37">
    <w:name w:val="close6"/>
    <w:basedOn w:val="10"/>
    <w:uiPriority w:val="0"/>
  </w:style>
  <w:style w:type="character" w:customStyle="1" w:styleId="38">
    <w:name w:val="searchclose"/>
    <w:basedOn w:val="10"/>
    <w:qFormat/>
    <w:uiPriority w:val="0"/>
  </w:style>
  <w:style w:type="character" w:customStyle="1" w:styleId="39">
    <w:name w:val="searchopen"/>
    <w:basedOn w:val="10"/>
    <w:qFormat/>
    <w:uiPriority w:val="0"/>
  </w:style>
  <w:style w:type="character" w:customStyle="1" w:styleId="40">
    <w:name w:val="icon_dljg"/>
    <w:basedOn w:val="10"/>
    <w:uiPriority w:val="0"/>
  </w:style>
  <w:style w:type="character" w:customStyle="1" w:styleId="41">
    <w:name w:val="icon_cxktbr"/>
    <w:basedOn w:val="10"/>
    <w:qFormat/>
    <w:uiPriority w:val="0"/>
  </w:style>
  <w:style w:type="character" w:customStyle="1" w:styleId="42">
    <w:name w:val="icon_cxkcyry"/>
    <w:basedOn w:val="10"/>
    <w:uiPriority w:val="0"/>
  </w:style>
  <w:style w:type="character" w:customStyle="1" w:styleId="43">
    <w:name w:val="icon_gzkj"/>
    <w:basedOn w:val="10"/>
    <w:uiPriority w:val="0"/>
  </w:style>
  <w:style w:type="character" w:customStyle="1" w:styleId="44">
    <w:name w:val="icon_xglc"/>
    <w:basedOn w:val="10"/>
    <w:uiPriority w:val="0"/>
  </w:style>
  <w:style w:type="character" w:customStyle="1" w:styleId="45">
    <w:name w:val="l_11"/>
    <w:basedOn w:val="10"/>
    <w:qFormat/>
    <w:uiPriority w:val="0"/>
  </w:style>
  <w:style w:type="character" w:customStyle="1" w:styleId="46">
    <w:name w:val="l_111"/>
    <w:basedOn w:val="10"/>
    <w:uiPriority w:val="0"/>
  </w:style>
  <w:style w:type="character" w:customStyle="1" w:styleId="47">
    <w:name w:val="l_0"/>
    <w:basedOn w:val="10"/>
    <w:uiPriority w:val="0"/>
  </w:style>
  <w:style w:type="character" w:customStyle="1" w:styleId="48">
    <w:name w:val="l_01"/>
    <w:basedOn w:val="10"/>
    <w:qFormat/>
    <w:uiPriority w:val="0"/>
  </w:style>
  <w:style w:type="character" w:customStyle="1" w:styleId="49">
    <w:name w:val="l_1"/>
    <w:basedOn w:val="10"/>
    <w:uiPriority w:val="0"/>
  </w:style>
  <w:style w:type="character" w:customStyle="1" w:styleId="50">
    <w:name w:val="l_12"/>
    <w:basedOn w:val="10"/>
    <w:uiPriority w:val="0"/>
  </w:style>
  <w:style w:type="character" w:customStyle="1" w:styleId="51">
    <w:name w:val="l_3"/>
    <w:basedOn w:val="10"/>
    <w:uiPriority w:val="0"/>
  </w:style>
  <w:style w:type="character" w:customStyle="1" w:styleId="52">
    <w:name w:val="l_31"/>
    <w:basedOn w:val="10"/>
    <w:uiPriority w:val="0"/>
  </w:style>
  <w:style w:type="character" w:customStyle="1" w:styleId="53">
    <w:name w:val="l_2"/>
    <w:basedOn w:val="10"/>
    <w:uiPriority w:val="0"/>
  </w:style>
  <w:style w:type="character" w:customStyle="1" w:styleId="54">
    <w:name w:val="l_21"/>
    <w:basedOn w:val="10"/>
    <w:qFormat/>
    <w:uiPriority w:val="0"/>
  </w:style>
  <w:style w:type="character" w:customStyle="1" w:styleId="55">
    <w:name w:val="l_6"/>
    <w:basedOn w:val="10"/>
    <w:uiPriority w:val="0"/>
  </w:style>
  <w:style w:type="character" w:customStyle="1" w:styleId="56">
    <w:name w:val="l_61"/>
    <w:basedOn w:val="10"/>
    <w:uiPriority w:val="0"/>
  </w:style>
  <w:style w:type="character" w:customStyle="1" w:styleId="57">
    <w:name w:val="l_5"/>
    <w:basedOn w:val="10"/>
    <w:uiPriority w:val="0"/>
  </w:style>
  <w:style w:type="character" w:customStyle="1" w:styleId="58">
    <w:name w:val="l_51"/>
    <w:basedOn w:val="10"/>
    <w:qFormat/>
    <w:uiPriority w:val="0"/>
  </w:style>
  <w:style w:type="character" w:customStyle="1" w:styleId="59">
    <w:name w:val="l_7"/>
    <w:basedOn w:val="10"/>
    <w:uiPriority w:val="0"/>
  </w:style>
  <w:style w:type="character" w:customStyle="1" w:styleId="60">
    <w:name w:val="l_71"/>
    <w:basedOn w:val="10"/>
    <w:uiPriority w:val="0"/>
  </w:style>
  <w:style w:type="character" w:customStyle="1" w:styleId="61">
    <w:name w:val="l_8"/>
    <w:basedOn w:val="10"/>
    <w:qFormat/>
    <w:uiPriority w:val="0"/>
  </w:style>
  <w:style w:type="character" w:customStyle="1" w:styleId="62">
    <w:name w:val="l_81"/>
    <w:basedOn w:val="10"/>
    <w:qFormat/>
    <w:uiPriority w:val="0"/>
  </w:style>
  <w:style w:type="character" w:customStyle="1" w:styleId="63">
    <w:name w:val="l_10"/>
    <w:basedOn w:val="10"/>
    <w:qFormat/>
    <w:uiPriority w:val="0"/>
  </w:style>
  <w:style w:type="character" w:customStyle="1" w:styleId="64">
    <w:name w:val="l_101"/>
    <w:basedOn w:val="10"/>
    <w:qFormat/>
    <w:uiPriority w:val="0"/>
  </w:style>
  <w:style w:type="character" w:customStyle="1" w:styleId="65">
    <w:name w:val="l_121"/>
    <w:basedOn w:val="10"/>
    <w:uiPriority w:val="0"/>
  </w:style>
  <w:style w:type="character" w:customStyle="1" w:styleId="66">
    <w:name w:val="l_122"/>
    <w:basedOn w:val="10"/>
    <w:uiPriority w:val="0"/>
  </w:style>
  <w:style w:type="character" w:customStyle="1" w:styleId="67">
    <w:name w:val="l_14"/>
    <w:basedOn w:val="10"/>
    <w:qFormat/>
    <w:uiPriority w:val="0"/>
  </w:style>
  <w:style w:type="character" w:customStyle="1" w:styleId="68">
    <w:name w:val="l_141"/>
    <w:basedOn w:val="10"/>
    <w:qFormat/>
    <w:uiPriority w:val="0"/>
  </w:style>
  <w:style w:type="character" w:customStyle="1" w:styleId="69">
    <w:name w:val="l_13"/>
    <w:basedOn w:val="10"/>
    <w:uiPriority w:val="0"/>
  </w:style>
  <w:style w:type="character" w:customStyle="1" w:styleId="70">
    <w:name w:val="l_131"/>
    <w:basedOn w:val="10"/>
    <w:qFormat/>
    <w:uiPriority w:val="0"/>
  </w:style>
  <w:style w:type="character" w:customStyle="1" w:styleId="71">
    <w:name w:val="color_cdyy"/>
    <w:basedOn w:val="10"/>
    <w:uiPriority w:val="0"/>
    <w:rPr>
      <w:color w:val="FFFFFF"/>
      <w:bdr w:val="single" w:color="FFFFFF" w:sz="6" w:space="0"/>
    </w:rPr>
  </w:style>
  <w:style w:type="character" w:customStyle="1" w:styleId="72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73">
    <w:name w:val="menutitle11"/>
    <w:basedOn w:val="10"/>
    <w:uiPriority w:val="0"/>
    <w:rPr>
      <w:color w:val="333333"/>
      <w:sz w:val="24"/>
      <w:szCs w:val="24"/>
    </w:rPr>
  </w:style>
  <w:style w:type="character" w:customStyle="1" w:styleId="74">
    <w:name w:val="focus"/>
    <w:basedOn w:val="10"/>
    <w:qFormat/>
    <w:uiPriority w:val="0"/>
    <w:rPr>
      <w:b/>
      <w:color w:val="000000"/>
    </w:rPr>
  </w:style>
  <w:style w:type="character" w:customStyle="1" w:styleId="75">
    <w:name w:val="l_41"/>
    <w:basedOn w:val="10"/>
    <w:uiPriority w:val="0"/>
  </w:style>
  <w:style w:type="character" w:customStyle="1" w:styleId="76">
    <w:name w:val="l_112"/>
    <w:basedOn w:val="10"/>
    <w:uiPriority w:val="0"/>
  </w:style>
  <w:style w:type="character" w:customStyle="1" w:styleId="77">
    <w:name w:val="close"/>
    <w:basedOn w:val="10"/>
    <w:uiPriority w:val="0"/>
  </w:style>
  <w:style w:type="character" w:customStyle="1" w:styleId="78">
    <w:name w:val="swapimg4"/>
    <w:basedOn w:val="10"/>
    <w:uiPriority w:val="0"/>
  </w:style>
  <w:style w:type="character" w:customStyle="1" w:styleId="79">
    <w:name w:val="swapimg5"/>
    <w:basedOn w:val="10"/>
    <w:uiPriority w:val="0"/>
  </w:style>
  <w:style w:type="character" w:customStyle="1" w:styleId="80">
    <w:name w:val="close5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禹州市公共资源交易中心:付珊珊</cp:lastModifiedBy>
  <cp:lastPrinted>2019-12-19T05:58:00Z</cp:lastPrinted>
  <dcterms:modified xsi:type="dcterms:W3CDTF">2019-12-23T01:28:42Z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