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auto"/>
          <w:sz w:val="44"/>
          <w:szCs w:val="44"/>
        </w:rPr>
      </w:pPr>
    </w:p>
    <w:p>
      <w:pPr>
        <w:jc w:val="center"/>
        <w:rPr>
          <w:rFonts w:ascii="黑体" w:hAnsi="黑体" w:eastAsia="黑体" w:cs="黑体"/>
          <w:b/>
          <w:bCs/>
          <w:color w:val="auto"/>
          <w:sz w:val="44"/>
          <w:szCs w:val="44"/>
          <w:shd w:val="clear" w:color="auto" w:fill="FFFFFF"/>
        </w:rPr>
      </w:pPr>
      <w:r>
        <w:rPr>
          <w:rFonts w:hint="eastAsia" w:ascii="黑体" w:hAnsi="黑体" w:eastAsia="黑体" w:cs="黑体"/>
          <w:b/>
          <w:bCs/>
          <w:color w:val="auto"/>
          <w:sz w:val="44"/>
          <w:szCs w:val="44"/>
          <w:shd w:val="clear" w:color="auto" w:fill="FFFFFF"/>
        </w:rPr>
        <w:t>长葛市机关事务管理局</w:t>
      </w:r>
    </w:p>
    <w:p>
      <w:pPr>
        <w:jc w:val="center"/>
        <w:rPr>
          <w:rFonts w:ascii="黑体" w:hAnsi="黑体" w:eastAsia="黑体" w:cs="黑体"/>
          <w:b/>
          <w:color w:val="auto"/>
          <w:spacing w:val="-16"/>
          <w:w w:val="90"/>
          <w:kern w:val="22"/>
          <w:sz w:val="44"/>
          <w:szCs w:val="44"/>
        </w:rPr>
      </w:pPr>
      <w:r>
        <w:rPr>
          <w:rFonts w:ascii="黑体" w:hAnsi="黑体" w:eastAsia="黑体" w:cs="黑体"/>
          <w:b/>
          <w:bCs/>
          <w:color w:val="auto"/>
          <w:sz w:val="44"/>
          <w:szCs w:val="44"/>
          <w:shd w:val="clear" w:color="auto" w:fill="FFFFFF"/>
        </w:rPr>
        <w:t>“</w:t>
      </w:r>
      <w:r>
        <w:rPr>
          <w:rFonts w:hint="eastAsia" w:ascii="黑体" w:hAnsi="黑体" w:eastAsia="黑体" w:cs="黑体"/>
          <w:b/>
          <w:bCs/>
          <w:color w:val="auto"/>
          <w:sz w:val="44"/>
          <w:szCs w:val="44"/>
          <w:shd w:val="clear" w:color="auto" w:fill="FFFFFF"/>
        </w:rPr>
        <w:t>行政办公区办公大楼物业服务</w:t>
      </w:r>
      <w:r>
        <w:rPr>
          <w:rFonts w:ascii="黑体" w:hAnsi="黑体" w:eastAsia="黑体" w:cs="黑体"/>
          <w:b/>
          <w:bCs/>
          <w:color w:val="auto"/>
          <w:sz w:val="44"/>
          <w:szCs w:val="44"/>
          <w:shd w:val="clear" w:color="auto" w:fill="FFFFFF"/>
        </w:rPr>
        <w:t>”</w:t>
      </w:r>
      <w:r>
        <w:rPr>
          <w:rFonts w:hint="eastAsia" w:ascii="黑体" w:hAnsi="黑体" w:eastAsia="黑体" w:cs="黑体"/>
          <w:b/>
          <w:bCs/>
          <w:color w:val="auto"/>
          <w:sz w:val="44"/>
          <w:szCs w:val="44"/>
          <w:shd w:val="clear" w:color="auto" w:fill="FFFFFF"/>
        </w:rPr>
        <w:t>项目</w:t>
      </w: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Theme="majorEastAsia" w:hAnsiTheme="majorEastAsia" w:eastAsiaTheme="majorEastAsia" w:cstheme="majorEastAsia"/>
          <w:bCs/>
          <w:color w:val="auto"/>
          <w:w w:val="90"/>
          <w:sz w:val="120"/>
          <w:szCs w:val="120"/>
        </w:rPr>
      </w:pPr>
      <w:r>
        <w:rPr>
          <w:rFonts w:hint="eastAsia" w:asciiTheme="majorEastAsia" w:hAnsiTheme="majorEastAsia" w:eastAsiaTheme="majorEastAsia" w:cstheme="majorEastAsia"/>
          <w:b/>
          <w:color w:val="auto"/>
          <w:w w:val="90"/>
          <w:sz w:val="84"/>
          <w:szCs w:val="84"/>
        </w:rPr>
        <w:t>招 标 文 件</w:t>
      </w:r>
    </w:p>
    <w:p>
      <w:pPr>
        <w:jc w:val="center"/>
        <w:rPr>
          <w:rFonts w:ascii="微软简隶书" w:eastAsia="微软简隶书"/>
          <w:color w:val="auto"/>
        </w:rPr>
      </w:pPr>
      <w:r>
        <w:rPr>
          <w:rFonts w:hint="eastAsia" w:asciiTheme="majorEastAsia" w:hAnsiTheme="majorEastAsia" w:eastAsiaTheme="majorEastAsia" w:cstheme="majorEastAsia"/>
          <w:b/>
          <w:bCs/>
          <w:color w:val="auto"/>
          <w:sz w:val="30"/>
          <w:szCs w:val="30"/>
        </w:rPr>
        <w:t>项目编号：长招采公字【2019】</w:t>
      </w:r>
      <w:r>
        <w:rPr>
          <w:rFonts w:hint="eastAsia" w:asciiTheme="majorEastAsia" w:hAnsiTheme="majorEastAsia" w:eastAsiaTheme="majorEastAsia" w:cstheme="majorEastAsia"/>
          <w:b/>
          <w:bCs/>
          <w:color w:val="auto"/>
          <w:sz w:val="30"/>
          <w:szCs w:val="30"/>
          <w:lang w:val="en-US" w:eastAsia="zh-CN"/>
        </w:rPr>
        <w:t>113</w:t>
      </w:r>
      <w:r>
        <w:rPr>
          <w:rFonts w:hint="eastAsia" w:asciiTheme="majorEastAsia" w:hAnsiTheme="majorEastAsia" w:eastAsiaTheme="majorEastAsia" w:cstheme="majorEastAsia"/>
          <w:b/>
          <w:bCs/>
          <w:color w:val="auto"/>
          <w:sz w:val="30"/>
          <w:szCs w:val="30"/>
        </w:rPr>
        <w:t>号</w:t>
      </w:r>
    </w:p>
    <w:p>
      <w:pPr>
        <w:rPr>
          <w:rFonts w:ascii="微软简隶书" w:eastAsia="微软简隶书"/>
          <w:color w:val="auto"/>
        </w:rPr>
      </w:pPr>
    </w:p>
    <w:p>
      <w:pPr>
        <w:rPr>
          <w:rFonts w:ascii="微软简隶书" w:eastAsia="微软简隶书"/>
          <w:color w:val="auto"/>
        </w:rPr>
      </w:pPr>
    </w:p>
    <w:p>
      <w:pPr>
        <w:jc w:val="center"/>
        <w:rPr>
          <w:rFonts w:ascii="微软简隶书" w:eastAsia="微软简隶书"/>
          <w:color w:val="auto"/>
        </w:rPr>
      </w:pPr>
    </w:p>
    <w:p>
      <w:pPr>
        <w:jc w:val="center"/>
        <w:rPr>
          <w:rFonts w:ascii="微软简隶书" w:eastAsia="微软简隶书"/>
          <w:color w:val="auto"/>
        </w:rPr>
      </w:pPr>
    </w:p>
    <w:p>
      <w:pPr>
        <w:jc w:val="center"/>
        <w:rPr>
          <w:rFonts w:ascii="微软简隶书" w:eastAsia="微软简隶书"/>
          <w:color w:val="auto"/>
        </w:rPr>
      </w:pPr>
    </w:p>
    <w:p>
      <w:pPr>
        <w:jc w:val="center"/>
        <w:rPr>
          <w:rFonts w:ascii="微软简隶书" w:eastAsia="微软简隶书"/>
          <w:color w:val="auto"/>
        </w:rPr>
      </w:pPr>
    </w:p>
    <w:p>
      <w:pPr>
        <w:ind w:firstLine="1084" w:firstLineChars="300"/>
        <w:rPr>
          <w:rFonts w:asciiTheme="majorEastAsia" w:hAnsiTheme="majorEastAsia" w:eastAsiaTheme="majorEastAsia" w:cstheme="majorEastAsia"/>
          <w:b/>
          <w:bCs/>
          <w:color w:val="auto"/>
          <w:sz w:val="36"/>
          <w:szCs w:val="36"/>
        </w:rPr>
      </w:pPr>
    </w:p>
    <w:p>
      <w:pPr>
        <w:ind w:firstLine="1084" w:firstLineChars="300"/>
        <w:rPr>
          <w:rFonts w:asciiTheme="majorEastAsia" w:hAnsiTheme="majorEastAsia" w:eastAsiaTheme="majorEastAsia" w:cstheme="majorEastAsia"/>
          <w:b/>
          <w:bCs/>
          <w:color w:val="auto"/>
          <w:sz w:val="36"/>
          <w:szCs w:val="36"/>
        </w:rPr>
      </w:pPr>
    </w:p>
    <w:p>
      <w:pPr>
        <w:ind w:firstLine="964" w:firstLineChars="300"/>
        <w:rPr>
          <w:rFonts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采购单位：长葛市机关事务管理局</w:t>
      </w:r>
    </w:p>
    <w:p>
      <w:pPr>
        <w:ind w:firstLine="964" w:firstLineChars="300"/>
        <w:rPr>
          <w:rFonts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集中采购机构：长葛市公共资源交易中心</w:t>
      </w:r>
    </w:p>
    <w:p>
      <w:pPr>
        <w:rPr>
          <w:rFonts w:asciiTheme="majorEastAsia" w:hAnsiTheme="majorEastAsia" w:eastAsiaTheme="majorEastAsia" w:cstheme="majorEastAsia"/>
          <w:b/>
          <w:bCs/>
          <w:color w:val="auto"/>
          <w:sz w:val="32"/>
          <w:szCs w:val="32"/>
        </w:rPr>
      </w:pPr>
    </w:p>
    <w:p>
      <w:pPr>
        <w:jc w:val="center"/>
        <w:rPr>
          <w:rFonts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二〇一九年十二月</w:t>
      </w:r>
    </w:p>
    <w:p>
      <w:pPr>
        <w:rPr>
          <w:rFonts w:asciiTheme="majorEastAsia" w:hAnsiTheme="majorEastAsia" w:eastAsiaTheme="majorEastAsia" w:cstheme="majorEastAsia"/>
          <w:b/>
          <w:bCs/>
          <w:color w:val="auto"/>
          <w:sz w:val="36"/>
          <w:szCs w:val="36"/>
        </w:rPr>
      </w:pPr>
    </w:p>
    <w:p>
      <w:pPr>
        <w:autoSpaceDE w:val="0"/>
        <w:autoSpaceDN w:val="0"/>
        <w:adjustRightInd w:val="0"/>
        <w:spacing w:line="700" w:lineRule="exact"/>
        <w:ind w:firstLine="551"/>
        <w:jc w:val="center"/>
        <w:rPr>
          <w:rFonts w:cs="宋体" w:asciiTheme="majorEastAsia" w:hAnsiTheme="majorEastAsia" w:eastAsiaTheme="majorEastAsia"/>
          <w:b/>
          <w:color w:val="auto"/>
          <w:kern w:val="0"/>
          <w:sz w:val="44"/>
          <w:szCs w:val="44"/>
        </w:rPr>
      </w:pPr>
      <w:r>
        <w:rPr>
          <w:rFonts w:hint="eastAsia" w:cs="宋体" w:asciiTheme="majorEastAsia" w:hAnsiTheme="majorEastAsia" w:eastAsiaTheme="majorEastAsia"/>
          <w:b/>
          <w:color w:val="auto"/>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第三章 </w:t>
      </w:r>
      <w:r>
        <w:rPr>
          <w:rFonts w:hint="eastAsia" w:asciiTheme="majorEastAsia" w:hAnsiTheme="majorEastAsia" w:eastAsiaTheme="majorEastAsia" w:cstheme="majorEastAsia"/>
          <w:b/>
          <w:color w:val="auto"/>
          <w:kern w:val="0"/>
          <w:sz w:val="30"/>
          <w:szCs w:val="30"/>
        </w:rPr>
        <w:t>投标人须知前附表</w:t>
      </w:r>
    </w:p>
    <w:p>
      <w:pPr>
        <w:autoSpaceDE w:val="0"/>
        <w:autoSpaceDN w:val="0"/>
        <w:adjustRightInd w:val="0"/>
        <w:spacing w:line="700" w:lineRule="exact"/>
        <w:ind w:firstLine="560"/>
        <w:rPr>
          <w:rFonts w:hint="default" w:asciiTheme="majorEastAsia" w:hAnsiTheme="majorEastAsia" w:eastAsiaTheme="majorEastAsia" w:cstheme="majorEastAsia"/>
          <w:b/>
          <w:color w:val="auto"/>
          <w:kern w:val="0"/>
          <w:sz w:val="30"/>
          <w:szCs w:val="30"/>
          <w:lang w:val="en-US" w:eastAsia="zh-CN"/>
        </w:rPr>
      </w:pPr>
      <w:r>
        <w:rPr>
          <w:rFonts w:hint="eastAsia" w:asciiTheme="majorEastAsia" w:hAnsiTheme="majorEastAsia" w:eastAsiaTheme="majorEastAsia" w:cstheme="majorEastAsia"/>
          <w:b/>
          <w:bCs/>
          <w:color w:val="auto"/>
          <w:sz w:val="30"/>
          <w:szCs w:val="30"/>
          <w:lang w:val="zh-CN"/>
        </w:rPr>
        <w:t xml:space="preserve">第四章 </w:t>
      </w:r>
      <w:r>
        <w:rPr>
          <w:rFonts w:hint="eastAsia" w:asciiTheme="majorEastAsia" w:hAnsiTheme="majorEastAsia" w:eastAsiaTheme="majorEastAsia" w:cstheme="majorEastAsia"/>
          <w:b/>
          <w:color w:val="auto"/>
          <w:kern w:val="0"/>
          <w:sz w:val="30"/>
          <w:szCs w:val="30"/>
        </w:rPr>
        <w:t>投标人须知</w:t>
      </w:r>
      <w:r>
        <w:rPr>
          <w:rFonts w:hint="eastAsia" w:asciiTheme="majorEastAsia" w:hAnsiTheme="majorEastAsia" w:eastAsiaTheme="majorEastAsia" w:cstheme="majorEastAsia"/>
          <w:b/>
          <w:color w:val="auto"/>
          <w:kern w:val="0"/>
          <w:sz w:val="30"/>
          <w:szCs w:val="30"/>
          <w:lang w:val="en-US" w:eastAsia="zh-CN"/>
        </w:rPr>
        <w:t xml:space="preserve">   </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 xml:space="preserve">第五章 </w:t>
      </w:r>
      <w:r>
        <w:rPr>
          <w:rFonts w:hint="eastAsia" w:asciiTheme="majorEastAsia" w:hAnsiTheme="majorEastAsia" w:eastAsiaTheme="majorEastAsia" w:cstheme="majorEastAsia"/>
          <w:b/>
          <w:color w:val="auto"/>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 xml:space="preserve">第六章 </w:t>
      </w:r>
      <w:r>
        <w:rPr>
          <w:rFonts w:hint="eastAsia" w:asciiTheme="majorEastAsia" w:hAnsiTheme="majorEastAsia" w:eastAsiaTheme="majorEastAsia" w:cstheme="majorEastAsia"/>
          <w:b/>
          <w:color w:val="auto"/>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 xml:space="preserve">第七章 </w:t>
      </w:r>
      <w:r>
        <w:rPr>
          <w:rFonts w:hint="eastAsia" w:asciiTheme="majorEastAsia" w:hAnsiTheme="majorEastAsia" w:eastAsiaTheme="majorEastAsia" w:cstheme="majorEastAsia"/>
          <w:b/>
          <w:color w:val="auto"/>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第八章 </w:t>
      </w:r>
      <w:r>
        <w:rPr>
          <w:rFonts w:hint="eastAsia" w:asciiTheme="majorEastAsia" w:hAnsiTheme="majorEastAsia" w:eastAsiaTheme="majorEastAsia" w:cstheme="majorEastAsia"/>
          <w:b/>
          <w:color w:val="auto"/>
          <w:kern w:val="0"/>
          <w:sz w:val="30"/>
          <w:szCs w:val="30"/>
        </w:rPr>
        <w:t>投标文件有关格式</w:t>
      </w: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第一章 投标邀请</w:t>
      </w:r>
    </w:p>
    <w:p>
      <w:pPr>
        <w:jc w:val="left"/>
        <w:rPr>
          <w:color w:val="auto"/>
          <w:szCs w:val="21"/>
          <w:shd w:val="clear" w:color="auto" w:fill="FFFFFF"/>
        </w:rPr>
      </w:pPr>
      <w:r>
        <w:rPr>
          <w:rFonts w:hint="eastAsia"/>
          <w:color w:val="auto"/>
          <w:szCs w:val="21"/>
          <w:shd w:val="clear" w:color="auto" w:fill="FFFFFF"/>
        </w:rPr>
        <w:t xml:space="preserve">    长葛市公共资源交易中心受长葛市机关事务管理局的委托，对长葛市机关事务管理局</w:t>
      </w:r>
      <w:r>
        <w:rPr>
          <w:color w:val="auto"/>
          <w:szCs w:val="21"/>
          <w:shd w:val="clear" w:color="auto" w:fill="FFFFFF"/>
        </w:rPr>
        <w:t>”</w:t>
      </w:r>
      <w:r>
        <w:rPr>
          <w:rFonts w:hint="eastAsia"/>
          <w:color w:val="auto"/>
          <w:szCs w:val="21"/>
          <w:shd w:val="clear" w:color="auto" w:fill="FFFFFF"/>
        </w:rPr>
        <w:t>行政办公区办公大楼物业服务</w:t>
      </w:r>
      <w:r>
        <w:rPr>
          <w:color w:val="auto"/>
          <w:szCs w:val="21"/>
          <w:shd w:val="clear" w:color="auto" w:fill="FFFFFF"/>
        </w:rPr>
        <w:t>”</w:t>
      </w:r>
      <w:r>
        <w:rPr>
          <w:rFonts w:hint="eastAsia"/>
          <w:color w:val="auto"/>
          <w:szCs w:val="21"/>
          <w:shd w:val="clear" w:color="auto" w:fill="FFFFFF"/>
        </w:rPr>
        <w:t>项目进行公开招标。现邀请符合本招标文件规定条件的供应商前来投标。</w:t>
      </w:r>
    </w:p>
    <w:p>
      <w:pPr>
        <w:pStyle w:val="21"/>
        <w:widowControl/>
        <w:shd w:val="clear" w:color="auto" w:fill="FFFFFF"/>
        <w:spacing w:line="360" w:lineRule="auto"/>
        <w:ind w:firstLine="420" w:firstLineChars="200"/>
        <w:contextualSpacing/>
        <w:jc w:val="left"/>
        <w:rPr>
          <w:rFonts w:asciiTheme="minorHAnsi" w:hAnsiTheme="minorHAnsi" w:eastAsiaTheme="minorEastAsia" w:cstheme="minorBidi"/>
          <w:color w:val="auto"/>
          <w:sz w:val="21"/>
          <w:szCs w:val="21"/>
          <w:shd w:val="clear" w:color="auto" w:fill="FFFFFF"/>
        </w:rPr>
      </w:pPr>
      <w:r>
        <w:rPr>
          <w:rFonts w:hint="eastAsia" w:asciiTheme="minorHAnsi" w:hAnsiTheme="minorHAnsi" w:eastAsiaTheme="minorEastAsia" w:cstheme="minorBidi"/>
          <w:color w:val="auto"/>
          <w:sz w:val="21"/>
          <w:szCs w:val="21"/>
          <w:shd w:val="clear" w:color="auto" w:fill="FFFFFF"/>
        </w:rPr>
        <w:t>一、项目基本情况</w:t>
      </w:r>
    </w:p>
    <w:p>
      <w:pPr>
        <w:pStyle w:val="21"/>
        <w:widowControl/>
        <w:shd w:val="clear" w:color="auto" w:fill="FFFFFF"/>
        <w:spacing w:line="360" w:lineRule="auto"/>
        <w:ind w:firstLine="420" w:firstLineChars="200"/>
        <w:contextualSpacing/>
        <w:jc w:val="left"/>
        <w:rPr>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（一）项目名</w:t>
      </w:r>
      <w:r>
        <w:rPr>
          <w:rFonts w:hint="eastAsia"/>
          <w:color w:val="auto"/>
          <w:sz w:val="21"/>
          <w:szCs w:val="21"/>
          <w:shd w:val="clear" w:color="auto" w:fill="FFFFFF"/>
        </w:rPr>
        <w:t>称：长葛市机关事务管理局”行政办公区办公大楼物业服务”项目</w:t>
      </w:r>
      <w:r>
        <w:rPr>
          <w:color w:val="auto"/>
          <w:sz w:val="21"/>
          <w:szCs w:val="21"/>
          <w:shd w:val="clear" w:color="auto" w:fill="FFFFFF"/>
        </w:rPr>
        <w:t xml:space="preserve"> </w:t>
      </w:r>
    </w:p>
    <w:p>
      <w:pPr>
        <w:pStyle w:val="21"/>
        <w:widowControl/>
        <w:shd w:val="clear" w:color="auto" w:fill="FFFFFF"/>
        <w:spacing w:line="360" w:lineRule="auto"/>
        <w:ind w:firstLine="420" w:firstLineChars="200"/>
        <w:contextualSpacing/>
        <w:jc w:val="left"/>
        <w:rPr>
          <w:color w:val="auto"/>
          <w:sz w:val="21"/>
          <w:szCs w:val="21"/>
          <w:shd w:val="clear" w:color="auto" w:fill="FFFFFF"/>
        </w:rPr>
      </w:pPr>
      <w:r>
        <w:rPr>
          <w:rFonts w:hint="eastAsia"/>
          <w:color w:val="auto"/>
          <w:sz w:val="21"/>
          <w:szCs w:val="21"/>
          <w:shd w:val="clear" w:color="auto" w:fill="FFFFFF"/>
        </w:rPr>
        <w:t>（二）项目编号：长招采公字【2019】</w:t>
      </w:r>
      <w:r>
        <w:rPr>
          <w:rFonts w:hint="eastAsia"/>
          <w:color w:val="auto"/>
          <w:sz w:val="21"/>
          <w:szCs w:val="21"/>
          <w:shd w:val="clear" w:color="auto" w:fill="FFFFFF"/>
          <w:lang w:val="en-US" w:eastAsia="zh-CN"/>
        </w:rPr>
        <w:t>113</w:t>
      </w:r>
      <w:r>
        <w:rPr>
          <w:rFonts w:hint="eastAsia"/>
          <w:color w:val="auto"/>
          <w:sz w:val="21"/>
          <w:szCs w:val="21"/>
          <w:shd w:val="clear" w:color="auto" w:fill="FFFFFF"/>
        </w:rPr>
        <w:t xml:space="preserve">号    </w:t>
      </w:r>
    </w:p>
    <w:p>
      <w:pPr>
        <w:pStyle w:val="21"/>
        <w:widowControl/>
        <w:shd w:val="clear" w:color="auto" w:fill="FFFFFF"/>
        <w:spacing w:line="360" w:lineRule="auto"/>
        <w:ind w:firstLine="420" w:firstLineChars="200"/>
        <w:contextualSpacing/>
        <w:jc w:val="left"/>
        <w:rPr>
          <w:color w:val="auto"/>
          <w:sz w:val="21"/>
          <w:szCs w:val="21"/>
          <w:shd w:val="clear" w:color="auto" w:fill="FFFFFF"/>
        </w:rPr>
      </w:pPr>
      <w:r>
        <w:rPr>
          <w:rFonts w:hint="eastAsia"/>
          <w:color w:val="auto"/>
          <w:sz w:val="21"/>
          <w:szCs w:val="21"/>
          <w:shd w:val="clear" w:color="auto" w:fill="FFFFFF"/>
        </w:rPr>
        <w:t xml:space="preserve">（三）采购方式：公开招标                                                                                                                         </w:t>
      </w:r>
    </w:p>
    <w:p>
      <w:pPr>
        <w:pStyle w:val="21"/>
        <w:widowControl/>
        <w:spacing w:line="360" w:lineRule="auto"/>
        <w:ind w:firstLine="420" w:firstLineChars="200"/>
        <w:rPr>
          <w:color w:val="auto"/>
          <w:sz w:val="21"/>
          <w:szCs w:val="21"/>
          <w:shd w:val="clear" w:color="auto" w:fill="FFFFFF"/>
        </w:rPr>
      </w:pPr>
      <w:r>
        <w:rPr>
          <w:rFonts w:hint="eastAsia"/>
          <w:color w:val="auto"/>
          <w:sz w:val="21"/>
          <w:szCs w:val="21"/>
          <w:shd w:val="clear" w:color="auto" w:fill="FFFFFF"/>
        </w:rPr>
        <w:t>（四）采购内容：长葛市机关事务管理局”行政办公区办公大楼物业服务”项目；详见招标文件。</w:t>
      </w:r>
    </w:p>
    <w:p>
      <w:pPr>
        <w:pStyle w:val="21"/>
        <w:widowControl/>
        <w:shd w:val="clear" w:color="auto" w:fill="FFFFFF"/>
        <w:spacing w:line="360" w:lineRule="auto"/>
        <w:ind w:firstLine="420" w:firstLineChars="200"/>
        <w:contextualSpacing/>
        <w:jc w:val="left"/>
        <w:rPr>
          <w:color w:val="auto"/>
          <w:sz w:val="21"/>
          <w:szCs w:val="21"/>
          <w:shd w:val="clear" w:color="auto" w:fill="FFFFFF"/>
        </w:rPr>
      </w:pPr>
      <w:r>
        <w:rPr>
          <w:rFonts w:hint="eastAsia"/>
          <w:color w:val="auto"/>
          <w:sz w:val="21"/>
          <w:szCs w:val="21"/>
          <w:shd w:val="clear" w:color="auto" w:fill="FFFFFF"/>
        </w:rPr>
        <w:t>（五）预算金额：</w:t>
      </w:r>
    </w:p>
    <w:p>
      <w:pPr>
        <w:pStyle w:val="21"/>
        <w:widowControl/>
        <w:shd w:val="clear" w:color="auto" w:fill="FFFFFF"/>
        <w:spacing w:line="360" w:lineRule="auto"/>
        <w:ind w:firstLine="420" w:firstLineChars="200"/>
        <w:contextualSpacing/>
        <w:jc w:val="left"/>
        <w:rPr>
          <w:color w:val="auto"/>
          <w:sz w:val="21"/>
          <w:szCs w:val="21"/>
          <w:shd w:val="clear" w:color="auto" w:fill="FFFFFF"/>
        </w:rPr>
      </w:pPr>
      <w:r>
        <w:rPr>
          <w:rFonts w:hint="eastAsia"/>
          <w:color w:val="auto"/>
          <w:sz w:val="21"/>
          <w:szCs w:val="21"/>
          <w:shd w:val="clear" w:color="auto" w:fill="FFFFFF"/>
        </w:rPr>
        <w:t>一标包：</w:t>
      </w:r>
      <w:r>
        <w:rPr>
          <w:color w:val="auto"/>
          <w:sz w:val="21"/>
          <w:szCs w:val="21"/>
          <w:shd w:val="clear" w:color="auto" w:fill="FFFFFF"/>
        </w:rPr>
        <w:t>¥</w:t>
      </w:r>
      <w:r>
        <w:rPr>
          <w:rFonts w:hint="eastAsia"/>
          <w:color w:val="auto"/>
          <w:sz w:val="21"/>
          <w:szCs w:val="21"/>
          <w:shd w:val="clear" w:color="auto" w:fill="FFFFFF"/>
        </w:rPr>
        <w:t>2910600元；二标包：</w:t>
      </w:r>
      <w:r>
        <w:rPr>
          <w:color w:val="auto"/>
          <w:sz w:val="21"/>
          <w:szCs w:val="21"/>
          <w:shd w:val="clear" w:color="auto" w:fill="FFFFFF"/>
        </w:rPr>
        <w:t>¥</w:t>
      </w:r>
      <w:r>
        <w:rPr>
          <w:rFonts w:hint="eastAsia"/>
          <w:color w:val="auto"/>
          <w:sz w:val="21"/>
          <w:szCs w:val="21"/>
          <w:shd w:val="clear" w:color="auto" w:fill="FFFFFF"/>
        </w:rPr>
        <w:t>2079000元；三标包：</w:t>
      </w:r>
      <w:r>
        <w:rPr>
          <w:color w:val="auto"/>
          <w:sz w:val="21"/>
          <w:szCs w:val="21"/>
          <w:shd w:val="clear" w:color="auto" w:fill="FFFFFF"/>
        </w:rPr>
        <w:t>¥</w:t>
      </w:r>
      <w:r>
        <w:rPr>
          <w:rFonts w:hint="eastAsia"/>
          <w:color w:val="auto"/>
          <w:sz w:val="21"/>
          <w:szCs w:val="21"/>
          <w:shd w:val="clear" w:color="auto" w:fill="FFFFFF"/>
        </w:rPr>
        <w:t>3087000元；四标包：</w:t>
      </w:r>
      <w:r>
        <w:rPr>
          <w:color w:val="auto"/>
          <w:sz w:val="21"/>
          <w:szCs w:val="21"/>
          <w:shd w:val="clear" w:color="auto" w:fill="FFFFFF"/>
        </w:rPr>
        <w:t>¥</w:t>
      </w:r>
      <w:r>
        <w:rPr>
          <w:rFonts w:hint="eastAsia"/>
          <w:color w:val="auto"/>
          <w:sz w:val="21"/>
          <w:szCs w:val="21"/>
          <w:shd w:val="clear" w:color="auto" w:fill="FFFFFF"/>
        </w:rPr>
        <w:t>987840元；五标包：</w:t>
      </w:r>
      <w:r>
        <w:rPr>
          <w:color w:val="auto"/>
          <w:sz w:val="21"/>
          <w:szCs w:val="21"/>
          <w:shd w:val="clear" w:color="auto" w:fill="FFFFFF"/>
        </w:rPr>
        <w:t>¥</w:t>
      </w:r>
      <w:r>
        <w:rPr>
          <w:rFonts w:hint="eastAsia"/>
          <w:color w:val="auto"/>
          <w:sz w:val="21"/>
          <w:szCs w:val="21"/>
          <w:shd w:val="clear" w:color="auto" w:fill="FFFFFF"/>
        </w:rPr>
        <w:t>3711600元；（超过此预算为无效报价）。</w:t>
      </w:r>
    </w:p>
    <w:p>
      <w:pPr>
        <w:pStyle w:val="21"/>
        <w:widowControl/>
        <w:shd w:val="clear" w:color="auto" w:fill="FFFFFF"/>
        <w:spacing w:line="360" w:lineRule="auto"/>
        <w:ind w:firstLine="420" w:firstLineChars="200"/>
        <w:contextualSpacing/>
        <w:jc w:val="left"/>
        <w:rPr>
          <w:color w:val="auto"/>
          <w:sz w:val="21"/>
          <w:szCs w:val="21"/>
          <w:shd w:val="clear" w:color="auto" w:fill="FFFFFF"/>
        </w:rPr>
      </w:pPr>
      <w:r>
        <w:rPr>
          <w:rFonts w:hint="eastAsia"/>
          <w:color w:val="auto"/>
          <w:sz w:val="21"/>
          <w:szCs w:val="21"/>
          <w:shd w:val="clear" w:color="auto" w:fill="FFFFFF"/>
        </w:rPr>
        <w:t>（六）交付（服务、完工）时间 ：3年</w:t>
      </w:r>
      <w:r>
        <w:rPr>
          <w:color w:val="auto"/>
          <w:sz w:val="21"/>
          <w:szCs w:val="21"/>
          <w:shd w:val="clear" w:color="auto" w:fill="FFFFFF"/>
        </w:rPr>
        <w:t xml:space="preserve"> </w:t>
      </w:r>
    </w:p>
    <w:p>
      <w:pPr>
        <w:pStyle w:val="21"/>
        <w:widowControl/>
        <w:shd w:val="clear" w:color="auto" w:fill="FFFFFF"/>
        <w:spacing w:line="360" w:lineRule="auto"/>
        <w:ind w:firstLine="420" w:firstLineChars="200"/>
        <w:contextualSpacing/>
        <w:jc w:val="left"/>
        <w:rPr>
          <w:color w:val="auto"/>
          <w:sz w:val="21"/>
          <w:szCs w:val="21"/>
          <w:shd w:val="clear" w:color="auto" w:fill="FFFFFF"/>
        </w:rPr>
      </w:pPr>
      <w:r>
        <w:rPr>
          <w:rFonts w:hint="eastAsia"/>
          <w:color w:val="auto"/>
          <w:sz w:val="21"/>
          <w:szCs w:val="21"/>
          <w:shd w:val="clear" w:color="auto" w:fill="FFFFFF"/>
        </w:rPr>
        <w:t>（七）交付（服务、完工）地点：长葛市行政办公区</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（八）分包：不允许。</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（九）标包：本项目划分为五个标包</w:t>
      </w:r>
    </w:p>
    <w:p>
      <w:pPr>
        <w:pStyle w:val="21"/>
        <w:widowControl/>
        <w:shd w:val="clear" w:color="auto" w:fill="FFFFFF"/>
        <w:spacing w:line="360" w:lineRule="auto"/>
        <w:ind w:firstLine="840" w:firstLineChars="40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一标包：国防教育中心、人武部物业服务项目</w:t>
      </w:r>
    </w:p>
    <w:p>
      <w:pPr>
        <w:pStyle w:val="21"/>
        <w:widowControl/>
        <w:shd w:val="clear" w:color="auto" w:fill="FFFFFF"/>
        <w:spacing w:line="360" w:lineRule="auto"/>
        <w:ind w:firstLine="840" w:firstLineChars="40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二标包：党校调干楼、老干部活动中心物业服务项目</w:t>
      </w:r>
    </w:p>
    <w:p>
      <w:pPr>
        <w:pStyle w:val="21"/>
        <w:widowControl/>
        <w:shd w:val="clear" w:color="auto" w:fill="FFFFFF"/>
        <w:spacing w:line="360" w:lineRule="auto"/>
        <w:ind w:firstLine="840" w:firstLineChars="40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三标包：会展中心、行政审批中心物业服务项目</w:t>
      </w:r>
    </w:p>
    <w:p>
      <w:pPr>
        <w:pStyle w:val="21"/>
        <w:widowControl/>
        <w:shd w:val="clear" w:color="auto" w:fill="FFFFFF"/>
        <w:spacing w:line="360" w:lineRule="auto"/>
        <w:ind w:firstLine="840" w:firstLineChars="40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四标包：2号楼物业服务项目</w:t>
      </w:r>
    </w:p>
    <w:p>
      <w:pPr>
        <w:pStyle w:val="21"/>
        <w:widowControl/>
        <w:shd w:val="clear" w:color="auto" w:fill="FFFFFF"/>
        <w:spacing w:line="360" w:lineRule="auto"/>
        <w:ind w:firstLine="840" w:firstLineChars="40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五标包：5号楼、6号楼、7号楼物业服务项目</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本项目落实节能环保、中小微型企业、监狱企业、残疾人福利性单位扶持等相关政府采购政策。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三、投标人资格要求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（一）符合《中华人民共和国政府采购法》第二十二条之规定。</w:t>
      </w:r>
    </w:p>
    <w:p>
      <w:pPr>
        <w:pStyle w:val="21"/>
        <w:widowControl/>
        <w:shd w:val="clear" w:color="auto" w:fill="FFFFFF"/>
        <w:wordWrap w:val="0"/>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w:t>
      </w:r>
      <w:r>
        <w:rPr>
          <w:rFonts w:cs="仿宋_GB2312" w:asciiTheme="minorEastAsia" w:hAnsiTheme="minorEastAsia" w:eastAsiaTheme="minorEastAsia"/>
          <w:color w:val="auto"/>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auto"/>
          <w:sz w:val="21"/>
          <w:szCs w:val="21"/>
          <w:shd w:val="clear" w:color="auto" w:fill="FFFFFF"/>
        </w:rPr>
        <w:t>“</w:t>
      </w:r>
      <w:r>
        <w:rPr>
          <w:rFonts w:cs="仿宋_GB2312" w:asciiTheme="minorEastAsia" w:hAnsiTheme="minorEastAsia" w:eastAsiaTheme="minorEastAsia"/>
          <w:color w:val="auto"/>
          <w:sz w:val="21"/>
          <w:szCs w:val="21"/>
          <w:shd w:val="clear" w:color="auto" w:fill="FFFFFF"/>
        </w:rPr>
        <w:t>中国政府采购网</w:t>
      </w:r>
      <w:r>
        <w:rPr>
          <w:rFonts w:hint="eastAsia" w:cs="仿宋_GB2312" w:asciiTheme="minorEastAsia" w:hAnsiTheme="minorEastAsia" w:eastAsiaTheme="minorEastAsia"/>
          <w:color w:val="auto"/>
          <w:sz w:val="21"/>
          <w:szCs w:val="21"/>
          <w:shd w:val="clear" w:color="auto" w:fill="FFFFFF"/>
        </w:rPr>
        <w:t>”</w:t>
      </w:r>
      <w:r>
        <w:rPr>
          <w:rFonts w:cs="仿宋_GB2312" w:asciiTheme="minorEastAsia" w:hAnsiTheme="minorEastAsia" w:eastAsiaTheme="minorEastAsia"/>
          <w:color w:val="auto"/>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auto"/>
          <w:sz w:val="21"/>
          <w:szCs w:val="21"/>
          <w:shd w:val="clear" w:color="auto" w:fill="FFFFFF"/>
        </w:rPr>
        <w:t>；“中国社会组织公共服务平台”网站（</w:t>
      </w:r>
      <w:r>
        <w:rPr>
          <w:rFonts w:cs="仿宋_GB2312" w:asciiTheme="minorEastAsia" w:hAnsiTheme="minorEastAsia" w:eastAsiaTheme="minorEastAsia"/>
          <w:color w:val="auto"/>
          <w:sz w:val="21"/>
          <w:szCs w:val="21"/>
          <w:shd w:val="clear" w:color="auto" w:fill="FFFFFF"/>
        </w:rPr>
        <w:t>www.chinanpo.gov.cn</w:t>
      </w:r>
      <w:r>
        <w:rPr>
          <w:rFonts w:hint="eastAsia" w:cs="仿宋_GB2312" w:asciiTheme="minorEastAsia" w:hAnsiTheme="minorEastAsia" w:eastAsiaTheme="minorEastAsia"/>
          <w:color w:val="auto"/>
          <w:sz w:val="21"/>
          <w:szCs w:val="21"/>
          <w:shd w:val="clear" w:color="auto" w:fill="FFFFFF"/>
        </w:rPr>
        <w:t>）严重违法失信名单的投标人。</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（三）本次招标不接受联合体投标。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（一）投标截止及开标时间：</w:t>
      </w:r>
      <w:r>
        <w:rPr>
          <w:rFonts w:hint="eastAsia" w:cs="仿宋_GB2312" w:asciiTheme="minorEastAsia" w:hAnsiTheme="minorEastAsia" w:eastAsiaTheme="minorEastAsia"/>
          <w:color w:val="FF0000"/>
          <w:sz w:val="21"/>
          <w:szCs w:val="21"/>
        </w:rPr>
        <w:t>2019年   月   日   时    分（北京时间）</w:t>
      </w:r>
      <w:r>
        <w:rPr>
          <w:rFonts w:hint="eastAsia" w:cs="仿宋_GB2312" w:asciiTheme="minorEastAsia" w:hAnsiTheme="minorEastAsia" w:eastAsiaTheme="minorEastAsia"/>
          <w:color w:val="auto"/>
          <w:sz w:val="21"/>
          <w:szCs w:val="21"/>
        </w:rPr>
        <w:t>，逾期提交或不符合规定的投标文件不予接受。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FF0000"/>
          <w:sz w:val="21"/>
          <w:szCs w:val="21"/>
        </w:rPr>
      </w:pPr>
      <w:r>
        <w:rPr>
          <w:rFonts w:hint="eastAsia" w:cs="仿宋_GB2312" w:asciiTheme="minorEastAsia" w:hAnsiTheme="minorEastAsia" w:eastAsiaTheme="minorEastAsia"/>
          <w:color w:val="auto"/>
          <w:sz w:val="21"/>
          <w:szCs w:val="21"/>
        </w:rPr>
        <w:t>（二）开标地点：长葛市公共资源交易中心（长葛市商务区6号楼</w:t>
      </w:r>
      <w:r>
        <w:rPr>
          <w:rFonts w:hint="eastAsia" w:cs="仿宋_GB2312" w:asciiTheme="minorEastAsia" w:hAnsiTheme="minorEastAsia" w:eastAsiaTheme="minorEastAsia"/>
          <w:color w:val="FF0000"/>
          <w:sz w:val="21"/>
          <w:szCs w:val="21"/>
        </w:rPr>
        <w:t>）  楼开标    室。</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1、加密电子投标文件</w:t>
      </w:r>
      <w:r>
        <w:rPr>
          <w:rFonts w:hint="eastAsia" w:cs="宋体" w:asciiTheme="minorEastAsia" w:hAnsiTheme="minorEastAsia"/>
          <w:color w:val="auto"/>
          <w:sz w:val="21"/>
          <w:szCs w:val="21"/>
        </w:rPr>
        <w:t>（</w:t>
      </w:r>
      <w:r>
        <w:rPr>
          <w:rFonts w:asciiTheme="minorEastAsia" w:hAnsiTheme="minorEastAsia" w:eastAsiaTheme="minorEastAsia"/>
          <w:color w:val="auto"/>
          <w:sz w:val="21"/>
          <w:szCs w:val="21"/>
        </w:rPr>
        <w:t>.file</w:t>
      </w:r>
      <w:r>
        <w:rPr>
          <w:rFonts w:hint="eastAsia" w:cs="宋体" w:asciiTheme="minorEastAsia" w:hAnsiTheme="minorEastAsia"/>
          <w:color w:val="auto"/>
          <w:sz w:val="21"/>
          <w:szCs w:val="21"/>
        </w:rPr>
        <w:t>格式）须</w:t>
      </w:r>
      <w:r>
        <w:rPr>
          <w:rFonts w:hint="eastAsia" w:cs="仿宋_GB2312" w:asciiTheme="minorEastAsia" w:hAnsiTheme="minorEastAsia" w:eastAsiaTheme="minorEastAsia"/>
          <w:color w:val="auto"/>
          <w:sz w:val="21"/>
          <w:szCs w:val="21"/>
        </w:rPr>
        <w:t>在投标截止时间（开标时间）前通过《全国公共资源交易平台(河南省</w:t>
      </w:r>
      <w:r>
        <w:rPr>
          <w:rFonts w:hint="eastAsia" w:ascii="MS Mincho" w:hAnsi="MS Mincho" w:eastAsia="MS Mincho" w:cs="MS Mincho"/>
          <w:color w:val="auto"/>
          <w:sz w:val="21"/>
          <w:szCs w:val="21"/>
        </w:rPr>
        <w:t>▪</w:t>
      </w:r>
      <w:r>
        <w:rPr>
          <w:rFonts w:hint="eastAsia" w:ascii="宋体" w:hAnsi="宋体" w:cs="宋体"/>
          <w:color w:val="auto"/>
          <w:sz w:val="21"/>
          <w:szCs w:val="21"/>
        </w:rPr>
        <w:t>许昌市</w:t>
      </w:r>
      <w:r>
        <w:rPr>
          <w:rFonts w:hint="eastAsia" w:cs="仿宋_GB2312" w:asciiTheme="minorEastAsia" w:hAnsiTheme="minorEastAsia" w:eastAsiaTheme="minorEastAsia"/>
          <w:color w:val="auto"/>
          <w:sz w:val="21"/>
          <w:szCs w:val="21"/>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pct10" w:color="auto" w:fill="FFFFFF"/>
        </w:rPr>
      </w:pPr>
      <w:r>
        <w:rPr>
          <w:rFonts w:hint="eastAsia" w:cs="仿宋_GB2312" w:asciiTheme="minorEastAsia" w:hAnsiTheme="minorEastAsia" w:eastAsiaTheme="minorEastAsia"/>
          <w:color w:val="auto"/>
          <w:sz w:val="21"/>
          <w:szCs w:val="21"/>
        </w:rPr>
        <w:t>2、纸质投标文件（正本、副本各1份）和备份文件1份</w:t>
      </w:r>
      <w:r>
        <w:rPr>
          <w:rFonts w:hint="eastAsia" w:hAnsi="宋体"/>
          <w:color w:val="auto"/>
          <w:sz w:val="21"/>
          <w:szCs w:val="21"/>
        </w:rPr>
        <w:t>（使用电子介质存储）</w:t>
      </w:r>
      <w:r>
        <w:rPr>
          <w:rFonts w:hint="eastAsia" w:cs="仿宋_GB2312" w:asciiTheme="minorEastAsia" w:hAnsiTheme="minorEastAsia" w:eastAsiaTheme="minorEastAsia"/>
          <w:color w:val="auto"/>
          <w:sz w:val="21"/>
          <w:szCs w:val="21"/>
        </w:rPr>
        <w:t>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六、本次招标公告同时在《河南省政府采购网》、《许昌市政府采购网》、《全国公共资源交易平台（河南省·许昌市）》发布。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rPr>
      </w:pPr>
      <w:r>
        <w:rPr>
          <w:rFonts w:hint="eastAsia" w:cs="黑体" w:asciiTheme="minorEastAsia" w:hAnsiTheme="minorEastAsia" w:eastAsiaTheme="minorEastAsia"/>
          <w:b/>
          <w:bCs/>
          <w:color w:val="auto"/>
          <w:sz w:val="21"/>
          <w:szCs w:val="21"/>
        </w:rPr>
        <w:t>八、联系方式</w:t>
      </w:r>
    </w:p>
    <w:p>
      <w:pPr>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 xml:space="preserve">    采购人：长葛市机关事务管理局</w:t>
      </w:r>
    </w:p>
    <w:p>
      <w:pPr>
        <w:spacing w:line="360" w:lineRule="auto"/>
        <w:rPr>
          <w:rFonts w:hint="default" w:cs="仿宋_GB2312" w:asciiTheme="minorEastAsia" w:hAnsiTheme="minorEastAsia" w:eastAsiaTheme="minorEastAsia"/>
          <w:color w:val="auto"/>
          <w:szCs w:val="21"/>
          <w:highlight w:val="none"/>
          <w:lang w:val="en-US" w:eastAsia="zh-CN"/>
        </w:rPr>
      </w:pPr>
      <w:r>
        <w:rPr>
          <w:rFonts w:hint="eastAsia" w:cs="仿宋_GB2312" w:asciiTheme="minorEastAsia" w:hAnsiTheme="minorEastAsia"/>
          <w:color w:val="auto"/>
          <w:szCs w:val="21"/>
        </w:rPr>
        <w:t xml:space="preserve">   </w:t>
      </w:r>
      <w:r>
        <w:rPr>
          <w:rFonts w:hint="eastAsia" w:cs="仿宋_GB2312" w:asciiTheme="minorEastAsia" w:hAnsiTheme="minorEastAsia"/>
          <w:color w:val="auto"/>
          <w:szCs w:val="21"/>
          <w:highlight w:val="none"/>
        </w:rPr>
        <w:t xml:space="preserve"> 联系人：</w:t>
      </w:r>
      <w:r>
        <w:rPr>
          <w:rFonts w:hint="eastAsia" w:cs="仿宋_GB2312" w:asciiTheme="minorEastAsia" w:hAnsiTheme="minorEastAsia"/>
          <w:color w:val="auto"/>
          <w:szCs w:val="21"/>
          <w:highlight w:val="none"/>
          <w:lang w:eastAsia="zh-CN"/>
        </w:rPr>
        <w:t>侯先生</w:t>
      </w:r>
      <w:r>
        <w:rPr>
          <w:rFonts w:hint="eastAsia" w:cs="仿宋_GB2312" w:asciiTheme="minorEastAsia" w:hAnsiTheme="minorEastAsia"/>
          <w:color w:val="auto"/>
          <w:szCs w:val="21"/>
          <w:highlight w:val="none"/>
        </w:rPr>
        <w:t xml:space="preserve">                  联系电话：</w:t>
      </w:r>
      <w:r>
        <w:rPr>
          <w:rFonts w:hint="eastAsia" w:cs="仿宋_GB2312" w:asciiTheme="minorEastAsia" w:hAnsiTheme="minorEastAsia"/>
          <w:color w:val="auto"/>
          <w:szCs w:val="21"/>
          <w:highlight w:val="none"/>
          <w:lang w:val="en-US" w:eastAsia="zh-CN"/>
        </w:rPr>
        <w:t>13837421936</w:t>
      </w:r>
    </w:p>
    <w:p>
      <w:pPr>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 xml:space="preserve">    地址：长葛市葛天大道中段</w:t>
      </w:r>
    </w:p>
    <w:p>
      <w:pPr>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 xml:space="preserve">    集中采购机构：长葛市公共资源交易中心</w:t>
      </w:r>
    </w:p>
    <w:p>
      <w:pPr>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 xml:space="preserve">    地址：长葛市葛天大道东段商务区6#楼4楼</w:t>
      </w:r>
    </w:p>
    <w:p>
      <w:pPr>
        <w:adjustRightInd w:val="0"/>
        <w:snapToGrid w:val="0"/>
        <w:spacing w:line="360" w:lineRule="auto"/>
        <w:ind w:firstLine="420" w:firstLineChars="200"/>
        <w:jc w:val="left"/>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联系人：政府采购</w:t>
      </w:r>
      <w:r>
        <w:rPr>
          <w:rFonts w:hint="eastAsia" w:cs="仿宋_GB2312" w:asciiTheme="minorEastAsia" w:hAnsiTheme="minorEastAsia"/>
          <w:color w:val="auto"/>
          <w:szCs w:val="21"/>
          <w:highlight w:val="none"/>
          <w:lang w:eastAsia="zh-CN"/>
        </w:rPr>
        <w:t>一</w:t>
      </w:r>
      <w:r>
        <w:rPr>
          <w:rFonts w:hint="eastAsia" w:cs="仿宋_GB2312" w:asciiTheme="minorEastAsia" w:hAnsiTheme="minorEastAsia"/>
          <w:color w:val="auto"/>
          <w:szCs w:val="21"/>
          <w:highlight w:val="none"/>
        </w:rPr>
        <w:t>部            联系电话：</w:t>
      </w:r>
      <w:r>
        <w:rPr>
          <w:rFonts w:hint="eastAsia" w:cs="仿宋_GB2312" w:asciiTheme="minorEastAsia" w:hAnsiTheme="minorEastAsia"/>
          <w:color w:val="auto"/>
          <w:szCs w:val="21"/>
          <w:highlight w:val="none"/>
          <w:lang w:val="en-US"/>
        </w:rPr>
        <w:t>0374-6189379</w:t>
      </w:r>
    </w:p>
    <w:p>
      <w:pPr>
        <w:adjustRightInd w:val="0"/>
        <w:snapToGrid w:val="0"/>
        <w:spacing w:line="360" w:lineRule="auto"/>
        <w:ind w:firstLine="840" w:firstLineChars="400"/>
        <w:jc w:val="left"/>
        <w:rPr>
          <w:rFonts w:ascii="宋体" w:hAnsi="宋体"/>
          <w:color w:val="auto"/>
          <w:szCs w:val="21"/>
        </w:rPr>
      </w:pPr>
    </w:p>
    <w:p>
      <w:pPr>
        <w:spacing w:line="360" w:lineRule="auto"/>
        <w:rPr>
          <w:rFonts w:hAnsi="宋体"/>
          <w:b/>
          <w:color w:val="auto"/>
          <w:sz w:val="28"/>
          <w:szCs w:val="28"/>
        </w:rPr>
      </w:pPr>
      <w:r>
        <w:rPr>
          <w:rFonts w:hint="eastAsia" w:hAnsi="宋体"/>
          <w:b/>
          <w:color w:val="auto"/>
          <w:sz w:val="28"/>
          <w:szCs w:val="28"/>
        </w:rPr>
        <w:t>温馨提示：</w:t>
      </w:r>
    </w:p>
    <w:p>
      <w:pPr>
        <w:spacing w:line="360" w:lineRule="auto"/>
        <w:ind w:firstLine="562" w:firstLineChars="200"/>
        <w:rPr>
          <w:rFonts w:hAnsi="宋体"/>
          <w:b/>
          <w:color w:val="auto"/>
          <w:sz w:val="28"/>
          <w:szCs w:val="28"/>
        </w:rPr>
      </w:pPr>
      <w:r>
        <w:rPr>
          <w:rFonts w:hint="eastAsia" w:hAnsi="宋体"/>
          <w:b/>
          <w:color w:val="auto"/>
          <w:sz w:val="28"/>
          <w:szCs w:val="28"/>
        </w:rPr>
        <w:t>本项目为全流程电子化交易项目，请认真阅读招标文件，并注意以下事项。</w:t>
      </w:r>
    </w:p>
    <w:p>
      <w:pPr>
        <w:pStyle w:val="22"/>
        <w:ind w:firstLine="321"/>
        <w:rPr>
          <w:rFonts w:ascii="仿宋_GB2312" w:eastAsia="仿宋_GB2312"/>
          <w:b/>
          <w:color w:val="auto"/>
          <w:sz w:val="32"/>
          <w:szCs w:val="32"/>
        </w:rPr>
      </w:pP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电子文件下载、制作、提交期间和开标（</w:t>
      </w:r>
      <w:r>
        <w:rPr>
          <w:rFonts w:hint="eastAsia" w:hAnsi="宋体"/>
          <w:color w:val="auto"/>
          <w:szCs w:val="21"/>
        </w:rPr>
        <w:t>电子投标文件的解密</w:t>
      </w:r>
      <w:r>
        <w:rPr>
          <w:rFonts w:hint="eastAsia" w:hAnsi="宋体"/>
          <w:b/>
          <w:color w:val="auto"/>
          <w:szCs w:val="21"/>
        </w:rPr>
        <w:t>）环节，投标人须使用</w:t>
      </w:r>
      <w:r>
        <w:rPr>
          <w:rFonts w:hAnsi="宋体"/>
          <w:b/>
          <w:color w:val="auto"/>
          <w:szCs w:val="21"/>
        </w:rPr>
        <w:t>CA数字证书</w:t>
      </w:r>
      <w:r>
        <w:rPr>
          <w:rFonts w:hint="eastAsia" w:hAnsi="宋体"/>
          <w:b/>
          <w:color w:val="auto"/>
          <w:szCs w:val="21"/>
        </w:rPr>
        <w:t>（证书须在有效期内）</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电子投标文件的制作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投标人登录《全国公共资源交易平台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8"/>
          <w:rFonts w:hAnsi="宋体"/>
          <w:color w:val="auto"/>
          <w:szCs w:val="21"/>
        </w:rPr>
        <w:t>http://221.14.6.70:8088/ggzy/</w:t>
      </w:r>
      <w:r>
        <w:rPr>
          <w:rStyle w:val="28"/>
          <w:rFonts w:hAnsi="宋体"/>
          <w:color w:val="auto"/>
          <w:szCs w:val="21"/>
        </w:rPr>
        <w:fldChar w:fldCharType="end"/>
      </w:r>
      <w:r>
        <w:rPr>
          <w:rFonts w:hint="eastAsia" w:hAnsi="宋体"/>
          <w:color w:val="auto"/>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电子投标文件的制作，参考《全国公共资源交易平台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投标人可以对同一项目多个标段进行投标和中标。投标人对同一项目多个标段进行投标的，应分别下载所投标段的招标文件，按标段制作电子投标文件，并</w:t>
      </w:r>
      <w:r>
        <w:rPr>
          <w:rFonts w:hAnsi="宋体"/>
          <w:color w:val="auto"/>
          <w:szCs w:val="21"/>
        </w:rPr>
        <w:t>按招标文件要求在相应位置加盖</w:t>
      </w:r>
      <w:r>
        <w:rPr>
          <w:rFonts w:hint="eastAsia" w:hAnsi="宋体"/>
          <w:color w:val="auto"/>
          <w:szCs w:val="21"/>
        </w:rPr>
        <w:t>投标人</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 其中包含2个文件和1个文件夹。后缀名为“</w:t>
      </w:r>
      <w:r>
        <w:rPr>
          <w:rFonts w:hAnsi="宋体"/>
          <w:color w:val="auto"/>
          <w:szCs w:val="21"/>
        </w:rPr>
        <w:t>.file</w:t>
      </w:r>
      <w:r>
        <w:rPr>
          <w:rFonts w:hint="eastAsia" w:hAnsi="宋体"/>
          <w:color w:val="auto"/>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电子投标文件的提交</w:t>
      </w:r>
    </w:p>
    <w:p>
      <w:pPr>
        <w:tabs>
          <w:tab w:val="left" w:pos="7095"/>
        </w:tabs>
        <w:spacing w:line="360" w:lineRule="auto"/>
        <w:contextualSpacing/>
        <w:rPr>
          <w:rFonts w:hAnsi="宋体"/>
          <w:color w:val="auto"/>
          <w:szCs w:val="21"/>
        </w:rPr>
      </w:pPr>
      <w:r>
        <w:rPr>
          <w:rFonts w:hint="eastAsia" w:asciiTheme="minorEastAsia" w:hAnsiTheme="minorEastAsia"/>
          <w:color w:val="auto"/>
          <w:szCs w:val="21"/>
        </w:rPr>
        <w:t xml:space="preserve">   </w:t>
      </w: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电子投标文件应在招标文件规定的投标截止时间（开标时间）之前成功提交至《全国公共资源交易平台(河南省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8"/>
          <w:rFonts w:hAnsi="宋体"/>
          <w:color w:val="auto"/>
          <w:szCs w:val="21"/>
        </w:rPr>
        <w:t>http://221.14.6.70:8088/ggzy/</w:t>
      </w:r>
      <w:r>
        <w:rPr>
          <w:rStyle w:val="28"/>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投标人应充分考虑并预留技术处理和上传数据所需时间。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5</w:t>
      </w:r>
      <w:r>
        <w:rPr>
          <w:rFonts w:hint="eastAsia" w:asciiTheme="minorEastAsia" w:hAnsiTheme="minorEastAsia"/>
          <w:b/>
          <w:color w:val="auto"/>
          <w:szCs w:val="21"/>
        </w:rPr>
        <w:t>.</w:t>
      </w:r>
      <w:r>
        <w:rPr>
          <w:rFonts w:hint="eastAsia" w:hAnsi="宋体"/>
          <w:b/>
          <w:color w:val="auto"/>
          <w:szCs w:val="21"/>
        </w:rPr>
        <w:t>评标依据</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5.1</w:t>
      </w:r>
      <w:r>
        <w:rPr>
          <w:rFonts w:hint="eastAsia" w:hAnsi="宋体"/>
          <w:color w:val="auto"/>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5.2</w:t>
      </w:r>
      <w:r>
        <w:rPr>
          <w:rFonts w:hint="eastAsia" w:hAnsi="宋体"/>
          <w:color w:val="auto"/>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rPr>
          <w:rFonts w:cs="仿宋_GB2312" w:asciiTheme="minorEastAsia" w:hAnsiTheme="minorEastAsia"/>
          <w:color w:val="auto"/>
          <w:sz w:val="24"/>
          <w:szCs w:val="24"/>
        </w:rPr>
      </w:pPr>
    </w:p>
    <w:p>
      <w:pPr>
        <w:numPr>
          <w:ilvl w:val="0"/>
          <w:numId w:val="0"/>
        </w:num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lang w:eastAsia="zh-CN"/>
        </w:rPr>
        <w:t>第二章</w:t>
      </w:r>
      <w:r>
        <w:rPr>
          <w:rFonts w:hint="eastAsia" w:cs="宋体" w:asciiTheme="majorEastAsia" w:hAnsiTheme="majorEastAsia" w:eastAsiaTheme="majorEastAsia"/>
          <w:b/>
          <w:color w:val="auto"/>
          <w:kern w:val="0"/>
          <w:sz w:val="32"/>
          <w:szCs w:val="32"/>
          <w:lang w:val="en-US" w:eastAsia="zh-CN"/>
        </w:rPr>
        <w:t xml:space="preserve">  </w:t>
      </w:r>
      <w:r>
        <w:rPr>
          <w:rFonts w:hint="eastAsia" w:cs="宋体" w:asciiTheme="majorEastAsia" w:hAnsiTheme="majorEastAsia" w:eastAsiaTheme="majorEastAsia"/>
          <w:b/>
          <w:color w:val="auto"/>
          <w:kern w:val="0"/>
          <w:sz w:val="32"/>
          <w:szCs w:val="32"/>
        </w:rPr>
        <w:t>项目需求</w:t>
      </w:r>
    </w:p>
    <w:p>
      <w:pPr>
        <w:widowControl/>
        <w:numPr>
          <w:ilvl w:val="0"/>
          <w:numId w:val="4"/>
        </w:numPr>
        <w:shd w:val="clear" w:color="auto" w:fill="FFFFFF"/>
        <w:spacing w:line="360" w:lineRule="auto"/>
        <w:ind w:firstLine="482" w:firstLineChars="200"/>
        <w:jc w:val="left"/>
        <w:rPr>
          <w:rFonts w:cs="黑体" w:asciiTheme="minorEastAsia" w:hAnsiTheme="minorEastAsia"/>
          <w:b/>
          <w:bCs/>
          <w:color w:val="auto"/>
          <w:sz w:val="24"/>
          <w:szCs w:val="24"/>
          <w:shd w:val="clear" w:color="auto" w:fill="FFFFFF"/>
        </w:rPr>
      </w:pPr>
      <w:r>
        <w:rPr>
          <w:rFonts w:hint="eastAsia" w:cs="黑体" w:asciiTheme="minorEastAsia" w:hAnsiTheme="minorEastAsia"/>
          <w:b/>
          <w:bCs/>
          <w:color w:val="auto"/>
          <w:sz w:val="24"/>
          <w:szCs w:val="24"/>
          <w:shd w:val="clear" w:color="auto" w:fill="FFFFFF"/>
        </w:rPr>
        <w:t>采购清单</w:t>
      </w:r>
    </w:p>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黑体" w:asciiTheme="minorEastAsia" w:hAnsiTheme="minorEastAsia"/>
          <w:b/>
          <w:bCs/>
          <w:color w:val="auto"/>
          <w:sz w:val="24"/>
          <w:szCs w:val="24"/>
          <w:shd w:val="clear" w:color="auto" w:fill="FFFFFF"/>
        </w:rPr>
      </w:pPr>
      <w:r>
        <w:rPr>
          <w:rFonts w:hint="eastAsia" w:cs="宋体" w:asciiTheme="minorEastAsia" w:hAnsiTheme="minorEastAsia"/>
          <w:color w:val="auto"/>
          <w:kern w:val="0"/>
          <w:szCs w:val="21"/>
        </w:rPr>
        <w:t>★</w:t>
      </w:r>
      <w:r>
        <w:rPr>
          <w:rFonts w:hint="eastAsia" w:cs="黑体" w:asciiTheme="minorEastAsia" w:hAnsiTheme="minorEastAsia"/>
          <w:b/>
          <w:bCs/>
          <w:color w:val="auto"/>
          <w:sz w:val="24"/>
          <w:szCs w:val="24"/>
          <w:shd w:val="clear" w:color="auto" w:fill="FFFFFF"/>
        </w:rPr>
        <w:t>一标包：国防教育中心、人武部物业服务项目要求</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7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项目</w:t>
            </w:r>
          </w:p>
        </w:tc>
        <w:tc>
          <w:tcPr>
            <w:tcW w:w="7614" w:type="dxa"/>
          </w:tcPr>
          <w:p>
            <w:pPr>
              <w:pStyle w:val="40"/>
              <w:ind w:firstLine="0" w:firstLineChars="0"/>
              <w:jc w:val="center"/>
              <w:rPr>
                <w:rFonts w:ascii="仿宋" w:hAnsi="仿宋" w:eastAsia="仿宋"/>
                <w:color w:val="auto"/>
                <w:sz w:val="24"/>
                <w:szCs w:val="24"/>
              </w:rPr>
            </w:pPr>
            <w:r>
              <w:rPr>
                <w:rFonts w:hint="eastAsia" w:ascii="仿宋" w:hAnsi="仿宋" w:eastAsia="仿宋"/>
                <w:b/>
                <w:bCs/>
                <w:color w:val="auto"/>
                <w:sz w:val="24"/>
                <w:szCs w:val="24"/>
              </w:rPr>
              <w:t>工 作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908" w:type="dxa"/>
          </w:tcPr>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物业经理</w:t>
            </w:r>
          </w:p>
        </w:tc>
        <w:tc>
          <w:tcPr>
            <w:tcW w:w="7614" w:type="dxa"/>
          </w:tcPr>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1、物业经理1人，年龄不超过50周岁，政治合格，身体健康，人品端正，负责整个物业服务项目的管理协调工作、具备物业管理岗位证书。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安</w:t>
            </w:r>
          </w:p>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保</w:t>
            </w:r>
          </w:p>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工</w:t>
            </w:r>
          </w:p>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作</w:t>
            </w:r>
          </w:p>
        </w:tc>
        <w:tc>
          <w:tcPr>
            <w:tcW w:w="7614" w:type="dxa"/>
          </w:tcPr>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1、人员10人，年龄：男55周岁以下、女50周岁以下，政治合格，身体健康，人品端正，无社会犯罪记录。</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2、负责24小时门岗室值班，对出入人员及车辆进行登记，禁止无关人员和车辆进入办公区域。</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3、负责楼、院内巡逻，特别是夜间巡逻次数要保证。</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4、负责引导院内和地下车库的车辆有序停放，制止和纠正乱停乱放。</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5、负责公共区域内公共设施、设备，保证完好。</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6、保安人员必须熟练使用消防器材，遇有紧急情况，迅速处理，及时上报。</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7、落实业主单位安排的其他安保工作。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908" w:type="dxa"/>
          </w:tcPr>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卫生保洁</w:t>
            </w:r>
          </w:p>
        </w:tc>
        <w:tc>
          <w:tcPr>
            <w:tcW w:w="7614" w:type="dxa"/>
          </w:tcPr>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1、人员14人，年龄：男55周岁以下、女50周岁以下，人品端正，吃苦耐劳，无社会犯罪记录。</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2、负责单位公共部分的管理、保养、清洁和垃圾清理。包括楼梯间、电梯间、走廊、门厅、卫生间、开水间、会议室、大院等，以及重要活动的临时性保洁等。</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3、负责单位垃圾清运工作。</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4、落实业主单位安排的其他保洁工作。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绿化养护</w:t>
            </w:r>
          </w:p>
        </w:tc>
        <w:tc>
          <w:tcPr>
            <w:tcW w:w="7614" w:type="dxa"/>
          </w:tcPr>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1、绿化管理员2人，性别男，年龄不超过50周岁，人品端正，吃苦耐劳，具有绿化管理、养护经验。</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2、及时清除绿化区域杂物，保持清洁美观。</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3、修剪平整，做好病虫防治，补栽补种，科学施肥、浇水等养护工作。</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4、按照绿化养护二级管理标准执行。</w:t>
            </w:r>
          </w:p>
        </w:tc>
      </w:tr>
    </w:tbl>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黑体" w:asciiTheme="minorEastAsia" w:hAnsiTheme="minorEastAsia"/>
          <w:b/>
          <w:bCs/>
          <w:color w:val="auto"/>
          <w:sz w:val="24"/>
          <w:szCs w:val="24"/>
          <w:shd w:val="clear" w:color="auto" w:fill="FFFFFF"/>
        </w:rPr>
      </w:pPr>
      <w:r>
        <w:rPr>
          <w:rFonts w:hint="eastAsia" w:cs="宋体" w:asciiTheme="minorEastAsia" w:hAnsiTheme="minorEastAsia"/>
          <w:color w:val="auto"/>
          <w:kern w:val="0"/>
          <w:szCs w:val="21"/>
        </w:rPr>
        <w:t>★</w:t>
      </w:r>
      <w:r>
        <w:rPr>
          <w:rFonts w:hint="eastAsia" w:cs="黑体" w:asciiTheme="minorEastAsia" w:hAnsiTheme="minorEastAsia"/>
          <w:b/>
          <w:bCs/>
          <w:color w:val="auto"/>
          <w:sz w:val="24"/>
          <w:szCs w:val="24"/>
          <w:shd w:val="clear" w:color="auto" w:fill="FFFFFF"/>
        </w:rPr>
        <w:t>二标包：党校调干楼、老干部活动中心物业服务项目要求</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7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项目</w:t>
            </w:r>
          </w:p>
        </w:tc>
        <w:tc>
          <w:tcPr>
            <w:tcW w:w="7660" w:type="dxa"/>
          </w:tcPr>
          <w:p>
            <w:pPr>
              <w:pStyle w:val="40"/>
              <w:ind w:firstLine="0" w:firstLineChars="0"/>
              <w:jc w:val="center"/>
              <w:rPr>
                <w:rFonts w:ascii="仿宋" w:hAnsi="仿宋" w:eastAsia="仿宋"/>
                <w:color w:val="auto"/>
                <w:sz w:val="24"/>
                <w:szCs w:val="24"/>
              </w:rPr>
            </w:pPr>
            <w:r>
              <w:rPr>
                <w:rFonts w:hint="eastAsia" w:ascii="仿宋" w:hAnsi="仿宋" w:eastAsia="仿宋"/>
                <w:b/>
                <w:bCs/>
                <w:color w:val="auto"/>
                <w:sz w:val="24"/>
                <w:szCs w:val="24"/>
              </w:rPr>
              <w:t>工 作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862" w:type="dxa"/>
          </w:tcPr>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物业经理</w:t>
            </w:r>
          </w:p>
        </w:tc>
        <w:tc>
          <w:tcPr>
            <w:tcW w:w="7660" w:type="dxa"/>
          </w:tcPr>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1、物业经理2人，年龄不超过50周岁，政治合格，身体健康，人品端正，负责整个物业服务项目的管理协调工作、具备物业管理岗位证书。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安</w:t>
            </w:r>
          </w:p>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保</w:t>
            </w:r>
          </w:p>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工</w:t>
            </w:r>
          </w:p>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作</w:t>
            </w:r>
          </w:p>
        </w:tc>
        <w:tc>
          <w:tcPr>
            <w:tcW w:w="7660" w:type="dxa"/>
          </w:tcPr>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1、人员4人，年龄：男55周岁以下、女50周岁以下，政治合格，身体健康，人品端正，无社会犯罪记录。</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2、负责24小时门岗室值班，对出入人员及车辆进行登记，禁止无关人员和车辆进入办公区域。</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3、负责楼、院内巡逻，特别是夜间巡逻次数要保证。</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4、负责引导院内和地下车库的车辆有序停放，制止和纠正乱停乱放。</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5、负责公共区域内公共设施、设备，保证完好。</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6、保安人员必须熟练使用消防器材，遇有紧急情况，迅速处理，及时上报。</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7、落实业主单位安排的其他安保工作。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22" w:hRule="atLeast"/>
          <w:jc w:val="center"/>
        </w:trPr>
        <w:tc>
          <w:tcPr>
            <w:tcW w:w="862" w:type="dxa"/>
          </w:tcPr>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卫生保洁</w:t>
            </w:r>
          </w:p>
        </w:tc>
        <w:tc>
          <w:tcPr>
            <w:tcW w:w="7660" w:type="dxa"/>
          </w:tcPr>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1、人员4人，年龄：男55周岁以下、女50周岁以下，人品端正，吃苦耐劳，无社会犯罪记录。</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2、负责单位公共部分的管理、保养、清洁和垃圾清理。包括楼梯间、电梯间、走廊、门厅、卫生间、开水间、会议室、大院等，以及重要活动的临时性保洁等。</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3、负责单位垃圾清运工作。</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4、落实业主单位安排的其他保洁工作。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绿化养护</w:t>
            </w:r>
          </w:p>
        </w:tc>
        <w:tc>
          <w:tcPr>
            <w:tcW w:w="7660" w:type="dxa"/>
          </w:tcPr>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1、绿化管理员2人，性别男，年龄不超过50周岁，人品端正，吃苦耐劳，具有绿化管理、养护经验。</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2、及时清除绿化区域杂物，保持清洁美观。</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3、修剪平整，做好病虫防治，补栽补种，科学施肥、浇水等养护工作。</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4、按照绿化养护二级管理标准执行。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862" w:type="dxa"/>
          </w:tcPr>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菜园管理</w:t>
            </w:r>
          </w:p>
        </w:tc>
        <w:tc>
          <w:tcPr>
            <w:tcW w:w="7660" w:type="dxa"/>
          </w:tcPr>
          <w:p>
            <w:pPr>
              <w:pStyle w:val="40"/>
              <w:numPr>
                <w:ilvl w:val="0"/>
                <w:numId w:val="5"/>
              </w:numPr>
              <w:ind w:firstLine="0" w:firstLineChars="0"/>
              <w:rPr>
                <w:rFonts w:ascii="仿宋" w:hAnsi="仿宋" w:eastAsia="仿宋"/>
                <w:color w:val="auto"/>
                <w:sz w:val="24"/>
                <w:szCs w:val="24"/>
              </w:rPr>
            </w:pPr>
            <w:r>
              <w:rPr>
                <w:rFonts w:hint="eastAsia" w:ascii="仿宋" w:hAnsi="仿宋" w:eastAsia="仿宋"/>
                <w:color w:val="auto"/>
                <w:sz w:val="24"/>
                <w:szCs w:val="24"/>
              </w:rPr>
              <w:t>菜园管理员1人，年龄不超过50周岁，人品端正，吃苦耐劳，具有菜园养护、管理经验。</w:t>
            </w:r>
          </w:p>
          <w:p>
            <w:pPr>
              <w:pStyle w:val="40"/>
              <w:numPr>
                <w:ilvl w:val="0"/>
                <w:numId w:val="5"/>
              </w:numPr>
              <w:ind w:firstLine="0" w:firstLineChars="0"/>
              <w:rPr>
                <w:rFonts w:ascii="仿宋" w:hAnsi="仿宋" w:eastAsia="仿宋"/>
                <w:color w:val="auto"/>
                <w:sz w:val="24"/>
                <w:szCs w:val="24"/>
              </w:rPr>
            </w:pPr>
            <w:r>
              <w:rPr>
                <w:rFonts w:hint="eastAsia" w:ascii="仿宋" w:hAnsi="仿宋" w:eastAsia="仿宋"/>
                <w:color w:val="auto"/>
                <w:sz w:val="24"/>
                <w:szCs w:val="24"/>
              </w:rPr>
              <w:t>负责菜园的日常管理工作。</w:t>
            </w:r>
          </w:p>
          <w:p>
            <w:pPr>
              <w:pStyle w:val="40"/>
              <w:numPr>
                <w:ilvl w:val="0"/>
                <w:numId w:val="5"/>
              </w:numPr>
              <w:ind w:firstLine="0" w:firstLineChars="0"/>
              <w:rPr>
                <w:rFonts w:ascii="仿宋" w:hAnsi="仿宋" w:eastAsia="仿宋"/>
                <w:color w:val="auto"/>
                <w:sz w:val="24"/>
                <w:szCs w:val="24"/>
              </w:rPr>
            </w:pPr>
            <w:r>
              <w:rPr>
                <w:rFonts w:hint="eastAsia" w:ascii="仿宋" w:hAnsi="仿宋" w:eastAsia="仿宋"/>
                <w:color w:val="auto"/>
                <w:sz w:val="24"/>
                <w:szCs w:val="24"/>
              </w:rPr>
              <w:t>维护菜园形象。</w:t>
            </w:r>
          </w:p>
        </w:tc>
      </w:tr>
    </w:tbl>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黑体" w:asciiTheme="minorEastAsia" w:hAnsiTheme="minorEastAsia"/>
          <w:b/>
          <w:bCs/>
          <w:color w:val="auto"/>
          <w:sz w:val="24"/>
          <w:szCs w:val="24"/>
          <w:shd w:val="clear" w:color="auto" w:fill="FFFFFF"/>
        </w:rPr>
      </w:pPr>
      <w:r>
        <w:rPr>
          <w:rFonts w:hint="eastAsia" w:cs="宋体" w:asciiTheme="minorEastAsia" w:hAnsiTheme="minorEastAsia"/>
          <w:color w:val="auto"/>
          <w:kern w:val="0"/>
          <w:szCs w:val="21"/>
        </w:rPr>
        <w:t>★</w:t>
      </w:r>
      <w:r>
        <w:rPr>
          <w:rFonts w:hint="eastAsia" w:cs="黑体" w:asciiTheme="minorEastAsia" w:hAnsiTheme="minorEastAsia"/>
          <w:b/>
          <w:bCs/>
          <w:color w:val="auto"/>
          <w:sz w:val="24"/>
          <w:szCs w:val="24"/>
          <w:shd w:val="clear" w:color="auto" w:fill="FFFFFF"/>
        </w:rPr>
        <w:t>三标包：会展中心、行政审批中心物业服务项目要求</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7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项目</w:t>
            </w:r>
          </w:p>
        </w:tc>
        <w:tc>
          <w:tcPr>
            <w:tcW w:w="7614" w:type="dxa"/>
          </w:tcPr>
          <w:p>
            <w:pPr>
              <w:pStyle w:val="40"/>
              <w:ind w:firstLine="0" w:firstLineChars="0"/>
              <w:jc w:val="center"/>
              <w:rPr>
                <w:rFonts w:ascii="仿宋" w:hAnsi="仿宋" w:eastAsia="仿宋"/>
                <w:color w:val="auto"/>
                <w:sz w:val="24"/>
                <w:szCs w:val="24"/>
              </w:rPr>
            </w:pPr>
            <w:r>
              <w:rPr>
                <w:rFonts w:hint="eastAsia" w:ascii="仿宋" w:hAnsi="仿宋" w:eastAsia="仿宋"/>
                <w:b/>
                <w:bCs/>
                <w:color w:val="auto"/>
                <w:sz w:val="24"/>
                <w:szCs w:val="24"/>
              </w:rPr>
              <w:t>工 作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908" w:type="dxa"/>
          </w:tcPr>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物业经理</w:t>
            </w:r>
          </w:p>
        </w:tc>
        <w:tc>
          <w:tcPr>
            <w:tcW w:w="7614" w:type="dxa"/>
          </w:tcPr>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1、物业经理2人，年龄不超过50周岁，政治合格，身体健康，人品端正，负责整个物业服务项目的管理协调工作、具备物业管理岗位证书。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安保</w:t>
            </w:r>
          </w:p>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工作</w:t>
            </w:r>
          </w:p>
        </w:tc>
        <w:tc>
          <w:tcPr>
            <w:tcW w:w="7614" w:type="dxa"/>
          </w:tcPr>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1、人员10人，年龄：男55周岁以下、女50周岁以下，政治合格，身体健康，人品端正，无社会犯罪记录。</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2、负责24小时门岗室值班，对出入人员及车辆进行登记，禁止无关人员和车辆进入办公区域。</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3、负责楼、院内巡逻，特别是夜间巡逻次数要保证。</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4、负责引导院内和地下车库的车辆有序停放，制止和纠正乱停乱放。</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5、负责公共区域内公共设施、设备，保证完好。</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6、保安人员必须熟练使用消防器材，遇有紧急情况，迅速处理，及时上报。</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7、落实业主单位安排的其他安保工作。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908" w:type="dxa"/>
          </w:tcPr>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卫生保洁</w:t>
            </w:r>
          </w:p>
        </w:tc>
        <w:tc>
          <w:tcPr>
            <w:tcW w:w="7614" w:type="dxa"/>
          </w:tcPr>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1、人员10人，年龄：男55周岁以下、女50周岁以下，人品端正，吃苦耐劳，无社会犯罪记录。</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2、负责单位公共部分的管理、保养、清洁和垃圾清理。包括楼梯间、电梯间、走廊、门厅、卫生间、开水间、会议室、大院等，以及重要活动的临时性保洁等。</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3、负责单位垃圾清运工作。</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4、落实业主单位安排的其他保洁工作。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908" w:type="dxa"/>
          </w:tcPr>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会议服务</w:t>
            </w:r>
          </w:p>
        </w:tc>
        <w:tc>
          <w:tcPr>
            <w:tcW w:w="7614" w:type="dxa"/>
          </w:tcPr>
          <w:p>
            <w:pPr>
              <w:pStyle w:val="40"/>
              <w:numPr>
                <w:ilvl w:val="0"/>
                <w:numId w:val="6"/>
              </w:numPr>
              <w:ind w:firstLine="0" w:firstLineChars="0"/>
              <w:rPr>
                <w:rFonts w:ascii="仿宋" w:hAnsi="仿宋" w:eastAsia="仿宋"/>
                <w:color w:val="auto"/>
                <w:sz w:val="24"/>
                <w:szCs w:val="24"/>
              </w:rPr>
            </w:pPr>
            <w:r>
              <w:rPr>
                <w:rFonts w:hint="eastAsia" w:ascii="仿宋" w:hAnsi="仿宋" w:eastAsia="仿宋"/>
                <w:color w:val="auto"/>
                <w:sz w:val="24"/>
                <w:szCs w:val="24"/>
              </w:rPr>
              <w:t>人员4人，年龄不超过30周岁，人品端正，形象过关，无社</w:t>
            </w:r>
            <w:r>
              <w:rPr>
                <w:rFonts w:hint="eastAsia" w:ascii="仿宋" w:hAnsi="仿宋" w:eastAsia="仿宋"/>
                <w:color w:val="auto"/>
                <w:sz w:val="24"/>
                <w:szCs w:val="24"/>
                <w:lang w:eastAsia="zh-CN"/>
              </w:rPr>
              <w:t>会</w:t>
            </w:r>
            <w:r>
              <w:rPr>
                <w:rFonts w:hint="eastAsia" w:ascii="仿宋" w:hAnsi="仿宋" w:eastAsia="仿宋"/>
                <w:color w:val="auto"/>
                <w:sz w:val="24"/>
                <w:szCs w:val="24"/>
              </w:rPr>
              <w:t>犯罪记录。</w:t>
            </w:r>
          </w:p>
          <w:p>
            <w:pPr>
              <w:pStyle w:val="40"/>
              <w:numPr>
                <w:ilvl w:val="0"/>
                <w:numId w:val="6"/>
              </w:numPr>
              <w:ind w:firstLine="0" w:firstLineChars="0"/>
              <w:rPr>
                <w:rFonts w:ascii="仿宋" w:hAnsi="仿宋" w:eastAsia="仿宋"/>
                <w:color w:val="auto"/>
                <w:sz w:val="24"/>
                <w:szCs w:val="24"/>
              </w:rPr>
            </w:pPr>
            <w:r>
              <w:rPr>
                <w:rFonts w:hint="eastAsia" w:ascii="仿宋" w:hAnsi="仿宋" w:eastAsia="仿宋"/>
                <w:color w:val="auto"/>
                <w:sz w:val="24"/>
                <w:szCs w:val="24"/>
              </w:rPr>
              <w:t>在会展中心领导下，负责各类会议的接待、服务工作。</w:t>
            </w:r>
          </w:p>
          <w:p>
            <w:pPr>
              <w:pStyle w:val="40"/>
              <w:numPr>
                <w:ilvl w:val="0"/>
                <w:numId w:val="6"/>
              </w:numPr>
              <w:ind w:firstLine="0" w:firstLineChars="0"/>
              <w:rPr>
                <w:rFonts w:ascii="仿宋" w:hAnsi="仿宋" w:eastAsia="仿宋"/>
                <w:color w:val="auto"/>
                <w:sz w:val="24"/>
                <w:szCs w:val="24"/>
              </w:rPr>
            </w:pPr>
            <w:r>
              <w:rPr>
                <w:rFonts w:hint="eastAsia" w:ascii="仿宋" w:hAnsi="仿宋" w:eastAsia="仿宋"/>
                <w:color w:val="auto"/>
                <w:sz w:val="24"/>
                <w:szCs w:val="24"/>
              </w:rPr>
              <w:t>遵守服务程序和服务规范，热情、主动、有礼貌的接待参会人员，提供优质会议服务工作。</w:t>
            </w:r>
          </w:p>
          <w:p>
            <w:pPr>
              <w:pStyle w:val="40"/>
              <w:numPr>
                <w:ilvl w:val="0"/>
                <w:numId w:val="6"/>
              </w:numPr>
              <w:ind w:firstLine="0" w:firstLineChars="0"/>
              <w:rPr>
                <w:rFonts w:ascii="仿宋" w:hAnsi="仿宋" w:eastAsia="仿宋"/>
                <w:color w:val="auto"/>
                <w:sz w:val="24"/>
                <w:szCs w:val="24"/>
              </w:rPr>
            </w:pPr>
            <w:r>
              <w:rPr>
                <w:rFonts w:hint="eastAsia" w:ascii="仿宋" w:hAnsi="仿宋" w:eastAsia="仿宋"/>
                <w:color w:val="auto"/>
                <w:sz w:val="24"/>
                <w:szCs w:val="24"/>
              </w:rPr>
              <w:t>服从管理，随时听从会展中心的工作安排。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绿化养护</w:t>
            </w:r>
          </w:p>
        </w:tc>
        <w:tc>
          <w:tcPr>
            <w:tcW w:w="7614" w:type="dxa"/>
          </w:tcPr>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1、绿化管理员2人，性别男，年龄不超过50周岁，人品端正，吃苦耐劳，具有绿化管理、养护经验。</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2、及时清除绿化区域杂物，保持清洁美观。</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3、修剪平整，做好病虫防治，补栽补种，科学施肥、浇水等养护工作。</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4、按照绿化养护二级管理标准执行。</w:t>
            </w:r>
          </w:p>
        </w:tc>
      </w:tr>
    </w:tbl>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黑体" w:asciiTheme="minorEastAsia" w:hAnsiTheme="minorEastAsia"/>
          <w:b/>
          <w:bCs/>
          <w:color w:val="auto"/>
          <w:sz w:val="24"/>
          <w:szCs w:val="24"/>
          <w:shd w:val="clear" w:color="auto" w:fill="FFFFFF"/>
        </w:rPr>
      </w:pPr>
      <w:r>
        <w:rPr>
          <w:rFonts w:hint="eastAsia" w:cs="宋体" w:asciiTheme="minorEastAsia" w:hAnsiTheme="minorEastAsia"/>
          <w:color w:val="auto"/>
          <w:kern w:val="0"/>
          <w:szCs w:val="21"/>
        </w:rPr>
        <w:t>★</w:t>
      </w:r>
      <w:r>
        <w:rPr>
          <w:rFonts w:hint="eastAsia" w:cs="黑体" w:asciiTheme="minorEastAsia" w:hAnsiTheme="minorEastAsia"/>
          <w:b/>
          <w:bCs/>
          <w:color w:val="auto"/>
          <w:sz w:val="24"/>
          <w:szCs w:val="24"/>
          <w:shd w:val="clear" w:color="auto" w:fill="FFFFFF"/>
        </w:rPr>
        <w:t>四标包：2号楼物业服务项目要求</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7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项目</w:t>
            </w:r>
          </w:p>
        </w:tc>
        <w:tc>
          <w:tcPr>
            <w:tcW w:w="7614" w:type="dxa"/>
          </w:tcPr>
          <w:p>
            <w:pPr>
              <w:pStyle w:val="40"/>
              <w:ind w:firstLine="0" w:firstLineChars="0"/>
              <w:jc w:val="center"/>
              <w:rPr>
                <w:rFonts w:ascii="仿宋" w:hAnsi="仿宋" w:eastAsia="仿宋"/>
                <w:color w:val="auto"/>
                <w:sz w:val="24"/>
                <w:szCs w:val="24"/>
              </w:rPr>
            </w:pPr>
            <w:r>
              <w:rPr>
                <w:rFonts w:hint="eastAsia" w:ascii="仿宋" w:hAnsi="仿宋" w:eastAsia="仿宋"/>
                <w:b/>
                <w:bCs/>
                <w:color w:val="auto"/>
                <w:sz w:val="24"/>
                <w:szCs w:val="24"/>
              </w:rPr>
              <w:t>工 作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908" w:type="dxa"/>
          </w:tcPr>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物业经理</w:t>
            </w:r>
          </w:p>
        </w:tc>
        <w:tc>
          <w:tcPr>
            <w:tcW w:w="7614" w:type="dxa"/>
          </w:tcPr>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1、物业经理1人，年龄不超过50周岁，政治合格，身体健康，人品端正，负责整个物业服务项目的管理协调工作、具备物业管理岗位证书。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安</w:t>
            </w:r>
          </w:p>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保</w:t>
            </w:r>
          </w:p>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工</w:t>
            </w:r>
          </w:p>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作</w:t>
            </w:r>
          </w:p>
        </w:tc>
        <w:tc>
          <w:tcPr>
            <w:tcW w:w="7614" w:type="dxa"/>
          </w:tcPr>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1、人员4人，年龄：男55周岁以下、女50周岁以下，政治合格，身体健康，人品端正，无社会犯罪记录。</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2、负责24小时门岗室值班，对出入人员及车辆进行登记，禁止无关人员和车辆进入办公区域。</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3、负责楼、院内巡逻，特别是夜间巡逻次数要保证。</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4、负责引导院内和地下车库的车辆有序停放，制止和纠正乱停乱放。</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5、负责公共区域内公共设施、设备，保证完好。</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6、保安人员必须熟练使用消防器材，遇有紧急情况，迅速处理，及时上报。</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7、落实业主单位安排的其他安保工作。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908" w:type="dxa"/>
          </w:tcPr>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卫生保洁</w:t>
            </w:r>
          </w:p>
        </w:tc>
        <w:tc>
          <w:tcPr>
            <w:tcW w:w="7614" w:type="dxa"/>
          </w:tcPr>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1、人员4人，年龄：男55周岁以下、女50周岁以下，人品端正，吃苦耐劳，无社会犯罪记录。</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2、负责单位公共部分的管理、保养、清洁和垃圾清理。包括楼梯间、电梯间、走廊、门厅、卫生间、开水间、会议室、大院等，以及重要活动的临时性保洁等。</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3、负责单位垃圾清运工作。</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4、落实业主单位安排的其他保洁工作。</w:t>
            </w:r>
          </w:p>
        </w:tc>
      </w:tr>
    </w:tbl>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宋体" w:asciiTheme="minorEastAsia" w:hAnsiTheme="minorEastAsia"/>
          <w:color w:val="auto"/>
          <w:kern w:val="0"/>
          <w:szCs w:val="21"/>
        </w:rPr>
      </w:pPr>
    </w:p>
    <w:p>
      <w:pPr>
        <w:widowControl/>
        <w:shd w:val="clear" w:color="auto" w:fill="FFFFFF"/>
        <w:spacing w:line="360" w:lineRule="auto"/>
        <w:ind w:left="482"/>
        <w:jc w:val="center"/>
        <w:rPr>
          <w:rFonts w:cs="黑体" w:asciiTheme="minorEastAsia" w:hAnsiTheme="minorEastAsia"/>
          <w:b/>
          <w:bCs/>
          <w:color w:val="auto"/>
          <w:sz w:val="24"/>
          <w:szCs w:val="24"/>
          <w:shd w:val="clear" w:color="auto" w:fill="FFFFFF"/>
        </w:rPr>
      </w:pPr>
      <w:r>
        <w:rPr>
          <w:rFonts w:hint="eastAsia" w:cs="宋体" w:asciiTheme="minorEastAsia" w:hAnsiTheme="minorEastAsia"/>
          <w:color w:val="auto"/>
          <w:kern w:val="0"/>
          <w:szCs w:val="21"/>
        </w:rPr>
        <w:t>★</w:t>
      </w:r>
      <w:r>
        <w:rPr>
          <w:rFonts w:hint="eastAsia" w:cs="黑体" w:asciiTheme="minorEastAsia" w:hAnsiTheme="minorEastAsia"/>
          <w:b/>
          <w:bCs/>
          <w:color w:val="auto"/>
          <w:sz w:val="24"/>
          <w:szCs w:val="24"/>
          <w:shd w:val="clear" w:color="auto" w:fill="FFFFFF"/>
        </w:rPr>
        <w:t>五标包：5号楼、6号楼、7号楼物业服务项目要求</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7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项目</w:t>
            </w:r>
          </w:p>
        </w:tc>
        <w:tc>
          <w:tcPr>
            <w:tcW w:w="7614" w:type="dxa"/>
          </w:tcPr>
          <w:p>
            <w:pPr>
              <w:pStyle w:val="40"/>
              <w:ind w:firstLine="0" w:firstLineChars="0"/>
              <w:jc w:val="center"/>
              <w:rPr>
                <w:rFonts w:ascii="仿宋" w:hAnsi="仿宋" w:eastAsia="仿宋"/>
                <w:color w:val="auto"/>
                <w:sz w:val="24"/>
                <w:szCs w:val="24"/>
              </w:rPr>
            </w:pPr>
            <w:r>
              <w:rPr>
                <w:rFonts w:hint="eastAsia" w:ascii="仿宋" w:hAnsi="仿宋" w:eastAsia="仿宋"/>
                <w:b/>
                <w:bCs/>
                <w:color w:val="auto"/>
                <w:sz w:val="24"/>
                <w:szCs w:val="24"/>
              </w:rPr>
              <w:t>工 作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908" w:type="dxa"/>
          </w:tcPr>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物业经理</w:t>
            </w:r>
          </w:p>
        </w:tc>
        <w:tc>
          <w:tcPr>
            <w:tcW w:w="7614" w:type="dxa"/>
          </w:tcPr>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1、物业经理1人，年龄不超过50周岁，政治合格，身体健康，人品端正，负责整个物业服务项目的管理协调工作、具备物业管理岗位证书。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安</w:t>
            </w:r>
          </w:p>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保</w:t>
            </w:r>
          </w:p>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工</w:t>
            </w:r>
          </w:p>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作</w:t>
            </w:r>
          </w:p>
        </w:tc>
        <w:tc>
          <w:tcPr>
            <w:tcW w:w="7614" w:type="dxa"/>
          </w:tcPr>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1、人员17人，年龄：男55周岁以下、女50周岁以下，政治合格，身体健康，人品端正，无社会犯罪记录。</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2、负责24小时门岗室值班，对出入人员及车辆进行登记，禁止无关人员和车辆进入办公区域。</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3、负责楼、院内巡逻，特别是夜间巡逻次数要保证。</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4、负责引导院内和地下车库的车辆有序停放，制止和纠正乱停乱放。</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5、负责公共区域内公共设施、设备，保证完好。</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6、保安人员必须熟练使用消防器材，遇有紧急情况，迅速处理，及时上报。</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7、落实业主单位安排的其他安保工作。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908" w:type="dxa"/>
          </w:tcPr>
          <w:p>
            <w:pPr>
              <w:pStyle w:val="40"/>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卫生保洁</w:t>
            </w:r>
          </w:p>
        </w:tc>
        <w:tc>
          <w:tcPr>
            <w:tcW w:w="7614" w:type="dxa"/>
          </w:tcPr>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1、人员16人，年龄：男55周岁以下、女50周岁以下，人品端正，吃苦耐劳，无社会犯罪记录。</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2、负责单位公共部分的管理、保养、清洁和垃圾清理。包括楼梯间、电梯间、走廊、门厅、卫生间、开水间、会议室、大院等，以及重要活动的临时性保洁等。</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3、负责单位垃圾清运工作。</w:t>
            </w:r>
          </w:p>
          <w:p>
            <w:pPr>
              <w:pStyle w:val="40"/>
              <w:ind w:firstLine="0" w:firstLineChars="0"/>
              <w:rPr>
                <w:rFonts w:ascii="仿宋" w:hAnsi="仿宋" w:eastAsia="仿宋"/>
                <w:color w:val="auto"/>
                <w:sz w:val="24"/>
                <w:szCs w:val="24"/>
              </w:rPr>
            </w:pPr>
            <w:r>
              <w:rPr>
                <w:rFonts w:hint="eastAsia" w:ascii="仿宋" w:hAnsi="仿宋" w:eastAsia="仿宋"/>
                <w:color w:val="auto"/>
                <w:sz w:val="24"/>
                <w:szCs w:val="24"/>
              </w:rPr>
              <w:t>4、落实业主单位安排的其他保洁工作。</w:t>
            </w:r>
          </w:p>
        </w:tc>
      </w:tr>
    </w:tbl>
    <w:p>
      <w:pPr>
        <w:pStyle w:val="40"/>
        <w:ind w:firstLine="0" w:firstLineChars="0"/>
        <w:jc w:val="center"/>
        <w:rPr>
          <w:b/>
          <w:bCs/>
          <w:color w:val="auto"/>
          <w:sz w:val="32"/>
          <w:szCs w:val="32"/>
        </w:rPr>
      </w:pPr>
    </w:p>
    <w:p>
      <w:pPr>
        <w:pStyle w:val="40"/>
        <w:ind w:firstLine="0" w:firstLineChars="0"/>
        <w:jc w:val="center"/>
        <w:rPr>
          <w:b/>
          <w:bCs/>
          <w:color w:val="auto"/>
          <w:sz w:val="32"/>
          <w:szCs w:val="32"/>
        </w:rPr>
      </w:pPr>
    </w:p>
    <w:p>
      <w:pPr>
        <w:pStyle w:val="40"/>
        <w:ind w:firstLine="0" w:firstLineChars="0"/>
        <w:jc w:val="center"/>
        <w:rPr>
          <w:b/>
          <w:bCs/>
          <w:color w:val="auto"/>
          <w:sz w:val="32"/>
          <w:szCs w:val="32"/>
        </w:rPr>
      </w:pPr>
    </w:p>
    <w:p>
      <w:pPr>
        <w:pStyle w:val="40"/>
        <w:ind w:firstLine="0" w:firstLineChars="0"/>
        <w:jc w:val="center"/>
        <w:rPr>
          <w:b/>
          <w:bCs/>
          <w:color w:val="auto"/>
          <w:sz w:val="32"/>
          <w:szCs w:val="32"/>
        </w:rPr>
      </w:pPr>
    </w:p>
    <w:p>
      <w:pPr>
        <w:pStyle w:val="40"/>
        <w:ind w:firstLine="0" w:firstLineChars="0"/>
        <w:jc w:val="center"/>
        <w:rPr>
          <w:b/>
          <w:bCs/>
          <w:color w:val="auto"/>
          <w:sz w:val="32"/>
          <w:szCs w:val="32"/>
        </w:rPr>
      </w:pPr>
    </w:p>
    <w:p>
      <w:pPr>
        <w:pStyle w:val="40"/>
        <w:ind w:firstLine="0" w:firstLineChars="0"/>
        <w:jc w:val="center"/>
        <w:rPr>
          <w:b/>
          <w:bCs/>
          <w:color w:val="auto"/>
          <w:sz w:val="32"/>
          <w:szCs w:val="32"/>
        </w:rPr>
      </w:pPr>
    </w:p>
    <w:p>
      <w:pPr>
        <w:pStyle w:val="40"/>
        <w:ind w:firstLine="0" w:firstLineChars="0"/>
        <w:jc w:val="center"/>
        <w:rPr>
          <w:b/>
          <w:bCs/>
          <w:color w:val="auto"/>
          <w:sz w:val="32"/>
          <w:szCs w:val="32"/>
        </w:rPr>
      </w:pPr>
    </w:p>
    <w:p>
      <w:pPr>
        <w:pStyle w:val="40"/>
        <w:ind w:firstLine="0" w:firstLineChars="0"/>
        <w:jc w:val="center"/>
        <w:rPr>
          <w:rFonts w:hint="eastAsia"/>
          <w:b/>
          <w:bCs/>
          <w:color w:val="auto"/>
          <w:sz w:val="32"/>
          <w:szCs w:val="32"/>
        </w:rPr>
      </w:pPr>
    </w:p>
    <w:p>
      <w:pPr>
        <w:pStyle w:val="40"/>
        <w:ind w:firstLine="0" w:firstLineChars="0"/>
        <w:jc w:val="center"/>
        <w:rPr>
          <w:b/>
          <w:bCs/>
          <w:color w:val="auto"/>
          <w:sz w:val="32"/>
          <w:szCs w:val="32"/>
        </w:rPr>
      </w:pPr>
      <w:r>
        <w:rPr>
          <w:rFonts w:hint="eastAsia"/>
          <w:b/>
          <w:bCs/>
          <w:color w:val="auto"/>
          <w:sz w:val="32"/>
          <w:szCs w:val="32"/>
        </w:rPr>
        <w:t>2、具体标准细则</w:t>
      </w:r>
    </w:p>
    <w:p>
      <w:pPr>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（1）保洁工作标准及内容：</w:t>
      </w:r>
    </w:p>
    <w:tbl>
      <w:tblPr>
        <w:tblStyle w:val="23"/>
        <w:tblW w:w="9043" w:type="dxa"/>
        <w:tblInd w:w="-5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0"/>
        <w:gridCol w:w="1427"/>
        <w:gridCol w:w="2036"/>
        <w:gridCol w:w="1712"/>
        <w:gridCol w:w="960"/>
        <w:gridCol w:w="20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 w:hRule="atLeast"/>
        </w:trPr>
        <w:tc>
          <w:tcPr>
            <w:tcW w:w="900" w:type="dxa"/>
            <w:vMerge w:val="restart"/>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项目范围</w:t>
            </w:r>
          </w:p>
        </w:tc>
        <w:tc>
          <w:tcPr>
            <w:tcW w:w="1427"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清洁项目</w:t>
            </w:r>
          </w:p>
        </w:tc>
        <w:tc>
          <w:tcPr>
            <w:tcW w:w="4708"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 洁 规 程</w:t>
            </w:r>
          </w:p>
        </w:tc>
        <w:tc>
          <w:tcPr>
            <w:tcW w:w="2008"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清洁标准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1" w:hRule="atLeast"/>
        </w:trPr>
        <w:tc>
          <w:tcPr>
            <w:tcW w:w="90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_GB2312" w:eastAsia="仿宋_GB2312" w:cs="仿宋_GB2312"/>
                <w:color w:val="auto"/>
                <w:sz w:val="24"/>
                <w:szCs w:val="24"/>
              </w:rPr>
            </w:pPr>
          </w:p>
        </w:tc>
        <w:tc>
          <w:tcPr>
            <w:tcW w:w="142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_GB2312" w:eastAsia="仿宋_GB2312" w:cs="仿宋_GB2312"/>
                <w:color w:val="auto"/>
                <w:sz w:val="24"/>
                <w:szCs w:val="24"/>
              </w:rPr>
            </w:pPr>
          </w:p>
        </w:tc>
        <w:tc>
          <w:tcPr>
            <w:tcW w:w="2036"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 天</w:t>
            </w:r>
          </w:p>
        </w:tc>
        <w:tc>
          <w:tcPr>
            <w:tcW w:w="171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每星期</w:t>
            </w:r>
          </w:p>
        </w:tc>
        <w:tc>
          <w:tcPr>
            <w:tcW w:w="96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 月</w:t>
            </w:r>
          </w:p>
        </w:tc>
        <w:tc>
          <w:tcPr>
            <w:tcW w:w="200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_GB2312" w:eastAsia="仿宋_GB2312" w:cs="仿宋_GB2312"/>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09" w:hRule="atLeast"/>
        </w:trPr>
        <w:tc>
          <w:tcPr>
            <w:tcW w:w="900"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大</w:t>
            </w:r>
          </w:p>
          <w:p>
            <w:pPr>
              <w:jc w:val="center"/>
              <w:rPr>
                <w:rFonts w:ascii="仿宋_GB2312" w:hAnsi="仿宋_GB2312" w:eastAsia="仿宋_GB2312" w:cs="仿宋_GB2312"/>
                <w:color w:val="auto"/>
                <w:sz w:val="24"/>
                <w:szCs w:val="24"/>
              </w:rPr>
            </w:pP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厅</w:t>
            </w:r>
          </w:p>
          <w:p>
            <w:pPr>
              <w:jc w:val="center"/>
              <w:rPr>
                <w:rFonts w:ascii="仿宋_GB2312" w:hAnsi="仿宋_GB2312" w:eastAsia="仿宋_GB2312" w:cs="仿宋_GB2312"/>
                <w:color w:val="auto"/>
                <w:sz w:val="24"/>
                <w:szCs w:val="24"/>
              </w:rPr>
            </w:pP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及</w:t>
            </w:r>
          </w:p>
          <w:p>
            <w:pPr>
              <w:jc w:val="center"/>
              <w:rPr>
                <w:rFonts w:ascii="仿宋_GB2312" w:hAnsi="仿宋_GB2312" w:eastAsia="仿宋_GB2312" w:cs="仿宋_GB2312"/>
                <w:color w:val="auto"/>
                <w:sz w:val="24"/>
                <w:szCs w:val="24"/>
              </w:rPr>
            </w:pP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w:t>
            </w:r>
          </w:p>
          <w:p>
            <w:pPr>
              <w:rPr>
                <w:rFonts w:ascii="仿宋_GB2312" w:hAnsi="仿宋_GB2312" w:eastAsia="仿宋_GB2312" w:cs="仿宋_GB2312"/>
                <w:color w:val="auto"/>
                <w:sz w:val="24"/>
                <w:szCs w:val="24"/>
              </w:rPr>
            </w:pP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w:t>
            </w:r>
          </w:p>
          <w:p>
            <w:pPr>
              <w:jc w:val="center"/>
              <w:rPr>
                <w:rFonts w:ascii="仿宋_GB2312" w:hAnsi="仿宋_GB2312" w:eastAsia="仿宋_GB2312" w:cs="仿宋_GB2312"/>
                <w:color w:val="auto"/>
                <w:sz w:val="24"/>
                <w:szCs w:val="24"/>
              </w:rPr>
            </w:pP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w:t>
            </w:r>
          </w:p>
          <w:p>
            <w:pPr>
              <w:jc w:val="center"/>
              <w:rPr>
                <w:rFonts w:ascii="仿宋_GB2312" w:hAnsi="仿宋_GB2312" w:eastAsia="仿宋_GB2312" w:cs="仿宋_GB2312"/>
                <w:color w:val="auto"/>
                <w:sz w:val="24"/>
                <w:szCs w:val="24"/>
              </w:rPr>
            </w:pP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道</w:t>
            </w:r>
          </w:p>
          <w:p>
            <w:pPr>
              <w:tabs>
                <w:tab w:val="left" w:pos="155"/>
              </w:tabs>
              <w:ind w:firstLine="84" w:firstLineChars="35"/>
              <w:jc w:val="center"/>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大厅</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内地面</w:t>
            </w:r>
          </w:p>
        </w:tc>
        <w:tc>
          <w:tcPr>
            <w:tcW w:w="20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清拖二次，推尘数次，清除污渍、杂物、香口胶并保洁</w:t>
            </w:r>
          </w:p>
        </w:tc>
        <w:tc>
          <w:tcPr>
            <w:tcW w:w="171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p>
        </w:tc>
        <w:tc>
          <w:tcPr>
            <w:tcW w:w="96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无污渍、痰渍、香口胶，保持洁净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大门台阶</w:t>
            </w:r>
          </w:p>
        </w:tc>
        <w:tc>
          <w:tcPr>
            <w:tcW w:w="20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清拖，清除污渍、杂物并随时保洁</w:t>
            </w:r>
          </w:p>
        </w:tc>
        <w:tc>
          <w:tcPr>
            <w:tcW w:w="171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p>
        </w:tc>
        <w:tc>
          <w:tcPr>
            <w:tcW w:w="96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无污渍、痰渍、烟头、香口胶，洁净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大理石或瓷砖墙面</w:t>
            </w:r>
          </w:p>
        </w:tc>
        <w:tc>
          <w:tcPr>
            <w:tcW w:w="20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p>
        </w:tc>
        <w:tc>
          <w:tcPr>
            <w:tcW w:w="171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用尘弹除尘,清抹一次</w:t>
            </w:r>
          </w:p>
        </w:tc>
        <w:tc>
          <w:tcPr>
            <w:tcW w:w="96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无污渍、痰渍、灰尘，光洁明亮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玻璃门、窗及玻璃饰品</w:t>
            </w:r>
          </w:p>
        </w:tc>
        <w:tc>
          <w:tcPr>
            <w:tcW w:w="20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用玻璃清洁剂清抹一次，随时保洁</w:t>
            </w:r>
          </w:p>
        </w:tc>
        <w:tc>
          <w:tcPr>
            <w:tcW w:w="171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用玻璃清洁剂全面刮洗一次</w:t>
            </w:r>
          </w:p>
        </w:tc>
        <w:tc>
          <w:tcPr>
            <w:tcW w:w="96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无蛛丝、污渍、手印，光洁明亮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不锈钢门</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及饰品</w:t>
            </w:r>
          </w:p>
        </w:tc>
        <w:tc>
          <w:tcPr>
            <w:tcW w:w="20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用不锈钢清洁剂抹一次，随时保洁</w:t>
            </w:r>
          </w:p>
        </w:tc>
        <w:tc>
          <w:tcPr>
            <w:tcW w:w="171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擦不锈钢油一次，护理保养</w:t>
            </w:r>
          </w:p>
        </w:tc>
        <w:tc>
          <w:tcPr>
            <w:tcW w:w="96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无污渍、锈迹、手印，光洁明亮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标识、指示牌（两米以下）</w:t>
            </w:r>
          </w:p>
        </w:tc>
        <w:tc>
          <w:tcPr>
            <w:tcW w:w="20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抹一次，随时保洁</w:t>
            </w:r>
          </w:p>
        </w:tc>
        <w:tc>
          <w:tcPr>
            <w:tcW w:w="171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p>
        </w:tc>
        <w:tc>
          <w:tcPr>
            <w:tcW w:w="96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无蛛丝、污渍、尘渍，光洁明亮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消防楼道</w:t>
            </w:r>
          </w:p>
        </w:tc>
        <w:tc>
          <w:tcPr>
            <w:tcW w:w="20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清扫一次，随时保洁</w:t>
            </w:r>
          </w:p>
        </w:tc>
        <w:tc>
          <w:tcPr>
            <w:tcW w:w="171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p>
        </w:tc>
        <w:tc>
          <w:tcPr>
            <w:tcW w:w="96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无污渍、无杂物，光洁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楼梯扶手</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栅栏</w:t>
            </w:r>
          </w:p>
        </w:tc>
        <w:tc>
          <w:tcPr>
            <w:tcW w:w="20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清洁剂抹一次，随时保洁</w:t>
            </w:r>
          </w:p>
        </w:tc>
        <w:tc>
          <w:tcPr>
            <w:tcW w:w="171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p>
        </w:tc>
        <w:tc>
          <w:tcPr>
            <w:tcW w:w="96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无蛛丝、污渍、尘渍，光洁明亮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烟灰桶</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垃圾桶</w:t>
            </w:r>
          </w:p>
        </w:tc>
        <w:tc>
          <w:tcPr>
            <w:tcW w:w="20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清倒二次，整理清抹桶身，随时保洁</w:t>
            </w:r>
          </w:p>
        </w:tc>
        <w:tc>
          <w:tcPr>
            <w:tcW w:w="171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p>
        </w:tc>
        <w:tc>
          <w:tcPr>
            <w:tcW w:w="96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无异味、污渍，光洁明亮，垃圾不满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消防门、</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消防设施</w:t>
            </w:r>
          </w:p>
        </w:tc>
        <w:tc>
          <w:tcPr>
            <w:tcW w:w="20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p>
        </w:tc>
        <w:tc>
          <w:tcPr>
            <w:tcW w:w="171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清抹一次，保洁</w:t>
            </w:r>
          </w:p>
        </w:tc>
        <w:tc>
          <w:tcPr>
            <w:tcW w:w="96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无蛛丝、杂物、污渍、灰尘，光洁</w:t>
            </w:r>
          </w:p>
        </w:tc>
      </w:tr>
    </w:tbl>
    <w:p>
      <w:pPr>
        <w:pStyle w:val="2"/>
        <w:numPr>
          <w:ilvl w:val="0"/>
          <w:numId w:val="0"/>
        </w:numPr>
        <w:ind w:left="288"/>
        <w:rPr>
          <w:color w:val="auto"/>
        </w:rPr>
      </w:pPr>
    </w:p>
    <w:tbl>
      <w:tblPr>
        <w:tblStyle w:val="23"/>
        <w:tblW w:w="9061" w:type="dxa"/>
        <w:tblInd w:w="1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0"/>
        <w:gridCol w:w="1440"/>
        <w:gridCol w:w="2452"/>
        <w:gridCol w:w="1080"/>
        <w:gridCol w:w="1136"/>
        <w:gridCol w:w="20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58" w:hRule="atLeast"/>
        </w:trPr>
        <w:tc>
          <w:tcPr>
            <w:tcW w:w="900" w:type="dxa"/>
            <w:vMerge w:val="restart"/>
            <w:tcBorders>
              <w:top w:val="single" w:color="auto" w:sz="6" w:space="0"/>
              <w:left w:val="single" w:color="auto" w:sz="6" w:space="0"/>
              <w:right w:val="single" w:color="auto" w:sz="6" w:space="0"/>
            </w:tcBorders>
            <w:vAlign w:val="center"/>
          </w:tcPr>
          <w:p>
            <w:pPr>
              <w:rPr>
                <w:rFonts w:ascii="仿宋_GB2312" w:hAnsi="仿宋_GB2312" w:eastAsia="仿宋_GB2312" w:cs="仿宋_GB2312"/>
                <w:color w:val="auto"/>
                <w:sz w:val="24"/>
              </w:rPr>
            </w:pP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公</w:t>
            </w:r>
          </w:p>
          <w:p>
            <w:pPr>
              <w:jc w:val="center"/>
              <w:rPr>
                <w:rFonts w:ascii="仿宋_GB2312" w:hAnsi="仿宋_GB2312" w:eastAsia="仿宋_GB2312" w:cs="仿宋_GB2312"/>
                <w:color w:val="auto"/>
                <w:sz w:val="24"/>
              </w:rPr>
            </w:pP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共</w:t>
            </w:r>
          </w:p>
          <w:p>
            <w:pPr>
              <w:jc w:val="center"/>
              <w:rPr>
                <w:rFonts w:ascii="仿宋_GB2312" w:hAnsi="仿宋_GB2312" w:eastAsia="仿宋_GB2312" w:cs="仿宋_GB2312"/>
                <w:color w:val="auto"/>
                <w:sz w:val="24"/>
              </w:rPr>
            </w:pP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洗</w:t>
            </w:r>
          </w:p>
          <w:p>
            <w:pPr>
              <w:jc w:val="center"/>
              <w:rPr>
                <w:rFonts w:ascii="仿宋_GB2312" w:hAnsi="仿宋_GB2312" w:eastAsia="仿宋_GB2312" w:cs="仿宋_GB2312"/>
                <w:color w:val="auto"/>
                <w:sz w:val="24"/>
              </w:rPr>
            </w:pP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手</w:t>
            </w:r>
          </w:p>
          <w:p>
            <w:pPr>
              <w:jc w:val="center"/>
              <w:rPr>
                <w:rFonts w:ascii="仿宋_GB2312" w:hAnsi="仿宋_GB2312" w:eastAsia="仿宋_GB2312" w:cs="仿宋_GB2312"/>
                <w:color w:val="auto"/>
                <w:sz w:val="24"/>
              </w:rPr>
            </w:pPr>
          </w:p>
          <w:p>
            <w:pPr>
              <w:jc w:val="center"/>
              <w:rPr>
                <w:rFonts w:ascii="仿宋_GB2312" w:hAnsi="仿宋_GB2312" w:eastAsia="仿宋_GB2312" w:cs="仿宋_GB2312"/>
                <w:i/>
                <w:color w:val="auto"/>
                <w:sz w:val="24"/>
              </w:rPr>
            </w:pPr>
            <w:r>
              <w:rPr>
                <w:rFonts w:hint="eastAsia" w:ascii="仿宋_GB2312" w:hAnsi="仿宋_GB2312" w:eastAsia="仿宋_GB2312" w:cs="仿宋_GB2312"/>
                <w:color w:val="auto"/>
                <w:sz w:val="24"/>
              </w:rPr>
              <w:t>间</w:t>
            </w:r>
          </w:p>
          <w:p>
            <w:pPr>
              <w:jc w:val="center"/>
              <w:rPr>
                <w:rFonts w:ascii="仿宋_GB2312" w:hAnsi="仿宋_GB2312" w:eastAsia="仿宋_GB2312" w:cs="仿宋_GB2312"/>
                <w:i/>
                <w:color w:val="auto"/>
                <w:sz w:val="24"/>
              </w:rPr>
            </w:pPr>
          </w:p>
        </w:tc>
        <w:tc>
          <w:tcPr>
            <w:tcW w:w="1440" w:type="dxa"/>
            <w:tcBorders>
              <w:top w:val="single" w:color="auto" w:sz="6" w:space="0"/>
              <w:left w:val="single" w:color="auto" w:sz="6" w:space="0"/>
              <w:right w:val="single" w:color="auto" w:sz="6" w:space="0"/>
            </w:tcBorders>
            <w:vAlign w:val="center"/>
          </w:tcPr>
          <w:p>
            <w:pPr>
              <w:widowControl/>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地  面</w:t>
            </w:r>
          </w:p>
        </w:tc>
        <w:tc>
          <w:tcPr>
            <w:tcW w:w="245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清拖二次，并随时保洁</w:t>
            </w:r>
          </w:p>
          <w:p>
            <w:pPr>
              <w:rPr>
                <w:rFonts w:ascii="仿宋_GB2312" w:hAnsi="仿宋_GB2312"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用消毒水拖地二次，杀菌</w:t>
            </w:r>
          </w:p>
        </w:tc>
        <w:tc>
          <w:tcPr>
            <w:tcW w:w="11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无污渍、痰渍、水渍，洁亮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5" w:hRule="atLeast"/>
        </w:trPr>
        <w:tc>
          <w:tcPr>
            <w:tcW w:w="900" w:type="dxa"/>
            <w:vMerge w:val="continue"/>
            <w:tcBorders>
              <w:left w:val="single" w:color="auto" w:sz="6" w:space="0"/>
              <w:right w:val="single" w:color="auto" w:sz="6" w:space="0"/>
            </w:tcBorders>
            <w:vAlign w:val="center"/>
          </w:tcPr>
          <w:p>
            <w:pPr>
              <w:jc w:val="center"/>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墙  面</w:t>
            </w:r>
          </w:p>
        </w:tc>
        <w:tc>
          <w:tcPr>
            <w:tcW w:w="245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清抹一次，并随时保洁</w:t>
            </w: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用消毒水抹一次，杀菌消毒</w:t>
            </w:r>
          </w:p>
        </w:tc>
        <w:tc>
          <w:tcPr>
            <w:tcW w:w="11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无污渍、灰尘，蛛丝，光洁明亮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58" w:hRule="atLeast"/>
        </w:trPr>
        <w:tc>
          <w:tcPr>
            <w:tcW w:w="900" w:type="dxa"/>
            <w:vMerge w:val="continue"/>
            <w:tcBorders>
              <w:left w:val="single" w:color="auto" w:sz="6" w:space="0"/>
              <w:right w:val="single" w:color="auto" w:sz="6" w:space="0"/>
            </w:tcBorders>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天花、风口灯饰、管道</w:t>
            </w:r>
          </w:p>
        </w:tc>
        <w:tc>
          <w:tcPr>
            <w:tcW w:w="245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用消毒水抹一次，杀菌消毒</w:t>
            </w:r>
          </w:p>
        </w:tc>
        <w:tc>
          <w:tcPr>
            <w:tcW w:w="11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无蛛丝、污渍、尘渍，光洁明亮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2" w:hRule="atLeast"/>
        </w:trPr>
        <w:tc>
          <w:tcPr>
            <w:tcW w:w="900" w:type="dxa"/>
            <w:vMerge w:val="continue"/>
            <w:tcBorders>
              <w:left w:val="single" w:color="auto" w:sz="6" w:space="0"/>
              <w:right w:val="single" w:color="auto" w:sz="6" w:space="0"/>
            </w:tcBorders>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pStyle w:val="58"/>
              <w:widowControl w:val="0"/>
              <w:pBdr>
                <w:bottom w:val="none" w:color="auto" w:sz="0" w:space="0"/>
                <w:right w:val="none" w:color="auto" w:sz="0" w:space="0"/>
              </w:pBdr>
              <w:spacing w:before="0" w:beforeAutospacing="0" w:after="0" w:afterAutospacing="0"/>
              <w:rPr>
                <w:rFonts w:ascii="仿宋_GB2312" w:hAnsi="仿宋_GB2312" w:eastAsia="仿宋_GB2312" w:cs="仿宋_GB2312"/>
                <w:color w:val="auto"/>
                <w:szCs w:val="24"/>
              </w:rPr>
            </w:pPr>
            <w:r>
              <w:rPr>
                <w:rFonts w:hint="eastAsia" w:ascii="仿宋_GB2312" w:hAnsi="仿宋_GB2312" w:eastAsia="仿宋_GB2312" w:cs="仿宋_GB2312"/>
                <w:color w:val="auto"/>
                <w:kern w:val="2"/>
                <w:szCs w:val="24"/>
              </w:rPr>
              <w:t>门面及隔板</w:t>
            </w:r>
          </w:p>
        </w:tc>
        <w:tc>
          <w:tcPr>
            <w:tcW w:w="245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清抹一次，并随时保洁</w:t>
            </w: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用消毒水抹一次，杀菌消毒</w:t>
            </w:r>
          </w:p>
        </w:tc>
        <w:tc>
          <w:tcPr>
            <w:tcW w:w="11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无污渍、灰尘，蛛丝，光洁明亮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4" w:hRule="atLeast"/>
        </w:trPr>
        <w:tc>
          <w:tcPr>
            <w:tcW w:w="900" w:type="dxa"/>
            <w:vMerge w:val="continue"/>
            <w:tcBorders>
              <w:left w:val="single" w:color="auto" w:sz="6" w:space="0"/>
              <w:right w:val="single" w:color="auto" w:sz="6" w:space="0"/>
            </w:tcBorders>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洗手台</w:t>
            </w: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洗手盆</w:t>
            </w:r>
          </w:p>
        </w:tc>
        <w:tc>
          <w:tcPr>
            <w:tcW w:w="245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随时抹净水渍、清除污渍</w:t>
            </w: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无污渍、水渍，干燥，光洁明亮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1" w:hRule="atLeast"/>
        </w:trPr>
        <w:tc>
          <w:tcPr>
            <w:tcW w:w="900" w:type="dxa"/>
            <w:vMerge w:val="continue"/>
            <w:tcBorders>
              <w:left w:val="single" w:color="auto" w:sz="6" w:space="0"/>
              <w:right w:val="single" w:color="auto" w:sz="6" w:space="0"/>
            </w:tcBorders>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镜  面</w:t>
            </w:r>
          </w:p>
        </w:tc>
        <w:tc>
          <w:tcPr>
            <w:tcW w:w="245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随时抹净水渍、清除污渍</w:t>
            </w: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玻璃清洁剂刮洗镜面一次</w:t>
            </w:r>
          </w:p>
        </w:tc>
        <w:tc>
          <w:tcPr>
            <w:tcW w:w="11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无污渍、水渍，干燥，光洁明亮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900" w:type="dxa"/>
            <w:vMerge w:val="continue"/>
            <w:tcBorders>
              <w:left w:val="single" w:color="auto" w:sz="6" w:space="0"/>
              <w:right w:val="single" w:color="auto" w:sz="6" w:space="0"/>
            </w:tcBorders>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大小便洁具</w:t>
            </w:r>
          </w:p>
        </w:tc>
        <w:tc>
          <w:tcPr>
            <w:tcW w:w="245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上下午各洗刷二次，随时冲洗污垢</w:t>
            </w: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用消毒水抹二次，杀菌消毒</w:t>
            </w:r>
          </w:p>
        </w:tc>
        <w:tc>
          <w:tcPr>
            <w:tcW w:w="11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便池放置香丸一次</w:t>
            </w:r>
          </w:p>
        </w:tc>
        <w:tc>
          <w:tcPr>
            <w:tcW w:w="2053"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无污、无垢，无臭，外干燥，光亮如新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4" w:hRule="atLeast"/>
        </w:trPr>
        <w:tc>
          <w:tcPr>
            <w:tcW w:w="900" w:type="dxa"/>
            <w:vMerge w:val="continue"/>
            <w:tcBorders>
              <w:left w:val="single" w:color="auto" w:sz="6" w:space="0"/>
              <w:right w:val="single" w:color="auto" w:sz="6" w:space="0"/>
            </w:tcBorders>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配套设施和公共设施</w:t>
            </w:r>
          </w:p>
        </w:tc>
        <w:tc>
          <w:tcPr>
            <w:tcW w:w="245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清抹一次，并随时保洁</w:t>
            </w: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用消毒水抹一次，杀菌消毒</w:t>
            </w:r>
          </w:p>
        </w:tc>
        <w:tc>
          <w:tcPr>
            <w:tcW w:w="11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无污渍、灰尘，蛛丝，光洁明亮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7" w:hRule="atLeast"/>
        </w:trPr>
        <w:tc>
          <w:tcPr>
            <w:tcW w:w="900" w:type="dxa"/>
            <w:vMerge w:val="continue"/>
            <w:tcBorders>
              <w:left w:val="single" w:color="auto" w:sz="6" w:space="0"/>
              <w:right w:val="single" w:color="auto" w:sz="6" w:space="0"/>
            </w:tcBorders>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杂物箱</w:t>
            </w:r>
          </w:p>
        </w:tc>
        <w:tc>
          <w:tcPr>
            <w:tcW w:w="245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清抹一次，清理杂物，并随时保洁</w:t>
            </w: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用消毒水抹一次，杀菌消毒</w:t>
            </w:r>
          </w:p>
        </w:tc>
        <w:tc>
          <w:tcPr>
            <w:tcW w:w="11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无污渍、蛛丝，整洁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900" w:type="dxa"/>
            <w:vMerge w:val="continue"/>
            <w:tcBorders>
              <w:left w:val="single" w:color="auto" w:sz="6" w:space="0"/>
              <w:right w:val="single" w:color="auto" w:sz="6" w:space="0"/>
            </w:tcBorders>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垃圾篓</w:t>
            </w:r>
          </w:p>
        </w:tc>
        <w:tc>
          <w:tcPr>
            <w:tcW w:w="245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收集垃圾二次，洗刷垃圾篓污渍</w:t>
            </w: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用消毒水洗一次，杀菌消毒</w:t>
            </w:r>
          </w:p>
        </w:tc>
        <w:tc>
          <w:tcPr>
            <w:tcW w:w="11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无污、无垢，无臭，干燥，垃圾不能满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08" w:hRule="atLeast"/>
        </w:trPr>
        <w:tc>
          <w:tcPr>
            <w:tcW w:w="900" w:type="dxa"/>
            <w:vMerge w:val="continue"/>
            <w:tcBorders>
              <w:left w:val="single" w:color="auto" w:sz="6" w:space="0"/>
              <w:bottom w:val="single" w:color="auto" w:sz="4" w:space="0"/>
              <w:right w:val="single" w:color="auto" w:sz="6" w:space="0"/>
            </w:tcBorders>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4"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灭蝇剂</w:t>
            </w:r>
          </w:p>
        </w:tc>
        <w:tc>
          <w:tcPr>
            <w:tcW w:w="245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夏季据情喷洒</w:t>
            </w: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无蚊蝇，无死蝇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900" w:type="dxa"/>
            <w:vMerge w:val="restart"/>
            <w:tcBorders>
              <w:top w:val="single" w:color="auto" w:sz="4" w:space="0"/>
              <w:left w:val="single" w:color="auto" w:sz="6"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电</w:t>
            </w: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梯</w:t>
            </w: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部</w:t>
            </w:r>
          </w:p>
          <w:p>
            <w:pPr>
              <w:jc w:val="center"/>
              <w:rPr>
                <w:rFonts w:ascii="仿宋_GB2312" w:hAnsi="仿宋_GB2312" w:eastAsia="仿宋_GB2312" w:cs="仿宋_GB2312"/>
                <w:b/>
                <w:i/>
                <w:color w:val="auto"/>
                <w:sz w:val="24"/>
              </w:rPr>
            </w:pPr>
            <w:r>
              <w:rPr>
                <w:rFonts w:hint="eastAsia" w:ascii="仿宋_GB2312" w:hAnsi="仿宋_GB2312" w:eastAsia="仿宋_GB2312" w:cs="仿宋_GB2312"/>
                <w:color w:val="auto"/>
                <w:sz w:val="24"/>
              </w:rPr>
              <w:t>分</w:t>
            </w:r>
          </w:p>
        </w:tc>
        <w:tc>
          <w:tcPr>
            <w:tcW w:w="1440" w:type="dxa"/>
            <w:tcBorders>
              <w:top w:val="single" w:color="auto" w:sz="4"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不锈钢门、</w:t>
            </w: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面板及饰物</w:t>
            </w:r>
          </w:p>
        </w:tc>
        <w:tc>
          <w:tcPr>
            <w:tcW w:w="245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不锈钢清洁剂清抹一次，并随时保洁</w:t>
            </w: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擦不锈钢油一次，保养</w:t>
            </w:r>
          </w:p>
        </w:tc>
        <w:tc>
          <w:tcPr>
            <w:tcW w:w="11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无污渍、手印，无锈迹、光洁明亮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900" w:type="dxa"/>
            <w:vMerge w:val="continue"/>
            <w:tcBorders>
              <w:left w:val="single" w:color="auto" w:sz="6" w:space="0"/>
              <w:right w:val="single" w:color="auto" w:sz="6" w:space="0"/>
            </w:tcBorders>
            <w:vAlign w:val="center"/>
          </w:tcPr>
          <w:p>
            <w:pPr>
              <w:jc w:val="center"/>
              <w:rPr>
                <w:rFonts w:ascii="仿宋_GB2312" w:hAnsi="仿宋_GB2312" w:eastAsia="仿宋_GB2312" w:cs="仿宋_GB2312"/>
                <w:b/>
                <w:i/>
                <w:color w:val="auto"/>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地面、地垫</w:t>
            </w:r>
          </w:p>
        </w:tc>
        <w:tc>
          <w:tcPr>
            <w:tcW w:w="245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清洁剂拖一次，随时保洁</w:t>
            </w: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清洗抛光一次换洗地垫</w:t>
            </w:r>
          </w:p>
        </w:tc>
        <w:tc>
          <w:tcPr>
            <w:tcW w:w="11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无污渍、无香口胶，无杂物，光洁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900" w:type="dxa"/>
            <w:vMerge w:val="continue"/>
            <w:tcBorders>
              <w:left w:val="single" w:color="auto" w:sz="6" w:space="0"/>
              <w:right w:val="single" w:color="auto" w:sz="6" w:space="0"/>
            </w:tcBorders>
            <w:vAlign w:val="center"/>
          </w:tcPr>
          <w:p>
            <w:pPr>
              <w:widowControl/>
              <w:jc w:val="left"/>
              <w:rPr>
                <w:rFonts w:ascii="仿宋_GB2312" w:hAnsi="仿宋_GB2312" w:eastAsia="仿宋_GB2312" w:cs="仿宋_GB2312"/>
                <w:b/>
                <w:i/>
                <w:color w:val="auto"/>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电梯轨槽</w:t>
            </w:r>
          </w:p>
        </w:tc>
        <w:tc>
          <w:tcPr>
            <w:tcW w:w="245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清理清抹一次，随时保洁</w:t>
            </w: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无污渍、油尘，无杂物，光亮如新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900" w:type="dxa"/>
            <w:vMerge w:val="continue"/>
            <w:tcBorders>
              <w:left w:val="single" w:color="auto" w:sz="6" w:space="0"/>
              <w:right w:val="single" w:color="auto" w:sz="6" w:space="0"/>
            </w:tcBorders>
            <w:vAlign w:val="center"/>
          </w:tcPr>
          <w:p>
            <w:pPr>
              <w:widowControl/>
              <w:jc w:val="left"/>
              <w:rPr>
                <w:rFonts w:ascii="仿宋_GB2312" w:hAnsi="仿宋_GB2312" w:eastAsia="仿宋_GB2312" w:cs="仿宋_GB2312"/>
                <w:b/>
                <w:i/>
                <w:color w:val="auto"/>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电梯轿厢</w:t>
            </w:r>
          </w:p>
          <w:p>
            <w:pPr>
              <w:pStyle w:val="58"/>
              <w:widowControl w:val="0"/>
              <w:pBdr>
                <w:bottom w:val="none" w:color="auto" w:sz="0" w:space="0"/>
                <w:right w:val="none" w:color="auto" w:sz="0" w:space="0"/>
              </w:pBdr>
              <w:spacing w:before="0" w:beforeAutospacing="0" w:after="0" w:afterAutospacing="0"/>
              <w:rPr>
                <w:rFonts w:ascii="仿宋_GB2312" w:hAnsi="仿宋_GB2312" w:eastAsia="仿宋_GB2312" w:cs="仿宋_GB2312"/>
                <w:color w:val="auto"/>
                <w:szCs w:val="24"/>
              </w:rPr>
            </w:pPr>
            <w:r>
              <w:rPr>
                <w:rFonts w:hint="eastAsia" w:ascii="仿宋_GB2312" w:hAnsi="仿宋_GB2312" w:eastAsia="仿宋_GB2312" w:cs="仿宋_GB2312"/>
                <w:color w:val="auto"/>
                <w:kern w:val="2"/>
                <w:szCs w:val="24"/>
              </w:rPr>
              <w:t>内壁及天花</w:t>
            </w:r>
          </w:p>
        </w:tc>
        <w:tc>
          <w:tcPr>
            <w:tcW w:w="245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毛巾清抹一次，并随时保洁</w:t>
            </w: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无尘，无污渍，光洁如新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900" w:type="dxa"/>
            <w:vMerge w:val="continue"/>
            <w:tcBorders>
              <w:left w:val="single" w:color="auto" w:sz="6" w:space="0"/>
              <w:right w:val="single" w:color="auto" w:sz="6" w:space="0"/>
            </w:tcBorders>
            <w:vAlign w:val="center"/>
          </w:tcPr>
          <w:p>
            <w:pPr>
              <w:widowControl/>
              <w:jc w:val="left"/>
              <w:rPr>
                <w:rFonts w:ascii="仿宋_GB2312" w:hAnsi="仿宋_GB2312" w:eastAsia="仿宋_GB2312" w:cs="仿宋_GB2312"/>
                <w:b/>
                <w:i/>
                <w:color w:val="auto"/>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玻璃饰物</w:t>
            </w:r>
          </w:p>
        </w:tc>
        <w:tc>
          <w:tcPr>
            <w:tcW w:w="245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玻璃清洁剂刮洗一次，随时保洁</w:t>
            </w: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全面刮洗一次</w:t>
            </w:r>
          </w:p>
        </w:tc>
        <w:tc>
          <w:tcPr>
            <w:tcW w:w="11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无蛛丝、污渍、手印，光洁明亮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900" w:type="dxa"/>
            <w:vMerge w:val="continue"/>
            <w:tcBorders>
              <w:left w:val="single" w:color="auto" w:sz="6" w:space="0"/>
              <w:right w:val="single" w:color="auto" w:sz="6" w:space="0"/>
            </w:tcBorders>
            <w:vAlign w:val="center"/>
          </w:tcPr>
          <w:p>
            <w:pPr>
              <w:widowControl/>
              <w:jc w:val="left"/>
              <w:rPr>
                <w:rFonts w:ascii="仿宋_GB2312" w:hAnsi="仿宋_GB2312" w:eastAsia="仿宋_GB2312" w:cs="仿宋_GB2312"/>
                <w:b/>
                <w:i/>
                <w:color w:val="auto"/>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其他饰物</w:t>
            </w:r>
          </w:p>
        </w:tc>
        <w:tc>
          <w:tcPr>
            <w:tcW w:w="245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清抹一次，保洁</w:t>
            </w: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无尘，无污渍，光洁如新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4" w:hRule="atLeast"/>
        </w:trPr>
        <w:tc>
          <w:tcPr>
            <w:tcW w:w="900" w:type="dxa"/>
            <w:vMerge w:val="continue"/>
            <w:tcBorders>
              <w:left w:val="single" w:color="auto" w:sz="6" w:space="0"/>
              <w:bottom w:val="single" w:color="auto" w:sz="4" w:space="0"/>
              <w:right w:val="single" w:color="auto" w:sz="6" w:space="0"/>
            </w:tcBorders>
            <w:vAlign w:val="center"/>
          </w:tcPr>
          <w:p>
            <w:pPr>
              <w:widowControl/>
              <w:jc w:val="left"/>
              <w:rPr>
                <w:rFonts w:ascii="仿宋_GB2312" w:hAnsi="仿宋_GB2312" w:eastAsia="仿宋_GB2312" w:cs="仿宋_GB2312"/>
                <w:b/>
                <w:i/>
                <w:color w:val="auto"/>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空气清晰剂</w:t>
            </w:r>
          </w:p>
        </w:tc>
        <w:tc>
          <w:tcPr>
            <w:tcW w:w="245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喷洒二次</w:t>
            </w: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无异味，空气清晰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900" w:type="dxa"/>
            <w:vMerge w:val="restart"/>
            <w:tcBorders>
              <w:top w:val="single" w:color="auto" w:sz="4" w:space="0"/>
              <w:left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项目范围</w:t>
            </w:r>
          </w:p>
        </w:tc>
        <w:tc>
          <w:tcPr>
            <w:tcW w:w="1440" w:type="dxa"/>
            <w:vMerge w:val="restart"/>
            <w:tcBorders>
              <w:top w:val="single" w:color="auto" w:sz="6" w:space="0"/>
              <w:left w:val="single" w:color="auto" w:sz="6"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清洁项目</w:t>
            </w:r>
          </w:p>
        </w:tc>
        <w:tc>
          <w:tcPr>
            <w:tcW w:w="4668" w:type="dxa"/>
            <w:gridSpan w:val="3"/>
            <w:tcBorders>
              <w:top w:val="single" w:color="auto" w:sz="6" w:space="0"/>
              <w:left w:val="single" w:color="auto" w:sz="6" w:space="0"/>
              <w:bottom w:val="single" w:color="auto" w:sz="6"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清 洁 规 程</w:t>
            </w:r>
          </w:p>
        </w:tc>
        <w:tc>
          <w:tcPr>
            <w:tcW w:w="2053" w:type="dxa"/>
            <w:vMerge w:val="restart"/>
            <w:tcBorders>
              <w:top w:val="single" w:color="auto" w:sz="6" w:space="0"/>
              <w:left w:val="single" w:color="auto" w:sz="4"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清洁标准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39" w:hRule="atLeast"/>
        </w:trPr>
        <w:tc>
          <w:tcPr>
            <w:tcW w:w="900" w:type="dxa"/>
            <w:vMerge w:val="continue"/>
            <w:tcBorders>
              <w:left w:val="single" w:color="auto" w:sz="6" w:space="0"/>
              <w:bottom w:val="single" w:color="auto" w:sz="4" w:space="0"/>
              <w:right w:val="single" w:color="auto" w:sz="6" w:space="0"/>
            </w:tcBorders>
            <w:vAlign w:val="center"/>
          </w:tcPr>
          <w:p>
            <w:pPr>
              <w:rPr>
                <w:rFonts w:ascii="仿宋_GB2312" w:hAnsi="仿宋_GB2312" w:eastAsia="仿宋_GB2312" w:cs="仿宋_GB2312"/>
                <w:color w:val="auto"/>
                <w:sz w:val="24"/>
              </w:rPr>
            </w:pPr>
          </w:p>
        </w:tc>
        <w:tc>
          <w:tcPr>
            <w:tcW w:w="1440" w:type="dxa"/>
            <w:vMerge w:val="continue"/>
            <w:tcBorders>
              <w:left w:val="single" w:color="auto" w:sz="6" w:space="0"/>
              <w:bottom w:val="single" w:color="auto" w:sz="4" w:space="0"/>
              <w:right w:val="single" w:color="auto" w:sz="6" w:space="0"/>
            </w:tcBorders>
            <w:vAlign w:val="center"/>
          </w:tcPr>
          <w:p>
            <w:pPr>
              <w:widowControl/>
              <w:jc w:val="left"/>
              <w:rPr>
                <w:rFonts w:ascii="仿宋_GB2312" w:hAnsi="仿宋_GB2312" w:eastAsia="仿宋_GB2312" w:cs="仿宋_GB2312"/>
                <w:color w:val="auto"/>
                <w:sz w:val="24"/>
              </w:rPr>
            </w:pPr>
          </w:p>
        </w:tc>
        <w:tc>
          <w:tcPr>
            <w:tcW w:w="2452" w:type="dxa"/>
            <w:tcBorders>
              <w:top w:val="single" w:color="auto" w:sz="6" w:space="0"/>
              <w:left w:val="single" w:color="auto" w:sz="6" w:space="0"/>
              <w:bottom w:val="single" w:color="auto" w:sz="4"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每 天</w:t>
            </w:r>
          </w:p>
        </w:tc>
        <w:tc>
          <w:tcPr>
            <w:tcW w:w="1080" w:type="dxa"/>
            <w:tcBorders>
              <w:top w:val="single" w:color="auto" w:sz="6" w:space="0"/>
              <w:left w:val="single" w:color="auto" w:sz="6"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每星期</w:t>
            </w:r>
          </w:p>
        </w:tc>
        <w:tc>
          <w:tcPr>
            <w:tcW w:w="1136" w:type="dxa"/>
            <w:tcBorders>
              <w:top w:val="single" w:color="auto" w:sz="6"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每月</w:t>
            </w:r>
          </w:p>
        </w:tc>
        <w:tc>
          <w:tcPr>
            <w:tcW w:w="2053" w:type="dxa"/>
            <w:vMerge w:val="continue"/>
            <w:tcBorders>
              <w:left w:val="single" w:color="auto" w:sz="4" w:space="0"/>
              <w:bottom w:val="single" w:color="auto" w:sz="4" w:space="0"/>
              <w:right w:val="single" w:color="auto" w:sz="6" w:space="0"/>
            </w:tcBorders>
            <w:vAlign w:val="center"/>
          </w:tcPr>
          <w:p>
            <w:pPr>
              <w:jc w:val="center"/>
              <w:rPr>
                <w:rFonts w:ascii="仿宋_GB2312" w:hAnsi="仿宋_GB2312"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900" w:type="dxa"/>
            <w:vMerge w:val="restart"/>
            <w:tcBorders>
              <w:top w:val="single" w:color="auto" w:sz="4" w:space="0"/>
              <w:left w:val="single" w:color="auto" w:sz="6"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停</w:t>
            </w: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车</w:t>
            </w:r>
          </w:p>
          <w:p>
            <w:pPr>
              <w:jc w:val="center"/>
              <w:rPr>
                <w:rFonts w:ascii="仿宋_GB2312" w:hAnsi="仿宋_GB2312" w:eastAsia="仿宋_GB2312" w:cs="仿宋_GB2312"/>
                <w:b/>
                <w:i/>
                <w:color w:val="auto"/>
                <w:sz w:val="24"/>
              </w:rPr>
            </w:pPr>
            <w:r>
              <w:rPr>
                <w:rFonts w:hint="eastAsia" w:ascii="仿宋_GB2312" w:hAnsi="仿宋_GB2312" w:eastAsia="仿宋_GB2312" w:cs="仿宋_GB2312"/>
                <w:color w:val="auto"/>
                <w:sz w:val="24"/>
              </w:rPr>
              <w:t>场</w:t>
            </w: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部</w:t>
            </w:r>
          </w:p>
          <w:p>
            <w:pPr>
              <w:jc w:val="center"/>
              <w:rPr>
                <w:rFonts w:ascii="仿宋_GB2312" w:hAnsi="仿宋_GB2312" w:eastAsia="仿宋_GB2312" w:cs="仿宋_GB2312"/>
                <w:i/>
                <w:color w:val="auto"/>
                <w:sz w:val="24"/>
              </w:rPr>
            </w:pPr>
            <w:r>
              <w:rPr>
                <w:rFonts w:hint="eastAsia" w:ascii="仿宋_GB2312" w:hAnsi="仿宋_GB2312" w:eastAsia="仿宋_GB2312" w:cs="仿宋_GB2312"/>
                <w:color w:val="auto"/>
                <w:sz w:val="24"/>
              </w:rPr>
              <w:t>分</w:t>
            </w:r>
          </w:p>
        </w:tc>
        <w:tc>
          <w:tcPr>
            <w:tcW w:w="1440" w:type="dxa"/>
            <w:tcBorders>
              <w:top w:val="single" w:color="auto" w:sz="4" w:space="0"/>
              <w:left w:val="single" w:color="auto" w:sz="6" w:space="0"/>
              <w:bottom w:val="single" w:color="auto" w:sz="4" w:space="0"/>
              <w:right w:val="single" w:color="auto" w:sz="6" w:space="0"/>
            </w:tcBorders>
            <w:vAlign w:val="center"/>
          </w:tcPr>
          <w:p>
            <w:pPr>
              <w:widowControl/>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地 面</w:t>
            </w:r>
          </w:p>
        </w:tc>
        <w:tc>
          <w:tcPr>
            <w:tcW w:w="2452" w:type="dxa"/>
            <w:tcBorders>
              <w:top w:val="single" w:color="auto" w:sz="4" w:space="0"/>
              <w:left w:val="single" w:color="auto" w:sz="6" w:space="0"/>
              <w:bottom w:val="single" w:color="auto" w:sz="4"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清扫一次，局部除渍并随时保洁</w:t>
            </w:r>
          </w:p>
        </w:tc>
        <w:tc>
          <w:tcPr>
            <w:tcW w:w="1080" w:type="dxa"/>
            <w:tcBorders>
              <w:top w:val="single" w:color="auto" w:sz="4" w:space="0"/>
              <w:left w:val="single" w:color="auto" w:sz="6" w:space="0"/>
              <w:right w:val="single" w:color="auto" w:sz="4" w:space="0"/>
            </w:tcBorders>
            <w:vAlign w:val="center"/>
          </w:tcPr>
          <w:p>
            <w:pPr>
              <w:jc w:val="center"/>
              <w:rPr>
                <w:rFonts w:ascii="仿宋_GB2312" w:hAnsi="仿宋_GB2312" w:eastAsia="仿宋_GB2312" w:cs="仿宋_GB2312"/>
                <w:color w:val="auto"/>
                <w:sz w:val="24"/>
              </w:rPr>
            </w:pPr>
          </w:p>
        </w:tc>
        <w:tc>
          <w:tcPr>
            <w:tcW w:w="1136"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冲洗一次</w:t>
            </w:r>
          </w:p>
        </w:tc>
        <w:tc>
          <w:tcPr>
            <w:tcW w:w="2053" w:type="dxa"/>
            <w:tcBorders>
              <w:top w:val="single" w:color="auto" w:sz="4" w:space="0"/>
              <w:left w:val="single" w:color="auto" w:sz="4"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无污渍、果皮、纸屑、杂物、积泥沙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trPr>
        <w:tc>
          <w:tcPr>
            <w:tcW w:w="900" w:type="dxa"/>
            <w:vMerge w:val="continue"/>
            <w:tcBorders>
              <w:left w:val="single" w:color="auto" w:sz="6" w:space="0"/>
              <w:right w:val="single" w:color="auto" w:sz="6" w:space="0"/>
            </w:tcBorders>
            <w:vAlign w:val="center"/>
          </w:tcPr>
          <w:p>
            <w:pPr>
              <w:jc w:val="center"/>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岗亭闸门</w:t>
            </w:r>
          </w:p>
        </w:tc>
        <w:tc>
          <w:tcPr>
            <w:tcW w:w="245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抹一次除渍，保洁</w:t>
            </w: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trPr>
        <w:tc>
          <w:tcPr>
            <w:tcW w:w="900" w:type="dxa"/>
            <w:vMerge w:val="continue"/>
            <w:tcBorders>
              <w:left w:val="single" w:color="auto" w:sz="6" w:space="0"/>
              <w:right w:val="single" w:color="auto" w:sz="6" w:space="0"/>
            </w:tcBorders>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停车设施</w:t>
            </w:r>
          </w:p>
        </w:tc>
        <w:tc>
          <w:tcPr>
            <w:tcW w:w="245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抹一次，巡回保洁</w:t>
            </w: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无污渍、灰尘、蛛丝及杂物，光洁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trPr>
        <w:tc>
          <w:tcPr>
            <w:tcW w:w="900" w:type="dxa"/>
            <w:vMerge w:val="continue"/>
            <w:tcBorders>
              <w:left w:val="single" w:color="auto" w:sz="6" w:space="0"/>
              <w:right w:val="single" w:color="auto" w:sz="6" w:space="0"/>
            </w:tcBorders>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广告指示牌</w:t>
            </w: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（两米以下）</w:t>
            </w:r>
          </w:p>
        </w:tc>
        <w:tc>
          <w:tcPr>
            <w:tcW w:w="245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清抹一次并保洁</w:t>
            </w: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无污渍、乱粘贴，光洁明亮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trPr>
        <w:tc>
          <w:tcPr>
            <w:tcW w:w="900" w:type="dxa"/>
            <w:vMerge w:val="continue"/>
            <w:tcBorders>
              <w:left w:val="single" w:color="auto" w:sz="6" w:space="0"/>
              <w:right w:val="single" w:color="auto" w:sz="6" w:space="0"/>
            </w:tcBorders>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消防设施</w:t>
            </w:r>
          </w:p>
        </w:tc>
        <w:tc>
          <w:tcPr>
            <w:tcW w:w="245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清抹一次，并保洁</w:t>
            </w: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无蛛丝、污渍，玻璃无手印，明亮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trPr>
        <w:tc>
          <w:tcPr>
            <w:tcW w:w="900" w:type="dxa"/>
            <w:vMerge w:val="continue"/>
            <w:tcBorders>
              <w:left w:val="single" w:color="auto" w:sz="6" w:space="0"/>
              <w:bottom w:val="single" w:color="auto" w:sz="4" w:space="0"/>
              <w:right w:val="single" w:color="auto" w:sz="6" w:space="0"/>
            </w:tcBorders>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4" w:space="0"/>
              <w:right w:val="single" w:color="auto" w:sz="6"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明沟、渠</w:t>
            </w:r>
          </w:p>
        </w:tc>
        <w:tc>
          <w:tcPr>
            <w:tcW w:w="2452"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清除杂物并保洁</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随时疏通堵塞</w:t>
            </w: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冲洗一次</w:t>
            </w:r>
          </w:p>
        </w:tc>
        <w:tc>
          <w:tcPr>
            <w:tcW w:w="2053" w:type="dxa"/>
            <w:tcBorders>
              <w:top w:val="single" w:color="auto" w:sz="6" w:space="0"/>
              <w:left w:val="single" w:color="auto" w:sz="6" w:space="0"/>
              <w:bottom w:val="single" w:color="auto" w:sz="6" w:space="0"/>
              <w:right w:val="single" w:color="auto" w:sz="6"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无杂物、无异味、无积泥沙、无堵塞</w:t>
            </w:r>
          </w:p>
        </w:tc>
      </w:tr>
    </w:tbl>
    <w:p>
      <w:pPr>
        <w:rPr>
          <w:rFonts w:ascii="仿宋_GB2312" w:hAnsi="仿宋_GB2312" w:eastAsia="仿宋_GB2312" w:cs="仿宋_GB2312"/>
          <w:b/>
          <w:color w:val="auto"/>
          <w:sz w:val="32"/>
          <w:szCs w:val="32"/>
        </w:rPr>
      </w:pPr>
    </w:p>
    <w:p>
      <w:pPr>
        <w:rPr>
          <w:rFonts w:ascii="仿宋_GB2312" w:hAnsi="仿宋_GB2312" w:eastAsia="仿宋_GB2312" w:cs="仿宋_GB2312"/>
          <w:b/>
          <w:color w:val="auto"/>
          <w:sz w:val="32"/>
          <w:szCs w:val="32"/>
        </w:rPr>
      </w:pPr>
    </w:p>
    <w:p>
      <w:pPr>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（2）安保工作标准及内容：</w:t>
      </w:r>
    </w:p>
    <w:tbl>
      <w:tblPr>
        <w:tblStyle w:val="23"/>
        <w:tblW w:w="8745" w:type="dxa"/>
        <w:tblInd w:w="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5"/>
        <w:gridCol w:w="79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825"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项目</w:t>
            </w:r>
          </w:p>
        </w:tc>
        <w:tc>
          <w:tcPr>
            <w:tcW w:w="79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督   查   内   容  标  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67" w:hRule="atLeast"/>
        </w:trPr>
        <w:tc>
          <w:tcPr>
            <w:tcW w:w="825" w:type="dxa"/>
            <w:tcBorders>
              <w:top w:val="single" w:color="auto" w:sz="6" w:space="0"/>
              <w:left w:val="single" w:color="auto" w:sz="6" w:space="0"/>
              <w:bottom w:val="single" w:color="auto" w:sz="6" w:space="0"/>
              <w:right w:val="single" w:color="auto" w:sz="6" w:space="0"/>
            </w:tcBorders>
            <w:textDirection w:val="tbRlV"/>
            <w:vAlign w:val="center"/>
          </w:tcPr>
          <w:p>
            <w:pPr>
              <w:snapToGrid w:val="0"/>
              <w:ind w:left="113" w:right="113"/>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着  装</w:t>
            </w:r>
          </w:p>
        </w:tc>
        <w:tc>
          <w:tcPr>
            <w:tcW w:w="7920" w:type="dxa"/>
            <w:tcBorders>
              <w:top w:val="single" w:color="auto" w:sz="6" w:space="0"/>
              <w:left w:val="single" w:color="auto" w:sz="6" w:space="0"/>
              <w:bottom w:val="single" w:color="auto" w:sz="6" w:space="0"/>
              <w:right w:val="single" w:color="auto" w:sz="6" w:space="0"/>
            </w:tcBorders>
            <w:vAlign w:val="center"/>
          </w:tcPr>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1、上岗须着公司统一的保安员制服，戴好帽，系正领带，扎紧武装带，衣领钮扣全部扣好。</w:t>
            </w:r>
          </w:p>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2、上岗须佩戴好工作牌。工作牌统一佩戴在外衣左上衣袋上方。</w:t>
            </w:r>
          </w:p>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3、制服领口、袖口处不得显露个人衣物，制服外不得显露个人物品（如纪念章、笔、手机、锁匙扣等），制服衣袋不得装过大过厚物品。</w:t>
            </w:r>
          </w:p>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4、非当值班时间，除因公或经批准外，不得穿着或携带制服离开辖区。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40" w:hRule="atLeast"/>
        </w:trPr>
        <w:tc>
          <w:tcPr>
            <w:tcW w:w="825" w:type="dxa"/>
            <w:tcBorders>
              <w:top w:val="single" w:color="auto" w:sz="6" w:space="0"/>
              <w:left w:val="single" w:color="auto" w:sz="6" w:space="0"/>
              <w:bottom w:val="single" w:color="auto" w:sz="6" w:space="0"/>
              <w:right w:val="single" w:color="auto" w:sz="6" w:space="0"/>
            </w:tcBorders>
            <w:textDirection w:val="tbRlV"/>
            <w:vAlign w:val="center"/>
          </w:tcPr>
          <w:p>
            <w:pPr>
              <w:snapToGrid w:val="0"/>
              <w:ind w:left="113" w:right="113"/>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行为举止</w:t>
            </w:r>
          </w:p>
        </w:tc>
        <w:tc>
          <w:tcPr>
            <w:tcW w:w="7920" w:type="dxa"/>
            <w:tcBorders>
              <w:top w:val="single" w:color="auto" w:sz="6" w:space="0"/>
              <w:left w:val="single" w:color="auto" w:sz="6" w:space="0"/>
              <w:bottom w:val="single" w:color="auto" w:sz="6" w:space="0"/>
              <w:right w:val="single" w:color="auto" w:sz="6" w:space="0"/>
            </w:tcBorders>
            <w:vAlign w:val="center"/>
          </w:tcPr>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1、上岗时举止应文明、大方。</w:t>
            </w:r>
          </w:p>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2、头发要整洁，不留长发。</w:t>
            </w:r>
          </w:p>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3、精神振作，姿态良好，抬头挺胸。不得东倒西歪、前倾后靠，不得伸懒腰，不袖手、背手、插腰或将手插入衣袋。</w:t>
            </w:r>
          </w:p>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4、值勤时不得抽烟、吃零食，不得看小说杂志、报纸、会客闲聊、吹口哨等与工作无关的事情，不得随地吐痰、乱丢杂物。</w:t>
            </w:r>
          </w:p>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5、注意检查和保持仪表，但不得当众整理个人衣物。</w:t>
            </w:r>
          </w:p>
          <w:p>
            <w:pPr>
              <w:snapToGrid w:val="0"/>
              <w:ind w:left="312" w:hanging="312"/>
              <w:rPr>
                <w:rFonts w:ascii="仿宋_GB2312" w:hAnsi="仿宋_GB2312" w:eastAsia="仿宋_GB2312" w:cs="仿宋_GB2312"/>
                <w:color w:val="auto"/>
                <w:sz w:val="24"/>
              </w:rPr>
            </w:pPr>
            <w:r>
              <w:rPr>
                <w:rFonts w:hint="eastAsia" w:ascii="仿宋_GB2312" w:hAnsi="仿宋_GB2312" w:eastAsia="仿宋_GB2312" w:cs="仿宋_GB2312"/>
                <w:color w:val="auto"/>
                <w:sz w:val="24"/>
              </w:rPr>
              <w:t>6、不得将任何物件夹于腋下，不得敲桌椅或玩弄其他物品。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87" w:hRule="atLeast"/>
        </w:trPr>
        <w:tc>
          <w:tcPr>
            <w:tcW w:w="825" w:type="dxa"/>
            <w:tcBorders>
              <w:top w:val="single" w:color="auto" w:sz="6" w:space="0"/>
              <w:left w:val="single" w:color="auto" w:sz="6" w:space="0"/>
              <w:bottom w:val="single" w:color="auto" w:sz="6" w:space="0"/>
              <w:right w:val="single" w:color="auto" w:sz="6" w:space="0"/>
            </w:tcBorders>
            <w:textDirection w:val="tbRlV"/>
            <w:vAlign w:val="center"/>
          </w:tcPr>
          <w:p>
            <w:pPr>
              <w:snapToGrid w:val="0"/>
              <w:ind w:left="113" w:right="113"/>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作息规定</w:t>
            </w:r>
          </w:p>
        </w:tc>
        <w:tc>
          <w:tcPr>
            <w:tcW w:w="7920" w:type="dxa"/>
            <w:tcBorders>
              <w:top w:val="single" w:color="auto" w:sz="6" w:space="0"/>
              <w:left w:val="single" w:color="auto" w:sz="6" w:space="0"/>
              <w:bottom w:val="single" w:color="auto" w:sz="6" w:space="0"/>
              <w:right w:val="single" w:color="auto" w:sz="6" w:space="0"/>
            </w:tcBorders>
            <w:vAlign w:val="center"/>
          </w:tcPr>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1、保安员实行24小时值班制，每班提前10分钟进行交接班。</w:t>
            </w:r>
          </w:p>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2、严格执行备岗制度,休息（假）期间，发生紧急情况，一经召唤必须立即归队，听候调遣。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77" w:hRule="atLeast"/>
        </w:trPr>
        <w:tc>
          <w:tcPr>
            <w:tcW w:w="825" w:type="dxa"/>
            <w:tcBorders>
              <w:top w:val="single" w:color="auto" w:sz="6" w:space="0"/>
              <w:left w:val="single" w:color="auto" w:sz="6" w:space="0"/>
              <w:bottom w:val="single" w:color="auto" w:sz="6" w:space="0"/>
              <w:right w:val="single" w:color="auto" w:sz="6" w:space="0"/>
            </w:tcBorders>
            <w:textDirection w:val="tbRlV"/>
            <w:vAlign w:val="center"/>
          </w:tcPr>
          <w:p>
            <w:pPr>
              <w:snapToGrid w:val="0"/>
              <w:ind w:left="113" w:right="113"/>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公秩器材</w:t>
            </w:r>
          </w:p>
        </w:tc>
        <w:tc>
          <w:tcPr>
            <w:tcW w:w="7920" w:type="dxa"/>
            <w:tcBorders>
              <w:top w:val="single" w:color="auto" w:sz="6" w:space="0"/>
              <w:left w:val="single" w:color="auto" w:sz="6" w:space="0"/>
              <w:bottom w:val="single" w:color="auto" w:sz="6" w:space="0"/>
              <w:right w:val="single" w:color="auto" w:sz="6" w:space="0"/>
            </w:tcBorders>
            <w:vAlign w:val="center"/>
          </w:tcPr>
          <w:p>
            <w:pPr>
              <w:pStyle w:val="13"/>
              <w:snapToGrid w:val="0"/>
              <w:ind w:left="312" w:hanging="312"/>
              <w:rPr>
                <w:rFonts w:ascii="仿宋_GB2312" w:hAnsi="仿宋_GB2312" w:eastAsia="仿宋_GB2312" w:cs="仿宋_GB2312"/>
                <w:color w:val="auto"/>
                <w:szCs w:val="24"/>
              </w:rPr>
            </w:pPr>
            <w:r>
              <w:rPr>
                <w:rFonts w:hint="eastAsia" w:ascii="仿宋_GB2312" w:hAnsi="仿宋_GB2312" w:eastAsia="仿宋_GB2312" w:cs="仿宋_GB2312"/>
                <w:color w:val="auto"/>
                <w:szCs w:val="24"/>
              </w:rPr>
              <w:t>1．公秩器械包括有对讲机、警棍等，它是公秩人员执行任务的工具和武器，属公共财产，每个公秩员都有责任和义务将其保管好，防止遗失或损坏。</w:t>
            </w:r>
          </w:p>
          <w:p>
            <w:pPr>
              <w:pStyle w:val="13"/>
              <w:snapToGrid w:val="0"/>
              <w:ind w:left="312" w:hanging="312"/>
              <w:rPr>
                <w:rFonts w:ascii="仿宋_GB2312" w:hAnsi="仿宋_GB2312" w:eastAsia="仿宋_GB2312" w:cs="仿宋_GB2312"/>
                <w:color w:val="auto"/>
                <w:szCs w:val="24"/>
              </w:rPr>
            </w:pPr>
            <w:r>
              <w:rPr>
                <w:rFonts w:hint="eastAsia" w:ascii="仿宋_GB2312" w:hAnsi="仿宋_GB2312" w:eastAsia="仿宋_GB2312" w:cs="仿宋_GB2312"/>
                <w:color w:val="auto"/>
                <w:szCs w:val="24"/>
              </w:rPr>
              <w:t>2．公秩器械只供公秩员执行公务时使用，严禁用作其他用途。</w:t>
            </w:r>
          </w:p>
          <w:p>
            <w:pPr>
              <w:pStyle w:val="13"/>
              <w:snapToGrid w:val="0"/>
              <w:ind w:left="312" w:hanging="312"/>
              <w:rPr>
                <w:rFonts w:ascii="仿宋_GB2312" w:hAnsi="仿宋_GB2312" w:eastAsia="仿宋_GB2312" w:cs="仿宋_GB2312"/>
                <w:color w:val="auto"/>
                <w:szCs w:val="24"/>
              </w:rPr>
            </w:pPr>
            <w:r>
              <w:rPr>
                <w:rFonts w:hint="eastAsia" w:ascii="仿宋_GB2312" w:hAnsi="仿宋_GB2312" w:eastAsia="仿宋_GB2312" w:cs="仿宋_GB2312"/>
                <w:color w:val="auto"/>
                <w:szCs w:val="24"/>
              </w:rPr>
              <w:t>3．公秩器械严禁转借他人，严禁个人携带外出，如因工作需要须报服务中心批准。</w:t>
            </w:r>
          </w:p>
          <w:p>
            <w:pPr>
              <w:pStyle w:val="13"/>
              <w:snapToGrid w:val="0"/>
              <w:ind w:left="312" w:hanging="312"/>
              <w:rPr>
                <w:rFonts w:ascii="仿宋_GB2312" w:hAnsi="仿宋_GB2312" w:eastAsia="仿宋_GB2312" w:cs="仿宋_GB2312"/>
                <w:color w:val="auto"/>
                <w:szCs w:val="24"/>
              </w:rPr>
            </w:pPr>
            <w:r>
              <w:rPr>
                <w:rFonts w:hint="eastAsia" w:ascii="仿宋_GB2312" w:hAnsi="仿宋_GB2312" w:eastAsia="仿宋_GB2312" w:cs="仿宋_GB2312"/>
                <w:color w:val="auto"/>
                <w:szCs w:val="24"/>
              </w:rPr>
              <w:t>4．对讲机使用应严格按规定频率正确操作，严禁公秩员私自乱拆、乱拧、乱调其它频率。若有损坏视情节赔偿。</w:t>
            </w:r>
          </w:p>
          <w:p>
            <w:pPr>
              <w:pStyle w:val="13"/>
              <w:snapToGrid w:val="0"/>
              <w:ind w:left="312" w:hanging="312"/>
              <w:rPr>
                <w:rFonts w:ascii="仿宋_GB2312" w:hAnsi="仿宋_GB2312" w:eastAsia="仿宋_GB2312" w:cs="仿宋_GB2312"/>
                <w:color w:val="auto"/>
                <w:szCs w:val="24"/>
              </w:rPr>
            </w:pPr>
            <w:r>
              <w:rPr>
                <w:rFonts w:hint="eastAsia" w:ascii="仿宋_GB2312" w:hAnsi="仿宋_GB2312" w:eastAsia="仿宋_GB2312" w:cs="仿宋_GB2312"/>
                <w:color w:val="auto"/>
                <w:szCs w:val="24"/>
              </w:rPr>
              <w:t>5．执勤中禁止使用对讲机聊天、说笑、以及谈一些无关工作的话题。严禁在检查时通风报信。</w:t>
            </w:r>
          </w:p>
          <w:p>
            <w:pPr>
              <w:pStyle w:val="13"/>
              <w:snapToGrid w:val="0"/>
              <w:ind w:left="312" w:hanging="312"/>
              <w:rPr>
                <w:rFonts w:ascii="仿宋_GB2312" w:hAnsi="仿宋_GB2312" w:eastAsia="仿宋_GB2312" w:cs="仿宋_GB2312"/>
                <w:color w:val="auto"/>
                <w:szCs w:val="24"/>
              </w:rPr>
            </w:pPr>
            <w:r>
              <w:rPr>
                <w:rFonts w:hint="eastAsia" w:ascii="仿宋_GB2312" w:hAnsi="仿宋_GB2312" w:eastAsia="仿宋_GB2312" w:cs="仿宋_GB2312"/>
                <w:color w:val="auto"/>
                <w:szCs w:val="24"/>
              </w:rPr>
              <w:t>6．警棍是公秩员制服犯罪分子以及自卫的武器，严禁用来当作斗殴或威吓他人的工具。</w:t>
            </w:r>
          </w:p>
          <w:p>
            <w:pPr>
              <w:pStyle w:val="13"/>
              <w:snapToGrid w:val="0"/>
              <w:ind w:left="312" w:hanging="312"/>
              <w:rPr>
                <w:rFonts w:ascii="仿宋_GB2312" w:hAnsi="仿宋_GB2312" w:eastAsia="仿宋_GB2312" w:cs="仿宋_GB2312"/>
                <w:color w:val="auto"/>
                <w:szCs w:val="24"/>
              </w:rPr>
            </w:pPr>
            <w:r>
              <w:rPr>
                <w:rFonts w:hint="eastAsia" w:ascii="仿宋_GB2312" w:hAnsi="仿宋_GB2312" w:eastAsia="仿宋_GB2312" w:cs="仿宋_GB2312"/>
                <w:color w:val="auto"/>
                <w:szCs w:val="24"/>
              </w:rPr>
              <w:t>7．公秩员交接班时，应做好公秩器械的交接验收记录，防止出现问题时互相推卸责任。</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8．公秩器械不用时，应由当事人交服务中心统一保管。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6" w:hRule="atLeast"/>
        </w:trPr>
        <w:tc>
          <w:tcPr>
            <w:tcW w:w="825" w:type="dxa"/>
            <w:tcBorders>
              <w:top w:val="single" w:color="auto" w:sz="6" w:space="0"/>
              <w:left w:val="single" w:color="auto" w:sz="6" w:space="0"/>
              <w:bottom w:val="single" w:color="auto" w:sz="6" w:space="0"/>
              <w:right w:val="single" w:color="auto" w:sz="6" w:space="0"/>
            </w:tcBorders>
            <w:textDirection w:val="tbRlV"/>
            <w:vAlign w:val="center"/>
          </w:tcPr>
          <w:p>
            <w:pPr>
              <w:snapToGrid w:val="0"/>
              <w:ind w:left="113" w:right="113"/>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固定岗位</w:t>
            </w:r>
          </w:p>
        </w:tc>
        <w:tc>
          <w:tcPr>
            <w:tcW w:w="7920" w:type="dxa"/>
            <w:tcBorders>
              <w:top w:val="single" w:color="auto" w:sz="6" w:space="0"/>
              <w:left w:val="single" w:color="auto" w:sz="6" w:space="0"/>
              <w:bottom w:val="single" w:color="auto" w:sz="6" w:space="0"/>
              <w:right w:val="single" w:color="auto" w:sz="6" w:space="0"/>
            </w:tcBorders>
            <w:vAlign w:val="center"/>
          </w:tcPr>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1、熟悉本岗位职责，熟悉入住人员的基本情况，包括相貌特征、常规进出时间等。</w:t>
            </w:r>
          </w:p>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2、当发现双手提（拿）着重物的客户进出大门有困难时，应主动提供帮助。</w:t>
            </w:r>
          </w:p>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3、若遇领导或前来指导、参观的社会各届人士，应立即起立敬礼。</w:t>
            </w:r>
          </w:p>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4、外来人员进出，值班人员填写《来访登记表》，谢绝推销和其他闲杂人员进入。</w:t>
            </w:r>
          </w:p>
          <w:p>
            <w:pPr>
              <w:ind w:left="308" w:hanging="298"/>
              <w:rPr>
                <w:rFonts w:ascii="仿宋_GB2312" w:hAnsi="仿宋_GB2312" w:eastAsia="仿宋_GB2312" w:cs="仿宋_GB2312"/>
                <w:color w:val="auto"/>
                <w:sz w:val="24"/>
              </w:rPr>
            </w:pPr>
            <w:r>
              <w:rPr>
                <w:rFonts w:hint="eastAsia" w:ascii="仿宋_GB2312" w:hAnsi="仿宋_GB2312" w:eastAsia="仿宋_GB2312" w:cs="仿宋_GB2312"/>
                <w:color w:val="auto"/>
                <w:sz w:val="24"/>
              </w:rPr>
              <w:t>5、当用户搬出物品时，应区分不同情况，必要时值班人员查验用户《出入物品申报表》后予以放行，同时收回《出入物品申报表》。</w:t>
            </w:r>
          </w:p>
          <w:p>
            <w:pPr>
              <w:snapToGrid w:val="0"/>
              <w:ind w:left="322" w:hanging="312"/>
              <w:rPr>
                <w:rFonts w:ascii="仿宋_GB2312" w:hAnsi="仿宋_GB2312" w:eastAsia="仿宋_GB2312" w:cs="仿宋_GB2312"/>
                <w:color w:val="auto"/>
                <w:sz w:val="24"/>
              </w:rPr>
            </w:pPr>
            <w:r>
              <w:rPr>
                <w:rFonts w:hint="eastAsia" w:ascii="仿宋_GB2312" w:hAnsi="仿宋_GB2312" w:eastAsia="仿宋_GB2312" w:cs="仿宋_GB2312"/>
                <w:color w:val="auto"/>
                <w:sz w:val="24"/>
              </w:rPr>
              <w:t>6、对于出现的紧急情况，应及时上报。</w:t>
            </w:r>
          </w:p>
          <w:p>
            <w:pPr>
              <w:pStyle w:val="13"/>
              <w:snapToGrid w:val="0"/>
              <w:ind w:left="312" w:hanging="312"/>
              <w:rPr>
                <w:rFonts w:ascii="仿宋_GB2312" w:hAnsi="仿宋_GB2312" w:eastAsia="仿宋_GB2312" w:cs="仿宋_GB2312"/>
                <w:color w:val="auto"/>
                <w:szCs w:val="24"/>
              </w:rPr>
            </w:pPr>
            <w:r>
              <w:rPr>
                <w:rFonts w:hint="eastAsia" w:ascii="仿宋_GB2312" w:hAnsi="仿宋_GB2312" w:eastAsia="仿宋_GB2312" w:cs="仿宋_GB2312"/>
                <w:color w:val="auto"/>
                <w:szCs w:val="24"/>
              </w:rPr>
              <w:t>8、协助物业服务中心做好有关管理工作。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26" w:hRule="atLeast"/>
        </w:trPr>
        <w:tc>
          <w:tcPr>
            <w:tcW w:w="825" w:type="dxa"/>
            <w:tcBorders>
              <w:top w:val="single" w:color="auto" w:sz="6" w:space="0"/>
              <w:left w:val="single" w:color="auto" w:sz="6" w:space="0"/>
              <w:bottom w:val="single" w:color="auto" w:sz="6" w:space="0"/>
              <w:right w:val="single" w:color="auto" w:sz="6" w:space="0"/>
            </w:tcBorders>
            <w:textDirection w:val="tbRlV"/>
            <w:vAlign w:val="center"/>
          </w:tcPr>
          <w:p>
            <w:pPr>
              <w:snapToGrid w:val="0"/>
              <w:ind w:left="113" w:right="113"/>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巡逻岗位</w:t>
            </w:r>
          </w:p>
        </w:tc>
        <w:tc>
          <w:tcPr>
            <w:tcW w:w="7920" w:type="dxa"/>
            <w:tcBorders>
              <w:top w:val="single" w:color="auto" w:sz="6" w:space="0"/>
              <w:left w:val="single" w:color="auto" w:sz="6" w:space="0"/>
              <w:bottom w:val="single" w:color="auto" w:sz="6" w:space="0"/>
              <w:right w:val="single" w:color="auto" w:sz="6" w:space="0"/>
            </w:tcBorders>
            <w:vAlign w:val="center"/>
          </w:tcPr>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1、巡逻时要多走、多看、多听、多嗅。重点检查治安、防火、防盗等情况，消防等公共设备、设施是否完好，防盗门是否关好等。发现问题立即处理，做好《值班记录表》，并上报班长。</w:t>
            </w:r>
          </w:p>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2、巡逻中发现可疑人员，要前往盘查，必要时检查其所带物品。属三无人员，应驱赶出辖区；属推销、摆卖人员，应劝其离开辖区。</w:t>
            </w:r>
          </w:p>
          <w:p>
            <w:pPr>
              <w:snapToGrid w:val="0"/>
              <w:ind w:left="322" w:hanging="312"/>
              <w:rPr>
                <w:rFonts w:ascii="仿宋_GB2312" w:hAnsi="仿宋_GB2312" w:eastAsia="仿宋_GB2312" w:cs="仿宋_GB2312"/>
                <w:color w:val="auto"/>
                <w:sz w:val="24"/>
              </w:rPr>
            </w:pPr>
            <w:r>
              <w:rPr>
                <w:rFonts w:hint="eastAsia" w:ascii="仿宋_GB2312" w:hAnsi="仿宋_GB2312" w:eastAsia="仿宋_GB2312" w:cs="仿宋_GB2312"/>
                <w:color w:val="auto"/>
                <w:sz w:val="24"/>
              </w:rPr>
              <w:t>3、对于出现的紧急情况，应及时上报。</w:t>
            </w:r>
          </w:p>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4、协助服务中心做好有关管理工作。</w:t>
            </w:r>
          </w:p>
        </w:tc>
      </w:tr>
    </w:tbl>
    <w:p>
      <w:pPr>
        <w:pStyle w:val="40"/>
        <w:ind w:firstLine="0" w:firstLineChars="0"/>
        <w:jc w:val="center"/>
        <w:rPr>
          <w:rFonts w:ascii="仿宋_GB2312" w:hAnsi="仿宋_GB2312" w:eastAsia="仿宋_GB2312" w:cs="仿宋_GB2312"/>
          <w:b/>
          <w:color w:val="auto"/>
          <w:sz w:val="32"/>
          <w:szCs w:val="32"/>
        </w:rPr>
      </w:pPr>
    </w:p>
    <w:p>
      <w:pPr>
        <w:pStyle w:val="40"/>
        <w:ind w:firstLine="0" w:firstLineChars="0"/>
        <w:jc w:val="left"/>
        <w:rPr>
          <w:b/>
          <w:bCs/>
          <w:color w:val="auto"/>
          <w:sz w:val="32"/>
          <w:szCs w:val="32"/>
        </w:rPr>
      </w:pPr>
      <w:r>
        <w:rPr>
          <w:rFonts w:hint="eastAsia" w:ascii="仿宋_GB2312" w:hAnsi="仿宋_GB2312" w:eastAsia="仿宋_GB2312" w:cs="仿宋_GB2312"/>
          <w:b/>
          <w:color w:val="auto"/>
          <w:sz w:val="32"/>
          <w:szCs w:val="32"/>
        </w:rPr>
        <w:t>（3）会议服务工作标准及内容：</w:t>
      </w:r>
    </w:p>
    <w:p>
      <w:pPr>
        <w:pStyle w:val="40"/>
        <w:ind w:firstLine="0" w:firstLineChars="0"/>
        <w:jc w:val="center"/>
        <w:rPr>
          <w:rFonts w:cs="宋体" w:asciiTheme="minorEastAsia" w:hAnsiTheme="minorEastAsia"/>
          <w:color w:val="auto"/>
          <w:kern w:val="0"/>
          <w:szCs w:val="21"/>
        </w:rPr>
      </w:pPr>
    </w:p>
    <w:tbl>
      <w:tblPr>
        <w:tblStyle w:val="23"/>
        <w:tblW w:w="8745" w:type="dxa"/>
        <w:tblInd w:w="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5"/>
        <w:gridCol w:w="79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825"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项目</w:t>
            </w:r>
          </w:p>
        </w:tc>
        <w:tc>
          <w:tcPr>
            <w:tcW w:w="79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内   容  标  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90" w:hRule="atLeast"/>
        </w:trPr>
        <w:tc>
          <w:tcPr>
            <w:tcW w:w="825" w:type="dxa"/>
            <w:tcBorders>
              <w:top w:val="single" w:color="auto" w:sz="6" w:space="0"/>
              <w:left w:val="single" w:color="auto" w:sz="6" w:space="0"/>
              <w:bottom w:val="single" w:color="auto" w:sz="6" w:space="0"/>
              <w:right w:val="single" w:color="auto" w:sz="6" w:space="0"/>
            </w:tcBorders>
            <w:textDirection w:val="tbRlV"/>
            <w:vAlign w:val="center"/>
          </w:tcPr>
          <w:p>
            <w:pPr>
              <w:snapToGrid w:val="0"/>
              <w:ind w:left="113" w:right="113"/>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仪容仪表</w:t>
            </w:r>
          </w:p>
        </w:tc>
        <w:tc>
          <w:tcPr>
            <w:tcW w:w="7920" w:type="dxa"/>
            <w:tcBorders>
              <w:top w:val="single" w:color="auto" w:sz="6" w:space="0"/>
              <w:left w:val="single" w:color="auto" w:sz="6" w:space="0"/>
              <w:bottom w:val="single" w:color="auto" w:sz="6" w:space="0"/>
              <w:right w:val="single" w:color="auto" w:sz="6" w:space="0"/>
            </w:tcBorders>
            <w:vAlign w:val="center"/>
          </w:tcPr>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、上岗须着公司统一的制服，须佩戴好工作牌。工作牌统一佩戴在外衣左上衣袋上方。</w:t>
            </w:r>
          </w:p>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2、服务人员长发不遮眼，后发不披肩（盘发）。要求化淡妆，不浓妆艳抹，不佩戴首饰。</w:t>
            </w:r>
          </w:p>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3、坐站规范端庄，不翘腿。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40" w:hRule="atLeast"/>
        </w:trPr>
        <w:tc>
          <w:tcPr>
            <w:tcW w:w="825" w:type="dxa"/>
            <w:tcBorders>
              <w:top w:val="single" w:color="auto" w:sz="6" w:space="0"/>
              <w:left w:val="single" w:color="auto" w:sz="6" w:space="0"/>
              <w:bottom w:val="single" w:color="auto" w:sz="6" w:space="0"/>
              <w:right w:val="single" w:color="auto" w:sz="6" w:space="0"/>
            </w:tcBorders>
            <w:textDirection w:val="tbRlV"/>
            <w:vAlign w:val="center"/>
          </w:tcPr>
          <w:p>
            <w:pPr>
              <w:snapToGrid w:val="0"/>
              <w:ind w:left="113" w:right="113"/>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会前服务</w:t>
            </w:r>
          </w:p>
        </w:tc>
        <w:tc>
          <w:tcPr>
            <w:tcW w:w="7920" w:type="dxa"/>
            <w:tcBorders>
              <w:top w:val="single" w:color="auto" w:sz="6" w:space="0"/>
              <w:left w:val="single" w:color="auto" w:sz="6" w:space="0"/>
              <w:bottom w:val="single" w:color="auto" w:sz="6" w:space="0"/>
              <w:right w:val="single" w:color="auto" w:sz="6" w:space="0"/>
            </w:tcBorders>
            <w:vAlign w:val="center"/>
          </w:tcPr>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1、明确会议服务要求，提前落实会议主席台、发主席、话筒、签到席、横幅、背景音乐、鲜花、水果摆放等，并提前检查音响、话筒等设备及会议各项要求的落实情况。</w:t>
            </w:r>
          </w:p>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2、做好会场卫生工作，整理打扫桌面、抽屉、座椅、地面、门窗等，检查会议用品等物品的配备情况。</w:t>
            </w:r>
          </w:p>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3、在会场入口醒目位置安放会议指示牌，室内座位摆放整齐。</w:t>
            </w:r>
          </w:p>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4、打开照明灯及通道门做好引导工作。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87" w:hRule="atLeast"/>
        </w:trPr>
        <w:tc>
          <w:tcPr>
            <w:tcW w:w="825" w:type="dxa"/>
            <w:tcBorders>
              <w:top w:val="single" w:color="auto" w:sz="6" w:space="0"/>
              <w:left w:val="single" w:color="auto" w:sz="6" w:space="0"/>
              <w:bottom w:val="single" w:color="auto" w:sz="6" w:space="0"/>
              <w:right w:val="single" w:color="auto" w:sz="6" w:space="0"/>
            </w:tcBorders>
            <w:textDirection w:val="tbRlV"/>
            <w:vAlign w:val="center"/>
          </w:tcPr>
          <w:p>
            <w:pPr>
              <w:snapToGrid w:val="0"/>
              <w:ind w:left="113" w:right="113"/>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会中服务</w:t>
            </w:r>
          </w:p>
        </w:tc>
        <w:tc>
          <w:tcPr>
            <w:tcW w:w="7920" w:type="dxa"/>
            <w:tcBorders>
              <w:top w:val="single" w:color="auto" w:sz="6" w:space="0"/>
              <w:left w:val="single" w:color="auto" w:sz="6" w:space="0"/>
              <w:bottom w:val="single" w:color="auto" w:sz="6" w:space="0"/>
              <w:right w:val="single" w:color="auto" w:sz="6" w:space="0"/>
            </w:tcBorders>
            <w:vAlign w:val="center"/>
          </w:tcPr>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1、会议中原则上每15-20分钟添加茶水一次，特殊情况按要求服务。</w:t>
            </w:r>
          </w:p>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2、根据会议要求，进行灯光调节，确保灯光达到会议要求；根据会议需要主动提供话筒传递服务。</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3、会议过程中，服务员要精神集中，注意观察参会人员有无服务要求，要保证会场安静，注意室内温度，合理调节空调。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825" w:type="dxa"/>
            <w:tcBorders>
              <w:top w:val="single" w:color="auto" w:sz="6" w:space="0"/>
              <w:left w:val="single" w:color="auto" w:sz="6" w:space="0"/>
              <w:bottom w:val="single" w:color="auto" w:sz="6" w:space="0"/>
              <w:right w:val="single" w:color="auto" w:sz="6" w:space="0"/>
            </w:tcBorders>
            <w:textDirection w:val="tbRlV"/>
            <w:vAlign w:val="center"/>
          </w:tcPr>
          <w:p>
            <w:pPr>
              <w:snapToGrid w:val="0"/>
              <w:ind w:left="113" w:right="113"/>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会后服务</w:t>
            </w:r>
          </w:p>
        </w:tc>
        <w:tc>
          <w:tcPr>
            <w:tcW w:w="7920" w:type="dxa"/>
            <w:tcBorders>
              <w:top w:val="single" w:color="auto" w:sz="6" w:space="0"/>
              <w:left w:val="single" w:color="auto" w:sz="6" w:space="0"/>
              <w:bottom w:val="single" w:color="auto" w:sz="6" w:space="0"/>
              <w:right w:val="single" w:color="auto" w:sz="6" w:space="0"/>
            </w:tcBorders>
            <w:vAlign w:val="center"/>
          </w:tcPr>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1、会后及时做好会场清理工作，若发现遗留物品迅速与有关单位联系或上交。</w:t>
            </w:r>
          </w:p>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2、严格做好保密工作，不询问、议论、外传会议内容和领导讲话内容。</w:t>
            </w:r>
          </w:p>
          <w:p>
            <w:pPr>
              <w:pStyle w:val="14"/>
              <w:snapToGrid w:val="0"/>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3、清洁会议室，关闭会议室：包括空调、灯光、门。</w:t>
            </w:r>
          </w:p>
        </w:tc>
      </w:tr>
    </w:tbl>
    <w:p>
      <w:pPr>
        <w:pStyle w:val="40"/>
        <w:ind w:firstLine="0" w:firstLineChars="0"/>
        <w:jc w:val="center"/>
        <w:rPr>
          <w:rFonts w:cs="宋体" w:asciiTheme="minorEastAsia" w:hAnsiTheme="minorEastAsia"/>
          <w:color w:val="auto"/>
          <w:kern w:val="0"/>
          <w:szCs w:val="21"/>
        </w:rPr>
      </w:pPr>
    </w:p>
    <w:p>
      <w:pPr>
        <w:pStyle w:val="40"/>
        <w:ind w:firstLine="0" w:firstLineChars="0"/>
        <w:jc w:val="center"/>
        <w:rPr>
          <w:rFonts w:cs="宋体" w:asciiTheme="minorEastAsia" w:hAnsiTheme="minorEastAsia"/>
          <w:color w:val="auto"/>
          <w:kern w:val="0"/>
          <w:szCs w:val="21"/>
        </w:rPr>
      </w:pPr>
    </w:p>
    <w:p>
      <w:pPr>
        <w:pStyle w:val="40"/>
        <w:ind w:firstLine="0" w:firstLineChars="0"/>
        <w:jc w:val="center"/>
        <w:rPr>
          <w:rFonts w:cs="宋体" w:asciiTheme="minorEastAsia" w:hAnsiTheme="minorEastAsia"/>
          <w:color w:val="auto"/>
          <w:kern w:val="0"/>
          <w:szCs w:val="21"/>
        </w:rPr>
      </w:pPr>
    </w:p>
    <w:p>
      <w:pPr>
        <w:pStyle w:val="40"/>
        <w:ind w:firstLine="0" w:firstLineChars="0"/>
        <w:jc w:val="center"/>
        <w:rPr>
          <w:rFonts w:cs="宋体" w:asciiTheme="minorEastAsia" w:hAnsiTheme="minorEastAsia"/>
          <w:color w:val="auto"/>
          <w:kern w:val="0"/>
          <w:szCs w:val="21"/>
        </w:rPr>
      </w:pPr>
    </w:p>
    <w:p>
      <w:pPr>
        <w:pStyle w:val="40"/>
        <w:ind w:firstLine="0" w:firstLineChars="0"/>
        <w:jc w:val="center"/>
        <w:rPr>
          <w:rFonts w:cs="宋体" w:asciiTheme="minorEastAsia" w:hAnsiTheme="minorEastAsia"/>
          <w:color w:val="auto"/>
          <w:kern w:val="0"/>
          <w:szCs w:val="21"/>
        </w:rPr>
      </w:pPr>
    </w:p>
    <w:p>
      <w:pPr>
        <w:pStyle w:val="40"/>
        <w:ind w:firstLine="0" w:firstLineChars="0"/>
        <w:jc w:val="center"/>
        <w:rPr>
          <w:rFonts w:cs="宋体" w:asciiTheme="minorEastAsia" w:hAnsiTheme="minorEastAsia"/>
          <w:color w:val="auto"/>
          <w:kern w:val="0"/>
          <w:szCs w:val="21"/>
        </w:rPr>
      </w:pPr>
    </w:p>
    <w:p>
      <w:pPr>
        <w:pStyle w:val="40"/>
        <w:ind w:firstLine="0" w:firstLineChars="0"/>
        <w:jc w:val="center"/>
        <w:rPr>
          <w:rFonts w:cs="宋体" w:asciiTheme="minorEastAsia" w:hAnsiTheme="minorEastAsia"/>
          <w:color w:val="auto"/>
          <w:kern w:val="0"/>
          <w:szCs w:val="21"/>
        </w:rPr>
      </w:pPr>
    </w:p>
    <w:p>
      <w:pPr>
        <w:pStyle w:val="40"/>
        <w:ind w:firstLine="0" w:firstLineChars="0"/>
        <w:jc w:val="center"/>
        <w:rPr>
          <w:rFonts w:cs="宋体" w:asciiTheme="minorEastAsia" w:hAnsiTheme="minorEastAsia"/>
          <w:color w:val="auto"/>
          <w:kern w:val="0"/>
          <w:szCs w:val="21"/>
        </w:rPr>
      </w:pPr>
    </w:p>
    <w:p>
      <w:pPr>
        <w:pStyle w:val="40"/>
        <w:ind w:firstLine="0" w:firstLineChars="0"/>
        <w:jc w:val="center"/>
        <w:rPr>
          <w:rFonts w:cs="宋体" w:asciiTheme="minorEastAsia" w:hAnsiTheme="minorEastAsia"/>
          <w:color w:val="auto"/>
          <w:kern w:val="0"/>
          <w:szCs w:val="21"/>
        </w:rPr>
      </w:pPr>
    </w:p>
    <w:p>
      <w:pPr>
        <w:pStyle w:val="40"/>
        <w:ind w:firstLine="0" w:firstLineChars="0"/>
        <w:jc w:val="center"/>
        <w:rPr>
          <w:rFonts w:cs="宋体" w:asciiTheme="minorEastAsia" w:hAnsiTheme="minorEastAsia"/>
          <w:color w:val="auto"/>
          <w:kern w:val="0"/>
          <w:szCs w:val="21"/>
        </w:rPr>
      </w:pPr>
    </w:p>
    <w:p>
      <w:pPr>
        <w:pStyle w:val="40"/>
        <w:ind w:firstLine="0" w:firstLineChars="0"/>
        <w:jc w:val="center"/>
        <w:rPr>
          <w:rFonts w:cs="宋体" w:asciiTheme="minorEastAsia" w:hAnsiTheme="minorEastAsia"/>
          <w:color w:val="auto"/>
          <w:kern w:val="0"/>
          <w:szCs w:val="21"/>
        </w:rPr>
      </w:pPr>
    </w:p>
    <w:p>
      <w:pPr>
        <w:pStyle w:val="40"/>
        <w:ind w:firstLine="0" w:firstLineChars="0"/>
        <w:jc w:val="center"/>
        <w:rPr>
          <w:rFonts w:cs="宋体" w:asciiTheme="minorEastAsia" w:hAnsiTheme="minorEastAsia"/>
          <w:color w:val="auto"/>
          <w:kern w:val="0"/>
          <w:szCs w:val="21"/>
        </w:rPr>
      </w:pPr>
    </w:p>
    <w:p>
      <w:pPr>
        <w:spacing w:line="360" w:lineRule="auto"/>
        <w:ind w:firstLine="482" w:firstLineChars="200"/>
        <w:contextualSpacing/>
        <w:rPr>
          <w:rFonts w:cs="微软雅黑" w:asciiTheme="minorEastAsia" w:hAnsiTheme="minorEastAsia"/>
          <w:b/>
          <w:color w:val="auto"/>
          <w:sz w:val="24"/>
          <w:szCs w:val="24"/>
        </w:rPr>
      </w:pPr>
    </w:p>
    <w:p>
      <w:pPr>
        <w:widowControl/>
        <w:shd w:val="clear" w:color="auto" w:fill="FFFFFF"/>
        <w:spacing w:line="360" w:lineRule="auto"/>
        <w:ind w:firstLine="422" w:firstLineChars="200"/>
        <w:contextualSpacing/>
        <w:jc w:val="left"/>
        <w:rPr>
          <w:rFonts w:cs="宋体" w:asciiTheme="minorEastAsia" w:hAnsiTheme="minorEastAsia"/>
          <w:b/>
          <w:color w:val="auto"/>
          <w:kern w:val="0"/>
          <w:szCs w:val="21"/>
          <w:lang w:val="zh-CN"/>
        </w:rPr>
      </w:pPr>
      <w:r>
        <w:rPr>
          <w:rFonts w:hint="eastAsia" w:cs="微软雅黑" w:asciiTheme="minorEastAsia" w:hAnsiTheme="minorEastAsia"/>
          <w:b/>
          <w:color w:val="auto"/>
          <w:szCs w:val="21"/>
        </w:rPr>
        <w:t>★</w:t>
      </w:r>
      <w:r>
        <w:rPr>
          <w:rFonts w:hint="eastAsia" w:cs="宋体" w:asciiTheme="minorEastAsia" w:hAnsiTheme="minorEastAsia"/>
          <w:b/>
          <w:color w:val="auto"/>
          <w:kern w:val="0"/>
          <w:sz w:val="24"/>
          <w:szCs w:val="24"/>
          <w:lang w:val="zh-CN"/>
        </w:rPr>
        <w:t>二、采购标的的其他技术、服务等要求</w:t>
      </w:r>
    </w:p>
    <w:p>
      <w:pPr>
        <w:wordWrap w:val="0"/>
        <w:topLinePunct/>
        <w:spacing w:line="360" w:lineRule="auto"/>
        <w:ind w:firstLine="480" w:firstLineChars="200"/>
        <w:rPr>
          <w:rFonts w:ascii="宋体" w:cs="宋体"/>
          <w:color w:val="auto"/>
          <w:sz w:val="24"/>
          <w:lang w:val="zh-CN"/>
        </w:rPr>
      </w:pPr>
      <w:r>
        <w:rPr>
          <w:rFonts w:hint="eastAsia" w:ascii="宋体" w:cs="宋体"/>
          <w:color w:val="auto"/>
          <w:sz w:val="24"/>
        </w:rPr>
        <w:t>1、</w:t>
      </w:r>
      <w:r>
        <w:rPr>
          <w:rFonts w:hint="eastAsia" w:ascii="宋体" w:cs="宋体"/>
          <w:color w:val="auto"/>
          <w:sz w:val="24"/>
          <w:lang w:val="zh-CN"/>
        </w:rPr>
        <w:t>投标文件中须有详细可行的实施方案，</w:t>
      </w:r>
      <w:r>
        <w:rPr>
          <w:rFonts w:hint="eastAsia" w:ascii="宋体" w:cs="宋体"/>
          <w:b/>
          <w:bCs/>
          <w:color w:val="auto"/>
          <w:sz w:val="24"/>
          <w:lang w:val="zh-CN"/>
        </w:rPr>
        <w:t>否则为无效投标。</w:t>
      </w:r>
    </w:p>
    <w:p>
      <w:pPr>
        <w:wordWrap w:val="0"/>
        <w:topLinePunct/>
        <w:autoSpaceDE w:val="0"/>
        <w:autoSpaceDN w:val="0"/>
        <w:adjustRightInd w:val="0"/>
        <w:spacing w:line="360" w:lineRule="auto"/>
        <w:ind w:firstLine="482"/>
        <w:rPr>
          <w:rFonts w:ascii="宋体" w:cs="宋体"/>
          <w:b/>
          <w:color w:val="auto"/>
          <w:sz w:val="24"/>
          <w:lang w:val="zh-CN"/>
        </w:rPr>
      </w:pPr>
      <w:r>
        <w:rPr>
          <w:rFonts w:hint="eastAsia" w:ascii="宋体" w:cs="宋体"/>
          <w:color w:val="auto"/>
          <w:sz w:val="24"/>
          <w:lang w:val="zh-CN"/>
        </w:rPr>
        <w:t>2、投标人应就本项目完整投标，</w:t>
      </w:r>
      <w:r>
        <w:rPr>
          <w:rFonts w:hint="eastAsia" w:ascii="宋体" w:cs="宋体"/>
          <w:b/>
          <w:color w:val="auto"/>
          <w:sz w:val="24"/>
          <w:lang w:val="zh-CN"/>
        </w:rPr>
        <w:t>否则为无效投标。</w:t>
      </w:r>
    </w:p>
    <w:p>
      <w:pPr>
        <w:wordWrap w:val="0"/>
        <w:topLinePunct/>
        <w:autoSpaceDE w:val="0"/>
        <w:autoSpaceDN w:val="0"/>
        <w:adjustRightInd w:val="0"/>
        <w:spacing w:line="360" w:lineRule="auto"/>
        <w:ind w:firstLine="482"/>
        <w:rPr>
          <w:rFonts w:ascii="宋体" w:cs="宋体"/>
          <w:b/>
          <w:color w:val="auto"/>
          <w:sz w:val="24"/>
        </w:rPr>
      </w:pPr>
      <w:r>
        <w:rPr>
          <w:rFonts w:hint="eastAsia" w:ascii="宋体" w:hAnsi="宋体" w:cs="宋体"/>
          <w:color w:val="auto"/>
          <w:kern w:val="0"/>
          <w:sz w:val="24"/>
          <w:szCs w:val="24"/>
        </w:rPr>
        <w:t>3、</w:t>
      </w:r>
      <w:r>
        <w:rPr>
          <w:rFonts w:hint="eastAsia" w:ascii="宋体" w:hAnsi="宋体" w:cs="宋体"/>
          <w:color w:val="auto"/>
          <w:kern w:val="0"/>
          <w:sz w:val="24"/>
          <w:szCs w:val="24"/>
          <w:lang w:val="zh-CN"/>
        </w:rPr>
        <w:t>中标人所需用工必须符合国家《劳动法》要求，其工资发放不得低于同期许昌市最低工资标准，并对其一切安全负责，如发生用工纠纷，由中标人自行承担全部责任。</w:t>
      </w:r>
    </w:p>
    <w:p>
      <w:pPr>
        <w:wordWrap w:val="0"/>
        <w:topLinePunct/>
        <w:spacing w:line="360" w:lineRule="auto"/>
        <w:ind w:firstLine="480" w:firstLineChars="200"/>
        <w:rPr>
          <w:rFonts w:ascii="宋体" w:cs="宋体"/>
          <w:b/>
          <w:color w:val="auto"/>
          <w:sz w:val="24"/>
          <w:lang w:val="zh-CN"/>
        </w:rPr>
      </w:pPr>
      <w:r>
        <w:rPr>
          <w:rFonts w:hint="eastAsia" w:ascii="宋体" w:cs="宋体"/>
          <w:color w:val="auto"/>
          <w:sz w:val="24"/>
        </w:rPr>
        <w:t>4</w:t>
      </w:r>
      <w:r>
        <w:rPr>
          <w:rFonts w:hint="eastAsia" w:ascii="宋体" w:cs="宋体"/>
          <w:color w:val="auto"/>
          <w:sz w:val="24"/>
          <w:lang w:val="zh-CN"/>
        </w:rPr>
        <w:t>、本项目为交钥匙工程。</w:t>
      </w:r>
    </w:p>
    <w:p>
      <w:pPr>
        <w:widowControl/>
        <w:shd w:val="clear" w:color="auto" w:fill="FFFFFF"/>
        <w:spacing w:line="360" w:lineRule="auto"/>
        <w:ind w:firstLine="422" w:firstLineChars="200"/>
        <w:contextualSpacing/>
        <w:jc w:val="left"/>
        <w:rPr>
          <w:rFonts w:ascii="楷体" w:hAnsi="楷体" w:eastAsia="楷体" w:cs="宋体"/>
          <w:color w:val="auto"/>
          <w:kern w:val="0"/>
          <w:szCs w:val="21"/>
          <w:lang w:val="zh-CN"/>
        </w:rPr>
      </w:pPr>
      <w:r>
        <w:rPr>
          <w:rFonts w:hint="eastAsia" w:cs="微软雅黑" w:asciiTheme="minorEastAsia" w:hAnsiTheme="minorEastAsia"/>
          <w:b/>
          <w:color w:val="auto"/>
          <w:szCs w:val="21"/>
        </w:rPr>
        <w:t>★</w:t>
      </w:r>
      <w:r>
        <w:rPr>
          <w:rFonts w:hint="eastAsia" w:cs="宋体" w:asciiTheme="minorEastAsia" w:hAnsiTheme="minorEastAsia"/>
          <w:b/>
          <w:color w:val="auto"/>
          <w:kern w:val="0"/>
          <w:sz w:val="24"/>
          <w:szCs w:val="24"/>
          <w:lang w:val="zh-CN"/>
        </w:rPr>
        <w:t>三、验收标准</w:t>
      </w:r>
    </w:p>
    <w:p>
      <w:pPr>
        <w:wordWrap w:val="0"/>
        <w:topLinePunct/>
        <w:spacing w:line="360" w:lineRule="auto"/>
        <w:ind w:firstLine="480" w:firstLineChars="200"/>
        <w:rPr>
          <w:rFonts w:ascii="宋体" w:cs="宋体"/>
          <w:color w:val="auto"/>
          <w:sz w:val="24"/>
          <w:lang w:val="zh-CN"/>
        </w:rPr>
      </w:pPr>
      <w:r>
        <w:rPr>
          <w:rFonts w:hint="eastAsia" w:ascii="宋体" w:cs="宋体"/>
          <w:color w:val="auto"/>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ascii="宋体" w:cs="宋体"/>
          <w:color w:val="auto"/>
          <w:sz w:val="24"/>
          <w:lang w:val="zh-CN"/>
        </w:rPr>
      </w:pPr>
      <w:r>
        <w:rPr>
          <w:rFonts w:hint="eastAsia" w:ascii="宋体" w:cs="宋体"/>
          <w:color w:val="auto"/>
          <w:sz w:val="24"/>
          <w:lang w:val="zh-CN"/>
        </w:rPr>
        <w:t>2.按照招标文件要求、投标文件响应和承诺验收。</w:t>
      </w:r>
    </w:p>
    <w:p>
      <w:pPr>
        <w:pStyle w:val="21"/>
        <w:widowControl/>
        <w:shd w:val="clear" w:color="auto" w:fill="FFFFFF"/>
        <w:spacing w:line="360" w:lineRule="auto"/>
        <w:ind w:firstLine="420"/>
        <w:contextualSpacing/>
        <w:jc w:val="left"/>
        <w:rPr>
          <w:rFonts w:ascii="宋体" w:cs="宋体" w:hAnsiTheme="minorHAnsi" w:eastAsiaTheme="minorEastAsia"/>
          <w:color w:val="auto"/>
          <w:szCs w:val="22"/>
          <w:lang w:val="zh-CN"/>
        </w:rPr>
      </w:pPr>
      <w:r>
        <w:rPr>
          <w:rFonts w:hint="eastAsia" w:cs="微软雅黑" w:asciiTheme="minorEastAsia" w:hAnsiTheme="minorEastAsia" w:eastAsiaTheme="minorEastAsia"/>
          <w:b/>
          <w:color w:val="auto"/>
          <w:sz w:val="21"/>
          <w:szCs w:val="21"/>
        </w:rPr>
        <w:t>★</w:t>
      </w:r>
      <w:r>
        <w:rPr>
          <w:rFonts w:hint="eastAsia" w:cs="黑体" w:asciiTheme="minorEastAsia" w:hAnsiTheme="minorEastAsia" w:eastAsiaTheme="minorEastAsia"/>
          <w:b/>
          <w:bCs/>
          <w:color w:val="auto"/>
          <w:shd w:val="clear" w:color="auto" w:fill="FFFFFF"/>
        </w:rPr>
        <w:t>四、本项目预算金额：</w:t>
      </w:r>
      <w:r>
        <w:rPr>
          <w:rFonts w:hint="eastAsia" w:ascii="宋体" w:cs="宋体" w:hAnsiTheme="minorHAnsi" w:eastAsiaTheme="minorEastAsia"/>
          <w:color w:val="auto"/>
          <w:szCs w:val="22"/>
          <w:lang w:val="zh-CN"/>
        </w:rPr>
        <w:t>一标包：¥</w:t>
      </w:r>
      <w:r>
        <w:rPr>
          <w:rFonts w:hint="eastAsia" w:ascii="宋体" w:cs="宋体" w:hAnsiTheme="minorHAnsi" w:eastAsiaTheme="minorEastAsia"/>
          <w:color w:val="auto"/>
          <w:szCs w:val="22"/>
        </w:rPr>
        <w:t>2910600</w:t>
      </w:r>
      <w:r>
        <w:rPr>
          <w:rFonts w:hint="eastAsia" w:ascii="宋体" w:cs="宋体" w:hAnsiTheme="minorHAnsi" w:eastAsiaTheme="minorEastAsia"/>
          <w:color w:val="auto"/>
          <w:szCs w:val="22"/>
          <w:lang w:val="zh-CN"/>
        </w:rPr>
        <w:t>元；二标包：¥</w:t>
      </w:r>
      <w:r>
        <w:rPr>
          <w:rFonts w:hint="eastAsia" w:ascii="宋体" w:cs="宋体" w:hAnsiTheme="minorHAnsi" w:eastAsiaTheme="minorEastAsia"/>
          <w:color w:val="auto"/>
          <w:szCs w:val="22"/>
        </w:rPr>
        <w:t>2079000</w:t>
      </w:r>
      <w:r>
        <w:rPr>
          <w:rFonts w:hint="eastAsia" w:ascii="宋体" w:cs="宋体" w:hAnsiTheme="minorHAnsi" w:eastAsiaTheme="minorEastAsia"/>
          <w:color w:val="auto"/>
          <w:szCs w:val="22"/>
          <w:lang w:val="zh-CN"/>
        </w:rPr>
        <w:t>元；三标包：¥</w:t>
      </w:r>
      <w:r>
        <w:rPr>
          <w:rFonts w:hint="eastAsia" w:ascii="宋体" w:cs="宋体" w:hAnsiTheme="minorHAnsi" w:eastAsiaTheme="minorEastAsia"/>
          <w:color w:val="auto"/>
          <w:szCs w:val="22"/>
        </w:rPr>
        <w:t>3087000</w:t>
      </w:r>
      <w:r>
        <w:rPr>
          <w:rFonts w:hint="eastAsia" w:ascii="宋体" w:cs="宋体" w:hAnsiTheme="minorHAnsi" w:eastAsiaTheme="minorEastAsia"/>
          <w:color w:val="auto"/>
          <w:szCs w:val="22"/>
          <w:lang w:val="zh-CN"/>
        </w:rPr>
        <w:t>元；四标包：¥</w:t>
      </w:r>
      <w:r>
        <w:rPr>
          <w:rFonts w:hint="eastAsia" w:ascii="宋体" w:cs="宋体" w:hAnsiTheme="minorHAnsi" w:eastAsiaTheme="minorEastAsia"/>
          <w:color w:val="auto"/>
          <w:szCs w:val="22"/>
        </w:rPr>
        <w:t>987840</w:t>
      </w:r>
      <w:r>
        <w:rPr>
          <w:rFonts w:hint="eastAsia" w:ascii="宋体" w:cs="宋体" w:hAnsiTheme="minorHAnsi" w:eastAsiaTheme="minorEastAsia"/>
          <w:color w:val="auto"/>
          <w:szCs w:val="22"/>
          <w:lang w:val="zh-CN"/>
        </w:rPr>
        <w:t>元；五标包：¥</w:t>
      </w:r>
      <w:r>
        <w:rPr>
          <w:rFonts w:hint="eastAsia" w:ascii="宋体" w:cs="宋体" w:hAnsiTheme="minorHAnsi" w:eastAsiaTheme="minorEastAsia"/>
          <w:color w:val="auto"/>
          <w:szCs w:val="22"/>
        </w:rPr>
        <w:t>3711600</w:t>
      </w:r>
      <w:r>
        <w:rPr>
          <w:rFonts w:hint="eastAsia" w:ascii="宋体" w:cs="宋体" w:hAnsiTheme="minorHAnsi" w:eastAsiaTheme="minorEastAsia"/>
          <w:color w:val="auto"/>
          <w:szCs w:val="22"/>
          <w:lang w:val="zh-CN"/>
        </w:rPr>
        <w:t>元；（超过此预算为无效报价）。</w:t>
      </w:r>
    </w:p>
    <w:p>
      <w:pPr>
        <w:widowControl/>
        <w:shd w:val="clear" w:color="auto" w:fill="FFFFFF"/>
        <w:spacing w:line="360" w:lineRule="auto"/>
        <w:ind w:firstLine="42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Cs w:val="21"/>
        </w:rPr>
        <w:t>★</w:t>
      </w:r>
      <w:r>
        <w:rPr>
          <w:rFonts w:hint="eastAsia" w:cs="宋体" w:asciiTheme="minorEastAsia" w:hAnsiTheme="minorEastAsia"/>
          <w:b/>
          <w:color w:val="auto"/>
          <w:kern w:val="0"/>
          <w:sz w:val="24"/>
          <w:szCs w:val="24"/>
          <w:lang w:val="zh-CN"/>
        </w:rPr>
        <w:t>五、资金支付</w:t>
      </w:r>
    </w:p>
    <w:p>
      <w:pPr>
        <w:wordWrap w:val="0"/>
        <w:topLinePunct/>
        <w:spacing w:line="360" w:lineRule="auto"/>
        <w:ind w:firstLine="480" w:firstLineChars="200"/>
        <w:rPr>
          <w:rFonts w:ascii="宋体" w:cs="宋体"/>
          <w:color w:val="auto"/>
          <w:sz w:val="24"/>
          <w:lang w:val="zh-CN"/>
        </w:rPr>
      </w:pPr>
      <w:r>
        <w:rPr>
          <w:rFonts w:hint="eastAsia" w:cs="宋体" w:asciiTheme="minorEastAsia" w:hAnsiTheme="minorEastAsia"/>
          <w:color w:val="auto"/>
          <w:kern w:val="0"/>
          <w:sz w:val="24"/>
          <w:szCs w:val="24"/>
          <w:lang w:val="zh-CN"/>
        </w:rPr>
        <w:t>1、支付方式：</w:t>
      </w:r>
      <w:r>
        <w:rPr>
          <w:rFonts w:hint="eastAsia" w:ascii="宋体" w:cs="宋体"/>
          <w:color w:val="auto"/>
          <w:sz w:val="24"/>
          <w:lang w:val="zh-CN"/>
        </w:rPr>
        <w:t>银行转账</w:t>
      </w:r>
    </w:p>
    <w:p>
      <w:pPr>
        <w:wordWrap w:val="0"/>
        <w:topLinePunct/>
        <w:spacing w:line="360" w:lineRule="auto"/>
        <w:ind w:firstLine="480" w:firstLineChars="200"/>
        <w:rPr>
          <w:rFonts w:ascii="宋体" w:cs="宋体"/>
          <w:color w:val="auto"/>
          <w:sz w:val="24"/>
          <w:lang w:val="zh-CN"/>
        </w:rPr>
      </w:pPr>
      <w:r>
        <w:rPr>
          <w:rFonts w:hint="eastAsia" w:ascii="宋体" w:cs="宋体"/>
          <w:color w:val="auto"/>
          <w:sz w:val="24"/>
          <w:lang w:val="zh-CN"/>
        </w:rPr>
        <w:t>2、支付时间及条件：服务期限叁年，按合同支付。</w:t>
      </w:r>
    </w:p>
    <w:p>
      <w:pPr>
        <w:autoSpaceDE w:val="0"/>
        <w:autoSpaceDN w:val="0"/>
        <w:adjustRightInd w:val="0"/>
        <w:jc w:val="center"/>
        <w:rPr>
          <w:rFonts w:cs="宋体" w:asciiTheme="majorEastAsia" w:hAnsiTheme="majorEastAsia" w:eastAsiaTheme="majorEastAsia"/>
          <w:b/>
          <w:color w:val="auto"/>
          <w:kern w:val="0"/>
          <w:sz w:val="36"/>
          <w:szCs w:val="36"/>
        </w:rPr>
      </w:pPr>
    </w:p>
    <w:p>
      <w:pPr>
        <w:autoSpaceDE w:val="0"/>
        <w:autoSpaceDN w:val="0"/>
        <w:adjustRightInd w:val="0"/>
        <w:jc w:val="center"/>
        <w:rPr>
          <w:rFonts w:cs="宋体" w:asciiTheme="majorEastAsia" w:hAnsiTheme="majorEastAsia" w:eastAsiaTheme="majorEastAsia"/>
          <w:b/>
          <w:color w:val="auto"/>
          <w:kern w:val="0"/>
          <w:sz w:val="36"/>
          <w:szCs w:val="36"/>
        </w:rPr>
      </w:pPr>
    </w:p>
    <w:p>
      <w:pPr>
        <w:autoSpaceDE w:val="0"/>
        <w:autoSpaceDN w:val="0"/>
        <w:adjustRightInd w:val="0"/>
        <w:jc w:val="center"/>
        <w:rPr>
          <w:rFonts w:cs="宋体" w:asciiTheme="majorEastAsia" w:hAnsiTheme="majorEastAsia" w:eastAsiaTheme="majorEastAsia"/>
          <w:b/>
          <w:color w:val="auto"/>
          <w:kern w:val="0"/>
          <w:sz w:val="36"/>
          <w:szCs w:val="36"/>
        </w:rPr>
      </w:pPr>
    </w:p>
    <w:p>
      <w:pPr>
        <w:autoSpaceDE w:val="0"/>
        <w:autoSpaceDN w:val="0"/>
        <w:adjustRightInd w:val="0"/>
        <w:jc w:val="center"/>
        <w:rPr>
          <w:rFonts w:cs="宋体" w:asciiTheme="majorEastAsia" w:hAnsiTheme="majorEastAsia" w:eastAsiaTheme="majorEastAsia"/>
          <w:b/>
          <w:color w:val="auto"/>
          <w:kern w:val="0"/>
          <w:sz w:val="36"/>
          <w:szCs w:val="36"/>
        </w:rPr>
      </w:pPr>
    </w:p>
    <w:p>
      <w:pPr>
        <w:autoSpaceDE w:val="0"/>
        <w:autoSpaceDN w:val="0"/>
        <w:adjustRightInd w:val="0"/>
        <w:jc w:val="center"/>
        <w:rPr>
          <w:rFonts w:cs="宋体" w:asciiTheme="majorEastAsia" w:hAnsiTheme="majorEastAsia" w:eastAsiaTheme="majorEastAsia"/>
          <w:b/>
          <w:color w:val="auto"/>
          <w:kern w:val="0"/>
          <w:sz w:val="36"/>
          <w:szCs w:val="36"/>
        </w:rPr>
      </w:pPr>
    </w:p>
    <w:p>
      <w:pPr>
        <w:autoSpaceDE w:val="0"/>
        <w:autoSpaceDN w:val="0"/>
        <w:adjustRightInd w:val="0"/>
        <w:jc w:val="center"/>
        <w:rPr>
          <w:rFonts w:cs="宋体" w:asciiTheme="majorEastAsia" w:hAnsiTheme="majorEastAsia" w:eastAsiaTheme="majorEastAsia"/>
          <w:b/>
          <w:color w:val="auto"/>
          <w:kern w:val="0"/>
          <w:sz w:val="32"/>
          <w:szCs w:val="32"/>
        </w:rPr>
      </w:pPr>
    </w:p>
    <w:p>
      <w:pPr>
        <w:autoSpaceDE w:val="0"/>
        <w:autoSpaceDN w:val="0"/>
        <w:adjustRightInd w:val="0"/>
        <w:jc w:val="center"/>
        <w:rPr>
          <w:rFonts w:cs="宋体" w:asciiTheme="majorEastAsia" w:hAnsiTheme="majorEastAsia" w:eastAsiaTheme="majorEastAsia"/>
          <w:b/>
          <w:color w:val="auto"/>
          <w:kern w:val="0"/>
          <w:sz w:val="32"/>
          <w:szCs w:val="32"/>
        </w:rPr>
      </w:pPr>
    </w:p>
    <w:p>
      <w:pPr>
        <w:autoSpaceDE w:val="0"/>
        <w:autoSpaceDN w:val="0"/>
        <w:adjustRightInd w:val="0"/>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招标文件中凡标有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条款均为实质性要求条款，投标文件须完全响应，未实质响应的，按照无效投标处理。</w:t>
      </w: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项目名称：长葛市机关事务管理局”行政办公区办公大楼物业服务”项目</w:t>
            </w:r>
          </w:p>
          <w:p>
            <w:pPr>
              <w:widowControl/>
              <w:wordWrap w:val="0"/>
              <w:spacing w:line="360" w:lineRule="auto"/>
              <w:ind w:left="-1449" w:leftChars="-690" w:right="-334" w:rightChars="-159"/>
              <w:rPr>
                <w:rFonts w:cs="仿宋_GB2312" w:asciiTheme="minorEastAsia" w:hAnsiTheme="minorEastAsia"/>
                <w:color w:val="auto"/>
                <w:szCs w:val="21"/>
              </w:rPr>
            </w:pPr>
            <w:r>
              <w:rPr>
                <w:rFonts w:hint="eastAsia" w:cs="仿宋_GB2312" w:asciiTheme="minorEastAsia" w:hAnsiTheme="minorEastAsia"/>
                <w:color w:val="auto"/>
                <w:szCs w:val="21"/>
              </w:rPr>
              <w:t xml:space="preserve">              项目编号：长招采公字[2019]</w:t>
            </w:r>
            <w:r>
              <w:rPr>
                <w:rFonts w:hint="eastAsia" w:cs="仿宋_GB2312" w:asciiTheme="minorEastAsia" w:hAnsiTheme="minorEastAsia"/>
                <w:color w:val="auto"/>
                <w:szCs w:val="21"/>
                <w:lang w:val="en-US" w:eastAsia="zh-CN"/>
              </w:rPr>
              <w:t>113</w:t>
            </w:r>
            <w:r>
              <w:rPr>
                <w:rFonts w:hint="eastAsia" w:cs="仿宋_GB2312" w:asciiTheme="minorEastAsia" w:hAnsiTheme="minorEastAsia"/>
                <w:color w:val="auto"/>
                <w:szCs w:val="21"/>
              </w:rPr>
              <w:t>号</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项目内容：长葛市机关事务管理局”行政办公区办公大楼物业服务”项目；详细要求见采购文件。</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项目地址：长葛市行政办公区</w:t>
            </w:r>
            <w:r>
              <w:rPr>
                <w:rFonts w:cs="仿宋_GB2312" w:asciiTheme="minorEastAsia" w:hAnsiTheme="minorEastAsia"/>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名称：</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长葛市机关事务管理局</w:t>
            </w:r>
          </w:p>
          <w:p>
            <w:pPr>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地址：长葛市葛天大道中段</w:t>
            </w:r>
          </w:p>
          <w:p>
            <w:pPr>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采购人：长葛市机关事务管理局</w:t>
            </w:r>
          </w:p>
          <w:p>
            <w:pPr>
              <w:spacing w:line="360" w:lineRule="auto"/>
              <w:rPr>
                <w:rFonts w:cs="仿宋_GB2312" w:asciiTheme="minorEastAsia" w:hAnsiTheme="minorEastAsia"/>
                <w:color w:val="auto"/>
                <w:szCs w:val="21"/>
              </w:rPr>
            </w:pPr>
            <w:r>
              <w:rPr>
                <w:rFonts w:hint="eastAsia" w:cs="仿宋_GB2312" w:asciiTheme="minorEastAsia" w:hAnsiTheme="minorEastAsia"/>
                <w:color w:val="auto"/>
                <w:szCs w:val="21"/>
                <w:highlight w:val="none"/>
              </w:rPr>
              <w:t>联系人：</w:t>
            </w:r>
            <w:r>
              <w:rPr>
                <w:rFonts w:hint="eastAsia" w:cs="仿宋_GB2312" w:asciiTheme="minorEastAsia" w:hAnsiTheme="minorEastAsia"/>
                <w:color w:val="auto"/>
                <w:szCs w:val="21"/>
                <w:highlight w:val="none"/>
                <w:lang w:eastAsia="zh-CN"/>
              </w:rPr>
              <w:t>候广欣</w:t>
            </w:r>
            <w:r>
              <w:rPr>
                <w:rFonts w:hint="eastAsia" w:cs="仿宋_GB2312" w:asciiTheme="minorEastAsia" w:hAnsiTheme="minorEastAsia"/>
                <w:color w:val="auto"/>
                <w:szCs w:val="21"/>
                <w:highlight w:val="none"/>
              </w:rPr>
              <w:t xml:space="preserve">                  联系电话：</w:t>
            </w:r>
            <w:r>
              <w:rPr>
                <w:rFonts w:hint="eastAsia" w:cs="仿宋_GB2312" w:asciiTheme="minorEastAsia" w:hAnsiTheme="minorEastAsia"/>
                <w:color w:val="auto"/>
                <w:szCs w:val="21"/>
                <w:highlight w:val="none"/>
                <w:lang w:val="en-US" w:eastAsia="zh-CN"/>
              </w:rPr>
              <w:t>13837421936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名称：长葛市公共资源交易中心</w:t>
            </w:r>
            <w:r>
              <w:rPr>
                <w:rFonts w:cs="仿宋_GB2312" w:asciiTheme="minorEastAsia" w:hAnsiTheme="minorEastAsia"/>
                <w:color w:val="auto"/>
                <w:szCs w:val="21"/>
              </w:rPr>
              <w:t xml:space="preserve"> </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 xml:space="preserve">地址：长葛市商务区6号楼4楼   </w:t>
            </w:r>
          </w:p>
          <w:p>
            <w:pPr>
              <w:adjustRightInd w:val="0"/>
              <w:snapToGri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highlight w:val="none"/>
              </w:rPr>
              <w:t>联系人：政府采购</w:t>
            </w:r>
            <w:r>
              <w:rPr>
                <w:rFonts w:hint="eastAsia" w:cs="仿宋_GB2312" w:asciiTheme="minorEastAsia" w:hAnsiTheme="minorEastAsia"/>
                <w:color w:val="auto"/>
                <w:szCs w:val="21"/>
                <w:highlight w:val="none"/>
                <w:lang w:eastAsia="zh-CN"/>
              </w:rPr>
              <w:t>一</w:t>
            </w:r>
            <w:r>
              <w:rPr>
                <w:rFonts w:hint="eastAsia" w:cs="仿宋_GB2312" w:asciiTheme="minorEastAsia" w:hAnsiTheme="minorEastAsia"/>
                <w:color w:val="auto"/>
                <w:szCs w:val="21"/>
                <w:highlight w:val="none"/>
              </w:rPr>
              <w:t>部            联系电话：</w:t>
            </w:r>
            <w:r>
              <w:rPr>
                <w:rFonts w:hint="eastAsia" w:cs="仿宋_GB2312" w:asciiTheme="minorEastAsia" w:hAnsiTheme="minorEastAsia"/>
                <w:color w:val="auto"/>
                <w:szCs w:val="21"/>
                <w:highlight w:val="none"/>
                <w:lang w:val="en-US"/>
              </w:rPr>
              <w:t>0374-6189379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w:t>
            </w:r>
            <w:r>
              <w:rPr>
                <w:rFonts w:cs="宋体" w:asciiTheme="minorEastAsia" w:hAnsiTheme="minorEastAsia"/>
                <w:b/>
                <w:bCs/>
                <w:color w:val="auto"/>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1、投标人是法人（法人包括企业法人、机关法人、事业单位法人和社会团体法人），提供本单位：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2、投标人（其他组织和自然人）提供本单位：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b/>
                <w:color w:val="auto"/>
                <w:szCs w:val="21"/>
              </w:rPr>
              <w:t>三、依法缴纳税收相关材料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1、相关设备的购置发票、专业技术人员职称证书、用工合同等；</w:t>
            </w:r>
          </w:p>
          <w:p>
            <w:pPr>
              <w:spacing w:line="360" w:lineRule="auto"/>
              <w:rPr>
                <w:rFonts w:asciiTheme="minorEastAsia" w:hAnsiTheme="minorEastAsia"/>
                <w:bCs/>
                <w:color w:val="auto"/>
                <w:szCs w:val="21"/>
              </w:rPr>
            </w:pPr>
            <w:r>
              <w:rPr>
                <w:rFonts w:hint="eastAsia" w:asciiTheme="minorEastAsia" w:hAnsiTheme="minorEastAsia"/>
                <w:bCs/>
                <w:color w:val="auto"/>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auto"/>
                <w:sz w:val="24"/>
                <w:szCs w:val="24"/>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1～2其中之一即可。</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投标人“</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(www.ccgp.gov.cn)政府采购严重违法失信行为记录名单的投标人</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“中国社会组织公共服务平台”网站（</w:t>
            </w:r>
            <w:r>
              <w:rPr>
                <w:rFonts w:cs="仿宋_GB2312" w:asciiTheme="minorEastAsia" w:hAnsiTheme="minorEastAsia"/>
                <w:b/>
                <w:color w:val="auto"/>
                <w:szCs w:val="21"/>
                <w:shd w:val="clear" w:color="auto" w:fill="FFFFFF"/>
              </w:rPr>
              <w:t>www.chinanpo.gov.cn</w:t>
            </w:r>
            <w:r>
              <w:rPr>
                <w:rFonts w:hint="eastAsia" w:cs="仿宋_GB2312" w:asciiTheme="minorEastAsia" w:hAnsiTheme="minorEastAsia"/>
                <w:b/>
                <w:color w:val="auto"/>
                <w:szCs w:val="21"/>
                <w:shd w:val="clear" w:color="auto" w:fill="FFFFFF"/>
              </w:rPr>
              <w:t>）严重违法失信社会组织名单的投标人（</w:t>
            </w:r>
            <w:r>
              <w:rPr>
                <w:rFonts w:hint="eastAsia" w:cs="宋体" w:asciiTheme="minorEastAsia" w:hAnsiTheme="minorEastAsia"/>
                <w:color w:val="auto"/>
                <w:kern w:val="0"/>
                <w:szCs w:val="21"/>
              </w:rPr>
              <w:t>联合体形式投标的，联合体成员存在不良信用记录，视同联合体存在不良信用记录）。</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③“中国社会组织公共服务平台”网站（</w:t>
            </w:r>
            <w:r>
              <w:rPr>
                <w:rFonts w:cs="宋体" w:asciiTheme="minorEastAsia" w:hAnsiTheme="minorEastAsia"/>
                <w:color w:val="auto"/>
                <w:kern w:val="0"/>
                <w:szCs w:val="21"/>
              </w:rPr>
              <w:t>www.chinanpo.gov.cn</w:t>
            </w:r>
            <w:r>
              <w:rPr>
                <w:rFonts w:hint="eastAsia" w:cs="宋体" w:asciiTheme="minorEastAsia" w:hAnsiTheme="minorEastAsia"/>
                <w:color w:val="auto"/>
                <w:kern w:val="0"/>
                <w:szCs w:val="21"/>
              </w:rPr>
              <w:t>）（仅查询社会组织）；</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2、截止时间：同投标截止时间；</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4、信用信息的使用原则：经采购人认定的被列入失信被执行人、重大税收违法案件当事人名单、</w:t>
            </w:r>
            <w:r>
              <w:rPr>
                <w:rFonts w:cs="仿宋_GB2312" w:asciiTheme="minorEastAsia" w:hAnsiTheme="minorEastAsia"/>
                <w:color w:val="auto"/>
                <w:szCs w:val="21"/>
                <w:shd w:val="clear" w:color="auto" w:fill="FFFFFF"/>
              </w:rPr>
              <w:t>政府采购严重违法失信名单</w:t>
            </w:r>
            <w:r>
              <w:rPr>
                <w:rFonts w:hint="eastAsia" w:cs="宋体" w:asciiTheme="minorEastAsia" w:hAnsiTheme="minorEastAsia"/>
                <w:color w:val="auto"/>
                <w:kern w:val="0"/>
                <w:szCs w:val="21"/>
              </w:rPr>
              <w:t>、</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严重违法失信社会组织名单的投标人，将拒绝其参与本次政府采购活动。</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仿宋_GB2312" w:asciiTheme="minorEastAsia" w:hAnsiTheme="minorEastAsia"/>
                <w:color w:val="auto"/>
                <w:szCs w:val="21"/>
              </w:rPr>
            </w:pPr>
            <w:r>
              <w:rPr>
                <w:rFonts w:hint="eastAsia" w:hAnsi="宋体"/>
                <w:color w:val="auto"/>
                <w:szCs w:val="21"/>
              </w:rPr>
              <w:t>投标人可以对同一项目多个标段进行投标和中标。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一标包：¥2910600元；二标包：¥2079000元；三标包：¥3087000元；</w:t>
            </w:r>
          </w:p>
          <w:p>
            <w:pPr>
              <w:autoSpaceDE w:val="0"/>
              <w:autoSpaceDN w:val="0"/>
              <w:adjustRightInd w:val="0"/>
              <w:spacing w:line="276" w:lineRule="auto"/>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四标包：¥987840元；五标包：¥3711600元；</w:t>
            </w:r>
          </w:p>
          <w:p>
            <w:pPr>
              <w:autoSpaceDE w:val="0"/>
              <w:autoSpaceDN w:val="0"/>
              <w:adjustRightInd w:val="0"/>
              <w:spacing w:line="276" w:lineRule="auto"/>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60天（自提交投标文件的截止之日起算），供应商应当在投标有效期内办理相关事宜。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rPr>
            </w:pPr>
            <w:r>
              <w:rPr>
                <w:rFonts w:cs="宋体" w:asciiTheme="minorEastAsia" w:hAnsiTheme="minorEastAsia"/>
                <w:bCs/>
                <w:color w:val="auto"/>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投标截止及开标时间</w:t>
            </w:r>
          </w:p>
        </w:tc>
        <w:tc>
          <w:tcPr>
            <w:tcW w:w="6813" w:type="dxa"/>
            <w:vAlign w:val="center"/>
          </w:tcPr>
          <w:p>
            <w:pPr>
              <w:autoSpaceDE w:val="0"/>
              <w:autoSpaceDN w:val="0"/>
              <w:adjustRightInd w:val="0"/>
              <w:spacing w:line="360" w:lineRule="auto"/>
              <w:ind w:firstLine="210" w:firstLineChars="100"/>
              <w:rPr>
                <w:rFonts w:cs="仿宋_GB2312" w:asciiTheme="minorEastAsia" w:hAnsiTheme="minorEastAsia"/>
                <w:color w:val="auto"/>
                <w:szCs w:val="21"/>
                <w:highlight w:val="none"/>
              </w:rPr>
            </w:pPr>
            <w:r>
              <w:rPr>
                <w:rFonts w:hint="eastAsia" w:cs="仿宋_GB2312" w:asciiTheme="minorEastAsia" w:hAnsiTheme="minorEastAsia"/>
                <w:color w:val="FF0000"/>
                <w:szCs w:val="21"/>
                <w:highlight w:val="none"/>
              </w:rPr>
              <w:t>2019年    月   日   时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递交投标文件</w:t>
            </w:r>
          </w:p>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及开标地点</w:t>
            </w:r>
          </w:p>
        </w:tc>
        <w:tc>
          <w:tcPr>
            <w:tcW w:w="6813" w:type="dxa"/>
            <w:vAlign w:val="center"/>
          </w:tcPr>
          <w:p>
            <w:pP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FF0000"/>
                <w:szCs w:val="21"/>
                <w:highlight w:val="none"/>
              </w:rPr>
              <w:t>长葛市公共资源交易中心   楼开标  室（长葛市葛天大道商务区6号楼）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rPr>
            </w:pPr>
            <w:r>
              <w:rPr>
                <w:rFonts w:hint="eastAsia" w:cs="仿宋_GB2312" w:asciiTheme="minorEastAsia" w:hAnsiTheme="minorEastAsia"/>
                <w:color w:val="auto"/>
                <w:szCs w:val="21"/>
              </w:rPr>
              <w:t>本项目不收取。 但投标人应提供投标承诺函。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投标截止时间15日前（</w:t>
            </w:r>
            <w:r>
              <w:rPr>
                <w:rFonts w:hint="eastAsia" w:cs="仿宋_GB2312" w:asciiTheme="minorEastAsia" w:hAnsiTheme="minorEastAsia"/>
                <w:color w:val="auto"/>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投标人对采购文件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电子投标文件：成功上传至《全国公共资源交易平台（河南省·许昌市）》公共资源交易系统加密电子投标文件1份</w:t>
            </w:r>
            <w:r>
              <w:rPr>
                <w:rFonts w:hint="eastAsia" w:hAnsi="宋体" w:cs="宋体"/>
                <w:color w:val="auto"/>
                <w:szCs w:val="21"/>
                <w:lang w:val="zh-CN"/>
              </w:rPr>
              <w:t>（文件格式为： XXX公司XXX项目编号.file）。</w:t>
            </w:r>
            <w:r>
              <w:rPr>
                <w:rFonts w:hint="eastAsia" w:ascii="新宋体" w:hAnsi="新宋体" w:eastAsia="新宋体"/>
                <w:color w:val="auto"/>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纸质投标文件：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副本一份。使</w:t>
            </w:r>
            <w:r>
              <w:rPr>
                <w:rFonts w:hint="eastAsia" w:cs="仿宋_GB2312" w:asciiTheme="minorEastAsia" w:hAnsiTheme="minorEastAsia"/>
                <w:color w:val="auto"/>
                <w:szCs w:val="21"/>
              </w:rPr>
              <w:t>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ascii="新宋体" w:hAnsi="新宋体" w:eastAsia="新宋体"/>
                <w:color w:val="auto"/>
                <w:szCs w:val="21"/>
              </w:rPr>
            </w:pPr>
            <w:r>
              <w:rPr>
                <w:rFonts w:hint="eastAsia" w:ascii="新宋体" w:hAnsi="新宋体" w:eastAsia="新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纸质投标文件：投标文件封面加盖投标人公章（投标文件是指投标人电子投标文件制作完成后生成的后缀名为</w:t>
            </w:r>
            <w:r>
              <w:rPr>
                <w:rFonts w:hint="eastAsia" w:hAnsi="宋体"/>
                <w:color w:val="auto"/>
                <w:szCs w:val="21"/>
              </w:rPr>
              <w:t>“.PDF”的文件</w:t>
            </w:r>
            <w:r>
              <w:rPr>
                <w:rFonts w:hint="eastAsia" w:ascii="新宋体" w:hAnsi="新宋体" w:eastAsia="新宋体"/>
                <w:color w:val="auto"/>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color w:val="auto"/>
                <w:szCs w:val="21"/>
                <w:lang w:val="zh-CN"/>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cs="仿宋_GB2312" w:asciiTheme="minorEastAsia" w:hAnsiTheme="minorEastAsia"/>
                <w:color w:val="auto"/>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综合评分法</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采购单位委派代表参加资格审</w:t>
            </w:r>
            <w:r>
              <w:rPr>
                <w:rFonts w:hint="eastAsia" w:ascii="新宋体" w:hAnsi="新宋体" w:eastAsia="新宋体"/>
                <w:color w:val="auto"/>
                <w:szCs w:val="21"/>
              </w:rPr>
              <w:t>查、</w:t>
            </w:r>
            <w:r>
              <w:rPr>
                <w:rFonts w:hint="eastAsia" w:cs="仿宋_GB2312" w:asciiTheme="minorEastAsia" w:hAnsiTheme="minorEastAsia"/>
                <w:color w:val="auto"/>
                <w:szCs w:val="21"/>
                <w:lang w:val="zh-CN"/>
              </w:rPr>
              <w:t>评审委员会的，须向采购代理机构出具授权函。除授权代表外，采购单位委派纪检监察人员对评标过程实施监督的须进入长葛市公共资源交易中心四楼监控大厅，并向采购代理机构出具授权函，且不得超过2人。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cs="宋体" w:asciiTheme="minorEastAsia" w:hAnsiTheme="minorEastAsia"/>
                <w:color w:val="auto"/>
                <w:szCs w:val="21"/>
              </w:rPr>
              <w:fldChar w:fldCharType="begin"/>
            </w:r>
            <w:r>
              <w:rPr>
                <w:rFonts w:hint="eastAsia" w:cs="宋体" w:asciiTheme="minorEastAsia" w:hAnsiTheme="minorEastAsia"/>
                <w:color w:val="auto"/>
                <w:szCs w:val="21"/>
              </w:rPr>
              <w:instrText xml:space="preserve">eq \o\ac(□,√)</w:instrText>
            </w:r>
            <w:r>
              <w:rPr>
                <w:rFonts w:cs="宋体" w:asciiTheme="minorEastAsia" w:hAnsiTheme="minorEastAsia"/>
                <w:color w:val="auto"/>
                <w:szCs w:val="21"/>
              </w:rPr>
              <w:fldChar w:fldCharType="end"/>
            </w:r>
            <w:r>
              <w:rPr>
                <w:rFonts w:hint="eastAsia" w:cs="宋体" w:asciiTheme="minorEastAsia" w:hAnsiTheme="minorEastAsia"/>
                <w:color w:val="auto"/>
                <w:szCs w:val="21"/>
              </w:rPr>
              <w:t>要求提交。履约保证金的数额为合同金额的10%。</w:t>
            </w:r>
          </w:p>
          <w:p>
            <w:pPr>
              <w:spacing w:line="400" w:lineRule="exac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开户行：河南长葛农村商业银行股份有限公司营业部</w:t>
            </w:r>
          </w:p>
          <w:p>
            <w:pPr>
              <w:spacing w:line="400" w:lineRule="exac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户  名：长葛市公共资源交易中心</w:t>
            </w:r>
          </w:p>
          <w:p>
            <w:pPr>
              <w:spacing w:line="400" w:lineRule="exact"/>
              <w:rPr>
                <w:rFonts w:cs="宋体" w:asciiTheme="minorEastAsia" w:hAnsiTheme="minorEastAsia"/>
                <w:color w:val="auto"/>
                <w:szCs w:val="21"/>
              </w:rPr>
            </w:pPr>
            <w:r>
              <w:rPr>
                <w:rFonts w:hint="eastAsia" w:cs="宋体" w:asciiTheme="minorEastAsia" w:hAnsiTheme="minorEastAsia"/>
                <w:color w:val="auto"/>
                <w:szCs w:val="21"/>
                <w:highlight w:val="none"/>
              </w:rPr>
              <w:t>账  号：13201001800000552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中标人在接到中标通知时，须</w:t>
            </w:r>
            <w:r>
              <w:rPr>
                <w:rFonts w:hint="eastAsia" w:ascii="新宋体" w:hAnsi="新宋体" w:eastAsia="新宋体"/>
                <w:color w:val="auto"/>
                <w:szCs w:val="21"/>
              </w:rPr>
              <w:t>向长葛市公共资源交易中心政府采</w:t>
            </w:r>
            <w:r>
              <w:rPr>
                <w:rFonts w:hint="eastAsia" w:ascii="新宋体" w:hAnsi="新宋体" w:eastAsia="新宋体"/>
                <w:color w:val="auto"/>
                <w:szCs w:val="21"/>
                <w:highlight w:val="none"/>
              </w:rPr>
              <w:t>购</w:t>
            </w:r>
            <w:r>
              <w:rPr>
                <w:rFonts w:hint="eastAsia" w:ascii="新宋体" w:hAnsi="新宋体" w:eastAsia="新宋体"/>
                <w:color w:val="auto"/>
                <w:szCs w:val="21"/>
                <w:highlight w:val="none"/>
                <w:lang w:eastAsia="zh-CN"/>
              </w:rPr>
              <w:t>一</w:t>
            </w:r>
            <w:r>
              <w:rPr>
                <w:rFonts w:hint="eastAsia" w:ascii="新宋体" w:hAnsi="新宋体" w:eastAsia="新宋体"/>
                <w:color w:val="auto"/>
                <w:szCs w:val="21"/>
                <w:highlight w:val="none"/>
              </w:rPr>
              <w:t>部发</w:t>
            </w:r>
            <w:r>
              <w:rPr>
                <w:rFonts w:hint="eastAsia" w:cs="宋体" w:asciiTheme="minorEastAsia" w:hAnsiTheme="minorEastAsia"/>
                <w:bCs/>
                <w:color w:val="auto"/>
                <w:szCs w:val="21"/>
                <w:highlight w:val="none"/>
                <w:lang w:val="zh-CN"/>
              </w:rPr>
              <w:t>送投标报价及分项报价一览表（包含主要中标标的的名称、规格型号、数量、单价、服务要求等）电子文档，并同时通知政府采购</w:t>
            </w:r>
            <w:r>
              <w:rPr>
                <w:rFonts w:hint="eastAsia" w:cs="宋体" w:asciiTheme="minorEastAsia" w:hAnsiTheme="minorEastAsia"/>
                <w:bCs/>
                <w:color w:val="auto"/>
                <w:szCs w:val="21"/>
                <w:highlight w:val="none"/>
                <w:lang w:eastAsia="zh-CN"/>
              </w:rPr>
              <w:t>一</w:t>
            </w:r>
            <w:r>
              <w:rPr>
                <w:rFonts w:hint="eastAsia" w:cs="宋体" w:asciiTheme="minorEastAsia" w:hAnsiTheme="minorEastAsia"/>
                <w:bCs/>
                <w:color w:val="auto"/>
                <w:szCs w:val="21"/>
                <w:highlight w:val="none"/>
                <w:lang w:val="zh-CN"/>
              </w:rPr>
              <w:t>部。联系电话：0374-6189379；邮箱：cgb6189379@163.com。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color w:val="auto"/>
              </w:rPr>
            </w:pPr>
            <w:r>
              <w:rPr>
                <w:rFonts w:hint="eastAsia" w:ascii="ˎ̥" w:hAnsi="ˎ̥"/>
                <w:color w:val="auto"/>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color w:val="auto"/>
              </w:rPr>
            </w:pPr>
            <w:r>
              <w:rPr>
                <w:rFonts w:hint="eastAsia" w:ascii="ˎ̥" w:hAnsi="ˎ̥"/>
                <w:color w:val="auto"/>
              </w:rPr>
              <w:t>不同投标人电子投标文件记录的网卡MAC地址、CPU序号、硬盘序列号等硬件特征码均相同时，视为‘</w:t>
            </w:r>
            <w:r>
              <w:rPr>
                <w:rFonts w:ascii="ˎ̥" w:hAnsi="ˎ̥"/>
                <w:color w:val="auto"/>
              </w:rPr>
              <w:t>不同</w:t>
            </w:r>
            <w:r>
              <w:rPr>
                <w:rFonts w:hint="eastAsia" w:ascii="ˎ̥" w:hAnsi="ˎ̥"/>
                <w:color w:val="auto"/>
              </w:rPr>
              <w:t>投标人的投标</w:t>
            </w:r>
            <w:r>
              <w:rPr>
                <w:rFonts w:ascii="ˎ̥" w:hAnsi="ˎ̥"/>
                <w:color w:val="auto"/>
              </w:rPr>
              <w:t>文件由同一单位或者个人编制</w:t>
            </w:r>
            <w:r>
              <w:rPr>
                <w:rFonts w:hint="eastAsia" w:ascii="ˎ̥" w:hAnsi="ˎ̥"/>
                <w:color w:val="auto"/>
              </w:rPr>
              <w:t>’或‘</w:t>
            </w:r>
            <w:r>
              <w:rPr>
                <w:rFonts w:ascii="ˎ̥" w:hAnsi="ˎ̥"/>
                <w:color w:val="auto"/>
              </w:rPr>
              <w:t>不同</w:t>
            </w:r>
            <w:r>
              <w:rPr>
                <w:rFonts w:hint="eastAsia" w:ascii="ˎ̥" w:hAnsi="ˎ̥"/>
                <w:color w:val="auto"/>
              </w:rPr>
              <w:t>投标人</w:t>
            </w:r>
            <w:r>
              <w:rPr>
                <w:rFonts w:ascii="ˎ̥" w:hAnsi="ˎ̥"/>
                <w:color w:val="auto"/>
              </w:rPr>
              <w:t>委托同一单位或者个人办理</w:t>
            </w:r>
            <w:r>
              <w:rPr>
                <w:rFonts w:hint="eastAsia" w:ascii="ˎ̥" w:hAnsi="ˎ̥"/>
                <w:color w:val="auto"/>
              </w:rPr>
              <w:t>响应</w:t>
            </w:r>
            <w:r>
              <w:rPr>
                <w:rFonts w:ascii="ˎ̥" w:hAnsi="ˎ̥"/>
                <w:color w:val="auto"/>
              </w:rPr>
              <w:t>事宜</w:t>
            </w:r>
            <w:r>
              <w:rPr>
                <w:rFonts w:hint="eastAsia" w:ascii="ˎ̥" w:hAnsi="ˎ̥"/>
                <w:color w:val="auto"/>
              </w:rPr>
              <w:t>’，其投标无效。</w:t>
            </w:r>
          </w:p>
          <w:p>
            <w:pPr>
              <w:autoSpaceDE w:val="0"/>
              <w:autoSpaceDN w:val="0"/>
              <w:adjustRightInd w:val="0"/>
              <w:spacing w:line="360" w:lineRule="auto"/>
              <w:contextualSpacing/>
              <w:rPr>
                <w:rFonts w:cs="宋体" w:asciiTheme="minorEastAsia" w:hAnsiTheme="minorEastAsia"/>
                <w:b/>
                <w:color w:val="auto"/>
                <w:kern w:val="0"/>
                <w:szCs w:val="21"/>
                <w:lang w:val="zh-CN"/>
              </w:rPr>
            </w:pPr>
            <w:r>
              <w:rPr>
                <w:rFonts w:hint="eastAsia" w:ascii="ˎ̥" w:hAnsi="ˎ̥"/>
                <w:color w:val="auto"/>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适用范围</w:t>
      </w:r>
    </w:p>
    <w:p>
      <w:pPr>
        <w:pStyle w:val="40"/>
        <w:numPr>
          <w:ilvl w:val="0"/>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本招标文件仅适用于本次“投标邀请”中所述采购项目。</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本招标文件解释权属于“投标邀请”所述的采购人。</w:t>
      </w:r>
    </w:p>
    <w:p>
      <w:pPr>
        <w:pStyle w:val="40"/>
        <w:autoSpaceDE w:val="0"/>
        <w:autoSpaceDN w:val="0"/>
        <w:spacing w:line="360" w:lineRule="auto"/>
        <w:ind w:left="780"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定义</w:t>
      </w:r>
    </w:p>
    <w:p>
      <w:pPr>
        <w:pStyle w:val="40"/>
        <w:numPr>
          <w:ilvl w:val="0"/>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“采购项目”：“投标人须知前附表”中所述的采购项目。</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“招标人”：“投标人须知前附表”中所述的组织本次招标的代理机构和采购人。</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“采购人”：是指依法进行政府采购的国家机关、事业单位、团体组织。采购人名称、     地址、电话、联系人见“投标人须知前附表”。</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“集中采购机构”：接受采购人委托，代理采购项目的集中采购机构。集中采购名称、地址、 电话、联系人见“投标人须知前附表”。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集中采购机构及其分支机构不得在所代理的采购项目中投标或者代理投标，不得为所代理的采购项目的投标人参加本项目提供投标咨询。</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autoSpaceDE w:val="0"/>
        <w:autoSpaceDN w:val="0"/>
        <w:spacing w:line="360" w:lineRule="auto"/>
        <w:ind w:left="991" w:leftChars="472"/>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2.7.1  </w:t>
      </w:r>
      <w:r>
        <w:rPr>
          <w:rFonts w:cs="宋体" w:asciiTheme="minorEastAsia" w:hAnsiTheme="minorEastAsia"/>
          <w:color w:val="auto"/>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2.7.2  </w:t>
      </w:r>
      <w:r>
        <w:rPr>
          <w:rFonts w:cs="宋体" w:asciiTheme="minorEastAsia" w:hAnsiTheme="minorEastAsia"/>
          <w:color w:val="auto"/>
          <w:kern w:val="0"/>
          <w:szCs w:val="21"/>
        </w:rPr>
        <w:t>如</w:t>
      </w:r>
      <w:r>
        <w:rPr>
          <w:rFonts w:hint="eastAsia" w:cs="宋体" w:asciiTheme="minorEastAsia" w:hAnsiTheme="minorEastAsia"/>
          <w:color w:val="auto"/>
          <w:kern w:val="0"/>
          <w:szCs w:val="21"/>
        </w:rPr>
        <w:t>招标</w:t>
      </w:r>
      <w:r>
        <w:rPr>
          <w:rFonts w:cs="宋体" w:asciiTheme="minorEastAsia" w:hAnsiTheme="minorEastAsia"/>
          <w:color w:val="auto"/>
          <w:kern w:val="0"/>
          <w:szCs w:val="21"/>
        </w:rPr>
        <w:t>文件中已说明，经财政部门审核同意，允许部分或全部产品采购进口产品，投标人既可提供本国产品，也可以提供进口产品。</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招标文件中凡标有“★”的条款均系实质性要求条款。</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合格的投标人</w:t>
      </w:r>
    </w:p>
    <w:p>
      <w:pPr>
        <w:pStyle w:val="40"/>
        <w:numPr>
          <w:ilvl w:val="0"/>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在中华人民共和国境内注册，具有本项目生产、制造、供应或实施能力，符合、承认并承诺履行本招标文件各项规定的法人、其他组织或者自然人。</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符合本项目“投标邀请”和“投标人须知前附表”中规定的合格投标人所必须具备的条件。</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ascii="宋体" w:hAnsi="宋体"/>
          <w:color w:val="auto"/>
          <w:szCs w:val="21"/>
        </w:rPr>
        <w:t>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cs="宋体" w:asciiTheme="minorEastAsia" w:hAnsiTheme="minorEastAsia"/>
          <w:color w:val="auto"/>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auto"/>
          <w:szCs w:val="21"/>
          <w:shd w:val="clear" w:color="auto" w:fill="FFFFFF"/>
        </w:rPr>
        <w:t>政府采购严重违法失信名单</w:t>
      </w:r>
      <w:r>
        <w:rPr>
          <w:rFonts w:hint="eastAsia" w:cs="宋体" w:asciiTheme="minorEastAsia" w:hAnsiTheme="minorEastAsia"/>
          <w:color w:val="auto"/>
          <w:kern w:val="0"/>
          <w:szCs w:val="21"/>
        </w:rPr>
        <w:t>、</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严重违法失信社会组织名单（联合体形式投标的，联合体成员存在不良信用记录，视同联合体存在不良信用记录）。</w:t>
      </w:r>
    </w:p>
    <w:p>
      <w:pPr>
        <w:pStyle w:val="40"/>
        <w:autoSpaceDE w:val="0"/>
        <w:autoSpaceDN w:val="0"/>
        <w:spacing w:line="360" w:lineRule="auto"/>
        <w:ind w:left="1700" w:leftChars="473" w:hanging="707" w:hangingChars="337"/>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  查询渠道：“信用中国”网站（</w:t>
      </w:r>
      <w:r>
        <w:rPr>
          <w:rFonts w:cs="宋体" w:asciiTheme="minorEastAsia" w:hAnsiTheme="minorEastAsia"/>
          <w:color w:val="auto"/>
          <w:kern w:val="0"/>
          <w:szCs w:val="21"/>
        </w:rPr>
        <w:t>www.creditchina.gov.cn</w:t>
      </w:r>
      <w:r>
        <w:rPr>
          <w:rFonts w:hint="eastAsia" w:cs="宋体" w:asciiTheme="minorEastAsia" w:hAnsiTheme="minorEastAsia"/>
          <w:color w:val="auto"/>
          <w:kern w:val="0"/>
          <w:szCs w:val="21"/>
        </w:rPr>
        <w:t>）、“中国政府采购网”（</w:t>
      </w:r>
      <w:r>
        <w:rPr>
          <w:rFonts w:cs="宋体" w:asciiTheme="minorEastAsia" w:hAnsiTheme="minorEastAsia"/>
          <w:color w:val="auto"/>
          <w:kern w:val="0"/>
          <w:szCs w:val="21"/>
        </w:rPr>
        <w:t>www.ccgp.gov.cn</w:t>
      </w:r>
      <w:r>
        <w:rPr>
          <w:rFonts w:hint="eastAsia" w:cs="宋体" w:asciiTheme="minorEastAsia" w:hAnsiTheme="minorEastAsia"/>
          <w:color w:val="auto"/>
          <w:kern w:val="0"/>
          <w:szCs w:val="21"/>
        </w:rPr>
        <w:t>）、“中国社会组织公共服务平台”网站（</w:t>
      </w:r>
      <w:r>
        <w:rPr>
          <w:rFonts w:cs="宋体" w:asciiTheme="minorEastAsia" w:hAnsiTheme="minorEastAsia"/>
          <w:color w:val="auto"/>
          <w:kern w:val="0"/>
          <w:szCs w:val="21"/>
        </w:rPr>
        <w:t>www.chinanpo.gov.cn</w:t>
      </w:r>
      <w:r>
        <w:rPr>
          <w:rFonts w:hint="eastAsia" w:cs="宋体" w:asciiTheme="minorEastAsia" w:hAnsiTheme="minorEastAsia"/>
          <w:color w:val="auto"/>
          <w:kern w:val="0"/>
          <w:szCs w:val="21"/>
        </w:rPr>
        <w:t>）；</w:t>
      </w:r>
    </w:p>
    <w:p>
      <w:pPr>
        <w:autoSpaceDE w:val="0"/>
        <w:autoSpaceDN w:val="0"/>
        <w:spacing w:line="360" w:lineRule="auto"/>
        <w:ind w:firstLine="945" w:firstLineChars="45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  截止时间：同投标截止时间；</w:t>
      </w:r>
    </w:p>
    <w:p>
      <w:pPr>
        <w:pStyle w:val="40"/>
        <w:autoSpaceDE w:val="0"/>
        <w:autoSpaceDN w:val="0"/>
        <w:spacing w:line="360" w:lineRule="auto"/>
        <w:ind w:left="1700" w:leftChars="473" w:hanging="707" w:hangingChars="337"/>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3.3.3  信用信息查询记录和证据留存具体方式：经采购人确认的查询结果网页截图作为查询记录和证据，与其他采购文件一并保存；</w:t>
      </w:r>
    </w:p>
    <w:p>
      <w:pPr>
        <w:pStyle w:val="40"/>
        <w:autoSpaceDE w:val="0"/>
        <w:autoSpaceDN w:val="0"/>
        <w:spacing w:line="360" w:lineRule="auto"/>
        <w:ind w:left="1698" w:leftChars="452" w:hanging="749" w:hangingChars="357"/>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3.3.4  信用信息的使用原则：经采购人认定的被列入失信被执行人、重大税收违法案件当事人名单、</w:t>
      </w:r>
      <w:r>
        <w:rPr>
          <w:rFonts w:cs="仿宋_GB2312" w:asciiTheme="minorEastAsia" w:hAnsiTheme="minorEastAsia"/>
          <w:color w:val="auto"/>
          <w:szCs w:val="21"/>
          <w:shd w:val="clear" w:color="auto" w:fill="FFFFFF"/>
        </w:rPr>
        <w:t>政府采购严重违法失信名单</w:t>
      </w:r>
      <w:r>
        <w:rPr>
          <w:rFonts w:hint="eastAsia" w:cs="宋体" w:asciiTheme="minorEastAsia" w:hAnsiTheme="minorEastAsia"/>
          <w:color w:val="auto"/>
          <w:kern w:val="0"/>
          <w:szCs w:val="21"/>
        </w:rPr>
        <w:t>、</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严重违法失信社会组织名单的投标人，将拒绝其参与本次政府采购活动。</w:t>
      </w:r>
    </w:p>
    <w:p>
      <w:pPr>
        <w:pStyle w:val="40"/>
        <w:autoSpaceDE w:val="0"/>
        <w:autoSpaceDN w:val="0"/>
        <w:spacing w:line="360" w:lineRule="auto"/>
        <w:ind w:left="1698" w:leftChars="453" w:hanging="747" w:hangingChars="356"/>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3.3.5  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color w:val="auto"/>
          <w:kern w:val="0"/>
          <w:szCs w:val="21"/>
          <w:highlight w:val="cyan"/>
        </w:rPr>
      </w:pPr>
      <w:r>
        <w:rPr>
          <w:rFonts w:hint="eastAsia" w:cs="宋体" w:asciiTheme="minorEastAsia" w:hAnsiTheme="minorEastAsia"/>
          <w:color w:val="auto"/>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color w:val="auto"/>
          <w:kern w:val="0"/>
          <w:szCs w:val="21"/>
          <w:highlight w:val="cyan"/>
        </w:rPr>
      </w:pPr>
      <w:r>
        <w:rPr>
          <w:rFonts w:hint="eastAsia" w:cs="宋体" w:asciiTheme="minorEastAsia" w:hAnsiTheme="minorEastAsia"/>
          <w:color w:val="auto"/>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  “投标邀请”和“投标人须知前附表”规定接受联合体投标的，除应符合本章第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3.6.5  </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cs="宋体" w:asciiTheme="minorEastAsia" w:hAnsiTheme="minorEastAsia"/>
          <w:color w:val="auto"/>
          <w:kern w:val="0"/>
          <w:szCs w:val="21"/>
        </w:rPr>
        <w:t>。</w:t>
      </w:r>
    </w:p>
    <w:p>
      <w:pPr>
        <w:autoSpaceDE w:val="0"/>
        <w:autoSpaceDN w:val="0"/>
        <w:spacing w:line="360" w:lineRule="auto"/>
        <w:ind w:firstLine="424" w:firstLineChars="202"/>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3.7  法律、行政法规规定的其他条件。</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合格的货物和服务</w:t>
      </w:r>
    </w:p>
    <w:p>
      <w:pPr>
        <w:pStyle w:val="40"/>
        <w:numPr>
          <w:ilvl w:val="0"/>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投标人所提供的服务应当没有侵犯任何第三方的知识产权、技术秘密等合法权利。</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olor w:val="auto"/>
          <w:szCs w:val="21"/>
          <w:shd w:val="clear" w:color="auto" w:fill="FFFFFF"/>
        </w:rPr>
        <w:t>根据《强制性产品认证管理规定》（质检总局第117号令）要求，</w:t>
      </w:r>
      <w:r>
        <w:rPr>
          <w:rFonts w:hint="eastAsia" w:cs="宋体" w:asciiTheme="minorEastAsia" w:hAnsiTheme="minorEastAsia"/>
          <w:color w:val="auto"/>
          <w:kern w:val="0"/>
          <w:szCs w:val="21"/>
        </w:rPr>
        <w:t>如投标人所投产品被列入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根据财政部、工业和信息化部、国家质检总局、国家认监委联合发布</w:t>
      </w:r>
      <w:bookmarkStart w:id="0" w:name="baidusnap0"/>
      <w:bookmarkEnd w:id="0"/>
      <w:r>
        <w:rPr>
          <w:rFonts w:hint="eastAsia" w:cs="宋体" w:asciiTheme="minorEastAsia" w:hAnsiTheme="minorEastAsia"/>
          <w:color w:val="auto"/>
          <w:kern w:val="0"/>
          <w:szCs w:val="21"/>
        </w:rPr>
        <w:t>《关于信息安全产品实施政府采购的通知》（财库[2010]48号）要求，投标人所投产品如被列入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投标费用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信息发布</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招标公告、招标文件澄清或修改公告、中标公告以及延长投标截止时间等与招标活动有关的通知，招标人均将通过在《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采购代理机构代理费用收取标准和方式</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本项目不收取代理费用。详见投标人须知前附表。</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其他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二、招标文件说明</w:t>
      </w: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招标文件构成</w:t>
      </w:r>
    </w:p>
    <w:p>
      <w:pPr>
        <w:pStyle w:val="40"/>
        <w:numPr>
          <w:ilvl w:val="0"/>
          <w:numId w:val="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招标文件由以下部分组成：</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（1）投标邀请（招标公告）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（2）项目需求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（4）投标人须知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（6）资格审查与评标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（7）合同条款及格式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（8）投标文件有关格式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（9）本项目招标文件的澄清、答复、修改、补充内容（如有的话）</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现场考察、开标前答疑会</w:t>
      </w:r>
    </w:p>
    <w:p>
      <w:pPr>
        <w:pStyle w:val="40"/>
        <w:numPr>
          <w:ilvl w:val="0"/>
          <w:numId w:val="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招标文件的澄清或修改</w:t>
      </w:r>
    </w:p>
    <w:p>
      <w:pPr>
        <w:pStyle w:val="40"/>
        <w:numPr>
          <w:ilvl w:val="0"/>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在投标截止期前，无论出于何种原因，招标人可主动地或在解答潜在投标人提出的澄清问题时对招标文件进行修改。</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Cs w:val="21"/>
        </w:rPr>
        <w:t>15</w:t>
      </w:r>
      <w:r>
        <w:rPr>
          <w:rFonts w:hint="eastAsia" w:cs="宋体" w:asciiTheme="minorEastAsia" w:hAnsiTheme="minorEastAsia"/>
          <w:color w:val="auto"/>
          <w:kern w:val="0"/>
          <w:szCs w:val="21"/>
        </w:rPr>
        <w:t>日前，在财政部门指定的政府采购信息发布媒体和《全国公共资源交易平台（河南省·许昌市）》发布更正公告。</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澄清或修改公告的内容为招标文件的组成部分，并对投标人具有约束力。当招标文件与澄清或修改公告就同一内容的表述不一致时，以最后发出的文件内容为准。</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三、投标文件的编制</w:t>
      </w: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投标的语言及计量单位</w:t>
      </w:r>
    </w:p>
    <w:p>
      <w:pPr>
        <w:pStyle w:val="40"/>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投标计量单位，招标文件已有明确规定的，使用招标文件规定的计量单位；招标文件没有规定的，一律采用中华人民共和国法定计量单位。</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投标报价</w:t>
      </w:r>
    </w:p>
    <w:p>
      <w:pPr>
        <w:pStyle w:val="40"/>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本次招标项目的投标均以人民币为计算单位。</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采购人不得向投标人索要或者接受其给予的赠品、回扣或者与采购无关的其他商品、服务。</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投标人应对项目要求的全部内容进行报价，少报漏报将导致其投标为非实质性响应予以拒绝。</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本项目所涉及的运输、施工、安装、集成、调试、验收、备品和工具等费用均包含在投标报价中。</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本次招标不接受可选择或可调整的投标方案和报价，任何有选择的或可调整的投标方案和报价将被视为非实质性响应投标而作无效投标处理。</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最低报价不能作为中标的保证。</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投标有效期</w:t>
      </w:r>
    </w:p>
    <w:p>
      <w:pPr>
        <w:pStyle w:val="40"/>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投标有效期内投标人撤销投标文件的，投标人将承担违背投标承诺函的责任追究。</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中标人的投标文件作为项目合同的附件，其有效期至中标人全部合同义务履行完毕为止。</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投标文件构成</w:t>
      </w:r>
    </w:p>
    <w:p>
      <w:pPr>
        <w:pStyle w:val="40"/>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投标文件的构成应符合法律法规及招标文件的要求。</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投标人应当按照招标文件的要求编制投标文件。投标文件应当对招标文件提出的要求和条件作出明确响应。</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投标文件由资格证明材料、符合性证明材料、其它材料等组成。</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投标文件格式</w:t>
      </w:r>
    </w:p>
    <w:p>
      <w:pPr>
        <w:pStyle w:val="40"/>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投标保证金及履约保证金</w:t>
      </w:r>
    </w:p>
    <w:p>
      <w:pPr>
        <w:pStyle w:val="40"/>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本项目不收取投标保证金。</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投标人应提供投标承诺函。</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履约保证金按投标人须知前附表中要求的收取。</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投标文件的数量和签署盖章</w:t>
      </w:r>
    </w:p>
    <w:p>
      <w:pPr>
        <w:pStyle w:val="40"/>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投标人应提交投标文件份数见“投标人须知前附表”。</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在招标文件中已明示需盖章及签名之处，电子投标文件应按招标文件要求加盖投标人电子印章和法人电子印章或授权代表电子印章。</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color w:val="auto"/>
          <w:kern w:val="0"/>
          <w:szCs w:val="21"/>
        </w:rPr>
        <w:t>“</w:t>
      </w:r>
      <w:r>
        <w:rPr>
          <w:rFonts w:hint="eastAsia" w:cs="宋体" w:asciiTheme="minorEastAsia" w:hAnsiTheme="minorEastAsia"/>
          <w:color w:val="auto"/>
          <w:kern w:val="0"/>
          <w:szCs w:val="21"/>
        </w:rPr>
        <w:t>正本</w:t>
      </w:r>
      <w:r>
        <w:rPr>
          <w:rFonts w:cs="宋体" w:asciiTheme="minorEastAsia" w:hAnsiTheme="minorEastAsia"/>
          <w:color w:val="auto"/>
          <w:kern w:val="0"/>
          <w:szCs w:val="21"/>
        </w:rPr>
        <w:t>”</w:t>
      </w:r>
      <w:r>
        <w:rPr>
          <w:rFonts w:hint="eastAsia" w:cs="宋体" w:asciiTheme="minorEastAsia" w:hAnsiTheme="minorEastAsia"/>
          <w:color w:val="auto"/>
          <w:kern w:val="0"/>
          <w:szCs w:val="21"/>
        </w:rPr>
        <w:t>或</w:t>
      </w:r>
      <w:r>
        <w:rPr>
          <w:rFonts w:cs="宋体" w:asciiTheme="minorEastAsia" w:hAnsiTheme="minorEastAsia"/>
          <w:color w:val="auto"/>
          <w:kern w:val="0"/>
          <w:szCs w:val="21"/>
        </w:rPr>
        <w:t>“</w:t>
      </w:r>
      <w:r>
        <w:rPr>
          <w:rFonts w:hint="eastAsia" w:cs="宋体" w:asciiTheme="minorEastAsia" w:hAnsiTheme="minorEastAsia"/>
          <w:color w:val="auto"/>
          <w:kern w:val="0"/>
          <w:szCs w:val="21"/>
        </w:rPr>
        <w:t>副本</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字样；一旦正本和副本内容不一致时，以正本为准。纸质投标文件的正本及所有副本的封面均须由投标人加盖投标人公章。</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四、投标文件的递交</w:t>
      </w: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投标文件的密封</w:t>
      </w:r>
    </w:p>
    <w:p>
      <w:pPr>
        <w:pStyle w:val="40"/>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投标人应将纸质投标文件“正本”、“ 副本”密封包装。使用电子介质存储的投标文件单独密封包装，并随纸质投标文件一并提交。</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投标截止时间</w:t>
      </w:r>
    </w:p>
    <w:p>
      <w:pPr>
        <w:pStyle w:val="40"/>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投标人必须在“投标邀请”和“投标人须知前附表”中规定的投标截止时间前，将所有投标文件送达招标文件指定的开标地点。</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招标人收到投标文件后，应当如实记载投标文件的送达时间和密封情况，签收保存，。任何单位和个人不得在开标前开启投标文件。</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迟交的投标文件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投标文件的修改和撤回</w:t>
      </w:r>
    </w:p>
    <w:p>
      <w:pPr>
        <w:pStyle w:val="40"/>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投标人应当在投标截止时间前完成电子投标文件的提交，可以补充、修改或撤回。投标截止时间前未完成电子投标文件提交、取得“投标文件提交回执单”的，视为撤回投标文件。</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投标人补充、修改的内容并作为投标文件的组成部分。补充或修改应当按招标文件要求签署、盖章、密封、递交，并应注明“修改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投标人在递交纸质投标文件后，可以撤回其投标，但投标人必须在规定的投标截止时间前以书面形式告知招标人。</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五、开标和评标</w:t>
      </w: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开标</w:t>
      </w:r>
    </w:p>
    <w:p>
      <w:pPr>
        <w:pStyle w:val="40"/>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招标人将按招标文件规定的时间和地点组织公开开标。开标由集中采购机构主持，邀请投标人参加。评标委员会成员不得参加开标活动。</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招标人应当对开标、评标现场活动进行全程录音录像。录音录像应当清晰可辨，音像资料作为采购文件一并存档。</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1841" w:leftChars="471" w:hanging="852" w:hangingChars="406"/>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24.3.1  电子投标文件的解密。全流程电子化交易项目电子投标文件采用双重加密。解密需分标段进行两次解密。</w:t>
      </w:r>
    </w:p>
    <w:p>
      <w:pPr>
        <w:autoSpaceDE w:val="0"/>
        <w:autoSpaceDN w:val="0"/>
        <w:spacing w:line="360" w:lineRule="auto"/>
        <w:ind w:left="2976" w:leftChars="876" w:hanging="1136" w:hangingChars="541"/>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left="2976" w:leftChars="877" w:hanging="1134" w:hangingChars="54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24.3.1.2  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24.3.2   电子投标文件解密异常情况处理</w:t>
      </w:r>
    </w:p>
    <w:p>
      <w:pPr>
        <w:autoSpaceDE w:val="0"/>
        <w:autoSpaceDN w:val="0"/>
        <w:spacing w:line="360" w:lineRule="auto"/>
        <w:ind w:left="2835" w:leftChars="878" w:hanging="991" w:hangingChars="472"/>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24.3.2.1 因电子交易系统异常无法解密电子投标文件的，使用纸质投标文件以人工方式进行。</w:t>
      </w:r>
    </w:p>
    <w:p>
      <w:pPr>
        <w:autoSpaceDE w:val="0"/>
        <w:autoSpaceDN w:val="0"/>
        <w:spacing w:line="360" w:lineRule="auto"/>
        <w:ind w:left="2835" w:leftChars="878" w:hanging="991" w:hangingChars="472"/>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投标人不足3家的，不得开标。</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开标过程由采购代理机构负责记录，由参加开标的各投标人代表和相关工作人员签字确认后随采购文件一并存档。</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投标人未参加开标的，视同认可开标结果。</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评标委员会的组成</w:t>
      </w:r>
    </w:p>
    <w:p>
      <w:pPr>
        <w:pStyle w:val="40"/>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采购人代表和评审专家组成，成员人数应当为7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26.1.1  招标人将依法组建评标委员会，评标委员会由评审专家组成，成员人数应当为7人以上单数。评审专家依法从政府采购评审专家库中随机抽取。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26.1.2.1  采购预算金额在1000万元以上；</w:t>
      </w:r>
    </w:p>
    <w:p>
      <w:pPr>
        <w:autoSpaceDE w:val="0"/>
        <w:autoSpaceDN w:val="0"/>
        <w:spacing w:line="360" w:lineRule="auto"/>
        <w:ind w:left="964" w:firstLine="877" w:firstLineChars="418"/>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26.1.2.2  技术复杂；</w:t>
      </w:r>
    </w:p>
    <w:p>
      <w:pPr>
        <w:autoSpaceDE w:val="0"/>
        <w:autoSpaceDN w:val="0"/>
        <w:spacing w:line="360" w:lineRule="auto"/>
        <w:ind w:left="964" w:firstLine="877" w:firstLineChars="418"/>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26.1.2.3  社会影响较大。</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评审专家对本单位的采购项目只能作为采购人代表参与评标。集中采购机构工作人员不得参加由本机构代理的政府采购项目的评标。</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26.3.3  与供应商有其他可能影响政府采购活动公平、公正进行的关系。</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评审专家发现本人与参加采购活动的供应商有利害关系的,应当主动提出回避。采购人或者代理机构发现评审专家与参加采购活动的供应商有利害关系的,应当要求其回避。</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采购人不得担任评标小组长。</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采购人可以在评标前说明项目背景和采购需求，说明内容不得含有歧视性、倾向性意见，不得超出招标文件所述范围。说明应当提交书面材料，并随采购文件一并存档。</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符合性审查</w:t>
      </w:r>
    </w:p>
    <w:p>
      <w:pPr>
        <w:pStyle w:val="40"/>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评标委员会依据有关法律法规和招标文件的规定，对符合资格的投标人的投标文件进行符合性审查，以确定其是否满足招标文件的实质性要求。</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审查、评价投标文件是否符合招标文件的商务、技术等实质性要求。</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可要求投标人对投标文件有关事项作出澄清或者说明。</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投标文件的澄清</w:t>
      </w:r>
    </w:p>
    <w:p>
      <w:pPr>
        <w:pStyle w:val="40"/>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对于投标文件中含义不明确、同类问题表述不一致或者有明显文字和计算错误的内容，评标委员会应当以书面形式要求投标人作出必要的澄清、说明或者补正。</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投标人的澄清文件是其投标文件的组成部分。</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投标无效情形</w:t>
      </w:r>
    </w:p>
    <w:p>
      <w:pPr>
        <w:pStyle w:val="40"/>
        <w:numPr>
          <w:ilvl w:val="0"/>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30.1.1  未按照招标文件的规定提交投标承诺函的；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30.1.2   投标文件未按招标文件要求签署、盖章的；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30.1.3   不具备招标文件中规定的资格要求的；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30.1.4   报价超过招标文件中规定的预算金额或者最高限价的；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30.1.5   </w:t>
      </w:r>
      <w:r>
        <w:rPr>
          <w:rFonts w:cs="宋体" w:asciiTheme="minorEastAsia" w:hAnsiTheme="minorEastAsia"/>
          <w:color w:val="auto"/>
          <w:kern w:val="0"/>
          <w:szCs w:val="21"/>
        </w:rPr>
        <w:t>投标文件含有采购人不能接受的附加条件的</w:t>
      </w:r>
      <w:r>
        <w:rPr>
          <w:rFonts w:hint="eastAsia" w:cs="宋体" w:asciiTheme="minorEastAsia" w:hAnsiTheme="minorEastAsia"/>
          <w:color w:val="auto"/>
          <w:kern w:val="0"/>
          <w:szCs w:val="21"/>
        </w:rPr>
        <w:t>。</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30.2.1   不同投标人的投标文件由同一单位或者个人编制；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30.2.2   不同投标人委托同一单位或者个人办理投标事宜；</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30.2.4   不同投标人的投标文件异常一致或者投标报价呈规律性差异；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30.2.5   不同投标人的投标文件相互混装。</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ascii="ˎ̥" w:hAnsi="ˎ̥"/>
          <w:color w:val="auto"/>
        </w:rPr>
        <w:t>按照《关于推进全流程电子化交易和在线监管工作有关问题的通知》（许公管办[2019]3号）规定，不同投标人电子投标文件记录的网卡MAC地址、CPU序号、硬盘序列号等硬件特征码均相同时，视为‘</w:t>
      </w:r>
      <w:r>
        <w:rPr>
          <w:rFonts w:ascii="ˎ̥" w:hAnsi="ˎ̥"/>
          <w:color w:val="auto"/>
        </w:rPr>
        <w:t>不同</w:t>
      </w:r>
      <w:r>
        <w:rPr>
          <w:rFonts w:hint="eastAsia" w:ascii="ˎ̥" w:hAnsi="ˎ̥"/>
          <w:color w:val="auto"/>
        </w:rPr>
        <w:t>投标人</w:t>
      </w:r>
      <w:r>
        <w:rPr>
          <w:rFonts w:ascii="ˎ̥" w:hAnsi="ˎ̥"/>
          <w:color w:val="auto"/>
        </w:rPr>
        <w:t>的</w:t>
      </w:r>
      <w:r>
        <w:rPr>
          <w:rFonts w:hint="eastAsia" w:ascii="ˎ̥" w:hAnsi="ˎ̥"/>
          <w:color w:val="auto"/>
        </w:rPr>
        <w:t>投标</w:t>
      </w:r>
      <w:r>
        <w:rPr>
          <w:rFonts w:ascii="ˎ̥" w:hAnsi="ˎ̥"/>
          <w:color w:val="auto"/>
        </w:rPr>
        <w:t>文件由同一单位或者个人编制</w:t>
      </w:r>
      <w:r>
        <w:rPr>
          <w:rFonts w:hint="eastAsia" w:ascii="ˎ̥" w:hAnsi="ˎ̥"/>
          <w:color w:val="auto"/>
        </w:rPr>
        <w:t>’或‘</w:t>
      </w:r>
      <w:r>
        <w:rPr>
          <w:rFonts w:ascii="ˎ̥" w:hAnsi="ˎ̥"/>
          <w:color w:val="auto"/>
        </w:rPr>
        <w:t>不同</w:t>
      </w:r>
      <w:r>
        <w:rPr>
          <w:rFonts w:hint="eastAsia" w:ascii="ˎ̥" w:hAnsi="ˎ̥"/>
          <w:color w:val="auto"/>
        </w:rPr>
        <w:t>投标人</w:t>
      </w:r>
      <w:r>
        <w:rPr>
          <w:rFonts w:ascii="ˎ̥" w:hAnsi="ˎ̥"/>
          <w:color w:val="auto"/>
        </w:rPr>
        <w:t>委托同一单位或者个人办理</w:t>
      </w:r>
      <w:r>
        <w:rPr>
          <w:rFonts w:hint="eastAsia" w:ascii="ˎ̥" w:hAnsi="ˎ̥"/>
          <w:color w:val="auto"/>
        </w:rPr>
        <w:t>响应</w:t>
      </w:r>
      <w:r>
        <w:rPr>
          <w:rFonts w:ascii="ˎ̥" w:hAnsi="ˎ̥"/>
          <w:color w:val="auto"/>
        </w:rPr>
        <w:t>事宜</w:t>
      </w:r>
      <w:r>
        <w:rPr>
          <w:rFonts w:hint="eastAsia" w:ascii="ˎ̥" w:hAnsi="ˎ̥"/>
          <w:color w:val="auto"/>
        </w:rPr>
        <w:t>’，其投标无效。</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法律、法规和招标文件规定的其他无效情形。</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相同品牌投标人的认定</w:t>
      </w:r>
      <w:r>
        <w:rPr>
          <w:rFonts w:cs="仿宋_GB2312" w:asciiTheme="minorEastAsia" w:hAnsiTheme="minorEastAsia"/>
          <w:b/>
          <w:bCs/>
          <w:color w:val="auto"/>
          <w:szCs w:val="21"/>
          <w:lang w:val="zh-CN"/>
        </w:rPr>
        <w:t>（服务类项目不适用本条款规定）</w:t>
      </w:r>
    </w:p>
    <w:p>
      <w:pPr>
        <w:pStyle w:val="40"/>
        <w:numPr>
          <w:ilvl w:val="0"/>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投标文件的比较与评价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评标方法、评标标准</w:t>
      </w:r>
    </w:p>
    <w:p>
      <w:pPr>
        <w:pStyle w:val="40"/>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33.1.1  最低评标价法</w:t>
      </w:r>
    </w:p>
    <w:p>
      <w:pPr>
        <w:autoSpaceDE w:val="0"/>
        <w:autoSpaceDN w:val="0"/>
        <w:spacing w:line="360" w:lineRule="auto"/>
        <w:ind w:left="2975" w:leftChars="878" w:hanging="1131" w:hangingChars="539"/>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33.1.2  综合评分法，是指投标文件满足招标文件全部实质性要求，且按照评审因素的量化指标评审得分最高的投标人为中标候选人的评标方法。</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33.2.3  因落实政府采购政策进行价格调整的，以调整后的价格计算评标基准价和投标报价。</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本次评标具体评标方法、评标标准见（第六章 资格审查与评标）</w:t>
      </w:r>
      <w:r>
        <w:rPr>
          <w:rFonts w:hint="eastAsia" w:cs="宋体" w:asciiTheme="minorEastAsia" w:hAnsiTheme="minorEastAsia"/>
          <w:color w:val="auto"/>
          <w:kern w:val="0"/>
          <w:szCs w:val="21"/>
        </w:rPr>
        <w:t>。</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推荐中标候选人</w:t>
      </w:r>
    </w:p>
    <w:p>
      <w:pPr>
        <w:pStyle w:val="40"/>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评审意见无效情形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35.3  违反评标纪律发表倾向性意见或者征询采购人的倾向性意见；</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35.4  对需要专业判断的主观评审因素协商评分；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35.5  在评标过程中擅离职守，影响评标程序正常进行的；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35.6  记录、复制或者带走任何评标资料；</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35.7  其他不遵守评标纪律的行为。</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保密</w:t>
      </w:r>
    </w:p>
    <w:p>
      <w:pPr>
        <w:pStyle w:val="40"/>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评审专家应当遵守评审工作纪律，不得泄露评审文件、评审情况和评审中获悉的商业秘密。</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六、定标和授予合同</w:t>
      </w: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确定中标人</w:t>
      </w:r>
    </w:p>
    <w:p>
      <w:pPr>
        <w:pStyle w:val="40"/>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采购人应当自收到评标报告之日起5个工作日内，在评标报告确定的中标候选人名单中按顺序确定中标人。中标候选人并列的，由采购人采取随机抽取的方式确定。</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中标公告、发出中标通知书</w:t>
      </w:r>
    </w:p>
    <w:p>
      <w:pPr>
        <w:pStyle w:val="40"/>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采购人确认中标人后，招标人在公告中标结果的同时，向中标人发出中标通知书。</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中标通知书发出后，采购人不得违法改变中标结果，中标人无正当理由不得放弃中标。</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中标人在接到中标通知时，须向代理机构发送投标报价及分项报价一览表（包含主要中标标的的名称、规格型号、数量、单价、服务要求等）电子文档，并同时通知代理机构联系人。</w:t>
      </w: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质疑提出与答复</w:t>
      </w:r>
    </w:p>
    <w:p>
      <w:pPr>
        <w:pStyle w:val="40"/>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autoSpaceDE w:val="0"/>
        <w:autoSpaceDN w:val="0"/>
        <w:spacing w:line="360" w:lineRule="auto"/>
        <w:ind w:left="1841" w:leftChars="470" w:hanging="854" w:hangingChars="407"/>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39.1.1  对采购文件提出质疑的，</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w:t>
      </w:r>
      <w:r>
        <w:rPr>
          <w:rFonts w:cs="宋体" w:asciiTheme="minorEastAsia" w:hAnsiTheme="minorEastAsia"/>
          <w:color w:val="auto"/>
          <w:kern w:val="0"/>
          <w:szCs w:val="21"/>
        </w:rPr>
        <w:t>已依法获取采购文件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获取采购文件或者采购文件公告期限届满之日起7个工作日内</w:t>
      </w:r>
      <w:r>
        <w:rPr>
          <w:rFonts w:hint="eastAsia" w:cs="宋体" w:asciiTheme="minorEastAsia" w:hAnsiTheme="minorEastAsia"/>
          <w:color w:val="auto"/>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39.1.2  对采购过程提出质疑的，为各采购程序环节结束之日起七个工作日内，以书面形式向采购人和采购代理机构一次性提出；</w:t>
      </w:r>
    </w:p>
    <w:p>
      <w:pPr>
        <w:autoSpaceDE w:val="0"/>
        <w:autoSpaceDN w:val="0"/>
        <w:spacing w:line="360" w:lineRule="auto"/>
        <w:ind w:left="1841" w:leftChars="470" w:hanging="854" w:hangingChars="407"/>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39.1.3  对中标结果提出质疑的，为中标结果公告期限届满之日起七个工作日内，以书面形式向采购人和采购代理机构一次性提出。</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39.2.1  </w:t>
      </w:r>
      <w:r>
        <w:rPr>
          <w:rFonts w:cs="宋体" w:asciiTheme="minorEastAsia" w:hAnsiTheme="minorEastAsia"/>
          <w:color w:val="auto"/>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39.2.2  </w:t>
      </w:r>
      <w:r>
        <w:rPr>
          <w:rFonts w:cs="宋体" w:asciiTheme="minorEastAsia" w:hAnsiTheme="minorEastAsia"/>
          <w:color w:val="auto"/>
          <w:kern w:val="0"/>
          <w:szCs w:val="21"/>
        </w:rPr>
        <w:t>对采购过程、中标结果提出的质疑，合格供应商符合法定数量时，可以从合格的中标</w:t>
      </w:r>
      <w:r>
        <w:rPr>
          <w:rFonts w:hint="eastAsia" w:cs="宋体" w:asciiTheme="minorEastAsia" w:hAnsiTheme="minorEastAsia"/>
          <w:color w:val="auto"/>
          <w:kern w:val="0"/>
          <w:szCs w:val="21"/>
        </w:rPr>
        <w:t>候选人</w:t>
      </w:r>
      <w:r>
        <w:rPr>
          <w:rFonts w:cs="宋体" w:asciiTheme="minorEastAsia" w:hAnsiTheme="minorEastAsia"/>
          <w:color w:val="auto"/>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签订合同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color w:val="auto"/>
          <w:kern w:val="0"/>
          <w:sz w:val="32"/>
          <w:szCs w:val="32"/>
        </w:rPr>
      </w:pPr>
      <w:r>
        <w:rPr>
          <w:rFonts w:hint="eastAsia" w:cs="宋体" w:asciiTheme="minorEastAsia" w:hAnsiTheme="minorEastAsia"/>
          <w:color w:val="auto"/>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r>
        <w:rPr>
          <w:rFonts w:hint="eastAsia" w:cs="宋体" w:asciiTheme="majorEastAsia" w:hAnsiTheme="majorEastAsia" w:eastAsiaTheme="majorEastAsia"/>
          <w:b/>
          <w:color w:val="auto"/>
          <w:kern w:val="0"/>
          <w:sz w:val="32"/>
          <w:szCs w:val="32"/>
        </w:rPr>
        <w:t xml:space="preserve">          第五章 政府采购政策功能</w:t>
      </w:r>
    </w:p>
    <w:p>
      <w:pPr>
        <w:jc w:val="center"/>
        <w:rPr>
          <w:rFonts w:cs="宋体" w:asciiTheme="majorEastAsia" w:hAnsiTheme="majorEastAsia" w:eastAsiaTheme="majorEastAsia"/>
          <w:b/>
          <w:color w:val="auto"/>
          <w:kern w:val="0"/>
          <w:sz w:val="36"/>
          <w:szCs w:val="36"/>
        </w:rPr>
      </w:pP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1" w:name="OLE_LINK6"/>
      <w:r>
        <w:rPr>
          <w:rFonts w:hint="eastAsia" w:cs="仿宋_GB2312" w:asciiTheme="minorEastAsia" w:hAnsiTheme="minorEastAsia"/>
          <w:color w:val="auto"/>
          <w:szCs w:val="21"/>
          <w:lang w:val="zh-CN"/>
        </w:rPr>
        <w:t>财库[2014]68号</w:t>
      </w:r>
      <w:bookmarkEnd w:id="1"/>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color w:val="auto"/>
          <w:szCs w:val="21"/>
          <w:lang w:val="zh-CN"/>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第六章 资格审查与评标</w:t>
      </w:r>
    </w:p>
    <w:p>
      <w:pPr>
        <w:pStyle w:val="13"/>
        <w:spacing w:line="360" w:lineRule="auto"/>
        <w:contextualSpacing/>
        <w:rPr>
          <w:rFonts w:cs="仿宋_GB2312" w:asciiTheme="minorEastAsia" w:hAnsiTheme="minorEastAsia"/>
          <w:color w:val="auto"/>
          <w:lang w:val="zh-CN"/>
        </w:rPr>
      </w:pPr>
    </w:p>
    <w:p>
      <w:pPr>
        <w:pStyle w:val="13"/>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pPr>
        <w:spacing w:line="360" w:lineRule="auto"/>
        <w:ind w:right="420" w:rightChars="200" w:firstLine="420" w:firstLineChars="200"/>
        <w:contextualSpacing/>
        <w:rPr>
          <w:rFonts w:asciiTheme="minorEastAsia" w:hAnsiTheme="minorEastAsia"/>
          <w:bCs/>
          <w:color w:val="auto"/>
          <w:szCs w:val="21"/>
        </w:rPr>
      </w:pPr>
      <w:r>
        <w:rPr>
          <w:rFonts w:hint="eastAsia" w:asciiTheme="minorEastAsia" w:hAnsiTheme="minorEastAsia"/>
          <w:bCs/>
          <w:color w:val="auto"/>
          <w:szCs w:val="21"/>
        </w:rPr>
        <w:t>（一）</w:t>
      </w:r>
      <w:r>
        <w:rPr>
          <w:rFonts w:asciiTheme="minorEastAsia" w:hAnsiTheme="minorEastAsia"/>
          <w:bCs/>
          <w:color w:val="auto"/>
          <w:szCs w:val="21"/>
        </w:rPr>
        <w:t>开标结束后，</w:t>
      </w:r>
      <w:r>
        <w:rPr>
          <w:rFonts w:hint="eastAsia" w:asciiTheme="minorEastAsia" w:hAnsiTheme="minorEastAsia"/>
          <w:bCs/>
          <w:color w:val="auto"/>
          <w:szCs w:val="21"/>
        </w:rPr>
        <w:t>采购人依法对投标人资格进行审查</w:t>
      </w:r>
      <w:r>
        <w:rPr>
          <w:rFonts w:asciiTheme="minorEastAsia" w:hAnsiTheme="minorEastAsia"/>
          <w:bCs/>
          <w:color w:val="auto"/>
          <w:szCs w:val="21"/>
        </w:rPr>
        <w:t>。</w:t>
      </w:r>
      <w:r>
        <w:rPr>
          <w:rFonts w:hint="eastAsia" w:asciiTheme="minorEastAsia" w:hAnsiTheme="minorEastAsia"/>
          <w:bCs/>
          <w:color w:val="auto"/>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（三）资格审查中所涉及到的证书及材料，均须在电子投标文件中提供原件的扫描件（或图片）。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序号</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c>
          <w:tcPr>
            <w:tcW w:w="5954"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1</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投标函</w:t>
            </w:r>
          </w:p>
        </w:tc>
        <w:tc>
          <w:tcPr>
            <w:tcW w:w="5954" w:type="dxa"/>
            <w:vAlign w:val="center"/>
          </w:tcPr>
          <w:p>
            <w:pPr>
              <w:spacing w:line="360" w:lineRule="auto"/>
              <w:rPr>
                <w:rFonts w:asciiTheme="minorEastAsia" w:hAnsiTheme="minorEastAsia"/>
                <w:b/>
                <w:color w:val="auto"/>
                <w:szCs w:val="21"/>
              </w:rPr>
            </w:pPr>
            <w:r>
              <w:rPr>
                <w:rFonts w:hint="eastAsia" w:ascii="宋体" w:hAnsi="宋体" w:cs="微软雅黑"/>
                <w:bCs/>
                <w:color w:val="auto"/>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2</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（1）企业法人营业执照或营业执照。（企业投标提供）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（2）事业单位法人证书。（事业单位投标提供）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（3）执业许可证。（非企业专业服务机构投标提供）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（4）个体工商户营业执照。（个体工商户投标提供）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（5）自然人身份证明。（自然人投标提供）</w:t>
            </w:r>
          </w:p>
          <w:p>
            <w:pPr>
              <w:spacing w:line="360" w:lineRule="auto"/>
              <w:jc w:val="left"/>
              <w:rPr>
                <w:rFonts w:asciiTheme="minorEastAsia" w:hAnsiTheme="minorEastAsia"/>
                <w:b/>
                <w:bCs/>
                <w:color w:val="auto"/>
                <w:szCs w:val="21"/>
              </w:rPr>
            </w:pPr>
            <w:r>
              <w:rPr>
                <w:rFonts w:hint="eastAsia" w:asciiTheme="minorEastAsia" w:hAnsiTheme="minorEastAsia"/>
                <w:bCs/>
                <w:color w:val="auto"/>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3</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财务状况报告相关材料</w:t>
            </w:r>
          </w:p>
        </w:tc>
        <w:tc>
          <w:tcPr>
            <w:tcW w:w="5954" w:type="dxa"/>
          </w:tcPr>
          <w:p>
            <w:pPr>
              <w:spacing w:line="360" w:lineRule="auto"/>
              <w:rPr>
                <w:rFonts w:asciiTheme="minorEastAsia" w:hAnsiTheme="minorEastAsia"/>
                <w:bCs/>
                <w:color w:val="auto"/>
                <w:szCs w:val="21"/>
              </w:rPr>
            </w:pPr>
            <w:r>
              <w:rPr>
                <w:rFonts w:hint="eastAsia" w:asciiTheme="minorEastAsia" w:hAnsiTheme="minorEastAsia"/>
                <w:bCs/>
                <w:color w:val="auto"/>
                <w:szCs w:val="21"/>
              </w:rPr>
              <w:t>（1）投标人是法人（法人包括企业法人、机关法人、事业单位法人和社会团体法人），提供本单位：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（2）投标人（其他组织和自然人）提供本单位：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4</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依法缴纳税收相关材料</w:t>
            </w:r>
          </w:p>
        </w:tc>
        <w:tc>
          <w:tcPr>
            <w:tcW w:w="5954" w:type="dxa"/>
          </w:tcPr>
          <w:p>
            <w:pPr>
              <w:spacing w:line="360" w:lineRule="auto"/>
              <w:rPr>
                <w:rFonts w:asciiTheme="minorEastAsia" w:hAnsiTheme="minorEastAsia"/>
                <w:b/>
                <w:bCs/>
                <w:color w:val="auto"/>
                <w:szCs w:val="21"/>
              </w:rPr>
            </w:pPr>
            <w:r>
              <w:rPr>
                <w:rFonts w:hint="eastAsia" w:ascii="宋体" w:hAnsi="宋体" w:cs="微软雅黑"/>
                <w:bCs/>
                <w:color w:val="auto"/>
                <w:szCs w:val="21"/>
              </w:rPr>
              <w:t>投标人提供参加本次政府采购项目</w:t>
            </w:r>
            <w:r>
              <w:rPr>
                <w:rFonts w:hint="eastAsia" w:asciiTheme="minorEastAsia" w:hAnsiTheme="minorEastAsia"/>
                <w:bCs/>
                <w:color w:val="auto"/>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5</w:t>
            </w:r>
          </w:p>
        </w:tc>
        <w:tc>
          <w:tcPr>
            <w:tcW w:w="2410"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依法缴纳社会保障资金的证明材料</w:t>
            </w:r>
          </w:p>
        </w:tc>
        <w:tc>
          <w:tcPr>
            <w:tcW w:w="5954" w:type="dxa"/>
          </w:tcPr>
          <w:p>
            <w:pPr>
              <w:spacing w:line="360" w:lineRule="auto"/>
              <w:rPr>
                <w:rFonts w:asciiTheme="minorEastAsia" w:hAnsiTheme="minorEastAsia"/>
                <w:b/>
                <w:bCs/>
                <w:color w:val="auto"/>
                <w:szCs w:val="21"/>
              </w:rPr>
            </w:pPr>
            <w:r>
              <w:rPr>
                <w:rFonts w:hint="eastAsia" w:ascii="宋体" w:hAnsi="宋体" w:cs="微软雅黑"/>
                <w:bCs/>
                <w:color w:val="auto"/>
                <w:szCs w:val="21"/>
              </w:rPr>
              <w:t>投标人提供参加本次政府采购项目</w:t>
            </w:r>
            <w:r>
              <w:rPr>
                <w:rFonts w:hint="eastAsia" w:asciiTheme="minorEastAsia" w:hAnsiTheme="minorEastAsia"/>
                <w:bCs/>
                <w:color w:val="auto"/>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6</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履行合同所必须的设备和专业技术能力的证明材料</w:t>
            </w:r>
          </w:p>
        </w:tc>
        <w:tc>
          <w:tcPr>
            <w:tcW w:w="5954" w:type="dxa"/>
          </w:tcPr>
          <w:p>
            <w:pPr>
              <w:spacing w:line="360" w:lineRule="auto"/>
              <w:rPr>
                <w:rFonts w:asciiTheme="minorEastAsia" w:hAnsiTheme="minorEastAsia"/>
                <w:bCs/>
                <w:color w:val="auto"/>
                <w:szCs w:val="21"/>
              </w:rPr>
            </w:pPr>
            <w:r>
              <w:rPr>
                <w:rFonts w:hint="eastAsia" w:asciiTheme="minorEastAsia" w:hAnsiTheme="minorEastAsia"/>
                <w:bCs/>
                <w:color w:val="auto"/>
                <w:szCs w:val="21"/>
              </w:rPr>
              <w:t>①与本项目投标相关设备的购置发票、专业技术人员职称证书、用工合同等；</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②投标人具备履行合同所必须的设备和专业技术能力承诺函或声明（承诺函或声明格式自拟）。</w:t>
            </w:r>
          </w:p>
          <w:p>
            <w:pPr>
              <w:spacing w:line="360" w:lineRule="auto"/>
              <w:rPr>
                <w:rFonts w:asciiTheme="minorEastAsia" w:hAnsiTheme="minorEastAsia"/>
                <w:b/>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7</w:t>
            </w:r>
          </w:p>
        </w:tc>
        <w:tc>
          <w:tcPr>
            <w:tcW w:w="2410"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color w:val="auto"/>
                <w:szCs w:val="21"/>
              </w:rPr>
            </w:pPr>
            <w:r>
              <w:rPr>
                <w:rFonts w:hint="eastAsia" w:ascii="宋体" w:hAnsi="宋体" w:cs="微软雅黑"/>
                <w:bCs/>
                <w:color w:val="auto"/>
                <w:szCs w:val="21"/>
              </w:rPr>
              <w:t>按照招标文件提供格式填写。</w:t>
            </w:r>
            <w:r>
              <w:rPr>
                <w:rFonts w:hint="eastAsia" w:asciiTheme="minorEastAsia" w:hAnsiTheme="minorEastAsia"/>
                <w:bCs/>
                <w:color w:val="auto"/>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8</w:t>
            </w:r>
          </w:p>
        </w:tc>
        <w:tc>
          <w:tcPr>
            <w:tcW w:w="2410"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信用记录查询及使用</w:t>
            </w:r>
          </w:p>
        </w:tc>
        <w:tc>
          <w:tcPr>
            <w:tcW w:w="5954" w:type="dxa"/>
          </w:tcPr>
          <w:p>
            <w:pPr>
              <w:spacing w:line="360" w:lineRule="auto"/>
              <w:rPr>
                <w:rFonts w:asciiTheme="minorEastAsia" w:hAnsiTheme="minorEastAsia"/>
                <w:bCs/>
                <w:color w:val="auto"/>
                <w:szCs w:val="21"/>
              </w:rPr>
            </w:pPr>
            <w:r>
              <w:rPr>
                <w:rFonts w:hint="eastAsia" w:asciiTheme="minorEastAsia" w:hAnsiTheme="minorEastAsia"/>
                <w:bCs/>
                <w:color w:val="auto"/>
                <w:szCs w:val="21"/>
              </w:rPr>
              <w:t>政府采购活动中查询及使用投标人信用记录的具体要求为：投标人未被列入</w:t>
            </w:r>
            <w:r>
              <w:rPr>
                <w:rFonts w:asciiTheme="minorEastAsia" w:hAnsiTheme="minorEastAsia"/>
                <w:bCs/>
                <w:color w:val="auto"/>
                <w:szCs w:val="21"/>
              </w:rPr>
              <w:t>“信用中国”网站</w:t>
            </w:r>
            <w:r>
              <w:rPr>
                <w:rFonts w:hint="eastAsia" w:asciiTheme="minorEastAsia" w:hAnsiTheme="minorEastAsia"/>
                <w:bCs/>
                <w:color w:val="auto"/>
                <w:szCs w:val="21"/>
              </w:rPr>
              <w:t>失信被执行人、重大税收违法案件当事人名单、“</w:t>
            </w:r>
            <w:r>
              <w:rPr>
                <w:rFonts w:asciiTheme="minorEastAsia" w:hAnsiTheme="minorEastAsia"/>
                <w:bCs/>
                <w:color w:val="auto"/>
                <w:szCs w:val="21"/>
              </w:rPr>
              <w:t>中国政府采购网</w:t>
            </w:r>
            <w:r>
              <w:rPr>
                <w:rFonts w:hint="eastAsia" w:asciiTheme="minorEastAsia" w:hAnsiTheme="minorEastAsia"/>
                <w:bCs/>
                <w:color w:val="auto"/>
                <w:szCs w:val="21"/>
              </w:rPr>
              <w:t>”政府采购严重违法失信行为记录名单、</w:t>
            </w:r>
            <w:r>
              <w:rPr>
                <w:rFonts w:hint="eastAsia" w:cs="仿宋_GB2312" w:asciiTheme="minorEastAsia" w:hAnsiTheme="minorEastAsia"/>
                <w:color w:val="auto"/>
                <w:szCs w:val="21"/>
              </w:rPr>
              <w:t>“中国社会组织公共服务平台”网站（</w:t>
            </w:r>
            <w:r>
              <w:rPr>
                <w:rFonts w:cs="仿宋_GB2312" w:asciiTheme="minorEastAsia" w:hAnsiTheme="minorEastAsia"/>
                <w:color w:val="auto"/>
                <w:szCs w:val="21"/>
              </w:rPr>
              <w:t>www.chinanpo.gov.cn</w:t>
            </w:r>
            <w:r>
              <w:rPr>
                <w:rFonts w:hint="eastAsia" w:cs="仿宋_GB2312" w:asciiTheme="minorEastAsia" w:hAnsiTheme="minorEastAsia"/>
                <w:color w:val="auto"/>
                <w:szCs w:val="21"/>
              </w:rPr>
              <w:t>）严重违法失信社会组织名单的投标人</w:t>
            </w:r>
            <w:r>
              <w:rPr>
                <w:rFonts w:hint="eastAsia" w:cs="仿宋_GB2312" w:asciiTheme="minorEastAsia" w:hAnsiTheme="minorEastAsia"/>
                <w:b/>
                <w:color w:val="auto"/>
                <w:szCs w:val="21"/>
              </w:rPr>
              <w:t>；</w:t>
            </w:r>
            <w:r>
              <w:rPr>
                <w:rFonts w:hint="eastAsia" w:asciiTheme="minorEastAsia" w:hAnsiTheme="minorEastAsia"/>
                <w:bCs/>
                <w:color w:val="auto"/>
                <w:szCs w:val="21"/>
              </w:rPr>
              <w:t>（联合体形式投标的，联合体成员存在不良信用记录，视同联合体存在不良信用记录）。</w:t>
            </w:r>
          </w:p>
          <w:p>
            <w:pPr>
              <w:spacing w:line="360" w:lineRule="auto"/>
              <w:rPr>
                <w:rFonts w:asciiTheme="minorEastAsia" w:hAnsiTheme="minorEastAsia"/>
                <w:bCs/>
                <w:color w:val="auto"/>
                <w:szCs w:val="21"/>
              </w:rPr>
            </w:pPr>
            <w:r>
              <w:rPr>
                <w:rFonts w:hint="eastAsia" w:asciiTheme="minorEastAsia" w:hAnsiTheme="minorEastAsia"/>
                <w:bCs/>
                <w:color w:val="auto"/>
                <w:szCs w:val="21"/>
              </w:rPr>
              <w:t>（1）查询渠道：</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Style w:val="28"/>
                <w:rFonts w:hint="eastAsia" w:asciiTheme="minorEastAsia" w:hAnsiTheme="minorEastAsia"/>
                <w:bCs/>
                <w:color w:val="auto"/>
                <w:szCs w:val="21"/>
              </w:rPr>
              <w:t>www.creditchina.gov.cn</w:t>
            </w:r>
            <w:r>
              <w:rPr>
                <w:rStyle w:val="28"/>
                <w:rFonts w:hint="eastAsia" w:asciiTheme="minorEastAsia" w:hAnsiTheme="minorEastAsia"/>
                <w:bCs/>
                <w:color w:val="auto"/>
                <w:szCs w:val="21"/>
              </w:rPr>
              <w:fldChar w:fldCharType="end"/>
            </w:r>
            <w:r>
              <w:rPr>
                <w:rFonts w:hint="eastAsia" w:asciiTheme="minorEastAsia" w:hAnsiTheme="minorEastAsia"/>
                <w:bCs/>
                <w:color w:val="auto"/>
                <w:szCs w:val="21"/>
              </w:rPr>
              <w:t>）</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②“中国政府采购网”（www.ccgp.gov.cn）</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w:t>
            </w:r>
            <w:r>
              <w:rPr>
                <w:rFonts w:hint="eastAsia" w:cs="仿宋_GB2312" w:asciiTheme="minorEastAsia" w:hAnsiTheme="minorEastAsia"/>
                <w:color w:val="auto"/>
                <w:szCs w:val="21"/>
              </w:rPr>
              <w:t>“中国社会组织公共服务平台”网站（</w:t>
            </w:r>
            <w:r>
              <w:rPr>
                <w:rFonts w:cs="仿宋_GB2312" w:asciiTheme="minorEastAsia" w:hAnsiTheme="minorEastAsia"/>
                <w:color w:val="auto"/>
                <w:szCs w:val="21"/>
              </w:rPr>
              <w:t>www.chinanpo.gov.cn</w:t>
            </w:r>
            <w:r>
              <w:rPr>
                <w:rFonts w:hint="eastAsia" w:cs="仿宋_GB2312" w:asciiTheme="minorEastAsia" w:hAnsiTheme="minorEastAsia"/>
                <w:color w:val="auto"/>
                <w:szCs w:val="21"/>
              </w:rPr>
              <w:t>）（仅查询社会组织）</w:t>
            </w:r>
            <w:r>
              <w:rPr>
                <w:rFonts w:hint="eastAsia" w:asciiTheme="minorEastAsia" w:hAnsiTheme="minorEastAsia"/>
                <w:bCs/>
                <w:color w:val="auto"/>
                <w:szCs w:val="21"/>
              </w:rPr>
              <w:t>；</w:t>
            </w:r>
          </w:p>
          <w:p>
            <w:pPr>
              <w:spacing w:line="360" w:lineRule="auto"/>
              <w:rPr>
                <w:rFonts w:asciiTheme="minorEastAsia" w:hAnsiTheme="minorEastAsia"/>
                <w:bCs/>
                <w:color w:val="auto"/>
                <w:szCs w:val="21"/>
              </w:rPr>
            </w:pPr>
            <w:r>
              <w:rPr>
                <w:rFonts w:hint="eastAsia" w:asciiTheme="minorEastAsia" w:hAnsiTheme="minorEastAsia"/>
                <w:bCs/>
                <w:color w:val="auto"/>
                <w:szCs w:val="21"/>
              </w:rPr>
              <w:t>（2）截止时间：同投标截止时间；</w:t>
            </w:r>
          </w:p>
          <w:p>
            <w:pPr>
              <w:spacing w:line="360" w:lineRule="auto"/>
              <w:rPr>
                <w:rFonts w:asciiTheme="minorEastAsia" w:hAnsiTheme="minorEastAsia"/>
                <w:bCs/>
                <w:color w:val="auto"/>
                <w:szCs w:val="21"/>
              </w:rPr>
            </w:pPr>
            <w:r>
              <w:rPr>
                <w:rFonts w:hint="eastAsia" w:asciiTheme="minorEastAsia" w:hAnsiTheme="minorEastAsia"/>
                <w:bCs/>
                <w:color w:val="auto"/>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color w:val="auto"/>
                <w:szCs w:val="21"/>
              </w:rPr>
            </w:pPr>
            <w:r>
              <w:rPr>
                <w:rFonts w:hint="eastAsia" w:asciiTheme="minorEastAsia" w:hAnsiTheme="minorEastAsia"/>
                <w:bCs/>
                <w:color w:val="auto"/>
                <w:szCs w:val="21"/>
              </w:rPr>
              <w:t>（4）信用信息的使用原则：经采购人认定的被列入</w:t>
            </w:r>
            <w:r>
              <w:rPr>
                <w:rFonts w:hint="eastAsia" w:cs="宋体" w:asciiTheme="minorEastAsia" w:hAnsiTheme="minorEastAsia"/>
                <w:color w:val="auto"/>
                <w:kern w:val="0"/>
                <w:szCs w:val="21"/>
              </w:rPr>
              <w:t>失信被执行人、重大税收违法案件当事人名单、</w:t>
            </w:r>
            <w:r>
              <w:rPr>
                <w:rFonts w:cs="仿宋_GB2312" w:asciiTheme="minorEastAsia" w:hAnsiTheme="minorEastAsia"/>
                <w:color w:val="auto"/>
                <w:szCs w:val="21"/>
                <w:shd w:val="clear" w:color="auto" w:fill="FFFFFF"/>
              </w:rPr>
              <w:t>政府采购严重违法失信名单</w:t>
            </w:r>
            <w:r>
              <w:rPr>
                <w:rFonts w:hint="eastAsia" w:cs="宋体" w:asciiTheme="minorEastAsia" w:hAnsiTheme="minorEastAsia"/>
                <w:color w:val="auto"/>
                <w:kern w:val="0"/>
                <w:szCs w:val="21"/>
              </w:rPr>
              <w:t>、</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w:t>
            </w:r>
            <w:r>
              <w:rPr>
                <w:rFonts w:hint="eastAsia" w:asciiTheme="minorEastAsia" w:hAnsiTheme="minorEastAsia"/>
                <w:bCs/>
                <w:color w:val="auto"/>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9</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color w:val="auto"/>
                <w:szCs w:val="21"/>
              </w:rPr>
              <w:t>投标人须具备的特殊</w:t>
            </w:r>
          </w:p>
          <w:p>
            <w:pPr>
              <w:spacing w:line="360" w:lineRule="auto"/>
              <w:rPr>
                <w:rFonts w:asciiTheme="minorEastAsia" w:hAnsiTheme="minorEastAsia"/>
                <w:b/>
                <w:bCs/>
                <w:color w:val="auto"/>
                <w:szCs w:val="21"/>
              </w:rPr>
            </w:pPr>
            <w:r>
              <w:rPr>
                <w:rFonts w:hint="eastAsia" w:asciiTheme="minorEastAsia" w:hAnsiTheme="minorEastAsia"/>
                <w:b/>
                <w:color w:val="auto"/>
                <w:szCs w:val="21"/>
              </w:rPr>
              <w:t>资质证书</w:t>
            </w:r>
          </w:p>
        </w:tc>
        <w:tc>
          <w:tcPr>
            <w:tcW w:w="5954"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10</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投标</w:t>
            </w:r>
            <w:r>
              <w:rPr>
                <w:rFonts w:hint="eastAsia" w:cs="仿宋_GB2312" w:asciiTheme="minorEastAsia" w:hAnsiTheme="minorEastAsia"/>
                <w:b/>
                <w:color w:val="auto"/>
                <w:szCs w:val="21"/>
                <w:lang w:val="zh-CN"/>
              </w:rPr>
              <w:t>报价</w:t>
            </w:r>
          </w:p>
        </w:tc>
        <w:tc>
          <w:tcPr>
            <w:tcW w:w="5954" w:type="dxa"/>
          </w:tcPr>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投标报价是否超出招标文件中规定的预算金额，超出预算金额的投标无效。如投标人须知前附表规定最高限价，则</w:t>
            </w:r>
            <w:r>
              <w:rPr>
                <w:rFonts w:hint="eastAsia" w:cs="宋体" w:asciiTheme="minorEastAsia" w:hAnsiTheme="minorEastAsia"/>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11</w:t>
            </w:r>
          </w:p>
        </w:tc>
        <w:tc>
          <w:tcPr>
            <w:tcW w:w="2410" w:type="dxa"/>
            <w:vAlign w:val="center"/>
          </w:tcPr>
          <w:p>
            <w:pPr>
              <w:spacing w:line="360" w:lineRule="auto"/>
              <w:rPr>
                <w:rFonts w:asciiTheme="minorEastAsia" w:hAnsiTheme="minorEastAsia"/>
                <w:color w:val="auto"/>
                <w:szCs w:val="21"/>
              </w:rPr>
            </w:pPr>
            <w:r>
              <w:rPr>
                <w:rFonts w:hint="eastAsia" w:asciiTheme="minorEastAsia" w:hAnsiTheme="minorEastAsia"/>
                <w:b/>
                <w:color w:val="auto"/>
                <w:szCs w:val="21"/>
              </w:rPr>
              <w:t>投标承诺函</w:t>
            </w:r>
          </w:p>
        </w:tc>
        <w:tc>
          <w:tcPr>
            <w:tcW w:w="5954" w:type="dxa"/>
            <w:vAlign w:val="center"/>
          </w:tcPr>
          <w:p>
            <w:pPr>
              <w:spacing w:line="360" w:lineRule="auto"/>
              <w:rPr>
                <w:rFonts w:asciiTheme="minorEastAsia" w:hAnsiTheme="minorEastAsia"/>
                <w:b/>
                <w:color w:val="auto"/>
                <w:szCs w:val="21"/>
              </w:rPr>
            </w:pPr>
            <w:r>
              <w:rPr>
                <w:rFonts w:hint="eastAsia" w:asciiTheme="minorEastAsia" w:hAnsiTheme="minorEastAsia"/>
                <w:color w:val="auto"/>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12</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联合体协议</w:t>
            </w:r>
          </w:p>
        </w:tc>
        <w:tc>
          <w:tcPr>
            <w:tcW w:w="5954" w:type="dxa"/>
          </w:tcPr>
          <w:p>
            <w:pPr>
              <w:spacing w:line="360" w:lineRule="auto"/>
              <w:rPr>
                <w:rFonts w:asciiTheme="minorEastAsia" w:hAnsiTheme="minorEastAsia"/>
                <w:b/>
                <w:bCs/>
                <w:color w:val="auto"/>
                <w:szCs w:val="21"/>
              </w:rPr>
            </w:pPr>
            <w:r>
              <w:rPr>
                <w:rFonts w:hint="eastAsia" w:asciiTheme="minorEastAsia" w:hAnsiTheme="minorEastAsia"/>
                <w:bCs/>
                <w:color w:val="auto"/>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13</w:t>
            </w:r>
          </w:p>
        </w:tc>
        <w:tc>
          <w:tcPr>
            <w:tcW w:w="2410" w:type="dxa"/>
            <w:vAlign w:val="center"/>
          </w:tcPr>
          <w:p>
            <w:pPr>
              <w:spacing w:line="360" w:lineRule="auto"/>
              <w:contextualSpacing/>
              <w:rPr>
                <w:rFonts w:asciiTheme="minorEastAsia" w:hAnsiTheme="minorEastAsia"/>
                <w:b/>
                <w:color w:val="auto"/>
                <w:szCs w:val="21"/>
              </w:rPr>
            </w:pPr>
            <w:r>
              <w:rPr>
                <w:rFonts w:hint="eastAsia" w:asciiTheme="minorEastAsia" w:hAnsiTheme="minorEastAsia"/>
                <w:b/>
                <w:color w:val="auto"/>
                <w:szCs w:val="21"/>
              </w:rPr>
              <w:t>投标人身份证明及授权</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（1）法定代表人身份证明或提供法定代表人授权委托书及被授权人身份证明。（法人投标提供）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（2）单位负责人身份证明或提供单位负责人授权委托书及被授权人身份证明。（非法人投标提供）</w:t>
            </w:r>
          </w:p>
          <w:p>
            <w:pPr>
              <w:spacing w:line="360" w:lineRule="auto"/>
              <w:rPr>
                <w:rFonts w:ascii="楷体" w:hAnsi="楷体" w:eastAsia="楷体" w:cs="仿宋_GB2312"/>
                <w:b/>
                <w:color w:val="auto"/>
                <w:sz w:val="24"/>
                <w:szCs w:val="24"/>
                <w:lang w:val="zh-CN"/>
              </w:rPr>
            </w:pPr>
            <w:r>
              <w:rPr>
                <w:rFonts w:hint="eastAsia" w:ascii="楷体" w:hAnsi="楷体" w:eastAsia="楷体" w:cs="仿宋_GB2312"/>
                <w:b/>
                <w:color w:val="auto"/>
                <w:sz w:val="24"/>
                <w:szCs w:val="24"/>
                <w:lang w:val="zh-CN"/>
              </w:rPr>
              <w:t>注：</w:t>
            </w:r>
          </w:p>
          <w:p>
            <w:pPr>
              <w:spacing w:line="360" w:lineRule="auto"/>
              <w:rPr>
                <w:rFonts w:asciiTheme="minorEastAsia" w:hAnsiTheme="minorEastAsia"/>
                <w:b/>
                <w:color w:val="auto"/>
                <w:sz w:val="24"/>
                <w:szCs w:val="24"/>
              </w:rPr>
            </w:pPr>
            <w:r>
              <w:rPr>
                <w:rFonts w:hint="eastAsia" w:ascii="楷体" w:hAnsi="楷体" w:eastAsia="楷体"/>
                <w:color w:val="auto"/>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auto"/>
                <w:sz w:val="24"/>
                <w:szCs w:val="24"/>
              </w:rPr>
            </w:pPr>
            <w:r>
              <w:rPr>
                <w:rFonts w:hint="eastAsia" w:ascii="楷体" w:hAnsi="楷体" w:eastAsia="楷体"/>
                <w:color w:val="auto"/>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color w:val="auto"/>
                <w:szCs w:val="21"/>
              </w:rPr>
            </w:pPr>
            <w:r>
              <w:rPr>
                <w:rFonts w:hint="eastAsia" w:ascii="楷体" w:hAnsi="楷体" w:eastAsia="楷体"/>
                <w:color w:val="auto"/>
                <w:sz w:val="24"/>
                <w:szCs w:val="24"/>
              </w:rPr>
              <w:t>③</w:t>
            </w:r>
            <w:r>
              <w:rPr>
                <w:rFonts w:hint="eastAsia" w:ascii="楷体" w:hAnsi="楷体" w:eastAsia="楷体"/>
                <w:color w:val="auto"/>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14</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15</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投标人</w:t>
            </w:r>
            <w:bookmarkStart w:id="2" w:name="baidusnap2"/>
            <w:bookmarkEnd w:id="2"/>
            <w:r>
              <w:rPr>
                <w:rFonts w:hint="eastAsia" w:cs="仿宋_GB2312" w:asciiTheme="minorEastAsia" w:hAnsiTheme="minorEastAsia"/>
                <w:color w:val="auto"/>
                <w:szCs w:val="21"/>
                <w:lang w:val="zh-CN"/>
              </w:rPr>
              <w:t>提供未为本项目提供整体设计、</w:t>
            </w:r>
            <w:bookmarkStart w:id="3" w:name="baidusnap9"/>
            <w:bookmarkEnd w:id="3"/>
            <w:r>
              <w:rPr>
                <w:rFonts w:hint="eastAsia" w:cs="仿宋_GB2312" w:asciiTheme="minorEastAsia" w:hAnsiTheme="minorEastAsia"/>
                <w:color w:val="auto"/>
                <w:szCs w:val="21"/>
                <w:lang w:val="zh-CN"/>
              </w:rPr>
              <w:t>规范编制或者项目管理、监理、检测等服务承诺函（承诺函格式自拟）。</w:t>
            </w:r>
          </w:p>
          <w:p>
            <w:pPr>
              <w:spacing w:line="360" w:lineRule="auto"/>
              <w:rPr>
                <w:rFonts w:asciiTheme="minorEastAsia" w:hAnsiTheme="minorEastAsia"/>
                <w:bCs/>
                <w:color w:val="auto"/>
                <w:szCs w:val="21"/>
              </w:rPr>
            </w:pPr>
          </w:p>
        </w:tc>
      </w:tr>
    </w:tbl>
    <w:p>
      <w:pPr>
        <w:pStyle w:val="13"/>
        <w:spacing w:line="360" w:lineRule="auto"/>
        <w:ind w:firstLine="482" w:firstLineChars="200"/>
        <w:contextualSpacing/>
        <w:rPr>
          <w:rFonts w:cs="仿宋_GB2312" w:asciiTheme="minorEastAsia" w:hAnsiTheme="minorEastAsia" w:eastAsiaTheme="minorEastAsia"/>
          <w:b/>
          <w:color w:val="auto"/>
          <w:szCs w:val="24"/>
          <w:lang w:val="zh-CN"/>
        </w:rPr>
      </w:pPr>
    </w:p>
    <w:p>
      <w:pPr>
        <w:pStyle w:val="13"/>
        <w:spacing w:line="360" w:lineRule="auto"/>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color w:val="auto"/>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cs="仿宋_GB2312" w:asciiTheme="minorEastAsia" w:hAnsiTheme="minorEastAsia" w:eastAsiaTheme="minorEastAsia"/>
          <w:b/>
          <w:color w:val="auto"/>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2、</w:t>
      </w:r>
      <w:r>
        <w:rPr>
          <w:rFonts w:cs="仿宋_GB2312" w:asciiTheme="minorEastAsia" w:hAnsiTheme="minorEastAsia" w:eastAsiaTheme="minorEastAsia"/>
          <w:b/>
          <w:color w:val="auto"/>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3、</w:t>
      </w:r>
      <w:r>
        <w:rPr>
          <w:rFonts w:cs="仿宋_GB2312" w:asciiTheme="minorEastAsia" w:hAnsiTheme="minorEastAsia" w:eastAsiaTheme="minorEastAsia"/>
          <w:b/>
          <w:color w:val="auto"/>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eastAsiaTheme="minorEastAsia"/>
          <w:color w:val="auto"/>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w:t>
      </w:r>
      <w:r>
        <w:rPr>
          <w:rFonts w:cs="仿宋_GB2312" w:asciiTheme="minorEastAsia" w:hAnsiTheme="minorEastAsia" w:eastAsiaTheme="minorEastAsia"/>
          <w:b/>
          <w:color w:val="auto"/>
          <w:sz w:val="21"/>
          <w:szCs w:val="21"/>
          <w:lang w:val="zh-CN"/>
        </w:rPr>
        <w:t>关于相同品牌产品</w:t>
      </w:r>
      <w:r>
        <w:rPr>
          <w:rFonts w:cs="仿宋_GB2312" w:asciiTheme="minorEastAsia" w:hAnsiTheme="minorEastAsia" w:eastAsiaTheme="minorEastAsia"/>
          <w:b/>
          <w:bCs/>
          <w:color w:val="auto"/>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 w:val="21"/>
          <w:szCs w:val="21"/>
          <w:lang w:val="zh-CN"/>
        </w:rPr>
        <w:t>采取随机抽取</w:t>
      </w:r>
      <w:r>
        <w:rPr>
          <w:rFonts w:cs="仿宋_GB2312" w:asciiTheme="minorEastAsia" w:hAnsiTheme="minorEastAsia" w:eastAsiaTheme="minorEastAsia"/>
          <w:color w:val="auto"/>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采用综合评分法的，提供相同品牌产品</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非单一产品采购项目，多家投标人提供的核心产品品牌相同</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 w:val="21"/>
          <w:szCs w:val="21"/>
          <w:lang w:val="zh-CN"/>
        </w:rPr>
        <w:t>由采购人或者采购人委托评标委员会</w:t>
      </w:r>
      <w:r>
        <w:rPr>
          <w:rFonts w:cs="仿宋_GB2312" w:asciiTheme="minorEastAsia" w:hAnsiTheme="minorEastAsia" w:eastAsiaTheme="minorEastAsia"/>
          <w:color w:val="auto"/>
          <w:sz w:val="21"/>
          <w:szCs w:val="21"/>
          <w:lang w:val="zh-CN"/>
        </w:rPr>
        <w:t>采取随机抽取方式确定</w:t>
      </w:r>
      <w:r>
        <w:rPr>
          <w:rFonts w:hint="eastAsia" w:cs="仿宋_GB2312" w:asciiTheme="minorEastAsia" w:hAnsiTheme="minorEastAsia" w:eastAsiaTheme="minorEastAsia"/>
          <w:color w:val="auto"/>
          <w:sz w:val="21"/>
          <w:szCs w:val="21"/>
          <w:lang w:val="zh-CN"/>
        </w:rPr>
        <w:t>一个投标人获得中标人推荐资格</w:t>
      </w:r>
      <w:r>
        <w:rPr>
          <w:rFonts w:cs="仿宋_GB2312" w:asciiTheme="minorEastAsia" w:hAnsiTheme="minorEastAsia" w:eastAsiaTheme="minorEastAsia"/>
          <w:color w:val="auto"/>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1）对《节能产品政府采购品目清单》所列的政府强制采购节能产品</w:t>
      </w:r>
      <w:r>
        <w:rPr>
          <w:rFonts w:hint="eastAsia" w:cs="仿宋_GB2312"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投标人所投其他产品若属于《节能产品政府采购品目清单》优先采购产品，</w:t>
      </w:r>
      <w:r>
        <w:rPr>
          <w:rFonts w:hint="eastAsia" w:cs="仿宋_GB2312" w:asciiTheme="minorEastAsia" w:hAnsiTheme="minorEastAsia"/>
          <w:color w:val="auto"/>
          <w:sz w:val="21"/>
          <w:szCs w:val="21"/>
          <w:lang w:val="zh-CN"/>
        </w:rPr>
        <w:t>投标文件中应提供</w:t>
      </w:r>
      <w:r>
        <w:rPr>
          <w:rFonts w:hint="eastAsia" w:cs="仿宋_GB2312" w:asciiTheme="minorEastAsia" w:hAnsiTheme="minorEastAsia" w:eastAsiaTheme="minorEastAsia"/>
          <w:color w:val="auto"/>
          <w:sz w:val="21"/>
          <w:szCs w:val="21"/>
          <w:lang w:val="zh-CN"/>
        </w:rPr>
        <w:t>具有国家确定的认证机构出具的、处于有效期之内的节能产品认证证书</w:t>
      </w:r>
      <w:r>
        <w:rPr>
          <w:rFonts w:hint="eastAsia" w:cs="仿宋_GB2312" w:asciiTheme="minorEastAsia" w:hAnsiTheme="minorEastAsia"/>
          <w:color w:val="auto"/>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w:t>
      </w:r>
      <w:r>
        <w:rPr>
          <w:rFonts w:hint="eastAsia" w:cs="仿宋_GB2312" w:asciiTheme="minorEastAsia" w:hAnsiTheme="minorEastAsia"/>
          <w:color w:val="auto"/>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color w:val="auto"/>
          <w:sz w:val="21"/>
          <w:szCs w:val="21"/>
          <w:lang w:val="zh-CN"/>
        </w:rPr>
        <w:t>具有国家确定的认证机构出具的、处于有效期之内的环境标志产品认证证书</w:t>
      </w:r>
      <w:r>
        <w:rPr>
          <w:rFonts w:hint="eastAsia" w:cs="仿宋_GB2312" w:asciiTheme="minorEastAsia" w:hAnsiTheme="minorEastAsia"/>
          <w:color w:val="auto"/>
          <w:sz w:val="21"/>
          <w:szCs w:val="21"/>
          <w:lang w:val="zh-CN"/>
        </w:rPr>
        <w:t>，</w:t>
      </w:r>
      <w:r>
        <w:rPr>
          <w:rFonts w:hint="eastAsia" w:cs="仿宋_GB2312" w:asciiTheme="minorEastAsia" w:hAnsiTheme="minorEastAsia" w:eastAsiaTheme="minorEastAsia"/>
          <w:color w:val="auto"/>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（4）关于强制性产品认证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1）如投标人所投产品属于“中国强制性产品认证”（3C认证）范围内,则必须承诺采用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2)投标人所投产品如被列入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则投标文件中应根据本项目招标文件“第二章 项目需求”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①中国信息安全认证中心官网（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②中国信息安全认证中心</w:t>
      </w:r>
      <w:r>
        <w:rPr>
          <w:rFonts w:hint="eastAsia" w:cs="仿宋_GB2312" w:asciiTheme="minorEastAsia" w:hAnsiTheme="minorEastAsia"/>
          <w:color w:val="auto"/>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auto"/>
          <w:sz w:val="24"/>
          <w:szCs w:val="24"/>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e.不同投标人的投标文件相互混装；</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5）</w:t>
      </w:r>
      <w:r>
        <w:rPr>
          <w:rFonts w:cs="仿宋_GB2312" w:asciiTheme="minorEastAsia" w:hAnsiTheme="minorEastAsia"/>
          <w:color w:val="auto"/>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（7）评标标准</w:t>
      </w:r>
    </w:p>
    <w:tbl>
      <w:tblPr>
        <w:tblStyle w:val="23"/>
        <w:tblpPr w:leftFromText="180" w:rightFromText="180" w:vertAnchor="text" w:horzAnchor="page" w:tblpX="1465" w:tblpY="682"/>
        <w:tblOverlap w:val="never"/>
        <w:tblW w:w="9729" w:type="dxa"/>
        <w:tblInd w:w="0" w:type="dxa"/>
        <w:tblLayout w:type="fixed"/>
        <w:tblCellMar>
          <w:top w:w="0" w:type="dxa"/>
          <w:left w:w="108" w:type="dxa"/>
          <w:bottom w:w="0" w:type="dxa"/>
          <w:right w:w="108" w:type="dxa"/>
        </w:tblCellMar>
      </w:tblPr>
      <w:tblGrid>
        <w:gridCol w:w="445"/>
        <w:gridCol w:w="494"/>
        <w:gridCol w:w="672"/>
        <w:gridCol w:w="1515"/>
        <w:gridCol w:w="6603"/>
      </w:tblGrid>
      <w:tr>
        <w:tblPrEx>
          <w:tblCellMar>
            <w:top w:w="0" w:type="dxa"/>
            <w:left w:w="108" w:type="dxa"/>
            <w:bottom w:w="0" w:type="dxa"/>
            <w:right w:w="108" w:type="dxa"/>
          </w:tblCellMar>
        </w:tblPrEx>
        <w:trPr>
          <w:cantSplit/>
          <w:trHeight w:val="280" w:hRule="atLeast"/>
        </w:trPr>
        <w:tc>
          <w:tcPr>
            <w:tcW w:w="445" w:type="dxa"/>
            <w:vMerge w:val="restart"/>
            <w:tcBorders>
              <w:top w:val="double" w:color="auto" w:sz="4" w:space="0"/>
              <w:left w:val="doub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ascii="宋体" w:hAnsi="宋体"/>
                <w:color w:val="auto"/>
                <w:kern w:val="0"/>
                <w:szCs w:val="21"/>
              </w:rPr>
            </w:pPr>
            <w:r>
              <w:rPr>
                <w:rFonts w:hint="eastAsia" w:ascii="宋体" w:hAnsi="宋体"/>
                <w:color w:val="auto"/>
                <w:kern w:val="0"/>
                <w:szCs w:val="21"/>
              </w:rPr>
              <w:t>序号</w:t>
            </w:r>
          </w:p>
        </w:tc>
        <w:tc>
          <w:tcPr>
            <w:tcW w:w="494" w:type="dxa"/>
            <w:vMerge w:val="restart"/>
            <w:tcBorders>
              <w:top w:val="doub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ascii="宋体" w:hAnsi="宋体"/>
                <w:color w:val="auto"/>
                <w:kern w:val="0"/>
                <w:szCs w:val="21"/>
              </w:rPr>
            </w:pPr>
            <w:r>
              <w:rPr>
                <w:rFonts w:hint="eastAsia" w:ascii="宋体" w:hAnsi="宋体"/>
                <w:color w:val="auto"/>
                <w:kern w:val="0"/>
                <w:szCs w:val="21"/>
              </w:rPr>
              <w:t>项目</w:t>
            </w:r>
          </w:p>
        </w:tc>
        <w:tc>
          <w:tcPr>
            <w:tcW w:w="8790" w:type="dxa"/>
            <w:gridSpan w:val="3"/>
            <w:tcBorders>
              <w:top w:val="double" w:color="auto" w:sz="4" w:space="0"/>
              <w:left w:val="single" w:color="auto" w:sz="4" w:space="0"/>
              <w:bottom w:val="single" w:color="auto" w:sz="4" w:space="0"/>
              <w:right w:val="double" w:color="auto" w:sz="4" w:space="0"/>
            </w:tcBorders>
            <w:vAlign w:val="center"/>
          </w:tcPr>
          <w:p>
            <w:pPr>
              <w:widowControl/>
              <w:spacing w:before="100" w:beforeAutospacing="1" w:after="100" w:afterAutospacing="1" w:line="300" w:lineRule="exact"/>
              <w:jc w:val="center"/>
              <w:rPr>
                <w:rFonts w:ascii="宋体" w:hAnsi="宋体"/>
                <w:color w:val="auto"/>
                <w:kern w:val="0"/>
                <w:szCs w:val="21"/>
              </w:rPr>
            </w:pPr>
            <w:r>
              <w:rPr>
                <w:rFonts w:hint="eastAsia" w:ascii="宋体" w:hAnsi="宋体"/>
                <w:color w:val="auto"/>
                <w:kern w:val="0"/>
                <w:szCs w:val="21"/>
              </w:rPr>
              <w:t>评分细则</w:t>
            </w:r>
          </w:p>
        </w:tc>
      </w:tr>
      <w:tr>
        <w:tblPrEx>
          <w:tblCellMar>
            <w:top w:w="0" w:type="dxa"/>
            <w:left w:w="108" w:type="dxa"/>
            <w:bottom w:w="0" w:type="dxa"/>
            <w:right w:w="108" w:type="dxa"/>
          </w:tblCellMar>
        </w:tblPrEx>
        <w:trPr>
          <w:cantSplit/>
          <w:trHeight w:val="382" w:hRule="atLeast"/>
        </w:trPr>
        <w:tc>
          <w:tcPr>
            <w:tcW w:w="445" w:type="dxa"/>
            <w:vMerge w:val="continue"/>
            <w:tcBorders>
              <w:top w:val="double" w:color="auto" w:sz="4" w:space="0"/>
              <w:left w:val="double" w:color="auto" w:sz="4" w:space="0"/>
              <w:bottom w:val="single" w:color="auto" w:sz="4" w:space="0"/>
              <w:right w:val="single" w:color="auto" w:sz="4" w:space="0"/>
            </w:tcBorders>
            <w:vAlign w:val="center"/>
          </w:tcPr>
          <w:p>
            <w:pPr>
              <w:widowControl/>
              <w:jc w:val="left"/>
              <w:rPr>
                <w:rFonts w:ascii="宋体" w:hAnsi="宋体"/>
                <w:color w:val="auto"/>
                <w:kern w:val="0"/>
                <w:szCs w:val="21"/>
              </w:rPr>
            </w:pPr>
          </w:p>
        </w:tc>
        <w:tc>
          <w:tcPr>
            <w:tcW w:w="494" w:type="dxa"/>
            <w:vMerge w:val="continue"/>
            <w:tcBorders>
              <w:top w:val="doub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ascii="宋体" w:hAnsi="宋体"/>
                <w:color w:val="auto"/>
                <w:kern w:val="0"/>
                <w:szCs w:val="21"/>
              </w:rPr>
            </w:pPr>
            <w:r>
              <w:rPr>
                <w:rFonts w:hint="eastAsia" w:ascii="宋体" w:hAnsi="宋体"/>
                <w:color w:val="auto"/>
                <w:kern w:val="0"/>
                <w:szCs w:val="21"/>
              </w:rPr>
              <w:t>分值</w:t>
            </w:r>
          </w:p>
        </w:tc>
        <w:tc>
          <w:tcPr>
            <w:tcW w:w="8118" w:type="dxa"/>
            <w:gridSpan w:val="2"/>
            <w:tcBorders>
              <w:top w:val="single" w:color="auto" w:sz="4" w:space="0"/>
              <w:left w:val="single" w:color="auto" w:sz="4" w:space="0"/>
              <w:bottom w:val="single" w:color="auto" w:sz="4" w:space="0"/>
              <w:right w:val="double" w:color="auto" w:sz="4" w:space="0"/>
            </w:tcBorders>
            <w:vAlign w:val="center"/>
          </w:tcPr>
          <w:p>
            <w:pPr>
              <w:widowControl/>
              <w:spacing w:before="100" w:beforeAutospacing="1" w:after="100" w:afterAutospacing="1" w:line="300" w:lineRule="exact"/>
              <w:jc w:val="center"/>
              <w:rPr>
                <w:rFonts w:ascii="宋体" w:hAnsi="宋体"/>
                <w:color w:val="auto"/>
                <w:kern w:val="0"/>
                <w:szCs w:val="21"/>
              </w:rPr>
            </w:pPr>
            <w:r>
              <w:rPr>
                <w:rFonts w:hint="eastAsia" w:ascii="宋体" w:hAnsi="宋体"/>
                <w:color w:val="auto"/>
                <w:kern w:val="0"/>
                <w:szCs w:val="21"/>
              </w:rPr>
              <w:t>评分标准</w:t>
            </w:r>
          </w:p>
        </w:tc>
      </w:tr>
      <w:tr>
        <w:tblPrEx>
          <w:tblCellMar>
            <w:top w:w="0" w:type="dxa"/>
            <w:left w:w="108" w:type="dxa"/>
            <w:bottom w:w="0" w:type="dxa"/>
            <w:right w:w="108" w:type="dxa"/>
          </w:tblCellMar>
        </w:tblPrEx>
        <w:trPr>
          <w:trHeight w:val="332" w:hRule="atLeast"/>
        </w:trPr>
        <w:tc>
          <w:tcPr>
            <w:tcW w:w="445" w:type="dxa"/>
            <w:tcBorders>
              <w:top w:val="single" w:color="auto" w:sz="4" w:space="0"/>
              <w:left w:val="doub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ascii="宋体" w:hAnsi="宋体"/>
                <w:color w:val="auto"/>
                <w:kern w:val="0"/>
                <w:szCs w:val="21"/>
              </w:rPr>
            </w:pPr>
            <w:r>
              <w:rPr>
                <w:rFonts w:hint="eastAsia" w:ascii="宋体" w:hAnsi="宋体"/>
                <w:color w:val="auto"/>
                <w:kern w:val="0"/>
                <w:szCs w:val="21"/>
              </w:rPr>
              <w:t>1</w:t>
            </w:r>
          </w:p>
        </w:tc>
        <w:tc>
          <w:tcPr>
            <w:tcW w:w="49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ascii="宋体" w:hAnsi="宋体"/>
                <w:color w:val="auto"/>
                <w:kern w:val="0"/>
                <w:szCs w:val="21"/>
              </w:rPr>
            </w:pPr>
            <w:r>
              <w:rPr>
                <w:rFonts w:hint="eastAsia" w:ascii="宋体" w:hAnsi="宋体"/>
                <w:color w:val="auto"/>
                <w:kern w:val="0"/>
                <w:szCs w:val="21"/>
              </w:rPr>
              <w:t>报价得分</w:t>
            </w:r>
          </w:p>
        </w:tc>
        <w:tc>
          <w:tcPr>
            <w:tcW w:w="6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20</w:t>
            </w:r>
          </w:p>
        </w:tc>
        <w:tc>
          <w:tcPr>
            <w:tcW w:w="8118" w:type="dxa"/>
            <w:gridSpan w:val="2"/>
            <w:tcBorders>
              <w:top w:val="single" w:color="auto" w:sz="4" w:space="0"/>
              <w:left w:val="single" w:color="auto" w:sz="4" w:space="0"/>
              <w:bottom w:val="single" w:color="auto" w:sz="4" w:space="0"/>
              <w:right w:val="double" w:color="auto" w:sz="4" w:space="0"/>
            </w:tcBorders>
            <w:vAlign w:val="center"/>
          </w:tcPr>
          <w:p>
            <w:pPr>
              <w:pStyle w:val="60"/>
              <w:rPr>
                <w:rFonts w:ascii="宋体" w:hAnsi="宋体"/>
                <w:b/>
                <w:bCs/>
                <w:color w:val="auto"/>
              </w:rPr>
            </w:pPr>
            <w:r>
              <w:rPr>
                <w:rFonts w:hint="eastAsia" w:ascii="宋体" w:hAnsi="宋体"/>
                <w:b/>
                <w:bCs/>
                <w:color w:val="auto"/>
              </w:rPr>
              <w:t>有效投标价格最低的为评标基准价，其价格分为满分。</w:t>
            </w:r>
          </w:p>
          <w:p>
            <w:pPr>
              <w:pStyle w:val="60"/>
              <w:rPr>
                <w:rFonts w:ascii="宋体" w:hAnsi="宋体"/>
                <w:b/>
                <w:bCs/>
                <w:color w:val="auto"/>
              </w:rPr>
            </w:pPr>
            <w:r>
              <w:rPr>
                <w:rFonts w:hint="eastAsia" w:ascii="宋体" w:hAnsi="宋体"/>
                <w:b/>
                <w:bCs/>
                <w:color w:val="auto"/>
              </w:rPr>
              <w:t>其他供应商的价格分统一按照下列公式计算：</w:t>
            </w:r>
          </w:p>
          <w:p>
            <w:pPr>
              <w:pStyle w:val="60"/>
              <w:rPr>
                <w:rFonts w:ascii="宋体" w:hAnsi="宋体"/>
                <w:b/>
                <w:bCs/>
                <w:color w:val="auto"/>
              </w:rPr>
            </w:pPr>
            <w:r>
              <w:rPr>
                <w:rFonts w:hint="eastAsia" w:ascii="宋体" w:hAnsi="宋体"/>
                <w:b/>
                <w:bCs/>
                <w:color w:val="auto"/>
              </w:rPr>
              <w:t>投标报价得分=(评标基准价／投标报价)×20%×100。</w:t>
            </w:r>
          </w:p>
          <w:p>
            <w:pPr>
              <w:pStyle w:val="60"/>
              <w:rPr>
                <w:rFonts w:ascii="宋体" w:hAnsi="宋体"/>
                <w:b/>
                <w:bCs/>
                <w:color w:val="auto"/>
              </w:rPr>
            </w:pPr>
            <w:r>
              <w:rPr>
                <w:rFonts w:hint="eastAsia" w:ascii="宋体" w:hAnsi="宋体"/>
                <w:b/>
                <w:bCs/>
                <w:color w:val="auto"/>
              </w:rPr>
              <w:t>注：分值计算保留小数点后两位，小数点后第三位“四舍五入”。</w:t>
            </w:r>
            <w:r>
              <w:rPr>
                <w:rFonts w:hint="eastAsia" w:ascii="宋体" w:hAnsi="宋体"/>
                <w:b/>
                <w:bCs/>
                <w:color w:val="auto"/>
              </w:rPr>
              <w:br w:type="textWrapping"/>
            </w:r>
            <w:r>
              <w:rPr>
                <w:rFonts w:hint="eastAsia" w:ascii="宋体" w:hAnsi="宋体"/>
                <w:b/>
                <w:bCs/>
                <w:color w:val="auto"/>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tblPrEx>
          <w:tblCellMar>
            <w:top w:w="0" w:type="dxa"/>
            <w:left w:w="108" w:type="dxa"/>
            <w:bottom w:w="0" w:type="dxa"/>
            <w:right w:w="108" w:type="dxa"/>
          </w:tblCellMar>
        </w:tblPrEx>
        <w:trPr>
          <w:trHeight w:val="360" w:hRule="atLeast"/>
        </w:trPr>
        <w:tc>
          <w:tcPr>
            <w:tcW w:w="445"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rPr>
            </w:pPr>
            <w:r>
              <w:rPr>
                <w:rFonts w:hint="eastAsia" w:ascii="宋体" w:hAnsi="宋体"/>
                <w:color w:val="auto"/>
                <w:kern w:val="0"/>
                <w:szCs w:val="21"/>
              </w:rPr>
              <w:t>2</w:t>
            </w:r>
          </w:p>
        </w:tc>
        <w:tc>
          <w:tcPr>
            <w:tcW w:w="494"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rPr>
            </w:pPr>
            <w:r>
              <w:rPr>
                <w:rFonts w:hint="eastAsia" w:ascii="宋体" w:hAnsi="宋体"/>
                <w:color w:val="auto"/>
                <w:kern w:val="0"/>
                <w:szCs w:val="21"/>
              </w:rPr>
              <w:t>商务部分</w:t>
            </w:r>
          </w:p>
        </w:tc>
        <w:tc>
          <w:tcPr>
            <w:tcW w:w="672"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textAlignment w:val="center"/>
              <w:rPr>
                <w:rFonts w:ascii="宋体" w:hAnsi="宋体" w:cs="宋体"/>
                <w:color w:val="auto"/>
                <w:szCs w:val="21"/>
              </w:rPr>
            </w:pPr>
            <w:r>
              <w:rPr>
                <w:rFonts w:hint="eastAsia" w:ascii="宋体" w:hAnsi="宋体" w:cs="宋体"/>
                <w:color w:val="auto"/>
                <w:szCs w:val="21"/>
              </w:rPr>
              <w:t>40</w:t>
            </w:r>
          </w:p>
        </w:tc>
        <w:tc>
          <w:tcPr>
            <w:tcW w:w="8118"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textAlignment w:val="center"/>
              <w:rPr>
                <w:rFonts w:ascii="宋体" w:hAnsi="宋体" w:cs="宋体"/>
                <w:color w:val="auto"/>
                <w:szCs w:val="21"/>
              </w:rPr>
            </w:pPr>
            <w:r>
              <w:rPr>
                <w:rFonts w:hint="eastAsia" w:ascii="宋体" w:hAnsi="宋体" w:cs="宋体"/>
                <w:color w:val="auto"/>
                <w:szCs w:val="21"/>
              </w:rPr>
              <w:t>1、业绩（15分）。供应商2016年以来具有合同金额在50万元/年以上的物业或保洁项目业绩（以合同签订时间为准），每份得5分，本项最多得15分。(以合同为准，投标文件中附完整的扫描件）。</w:t>
            </w:r>
          </w:p>
        </w:tc>
      </w:tr>
      <w:tr>
        <w:tblPrEx>
          <w:tblCellMar>
            <w:top w:w="0" w:type="dxa"/>
            <w:left w:w="108" w:type="dxa"/>
            <w:bottom w:w="0" w:type="dxa"/>
            <w:right w:w="108" w:type="dxa"/>
          </w:tblCellMar>
        </w:tblPrEx>
        <w:trPr>
          <w:trHeight w:val="535" w:hRule="atLeast"/>
        </w:trPr>
        <w:tc>
          <w:tcPr>
            <w:tcW w:w="4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rPr>
            </w:pPr>
          </w:p>
        </w:tc>
        <w:tc>
          <w:tcPr>
            <w:tcW w:w="49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rPr>
            </w:pPr>
          </w:p>
        </w:tc>
        <w:tc>
          <w:tcPr>
            <w:tcW w:w="67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textAlignment w:val="center"/>
              <w:rPr>
                <w:rFonts w:ascii="宋体" w:hAnsi="宋体" w:cs="宋体"/>
                <w:color w:val="auto"/>
                <w:szCs w:val="21"/>
              </w:rPr>
            </w:pPr>
          </w:p>
        </w:tc>
        <w:tc>
          <w:tcPr>
            <w:tcW w:w="8118" w:type="dxa"/>
            <w:gridSpan w:val="2"/>
            <w:tcBorders>
              <w:top w:val="single" w:color="auto" w:sz="4" w:space="0"/>
              <w:left w:val="single" w:color="auto" w:sz="4" w:space="0"/>
              <w:bottom w:val="single" w:color="auto" w:sz="4" w:space="0"/>
              <w:right w:val="single" w:color="auto" w:sz="4" w:space="0"/>
            </w:tcBorders>
            <w:vAlign w:val="center"/>
          </w:tcPr>
          <w:p>
            <w:pPr>
              <w:numPr>
                <w:ilvl w:val="0"/>
                <w:numId w:val="18"/>
              </w:numPr>
              <w:spacing w:line="300" w:lineRule="auto"/>
              <w:ind w:right="147" w:rightChars="70"/>
              <w:textAlignment w:val="center"/>
              <w:rPr>
                <w:color w:val="auto"/>
              </w:rPr>
            </w:pPr>
            <w:r>
              <w:rPr>
                <w:rFonts w:hint="eastAsia"/>
                <w:color w:val="auto"/>
              </w:rPr>
              <w:t>荣誉（9分）。</w:t>
            </w:r>
          </w:p>
          <w:p>
            <w:pPr>
              <w:spacing w:line="300" w:lineRule="auto"/>
              <w:ind w:right="147" w:rightChars="70"/>
              <w:textAlignment w:val="center"/>
              <w:rPr>
                <w:color w:val="auto"/>
              </w:rPr>
            </w:pPr>
            <w:r>
              <w:rPr>
                <w:rFonts w:hint="eastAsia"/>
                <w:color w:val="auto"/>
              </w:rPr>
              <w:t>投标企业获得过</w:t>
            </w:r>
            <w:r>
              <w:rPr>
                <w:rFonts w:hint="eastAsia"/>
                <w:color w:val="auto"/>
                <w:lang w:val="en-US" w:eastAsia="zh-CN"/>
              </w:rPr>
              <w:t>政府有关部门或物业主管部门颁发的荣誉的</w:t>
            </w:r>
            <w:r>
              <w:rPr>
                <w:rFonts w:hint="eastAsia"/>
                <w:color w:val="auto"/>
              </w:rPr>
              <w:t>的，省部级得6分，地市级得3分，县级市得2分，本项最高得9分。以证书为准，投标文件中附完整的扫描件。</w:t>
            </w:r>
          </w:p>
        </w:tc>
      </w:tr>
      <w:tr>
        <w:tblPrEx>
          <w:tblCellMar>
            <w:top w:w="0" w:type="dxa"/>
            <w:left w:w="108" w:type="dxa"/>
            <w:bottom w:w="0" w:type="dxa"/>
            <w:right w:w="108" w:type="dxa"/>
          </w:tblCellMar>
        </w:tblPrEx>
        <w:trPr>
          <w:trHeight w:val="535" w:hRule="atLeast"/>
        </w:trPr>
        <w:tc>
          <w:tcPr>
            <w:tcW w:w="4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rPr>
            </w:pPr>
          </w:p>
        </w:tc>
        <w:tc>
          <w:tcPr>
            <w:tcW w:w="49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rPr>
            </w:pPr>
          </w:p>
        </w:tc>
        <w:tc>
          <w:tcPr>
            <w:tcW w:w="67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textAlignment w:val="center"/>
              <w:rPr>
                <w:rFonts w:ascii="宋体" w:hAnsi="宋体" w:cs="宋体"/>
                <w:color w:val="auto"/>
                <w:szCs w:val="21"/>
              </w:rPr>
            </w:pPr>
          </w:p>
        </w:tc>
        <w:tc>
          <w:tcPr>
            <w:tcW w:w="8118"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textAlignment w:val="center"/>
              <w:rPr>
                <w:rFonts w:ascii="宋体" w:hAnsi="宋体" w:cs="宋体"/>
                <w:color w:val="auto"/>
                <w:kern w:val="0"/>
                <w:szCs w:val="21"/>
              </w:rPr>
            </w:pPr>
            <w:r>
              <w:rPr>
                <w:rFonts w:hint="eastAsia" w:ascii="宋体" w:hAnsi="宋体" w:cs="宋体"/>
                <w:color w:val="auto"/>
                <w:kern w:val="0"/>
                <w:szCs w:val="21"/>
              </w:rPr>
              <w:t>3、信誉（5分）。2016年以来，企业获得过企业信用等级证书的，AAA级得5分，AA级得3分，A级得1分。以证书为准，</w:t>
            </w:r>
            <w:r>
              <w:rPr>
                <w:rFonts w:hint="eastAsia" w:ascii="宋体" w:hAnsi="宋体" w:cs="宋体"/>
                <w:color w:val="auto"/>
                <w:szCs w:val="21"/>
              </w:rPr>
              <w:t>投标文件中附完整的扫描件</w:t>
            </w:r>
            <w:r>
              <w:rPr>
                <w:rFonts w:hint="eastAsia" w:ascii="宋体" w:hAnsi="宋体" w:cs="宋体"/>
                <w:color w:val="auto"/>
                <w:kern w:val="0"/>
                <w:szCs w:val="21"/>
              </w:rPr>
              <w:t>。</w:t>
            </w:r>
          </w:p>
        </w:tc>
      </w:tr>
      <w:tr>
        <w:tblPrEx>
          <w:tblCellMar>
            <w:top w:w="0" w:type="dxa"/>
            <w:left w:w="108" w:type="dxa"/>
            <w:bottom w:w="0" w:type="dxa"/>
            <w:right w:w="108" w:type="dxa"/>
          </w:tblCellMar>
        </w:tblPrEx>
        <w:trPr>
          <w:trHeight w:val="535" w:hRule="atLeast"/>
        </w:trPr>
        <w:tc>
          <w:tcPr>
            <w:tcW w:w="4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rPr>
            </w:pPr>
          </w:p>
        </w:tc>
        <w:tc>
          <w:tcPr>
            <w:tcW w:w="49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rPr>
            </w:pPr>
          </w:p>
        </w:tc>
        <w:tc>
          <w:tcPr>
            <w:tcW w:w="67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textAlignment w:val="center"/>
              <w:rPr>
                <w:rFonts w:ascii="宋体" w:hAnsi="宋体" w:cs="宋体"/>
                <w:color w:val="auto"/>
                <w:szCs w:val="21"/>
              </w:rPr>
            </w:pPr>
          </w:p>
        </w:tc>
        <w:tc>
          <w:tcPr>
            <w:tcW w:w="8118"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textAlignment w:val="center"/>
              <w:rPr>
                <w:rFonts w:ascii="宋体" w:hAnsi="宋体" w:cs="宋体"/>
                <w:color w:val="auto"/>
                <w:kern w:val="0"/>
                <w:szCs w:val="21"/>
              </w:rPr>
            </w:pPr>
            <w:r>
              <w:rPr>
                <w:rFonts w:hint="eastAsia" w:ascii="宋体" w:hAnsi="宋体" w:cs="宋体"/>
                <w:color w:val="auto"/>
                <w:kern w:val="0"/>
                <w:szCs w:val="21"/>
              </w:rPr>
              <w:t>4、体系认证（9分）。企业获得环境管理体系认证证书、职业健康安全管理体系认证证书、质量管理体系认证证书的，每个证书得3分，最高得9分。以证书为准，</w:t>
            </w:r>
            <w:r>
              <w:rPr>
                <w:rFonts w:hint="eastAsia" w:ascii="宋体" w:hAnsi="宋体" w:cs="宋体"/>
                <w:color w:val="auto"/>
                <w:szCs w:val="21"/>
              </w:rPr>
              <w:t>投标文件中附完整的扫描件</w:t>
            </w:r>
            <w:r>
              <w:rPr>
                <w:rFonts w:hint="eastAsia" w:ascii="宋体" w:hAnsi="宋体" w:cs="宋体"/>
                <w:color w:val="auto"/>
                <w:kern w:val="0"/>
                <w:szCs w:val="21"/>
              </w:rPr>
              <w:t>。</w:t>
            </w:r>
            <w:r>
              <w:rPr>
                <w:rFonts w:hint="eastAsia" w:ascii="宋体" w:hAnsi="宋体"/>
                <w:color w:val="auto"/>
                <w:szCs w:val="21"/>
              </w:rPr>
              <w:t>【须提供认证证书和带网址的中国国家认证认可监督管理委员会网页查询截图】</w:t>
            </w:r>
          </w:p>
        </w:tc>
      </w:tr>
      <w:tr>
        <w:tblPrEx>
          <w:tblCellMar>
            <w:top w:w="0" w:type="dxa"/>
            <w:left w:w="108" w:type="dxa"/>
            <w:bottom w:w="0" w:type="dxa"/>
            <w:right w:w="108" w:type="dxa"/>
          </w:tblCellMar>
        </w:tblPrEx>
        <w:trPr>
          <w:trHeight w:val="535" w:hRule="atLeast"/>
        </w:trPr>
        <w:tc>
          <w:tcPr>
            <w:tcW w:w="4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rPr>
            </w:pPr>
          </w:p>
        </w:tc>
        <w:tc>
          <w:tcPr>
            <w:tcW w:w="49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rPr>
            </w:pPr>
          </w:p>
        </w:tc>
        <w:tc>
          <w:tcPr>
            <w:tcW w:w="67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textAlignment w:val="center"/>
              <w:rPr>
                <w:rFonts w:ascii="宋体" w:hAnsi="宋体" w:cs="宋体"/>
                <w:color w:val="auto"/>
                <w:szCs w:val="21"/>
              </w:rPr>
            </w:pPr>
          </w:p>
        </w:tc>
        <w:tc>
          <w:tcPr>
            <w:tcW w:w="8118"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textAlignment w:val="center"/>
              <w:rPr>
                <w:rFonts w:ascii="宋体" w:hAnsi="宋体" w:cs="宋体"/>
                <w:color w:val="auto"/>
                <w:kern w:val="0"/>
                <w:szCs w:val="21"/>
              </w:rPr>
            </w:pPr>
            <w:r>
              <w:rPr>
                <w:rFonts w:hint="eastAsia" w:ascii="宋体" w:hAnsi="宋体" w:cs="宋体"/>
                <w:color w:val="auto"/>
                <w:kern w:val="0"/>
                <w:szCs w:val="21"/>
              </w:rPr>
              <w:t>5、</w:t>
            </w:r>
            <w:r>
              <w:rPr>
                <w:rFonts w:hint="eastAsia" w:ascii="宋体" w:hAnsi="宋体" w:cs="宋体"/>
                <w:b/>
                <w:bCs/>
                <w:color w:val="auto"/>
                <w:kern w:val="0"/>
                <w:szCs w:val="21"/>
              </w:rPr>
              <w:t>员工保险（2分）。公司管理的物业服务项目，购买有雇主责任险（或团体人身意外险）的得2分。（如为团体人身险，人数不得低于20人）。以保险合同为准，</w:t>
            </w:r>
            <w:r>
              <w:rPr>
                <w:rFonts w:hint="eastAsia" w:ascii="宋体" w:hAnsi="宋体" w:cs="宋体"/>
                <w:b/>
                <w:bCs/>
                <w:color w:val="auto"/>
                <w:szCs w:val="21"/>
              </w:rPr>
              <w:t>投标文件中附完整的扫描件</w:t>
            </w:r>
            <w:r>
              <w:rPr>
                <w:rFonts w:hint="eastAsia" w:ascii="宋体" w:hAnsi="宋体" w:cs="宋体"/>
                <w:color w:val="auto"/>
                <w:kern w:val="0"/>
                <w:szCs w:val="21"/>
              </w:rPr>
              <w:t>。</w:t>
            </w:r>
          </w:p>
        </w:tc>
      </w:tr>
      <w:tr>
        <w:tblPrEx>
          <w:tblCellMar>
            <w:top w:w="0" w:type="dxa"/>
            <w:left w:w="108" w:type="dxa"/>
            <w:bottom w:w="0" w:type="dxa"/>
            <w:right w:w="108" w:type="dxa"/>
          </w:tblCellMar>
        </w:tblPrEx>
        <w:trPr>
          <w:cantSplit/>
          <w:trHeight w:val="187" w:hRule="atLeast"/>
        </w:trPr>
        <w:tc>
          <w:tcPr>
            <w:tcW w:w="445" w:type="dxa"/>
            <w:vMerge w:val="restart"/>
            <w:tcBorders>
              <w:top w:val="single" w:color="auto" w:sz="4" w:space="0"/>
              <w:left w:val="double" w:color="auto" w:sz="4" w:space="0"/>
              <w:right w:val="single" w:color="auto" w:sz="4" w:space="0"/>
            </w:tcBorders>
            <w:vAlign w:val="center"/>
          </w:tcPr>
          <w:p>
            <w:pPr>
              <w:rPr>
                <w:rFonts w:ascii="宋体" w:hAnsi="宋体"/>
                <w:color w:val="auto"/>
                <w:kern w:val="0"/>
                <w:szCs w:val="21"/>
              </w:rPr>
            </w:pPr>
            <w:r>
              <w:rPr>
                <w:rFonts w:hint="eastAsia" w:ascii="宋体" w:hAnsi="宋体"/>
                <w:color w:val="auto"/>
                <w:kern w:val="0"/>
                <w:szCs w:val="21"/>
              </w:rPr>
              <w:t>3</w:t>
            </w:r>
          </w:p>
        </w:tc>
        <w:tc>
          <w:tcPr>
            <w:tcW w:w="494" w:type="dxa"/>
            <w:vMerge w:val="restart"/>
            <w:tcBorders>
              <w:top w:val="single" w:color="auto" w:sz="4" w:space="0"/>
              <w:left w:val="single" w:color="auto" w:sz="4" w:space="0"/>
              <w:right w:val="single" w:color="auto" w:sz="4" w:space="0"/>
            </w:tcBorders>
            <w:vAlign w:val="center"/>
          </w:tcPr>
          <w:p>
            <w:pPr>
              <w:pStyle w:val="60"/>
              <w:rPr>
                <w:rFonts w:ascii="宋体" w:hAnsi="宋体"/>
                <w:color w:val="auto"/>
              </w:rPr>
            </w:pPr>
            <w:r>
              <w:rPr>
                <w:rFonts w:hint="eastAsia" w:ascii="Arial" w:hAnsi="Arial" w:cs="Arial"/>
                <w:color w:val="auto"/>
                <w:shd w:val="clear" w:color="auto" w:fill="FFFFFF"/>
              </w:rPr>
              <w:t>物业管理方案</w:t>
            </w:r>
          </w:p>
        </w:tc>
        <w:tc>
          <w:tcPr>
            <w:tcW w:w="672" w:type="dxa"/>
            <w:vMerge w:val="restart"/>
            <w:tcBorders>
              <w:top w:val="single" w:color="auto" w:sz="4" w:space="0"/>
              <w:left w:val="single" w:color="auto" w:sz="4" w:space="0"/>
              <w:right w:val="single" w:color="auto" w:sz="4" w:space="0"/>
            </w:tcBorders>
            <w:vAlign w:val="center"/>
          </w:tcPr>
          <w:p>
            <w:pPr>
              <w:pStyle w:val="60"/>
              <w:rPr>
                <w:rFonts w:ascii="宋体" w:hAnsi="宋体"/>
                <w:color w:val="auto"/>
              </w:rPr>
            </w:pPr>
            <w:r>
              <w:rPr>
                <w:rFonts w:hint="eastAsia" w:ascii="宋体" w:hAnsi="宋体"/>
                <w:color w:val="auto"/>
              </w:rPr>
              <w:t>40</w:t>
            </w: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color w:val="auto"/>
                <w:sz w:val="21"/>
                <w:szCs w:val="21"/>
              </w:rPr>
            </w:pPr>
            <w:r>
              <w:rPr>
                <w:rFonts w:hint="eastAsia" w:ascii="宋体" w:hAnsi="宋体"/>
                <w:color w:val="auto"/>
                <w:sz w:val="21"/>
                <w:szCs w:val="21"/>
              </w:rPr>
              <w:t>1、项目特点分析（3分）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color w:val="auto"/>
                <w:sz w:val="21"/>
                <w:szCs w:val="21"/>
              </w:rPr>
            </w:pPr>
            <w:r>
              <w:rPr>
                <w:rFonts w:hint="eastAsia" w:ascii="宋体" w:hAnsi="宋体"/>
                <w:color w:val="auto"/>
                <w:sz w:val="21"/>
                <w:szCs w:val="21"/>
              </w:rPr>
              <w:t>根据投标人通过对本项目的特点、难点分析，并要根据难点提出相应的管理措施。（由评委分为三档打分，一档3分，二档2分，三档1分打分，缺项不得分）</w:t>
            </w:r>
          </w:p>
        </w:tc>
      </w:tr>
      <w:tr>
        <w:tblPrEx>
          <w:tblCellMar>
            <w:top w:w="0" w:type="dxa"/>
            <w:left w:w="108" w:type="dxa"/>
            <w:bottom w:w="0" w:type="dxa"/>
            <w:right w:w="108" w:type="dxa"/>
          </w:tblCellMar>
        </w:tblPrEx>
        <w:trPr>
          <w:cantSplit/>
          <w:trHeight w:val="145" w:hRule="atLeast"/>
        </w:trPr>
        <w:tc>
          <w:tcPr>
            <w:tcW w:w="445" w:type="dxa"/>
            <w:vMerge w:val="continue"/>
            <w:tcBorders>
              <w:left w:val="double" w:color="auto" w:sz="4" w:space="0"/>
              <w:right w:val="single" w:color="auto" w:sz="4" w:space="0"/>
            </w:tcBorders>
            <w:vAlign w:val="center"/>
          </w:tcPr>
          <w:p>
            <w:pPr>
              <w:rPr>
                <w:rFonts w:ascii="宋体" w:hAnsi="宋体"/>
                <w:color w:val="auto"/>
                <w:kern w:val="0"/>
                <w:szCs w:val="21"/>
              </w:rPr>
            </w:pPr>
          </w:p>
        </w:tc>
        <w:tc>
          <w:tcPr>
            <w:tcW w:w="494" w:type="dxa"/>
            <w:vMerge w:val="continue"/>
            <w:tcBorders>
              <w:left w:val="single" w:color="auto" w:sz="4" w:space="0"/>
              <w:right w:val="single" w:color="auto" w:sz="4" w:space="0"/>
            </w:tcBorders>
            <w:vAlign w:val="center"/>
          </w:tcPr>
          <w:p>
            <w:pPr>
              <w:pStyle w:val="60"/>
              <w:rPr>
                <w:rFonts w:ascii="Arial" w:hAnsi="Arial" w:cs="Arial"/>
                <w:color w:val="auto"/>
                <w:shd w:val="clear" w:color="auto" w:fill="FFFFFF"/>
              </w:rPr>
            </w:pPr>
          </w:p>
        </w:tc>
        <w:tc>
          <w:tcPr>
            <w:tcW w:w="672" w:type="dxa"/>
            <w:vMerge w:val="continue"/>
            <w:tcBorders>
              <w:left w:val="single" w:color="auto" w:sz="4" w:space="0"/>
              <w:right w:val="single" w:color="auto" w:sz="4" w:space="0"/>
            </w:tcBorders>
            <w:vAlign w:val="center"/>
          </w:tcPr>
          <w:p>
            <w:pPr>
              <w:pStyle w:val="60"/>
              <w:rPr>
                <w:rFonts w:ascii="宋体" w:hAnsi="宋体"/>
                <w:color w:val="auto"/>
              </w:rPr>
            </w:pP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color w:val="auto"/>
                <w:sz w:val="21"/>
                <w:szCs w:val="21"/>
              </w:rPr>
            </w:pPr>
            <w:r>
              <w:rPr>
                <w:rFonts w:hint="eastAsia" w:ascii="宋体" w:hAnsi="宋体"/>
                <w:color w:val="auto"/>
                <w:sz w:val="21"/>
                <w:szCs w:val="21"/>
              </w:rPr>
              <w:t>2、服务模式（3分）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color w:val="auto"/>
                <w:sz w:val="21"/>
                <w:szCs w:val="21"/>
              </w:rPr>
            </w:pPr>
            <w:r>
              <w:rPr>
                <w:rFonts w:hint="eastAsia" w:ascii="宋体" w:hAnsi="宋体"/>
                <w:color w:val="auto"/>
                <w:sz w:val="21"/>
                <w:szCs w:val="21"/>
              </w:rPr>
              <w:t>投标人根据项目具体情况，设计服务模式、机制并提出服务的理念等。（由评委分为三档打分，一档3分，二档2分，三档1分打分，缺项不得分）</w:t>
            </w:r>
          </w:p>
        </w:tc>
      </w:tr>
      <w:tr>
        <w:tblPrEx>
          <w:tblCellMar>
            <w:top w:w="0" w:type="dxa"/>
            <w:left w:w="108" w:type="dxa"/>
            <w:bottom w:w="0" w:type="dxa"/>
            <w:right w:w="108" w:type="dxa"/>
          </w:tblCellMar>
        </w:tblPrEx>
        <w:trPr>
          <w:cantSplit/>
          <w:trHeight w:val="315" w:hRule="atLeast"/>
        </w:trPr>
        <w:tc>
          <w:tcPr>
            <w:tcW w:w="445" w:type="dxa"/>
            <w:vMerge w:val="continue"/>
            <w:tcBorders>
              <w:left w:val="double" w:color="auto" w:sz="4" w:space="0"/>
              <w:right w:val="single" w:color="auto" w:sz="4" w:space="0"/>
            </w:tcBorders>
            <w:vAlign w:val="center"/>
          </w:tcPr>
          <w:p>
            <w:pPr>
              <w:rPr>
                <w:rFonts w:ascii="宋体" w:hAnsi="宋体"/>
                <w:color w:val="auto"/>
                <w:kern w:val="0"/>
                <w:szCs w:val="21"/>
              </w:rPr>
            </w:pPr>
          </w:p>
        </w:tc>
        <w:tc>
          <w:tcPr>
            <w:tcW w:w="494" w:type="dxa"/>
            <w:vMerge w:val="continue"/>
            <w:tcBorders>
              <w:left w:val="single" w:color="auto" w:sz="4" w:space="0"/>
              <w:right w:val="single" w:color="auto" w:sz="4" w:space="0"/>
            </w:tcBorders>
            <w:vAlign w:val="center"/>
          </w:tcPr>
          <w:p>
            <w:pPr>
              <w:pStyle w:val="60"/>
              <w:rPr>
                <w:rFonts w:ascii="Arial" w:hAnsi="Arial" w:cs="Arial"/>
                <w:color w:val="auto"/>
                <w:shd w:val="clear" w:color="auto" w:fill="FFFFFF"/>
              </w:rPr>
            </w:pPr>
          </w:p>
        </w:tc>
        <w:tc>
          <w:tcPr>
            <w:tcW w:w="672" w:type="dxa"/>
            <w:vMerge w:val="continue"/>
            <w:tcBorders>
              <w:left w:val="single" w:color="auto" w:sz="4" w:space="0"/>
              <w:right w:val="single" w:color="auto" w:sz="4" w:space="0"/>
            </w:tcBorders>
            <w:vAlign w:val="center"/>
          </w:tcPr>
          <w:p>
            <w:pPr>
              <w:pStyle w:val="60"/>
              <w:rPr>
                <w:rFonts w:ascii="宋体" w:hAnsi="宋体"/>
                <w:color w:val="auto"/>
              </w:rPr>
            </w:pP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color w:val="auto"/>
                <w:sz w:val="21"/>
                <w:szCs w:val="21"/>
              </w:rPr>
            </w:pPr>
            <w:r>
              <w:rPr>
                <w:rFonts w:hint="eastAsia" w:ascii="宋体" w:hAnsi="宋体"/>
                <w:color w:val="auto"/>
                <w:sz w:val="21"/>
                <w:szCs w:val="21"/>
              </w:rPr>
              <w:t>3、服务目标及质量管理措施（5分）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color w:val="auto"/>
                <w:sz w:val="21"/>
                <w:szCs w:val="21"/>
              </w:rPr>
            </w:pPr>
            <w:r>
              <w:rPr>
                <w:rFonts w:hint="eastAsia" w:ascii="宋体" w:hAnsi="宋体"/>
                <w:color w:val="auto"/>
                <w:sz w:val="21"/>
                <w:szCs w:val="21"/>
              </w:rPr>
              <w:t>投标人根据服务内容承诺各项管理目标，并提出质量管理措施。（由评委分为三档打分，一档5分，二档3分，三档1分打分，缺项不得分）</w:t>
            </w:r>
          </w:p>
        </w:tc>
      </w:tr>
      <w:tr>
        <w:tblPrEx>
          <w:tblCellMar>
            <w:top w:w="0" w:type="dxa"/>
            <w:left w:w="108" w:type="dxa"/>
            <w:bottom w:w="0" w:type="dxa"/>
            <w:right w:w="108" w:type="dxa"/>
          </w:tblCellMar>
        </w:tblPrEx>
        <w:trPr>
          <w:cantSplit/>
          <w:trHeight w:val="355" w:hRule="atLeast"/>
        </w:trPr>
        <w:tc>
          <w:tcPr>
            <w:tcW w:w="445" w:type="dxa"/>
            <w:vMerge w:val="continue"/>
            <w:tcBorders>
              <w:left w:val="double" w:color="auto" w:sz="4" w:space="0"/>
              <w:right w:val="single" w:color="auto" w:sz="4" w:space="0"/>
            </w:tcBorders>
            <w:vAlign w:val="center"/>
          </w:tcPr>
          <w:p>
            <w:pPr>
              <w:rPr>
                <w:rFonts w:ascii="宋体" w:hAnsi="宋体"/>
                <w:color w:val="auto"/>
                <w:kern w:val="0"/>
                <w:szCs w:val="21"/>
              </w:rPr>
            </w:pPr>
          </w:p>
        </w:tc>
        <w:tc>
          <w:tcPr>
            <w:tcW w:w="494" w:type="dxa"/>
            <w:vMerge w:val="continue"/>
            <w:tcBorders>
              <w:left w:val="single" w:color="auto" w:sz="4" w:space="0"/>
              <w:right w:val="single" w:color="auto" w:sz="4" w:space="0"/>
            </w:tcBorders>
            <w:vAlign w:val="center"/>
          </w:tcPr>
          <w:p>
            <w:pPr>
              <w:pStyle w:val="60"/>
              <w:rPr>
                <w:rFonts w:ascii="Arial" w:hAnsi="Arial" w:cs="Arial"/>
                <w:color w:val="auto"/>
                <w:shd w:val="clear" w:color="auto" w:fill="FFFFFF"/>
              </w:rPr>
            </w:pPr>
          </w:p>
        </w:tc>
        <w:tc>
          <w:tcPr>
            <w:tcW w:w="672" w:type="dxa"/>
            <w:vMerge w:val="continue"/>
            <w:tcBorders>
              <w:left w:val="single" w:color="auto" w:sz="4" w:space="0"/>
              <w:right w:val="single" w:color="auto" w:sz="4" w:space="0"/>
            </w:tcBorders>
            <w:vAlign w:val="center"/>
          </w:tcPr>
          <w:p>
            <w:pPr>
              <w:pStyle w:val="60"/>
              <w:rPr>
                <w:rFonts w:ascii="宋体" w:hAnsi="宋体"/>
                <w:color w:val="auto"/>
              </w:rPr>
            </w:pP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color w:val="auto"/>
                <w:sz w:val="21"/>
                <w:szCs w:val="21"/>
              </w:rPr>
            </w:pPr>
            <w:r>
              <w:rPr>
                <w:rFonts w:hint="eastAsia" w:ascii="宋体" w:hAnsi="宋体"/>
                <w:color w:val="auto"/>
                <w:sz w:val="21"/>
                <w:szCs w:val="21"/>
              </w:rPr>
              <w:t>4、</w:t>
            </w:r>
            <w:r>
              <w:rPr>
                <w:rFonts w:hint="eastAsia" w:ascii="宋体" w:hAnsi="宋体"/>
                <w:color w:val="auto"/>
                <w:sz w:val="21"/>
                <w:szCs w:val="21"/>
                <w:lang w:eastAsia="zh-CN"/>
              </w:rPr>
              <w:t>人员培训</w:t>
            </w:r>
            <w:r>
              <w:rPr>
                <w:rFonts w:hint="eastAsia" w:ascii="宋体" w:hAnsi="宋体"/>
                <w:color w:val="auto"/>
                <w:sz w:val="21"/>
                <w:szCs w:val="21"/>
              </w:rPr>
              <w:t>方案（5分）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color w:val="auto"/>
                <w:sz w:val="21"/>
                <w:szCs w:val="21"/>
              </w:rPr>
            </w:pPr>
            <w:r>
              <w:rPr>
                <w:rFonts w:hint="eastAsia" w:ascii="宋体" w:hAnsi="宋体"/>
                <w:color w:val="auto"/>
                <w:sz w:val="21"/>
                <w:szCs w:val="21"/>
              </w:rPr>
              <w:t>根据各投标人提供的</w:t>
            </w:r>
            <w:r>
              <w:rPr>
                <w:rFonts w:hint="eastAsia" w:ascii="宋体" w:hAnsi="宋体"/>
                <w:color w:val="auto"/>
                <w:sz w:val="21"/>
                <w:szCs w:val="21"/>
                <w:lang w:eastAsia="zh-CN"/>
              </w:rPr>
              <w:t>人员培训</w:t>
            </w:r>
            <w:r>
              <w:rPr>
                <w:rFonts w:hint="eastAsia" w:ascii="宋体" w:hAnsi="宋体"/>
                <w:color w:val="auto"/>
                <w:sz w:val="21"/>
                <w:szCs w:val="21"/>
              </w:rPr>
              <w:t>方案。（由评委分为三档打分，一档5分，二档3分，三档1分打分，缺项不得分）</w:t>
            </w:r>
          </w:p>
        </w:tc>
      </w:tr>
      <w:tr>
        <w:tblPrEx>
          <w:tblCellMar>
            <w:top w:w="0" w:type="dxa"/>
            <w:left w:w="108" w:type="dxa"/>
            <w:bottom w:w="0" w:type="dxa"/>
            <w:right w:w="108" w:type="dxa"/>
          </w:tblCellMar>
        </w:tblPrEx>
        <w:trPr>
          <w:cantSplit/>
          <w:trHeight w:val="329" w:hRule="atLeast"/>
        </w:trPr>
        <w:tc>
          <w:tcPr>
            <w:tcW w:w="445" w:type="dxa"/>
            <w:vMerge w:val="continue"/>
            <w:tcBorders>
              <w:left w:val="double" w:color="auto" w:sz="4" w:space="0"/>
              <w:right w:val="single" w:color="auto" w:sz="4" w:space="0"/>
            </w:tcBorders>
            <w:vAlign w:val="center"/>
          </w:tcPr>
          <w:p>
            <w:pPr>
              <w:rPr>
                <w:rFonts w:ascii="宋体" w:hAnsi="宋体"/>
                <w:color w:val="auto"/>
                <w:kern w:val="0"/>
                <w:szCs w:val="21"/>
              </w:rPr>
            </w:pPr>
          </w:p>
        </w:tc>
        <w:tc>
          <w:tcPr>
            <w:tcW w:w="494" w:type="dxa"/>
            <w:vMerge w:val="continue"/>
            <w:tcBorders>
              <w:left w:val="single" w:color="auto" w:sz="4" w:space="0"/>
              <w:right w:val="single" w:color="auto" w:sz="4" w:space="0"/>
            </w:tcBorders>
            <w:vAlign w:val="center"/>
          </w:tcPr>
          <w:p>
            <w:pPr>
              <w:pStyle w:val="60"/>
              <w:rPr>
                <w:rFonts w:ascii="Arial" w:hAnsi="Arial" w:cs="Arial"/>
                <w:color w:val="auto"/>
                <w:shd w:val="clear" w:color="auto" w:fill="FFFFFF"/>
              </w:rPr>
            </w:pPr>
          </w:p>
        </w:tc>
        <w:tc>
          <w:tcPr>
            <w:tcW w:w="672" w:type="dxa"/>
            <w:vMerge w:val="continue"/>
            <w:tcBorders>
              <w:left w:val="single" w:color="auto" w:sz="4" w:space="0"/>
              <w:right w:val="single" w:color="auto" w:sz="4" w:space="0"/>
            </w:tcBorders>
            <w:vAlign w:val="center"/>
          </w:tcPr>
          <w:p>
            <w:pPr>
              <w:pStyle w:val="60"/>
              <w:rPr>
                <w:rFonts w:ascii="宋体" w:hAnsi="宋体"/>
                <w:color w:val="auto"/>
              </w:rPr>
            </w:pP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color w:val="auto"/>
                <w:sz w:val="21"/>
                <w:szCs w:val="21"/>
              </w:rPr>
            </w:pPr>
            <w:r>
              <w:rPr>
                <w:rFonts w:hint="eastAsia" w:ascii="宋体" w:hAnsi="宋体"/>
                <w:color w:val="auto"/>
                <w:sz w:val="21"/>
                <w:szCs w:val="21"/>
              </w:rPr>
              <w:t>5、养护及保洁服务方案（5分）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color w:val="auto"/>
                <w:sz w:val="21"/>
                <w:szCs w:val="21"/>
              </w:rPr>
            </w:pPr>
            <w:r>
              <w:rPr>
                <w:rFonts w:hint="eastAsia" w:ascii="宋体" w:hAnsi="宋体"/>
                <w:color w:val="auto"/>
                <w:sz w:val="21"/>
                <w:szCs w:val="21"/>
              </w:rPr>
              <w:t>根据各投标人提供的养护及保洁服务方案的针对性与合理性。（由评委分为三档打分，一档5分，二档3分，三档1分打分，缺项不得分）</w:t>
            </w:r>
          </w:p>
        </w:tc>
      </w:tr>
      <w:tr>
        <w:tblPrEx>
          <w:tblCellMar>
            <w:top w:w="0" w:type="dxa"/>
            <w:left w:w="108" w:type="dxa"/>
            <w:bottom w:w="0" w:type="dxa"/>
            <w:right w:w="108" w:type="dxa"/>
          </w:tblCellMar>
        </w:tblPrEx>
        <w:trPr>
          <w:cantSplit/>
          <w:trHeight w:val="710" w:hRule="atLeast"/>
        </w:trPr>
        <w:tc>
          <w:tcPr>
            <w:tcW w:w="445" w:type="dxa"/>
            <w:vMerge w:val="continue"/>
            <w:tcBorders>
              <w:left w:val="double" w:color="auto" w:sz="4" w:space="0"/>
              <w:right w:val="single" w:color="auto" w:sz="4" w:space="0"/>
            </w:tcBorders>
            <w:vAlign w:val="center"/>
          </w:tcPr>
          <w:p>
            <w:pPr>
              <w:rPr>
                <w:rFonts w:ascii="宋体" w:hAnsi="宋体"/>
                <w:color w:val="auto"/>
                <w:kern w:val="0"/>
                <w:szCs w:val="21"/>
              </w:rPr>
            </w:pPr>
          </w:p>
        </w:tc>
        <w:tc>
          <w:tcPr>
            <w:tcW w:w="494" w:type="dxa"/>
            <w:vMerge w:val="continue"/>
            <w:tcBorders>
              <w:left w:val="single" w:color="auto" w:sz="4" w:space="0"/>
              <w:right w:val="single" w:color="auto" w:sz="4" w:space="0"/>
            </w:tcBorders>
            <w:vAlign w:val="center"/>
          </w:tcPr>
          <w:p>
            <w:pPr>
              <w:pStyle w:val="60"/>
              <w:rPr>
                <w:rFonts w:ascii="Arial" w:hAnsi="Arial" w:cs="Arial"/>
                <w:color w:val="auto"/>
                <w:shd w:val="clear" w:color="auto" w:fill="FFFFFF"/>
              </w:rPr>
            </w:pPr>
          </w:p>
        </w:tc>
        <w:tc>
          <w:tcPr>
            <w:tcW w:w="672" w:type="dxa"/>
            <w:vMerge w:val="continue"/>
            <w:tcBorders>
              <w:left w:val="single" w:color="auto" w:sz="4" w:space="0"/>
              <w:right w:val="single" w:color="auto" w:sz="4" w:space="0"/>
            </w:tcBorders>
            <w:vAlign w:val="center"/>
          </w:tcPr>
          <w:p>
            <w:pPr>
              <w:pStyle w:val="60"/>
              <w:rPr>
                <w:rFonts w:ascii="宋体" w:hAnsi="宋体"/>
                <w:color w:val="auto"/>
              </w:rPr>
            </w:pP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color w:val="auto"/>
                <w:sz w:val="21"/>
                <w:szCs w:val="21"/>
              </w:rPr>
            </w:pPr>
            <w:r>
              <w:rPr>
                <w:rFonts w:hint="eastAsia" w:ascii="宋体" w:hAnsi="宋体"/>
                <w:color w:val="auto"/>
                <w:sz w:val="21"/>
                <w:szCs w:val="21"/>
              </w:rPr>
              <w:t>6、人员配置、管理方案（3分）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color w:val="auto"/>
                <w:sz w:val="21"/>
                <w:szCs w:val="21"/>
              </w:rPr>
            </w:pPr>
            <w:r>
              <w:rPr>
                <w:rFonts w:hint="eastAsia" w:ascii="宋体" w:hAnsi="宋体"/>
                <w:color w:val="auto"/>
                <w:sz w:val="21"/>
                <w:szCs w:val="21"/>
              </w:rPr>
              <w:t>投标人根据服务内容.标准提出相应的人员配置方案的合理性，及人员管理方案的针对性与有效性（由评委分为三档打分，一档3分，二档2分，三档1分打分，缺项不得分）。</w:t>
            </w:r>
          </w:p>
        </w:tc>
      </w:tr>
      <w:tr>
        <w:tblPrEx>
          <w:tblCellMar>
            <w:top w:w="0" w:type="dxa"/>
            <w:left w:w="108" w:type="dxa"/>
            <w:bottom w:w="0" w:type="dxa"/>
            <w:right w:w="108" w:type="dxa"/>
          </w:tblCellMar>
        </w:tblPrEx>
        <w:trPr>
          <w:cantSplit/>
          <w:trHeight w:val="305" w:hRule="atLeast"/>
        </w:trPr>
        <w:tc>
          <w:tcPr>
            <w:tcW w:w="445" w:type="dxa"/>
            <w:vMerge w:val="continue"/>
            <w:tcBorders>
              <w:left w:val="double" w:color="auto" w:sz="4" w:space="0"/>
              <w:right w:val="single" w:color="auto" w:sz="4" w:space="0"/>
            </w:tcBorders>
            <w:vAlign w:val="center"/>
          </w:tcPr>
          <w:p>
            <w:pPr>
              <w:rPr>
                <w:rFonts w:ascii="宋体" w:hAnsi="宋体"/>
                <w:color w:val="auto"/>
                <w:kern w:val="0"/>
                <w:szCs w:val="21"/>
              </w:rPr>
            </w:pPr>
          </w:p>
        </w:tc>
        <w:tc>
          <w:tcPr>
            <w:tcW w:w="494" w:type="dxa"/>
            <w:vMerge w:val="continue"/>
            <w:tcBorders>
              <w:left w:val="single" w:color="auto" w:sz="4" w:space="0"/>
              <w:right w:val="single" w:color="auto" w:sz="4" w:space="0"/>
            </w:tcBorders>
            <w:vAlign w:val="center"/>
          </w:tcPr>
          <w:p>
            <w:pPr>
              <w:pStyle w:val="60"/>
              <w:rPr>
                <w:rFonts w:ascii="Arial" w:hAnsi="Arial" w:cs="Arial"/>
                <w:color w:val="auto"/>
                <w:shd w:val="clear" w:color="auto" w:fill="FFFFFF"/>
              </w:rPr>
            </w:pPr>
          </w:p>
        </w:tc>
        <w:tc>
          <w:tcPr>
            <w:tcW w:w="672" w:type="dxa"/>
            <w:vMerge w:val="continue"/>
            <w:tcBorders>
              <w:left w:val="single" w:color="auto" w:sz="4" w:space="0"/>
              <w:right w:val="single" w:color="auto" w:sz="4" w:space="0"/>
            </w:tcBorders>
            <w:vAlign w:val="center"/>
          </w:tcPr>
          <w:p>
            <w:pPr>
              <w:pStyle w:val="60"/>
              <w:rPr>
                <w:rFonts w:ascii="宋体" w:hAnsi="宋体"/>
                <w:color w:val="auto"/>
              </w:rPr>
            </w:pP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color w:val="auto"/>
                <w:sz w:val="21"/>
                <w:szCs w:val="21"/>
              </w:rPr>
            </w:pPr>
            <w:r>
              <w:rPr>
                <w:rFonts w:hint="eastAsia" w:ascii="宋体" w:hAnsi="宋体"/>
                <w:color w:val="auto"/>
                <w:sz w:val="21"/>
                <w:szCs w:val="21"/>
              </w:rPr>
              <w:t>7、物资装备计划（3分）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color w:val="auto"/>
                <w:sz w:val="21"/>
                <w:szCs w:val="21"/>
              </w:rPr>
            </w:pPr>
            <w:r>
              <w:rPr>
                <w:rFonts w:hint="eastAsia" w:ascii="宋体" w:hAnsi="宋体"/>
                <w:color w:val="auto"/>
                <w:sz w:val="21"/>
                <w:szCs w:val="21"/>
              </w:rPr>
              <w:t>根据投标人提供的物资装备计划的针对性与合理性。（由评委分为三档打分，一档3分，二档2分，三档1分打分，缺项不得分）</w:t>
            </w:r>
          </w:p>
        </w:tc>
      </w:tr>
      <w:tr>
        <w:tblPrEx>
          <w:tblCellMar>
            <w:top w:w="0" w:type="dxa"/>
            <w:left w:w="108" w:type="dxa"/>
            <w:bottom w:w="0" w:type="dxa"/>
            <w:right w:w="108" w:type="dxa"/>
          </w:tblCellMar>
        </w:tblPrEx>
        <w:trPr>
          <w:cantSplit/>
          <w:trHeight w:val="504" w:hRule="atLeast"/>
        </w:trPr>
        <w:tc>
          <w:tcPr>
            <w:tcW w:w="445" w:type="dxa"/>
            <w:vMerge w:val="continue"/>
            <w:tcBorders>
              <w:left w:val="double" w:color="auto" w:sz="4" w:space="0"/>
              <w:right w:val="single" w:color="auto" w:sz="4" w:space="0"/>
            </w:tcBorders>
            <w:vAlign w:val="center"/>
          </w:tcPr>
          <w:p>
            <w:pPr>
              <w:rPr>
                <w:rFonts w:ascii="宋体" w:hAnsi="宋体"/>
                <w:color w:val="auto"/>
                <w:kern w:val="0"/>
                <w:szCs w:val="21"/>
              </w:rPr>
            </w:pPr>
          </w:p>
        </w:tc>
        <w:tc>
          <w:tcPr>
            <w:tcW w:w="494" w:type="dxa"/>
            <w:vMerge w:val="continue"/>
            <w:tcBorders>
              <w:left w:val="single" w:color="auto" w:sz="4" w:space="0"/>
              <w:right w:val="single" w:color="auto" w:sz="4" w:space="0"/>
            </w:tcBorders>
            <w:vAlign w:val="center"/>
          </w:tcPr>
          <w:p>
            <w:pPr>
              <w:pStyle w:val="60"/>
              <w:rPr>
                <w:rFonts w:ascii="Arial" w:hAnsi="Arial" w:cs="Arial"/>
                <w:color w:val="auto"/>
                <w:shd w:val="clear" w:color="auto" w:fill="FFFFFF"/>
              </w:rPr>
            </w:pPr>
          </w:p>
        </w:tc>
        <w:tc>
          <w:tcPr>
            <w:tcW w:w="672" w:type="dxa"/>
            <w:vMerge w:val="continue"/>
            <w:tcBorders>
              <w:left w:val="single" w:color="auto" w:sz="4" w:space="0"/>
              <w:right w:val="single" w:color="auto" w:sz="4" w:space="0"/>
            </w:tcBorders>
            <w:vAlign w:val="center"/>
          </w:tcPr>
          <w:p>
            <w:pPr>
              <w:pStyle w:val="60"/>
              <w:rPr>
                <w:rFonts w:ascii="宋体" w:hAnsi="宋体"/>
                <w:color w:val="auto"/>
              </w:rPr>
            </w:pP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color w:val="auto"/>
                <w:sz w:val="21"/>
                <w:szCs w:val="21"/>
              </w:rPr>
            </w:pPr>
            <w:r>
              <w:rPr>
                <w:rFonts w:hint="eastAsia" w:ascii="宋体" w:hAnsi="宋体"/>
                <w:color w:val="auto"/>
                <w:sz w:val="21"/>
                <w:szCs w:val="21"/>
              </w:rPr>
              <w:t>8、与采购人联动机制（3分）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color w:val="auto"/>
                <w:sz w:val="21"/>
                <w:szCs w:val="21"/>
              </w:rPr>
            </w:pPr>
            <w:r>
              <w:rPr>
                <w:rFonts w:hint="eastAsia" w:ascii="宋体" w:hAnsi="宋体"/>
                <w:color w:val="auto"/>
                <w:sz w:val="21"/>
                <w:szCs w:val="21"/>
              </w:rPr>
              <w:t>根据投标人提供与采购人联动机制的全面性与实用性，（由评委分为三档打分，一档3分，二档2分，三档1分打分，缺项不得分）</w:t>
            </w:r>
          </w:p>
        </w:tc>
      </w:tr>
      <w:tr>
        <w:tblPrEx>
          <w:tblCellMar>
            <w:top w:w="0" w:type="dxa"/>
            <w:left w:w="108" w:type="dxa"/>
            <w:bottom w:w="0" w:type="dxa"/>
            <w:right w:w="108" w:type="dxa"/>
          </w:tblCellMar>
        </w:tblPrEx>
        <w:trPr>
          <w:cantSplit/>
          <w:trHeight w:val="193" w:hRule="atLeast"/>
        </w:trPr>
        <w:tc>
          <w:tcPr>
            <w:tcW w:w="445" w:type="dxa"/>
            <w:vMerge w:val="continue"/>
            <w:tcBorders>
              <w:left w:val="double" w:color="auto" w:sz="4" w:space="0"/>
              <w:right w:val="single" w:color="auto" w:sz="4" w:space="0"/>
            </w:tcBorders>
            <w:vAlign w:val="center"/>
          </w:tcPr>
          <w:p>
            <w:pPr>
              <w:rPr>
                <w:rFonts w:ascii="宋体" w:hAnsi="宋体"/>
                <w:color w:val="auto"/>
                <w:kern w:val="0"/>
                <w:szCs w:val="21"/>
              </w:rPr>
            </w:pPr>
          </w:p>
        </w:tc>
        <w:tc>
          <w:tcPr>
            <w:tcW w:w="494" w:type="dxa"/>
            <w:vMerge w:val="continue"/>
            <w:tcBorders>
              <w:left w:val="single" w:color="auto" w:sz="4" w:space="0"/>
              <w:right w:val="single" w:color="auto" w:sz="4" w:space="0"/>
            </w:tcBorders>
            <w:vAlign w:val="center"/>
          </w:tcPr>
          <w:p>
            <w:pPr>
              <w:pStyle w:val="60"/>
              <w:rPr>
                <w:rFonts w:ascii="Arial" w:hAnsi="Arial" w:cs="Arial"/>
                <w:color w:val="auto"/>
                <w:shd w:val="clear" w:color="auto" w:fill="FFFFFF"/>
              </w:rPr>
            </w:pPr>
          </w:p>
        </w:tc>
        <w:tc>
          <w:tcPr>
            <w:tcW w:w="672" w:type="dxa"/>
            <w:vMerge w:val="continue"/>
            <w:tcBorders>
              <w:left w:val="single" w:color="auto" w:sz="4" w:space="0"/>
              <w:right w:val="single" w:color="auto" w:sz="4" w:space="0"/>
            </w:tcBorders>
            <w:vAlign w:val="center"/>
          </w:tcPr>
          <w:p>
            <w:pPr>
              <w:pStyle w:val="60"/>
              <w:rPr>
                <w:rFonts w:ascii="宋体" w:hAnsi="宋体"/>
                <w:color w:val="auto"/>
              </w:rPr>
            </w:pP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color w:val="auto"/>
                <w:sz w:val="21"/>
                <w:szCs w:val="21"/>
              </w:rPr>
            </w:pPr>
            <w:r>
              <w:rPr>
                <w:rFonts w:hint="eastAsia" w:ascii="宋体" w:hAnsi="宋体"/>
                <w:color w:val="auto"/>
                <w:sz w:val="21"/>
                <w:szCs w:val="21"/>
              </w:rPr>
              <w:t>9、应急预案（5分）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color w:val="auto"/>
                <w:sz w:val="21"/>
                <w:szCs w:val="21"/>
              </w:rPr>
            </w:pPr>
            <w:r>
              <w:rPr>
                <w:rFonts w:hint="eastAsia" w:ascii="宋体" w:hAnsi="宋体"/>
                <w:color w:val="auto"/>
                <w:sz w:val="21"/>
                <w:szCs w:val="21"/>
              </w:rPr>
              <w:t>根据投标人提供各种应急预案的全面性与针对性。（由评委分为三档打分，一档5分，二档3分，三档1分打分，缺项不得分）</w:t>
            </w:r>
          </w:p>
        </w:tc>
      </w:tr>
      <w:tr>
        <w:tblPrEx>
          <w:tblCellMar>
            <w:top w:w="0" w:type="dxa"/>
            <w:left w:w="108" w:type="dxa"/>
            <w:bottom w:w="0" w:type="dxa"/>
            <w:right w:w="108" w:type="dxa"/>
          </w:tblCellMar>
        </w:tblPrEx>
        <w:trPr>
          <w:cantSplit/>
          <w:trHeight w:val="193" w:hRule="atLeast"/>
        </w:trPr>
        <w:tc>
          <w:tcPr>
            <w:tcW w:w="445" w:type="dxa"/>
            <w:vMerge w:val="continue"/>
            <w:tcBorders>
              <w:left w:val="double" w:color="auto" w:sz="4" w:space="0"/>
              <w:right w:val="single" w:color="auto" w:sz="4" w:space="0"/>
            </w:tcBorders>
            <w:vAlign w:val="center"/>
          </w:tcPr>
          <w:p>
            <w:pPr>
              <w:rPr>
                <w:rFonts w:ascii="宋体" w:hAnsi="宋体"/>
                <w:color w:val="auto"/>
                <w:kern w:val="0"/>
                <w:szCs w:val="21"/>
              </w:rPr>
            </w:pPr>
          </w:p>
        </w:tc>
        <w:tc>
          <w:tcPr>
            <w:tcW w:w="494" w:type="dxa"/>
            <w:vMerge w:val="continue"/>
            <w:tcBorders>
              <w:left w:val="single" w:color="auto" w:sz="4" w:space="0"/>
              <w:right w:val="single" w:color="auto" w:sz="4" w:space="0"/>
            </w:tcBorders>
            <w:vAlign w:val="center"/>
          </w:tcPr>
          <w:p>
            <w:pPr>
              <w:pStyle w:val="60"/>
              <w:rPr>
                <w:rFonts w:ascii="Arial" w:hAnsi="Arial" w:cs="Arial"/>
                <w:color w:val="auto"/>
                <w:shd w:val="clear" w:color="auto" w:fill="FFFFFF"/>
              </w:rPr>
            </w:pPr>
          </w:p>
        </w:tc>
        <w:tc>
          <w:tcPr>
            <w:tcW w:w="672" w:type="dxa"/>
            <w:vMerge w:val="continue"/>
            <w:tcBorders>
              <w:left w:val="single" w:color="auto" w:sz="4" w:space="0"/>
              <w:right w:val="single" w:color="auto" w:sz="4" w:space="0"/>
            </w:tcBorders>
            <w:vAlign w:val="center"/>
          </w:tcPr>
          <w:p>
            <w:pPr>
              <w:pStyle w:val="60"/>
              <w:rPr>
                <w:rFonts w:ascii="宋体" w:hAnsi="宋体"/>
                <w:color w:val="auto"/>
              </w:rPr>
            </w:pPr>
          </w:p>
        </w:tc>
        <w:tc>
          <w:tcPr>
            <w:tcW w:w="151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rPr>
            </w:pPr>
            <w:r>
              <w:rPr>
                <w:rFonts w:hint="eastAsia" w:ascii="宋体" w:hAnsi="宋体"/>
                <w:color w:val="auto"/>
                <w:kern w:val="0"/>
                <w:szCs w:val="21"/>
              </w:rPr>
              <w:t>10、服务承诺（5分）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color w:val="auto"/>
                <w:sz w:val="21"/>
                <w:szCs w:val="21"/>
              </w:rPr>
            </w:pPr>
            <w:r>
              <w:rPr>
                <w:rFonts w:hint="eastAsia" w:ascii="宋体" w:hAnsi="宋体"/>
                <w:color w:val="auto"/>
                <w:sz w:val="21"/>
                <w:szCs w:val="21"/>
              </w:rPr>
              <w:t>具有完善的服务计划，具有为采购人排忧解难的制度安排。由评委综合比较分为三档，一档5分，二档3分，三档1分打分，无服务计划不得分。</w:t>
            </w:r>
          </w:p>
        </w:tc>
      </w:tr>
      <w:tr>
        <w:tblPrEx>
          <w:tblCellMar>
            <w:top w:w="0" w:type="dxa"/>
            <w:left w:w="108" w:type="dxa"/>
            <w:bottom w:w="0" w:type="dxa"/>
            <w:right w:w="108" w:type="dxa"/>
          </w:tblCellMar>
        </w:tblPrEx>
        <w:trPr>
          <w:trHeight w:val="455" w:hRule="atLeast"/>
        </w:trPr>
        <w:tc>
          <w:tcPr>
            <w:tcW w:w="939" w:type="dxa"/>
            <w:gridSpan w:val="2"/>
            <w:tcBorders>
              <w:top w:val="single" w:color="auto" w:sz="4" w:space="0"/>
              <w:left w:val="double" w:color="auto" w:sz="4" w:space="0"/>
              <w:bottom w:val="double" w:color="auto" w:sz="4" w:space="0"/>
              <w:right w:val="single" w:color="auto" w:sz="4" w:space="0"/>
            </w:tcBorders>
            <w:vAlign w:val="center"/>
          </w:tcPr>
          <w:p>
            <w:pPr>
              <w:rPr>
                <w:rFonts w:ascii="宋体" w:hAnsi="宋体"/>
                <w:color w:val="auto"/>
                <w:kern w:val="0"/>
                <w:sz w:val="22"/>
              </w:rPr>
            </w:pPr>
            <w:r>
              <w:rPr>
                <w:rFonts w:hint="eastAsia" w:ascii="宋体" w:hAnsi="宋体"/>
                <w:color w:val="auto"/>
                <w:kern w:val="0"/>
                <w:sz w:val="22"/>
              </w:rPr>
              <w:t>合计</w:t>
            </w:r>
          </w:p>
        </w:tc>
        <w:tc>
          <w:tcPr>
            <w:tcW w:w="672" w:type="dxa"/>
            <w:tcBorders>
              <w:top w:val="single" w:color="auto" w:sz="4" w:space="0"/>
              <w:left w:val="single" w:color="auto" w:sz="4" w:space="0"/>
              <w:bottom w:val="double" w:color="auto" w:sz="4" w:space="0"/>
              <w:right w:val="single" w:color="auto" w:sz="4" w:space="0"/>
            </w:tcBorders>
            <w:vAlign w:val="center"/>
          </w:tcPr>
          <w:p>
            <w:pPr>
              <w:rPr>
                <w:rFonts w:ascii="宋体" w:hAnsi="宋体"/>
                <w:color w:val="auto"/>
                <w:kern w:val="0"/>
                <w:sz w:val="22"/>
              </w:rPr>
            </w:pPr>
            <w:r>
              <w:rPr>
                <w:rFonts w:hint="eastAsia" w:ascii="宋体" w:hAnsi="宋体"/>
                <w:color w:val="auto"/>
                <w:kern w:val="0"/>
                <w:sz w:val="22"/>
              </w:rPr>
              <w:t>100</w:t>
            </w:r>
          </w:p>
        </w:tc>
        <w:tc>
          <w:tcPr>
            <w:tcW w:w="8118" w:type="dxa"/>
            <w:gridSpan w:val="2"/>
            <w:tcBorders>
              <w:top w:val="single" w:color="auto" w:sz="4" w:space="0"/>
              <w:left w:val="single" w:color="auto" w:sz="4" w:space="0"/>
              <w:bottom w:val="double" w:color="auto" w:sz="4" w:space="0"/>
              <w:right w:val="double" w:color="auto" w:sz="4" w:space="0"/>
            </w:tcBorders>
            <w:vAlign w:val="center"/>
          </w:tcPr>
          <w:p>
            <w:pPr>
              <w:rPr>
                <w:rFonts w:ascii="宋体" w:hAnsi="宋体"/>
                <w:color w:val="auto"/>
                <w:kern w:val="0"/>
                <w:sz w:val="22"/>
              </w:rPr>
            </w:pPr>
            <w:r>
              <w:rPr>
                <w:rFonts w:hint="eastAsia" w:ascii="宋体" w:hAnsi="宋体"/>
                <w:color w:val="auto"/>
                <w:kern w:val="0"/>
                <w:sz w:val="22"/>
              </w:rPr>
              <w:t xml:space="preserve"> </w:t>
            </w:r>
          </w:p>
        </w:tc>
      </w:tr>
    </w:tbl>
    <w:p>
      <w:pPr>
        <w:spacing w:line="360" w:lineRule="auto"/>
        <w:ind w:firstLine="422" w:firstLineChars="200"/>
        <w:rPr>
          <w:rFonts w:cs="仿宋_GB2312" w:asciiTheme="minorEastAsia" w:hAnsiTheme="minorEastAsia"/>
          <w:b/>
          <w:color w:val="auto"/>
          <w:szCs w:val="21"/>
        </w:rPr>
      </w:pPr>
    </w:p>
    <w:p>
      <w:pPr>
        <w:spacing w:line="360" w:lineRule="auto"/>
        <w:ind w:firstLine="422" w:firstLineChars="200"/>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其中：价格分计算（落实政府采购政策价格调整部分）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序号</w:t>
            </w:r>
          </w:p>
        </w:tc>
        <w:tc>
          <w:tcPr>
            <w:tcW w:w="2823" w:type="dxa"/>
            <w:vAlign w:val="center"/>
          </w:tcPr>
          <w:p>
            <w:pPr>
              <w:jc w:val="center"/>
              <w:rPr>
                <w:rFonts w:ascii="宋体" w:hAnsi="宋体"/>
                <w:b/>
                <w:color w:val="auto"/>
                <w:szCs w:val="21"/>
                <w:lang w:val="en-GB"/>
              </w:rPr>
            </w:pPr>
            <w:r>
              <w:rPr>
                <w:rFonts w:hint="eastAsia" w:ascii="宋体" w:hAnsi="宋体"/>
                <w:b/>
                <w:color w:val="auto"/>
                <w:szCs w:val="21"/>
                <w:lang w:val="en-GB"/>
              </w:rPr>
              <w:t>情形</w:t>
            </w:r>
          </w:p>
        </w:tc>
        <w:tc>
          <w:tcPr>
            <w:tcW w:w="2552" w:type="dxa"/>
            <w:vAlign w:val="center"/>
          </w:tcPr>
          <w:p>
            <w:pPr>
              <w:jc w:val="center"/>
              <w:rPr>
                <w:rFonts w:ascii="宋体" w:hAnsi="宋体"/>
                <w:b/>
                <w:color w:val="auto"/>
                <w:szCs w:val="21"/>
                <w:lang w:val="en-GB"/>
              </w:rPr>
            </w:pPr>
            <w:r>
              <w:rPr>
                <w:rFonts w:hint="eastAsia" w:ascii="宋体" w:hAnsi="宋体"/>
                <w:b/>
                <w:color w:val="auto"/>
                <w:szCs w:val="21"/>
              </w:rPr>
              <w:t>价格扣除</w:t>
            </w:r>
            <w:r>
              <w:rPr>
                <w:rFonts w:hint="eastAsia" w:ascii="宋体" w:hAnsi="宋体"/>
                <w:b/>
                <w:color w:val="auto"/>
                <w:szCs w:val="21"/>
                <w:lang w:val="en-GB"/>
              </w:rPr>
              <w:t>比例</w:t>
            </w:r>
          </w:p>
        </w:tc>
        <w:tc>
          <w:tcPr>
            <w:tcW w:w="2835" w:type="dxa"/>
            <w:vAlign w:val="center"/>
          </w:tcPr>
          <w:p>
            <w:pPr>
              <w:jc w:val="center"/>
              <w:rPr>
                <w:rFonts w:ascii="宋体" w:hAnsi="宋体"/>
                <w:b/>
                <w:color w:val="auto"/>
                <w:szCs w:val="21"/>
                <w:lang w:val="en-GB"/>
              </w:rPr>
            </w:pPr>
            <w:r>
              <w:rPr>
                <w:rFonts w:hint="eastAsia" w:ascii="宋体" w:hAnsi="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1</w:t>
            </w:r>
          </w:p>
        </w:tc>
        <w:tc>
          <w:tcPr>
            <w:tcW w:w="2823" w:type="dxa"/>
            <w:vAlign w:val="center"/>
          </w:tcPr>
          <w:p>
            <w:pPr>
              <w:jc w:val="center"/>
              <w:rPr>
                <w:rFonts w:ascii="宋体" w:hAnsi="宋体"/>
                <w:b/>
                <w:color w:val="auto"/>
                <w:szCs w:val="21"/>
                <w:lang w:val="en-GB"/>
              </w:rPr>
            </w:pPr>
            <w:r>
              <w:rPr>
                <w:rFonts w:hint="eastAsia" w:ascii="宋体" w:hAnsi="宋体"/>
                <w:color w:val="auto"/>
                <w:szCs w:val="21"/>
                <w:lang w:val="en-GB"/>
              </w:rPr>
              <w:t>非联合体投标人</w:t>
            </w:r>
          </w:p>
        </w:tc>
        <w:tc>
          <w:tcPr>
            <w:tcW w:w="2552" w:type="dxa"/>
            <w:vAlign w:val="center"/>
          </w:tcPr>
          <w:p>
            <w:pPr>
              <w:jc w:val="center"/>
              <w:rPr>
                <w:rFonts w:ascii="宋体" w:hAnsi="宋体"/>
                <w:b/>
                <w:color w:val="auto"/>
                <w:szCs w:val="21"/>
                <w:lang w:val="en-GB"/>
              </w:rPr>
            </w:pPr>
            <w:r>
              <w:rPr>
                <w:rFonts w:hint="eastAsia" w:ascii="宋体" w:hAnsi="宋体"/>
                <w:color w:val="auto"/>
                <w:szCs w:val="21"/>
              </w:rPr>
              <w:t>对小型和微型企业产品的价格扣除</w:t>
            </w:r>
            <w:r>
              <w:rPr>
                <w:rFonts w:ascii="宋体" w:hAnsi="宋体"/>
                <w:color w:val="auto"/>
                <w:szCs w:val="21"/>
                <w:u w:val="single"/>
              </w:rPr>
              <w:t>6</w:t>
            </w:r>
            <w:r>
              <w:rPr>
                <w:rFonts w:hint="eastAsia" w:ascii="宋体" w:hAnsi="宋体"/>
                <w:color w:val="auto"/>
                <w:szCs w:val="21"/>
              </w:rPr>
              <w:t>%</w:t>
            </w:r>
          </w:p>
        </w:tc>
        <w:tc>
          <w:tcPr>
            <w:tcW w:w="2835" w:type="dxa"/>
            <w:vMerge w:val="restart"/>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小型和微型企业产品的价格</w:t>
            </w:r>
            <w:r>
              <w:rPr>
                <w:rFonts w:hint="eastAsia" w:ascii="宋体" w:hAnsi="宋体"/>
                <w:color w:val="auto"/>
                <w:szCs w:val="21"/>
                <w:lang w:val="en-GB"/>
              </w:rPr>
              <w:t>×</w:t>
            </w:r>
            <w:r>
              <w:rPr>
                <w:rFonts w:hint="eastAsia"/>
                <w:color w:val="auto"/>
                <w:szCs w:val="21"/>
                <w:lang w:val="en-GB"/>
              </w:rPr>
              <w:t>6%</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2</w:t>
            </w:r>
          </w:p>
        </w:tc>
        <w:tc>
          <w:tcPr>
            <w:tcW w:w="2823" w:type="dxa"/>
            <w:vAlign w:val="center"/>
          </w:tcPr>
          <w:p>
            <w:pPr>
              <w:jc w:val="center"/>
              <w:rPr>
                <w:rFonts w:ascii="宋体" w:hAnsi="宋体"/>
                <w:b/>
                <w:color w:val="auto"/>
                <w:szCs w:val="21"/>
              </w:rPr>
            </w:pPr>
            <w:r>
              <w:rPr>
                <w:rFonts w:hint="eastAsia" w:ascii="宋体" w:hAnsi="宋体"/>
                <w:color w:val="auto"/>
                <w:szCs w:val="21"/>
                <w:lang w:val="en-GB"/>
              </w:rPr>
              <w:t>联合体各方均为小型、微型企业</w:t>
            </w:r>
          </w:p>
        </w:tc>
        <w:tc>
          <w:tcPr>
            <w:tcW w:w="2552" w:type="dxa"/>
            <w:vAlign w:val="center"/>
          </w:tcPr>
          <w:p>
            <w:pPr>
              <w:jc w:val="center"/>
              <w:rPr>
                <w:rFonts w:ascii="宋体" w:hAnsi="宋体"/>
                <w:color w:val="auto"/>
                <w:szCs w:val="21"/>
              </w:rPr>
            </w:pPr>
            <w:r>
              <w:rPr>
                <w:rFonts w:hint="eastAsia" w:ascii="宋体" w:hAnsi="宋体"/>
                <w:color w:val="auto"/>
                <w:szCs w:val="21"/>
              </w:rPr>
              <w:t>对小型和微型企业产品的价格扣除</w:t>
            </w:r>
            <w:r>
              <w:rPr>
                <w:rFonts w:ascii="宋体" w:hAnsi="宋体"/>
                <w:color w:val="auto"/>
                <w:szCs w:val="21"/>
                <w:u w:val="single"/>
              </w:rPr>
              <w:t>6</w:t>
            </w:r>
            <w:r>
              <w:rPr>
                <w:rFonts w:hint="eastAsia" w:ascii="宋体" w:hAnsi="宋体"/>
                <w:color w:val="auto"/>
                <w:szCs w:val="21"/>
              </w:rPr>
              <w:t>%</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835"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3</w:t>
            </w:r>
          </w:p>
        </w:tc>
        <w:tc>
          <w:tcPr>
            <w:tcW w:w="2823" w:type="dxa"/>
            <w:vAlign w:val="center"/>
          </w:tcPr>
          <w:p>
            <w:pPr>
              <w:jc w:val="center"/>
              <w:rPr>
                <w:rFonts w:ascii="宋体" w:hAnsi="宋体"/>
                <w:b/>
                <w:color w:val="auto"/>
                <w:szCs w:val="21"/>
                <w:lang w:val="en-GB"/>
              </w:rPr>
            </w:pPr>
            <w:r>
              <w:rPr>
                <w:rFonts w:hint="eastAsia" w:ascii="宋体" w:hAnsi="宋体"/>
                <w:color w:val="auto"/>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对联合体总金额扣除</w:t>
            </w:r>
          </w:p>
          <w:p>
            <w:pPr>
              <w:jc w:val="center"/>
              <w:rPr>
                <w:rFonts w:ascii="宋体" w:hAnsi="宋体"/>
                <w:b/>
                <w:color w:val="auto"/>
                <w:szCs w:val="21"/>
                <w:lang w:val="en-GB"/>
              </w:rPr>
            </w:pPr>
            <w:r>
              <w:rPr>
                <w:rFonts w:ascii="宋体" w:hAnsi="宋体"/>
                <w:color w:val="auto"/>
                <w:szCs w:val="21"/>
                <w:u w:val="single"/>
              </w:rPr>
              <w:t>2</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u w:val="single"/>
              </w:rPr>
            </w:pPr>
            <w:r>
              <w:rPr>
                <w:rFonts w:hint="eastAsia" w:ascii="宋体" w:hAnsi="宋体"/>
                <w:color w:val="auto"/>
                <w:szCs w:val="21"/>
                <w:lang w:val="en-GB"/>
              </w:rPr>
              <w:t>评标价格＝投标报价×</w:t>
            </w:r>
            <w:r>
              <w:rPr>
                <w:rFonts w:hint="eastAsia" w:ascii="宋体" w:hAnsi="宋体"/>
                <w:color w:val="auto"/>
                <w:szCs w:val="21"/>
              </w:rPr>
              <w:t>(1-</w:t>
            </w:r>
            <w:r>
              <w:rPr>
                <w:rFonts w:ascii="宋体" w:hAnsi="宋体"/>
                <w:color w:val="auto"/>
                <w:szCs w:val="21"/>
                <w:u w:val="single"/>
              </w:rPr>
              <w:t>2</w:t>
            </w:r>
            <w:r>
              <w:rPr>
                <w:rFonts w:hint="eastAsia" w:ascii="宋体" w:hAnsi="宋体"/>
                <w:color w:val="auto"/>
                <w:szCs w:val="21"/>
                <w:u w:val="single"/>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4</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监狱企业</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视同小型、微型企业</w:t>
            </w:r>
          </w:p>
          <w:p>
            <w:pPr>
              <w:jc w:val="center"/>
              <w:rPr>
                <w:rFonts w:ascii="宋体" w:hAnsi="宋体"/>
                <w:color w:val="auto"/>
                <w:szCs w:val="21"/>
                <w:lang w:val="en-GB"/>
              </w:rPr>
            </w:pPr>
            <w:r>
              <w:rPr>
                <w:rFonts w:hint="eastAsia" w:ascii="宋体" w:hAnsi="宋体"/>
                <w:color w:val="auto"/>
                <w:szCs w:val="21"/>
                <w:lang w:val="en-GB"/>
              </w:rPr>
              <w:t>对监狱企业产品价格扣除</w:t>
            </w:r>
            <w:r>
              <w:rPr>
                <w:rFonts w:ascii="宋体" w:hAnsi="宋体"/>
                <w:color w:val="auto"/>
                <w:szCs w:val="21"/>
                <w:u w:val="single"/>
              </w:rPr>
              <w:t>6</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lang w:val="en-GB"/>
              </w:rPr>
            </w:pPr>
            <w:r>
              <w:rPr>
                <w:rFonts w:hint="eastAsia"/>
                <w:color w:val="auto"/>
                <w:szCs w:val="21"/>
                <w:lang w:val="en-GB"/>
              </w:rPr>
              <w:t>评标价格＝投标报价—</w:t>
            </w:r>
            <w:r>
              <w:rPr>
                <w:rFonts w:hint="eastAsia"/>
                <w:color w:val="auto"/>
                <w:szCs w:val="21"/>
              </w:rPr>
              <w:t>监狱企业产品的价格</w:t>
            </w:r>
            <w:r>
              <w:rPr>
                <w:rFonts w:hint="eastAsia" w:ascii="宋体" w:hAnsi="宋体"/>
                <w:color w:val="auto"/>
                <w:szCs w:val="21"/>
                <w:lang w:val="en-GB"/>
              </w:rPr>
              <w:t>×</w:t>
            </w:r>
            <w:r>
              <w:rPr>
                <w:rFonts w:hint="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5</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残疾人福利性单位</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视同小型、微型企业</w:t>
            </w:r>
          </w:p>
          <w:p>
            <w:pPr>
              <w:jc w:val="center"/>
              <w:rPr>
                <w:rFonts w:ascii="宋体" w:hAnsi="宋体"/>
                <w:color w:val="auto"/>
                <w:szCs w:val="21"/>
                <w:lang w:val="en-GB"/>
              </w:rPr>
            </w:pPr>
            <w:r>
              <w:rPr>
                <w:rFonts w:hint="eastAsia" w:ascii="宋体" w:hAnsi="宋体"/>
                <w:color w:val="auto"/>
                <w:szCs w:val="21"/>
                <w:lang w:val="en-GB"/>
              </w:rPr>
              <w:t>对残疾人福利性单位产品价格扣除</w:t>
            </w:r>
            <w:r>
              <w:rPr>
                <w:rFonts w:ascii="宋体" w:hAnsi="宋体"/>
                <w:color w:val="auto"/>
                <w:szCs w:val="21"/>
                <w:u w:val="single"/>
              </w:rPr>
              <w:t>6</w:t>
            </w:r>
            <w:r>
              <w:rPr>
                <w:rFonts w:hint="eastAsia" w:ascii="宋体" w:hAnsi="宋体"/>
                <w:color w:val="auto"/>
                <w:szCs w:val="21"/>
              </w:rPr>
              <w:t>%</w:t>
            </w:r>
          </w:p>
        </w:tc>
        <w:tc>
          <w:tcPr>
            <w:tcW w:w="2835" w:type="dxa"/>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残疾人福利性单位产品的价格</w:t>
            </w:r>
            <w:r>
              <w:rPr>
                <w:rFonts w:hint="eastAsia" w:ascii="宋体" w:hAnsi="宋体"/>
                <w:color w:val="auto"/>
                <w:szCs w:val="21"/>
                <w:lang w:val="en-GB"/>
              </w:rPr>
              <w:t>×</w:t>
            </w:r>
            <w:r>
              <w:rPr>
                <w:rFonts w:hint="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w:t>
            </w:r>
            <w:r>
              <w:rPr>
                <w:rFonts w:cs="仿宋_GB2312" w:asciiTheme="minorEastAsia" w:hAnsiTheme="minorEastAsia"/>
                <w:color w:val="auto"/>
                <w:szCs w:val="21"/>
                <w:lang w:val="zh-CN"/>
              </w:rPr>
              <w:t>经评标委员会</w:t>
            </w:r>
            <w:r>
              <w:rPr>
                <w:rFonts w:hint="eastAsia" w:cs="仿宋_GB2312" w:asciiTheme="minorEastAsia" w:hAnsiTheme="minorEastAsia"/>
                <w:color w:val="auto"/>
                <w:szCs w:val="21"/>
                <w:lang w:val="zh-CN"/>
              </w:rPr>
              <w:t>审查、评价</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投标文件符合</w:t>
            </w:r>
            <w:r>
              <w:rPr>
                <w:rFonts w:cs="仿宋_GB2312" w:asciiTheme="minorEastAsia" w:hAnsiTheme="minorEastAsia"/>
                <w:color w:val="auto"/>
                <w:szCs w:val="21"/>
                <w:lang w:val="zh-CN"/>
              </w:rPr>
              <w:t>招标文件</w:t>
            </w:r>
            <w:r>
              <w:rPr>
                <w:rFonts w:hint="eastAsia" w:cs="仿宋_GB2312" w:asciiTheme="minorEastAsia" w:hAnsiTheme="minorEastAsia"/>
                <w:color w:val="auto"/>
                <w:szCs w:val="21"/>
                <w:lang w:val="zh-CN"/>
              </w:rPr>
              <w:t>实质性</w:t>
            </w:r>
            <w:r>
              <w:rPr>
                <w:rFonts w:cs="仿宋_GB2312" w:asciiTheme="minorEastAsia" w:hAnsiTheme="minorEastAsia"/>
                <w:color w:val="auto"/>
                <w:szCs w:val="21"/>
                <w:lang w:val="zh-CN"/>
              </w:rPr>
              <w:t>要求且</w:t>
            </w:r>
            <w:r>
              <w:rPr>
                <w:rFonts w:hint="eastAsia" w:cs="仿宋_GB2312" w:asciiTheme="minorEastAsia" w:hAnsiTheme="minorEastAsia"/>
                <w:color w:val="auto"/>
                <w:szCs w:val="21"/>
                <w:lang w:val="zh-CN"/>
              </w:rPr>
              <w:t>进行了政策性价格扣除后，</w:t>
            </w:r>
            <w:r>
              <w:rPr>
                <w:rFonts w:cs="仿宋_GB2312" w:asciiTheme="minorEastAsia" w:hAnsiTheme="minorEastAsia"/>
                <w:color w:val="auto"/>
                <w:szCs w:val="21"/>
                <w:lang w:val="zh-CN"/>
              </w:rPr>
              <w:t>以</w:t>
            </w:r>
            <w:r>
              <w:rPr>
                <w:rFonts w:hint="eastAsia" w:cs="仿宋_GB2312" w:asciiTheme="minorEastAsia" w:hAnsiTheme="minorEastAsia"/>
                <w:color w:val="auto"/>
                <w:szCs w:val="21"/>
                <w:lang w:val="zh-CN"/>
              </w:rPr>
              <w:t>评标价格的</w:t>
            </w:r>
            <w:r>
              <w:rPr>
                <w:rFonts w:cs="仿宋_GB2312" w:asciiTheme="minorEastAsia" w:hAnsiTheme="minorEastAsia"/>
                <w:color w:val="auto"/>
                <w:szCs w:val="21"/>
                <w:lang w:val="zh-CN"/>
              </w:rPr>
              <w:t>最低价者定为评标基准价，其价格分为满分。其他投标人的价格分统一按下列公式</w:t>
            </w:r>
            <w:r>
              <w:rPr>
                <w:rFonts w:hint="eastAsia" w:cs="仿宋_GB2312" w:asciiTheme="minorEastAsia" w:hAnsiTheme="minorEastAsia"/>
                <w:color w:val="auto"/>
                <w:szCs w:val="21"/>
                <w:lang w:val="zh-CN"/>
              </w:rPr>
              <w:t>计算</w:t>
            </w:r>
            <w:r>
              <w:rPr>
                <w:rFonts w:cs="仿宋_GB2312" w:asciiTheme="minorEastAsia" w:hAnsiTheme="minorEastAsia"/>
                <w:color w:val="auto"/>
                <w:szCs w:val="21"/>
                <w:lang w:val="zh-CN"/>
              </w:rPr>
              <w:t>。即：</w:t>
            </w:r>
          </w:p>
          <w:p>
            <w:pPr>
              <w:widowControl/>
              <w:adjustRightInd w:val="0"/>
              <w:spacing w:line="360" w:lineRule="auto"/>
              <w:ind w:left="-88" w:leftChars="-42" w:firstLine="449" w:firstLineChars="214"/>
              <w:jc w:val="left"/>
              <w:rPr>
                <w:rFonts w:cs="仿宋_GB2312" w:asciiTheme="minorEastAsia" w:hAnsiTheme="minorEastAsia"/>
                <w:color w:val="auto"/>
                <w:szCs w:val="21"/>
                <w:lang w:val="zh-CN"/>
              </w:rPr>
            </w:pPr>
            <w:r>
              <w:rPr>
                <w:rFonts w:cs="仿宋_GB2312" w:asciiTheme="minorEastAsia" w:hAnsiTheme="minorEastAsia"/>
                <w:color w:val="auto"/>
                <w:szCs w:val="21"/>
                <w:lang w:val="zh-CN"/>
              </w:rPr>
              <w:t>评标基准价</w:t>
            </w:r>
            <w:r>
              <w:rPr>
                <w:rFonts w:hint="eastAsia" w:cs="仿宋_GB2312" w:asciiTheme="minorEastAsia" w:hAnsiTheme="minorEastAsia"/>
                <w:color w:val="auto"/>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color w:val="auto"/>
                <w:szCs w:val="21"/>
                <w:lang w:val="zh-CN"/>
              </w:rPr>
            </w:pPr>
            <w:r>
              <w:rPr>
                <w:rFonts w:cs="仿宋_GB2312" w:asciiTheme="minorEastAsia" w:hAnsiTheme="minorEastAsia"/>
                <w:color w:val="auto"/>
                <w:szCs w:val="21"/>
                <w:lang w:val="zh-CN"/>
              </w:rPr>
              <w:t>其他投标报价得分</w:t>
            </w:r>
            <w:r>
              <w:rPr>
                <w:rFonts w:hint="eastAsia" w:cs="仿宋_GB2312" w:asciiTheme="minorEastAsia" w:hAnsiTheme="minorEastAsia"/>
                <w:color w:val="auto"/>
                <w:szCs w:val="21"/>
                <w:lang w:val="zh-CN"/>
              </w:rPr>
              <w:t>=（</w:t>
            </w:r>
            <w:r>
              <w:rPr>
                <w:rFonts w:cs="仿宋_GB2312" w:asciiTheme="minorEastAsia" w:hAnsiTheme="minorEastAsia"/>
                <w:color w:val="auto"/>
                <w:szCs w:val="21"/>
                <w:lang w:val="zh-CN"/>
              </w:rPr>
              <w:t>评标基准价</w:t>
            </w:r>
            <w:r>
              <w:rPr>
                <w:rFonts w:hint="eastAsia" w:cs="仿宋_GB2312" w:asciiTheme="minorEastAsia" w:hAnsiTheme="minorEastAsia"/>
                <w:color w:val="auto"/>
                <w:szCs w:val="21"/>
                <w:lang w:val="zh-CN"/>
              </w:rPr>
              <w:t>/评标价格）</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评标标准中价格分值</w:t>
            </w:r>
          </w:p>
        </w:tc>
      </w:tr>
    </w:tbl>
    <w:p>
      <w:pPr>
        <w:spacing w:line="360" w:lineRule="auto"/>
        <w:rPr>
          <w:rFonts w:ascii="宋体" w:hAnsi="宋体"/>
          <w:bCs/>
          <w:color w:val="auto"/>
          <w:szCs w:val="21"/>
          <w:lang w:val="en-GB"/>
        </w:rPr>
      </w:pPr>
      <w:r>
        <w:rPr>
          <w:rFonts w:hint="eastAsia" w:ascii="宋体" w:hAnsi="宋体"/>
          <w:bCs/>
          <w:color w:val="auto"/>
          <w:szCs w:val="21"/>
          <w:lang w:val="en-GB"/>
        </w:rPr>
        <w:t>备注：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a、不接受联合体投标的项目，本表中第2项、第3项情形不适用。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b、小型和微型企业产品包括货物及其提供的服务与工程。</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d、残疾人福利性单位属于小型、微型企业的，不重复享受政策。</w:t>
      </w:r>
    </w:p>
    <w:p>
      <w:pPr>
        <w:spacing w:line="360" w:lineRule="auto"/>
        <w:ind w:firstLine="420" w:firstLineChars="200"/>
        <w:rPr>
          <w:rFonts w:ascii="宋体" w:hAnsi="宋体"/>
          <w:bCs/>
          <w:color w:val="auto"/>
          <w:szCs w:val="21"/>
          <w:lang w:val="en-GB"/>
        </w:rPr>
      </w:pPr>
      <w:r>
        <w:rPr>
          <w:rFonts w:ascii="宋体" w:hAnsi="宋体"/>
          <w:bCs/>
          <w:color w:val="auto"/>
          <w:szCs w:val="21"/>
          <w:lang w:val="en-GB"/>
        </w:rPr>
        <w:t>E</w:t>
      </w:r>
      <w:r>
        <w:rPr>
          <w:rFonts w:hint="eastAsia" w:ascii="宋体" w:hAnsi="宋体"/>
          <w:bCs/>
          <w:color w:val="auto"/>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b/>
          <w:color w:val="auto"/>
          <w:sz w:val="21"/>
          <w:szCs w:val="21"/>
          <w:lang w:val="zh-CN"/>
        </w:rPr>
        <w:t>（8）</w:t>
      </w:r>
      <w:r>
        <w:rPr>
          <w:rFonts w:cs="仿宋_GB2312" w:asciiTheme="minorEastAsia" w:hAnsiTheme="minorEastAsia" w:eastAsiaTheme="minorEastAsia"/>
          <w:b/>
          <w:color w:val="auto"/>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1） </w:t>
      </w:r>
      <w:r>
        <w:rPr>
          <w:rFonts w:cs="仿宋_GB2312" w:asciiTheme="minorEastAsia" w:hAnsiTheme="minorEastAsia"/>
          <w:color w:val="auto"/>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2） </w:t>
      </w:r>
      <w:r>
        <w:rPr>
          <w:rFonts w:cs="仿宋_GB2312" w:asciiTheme="minorEastAsia" w:hAnsiTheme="minorEastAsia"/>
          <w:color w:val="auto"/>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3） </w:t>
      </w:r>
      <w:r>
        <w:rPr>
          <w:rFonts w:cs="仿宋_GB2312" w:asciiTheme="minorEastAsia" w:hAnsiTheme="minorEastAsia"/>
          <w:color w:val="auto"/>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4） </w:t>
      </w:r>
      <w:r>
        <w:rPr>
          <w:rFonts w:cs="仿宋_GB2312" w:asciiTheme="minorEastAsia" w:hAnsiTheme="minorEastAsia"/>
          <w:color w:val="auto"/>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（10）</w:t>
      </w:r>
      <w:r>
        <w:rPr>
          <w:rFonts w:cs="仿宋_GB2312" w:asciiTheme="minorEastAsia" w:hAnsiTheme="minorEastAsia"/>
          <w:b/>
          <w:color w:val="auto"/>
          <w:szCs w:val="21"/>
          <w:lang w:val="zh-CN"/>
        </w:rPr>
        <w:t>评标委员会</w:t>
      </w:r>
      <w:r>
        <w:rPr>
          <w:rFonts w:hint="eastAsia" w:cs="仿宋_GB2312" w:asciiTheme="minorEastAsia" w:hAnsiTheme="minorEastAsia"/>
          <w:b/>
          <w:color w:val="auto"/>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4、</w:t>
      </w:r>
      <w:r>
        <w:rPr>
          <w:rFonts w:cs="仿宋_GB2312" w:asciiTheme="minorEastAsia" w:hAnsiTheme="minorEastAsia"/>
          <w:b/>
          <w:color w:val="auto"/>
          <w:szCs w:val="21"/>
          <w:lang w:val="zh-CN"/>
        </w:rPr>
        <w:t>确定中标候选人名单，以及根据采购人委托直接确定中标人</w:t>
      </w:r>
      <w:r>
        <w:rPr>
          <w:rFonts w:hint="eastAsia" w:cs="仿宋_GB2312" w:asciiTheme="minorEastAsia" w:hAnsiTheme="minorEastAsia"/>
          <w:b/>
          <w:color w:val="auto"/>
          <w:szCs w:val="21"/>
          <w:lang w:val="zh-CN"/>
        </w:rPr>
        <w:t>。</w:t>
      </w: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rPr>
          <w:rFonts w:ascii="宋体" w:hAnsi="宋体" w:cs="Courier New"/>
          <w:color w:val="auto"/>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第七章 合同条款及格式</w:t>
      </w:r>
    </w:p>
    <w:p>
      <w:pPr>
        <w:pStyle w:val="13"/>
        <w:spacing w:line="360" w:lineRule="auto"/>
        <w:contextualSpacing/>
        <w:jc w:val="center"/>
        <w:rPr>
          <w:rFonts w:cs="宋体" w:asciiTheme="majorEastAsia" w:hAnsiTheme="majorEastAsia" w:eastAsiaTheme="majorEastAsia"/>
          <w:b/>
          <w:color w:val="auto"/>
          <w:kern w:val="0"/>
          <w:sz w:val="36"/>
          <w:szCs w:val="36"/>
        </w:rPr>
      </w:pP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最终签定合同的主要条款不能与招标文件有冲突）</w:t>
      </w:r>
    </w:p>
    <w:p>
      <w:pPr>
        <w:pStyle w:val="21"/>
        <w:spacing w:before="75" w:after="75"/>
        <w:rPr>
          <w:rFonts w:ascii="微软雅黑" w:hAnsi="微软雅黑" w:eastAsia="微软雅黑"/>
          <w:color w:val="auto"/>
          <w:sz w:val="27"/>
          <w:szCs w:val="27"/>
        </w:rPr>
      </w:pPr>
      <w:r>
        <w:rPr>
          <w:rFonts w:ascii="宋体" w:hAnsi="宋体" w:eastAsia="微软雅黑"/>
          <w:color w:val="auto"/>
          <w:u w:val="single"/>
        </w:rPr>
        <w:t> </w:t>
      </w:r>
    </w:p>
    <w:p>
      <w:pPr>
        <w:pStyle w:val="2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w:t>
      </w:r>
      <w:r>
        <w:rPr>
          <w:rFonts w:asciiTheme="minorEastAsia" w:hAnsiTheme="minorEastAsia" w:eastAsiaTheme="minorEastAsia"/>
          <w:color w:val="auto"/>
          <w:sz w:val="21"/>
          <w:szCs w:val="21"/>
          <w:u w:val="single"/>
        </w:rPr>
        <w:t>（采购人全称）</w:t>
      </w:r>
    </w:p>
    <w:p>
      <w:pPr>
        <w:pStyle w:val="2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乙方：</w:t>
      </w:r>
      <w:r>
        <w:rPr>
          <w:rFonts w:asciiTheme="minorEastAsia" w:hAnsiTheme="minorEastAsia" w:eastAsiaTheme="minorEastAsia"/>
          <w:color w:val="auto"/>
          <w:sz w:val="21"/>
          <w:szCs w:val="21"/>
          <w:u w:val="single"/>
        </w:rPr>
        <w:t>（中标人全称）</w:t>
      </w:r>
    </w:p>
    <w:p>
      <w:pPr>
        <w:pStyle w:val="21"/>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根据招标编号为</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的</w:t>
      </w:r>
      <w:r>
        <w:rPr>
          <w:rFonts w:asciiTheme="minorEastAsia" w:hAnsiTheme="minorEastAsia" w:eastAsiaTheme="minorEastAsia"/>
          <w:color w:val="auto"/>
          <w:sz w:val="21"/>
          <w:szCs w:val="21"/>
          <w:u w:val="single"/>
        </w:rPr>
        <w:t>（填写“项目名称”）</w:t>
      </w:r>
      <w:r>
        <w:rPr>
          <w:rFonts w:asciiTheme="minorEastAsia" w:hAnsiTheme="minorEastAsia" w:eastAsiaTheme="minorEastAsia"/>
          <w:color w:val="auto"/>
          <w:sz w:val="21"/>
          <w:szCs w:val="21"/>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1.1合同条款；</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1.2招标文件、乙方的投标文件；</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1.3其他文件或材料：□无。□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2、合同标的</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3、合同总金额</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3.1合同总金额为人民币大写：</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元（￥</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4、合同标的交付时间、地点和条件</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4.1交付时间：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4.2交付地点：</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4.3交付条件：</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6、验收</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6.2本项目是否邀请其他投标人参与验收：</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□不邀请。□邀请，具体如下：</w:t>
      </w:r>
      <w:r>
        <w:rPr>
          <w:rFonts w:asciiTheme="minorEastAsia" w:hAnsiTheme="minorEastAsia" w:eastAsiaTheme="minorEastAsia"/>
          <w:color w:val="auto"/>
          <w:sz w:val="21"/>
          <w:szCs w:val="21"/>
          <w:u w:val="single"/>
        </w:rPr>
        <w:t>（按照招标文件规定填写）</w:t>
      </w:r>
      <w:r>
        <w:rPr>
          <w:rFonts w:asciiTheme="minorEastAsia" w:hAnsiTheme="minorEastAsia" w:eastAsiaTheme="minorEastAsia"/>
          <w:color w:val="auto"/>
          <w:sz w:val="21"/>
          <w:szCs w:val="21"/>
        </w:rPr>
        <w:t>。</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（按照实际情况编制填写，可以是表格或文字描述，包括一次性支付或分期支付等）</w:t>
      </w:r>
      <w:r>
        <w:rPr>
          <w:rFonts w:asciiTheme="minorEastAsia" w:hAnsiTheme="minorEastAsia" w:eastAsiaTheme="minorEastAsia"/>
          <w:color w:val="auto"/>
          <w:sz w:val="21"/>
          <w:szCs w:val="21"/>
        </w:rPr>
        <w:t>。</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8、履约保证金</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□无。□有，具体如下：</w:t>
      </w:r>
      <w:r>
        <w:rPr>
          <w:rFonts w:asciiTheme="minorEastAsia" w:hAnsiTheme="minorEastAsia" w:eastAsiaTheme="minorEastAsia"/>
          <w:color w:val="auto"/>
          <w:sz w:val="21"/>
          <w:szCs w:val="21"/>
          <w:u w:val="single"/>
        </w:rPr>
        <w:t>（按照招标文件规定填写）</w:t>
      </w:r>
      <w:r>
        <w:rPr>
          <w:rFonts w:asciiTheme="minorEastAsia" w:hAnsiTheme="minorEastAsia" w:eastAsiaTheme="minorEastAsia"/>
          <w:color w:val="auto"/>
          <w:sz w:val="21"/>
          <w:szCs w:val="21"/>
        </w:rPr>
        <w:t>。</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9、合同有效期</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10、违约责任</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11、知识产权</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12、解决争议的方法</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12.1甲、乙双方协商解决。</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□提交仲裁委员会仲裁，具体如下：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□向人民法院提起诉讼，具体如下：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13、不可抗力</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14、合同条款</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auto"/>
          <w:sz w:val="21"/>
          <w:szCs w:val="21"/>
        </w:rPr>
        <w:t>。</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15、其他约定</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15.3合同生效：自签订之日起生效。</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15.4本合同一式</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份，经双方授权代表签字并盖章后生效。甲方、乙方各执</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份，送</w:t>
      </w:r>
      <w:r>
        <w:rPr>
          <w:rFonts w:asciiTheme="minorEastAsia" w:hAnsiTheme="minorEastAsia" w:eastAsiaTheme="minorEastAsia"/>
          <w:color w:val="auto"/>
          <w:sz w:val="21"/>
          <w:szCs w:val="21"/>
          <w:u w:val="single"/>
        </w:rPr>
        <w:t>（填写需要备案的监管部门的全称）</w:t>
      </w:r>
      <w:r>
        <w:rPr>
          <w:rFonts w:asciiTheme="minorEastAsia" w:hAnsiTheme="minorEastAsia" w:eastAsiaTheme="minorEastAsia"/>
          <w:color w:val="auto"/>
          <w:sz w:val="21"/>
          <w:szCs w:val="21"/>
        </w:rPr>
        <w:t>备案</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份，具有同等效力。</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15.5其他：□无。□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1"/>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1"/>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                        乙方：</w:t>
      </w:r>
    </w:p>
    <w:p>
      <w:pPr>
        <w:pStyle w:val="2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住所：                        住所：</w:t>
      </w:r>
    </w:p>
    <w:p>
      <w:pPr>
        <w:pStyle w:val="21"/>
        <w:spacing w:before="75" w:after="75"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            </w:t>
      </w:r>
      <w:r>
        <w:rPr>
          <w:rFonts w:hint="eastAsia" w:asciiTheme="minorEastAsia" w:hAnsiTheme="minorEastAsia" w:eastAsiaTheme="minorEastAsia"/>
          <w:color w:val="auto"/>
          <w:sz w:val="21"/>
          <w:szCs w:val="21"/>
        </w:rPr>
        <w:t xml:space="preserve">     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w:t>
      </w:r>
    </w:p>
    <w:p>
      <w:pPr>
        <w:pStyle w:val="2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联系方法：                      联系方法：</w:t>
      </w:r>
    </w:p>
    <w:p>
      <w:pPr>
        <w:pStyle w:val="2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开户银行：                      开户银行：</w:t>
      </w:r>
    </w:p>
    <w:p>
      <w:pPr>
        <w:pStyle w:val="2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账号：                        账号：</w:t>
      </w:r>
    </w:p>
    <w:p>
      <w:pPr>
        <w:pStyle w:val="2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1"/>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签订地点：</w:t>
      </w:r>
      <w:r>
        <w:rPr>
          <w:rFonts w:asciiTheme="minorEastAsia" w:hAnsiTheme="minorEastAsia" w:eastAsiaTheme="minorEastAsia"/>
          <w:color w:val="auto"/>
          <w:sz w:val="21"/>
          <w:szCs w:val="21"/>
          <w:u w:val="single"/>
        </w:rPr>
        <w:t>                </w:t>
      </w:r>
    </w:p>
    <w:p>
      <w:pPr>
        <w:pStyle w:val="2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签订日期：</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月</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日</w:t>
      </w: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第八章 投标文件有关格式</w:t>
      </w:r>
    </w:p>
    <w:p>
      <w:pPr>
        <w:autoSpaceDE w:val="0"/>
        <w:autoSpaceDN w:val="0"/>
        <w:adjustRightInd w:val="0"/>
        <w:spacing w:line="700" w:lineRule="exact"/>
        <w:jc w:val="center"/>
        <w:rPr>
          <w:rFonts w:cs="黑体" w:asciiTheme="minorEastAsia" w:hAnsiTheme="minorEastAsia"/>
          <w:b/>
          <w:bCs/>
          <w:color w:val="auto"/>
          <w:sz w:val="44"/>
          <w:szCs w:val="44"/>
          <w:lang w:val="zh-CN"/>
        </w:rPr>
      </w:pPr>
    </w:p>
    <w:p>
      <w:pPr>
        <w:pStyle w:val="51"/>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84023138"/>
      <w:bookmarkStart w:id="5" w:name="_Toc174185203"/>
      <w:bookmarkStart w:id="6" w:name="_Toc186274126"/>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gridSpan w:val="4"/>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投标人应答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3"/>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3"/>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3"/>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3"/>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751" w:type="dxa"/>
            <w:gridSpan w:val="4"/>
            <w:vAlign w:val="center"/>
          </w:tcPr>
          <w:p>
            <w:pPr>
              <w:pStyle w:val="13"/>
              <w:kinsoku w:val="0"/>
              <w:overflowPunct w:val="0"/>
              <w:autoSpaceDE w:val="0"/>
              <w:autoSpaceDN w:val="0"/>
              <w:spacing w:line="320" w:lineRule="exact"/>
              <w:rPr>
                <w:rFonts w:hAnsi="宋体"/>
                <w:color w:val="auto"/>
                <w:kern w:val="0"/>
                <w:sz w:val="21"/>
                <w:szCs w:val="21"/>
              </w:rPr>
            </w:pPr>
            <w:r>
              <w:rPr>
                <w:rFonts w:hint="eastAsia" w:asciiTheme="minorEastAsia" w:hAnsiTheme="minorEastAsia"/>
                <w:bCs/>
                <w:color w:val="auto"/>
                <w:sz w:val="21"/>
                <w:szCs w:val="21"/>
              </w:rPr>
              <w:t>依法纳税凭据</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Cs w:val="21"/>
              </w:rPr>
            </w:pPr>
            <w:r>
              <w:rPr>
                <w:rFonts w:hint="eastAsia" w:asciiTheme="minorEastAsia" w:hAnsiTheme="minorEastAsia"/>
                <w:bCs/>
                <w:color w:val="auto"/>
                <w:szCs w:val="21"/>
              </w:rPr>
              <w:t>依法缴纳社会保险凭据</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color w:val="auto"/>
                <w:szCs w:val="21"/>
              </w:rPr>
            </w:pPr>
            <w:r>
              <w:rPr>
                <w:rFonts w:hint="eastAsia" w:ascii="宋体" w:hAnsi="宋体" w:cs="微软雅黑"/>
                <w:color w:val="auto"/>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设备购置发票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技术人员职称证书</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3"/>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用工合同</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3"/>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Theme="minorEastAsia" w:hAnsiTheme="minorEastAsia"/>
                <w:bCs/>
                <w:color w:val="auto"/>
                <w:sz w:val="21"/>
                <w:szCs w:val="21"/>
              </w:rPr>
              <w:t>投标人相关承诺函或声明</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没有重大违法记录的声明</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3"/>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投标人须具备的特殊资质证书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投标承诺函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投标人未为本项目提供整体设计、规范编制或者项目管理、监理、检测等服务承诺函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投标分项报价表</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技术规格偏离表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政府强制采购节能产品品目清单情况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优先采购节能产品政府采购品目清单情况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优先采购环境标志产品政府采购品目清单情况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color w:val="auto"/>
                <w:kern w:val="0"/>
                <w:sz w:val="21"/>
                <w:szCs w:val="21"/>
              </w:rPr>
            </w:pPr>
            <w:r>
              <w:rPr>
                <w:rFonts w:cs="宋体" w:asciiTheme="minorEastAsia" w:hAnsiTheme="minorEastAsia"/>
                <w:color w:val="auto"/>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认证机构颁发的认证证书</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中国信息安全认证中心官网产品查询结果截图</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国家级贫困县域注册地证明材料</w:t>
            </w:r>
          </w:p>
        </w:tc>
        <w:tc>
          <w:tcPr>
            <w:tcW w:w="1559" w:type="dxa"/>
            <w:vAlign w:val="center"/>
          </w:tcPr>
          <w:p>
            <w:pPr>
              <w:pStyle w:val="13"/>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扶贫部门出具的聘用建档立卡贫困人员身份证明</w:t>
            </w:r>
          </w:p>
        </w:tc>
        <w:tc>
          <w:tcPr>
            <w:tcW w:w="1559" w:type="dxa"/>
            <w:vAlign w:val="center"/>
          </w:tcPr>
          <w:p>
            <w:pPr>
              <w:pStyle w:val="13"/>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建档立卡贫困人员社保材料</w:t>
            </w:r>
          </w:p>
        </w:tc>
        <w:tc>
          <w:tcPr>
            <w:tcW w:w="1559" w:type="dxa"/>
            <w:vAlign w:val="center"/>
          </w:tcPr>
          <w:p>
            <w:pPr>
              <w:pStyle w:val="13"/>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auto"/>
          <w:sz w:val="24"/>
          <w:szCs w:val="24"/>
        </w:rPr>
      </w:pPr>
      <w:r>
        <w:rPr>
          <w:rFonts w:hint="eastAsia" w:ascii="楷体" w:hAnsi="楷体" w:eastAsia="楷体"/>
          <w:color w:val="auto"/>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r>
        <w:rPr>
          <w:rFonts w:hint="eastAsia" w:ascii="楷体" w:hAnsi="楷体" w:eastAsia="楷体"/>
          <w:color w:val="auto"/>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r>
        <w:rPr>
          <w:rFonts w:hint="eastAsia" w:ascii="楷体" w:hAnsi="楷体" w:eastAsia="楷体"/>
          <w:color w:val="auto"/>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r>
        <w:rPr>
          <w:rFonts w:ascii="楷体" w:hAnsi="楷体" w:eastAsia="楷体"/>
          <w:color w:val="auto"/>
          <w:sz w:val="24"/>
          <w:szCs w:val="24"/>
        </w:rPr>
        <w:fldChar w:fldCharType="begin"/>
      </w:r>
      <w:r>
        <w:rPr>
          <w:rFonts w:hint="eastAsia" w:ascii="楷体" w:hAnsi="楷体" w:eastAsia="楷体"/>
          <w:color w:val="auto"/>
          <w:sz w:val="24"/>
          <w:szCs w:val="24"/>
        </w:rPr>
        <w:instrText xml:space="preserve">= 4 \* GB3</w:instrText>
      </w:r>
      <w:r>
        <w:rPr>
          <w:rFonts w:ascii="楷体" w:hAnsi="楷体" w:eastAsia="楷体"/>
          <w:color w:val="auto"/>
          <w:sz w:val="24"/>
          <w:szCs w:val="24"/>
        </w:rPr>
        <w:fldChar w:fldCharType="separate"/>
      </w:r>
      <w:r>
        <w:rPr>
          <w:rFonts w:hint="eastAsia" w:ascii="楷体" w:hAnsi="楷体" w:eastAsia="楷体"/>
          <w:color w:val="auto"/>
          <w:sz w:val="24"/>
          <w:szCs w:val="24"/>
        </w:rPr>
        <w:t>④</w:t>
      </w:r>
      <w:r>
        <w:rPr>
          <w:rFonts w:ascii="楷体" w:hAnsi="楷体" w:eastAsia="楷体"/>
          <w:color w:val="auto"/>
          <w:sz w:val="24"/>
          <w:szCs w:val="24"/>
        </w:rPr>
        <w:fldChar w:fldCharType="end"/>
      </w:r>
      <w:r>
        <w:rPr>
          <w:rFonts w:hint="eastAsia" w:ascii="楷体" w:hAnsi="楷体" w:eastAsia="楷体"/>
          <w:color w:val="auto"/>
          <w:sz w:val="24"/>
          <w:szCs w:val="24"/>
        </w:rPr>
        <w:t>本表序号30～32仅适用于物业项目。</w:t>
      </w: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二、开标一览表</w:t>
      </w:r>
    </w:p>
    <w:p>
      <w:pPr>
        <w:pStyle w:val="13"/>
        <w:spacing w:line="360" w:lineRule="auto"/>
        <w:jc w:val="center"/>
        <w:rPr>
          <w:rFonts w:asciiTheme="majorEastAsia" w:hAnsiTheme="majorEastAsia" w:eastAsiaTheme="majorEastAsia"/>
          <w:b/>
          <w:snapToGrid w:val="0"/>
          <w:color w:val="auto"/>
          <w:kern w:val="0"/>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r>
              <w:rPr>
                <w:rFonts w:cs="Arial" w:asciiTheme="minorEastAsia" w:hAnsiTheme="minorEastAsia"/>
                <w:color w:val="auto"/>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投标人法定代表人（单位负责人）或授权代表签字：</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日期：年月日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2、如招标公告明确项目交付日期以年为单位，本表应填写完成该项目的年限。</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三、资格审查证明材料</w:t>
      </w:r>
    </w:p>
    <w:p>
      <w:pPr>
        <w:pStyle w:val="13"/>
        <w:spacing w:line="360" w:lineRule="auto"/>
        <w:jc w:val="center"/>
        <w:rPr>
          <w:rFonts w:asciiTheme="majorEastAsia" w:hAnsiTheme="majorEastAsia" w:eastAsiaTheme="majorEastAsia"/>
          <w:b/>
          <w:snapToGrid w:val="0"/>
          <w:color w:val="auto"/>
          <w:kern w:val="0"/>
          <w:szCs w:val="24"/>
        </w:rPr>
      </w:pPr>
    </w:p>
    <w:p>
      <w:pPr>
        <w:pStyle w:val="13"/>
        <w:spacing w:line="360" w:lineRule="auto"/>
        <w:jc w:val="center"/>
        <w:rPr>
          <w:rFonts w:asciiTheme="majorEastAsia" w:hAnsiTheme="majorEastAsia" w:eastAsiaTheme="majorEastAsia"/>
          <w:b/>
          <w:snapToGrid w:val="0"/>
          <w:color w:val="auto"/>
          <w:kern w:val="0"/>
          <w:szCs w:val="24"/>
        </w:rPr>
      </w:pPr>
    </w:p>
    <w:p>
      <w:pPr>
        <w:pStyle w:val="13"/>
        <w:spacing w:line="360" w:lineRule="auto"/>
        <w:jc w:val="center"/>
        <w:rPr>
          <w:rFonts w:asciiTheme="majorEastAsia" w:hAnsiTheme="majorEastAsia" w:eastAsiaTheme="majorEastAsia"/>
          <w:b/>
          <w:snapToGrid w:val="0"/>
          <w:color w:val="auto"/>
          <w:kern w:val="0"/>
          <w:szCs w:val="24"/>
        </w:rPr>
      </w:pPr>
    </w:p>
    <w:p>
      <w:pPr>
        <w:pStyle w:val="13"/>
        <w:spacing w:line="360" w:lineRule="auto"/>
        <w:jc w:val="center"/>
        <w:rPr>
          <w:rFonts w:asciiTheme="majorEastAsia" w:hAnsiTheme="majorEastAsia" w:eastAsiaTheme="majorEastAsia"/>
          <w:b/>
          <w:snapToGrid w:val="0"/>
          <w:color w:val="auto"/>
          <w:kern w:val="0"/>
          <w:szCs w:val="24"/>
        </w:rPr>
      </w:pPr>
    </w:p>
    <w:p>
      <w:pPr>
        <w:pStyle w:val="13"/>
        <w:spacing w:line="360" w:lineRule="auto"/>
        <w:jc w:val="center"/>
        <w:rPr>
          <w:rFonts w:asciiTheme="majorEastAsia" w:hAnsiTheme="majorEastAsia" w:eastAsiaTheme="majorEastAsia"/>
          <w:b/>
          <w:snapToGrid w:val="0"/>
          <w:color w:val="auto"/>
          <w:kern w:val="0"/>
          <w:szCs w:val="24"/>
        </w:rPr>
      </w:pPr>
    </w:p>
    <w:p>
      <w:pPr>
        <w:pStyle w:val="13"/>
        <w:spacing w:line="360" w:lineRule="auto"/>
        <w:jc w:val="center"/>
        <w:rPr>
          <w:rFonts w:asciiTheme="majorEastAsia" w:hAnsiTheme="majorEastAsia" w:eastAsiaTheme="majorEastAsia"/>
          <w:b/>
          <w:snapToGrid w:val="0"/>
          <w:color w:val="auto"/>
          <w:kern w:val="0"/>
          <w:szCs w:val="24"/>
        </w:rPr>
      </w:pPr>
    </w:p>
    <w:p>
      <w:pPr>
        <w:pStyle w:val="13"/>
        <w:spacing w:line="360" w:lineRule="auto"/>
        <w:jc w:val="center"/>
        <w:rPr>
          <w:rFonts w:asciiTheme="majorEastAsia" w:hAnsiTheme="majorEastAsia" w:eastAsiaTheme="majorEastAsia"/>
          <w:b/>
          <w:snapToGrid w:val="0"/>
          <w:color w:val="auto"/>
          <w:kern w:val="0"/>
          <w:szCs w:val="24"/>
        </w:rPr>
      </w:pPr>
    </w:p>
    <w:p>
      <w:pPr>
        <w:pStyle w:val="13"/>
        <w:spacing w:line="360" w:lineRule="auto"/>
        <w:jc w:val="center"/>
        <w:rPr>
          <w:rFonts w:asciiTheme="majorEastAsia" w:hAnsiTheme="majorEastAsia" w:eastAsiaTheme="majorEastAsia"/>
          <w:b/>
          <w:snapToGrid w:val="0"/>
          <w:color w:val="auto"/>
          <w:kern w:val="0"/>
          <w:szCs w:val="24"/>
        </w:rPr>
      </w:pPr>
    </w:p>
    <w:p>
      <w:pPr>
        <w:pStyle w:val="13"/>
        <w:spacing w:line="360" w:lineRule="auto"/>
        <w:jc w:val="center"/>
        <w:rPr>
          <w:rFonts w:asciiTheme="majorEastAsia" w:hAnsiTheme="majorEastAsia" w:eastAsiaTheme="majorEastAsia"/>
          <w:b/>
          <w:snapToGrid w:val="0"/>
          <w:color w:val="auto"/>
          <w:kern w:val="0"/>
          <w:szCs w:val="24"/>
        </w:rPr>
      </w:pPr>
    </w:p>
    <w:p>
      <w:pPr>
        <w:pStyle w:val="13"/>
        <w:spacing w:line="360" w:lineRule="auto"/>
        <w:jc w:val="center"/>
        <w:rPr>
          <w:rFonts w:asciiTheme="majorEastAsia" w:hAnsiTheme="majorEastAsia" w:eastAsiaTheme="majorEastAsia"/>
          <w:b/>
          <w:snapToGrid w:val="0"/>
          <w:color w:val="auto"/>
          <w:kern w:val="0"/>
          <w:szCs w:val="24"/>
        </w:rPr>
      </w:pPr>
    </w:p>
    <w:p>
      <w:pPr>
        <w:pStyle w:val="13"/>
        <w:spacing w:line="360" w:lineRule="auto"/>
        <w:jc w:val="center"/>
        <w:rPr>
          <w:rFonts w:asciiTheme="majorEastAsia" w:hAnsiTheme="majorEastAsia" w:eastAsiaTheme="majorEastAsia"/>
          <w:b/>
          <w:snapToGrid w:val="0"/>
          <w:color w:val="auto"/>
          <w:kern w:val="0"/>
          <w:szCs w:val="24"/>
        </w:rPr>
      </w:pPr>
    </w:p>
    <w:p>
      <w:pPr>
        <w:pStyle w:val="13"/>
        <w:spacing w:line="360" w:lineRule="auto"/>
        <w:jc w:val="center"/>
        <w:rPr>
          <w:rFonts w:asciiTheme="majorEastAsia" w:hAnsiTheme="majorEastAsia" w:eastAsiaTheme="majorEastAsia"/>
          <w:b/>
          <w:snapToGrid w:val="0"/>
          <w:color w:val="auto"/>
          <w:kern w:val="0"/>
          <w:szCs w:val="24"/>
        </w:rPr>
      </w:pPr>
    </w:p>
    <w:p>
      <w:pPr>
        <w:pStyle w:val="13"/>
        <w:spacing w:line="360" w:lineRule="auto"/>
        <w:jc w:val="center"/>
        <w:rPr>
          <w:rFonts w:asciiTheme="majorEastAsia" w:hAnsiTheme="majorEastAsia" w:eastAsiaTheme="majorEastAsia"/>
          <w:b/>
          <w:snapToGrid w:val="0"/>
          <w:color w:val="auto"/>
          <w:kern w:val="0"/>
          <w:szCs w:val="24"/>
        </w:rPr>
      </w:pPr>
    </w:p>
    <w:p>
      <w:pPr>
        <w:pStyle w:val="13"/>
        <w:spacing w:line="360" w:lineRule="auto"/>
        <w:jc w:val="center"/>
        <w:rPr>
          <w:rFonts w:asciiTheme="majorEastAsia" w:hAnsiTheme="majorEastAsia" w:eastAsiaTheme="majorEastAsia"/>
          <w:b/>
          <w:snapToGrid w:val="0"/>
          <w:color w:val="auto"/>
          <w:kern w:val="0"/>
          <w:szCs w:val="24"/>
        </w:rPr>
      </w:pPr>
    </w:p>
    <w:p>
      <w:pPr>
        <w:pStyle w:val="13"/>
        <w:spacing w:line="360" w:lineRule="auto"/>
        <w:jc w:val="center"/>
        <w:rPr>
          <w:rFonts w:asciiTheme="majorEastAsia" w:hAnsiTheme="majorEastAsia" w:eastAsiaTheme="majorEastAsia"/>
          <w:b/>
          <w:snapToGrid w:val="0"/>
          <w:color w:val="auto"/>
          <w:kern w:val="0"/>
          <w:szCs w:val="24"/>
        </w:rPr>
      </w:pPr>
    </w:p>
    <w:p>
      <w:pPr>
        <w:pStyle w:val="13"/>
        <w:spacing w:line="360" w:lineRule="auto"/>
        <w:jc w:val="center"/>
        <w:rPr>
          <w:rFonts w:asciiTheme="majorEastAsia" w:hAnsiTheme="majorEastAsia" w:eastAsiaTheme="majorEastAsia"/>
          <w:b/>
          <w:snapToGrid w:val="0"/>
          <w:color w:val="auto"/>
          <w:kern w:val="0"/>
          <w:szCs w:val="24"/>
        </w:rPr>
      </w:pPr>
      <w:r>
        <w:rPr>
          <w:rFonts w:hint="eastAsia" w:asciiTheme="majorEastAsia" w:hAnsiTheme="majorEastAsia" w:eastAsiaTheme="majorEastAsia"/>
          <w:b/>
          <w:snapToGrid w:val="0"/>
          <w:color w:val="auto"/>
          <w:kern w:val="0"/>
          <w:szCs w:val="24"/>
        </w:rPr>
        <w:t>3.1 投 标 函</w:t>
      </w:r>
    </w:p>
    <w:p>
      <w:pPr>
        <w:adjustRightInd w:val="0"/>
        <w:spacing w:line="360" w:lineRule="auto"/>
        <w:contextualSpacing/>
        <w:rPr>
          <w:rFonts w:asciiTheme="minorEastAsia" w:hAnsiTheme="minorEastAsia"/>
          <w:b/>
          <w:snapToGrid w:val="0"/>
          <w:color w:val="auto"/>
          <w:kern w:val="0"/>
          <w:szCs w:val="21"/>
        </w:rPr>
      </w:pPr>
      <w:r>
        <w:rPr>
          <w:rFonts w:hint="eastAsia" w:asciiTheme="minorEastAsia" w:hAnsiTheme="minorEastAsia"/>
          <w:snapToGrid w:val="0"/>
          <w:color w:val="auto"/>
          <w:kern w:val="0"/>
          <w:szCs w:val="21"/>
        </w:rPr>
        <w:t>致：采购人</w:t>
      </w:r>
      <w:r>
        <w:rPr>
          <w:rFonts w:asciiTheme="minorEastAsia" w:hAnsiTheme="minorEastAsia"/>
          <w:b/>
          <w:snapToGrid w:val="0"/>
          <w:color w:val="auto"/>
          <w:kern w:val="0"/>
          <w:szCs w:val="21"/>
        </w:rPr>
        <w:t xml:space="preserve"> </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根据贵方_</w:t>
      </w:r>
      <w:r>
        <w:rPr>
          <w:rFonts w:hint="eastAsia" w:asciiTheme="minorEastAsia" w:hAnsiTheme="minorEastAsia"/>
          <w:snapToGrid w:val="0"/>
          <w:color w:val="auto"/>
          <w:kern w:val="0"/>
          <w:szCs w:val="21"/>
          <w:u w:val="single"/>
        </w:rPr>
        <w:t xml:space="preserve">_    </w:t>
      </w:r>
      <w:r>
        <w:rPr>
          <w:rFonts w:hint="eastAsia" w:asciiTheme="minorEastAsia" w:hAnsiTheme="minorEastAsia"/>
          <w:snapToGrid w:val="0"/>
          <w:color w:val="auto"/>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 w:val="21"/>
          <w:szCs w:val="21"/>
        </w:rPr>
        <w:t>已完全理解并接受招标文件的各项规定和要求及资金支付规定，对招标文件的合理性、合法性不再有异议，</w:t>
      </w:r>
      <w:r>
        <w:rPr>
          <w:rFonts w:hint="eastAsia" w:ascii="宋体" w:hAnsi="宋体"/>
          <w:color w:val="auto"/>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宋体" w:hAnsi="宋体"/>
          <w:color w:val="auto"/>
          <w:szCs w:val="21"/>
        </w:rPr>
      </w:pPr>
      <w:r>
        <w:rPr>
          <w:rFonts w:hint="eastAsia" w:asciiTheme="minorEastAsia" w:hAnsiTheme="minorEastAsia"/>
          <w:i/>
          <w:snapToGrid w:val="0"/>
          <w:color w:val="auto"/>
          <w:kern w:val="0"/>
          <w:szCs w:val="21"/>
          <w:u w:val="single"/>
        </w:rPr>
        <w:t xml:space="preserve">(投标人名称)     </w:t>
      </w:r>
      <w:r>
        <w:rPr>
          <w:rFonts w:hint="eastAsia" w:asciiTheme="minorEastAsia" w:hAnsiTheme="minorEastAsia"/>
          <w:snapToGrid w:val="0"/>
          <w:color w:val="auto"/>
          <w:kern w:val="0"/>
          <w:szCs w:val="21"/>
        </w:rPr>
        <w:t>作为投标人正式授权</w:t>
      </w:r>
      <w:r>
        <w:rPr>
          <w:rFonts w:hint="eastAsia" w:asciiTheme="minorEastAsia" w:hAnsiTheme="minorEastAsia"/>
          <w:i/>
          <w:snapToGrid w:val="0"/>
          <w:color w:val="auto"/>
          <w:kern w:val="0"/>
          <w:szCs w:val="21"/>
          <w:u w:val="single"/>
        </w:rPr>
        <w:t xml:space="preserve">(授权代表全名, 职务)       </w:t>
      </w:r>
      <w:r>
        <w:rPr>
          <w:rFonts w:hint="eastAsia" w:asciiTheme="minorEastAsia" w:hAnsiTheme="minorEastAsia"/>
          <w:snapToGrid w:val="0"/>
          <w:color w:val="auto"/>
          <w:kern w:val="0"/>
          <w:szCs w:val="21"/>
        </w:rPr>
        <w:t>代表我方全权处理有关本投标的一切事宜。</w:t>
      </w:r>
    </w:p>
    <w:p>
      <w:pPr>
        <w:adjustRightInd w:val="0"/>
        <w:spacing w:line="360" w:lineRule="auto"/>
        <w:ind w:firstLine="420" w:firstLineChars="200"/>
        <w:contextualSpacing/>
        <w:rPr>
          <w:rFonts w:ascii="宋体" w:hAnsi="宋体"/>
          <w:color w:val="auto"/>
          <w:szCs w:val="21"/>
        </w:rPr>
      </w:pPr>
      <w:r>
        <w:rPr>
          <w:rFonts w:hint="eastAsia" w:ascii="宋体" w:hAnsi="宋体"/>
          <w:color w:val="auto"/>
          <w:szCs w:val="21"/>
        </w:rPr>
        <w:t>在此提交的投标文件，正本一份，副本一份。</w:t>
      </w:r>
    </w:p>
    <w:p>
      <w:pPr>
        <w:adjustRightInd w:val="0"/>
        <w:spacing w:line="360" w:lineRule="auto"/>
        <w:ind w:firstLine="420" w:firstLineChars="200"/>
        <w:contextualSpacing/>
        <w:rPr>
          <w:rFonts w:cs="Courier New" w:asciiTheme="minorEastAsia" w:hAnsiTheme="minorEastAsia"/>
          <w:color w:val="auto"/>
          <w:szCs w:val="21"/>
        </w:rPr>
      </w:pPr>
      <w:r>
        <w:rPr>
          <w:rFonts w:hint="eastAsia" w:ascii="宋体" w:hAnsi="宋体"/>
          <w:color w:val="auto"/>
          <w:szCs w:val="21"/>
        </w:rPr>
        <w:t>我方已完全明白招标文件的所有</w:t>
      </w:r>
      <w:r>
        <w:rPr>
          <w:rFonts w:hint="eastAsia" w:cs="Courier New" w:asciiTheme="minorEastAsia" w:hAnsiTheme="minorEastAsia"/>
          <w:color w:val="auto"/>
          <w:szCs w:val="21"/>
        </w:rPr>
        <w:t>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我方同意在本项目招标文件中规定的开标日起60天内遵守本投标文件中的承诺且在此期限期满之前均具有约束力。我方同意并遵守本招标文件“投标人须知”中第十四条第三款关于延长投标有效期的规定。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color w:val="auto"/>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三、我方明白并同意，在规定的开标日之后，投标有效期之内撤销投标的，则我方承担违背投标承诺的责任追究。</w:t>
      </w:r>
    </w:p>
    <w:p>
      <w:pPr>
        <w:pStyle w:val="21"/>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以上内容如有虚假或与事实不符的，评审委员会可将</w:t>
      </w:r>
      <w:r>
        <w:rPr>
          <w:rFonts w:hint="eastAsia" w:cs="Arial" w:asciiTheme="minorEastAsia" w:hAnsiTheme="minorEastAsia"/>
          <w:color w:val="auto"/>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color w:val="auto"/>
          <w:sz w:val="21"/>
          <w:szCs w:val="21"/>
        </w:rPr>
      </w:pPr>
    </w:p>
    <w:p>
      <w:pPr>
        <w:pStyle w:val="13"/>
        <w:adjustRightInd w:val="0"/>
        <w:snapToGrid w:val="0"/>
        <w:spacing w:line="360" w:lineRule="auto"/>
        <w:rPr>
          <w:rFonts w:asciiTheme="minorEastAsia" w:hAnsiTheme="minorEastAsia" w:eastAsiaTheme="minorEastAsia"/>
          <w:color w:val="auto"/>
          <w:sz w:val="21"/>
          <w:szCs w:val="21"/>
        </w:rPr>
      </w:pPr>
    </w:p>
    <w:p>
      <w:pPr>
        <w:pStyle w:val="13"/>
        <w:adjustRightInd w:val="0"/>
        <w:snapToGrid w:val="0"/>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所有与本招标有关的一切正式往来请寄：</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地    址：.  邮政编码：.</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电    话：.  传    真：.</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投标人代表姓名：.  职    务：.</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投标人名称（盖章）：</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    年    月    日</w:t>
      </w:r>
    </w:p>
    <w:p>
      <w:pPr>
        <w:spacing w:line="480" w:lineRule="exact"/>
        <w:jc w:val="center"/>
        <w:rPr>
          <w:rFonts w:asciiTheme="majorEastAsia" w:hAnsiTheme="majorEastAsia" w:eastAsiaTheme="majorEastAsia"/>
          <w:b/>
          <w:bCs/>
          <w:color w:val="auto"/>
          <w:sz w:val="24"/>
          <w:szCs w:val="24"/>
        </w:rPr>
      </w:pP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42"/>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42"/>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pPr>
        <w:pStyle w:val="42"/>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pPr>
        <w:pStyle w:val="42"/>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i/>
          <w:snapToGrid w:val="0"/>
          <w:color w:val="auto"/>
          <w:sz w:val="21"/>
          <w:szCs w:val="21"/>
          <w:u w:val="single"/>
        </w:rPr>
        <w:t>投</w:t>
      </w:r>
      <w:r>
        <w:rPr>
          <w:rFonts w:asciiTheme="minorEastAsia" w:hAnsiTheme="minorEastAsia"/>
          <w:i/>
          <w:snapToGrid w:val="0"/>
          <w:color w:val="auto"/>
          <w:sz w:val="21"/>
          <w:szCs w:val="21"/>
          <w:u w:val="single"/>
        </w:rPr>
        <w:t>标</w:t>
      </w:r>
      <w:r>
        <w:rPr>
          <w:rFonts w:hint="eastAsia" w:asciiTheme="minorEastAsia" w:hAnsiTheme="minorEastAsia"/>
          <w:i/>
          <w:snapToGrid w:val="0"/>
          <w:color w:val="auto"/>
          <w:sz w:val="21"/>
          <w:szCs w:val="21"/>
          <w:u w:val="single"/>
        </w:rPr>
        <w:t>人名</w:t>
      </w:r>
      <w:r>
        <w:rPr>
          <w:rFonts w:asciiTheme="minorEastAsia" w:hAnsiTheme="minorEastAsia"/>
          <w:i/>
          <w:snapToGrid w:val="0"/>
          <w:color w:val="auto"/>
          <w:sz w:val="21"/>
          <w:szCs w:val="21"/>
          <w:u w:val="single"/>
        </w:rPr>
        <w:t>称</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加贵方招</w:t>
      </w:r>
      <w:r>
        <w:rPr>
          <w:rFonts w:asciiTheme="minorEastAsia" w:hAnsiTheme="minorEastAsia"/>
          <w:color w:val="auto"/>
          <w:sz w:val="21"/>
          <w:szCs w:val="21"/>
        </w:rPr>
        <w:t>标编号为</w:t>
      </w:r>
      <w:r>
        <w:rPr>
          <w:rFonts w:asciiTheme="minorEastAsia" w:hAnsiTheme="minorEastAsia"/>
          <w:i/>
          <w:color w:val="auto"/>
          <w:sz w:val="21"/>
          <w:szCs w:val="21"/>
          <w:u w:val="single"/>
        </w:rPr>
        <w:t>项目编号</w:t>
      </w:r>
      <w:r>
        <w:rPr>
          <w:rFonts w:hint="eastAsia" w:asciiTheme="minorEastAsia" w:hAnsiTheme="minorEastAsia"/>
          <w:color w:val="auto"/>
          <w:sz w:val="21"/>
          <w:szCs w:val="21"/>
        </w:rPr>
        <w:t>的</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color w:val="auto"/>
          <w:sz w:val="21"/>
          <w:szCs w:val="21"/>
        </w:rPr>
        <w:t>公</w:t>
      </w:r>
      <w:r>
        <w:rPr>
          <w:rFonts w:asciiTheme="minorEastAsia" w:hAnsiTheme="minorEastAsia"/>
          <w:color w:val="auto"/>
          <w:sz w:val="21"/>
          <w:szCs w:val="21"/>
        </w:rPr>
        <w:t>开</w:t>
      </w:r>
      <w:r>
        <w:rPr>
          <w:rFonts w:hint="eastAsia" w:asciiTheme="minorEastAsia" w:hAnsiTheme="minorEastAsia"/>
          <w:color w:val="auto"/>
          <w:sz w:val="21"/>
          <w:szCs w:val="21"/>
        </w:rPr>
        <w:t>招</w:t>
      </w:r>
      <w:r>
        <w:rPr>
          <w:rFonts w:asciiTheme="minorEastAsia" w:hAnsiTheme="minorEastAsia"/>
          <w:color w:val="auto"/>
          <w:sz w:val="21"/>
          <w:szCs w:val="21"/>
        </w:rPr>
        <w:t>标项目</w:t>
      </w:r>
      <w:r>
        <w:rPr>
          <w:rFonts w:hint="eastAsia" w:asciiTheme="minorEastAsia" w:hAnsiTheme="minorEastAsia"/>
          <w:color w:val="auto"/>
          <w:sz w:val="21"/>
          <w:szCs w:val="21"/>
        </w:rPr>
        <w:t>的投</w:t>
      </w:r>
      <w:r>
        <w:rPr>
          <w:rFonts w:asciiTheme="minorEastAsia" w:hAnsiTheme="minorEastAsia"/>
          <w:color w:val="auto"/>
          <w:sz w:val="21"/>
          <w:szCs w:val="21"/>
        </w:rPr>
        <w:t>标报价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的投</w:t>
      </w:r>
      <w:r>
        <w:rPr>
          <w:rFonts w:asciiTheme="minorEastAsia" w:hAnsiTheme="minorEastAsia"/>
          <w:color w:val="auto"/>
          <w:sz w:val="21"/>
          <w:szCs w:val="21"/>
        </w:rPr>
        <w:t>标</w:t>
      </w:r>
      <w:r>
        <w:rPr>
          <w:rFonts w:hint="eastAsia" w:asciiTheme="minorEastAsia" w:hAnsiTheme="minorEastAsia"/>
          <w:color w:val="auto"/>
          <w:sz w:val="21"/>
          <w:szCs w:val="21"/>
        </w:rPr>
        <w:t>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42"/>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42"/>
        <w:spacing w:line="480" w:lineRule="auto"/>
        <w:ind w:firstLine="472" w:firstLineChars="225"/>
        <w:jc w:val="left"/>
        <w:rPr>
          <w:rFonts w:asciiTheme="minorEastAsia" w:hAnsiTheme="minorEastAsia"/>
          <w:color w:val="auto"/>
          <w:sz w:val="21"/>
          <w:szCs w:val="21"/>
        </w:rPr>
      </w:pPr>
    </w:p>
    <w:p>
      <w:pPr>
        <w:pStyle w:val="42"/>
        <w:spacing w:line="480" w:lineRule="auto"/>
        <w:ind w:firstLine="472" w:firstLineChars="225"/>
        <w:jc w:val="left"/>
        <w:rPr>
          <w:rFonts w:asciiTheme="minorEastAsia" w:hAnsiTheme="minorEastAsia"/>
          <w:color w:val="auto"/>
          <w:sz w:val="21"/>
          <w:szCs w:val="21"/>
        </w:rPr>
      </w:pPr>
    </w:p>
    <w:p>
      <w:pPr>
        <w:pStyle w:val="42"/>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42"/>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spacing w:line="480" w:lineRule="auto"/>
        <w:ind w:firstLine="3937" w:firstLineChars="1875"/>
        <w:rPr>
          <w:rFonts w:cs="Arial" w:asciiTheme="minorEastAsia" w:hAnsiTheme="minorEastAsia"/>
          <w:color w:val="auto"/>
          <w:szCs w:val="21"/>
          <w:u w:val="single"/>
        </w:rPr>
      </w:pPr>
      <w:r>
        <w:rPr>
          <w:rFonts w:hint="eastAsia" w:cs="Arial" w:asciiTheme="minorEastAsia" w:hAnsiTheme="minorEastAsia"/>
          <w:color w:val="auto"/>
          <w:szCs w:val="21"/>
        </w:rPr>
        <w:t>投标人名称（并加盖公章）：</w:t>
      </w:r>
    </w:p>
    <w:p>
      <w:pPr>
        <w:pStyle w:val="45"/>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44"/>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加本招</w:t>
      </w:r>
      <w:r>
        <w:rPr>
          <w:rFonts w:asciiTheme="minorEastAsia" w:hAnsiTheme="minorEastAsia"/>
          <w:bCs/>
          <w:color w:val="auto"/>
          <w:kern w:val="12"/>
          <w:szCs w:val="21"/>
        </w:rPr>
        <w:t>标项目</w:t>
      </w:r>
      <w:r>
        <w:rPr>
          <w:rFonts w:hint="eastAsia" w:asciiTheme="minorEastAsia" w:hAnsiTheme="minorEastAsia"/>
          <w:bCs/>
          <w:color w:val="auto"/>
          <w:kern w:val="12"/>
          <w:szCs w:val="21"/>
        </w:rPr>
        <w:t>投</w:t>
      </w:r>
      <w:r>
        <w:rPr>
          <w:rFonts w:asciiTheme="minorEastAsia" w:hAnsiTheme="minorEastAsia"/>
          <w:bCs/>
          <w:color w:val="auto"/>
          <w:kern w:val="12"/>
          <w:szCs w:val="21"/>
        </w:rPr>
        <w:t>标</w:t>
      </w:r>
      <w:r>
        <w:rPr>
          <w:rFonts w:hint="eastAsia" w:asciiTheme="minorEastAsia" w:hAnsiTheme="minorEastAsia"/>
          <w:bCs/>
          <w:color w:val="auto"/>
          <w:kern w:val="12"/>
          <w:szCs w:val="21"/>
        </w:rPr>
        <w:t>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投标人名称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投标人名称：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              （签字或加盖名章）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c>
          <w:tcPr>
            <w:tcW w:w="4485"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Cs w:val="21"/>
              </w:rPr>
            </w:pPr>
            <w:bookmarkStart w:id="7" w:name="_资格证明文件"/>
            <w:bookmarkEnd w:id="7"/>
            <w:bookmarkStart w:id="8" w:name="_Toc364329026"/>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bookmarkEnd w:id="8"/>
          </w:p>
        </w:tc>
        <w:tc>
          <w:tcPr>
            <w:tcW w:w="4492" w:type="dxa"/>
            <w:gridSpan w:val="2"/>
            <w:vAlign w:val="center"/>
          </w:tcPr>
          <w:p>
            <w:pPr>
              <w:jc w:val="center"/>
              <w:rPr>
                <w:rFonts w:asciiTheme="minorEastAsia" w:hAnsiTheme="minorEastAsia"/>
                <w:color w:val="auto"/>
                <w:szCs w:val="21"/>
              </w:rPr>
            </w:pPr>
            <w:bookmarkStart w:id="9" w:name="_Toc364329027"/>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（反面）</w:t>
            </w:r>
            <w:bookmarkEnd w:id="9"/>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24"/>
          <w:szCs w:val="24"/>
        </w:rPr>
      </w:pPr>
      <w:r>
        <w:rPr>
          <w:rFonts w:hint="eastAsia" w:ascii="宋体" w:hAnsi="宋体"/>
          <w:b/>
          <w:bCs/>
          <w:color w:val="auto"/>
          <w:sz w:val="24"/>
          <w:szCs w:val="24"/>
        </w:rPr>
        <w:t>3.4 没有重大违法记录的声明</w:t>
      </w:r>
    </w:p>
    <w:p>
      <w:pPr>
        <w:spacing w:beforeLines="50" w:afterLines="50"/>
        <w:jc w:val="center"/>
        <w:rPr>
          <w:rFonts w:ascii="宋体" w:hAnsi="宋体" w:cs="Arial"/>
          <w:color w:val="auto"/>
          <w:kern w:val="0"/>
          <w:sz w:val="28"/>
          <w:szCs w:val="28"/>
        </w:rPr>
      </w:pPr>
      <w:r>
        <w:rPr>
          <w:rFonts w:hint="eastAsia" w:ascii="宋体" w:hAnsi="宋体" w:cs="Arial"/>
          <w:color w:val="auto"/>
          <w:kern w:val="0"/>
          <w:sz w:val="28"/>
          <w:szCs w:val="28"/>
        </w:rPr>
        <w:t>声　   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特此声明。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color w:val="auto"/>
          <w:szCs w:val="21"/>
          <w:lang w:val="zh-CN"/>
        </w:rPr>
      </w:pPr>
    </w:p>
    <w:p>
      <w:pPr>
        <w:spacing w:beforeLines="50"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投标人名称（盖章）：</w:t>
      </w:r>
    </w:p>
    <w:p>
      <w:pPr>
        <w:spacing w:beforeLines="50"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日    期：     </w:t>
      </w:r>
      <w:r>
        <w:rPr>
          <w:rFonts w:hint="eastAsia" w:cs="宋体" w:asciiTheme="minorEastAsia" w:hAnsiTheme="minorEastAsia"/>
          <w:color w:val="auto"/>
          <w:szCs w:val="21"/>
        </w:rPr>
        <w:t>年    月    日</w:t>
      </w: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投标承诺函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采购人</w:t>
      </w:r>
      <w:r>
        <w:rPr>
          <w:rFonts w:ascii="宋体" w:hAnsi="宋体" w:eastAsia="宋体" w:cs="宋体"/>
          <w:color w:val="auto"/>
          <w:szCs w:val="21"/>
          <w:lang w:val="zh-CN"/>
        </w:rPr>
        <w:t>：</w:t>
      </w:r>
    </w:p>
    <w:p>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ascii="宋体" w:hAnsi="宋体" w:eastAsia="宋体" w:cs="宋体"/>
          <w:color w:val="auto"/>
          <w:szCs w:val="21"/>
          <w:lang w:val="zh-CN"/>
        </w:rPr>
        <w:t>年____月日</w:t>
      </w:r>
      <w:r>
        <w:rPr>
          <w:rFonts w:ascii="宋体" w:hAnsi="宋体" w:eastAsia="宋体" w:cs="宋体"/>
          <w:color w:val="auto"/>
          <w:szCs w:val="21"/>
          <w:u w:val="single"/>
          <w:lang w:val="zh-CN"/>
        </w:rPr>
        <w:t>_</w:t>
      </w:r>
      <w:r>
        <w:rPr>
          <w:rFonts w:hint="eastAsia" w:cs="宋体" w:asciiTheme="minorEastAsia" w:hAnsiTheme="minorEastAsia"/>
          <w:color w:val="auto"/>
          <w:szCs w:val="21"/>
          <w:lang w:val="zh-CN"/>
        </w:rPr>
        <w:t>（招标编号、项目名称）的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投标</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五、法律法规及本招标文件规定的其他严重违法行为。</w:t>
      </w:r>
    </w:p>
    <w:p>
      <w:pPr>
        <w:rPr>
          <w:color w:val="auto"/>
          <w:sz w:val="28"/>
          <w:szCs w:val="28"/>
          <w:u w:val="single"/>
        </w:rPr>
      </w:pPr>
    </w:p>
    <w:p>
      <w:pPr>
        <w:rPr>
          <w:color w:val="auto"/>
          <w:sz w:val="28"/>
          <w:szCs w:val="28"/>
          <w:u w:val="single"/>
        </w:rPr>
      </w:pP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投标人名称（盖章）：　　　　　　　　　</w:t>
      </w: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　  期：      年    月    日</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outlineLvl w:val="0"/>
        <w:rPr>
          <w:rFonts w:ascii="宋体" w:cs="宋体"/>
          <w:color w:val="auto"/>
          <w:sz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 投标分项报价表（货物类项目）</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Cs w:val="21"/>
                <w:lang w:val="zh-CN"/>
              </w:rPr>
            </w:pPr>
            <w:r>
              <w:rPr>
                <w:rFonts w:hint="eastAsia" w:cs="宋体" w:asciiTheme="minorEastAsia" w:hAnsiTheme="minorEastAsia"/>
                <w:b/>
                <w:color w:val="auto"/>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技术</w:t>
            </w:r>
          </w:p>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Cs w:val="21"/>
                <w:lang w:val="zh-CN"/>
              </w:rPr>
            </w:pPr>
            <w:r>
              <w:rPr>
                <w:rFonts w:hint="eastAsia" w:cs="宋体" w:asciiTheme="minorEastAsia" w:hAnsiTheme="minorEastAsia"/>
                <w:b/>
                <w:color w:val="auto"/>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产地及</w:t>
            </w:r>
          </w:p>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Cs w:val="21"/>
              </w:rPr>
            </w:pPr>
            <w:r>
              <w:rPr>
                <w:rFonts w:hint="eastAsia" w:cs="宋体" w:asciiTheme="minorEastAsia" w:hAnsiTheme="minorEastAsia"/>
                <w:color w:val="auto"/>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投标人法定代表人（单位负责人）或授权代表签字：</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技术规格偏离表（货物类项目）</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asciiTheme="minorEastAsia" w:hAnsiTheme="minorEastAsia"/>
          <w:color w:val="auto"/>
          <w:szCs w:val="21"/>
        </w:rPr>
      </w:pPr>
      <w:r>
        <w:rPr>
          <w:rFonts w:hint="eastAsia" w:asciiTheme="minorEastAsia" w:hAnsiTheme="minorEastAsia"/>
          <w:color w:val="auto"/>
          <w:szCs w:val="21"/>
        </w:rPr>
        <w:t xml:space="preserve">项目名称：   </w:t>
      </w:r>
    </w:p>
    <w:p>
      <w:pPr>
        <w:autoSpaceDE w:val="0"/>
        <w:autoSpaceDN w:val="0"/>
        <w:adjustRightInd w:val="0"/>
        <w:spacing w:line="360" w:lineRule="auto"/>
        <w:outlineLvl w:val="0"/>
        <w:rPr>
          <w:rFonts w:hAnsi="宋体" w:eastAsia="宋体"/>
          <w:b/>
          <w:snapToGrid w:val="0"/>
          <w:color w:val="auto"/>
          <w:kern w:val="0"/>
          <w:szCs w:val="21"/>
        </w:rPr>
      </w:pP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招标文件</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投标技术</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color w:val="auto"/>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投标人法定代表人（单位负责人）或授权代表签字：</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技术方案（实施方案）</w:t>
      </w: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（投标人根据招标文件要求自行编制）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4.4 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napToGrid w:val="0"/>
        <w:spacing w:line="360" w:lineRule="auto"/>
        <w:rPr>
          <w:rFonts w:asciiTheme="minorEastAsia" w:hAnsiTheme="minorEastAsia"/>
          <w:color w:val="auto"/>
          <w:szCs w:val="21"/>
        </w:rPr>
      </w:pPr>
      <w:r>
        <w:rPr>
          <w:rFonts w:hint="eastAsia" w:asciiTheme="minorEastAsia" w:hAnsiTheme="minorEastAsia"/>
          <w:color w:val="auto"/>
          <w:szCs w:val="21"/>
        </w:rPr>
        <w:t xml:space="preserve">项目名称：   </w:t>
      </w:r>
    </w:p>
    <w:p>
      <w:pPr>
        <w:snapToGrid w:val="0"/>
        <w:spacing w:line="360" w:lineRule="auto"/>
        <w:rPr>
          <w:rFonts w:hAnsi="宋体" w:eastAsia="宋体"/>
          <w:b/>
          <w:snapToGrid w:val="0"/>
          <w:color w:val="auto"/>
          <w:kern w:val="0"/>
          <w:szCs w:val="21"/>
        </w:rPr>
      </w:pP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7"/>
              <w:spacing w:line="360" w:lineRule="auto"/>
              <w:rPr>
                <w:rFonts w:ascii="宋体" w:hAnsi="宋体" w:eastAsia="宋体" w:cs="Times New Roman"/>
                <w:color w:val="auto"/>
                <w:sz w:val="21"/>
                <w:szCs w:val="21"/>
              </w:rPr>
            </w:pPr>
          </w:p>
        </w:tc>
        <w:tc>
          <w:tcPr>
            <w:tcW w:w="3579" w:type="dxa"/>
            <w:vAlign w:val="center"/>
          </w:tcPr>
          <w:p>
            <w:pPr>
              <w:pStyle w:val="7"/>
              <w:spacing w:line="360" w:lineRule="auto"/>
              <w:rPr>
                <w:rFonts w:ascii="宋体" w:hAnsi="宋体" w:eastAsia="宋体" w:cs="Times New Roman"/>
                <w:color w:val="auto"/>
                <w:sz w:val="21"/>
                <w:szCs w:val="21"/>
              </w:rPr>
            </w:pPr>
          </w:p>
        </w:tc>
        <w:tc>
          <w:tcPr>
            <w:tcW w:w="1440" w:type="dxa"/>
            <w:vAlign w:val="center"/>
          </w:tcPr>
          <w:p>
            <w:pPr>
              <w:pStyle w:val="7"/>
              <w:spacing w:line="360" w:lineRule="auto"/>
              <w:rPr>
                <w:rFonts w:ascii="宋体" w:hAnsi="宋体" w:eastAsia="宋体" w:cs="Times New Roman"/>
                <w:color w:val="auto"/>
                <w:sz w:val="21"/>
                <w:szCs w:val="21"/>
              </w:rPr>
            </w:pPr>
          </w:p>
        </w:tc>
        <w:tc>
          <w:tcPr>
            <w:tcW w:w="1706" w:type="dxa"/>
            <w:vAlign w:val="center"/>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7"/>
              <w:spacing w:line="360" w:lineRule="auto"/>
              <w:rPr>
                <w:rFonts w:ascii="宋体" w:hAnsi="宋体" w:eastAsia="宋体" w:cs="Times New Roman"/>
                <w:color w:val="auto"/>
                <w:sz w:val="21"/>
                <w:szCs w:val="21"/>
              </w:rPr>
            </w:pPr>
          </w:p>
        </w:tc>
        <w:tc>
          <w:tcPr>
            <w:tcW w:w="3579" w:type="dxa"/>
            <w:vAlign w:val="center"/>
          </w:tcPr>
          <w:p>
            <w:pPr>
              <w:pStyle w:val="7"/>
              <w:spacing w:line="360" w:lineRule="auto"/>
              <w:rPr>
                <w:rFonts w:ascii="宋体" w:hAnsi="宋体" w:eastAsia="宋体" w:cs="Times New Roman"/>
                <w:color w:val="auto"/>
                <w:sz w:val="21"/>
                <w:szCs w:val="21"/>
              </w:rPr>
            </w:pPr>
          </w:p>
        </w:tc>
        <w:tc>
          <w:tcPr>
            <w:tcW w:w="1440" w:type="dxa"/>
            <w:vAlign w:val="center"/>
          </w:tcPr>
          <w:p>
            <w:pPr>
              <w:pStyle w:val="7"/>
              <w:spacing w:line="360" w:lineRule="auto"/>
              <w:rPr>
                <w:rFonts w:ascii="宋体" w:hAnsi="宋体" w:eastAsia="宋体" w:cs="Times New Roman"/>
                <w:color w:val="auto"/>
                <w:sz w:val="21"/>
                <w:szCs w:val="21"/>
              </w:rPr>
            </w:pPr>
          </w:p>
        </w:tc>
        <w:tc>
          <w:tcPr>
            <w:tcW w:w="1706" w:type="dxa"/>
            <w:vAlign w:val="center"/>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7"/>
              <w:spacing w:line="360" w:lineRule="auto"/>
              <w:rPr>
                <w:rFonts w:ascii="宋体" w:hAnsi="宋体" w:eastAsia="宋体" w:cs="Times New Roman"/>
                <w:color w:val="auto"/>
                <w:sz w:val="21"/>
                <w:szCs w:val="21"/>
              </w:rPr>
            </w:pPr>
          </w:p>
        </w:tc>
        <w:tc>
          <w:tcPr>
            <w:tcW w:w="3579" w:type="dxa"/>
            <w:vAlign w:val="center"/>
          </w:tcPr>
          <w:p>
            <w:pPr>
              <w:pStyle w:val="7"/>
              <w:spacing w:line="360" w:lineRule="auto"/>
              <w:rPr>
                <w:rFonts w:ascii="宋体" w:hAnsi="宋体" w:eastAsia="宋体" w:cs="Times New Roman"/>
                <w:color w:val="auto"/>
                <w:sz w:val="21"/>
                <w:szCs w:val="21"/>
              </w:rPr>
            </w:pPr>
          </w:p>
        </w:tc>
        <w:tc>
          <w:tcPr>
            <w:tcW w:w="1440" w:type="dxa"/>
            <w:vAlign w:val="center"/>
          </w:tcPr>
          <w:p>
            <w:pPr>
              <w:pStyle w:val="7"/>
              <w:spacing w:line="360" w:lineRule="auto"/>
              <w:rPr>
                <w:rFonts w:ascii="宋体" w:hAnsi="宋体" w:eastAsia="宋体" w:cs="Times New Roman"/>
                <w:color w:val="auto"/>
                <w:sz w:val="21"/>
                <w:szCs w:val="21"/>
              </w:rPr>
            </w:pPr>
          </w:p>
        </w:tc>
        <w:tc>
          <w:tcPr>
            <w:tcW w:w="1706" w:type="dxa"/>
            <w:vAlign w:val="center"/>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投标人法定代表人（单位负责人）或授权代表签字：</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宋体" w:hAnsi="宋体"/>
          <w:color w:val="auto"/>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7"/>
              <w:spacing w:line="360" w:lineRule="auto"/>
              <w:rPr>
                <w:rFonts w:ascii="宋体" w:hAnsi="宋体" w:eastAsia="宋体" w:cs="Times New Roman"/>
                <w:color w:val="auto"/>
                <w:sz w:val="21"/>
                <w:szCs w:val="21"/>
              </w:rPr>
            </w:pPr>
          </w:p>
        </w:tc>
        <w:tc>
          <w:tcPr>
            <w:tcW w:w="1518" w:type="dxa"/>
            <w:vAlign w:val="center"/>
          </w:tcPr>
          <w:p>
            <w:pPr>
              <w:pStyle w:val="7"/>
              <w:spacing w:line="360" w:lineRule="auto"/>
              <w:rPr>
                <w:rFonts w:ascii="宋体" w:hAnsi="宋体" w:eastAsia="宋体" w:cs="Times New Roman"/>
                <w:color w:val="auto"/>
                <w:sz w:val="21"/>
                <w:szCs w:val="21"/>
              </w:rPr>
            </w:pPr>
          </w:p>
        </w:tc>
        <w:tc>
          <w:tcPr>
            <w:tcW w:w="1240" w:type="dxa"/>
          </w:tcPr>
          <w:p>
            <w:pPr>
              <w:pStyle w:val="7"/>
              <w:spacing w:line="360" w:lineRule="auto"/>
              <w:rPr>
                <w:rFonts w:ascii="宋体" w:hAnsi="宋体" w:eastAsia="宋体" w:cs="Times New Roman"/>
                <w:color w:val="auto"/>
                <w:sz w:val="21"/>
                <w:szCs w:val="21"/>
              </w:rPr>
            </w:pPr>
          </w:p>
        </w:tc>
        <w:tc>
          <w:tcPr>
            <w:tcW w:w="1648" w:type="dxa"/>
          </w:tcPr>
          <w:p>
            <w:pPr>
              <w:pStyle w:val="7"/>
              <w:spacing w:line="360" w:lineRule="auto"/>
              <w:rPr>
                <w:rFonts w:ascii="宋体" w:hAnsi="宋体" w:eastAsia="宋体" w:cs="Times New Roman"/>
                <w:color w:val="auto"/>
                <w:sz w:val="21"/>
                <w:szCs w:val="21"/>
              </w:rPr>
            </w:pPr>
          </w:p>
        </w:tc>
        <w:tc>
          <w:tcPr>
            <w:tcW w:w="1600" w:type="dxa"/>
          </w:tcPr>
          <w:p>
            <w:pPr>
              <w:pStyle w:val="7"/>
              <w:spacing w:line="360" w:lineRule="auto"/>
              <w:rPr>
                <w:rFonts w:ascii="宋体" w:hAnsi="宋体" w:eastAsia="宋体" w:cs="Times New Roman"/>
                <w:color w:val="auto"/>
                <w:sz w:val="21"/>
                <w:szCs w:val="21"/>
              </w:rPr>
            </w:pPr>
          </w:p>
        </w:tc>
        <w:tc>
          <w:tcPr>
            <w:tcW w:w="1417" w:type="dxa"/>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7"/>
              <w:spacing w:line="360" w:lineRule="auto"/>
              <w:rPr>
                <w:rFonts w:ascii="宋体" w:hAnsi="宋体" w:eastAsia="宋体" w:cs="Times New Roman"/>
                <w:color w:val="auto"/>
                <w:sz w:val="21"/>
                <w:szCs w:val="21"/>
              </w:rPr>
            </w:pPr>
          </w:p>
        </w:tc>
        <w:tc>
          <w:tcPr>
            <w:tcW w:w="1518" w:type="dxa"/>
            <w:vAlign w:val="center"/>
          </w:tcPr>
          <w:p>
            <w:pPr>
              <w:pStyle w:val="7"/>
              <w:spacing w:line="360" w:lineRule="auto"/>
              <w:rPr>
                <w:rFonts w:ascii="宋体" w:hAnsi="宋体" w:eastAsia="宋体" w:cs="Times New Roman"/>
                <w:color w:val="auto"/>
                <w:sz w:val="21"/>
                <w:szCs w:val="21"/>
              </w:rPr>
            </w:pPr>
          </w:p>
        </w:tc>
        <w:tc>
          <w:tcPr>
            <w:tcW w:w="1240" w:type="dxa"/>
          </w:tcPr>
          <w:p>
            <w:pPr>
              <w:pStyle w:val="7"/>
              <w:spacing w:line="360" w:lineRule="auto"/>
              <w:rPr>
                <w:rFonts w:ascii="宋体" w:hAnsi="宋体" w:eastAsia="宋体" w:cs="Times New Roman"/>
                <w:color w:val="auto"/>
                <w:sz w:val="21"/>
                <w:szCs w:val="21"/>
              </w:rPr>
            </w:pPr>
          </w:p>
        </w:tc>
        <w:tc>
          <w:tcPr>
            <w:tcW w:w="1648" w:type="dxa"/>
          </w:tcPr>
          <w:p>
            <w:pPr>
              <w:pStyle w:val="7"/>
              <w:spacing w:line="360" w:lineRule="auto"/>
              <w:rPr>
                <w:rFonts w:ascii="宋体" w:hAnsi="宋体" w:eastAsia="宋体" w:cs="Times New Roman"/>
                <w:color w:val="auto"/>
                <w:sz w:val="21"/>
                <w:szCs w:val="21"/>
              </w:rPr>
            </w:pPr>
          </w:p>
        </w:tc>
        <w:tc>
          <w:tcPr>
            <w:tcW w:w="1600" w:type="dxa"/>
          </w:tcPr>
          <w:p>
            <w:pPr>
              <w:pStyle w:val="7"/>
              <w:spacing w:line="360" w:lineRule="auto"/>
              <w:rPr>
                <w:rFonts w:ascii="宋体" w:hAnsi="宋体" w:eastAsia="宋体" w:cs="Times New Roman"/>
                <w:color w:val="auto"/>
                <w:sz w:val="21"/>
                <w:szCs w:val="21"/>
              </w:rPr>
            </w:pPr>
          </w:p>
        </w:tc>
        <w:tc>
          <w:tcPr>
            <w:tcW w:w="1417" w:type="dxa"/>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7"/>
              <w:spacing w:line="360" w:lineRule="auto"/>
              <w:rPr>
                <w:rFonts w:ascii="宋体" w:hAnsi="宋体" w:eastAsia="宋体" w:cs="Times New Roman"/>
                <w:color w:val="auto"/>
                <w:sz w:val="21"/>
                <w:szCs w:val="21"/>
              </w:rPr>
            </w:pPr>
          </w:p>
        </w:tc>
        <w:tc>
          <w:tcPr>
            <w:tcW w:w="1518" w:type="dxa"/>
            <w:vAlign w:val="center"/>
          </w:tcPr>
          <w:p>
            <w:pPr>
              <w:pStyle w:val="7"/>
              <w:spacing w:line="360" w:lineRule="auto"/>
              <w:rPr>
                <w:rFonts w:ascii="宋体" w:hAnsi="宋体" w:eastAsia="宋体" w:cs="Times New Roman"/>
                <w:color w:val="auto"/>
                <w:sz w:val="21"/>
                <w:szCs w:val="21"/>
              </w:rPr>
            </w:pPr>
          </w:p>
        </w:tc>
        <w:tc>
          <w:tcPr>
            <w:tcW w:w="1240" w:type="dxa"/>
          </w:tcPr>
          <w:p>
            <w:pPr>
              <w:pStyle w:val="7"/>
              <w:spacing w:line="360" w:lineRule="auto"/>
              <w:rPr>
                <w:rFonts w:ascii="宋体" w:hAnsi="宋体" w:eastAsia="宋体" w:cs="Times New Roman"/>
                <w:color w:val="auto"/>
                <w:sz w:val="21"/>
                <w:szCs w:val="21"/>
              </w:rPr>
            </w:pPr>
          </w:p>
        </w:tc>
        <w:tc>
          <w:tcPr>
            <w:tcW w:w="1648" w:type="dxa"/>
          </w:tcPr>
          <w:p>
            <w:pPr>
              <w:pStyle w:val="7"/>
              <w:spacing w:line="360" w:lineRule="auto"/>
              <w:rPr>
                <w:rFonts w:ascii="宋体" w:hAnsi="宋体" w:eastAsia="宋体" w:cs="Times New Roman"/>
                <w:color w:val="auto"/>
                <w:sz w:val="21"/>
                <w:szCs w:val="21"/>
              </w:rPr>
            </w:pPr>
          </w:p>
        </w:tc>
        <w:tc>
          <w:tcPr>
            <w:tcW w:w="1600" w:type="dxa"/>
          </w:tcPr>
          <w:p>
            <w:pPr>
              <w:pStyle w:val="7"/>
              <w:spacing w:line="360" w:lineRule="auto"/>
              <w:rPr>
                <w:rFonts w:ascii="宋体" w:hAnsi="宋体" w:eastAsia="宋体" w:cs="Times New Roman"/>
                <w:color w:val="auto"/>
                <w:sz w:val="21"/>
                <w:szCs w:val="21"/>
              </w:rPr>
            </w:pPr>
          </w:p>
        </w:tc>
        <w:tc>
          <w:tcPr>
            <w:tcW w:w="1417" w:type="dxa"/>
          </w:tcPr>
          <w:p>
            <w:pPr>
              <w:pStyle w:val="7"/>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投标人法定代表人（单位负责人）或授权代表签字：</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Theme="minorEastAsia" w:hAnsiTheme="minorEastAsia"/>
          <w:color w:val="auto"/>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7"/>
              <w:spacing w:line="360" w:lineRule="auto"/>
              <w:rPr>
                <w:rFonts w:ascii="宋体" w:hAnsi="宋体" w:eastAsia="宋体" w:cs="Times New Roman"/>
                <w:color w:val="auto"/>
                <w:sz w:val="21"/>
                <w:szCs w:val="21"/>
              </w:rPr>
            </w:pPr>
          </w:p>
        </w:tc>
        <w:tc>
          <w:tcPr>
            <w:tcW w:w="1518" w:type="dxa"/>
            <w:vAlign w:val="center"/>
          </w:tcPr>
          <w:p>
            <w:pPr>
              <w:pStyle w:val="7"/>
              <w:spacing w:line="360" w:lineRule="auto"/>
              <w:rPr>
                <w:rFonts w:ascii="宋体" w:hAnsi="宋体" w:eastAsia="宋体" w:cs="Times New Roman"/>
                <w:color w:val="auto"/>
                <w:sz w:val="21"/>
                <w:szCs w:val="21"/>
              </w:rPr>
            </w:pPr>
          </w:p>
        </w:tc>
        <w:tc>
          <w:tcPr>
            <w:tcW w:w="1240" w:type="dxa"/>
          </w:tcPr>
          <w:p>
            <w:pPr>
              <w:pStyle w:val="7"/>
              <w:spacing w:line="360" w:lineRule="auto"/>
              <w:rPr>
                <w:rFonts w:ascii="宋体" w:hAnsi="宋体" w:eastAsia="宋体" w:cs="Times New Roman"/>
                <w:color w:val="auto"/>
                <w:sz w:val="21"/>
                <w:szCs w:val="21"/>
              </w:rPr>
            </w:pPr>
          </w:p>
        </w:tc>
        <w:tc>
          <w:tcPr>
            <w:tcW w:w="1648" w:type="dxa"/>
          </w:tcPr>
          <w:p>
            <w:pPr>
              <w:pStyle w:val="7"/>
              <w:spacing w:line="360" w:lineRule="auto"/>
              <w:rPr>
                <w:rFonts w:ascii="宋体" w:hAnsi="宋体" w:eastAsia="宋体" w:cs="Times New Roman"/>
                <w:color w:val="auto"/>
                <w:sz w:val="21"/>
                <w:szCs w:val="21"/>
              </w:rPr>
            </w:pPr>
          </w:p>
        </w:tc>
        <w:tc>
          <w:tcPr>
            <w:tcW w:w="1600" w:type="dxa"/>
          </w:tcPr>
          <w:p>
            <w:pPr>
              <w:pStyle w:val="7"/>
              <w:spacing w:line="360" w:lineRule="auto"/>
              <w:rPr>
                <w:rFonts w:ascii="宋体" w:hAnsi="宋体" w:eastAsia="宋体" w:cs="Times New Roman"/>
                <w:color w:val="auto"/>
                <w:sz w:val="21"/>
                <w:szCs w:val="21"/>
              </w:rPr>
            </w:pPr>
          </w:p>
        </w:tc>
        <w:tc>
          <w:tcPr>
            <w:tcW w:w="1417" w:type="dxa"/>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7"/>
              <w:spacing w:line="360" w:lineRule="auto"/>
              <w:rPr>
                <w:rFonts w:ascii="宋体" w:hAnsi="宋体" w:eastAsia="宋体" w:cs="Times New Roman"/>
                <w:color w:val="auto"/>
                <w:sz w:val="21"/>
                <w:szCs w:val="21"/>
              </w:rPr>
            </w:pPr>
          </w:p>
        </w:tc>
        <w:tc>
          <w:tcPr>
            <w:tcW w:w="1518" w:type="dxa"/>
            <w:vAlign w:val="center"/>
          </w:tcPr>
          <w:p>
            <w:pPr>
              <w:pStyle w:val="7"/>
              <w:spacing w:line="360" w:lineRule="auto"/>
              <w:rPr>
                <w:rFonts w:ascii="宋体" w:hAnsi="宋体" w:eastAsia="宋体" w:cs="Times New Roman"/>
                <w:color w:val="auto"/>
                <w:sz w:val="21"/>
                <w:szCs w:val="21"/>
              </w:rPr>
            </w:pPr>
          </w:p>
        </w:tc>
        <w:tc>
          <w:tcPr>
            <w:tcW w:w="1240" w:type="dxa"/>
          </w:tcPr>
          <w:p>
            <w:pPr>
              <w:pStyle w:val="7"/>
              <w:spacing w:line="360" w:lineRule="auto"/>
              <w:rPr>
                <w:rFonts w:ascii="宋体" w:hAnsi="宋体" w:eastAsia="宋体" w:cs="Times New Roman"/>
                <w:color w:val="auto"/>
                <w:sz w:val="21"/>
                <w:szCs w:val="21"/>
              </w:rPr>
            </w:pPr>
          </w:p>
        </w:tc>
        <w:tc>
          <w:tcPr>
            <w:tcW w:w="1648" w:type="dxa"/>
          </w:tcPr>
          <w:p>
            <w:pPr>
              <w:pStyle w:val="7"/>
              <w:spacing w:line="360" w:lineRule="auto"/>
              <w:rPr>
                <w:rFonts w:ascii="宋体" w:hAnsi="宋体" w:eastAsia="宋体" w:cs="Times New Roman"/>
                <w:color w:val="auto"/>
                <w:sz w:val="21"/>
                <w:szCs w:val="21"/>
              </w:rPr>
            </w:pPr>
          </w:p>
        </w:tc>
        <w:tc>
          <w:tcPr>
            <w:tcW w:w="1600" w:type="dxa"/>
          </w:tcPr>
          <w:p>
            <w:pPr>
              <w:pStyle w:val="7"/>
              <w:spacing w:line="360" w:lineRule="auto"/>
              <w:rPr>
                <w:rFonts w:ascii="宋体" w:hAnsi="宋体" w:eastAsia="宋体" w:cs="Times New Roman"/>
                <w:color w:val="auto"/>
                <w:sz w:val="21"/>
                <w:szCs w:val="21"/>
              </w:rPr>
            </w:pPr>
          </w:p>
        </w:tc>
        <w:tc>
          <w:tcPr>
            <w:tcW w:w="1417" w:type="dxa"/>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7"/>
              <w:spacing w:line="360" w:lineRule="auto"/>
              <w:rPr>
                <w:rFonts w:ascii="宋体" w:hAnsi="宋体" w:eastAsia="宋体" w:cs="Times New Roman"/>
                <w:color w:val="auto"/>
                <w:sz w:val="21"/>
                <w:szCs w:val="21"/>
              </w:rPr>
            </w:pPr>
          </w:p>
        </w:tc>
        <w:tc>
          <w:tcPr>
            <w:tcW w:w="1518" w:type="dxa"/>
            <w:vAlign w:val="center"/>
          </w:tcPr>
          <w:p>
            <w:pPr>
              <w:pStyle w:val="7"/>
              <w:spacing w:line="360" w:lineRule="auto"/>
              <w:rPr>
                <w:rFonts w:ascii="宋体" w:hAnsi="宋体" w:eastAsia="宋体" w:cs="Times New Roman"/>
                <w:color w:val="auto"/>
                <w:sz w:val="21"/>
                <w:szCs w:val="21"/>
              </w:rPr>
            </w:pPr>
          </w:p>
        </w:tc>
        <w:tc>
          <w:tcPr>
            <w:tcW w:w="1240" w:type="dxa"/>
          </w:tcPr>
          <w:p>
            <w:pPr>
              <w:pStyle w:val="7"/>
              <w:spacing w:line="360" w:lineRule="auto"/>
              <w:rPr>
                <w:rFonts w:ascii="宋体" w:hAnsi="宋体" w:eastAsia="宋体" w:cs="Times New Roman"/>
                <w:color w:val="auto"/>
                <w:sz w:val="21"/>
                <w:szCs w:val="21"/>
              </w:rPr>
            </w:pPr>
          </w:p>
        </w:tc>
        <w:tc>
          <w:tcPr>
            <w:tcW w:w="1648" w:type="dxa"/>
          </w:tcPr>
          <w:p>
            <w:pPr>
              <w:pStyle w:val="7"/>
              <w:spacing w:line="360" w:lineRule="auto"/>
              <w:rPr>
                <w:rFonts w:ascii="宋体" w:hAnsi="宋体" w:eastAsia="宋体" w:cs="Times New Roman"/>
                <w:color w:val="auto"/>
                <w:sz w:val="21"/>
                <w:szCs w:val="21"/>
              </w:rPr>
            </w:pPr>
          </w:p>
        </w:tc>
        <w:tc>
          <w:tcPr>
            <w:tcW w:w="1600" w:type="dxa"/>
          </w:tcPr>
          <w:p>
            <w:pPr>
              <w:pStyle w:val="7"/>
              <w:spacing w:line="360" w:lineRule="auto"/>
              <w:rPr>
                <w:rFonts w:ascii="宋体" w:hAnsi="宋体" w:eastAsia="宋体" w:cs="Times New Roman"/>
                <w:color w:val="auto"/>
                <w:sz w:val="21"/>
                <w:szCs w:val="21"/>
              </w:rPr>
            </w:pPr>
          </w:p>
        </w:tc>
        <w:tc>
          <w:tcPr>
            <w:tcW w:w="1417" w:type="dxa"/>
          </w:tcPr>
          <w:p>
            <w:pPr>
              <w:pStyle w:val="7"/>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投标人法定代表人（单位负责人）或授权代表签字：</w:t>
      </w:r>
    </w:p>
    <w:p>
      <w:pPr>
        <w:snapToGrid w:val="0"/>
        <w:spacing w:line="500" w:lineRule="exact"/>
        <w:rPr>
          <w:rFonts w:cs="宋体" w:asciiTheme="minorEastAsia" w:hAnsiTheme="minorEastAsia"/>
          <w:color w:val="auto"/>
          <w:szCs w:val="21"/>
          <w:lang w:val="zh-CN"/>
        </w:rPr>
      </w:pPr>
    </w:p>
    <w:p>
      <w:pPr>
        <w:spacing w:line="360" w:lineRule="auto"/>
        <w:rPr>
          <w:rFonts w:ascii="宋体" w:hAnsi="宋体"/>
          <w:b/>
          <w:bCs/>
          <w:color w:val="auto"/>
          <w:sz w:val="36"/>
          <w:szCs w:val="36"/>
        </w:rPr>
      </w:pPr>
      <w:r>
        <w:rPr>
          <w:rFonts w:hint="eastAsia" w:cs="宋体" w:asciiTheme="minorEastAsia" w:hAnsiTheme="minorEastAsia"/>
          <w:color w:val="auto"/>
          <w:szCs w:val="21"/>
          <w:lang w:val="zh-CN"/>
        </w:rPr>
        <w:t>说明：所投产品节能认证证书须附后。</w:t>
      </w: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Theme="minorEastAsia" w:hAnsiTheme="minorEastAsia"/>
          <w:color w:val="auto"/>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7"/>
              <w:spacing w:line="360" w:lineRule="auto"/>
              <w:rPr>
                <w:rFonts w:ascii="宋体" w:hAnsi="宋体" w:eastAsia="宋体" w:cs="Times New Roman"/>
                <w:color w:val="auto"/>
                <w:sz w:val="21"/>
                <w:szCs w:val="21"/>
              </w:rPr>
            </w:pPr>
          </w:p>
        </w:tc>
        <w:tc>
          <w:tcPr>
            <w:tcW w:w="1518" w:type="dxa"/>
            <w:vAlign w:val="center"/>
          </w:tcPr>
          <w:p>
            <w:pPr>
              <w:pStyle w:val="7"/>
              <w:spacing w:line="360" w:lineRule="auto"/>
              <w:rPr>
                <w:rFonts w:ascii="宋体" w:hAnsi="宋体" w:eastAsia="宋体" w:cs="Times New Roman"/>
                <w:color w:val="auto"/>
                <w:sz w:val="21"/>
                <w:szCs w:val="21"/>
              </w:rPr>
            </w:pPr>
          </w:p>
        </w:tc>
        <w:tc>
          <w:tcPr>
            <w:tcW w:w="1240" w:type="dxa"/>
          </w:tcPr>
          <w:p>
            <w:pPr>
              <w:pStyle w:val="7"/>
              <w:spacing w:line="360" w:lineRule="auto"/>
              <w:rPr>
                <w:rFonts w:ascii="宋体" w:hAnsi="宋体" w:eastAsia="宋体" w:cs="Times New Roman"/>
                <w:color w:val="auto"/>
                <w:sz w:val="21"/>
                <w:szCs w:val="21"/>
              </w:rPr>
            </w:pPr>
          </w:p>
        </w:tc>
        <w:tc>
          <w:tcPr>
            <w:tcW w:w="1648" w:type="dxa"/>
          </w:tcPr>
          <w:p>
            <w:pPr>
              <w:pStyle w:val="7"/>
              <w:spacing w:line="360" w:lineRule="auto"/>
              <w:rPr>
                <w:rFonts w:ascii="宋体" w:hAnsi="宋体" w:eastAsia="宋体" w:cs="Times New Roman"/>
                <w:color w:val="auto"/>
                <w:sz w:val="21"/>
                <w:szCs w:val="21"/>
              </w:rPr>
            </w:pPr>
          </w:p>
        </w:tc>
        <w:tc>
          <w:tcPr>
            <w:tcW w:w="1600" w:type="dxa"/>
          </w:tcPr>
          <w:p>
            <w:pPr>
              <w:pStyle w:val="7"/>
              <w:spacing w:line="360" w:lineRule="auto"/>
              <w:rPr>
                <w:rFonts w:ascii="宋体" w:hAnsi="宋体" w:eastAsia="宋体" w:cs="Times New Roman"/>
                <w:color w:val="auto"/>
                <w:sz w:val="21"/>
                <w:szCs w:val="21"/>
              </w:rPr>
            </w:pPr>
          </w:p>
        </w:tc>
        <w:tc>
          <w:tcPr>
            <w:tcW w:w="1417" w:type="dxa"/>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7"/>
              <w:spacing w:line="360" w:lineRule="auto"/>
              <w:rPr>
                <w:rFonts w:ascii="宋体" w:hAnsi="宋体" w:eastAsia="宋体" w:cs="Times New Roman"/>
                <w:color w:val="auto"/>
                <w:sz w:val="21"/>
                <w:szCs w:val="21"/>
              </w:rPr>
            </w:pPr>
          </w:p>
        </w:tc>
        <w:tc>
          <w:tcPr>
            <w:tcW w:w="1518" w:type="dxa"/>
            <w:vAlign w:val="center"/>
          </w:tcPr>
          <w:p>
            <w:pPr>
              <w:pStyle w:val="7"/>
              <w:spacing w:line="360" w:lineRule="auto"/>
              <w:rPr>
                <w:rFonts w:ascii="宋体" w:hAnsi="宋体" w:eastAsia="宋体" w:cs="Times New Roman"/>
                <w:color w:val="auto"/>
                <w:sz w:val="21"/>
                <w:szCs w:val="21"/>
              </w:rPr>
            </w:pPr>
          </w:p>
        </w:tc>
        <w:tc>
          <w:tcPr>
            <w:tcW w:w="1240" w:type="dxa"/>
          </w:tcPr>
          <w:p>
            <w:pPr>
              <w:pStyle w:val="7"/>
              <w:spacing w:line="360" w:lineRule="auto"/>
              <w:rPr>
                <w:rFonts w:ascii="宋体" w:hAnsi="宋体" w:eastAsia="宋体" w:cs="Times New Roman"/>
                <w:color w:val="auto"/>
                <w:sz w:val="21"/>
                <w:szCs w:val="21"/>
              </w:rPr>
            </w:pPr>
          </w:p>
        </w:tc>
        <w:tc>
          <w:tcPr>
            <w:tcW w:w="1648" w:type="dxa"/>
          </w:tcPr>
          <w:p>
            <w:pPr>
              <w:pStyle w:val="7"/>
              <w:spacing w:line="360" w:lineRule="auto"/>
              <w:rPr>
                <w:rFonts w:ascii="宋体" w:hAnsi="宋体" w:eastAsia="宋体" w:cs="Times New Roman"/>
                <w:color w:val="auto"/>
                <w:sz w:val="21"/>
                <w:szCs w:val="21"/>
              </w:rPr>
            </w:pPr>
          </w:p>
        </w:tc>
        <w:tc>
          <w:tcPr>
            <w:tcW w:w="1600" w:type="dxa"/>
          </w:tcPr>
          <w:p>
            <w:pPr>
              <w:pStyle w:val="7"/>
              <w:spacing w:line="360" w:lineRule="auto"/>
              <w:rPr>
                <w:rFonts w:ascii="宋体" w:hAnsi="宋体" w:eastAsia="宋体" w:cs="Times New Roman"/>
                <w:color w:val="auto"/>
                <w:sz w:val="21"/>
                <w:szCs w:val="21"/>
              </w:rPr>
            </w:pPr>
          </w:p>
        </w:tc>
        <w:tc>
          <w:tcPr>
            <w:tcW w:w="1417" w:type="dxa"/>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7"/>
              <w:spacing w:line="360" w:lineRule="auto"/>
              <w:rPr>
                <w:rFonts w:ascii="宋体" w:hAnsi="宋体" w:eastAsia="宋体" w:cs="Times New Roman"/>
                <w:color w:val="auto"/>
                <w:sz w:val="21"/>
                <w:szCs w:val="21"/>
              </w:rPr>
            </w:pPr>
          </w:p>
        </w:tc>
        <w:tc>
          <w:tcPr>
            <w:tcW w:w="1518" w:type="dxa"/>
            <w:vAlign w:val="center"/>
          </w:tcPr>
          <w:p>
            <w:pPr>
              <w:pStyle w:val="7"/>
              <w:spacing w:line="360" w:lineRule="auto"/>
              <w:rPr>
                <w:rFonts w:ascii="宋体" w:hAnsi="宋体" w:eastAsia="宋体" w:cs="Times New Roman"/>
                <w:color w:val="auto"/>
                <w:sz w:val="21"/>
                <w:szCs w:val="21"/>
              </w:rPr>
            </w:pPr>
          </w:p>
        </w:tc>
        <w:tc>
          <w:tcPr>
            <w:tcW w:w="1240" w:type="dxa"/>
          </w:tcPr>
          <w:p>
            <w:pPr>
              <w:pStyle w:val="7"/>
              <w:spacing w:line="360" w:lineRule="auto"/>
              <w:rPr>
                <w:rFonts w:ascii="宋体" w:hAnsi="宋体" w:eastAsia="宋体" w:cs="Times New Roman"/>
                <w:color w:val="auto"/>
                <w:sz w:val="21"/>
                <w:szCs w:val="21"/>
              </w:rPr>
            </w:pPr>
          </w:p>
        </w:tc>
        <w:tc>
          <w:tcPr>
            <w:tcW w:w="1648" w:type="dxa"/>
          </w:tcPr>
          <w:p>
            <w:pPr>
              <w:pStyle w:val="7"/>
              <w:spacing w:line="360" w:lineRule="auto"/>
              <w:rPr>
                <w:rFonts w:ascii="宋体" w:hAnsi="宋体" w:eastAsia="宋体" w:cs="Times New Roman"/>
                <w:color w:val="auto"/>
                <w:sz w:val="21"/>
                <w:szCs w:val="21"/>
              </w:rPr>
            </w:pPr>
          </w:p>
        </w:tc>
        <w:tc>
          <w:tcPr>
            <w:tcW w:w="1600" w:type="dxa"/>
          </w:tcPr>
          <w:p>
            <w:pPr>
              <w:pStyle w:val="7"/>
              <w:spacing w:line="360" w:lineRule="auto"/>
              <w:rPr>
                <w:rFonts w:ascii="宋体" w:hAnsi="宋体" w:eastAsia="宋体" w:cs="Times New Roman"/>
                <w:color w:val="auto"/>
                <w:sz w:val="21"/>
                <w:szCs w:val="21"/>
              </w:rPr>
            </w:pPr>
          </w:p>
        </w:tc>
        <w:tc>
          <w:tcPr>
            <w:tcW w:w="1417" w:type="dxa"/>
          </w:tcPr>
          <w:p>
            <w:pPr>
              <w:pStyle w:val="7"/>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投标人法定代表人（单位负责人）或授权代表签字：</w:t>
      </w:r>
    </w:p>
    <w:p>
      <w:pPr>
        <w:snapToGrid w:val="0"/>
        <w:spacing w:line="500" w:lineRule="exact"/>
        <w:rPr>
          <w:rFonts w:cs="宋体" w:asciiTheme="minorEastAsia" w:hAnsiTheme="minorEastAsia"/>
          <w:color w:val="auto"/>
          <w:szCs w:val="21"/>
          <w:lang w:val="zh-CN"/>
        </w:rPr>
      </w:pPr>
    </w:p>
    <w:p>
      <w:pPr>
        <w:ind w:left="630" w:hanging="630" w:hangingChars="300"/>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说明：所投产品节能认证证书须附后。</w:t>
      </w:r>
    </w:p>
    <w:p>
      <w:pPr>
        <w:ind w:left="630" w:hanging="630" w:hangingChars="300"/>
        <w:rPr>
          <w:rFonts w:cs="宋体" w:asciiTheme="minorEastAsia" w:hAnsiTheme="minorEastAsia"/>
          <w:color w:val="auto"/>
          <w:szCs w:val="21"/>
          <w:lang w:val="zh-CN"/>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4.9 中小企业声明函</w:t>
      </w:r>
    </w:p>
    <w:p>
      <w:pPr>
        <w:spacing w:line="360" w:lineRule="auto"/>
        <w:jc w:val="center"/>
        <w:rPr>
          <w:rFonts w:ascii="宋体" w:hAnsi="宋体"/>
          <w:b/>
          <w:bCs/>
          <w:color w:val="auto"/>
          <w:szCs w:val="21"/>
        </w:rPr>
      </w:pP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Cs w:val="21"/>
        </w:rPr>
        <w:br w:type="textWrapping"/>
      </w:r>
      <w:r>
        <w:rPr>
          <w:rFonts w:hint="eastAsia" w:ascii="宋体" w:hAnsi="宋体" w:cs="Arial"/>
          <w:color w:val="auto"/>
          <w:kern w:val="0"/>
          <w:szCs w:val="21"/>
        </w:rPr>
        <w:t>　　根据《工业和信息化部、国家统计局、国家发展和改革委员会、财政部关于印发中小企业划型标准规定的通知》（工信部联企业[2011]300号）规定的划分标准，</w:t>
      </w:r>
      <w:r>
        <w:rPr>
          <w:rFonts w:hint="eastAsia"/>
          <w:color w:val="auto"/>
          <w:szCs w:val="21"/>
        </w:rPr>
        <w:t>按照《国家统计局关于印发统计上大中小微型企业划分办法的通知》（国统字</w:t>
      </w:r>
      <w:r>
        <w:rPr>
          <w:color w:val="auto"/>
          <w:szCs w:val="21"/>
        </w:rPr>
        <w:t>[2011] 75</w:t>
      </w:r>
      <w:r>
        <w:rPr>
          <w:rFonts w:hint="eastAsia"/>
          <w:color w:val="auto"/>
          <w:szCs w:val="21"/>
        </w:rPr>
        <w:t>号）规定，本公司所属行业为</w:t>
      </w:r>
      <w:r>
        <w:rPr>
          <w:color w:val="auto"/>
          <w:szCs w:val="21"/>
        </w:rPr>
        <w:t>______</w:t>
      </w:r>
      <w:r>
        <w:rPr>
          <w:rFonts w:hint="eastAsia"/>
          <w:color w:val="auto"/>
          <w:szCs w:val="21"/>
        </w:rPr>
        <w:t>，截至上一财年末，公司资产总额</w:t>
      </w:r>
      <w:r>
        <w:rPr>
          <w:color w:val="auto"/>
          <w:szCs w:val="21"/>
        </w:rPr>
        <w:t>______</w:t>
      </w:r>
      <w:r>
        <w:rPr>
          <w:rFonts w:hint="eastAsia"/>
          <w:color w:val="auto"/>
          <w:szCs w:val="21"/>
        </w:rPr>
        <w:t>万元，营业收入</w:t>
      </w:r>
      <w:r>
        <w:rPr>
          <w:color w:val="auto"/>
          <w:szCs w:val="21"/>
        </w:rPr>
        <w:t>______</w:t>
      </w:r>
      <w:r>
        <w:rPr>
          <w:rFonts w:hint="eastAsia"/>
          <w:color w:val="auto"/>
          <w:szCs w:val="21"/>
        </w:rPr>
        <w:t>万元，从业人员</w:t>
      </w:r>
      <w:r>
        <w:rPr>
          <w:color w:val="auto"/>
          <w:szCs w:val="21"/>
        </w:rPr>
        <w:t>______</w:t>
      </w:r>
      <w:r>
        <w:rPr>
          <w:rFonts w:hint="eastAsia"/>
          <w:color w:val="auto"/>
          <w:szCs w:val="21"/>
        </w:rPr>
        <w:t>人，</w:t>
      </w:r>
      <w:r>
        <w:rPr>
          <w:rFonts w:hint="eastAsia" w:ascii="宋体" w:hAnsi="宋体" w:cs="Arial"/>
          <w:color w:val="auto"/>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Cs w:val="21"/>
        </w:rPr>
      </w:pPr>
    </w:p>
    <w:p>
      <w:pPr>
        <w:widowControl/>
        <w:spacing w:before="100" w:beforeAutospacing="1" w:after="100" w:afterAutospacing="1" w:line="360" w:lineRule="auto"/>
        <w:ind w:left="3885" w:leftChars="1850"/>
        <w:jc w:val="left"/>
        <w:rPr>
          <w:rFonts w:ascii="宋体" w:hAnsi="宋体" w:cs="Arial"/>
          <w:color w:val="auto"/>
          <w:kern w:val="0"/>
          <w:szCs w:val="21"/>
        </w:rPr>
      </w:pPr>
    </w:p>
    <w:p>
      <w:pPr>
        <w:spacing w:line="480" w:lineRule="auto"/>
        <w:ind w:left="4358" w:leftChars="2075"/>
        <w:rPr>
          <w:rFonts w:cs="Arial" w:asciiTheme="minorEastAsia" w:hAnsiTheme="minorEastAsia"/>
          <w:color w:val="auto"/>
          <w:szCs w:val="21"/>
        </w:rPr>
      </w:pPr>
      <w:r>
        <w:rPr>
          <w:rFonts w:hint="eastAsia" w:cs="Arial" w:asciiTheme="minorEastAsia" w:hAnsiTheme="minorEastAsia"/>
          <w:color w:val="auto"/>
          <w:szCs w:val="21"/>
        </w:rPr>
        <w:t>投标人名称（盖章）：　　　　　　　　　</w:t>
      </w:r>
      <w:r>
        <w:rPr>
          <w:rFonts w:hint="eastAsia" w:cs="Arial" w:asciiTheme="minorEastAsia" w:hAnsiTheme="minorEastAsia"/>
          <w:color w:val="auto"/>
          <w:szCs w:val="21"/>
        </w:rPr>
        <w:br w:type="textWrapping"/>
      </w:r>
      <w:r>
        <w:rPr>
          <w:rFonts w:hint="eastAsia" w:cs="Arial" w:asciiTheme="minorEastAsia" w:hAnsiTheme="minorEastAsia"/>
          <w:color w:val="auto"/>
          <w:szCs w:val="21"/>
        </w:rPr>
        <w:t>日　  期：      年    月    日</w:t>
      </w:r>
    </w:p>
    <w:p>
      <w:pPr>
        <w:spacing w:line="480" w:lineRule="auto"/>
        <w:ind w:left="4358" w:leftChars="2075"/>
        <w:rPr>
          <w:rFonts w:cs="Arial" w:asciiTheme="minorEastAsia" w:hAnsiTheme="minorEastAsia"/>
          <w:color w:val="auto"/>
          <w:szCs w:val="21"/>
        </w:rPr>
      </w:pPr>
    </w:p>
    <w:p>
      <w:pPr>
        <w:spacing w:line="480" w:lineRule="auto"/>
        <w:ind w:left="4358" w:leftChars="2075"/>
        <w:rPr>
          <w:rFonts w:cs="Arial" w:asciiTheme="minorEastAsia" w:hAnsiTheme="minorEastAsia"/>
          <w:color w:val="auto"/>
          <w:szCs w:val="21"/>
        </w:rPr>
      </w:pPr>
    </w:p>
    <w:p>
      <w:pPr>
        <w:spacing w:line="480" w:lineRule="auto"/>
        <w:ind w:left="4358" w:leftChars="2075"/>
        <w:rPr>
          <w:rFonts w:cs="Arial" w:asciiTheme="minorEastAsia" w:hAnsiTheme="minorEastAsia"/>
          <w:color w:val="auto"/>
          <w:szCs w:val="21"/>
        </w:rPr>
      </w:pP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auto"/>
          <w:kern w:val="0"/>
          <w:szCs w:val="21"/>
        </w:rPr>
      </w:pPr>
    </w:p>
    <w:p>
      <w:pPr>
        <w:widowControl/>
        <w:spacing w:before="100" w:beforeAutospacing="1" w:after="100" w:afterAutospacing="1" w:line="360" w:lineRule="auto"/>
        <w:contextualSpacing/>
        <w:jc w:val="left"/>
        <w:rPr>
          <w:rFonts w:ascii="宋体" w:hAnsi="宋体" w:cs="Arial"/>
          <w:color w:val="auto"/>
          <w:kern w:val="0"/>
          <w:szCs w:val="21"/>
        </w:rPr>
      </w:pPr>
    </w:p>
    <w:p>
      <w:pPr>
        <w:autoSpaceDE w:val="0"/>
        <w:autoSpaceDN w:val="0"/>
        <w:adjustRightInd w:val="0"/>
        <w:spacing w:line="360" w:lineRule="auto"/>
        <w:jc w:val="center"/>
        <w:outlineLvl w:val="0"/>
        <w:rPr>
          <w:rFonts w:ascii="宋体" w:hAnsi="宋体"/>
          <w:b/>
          <w:bCs/>
          <w:color w:val="auto"/>
          <w:sz w:val="24"/>
          <w:szCs w:val="24"/>
        </w:rPr>
      </w:pPr>
      <w:bookmarkStart w:id="10" w:name="OLE_LINK14"/>
      <w:bookmarkStart w:id="11" w:name="OLE_LINK13"/>
      <w:r>
        <w:rPr>
          <w:rFonts w:hint="eastAsia" w:ascii="宋体" w:hAnsi="宋体"/>
          <w:b/>
          <w:bCs/>
          <w:color w:val="auto"/>
          <w:sz w:val="24"/>
          <w:szCs w:val="24"/>
        </w:rPr>
        <w:t>4.10 残疾人福利性单位声明函</w:t>
      </w:r>
    </w:p>
    <w:bookmarkEnd w:id="10"/>
    <w:bookmarkEnd w:id="11"/>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480" w:lineRule="auto"/>
        <w:ind w:left="4358" w:leftChars="2075"/>
        <w:rPr>
          <w:rFonts w:cs="Arial" w:asciiTheme="minorEastAsia" w:hAnsiTheme="minorEastAsia"/>
          <w:color w:val="auto"/>
          <w:szCs w:val="21"/>
        </w:rPr>
      </w:pPr>
      <w:r>
        <w:rPr>
          <w:rFonts w:hint="eastAsia" w:cs="Arial" w:asciiTheme="minorEastAsia" w:hAnsiTheme="minorEastAsia"/>
          <w:color w:val="auto"/>
          <w:szCs w:val="21"/>
        </w:rPr>
        <w:t>单位名称（盖章）：</w:t>
      </w:r>
    </w:p>
    <w:p>
      <w:pPr>
        <w:spacing w:line="480" w:lineRule="auto"/>
        <w:ind w:left="4358" w:leftChars="2075"/>
        <w:rPr>
          <w:rFonts w:cs="Arial" w:asciiTheme="minorEastAsia" w:hAnsiTheme="minorEastAsia"/>
          <w:color w:val="auto"/>
          <w:szCs w:val="21"/>
        </w:rPr>
      </w:pPr>
      <w:r>
        <w:rPr>
          <w:rFonts w:hint="eastAsia" w:cs="Arial" w:asciiTheme="minorEastAsia" w:hAnsiTheme="minorEastAsia"/>
          <w:color w:val="auto"/>
          <w:szCs w:val="21"/>
        </w:rPr>
        <w:t xml:space="preserve"> 日    期：      年    月    日</w:t>
      </w:r>
    </w:p>
    <w:p>
      <w:pPr>
        <w:spacing w:line="480" w:lineRule="auto"/>
        <w:ind w:left="4358" w:leftChars="2075"/>
        <w:rPr>
          <w:rFonts w:cs="Arial" w:asciiTheme="minorEastAsia" w:hAnsiTheme="minorEastAsia"/>
          <w:color w:val="auto"/>
          <w:szCs w:val="21"/>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auto"/>
          <w:sz w:val="28"/>
          <w:szCs w:val="28"/>
        </w:rPr>
      </w:pPr>
    </w:p>
    <w:p>
      <w:pPr>
        <w:spacing w:line="360" w:lineRule="auto"/>
        <w:jc w:val="center"/>
        <w:rPr>
          <w:rFonts w:ascii="宋体" w:hAnsi="宋体" w:cs="Arial"/>
          <w:color w:val="auto"/>
          <w:kern w:val="0"/>
          <w:szCs w:val="21"/>
        </w:rPr>
      </w:pPr>
      <w:r>
        <w:rPr>
          <w:rFonts w:hint="eastAsia" w:ascii="宋体" w:hAnsi="宋体" w:cs="Arial"/>
          <w:color w:val="auto"/>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auto"/>
          <w:sz w:val="36"/>
          <w:szCs w:val="36"/>
        </w:rPr>
      </w:pPr>
    </w:p>
    <w:p>
      <w:pPr>
        <w:widowControl/>
        <w:spacing w:before="100" w:beforeAutospacing="1" w:after="100" w:afterAutospacing="1" w:line="360" w:lineRule="auto"/>
        <w:jc w:val="center"/>
        <w:rPr>
          <w:rFonts w:ascii="宋体" w:hAnsi="宋体"/>
          <w:b/>
          <w:bCs/>
          <w:color w:val="auto"/>
          <w:sz w:val="36"/>
          <w:szCs w:val="36"/>
        </w:rPr>
      </w:pPr>
    </w:p>
    <w:p>
      <w:pPr>
        <w:rPr>
          <w:color w:val="auto"/>
        </w:rPr>
      </w:pPr>
    </w:p>
    <w:p>
      <w:pPr>
        <w:rPr>
          <w:color w:val="auto"/>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15"/>
          <w:szCs w:val="15"/>
          <w:lang w:val="zh-CN"/>
        </w:rPr>
      </w:pPr>
    </w:p>
    <w:p>
      <w:pPr>
        <w:autoSpaceDE w:val="0"/>
        <w:autoSpaceDN w:val="0"/>
        <w:adjustRightInd w:val="0"/>
        <w:spacing w:line="360" w:lineRule="auto"/>
        <w:jc w:val="center"/>
        <w:rPr>
          <w:rFonts w:cs="黑体" w:asciiTheme="minorEastAsia" w:hAnsiTheme="minorEastAsia"/>
          <w:b/>
          <w:bCs/>
          <w:color w:val="auto"/>
          <w:sz w:val="15"/>
          <w:szCs w:val="15"/>
          <w:lang w:val="zh-CN"/>
        </w:rPr>
      </w:pPr>
    </w:p>
    <w:p>
      <w:pPr>
        <w:autoSpaceDE w:val="0"/>
        <w:autoSpaceDN w:val="0"/>
        <w:adjustRightInd w:val="0"/>
        <w:spacing w:line="360" w:lineRule="auto"/>
        <w:jc w:val="center"/>
        <w:rPr>
          <w:rFonts w:cs="黑体" w:asciiTheme="minorEastAsia" w:hAnsiTheme="minorEastAsia"/>
          <w:b/>
          <w:bCs/>
          <w:color w:val="auto"/>
          <w:sz w:val="15"/>
          <w:szCs w:val="15"/>
          <w:lang w:val="zh-CN"/>
        </w:rPr>
      </w:pPr>
    </w:p>
    <w:p>
      <w:pPr>
        <w:autoSpaceDE w:val="0"/>
        <w:autoSpaceDN w:val="0"/>
        <w:adjustRightInd w:val="0"/>
        <w:spacing w:line="360" w:lineRule="auto"/>
        <w:jc w:val="center"/>
        <w:rPr>
          <w:rFonts w:cs="黑体" w:asciiTheme="minorEastAsia" w:hAnsiTheme="minorEastAsia"/>
          <w:b/>
          <w:bCs/>
          <w:color w:val="auto"/>
          <w:sz w:val="15"/>
          <w:szCs w:val="15"/>
          <w:lang w:val="zh-CN"/>
        </w:rPr>
      </w:pPr>
    </w:p>
    <w:p>
      <w:pPr>
        <w:autoSpaceDE w:val="0"/>
        <w:autoSpaceDN w:val="0"/>
        <w:adjustRightInd w:val="0"/>
        <w:spacing w:line="360" w:lineRule="auto"/>
        <w:jc w:val="center"/>
        <w:rPr>
          <w:rFonts w:cs="黑体" w:asciiTheme="minorEastAsia" w:hAnsiTheme="minorEastAsia"/>
          <w:b/>
          <w:bCs/>
          <w:color w:val="auto"/>
          <w:sz w:val="15"/>
          <w:szCs w:val="15"/>
          <w:lang w:val="zh-CN"/>
        </w:rPr>
      </w:pPr>
    </w:p>
    <w:p>
      <w:pPr>
        <w:autoSpaceDE w:val="0"/>
        <w:autoSpaceDN w:val="0"/>
        <w:adjustRightInd w:val="0"/>
        <w:spacing w:line="360" w:lineRule="auto"/>
        <w:jc w:val="center"/>
        <w:rPr>
          <w:rFonts w:cs="黑体" w:asciiTheme="minorEastAsia" w:hAnsiTheme="minorEastAsia"/>
          <w:b/>
          <w:bCs/>
          <w:color w:val="auto"/>
          <w:sz w:val="15"/>
          <w:szCs w:val="15"/>
          <w:lang w:val="zh-CN"/>
        </w:rPr>
      </w:pPr>
    </w:p>
    <w:p>
      <w:pPr>
        <w:autoSpaceDE w:val="0"/>
        <w:autoSpaceDN w:val="0"/>
        <w:adjustRightInd w:val="0"/>
        <w:spacing w:line="360" w:lineRule="auto"/>
        <w:jc w:val="center"/>
        <w:rPr>
          <w:rFonts w:cs="黑体" w:asciiTheme="minorEastAsia" w:hAnsiTheme="minorEastAsia"/>
          <w:b/>
          <w:bCs/>
          <w:color w:val="auto"/>
          <w:sz w:val="15"/>
          <w:szCs w:val="15"/>
          <w:lang w:val="zh-CN"/>
        </w:rPr>
      </w:pPr>
    </w:p>
    <w:p>
      <w:pPr>
        <w:autoSpaceDE w:val="0"/>
        <w:autoSpaceDN w:val="0"/>
        <w:adjustRightInd w:val="0"/>
        <w:spacing w:line="360" w:lineRule="auto"/>
        <w:jc w:val="center"/>
        <w:rPr>
          <w:rFonts w:cs="黑体" w:asciiTheme="minorEastAsia" w:hAnsiTheme="minorEastAsia"/>
          <w:b/>
          <w:bCs/>
          <w:color w:val="auto"/>
          <w:sz w:val="15"/>
          <w:szCs w:val="15"/>
          <w:lang w:val="zh-CN"/>
        </w:rPr>
      </w:pPr>
    </w:p>
    <w:p>
      <w:pPr>
        <w:autoSpaceDE w:val="0"/>
        <w:autoSpaceDN w:val="0"/>
        <w:adjustRightInd w:val="0"/>
        <w:spacing w:line="360" w:lineRule="auto"/>
        <w:jc w:val="center"/>
        <w:rPr>
          <w:rFonts w:cs="黑体" w:asciiTheme="minorEastAsia" w:hAnsiTheme="minorEastAsia"/>
          <w:b/>
          <w:bCs/>
          <w:color w:val="auto"/>
          <w:sz w:val="15"/>
          <w:szCs w:val="15"/>
          <w:lang w:val="zh-CN"/>
        </w:rPr>
      </w:pPr>
    </w:p>
    <w:p>
      <w:pPr>
        <w:autoSpaceDE w:val="0"/>
        <w:autoSpaceDN w:val="0"/>
        <w:adjustRightInd w:val="0"/>
        <w:spacing w:line="360" w:lineRule="auto"/>
        <w:jc w:val="center"/>
        <w:rPr>
          <w:rFonts w:cs="黑体" w:asciiTheme="minorEastAsia" w:hAnsiTheme="minorEastAsia"/>
          <w:b/>
          <w:bCs/>
          <w:color w:val="auto"/>
          <w:sz w:val="15"/>
          <w:szCs w:val="15"/>
          <w:lang w:val="zh-CN"/>
        </w:rPr>
      </w:pPr>
    </w:p>
    <w:p>
      <w:pPr>
        <w:autoSpaceDE w:val="0"/>
        <w:autoSpaceDN w:val="0"/>
        <w:adjustRightInd w:val="0"/>
        <w:spacing w:line="360" w:lineRule="auto"/>
        <w:jc w:val="center"/>
        <w:rPr>
          <w:rFonts w:cs="黑体" w:asciiTheme="minorEastAsia" w:hAnsiTheme="minorEastAsia"/>
          <w:b/>
          <w:bCs/>
          <w:color w:val="auto"/>
          <w:sz w:val="15"/>
          <w:szCs w:val="15"/>
          <w:lang w:val="zh-CN"/>
        </w:rPr>
      </w:pPr>
    </w:p>
    <w:p>
      <w:pPr>
        <w:autoSpaceDE w:val="0"/>
        <w:autoSpaceDN w:val="0"/>
        <w:adjustRightInd w:val="0"/>
        <w:spacing w:line="360" w:lineRule="auto"/>
        <w:jc w:val="center"/>
        <w:rPr>
          <w:rFonts w:cs="黑体" w:asciiTheme="minorEastAsia" w:hAnsiTheme="minorEastAsia"/>
          <w:b/>
          <w:bCs/>
          <w:color w:val="auto"/>
          <w:sz w:val="15"/>
          <w:szCs w:val="15"/>
          <w:lang w:val="zh-CN"/>
        </w:rPr>
      </w:pPr>
    </w:p>
    <w:p>
      <w:pPr>
        <w:autoSpaceDE w:val="0"/>
        <w:autoSpaceDN w:val="0"/>
        <w:adjustRightInd w:val="0"/>
        <w:spacing w:line="360" w:lineRule="auto"/>
        <w:jc w:val="center"/>
        <w:rPr>
          <w:rFonts w:cs="黑体" w:asciiTheme="minorEastAsia" w:hAnsiTheme="minorEastAsia"/>
          <w:b/>
          <w:bCs/>
          <w:color w:val="auto"/>
          <w:sz w:val="15"/>
          <w:szCs w:val="15"/>
          <w:lang w:val="zh-CN"/>
        </w:rPr>
      </w:pPr>
    </w:p>
    <w:p>
      <w:pPr>
        <w:autoSpaceDE w:val="0"/>
        <w:autoSpaceDN w:val="0"/>
        <w:adjustRightInd w:val="0"/>
        <w:spacing w:line="360" w:lineRule="auto"/>
        <w:jc w:val="center"/>
        <w:rPr>
          <w:rFonts w:cs="黑体" w:asciiTheme="minorEastAsia" w:hAnsiTheme="minorEastAsia"/>
          <w:b/>
          <w:bCs/>
          <w:color w:val="auto"/>
          <w:sz w:val="15"/>
          <w:szCs w:val="15"/>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bookmarkStart w:id="12" w:name="_GoBack"/>
      <w:bookmarkEnd w:id="12"/>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80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E449F7"/>
    <w:multiLevelType w:val="singleLevel"/>
    <w:tmpl w:val="86E449F7"/>
    <w:lvl w:ilvl="0" w:tentative="0">
      <w:start w:val="1"/>
      <w:numFmt w:val="chineseCounting"/>
      <w:suff w:val="nothing"/>
      <w:lvlText w:val="%1、"/>
      <w:lvlJc w:val="left"/>
      <w:rPr>
        <w:rFonts w:hint="eastAsia"/>
      </w:rPr>
    </w:lvl>
  </w:abstractNum>
  <w:abstractNum w:abstractNumId="1">
    <w:nsid w:val="99C420B8"/>
    <w:multiLevelType w:val="singleLevel"/>
    <w:tmpl w:val="99C420B8"/>
    <w:lvl w:ilvl="0" w:tentative="0">
      <w:start w:val="1"/>
      <w:numFmt w:val="decimal"/>
      <w:suff w:val="nothing"/>
      <w:lvlText w:val="%1、"/>
      <w:lvlJc w:val="left"/>
    </w:lvl>
  </w:abstractNum>
  <w:abstractNum w:abstractNumId="2">
    <w:nsid w:val="C82EDA6B"/>
    <w:multiLevelType w:val="singleLevel"/>
    <w:tmpl w:val="C82EDA6B"/>
    <w:lvl w:ilvl="0" w:tentative="0">
      <w:start w:val="1"/>
      <w:numFmt w:val="decimal"/>
      <w:suff w:val="nothing"/>
      <w:lvlText w:val="%1、"/>
      <w:lvlJc w:val="left"/>
    </w:lvl>
  </w:abstractNum>
  <w:abstractNum w:abstractNumId="3">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E8"/>
    <w:multiLevelType w:val="singleLevel"/>
    <w:tmpl w:val="59F817E8"/>
    <w:lvl w:ilvl="0" w:tentative="0">
      <w:start w:val="1"/>
      <w:numFmt w:val="chineseCounting"/>
      <w:pStyle w:val="51"/>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97BBD60"/>
    <w:multiLevelType w:val="singleLevel"/>
    <w:tmpl w:val="797BBD60"/>
    <w:lvl w:ilvl="0" w:tentative="0">
      <w:start w:val="2"/>
      <w:numFmt w:val="decimal"/>
      <w:suff w:val="nothing"/>
      <w:lvlText w:val="%1、"/>
      <w:lvlJc w:val="left"/>
    </w:lvl>
  </w:abstractNum>
  <w:abstractNum w:abstractNumId="18">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14"/>
  </w:num>
  <w:num w:numId="4">
    <w:abstractNumId w:val="0"/>
  </w:num>
  <w:num w:numId="5">
    <w:abstractNumId w:val="1"/>
  </w:num>
  <w:num w:numId="6">
    <w:abstractNumId w:val="2"/>
  </w:num>
  <w:num w:numId="7">
    <w:abstractNumId w:val="10"/>
  </w:num>
  <w:num w:numId="8">
    <w:abstractNumId w:val="15"/>
  </w:num>
  <w:num w:numId="9">
    <w:abstractNumId w:val="7"/>
  </w:num>
  <w:num w:numId="10">
    <w:abstractNumId w:val="8"/>
  </w:num>
  <w:num w:numId="11">
    <w:abstractNumId w:val="18"/>
  </w:num>
  <w:num w:numId="12">
    <w:abstractNumId w:val="12"/>
  </w:num>
  <w:num w:numId="13">
    <w:abstractNumId w:val="16"/>
  </w:num>
  <w:num w:numId="14">
    <w:abstractNumId w:val="6"/>
  </w:num>
  <w:num w:numId="15">
    <w:abstractNumId w:val="9"/>
  </w:num>
  <w:num w:numId="16">
    <w:abstractNumId w:val="13"/>
  </w:num>
  <w:num w:numId="17">
    <w:abstractNumId w:val="11"/>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8034C"/>
    <w:rsid w:val="0001370A"/>
    <w:rsid w:val="0002244E"/>
    <w:rsid w:val="00032E32"/>
    <w:rsid w:val="000332D6"/>
    <w:rsid w:val="000346ED"/>
    <w:rsid w:val="000576C2"/>
    <w:rsid w:val="00057F7C"/>
    <w:rsid w:val="00073D7B"/>
    <w:rsid w:val="00075D7D"/>
    <w:rsid w:val="000779E8"/>
    <w:rsid w:val="00077E62"/>
    <w:rsid w:val="00080F36"/>
    <w:rsid w:val="00083CB1"/>
    <w:rsid w:val="00085F8B"/>
    <w:rsid w:val="0008676F"/>
    <w:rsid w:val="000873AE"/>
    <w:rsid w:val="000928D7"/>
    <w:rsid w:val="00094EAD"/>
    <w:rsid w:val="000A4572"/>
    <w:rsid w:val="000A6110"/>
    <w:rsid w:val="000B34C4"/>
    <w:rsid w:val="000B5686"/>
    <w:rsid w:val="000C75A7"/>
    <w:rsid w:val="000D07EA"/>
    <w:rsid w:val="000D2DED"/>
    <w:rsid w:val="000D39AC"/>
    <w:rsid w:val="000E134A"/>
    <w:rsid w:val="00100BEF"/>
    <w:rsid w:val="001013D9"/>
    <w:rsid w:val="0010571F"/>
    <w:rsid w:val="00117B60"/>
    <w:rsid w:val="00121E2F"/>
    <w:rsid w:val="00133EDE"/>
    <w:rsid w:val="00142DB6"/>
    <w:rsid w:val="0015237B"/>
    <w:rsid w:val="00152A00"/>
    <w:rsid w:val="00156EC1"/>
    <w:rsid w:val="00160E65"/>
    <w:rsid w:val="00162C1E"/>
    <w:rsid w:val="001669F3"/>
    <w:rsid w:val="00166E01"/>
    <w:rsid w:val="00181D66"/>
    <w:rsid w:val="0019038A"/>
    <w:rsid w:val="001B474D"/>
    <w:rsid w:val="001C3957"/>
    <w:rsid w:val="001D2E1A"/>
    <w:rsid w:val="001D4207"/>
    <w:rsid w:val="001D68FA"/>
    <w:rsid w:val="001E7C2C"/>
    <w:rsid w:val="001F5571"/>
    <w:rsid w:val="00203BE3"/>
    <w:rsid w:val="00210C2B"/>
    <w:rsid w:val="00210FCB"/>
    <w:rsid w:val="00250C01"/>
    <w:rsid w:val="002863C2"/>
    <w:rsid w:val="00293C27"/>
    <w:rsid w:val="002945DA"/>
    <w:rsid w:val="002A5B82"/>
    <w:rsid w:val="002A771B"/>
    <w:rsid w:val="002C1571"/>
    <w:rsid w:val="002C42F6"/>
    <w:rsid w:val="002C7916"/>
    <w:rsid w:val="002D494E"/>
    <w:rsid w:val="002D4951"/>
    <w:rsid w:val="002E2CED"/>
    <w:rsid w:val="002F3A7B"/>
    <w:rsid w:val="002F4123"/>
    <w:rsid w:val="00302F61"/>
    <w:rsid w:val="003033ED"/>
    <w:rsid w:val="003044A3"/>
    <w:rsid w:val="003161BC"/>
    <w:rsid w:val="00320DAC"/>
    <w:rsid w:val="00323356"/>
    <w:rsid w:val="003242B4"/>
    <w:rsid w:val="003305F9"/>
    <w:rsid w:val="00335F83"/>
    <w:rsid w:val="00337912"/>
    <w:rsid w:val="0034111D"/>
    <w:rsid w:val="003552A2"/>
    <w:rsid w:val="00372961"/>
    <w:rsid w:val="00380CFB"/>
    <w:rsid w:val="0038333D"/>
    <w:rsid w:val="00390295"/>
    <w:rsid w:val="003A03A0"/>
    <w:rsid w:val="003B2838"/>
    <w:rsid w:val="003B75ED"/>
    <w:rsid w:val="003C7F5A"/>
    <w:rsid w:val="003D6794"/>
    <w:rsid w:val="003F5CD2"/>
    <w:rsid w:val="00406170"/>
    <w:rsid w:val="00410B93"/>
    <w:rsid w:val="00414383"/>
    <w:rsid w:val="004207F8"/>
    <w:rsid w:val="00422114"/>
    <w:rsid w:val="0044305C"/>
    <w:rsid w:val="004438F4"/>
    <w:rsid w:val="00461483"/>
    <w:rsid w:val="00473ADD"/>
    <w:rsid w:val="00476C13"/>
    <w:rsid w:val="0048573C"/>
    <w:rsid w:val="00486FE2"/>
    <w:rsid w:val="004A1AF2"/>
    <w:rsid w:val="004A383B"/>
    <w:rsid w:val="004A4195"/>
    <w:rsid w:val="004B054D"/>
    <w:rsid w:val="004C01E2"/>
    <w:rsid w:val="004E07F6"/>
    <w:rsid w:val="004E0F6D"/>
    <w:rsid w:val="004E5765"/>
    <w:rsid w:val="004F121A"/>
    <w:rsid w:val="004F1C5F"/>
    <w:rsid w:val="004F32A0"/>
    <w:rsid w:val="004F7AD2"/>
    <w:rsid w:val="00501891"/>
    <w:rsid w:val="00515F85"/>
    <w:rsid w:val="00521623"/>
    <w:rsid w:val="0052728E"/>
    <w:rsid w:val="005316FF"/>
    <w:rsid w:val="0054649B"/>
    <w:rsid w:val="00550D0B"/>
    <w:rsid w:val="005579B6"/>
    <w:rsid w:val="00567B17"/>
    <w:rsid w:val="00575D26"/>
    <w:rsid w:val="0057676D"/>
    <w:rsid w:val="0058008A"/>
    <w:rsid w:val="0058369C"/>
    <w:rsid w:val="0058393C"/>
    <w:rsid w:val="0058525C"/>
    <w:rsid w:val="00595AE4"/>
    <w:rsid w:val="005A3857"/>
    <w:rsid w:val="005A39DD"/>
    <w:rsid w:val="005A4753"/>
    <w:rsid w:val="005B0C29"/>
    <w:rsid w:val="005B52B6"/>
    <w:rsid w:val="005C0CF5"/>
    <w:rsid w:val="005C3AE6"/>
    <w:rsid w:val="005C5F5B"/>
    <w:rsid w:val="005C67C8"/>
    <w:rsid w:val="005D7666"/>
    <w:rsid w:val="005E534D"/>
    <w:rsid w:val="005F225E"/>
    <w:rsid w:val="005F6F6A"/>
    <w:rsid w:val="00600306"/>
    <w:rsid w:val="006078AC"/>
    <w:rsid w:val="00614340"/>
    <w:rsid w:val="00617A3D"/>
    <w:rsid w:val="00620785"/>
    <w:rsid w:val="006303FC"/>
    <w:rsid w:val="00630CA6"/>
    <w:rsid w:val="00634FA0"/>
    <w:rsid w:val="00636AAD"/>
    <w:rsid w:val="00641150"/>
    <w:rsid w:val="00642CFC"/>
    <w:rsid w:val="006503D0"/>
    <w:rsid w:val="0066419E"/>
    <w:rsid w:val="00667B6D"/>
    <w:rsid w:val="0067302F"/>
    <w:rsid w:val="0067566A"/>
    <w:rsid w:val="0067738B"/>
    <w:rsid w:val="00680752"/>
    <w:rsid w:val="00680AFA"/>
    <w:rsid w:val="0068663A"/>
    <w:rsid w:val="0069025C"/>
    <w:rsid w:val="006907F7"/>
    <w:rsid w:val="00693F99"/>
    <w:rsid w:val="006A3D75"/>
    <w:rsid w:val="006B3D9A"/>
    <w:rsid w:val="006B4BB3"/>
    <w:rsid w:val="006B7982"/>
    <w:rsid w:val="006D10FD"/>
    <w:rsid w:val="006D4496"/>
    <w:rsid w:val="006D5FEB"/>
    <w:rsid w:val="006D7001"/>
    <w:rsid w:val="006D77A9"/>
    <w:rsid w:val="006E145E"/>
    <w:rsid w:val="006E1967"/>
    <w:rsid w:val="006E1AB0"/>
    <w:rsid w:val="006E3E32"/>
    <w:rsid w:val="006F5EBA"/>
    <w:rsid w:val="00702C35"/>
    <w:rsid w:val="0071006A"/>
    <w:rsid w:val="00717D9E"/>
    <w:rsid w:val="0072406E"/>
    <w:rsid w:val="00733882"/>
    <w:rsid w:val="00736FD5"/>
    <w:rsid w:val="00750835"/>
    <w:rsid w:val="00765BB6"/>
    <w:rsid w:val="00770487"/>
    <w:rsid w:val="00772CC0"/>
    <w:rsid w:val="00780EF2"/>
    <w:rsid w:val="00784A09"/>
    <w:rsid w:val="00794F26"/>
    <w:rsid w:val="0079532F"/>
    <w:rsid w:val="007A1275"/>
    <w:rsid w:val="007A5977"/>
    <w:rsid w:val="007B0A8C"/>
    <w:rsid w:val="007C3980"/>
    <w:rsid w:val="007D71A1"/>
    <w:rsid w:val="007E0E82"/>
    <w:rsid w:val="007F4CBA"/>
    <w:rsid w:val="007F6674"/>
    <w:rsid w:val="00807B25"/>
    <w:rsid w:val="00815A8A"/>
    <w:rsid w:val="00817AE2"/>
    <w:rsid w:val="00823F0C"/>
    <w:rsid w:val="00835490"/>
    <w:rsid w:val="0084403D"/>
    <w:rsid w:val="00845044"/>
    <w:rsid w:val="00845E73"/>
    <w:rsid w:val="00847441"/>
    <w:rsid w:val="008543A6"/>
    <w:rsid w:val="008679D0"/>
    <w:rsid w:val="0087048A"/>
    <w:rsid w:val="00872B2B"/>
    <w:rsid w:val="00875AAF"/>
    <w:rsid w:val="0087617D"/>
    <w:rsid w:val="008828F3"/>
    <w:rsid w:val="00892943"/>
    <w:rsid w:val="00895D33"/>
    <w:rsid w:val="008A5A2E"/>
    <w:rsid w:val="008B01DC"/>
    <w:rsid w:val="008B132A"/>
    <w:rsid w:val="008B5CD5"/>
    <w:rsid w:val="008B7021"/>
    <w:rsid w:val="008C5D9C"/>
    <w:rsid w:val="008D0201"/>
    <w:rsid w:val="008D2D0F"/>
    <w:rsid w:val="008D76DD"/>
    <w:rsid w:val="008E276D"/>
    <w:rsid w:val="008E7B4D"/>
    <w:rsid w:val="008F0CB1"/>
    <w:rsid w:val="009164E8"/>
    <w:rsid w:val="00926299"/>
    <w:rsid w:val="009410BE"/>
    <w:rsid w:val="00951B07"/>
    <w:rsid w:val="00956A32"/>
    <w:rsid w:val="00960738"/>
    <w:rsid w:val="00961679"/>
    <w:rsid w:val="009623EE"/>
    <w:rsid w:val="00962400"/>
    <w:rsid w:val="009648EB"/>
    <w:rsid w:val="0097473D"/>
    <w:rsid w:val="00991EE9"/>
    <w:rsid w:val="009A0AC9"/>
    <w:rsid w:val="009B61E8"/>
    <w:rsid w:val="009C12AB"/>
    <w:rsid w:val="009D4208"/>
    <w:rsid w:val="009D76D2"/>
    <w:rsid w:val="009E01A6"/>
    <w:rsid w:val="009E0C30"/>
    <w:rsid w:val="00A04493"/>
    <w:rsid w:val="00A04AFF"/>
    <w:rsid w:val="00A14EEB"/>
    <w:rsid w:val="00A163C6"/>
    <w:rsid w:val="00A220EE"/>
    <w:rsid w:val="00A22272"/>
    <w:rsid w:val="00A24AAD"/>
    <w:rsid w:val="00A305AC"/>
    <w:rsid w:val="00A33B8B"/>
    <w:rsid w:val="00A55096"/>
    <w:rsid w:val="00A57B03"/>
    <w:rsid w:val="00A6683F"/>
    <w:rsid w:val="00A678FE"/>
    <w:rsid w:val="00A831DE"/>
    <w:rsid w:val="00A85979"/>
    <w:rsid w:val="00AA4948"/>
    <w:rsid w:val="00AA6AA0"/>
    <w:rsid w:val="00AA75E5"/>
    <w:rsid w:val="00AB190E"/>
    <w:rsid w:val="00AB1F1D"/>
    <w:rsid w:val="00AC4FB4"/>
    <w:rsid w:val="00AD282C"/>
    <w:rsid w:val="00AD4B46"/>
    <w:rsid w:val="00AE1360"/>
    <w:rsid w:val="00AE565E"/>
    <w:rsid w:val="00AF47D5"/>
    <w:rsid w:val="00AF6A4F"/>
    <w:rsid w:val="00AF712E"/>
    <w:rsid w:val="00B03A69"/>
    <w:rsid w:val="00B055BE"/>
    <w:rsid w:val="00B14B8C"/>
    <w:rsid w:val="00B15E4D"/>
    <w:rsid w:val="00B16D9F"/>
    <w:rsid w:val="00B237B5"/>
    <w:rsid w:val="00B310D0"/>
    <w:rsid w:val="00B40EF5"/>
    <w:rsid w:val="00B4490E"/>
    <w:rsid w:val="00B50E45"/>
    <w:rsid w:val="00B510F5"/>
    <w:rsid w:val="00B52ECB"/>
    <w:rsid w:val="00B54144"/>
    <w:rsid w:val="00B54904"/>
    <w:rsid w:val="00B622EF"/>
    <w:rsid w:val="00B67CBD"/>
    <w:rsid w:val="00B739DB"/>
    <w:rsid w:val="00B750A7"/>
    <w:rsid w:val="00B855ED"/>
    <w:rsid w:val="00B965F2"/>
    <w:rsid w:val="00BA5277"/>
    <w:rsid w:val="00BC0D9C"/>
    <w:rsid w:val="00BC0DFC"/>
    <w:rsid w:val="00BD1C8B"/>
    <w:rsid w:val="00BD1EE7"/>
    <w:rsid w:val="00BE0DFE"/>
    <w:rsid w:val="00BE45BC"/>
    <w:rsid w:val="00BF54FA"/>
    <w:rsid w:val="00C00BB2"/>
    <w:rsid w:val="00C01C37"/>
    <w:rsid w:val="00C061F0"/>
    <w:rsid w:val="00C1406D"/>
    <w:rsid w:val="00C21C83"/>
    <w:rsid w:val="00C22776"/>
    <w:rsid w:val="00C247A1"/>
    <w:rsid w:val="00C26656"/>
    <w:rsid w:val="00C33E38"/>
    <w:rsid w:val="00C4573C"/>
    <w:rsid w:val="00C457B9"/>
    <w:rsid w:val="00C50A7B"/>
    <w:rsid w:val="00C556BC"/>
    <w:rsid w:val="00C5581B"/>
    <w:rsid w:val="00C561B4"/>
    <w:rsid w:val="00C62D22"/>
    <w:rsid w:val="00C6346F"/>
    <w:rsid w:val="00C63EF7"/>
    <w:rsid w:val="00C6500F"/>
    <w:rsid w:val="00C8034C"/>
    <w:rsid w:val="00C960E9"/>
    <w:rsid w:val="00CA0D3A"/>
    <w:rsid w:val="00CA7C19"/>
    <w:rsid w:val="00CB10AE"/>
    <w:rsid w:val="00CB1C7E"/>
    <w:rsid w:val="00CB2B6A"/>
    <w:rsid w:val="00CC3D8E"/>
    <w:rsid w:val="00CC7610"/>
    <w:rsid w:val="00CD1D26"/>
    <w:rsid w:val="00CE2CF1"/>
    <w:rsid w:val="00D00C7D"/>
    <w:rsid w:val="00D0125C"/>
    <w:rsid w:val="00D023F6"/>
    <w:rsid w:val="00D050D2"/>
    <w:rsid w:val="00D379BE"/>
    <w:rsid w:val="00D40594"/>
    <w:rsid w:val="00D530CE"/>
    <w:rsid w:val="00D60CC8"/>
    <w:rsid w:val="00D60D1B"/>
    <w:rsid w:val="00D62B97"/>
    <w:rsid w:val="00D63CA1"/>
    <w:rsid w:val="00D678D3"/>
    <w:rsid w:val="00D76C9F"/>
    <w:rsid w:val="00D76FFA"/>
    <w:rsid w:val="00D95F07"/>
    <w:rsid w:val="00DA1077"/>
    <w:rsid w:val="00DA62F5"/>
    <w:rsid w:val="00DB5925"/>
    <w:rsid w:val="00DB7E57"/>
    <w:rsid w:val="00DC3848"/>
    <w:rsid w:val="00DC3E97"/>
    <w:rsid w:val="00DC4942"/>
    <w:rsid w:val="00DC67C5"/>
    <w:rsid w:val="00DD3287"/>
    <w:rsid w:val="00DD71B6"/>
    <w:rsid w:val="00DE0C54"/>
    <w:rsid w:val="00DE7D93"/>
    <w:rsid w:val="00DF0C77"/>
    <w:rsid w:val="00E20746"/>
    <w:rsid w:val="00E34F3B"/>
    <w:rsid w:val="00E4000B"/>
    <w:rsid w:val="00E432D5"/>
    <w:rsid w:val="00E574F2"/>
    <w:rsid w:val="00E5756C"/>
    <w:rsid w:val="00E650E5"/>
    <w:rsid w:val="00E704F3"/>
    <w:rsid w:val="00E804D5"/>
    <w:rsid w:val="00EA645B"/>
    <w:rsid w:val="00EA64C2"/>
    <w:rsid w:val="00EB1100"/>
    <w:rsid w:val="00EB7168"/>
    <w:rsid w:val="00EC7B35"/>
    <w:rsid w:val="00EC7F72"/>
    <w:rsid w:val="00ED0519"/>
    <w:rsid w:val="00EE78AB"/>
    <w:rsid w:val="00EF2ACD"/>
    <w:rsid w:val="00EF46ED"/>
    <w:rsid w:val="00EF573C"/>
    <w:rsid w:val="00EF7D19"/>
    <w:rsid w:val="00F065C6"/>
    <w:rsid w:val="00F11527"/>
    <w:rsid w:val="00F27FEA"/>
    <w:rsid w:val="00F31DEF"/>
    <w:rsid w:val="00F3490E"/>
    <w:rsid w:val="00F35E04"/>
    <w:rsid w:val="00F45937"/>
    <w:rsid w:val="00F50A79"/>
    <w:rsid w:val="00F5201D"/>
    <w:rsid w:val="00F5755B"/>
    <w:rsid w:val="00F609BF"/>
    <w:rsid w:val="00F826A6"/>
    <w:rsid w:val="00F9402A"/>
    <w:rsid w:val="00F96B77"/>
    <w:rsid w:val="00FA0B24"/>
    <w:rsid w:val="00FA256C"/>
    <w:rsid w:val="00FB1061"/>
    <w:rsid w:val="00FB2FC2"/>
    <w:rsid w:val="00FB3047"/>
    <w:rsid w:val="00FB7E42"/>
    <w:rsid w:val="00FC2988"/>
    <w:rsid w:val="00FC3B84"/>
    <w:rsid w:val="00FF11D2"/>
    <w:rsid w:val="00FF620F"/>
    <w:rsid w:val="00FF6F49"/>
    <w:rsid w:val="01102C21"/>
    <w:rsid w:val="012E2C53"/>
    <w:rsid w:val="014C7EFB"/>
    <w:rsid w:val="01AD5DC6"/>
    <w:rsid w:val="01F914C2"/>
    <w:rsid w:val="023A2D30"/>
    <w:rsid w:val="0307535C"/>
    <w:rsid w:val="03475BC1"/>
    <w:rsid w:val="037B2FEA"/>
    <w:rsid w:val="04DE7147"/>
    <w:rsid w:val="065F1C9F"/>
    <w:rsid w:val="0677308B"/>
    <w:rsid w:val="0869373C"/>
    <w:rsid w:val="095C37D9"/>
    <w:rsid w:val="0B8D06D5"/>
    <w:rsid w:val="0D4B69D8"/>
    <w:rsid w:val="0D65122C"/>
    <w:rsid w:val="0E126BAF"/>
    <w:rsid w:val="0E5871D6"/>
    <w:rsid w:val="0E726966"/>
    <w:rsid w:val="0E946F1B"/>
    <w:rsid w:val="0F3A1B66"/>
    <w:rsid w:val="0F4351C2"/>
    <w:rsid w:val="0FE0228A"/>
    <w:rsid w:val="10031FBF"/>
    <w:rsid w:val="12093EE2"/>
    <w:rsid w:val="12EB0137"/>
    <w:rsid w:val="145623C8"/>
    <w:rsid w:val="154830B1"/>
    <w:rsid w:val="15DB00B5"/>
    <w:rsid w:val="175B0D1D"/>
    <w:rsid w:val="18B51ECD"/>
    <w:rsid w:val="18C858FE"/>
    <w:rsid w:val="19EB5955"/>
    <w:rsid w:val="1B552CBB"/>
    <w:rsid w:val="1BEF4168"/>
    <w:rsid w:val="1C7477FA"/>
    <w:rsid w:val="1CD9304A"/>
    <w:rsid w:val="1E12686E"/>
    <w:rsid w:val="1E8365D1"/>
    <w:rsid w:val="1FA42A13"/>
    <w:rsid w:val="1FFB00F0"/>
    <w:rsid w:val="20C232D3"/>
    <w:rsid w:val="21BE3E88"/>
    <w:rsid w:val="220E0770"/>
    <w:rsid w:val="230D730F"/>
    <w:rsid w:val="23430FD5"/>
    <w:rsid w:val="238C6E68"/>
    <w:rsid w:val="2565328D"/>
    <w:rsid w:val="25763983"/>
    <w:rsid w:val="25B951AA"/>
    <w:rsid w:val="263D5209"/>
    <w:rsid w:val="265D320F"/>
    <w:rsid w:val="26855560"/>
    <w:rsid w:val="26FF383C"/>
    <w:rsid w:val="29F17957"/>
    <w:rsid w:val="2A3A7780"/>
    <w:rsid w:val="2A67675B"/>
    <w:rsid w:val="2C253CEF"/>
    <w:rsid w:val="2F77302E"/>
    <w:rsid w:val="3156216B"/>
    <w:rsid w:val="31BB4DC2"/>
    <w:rsid w:val="31D62703"/>
    <w:rsid w:val="339407DD"/>
    <w:rsid w:val="35832E24"/>
    <w:rsid w:val="36C11D28"/>
    <w:rsid w:val="36F1239C"/>
    <w:rsid w:val="37E36C1C"/>
    <w:rsid w:val="3AE7280F"/>
    <w:rsid w:val="3B5E512C"/>
    <w:rsid w:val="3BF76B0F"/>
    <w:rsid w:val="3E096D31"/>
    <w:rsid w:val="416A6880"/>
    <w:rsid w:val="42624655"/>
    <w:rsid w:val="43102777"/>
    <w:rsid w:val="43560903"/>
    <w:rsid w:val="43F47422"/>
    <w:rsid w:val="45D139C9"/>
    <w:rsid w:val="464F71A9"/>
    <w:rsid w:val="46BD09CA"/>
    <w:rsid w:val="46D4672D"/>
    <w:rsid w:val="49862BBE"/>
    <w:rsid w:val="49A543F5"/>
    <w:rsid w:val="49CB7A67"/>
    <w:rsid w:val="4A047368"/>
    <w:rsid w:val="4D584F09"/>
    <w:rsid w:val="4E1E496A"/>
    <w:rsid w:val="50C169AF"/>
    <w:rsid w:val="51BB7786"/>
    <w:rsid w:val="51D002D9"/>
    <w:rsid w:val="521F2B4E"/>
    <w:rsid w:val="522B00A1"/>
    <w:rsid w:val="52ED75BC"/>
    <w:rsid w:val="537542FC"/>
    <w:rsid w:val="53AB43BE"/>
    <w:rsid w:val="55063038"/>
    <w:rsid w:val="55CE39E5"/>
    <w:rsid w:val="5604085F"/>
    <w:rsid w:val="566B0450"/>
    <w:rsid w:val="57AF2E29"/>
    <w:rsid w:val="581118B6"/>
    <w:rsid w:val="58A50FCB"/>
    <w:rsid w:val="58CD528D"/>
    <w:rsid w:val="59BA2649"/>
    <w:rsid w:val="5DAD6C18"/>
    <w:rsid w:val="5F0965BF"/>
    <w:rsid w:val="5FBB1D03"/>
    <w:rsid w:val="605C5218"/>
    <w:rsid w:val="614F212C"/>
    <w:rsid w:val="624E56B0"/>
    <w:rsid w:val="62B5584A"/>
    <w:rsid w:val="63274C5C"/>
    <w:rsid w:val="63E279F1"/>
    <w:rsid w:val="64822ECF"/>
    <w:rsid w:val="65336867"/>
    <w:rsid w:val="66395408"/>
    <w:rsid w:val="68AC6820"/>
    <w:rsid w:val="69C1398B"/>
    <w:rsid w:val="69F24350"/>
    <w:rsid w:val="6A6666CF"/>
    <w:rsid w:val="6B7E6870"/>
    <w:rsid w:val="6C0B44A4"/>
    <w:rsid w:val="6C4E0B51"/>
    <w:rsid w:val="6EA334BD"/>
    <w:rsid w:val="6EF57651"/>
    <w:rsid w:val="6F654FBE"/>
    <w:rsid w:val="6FB716E3"/>
    <w:rsid w:val="6FBD0317"/>
    <w:rsid w:val="6FFC04A4"/>
    <w:rsid w:val="703402BA"/>
    <w:rsid w:val="7197709B"/>
    <w:rsid w:val="72B22E28"/>
    <w:rsid w:val="739970C7"/>
    <w:rsid w:val="73C473DD"/>
    <w:rsid w:val="73D903C8"/>
    <w:rsid w:val="748276BE"/>
    <w:rsid w:val="74980574"/>
    <w:rsid w:val="74B369E8"/>
    <w:rsid w:val="74B60525"/>
    <w:rsid w:val="7528551A"/>
    <w:rsid w:val="757103A8"/>
    <w:rsid w:val="774B3F3B"/>
    <w:rsid w:val="779D02FE"/>
    <w:rsid w:val="77B934E7"/>
    <w:rsid w:val="77F00329"/>
    <w:rsid w:val="783918CE"/>
    <w:rsid w:val="79253ED6"/>
    <w:rsid w:val="792D2D88"/>
    <w:rsid w:val="798214F3"/>
    <w:rsid w:val="7A457306"/>
    <w:rsid w:val="7A5B3468"/>
    <w:rsid w:val="7D1277AD"/>
    <w:rsid w:val="7E6F0ACD"/>
    <w:rsid w:val="7EA80915"/>
    <w:rsid w:val="7F565428"/>
    <w:rsid w:val="7FD068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8"/>
    <w:qFormat/>
    <w:uiPriority w:val="0"/>
    <w:rPr>
      <w:rFonts w:ascii="Times New Roman" w:hAnsi="Times New Roman" w:eastAsia="宋体" w:cs="Times New Roman"/>
      <w:color w:val="FF0000"/>
      <w:sz w:val="24"/>
      <w:szCs w:val="24"/>
    </w:rPr>
  </w:style>
  <w:style w:type="paragraph" w:styleId="9">
    <w:name w:val="Body Text"/>
    <w:basedOn w:val="1"/>
    <w:link w:val="52"/>
    <w:semiHidden/>
    <w:unhideWhenUsed/>
    <w:qFormat/>
    <w:uiPriority w:val="99"/>
    <w:pPr>
      <w:spacing w:after="120"/>
    </w:pPr>
  </w:style>
  <w:style w:type="paragraph" w:styleId="10">
    <w:name w:val="Body Text Indent"/>
    <w:basedOn w:val="1"/>
    <w:link w:val="56"/>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3"/>
    <w:qFormat/>
    <w:uiPriority w:val="0"/>
    <w:rPr>
      <w:rFonts w:eastAsia="宋体"/>
      <w:sz w:val="24"/>
    </w:rPr>
  </w:style>
  <w:style w:type="paragraph" w:styleId="14">
    <w:name w:val="Date"/>
    <w:basedOn w:val="1"/>
    <w:next w:val="1"/>
    <w:link w:val="34"/>
    <w:unhideWhenUsed/>
    <w:qFormat/>
    <w:uiPriority w:val="0"/>
    <w:pPr>
      <w:ind w:left="100" w:leftChars="2500"/>
    </w:pPr>
  </w:style>
  <w:style w:type="paragraph" w:styleId="15">
    <w:name w:val="Balloon Text"/>
    <w:basedOn w:val="1"/>
    <w:link w:val="57"/>
    <w:semiHidden/>
    <w:unhideWhenUsed/>
    <w:qFormat/>
    <w:uiPriority w:val="99"/>
    <w:rPr>
      <w:sz w:val="18"/>
      <w:szCs w:val="18"/>
    </w:rPr>
  </w:style>
  <w:style w:type="paragraph" w:styleId="16">
    <w:name w:val="footer"/>
    <w:basedOn w:val="1"/>
    <w:link w:val="35"/>
    <w:unhideWhenUsed/>
    <w:qFormat/>
    <w:uiPriority w:val="99"/>
    <w:pPr>
      <w:tabs>
        <w:tab w:val="center" w:pos="4153"/>
        <w:tab w:val="right" w:pos="8306"/>
      </w:tabs>
      <w:snapToGrid w:val="0"/>
      <w:jc w:val="left"/>
    </w:pPr>
    <w:rPr>
      <w:sz w:val="18"/>
      <w:szCs w:val="18"/>
    </w:rPr>
  </w:style>
  <w:style w:type="paragraph" w:styleId="17">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Body Text Indent 3"/>
    <w:basedOn w:val="1"/>
    <w:qFormat/>
    <w:uiPriority w:val="0"/>
    <w:pPr>
      <w:spacing w:after="120"/>
      <w:ind w:left="420" w:leftChars="200"/>
    </w:pPr>
    <w:rPr>
      <w:sz w:val="16"/>
      <w:szCs w:val="16"/>
    </w:rPr>
  </w:style>
  <w:style w:type="paragraph" w:styleId="20">
    <w:name w:val="HTML Preformatted"/>
    <w:basedOn w:val="1"/>
    <w:link w:val="5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0"/>
    <w:rPr>
      <w:rFonts w:ascii="Calibri" w:hAnsi="Calibri" w:eastAsia="宋体" w:cs="Times New Roman"/>
      <w:sz w:val="24"/>
      <w:szCs w:val="24"/>
    </w:rPr>
  </w:style>
  <w:style w:type="paragraph" w:styleId="22">
    <w:name w:val="Body Text First Indent"/>
    <w:basedOn w:val="9"/>
    <w:next w:val="1"/>
    <w:link w:val="53"/>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FollowedHyperlink"/>
    <w:basedOn w:val="24"/>
    <w:semiHidden/>
    <w:unhideWhenUsed/>
    <w:qFormat/>
    <w:uiPriority w:val="99"/>
    <w:rPr>
      <w:color w:val="000000"/>
      <w:u w:val="none"/>
    </w:rPr>
  </w:style>
  <w:style w:type="character" w:styleId="27">
    <w:name w:val="Emphasis"/>
    <w:basedOn w:val="24"/>
    <w:qFormat/>
    <w:uiPriority w:val="20"/>
  </w:style>
  <w:style w:type="character" w:styleId="28">
    <w:name w:val="Hyperlink"/>
    <w:basedOn w:val="24"/>
    <w:unhideWhenUsed/>
    <w:qFormat/>
    <w:uiPriority w:val="99"/>
    <w:rPr>
      <w:color w:val="000000"/>
      <w:u w:val="none"/>
    </w:rPr>
  </w:style>
  <w:style w:type="character" w:customStyle="1" w:styleId="29">
    <w:name w:val="标题 1 Char"/>
    <w:basedOn w:val="24"/>
    <w:link w:val="2"/>
    <w:qFormat/>
    <w:uiPriority w:val="0"/>
    <w:rPr>
      <w:rFonts w:ascii="Calibri" w:hAnsi="Calibri" w:eastAsia="宋体" w:cs="Times New Roman"/>
      <w:b/>
      <w:bCs/>
      <w:kern w:val="44"/>
      <w:sz w:val="44"/>
      <w:szCs w:val="44"/>
    </w:rPr>
  </w:style>
  <w:style w:type="character" w:customStyle="1" w:styleId="30">
    <w:name w:val="标题 2 Char"/>
    <w:basedOn w:val="24"/>
    <w:link w:val="3"/>
    <w:qFormat/>
    <w:uiPriority w:val="0"/>
    <w:rPr>
      <w:rFonts w:ascii="Arial" w:hAnsi="Arial" w:eastAsia="黑体" w:cs="Times New Roman"/>
      <w:b/>
      <w:bCs/>
      <w:kern w:val="0"/>
      <w:sz w:val="32"/>
      <w:szCs w:val="32"/>
    </w:rPr>
  </w:style>
  <w:style w:type="character" w:customStyle="1" w:styleId="31">
    <w:name w:val="标题 3 Char"/>
    <w:basedOn w:val="24"/>
    <w:link w:val="4"/>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5"/>
    <w:qFormat/>
    <w:uiPriority w:val="0"/>
    <w:rPr>
      <w:rFonts w:ascii="Arial" w:hAnsi="Arial" w:eastAsia="黑体" w:cs="Times New Roman"/>
      <w:b/>
      <w:bCs/>
      <w:kern w:val="0"/>
      <w:sz w:val="28"/>
      <w:szCs w:val="28"/>
    </w:rPr>
  </w:style>
  <w:style w:type="character" w:customStyle="1" w:styleId="33">
    <w:name w:val="纯文本 Char"/>
    <w:basedOn w:val="24"/>
    <w:link w:val="13"/>
    <w:qFormat/>
    <w:uiPriority w:val="0"/>
    <w:rPr>
      <w:rFonts w:eastAsia="宋体"/>
      <w:sz w:val="24"/>
    </w:rPr>
  </w:style>
  <w:style w:type="character" w:customStyle="1" w:styleId="34">
    <w:name w:val="日期 Char"/>
    <w:basedOn w:val="24"/>
    <w:link w:val="14"/>
    <w:qFormat/>
    <w:uiPriority w:val="99"/>
  </w:style>
  <w:style w:type="character" w:customStyle="1" w:styleId="35">
    <w:name w:val="页脚 Char"/>
    <w:basedOn w:val="24"/>
    <w:link w:val="16"/>
    <w:qFormat/>
    <w:uiPriority w:val="99"/>
    <w:rPr>
      <w:sz w:val="18"/>
      <w:szCs w:val="18"/>
    </w:rPr>
  </w:style>
  <w:style w:type="character" w:customStyle="1" w:styleId="36">
    <w:name w:val="页眉 Char"/>
    <w:basedOn w:val="24"/>
    <w:link w:val="17"/>
    <w:qFormat/>
    <w:uiPriority w:val="99"/>
    <w:rPr>
      <w:sz w:val="18"/>
      <w:szCs w:val="18"/>
    </w:rPr>
  </w:style>
  <w:style w:type="character" w:customStyle="1" w:styleId="37">
    <w:name w:val="纯文本 Char1"/>
    <w:qFormat/>
    <w:uiPriority w:val="0"/>
    <w:rPr>
      <w:rFonts w:eastAsia="宋体"/>
      <w:sz w:val="24"/>
    </w:rPr>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9">
    <w:name w:val="列出段落1"/>
    <w:basedOn w:val="1"/>
    <w:qFormat/>
    <w:uiPriority w:val="34"/>
    <w:pPr>
      <w:ind w:firstLine="420" w:firstLineChars="200"/>
    </w:pPr>
  </w:style>
  <w:style w:type="paragraph" w:styleId="40">
    <w:name w:val="List Paragraph"/>
    <w:basedOn w:val="1"/>
    <w:unhideWhenUsed/>
    <w:qFormat/>
    <w:uiPriority w:val="34"/>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Char"/>
    <w:basedOn w:val="24"/>
    <w:link w:val="8"/>
    <w:qFormat/>
    <w:uiPriority w:val="0"/>
    <w:rPr>
      <w:rFonts w:ascii="Times New Roman" w:hAnsi="Times New Roman" w:eastAsia="宋体" w:cs="Times New Roman"/>
      <w:color w:val="FF0000"/>
      <w:sz w:val="24"/>
      <w:szCs w:val="24"/>
    </w:rPr>
  </w:style>
  <w:style w:type="character" w:customStyle="1" w:styleId="49">
    <w:name w:val="edittexttarea"/>
    <w:basedOn w:val="24"/>
    <w:qFormat/>
    <w:uiPriority w:val="0"/>
  </w:style>
  <w:style w:type="paragraph" w:customStyle="1" w:styleId="50">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Char"/>
    <w:basedOn w:val="24"/>
    <w:link w:val="9"/>
    <w:semiHidden/>
    <w:qFormat/>
    <w:uiPriority w:val="99"/>
  </w:style>
  <w:style w:type="character" w:customStyle="1" w:styleId="53">
    <w:name w:val="正文首行缩进 Char"/>
    <w:basedOn w:val="52"/>
    <w:link w:val="22"/>
    <w:qFormat/>
    <w:uiPriority w:val="0"/>
    <w:rPr>
      <w:rFonts w:ascii="宋体" w:hAnsi="Times New Roman" w:eastAsia="宋体" w:cs="Times New Roman"/>
      <w:kern w:val="0"/>
      <w:sz w:val="34"/>
      <w:szCs w:val="20"/>
    </w:rPr>
  </w:style>
  <w:style w:type="character" w:customStyle="1" w:styleId="54">
    <w:name w:val="HTML 预设格式 Char"/>
    <w:basedOn w:val="24"/>
    <w:link w:val="20"/>
    <w:semiHidden/>
    <w:qFormat/>
    <w:uiPriority w:val="99"/>
    <w:rPr>
      <w:rFonts w:ascii="宋体" w:hAnsi="宋体" w:eastAsia="宋体" w:cs="宋体"/>
      <w:kern w:val="0"/>
      <w:sz w:val="24"/>
      <w:szCs w:val="24"/>
    </w:rPr>
  </w:style>
  <w:style w:type="character" w:customStyle="1" w:styleId="55">
    <w:name w:val="正文文本缩进 Char"/>
    <w:link w:val="10"/>
    <w:qFormat/>
    <w:uiPriority w:val="0"/>
    <w:rPr>
      <w:sz w:val="24"/>
    </w:rPr>
  </w:style>
  <w:style w:type="character" w:customStyle="1" w:styleId="56">
    <w:name w:val="正文文本缩进 Char1"/>
    <w:basedOn w:val="24"/>
    <w:link w:val="10"/>
    <w:semiHidden/>
    <w:qFormat/>
    <w:uiPriority w:val="99"/>
  </w:style>
  <w:style w:type="character" w:customStyle="1" w:styleId="57">
    <w:name w:val="批注框文本 Char"/>
    <w:basedOn w:val="24"/>
    <w:link w:val="15"/>
    <w:semiHidden/>
    <w:qFormat/>
    <w:uiPriority w:val="99"/>
    <w:rPr>
      <w:sz w:val="18"/>
      <w:szCs w:val="18"/>
    </w:rPr>
  </w:style>
  <w:style w:type="paragraph" w:customStyle="1" w:styleId="58">
    <w:name w:val="xl24"/>
    <w:basedOn w:val="1"/>
    <w:qFormat/>
    <w:uiPriority w:val="0"/>
    <w:pPr>
      <w:widowControl/>
      <w:pBdr>
        <w:bottom w:val="single" w:color="auto" w:sz="4" w:space="0"/>
        <w:right w:val="single" w:color="auto" w:sz="8" w:space="0"/>
      </w:pBdr>
      <w:spacing w:before="100" w:beforeAutospacing="1" w:after="100" w:afterAutospacing="1"/>
      <w:jc w:val="center"/>
    </w:pPr>
    <w:rPr>
      <w:rFonts w:ascii="宋体" w:hAnsi="宋体" w:eastAsia="宋体" w:cs="Times New Roman"/>
      <w:kern w:val="0"/>
      <w:sz w:val="24"/>
      <w:szCs w:val="20"/>
    </w:rPr>
  </w:style>
  <w:style w:type="character" w:customStyle="1" w:styleId="59">
    <w:name w:val="font81"/>
    <w:qFormat/>
    <w:uiPriority w:val="0"/>
    <w:rPr>
      <w:rFonts w:ascii="Symbol" w:hAnsi="Symbol" w:cs="Symbol"/>
      <w:color w:val="000000"/>
      <w:sz w:val="20"/>
      <w:szCs w:val="20"/>
      <w:u w:val="none"/>
    </w:rPr>
  </w:style>
  <w:style w:type="paragraph" w:customStyle="1" w:styleId="60">
    <w:name w:val="p0"/>
    <w:basedOn w:val="1"/>
    <w:qFormat/>
    <w:uiPriority w:val="0"/>
    <w:pPr>
      <w:widowControl/>
    </w:pPr>
    <w:rPr>
      <w:rFonts w:ascii="Calibri" w:hAnsi="Calibri" w:eastAsia="宋体" w:cs="Times New Roman"/>
      <w:kern w:val="0"/>
      <w:szCs w:val="21"/>
    </w:rPr>
  </w:style>
  <w:style w:type="character" w:customStyle="1" w:styleId="61">
    <w:name w:val="right"/>
    <w:basedOn w:val="24"/>
    <w:qFormat/>
    <w:uiPriority w:val="0"/>
    <w:rPr>
      <w:color w:val="999999"/>
      <w:sz w:val="18"/>
      <w:szCs w:val="18"/>
    </w:rPr>
  </w:style>
  <w:style w:type="character" w:customStyle="1" w:styleId="62">
    <w:name w:val="hover"/>
    <w:basedOn w:val="24"/>
    <w:qFormat/>
    <w:uiPriority w:val="0"/>
  </w:style>
  <w:style w:type="character" w:customStyle="1" w:styleId="63">
    <w:name w:val="blue"/>
    <w:basedOn w:val="24"/>
    <w:qFormat/>
    <w:uiPriority w:val="0"/>
    <w:rPr>
      <w:color w:val="0371C6"/>
      <w:sz w:val="21"/>
      <w:szCs w:val="21"/>
    </w:rPr>
  </w:style>
  <w:style w:type="character" w:customStyle="1" w:styleId="64">
    <w:name w:val="red"/>
    <w:basedOn w:val="24"/>
    <w:qFormat/>
    <w:uiPriority w:val="0"/>
    <w:rPr>
      <w:color w:val="FF0000"/>
      <w:sz w:val="18"/>
      <w:szCs w:val="18"/>
    </w:rPr>
  </w:style>
  <w:style w:type="character" w:customStyle="1" w:styleId="65">
    <w:name w:val="red1"/>
    <w:basedOn w:val="24"/>
    <w:uiPriority w:val="0"/>
    <w:rPr>
      <w:color w:val="FF0000"/>
    </w:rPr>
  </w:style>
  <w:style w:type="character" w:customStyle="1" w:styleId="66">
    <w:name w:val="red2"/>
    <w:basedOn w:val="24"/>
    <w:qFormat/>
    <w:uiPriority w:val="0"/>
    <w:rPr>
      <w:color w:val="CC0000"/>
    </w:rPr>
  </w:style>
  <w:style w:type="character" w:customStyle="1" w:styleId="67">
    <w:name w:val="green"/>
    <w:basedOn w:val="24"/>
    <w:qFormat/>
    <w:uiPriority w:val="0"/>
    <w:rPr>
      <w:color w:val="66AE00"/>
      <w:sz w:val="18"/>
      <w:szCs w:val="18"/>
    </w:rPr>
  </w:style>
  <w:style w:type="character" w:customStyle="1" w:styleId="68">
    <w:name w:val="green1"/>
    <w:basedOn w:val="24"/>
    <w:qFormat/>
    <w:uiPriority w:val="0"/>
    <w:rPr>
      <w:color w:val="FF0000"/>
      <w:sz w:val="18"/>
      <w:szCs w:val="18"/>
    </w:rPr>
  </w:style>
  <w:style w:type="character" w:customStyle="1" w:styleId="69">
    <w:name w:val="gb-jt"/>
    <w:basedOn w:val="24"/>
    <w:qFormat/>
    <w:uiPriority w:val="0"/>
  </w:style>
  <w:style w:type="character" w:customStyle="1" w:styleId="70">
    <w:name w:val="red3"/>
    <w:basedOn w:val="24"/>
    <w:qFormat/>
    <w:uiPriority w:val="0"/>
    <w:rPr>
      <w:color w:val="FF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B686C1-80E6-4052-AB2E-5A65877154B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84</Pages>
  <Words>6665</Words>
  <Characters>37994</Characters>
  <Lines>316</Lines>
  <Paragraphs>89</Paragraphs>
  <TotalTime>4</TotalTime>
  <ScaleCrop>false</ScaleCrop>
  <LinksUpToDate>false</LinksUpToDate>
  <CharactersWithSpaces>44570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2019-08-01T02:27:00Z</dcterms:created>
  <dc:creator>许昌市公共资源交易中心:孟莉</dc:creator>
  <cp:lastModifiedBy>Administrator</cp:lastModifiedBy>
  <cp:lastPrinted>2019-12-11T01:44:00Z</cp:lastPrinted>
  <dcterms:modified xsi:type="dcterms:W3CDTF">2019-12-23T02:48:25Z</dcterms:modified>
  <cp:revision>367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