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宋体" w:hAnsi="宋体" w:cs="宋体"/>
          <w:b/>
          <w:sz w:val="32"/>
          <w:szCs w:val="32"/>
        </w:rPr>
      </w:pPr>
      <w:bookmarkStart w:id="0" w:name="_GoBack"/>
      <w:bookmarkEnd w:id="0"/>
      <w:r>
        <w:rPr>
          <w:rFonts w:hint="eastAsia" w:ascii="宋体" w:hAnsi="宋体" w:cs="宋体"/>
          <w:b/>
          <w:sz w:val="32"/>
          <w:szCs w:val="32"/>
        </w:rPr>
        <w:t xml:space="preserve">  采购需求</w:t>
      </w:r>
    </w:p>
    <w:p>
      <w:pPr>
        <w:jc w:val="center"/>
        <w:rPr>
          <w:sz w:val="32"/>
          <w:szCs w:val="32"/>
        </w:rPr>
      </w:pPr>
      <w:r>
        <w:rPr>
          <w:rFonts w:hint="eastAsia"/>
          <w:sz w:val="32"/>
          <w:szCs w:val="32"/>
        </w:rPr>
        <w:t>一、货物采购清单</w:t>
      </w:r>
    </w:p>
    <w:tbl>
      <w:tblPr>
        <w:tblStyle w:val="4"/>
        <w:tblpPr w:leftFromText="180" w:rightFromText="180" w:vertAnchor="text" w:horzAnchor="margin" w:tblpY="107"/>
        <w:tblW w:w="9055" w:type="dxa"/>
        <w:tblInd w:w="0" w:type="dxa"/>
        <w:tblLayout w:type="fixed"/>
        <w:tblCellMar>
          <w:top w:w="15" w:type="dxa"/>
          <w:left w:w="15" w:type="dxa"/>
          <w:bottom w:w="15" w:type="dxa"/>
          <w:right w:w="15" w:type="dxa"/>
        </w:tblCellMar>
      </w:tblPr>
      <w:tblGrid>
        <w:gridCol w:w="1012"/>
        <w:gridCol w:w="3362"/>
        <w:gridCol w:w="1056"/>
        <w:gridCol w:w="1056"/>
        <w:gridCol w:w="1101"/>
        <w:gridCol w:w="1468"/>
      </w:tblGrid>
      <w:tr>
        <w:tblPrEx>
          <w:tblCellMar>
            <w:top w:w="15" w:type="dxa"/>
            <w:left w:w="15" w:type="dxa"/>
            <w:bottom w:w="15" w:type="dxa"/>
            <w:right w:w="15" w:type="dxa"/>
          </w:tblCellMar>
        </w:tblPrEx>
        <w:trPr>
          <w:trHeight w:val="390" w:hRule="atLeast"/>
        </w:trPr>
        <w:tc>
          <w:tcPr>
            <w:tcW w:w="1012" w:type="dxa"/>
            <w:tcBorders>
              <w:top w:val="single" w:color="000000" w:sz="12"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序号</w:t>
            </w:r>
          </w:p>
        </w:tc>
        <w:tc>
          <w:tcPr>
            <w:tcW w:w="3362" w:type="dxa"/>
            <w:tcBorders>
              <w:top w:val="single" w:color="000000" w:sz="12"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工程或费用名称</w:t>
            </w:r>
          </w:p>
        </w:tc>
        <w:tc>
          <w:tcPr>
            <w:tcW w:w="1056" w:type="dxa"/>
            <w:tcBorders>
              <w:top w:val="single" w:color="000000" w:sz="12"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单位</w:t>
            </w:r>
          </w:p>
        </w:tc>
        <w:tc>
          <w:tcPr>
            <w:tcW w:w="1056" w:type="dxa"/>
            <w:tcBorders>
              <w:top w:val="single" w:color="000000" w:sz="12"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数量</w:t>
            </w:r>
          </w:p>
        </w:tc>
        <w:tc>
          <w:tcPr>
            <w:tcW w:w="1101" w:type="dxa"/>
            <w:tcBorders>
              <w:top w:val="single" w:color="000000" w:sz="12"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单价（元）</w:t>
            </w:r>
          </w:p>
        </w:tc>
        <w:tc>
          <w:tcPr>
            <w:tcW w:w="1468" w:type="dxa"/>
            <w:tcBorders>
              <w:top w:val="single" w:color="000000" w:sz="12"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合价(万元)</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b/>
                <w:kern w:val="0"/>
                <w:sz w:val="20"/>
                <w:szCs w:val="20"/>
              </w:rPr>
            </w:pPr>
            <w:r>
              <w:rPr>
                <w:rFonts w:hint="eastAsia" w:eastAsia="仿宋_GB2312"/>
                <w:b/>
                <w:kern w:val="0"/>
                <w:sz w:val="20"/>
                <w:szCs w:val="20"/>
              </w:rPr>
              <w:t>一</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b/>
                <w:kern w:val="0"/>
                <w:sz w:val="20"/>
                <w:szCs w:val="20"/>
              </w:rPr>
            </w:pPr>
            <w:r>
              <w:rPr>
                <w:rFonts w:eastAsia="仿宋_GB2312"/>
                <w:kern w:val="0"/>
                <w:sz w:val="20"/>
                <w:szCs w:val="20"/>
              </w:rPr>
              <w:t>机井计量设施</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ascii="仿宋_GB2312" w:hAnsi="宋体" w:eastAsia="仿宋_GB2312" w:cs="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（一）</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机井计量设施</w:t>
            </w:r>
            <w:r>
              <w:rPr>
                <w:rFonts w:hint="eastAsia" w:eastAsia="仿宋_GB2312"/>
                <w:kern w:val="0"/>
                <w:sz w:val="20"/>
                <w:szCs w:val="20"/>
              </w:rPr>
              <w:t>（智能井房）</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r>
              <w:rPr>
                <w:rFonts w:hint="eastAsia" w:eastAsia="仿宋_GB2312"/>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208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ascii="仿宋_GB2312" w:hAnsi="宋体" w:eastAsia="仿宋_GB2312" w:cs="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1</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玻璃钢井房（680mm*680mm*1500mm）</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座</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2</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农田灌溉智能控制系统(内含电量计量/水量计量采集模块/支持红外抄表/RS485通讯口/内置缺相过流保护模块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3</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GPRS通讯模块(无线GPRS双中心/380V交流供电)</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4</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类机翼涡轮流量计(DN80/内置RF无线通讯模块/高能量电流/无需外接电源)</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5</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监测中心托管费(含5年费用 GPRS数据卡)</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6</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基础数据录入费</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7</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首部枢纽连接</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8</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管道堵头等辅助配件</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处</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9</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蝶阀（DN80）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个</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10</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止回阀（DN80）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个</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11</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排气阀(自动排气阀)</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个</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spacing w:line="400" w:lineRule="exact"/>
              <w:jc w:val="center"/>
              <w:rPr>
                <w:rFonts w:eastAsia="仿宋_GB2312"/>
                <w:kern w:val="0"/>
                <w:sz w:val="20"/>
                <w:szCs w:val="20"/>
              </w:rPr>
            </w:pPr>
            <w:r>
              <w:rPr>
                <w:rFonts w:hint="eastAsia" w:ascii="新宋体" w:hAnsi="新宋体" w:eastAsia="新宋体"/>
              </w:rPr>
              <w:t>（二）</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IC卡</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张</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5972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spacing w:line="400" w:lineRule="exact"/>
              <w:jc w:val="center"/>
              <w:rPr>
                <w:rFonts w:eastAsia="仿宋_GB2312"/>
                <w:kern w:val="0"/>
                <w:sz w:val="20"/>
                <w:szCs w:val="20"/>
              </w:rPr>
            </w:pPr>
            <w:r>
              <w:rPr>
                <w:rFonts w:hint="eastAsia" w:ascii="新宋体" w:hAnsi="新宋体" w:eastAsia="新宋体"/>
              </w:rPr>
              <w:t>3</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智能充值管理终端（内部嵌入全智能处理系统，操作者通过键盘输入实现对智能IC卡的读写操作，并且操作的全过程有中文信息提示，实现友好的人机沟通）</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502" w:hRule="atLeast"/>
        </w:trPr>
        <w:tc>
          <w:tcPr>
            <w:tcW w:w="1012"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eastAsia="仿宋_GB2312"/>
                <w:b/>
                <w:kern w:val="0"/>
                <w:sz w:val="20"/>
                <w:szCs w:val="20"/>
              </w:rPr>
              <w:t>第二部分</w:t>
            </w:r>
          </w:p>
        </w:tc>
        <w:tc>
          <w:tcPr>
            <w:tcW w:w="33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eastAsia="仿宋_GB2312"/>
                <w:b/>
                <w:kern w:val="0"/>
                <w:sz w:val="20"/>
                <w:szCs w:val="20"/>
              </w:rPr>
              <w:t>水价改革相关支出</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kern w:val="0"/>
                <w:sz w:val="20"/>
                <w:szCs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kern w:val="0"/>
                <w:sz w:val="20"/>
                <w:szCs w:val="20"/>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kern w:val="0"/>
                <w:sz w:val="20"/>
                <w:szCs w:val="20"/>
              </w:rPr>
            </w:pP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eastAsia="仿宋_GB2312"/>
                <w:b/>
                <w:sz w:val="20"/>
                <w:szCs w:val="20"/>
              </w:rPr>
            </w:pPr>
            <w:r>
              <w:rPr>
                <w:rFonts w:eastAsia="仿宋_GB2312"/>
                <w:kern w:val="0"/>
                <w:sz w:val="20"/>
                <w:szCs w:val="20"/>
              </w:rPr>
              <w:t>一</w:t>
            </w:r>
          </w:p>
        </w:tc>
        <w:tc>
          <w:tcPr>
            <w:tcW w:w="3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eastAsia="仿宋_GB2312"/>
                <w:b/>
                <w:sz w:val="20"/>
                <w:szCs w:val="20"/>
              </w:rPr>
            </w:pPr>
            <w:r>
              <w:rPr>
                <w:rFonts w:eastAsia="仿宋_GB2312"/>
                <w:kern w:val="0"/>
                <w:sz w:val="20"/>
                <w:szCs w:val="20"/>
              </w:rPr>
              <w:t>协会建设费用</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eastAsia="仿宋_GB2312"/>
                <w:sz w:val="20"/>
                <w:szCs w:val="20"/>
              </w:rPr>
            </w:pP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eastAsia="仿宋_GB2312"/>
                <w:sz w:val="20"/>
                <w:szCs w:val="20"/>
              </w:rPr>
            </w:pPr>
            <w:r>
              <w:rPr>
                <w:rFonts w:eastAsia="仿宋_GB2312"/>
                <w:kern w:val="0"/>
                <w:sz w:val="20"/>
                <w:szCs w:val="20"/>
              </w:rPr>
              <w:t>1</w:t>
            </w:r>
          </w:p>
        </w:tc>
        <w:tc>
          <w:tcPr>
            <w:tcW w:w="3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协会各项管理制度牌、协会标志牌</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eastAsia="仿宋_GB2312"/>
                <w:kern w:val="0"/>
                <w:sz w:val="20"/>
                <w:szCs w:val="20"/>
              </w:rPr>
            </w:pPr>
            <w:r>
              <w:rPr>
                <w:rFonts w:eastAsia="仿宋_GB2312"/>
                <w:kern w:val="0"/>
                <w:sz w:val="20"/>
                <w:szCs w:val="20"/>
              </w:rPr>
              <w:t>2</w:t>
            </w:r>
          </w:p>
        </w:tc>
        <w:tc>
          <w:tcPr>
            <w:tcW w:w="3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输入、输出终端</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eastAsia="仿宋_GB2312"/>
                <w:kern w:val="0"/>
                <w:sz w:val="20"/>
                <w:szCs w:val="20"/>
              </w:rPr>
              <w:t>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二</w:t>
            </w:r>
          </w:p>
        </w:tc>
        <w:tc>
          <w:tcPr>
            <w:tcW w:w="3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乡镇级农业水价综合改革系统软件（B/S 版客户端软件： </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1.项目基础信息：项目区域乡镇、村庄、机井、农户基础信息的统计、记录、编辑、存储；      </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2.取水计量管控信息化，保证用水量数据的准确性；    </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3.各级不同范围的用水统计、查询；</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4.农户灌溉数据统计、分析、灌溉规律分析；</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5.水权水价改革费用收取，水价改革台账；</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6.奖补数据、台账分析、导出、打印；</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7.剩余水权的按政策调整，支持结转回购及交易；      </w:t>
            </w:r>
          </w:p>
          <w:p>
            <w:pPr>
              <w:widowControl/>
              <w:spacing w:line="400" w:lineRule="exact"/>
              <w:jc w:val="center"/>
              <w:textAlignment w:val="center"/>
              <w:rPr>
                <w:rFonts w:eastAsia="仿宋_GB2312"/>
                <w:kern w:val="0"/>
                <w:sz w:val="20"/>
                <w:szCs w:val="20"/>
              </w:rPr>
            </w:pPr>
            <w:r>
              <w:rPr>
                <w:rFonts w:hint="eastAsia" w:eastAsia="仿宋_GB2312"/>
                <w:kern w:val="0"/>
                <w:sz w:val="20"/>
                <w:szCs w:val="20"/>
              </w:rPr>
              <w:t>支持不同级别操作用户及操作权限，适应水价改革的管理需要；）</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2</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r>
        <w:tblPrEx>
          <w:tblCellMar>
            <w:top w:w="15" w:type="dxa"/>
            <w:left w:w="15" w:type="dxa"/>
            <w:bottom w:w="15" w:type="dxa"/>
            <w:right w:w="15" w:type="dxa"/>
          </w:tblCellMar>
        </w:tblPrEx>
        <w:trPr>
          <w:trHeight w:val="390" w:hRule="atLeast"/>
        </w:trPr>
        <w:tc>
          <w:tcPr>
            <w:tcW w:w="1012"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三</w:t>
            </w:r>
          </w:p>
        </w:tc>
        <w:tc>
          <w:tcPr>
            <w:tcW w:w="3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村级农业水价综合改革系统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eastAsia="仿宋_GB2312"/>
                <w:kern w:val="0"/>
                <w:sz w:val="20"/>
                <w:szCs w:val="20"/>
              </w:rPr>
              <w:t>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18</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c>
          <w:tcPr>
            <w:tcW w:w="1468" w:type="dxa"/>
            <w:tcBorders>
              <w:top w:val="single" w:color="000000" w:sz="4" w:space="0"/>
              <w:left w:val="single" w:color="000000" w:sz="4" w:space="0"/>
              <w:bottom w:val="single" w:color="000000" w:sz="4" w:space="0"/>
              <w:right w:val="single" w:color="000000" w:sz="12" w:space="0"/>
            </w:tcBorders>
            <w:noWrap w:val="0"/>
            <w:vAlign w:val="center"/>
          </w:tcPr>
          <w:p>
            <w:pPr>
              <w:widowControl/>
              <w:spacing w:line="400" w:lineRule="exact"/>
              <w:jc w:val="center"/>
              <w:textAlignment w:val="center"/>
              <w:rPr>
                <w:rFonts w:eastAsia="仿宋_GB2312"/>
                <w:kern w:val="0"/>
                <w:sz w:val="20"/>
                <w:szCs w:val="20"/>
              </w:rPr>
            </w:pPr>
            <w:r>
              <w:rPr>
                <w:rFonts w:hint="eastAsia" w:eastAsia="仿宋_GB2312"/>
                <w:kern w:val="0"/>
                <w:sz w:val="20"/>
                <w:szCs w:val="20"/>
              </w:rPr>
              <w:t xml:space="preserve"> </w:t>
            </w:r>
          </w:p>
        </w:tc>
      </w:tr>
    </w:tbl>
    <w:p>
      <w:pPr>
        <w:spacing w:line="400" w:lineRule="exact"/>
        <w:ind w:firstLine="422" w:firstLineChars="200"/>
        <w:rPr>
          <w:rFonts w:hint="eastAsia"/>
          <w:b/>
          <w:szCs w:val="21"/>
        </w:rPr>
      </w:pPr>
      <w:r>
        <w:rPr>
          <w:rFonts w:hint="eastAsia"/>
          <w:b/>
          <w:szCs w:val="21"/>
        </w:rPr>
        <w:t>二、其它要求</w:t>
      </w:r>
    </w:p>
    <w:p>
      <w:pPr>
        <w:numPr>
          <w:ilvl w:val="0"/>
          <w:numId w:val="1"/>
        </w:numPr>
        <w:spacing w:line="400" w:lineRule="exact"/>
        <w:ind w:firstLine="420" w:firstLineChars="200"/>
        <w:rPr>
          <w:rFonts w:hint="eastAsia"/>
          <w:szCs w:val="21"/>
        </w:rPr>
      </w:pPr>
      <w:r>
        <w:rPr>
          <w:rFonts w:hint="eastAsia" w:cs="宋体"/>
          <w:szCs w:val="21"/>
        </w:rPr>
        <w:t>投</w:t>
      </w:r>
      <w:r>
        <w:rPr>
          <w:rFonts w:hint="eastAsia"/>
          <w:szCs w:val="21"/>
        </w:rPr>
        <w:t>标人须明确所投产品的生产厂家、型号、详细参数。以上参数为最低配置，不响应的为无效投标（注明品牌型号的为参考配置，供应商可以在满足使用要求且不低于该配置的基础上提供其他产品）。投标人应提供证明材料加以印证。</w:t>
      </w:r>
    </w:p>
    <w:p>
      <w:pPr>
        <w:numPr>
          <w:ilvl w:val="0"/>
          <w:numId w:val="1"/>
        </w:numPr>
        <w:spacing w:line="400" w:lineRule="exact"/>
        <w:ind w:firstLine="420" w:firstLineChars="200"/>
        <w:rPr>
          <w:szCs w:val="21"/>
        </w:rPr>
      </w:pPr>
      <w:r>
        <w:rPr>
          <w:rFonts w:hint="eastAsia"/>
          <w:szCs w:val="21"/>
        </w:rPr>
        <w:t>货物需求表中要求提供的产品技术证明文件等，投标文件文件中必须按要求提供，否则为未响应招标文件要求。</w:t>
      </w:r>
    </w:p>
    <w:p>
      <w:pPr>
        <w:numPr>
          <w:ilvl w:val="0"/>
          <w:numId w:val="1"/>
        </w:numPr>
        <w:spacing w:line="400" w:lineRule="exact"/>
        <w:ind w:firstLine="420" w:firstLineChars="200"/>
        <w:rPr>
          <w:szCs w:val="21"/>
        </w:rPr>
      </w:pPr>
      <w:r>
        <w:rPr>
          <w:rFonts w:hint="eastAsia"/>
          <w:szCs w:val="21"/>
        </w:rPr>
        <w:t>必须符合国家质量检测标准和本招</w:t>
      </w:r>
      <w:r>
        <w:rPr>
          <w:szCs w:val="21"/>
        </w:rPr>
        <w:t>标</w:t>
      </w:r>
      <w:r>
        <w:rPr>
          <w:rFonts w:hint="eastAsia"/>
          <w:szCs w:val="21"/>
        </w:rPr>
        <w:t>文件规定标准，提供随货物相关质量证明文件。投标时投标文件中需提供所投产品厂家发布的产品技术参数证明材料可另册装订。</w:t>
      </w:r>
    </w:p>
    <w:p>
      <w:pPr>
        <w:numPr>
          <w:ilvl w:val="0"/>
          <w:numId w:val="1"/>
        </w:numPr>
        <w:spacing w:line="400" w:lineRule="exact"/>
        <w:ind w:firstLine="420" w:firstLineChars="200"/>
        <w:rPr>
          <w:rFonts w:hint="eastAsia"/>
          <w:szCs w:val="21"/>
        </w:rPr>
      </w:pPr>
      <w:r>
        <w:rPr>
          <w:rFonts w:hint="eastAsia"/>
          <w:szCs w:val="21"/>
        </w:rPr>
        <w:t>专利权：供应商应保证用户在使用该货物或其任何一部分时不受第三方提出侵犯其专利权、商标权和工业设计权等起诉。</w:t>
      </w:r>
    </w:p>
    <w:p>
      <w:pPr>
        <w:numPr>
          <w:ilvl w:val="0"/>
          <w:numId w:val="1"/>
        </w:numPr>
        <w:spacing w:line="400" w:lineRule="exact"/>
        <w:ind w:firstLine="420" w:firstLineChars="200"/>
        <w:rPr>
          <w:rFonts w:hint="eastAsia"/>
          <w:szCs w:val="21"/>
        </w:rPr>
      </w:pPr>
      <w:r>
        <w:rPr>
          <w:rFonts w:hint="eastAsia"/>
          <w:szCs w:val="21"/>
        </w:rPr>
        <w:t>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400" w:lineRule="exact"/>
        <w:ind w:firstLine="420" w:firstLineChars="200"/>
        <w:rPr>
          <w:rFonts w:hint="eastAsia"/>
          <w:szCs w:val="21"/>
        </w:rPr>
      </w:pPr>
      <w:r>
        <w:rPr>
          <w:rFonts w:hint="eastAsia"/>
          <w:szCs w:val="21"/>
        </w:rPr>
        <w:t>6.质保期一年，从项目最终验收合格之日起计算。</w:t>
      </w:r>
    </w:p>
    <w:p>
      <w:pPr>
        <w:spacing w:line="400" w:lineRule="exact"/>
        <w:ind w:firstLine="420" w:firstLineChars="200"/>
        <w:rPr>
          <w:rFonts w:hint="eastAsia"/>
          <w:szCs w:val="21"/>
        </w:rPr>
      </w:pPr>
      <w:r>
        <w:rPr>
          <w:rFonts w:hint="eastAsia"/>
          <w:szCs w:val="21"/>
        </w:rPr>
        <w:t>7.售后服务及培训：按采购文件及投标文件相应条款执行。</w:t>
      </w:r>
    </w:p>
    <w:p>
      <w:pPr>
        <w:spacing w:line="400" w:lineRule="exact"/>
        <w:ind w:firstLine="420" w:firstLineChars="200"/>
        <w:rPr>
          <w:rFonts w:hint="eastAsia"/>
          <w:szCs w:val="21"/>
        </w:rPr>
      </w:pPr>
      <w:r>
        <w:rPr>
          <w:rFonts w:hint="eastAsia"/>
          <w:szCs w:val="21"/>
        </w:rPr>
        <w:t>8.本项目为交钥匙工程，投标报价为总包价,包括运输、施工、安装、材料等购置、测试、验收、技术培训、售后服务所产生的费用等，招标采购人不另行支付任何其他费用。</w:t>
      </w:r>
    </w:p>
    <w:p>
      <w:r>
        <w:rPr>
          <w:rFonts w:hint="eastAsia"/>
          <w:szCs w:val="21"/>
        </w:rPr>
        <w:t>9.结算方式：设备安装完毕、调试、试运行、预验收合格付</w:t>
      </w:r>
      <w:r>
        <w:rPr>
          <w:rFonts w:hint="eastAsia"/>
          <w:szCs w:val="21"/>
          <w:u w:val="single"/>
        </w:rPr>
        <w:t>总价款</w:t>
      </w:r>
      <w:r>
        <w:rPr>
          <w:rFonts w:hint="eastAsia"/>
          <w:b/>
          <w:bCs/>
          <w:szCs w:val="21"/>
          <w:u w:val="single"/>
        </w:rPr>
        <w:t>80%</w:t>
      </w:r>
      <w:r>
        <w:rPr>
          <w:rFonts w:hint="eastAsia"/>
          <w:szCs w:val="21"/>
        </w:rPr>
        <w:t>，</w:t>
      </w:r>
      <w:r>
        <w:rPr>
          <w:rFonts w:hint="eastAsia"/>
          <w:szCs w:val="21"/>
          <w:shd w:val="clear" w:color="auto" w:fill="FFFFFF"/>
        </w:rPr>
        <w:t>在本</w:t>
      </w:r>
      <w:r>
        <w:rPr>
          <w:rFonts w:hint="eastAsia"/>
          <w:szCs w:val="21"/>
        </w:rPr>
        <w:t>工程竣工验收合格并经审计部门审计结束</w:t>
      </w:r>
      <w:r>
        <w:rPr>
          <w:rFonts w:hint="eastAsia"/>
          <w:szCs w:val="21"/>
          <w:shd w:val="clear" w:color="auto" w:fill="FFFFFF"/>
        </w:rPr>
        <w:t>，将审计决算金额报长葛市政府相关部门同意后，据实拨付审计结果总价款的</w:t>
      </w:r>
      <w:r>
        <w:rPr>
          <w:rFonts w:hint="eastAsia"/>
          <w:b/>
          <w:bCs/>
          <w:szCs w:val="21"/>
          <w:u w:val="single"/>
          <w:shd w:val="clear" w:color="auto" w:fill="FFFFFF"/>
        </w:rPr>
        <w:t>95%</w:t>
      </w:r>
      <w:r>
        <w:rPr>
          <w:rFonts w:hint="eastAsia"/>
          <w:szCs w:val="21"/>
          <w:shd w:val="clear" w:color="auto" w:fill="FFFFFF"/>
        </w:rPr>
        <w:t xml:space="preserve"> ,（其中预留总工程款</w:t>
      </w:r>
      <w:r>
        <w:rPr>
          <w:rFonts w:hint="eastAsia"/>
          <w:b/>
          <w:bCs/>
          <w:szCs w:val="21"/>
          <w:u w:val="single"/>
          <w:shd w:val="clear" w:color="auto" w:fill="FFFFFF"/>
        </w:rPr>
        <w:t>5％</w:t>
      </w:r>
      <w:r>
        <w:rPr>
          <w:rFonts w:hint="eastAsia"/>
          <w:szCs w:val="21"/>
          <w:shd w:val="clear" w:color="auto" w:fill="FFFFFF"/>
        </w:rPr>
        <w:t>作为质保金，质保期满无重大质量问题结清余款）</w:t>
      </w:r>
      <w:r>
        <w:rPr>
          <w:rFonts w:hint="eastAsia" w:cs="Calibri"/>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90AAD"/>
    <w:multiLevelType w:val="singleLevel"/>
    <w:tmpl w:val="59890A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0991"/>
    <w:rsid w:val="0C6702DF"/>
    <w:rsid w:val="127A01AE"/>
    <w:rsid w:val="1C7F775B"/>
    <w:rsid w:val="208826DF"/>
    <w:rsid w:val="71603D55"/>
    <w:rsid w:val="7588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adjustRightInd/>
      <w:spacing w:line="240" w:lineRule="auto"/>
      <w:ind w:firstLine="420" w:firstLineChars="100"/>
      <w:jc w:val="both"/>
      <w:textAlignment w:val="auto"/>
    </w:pPr>
    <w:rPr>
      <w:rFonts w:eastAsia="宋体"/>
      <w:b w:val="0"/>
      <w:kern w:val="2"/>
      <w:sz w:val="21"/>
      <w:szCs w:val="22"/>
    </w:rPr>
  </w:style>
  <w:style w:type="paragraph" w:styleId="3">
    <w:name w:val="Body Text"/>
    <w:basedOn w:val="1"/>
    <w:qFormat/>
    <w:uiPriority w:val="0"/>
    <w:pPr>
      <w:adjustRightInd w:val="0"/>
      <w:spacing w:after="120" w:line="360" w:lineRule="atLeast"/>
      <w:jc w:val="left"/>
      <w:textAlignment w:val="baseline"/>
    </w:pPr>
    <w:rPr>
      <w:rFonts w:eastAsia="仿宋_GB2312"/>
      <w:b/>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2019-12-17T03:22:59Z</dcterms:created>
  <dc:creator>Administrator</dc:creator>
  <cp:lastModifiedBy>智远工程管理有限公司:高波</cp:lastModifiedBy>
  <dcterms:modified xsi:type="dcterms:W3CDTF">2019-12-17T03:23:22Z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