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int="eastAsia" w:ascii="宋体" w:hAnsi="宋体" w:eastAsia="宋体" w:cs="宋体"/>
          <w:b/>
          <w:snapToGrid w:val="0"/>
          <w:kern w:val="0"/>
          <w:sz w:val="28"/>
          <w:szCs w:val="28"/>
        </w:rPr>
      </w:pPr>
      <w:bookmarkStart w:id="0" w:name="_GoBack"/>
      <w:bookmarkEnd w:id="0"/>
      <w:r>
        <w:rPr>
          <w:rFonts w:hint="eastAsia" w:ascii="宋体" w:hAnsi="宋体" w:eastAsia="宋体" w:cs="宋体"/>
          <w:b/>
          <w:bCs/>
          <w:color w:val="000000"/>
          <w:sz w:val="28"/>
          <w:szCs w:val="28"/>
        </w:rPr>
        <w:t>分项报价表</w:t>
      </w:r>
    </w:p>
    <w:tbl>
      <w:tblPr>
        <w:tblStyle w:val="6"/>
        <w:tblW w:w="14691" w:type="dxa"/>
        <w:jc w:val="center"/>
        <w:tblLayout w:type="fixed"/>
        <w:tblCellMar>
          <w:top w:w="0" w:type="dxa"/>
          <w:left w:w="108" w:type="dxa"/>
          <w:bottom w:w="0" w:type="dxa"/>
          <w:right w:w="108" w:type="dxa"/>
        </w:tblCellMar>
      </w:tblPr>
      <w:tblGrid>
        <w:gridCol w:w="737"/>
        <w:gridCol w:w="1219"/>
        <w:gridCol w:w="1462"/>
        <w:gridCol w:w="4538"/>
        <w:gridCol w:w="769"/>
        <w:gridCol w:w="825"/>
        <w:gridCol w:w="1518"/>
        <w:gridCol w:w="1500"/>
        <w:gridCol w:w="2123"/>
      </w:tblGrid>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序号</w:t>
            </w:r>
          </w:p>
        </w:tc>
        <w:tc>
          <w:tcPr>
            <w:tcW w:w="121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名 称</w:t>
            </w:r>
          </w:p>
        </w:tc>
        <w:tc>
          <w:tcPr>
            <w:tcW w:w="146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ind w:firstLine="120"/>
              <w:rPr>
                <w:rFonts w:hint="eastAsia" w:ascii="宋体" w:hAnsi="宋体" w:eastAsia="宋体" w:cs="宋体"/>
                <w:b/>
                <w:sz w:val="24"/>
                <w:szCs w:val="24"/>
                <w:lang w:val="zh-CN"/>
              </w:rPr>
            </w:pPr>
            <w:r>
              <w:rPr>
                <w:rFonts w:hint="eastAsia" w:ascii="宋体" w:hAnsi="宋体" w:eastAsia="宋体" w:cs="宋体"/>
                <w:b/>
                <w:sz w:val="24"/>
                <w:szCs w:val="24"/>
                <w:lang w:val="zh-CN"/>
              </w:rPr>
              <w:t>规格型号</w:t>
            </w:r>
          </w:p>
        </w:tc>
        <w:tc>
          <w:tcPr>
            <w:tcW w:w="453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技术参数</w:t>
            </w:r>
          </w:p>
        </w:tc>
        <w:tc>
          <w:tcPr>
            <w:tcW w:w="76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单位</w:t>
            </w:r>
          </w:p>
        </w:tc>
        <w:tc>
          <w:tcPr>
            <w:tcW w:w="82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数量</w:t>
            </w:r>
          </w:p>
        </w:tc>
        <w:tc>
          <w:tcPr>
            <w:tcW w:w="15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单价</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b/>
                <w:sz w:val="24"/>
                <w:szCs w:val="24"/>
                <w:lang w:val="zh-CN"/>
              </w:rPr>
            </w:pPr>
            <w:r>
              <w:rPr>
                <w:rFonts w:hint="eastAsia" w:ascii="宋体" w:hAnsi="宋体" w:eastAsia="宋体" w:cs="宋体"/>
                <w:b/>
                <w:sz w:val="24"/>
                <w:szCs w:val="24"/>
                <w:lang w:val="zh-CN"/>
              </w:rPr>
              <w:t>总价</w:t>
            </w:r>
          </w:p>
        </w:tc>
        <w:tc>
          <w:tcPr>
            <w:tcW w:w="212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ind w:left="120" w:hanging="120"/>
              <w:jc w:val="center"/>
              <w:rPr>
                <w:rFonts w:hint="eastAsia" w:ascii="宋体" w:hAnsi="宋体" w:eastAsia="宋体" w:cs="宋体"/>
                <w:b/>
                <w:sz w:val="24"/>
                <w:szCs w:val="24"/>
                <w:lang w:val="zh-CN"/>
              </w:rPr>
            </w:pPr>
            <w:r>
              <w:rPr>
                <w:rFonts w:hint="eastAsia" w:ascii="宋体" w:hAnsi="宋体" w:eastAsia="宋体" w:cs="宋体"/>
                <w:b/>
                <w:sz w:val="24"/>
                <w:szCs w:val="24"/>
                <w:lang w:val="zh-CN"/>
              </w:rPr>
              <w:t>厂家</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操作台</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KZT70</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both"/>
              <w:outlineLvl w:val="9"/>
              <w:rPr>
                <w:rFonts w:hint="eastAsia" w:ascii="宋体" w:hAnsi="宋体" w:eastAsia="宋体" w:cs="宋体"/>
                <w:kern w:val="2"/>
                <w:sz w:val="24"/>
                <w:szCs w:val="24"/>
                <w:lang w:val="en-US" w:eastAsia="zh-CN" w:bidi="ar-SA"/>
              </w:rPr>
            </w:pPr>
            <w:r>
              <w:rPr>
                <w:rFonts w:ascii="宋体" w:hAnsi="宋体" w:cs="宋体"/>
                <w:sz w:val="24"/>
              </w:rPr>
              <w:t>人性化设计的近台操作开关可以操纵床体进行起倒、床面横向移动、球管立柱摆动±45°和探测器装置的纵向运动，使摄影摆位操作方便易行，轻松实现倾斜摄影；用户还可订制遥控操作面板，实现隔室遥控操作。</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台</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kern w:val="2"/>
                <w:sz w:val="24"/>
                <w:szCs w:val="22"/>
                <w:highlight w:val="none"/>
                <w:lang w:val="en-US" w:eastAsia="zh-CN" w:bidi="ar-SA"/>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高压发生装置</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FSQ80</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textAlignment w:val="center"/>
              <w:rPr>
                <w:rFonts w:hint="eastAsia" w:ascii="宋体" w:hAnsi="宋体" w:cs="宋体" w:eastAsiaTheme="minorEastAsia"/>
                <w:color w:val="000000"/>
                <w:kern w:val="2"/>
                <w:sz w:val="24"/>
                <w:szCs w:val="24"/>
                <w:lang w:val="en-US" w:eastAsia="zh-CN" w:bidi="ar-SA"/>
              </w:rPr>
            </w:pPr>
            <w:r>
              <w:rPr>
                <w:rFonts w:ascii="宋体" w:hAnsi="宋体" w:cs="宋体"/>
                <w:color w:val="000000"/>
                <w:sz w:val="24"/>
                <w:szCs w:val="24"/>
              </w:rPr>
              <w:t>高频高压发生器80KW,主逆变频率440KHZ,恒定直流高压输出，可获得高质量的单色X线，彻底消除软射线对图像的不良影响。</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套</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320000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320000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X射线管组件</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E7869X</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textAlignment w:val="center"/>
              <w:rPr>
                <w:rFonts w:hint="eastAsia" w:ascii="宋体" w:hAnsi="宋体" w:cs="宋体" w:eastAsiaTheme="minorEastAsia"/>
                <w:color w:val="000000"/>
                <w:kern w:val="2"/>
                <w:sz w:val="24"/>
                <w:szCs w:val="24"/>
                <w:lang w:val="en-US" w:eastAsia="zh-CN" w:bidi="ar-SA"/>
              </w:rPr>
            </w:pPr>
            <w:r>
              <w:rPr>
                <w:rFonts w:ascii="宋体" w:hAnsi="宋体" w:cs="宋体"/>
                <w:color w:val="000000"/>
                <w:sz w:val="24"/>
                <w:szCs w:val="24"/>
              </w:rPr>
              <w:t>原装进口高性能、大容量的X线管,采用双焦点配置、高达（600KHU）大容量的高速X线管，适合长时间高强度的临床检查。</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只</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250000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250000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佳能电子管器件株式会社</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限束器</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XSQ40</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rPr>
                <w:rFonts w:ascii="宋体" w:hAnsi="宋体" w:cs="宋体"/>
                <w:sz w:val="24"/>
                <w:szCs w:val="24"/>
              </w:rPr>
            </w:pPr>
            <w:r>
              <w:rPr>
                <w:rFonts w:ascii="宋体" w:hAnsi="宋体" w:cs="宋体"/>
                <w:sz w:val="24"/>
                <w:szCs w:val="24"/>
              </w:rPr>
              <w:t>限束器视野灯：LED灯珠，DC3.6V/5W</w:t>
            </w:r>
          </w:p>
          <w:p>
            <w:pPr>
              <w:keepNext w:val="0"/>
              <w:keepLines w:val="0"/>
              <w:pageBreakBefore w:val="0"/>
              <w:widowControl w:val="0"/>
              <w:kinsoku/>
              <w:wordWrap/>
              <w:overflowPunct/>
              <w:topLinePunct w:val="0"/>
              <w:autoSpaceDE w:val="0"/>
              <w:autoSpaceDN w:val="0"/>
              <w:bidi w:val="0"/>
              <w:snapToGrid/>
              <w:spacing w:line="380" w:lineRule="exact"/>
              <w:rPr>
                <w:rFonts w:hint="eastAsia" w:ascii="宋体" w:hAnsi="宋体" w:cs="宋体" w:eastAsiaTheme="minorEastAsia"/>
                <w:kern w:val="2"/>
                <w:sz w:val="24"/>
                <w:szCs w:val="24"/>
                <w:lang w:val="en-US" w:eastAsia="zh-CN" w:bidi="ar-SA"/>
              </w:rPr>
            </w:pPr>
            <w:r>
              <w:rPr>
                <w:rFonts w:ascii="宋体" w:hAnsi="宋体" w:cs="宋体"/>
                <w:sz w:val="24"/>
                <w:szCs w:val="24"/>
              </w:rPr>
              <w:t>可见光照射亮度：中心平均照射亮度：&gt;320Lux</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只</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诊断床</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ZDC60</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textAlignment w:val="center"/>
              <w:rPr>
                <w:rFonts w:ascii="宋体" w:hAnsi="宋体" w:cs="宋体"/>
                <w:color w:val="000000"/>
                <w:sz w:val="24"/>
                <w:szCs w:val="24"/>
              </w:rPr>
            </w:pPr>
            <w:r>
              <w:rPr>
                <w:rFonts w:ascii="宋体" w:hAnsi="宋体" w:cs="宋体"/>
                <w:color w:val="000000"/>
                <w:sz w:val="24"/>
                <w:szCs w:val="24"/>
              </w:rPr>
              <w:t>多功能遥控诊断床，可实现立位、卧位和负倾角位的各种数字摄影检查。SID可调，最长可延伸至1.8米，满足放射科室各种拍片距离的需要。球管倾斜摄影角度-45°～45°，满足各类临床部位角度投照的需求。</w:t>
            </w:r>
          </w:p>
          <w:p>
            <w:pPr>
              <w:keepNext w:val="0"/>
              <w:keepLines w:val="0"/>
              <w:pageBreakBefore w:val="0"/>
              <w:widowControl w:val="0"/>
              <w:kinsoku/>
              <w:wordWrap/>
              <w:overflowPunct/>
              <w:topLinePunct w:val="0"/>
              <w:autoSpaceDN w:val="0"/>
              <w:bidi w:val="0"/>
              <w:snapToGrid/>
              <w:spacing w:line="380" w:lineRule="exact"/>
              <w:textAlignment w:val="center"/>
              <w:rPr>
                <w:rFonts w:hint="eastAsia" w:ascii="宋体" w:hAnsi="宋体" w:cs="宋体" w:eastAsiaTheme="minorEastAsia"/>
                <w:color w:val="000000"/>
                <w:kern w:val="2"/>
                <w:sz w:val="24"/>
                <w:szCs w:val="24"/>
                <w:lang w:val="en-US" w:eastAsia="zh-CN" w:bidi="ar-SA"/>
              </w:rPr>
            </w:pPr>
            <w:r>
              <w:rPr>
                <w:rFonts w:ascii="宋体" w:hAnsi="宋体" w:cs="宋体"/>
                <w:color w:val="000000"/>
                <w:sz w:val="24"/>
                <w:szCs w:val="24"/>
              </w:rPr>
              <w:t>如：根骨轴位、髌骨轴位、颈椎正位、骶尾椎等 。</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台</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滤线栅</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1.0/1.8m</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textAlignment w:val="center"/>
              <w:rPr>
                <w:rFonts w:hint="eastAsia" w:ascii="宋体" w:hAnsi="宋体" w:cs="宋体" w:eastAsiaTheme="minorEastAsia"/>
                <w:color w:val="000000"/>
                <w:kern w:val="2"/>
                <w:sz w:val="24"/>
                <w:szCs w:val="24"/>
                <w:lang w:val="en-US" w:eastAsia="zh-CN" w:bidi="ar-SA"/>
              </w:rPr>
            </w:pPr>
            <w:r>
              <w:rPr>
                <w:rFonts w:hint="default" w:ascii="宋体" w:hAnsi="宋体"/>
                <w:sz w:val="24"/>
                <w:szCs w:val="24"/>
              </w:rPr>
              <w:t>18"×18" 215LP1 12:1 焦距100cm和180cm滤线栅各1块，电动切换</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块</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JPI</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rPr>
              <w:t>电离室</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SSMC601</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rPr>
                <w:rFonts w:hint="eastAsia" w:ascii="宋体" w:hAnsi="宋体" w:cs="宋体" w:eastAsiaTheme="minorEastAsia"/>
                <w:kern w:val="2"/>
                <w:sz w:val="24"/>
                <w:szCs w:val="24"/>
                <w:lang w:val="en-US" w:eastAsia="zh-CN" w:bidi="ar-SA"/>
              </w:rPr>
            </w:pPr>
            <w:r>
              <w:rPr>
                <w:rFonts w:ascii="宋体" w:hAnsi="宋体" w:cs="宋体"/>
                <w:sz w:val="24"/>
                <w:szCs w:val="24"/>
              </w:rPr>
              <w:t>自动控制曝光时间，可使不同部位、不同病人拍摄的图像，具有相同的感光量，彻底解决感光量不一致的问题。操作医生无需选择参数，降低操作难度，缩短工作流程，特别适合大批量体检和大批量门诊病人</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套</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克莱蒙德</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动态平板探测器</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PLD-1717FL</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rPr>
                <w:rFonts w:hint="eastAsia" w:ascii="宋体" w:hAnsi="宋体" w:cs="宋体" w:eastAsiaTheme="minorEastAsia"/>
                <w:kern w:val="2"/>
                <w:sz w:val="24"/>
                <w:szCs w:val="24"/>
                <w:lang w:val="en-US" w:eastAsia="zh-CN" w:bidi="ar-SA"/>
              </w:rPr>
            </w:pPr>
            <w:r>
              <w:rPr>
                <w:rFonts w:ascii="宋体" w:hAnsi="宋体" w:cs="宋体"/>
                <w:bCs/>
                <w:color w:val="000000"/>
                <w:sz w:val="24"/>
              </w:rPr>
              <w:t>17*17</w:t>
            </w:r>
            <w:r>
              <w:rPr>
                <w:rFonts w:ascii="宋体" w:hAnsi="宋体" w:cs="宋体"/>
                <w:sz w:val="24"/>
              </w:rPr>
              <w:t>大尺寸动态平板技术，大范围覆盖检查面积，对任何结构部分进行检查时，可提供比16英寸影像增强器多50%的覆盖尺寸，是传统影像增强器无可比拟的功能；同时，透视检查时不需要对病人重新定位便可观察到足够大的人体器官组织。</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件</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420000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420000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eastAsia="宋体" w:cs="宋体"/>
                <w:color w:val="000000"/>
                <w:sz w:val="24"/>
                <w:szCs w:val="24"/>
              </w:rPr>
              <w:t>图像采集工作站</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DRA70</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rPr>
                <w:rFonts w:ascii="宋体" w:hAnsi="宋体" w:cs="宋体"/>
                <w:sz w:val="24"/>
                <w:szCs w:val="24"/>
              </w:rPr>
            </w:pPr>
            <w:r>
              <w:rPr>
                <w:rFonts w:ascii="宋体" w:hAnsi="宋体" w:cs="宋体"/>
                <w:sz w:val="24"/>
                <w:szCs w:val="24"/>
              </w:rPr>
              <w:t>1、优质的图像处理算法，保证优质图像质量。图象回放：缩略图显示、序列回放工具。图像处理：窗宽/窗位调整，箭头、文字等标注，角度、距离测量，图像缩放、平移、左右翻转、上下翻转、旋转，黑白反转。</w:t>
            </w:r>
          </w:p>
          <w:p>
            <w:pPr>
              <w:keepNext w:val="0"/>
              <w:keepLines w:val="0"/>
              <w:pageBreakBefore w:val="0"/>
              <w:widowControl w:val="0"/>
              <w:kinsoku/>
              <w:wordWrap/>
              <w:overflowPunct/>
              <w:topLinePunct w:val="0"/>
              <w:autoSpaceDE w:val="0"/>
              <w:autoSpaceDN w:val="0"/>
              <w:bidi w:val="0"/>
              <w:snapToGrid/>
              <w:spacing w:line="380" w:lineRule="exact"/>
              <w:rPr>
                <w:rFonts w:ascii="宋体" w:hAnsi="宋体" w:cs="宋体"/>
                <w:sz w:val="24"/>
                <w:szCs w:val="24"/>
              </w:rPr>
            </w:pPr>
            <w:r>
              <w:rPr>
                <w:rFonts w:ascii="宋体" w:hAnsi="宋体" w:cs="宋体"/>
                <w:sz w:val="24"/>
                <w:szCs w:val="24"/>
              </w:rPr>
              <w:t>2、图像存储：图像实时存储，DICOM图像发送，光盘刻录，导出存储（可选用多种存储格式Bitmap,jpeg,AVI等直接用于Word及Powerpoint等办公软件，方便医生诊断报告和论文的书写）。</w:t>
            </w:r>
          </w:p>
          <w:p>
            <w:pPr>
              <w:keepNext w:val="0"/>
              <w:keepLines w:val="0"/>
              <w:pageBreakBefore w:val="0"/>
              <w:widowControl w:val="0"/>
              <w:kinsoku/>
              <w:wordWrap/>
              <w:overflowPunct/>
              <w:topLinePunct w:val="0"/>
              <w:autoSpaceDE w:val="0"/>
              <w:autoSpaceDN w:val="0"/>
              <w:bidi w:val="0"/>
              <w:snapToGrid/>
              <w:spacing w:line="380" w:lineRule="exact"/>
              <w:rPr>
                <w:rFonts w:ascii="宋体" w:hAnsi="宋体" w:cs="宋体"/>
                <w:sz w:val="24"/>
                <w:szCs w:val="24"/>
              </w:rPr>
            </w:pPr>
            <w:r>
              <w:rPr>
                <w:rFonts w:ascii="宋体" w:hAnsi="宋体" w:cs="宋体"/>
                <w:sz w:val="24"/>
                <w:szCs w:val="24"/>
              </w:rPr>
              <w:t>3、DICOM3.0：可连接激光相机打印胶片和PACS网络。</w:t>
            </w:r>
          </w:p>
          <w:p>
            <w:pPr>
              <w:keepNext w:val="0"/>
              <w:keepLines w:val="0"/>
              <w:pageBreakBefore w:val="0"/>
              <w:widowControl w:val="0"/>
              <w:kinsoku/>
              <w:wordWrap/>
              <w:overflowPunct/>
              <w:topLinePunct w:val="0"/>
              <w:autoSpaceDE w:val="0"/>
              <w:autoSpaceDN w:val="0"/>
              <w:bidi w:val="0"/>
              <w:snapToGrid/>
              <w:spacing w:line="380" w:lineRule="exact"/>
              <w:rPr>
                <w:rFonts w:hint="eastAsia" w:ascii="宋体" w:hAnsi="宋体" w:cs="宋体" w:eastAsiaTheme="minorEastAsia"/>
                <w:kern w:val="2"/>
                <w:sz w:val="24"/>
                <w:szCs w:val="24"/>
                <w:lang w:val="en-US" w:eastAsia="zh-CN" w:bidi="ar-SA"/>
              </w:rPr>
            </w:pPr>
            <w:r>
              <w:rPr>
                <w:rFonts w:ascii="宋体" w:hAnsi="宋体" w:cs="宋体"/>
                <w:sz w:val="24"/>
                <w:szCs w:val="24"/>
              </w:rPr>
              <w:t>4、病历管理：数据库管理，图文报告，支持WORKLIST。</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套</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100000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100000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rPr>
                <w:rFonts w:hint="eastAsia" w:ascii="宋体" w:hAnsi="宋体" w:eastAsia="宋体" w:cs="宋体"/>
                <w:i w:val="0"/>
                <w:color w:val="000000"/>
                <w:kern w:val="0"/>
                <w:sz w:val="24"/>
                <w:szCs w:val="24"/>
                <w:highlight w:val="none"/>
                <w:u w:val="none"/>
                <w:lang w:val="en-US" w:eastAsia="zh-CN" w:bidi="ar"/>
              </w:rPr>
            </w:pPr>
            <w:r>
              <w:rPr>
                <w:rFonts w:hint="eastAsia" w:ascii="宋体" w:hAnsi="宋体" w:cs="宋体"/>
                <w:i w:val="0"/>
                <w:color w:val="000000"/>
                <w:kern w:val="0"/>
                <w:sz w:val="24"/>
                <w:szCs w:val="24"/>
                <w:highlight w:val="none"/>
                <w:u w:val="none"/>
                <w:lang w:val="en-US" w:eastAsia="zh-CN" w:bidi="ar"/>
              </w:rPr>
              <w:t>高压电缆</w:t>
            </w:r>
          </w:p>
        </w:tc>
        <w:tc>
          <w:tcPr>
            <w:tcW w:w="1462"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rPr>
                <w:rFonts w:hint="eastAsia" w:ascii="宋体" w:hAnsi="宋体" w:eastAsia="宋体" w:cs="宋体"/>
                <w:color w:val="auto"/>
                <w:kern w:val="2"/>
                <w:sz w:val="24"/>
                <w:szCs w:val="24"/>
                <w:u w:val="none"/>
                <w:lang w:val="en-US" w:eastAsia="zh-CN" w:bidi="ar-SA"/>
              </w:rPr>
            </w:pPr>
            <w:r>
              <w:rPr>
                <w:rFonts w:hint="eastAsia" w:ascii="宋体" w:hAnsi="宋体" w:eastAsia="宋体" w:cs="宋体"/>
                <w:color w:val="auto"/>
                <w:sz w:val="24"/>
                <w:szCs w:val="24"/>
                <w:u w:val="none"/>
                <w:lang w:val="en-US" w:eastAsia="zh-CN"/>
              </w:rPr>
              <w:t>WBX-Z75</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rPr>
                <w:rFonts w:hint="default" w:ascii="宋体" w:hAnsi="宋体" w:eastAsia="宋体" w:cs="宋体"/>
                <w:kern w:val="2"/>
                <w:sz w:val="24"/>
                <w:szCs w:val="24"/>
                <w:u w:val="none"/>
                <w:lang w:val="en-US" w:eastAsia="zh-CN" w:bidi="ar-SA"/>
              </w:rPr>
            </w:pPr>
            <w:r>
              <w:rPr>
                <w:rFonts w:hint="eastAsia" w:ascii="宋体" w:hAnsi="宋体" w:eastAsia="宋体" w:cs="宋体"/>
                <w:kern w:val="2"/>
                <w:sz w:val="24"/>
                <w:szCs w:val="24"/>
                <w:u w:val="none"/>
                <w:lang w:val="en-US" w:eastAsia="zh-CN" w:bidi="ar-SA"/>
              </w:rPr>
              <w:t>/</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rPr>
                <w:rFonts w:hint="eastAsia" w:ascii="宋体" w:hAnsi="宋体" w:eastAsia="宋体" w:cs="宋体"/>
                <w:kern w:val="2"/>
                <w:sz w:val="24"/>
                <w:szCs w:val="24"/>
                <w:u w:val="none"/>
                <w:lang w:val="en-US" w:eastAsia="zh-CN" w:bidi="ar-SA"/>
              </w:rPr>
            </w:pPr>
            <w:r>
              <w:rPr>
                <w:rFonts w:hint="eastAsia" w:ascii="宋体" w:hAnsi="宋体" w:cs="宋体"/>
                <w:kern w:val="2"/>
                <w:sz w:val="24"/>
                <w:szCs w:val="24"/>
                <w:u w:val="none"/>
                <w:lang w:val="en-US" w:eastAsia="zh-CN" w:bidi="ar-SA"/>
              </w:rPr>
              <w:t>根</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cs="宋体"/>
                <w:sz w:val="24"/>
                <w:szCs w:val="24"/>
                <w:lang w:val="en-US" w:eastAsia="zh-CN"/>
              </w:rPr>
              <w:t>2</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73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w:t>
            </w:r>
          </w:p>
        </w:tc>
        <w:tc>
          <w:tcPr>
            <w:tcW w:w="121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N w:val="0"/>
              <w:bidi w:val="0"/>
              <w:snapToGrid/>
              <w:spacing w:line="380" w:lineRule="exact"/>
              <w:jc w:val="center"/>
              <w:textAlignment w:val="center"/>
              <w:outlineLvl w:val="9"/>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整机附件</w:t>
            </w:r>
          </w:p>
        </w:tc>
        <w:tc>
          <w:tcPr>
            <w:tcW w:w="1462" w:type="dxa"/>
            <w:tcBorders>
              <w:top w:val="single" w:color="auto" w:sz="6" w:space="0"/>
              <w:left w:val="single" w:color="auto" w:sz="6" w:space="0"/>
              <w:bottom w:val="single" w:color="auto" w:sz="6" w:space="0"/>
              <w:right w:val="single" w:color="auto" w:sz="6" w:space="0"/>
            </w:tcBorders>
            <w:vAlign w:val="center"/>
          </w:tcPr>
          <w:p>
            <w:pPr>
              <w:pStyle w:val="5"/>
              <w:keepNext w:val="0"/>
              <w:keepLines w:val="0"/>
              <w:pageBreakBefore w:val="0"/>
              <w:widowControl w:val="0"/>
              <w:kinsoku/>
              <w:wordWrap/>
              <w:overflowPunct/>
              <w:topLinePunct w:val="0"/>
              <w:bidi w:val="0"/>
              <w:snapToGrid/>
              <w:spacing w:line="380" w:lineRule="exact"/>
              <w:ind w:left="0" w:leftChars="0" w:firstLine="0" w:firstLineChars="0"/>
              <w:jc w:val="center"/>
              <w:rPr>
                <w:rFonts w:hint="eastAsia" w:ascii="宋体" w:hAnsi="宋体" w:eastAsiaTheme="minorEastAsia" w:cstheme="minorBidi"/>
                <w:bCs/>
                <w:color w:val="000000"/>
                <w:kern w:val="28"/>
                <w:sz w:val="24"/>
                <w:szCs w:val="21"/>
                <w:lang w:val="en-US" w:eastAsia="zh-CN" w:bidi="ar-SA"/>
              </w:rPr>
            </w:pPr>
            <w:r>
              <w:rPr>
                <w:rFonts w:hint="eastAsia" w:cs="宋体"/>
                <w:kern w:val="2"/>
                <w:sz w:val="24"/>
                <w:szCs w:val="24"/>
                <w:lang w:val="en-US" w:eastAsia="zh-CN" w:bidi="ar-SA"/>
              </w:rPr>
              <w:t>PLD9600A</w:t>
            </w:r>
          </w:p>
        </w:tc>
        <w:tc>
          <w:tcPr>
            <w:tcW w:w="453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tc>
        <w:tc>
          <w:tcPr>
            <w:tcW w:w="76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套</w:t>
            </w:r>
          </w:p>
        </w:tc>
        <w:tc>
          <w:tcPr>
            <w:tcW w:w="82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snapToGrid/>
              <w:spacing w:line="380" w:lineRule="exact"/>
              <w:jc w:val="center"/>
              <w:outlineLvl w:val="9"/>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1</w:t>
            </w:r>
          </w:p>
        </w:tc>
        <w:tc>
          <w:tcPr>
            <w:tcW w:w="151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5000</w:t>
            </w:r>
          </w:p>
        </w:tc>
        <w:tc>
          <w:tcPr>
            <w:tcW w:w="1500"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5000</w:t>
            </w:r>
          </w:p>
        </w:tc>
        <w:tc>
          <w:tcPr>
            <w:tcW w:w="21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bidi w:val="0"/>
              <w:snapToGrid/>
              <w:spacing w:line="380" w:lineRule="exact"/>
              <w:jc w:val="center"/>
              <w:outlineLvl w:val="9"/>
              <w:rPr>
                <w:rFonts w:hint="eastAsia" w:ascii="宋体" w:hAnsi="宋体" w:eastAsia="宋体" w:cs="宋体"/>
                <w:sz w:val="24"/>
                <w:highlight w:val="none"/>
                <w:lang w:val="en-US" w:eastAsia="zh-CN"/>
              </w:rPr>
            </w:pPr>
            <w:r>
              <w:rPr>
                <w:rFonts w:hint="eastAsia" w:ascii="宋体" w:hAnsi="宋体" w:eastAsia="宋体" w:cs="宋体"/>
                <w:sz w:val="24"/>
                <w:highlight w:val="none"/>
                <w:lang w:eastAsia="zh-CN"/>
              </w:rPr>
              <w:t>珠海普利德医疗设备有限公司</w:t>
            </w:r>
          </w:p>
        </w:tc>
      </w:tr>
      <w:tr>
        <w:tblPrEx>
          <w:tblCellMar>
            <w:top w:w="0" w:type="dxa"/>
            <w:left w:w="108" w:type="dxa"/>
            <w:bottom w:w="0" w:type="dxa"/>
            <w:right w:w="108" w:type="dxa"/>
          </w:tblCellMar>
        </w:tblPrEx>
        <w:trPr>
          <w:trHeight w:val="851" w:hRule="atLeast"/>
          <w:jc w:val="center"/>
        </w:trPr>
        <w:tc>
          <w:tcPr>
            <w:tcW w:w="1956"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jc w:val="center"/>
              <w:rPr>
                <w:rFonts w:hint="eastAsia" w:ascii="宋体" w:hAnsi="宋体" w:eastAsia="宋体" w:cs="宋体"/>
                <w:sz w:val="24"/>
                <w:szCs w:val="24"/>
              </w:rPr>
            </w:pPr>
            <w:r>
              <w:rPr>
                <w:rFonts w:hint="eastAsia" w:ascii="宋体" w:hAnsi="宋体" w:eastAsia="宋体" w:cs="宋体"/>
                <w:sz w:val="24"/>
                <w:szCs w:val="24"/>
                <w:lang w:val="zh-CN"/>
              </w:rPr>
              <w:t>合</w:t>
            </w:r>
            <w:r>
              <w:rPr>
                <w:rFonts w:hint="eastAsia" w:ascii="宋体" w:hAnsi="宋体" w:eastAsia="宋体" w:cs="宋体"/>
                <w:sz w:val="24"/>
                <w:szCs w:val="24"/>
              </w:rPr>
              <w:t xml:space="preserve">  </w:t>
            </w:r>
            <w:r>
              <w:rPr>
                <w:rFonts w:hint="eastAsia" w:ascii="宋体" w:hAnsi="宋体" w:eastAsia="宋体" w:cs="宋体"/>
                <w:sz w:val="24"/>
                <w:szCs w:val="24"/>
                <w:lang w:val="zh-CN"/>
              </w:rPr>
              <w:t>计</w:t>
            </w:r>
          </w:p>
        </w:tc>
        <w:tc>
          <w:tcPr>
            <w:tcW w:w="12735" w:type="dxa"/>
            <w:gridSpan w:val="7"/>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380" w:lineRule="exact"/>
              <w:ind w:firstLine="120" w:firstLineChars="50"/>
              <w:rPr>
                <w:rFonts w:hint="eastAsia" w:ascii="宋体" w:hAnsi="宋体" w:eastAsia="宋体" w:cs="宋体"/>
                <w:sz w:val="24"/>
                <w:szCs w:val="24"/>
                <w:lang w:val="zh-CN"/>
              </w:rPr>
            </w:pPr>
            <w:r>
              <w:rPr>
                <w:rFonts w:hint="eastAsia" w:ascii="宋体" w:hAnsi="宋体" w:eastAsia="宋体" w:cs="宋体"/>
                <w:sz w:val="24"/>
                <w:szCs w:val="24"/>
                <w:lang w:val="zh-CN"/>
              </w:rPr>
              <w:t>大写：壹佰叁拾</w:t>
            </w:r>
            <w:r>
              <w:rPr>
                <w:rFonts w:hint="eastAsia" w:ascii="宋体" w:hAnsi="宋体" w:eastAsia="宋体" w:cs="宋体"/>
                <w:sz w:val="24"/>
                <w:szCs w:val="24"/>
                <w:lang w:val="zh-CN" w:eastAsia="zh-CN"/>
              </w:rPr>
              <w:t>贰万捌仟元</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t>小写：￥</w:t>
            </w:r>
            <w:r>
              <w:rPr>
                <w:rFonts w:hint="eastAsia" w:ascii="宋体" w:hAnsi="宋体" w:eastAsia="宋体" w:cs="宋体"/>
                <w:sz w:val="24"/>
                <w:szCs w:val="24"/>
                <w:lang w:val="en-US" w:eastAsia="zh-CN"/>
              </w:rPr>
              <w:t>1,328,000.00元</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3700F"/>
    <w:rsid w:val="518C5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Message Header"/>
    <w:basedOn w:val="1"/>
    <w:next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 w:type="paragraph" w:styleId="3">
    <w:name w:val="Body Text"/>
    <w:basedOn w:val="1"/>
    <w:next w:val="4"/>
    <w:qFormat/>
    <w:uiPriority w:val="0"/>
    <w:pPr>
      <w:spacing w:line="480" w:lineRule="exact"/>
    </w:pPr>
    <w:rPr>
      <w:rFonts w:ascii="宋体" w:hAnsi="宋体"/>
      <w:sz w:val="24"/>
      <w:szCs w:val="24"/>
    </w:rPr>
  </w:style>
  <w:style w:type="paragraph" w:styleId="4">
    <w:name w:val="toc 2"/>
    <w:basedOn w:val="1"/>
    <w:next w:val="1"/>
    <w:qFormat/>
    <w:uiPriority w:val="0"/>
    <w:pPr>
      <w:ind w:left="420" w:leftChars="200"/>
    </w:pPr>
  </w:style>
  <w:style w:type="paragraph" w:styleId="5">
    <w:name w:val="Body Text First Indent"/>
    <w:basedOn w:val="3"/>
    <w:qFormat/>
    <w:uiPriority w:val="0"/>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2019-12-13T01:33:56Z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