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uto"/>
        <w:jc w:val="right"/>
        <w:rPr>
          <w:b/>
          <w:color w:val="auto"/>
          <w:sz w:val="52"/>
          <w:szCs w:val="52"/>
          <w:highlight w:val="none"/>
        </w:rPr>
      </w:pPr>
    </w:p>
    <w:p>
      <w:pPr>
        <w:autoSpaceDE w:val="0"/>
        <w:autoSpaceDN w:val="0"/>
        <w:adjustRightInd w:val="0"/>
        <w:spacing w:line="600" w:lineRule="auto"/>
        <w:jc w:val="right"/>
        <w:rPr>
          <w:rFonts w:hint="eastAsia" w:hAnsi="宋体" w:cs="黑体"/>
          <w:b/>
          <w:bCs/>
          <w:color w:val="auto"/>
          <w:spacing w:val="60"/>
          <w:sz w:val="48"/>
          <w:szCs w:val="48"/>
          <w:highlight w:val="none"/>
        </w:rPr>
      </w:pPr>
      <w:r>
        <w:rPr>
          <w:b/>
          <w:color w:val="auto"/>
          <w:sz w:val="52"/>
          <w:szCs w:val="52"/>
          <w:highlight w:val="none"/>
        </w:rPr>
        <w:drawing>
          <wp:inline distT="0" distB="0" distL="114300" distR="114300">
            <wp:extent cx="1808480" cy="652780"/>
            <wp:effectExtent l="0" t="0" r="1270" b="13970"/>
            <wp:docPr id="3" name="图片 1" descr="C:\Users\Administrator\Desktop\726805837373994985.jpg72680583737399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726805837373994985.jpg726805837373994985"/>
                    <pic:cNvPicPr>
                      <a:picLocks noChangeAspect="1"/>
                    </pic:cNvPicPr>
                  </pic:nvPicPr>
                  <pic:blipFill>
                    <a:blip r:embed="rId16"/>
                    <a:stretch>
                      <a:fillRect/>
                    </a:stretch>
                  </pic:blipFill>
                  <pic:spPr>
                    <a:xfrm>
                      <a:off x="0" y="0"/>
                      <a:ext cx="1808480" cy="652780"/>
                    </a:xfrm>
                    <a:prstGeom prst="rect">
                      <a:avLst/>
                    </a:prstGeom>
                    <a:noFill/>
                    <a:ln>
                      <a:noFill/>
                    </a:ln>
                  </pic:spPr>
                </pic:pic>
              </a:graphicData>
            </a:graphic>
          </wp:inline>
        </w:drawing>
      </w:r>
    </w:p>
    <w:p>
      <w:pPr>
        <w:pStyle w:val="2"/>
        <w:ind w:left="0" w:leftChars="0" w:firstLine="0" w:firstLineChars="0"/>
        <w:jc w:val="center"/>
        <w:rPr>
          <w:b/>
          <w:bCs/>
          <w:color w:val="auto"/>
          <w:sz w:val="48"/>
          <w:szCs w:val="48"/>
          <w:highlight w:val="none"/>
        </w:rPr>
      </w:pPr>
      <w:r>
        <w:rPr>
          <w:rFonts w:hint="eastAsia"/>
          <w:b/>
          <w:bCs/>
          <w:color w:val="auto"/>
          <w:sz w:val="48"/>
          <w:szCs w:val="48"/>
          <w:highlight w:val="none"/>
          <w:lang w:eastAsia="zh-CN"/>
        </w:rPr>
        <w:t>襄城县山头店镇国省干道提升</w:t>
      </w:r>
      <w:r>
        <w:rPr>
          <w:rFonts w:hint="eastAsia"/>
          <w:b/>
          <w:bCs/>
          <w:color w:val="auto"/>
          <w:sz w:val="48"/>
          <w:szCs w:val="48"/>
          <w:highlight w:val="none"/>
          <w:lang w:val="en-US" w:eastAsia="zh-CN"/>
        </w:rPr>
        <w:t>工程和南园区环境综合整治工程等项目</w:t>
      </w:r>
    </w:p>
    <w:p>
      <w:pPr>
        <w:autoSpaceDE w:val="0"/>
        <w:autoSpaceDN w:val="0"/>
        <w:adjustRightInd w:val="0"/>
        <w:ind w:firstLine="960" w:firstLineChars="200"/>
        <w:rPr>
          <w:rFonts w:hint="eastAsia"/>
          <w:b/>
          <w:color w:val="auto"/>
          <w:sz w:val="52"/>
          <w:szCs w:val="52"/>
          <w:highlight w:val="none"/>
        </w:rPr>
      </w:pPr>
      <w:r>
        <w:rPr>
          <w:rFonts w:hint="eastAsia"/>
          <w:b/>
          <w:color w:val="auto"/>
          <w:sz w:val="48"/>
          <w:szCs w:val="48"/>
          <w:highlight w:val="none"/>
        </w:rPr>
        <w:t xml:space="preserve">   </w:t>
      </w:r>
      <w:r>
        <w:rPr>
          <w:rFonts w:hint="eastAsia"/>
          <w:b/>
          <w:color w:val="auto"/>
          <w:sz w:val="72"/>
          <w:szCs w:val="72"/>
          <w:highlight w:val="none"/>
        </w:rPr>
        <w:t xml:space="preserve">    </w:t>
      </w:r>
    </w:p>
    <w:p>
      <w:pPr>
        <w:autoSpaceDE w:val="0"/>
        <w:autoSpaceDN w:val="0"/>
        <w:adjustRightInd w:val="0"/>
        <w:jc w:val="center"/>
        <w:rPr>
          <w:rFonts w:hint="eastAsia"/>
          <w:b/>
          <w:color w:val="auto"/>
          <w:sz w:val="52"/>
          <w:szCs w:val="52"/>
          <w:highlight w:val="none"/>
        </w:rPr>
      </w:pPr>
    </w:p>
    <w:p>
      <w:pPr>
        <w:autoSpaceDE w:val="0"/>
        <w:autoSpaceDN w:val="0"/>
        <w:adjustRightInd w:val="0"/>
        <w:jc w:val="center"/>
        <w:rPr>
          <w:rFonts w:hint="eastAsia"/>
          <w:b/>
          <w:color w:val="auto"/>
          <w:sz w:val="72"/>
          <w:szCs w:val="72"/>
          <w:highlight w:val="none"/>
        </w:rPr>
      </w:pPr>
    </w:p>
    <w:p>
      <w:pPr>
        <w:autoSpaceDE w:val="0"/>
        <w:autoSpaceDN w:val="0"/>
        <w:adjustRightInd w:val="0"/>
        <w:jc w:val="center"/>
        <w:rPr>
          <w:rFonts w:hint="eastAsia"/>
          <w:b/>
          <w:color w:val="auto"/>
          <w:sz w:val="72"/>
          <w:szCs w:val="72"/>
          <w:highlight w:val="none"/>
        </w:rPr>
      </w:pPr>
    </w:p>
    <w:p>
      <w:pPr>
        <w:autoSpaceDE w:val="0"/>
        <w:autoSpaceDN w:val="0"/>
        <w:adjustRightInd w:val="0"/>
        <w:jc w:val="center"/>
        <w:rPr>
          <w:rFonts w:hAnsi="宋体" w:cs="黑体"/>
          <w:color w:val="auto"/>
          <w:sz w:val="44"/>
          <w:szCs w:val="44"/>
          <w:highlight w:val="none"/>
        </w:rPr>
      </w:pPr>
      <w:r>
        <w:rPr>
          <w:rFonts w:hint="eastAsia"/>
          <w:b/>
          <w:color w:val="auto"/>
          <w:sz w:val="72"/>
          <w:szCs w:val="72"/>
          <w:highlight w:val="none"/>
        </w:rPr>
        <w:t>施工招标文件</w:t>
      </w:r>
    </w:p>
    <w:p>
      <w:pPr>
        <w:pStyle w:val="2"/>
        <w:ind w:firstLine="340"/>
        <w:jc w:val="center"/>
        <w:rPr>
          <w:rFonts w:hint="eastAsia" w:eastAsia="宋体"/>
          <w:color w:val="auto"/>
          <w:highlight w:val="none"/>
          <w:lang w:eastAsia="zh-CN"/>
        </w:rPr>
      </w:pPr>
      <w:r>
        <w:rPr>
          <w:rFonts w:hint="eastAsia"/>
          <w:b/>
          <w:bCs/>
          <w:color w:val="auto"/>
          <w:highlight w:val="none"/>
          <w:lang w:eastAsia="zh-CN"/>
        </w:rPr>
        <w:t>（第</w:t>
      </w:r>
      <w:r>
        <w:rPr>
          <w:rFonts w:hint="eastAsia"/>
          <w:b/>
          <w:bCs/>
          <w:color w:val="auto"/>
          <w:highlight w:val="none"/>
          <w:lang w:val="en-US" w:eastAsia="zh-CN"/>
        </w:rPr>
        <w:t>1-5</w:t>
      </w:r>
      <w:r>
        <w:rPr>
          <w:rFonts w:hint="eastAsia"/>
          <w:b/>
          <w:bCs/>
          <w:color w:val="auto"/>
          <w:highlight w:val="none"/>
          <w:lang w:eastAsia="zh-CN"/>
        </w:rPr>
        <w:t>标段）</w:t>
      </w:r>
    </w:p>
    <w:p>
      <w:pPr>
        <w:autoSpaceDE w:val="0"/>
        <w:autoSpaceDN w:val="0"/>
        <w:adjustRightInd w:val="0"/>
        <w:jc w:val="center"/>
        <w:rPr>
          <w:rFonts w:hAnsi="宋体" w:cs="黑体"/>
          <w:color w:val="auto"/>
          <w:sz w:val="44"/>
          <w:szCs w:val="44"/>
          <w:highlight w:val="none"/>
        </w:rPr>
      </w:pPr>
    </w:p>
    <w:p>
      <w:pPr>
        <w:pStyle w:val="2"/>
        <w:ind w:firstLine="0" w:firstLineChars="0"/>
        <w:rPr>
          <w:rFonts w:hAnsi="宋体" w:cs="黑体"/>
          <w:color w:val="auto"/>
          <w:sz w:val="44"/>
          <w:szCs w:val="44"/>
          <w:highlight w:val="none"/>
        </w:rPr>
      </w:pPr>
    </w:p>
    <w:p>
      <w:pPr>
        <w:ind w:firstLine="640" w:firstLineChars="200"/>
        <w:rPr>
          <w:rFonts w:hint="eastAsia"/>
          <w:b/>
          <w:bCs/>
          <w:color w:val="auto"/>
          <w:sz w:val="32"/>
          <w:highlight w:val="none"/>
        </w:rPr>
      </w:pPr>
      <w:r>
        <w:rPr>
          <w:rFonts w:hint="eastAsia"/>
          <w:b/>
          <w:bCs/>
          <w:color w:val="auto"/>
          <w:sz w:val="32"/>
          <w:highlight w:val="none"/>
        </w:rPr>
        <w:t xml:space="preserve">            </w:t>
      </w:r>
    </w:p>
    <w:p>
      <w:pPr>
        <w:spacing w:line="600" w:lineRule="auto"/>
        <w:rPr>
          <w:rFonts w:hint="eastAsia"/>
          <w:b/>
          <w:bCs/>
          <w:color w:val="auto"/>
          <w:sz w:val="32"/>
          <w:highlight w:val="none"/>
        </w:rPr>
      </w:pPr>
    </w:p>
    <w:p>
      <w:pPr>
        <w:spacing w:line="600" w:lineRule="auto"/>
        <w:ind w:firstLine="1920" w:firstLineChars="600"/>
        <w:rPr>
          <w:rFonts w:hint="eastAsia"/>
          <w:b/>
          <w:bCs/>
          <w:color w:val="auto"/>
          <w:sz w:val="32"/>
          <w:highlight w:val="none"/>
        </w:rPr>
      </w:pPr>
      <w:r>
        <w:rPr>
          <w:rFonts w:hint="eastAsia"/>
          <w:b/>
          <w:bCs/>
          <w:color w:val="auto"/>
          <w:sz w:val="32"/>
          <w:highlight w:val="none"/>
        </w:rPr>
        <w:t>招 标 人：</w:t>
      </w:r>
      <w:r>
        <w:rPr>
          <w:rFonts w:hint="eastAsia"/>
          <w:b/>
          <w:bCs/>
          <w:color w:val="auto"/>
          <w:sz w:val="32"/>
          <w:highlight w:val="none"/>
          <w:lang w:val="en-US" w:eastAsia="zh-CN"/>
        </w:rPr>
        <w:t>襄城县山头店镇人民政府 </w:t>
      </w:r>
    </w:p>
    <w:p>
      <w:pPr>
        <w:spacing w:line="600" w:lineRule="auto"/>
        <w:ind w:firstLine="1920" w:firstLineChars="600"/>
        <w:rPr>
          <w:b/>
          <w:bCs/>
          <w:color w:val="auto"/>
          <w:sz w:val="32"/>
          <w:highlight w:val="none"/>
        </w:rPr>
      </w:pPr>
      <w:r>
        <w:rPr>
          <w:rFonts w:hint="eastAsia" w:hAnsi="宋体" w:cs="黑体"/>
          <w:b/>
          <w:color w:val="auto"/>
          <w:sz w:val="32"/>
          <w:szCs w:val="32"/>
          <w:highlight w:val="none"/>
        </w:rPr>
        <w:t>代理机构：</w:t>
      </w:r>
      <w:r>
        <w:rPr>
          <w:rFonts w:hint="eastAsia" w:hAnsi="宋体" w:cs="宋体"/>
          <w:b/>
          <w:color w:val="auto"/>
          <w:sz w:val="30"/>
          <w:szCs w:val="30"/>
          <w:highlight w:val="none"/>
        </w:rPr>
        <w:t>河南慧霖工程管理服务有限公司</w:t>
      </w:r>
    </w:p>
    <w:p>
      <w:pPr>
        <w:spacing w:line="600" w:lineRule="auto"/>
        <w:ind w:firstLine="3520" w:firstLineChars="1100"/>
        <w:rPr>
          <w:rFonts w:hint="eastAsia" w:hAnsi="宋体" w:cs="黑体"/>
          <w:b/>
          <w:color w:val="auto"/>
          <w:sz w:val="32"/>
          <w:szCs w:val="32"/>
          <w:highlight w:val="none"/>
        </w:rPr>
      </w:pPr>
      <w:r>
        <w:rPr>
          <w:rFonts w:hint="eastAsia" w:hAnsi="宋体" w:cs="黑体"/>
          <w:b/>
          <w:color w:val="auto"/>
          <w:sz w:val="32"/>
          <w:szCs w:val="32"/>
          <w:highlight w:val="none"/>
        </w:rPr>
        <w:t>二〇一九年</w:t>
      </w:r>
      <w:r>
        <w:rPr>
          <w:rFonts w:hint="eastAsia" w:hAnsi="宋体" w:cs="黑体"/>
          <w:b/>
          <w:color w:val="auto"/>
          <w:sz w:val="32"/>
          <w:szCs w:val="32"/>
          <w:highlight w:val="none"/>
          <w:lang w:eastAsia="zh-CN"/>
        </w:rPr>
        <w:t>十</w:t>
      </w:r>
      <w:r>
        <w:rPr>
          <w:rFonts w:hint="eastAsia" w:hAnsi="宋体" w:cs="黑体"/>
          <w:b/>
          <w:color w:val="auto"/>
          <w:sz w:val="32"/>
          <w:szCs w:val="32"/>
          <w:highlight w:val="none"/>
          <w:lang w:val="en-US" w:eastAsia="zh-CN"/>
        </w:rPr>
        <w:t>二</w:t>
      </w:r>
      <w:r>
        <w:rPr>
          <w:rFonts w:hint="eastAsia" w:hAnsi="宋体" w:cs="黑体"/>
          <w:b/>
          <w:color w:val="auto"/>
          <w:sz w:val="32"/>
          <w:szCs w:val="32"/>
          <w:highlight w:val="none"/>
        </w:rPr>
        <w:t>月</w:t>
      </w:r>
    </w:p>
    <w:p>
      <w:pPr>
        <w:rPr>
          <w:rFonts w:hint="eastAsia"/>
          <w:color w:val="auto"/>
          <w:highlight w:val="none"/>
        </w:rPr>
        <w:sectPr>
          <w:headerReference r:id="rId3" w:type="default"/>
          <w:footerReference r:id="rId5" w:type="default"/>
          <w:headerReference r:id="rId4" w:type="even"/>
          <w:footerReference r:id="rId6" w:type="even"/>
          <w:pgSz w:w="11906" w:h="16838"/>
          <w:pgMar w:top="1304" w:right="1134" w:bottom="1304" w:left="1134" w:header="851" w:footer="992" w:gutter="0"/>
          <w:pgNumType w:start="1"/>
          <w:cols w:space="720" w:num="1"/>
          <w:titlePg/>
          <w:docGrid w:type="linesAndChars" w:linePitch="312" w:charSpace="0"/>
        </w:sectPr>
      </w:pPr>
    </w:p>
    <w:p>
      <w:pPr>
        <w:pStyle w:val="2"/>
        <w:ind w:firstLine="340"/>
        <w:rPr>
          <w:rFonts w:hint="eastAsia"/>
          <w:color w:val="auto"/>
          <w:highlight w:val="none"/>
        </w:rPr>
      </w:pPr>
    </w:p>
    <w:p>
      <w:pPr>
        <w:jc w:val="center"/>
        <w:rPr>
          <w:rFonts w:hint="eastAsia" w:hAnsi="宋体" w:cs="宋体"/>
          <w:b/>
          <w:color w:val="auto"/>
          <w:sz w:val="44"/>
          <w:highlight w:val="none"/>
        </w:rPr>
      </w:pPr>
      <w:r>
        <w:rPr>
          <w:rFonts w:hint="eastAsia" w:hAnsi="宋体" w:cs="宋体"/>
          <w:b/>
          <w:color w:val="auto"/>
          <w:sz w:val="44"/>
          <w:highlight w:val="none"/>
        </w:rPr>
        <w:t>目  录</w:t>
      </w:r>
    </w:p>
    <w:p>
      <w:pPr>
        <w:jc w:val="center"/>
        <w:rPr>
          <w:rFonts w:hint="eastAsia" w:hAnsi="宋体" w:cs="宋体"/>
          <w:b/>
          <w:color w:val="auto"/>
          <w:sz w:val="32"/>
          <w:highlight w:val="none"/>
        </w:rPr>
      </w:pPr>
    </w:p>
    <w:p>
      <w:pPr>
        <w:jc w:val="center"/>
        <w:rPr>
          <w:rFonts w:hint="eastAsia" w:hAnsi="宋体" w:cs="宋体"/>
          <w:color w:val="auto"/>
          <w:highlight w:val="none"/>
        </w:rPr>
      </w:pPr>
    </w:p>
    <w:p>
      <w:pPr>
        <w:pStyle w:val="10"/>
        <w:tabs>
          <w:tab w:val="right" w:leader="dot" w:pos="9638"/>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_Toc11428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第一章  招标公告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_Toc11428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10"/>
        <w:tabs>
          <w:tab w:val="right" w:leader="dot" w:pos="9638"/>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_Toc15375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第二章  投标人须知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_Toc15375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10"/>
        <w:tabs>
          <w:tab w:val="right" w:leader="dot" w:pos="9638"/>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_Toc20990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第三章  评标办法（综合计分法）</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_Toc20990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33</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10"/>
        <w:tabs>
          <w:tab w:val="right" w:leader="dot" w:pos="9638"/>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_Toc11681 </w:instrText>
      </w:r>
      <w:r>
        <w:rPr>
          <w:rFonts w:hint="eastAsia" w:ascii="宋体" w:hAnsi="宋体" w:cs="宋体"/>
          <w:b/>
          <w:bCs/>
          <w:color w:val="auto"/>
          <w:sz w:val="28"/>
          <w:szCs w:val="28"/>
          <w:highlight w:val="none"/>
        </w:rPr>
        <w:fldChar w:fldCharType="separate"/>
      </w:r>
      <w:r>
        <w:rPr>
          <w:rFonts w:hint="eastAsia" w:ascii="宋体" w:hAnsi="宋体" w:cs="宋体"/>
          <w:b/>
          <w:bCs/>
          <w:color w:val="auto"/>
          <w:kern w:val="44"/>
          <w:sz w:val="28"/>
          <w:szCs w:val="28"/>
          <w:highlight w:val="none"/>
        </w:rPr>
        <w:t>第四章  合同条款及格式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_Toc11681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43</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10"/>
        <w:tabs>
          <w:tab w:val="right" w:leader="dot" w:pos="9638"/>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_Toc15573 </w:instrText>
      </w:r>
      <w:r>
        <w:rPr>
          <w:rFonts w:hint="eastAsia" w:ascii="宋体" w:hAnsi="宋体" w:cs="宋体"/>
          <w:b/>
          <w:bCs/>
          <w:color w:val="auto"/>
          <w:sz w:val="28"/>
          <w:szCs w:val="28"/>
          <w:highlight w:val="none"/>
        </w:rPr>
        <w:fldChar w:fldCharType="separate"/>
      </w:r>
      <w:r>
        <w:rPr>
          <w:rFonts w:hint="eastAsia" w:ascii="宋体" w:hAnsi="宋体" w:cs="宋体"/>
          <w:b/>
          <w:bCs/>
          <w:color w:val="auto"/>
          <w:kern w:val="44"/>
          <w:sz w:val="28"/>
          <w:szCs w:val="28"/>
          <w:highlight w:val="none"/>
        </w:rPr>
        <w:t>第五章  工程量清单</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_Toc15573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44</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10"/>
        <w:tabs>
          <w:tab w:val="right" w:leader="dot" w:pos="9638"/>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_Toc9650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第六章  图 纸</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_Toc9650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10"/>
        <w:tabs>
          <w:tab w:val="right" w:leader="dot" w:pos="9638"/>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_Toc2791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第七章  技术标准和要求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_Toc2791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53</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10"/>
        <w:tabs>
          <w:tab w:val="right" w:leader="dot" w:pos="9638"/>
        </w:tabs>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_Toc18525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第八章  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_Toc18525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54</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ind w:firstLine="3032" w:firstLineChars="1083"/>
        <w:rPr>
          <w:rFonts w:hAnsi="宋体" w:cs="黑体"/>
          <w:b/>
          <w:color w:val="auto"/>
          <w:sz w:val="32"/>
          <w:szCs w:val="32"/>
          <w:highlight w:val="none"/>
        </w:rPr>
      </w:pPr>
      <w:r>
        <w:rPr>
          <w:rFonts w:hint="eastAsia" w:ascii="宋体" w:hAnsi="宋体" w:cs="宋体"/>
          <w:b/>
          <w:bCs/>
          <w:color w:val="auto"/>
          <w:sz w:val="28"/>
          <w:szCs w:val="28"/>
          <w:highlight w:val="none"/>
        </w:rPr>
        <w:fldChar w:fldCharType="end"/>
      </w:r>
    </w:p>
    <w:p>
      <w:pPr>
        <w:tabs>
          <w:tab w:val="left" w:pos="3185"/>
          <w:tab w:val="center" w:pos="5452"/>
        </w:tabs>
        <w:snapToGrid w:val="0"/>
        <w:spacing w:before="156" w:beforeLines="50"/>
        <w:ind w:firstLine="880" w:firstLineChars="200"/>
        <w:jc w:val="left"/>
        <w:rPr>
          <w:rFonts w:hAnsi="宋体" w:cs="黑体"/>
          <w:b/>
          <w:color w:val="auto"/>
          <w:sz w:val="36"/>
          <w:szCs w:val="36"/>
          <w:highlight w:val="none"/>
        </w:rPr>
      </w:pPr>
      <w:r>
        <w:rPr>
          <w:rFonts w:hint="eastAsia" w:ascii="黑体" w:hAnsi="宋体" w:eastAsia="黑体"/>
          <w:b/>
          <w:color w:val="auto"/>
          <w:sz w:val="44"/>
          <w:highlight w:val="none"/>
        </w:rPr>
        <w:t xml:space="preserve">                </w:t>
      </w:r>
      <w:bookmarkStart w:id="0" w:name="_Toc215282124"/>
    </w:p>
    <w:p>
      <w:pPr>
        <w:tabs>
          <w:tab w:val="left" w:pos="3185"/>
          <w:tab w:val="center" w:pos="5452"/>
        </w:tabs>
        <w:snapToGrid w:val="0"/>
        <w:spacing w:before="156" w:beforeLines="50"/>
        <w:jc w:val="left"/>
        <w:rPr>
          <w:rFonts w:hAnsi="宋体" w:cs="黑体"/>
          <w:b/>
          <w:color w:val="auto"/>
          <w:sz w:val="36"/>
          <w:szCs w:val="36"/>
          <w:highlight w:val="none"/>
        </w:rPr>
      </w:pPr>
    </w:p>
    <w:p>
      <w:pPr>
        <w:tabs>
          <w:tab w:val="left" w:pos="3185"/>
          <w:tab w:val="center" w:pos="5452"/>
        </w:tabs>
        <w:snapToGrid w:val="0"/>
        <w:spacing w:before="156" w:beforeLines="50"/>
        <w:jc w:val="left"/>
        <w:rPr>
          <w:rFonts w:hAnsi="宋体" w:cs="黑体"/>
          <w:b/>
          <w:color w:val="auto"/>
          <w:sz w:val="36"/>
          <w:szCs w:val="36"/>
          <w:highlight w:val="none"/>
        </w:rPr>
      </w:pPr>
    </w:p>
    <w:p>
      <w:pPr>
        <w:tabs>
          <w:tab w:val="left" w:pos="3185"/>
          <w:tab w:val="center" w:pos="5452"/>
        </w:tabs>
        <w:snapToGrid w:val="0"/>
        <w:spacing w:before="156" w:beforeLines="50"/>
        <w:jc w:val="left"/>
        <w:rPr>
          <w:rFonts w:hAnsi="宋体" w:cs="黑体"/>
          <w:b/>
          <w:color w:val="auto"/>
          <w:sz w:val="36"/>
          <w:szCs w:val="36"/>
          <w:highlight w:val="none"/>
        </w:rPr>
      </w:pPr>
    </w:p>
    <w:p>
      <w:pPr>
        <w:tabs>
          <w:tab w:val="left" w:pos="3185"/>
          <w:tab w:val="center" w:pos="5452"/>
        </w:tabs>
        <w:snapToGrid w:val="0"/>
        <w:spacing w:before="156" w:beforeLines="50"/>
        <w:jc w:val="left"/>
        <w:rPr>
          <w:rFonts w:hAnsi="宋体" w:cs="黑体"/>
          <w:b/>
          <w:color w:val="auto"/>
          <w:sz w:val="36"/>
          <w:szCs w:val="36"/>
          <w:highlight w:val="none"/>
        </w:rPr>
        <w:sectPr>
          <w:headerReference r:id="rId7" w:type="first"/>
          <w:footerReference r:id="rId9" w:type="first"/>
          <w:footerReference r:id="rId8" w:type="default"/>
          <w:pgSz w:w="11906" w:h="16838"/>
          <w:pgMar w:top="1304" w:right="1134" w:bottom="1304" w:left="1134" w:header="851" w:footer="992" w:gutter="0"/>
          <w:pgNumType w:start="1"/>
          <w:cols w:space="720" w:num="1"/>
          <w:titlePg/>
          <w:docGrid w:type="linesAndChars" w:linePitch="312" w:charSpace="0"/>
        </w:sectPr>
      </w:pPr>
    </w:p>
    <w:p>
      <w:pPr>
        <w:pStyle w:val="6"/>
        <w:spacing w:line="240" w:lineRule="auto"/>
        <w:rPr>
          <w:color w:val="auto"/>
          <w:highlight w:val="none"/>
        </w:rPr>
      </w:pPr>
      <w:bookmarkStart w:id="1" w:name="_Toc18564"/>
      <w:bookmarkStart w:id="2" w:name="_Toc11428"/>
      <w:r>
        <w:rPr>
          <w:rFonts w:hint="eastAsia"/>
          <w:color w:val="auto"/>
          <w:highlight w:val="none"/>
        </w:rPr>
        <w:t>第一章  招标公告</w:t>
      </w:r>
      <w:bookmarkEnd w:id="1"/>
      <w:bookmarkEnd w:id="2"/>
    </w:p>
    <w:p>
      <w:pPr>
        <w:widowControl/>
        <w:spacing w:line="312" w:lineRule="auto"/>
        <w:jc w:val="center"/>
        <w:rPr>
          <w:rFonts w:hint="eastAsia"/>
          <w:b/>
          <w:color w:val="auto"/>
          <w:sz w:val="32"/>
          <w:szCs w:val="32"/>
          <w:highlight w:val="none"/>
          <w:lang w:eastAsia="zh-CN"/>
        </w:rPr>
      </w:pPr>
      <w:r>
        <w:rPr>
          <w:rFonts w:hint="eastAsia"/>
          <w:b/>
          <w:color w:val="auto"/>
          <w:sz w:val="32"/>
          <w:szCs w:val="32"/>
          <w:highlight w:val="none"/>
          <w:lang w:eastAsia="zh-CN"/>
        </w:rPr>
        <w:t>襄城县山头店镇国省干道提升工程和南园区环境综合整治</w:t>
      </w:r>
    </w:p>
    <w:p>
      <w:pPr>
        <w:widowControl/>
        <w:spacing w:line="312" w:lineRule="auto"/>
        <w:jc w:val="center"/>
        <w:rPr>
          <w:rFonts w:hint="eastAsia"/>
          <w:b/>
          <w:color w:val="auto"/>
          <w:sz w:val="32"/>
          <w:szCs w:val="32"/>
          <w:highlight w:val="none"/>
        </w:rPr>
      </w:pPr>
      <w:r>
        <w:rPr>
          <w:rFonts w:hint="eastAsia"/>
          <w:b/>
          <w:color w:val="auto"/>
          <w:sz w:val="32"/>
          <w:szCs w:val="32"/>
          <w:highlight w:val="none"/>
          <w:lang w:eastAsia="zh-CN"/>
        </w:rPr>
        <w:t>工程等项目</w:t>
      </w:r>
      <w:r>
        <w:rPr>
          <w:rFonts w:hint="eastAsia"/>
          <w:b/>
          <w:color w:val="auto"/>
          <w:sz w:val="32"/>
          <w:szCs w:val="32"/>
          <w:highlight w:val="none"/>
        </w:rPr>
        <w:t>招标公告</w:t>
      </w:r>
    </w:p>
    <w:p>
      <w:pPr>
        <w:widowControl/>
        <w:spacing w:line="460" w:lineRule="exact"/>
        <w:ind w:firstLine="480" w:firstLineChars="200"/>
        <w:rPr>
          <w:rFonts w:hAnsi="宋体"/>
          <w:b/>
          <w:color w:val="auto"/>
          <w:sz w:val="24"/>
          <w:highlight w:val="none"/>
        </w:rPr>
      </w:pPr>
      <w:r>
        <w:rPr>
          <w:rFonts w:hint="eastAsia" w:hAnsi="宋体"/>
          <w:b/>
          <w:color w:val="auto"/>
          <w:sz w:val="24"/>
          <w:highlight w:val="none"/>
        </w:rPr>
        <w:t>1、招标条件</w:t>
      </w:r>
    </w:p>
    <w:p>
      <w:pPr>
        <w:widowControl/>
        <w:spacing w:line="460" w:lineRule="exact"/>
        <w:ind w:firstLine="480" w:firstLineChars="200"/>
        <w:jc w:val="left"/>
        <w:rPr>
          <w:rFonts w:hAnsi="宋体"/>
          <w:color w:val="auto"/>
          <w:sz w:val="24"/>
          <w:highlight w:val="none"/>
        </w:rPr>
      </w:pPr>
      <w:r>
        <w:rPr>
          <w:rFonts w:hint="eastAsia" w:hAnsi="宋体"/>
          <w:color w:val="auto"/>
          <w:sz w:val="24"/>
          <w:highlight w:val="none"/>
          <w:lang w:eastAsia="zh-CN"/>
        </w:rPr>
        <w:t>襄城县山头店镇国省干道提升工程和南园区环境综合整治工程等项目</w:t>
      </w:r>
      <w:r>
        <w:rPr>
          <w:rFonts w:hint="eastAsia" w:hAnsi="宋体"/>
          <w:color w:val="auto"/>
          <w:sz w:val="24"/>
          <w:highlight w:val="none"/>
        </w:rPr>
        <w:t>，已由相关部门批准建设，招标人为襄城县山头店镇人民政府。建设资金为</w:t>
      </w:r>
      <w:r>
        <w:rPr>
          <w:rFonts w:hint="eastAsia" w:hAnsi="宋体"/>
          <w:color w:val="auto"/>
          <w:sz w:val="24"/>
          <w:highlight w:val="none"/>
          <w:lang w:eastAsia="zh-CN"/>
        </w:rPr>
        <w:t>自筹</w:t>
      </w:r>
      <w:r>
        <w:rPr>
          <w:rFonts w:hint="eastAsia" w:hAnsi="宋体"/>
          <w:color w:val="auto"/>
          <w:sz w:val="24"/>
          <w:highlight w:val="none"/>
        </w:rPr>
        <w:t>资金，项目已具备招标条件，现对该项目进行公开招标。</w:t>
      </w:r>
    </w:p>
    <w:p>
      <w:pPr>
        <w:widowControl/>
        <w:spacing w:line="460" w:lineRule="exact"/>
        <w:ind w:firstLine="480" w:firstLineChars="200"/>
        <w:rPr>
          <w:rFonts w:hAnsi="宋体"/>
          <w:b/>
          <w:color w:val="auto"/>
          <w:sz w:val="24"/>
          <w:highlight w:val="none"/>
        </w:rPr>
      </w:pPr>
      <w:r>
        <w:rPr>
          <w:rFonts w:hint="eastAsia" w:hAnsi="宋体"/>
          <w:b/>
          <w:color w:val="auto"/>
          <w:sz w:val="24"/>
          <w:highlight w:val="none"/>
        </w:rPr>
        <w:t>2、项目概况与招标内容</w:t>
      </w:r>
    </w:p>
    <w:p>
      <w:pPr>
        <w:widowControl/>
        <w:spacing w:line="460" w:lineRule="exact"/>
        <w:ind w:firstLine="480" w:firstLineChars="200"/>
        <w:jc w:val="left"/>
        <w:rPr>
          <w:rFonts w:hint="default" w:hAnsi="宋体"/>
          <w:color w:val="auto"/>
          <w:sz w:val="24"/>
          <w:highlight w:val="none"/>
          <w:lang w:val="en-US" w:eastAsia="zh-CN"/>
        </w:rPr>
      </w:pPr>
      <w:r>
        <w:rPr>
          <w:rFonts w:hint="eastAsia" w:hAnsi="宋体"/>
          <w:color w:val="auto"/>
          <w:sz w:val="24"/>
          <w:highlight w:val="none"/>
        </w:rPr>
        <w:t xml:space="preserve">2.1项目编号： </w:t>
      </w:r>
      <w:r>
        <w:rPr>
          <w:rFonts w:hint="eastAsia" w:hAnsi="宋体"/>
          <w:color w:val="auto"/>
          <w:sz w:val="24"/>
          <w:highlight w:val="none"/>
          <w:lang w:val="en-US" w:eastAsia="zh-CN"/>
        </w:rPr>
        <w:t>XZ【2019】138</w:t>
      </w:r>
    </w:p>
    <w:p>
      <w:pPr>
        <w:widowControl/>
        <w:spacing w:line="460" w:lineRule="exact"/>
        <w:ind w:firstLine="480" w:firstLineChars="200"/>
        <w:jc w:val="left"/>
        <w:rPr>
          <w:rFonts w:hint="eastAsia" w:hAnsi="宋体"/>
          <w:color w:val="auto"/>
          <w:sz w:val="24"/>
          <w:highlight w:val="none"/>
        </w:rPr>
      </w:pPr>
      <w:r>
        <w:rPr>
          <w:rFonts w:hint="eastAsia" w:hAnsi="宋体"/>
          <w:color w:val="auto"/>
          <w:sz w:val="24"/>
          <w:highlight w:val="none"/>
        </w:rPr>
        <w:t>2.2项目概况：本项目为</w:t>
      </w:r>
      <w:r>
        <w:rPr>
          <w:rFonts w:hint="eastAsia" w:hAnsi="宋体"/>
          <w:color w:val="auto"/>
          <w:sz w:val="24"/>
          <w:highlight w:val="none"/>
          <w:lang w:eastAsia="zh-CN"/>
        </w:rPr>
        <w:t xml:space="preserve">襄城县山头店镇国省干道提升工程和南园区环境综合整治工程等项目 </w:t>
      </w:r>
      <w:r>
        <w:rPr>
          <w:rFonts w:hint="eastAsia" w:hAnsi="宋体"/>
          <w:color w:val="auto"/>
          <w:sz w:val="24"/>
          <w:highlight w:val="none"/>
        </w:rPr>
        <w:t>，具体内容详见招标文件；</w:t>
      </w:r>
    </w:p>
    <w:p>
      <w:pPr>
        <w:spacing w:line="460" w:lineRule="exact"/>
        <w:ind w:firstLine="480" w:firstLineChars="200"/>
        <w:jc w:val="left"/>
        <w:rPr>
          <w:rFonts w:hint="eastAsia" w:hAnsi="宋体"/>
          <w:color w:val="auto"/>
          <w:sz w:val="24"/>
          <w:szCs w:val="28"/>
          <w:highlight w:val="none"/>
        </w:rPr>
      </w:pPr>
      <w:r>
        <w:rPr>
          <w:rFonts w:hint="eastAsia" w:hAnsi="宋体"/>
          <w:color w:val="auto"/>
          <w:sz w:val="24"/>
          <w:szCs w:val="28"/>
          <w:highlight w:val="none"/>
        </w:rPr>
        <w:t>2.3招标控制价：</w:t>
      </w:r>
    </w:p>
    <w:p>
      <w:pPr>
        <w:spacing w:line="460" w:lineRule="exact"/>
        <w:ind w:firstLine="480" w:firstLineChars="200"/>
        <w:jc w:val="left"/>
        <w:rPr>
          <w:rFonts w:hint="eastAsia" w:hAnsi="宋体"/>
          <w:color w:val="auto"/>
          <w:sz w:val="24"/>
          <w:szCs w:val="28"/>
          <w:highlight w:val="none"/>
          <w:lang w:eastAsia="zh-CN"/>
        </w:rPr>
      </w:pPr>
      <w:r>
        <w:rPr>
          <w:rFonts w:hint="eastAsia" w:hAnsi="宋体"/>
          <w:color w:val="auto"/>
          <w:sz w:val="24"/>
          <w:szCs w:val="28"/>
          <w:highlight w:val="none"/>
        </w:rPr>
        <w:t>第</w:t>
      </w:r>
      <w:r>
        <w:rPr>
          <w:rFonts w:hint="eastAsia" w:hAnsi="宋体"/>
          <w:color w:val="auto"/>
          <w:sz w:val="24"/>
          <w:szCs w:val="28"/>
          <w:highlight w:val="none"/>
          <w:lang w:val="en-US" w:eastAsia="zh-CN"/>
        </w:rPr>
        <w:t>1</w:t>
      </w:r>
      <w:r>
        <w:rPr>
          <w:rFonts w:hint="eastAsia" w:hAnsi="宋体"/>
          <w:color w:val="auto"/>
          <w:sz w:val="24"/>
          <w:szCs w:val="28"/>
          <w:highlight w:val="none"/>
        </w:rPr>
        <w:t>标段：</w:t>
      </w:r>
      <w:r>
        <w:rPr>
          <w:rFonts w:hint="eastAsia" w:hAnsi="宋体"/>
          <w:color w:val="auto"/>
          <w:sz w:val="24"/>
          <w:highlight w:val="none"/>
          <w:lang w:eastAsia="zh-CN"/>
        </w:rPr>
        <w:t>山头店镇国省干道提升工程</w:t>
      </w:r>
      <w:r>
        <w:rPr>
          <w:rFonts w:hint="eastAsia" w:hAnsi="宋体"/>
          <w:color w:val="auto"/>
          <w:sz w:val="24"/>
          <w:szCs w:val="28"/>
          <w:highlight w:val="none"/>
          <w:lang w:val="en-US" w:eastAsia="zh-CN"/>
        </w:rPr>
        <w:t>2075355.29</w:t>
      </w:r>
      <w:r>
        <w:rPr>
          <w:rFonts w:hint="eastAsia" w:hAnsi="宋体"/>
          <w:color w:val="auto"/>
          <w:sz w:val="24"/>
          <w:szCs w:val="28"/>
          <w:highlight w:val="none"/>
        </w:rPr>
        <w:t>元；</w:t>
      </w:r>
      <w:r>
        <w:rPr>
          <w:rFonts w:hint="eastAsia" w:hAnsi="宋体"/>
          <w:color w:val="auto"/>
          <w:sz w:val="24"/>
          <w:szCs w:val="28"/>
          <w:highlight w:val="none"/>
          <w:lang w:eastAsia="zh-CN"/>
        </w:rPr>
        <w:t>（单位工程的分部分项工程费总额、措施项目费总额、其他项目费总额、规费总额和税金总额等详见附件）</w:t>
      </w:r>
    </w:p>
    <w:p>
      <w:pPr>
        <w:spacing w:line="460" w:lineRule="exact"/>
        <w:ind w:firstLine="480" w:firstLineChars="200"/>
        <w:jc w:val="left"/>
        <w:rPr>
          <w:rFonts w:hint="eastAsia" w:hAnsi="宋体"/>
          <w:color w:val="auto"/>
          <w:sz w:val="24"/>
          <w:szCs w:val="28"/>
          <w:highlight w:val="none"/>
        </w:rPr>
      </w:pPr>
      <w:r>
        <w:rPr>
          <w:rFonts w:hint="eastAsia" w:hAnsi="宋体"/>
          <w:color w:val="auto"/>
          <w:sz w:val="24"/>
          <w:szCs w:val="28"/>
          <w:highlight w:val="none"/>
        </w:rPr>
        <w:t>第</w:t>
      </w:r>
      <w:r>
        <w:rPr>
          <w:rFonts w:hint="eastAsia" w:hAnsi="宋体"/>
          <w:color w:val="auto"/>
          <w:sz w:val="24"/>
          <w:szCs w:val="28"/>
          <w:highlight w:val="none"/>
          <w:lang w:val="en-US" w:eastAsia="zh-CN"/>
        </w:rPr>
        <w:t>2</w:t>
      </w:r>
      <w:r>
        <w:rPr>
          <w:rFonts w:hint="eastAsia" w:hAnsi="宋体"/>
          <w:color w:val="auto"/>
          <w:sz w:val="24"/>
          <w:szCs w:val="28"/>
          <w:highlight w:val="none"/>
        </w:rPr>
        <w:t>标段：</w:t>
      </w:r>
      <w:r>
        <w:rPr>
          <w:rFonts w:hint="eastAsia" w:hAnsi="宋体"/>
          <w:color w:val="auto"/>
          <w:sz w:val="24"/>
          <w:highlight w:val="none"/>
        </w:rPr>
        <w:t>襄城县</w:t>
      </w:r>
      <w:r>
        <w:rPr>
          <w:rFonts w:hint="eastAsia" w:ascii="宋体" w:hAnsi="宋体"/>
          <w:color w:val="auto"/>
          <w:kern w:val="0"/>
          <w:sz w:val="24"/>
          <w:szCs w:val="28"/>
          <w:highlight w:val="none"/>
          <w:lang w:eastAsia="zh-CN"/>
        </w:rPr>
        <w:t>南园区环境综合整治工程</w:t>
      </w:r>
      <w:r>
        <w:rPr>
          <w:rFonts w:hint="eastAsia" w:hAnsi="宋体"/>
          <w:color w:val="auto"/>
          <w:sz w:val="24"/>
          <w:szCs w:val="28"/>
          <w:highlight w:val="none"/>
          <w:lang w:val="en-US" w:eastAsia="zh-CN"/>
        </w:rPr>
        <w:t>1439092.97</w:t>
      </w:r>
      <w:r>
        <w:rPr>
          <w:rFonts w:hint="eastAsia" w:hAnsi="宋体"/>
          <w:color w:val="auto"/>
          <w:sz w:val="24"/>
          <w:szCs w:val="28"/>
          <w:highlight w:val="none"/>
        </w:rPr>
        <w:t>元；</w:t>
      </w:r>
      <w:r>
        <w:rPr>
          <w:rFonts w:hint="eastAsia" w:hAnsi="宋体"/>
          <w:color w:val="auto"/>
          <w:sz w:val="24"/>
          <w:szCs w:val="28"/>
          <w:highlight w:val="none"/>
          <w:lang w:eastAsia="zh-CN"/>
        </w:rPr>
        <w:t>（单位工程的分部分项工程费总额、措施项目费总额、其他项目费总额、规费总额和税金总额等详见附件）</w:t>
      </w:r>
    </w:p>
    <w:p>
      <w:pPr>
        <w:spacing w:line="460" w:lineRule="exact"/>
        <w:ind w:firstLine="480" w:firstLineChars="200"/>
        <w:jc w:val="left"/>
        <w:rPr>
          <w:rFonts w:hint="eastAsia" w:hAnsi="宋体"/>
          <w:color w:val="auto"/>
          <w:sz w:val="24"/>
          <w:szCs w:val="28"/>
          <w:highlight w:val="none"/>
          <w:lang w:eastAsia="zh-CN"/>
        </w:rPr>
      </w:pPr>
      <w:r>
        <w:rPr>
          <w:rFonts w:hint="eastAsia" w:hAnsi="宋体"/>
          <w:color w:val="auto"/>
          <w:sz w:val="24"/>
          <w:szCs w:val="28"/>
          <w:highlight w:val="none"/>
        </w:rPr>
        <w:t>第</w:t>
      </w:r>
      <w:r>
        <w:rPr>
          <w:rFonts w:hint="eastAsia" w:hAnsi="宋体"/>
          <w:color w:val="auto"/>
          <w:sz w:val="24"/>
          <w:szCs w:val="28"/>
          <w:highlight w:val="none"/>
          <w:lang w:val="en-US" w:eastAsia="zh-CN"/>
        </w:rPr>
        <w:t>3</w:t>
      </w:r>
      <w:r>
        <w:rPr>
          <w:rFonts w:hint="eastAsia" w:hAnsi="宋体"/>
          <w:color w:val="auto"/>
          <w:sz w:val="24"/>
          <w:szCs w:val="28"/>
          <w:highlight w:val="none"/>
        </w:rPr>
        <w:t>标段：襄城县山头店</w:t>
      </w:r>
      <w:r>
        <w:rPr>
          <w:rFonts w:hint="eastAsia" w:hAnsi="宋体"/>
          <w:color w:val="auto"/>
          <w:sz w:val="24"/>
          <w:szCs w:val="28"/>
          <w:highlight w:val="none"/>
          <w:lang w:val="en-US" w:eastAsia="zh-CN"/>
        </w:rPr>
        <w:t>镇</w:t>
      </w:r>
      <w:r>
        <w:rPr>
          <w:rFonts w:hint="eastAsia" w:hAnsi="宋体"/>
          <w:color w:val="auto"/>
          <w:sz w:val="24"/>
          <w:szCs w:val="28"/>
          <w:highlight w:val="none"/>
        </w:rPr>
        <w:t>党庙社区安置区道路、广场、排水沟建设项目</w:t>
      </w:r>
      <w:r>
        <w:rPr>
          <w:rFonts w:hint="eastAsia" w:hAnsi="宋体"/>
          <w:color w:val="auto"/>
          <w:sz w:val="24"/>
          <w:szCs w:val="28"/>
          <w:highlight w:val="none"/>
          <w:lang w:val="en-US" w:eastAsia="zh-CN"/>
        </w:rPr>
        <w:t>906558.05</w:t>
      </w:r>
      <w:r>
        <w:rPr>
          <w:rFonts w:hint="eastAsia" w:hAnsi="宋体"/>
          <w:color w:val="auto"/>
          <w:sz w:val="24"/>
          <w:szCs w:val="28"/>
          <w:highlight w:val="none"/>
        </w:rPr>
        <w:t>元；</w:t>
      </w:r>
      <w:r>
        <w:rPr>
          <w:rFonts w:hint="eastAsia" w:hAnsi="宋体"/>
          <w:color w:val="auto"/>
          <w:sz w:val="24"/>
          <w:szCs w:val="28"/>
          <w:highlight w:val="none"/>
          <w:lang w:eastAsia="zh-CN"/>
        </w:rPr>
        <w:t>（单位工程的分部分项工程费总额、措施项目费总额、其他项目费总额、规费总额和税金总额等详见附件）</w:t>
      </w:r>
    </w:p>
    <w:p>
      <w:pPr>
        <w:spacing w:line="460" w:lineRule="exact"/>
        <w:ind w:firstLine="480" w:firstLineChars="200"/>
        <w:jc w:val="left"/>
        <w:rPr>
          <w:rFonts w:hint="eastAsia" w:hAnsi="宋体"/>
          <w:color w:val="auto"/>
          <w:sz w:val="24"/>
          <w:szCs w:val="28"/>
          <w:highlight w:val="none"/>
          <w:lang w:eastAsia="zh-CN"/>
        </w:rPr>
      </w:pPr>
      <w:r>
        <w:rPr>
          <w:rFonts w:hint="eastAsia" w:hAnsi="宋体"/>
          <w:color w:val="auto"/>
          <w:sz w:val="24"/>
          <w:szCs w:val="28"/>
          <w:highlight w:val="none"/>
        </w:rPr>
        <w:t>第</w:t>
      </w:r>
      <w:r>
        <w:rPr>
          <w:rFonts w:hint="eastAsia" w:hAnsi="宋体"/>
          <w:color w:val="auto"/>
          <w:sz w:val="24"/>
          <w:szCs w:val="28"/>
          <w:highlight w:val="none"/>
          <w:lang w:val="en-US" w:eastAsia="zh-CN"/>
        </w:rPr>
        <w:t>4</w:t>
      </w:r>
      <w:r>
        <w:rPr>
          <w:rFonts w:hint="eastAsia" w:hAnsi="宋体"/>
          <w:color w:val="auto"/>
          <w:sz w:val="24"/>
          <w:szCs w:val="28"/>
          <w:highlight w:val="none"/>
        </w:rPr>
        <w:t>标段：</w:t>
      </w:r>
      <w:r>
        <w:rPr>
          <w:rFonts w:hint="eastAsia" w:hAnsi="宋体"/>
          <w:color w:val="auto"/>
          <w:sz w:val="24"/>
          <w:highlight w:val="none"/>
          <w:lang w:val="en-US" w:eastAsia="zh-CN"/>
        </w:rPr>
        <w:t>襄城县山头店镇人民政府百宁大道两侧立面墙体粉刷项目</w:t>
      </w:r>
      <w:r>
        <w:rPr>
          <w:rFonts w:hint="eastAsia" w:hAnsi="宋体"/>
          <w:color w:val="auto"/>
          <w:sz w:val="24"/>
          <w:szCs w:val="28"/>
          <w:highlight w:val="none"/>
          <w:lang w:val="en-US" w:eastAsia="zh-CN"/>
        </w:rPr>
        <w:t>761785.6</w:t>
      </w:r>
      <w:r>
        <w:rPr>
          <w:rFonts w:hint="eastAsia" w:hAnsi="宋体"/>
          <w:color w:val="auto"/>
          <w:sz w:val="24"/>
          <w:szCs w:val="28"/>
          <w:highlight w:val="none"/>
        </w:rPr>
        <w:t>元；</w:t>
      </w:r>
      <w:r>
        <w:rPr>
          <w:rFonts w:hint="eastAsia" w:hAnsi="宋体"/>
          <w:color w:val="auto"/>
          <w:sz w:val="24"/>
          <w:szCs w:val="28"/>
          <w:highlight w:val="none"/>
          <w:lang w:eastAsia="zh-CN"/>
        </w:rPr>
        <w:t>（单位工程的分部分项工程费总额、措施项目费总额、其他项目费总额、规费总额和税金总额等详见附件）</w:t>
      </w:r>
    </w:p>
    <w:p>
      <w:pPr>
        <w:spacing w:line="460" w:lineRule="exact"/>
        <w:ind w:firstLine="480" w:firstLineChars="200"/>
        <w:jc w:val="left"/>
        <w:rPr>
          <w:rFonts w:hint="eastAsia" w:hAnsi="宋体"/>
          <w:color w:val="auto"/>
          <w:sz w:val="24"/>
          <w:szCs w:val="28"/>
          <w:highlight w:val="none"/>
          <w:lang w:eastAsia="zh-CN"/>
        </w:rPr>
      </w:pPr>
      <w:r>
        <w:rPr>
          <w:rFonts w:hint="eastAsia" w:hAnsi="宋体"/>
          <w:color w:val="auto"/>
          <w:sz w:val="24"/>
          <w:szCs w:val="28"/>
          <w:highlight w:val="none"/>
        </w:rPr>
        <w:t>第</w:t>
      </w:r>
      <w:r>
        <w:rPr>
          <w:rFonts w:hint="eastAsia" w:hAnsi="宋体"/>
          <w:color w:val="auto"/>
          <w:sz w:val="24"/>
          <w:szCs w:val="28"/>
          <w:highlight w:val="none"/>
          <w:lang w:val="en-US" w:eastAsia="zh-CN"/>
        </w:rPr>
        <w:t>5</w:t>
      </w:r>
      <w:r>
        <w:rPr>
          <w:rFonts w:hint="eastAsia" w:hAnsi="宋体"/>
          <w:color w:val="auto"/>
          <w:sz w:val="24"/>
          <w:szCs w:val="28"/>
          <w:highlight w:val="none"/>
        </w:rPr>
        <w:t>标段：</w:t>
      </w:r>
      <w:r>
        <w:rPr>
          <w:rFonts w:hint="eastAsia" w:ascii="宋体" w:hAnsi="宋体"/>
          <w:color w:val="auto"/>
          <w:kern w:val="0"/>
          <w:sz w:val="24"/>
          <w:szCs w:val="28"/>
          <w:highlight w:val="none"/>
          <w:lang w:val="en-US" w:eastAsia="zh-CN"/>
        </w:rPr>
        <w:t>襄城县首山油菜花节提灌渠公厕建设项目</w:t>
      </w:r>
      <w:bookmarkStart w:id="117" w:name="_GoBack"/>
      <w:bookmarkEnd w:id="117"/>
      <w:r>
        <w:rPr>
          <w:rFonts w:hint="eastAsia" w:hAnsi="宋体"/>
          <w:color w:val="auto"/>
          <w:sz w:val="24"/>
          <w:szCs w:val="28"/>
          <w:highlight w:val="none"/>
          <w:lang w:val="en-US" w:eastAsia="zh-CN"/>
        </w:rPr>
        <w:t>415491.93</w:t>
      </w:r>
      <w:r>
        <w:rPr>
          <w:rFonts w:hint="eastAsia" w:hAnsi="宋体"/>
          <w:color w:val="auto"/>
          <w:sz w:val="24"/>
          <w:szCs w:val="28"/>
          <w:highlight w:val="none"/>
        </w:rPr>
        <w:t>元；</w:t>
      </w:r>
      <w:r>
        <w:rPr>
          <w:rFonts w:hint="eastAsia" w:hAnsi="宋体"/>
          <w:color w:val="auto"/>
          <w:sz w:val="24"/>
          <w:szCs w:val="28"/>
          <w:highlight w:val="none"/>
          <w:lang w:eastAsia="zh-CN"/>
        </w:rPr>
        <w:t>（单位工程的分部分项工程费总额、措施项目费总额、其他项目费总额、规费总额和税金总额等详见附件）</w:t>
      </w:r>
    </w:p>
    <w:p>
      <w:pPr>
        <w:spacing w:line="360" w:lineRule="auto"/>
        <w:ind w:firstLine="480" w:firstLineChars="200"/>
        <w:jc w:val="left"/>
        <w:rPr>
          <w:rFonts w:hint="eastAsia" w:hAnsi="宋体"/>
          <w:color w:val="auto"/>
          <w:sz w:val="24"/>
          <w:szCs w:val="28"/>
          <w:highlight w:val="none"/>
        </w:rPr>
      </w:pPr>
      <w:r>
        <w:rPr>
          <w:rFonts w:hint="eastAsia" w:hAnsi="宋体"/>
          <w:color w:val="auto"/>
          <w:sz w:val="24"/>
          <w:szCs w:val="28"/>
          <w:highlight w:val="none"/>
        </w:rPr>
        <w:t>2.4招标范围：</w:t>
      </w:r>
    </w:p>
    <w:p>
      <w:pPr>
        <w:spacing w:line="360" w:lineRule="auto"/>
        <w:ind w:firstLine="480" w:firstLineChars="200"/>
        <w:jc w:val="left"/>
        <w:rPr>
          <w:rFonts w:hint="eastAsia" w:hAnsi="宋体"/>
          <w:color w:val="auto"/>
          <w:sz w:val="24"/>
          <w:szCs w:val="28"/>
          <w:highlight w:val="none"/>
        </w:rPr>
      </w:pPr>
      <w:r>
        <w:rPr>
          <w:rFonts w:hint="eastAsia" w:hAnsi="宋体"/>
          <w:color w:val="auto"/>
          <w:sz w:val="24"/>
          <w:szCs w:val="28"/>
          <w:highlight w:val="none"/>
        </w:rPr>
        <w:t>第</w:t>
      </w:r>
      <w:r>
        <w:rPr>
          <w:rFonts w:hint="eastAsia" w:hAnsi="宋体"/>
          <w:color w:val="auto"/>
          <w:sz w:val="24"/>
          <w:szCs w:val="28"/>
          <w:highlight w:val="none"/>
        </w:rPr>
        <w:t>1</w:t>
      </w:r>
      <w:r>
        <w:rPr>
          <w:rFonts w:hint="eastAsia" w:hAnsi="宋体"/>
          <w:color w:val="auto"/>
          <w:sz w:val="24"/>
          <w:szCs w:val="28"/>
          <w:highlight w:val="none"/>
          <w:lang w:val="en-US" w:eastAsia="zh-CN"/>
        </w:rPr>
        <w:t>-2</w:t>
      </w:r>
      <w:r>
        <w:rPr>
          <w:rFonts w:hint="eastAsia" w:hAnsi="宋体"/>
          <w:color w:val="auto"/>
          <w:sz w:val="24"/>
          <w:szCs w:val="28"/>
          <w:highlight w:val="none"/>
        </w:rPr>
        <w:t>标段：招标文件、工程量清单、答疑纪要和补充文件（如有）范围内的所有建设内容。</w:t>
      </w:r>
    </w:p>
    <w:p>
      <w:pPr>
        <w:spacing w:line="360" w:lineRule="auto"/>
        <w:ind w:firstLine="480" w:firstLineChars="200"/>
        <w:jc w:val="left"/>
        <w:rPr>
          <w:rFonts w:hint="eastAsia" w:hAnsi="宋体" w:eastAsia="宋体"/>
          <w:color w:val="auto"/>
          <w:sz w:val="24"/>
          <w:szCs w:val="28"/>
          <w:highlight w:val="none"/>
          <w:lang w:eastAsia="zh-CN"/>
        </w:rPr>
      </w:pPr>
      <w:r>
        <w:rPr>
          <w:rFonts w:hint="eastAsia" w:hAnsi="宋体"/>
          <w:color w:val="auto"/>
          <w:sz w:val="24"/>
          <w:szCs w:val="28"/>
          <w:highlight w:val="none"/>
        </w:rPr>
        <w:t>第</w:t>
      </w:r>
      <w:r>
        <w:rPr>
          <w:rFonts w:hint="eastAsia" w:hAnsi="宋体"/>
          <w:color w:val="auto"/>
          <w:sz w:val="24"/>
          <w:szCs w:val="28"/>
          <w:highlight w:val="none"/>
          <w:lang w:val="en-US" w:eastAsia="zh-CN"/>
        </w:rPr>
        <w:t>3-5</w:t>
      </w:r>
      <w:r>
        <w:rPr>
          <w:rFonts w:hint="eastAsia" w:hAnsi="宋体"/>
          <w:color w:val="auto"/>
          <w:sz w:val="24"/>
          <w:szCs w:val="28"/>
          <w:highlight w:val="none"/>
        </w:rPr>
        <w:t>标段：招标文件、</w:t>
      </w:r>
      <w:r>
        <w:rPr>
          <w:rFonts w:hint="eastAsia" w:hAnsi="宋体"/>
          <w:color w:val="auto"/>
          <w:sz w:val="24"/>
          <w:szCs w:val="28"/>
          <w:highlight w:val="none"/>
        </w:rPr>
        <w:t>施工图纸</w:t>
      </w:r>
      <w:r>
        <w:rPr>
          <w:rFonts w:hint="eastAsia" w:hAnsi="宋体"/>
          <w:color w:val="auto"/>
          <w:sz w:val="24"/>
          <w:szCs w:val="28"/>
          <w:highlight w:val="none"/>
        </w:rPr>
        <w:t>、工程量清单、答疑纪要和补充文件（如有）范围内的所有建设内容。</w:t>
      </w:r>
    </w:p>
    <w:p>
      <w:pPr>
        <w:spacing w:line="360" w:lineRule="auto"/>
        <w:ind w:firstLine="480" w:firstLineChars="200"/>
        <w:jc w:val="left"/>
        <w:rPr>
          <w:bCs/>
          <w:color w:val="auto"/>
          <w:sz w:val="24"/>
          <w:szCs w:val="24"/>
          <w:highlight w:val="none"/>
        </w:rPr>
      </w:pPr>
      <w:r>
        <w:rPr>
          <w:rFonts w:hint="eastAsia" w:hAnsi="宋体"/>
          <w:color w:val="auto"/>
          <w:sz w:val="24"/>
          <w:szCs w:val="28"/>
          <w:highlight w:val="none"/>
        </w:rPr>
        <w:t>2.5标段划分：</w:t>
      </w:r>
      <w:r>
        <w:rPr>
          <w:bCs/>
          <w:color w:val="auto"/>
          <w:sz w:val="24"/>
          <w:szCs w:val="24"/>
          <w:highlight w:val="none"/>
        </w:rPr>
        <w:t>该工程</w:t>
      </w:r>
      <w:r>
        <w:rPr>
          <w:rFonts w:hint="eastAsia"/>
          <w:bCs/>
          <w:color w:val="auto"/>
          <w:sz w:val="24"/>
          <w:szCs w:val="24"/>
          <w:highlight w:val="none"/>
        </w:rPr>
        <w:t>共</w:t>
      </w:r>
      <w:r>
        <w:rPr>
          <w:rFonts w:hint="eastAsia"/>
          <w:bCs/>
          <w:color w:val="auto"/>
          <w:sz w:val="24"/>
          <w:szCs w:val="24"/>
          <w:highlight w:val="none"/>
          <w:lang w:val="en-US" w:eastAsia="zh-CN"/>
        </w:rPr>
        <w:t>5</w:t>
      </w:r>
      <w:r>
        <w:rPr>
          <w:rFonts w:hint="eastAsia"/>
          <w:bCs/>
          <w:color w:val="auto"/>
          <w:sz w:val="24"/>
          <w:szCs w:val="24"/>
          <w:highlight w:val="none"/>
        </w:rPr>
        <w:t>个</w:t>
      </w:r>
      <w:r>
        <w:rPr>
          <w:bCs/>
          <w:color w:val="auto"/>
          <w:sz w:val="24"/>
          <w:szCs w:val="24"/>
          <w:highlight w:val="none"/>
        </w:rPr>
        <w:t>标段</w:t>
      </w:r>
    </w:p>
    <w:p>
      <w:pPr>
        <w:spacing w:line="460" w:lineRule="exact"/>
        <w:ind w:firstLine="480" w:firstLineChars="200"/>
        <w:jc w:val="left"/>
        <w:rPr>
          <w:rFonts w:hint="eastAsia" w:hAnsi="宋体"/>
          <w:color w:val="auto"/>
          <w:sz w:val="24"/>
          <w:highlight w:val="none"/>
        </w:rPr>
      </w:pPr>
      <w:r>
        <w:rPr>
          <w:rFonts w:hint="eastAsia" w:hAnsi="宋体"/>
          <w:color w:val="auto"/>
          <w:sz w:val="24"/>
          <w:szCs w:val="28"/>
          <w:highlight w:val="none"/>
        </w:rPr>
        <w:t>第</w:t>
      </w:r>
      <w:r>
        <w:rPr>
          <w:rFonts w:hint="eastAsia" w:hAnsi="宋体"/>
          <w:color w:val="auto"/>
          <w:sz w:val="24"/>
          <w:szCs w:val="28"/>
          <w:highlight w:val="none"/>
          <w:lang w:val="en-US" w:eastAsia="zh-CN"/>
        </w:rPr>
        <w:t>1</w:t>
      </w:r>
      <w:r>
        <w:rPr>
          <w:rFonts w:hint="eastAsia" w:hAnsi="宋体"/>
          <w:color w:val="auto"/>
          <w:sz w:val="24"/>
          <w:highlight w:val="none"/>
        </w:rPr>
        <w:t>标段：</w:t>
      </w:r>
      <w:r>
        <w:rPr>
          <w:rFonts w:hint="eastAsia" w:hAnsi="宋体"/>
          <w:color w:val="auto"/>
          <w:sz w:val="24"/>
          <w:highlight w:val="none"/>
          <w:lang w:eastAsia="zh-CN"/>
        </w:rPr>
        <w:t>山头店镇国省干道提升工程</w:t>
      </w:r>
      <w:r>
        <w:rPr>
          <w:rFonts w:hint="eastAsia" w:hAnsi="宋体"/>
          <w:color w:val="auto"/>
          <w:sz w:val="24"/>
          <w:highlight w:val="none"/>
        </w:rPr>
        <w:t>。</w:t>
      </w:r>
    </w:p>
    <w:p>
      <w:pPr>
        <w:spacing w:line="360" w:lineRule="auto"/>
        <w:ind w:firstLine="480" w:firstLineChars="200"/>
        <w:jc w:val="left"/>
        <w:rPr>
          <w:rFonts w:hint="eastAsia" w:ascii="宋体" w:hAnsi="宋体" w:eastAsia="宋体"/>
          <w:color w:val="auto"/>
          <w:kern w:val="0"/>
          <w:sz w:val="24"/>
          <w:szCs w:val="28"/>
          <w:highlight w:val="none"/>
          <w:lang w:val="en-US" w:eastAsia="zh-CN"/>
        </w:rPr>
      </w:pPr>
      <w:r>
        <w:rPr>
          <w:rFonts w:hint="eastAsia" w:hAnsi="宋体"/>
          <w:color w:val="auto"/>
          <w:sz w:val="24"/>
          <w:highlight w:val="none"/>
        </w:rPr>
        <w:t>第</w:t>
      </w:r>
      <w:r>
        <w:rPr>
          <w:rFonts w:hint="eastAsia" w:hAnsi="宋体"/>
          <w:color w:val="auto"/>
          <w:sz w:val="24"/>
          <w:highlight w:val="none"/>
          <w:lang w:val="en-US" w:eastAsia="zh-CN"/>
        </w:rPr>
        <w:t>2</w:t>
      </w:r>
      <w:r>
        <w:rPr>
          <w:rFonts w:hint="eastAsia" w:hAnsi="宋体"/>
          <w:color w:val="auto"/>
          <w:sz w:val="24"/>
          <w:highlight w:val="none"/>
        </w:rPr>
        <w:t>标段</w:t>
      </w:r>
      <w:r>
        <w:rPr>
          <w:rFonts w:hint="eastAsia" w:ascii="宋体" w:hAnsi="宋体"/>
          <w:color w:val="auto"/>
          <w:kern w:val="0"/>
          <w:sz w:val="24"/>
          <w:szCs w:val="28"/>
          <w:highlight w:val="none"/>
        </w:rPr>
        <w:t>：</w:t>
      </w:r>
      <w:r>
        <w:rPr>
          <w:rFonts w:hint="eastAsia" w:hAnsi="宋体"/>
          <w:color w:val="auto"/>
          <w:sz w:val="24"/>
          <w:highlight w:val="none"/>
        </w:rPr>
        <w:t>襄城县</w:t>
      </w:r>
      <w:r>
        <w:rPr>
          <w:rFonts w:hint="eastAsia" w:ascii="宋体" w:hAnsi="宋体"/>
          <w:color w:val="auto"/>
          <w:kern w:val="0"/>
          <w:sz w:val="24"/>
          <w:szCs w:val="28"/>
          <w:highlight w:val="none"/>
          <w:lang w:eastAsia="zh-CN"/>
        </w:rPr>
        <w:t>南园区环境综合整治工程</w:t>
      </w:r>
      <w:r>
        <w:rPr>
          <w:rFonts w:hint="eastAsia" w:ascii="宋体" w:hAnsi="宋体"/>
          <w:color w:val="auto"/>
          <w:kern w:val="0"/>
          <w:sz w:val="24"/>
          <w:szCs w:val="28"/>
          <w:highlight w:val="none"/>
          <w:lang w:val="en-US" w:eastAsia="zh-CN"/>
        </w:rPr>
        <w:t>。</w:t>
      </w:r>
    </w:p>
    <w:p>
      <w:pPr>
        <w:spacing w:line="460" w:lineRule="exact"/>
        <w:ind w:firstLine="480" w:firstLineChars="200"/>
        <w:jc w:val="left"/>
        <w:rPr>
          <w:rFonts w:hint="default" w:ascii="宋体" w:hAnsi="宋体" w:eastAsia="宋体"/>
          <w:color w:val="auto"/>
          <w:kern w:val="0"/>
          <w:sz w:val="24"/>
          <w:szCs w:val="28"/>
          <w:highlight w:val="none"/>
          <w:lang w:val="en-US" w:eastAsia="zh-CN"/>
        </w:rPr>
      </w:pPr>
      <w:r>
        <w:rPr>
          <w:rFonts w:hint="eastAsia" w:hAnsi="宋体"/>
          <w:color w:val="auto"/>
          <w:sz w:val="24"/>
          <w:highlight w:val="none"/>
        </w:rPr>
        <w:t>第</w:t>
      </w:r>
      <w:r>
        <w:rPr>
          <w:rFonts w:hint="eastAsia" w:hAnsi="宋体"/>
          <w:color w:val="auto"/>
          <w:sz w:val="24"/>
          <w:highlight w:val="none"/>
          <w:lang w:val="en-US" w:eastAsia="zh-CN"/>
        </w:rPr>
        <w:t>3</w:t>
      </w:r>
      <w:r>
        <w:rPr>
          <w:rFonts w:hint="eastAsia" w:hAnsi="宋体"/>
          <w:color w:val="auto"/>
          <w:sz w:val="24"/>
          <w:highlight w:val="none"/>
        </w:rPr>
        <w:t>标段</w:t>
      </w:r>
      <w:r>
        <w:rPr>
          <w:rFonts w:hint="eastAsia" w:hAnsi="宋体"/>
          <w:color w:val="auto"/>
          <w:sz w:val="24"/>
          <w:highlight w:val="none"/>
          <w:lang w:eastAsia="zh-CN"/>
        </w:rPr>
        <w:t>：</w:t>
      </w:r>
      <w:r>
        <w:rPr>
          <w:rFonts w:hint="eastAsia" w:hAnsi="宋体"/>
          <w:color w:val="auto"/>
          <w:sz w:val="24"/>
          <w:highlight w:val="none"/>
          <w:lang w:val="en-US" w:eastAsia="zh-CN"/>
        </w:rPr>
        <w:t>襄城县山头店镇党庙社区安置区道路、广场、排水沟建设项目。</w:t>
      </w:r>
    </w:p>
    <w:p>
      <w:pPr>
        <w:spacing w:line="460" w:lineRule="exact"/>
        <w:ind w:firstLine="480" w:firstLineChars="200"/>
        <w:jc w:val="left"/>
        <w:rPr>
          <w:rFonts w:hint="default" w:ascii="宋体" w:hAnsi="宋体"/>
          <w:color w:val="auto"/>
          <w:kern w:val="0"/>
          <w:sz w:val="24"/>
          <w:szCs w:val="28"/>
          <w:highlight w:val="none"/>
          <w:lang w:val="en-US"/>
        </w:rPr>
      </w:pPr>
      <w:r>
        <w:rPr>
          <w:rFonts w:hint="eastAsia" w:hAnsi="宋体"/>
          <w:color w:val="auto"/>
          <w:sz w:val="24"/>
          <w:highlight w:val="none"/>
        </w:rPr>
        <w:t>第</w:t>
      </w:r>
      <w:r>
        <w:rPr>
          <w:rFonts w:hint="eastAsia" w:hAnsi="宋体"/>
          <w:color w:val="auto"/>
          <w:sz w:val="24"/>
          <w:highlight w:val="none"/>
          <w:lang w:val="en-US" w:eastAsia="zh-CN"/>
        </w:rPr>
        <w:t>4</w:t>
      </w:r>
      <w:r>
        <w:rPr>
          <w:rFonts w:hint="eastAsia" w:hAnsi="宋体"/>
          <w:color w:val="auto"/>
          <w:sz w:val="24"/>
          <w:highlight w:val="none"/>
        </w:rPr>
        <w:t>标段</w:t>
      </w:r>
      <w:r>
        <w:rPr>
          <w:rFonts w:hint="eastAsia" w:ascii="宋体" w:hAnsi="宋体"/>
          <w:color w:val="auto"/>
          <w:kern w:val="0"/>
          <w:sz w:val="24"/>
          <w:szCs w:val="28"/>
          <w:highlight w:val="none"/>
        </w:rPr>
        <w:t>：</w:t>
      </w:r>
      <w:r>
        <w:rPr>
          <w:rFonts w:hint="eastAsia" w:hAnsi="宋体"/>
          <w:color w:val="auto"/>
          <w:sz w:val="24"/>
          <w:highlight w:val="none"/>
          <w:lang w:val="en-US" w:eastAsia="zh-CN"/>
        </w:rPr>
        <w:t>襄城县山头店镇人民政府百宁大道两侧立面墙体粉刷项目。</w:t>
      </w:r>
    </w:p>
    <w:p>
      <w:pPr>
        <w:spacing w:line="460" w:lineRule="exact"/>
        <w:ind w:firstLine="480" w:firstLineChars="200"/>
        <w:jc w:val="left"/>
        <w:rPr>
          <w:rFonts w:hint="default" w:ascii="宋体" w:hAnsi="宋体" w:eastAsia="宋体"/>
          <w:color w:val="auto"/>
          <w:kern w:val="0"/>
          <w:sz w:val="24"/>
          <w:szCs w:val="28"/>
          <w:highlight w:val="none"/>
          <w:lang w:val="en-US" w:eastAsia="zh-CN"/>
        </w:rPr>
      </w:pPr>
      <w:r>
        <w:rPr>
          <w:rFonts w:hint="eastAsia" w:hAnsi="宋体"/>
          <w:color w:val="auto"/>
          <w:sz w:val="24"/>
          <w:highlight w:val="none"/>
        </w:rPr>
        <w:t>第</w:t>
      </w:r>
      <w:r>
        <w:rPr>
          <w:rFonts w:hint="eastAsia" w:hAnsi="宋体"/>
          <w:color w:val="auto"/>
          <w:sz w:val="24"/>
          <w:highlight w:val="none"/>
          <w:lang w:val="en-US" w:eastAsia="zh-CN"/>
        </w:rPr>
        <w:t>5</w:t>
      </w:r>
      <w:r>
        <w:rPr>
          <w:rFonts w:hint="eastAsia" w:hAnsi="宋体"/>
          <w:color w:val="auto"/>
          <w:sz w:val="24"/>
          <w:highlight w:val="none"/>
        </w:rPr>
        <w:t>标段</w:t>
      </w:r>
      <w:r>
        <w:rPr>
          <w:rFonts w:hint="eastAsia" w:ascii="宋体" w:hAnsi="宋体"/>
          <w:color w:val="auto"/>
          <w:kern w:val="0"/>
          <w:sz w:val="24"/>
          <w:szCs w:val="28"/>
          <w:highlight w:val="none"/>
        </w:rPr>
        <w:t>：</w:t>
      </w:r>
      <w:r>
        <w:rPr>
          <w:rFonts w:hint="eastAsia" w:ascii="宋体" w:hAnsi="宋体"/>
          <w:color w:val="auto"/>
          <w:kern w:val="0"/>
          <w:sz w:val="24"/>
          <w:szCs w:val="28"/>
          <w:highlight w:val="none"/>
          <w:lang w:val="en-US" w:eastAsia="zh-CN"/>
        </w:rPr>
        <w:t>襄城县首山油菜花节提灌渠公厕建设项目。</w:t>
      </w:r>
    </w:p>
    <w:p>
      <w:pPr>
        <w:spacing w:line="460" w:lineRule="exact"/>
        <w:ind w:firstLine="480" w:firstLineChars="200"/>
        <w:jc w:val="left"/>
        <w:rPr>
          <w:rFonts w:hint="eastAsia" w:hAnsi="宋体"/>
          <w:color w:val="auto"/>
          <w:sz w:val="24"/>
          <w:szCs w:val="28"/>
          <w:highlight w:val="none"/>
        </w:rPr>
      </w:pPr>
      <w:r>
        <w:rPr>
          <w:rFonts w:hint="eastAsia" w:hAnsi="宋体"/>
          <w:color w:val="auto"/>
          <w:sz w:val="24"/>
          <w:szCs w:val="28"/>
          <w:highlight w:val="none"/>
        </w:rPr>
        <w:t>2.6计划工期：</w:t>
      </w:r>
    </w:p>
    <w:p>
      <w:pPr>
        <w:spacing w:line="460" w:lineRule="exact"/>
        <w:ind w:firstLine="480" w:firstLineChars="200"/>
        <w:jc w:val="left"/>
        <w:rPr>
          <w:rFonts w:hint="eastAsia" w:hAnsi="宋体"/>
          <w:color w:val="auto"/>
          <w:sz w:val="24"/>
          <w:szCs w:val="28"/>
          <w:highlight w:val="none"/>
        </w:rPr>
      </w:pPr>
      <w:r>
        <w:rPr>
          <w:rFonts w:hint="eastAsia" w:hAnsi="宋体"/>
          <w:color w:val="auto"/>
          <w:sz w:val="24"/>
          <w:szCs w:val="28"/>
          <w:highlight w:val="none"/>
        </w:rPr>
        <w:t>第1</w:t>
      </w:r>
      <w:r>
        <w:rPr>
          <w:rFonts w:hint="eastAsia" w:hAnsi="宋体"/>
          <w:color w:val="auto"/>
          <w:sz w:val="24"/>
          <w:szCs w:val="28"/>
          <w:highlight w:val="none"/>
          <w:lang w:val="en-US" w:eastAsia="zh-CN"/>
        </w:rPr>
        <w:t>-5</w:t>
      </w:r>
      <w:r>
        <w:rPr>
          <w:rFonts w:hint="eastAsia" w:hAnsi="宋体"/>
          <w:color w:val="auto"/>
          <w:sz w:val="24"/>
          <w:szCs w:val="28"/>
          <w:highlight w:val="none"/>
        </w:rPr>
        <w:t>标段：</w:t>
      </w:r>
      <w:r>
        <w:rPr>
          <w:rFonts w:hint="eastAsia" w:hAnsi="宋体"/>
          <w:color w:val="auto"/>
          <w:sz w:val="24"/>
          <w:szCs w:val="28"/>
          <w:highlight w:val="none"/>
          <w:lang w:val="en-US" w:eastAsia="zh-CN"/>
        </w:rPr>
        <w:t>40</w:t>
      </w:r>
      <w:r>
        <w:rPr>
          <w:rFonts w:hint="eastAsia" w:hAnsi="宋体"/>
          <w:color w:val="auto"/>
          <w:sz w:val="24"/>
          <w:szCs w:val="28"/>
          <w:highlight w:val="none"/>
        </w:rPr>
        <w:t>日历天；</w:t>
      </w:r>
    </w:p>
    <w:p>
      <w:pPr>
        <w:widowControl/>
        <w:spacing w:line="460" w:lineRule="exact"/>
        <w:ind w:firstLine="480" w:firstLineChars="200"/>
        <w:jc w:val="left"/>
        <w:rPr>
          <w:rFonts w:hAnsi="宋体"/>
          <w:color w:val="auto"/>
          <w:sz w:val="24"/>
          <w:highlight w:val="none"/>
        </w:rPr>
      </w:pPr>
      <w:r>
        <w:rPr>
          <w:rFonts w:hint="eastAsia" w:hAnsi="宋体"/>
          <w:color w:val="auto"/>
          <w:sz w:val="24"/>
          <w:highlight w:val="none"/>
        </w:rPr>
        <w:t>2.7质量要求：合格。</w:t>
      </w:r>
    </w:p>
    <w:p>
      <w:pPr>
        <w:spacing w:line="360" w:lineRule="auto"/>
        <w:ind w:firstLine="480" w:firstLineChars="200"/>
        <w:outlineLvl w:val="0"/>
        <w:rPr>
          <w:rFonts w:hAnsi="宋体"/>
          <w:b/>
          <w:color w:val="auto"/>
          <w:sz w:val="24"/>
          <w:highlight w:val="none"/>
        </w:rPr>
      </w:pPr>
      <w:r>
        <w:rPr>
          <w:rFonts w:hint="eastAsia" w:hAnsi="宋体"/>
          <w:b/>
          <w:color w:val="auto"/>
          <w:sz w:val="24"/>
          <w:highlight w:val="none"/>
        </w:rPr>
        <w:t>3、投标人资格要求</w:t>
      </w:r>
    </w:p>
    <w:p>
      <w:pPr>
        <w:spacing w:line="360" w:lineRule="auto"/>
        <w:ind w:firstLine="480" w:firstLineChars="200"/>
        <w:outlineLvl w:val="0"/>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1、4</w:t>
      </w:r>
      <w:r>
        <w:rPr>
          <w:rFonts w:hint="eastAsia"/>
          <w:b/>
          <w:bCs/>
          <w:color w:val="auto"/>
          <w:sz w:val="24"/>
          <w:szCs w:val="24"/>
          <w:highlight w:val="none"/>
        </w:rPr>
        <w:t>标段：</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3.1投标人须具有独立的法人资格，具有合格有效的营业执照；</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3.2投标人须具备建设行政主管部门颁发</w:t>
      </w:r>
      <w:r>
        <w:rPr>
          <w:rFonts w:hint="eastAsia" w:hAnsi="宋体"/>
          <w:bCs/>
          <w:color w:val="auto"/>
          <w:sz w:val="24"/>
          <w:szCs w:val="24"/>
          <w:highlight w:val="none"/>
          <w:lang w:eastAsia="zh-CN"/>
        </w:rPr>
        <w:t>的建筑装修装饰工程专业承包二级及</w:t>
      </w:r>
      <w:r>
        <w:rPr>
          <w:rFonts w:hint="eastAsia" w:hAnsi="宋体"/>
          <w:bCs/>
          <w:color w:val="auto"/>
          <w:sz w:val="24"/>
          <w:szCs w:val="24"/>
          <w:highlight w:val="none"/>
        </w:rPr>
        <w:t>以上资质，且具有有效的安全生产许可证，并在人员、设备、资金等方面具有相应的施工能力；</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3.3拟派项目经理须具有</w:t>
      </w:r>
      <w:r>
        <w:rPr>
          <w:rFonts w:hint="eastAsia" w:hAnsi="宋体"/>
          <w:bCs/>
          <w:color w:val="auto"/>
          <w:sz w:val="24"/>
          <w:szCs w:val="24"/>
          <w:highlight w:val="none"/>
          <w:lang w:eastAsia="zh-CN"/>
        </w:rPr>
        <w:t>建筑工程专业贰级</w:t>
      </w:r>
      <w:r>
        <w:rPr>
          <w:rFonts w:hint="eastAsia" w:hAnsi="宋体"/>
          <w:bCs/>
          <w:color w:val="auto"/>
          <w:sz w:val="24"/>
          <w:szCs w:val="24"/>
          <w:highlight w:val="none"/>
        </w:rPr>
        <w:t>及以上注册建造师</w:t>
      </w:r>
      <w:r>
        <w:rPr>
          <w:rFonts w:hint="eastAsia" w:hAnsi="宋体"/>
          <w:bCs/>
          <w:color w:val="auto"/>
          <w:sz w:val="24"/>
          <w:szCs w:val="24"/>
          <w:highlight w:val="none"/>
          <w:lang w:eastAsia="zh-CN"/>
        </w:rPr>
        <w:t>及</w:t>
      </w:r>
      <w:r>
        <w:rPr>
          <w:rFonts w:hint="eastAsia" w:hAnsi="宋体"/>
          <w:bCs/>
          <w:color w:val="auto"/>
          <w:sz w:val="24"/>
          <w:szCs w:val="24"/>
          <w:highlight w:val="none"/>
        </w:rPr>
        <w:t>以上注册建造师资格证书（不含临时）</w:t>
      </w:r>
      <w:r>
        <w:rPr>
          <w:rFonts w:hint="eastAsia" w:hAnsi="宋体"/>
          <w:bCs/>
          <w:color w:val="auto"/>
          <w:sz w:val="24"/>
          <w:szCs w:val="24"/>
          <w:highlight w:val="none"/>
          <w:lang w:eastAsia="zh-CN"/>
        </w:rPr>
        <w:t>，并具有有效的</w:t>
      </w:r>
      <w:r>
        <w:rPr>
          <w:rFonts w:hint="eastAsia" w:hAnsi="宋体"/>
          <w:bCs/>
          <w:color w:val="auto"/>
          <w:sz w:val="24"/>
          <w:szCs w:val="24"/>
          <w:highlight w:val="none"/>
        </w:rPr>
        <w:t>安全生产考核合格证书，且未担任其他正在施工建设工程的项目经理（承诺书由法定代表人及项目经理签名并加盖单位公章）；</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3.4拟派技术负责人须具有相关专业中级及以上职称；</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3.6投标人须提供许昌公共资源交易信用管理平台投标单位诚信承诺书网页截图；</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3.7本项目不接受联合体投标；</w:t>
      </w:r>
    </w:p>
    <w:p>
      <w:pPr>
        <w:spacing w:line="460" w:lineRule="exact"/>
        <w:ind w:firstLine="480" w:firstLineChars="200"/>
        <w:outlineLvl w:val="0"/>
        <w:rPr>
          <w:rFonts w:hint="eastAsia"/>
          <w:color w:val="auto"/>
          <w:highlight w:val="none"/>
        </w:rPr>
      </w:pPr>
      <w:r>
        <w:rPr>
          <w:rFonts w:hint="eastAsia" w:hAnsi="宋体"/>
          <w:bCs/>
          <w:color w:val="auto"/>
          <w:sz w:val="24"/>
          <w:szCs w:val="24"/>
          <w:highlight w:val="none"/>
        </w:rPr>
        <w:t>3.8本次招标实行资格后审；</w:t>
      </w:r>
    </w:p>
    <w:p>
      <w:pPr>
        <w:spacing w:line="360" w:lineRule="auto"/>
        <w:ind w:firstLine="480" w:firstLineChars="200"/>
        <w:outlineLvl w:val="0"/>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2</w:t>
      </w:r>
      <w:r>
        <w:rPr>
          <w:rFonts w:hint="eastAsia"/>
          <w:b/>
          <w:bCs/>
          <w:color w:val="auto"/>
          <w:sz w:val="24"/>
          <w:szCs w:val="24"/>
          <w:highlight w:val="none"/>
        </w:rPr>
        <w:t>标段：</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3.1投标人须具有独立的法人资格，具有合格有效的营业执照</w:t>
      </w:r>
      <w:r>
        <w:rPr>
          <w:rFonts w:hint="eastAsia" w:hAnsi="宋体"/>
          <w:bCs/>
          <w:color w:val="auto"/>
          <w:sz w:val="24"/>
          <w:szCs w:val="24"/>
          <w:highlight w:val="none"/>
          <w:lang w:eastAsia="zh-CN"/>
        </w:rPr>
        <w:t>（经营范围应包含园林绿化）</w:t>
      </w:r>
      <w:r>
        <w:rPr>
          <w:rFonts w:hint="eastAsia" w:hAnsi="宋体"/>
          <w:bCs/>
          <w:color w:val="auto"/>
          <w:sz w:val="24"/>
          <w:szCs w:val="24"/>
          <w:highlight w:val="none"/>
        </w:rPr>
        <w:t>；</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val="en-US" w:eastAsia="zh-CN"/>
        </w:rPr>
        <w:t>2</w:t>
      </w:r>
      <w:r>
        <w:rPr>
          <w:rFonts w:hint="eastAsia" w:hAnsi="宋体"/>
          <w:bCs/>
          <w:color w:val="auto"/>
          <w:sz w:val="24"/>
          <w:szCs w:val="24"/>
          <w:highlight w:val="none"/>
        </w:rPr>
        <w:t>拟派项目经理须具有</w:t>
      </w:r>
      <w:r>
        <w:rPr>
          <w:rFonts w:hint="eastAsia" w:hAnsi="宋体"/>
          <w:bCs/>
          <w:color w:val="auto"/>
          <w:sz w:val="24"/>
          <w:szCs w:val="24"/>
          <w:highlight w:val="none"/>
          <w:lang w:val="en-US" w:eastAsia="zh-CN"/>
        </w:rPr>
        <w:t>相关</w:t>
      </w:r>
      <w:r>
        <w:rPr>
          <w:rFonts w:hint="eastAsia" w:hAnsi="宋体"/>
          <w:bCs/>
          <w:color w:val="auto"/>
          <w:sz w:val="24"/>
          <w:szCs w:val="24"/>
          <w:highlight w:val="none"/>
          <w:lang w:eastAsia="zh-CN"/>
        </w:rPr>
        <w:t>专业</w:t>
      </w:r>
      <w:r>
        <w:rPr>
          <w:rFonts w:hint="eastAsia" w:hAnsi="宋体"/>
          <w:bCs/>
          <w:color w:val="auto"/>
          <w:sz w:val="24"/>
          <w:szCs w:val="24"/>
          <w:highlight w:val="none"/>
        </w:rPr>
        <w:t>贰级</w:t>
      </w:r>
      <w:r>
        <w:rPr>
          <w:rFonts w:hint="eastAsia" w:hAnsi="宋体"/>
          <w:bCs/>
          <w:color w:val="auto"/>
          <w:sz w:val="24"/>
          <w:szCs w:val="24"/>
          <w:highlight w:val="none"/>
          <w:lang w:eastAsia="zh-CN"/>
        </w:rPr>
        <w:t>及</w:t>
      </w:r>
      <w:r>
        <w:rPr>
          <w:rFonts w:hint="eastAsia" w:hAnsi="宋体"/>
          <w:bCs/>
          <w:color w:val="auto"/>
          <w:sz w:val="24"/>
          <w:szCs w:val="24"/>
          <w:highlight w:val="none"/>
        </w:rPr>
        <w:t>以上注册建造师资格证书（不含临时）</w:t>
      </w:r>
      <w:r>
        <w:rPr>
          <w:rFonts w:hint="eastAsia" w:hAnsi="宋体"/>
          <w:bCs/>
          <w:color w:val="auto"/>
          <w:sz w:val="24"/>
          <w:szCs w:val="24"/>
          <w:highlight w:val="none"/>
          <w:lang w:eastAsia="zh-CN"/>
        </w:rPr>
        <w:t>，并具有有效的</w:t>
      </w:r>
      <w:r>
        <w:rPr>
          <w:rFonts w:hint="eastAsia" w:hAnsi="宋体"/>
          <w:bCs/>
          <w:color w:val="auto"/>
          <w:sz w:val="24"/>
          <w:szCs w:val="24"/>
          <w:highlight w:val="none"/>
        </w:rPr>
        <w:t>安全生产考核合格证书，且未担任其他正在施工建设工程的项目经理（承诺书由法定代表人及项目经理签名并加盖单位公章）；</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val="en-US" w:eastAsia="zh-CN"/>
        </w:rPr>
        <w:t>3</w:t>
      </w:r>
      <w:r>
        <w:rPr>
          <w:rFonts w:hint="eastAsia" w:hAnsi="宋体"/>
          <w:bCs/>
          <w:color w:val="auto"/>
          <w:sz w:val="24"/>
          <w:szCs w:val="24"/>
          <w:highlight w:val="none"/>
        </w:rPr>
        <w:t>拟派技术负责人须具有相关专业中级及以上职称；</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val="en-US" w:eastAsia="zh-CN"/>
        </w:rPr>
        <w:t>4</w:t>
      </w:r>
      <w:r>
        <w:rPr>
          <w:rFonts w:hint="eastAsia" w:hAnsi="宋体"/>
          <w:bCs/>
          <w:color w:val="auto"/>
          <w:sz w:val="24"/>
          <w:szCs w:val="24"/>
          <w:highlight w:val="none"/>
        </w:rPr>
        <w:t>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val="en-US" w:eastAsia="zh-CN"/>
        </w:rPr>
        <w:t>5</w:t>
      </w:r>
      <w:r>
        <w:rPr>
          <w:rFonts w:hint="eastAsia" w:hAnsi="宋体"/>
          <w:bCs/>
          <w:color w:val="auto"/>
          <w:sz w:val="24"/>
          <w:szCs w:val="24"/>
          <w:highlight w:val="none"/>
        </w:rPr>
        <w:t>投标人须提供许昌公共资源交易信用管理平台投标单位诚信承诺书网页截图；</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val="en-US" w:eastAsia="zh-CN"/>
        </w:rPr>
        <w:t>6</w:t>
      </w:r>
      <w:r>
        <w:rPr>
          <w:rFonts w:hint="eastAsia" w:hAnsi="宋体"/>
          <w:bCs/>
          <w:color w:val="auto"/>
          <w:sz w:val="24"/>
          <w:szCs w:val="24"/>
          <w:highlight w:val="none"/>
        </w:rPr>
        <w:t>本项目不接受联合体投标；</w:t>
      </w:r>
    </w:p>
    <w:p>
      <w:pPr>
        <w:spacing w:line="360" w:lineRule="auto"/>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val="en-US" w:eastAsia="zh-CN"/>
        </w:rPr>
        <w:t>7</w:t>
      </w:r>
      <w:r>
        <w:rPr>
          <w:rFonts w:hint="eastAsia" w:hAnsi="宋体"/>
          <w:bCs/>
          <w:color w:val="auto"/>
          <w:sz w:val="24"/>
          <w:szCs w:val="24"/>
          <w:highlight w:val="none"/>
        </w:rPr>
        <w:t>本次招标实行资格后审；</w:t>
      </w:r>
    </w:p>
    <w:p>
      <w:pPr>
        <w:spacing w:line="360" w:lineRule="auto"/>
        <w:ind w:firstLine="480" w:firstLineChars="200"/>
        <w:outlineLvl w:val="0"/>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3</w:t>
      </w:r>
      <w:r>
        <w:rPr>
          <w:rFonts w:hint="eastAsia"/>
          <w:b/>
          <w:bCs/>
          <w:color w:val="auto"/>
          <w:sz w:val="24"/>
          <w:szCs w:val="24"/>
          <w:highlight w:val="none"/>
        </w:rPr>
        <w:t>标段：</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3.1投标人须具有独立的法人资格，具有合格有效的营业执照；</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3.2投标人须具备建设行政主管部门颁发</w:t>
      </w:r>
      <w:r>
        <w:rPr>
          <w:rFonts w:hint="eastAsia" w:hAnsi="宋体"/>
          <w:bCs/>
          <w:color w:val="auto"/>
          <w:sz w:val="24"/>
          <w:szCs w:val="24"/>
          <w:highlight w:val="none"/>
          <w:lang w:eastAsia="zh-CN"/>
        </w:rPr>
        <w:t>的</w:t>
      </w:r>
      <w:r>
        <w:rPr>
          <w:rFonts w:hint="eastAsia" w:hAnsi="宋体"/>
          <w:bCs/>
          <w:color w:val="auto"/>
          <w:sz w:val="24"/>
          <w:szCs w:val="24"/>
          <w:highlight w:val="none"/>
        </w:rPr>
        <w:t>市政公用工程施工总承包</w:t>
      </w:r>
      <w:r>
        <w:rPr>
          <w:rFonts w:hint="eastAsia" w:hAnsi="宋体"/>
          <w:bCs/>
          <w:color w:val="auto"/>
          <w:sz w:val="24"/>
          <w:szCs w:val="24"/>
          <w:highlight w:val="none"/>
          <w:lang w:val="en-US" w:eastAsia="zh-CN"/>
        </w:rPr>
        <w:t>叁</w:t>
      </w:r>
      <w:r>
        <w:rPr>
          <w:rFonts w:hint="eastAsia" w:hAnsi="宋体"/>
          <w:bCs/>
          <w:color w:val="auto"/>
          <w:sz w:val="24"/>
          <w:szCs w:val="24"/>
          <w:highlight w:val="none"/>
        </w:rPr>
        <w:t>级</w:t>
      </w:r>
      <w:r>
        <w:rPr>
          <w:rFonts w:hint="eastAsia" w:hAnsi="宋体"/>
          <w:bCs/>
          <w:color w:val="auto"/>
          <w:sz w:val="24"/>
          <w:szCs w:val="24"/>
          <w:highlight w:val="none"/>
          <w:lang w:eastAsia="zh-CN"/>
        </w:rPr>
        <w:t>及</w:t>
      </w:r>
      <w:r>
        <w:rPr>
          <w:rFonts w:hint="eastAsia" w:hAnsi="宋体"/>
          <w:bCs/>
          <w:color w:val="auto"/>
          <w:sz w:val="24"/>
          <w:szCs w:val="24"/>
          <w:highlight w:val="none"/>
        </w:rPr>
        <w:t>以上资质，且具有有效的安全生产许可证，并在人员、设备、资金等方面具有相应的施工能力；</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3.3拟派项目经理须具有市政公用工程</w:t>
      </w:r>
      <w:r>
        <w:rPr>
          <w:rFonts w:hint="eastAsia" w:hAnsi="宋体"/>
          <w:bCs/>
          <w:color w:val="auto"/>
          <w:sz w:val="24"/>
          <w:szCs w:val="24"/>
          <w:highlight w:val="none"/>
          <w:lang w:eastAsia="zh-CN"/>
        </w:rPr>
        <w:t>专业</w:t>
      </w:r>
      <w:r>
        <w:rPr>
          <w:rFonts w:hint="eastAsia" w:hAnsi="宋体"/>
          <w:bCs/>
          <w:color w:val="auto"/>
          <w:sz w:val="24"/>
          <w:szCs w:val="24"/>
          <w:highlight w:val="none"/>
        </w:rPr>
        <w:t>贰级</w:t>
      </w:r>
      <w:r>
        <w:rPr>
          <w:rFonts w:hint="eastAsia" w:hAnsi="宋体"/>
          <w:bCs/>
          <w:color w:val="auto"/>
          <w:sz w:val="24"/>
          <w:szCs w:val="24"/>
          <w:highlight w:val="none"/>
          <w:lang w:eastAsia="zh-CN"/>
        </w:rPr>
        <w:t>及</w:t>
      </w:r>
      <w:r>
        <w:rPr>
          <w:rFonts w:hint="eastAsia" w:hAnsi="宋体"/>
          <w:bCs/>
          <w:color w:val="auto"/>
          <w:sz w:val="24"/>
          <w:szCs w:val="24"/>
          <w:highlight w:val="none"/>
        </w:rPr>
        <w:t>以上注册建造师资格证书（不含临时）</w:t>
      </w:r>
      <w:r>
        <w:rPr>
          <w:rFonts w:hint="eastAsia" w:hAnsi="宋体"/>
          <w:bCs/>
          <w:color w:val="auto"/>
          <w:sz w:val="24"/>
          <w:szCs w:val="24"/>
          <w:highlight w:val="none"/>
          <w:lang w:eastAsia="zh-CN"/>
        </w:rPr>
        <w:t>，并具有有效的</w:t>
      </w:r>
      <w:r>
        <w:rPr>
          <w:rFonts w:hint="eastAsia" w:hAnsi="宋体"/>
          <w:bCs/>
          <w:color w:val="auto"/>
          <w:sz w:val="24"/>
          <w:szCs w:val="24"/>
          <w:highlight w:val="none"/>
        </w:rPr>
        <w:t>安全生产考核合格证书，且未担任其他正在施工建设工程的项目经理（承诺书由法定代表人及项目经理签名并加盖单位公章）；</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3.4拟派技术负责人须具有相关专业中级及以上职称；</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3.6投标人须提供许昌公共资源交易信用管理平台投标单位诚信承诺书网页截图；</w:t>
      </w:r>
    </w:p>
    <w:p>
      <w:pPr>
        <w:spacing w:line="360" w:lineRule="auto"/>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3.7本项目不接受联合体投标；</w:t>
      </w:r>
    </w:p>
    <w:p>
      <w:pPr>
        <w:spacing w:line="360" w:lineRule="auto"/>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3.8本次招标实行资格后审；</w:t>
      </w:r>
    </w:p>
    <w:p>
      <w:pPr>
        <w:spacing w:line="360" w:lineRule="auto"/>
        <w:ind w:firstLine="480" w:firstLineChars="200"/>
        <w:outlineLvl w:val="0"/>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5</w:t>
      </w:r>
      <w:r>
        <w:rPr>
          <w:rFonts w:hint="eastAsia"/>
          <w:b/>
          <w:bCs/>
          <w:color w:val="auto"/>
          <w:sz w:val="24"/>
          <w:szCs w:val="24"/>
          <w:highlight w:val="none"/>
        </w:rPr>
        <w:t>标段：</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3.1投标人须具有独立的法人资格，具有合格有效的营业执照；</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3.2投标人须具备建设行政主管部门颁发</w:t>
      </w:r>
      <w:r>
        <w:rPr>
          <w:rFonts w:hint="eastAsia" w:hAnsi="宋体"/>
          <w:bCs/>
          <w:color w:val="auto"/>
          <w:sz w:val="24"/>
          <w:szCs w:val="24"/>
          <w:highlight w:val="none"/>
          <w:lang w:eastAsia="zh-CN"/>
        </w:rPr>
        <w:t>的</w:t>
      </w:r>
      <w:r>
        <w:rPr>
          <w:rFonts w:hint="eastAsia" w:hAnsi="宋体"/>
          <w:bCs/>
          <w:color w:val="auto"/>
          <w:sz w:val="24"/>
          <w:szCs w:val="24"/>
          <w:highlight w:val="none"/>
          <w:lang w:val="en-US" w:eastAsia="zh-CN"/>
        </w:rPr>
        <w:t>建筑</w:t>
      </w:r>
      <w:r>
        <w:rPr>
          <w:rFonts w:hint="eastAsia" w:hAnsi="宋体"/>
          <w:bCs/>
          <w:color w:val="auto"/>
          <w:sz w:val="24"/>
          <w:szCs w:val="24"/>
          <w:highlight w:val="none"/>
        </w:rPr>
        <w:t>工程施工总承包</w:t>
      </w:r>
      <w:r>
        <w:rPr>
          <w:rFonts w:hint="eastAsia" w:hAnsi="宋体"/>
          <w:bCs/>
          <w:color w:val="auto"/>
          <w:sz w:val="24"/>
          <w:szCs w:val="24"/>
          <w:highlight w:val="none"/>
          <w:lang w:val="en-US" w:eastAsia="zh-CN"/>
        </w:rPr>
        <w:t>叁</w:t>
      </w:r>
      <w:r>
        <w:rPr>
          <w:rFonts w:hint="eastAsia" w:hAnsi="宋体"/>
          <w:bCs/>
          <w:color w:val="auto"/>
          <w:sz w:val="24"/>
          <w:szCs w:val="24"/>
          <w:highlight w:val="none"/>
        </w:rPr>
        <w:t>级</w:t>
      </w:r>
      <w:r>
        <w:rPr>
          <w:rFonts w:hint="eastAsia" w:hAnsi="宋体"/>
          <w:bCs/>
          <w:color w:val="auto"/>
          <w:sz w:val="24"/>
          <w:szCs w:val="24"/>
          <w:highlight w:val="none"/>
          <w:lang w:eastAsia="zh-CN"/>
        </w:rPr>
        <w:t>及</w:t>
      </w:r>
      <w:r>
        <w:rPr>
          <w:rFonts w:hint="eastAsia" w:hAnsi="宋体"/>
          <w:bCs/>
          <w:color w:val="auto"/>
          <w:sz w:val="24"/>
          <w:szCs w:val="24"/>
          <w:highlight w:val="none"/>
        </w:rPr>
        <w:t>以上资质，且具有有效的安全生产许可证，并在人员、设备、资金等方面具有相应的施工能力；</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3.3拟派项目经理须具有</w:t>
      </w:r>
      <w:r>
        <w:rPr>
          <w:rFonts w:hint="eastAsia" w:hAnsi="宋体"/>
          <w:bCs/>
          <w:color w:val="auto"/>
          <w:sz w:val="24"/>
          <w:szCs w:val="24"/>
          <w:highlight w:val="none"/>
          <w:lang w:val="en-US" w:eastAsia="zh-CN"/>
        </w:rPr>
        <w:t>建筑</w:t>
      </w:r>
      <w:r>
        <w:rPr>
          <w:rFonts w:hint="eastAsia" w:hAnsi="宋体"/>
          <w:bCs/>
          <w:color w:val="auto"/>
          <w:sz w:val="24"/>
          <w:szCs w:val="24"/>
          <w:highlight w:val="none"/>
        </w:rPr>
        <w:t>工程</w:t>
      </w:r>
      <w:r>
        <w:rPr>
          <w:rFonts w:hint="eastAsia" w:hAnsi="宋体"/>
          <w:bCs/>
          <w:color w:val="auto"/>
          <w:sz w:val="24"/>
          <w:szCs w:val="24"/>
          <w:highlight w:val="none"/>
          <w:lang w:eastAsia="zh-CN"/>
        </w:rPr>
        <w:t>专业</w:t>
      </w:r>
      <w:r>
        <w:rPr>
          <w:rFonts w:hint="eastAsia" w:hAnsi="宋体"/>
          <w:bCs/>
          <w:color w:val="auto"/>
          <w:sz w:val="24"/>
          <w:szCs w:val="24"/>
          <w:highlight w:val="none"/>
        </w:rPr>
        <w:t>贰级</w:t>
      </w:r>
      <w:r>
        <w:rPr>
          <w:rFonts w:hint="eastAsia" w:hAnsi="宋体"/>
          <w:bCs/>
          <w:color w:val="auto"/>
          <w:sz w:val="24"/>
          <w:szCs w:val="24"/>
          <w:highlight w:val="none"/>
          <w:lang w:eastAsia="zh-CN"/>
        </w:rPr>
        <w:t>及</w:t>
      </w:r>
      <w:r>
        <w:rPr>
          <w:rFonts w:hint="eastAsia" w:hAnsi="宋体"/>
          <w:bCs/>
          <w:color w:val="auto"/>
          <w:sz w:val="24"/>
          <w:szCs w:val="24"/>
          <w:highlight w:val="none"/>
        </w:rPr>
        <w:t>以上注册建造师资格证书（不含临时）</w:t>
      </w:r>
      <w:r>
        <w:rPr>
          <w:rFonts w:hint="eastAsia" w:hAnsi="宋体"/>
          <w:bCs/>
          <w:color w:val="auto"/>
          <w:sz w:val="24"/>
          <w:szCs w:val="24"/>
          <w:highlight w:val="none"/>
          <w:lang w:eastAsia="zh-CN"/>
        </w:rPr>
        <w:t>，并具有有效的</w:t>
      </w:r>
      <w:r>
        <w:rPr>
          <w:rFonts w:hint="eastAsia" w:hAnsi="宋体"/>
          <w:bCs/>
          <w:color w:val="auto"/>
          <w:sz w:val="24"/>
          <w:szCs w:val="24"/>
          <w:highlight w:val="none"/>
        </w:rPr>
        <w:t>安全生产考核合格证书，且未担任其他正在施工建设工程的项目经理（承诺书由法定代表人及项目经理签名并加盖单位公章）；</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3.4拟派技术负责人须具有相关专业中级及以上职称；</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3.6投标人须提供许昌公共资源交易信用管理平台投标单位诚信承诺书网页截图；</w:t>
      </w:r>
    </w:p>
    <w:p>
      <w:pPr>
        <w:spacing w:line="360" w:lineRule="auto"/>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3.7本项目不接受联合体投标；</w:t>
      </w:r>
    </w:p>
    <w:p>
      <w:pPr>
        <w:spacing w:line="360" w:lineRule="auto"/>
        <w:ind w:firstLine="480" w:firstLineChars="200"/>
        <w:outlineLvl w:val="0"/>
        <w:rPr>
          <w:rFonts w:hint="eastAsia" w:hAnsi="宋体"/>
          <w:bCs/>
          <w:color w:val="auto"/>
          <w:sz w:val="24"/>
          <w:szCs w:val="24"/>
          <w:highlight w:val="none"/>
        </w:rPr>
      </w:pPr>
      <w:r>
        <w:rPr>
          <w:rFonts w:hint="eastAsia" w:hAnsi="宋体"/>
          <w:bCs/>
          <w:color w:val="auto"/>
          <w:sz w:val="24"/>
          <w:szCs w:val="24"/>
          <w:highlight w:val="none"/>
        </w:rPr>
        <w:t>3.8本次招标实行资格后审；</w:t>
      </w:r>
    </w:p>
    <w:p>
      <w:pPr>
        <w:spacing w:line="360" w:lineRule="auto"/>
        <w:ind w:firstLine="480" w:firstLineChars="200"/>
        <w:outlineLvl w:val="0"/>
        <w:rPr>
          <w:rFonts w:hint="eastAsia" w:hAnsi="宋体"/>
          <w:bCs/>
          <w:color w:val="auto"/>
          <w:sz w:val="24"/>
          <w:szCs w:val="24"/>
          <w:highlight w:val="none"/>
        </w:rPr>
      </w:pPr>
      <w:r>
        <w:rPr>
          <w:rFonts w:hint="eastAsia" w:hAnsi="宋体"/>
          <w:b/>
          <w:color w:val="auto"/>
          <w:sz w:val="24"/>
          <w:szCs w:val="24"/>
          <w:highlight w:val="none"/>
        </w:rPr>
        <w:t>注：</w:t>
      </w:r>
      <w:r>
        <w:rPr>
          <w:rFonts w:hint="eastAsia" w:hAnsi="宋体"/>
          <w:bCs/>
          <w:color w:val="auto"/>
          <w:sz w:val="24"/>
          <w:szCs w:val="24"/>
          <w:highlight w:val="none"/>
        </w:rPr>
        <w:t>投标申请人可以对本项目多个标段进行投标，但只能中取一个标段（项目管理班子配备不同时除外）；如投标人(项目管理班子配备相同时)同时在多个标段中排名第一，则只能选择标段序号在前的一个标段中标。</w:t>
      </w:r>
    </w:p>
    <w:p>
      <w:pPr>
        <w:tabs>
          <w:tab w:val="left" w:pos="7095"/>
        </w:tabs>
        <w:spacing w:line="360" w:lineRule="auto"/>
        <w:ind w:firstLine="480" w:firstLineChars="200"/>
        <w:rPr>
          <w:rFonts w:hint="eastAsia" w:ascii="Times New Roman" w:hAnsi="宋体" w:cs="Times New Roman"/>
          <w:b/>
          <w:bCs/>
          <w:color w:val="auto"/>
          <w:sz w:val="24"/>
          <w:szCs w:val="24"/>
          <w:highlight w:val="none"/>
          <w:lang w:val="en-US" w:eastAsia="zh-CN"/>
        </w:rPr>
      </w:pPr>
      <w:r>
        <w:rPr>
          <w:rFonts w:hint="eastAsia" w:ascii="Times New Roman" w:hAnsi="宋体" w:cs="Times New Roman"/>
          <w:b/>
          <w:bCs/>
          <w:color w:val="auto"/>
          <w:sz w:val="24"/>
          <w:szCs w:val="24"/>
          <w:highlight w:val="none"/>
          <w:lang w:val="en-US" w:eastAsia="zh-CN"/>
        </w:rPr>
        <w:t>4、网上下载招标文件</w:t>
      </w:r>
    </w:p>
    <w:p>
      <w:pPr>
        <w:tabs>
          <w:tab w:val="left" w:pos="7095"/>
        </w:tabs>
        <w:spacing w:line="360" w:lineRule="auto"/>
        <w:ind w:firstLine="480" w:firstLineChars="200"/>
        <w:rPr>
          <w:rFonts w:hint="eastAsia" w:ascii="Times New Roman" w:hAnsi="宋体" w:cs="Times New Roman"/>
          <w:color w:val="auto"/>
          <w:sz w:val="24"/>
          <w:szCs w:val="24"/>
          <w:highlight w:val="none"/>
          <w:lang w:val="en-US" w:eastAsia="zh-CN"/>
        </w:rPr>
      </w:pPr>
      <w:r>
        <w:rPr>
          <w:rFonts w:hint="eastAsia" w:ascii="Times New Roman" w:hAnsi="宋体" w:cs="Times New Roman"/>
          <w:color w:val="auto"/>
          <w:sz w:val="24"/>
          <w:szCs w:val="24"/>
          <w:highlight w:val="none"/>
          <w:lang w:val="en-US" w:eastAsia="zh-CN"/>
        </w:rPr>
        <w:t>4.1投标人持CA数字认证证书，登录《全国公共资源交易平台（河南省·许昌市）》“系统用户注册”入口（http://ggzy.xuchang.gov.cn）进行免费注册登记（详见“常见问题解答-诚信库网上注册相关资料下载”）；</w:t>
      </w:r>
    </w:p>
    <w:p>
      <w:pPr>
        <w:tabs>
          <w:tab w:val="left" w:pos="7095"/>
        </w:tabs>
        <w:spacing w:line="360" w:lineRule="auto"/>
        <w:ind w:firstLine="480" w:firstLineChars="200"/>
        <w:rPr>
          <w:rFonts w:hint="eastAsia" w:ascii="Times New Roman" w:hAnsi="宋体" w:cs="Times New Roman"/>
          <w:color w:val="auto"/>
          <w:sz w:val="24"/>
          <w:szCs w:val="24"/>
          <w:highlight w:val="none"/>
          <w:lang w:val="en-US" w:eastAsia="zh-CN"/>
        </w:rPr>
      </w:pPr>
      <w:r>
        <w:rPr>
          <w:rFonts w:hint="eastAsia" w:ascii="Times New Roman" w:hAnsi="宋体" w:cs="Times New Roman"/>
          <w:color w:val="auto"/>
          <w:sz w:val="24"/>
          <w:szCs w:val="24"/>
          <w:highlight w:val="none"/>
          <w:lang w:val="en-US" w:eastAsia="zh-CN"/>
        </w:rPr>
        <w:t>4.2在投标截止时间前登录《全国公共资源交易平台（河南省·许昌市）》“投标人/供应商登录”入口（http://ggzy.xuchang.gov.cn）自行下载招标文件（详见“常见问题解答-交易系统操作手册”）。</w:t>
      </w:r>
    </w:p>
    <w:p>
      <w:pPr>
        <w:tabs>
          <w:tab w:val="left" w:pos="7095"/>
        </w:tabs>
        <w:spacing w:line="360" w:lineRule="auto"/>
        <w:ind w:firstLine="480" w:firstLineChars="200"/>
        <w:rPr>
          <w:rFonts w:hint="eastAsia" w:ascii="Times New Roman" w:hAnsi="宋体" w:cs="Times New Roman"/>
          <w:b/>
          <w:bCs/>
          <w:color w:val="auto"/>
          <w:sz w:val="24"/>
          <w:szCs w:val="24"/>
          <w:highlight w:val="none"/>
          <w:lang w:val="en-US" w:eastAsia="zh-CN"/>
        </w:rPr>
      </w:pPr>
      <w:r>
        <w:rPr>
          <w:rFonts w:hint="eastAsia" w:ascii="Times New Roman" w:hAnsi="宋体" w:cs="Times New Roman"/>
          <w:b/>
          <w:bCs/>
          <w:color w:val="auto"/>
          <w:sz w:val="24"/>
          <w:szCs w:val="24"/>
          <w:highlight w:val="none"/>
          <w:lang w:val="en-US" w:eastAsia="zh-CN"/>
        </w:rPr>
        <w:t>5、招标文件和施工图纸的获取</w:t>
      </w:r>
    </w:p>
    <w:p>
      <w:pPr>
        <w:tabs>
          <w:tab w:val="left" w:pos="7095"/>
        </w:tabs>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5.1招标文件和工程量清单的获取：投标人于投标文件递交截止时间前均可登录</w:t>
      </w:r>
      <w:r>
        <w:rPr>
          <w:rFonts w:hint="eastAsia"/>
          <w:color w:val="auto"/>
          <w:szCs w:val="24"/>
          <w:highlight w:val="none"/>
        </w:rPr>
        <w:t>《</w:t>
      </w:r>
      <w:r>
        <w:rPr>
          <w:rFonts w:hint="eastAsia" w:hAnsi="宋体"/>
          <w:color w:val="auto"/>
          <w:sz w:val="24"/>
          <w:szCs w:val="24"/>
          <w:highlight w:val="none"/>
        </w:rPr>
        <w:t>全国公共资源交易平台(河南省▪许昌市)</w:t>
      </w:r>
      <w:r>
        <w:rPr>
          <w:rFonts w:hint="eastAsia"/>
          <w:color w:val="auto"/>
          <w:szCs w:val="24"/>
          <w:highlight w:val="none"/>
        </w:rPr>
        <w:t>》</w:t>
      </w:r>
      <w:r>
        <w:rPr>
          <w:rFonts w:hint="eastAsia" w:hAnsi="宋体"/>
          <w:color w:val="auto"/>
          <w:sz w:val="24"/>
          <w:szCs w:val="24"/>
          <w:highlight w:val="none"/>
        </w:rPr>
        <w:t>（http://ggzy.xuchang.gov.cn），通过“投标人/供应商登录” 入口自行下载。</w:t>
      </w:r>
    </w:p>
    <w:p>
      <w:pPr>
        <w:tabs>
          <w:tab w:val="left" w:pos="7095"/>
        </w:tabs>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5.2施工图纸下载：按照招标文件中第二章投标人须知前附表第2.1项所给的网址自行下载。</w:t>
      </w:r>
    </w:p>
    <w:p>
      <w:pPr>
        <w:autoSpaceDE w:val="0"/>
        <w:autoSpaceDN w:val="0"/>
        <w:adjustRightInd w:val="0"/>
        <w:spacing w:line="360" w:lineRule="auto"/>
        <w:ind w:firstLine="480" w:firstLineChars="200"/>
        <w:jc w:val="left"/>
        <w:rPr>
          <w:rFonts w:hint="eastAsia" w:hAnsi="宋体" w:cs="宋体"/>
          <w:b/>
          <w:bCs/>
          <w:color w:val="auto"/>
          <w:sz w:val="24"/>
          <w:highlight w:val="none"/>
        </w:rPr>
      </w:pPr>
      <w:r>
        <w:rPr>
          <w:rFonts w:hint="eastAsia" w:hAnsi="宋体"/>
          <w:color w:val="auto"/>
          <w:sz w:val="24"/>
          <w:szCs w:val="24"/>
          <w:highlight w:val="none"/>
        </w:rPr>
        <w:t>5.3招标文件每套售价</w:t>
      </w:r>
      <w:r>
        <w:rPr>
          <w:rFonts w:hint="eastAsia" w:hAnsi="宋体"/>
          <w:color w:val="auto"/>
          <w:sz w:val="24"/>
          <w:szCs w:val="24"/>
          <w:highlight w:val="none"/>
          <w:u w:val="single"/>
        </w:rPr>
        <w:t>300</w:t>
      </w:r>
      <w:r>
        <w:rPr>
          <w:rFonts w:hint="eastAsia" w:hAnsi="宋体"/>
          <w:color w:val="auto"/>
          <w:sz w:val="24"/>
          <w:szCs w:val="24"/>
          <w:highlight w:val="none"/>
        </w:rPr>
        <w:t>元，于提交电子投标文件时缴纳给招标代理机构，售后不退</w:t>
      </w:r>
      <w:r>
        <w:rPr>
          <w:rFonts w:hint="eastAsia" w:hAnsi="宋体" w:cs="宋体"/>
          <w:color w:val="auto"/>
          <w:sz w:val="24"/>
          <w:highlight w:val="none"/>
        </w:rPr>
        <w:t>。</w:t>
      </w:r>
    </w:p>
    <w:p>
      <w:pPr>
        <w:autoSpaceDE w:val="0"/>
        <w:autoSpaceDN w:val="0"/>
        <w:adjustRightInd w:val="0"/>
        <w:spacing w:line="360" w:lineRule="auto"/>
        <w:ind w:firstLine="480" w:firstLineChars="200"/>
        <w:jc w:val="left"/>
        <w:rPr>
          <w:rFonts w:hint="eastAsia" w:hAnsi="宋体" w:cs="宋体"/>
          <w:b/>
          <w:bCs/>
          <w:color w:val="auto"/>
          <w:sz w:val="24"/>
          <w:highlight w:val="none"/>
        </w:rPr>
      </w:pPr>
      <w:r>
        <w:rPr>
          <w:rFonts w:hint="eastAsia" w:hAnsi="宋体" w:cs="宋体"/>
          <w:b/>
          <w:bCs/>
          <w:color w:val="auto"/>
          <w:sz w:val="24"/>
          <w:highlight w:val="none"/>
        </w:rPr>
        <w:t>6、投标文件的提交</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6.1全流程电子化交易项目，须提交电子介质存储的备份文件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份并分开单独密封。</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6.2电子投标文件的提交：电子投标文件应在投标文件提交截止时间（开标时间）之前成功提交至《全国公共资源交易平台(河南省▪许昌市)》</w:t>
      </w:r>
      <w:r>
        <w:rPr>
          <w:rFonts w:hint="eastAsia" w:ascii="宋体" w:hAnsi="宋体" w:cs="宋体"/>
          <w:color w:val="auto"/>
          <w:sz w:val="24"/>
          <w:szCs w:val="24"/>
          <w:highlight w:val="none"/>
        </w:rPr>
        <w:t>公共资源交易系统，同时提交</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份</w:t>
      </w:r>
      <w:r>
        <w:rPr>
          <w:rFonts w:hint="eastAsia" w:ascii="宋体" w:hAnsi="宋体" w:cs="宋体"/>
          <w:color w:val="auto"/>
          <w:sz w:val="24"/>
          <w:highlight w:val="none"/>
        </w:rPr>
        <w:t>使用电子介质存储的备份文件。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6.3投标文件提交的截止时间及开标时间：</w:t>
      </w: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时00分。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6.4</w:t>
      </w:r>
      <w:r>
        <w:rPr>
          <w:rFonts w:hint="eastAsia" w:ascii="宋体" w:hAnsi="宋体" w:cs="宋体"/>
          <w:color w:val="auto"/>
          <w:sz w:val="24"/>
          <w:szCs w:val="24"/>
          <w:highlight w:val="none"/>
        </w:rPr>
        <w:t>电子投标文件提交</w:t>
      </w:r>
      <w:r>
        <w:rPr>
          <w:rFonts w:hint="eastAsia" w:ascii="宋体" w:hAnsi="宋体" w:cs="宋体"/>
          <w:color w:val="auto"/>
          <w:sz w:val="24"/>
          <w:highlight w:val="none"/>
        </w:rPr>
        <w:t>地点：</w:t>
      </w:r>
      <w:r>
        <w:rPr>
          <w:rFonts w:hint="eastAsia" w:ascii="宋体" w:hAnsi="宋体" w:cs="宋体"/>
          <w:bCs/>
          <w:color w:val="auto"/>
          <w:sz w:val="24"/>
          <w:highlight w:val="none"/>
        </w:rPr>
        <w:t>襄城县公共资源交易中心（襄城县八七路东电子产业园12楼开标</w:t>
      </w:r>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rPr>
        <w:t>室）；</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6.5逾期送达的或者未送达指定地点的电子介质存储的备份文件，招标人不予受理。</w:t>
      </w:r>
    </w:p>
    <w:p>
      <w:pPr>
        <w:spacing w:line="360" w:lineRule="auto"/>
        <w:ind w:firstLine="480" w:firstLineChars="200"/>
        <w:rPr>
          <w:rFonts w:hint="eastAsia" w:hAnsi="宋体" w:cs="宋体"/>
          <w:b/>
          <w:color w:val="auto"/>
          <w:sz w:val="24"/>
          <w:szCs w:val="24"/>
          <w:highlight w:val="none"/>
        </w:rPr>
      </w:pPr>
      <w:r>
        <w:rPr>
          <w:rFonts w:hint="eastAsia" w:hAnsi="宋体" w:cs="宋体"/>
          <w:b/>
          <w:color w:val="auto"/>
          <w:sz w:val="24"/>
          <w:szCs w:val="24"/>
          <w:highlight w:val="none"/>
        </w:rPr>
        <w:t>7、发布公告的媒介</w:t>
      </w:r>
    </w:p>
    <w:p>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本公告同时在</w:t>
      </w:r>
      <w:r>
        <w:rPr>
          <w:rFonts w:hint="eastAsia" w:hAnsi="宋体" w:cs="宋体"/>
          <w:color w:val="auto"/>
          <w:sz w:val="24"/>
          <w:highlight w:val="none"/>
        </w:rPr>
        <w:t>《全国公共资源交易平台(河南省▪许昌市)》</w:t>
      </w:r>
      <w:r>
        <w:rPr>
          <w:rFonts w:hint="eastAsia" w:hAnsi="宋体" w:cs="宋体"/>
          <w:color w:val="auto"/>
          <w:sz w:val="24"/>
          <w:szCs w:val="24"/>
          <w:highlight w:val="none"/>
        </w:rPr>
        <w:t>、《河南省电子招标投标公共服务平台》上发布。</w:t>
      </w:r>
    </w:p>
    <w:p>
      <w:pPr>
        <w:widowControl/>
        <w:spacing w:line="360" w:lineRule="auto"/>
        <w:ind w:firstLine="480" w:firstLineChars="200"/>
        <w:rPr>
          <w:rFonts w:hint="eastAsia" w:hAnsi="宋体"/>
          <w:b/>
          <w:color w:val="auto"/>
          <w:sz w:val="24"/>
          <w:highlight w:val="none"/>
        </w:rPr>
      </w:pPr>
      <w:r>
        <w:rPr>
          <w:rFonts w:hint="eastAsia" w:hAnsi="宋体"/>
          <w:b/>
          <w:color w:val="auto"/>
          <w:sz w:val="24"/>
          <w:highlight w:val="none"/>
        </w:rPr>
        <w:t>8、联系方式</w:t>
      </w:r>
    </w:p>
    <w:p>
      <w:pPr>
        <w:widowControl/>
        <w:spacing w:line="360" w:lineRule="auto"/>
        <w:ind w:firstLine="480" w:firstLineChars="200"/>
        <w:jc w:val="left"/>
        <w:rPr>
          <w:rFonts w:hint="eastAsia" w:hAnsi="宋体"/>
          <w:color w:val="auto"/>
          <w:sz w:val="24"/>
          <w:highlight w:val="none"/>
        </w:rPr>
      </w:pPr>
      <w:r>
        <w:rPr>
          <w:rFonts w:hint="eastAsia" w:hAnsi="宋体"/>
          <w:color w:val="auto"/>
          <w:sz w:val="24"/>
          <w:highlight w:val="none"/>
        </w:rPr>
        <w:t xml:space="preserve">招 标 人：襄城县山头店镇人民政府      </w:t>
      </w:r>
    </w:p>
    <w:p>
      <w:pPr>
        <w:widowControl/>
        <w:spacing w:line="360" w:lineRule="auto"/>
        <w:ind w:firstLine="480" w:firstLineChars="200"/>
        <w:jc w:val="left"/>
        <w:rPr>
          <w:rFonts w:hAnsi="宋体"/>
          <w:color w:val="auto"/>
          <w:sz w:val="24"/>
          <w:highlight w:val="none"/>
          <w:u w:val="single"/>
        </w:rPr>
      </w:pPr>
      <w:r>
        <w:rPr>
          <w:rFonts w:hint="eastAsia" w:hAnsi="宋体"/>
          <w:color w:val="auto"/>
          <w:sz w:val="24"/>
          <w:highlight w:val="none"/>
        </w:rPr>
        <w:t>联系电话：13569931566</w:t>
      </w:r>
    </w:p>
    <w:p>
      <w:pPr>
        <w:widowControl/>
        <w:spacing w:line="360" w:lineRule="auto"/>
        <w:ind w:firstLine="480" w:firstLineChars="200"/>
        <w:jc w:val="left"/>
        <w:rPr>
          <w:rFonts w:hint="eastAsia" w:hAnsi="宋体"/>
          <w:color w:val="auto"/>
          <w:sz w:val="24"/>
          <w:highlight w:val="none"/>
        </w:rPr>
      </w:pPr>
      <w:r>
        <w:rPr>
          <w:rFonts w:hint="eastAsia" w:hAnsi="宋体"/>
          <w:color w:val="auto"/>
          <w:sz w:val="24"/>
          <w:highlight w:val="none"/>
        </w:rPr>
        <w:t>地    址：襄城县山头店镇</w:t>
      </w:r>
    </w:p>
    <w:p>
      <w:pPr>
        <w:widowControl/>
        <w:spacing w:line="360" w:lineRule="auto"/>
        <w:ind w:firstLine="480" w:firstLineChars="200"/>
        <w:jc w:val="left"/>
        <w:rPr>
          <w:rFonts w:hint="eastAsia" w:hAnsi="宋体"/>
          <w:color w:val="auto"/>
          <w:sz w:val="24"/>
          <w:highlight w:val="none"/>
        </w:rPr>
      </w:pPr>
      <w:r>
        <w:rPr>
          <w:rFonts w:hint="eastAsia" w:hAnsi="宋体"/>
          <w:color w:val="auto"/>
          <w:sz w:val="24"/>
          <w:highlight w:val="none"/>
        </w:rPr>
        <w:t>代理机构：河南慧霖工程管理服务有限公司</w:t>
      </w:r>
    </w:p>
    <w:p>
      <w:pPr>
        <w:widowControl/>
        <w:spacing w:line="360" w:lineRule="auto"/>
        <w:ind w:firstLine="480" w:firstLineChars="200"/>
        <w:jc w:val="left"/>
        <w:rPr>
          <w:rFonts w:hAnsi="宋体"/>
          <w:color w:val="auto"/>
          <w:sz w:val="24"/>
          <w:highlight w:val="none"/>
        </w:rPr>
      </w:pPr>
      <w:r>
        <w:rPr>
          <w:rFonts w:hint="eastAsia" w:hAnsi="宋体"/>
          <w:color w:val="auto"/>
          <w:sz w:val="24"/>
          <w:highlight w:val="none"/>
        </w:rPr>
        <w:t>联系电话：0375-6161678  15637583101</w:t>
      </w:r>
    </w:p>
    <w:p>
      <w:pPr>
        <w:widowControl/>
        <w:spacing w:line="360" w:lineRule="auto"/>
        <w:ind w:firstLine="480" w:firstLineChars="200"/>
        <w:jc w:val="left"/>
        <w:rPr>
          <w:rFonts w:hint="eastAsia" w:hAnsi="宋体"/>
          <w:color w:val="auto"/>
          <w:sz w:val="24"/>
          <w:highlight w:val="none"/>
        </w:rPr>
      </w:pPr>
      <w:r>
        <w:rPr>
          <w:rFonts w:hint="eastAsia" w:hAnsi="宋体"/>
          <w:color w:val="auto"/>
          <w:sz w:val="24"/>
          <w:highlight w:val="none"/>
        </w:rPr>
        <w:t>地址：平顶山新华区建设路西段云顶灯饰城内1号楼3楼1-5号</w:t>
      </w:r>
    </w:p>
    <w:p>
      <w:pPr>
        <w:spacing w:line="360" w:lineRule="auto"/>
        <w:ind w:firstLine="480" w:firstLineChars="200"/>
        <w:jc w:val="right"/>
        <w:rPr>
          <w:rFonts w:hint="eastAsia" w:hAnsi="宋体"/>
          <w:bCs/>
          <w:color w:val="auto"/>
          <w:sz w:val="24"/>
          <w:szCs w:val="24"/>
          <w:highlight w:val="none"/>
        </w:rPr>
      </w:pPr>
      <w:r>
        <w:rPr>
          <w:rFonts w:hint="eastAsia" w:hAnsi="宋体"/>
          <w:bCs/>
          <w:color w:val="auto"/>
          <w:sz w:val="24"/>
          <w:szCs w:val="24"/>
          <w:highlight w:val="none"/>
        </w:rPr>
        <w:t>2019年</w:t>
      </w:r>
      <w:r>
        <w:rPr>
          <w:rFonts w:hint="eastAsia" w:hAnsi="宋体"/>
          <w:bCs/>
          <w:color w:val="auto"/>
          <w:sz w:val="24"/>
          <w:szCs w:val="24"/>
          <w:highlight w:val="none"/>
          <w:lang w:val="en-US" w:eastAsia="zh-CN"/>
        </w:rPr>
        <w:t>12</w:t>
      </w:r>
      <w:r>
        <w:rPr>
          <w:rFonts w:hint="eastAsia" w:hAnsi="宋体"/>
          <w:bCs/>
          <w:color w:val="auto"/>
          <w:sz w:val="24"/>
          <w:szCs w:val="24"/>
          <w:highlight w:val="none"/>
        </w:rPr>
        <w:t>月</w:t>
      </w:r>
      <w:r>
        <w:rPr>
          <w:rFonts w:hint="eastAsia" w:hAnsi="宋体"/>
          <w:bCs/>
          <w:color w:val="auto"/>
          <w:sz w:val="24"/>
          <w:szCs w:val="24"/>
          <w:highlight w:val="none"/>
          <w:lang w:val="en-US" w:eastAsia="zh-CN"/>
        </w:rPr>
        <w:t>13</w:t>
      </w:r>
      <w:r>
        <w:rPr>
          <w:rFonts w:hint="eastAsia" w:hAnsi="宋体"/>
          <w:bCs/>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jc w:val="both"/>
        <w:textAlignment w:val="auto"/>
        <w:rPr>
          <w:rFonts w:hAnsi="宋体"/>
          <w:b/>
          <w:color w:val="auto"/>
          <w:sz w:val="28"/>
          <w:szCs w:val="28"/>
          <w:highlight w:val="none"/>
        </w:rPr>
      </w:pPr>
      <w:r>
        <w:rPr>
          <w:rFonts w:hint="eastAsia" w:hAnsi="宋体"/>
          <w:b/>
          <w:color w:val="auto"/>
          <w:sz w:val="28"/>
          <w:szCs w:val="28"/>
          <w:highlight w:val="none"/>
        </w:rPr>
        <w:t>温馨提示：</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Fonts w:hAnsi="宋体"/>
          <w:b/>
          <w:color w:val="auto"/>
          <w:sz w:val="28"/>
          <w:szCs w:val="28"/>
          <w:highlight w:val="none"/>
        </w:rPr>
      </w:pPr>
      <w:r>
        <w:rPr>
          <w:rFonts w:hint="eastAsia" w:ascii="宋体" w:hAnsi="宋体" w:cs="宋体"/>
          <w:b/>
          <w:color w:val="auto"/>
          <w:kern w:val="0"/>
          <w:sz w:val="28"/>
          <w:szCs w:val="28"/>
          <w:highlight w:val="none"/>
          <w:lang w:bidi="ar"/>
        </w:rPr>
        <w:t>本项目为全流程电子化交易项目</w:t>
      </w:r>
      <w:r>
        <w:rPr>
          <w:rFonts w:hint="eastAsia" w:hAnsi="宋体"/>
          <w:b/>
          <w:color w:val="auto"/>
          <w:sz w:val="28"/>
          <w:szCs w:val="28"/>
          <w:highlight w:val="none"/>
        </w:rPr>
        <w:t>，请认真阅读招标文件，并注意以下事项。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Ansi="宋体"/>
          <w:b/>
          <w:color w:val="auto"/>
          <w:sz w:val="24"/>
          <w:szCs w:val="24"/>
          <w:highlight w:val="none"/>
        </w:rPr>
      </w:pPr>
      <w:r>
        <w:rPr>
          <w:rFonts w:hint="eastAsia" w:hAnsi="宋体"/>
          <w:b/>
          <w:color w:val="auto"/>
          <w:sz w:val="24"/>
          <w:szCs w:val="24"/>
          <w:highlight w:val="none"/>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int="eastAsia" w:hAnsi="宋体"/>
          <w:b/>
          <w:color w:val="auto"/>
          <w:sz w:val="24"/>
          <w:szCs w:val="24"/>
          <w:highlight w:val="none"/>
        </w:rPr>
      </w:pPr>
      <w:r>
        <w:rPr>
          <w:rFonts w:hint="eastAsia" w:hAnsi="宋体"/>
          <w:b/>
          <w:color w:val="auto"/>
          <w:sz w:val="24"/>
          <w:szCs w:val="24"/>
          <w:highlight w:val="none"/>
        </w:rPr>
        <w:t>2</w:t>
      </w:r>
      <w:r>
        <w:rPr>
          <w:rFonts w:hAnsi="宋体"/>
          <w:b/>
          <w:color w:val="auto"/>
          <w:sz w:val="24"/>
          <w:szCs w:val="24"/>
          <w:highlight w:val="none"/>
        </w:rPr>
        <w:t>.</w:t>
      </w:r>
      <w:r>
        <w:rPr>
          <w:rFonts w:hint="eastAsia" w:hAnsi="宋体"/>
          <w:b/>
          <w:color w:val="auto"/>
          <w:sz w:val="24"/>
          <w:szCs w:val="24"/>
          <w:highlight w:val="none"/>
        </w:rPr>
        <w:t>电子文件下载、制作、提交期间和开标（电子投标文件的解密）环节，投标人须使用CA数字证书（证书须在有效期内）。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Ansi="宋体"/>
          <w:b/>
          <w:color w:val="auto"/>
          <w:sz w:val="24"/>
          <w:szCs w:val="24"/>
          <w:highlight w:val="none"/>
        </w:rPr>
      </w:pPr>
      <w:r>
        <w:rPr>
          <w:rFonts w:hint="eastAsia" w:hAnsi="宋体"/>
          <w:b/>
          <w:color w:val="auto"/>
          <w:sz w:val="24"/>
          <w:szCs w:val="24"/>
          <w:highlight w:val="none"/>
        </w:rPr>
        <w:t>3.电子投标文件的制作。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int="eastAsia"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.1 投标人登录《全国公共资源交易平台（河南省·许昌市）》公共资源交易系统（http://221.14.6.70:8088/ggzy/）下载“许昌投标文件制作系统SEARUN V1.1”，按招标文件要求制作电子投标文件。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Ansi="宋体"/>
          <w:color w:val="auto"/>
          <w:sz w:val="24"/>
          <w:szCs w:val="24"/>
          <w:highlight w:val="none"/>
        </w:rPr>
      </w:pPr>
      <w:r>
        <w:rPr>
          <w:rFonts w:hint="eastAsia" w:hAnsi="宋体"/>
          <w:color w:val="auto"/>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left="105" w:leftChars="50" w:firstLine="480" w:firstLineChars="200"/>
        <w:contextualSpacing/>
        <w:textAlignment w:val="auto"/>
        <w:rPr>
          <w:rFonts w:hint="eastAsia"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 xml:space="preserve"> 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left="105" w:leftChars="50" w:firstLine="480" w:firstLineChars="200"/>
        <w:contextualSpacing/>
        <w:textAlignment w:val="auto"/>
        <w:rPr>
          <w:rFonts w:hint="eastAsia" w:hAnsi="宋体"/>
          <w:color w:val="auto"/>
          <w:sz w:val="24"/>
          <w:szCs w:val="24"/>
          <w:highlight w:val="none"/>
        </w:rPr>
      </w:pPr>
      <w:r>
        <w:rPr>
          <w:rFonts w:hAnsi="宋体"/>
          <w:color w:val="auto"/>
          <w:sz w:val="24"/>
          <w:szCs w:val="24"/>
          <w:highlight w:val="none"/>
        </w:rPr>
        <w:t>3.3</w:t>
      </w:r>
      <w:r>
        <w:rPr>
          <w:rFonts w:hint="eastAsia" w:hAnsi="宋体"/>
          <w:color w:val="auto"/>
          <w:sz w:val="24"/>
          <w:szCs w:val="24"/>
          <w:highlight w:val="none"/>
        </w:rPr>
        <w:t>投标人对同一项目多个标段进行投标的，应分别下载所投标段的招标文件，按标段制作电子投标文件，并</w:t>
      </w:r>
      <w:r>
        <w:rPr>
          <w:rFonts w:hAnsi="宋体"/>
          <w:color w:val="auto"/>
          <w:sz w:val="24"/>
          <w:szCs w:val="24"/>
          <w:highlight w:val="none"/>
        </w:rPr>
        <w:t>按招标文件要求在相应位置加盖</w:t>
      </w:r>
      <w:r>
        <w:rPr>
          <w:rFonts w:hint="eastAsia" w:hAnsi="宋体"/>
          <w:color w:val="auto"/>
          <w:sz w:val="24"/>
          <w:szCs w:val="24"/>
          <w:highlight w:val="none"/>
        </w:rPr>
        <w:t>投标人</w:t>
      </w:r>
      <w:r>
        <w:rPr>
          <w:rFonts w:hAnsi="宋体"/>
          <w:color w:val="auto"/>
          <w:sz w:val="24"/>
          <w:szCs w:val="24"/>
          <w:highlight w:val="none"/>
        </w:rPr>
        <w:t>电子印章</w:t>
      </w:r>
      <w:r>
        <w:rPr>
          <w:rFonts w:hint="eastAsia" w:hAnsi="宋体"/>
          <w:color w:val="auto"/>
          <w:sz w:val="24"/>
          <w:szCs w:val="24"/>
          <w:highlight w:val="none"/>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left="105" w:leftChars="50" w:firstLine="480" w:firstLineChars="200"/>
        <w:contextualSpacing/>
        <w:textAlignment w:val="auto"/>
        <w:rPr>
          <w:rFonts w:hAnsi="宋体"/>
          <w:color w:val="auto"/>
          <w:sz w:val="24"/>
          <w:szCs w:val="24"/>
          <w:highlight w:val="none"/>
        </w:rPr>
      </w:pPr>
      <w:r>
        <w:rPr>
          <w:rFonts w:hint="eastAsia" w:hAnsi="宋体"/>
          <w:b/>
          <w:color w:val="auto"/>
          <w:sz w:val="24"/>
          <w:szCs w:val="24"/>
          <w:highlight w:val="none"/>
        </w:rPr>
        <w:t>一个标段对应生成一个文件夹（xxxx项目xx标段）, 其中包含2个文件和1个文件夹。</w:t>
      </w:r>
      <w:r>
        <w:rPr>
          <w:rFonts w:hint="eastAsia" w:hAnsi="宋体"/>
          <w:color w:val="auto"/>
          <w:sz w:val="24"/>
          <w:szCs w:val="24"/>
          <w:highlight w:val="none"/>
        </w:rPr>
        <w:t>后缀名为“</w:t>
      </w:r>
      <w:r>
        <w:rPr>
          <w:rFonts w:hAnsi="宋体"/>
          <w:color w:val="auto"/>
          <w:sz w:val="24"/>
          <w:szCs w:val="24"/>
          <w:highlight w:val="none"/>
        </w:rPr>
        <w:t>.file</w:t>
      </w:r>
      <w:r>
        <w:rPr>
          <w:rFonts w:hint="eastAsia" w:hAnsi="宋体"/>
          <w:color w:val="auto"/>
          <w:sz w:val="24"/>
          <w:szCs w:val="24"/>
          <w:highlight w:val="none"/>
        </w:rPr>
        <w:t>”的文件用于电子投标使用，后缀名为“.PDF”的文件、“备份文件夹”使用电子介质存储，供开标现场备用。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4</w:t>
      </w:r>
      <w:r>
        <w:rPr>
          <w:rFonts w:hint="eastAsia" w:hAnsi="宋体"/>
          <w:color w:val="auto"/>
          <w:sz w:val="24"/>
          <w:szCs w:val="24"/>
          <w:highlight w:val="none"/>
        </w:rPr>
        <w:t>.1电子投标文件应在招标文件规定的投标文件提交截止时间（开标时间）之前成功提交至《全国公共资源交易平台（河南省·许昌市）》公共资源交易系统（http://ggzy.xuchang.gov.cn）。</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Ansi="宋体"/>
          <w:color w:val="auto"/>
          <w:sz w:val="24"/>
          <w:szCs w:val="24"/>
          <w:highlight w:val="none"/>
        </w:rPr>
      </w:pPr>
      <w:r>
        <w:rPr>
          <w:rFonts w:hint="eastAsia" w:hAnsi="宋体"/>
          <w:color w:val="auto"/>
          <w:sz w:val="24"/>
          <w:szCs w:val="24"/>
          <w:highlight w:val="none"/>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int="eastAsia" w:hAnsi="宋体"/>
          <w:b/>
          <w:color w:val="auto"/>
          <w:sz w:val="24"/>
          <w:szCs w:val="24"/>
          <w:highlight w:val="none"/>
        </w:rPr>
      </w:pPr>
      <w:r>
        <w:rPr>
          <w:rFonts w:hAnsi="宋体"/>
          <w:b/>
          <w:color w:val="auto"/>
          <w:sz w:val="24"/>
          <w:szCs w:val="24"/>
          <w:highlight w:val="none"/>
        </w:rPr>
        <w:t>5</w:t>
      </w:r>
      <w:r>
        <w:rPr>
          <w:rFonts w:hint="eastAsia" w:hAnsi="宋体"/>
          <w:b/>
          <w:color w:val="auto"/>
          <w:sz w:val="24"/>
          <w:szCs w:val="24"/>
          <w:highlight w:val="none"/>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int="eastAsia" w:hAnsi="宋体"/>
          <w:color w:val="auto"/>
          <w:sz w:val="24"/>
          <w:szCs w:val="24"/>
          <w:highlight w:val="none"/>
        </w:rPr>
      </w:pPr>
      <w:r>
        <w:rPr>
          <w:rFonts w:hint="eastAsia" w:hAnsi="宋体"/>
          <w:color w:val="auto"/>
          <w:sz w:val="24"/>
          <w:szCs w:val="24"/>
          <w:highlight w:val="none"/>
        </w:rPr>
        <w:t>5.1采用全流程电子化交易评标时，评标委员会以电子投标文件为依据评标。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int="eastAsia" w:hAnsi="宋体"/>
          <w:color w:val="auto"/>
          <w:sz w:val="24"/>
          <w:szCs w:val="24"/>
          <w:highlight w:val="none"/>
        </w:rPr>
      </w:pPr>
      <w:r>
        <w:rPr>
          <w:rFonts w:hint="eastAsia" w:hAnsi="宋体"/>
          <w:color w:val="auto"/>
          <w:sz w:val="24"/>
          <w:szCs w:val="24"/>
          <w:highlight w:val="none"/>
        </w:rPr>
        <w:t>5.2全流程电子化交易系统如因系统异常情况无法完成，将以人工方式进行。评标委员会以投标人提供的</w:t>
      </w:r>
      <w:r>
        <w:rPr>
          <w:rFonts w:hint="eastAsia" w:hAnsi="宋体" w:cs="宋体"/>
          <w:color w:val="auto"/>
          <w:sz w:val="24"/>
          <w:highlight w:val="none"/>
        </w:rPr>
        <w:t>电子介质存储的备份文件</w:t>
      </w:r>
      <w:r>
        <w:rPr>
          <w:rFonts w:hint="eastAsia" w:hAnsi="宋体"/>
          <w:color w:val="auto"/>
          <w:sz w:val="24"/>
          <w:szCs w:val="24"/>
          <w:highlight w:val="none"/>
        </w:rPr>
        <w:t>为依据评标。</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80" w:firstLineChars="200"/>
        <w:contextualSpacing/>
        <w:textAlignment w:val="auto"/>
        <w:rPr>
          <w:rFonts w:hint="eastAsia" w:hAnsi="宋体"/>
          <w:color w:val="auto"/>
          <w:sz w:val="24"/>
          <w:szCs w:val="24"/>
          <w:highlight w:val="none"/>
        </w:rPr>
      </w:pPr>
      <w:r>
        <w:rPr>
          <w:rFonts w:hint="eastAsia" w:hAnsi="宋体"/>
          <w:color w:val="auto"/>
          <w:sz w:val="24"/>
          <w:szCs w:val="24"/>
          <w:highlight w:val="none"/>
        </w:rPr>
        <w:t xml:space="preserve"> 招标人及其代理机构需留存电子档案时，可在质疑期满后使用CA锁从交易平台自行下载。</w:t>
      </w:r>
    </w:p>
    <w:p>
      <w:pPr>
        <w:pStyle w:val="6"/>
        <w:rPr>
          <w:rFonts w:cs="黑体"/>
          <w:b w:val="0"/>
          <w:color w:val="auto"/>
          <w:sz w:val="36"/>
          <w:szCs w:val="36"/>
          <w:highlight w:val="none"/>
        </w:rPr>
      </w:pPr>
      <w:bookmarkStart w:id="3" w:name="_Toc1722"/>
      <w:bookmarkStart w:id="4" w:name="_Toc15375"/>
      <w:r>
        <w:rPr>
          <w:rFonts w:hint="eastAsia"/>
          <w:color w:val="auto"/>
          <w:highlight w:val="none"/>
        </w:rPr>
        <w:t xml:space="preserve">第二章  </w:t>
      </w:r>
      <w:bookmarkEnd w:id="0"/>
      <w:r>
        <w:rPr>
          <w:rFonts w:hint="eastAsia"/>
          <w:color w:val="auto"/>
          <w:highlight w:val="none"/>
        </w:rPr>
        <w:t>投标人须知</w:t>
      </w:r>
      <w:bookmarkEnd w:id="3"/>
      <w:bookmarkEnd w:id="4"/>
    </w:p>
    <w:p>
      <w:pPr>
        <w:autoSpaceDE w:val="0"/>
        <w:autoSpaceDN w:val="0"/>
        <w:adjustRightInd w:val="0"/>
        <w:ind w:firstLine="560" w:firstLineChars="200"/>
        <w:rPr>
          <w:rFonts w:hAnsi="宋体" w:cs="黑体"/>
          <w:b/>
          <w:color w:val="auto"/>
          <w:sz w:val="28"/>
          <w:szCs w:val="28"/>
          <w:highlight w:val="none"/>
        </w:rPr>
      </w:pPr>
      <w:bookmarkStart w:id="5" w:name="_Toc283559940"/>
      <w:r>
        <w:rPr>
          <w:rFonts w:hint="eastAsia" w:hAnsi="宋体" w:cs="黑体"/>
          <w:b/>
          <w:color w:val="auto"/>
          <w:sz w:val="28"/>
          <w:szCs w:val="28"/>
          <w:highlight w:val="none"/>
        </w:rPr>
        <w:t>投标人须知前附表</w:t>
      </w:r>
      <w:bookmarkEnd w:id="5"/>
    </w:p>
    <w:tbl>
      <w:tblPr>
        <w:tblStyle w:val="14"/>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
        <w:gridCol w:w="67"/>
        <w:gridCol w:w="1571"/>
        <w:gridCol w:w="792"/>
        <w:gridCol w:w="74"/>
        <w:gridCol w:w="1393"/>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 款 名 称</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人：</w:t>
            </w:r>
            <w:r>
              <w:rPr>
                <w:rFonts w:hint="eastAsia" w:ascii="宋体" w:hAnsi="宋体" w:eastAsia="宋体" w:cs="宋体"/>
                <w:color w:val="auto"/>
                <w:sz w:val="24"/>
                <w:szCs w:val="24"/>
                <w:highlight w:val="none"/>
                <w:lang w:eastAsia="zh-CN"/>
              </w:rPr>
              <w:t>襄城县山头店镇人民政府 </w:t>
            </w:r>
            <w:r>
              <w:rPr>
                <w:rFonts w:hint="eastAsia" w:ascii="宋体" w:hAnsi="宋体" w:eastAsia="宋体" w:cs="宋体"/>
                <w:color w:val="auto"/>
                <w:sz w:val="24"/>
                <w:szCs w:val="24"/>
                <w:highlight w:val="none"/>
              </w:rPr>
              <w:t xml:space="preserve">        </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hAnsi="宋体"/>
                <w:color w:val="auto"/>
                <w:sz w:val="24"/>
                <w:highlight w:val="none"/>
                <w:lang w:val="en-US" w:eastAsia="zh-CN"/>
              </w:rPr>
              <w:t>13569931566</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hAnsi="宋体"/>
                <w:color w:val="auto"/>
                <w:sz w:val="24"/>
                <w:highlight w:val="none"/>
                <w:lang w:val="en-US" w:eastAsia="zh-CN"/>
              </w:rPr>
              <w:t>襄城县山头店镇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代理机构：河南慧霖工程管理服务有限公司</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联系电话：0375-6161678  15637583101</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地址：平顶山新华区建设路西段云顶灯饰城内1号楼3楼1-5号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rPr>
              <w:t xml:space="preserve">襄城县山头店镇国省干道提升工程和南园区环境综合整治工程等项目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自筹</w:t>
            </w:r>
            <w:r>
              <w:rPr>
                <w:rFonts w:hint="eastAsia" w:ascii="宋体" w:hAnsi="宋体" w:eastAsia="宋体" w:cs="宋体"/>
                <w:color w:val="auto"/>
                <w:sz w:val="24"/>
                <w:szCs w:val="24"/>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出资比例</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780" w:type="dxa"/>
            <w:gridSpan w:val="3"/>
            <w:tcBorders>
              <w:bottom w:val="single" w:color="auto" w:sz="4" w:space="0"/>
            </w:tcBorders>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第1-2标段：招标文件、工程量清单、答疑纪要和补充文件（如有）范围内的所有建设内容。</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第3-5标段：招标文件、施工图纸、工程量清单、答疑纪要和补充文件（如有）范围内的所有建设内容。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437" w:type="dxa"/>
            <w:gridSpan w:val="4"/>
            <w:tcBorders>
              <w:right w:val="single" w:color="auto" w:sz="4" w:space="0"/>
            </w:tcBorders>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p>
        </w:tc>
        <w:tc>
          <w:tcPr>
            <w:tcW w:w="6780"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第1-5标段：40</w:t>
            </w:r>
            <w:r>
              <w:rPr>
                <w:rFonts w:hint="eastAsia" w:ascii="宋体" w:hAnsi="宋体" w:eastAsia="宋体" w:cs="宋体"/>
                <w:color w:val="auto"/>
                <w:sz w:val="24"/>
                <w:szCs w:val="24"/>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780" w:type="dxa"/>
            <w:gridSpan w:val="3"/>
            <w:tcBorders>
              <w:top w:val="single" w:color="auto" w:sz="4" w:space="0"/>
            </w:tcBorders>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w:t>
            </w:r>
          </w:p>
        </w:tc>
        <w:tc>
          <w:tcPr>
            <w:tcW w:w="6780" w:type="dxa"/>
            <w:gridSpan w:val="3"/>
            <w:noWrap w:val="0"/>
            <w:vAlign w:val="center"/>
          </w:tcPr>
          <w:p>
            <w:pPr>
              <w:spacing w:line="360" w:lineRule="auto"/>
              <w:outlineLvl w:val="0"/>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1、4</w:t>
            </w:r>
            <w:r>
              <w:rPr>
                <w:rFonts w:hint="eastAsia"/>
                <w:b/>
                <w:bCs/>
                <w:color w:val="auto"/>
                <w:sz w:val="24"/>
                <w:szCs w:val="24"/>
                <w:highlight w:val="none"/>
              </w:rPr>
              <w:t>标段：</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1投标人须具有独立的法人资格，具有合格有效的营业执照；</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2投标人须具备建设行政主管部门颁发</w:t>
            </w:r>
            <w:r>
              <w:rPr>
                <w:rFonts w:hint="eastAsia" w:hAnsi="宋体"/>
                <w:bCs/>
                <w:color w:val="auto"/>
                <w:sz w:val="24"/>
                <w:szCs w:val="24"/>
                <w:highlight w:val="none"/>
                <w:lang w:eastAsia="zh-CN"/>
              </w:rPr>
              <w:t>的建筑装修装饰工程专业承包二级及</w:t>
            </w:r>
            <w:r>
              <w:rPr>
                <w:rFonts w:hint="eastAsia" w:hAnsi="宋体"/>
                <w:bCs/>
                <w:color w:val="auto"/>
                <w:sz w:val="24"/>
                <w:szCs w:val="24"/>
                <w:highlight w:val="none"/>
              </w:rPr>
              <w:t>以上资质，且具有有效的安全生产许可证，并在人员、设备、资金等方面具有相应的施工能力；</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3拟派项目经理须具有</w:t>
            </w:r>
            <w:r>
              <w:rPr>
                <w:rFonts w:hint="eastAsia" w:hAnsi="宋体"/>
                <w:bCs/>
                <w:color w:val="auto"/>
                <w:sz w:val="24"/>
                <w:szCs w:val="24"/>
                <w:highlight w:val="none"/>
                <w:lang w:eastAsia="zh-CN"/>
              </w:rPr>
              <w:t>建筑工程专业贰级</w:t>
            </w:r>
            <w:r>
              <w:rPr>
                <w:rFonts w:hint="eastAsia" w:hAnsi="宋体"/>
                <w:bCs/>
                <w:color w:val="auto"/>
                <w:sz w:val="24"/>
                <w:szCs w:val="24"/>
                <w:highlight w:val="none"/>
              </w:rPr>
              <w:t>及以上注册建造师</w:t>
            </w:r>
            <w:r>
              <w:rPr>
                <w:rFonts w:hint="eastAsia" w:hAnsi="宋体"/>
                <w:bCs/>
                <w:color w:val="auto"/>
                <w:sz w:val="24"/>
                <w:szCs w:val="24"/>
                <w:highlight w:val="none"/>
                <w:lang w:eastAsia="zh-CN"/>
              </w:rPr>
              <w:t>及</w:t>
            </w:r>
            <w:r>
              <w:rPr>
                <w:rFonts w:hint="eastAsia" w:hAnsi="宋体"/>
                <w:bCs/>
                <w:color w:val="auto"/>
                <w:sz w:val="24"/>
                <w:szCs w:val="24"/>
                <w:highlight w:val="none"/>
              </w:rPr>
              <w:t>以上注册建造师资格证书（不含临时）</w:t>
            </w:r>
            <w:r>
              <w:rPr>
                <w:rFonts w:hint="eastAsia" w:hAnsi="宋体"/>
                <w:bCs/>
                <w:color w:val="auto"/>
                <w:sz w:val="24"/>
                <w:szCs w:val="24"/>
                <w:highlight w:val="none"/>
                <w:lang w:eastAsia="zh-CN"/>
              </w:rPr>
              <w:t>，并具有有效的</w:t>
            </w:r>
            <w:r>
              <w:rPr>
                <w:rFonts w:hint="eastAsia" w:hAnsi="宋体"/>
                <w:bCs/>
                <w:color w:val="auto"/>
                <w:sz w:val="24"/>
                <w:szCs w:val="24"/>
                <w:highlight w:val="none"/>
              </w:rPr>
              <w:t>安全生产考核合格证书，且未担任其他正在施工建设工程的项目经理（承诺书由法定代表人及项目经理签名并加盖单位公章）；</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4拟派技术负责人须具有相关专业中级及以上职称；</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6投标人须提供许昌公共资源交易信用管理平台投标单位诚信承诺书网页截图；</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7本项目不接受联合体投标；</w:t>
            </w:r>
          </w:p>
          <w:p>
            <w:pPr>
              <w:spacing w:line="460" w:lineRule="exact"/>
              <w:outlineLvl w:val="0"/>
              <w:rPr>
                <w:rFonts w:hint="eastAsia"/>
                <w:color w:val="auto"/>
                <w:highlight w:val="none"/>
              </w:rPr>
            </w:pPr>
            <w:r>
              <w:rPr>
                <w:rFonts w:hint="eastAsia" w:hAnsi="宋体"/>
                <w:bCs/>
                <w:color w:val="auto"/>
                <w:sz w:val="24"/>
                <w:szCs w:val="24"/>
                <w:highlight w:val="none"/>
              </w:rPr>
              <w:t>8本次招标实行资格后审；</w:t>
            </w:r>
          </w:p>
          <w:p>
            <w:pPr>
              <w:spacing w:line="360" w:lineRule="auto"/>
              <w:outlineLvl w:val="0"/>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2</w:t>
            </w:r>
            <w:r>
              <w:rPr>
                <w:rFonts w:hint="eastAsia"/>
                <w:b/>
                <w:bCs/>
                <w:color w:val="auto"/>
                <w:sz w:val="24"/>
                <w:szCs w:val="24"/>
                <w:highlight w:val="none"/>
              </w:rPr>
              <w:t>标段：</w:t>
            </w:r>
          </w:p>
          <w:p>
            <w:pPr>
              <w:spacing w:line="460" w:lineRule="exact"/>
              <w:outlineLvl w:val="0"/>
              <w:rPr>
                <w:rFonts w:hint="eastAsia" w:ascii="Times New Roman" w:hAnsi="宋体" w:cs="Times New Roman"/>
                <w:bCs/>
                <w:color w:val="auto"/>
                <w:sz w:val="24"/>
                <w:szCs w:val="24"/>
                <w:highlight w:val="none"/>
              </w:rPr>
            </w:pPr>
            <w:r>
              <w:rPr>
                <w:rFonts w:hint="eastAsia" w:ascii="Times New Roman" w:hAnsi="宋体" w:cs="Times New Roman"/>
                <w:bCs/>
                <w:color w:val="auto"/>
                <w:sz w:val="24"/>
                <w:szCs w:val="24"/>
                <w:highlight w:val="none"/>
              </w:rPr>
              <w:t>1投标人须具有独立的法人资格，具有合格有效的营业执照</w:t>
            </w:r>
            <w:r>
              <w:rPr>
                <w:rFonts w:hint="eastAsia" w:ascii="Times New Roman" w:hAnsi="宋体" w:cs="Times New Roman"/>
                <w:bCs/>
                <w:color w:val="auto"/>
                <w:sz w:val="24"/>
                <w:szCs w:val="24"/>
                <w:highlight w:val="none"/>
                <w:lang w:eastAsia="zh-CN"/>
              </w:rPr>
              <w:t>（经营范围应包含园林绿化）</w:t>
            </w:r>
            <w:r>
              <w:rPr>
                <w:rFonts w:hint="eastAsia" w:ascii="Times New Roman" w:hAnsi="宋体" w:cs="Times New Roman"/>
                <w:bCs/>
                <w:color w:val="auto"/>
                <w:sz w:val="24"/>
                <w:szCs w:val="24"/>
                <w:highlight w:val="none"/>
              </w:rPr>
              <w:t>；</w:t>
            </w:r>
          </w:p>
          <w:p>
            <w:pPr>
              <w:spacing w:line="460" w:lineRule="exact"/>
              <w:outlineLvl w:val="0"/>
              <w:rPr>
                <w:rFonts w:hint="eastAsia" w:ascii="Times New Roman" w:hAnsi="宋体" w:cs="Times New Roman"/>
                <w:bCs/>
                <w:color w:val="auto"/>
                <w:sz w:val="24"/>
                <w:szCs w:val="24"/>
                <w:highlight w:val="none"/>
              </w:rPr>
            </w:pPr>
            <w:r>
              <w:rPr>
                <w:rFonts w:hint="eastAsia" w:ascii="Times New Roman" w:hAnsi="宋体" w:cs="Times New Roman"/>
                <w:bCs/>
                <w:color w:val="auto"/>
                <w:sz w:val="24"/>
                <w:szCs w:val="24"/>
                <w:highlight w:val="none"/>
                <w:lang w:val="en-US" w:eastAsia="zh-CN"/>
              </w:rPr>
              <w:t>2</w:t>
            </w:r>
            <w:r>
              <w:rPr>
                <w:rFonts w:hint="eastAsia" w:ascii="Times New Roman" w:hAnsi="宋体" w:cs="Times New Roman"/>
                <w:bCs/>
                <w:color w:val="auto"/>
                <w:sz w:val="24"/>
                <w:szCs w:val="24"/>
                <w:highlight w:val="none"/>
              </w:rPr>
              <w:t>拟派项目经理须具有</w:t>
            </w:r>
            <w:r>
              <w:rPr>
                <w:rFonts w:hint="eastAsia" w:hAnsi="宋体" w:cs="Times New Roman"/>
                <w:bCs/>
                <w:color w:val="auto"/>
                <w:sz w:val="24"/>
                <w:szCs w:val="24"/>
                <w:highlight w:val="none"/>
                <w:lang w:val="en-US" w:eastAsia="zh-CN"/>
              </w:rPr>
              <w:t>相关</w:t>
            </w:r>
            <w:r>
              <w:rPr>
                <w:rFonts w:hint="eastAsia" w:ascii="Times New Roman" w:hAnsi="宋体" w:cs="Times New Roman"/>
                <w:bCs/>
                <w:color w:val="auto"/>
                <w:sz w:val="24"/>
                <w:szCs w:val="24"/>
                <w:highlight w:val="none"/>
                <w:lang w:eastAsia="zh-CN"/>
              </w:rPr>
              <w:t>专业</w:t>
            </w:r>
            <w:r>
              <w:rPr>
                <w:rFonts w:hint="eastAsia" w:ascii="Times New Roman" w:hAnsi="宋体" w:cs="Times New Roman"/>
                <w:bCs/>
                <w:color w:val="auto"/>
                <w:sz w:val="24"/>
                <w:szCs w:val="24"/>
                <w:highlight w:val="none"/>
              </w:rPr>
              <w:t>贰级</w:t>
            </w:r>
            <w:r>
              <w:rPr>
                <w:rFonts w:hint="eastAsia" w:ascii="Times New Roman" w:hAnsi="宋体" w:cs="Times New Roman"/>
                <w:bCs/>
                <w:color w:val="auto"/>
                <w:sz w:val="24"/>
                <w:szCs w:val="24"/>
                <w:highlight w:val="none"/>
                <w:lang w:eastAsia="zh-CN"/>
              </w:rPr>
              <w:t>及</w:t>
            </w:r>
            <w:r>
              <w:rPr>
                <w:rFonts w:hint="eastAsia" w:ascii="Times New Roman" w:hAnsi="宋体" w:cs="Times New Roman"/>
                <w:bCs/>
                <w:color w:val="auto"/>
                <w:sz w:val="24"/>
                <w:szCs w:val="24"/>
                <w:highlight w:val="none"/>
              </w:rPr>
              <w:t>以上注册建造师资格证书（不含临时）</w:t>
            </w:r>
            <w:r>
              <w:rPr>
                <w:rFonts w:hint="eastAsia" w:ascii="Times New Roman" w:hAnsi="宋体" w:cs="Times New Roman"/>
                <w:bCs/>
                <w:color w:val="auto"/>
                <w:sz w:val="24"/>
                <w:szCs w:val="24"/>
                <w:highlight w:val="none"/>
                <w:lang w:eastAsia="zh-CN"/>
              </w:rPr>
              <w:t>，并具有有效的</w:t>
            </w:r>
            <w:r>
              <w:rPr>
                <w:rFonts w:hint="eastAsia" w:ascii="Times New Roman" w:hAnsi="宋体" w:cs="Times New Roman"/>
                <w:bCs/>
                <w:color w:val="auto"/>
                <w:sz w:val="24"/>
                <w:szCs w:val="24"/>
                <w:highlight w:val="none"/>
              </w:rPr>
              <w:t>安全生产考核合格证书，且未担任其他正在施工建设工程的项目经理（承诺书由法定代表人及项目经理签名并加盖单位公章）；</w:t>
            </w:r>
          </w:p>
          <w:p>
            <w:pPr>
              <w:spacing w:line="460" w:lineRule="exact"/>
              <w:outlineLvl w:val="0"/>
              <w:rPr>
                <w:rFonts w:hint="eastAsia" w:ascii="Times New Roman" w:hAnsi="宋体" w:cs="Times New Roman"/>
                <w:bCs/>
                <w:color w:val="auto"/>
                <w:sz w:val="24"/>
                <w:szCs w:val="24"/>
                <w:highlight w:val="none"/>
              </w:rPr>
            </w:pPr>
            <w:r>
              <w:rPr>
                <w:rFonts w:hint="eastAsia" w:ascii="Times New Roman" w:hAnsi="宋体" w:cs="Times New Roman"/>
                <w:bCs/>
                <w:color w:val="auto"/>
                <w:sz w:val="24"/>
                <w:szCs w:val="24"/>
                <w:highlight w:val="none"/>
                <w:lang w:val="en-US" w:eastAsia="zh-CN"/>
              </w:rPr>
              <w:t>3</w:t>
            </w:r>
            <w:r>
              <w:rPr>
                <w:rFonts w:hint="eastAsia" w:ascii="Times New Roman" w:hAnsi="宋体" w:cs="Times New Roman"/>
                <w:bCs/>
                <w:color w:val="auto"/>
                <w:sz w:val="24"/>
                <w:szCs w:val="24"/>
                <w:highlight w:val="none"/>
              </w:rPr>
              <w:t>拟派技术负责人须具有相关专业中级及以上职称；</w:t>
            </w:r>
          </w:p>
          <w:p>
            <w:pPr>
              <w:spacing w:line="460" w:lineRule="exact"/>
              <w:outlineLvl w:val="0"/>
              <w:rPr>
                <w:rFonts w:hint="eastAsia" w:ascii="Times New Roman" w:hAnsi="宋体" w:cs="Times New Roman"/>
                <w:bCs/>
                <w:color w:val="auto"/>
                <w:sz w:val="24"/>
                <w:szCs w:val="24"/>
                <w:highlight w:val="none"/>
              </w:rPr>
            </w:pPr>
            <w:r>
              <w:rPr>
                <w:rFonts w:hint="eastAsia" w:ascii="Times New Roman" w:hAnsi="宋体" w:cs="Times New Roman"/>
                <w:bCs/>
                <w:color w:val="auto"/>
                <w:sz w:val="24"/>
                <w:szCs w:val="24"/>
                <w:highlight w:val="none"/>
                <w:lang w:val="en-US" w:eastAsia="zh-CN"/>
              </w:rPr>
              <w:t>4</w:t>
            </w:r>
            <w:r>
              <w:rPr>
                <w:rFonts w:hint="eastAsia" w:ascii="Times New Roman" w:hAnsi="宋体" w:cs="Times New Roman"/>
                <w:bCs/>
                <w:color w:val="auto"/>
                <w:sz w:val="24"/>
                <w:szCs w:val="24"/>
                <w:highlight w:val="none"/>
              </w:rPr>
              <w:t>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outlineLvl w:val="0"/>
              <w:rPr>
                <w:rFonts w:hint="eastAsia" w:ascii="Times New Roman" w:hAnsi="宋体" w:cs="Times New Roman"/>
                <w:bCs/>
                <w:color w:val="auto"/>
                <w:sz w:val="24"/>
                <w:szCs w:val="24"/>
                <w:highlight w:val="none"/>
              </w:rPr>
            </w:pPr>
            <w:r>
              <w:rPr>
                <w:rFonts w:hint="eastAsia" w:ascii="Times New Roman" w:hAnsi="宋体" w:cs="Times New Roman"/>
                <w:bCs/>
                <w:color w:val="auto"/>
                <w:sz w:val="24"/>
                <w:szCs w:val="24"/>
                <w:highlight w:val="none"/>
                <w:lang w:val="en-US" w:eastAsia="zh-CN"/>
              </w:rPr>
              <w:t>5</w:t>
            </w:r>
            <w:r>
              <w:rPr>
                <w:rFonts w:hint="eastAsia" w:ascii="Times New Roman" w:hAnsi="宋体" w:cs="Times New Roman"/>
                <w:bCs/>
                <w:color w:val="auto"/>
                <w:sz w:val="24"/>
                <w:szCs w:val="24"/>
                <w:highlight w:val="none"/>
              </w:rPr>
              <w:t>投标人须提供许昌公共资源交易信用管理平台投标单位诚信承诺书网页截图；</w:t>
            </w:r>
          </w:p>
          <w:p>
            <w:pPr>
              <w:spacing w:line="460" w:lineRule="exact"/>
              <w:outlineLvl w:val="0"/>
              <w:rPr>
                <w:rFonts w:hint="eastAsia" w:ascii="Times New Roman" w:hAnsi="宋体" w:cs="Times New Roman"/>
                <w:bCs/>
                <w:color w:val="auto"/>
                <w:sz w:val="24"/>
                <w:szCs w:val="24"/>
                <w:highlight w:val="none"/>
              </w:rPr>
            </w:pPr>
            <w:r>
              <w:rPr>
                <w:rFonts w:hint="eastAsia" w:ascii="Times New Roman" w:hAnsi="宋体" w:cs="Times New Roman"/>
                <w:bCs/>
                <w:color w:val="auto"/>
                <w:sz w:val="24"/>
                <w:szCs w:val="24"/>
                <w:highlight w:val="none"/>
                <w:lang w:val="en-US" w:eastAsia="zh-CN"/>
              </w:rPr>
              <w:t>6</w:t>
            </w:r>
            <w:r>
              <w:rPr>
                <w:rFonts w:hint="eastAsia" w:ascii="Times New Roman" w:hAnsi="宋体" w:cs="Times New Roman"/>
                <w:bCs/>
                <w:color w:val="auto"/>
                <w:sz w:val="24"/>
                <w:szCs w:val="24"/>
                <w:highlight w:val="none"/>
              </w:rPr>
              <w:t>本项目不接受联合体投标；</w:t>
            </w:r>
          </w:p>
          <w:p>
            <w:pPr>
              <w:spacing w:line="460" w:lineRule="exact"/>
              <w:outlineLvl w:val="0"/>
              <w:rPr>
                <w:rFonts w:hint="eastAsia" w:ascii="Times New Roman" w:hAnsi="宋体" w:cs="Times New Roman"/>
                <w:bCs/>
                <w:color w:val="auto"/>
                <w:sz w:val="24"/>
                <w:szCs w:val="24"/>
                <w:highlight w:val="none"/>
              </w:rPr>
            </w:pPr>
            <w:r>
              <w:rPr>
                <w:rFonts w:hint="eastAsia" w:ascii="Times New Roman" w:hAnsi="宋体" w:cs="Times New Roman"/>
                <w:bCs/>
                <w:color w:val="auto"/>
                <w:sz w:val="24"/>
                <w:szCs w:val="24"/>
                <w:highlight w:val="none"/>
                <w:lang w:val="en-US" w:eastAsia="zh-CN"/>
              </w:rPr>
              <w:t>7</w:t>
            </w:r>
            <w:r>
              <w:rPr>
                <w:rFonts w:hint="eastAsia" w:ascii="Times New Roman" w:hAnsi="宋体" w:cs="Times New Roman"/>
                <w:bCs/>
                <w:color w:val="auto"/>
                <w:sz w:val="24"/>
                <w:szCs w:val="24"/>
                <w:highlight w:val="none"/>
              </w:rPr>
              <w:t>本次招标实行资格后审；</w:t>
            </w:r>
          </w:p>
          <w:p>
            <w:pPr>
              <w:spacing w:line="360" w:lineRule="auto"/>
              <w:outlineLvl w:val="0"/>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3</w:t>
            </w:r>
            <w:r>
              <w:rPr>
                <w:rFonts w:hint="eastAsia"/>
                <w:b/>
                <w:bCs/>
                <w:color w:val="auto"/>
                <w:sz w:val="24"/>
                <w:szCs w:val="24"/>
                <w:highlight w:val="none"/>
              </w:rPr>
              <w:t>标段：</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1投标人须具有独立的法人资格，具有合格有效的营业执照；</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2投标人须具备建设行政主管部门颁发</w:t>
            </w:r>
            <w:r>
              <w:rPr>
                <w:rFonts w:hint="eastAsia" w:hAnsi="宋体"/>
                <w:bCs/>
                <w:color w:val="auto"/>
                <w:sz w:val="24"/>
                <w:szCs w:val="24"/>
                <w:highlight w:val="none"/>
                <w:lang w:eastAsia="zh-CN"/>
              </w:rPr>
              <w:t>的</w:t>
            </w:r>
            <w:r>
              <w:rPr>
                <w:rFonts w:hint="eastAsia" w:hAnsi="宋体"/>
                <w:bCs/>
                <w:color w:val="auto"/>
                <w:sz w:val="24"/>
                <w:szCs w:val="24"/>
                <w:highlight w:val="none"/>
              </w:rPr>
              <w:t>市政公用工程施工总承包</w:t>
            </w:r>
            <w:r>
              <w:rPr>
                <w:rFonts w:hint="eastAsia" w:hAnsi="宋体"/>
                <w:bCs/>
                <w:color w:val="auto"/>
                <w:sz w:val="24"/>
                <w:szCs w:val="24"/>
                <w:highlight w:val="none"/>
                <w:lang w:val="en-US" w:eastAsia="zh-CN"/>
              </w:rPr>
              <w:t>叁</w:t>
            </w:r>
            <w:r>
              <w:rPr>
                <w:rFonts w:hint="eastAsia" w:hAnsi="宋体"/>
                <w:bCs/>
                <w:color w:val="auto"/>
                <w:sz w:val="24"/>
                <w:szCs w:val="24"/>
                <w:highlight w:val="none"/>
              </w:rPr>
              <w:t>级</w:t>
            </w:r>
            <w:r>
              <w:rPr>
                <w:rFonts w:hint="eastAsia" w:hAnsi="宋体"/>
                <w:bCs/>
                <w:color w:val="auto"/>
                <w:sz w:val="24"/>
                <w:szCs w:val="24"/>
                <w:highlight w:val="none"/>
                <w:lang w:eastAsia="zh-CN"/>
              </w:rPr>
              <w:t>及</w:t>
            </w:r>
            <w:r>
              <w:rPr>
                <w:rFonts w:hint="eastAsia" w:hAnsi="宋体"/>
                <w:bCs/>
                <w:color w:val="auto"/>
                <w:sz w:val="24"/>
                <w:szCs w:val="24"/>
                <w:highlight w:val="none"/>
              </w:rPr>
              <w:t>以上资质，且具有有效的安全生产许可证，并在人员、设备、资金等方面具有相应的施工能力；</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3拟派项目经理须具有市政公用工程</w:t>
            </w:r>
            <w:r>
              <w:rPr>
                <w:rFonts w:hint="eastAsia" w:hAnsi="宋体"/>
                <w:bCs/>
                <w:color w:val="auto"/>
                <w:sz w:val="24"/>
                <w:szCs w:val="24"/>
                <w:highlight w:val="none"/>
                <w:lang w:eastAsia="zh-CN"/>
              </w:rPr>
              <w:t>专业</w:t>
            </w:r>
            <w:r>
              <w:rPr>
                <w:rFonts w:hint="eastAsia" w:hAnsi="宋体"/>
                <w:bCs/>
                <w:color w:val="auto"/>
                <w:sz w:val="24"/>
                <w:szCs w:val="24"/>
                <w:highlight w:val="none"/>
              </w:rPr>
              <w:t>贰级</w:t>
            </w:r>
            <w:r>
              <w:rPr>
                <w:rFonts w:hint="eastAsia" w:hAnsi="宋体"/>
                <w:bCs/>
                <w:color w:val="auto"/>
                <w:sz w:val="24"/>
                <w:szCs w:val="24"/>
                <w:highlight w:val="none"/>
                <w:lang w:eastAsia="zh-CN"/>
              </w:rPr>
              <w:t>及</w:t>
            </w:r>
            <w:r>
              <w:rPr>
                <w:rFonts w:hint="eastAsia" w:hAnsi="宋体"/>
                <w:bCs/>
                <w:color w:val="auto"/>
                <w:sz w:val="24"/>
                <w:szCs w:val="24"/>
                <w:highlight w:val="none"/>
              </w:rPr>
              <w:t>以上注册建造师资格证书（不含临时）</w:t>
            </w:r>
            <w:r>
              <w:rPr>
                <w:rFonts w:hint="eastAsia" w:hAnsi="宋体"/>
                <w:bCs/>
                <w:color w:val="auto"/>
                <w:sz w:val="24"/>
                <w:szCs w:val="24"/>
                <w:highlight w:val="none"/>
                <w:lang w:eastAsia="zh-CN"/>
              </w:rPr>
              <w:t>，并具有有效的</w:t>
            </w:r>
            <w:r>
              <w:rPr>
                <w:rFonts w:hint="eastAsia" w:hAnsi="宋体"/>
                <w:bCs/>
                <w:color w:val="auto"/>
                <w:sz w:val="24"/>
                <w:szCs w:val="24"/>
                <w:highlight w:val="none"/>
              </w:rPr>
              <w:t>安全生产考核合格证书，且未担任其他正在施工建设工程的项目经理（承诺书由法定代表人及项目经理签名并加盖单位公章）；</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4拟派技术负责人须具有相关专业中级及以上职称；</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6投标人须提供许昌公共资源交易信用管理平台投标单位诚信承诺书网页截图；</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7本项目不接受联合体投标；</w:t>
            </w:r>
          </w:p>
          <w:p>
            <w:pPr>
              <w:spacing w:line="360" w:lineRule="auto"/>
              <w:outlineLvl w:val="0"/>
              <w:rPr>
                <w:rFonts w:hint="eastAsia" w:hAnsi="宋体"/>
                <w:bCs/>
                <w:color w:val="auto"/>
                <w:sz w:val="24"/>
                <w:szCs w:val="24"/>
                <w:highlight w:val="none"/>
              </w:rPr>
            </w:pPr>
            <w:r>
              <w:rPr>
                <w:rFonts w:hint="eastAsia" w:hAnsi="宋体"/>
                <w:bCs/>
                <w:color w:val="auto"/>
                <w:sz w:val="24"/>
                <w:szCs w:val="24"/>
                <w:highlight w:val="none"/>
              </w:rPr>
              <w:t>8本次招标实行资格后审；</w:t>
            </w:r>
          </w:p>
          <w:p>
            <w:pPr>
              <w:spacing w:line="360" w:lineRule="auto"/>
              <w:outlineLvl w:val="0"/>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5</w:t>
            </w:r>
            <w:r>
              <w:rPr>
                <w:rFonts w:hint="eastAsia"/>
                <w:b/>
                <w:bCs/>
                <w:color w:val="auto"/>
                <w:sz w:val="24"/>
                <w:szCs w:val="24"/>
                <w:highlight w:val="none"/>
              </w:rPr>
              <w:t>标段：</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1投标人须具有独立的法人资格，具有合格有效的营业执照；</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2投标人须具备建设行政主管部门颁发</w:t>
            </w:r>
            <w:r>
              <w:rPr>
                <w:rFonts w:hint="eastAsia" w:hAnsi="宋体"/>
                <w:bCs/>
                <w:color w:val="auto"/>
                <w:sz w:val="24"/>
                <w:szCs w:val="24"/>
                <w:highlight w:val="none"/>
                <w:lang w:eastAsia="zh-CN"/>
              </w:rPr>
              <w:t>的</w:t>
            </w:r>
            <w:r>
              <w:rPr>
                <w:rFonts w:hint="eastAsia" w:hAnsi="宋体"/>
                <w:bCs/>
                <w:color w:val="auto"/>
                <w:sz w:val="24"/>
                <w:szCs w:val="24"/>
                <w:highlight w:val="none"/>
                <w:lang w:val="en-US" w:eastAsia="zh-CN"/>
              </w:rPr>
              <w:t>建筑</w:t>
            </w:r>
            <w:r>
              <w:rPr>
                <w:rFonts w:hint="eastAsia" w:hAnsi="宋体"/>
                <w:bCs/>
                <w:color w:val="auto"/>
                <w:sz w:val="24"/>
                <w:szCs w:val="24"/>
                <w:highlight w:val="none"/>
              </w:rPr>
              <w:t>工程施工总承包</w:t>
            </w:r>
            <w:r>
              <w:rPr>
                <w:rFonts w:hint="eastAsia" w:hAnsi="宋体"/>
                <w:bCs/>
                <w:color w:val="auto"/>
                <w:sz w:val="24"/>
                <w:szCs w:val="24"/>
                <w:highlight w:val="none"/>
                <w:lang w:val="en-US" w:eastAsia="zh-CN"/>
              </w:rPr>
              <w:t>叁</w:t>
            </w:r>
            <w:r>
              <w:rPr>
                <w:rFonts w:hint="eastAsia" w:hAnsi="宋体"/>
                <w:bCs/>
                <w:color w:val="auto"/>
                <w:sz w:val="24"/>
                <w:szCs w:val="24"/>
                <w:highlight w:val="none"/>
              </w:rPr>
              <w:t>级</w:t>
            </w:r>
            <w:r>
              <w:rPr>
                <w:rFonts w:hint="eastAsia" w:hAnsi="宋体"/>
                <w:bCs/>
                <w:color w:val="auto"/>
                <w:sz w:val="24"/>
                <w:szCs w:val="24"/>
                <w:highlight w:val="none"/>
                <w:lang w:eastAsia="zh-CN"/>
              </w:rPr>
              <w:t>及</w:t>
            </w:r>
            <w:r>
              <w:rPr>
                <w:rFonts w:hint="eastAsia" w:hAnsi="宋体"/>
                <w:bCs/>
                <w:color w:val="auto"/>
                <w:sz w:val="24"/>
                <w:szCs w:val="24"/>
                <w:highlight w:val="none"/>
              </w:rPr>
              <w:t>以上资质，且具有有效的安全生产许可证，并在人员、设备、资金等方面具有相应的施工能力；</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3拟派项目经理须具有</w:t>
            </w:r>
            <w:r>
              <w:rPr>
                <w:rFonts w:hint="eastAsia" w:hAnsi="宋体"/>
                <w:bCs/>
                <w:color w:val="auto"/>
                <w:sz w:val="24"/>
                <w:szCs w:val="24"/>
                <w:highlight w:val="none"/>
                <w:lang w:val="en-US" w:eastAsia="zh-CN"/>
              </w:rPr>
              <w:t>建筑</w:t>
            </w:r>
            <w:r>
              <w:rPr>
                <w:rFonts w:hint="eastAsia" w:hAnsi="宋体"/>
                <w:bCs/>
                <w:color w:val="auto"/>
                <w:sz w:val="24"/>
                <w:szCs w:val="24"/>
                <w:highlight w:val="none"/>
              </w:rPr>
              <w:t>工程</w:t>
            </w:r>
            <w:r>
              <w:rPr>
                <w:rFonts w:hint="eastAsia" w:hAnsi="宋体"/>
                <w:bCs/>
                <w:color w:val="auto"/>
                <w:sz w:val="24"/>
                <w:szCs w:val="24"/>
                <w:highlight w:val="none"/>
                <w:lang w:eastAsia="zh-CN"/>
              </w:rPr>
              <w:t>专业</w:t>
            </w:r>
            <w:r>
              <w:rPr>
                <w:rFonts w:hint="eastAsia" w:hAnsi="宋体"/>
                <w:bCs/>
                <w:color w:val="auto"/>
                <w:sz w:val="24"/>
                <w:szCs w:val="24"/>
                <w:highlight w:val="none"/>
              </w:rPr>
              <w:t>贰级</w:t>
            </w:r>
            <w:r>
              <w:rPr>
                <w:rFonts w:hint="eastAsia" w:hAnsi="宋体"/>
                <w:bCs/>
                <w:color w:val="auto"/>
                <w:sz w:val="24"/>
                <w:szCs w:val="24"/>
                <w:highlight w:val="none"/>
                <w:lang w:eastAsia="zh-CN"/>
              </w:rPr>
              <w:t>及</w:t>
            </w:r>
            <w:r>
              <w:rPr>
                <w:rFonts w:hint="eastAsia" w:hAnsi="宋体"/>
                <w:bCs/>
                <w:color w:val="auto"/>
                <w:sz w:val="24"/>
                <w:szCs w:val="24"/>
                <w:highlight w:val="none"/>
              </w:rPr>
              <w:t>以上注册建造师资格证书（不含临时）</w:t>
            </w:r>
            <w:r>
              <w:rPr>
                <w:rFonts w:hint="eastAsia" w:hAnsi="宋体"/>
                <w:bCs/>
                <w:color w:val="auto"/>
                <w:sz w:val="24"/>
                <w:szCs w:val="24"/>
                <w:highlight w:val="none"/>
                <w:lang w:eastAsia="zh-CN"/>
              </w:rPr>
              <w:t>，并具有有效的</w:t>
            </w:r>
            <w:r>
              <w:rPr>
                <w:rFonts w:hint="eastAsia" w:hAnsi="宋体"/>
                <w:bCs/>
                <w:color w:val="auto"/>
                <w:sz w:val="24"/>
                <w:szCs w:val="24"/>
                <w:highlight w:val="none"/>
              </w:rPr>
              <w:t>安全生产考核合格证书，且未担任其他正在施工建设工程的项目经理（承诺书由法定代表人及项目经理签名并加盖单位公章）；</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4拟派技术负责人须具有相关专业中级及以上职称；</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outlineLvl w:val="0"/>
              <w:rPr>
                <w:rFonts w:hint="eastAsia" w:hAnsi="宋体"/>
                <w:bCs/>
                <w:color w:val="auto"/>
                <w:sz w:val="24"/>
                <w:szCs w:val="24"/>
                <w:highlight w:val="none"/>
              </w:rPr>
            </w:pPr>
            <w:r>
              <w:rPr>
                <w:rFonts w:hint="eastAsia" w:hAnsi="宋体"/>
                <w:bCs/>
                <w:color w:val="auto"/>
                <w:sz w:val="24"/>
                <w:szCs w:val="24"/>
                <w:highlight w:val="none"/>
              </w:rPr>
              <w:t>6投标人须提供许昌公共资源交易信用管理平台投标单位诚信承诺书网页截图；</w:t>
            </w:r>
          </w:p>
          <w:p>
            <w:pPr>
              <w:spacing w:line="360" w:lineRule="auto"/>
              <w:outlineLvl w:val="0"/>
              <w:rPr>
                <w:rFonts w:hint="eastAsia" w:hAnsi="宋体"/>
                <w:bCs/>
                <w:color w:val="auto"/>
                <w:sz w:val="24"/>
                <w:szCs w:val="24"/>
                <w:highlight w:val="none"/>
              </w:rPr>
            </w:pPr>
            <w:r>
              <w:rPr>
                <w:rFonts w:hint="eastAsia" w:hAnsi="宋体"/>
                <w:bCs/>
                <w:color w:val="auto"/>
                <w:sz w:val="24"/>
                <w:szCs w:val="24"/>
                <w:highlight w:val="none"/>
              </w:rPr>
              <w:t>7本项目不接受联合体投标；</w:t>
            </w:r>
          </w:p>
          <w:p>
            <w:pPr>
              <w:spacing w:line="360" w:lineRule="auto"/>
              <w:outlineLvl w:val="0"/>
              <w:rPr>
                <w:rFonts w:hint="eastAsia" w:ascii="宋体" w:hAnsi="宋体" w:eastAsia="宋体" w:cs="宋体"/>
                <w:color w:val="auto"/>
                <w:sz w:val="24"/>
                <w:szCs w:val="24"/>
                <w:highlight w:val="none"/>
              </w:rPr>
            </w:pPr>
            <w:r>
              <w:rPr>
                <w:rFonts w:hint="eastAsia" w:hAnsi="宋体"/>
                <w:bCs/>
                <w:color w:val="auto"/>
                <w:sz w:val="24"/>
                <w:szCs w:val="24"/>
                <w:highlight w:val="none"/>
              </w:rPr>
              <w:t>8本次招标实行资格后审；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投标人提出问题的截止时间</w:t>
            </w:r>
          </w:p>
        </w:tc>
        <w:tc>
          <w:tcPr>
            <w:tcW w:w="6780"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437" w:type="dxa"/>
            <w:gridSpan w:val="4"/>
            <w:noWrap w:val="0"/>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招标人澄清的时间</w:t>
            </w:r>
          </w:p>
        </w:tc>
        <w:tc>
          <w:tcPr>
            <w:tcW w:w="6780"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 </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招标文件及图纸</w:t>
            </w:r>
          </w:p>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的获取</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招标文件和工程量清单的获取：投标人于投标文件递交截止时间前均可登录《全国公共资源交易平台（河南省·许昌市）》（http://ggzy.xuchang.gov.cn），通过“投标人/供应商登录”</w:t>
            </w:r>
            <w:r>
              <w:rPr>
                <w:rFonts w:hint="eastAsia" w:ascii="宋体" w:hAnsi="宋体" w:eastAsia="宋体" w:cs="宋体"/>
                <w:color w:val="auto"/>
                <w:sz w:val="24"/>
                <w:szCs w:val="24"/>
                <w:highlight w:val="none"/>
              </w:rPr>
              <w:t>后自行下载。</w:t>
            </w:r>
          </w:p>
          <w:p>
            <w:pPr>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图纸下载链接：</w:t>
            </w:r>
          </w:p>
          <w:p>
            <w:pPr>
              <w:keepLines w:val="0"/>
              <w:pageBreakBefore w:val="0"/>
              <w:widowControl/>
              <w:kinsoku/>
              <w:wordWrap/>
              <w:overflowPunct/>
              <w:topLinePunct w:val="0"/>
              <w:bidi w:val="0"/>
              <w:spacing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链接：https://pan.baidu.com/s/1qKN4K4v9jIvbkL-iG2KFLA </w:t>
            </w:r>
          </w:p>
          <w:p>
            <w:pPr>
              <w:keepLines w:val="0"/>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 xml:space="preserve">提取码：eoa9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构成招标文件的其他材料</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投标人要求澄清招标文件的截止时间</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投标人确认收到招标文件澄清的时间</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投标人确认收到招标文件修改的时间</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构成投标文件的其他材料</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bookmarkStart w:id="6" w:name="OLE_LINK4" w:colFirst="0" w:colLast="2"/>
            <w:bookmarkStart w:id="7" w:name="_Hlk424659721"/>
            <w:bookmarkStart w:id="8" w:name="OLE_LINK3" w:colFirst="0" w:colLast="2"/>
            <w:r>
              <w:rPr>
                <w:rFonts w:hint="eastAsia" w:ascii="宋体" w:hAnsi="宋体" w:eastAsia="宋体" w:cs="宋体"/>
                <w:color w:val="auto"/>
                <w:sz w:val="24"/>
                <w:szCs w:val="24"/>
                <w:highlight w:val="none"/>
              </w:rPr>
              <w:t>3.4.1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投标保证金须知</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1、因投标人的原因无法及时退还投标（竞买）保证金、滞留三年以上的，投标（竞买）保证金上缴财政。</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2、自文件发布之日起，投标人需进行基本户备案（建设工程项目），已备案的基本户开户银行、账户发生变化的，须重新办理备案手续。备案后方可提交投标（竞买）保证金。</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3、基本户备案流程： </w:t>
            </w:r>
          </w:p>
          <w:p>
            <w:pPr>
              <w:keepLines w:val="0"/>
              <w:pageBreakBefore w:val="0"/>
              <w:kinsoku/>
              <w:wordWrap/>
              <w:overflowPunct/>
              <w:topLinePunct w:val="0"/>
              <w:autoSpaceDE w:val="0"/>
              <w:autoSpaceDN w:val="0"/>
              <w:bidi w:val="0"/>
              <w:adjustRightInd w:val="0"/>
              <w:spacing w:line="360" w:lineRule="auto"/>
              <w:ind w:left="12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4、特殊情况处理</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投标保证金递交截止时间：：</w:t>
            </w:r>
            <w:r>
              <w:rPr>
                <w:rFonts w:hint="eastAsia" w:ascii="宋体" w:hAnsi="宋体" w:eastAsia="宋体" w:cs="宋体"/>
                <w:b/>
                <w:bCs/>
                <w:color w:val="auto"/>
                <w:sz w:val="24"/>
                <w:szCs w:val="24"/>
                <w:highlight w:val="none"/>
              </w:rPr>
              <w:t>20</w:t>
            </w:r>
            <w:r>
              <w:rPr>
                <w:rFonts w:hint="eastAsia" w:ascii="宋体" w:hAnsi="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日9时00分。</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第</w:t>
            </w:r>
            <w:r>
              <w:rPr>
                <w:rFonts w:hint="eastAsia" w:ascii="宋体" w:hAnsi="宋体" w:cs="宋体"/>
                <w:b/>
                <w:bCs/>
                <w:color w:val="auto"/>
                <w:sz w:val="24"/>
                <w:szCs w:val="24"/>
                <w:highlight w:val="none"/>
                <w:lang w:val="en-US" w:eastAsia="zh-CN"/>
              </w:rPr>
              <w:t>1标段：</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金额：小写：</w:t>
            </w:r>
            <w:r>
              <w:rPr>
                <w:rFonts w:hint="eastAsia" w:ascii="宋体" w:hAnsi="宋体" w:cs="宋体"/>
                <w:b/>
                <w:bCs/>
                <w:color w:val="auto"/>
                <w:sz w:val="24"/>
                <w:szCs w:val="24"/>
                <w:highlight w:val="none"/>
                <w:u w:val="single"/>
                <w:lang w:val="en-US" w:eastAsia="zh-CN"/>
              </w:rPr>
              <w:t>40000</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大写：</w:t>
            </w:r>
            <w:r>
              <w:rPr>
                <w:rFonts w:hint="eastAsia" w:ascii="宋体" w:hAnsi="宋体" w:cs="宋体"/>
                <w:b/>
                <w:bCs/>
                <w:color w:val="auto"/>
                <w:sz w:val="24"/>
                <w:szCs w:val="24"/>
                <w:highlight w:val="none"/>
                <w:u w:val="single"/>
                <w:lang w:val="en-US" w:eastAsia="zh-CN"/>
              </w:rPr>
              <w:t>肆万元整</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第</w:t>
            </w:r>
            <w:r>
              <w:rPr>
                <w:rFonts w:hint="eastAsia" w:ascii="宋体" w:hAnsi="宋体" w:cs="宋体"/>
                <w:b/>
                <w:bCs/>
                <w:color w:val="auto"/>
                <w:sz w:val="24"/>
                <w:szCs w:val="24"/>
                <w:highlight w:val="none"/>
                <w:lang w:val="en-US" w:eastAsia="zh-CN"/>
              </w:rPr>
              <w:t>2标段：</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金额：小写：</w:t>
            </w:r>
            <w:r>
              <w:rPr>
                <w:rFonts w:hint="eastAsia" w:ascii="宋体" w:hAnsi="宋体" w:eastAsia="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val="en-US" w:eastAsia="zh-CN"/>
              </w:rPr>
              <w:t>000</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大写：</w:t>
            </w:r>
            <w:r>
              <w:rPr>
                <w:rFonts w:hint="eastAsia" w:ascii="宋体" w:hAnsi="宋体" w:cs="宋体"/>
                <w:b/>
                <w:bCs/>
                <w:color w:val="auto"/>
                <w:sz w:val="24"/>
                <w:szCs w:val="24"/>
                <w:highlight w:val="none"/>
                <w:u w:val="single"/>
                <w:lang w:val="en-US" w:eastAsia="zh-CN"/>
              </w:rPr>
              <w:t>贰万伍仟元整</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第</w:t>
            </w:r>
            <w:r>
              <w:rPr>
                <w:rFonts w:hint="eastAsia" w:ascii="宋体" w:hAnsi="宋体" w:cs="宋体"/>
                <w:b/>
                <w:bCs/>
                <w:color w:val="auto"/>
                <w:sz w:val="24"/>
                <w:szCs w:val="24"/>
                <w:highlight w:val="none"/>
                <w:lang w:val="en-US" w:eastAsia="zh-CN"/>
              </w:rPr>
              <w:t>3标段：</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金额：小写：</w:t>
            </w:r>
            <w:r>
              <w:rPr>
                <w:rFonts w:hint="eastAsia" w:ascii="宋体" w:hAnsi="宋体" w:cs="宋体"/>
                <w:b/>
                <w:bCs/>
                <w:color w:val="auto"/>
                <w:sz w:val="24"/>
                <w:szCs w:val="24"/>
                <w:highlight w:val="none"/>
                <w:u w:val="single"/>
                <w:lang w:val="en-US" w:eastAsia="zh-CN"/>
              </w:rPr>
              <w:t>18000</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大写：</w:t>
            </w:r>
            <w:r>
              <w:rPr>
                <w:rFonts w:hint="eastAsia" w:ascii="宋体" w:hAnsi="宋体" w:cs="宋体"/>
                <w:b/>
                <w:bCs/>
                <w:color w:val="auto"/>
                <w:sz w:val="24"/>
                <w:szCs w:val="24"/>
                <w:highlight w:val="none"/>
                <w:u w:val="single"/>
                <w:lang w:val="en-US" w:eastAsia="zh-CN"/>
              </w:rPr>
              <w:t>壹万捌仟元整</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第</w:t>
            </w:r>
            <w:r>
              <w:rPr>
                <w:rFonts w:hint="eastAsia" w:ascii="宋体" w:hAnsi="宋体" w:cs="宋体"/>
                <w:b/>
                <w:bCs/>
                <w:color w:val="auto"/>
                <w:sz w:val="24"/>
                <w:szCs w:val="24"/>
                <w:highlight w:val="none"/>
                <w:lang w:val="en-US" w:eastAsia="zh-CN"/>
              </w:rPr>
              <w:t>4标段：</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金额：小写：</w:t>
            </w:r>
            <w:r>
              <w:rPr>
                <w:rFonts w:hint="eastAsia" w:ascii="宋体" w:hAnsi="宋体" w:cs="宋体"/>
                <w:b/>
                <w:bCs/>
                <w:color w:val="auto"/>
                <w:sz w:val="24"/>
                <w:szCs w:val="24"/>
                <w:highlight w:val="none"/>
                <w:u w:val="single"/>
                <w:lang w:val="en-US" w:eastAsia="zh-CN"/>
              </w:rPr>
              <w:t>15000</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大写：</w:t>
            </w:r>
            <w:r>
              <w:rPr>
                <w:rFonts w:hint="eastAsia" w:ascii="宋体" w:hAnsi="宋体" w:cs="宋体"/>
                <w:b/>
                <w:bCs/>
                <w:color w:val="auto"/>
                <w:sz w:val="24"/>
                <w:szCs w:val="24"/>
                <w:highlight w:val="none"/>
                <w:u w:val="single"/>
                <w:lang w:val="en-US" w:eastAsia="zh-CN"/>
              </w:rPr>
              <w:t>壹万伍仟元整</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第</w:t>
            </w:r>
            <w:r>
              <w:rPr>
                <w:rFonts w:hint="eastAsia" w:ascii="宋体" w:hAnsi="宋体" w:cs="宋体"/>
                <w:b/>
                <w:bCs/>
                <w:color w:val="auto"/>
                <w:sz w:val="24"/>
                <w:szCs w:val="24"/>
                <w:highlight w:val="none"/>
                <w:lang w:val="en-US" w:eastAsia="zh-CN"/>
              </w:rPr>
              <w:t>5标段：</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金额：小写：</w:t>
            </w:r>
            <w:r>
              <w:rPr>
                <w:rFonts w:hint="eastAsia" w:ascii="宋体" w:hAnsi="宋体" w:cs="宋体"/>
                <w:b/>
                <w:bCs/>
                <w:color w:val="auto"/>
                <w:sz w:val="24"/>
                <w:szCs w:val="24"/>
                <w:highlight w:val="none"/>
                <w:u w:val="single"/>
                <w:lang w:val="en-US" w:eastAsia="zh-CN"/>
              </w:rPr>
              <w:t>8000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大写：</w:t>
            </w:r>
            <w:r>
              <w:rPr>
                <w:rFonts w:hint="eastAsia" w:ascii="宋体" w:hAnsi="宋体" w:cs="宋体"/>
                <w:b/>
                <w:bCs/>
                <w:color w:val="auto"/>
                <w:sz w:val="24"/>
                <w:szCs w:val="24"/>
                <w:highlight w:val="none"/>
                <w:u w:val="single"/>
                <w:lang w:val="en-US" w:eastAsia="zh-CN"/>
              </w:rPr>
              <w:t>捌仟元整</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2、投标保证金缴纳方式：</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2.1投标人网上报名后，登录http://ggzy.xuchang.gov.cn系统，依次点击“会员向导”→“参与投标”→“费用缴纳说明”→“保证金缴纳说明单”，获取缴费说明单，根据每个标段的缴纳说明单在缴纳截止时间前缴纳；</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2.2成功缴纳后重新登录前述系统，依次点击“会员向导”→“参与投标”→“保证金绑定”→“绑定”进行投标保证金绑定。</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2.4每个投标人每个项目每个标段只有唯一缴纳账号，切勿重复缴纳或错误缴纳。</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3、未按上述规定操作引起的无效投标，由投标人自行负责。</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4、汇款凭证无须备注项目编号和项目名称。</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5、出现以下情形造成的投标保证金无效，由投标人自行负责。</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(1)投标保证金未从投标人的基本账户转出；</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(2)投标保证金未按照招标文件划分的标段转账。</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6、《保证金缴纳绑定操作指南》获取方法：</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登录许昌公共资源交易系统-组件下载-《保证金缴纳绑定操作指南》。</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437" w:type="dxa"/>
            <w:gridSpan w:val="4"/>
            <w:noWrap w:val="0"/>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近年财务状况要求</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近年，指2016、2017、2018年度（对于成立不足三年的投标单位，从成立当年算起；）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近年，指2016年1</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（1）有效时间以提交投标文件截止时间前36个月为准。</w:t>
            </w:r>
          </w:p>
          <w:p>
            <w:pPr>
              <w:pStyle w:val="2"/>
              <w:keepLines w:val="0"/>
              <w:pageBreakBefore w:val="0"/>
              <w:kinsoku/>
              <w:wordWrap/>
              <w:overflowPunct/>
              <w:topLinePunct w:val="0"/>
              <w:bidi w:val="0"/>
              <w:spacing w:after="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（1）成功上传至《全国公共资源交易平台（河南省·许昌市）》公共资源交易系统电子投标文件1份（文件格式为：XX公司XXX项目编号XXX标段.file）。</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（2）使用电子介质存储的投标文件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份文件格式为：xxx公司XXX（项目编号）.bin）（所提交的电子介质储存的投标文件需分开密封且每份电子介质储存的投标文件需包括本次投标文件的全部内容）。</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密封要求</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使用电子介质存储的投标文件单独密封、盖章，并在开标前递交开标现场。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封套上写明</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　</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（工程名称及标段）     </w:t>
            </w:r>
            <w:r>
              <w:rPr>
                <w:rFonts w:hint="eastAsia" w:ascii="宋体" w:hAnsi="宋体" w:eastAsia="宋体" w:cs="宋体"/>
                <w:color w:val="auto"/>
                <w:sz w:val="24"/>
                <w:szCs w:val="24"/>
                <w:highlight w:val="none"/>
              </w:rPr>
              <w:t>投标文件</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6780" w:type="dxa"/>
            <w:gridSpan w:val="3"/>
            <w:noWrap w:val="0"/>
            <w:vAlign w:val="center"/>
          </w:tcPr>
          <w:p>
            <w:pPr>
              <w:keepLines w:val="0"/>
              <w:pageBreakBefore w:val="0"/>
              <w:numPr>
                <w:ilvl w:val="0"/>
                <w:numId w:val="1"/>
              </w:numPr>
              <w:tabs>
                <w:tab w:val="left" w:pos="0"/>
                <w:tab w:val="clear" w:pos="360"/>
              </w:tabs>
              <w:kinsoku/>
              <w:wordWrap/>
              <w:overflowPunct/>
              <w:topLinePunct w:val="0"/>
              <w:bidi w:val="0"/>
              <w:spacing w:line="360" w:lineRule="auto"/>
              <w:ind w:left="0" w:hanging="64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襄城县公共资源交易中心（襄城县八七路东电子产业园12楼</w:t>
            </w:r>
            <w:r>
              <w:rPr>
                <w:rFonts w:hint="eastAsia" w:ascii="宋体" w:hAnsi="宋体" w:eastAsia="宋体" w:cs="宋体"/>
                <w:bCs/>
                <w:color w:val="auto"/>
                <w:sz w:val="24"/>
                <w:szCs w:val="24"/>
                <w:highlight w:val="none"/>
              </w:rPr>
              <w:t>开标</w:t>
            </w:r>
            <w:r>
              <w:rPr>
                <w:rFonts w:hint="eastAsia" w:ascii="宋体" w:hAnsi="宋体" w:cs="宋体"/>
                <w:bCs/>
                <w:color w:val="auto"/>
                <w:sz w:val="24"/>
                <w:szCs w:val="24"/>
                <w:highlight w:val="none"/>
                <w:lang w:val="en-US" w:eastAsia="zh-CN"/>
              </w:rPr>
              <w:t>二</w:t>
            </w:r>
            <w:r>
              <w:rPr>
                <w:rFonts w:hint="eastAsia" w:ascii="宋体" w:hAnsi="宋体" w:eastAsia="宋体" w:cs="宋体"/>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开标地点：襄城县公共资源交易中心（襄城县八七路东电子产业园12楼</w:t>
            </w:r>
            <w:r>
              <w:rPr>
                <w:rFonts w:hint="eastAsia" w:ascii="宋体" w:hAnsi="宋体" w:eastAsia="宋体" w:cs="宋体"/>
                <w:bCs/>
                <w:color w:val="auto"/>
                <w:sz w:val="24"/>
                <w:szCs w:val="24"/>
                <w:highlight w:val="none"/>
              </w:rPr>
              <w:t>开标</w:t>
            </w:r>
            <w:r>
              <w:rPr>
                <w:rFonts w:hint="eastAsia" w:ascii="宋体" w:hAnsi="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室</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 </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6.1.1 </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780"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评标委员会构成：从河南省综合评标专家库中随机抽取</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w:t>
            </w:r>
            <w:r>
              <w:rPr>
                <w:rFonts w:hint="eastAsia" w:ascii="宋体" w:hAnsi="宋体" w:eastAsia="宋体" w:cs="宋体"/>
                <w:color w:val="auto"/>
                <w:sz w:val="24"/>
                <w:szCs w:val="24"/>
                <w:highlight w:val="none"/>
                <w:lang w:eastAsia="zh-CN"/>
              </w:rPr>
              <w:t>评标委员会的组成人员中工程</w:t>
            </w:r>
            <w:r>
              <w:rPr>
                <w:rFonts w:hint="eastAsia" w:ascii="宋体" w:hAnsi="宋体" w:eastAsia="宋体" w:cs="宋体"/>
                <w:color w:val="auto"/>
                <w:sz w:val="24"/>
                <w:szCs w:val="24"/>
                <w:highlight w:val="none"/>
              </w:rPr>
              <w:t>造价</w:t>
            </w:r>
            <w:r>
              <w:rPr>
                <w:rFonts w:hint="eastAsia" w:ascii="宋体" w:hAnsi="宋体" w:eastAsia="宋体" w:cs="宋体"/>
                <w:color w:val="auto"/>
                <w:sz w:val="24"/>
                <w:szCs w:val="24"/>
                <w:highlight w:val="none"/>
                <w:lang w:eastAsia="zh-CN"/>
              </w:rPr>
              <w:t>专家应不少于五分之二</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0" w:type="dxa"/>
            <w:gridSpan w:val="2"/>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243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是否要求中标人提交履约保证金：</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■要求，履约保证金的形式：现金、保函或转账形式；</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履约保证金的金额：签约合同价的5%；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w:t>
            </w:r>
          </w:p>
        </w:tc>
        <w:tc>
          <w:tcPr>
            <w:tcW w:w="1571"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tc>
        <w:tc>
          <w:tcPr>
            <w:tcW w:w="7572" w:type="dxa"/>
            <w:gridSpan w:val="4"/>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第1、4标段：</w:t>
            </w:r>
            <w:r>
              <w:rPr>
                <w:rFonts w:hint="eastAsia" w:ascii="宋体" w:hAnsi="宋体" w:eastAsia="宋体" w:cs="宋体"/>
                <w:color w:val="auto"/>
                <w:sz w:val="24"/>
                <w:szCs w:val="24"/>
                <w:highlight w:val="none"/>
                <w:lang w:val="en-US" w:eastAsia="zh-CN"/>
              </w:rPr>
              <w:t>类似项目是指承建过单项合同金额不少于本</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所投</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金额的</w:t>
            </w:r>
            <w:r>
              <w:rPr>
                <w:rFonts w:hint="eastAsia" w:ascii="宋体" w:hAnsi="宋体" w:cs="宋体"/>
                <w:color w:val="auto"/>
                <w:sz w:val="24"/>
                <w:szCs w:val="24"/>
                <w:highlight w:val="none"/>
                <w:lang w:val="en-US" w:eastAsia="zh-CN"/>
              </w:rPr>
              <w:t>装修装饰</w:t>
            </w:r>
            <w:r>
              <w:rPr>
                <w:rFonts w:hint="eastAsia" w:ascii="宋体" w:hAnsi="宋体" w:eastAsia="宋体" w:cs="宋体"/>
                <w:color w:val="auto"/>
                <w:sz w:val="24"/>
                <w:szCs w:val="24"/>
                <w:highlight w:val="none"/>
                <w:lang w:val="en-US" w:eastAsia="zh-CN"/>
              </w:rPr>
              <w:t>工程</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第2标段：</w:t>
            </w:r>
            <w:r>
              <w:rPr>
                <w:rFonts w:hint="eastAsia" w:ascii="宋体" w:hAnsi="宋体" w:eastAsia="宋体" w:cs="宋体"/>
                <w:color w:val="auto"/>
                <w:sz w:val="24"/>
                <w:szCs w:val="24"/>
                <w:highlight w:val="none"/>
                <w:lang w:val="en-US" w:eastAsia="zh-CN"/>
              </w:rPr>
              <w:t>类似项目是指承建过单项合同金额不少于本</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所投</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金额的</w:t>
            </w:r>
            <w:r>
              <w:rPr>
                <w:rFonts w:hint="eastAsia" w:ascii="宋体" w:hAnsi="宋体" w:cs="宋体"/>
                <w:color w:val="auto"/>
                <w:sz w:val="24"/>
                <w:szCs w:val="24"/>
                <w:highlight w:val="none"/>
                <w:lang w:val="en-US" w:eastAsia="zh-CN"/>
              </w:rPr>
              <w:t>绿化</w:t>
            </w:r>
            <w:r>
              <w:rPr>
                <w:rFonts w:hint="eastAsia" w:ascii="宋体" w:hAnsi="宋体" w:eastAsia="宋体" w:cs="宋体"/>
                <w:color w:val="auto"/>
                <w:sz w:val="24"/>
                <w:szCs w:val="24"/>
                <w:highlight w:val="none"/>
                <w:lang w:val="en-US" w:eastAsia="zh-CN"/>
              </w:rPr>
              <w:t>工程</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第3标段：</w:t>
            </w:r>
            <w:r>
              <w:rPr>
                <w:rFonts w:hint="eastAsia" w:ascii="宋体" w:hAnsi="宋体" w:eastAsia="宋体" w:cs="宋体"/>
                <w:color w:val="auto"/>
                <w:sz w:val="24"/>
                <w:szCs w:val="24"/>
                <w:highlight w:val="none"/>
                <w:lang w:val="en-US" w:eastAsia="zh-CN"/>
              </w:rPr>
              <w:t>类似项目是指承建过单项合同金额不少于本</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所投</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金额的</w:t>
            </w:r>
            <w:r>
              <w:rPr>
                <w:rFonts w:hint="eastAsia" w:ascii="宋体" w:hAnsi="宋体" w:cs="宋体"/>
                <w:color w:val="auto"/>
                <w:sz w:val="24"/>
                <w:szCs w:val="24"/>
                <w:highlight w:val="none"/>
                <w:lang w:val="en-US" w:eastAsia="zh-CN"/>
              </w:rPr>
              <w:t>市政</w:t>
            </w:r>
            <w:r>
              <w:rPr>
                <w:rFonts w:hint="eastAsia" w:ascii="宋体" w:hAnsi="宋体" w:eastAsia="宋体" w:cs="宋体"/>
                <w:color w:val="auto"/>
                <w:sz w:val="24"/>
                <w:szCs w:val="24"/>
                <w:highlight w:val="none"/>
                <w:lang w:val="en-US" w:eastAsia="zh-CN"/>
              </w:rPr>
              <w:t>工程</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第5标段：</w:t>
            </w:r>
            <w:r>
              <w:rPr>
                <w:rFonts w:hint="eastAsia" w:ascii="宋体" w:hAnsi="宋体" w:eastAsia="宋体" w:cs="宋体"/>
                <w:color w:val="auto"/>
                <w:sz w:val="24"/>
                <w:szCs w:val="24"/>
                <w:highlight w:val="none"/>
                <w:lang w:val="en-US" w:eastAsia="zh-CN"/>
              </w:rPr>
              <w:t>类似项目是指承建过单项合同金额不少于本</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所投</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金额的</w:t>
            </w:r>
            <w:r>
              <w:rPr>
                <w:rFonts w:hint="eastAsia" w:ascii="宋体" w:hAnsi="宋体" w:cs="宋体"/>
                <w:color w:val="auto"/>
                <w:sz w:val="24"/>
                <w:szCs w:val="24"/>
                <w:highlight w:val="none"/>
                <w:lang w:val="en-US" w:eastAsia="zh-CN"/>
              </w:rPr>
              <w:t>建筑</w:t>
            </w:r>
            <w:r>
              <w:rPr>
                <w:rFonts w:hint="eastAsia" w:ascii="宋体" w:hAnsi="宋体" w:eastAsia="宋体" w:cs="宋体"/>
                <w:color w:val="auto"/>
                <w:sz w:val="24"/>
                <w:szCs w:val="24"/>
                <w:highlight w:val="none"/>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p>
        </w:tc>
        <w:tc>
          <w:tcPr>
            <w:tcW w:w="2437" w:type="dxa"/>
            <w:gridSpan w:val="3"/>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招标控制价</w:t>
            </w:r>
          </w:p>
        </w:tc>
        <w:tc>
          <w:tcPr>
            <w:tcW w:w="6706" w:type="dxa"/>
            <w:gridSpan w:val="2"/>
            <w:noWrap w:val="0"/>
            <w:vAlign w:val="center"/>
          </w:tcPr>
          <w:p>
            <w:pPr>
              <w:keepNext/>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本工程设招标控制价：</w:t>
            </w:r>
          </w:p>
          <w:p>
            <w:pPr>
              <w:keepNext/>
              <w:keepLines w:val="0"/>
              <w:pageBreakBefore w:val="0"/>
              <w:kinsoku/>
              <w:wordWrap/>
              <w:overflowPunct/>
              <w:topLinePunct w:val="0"/>
              <w:bidi w:val="0"/>
              <w:spacing w:line="360" w:lineRule="auto"/>
              <w:textAlignment w:val="auto"/>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第</w:t>
            </w:r>
            <w:r>
              <w:rPr>
                <w:rFonts w:hint="eastAsia" w:hAnsi="宋体" w:cs="宋体"/>
                <w:b/>
                <w:bCs/>
                <w:color w:val="auto"/>
                <w:sz w:val="24"/>
                <w:szCs w:val="24"/>
                <w:highlight w:val="none"/>
                <w:lang w:val="en-US" w:eastAsia="zh-CN"/>
              </w:rPr>
              <w:t>1</w:t>
            </w:r>
            <w:r>
              <w:rPr>
                <w:rFonts w:hint="eastAsia" w:hAnsi="宋体" w:eastAsia="宋体" w:cs="宋体"/>
                <w:b/>
                <w:bCs/>
                <w:color w:val="auto"/>
                <w:sz w:val="24"/>
                <w:szCs w:val="24"/>
                <w:highlight w:val="none"/>
                <w:lang w:val="en-US" w:eastAsia="zh-CN"/>
              </w:rPr>
              <w:t>标段：</w:t>
            </w:r>
          </w:p>
          <w:p>
            <w:pPr>
              <w:keepNext/>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大写：</w:t>
            </w:r>
            <w:r>
              <w:rPr>
                <w:rFonts w:hint="eastAsia" w:ascii="宋体" w:hAnsi="宋体" w:cs="宋体"/>
                <w:b/>
                <w:bCs/>
                <w:color w:val="auto"/>
                <w:sz w:val="24"/>
                <w:szCs w:val="24"/>
                <w:highlight w:val="none"/>
                <w:lang w:val="en-US" w:eastAsia="zh-CN"/>
              </w:rPr>
              <w:t>贰佰零柒万伍仟叁佰伍拾伍元贰角玖分</w:t>
            </w:r>
          </w:p>
          <w:p>
            <w:pPr>
              <w:keepNext/>
              <w:keepLines w:val="0"/>
              <w:pageBreakBefore w:val="0"/>
              <w:kinsoku/>
              <w:wordWrap/>
              <w:overflowPunct/>
              <w:topLinePunct w:val="0"/>
              <w:bidi w:val="0"/>
              <w:spacing w:line="360" w:lineRule="auto"/>
              <w:textAlignment w:val="auto"/>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小写：2075355.29元</w:t>
            </w:r>
          </w:p>
          <w:p>
            <w:pPr>
              <w:keepNext/>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标段：</w:t>
            </w:r>
          </w:p>
          <w:p>
            <w:pPr>
              <w:keepNext/>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大写：</w:t>
            </w:r>
            <w:r>
              <w:rPr>
                <w:rFonts w:hint="eastAsia" w:ascii="宋体" w:hAnsi="宋体" w:cs="宋体"/>
                <w:b/>
                <w:bCs/>
                <w:color w:val="auto"/>
                <w:sz w:val="24"/>
                <w:szCs w:val="24"/>
                <w:highlight w:val="none"/>
                <w:lang w:val="en-US" w:eastAsia="zh-CN"/>
              </w:rPr>
              <w:t>壹佰肆拾叁万玖仟零玖拾贰元玖角柒分</w:t>
            </w:r>
          </w:p>
          <w:p>
            <w:pPr>
              <w:pStyle w:val="2"/>
              <w:ind w:left="0" w:leftChars="0" w:firstLine="0" w:firstLineChars="0"/>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小写：1439092.97元</w:t>
            </w:r>
          </w:p>
          <w:p>
            <w:pPr>
              <w:keepNext/>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标段：</w:t>
            </w:r>
          </w:p>
          <w:p>
            <w:pPr>
              <w:keepNext/>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大写：</w:t>
            </w:r>
            <w:r>
              <w:rPr>
                <w:rFonts w:hint="eastAsia" w:ascii="宋体" w:hAnsi="宋体" w:cs="宋体"/>
                <w:b/>
                <w:bCs/>
                <w:color w:val="auto"/>
                <w:sz w:val="24"/>
                <w:szCs w:val="24"/>
                <w:highlight w:val="none"/>
                <w:lang w:val="en-US" w:eastAsia="zh-CN"/>
              </w:rPr>
              <w:t>玖拾万零陆仟伍佰伍拾捌元零伍分</w:t>
            </w:r>
          </w:p>
          <w:p>
            <w:pPr>
              <w:keepNext/>
              <w:keepLines w:val="0"/>
              <w:pageBreakBefore w:val="0"/>
              <w:kinsoku/>
              <w:wordWrap/>
              <w:overflowPunct/>
              <w:topLinePunct w:val="0"/>
              <w:bidi w:val="0"/>
              <w:spacing w:line="360" w:lineRule="auto"/>
              <w:textAlignment w:val="auto"/>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小写：906558.05元</w:t>
            </w:r>
          </w:p>
          <w:p>
            <w:pPr>
              <w:keepNext/>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标段：</w:t>
            </w:r>
          </w:p>
          <w:p>
            <w:pPr>
              <w:keepNext/>
              <w:keepLines w:val="0"/>
              <w:pageBreakBefore w:val="0"/>
              <w:kinsoku/>
              <w:wordWrap/>
              <w:overflowPunct/>
              <w:topLinePunct w:val="0"/>
              <w:bidi w:val="0"/>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大写：</w:t>
            </w:r>
            <w:r>
              <w:rPr>
                <w:rFonts w:hint="eastAsia" w:ascii="宋体" w:hAnsi="宋体" w:cs="宋体"/>
                <w:b/>
                <w:bCs/>
                <w:color w:val="auto"/>
                <w:sz w:val="24"/>
                <w:szCs w:val="24"/>
                <w:highlight w:val="none"/>
                <w:lang w:val="en-US" w:eastAsia="zh-CN"/>
              </w:rPr>
              <w:t>柒拾陆万壹仟柒佰捌拾伍元陆角</w:t>
            </w:r>
          </w:p>
          <w:p>
            <w:pPr>
              <w:keepNext/>
              <w:keepLines w:val="0"/>
              <w:pageBreakBefore w:val="0"/>
              <w:kinsoku/>
              <w:wordWrap/>
              <w:overflowPunct/>
              <w:topLinePunct w:val="0"/>
              <w:bidi w:val="0"/>
              <w:spacing w:line="360" w:lineRule="auto"/>
              <w:textAlignment w:val="auto"/>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小写：761785.6元</w:t>
            </w:r>
          </w:p>
          <w:p>
            <w:pPr>
              <w:keepNext/>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标段：</w:t>
            </w:r>
          </w:p>
          <w:p>
            <w:pPr>
              <w:keepNext/>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大写：</w:t>
            </w:r>
            <w:r>
              <w:rPr>
                <w:rFonts w:hint="eastAsia" w:ascii="宋体" w:hAnsi="宋体" w:cs="宋体"/>
                <w:b/>
                <w:bCs/>
                <w:color w:val="auto"/>
                <w:sz w:val="24"/>
                <w:szCs w:val="24"/>
                <w:highlight w:val="none"/>
                <w:lang w:val="en-US" w:eastAsia="zh-CN"/>
              </w:rPr>
              <w:t>肆拾壹万伍仟肆佰玖拾壹元玖角叁分</w:t>
            </w:r>
          </w:p>
          <w:p>
            <w:pPr>
              <w:keepNext/>
              <w:keepLines w:val="0"/>
              <w:pageBreakBefore w:val="0"/>
              <w:kinsoku/>
              <w:wordWrap/>
              <w:overflowPunct/>
              <w:topLinePunct w:val="0"/>
              <w:bidi w:val="0"/>
              <w:spacing w:line="360" w:lineRule="auto"/>
              <w:textAlignment w:val="auto"/>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小写：</w:t>
            </w:r>
            <w:r>
              <w:rPr>
                <w:rFonts w:hint="eastAsia" w:hAnsi="宋体" w:cs="宋体"/>
                <w:b/>
                <w:bCs/>
                <w:color w:val="auto"/>
                <w:sz w:val="24"/>
                <w:szCs w:val="24"/>
                <w:highlight w:val="none"/>
                <w:lang w:val="en-US" w:eastAsia="zh-CN"/>
              </w:rPr>
              <w:t>415491.93</w:t>
            </w:r>
            <w:r>
              <w:rPr>
                <w:rFonts w:hint="eastAsia" w:hAnsi="宋体" w:eastAsia="宋体" w:cs="宋体"/>
                <w:b/>
                <w:bCs/>
                <w:color w:val="auto"/>
                <w:sz w:val="24"/>
                <w:szCs w:val="24"/>
                <w:highlight w:val="none"/>
                <w:lang w:val="en-US" w:eastAsia="zh-CN"/>
              </w:rPr>
              <w:t>元</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招标控制价：包括安全文明施工措施费、规费、税金</w:t>
            </w:r>
            <w:r>
              <w:rPr>
                <w:rFonts w:hint="eastAsia" w:ascii="宋体" w:hAnsi="宋体" w:eastAsia="宋体" w:cs="宋体"/>
                <w:b/>
                <w:color w:val="auto"/>
                <w:sz w:val="24"/>
                <w:szCs w:val="24"/>
                <w:highlight w:val="none"/>
                <w:lang w:eastAsia="zh-CN"/>
              </w:rPr>
              <w:t>。</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3830" w:type="dxa"/>
            <w:gridSpan w:val="4"/>
            <w:noWrap w:val="0"/>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技术标是否采用“暗标”评审方式</w:t>
            </w:r>
          </w:p>
        </w:tc>
        <w:tc>
          <w:tcPr>
            <w:tcW w:w="5313" w:type="dxa"/>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ind w:left="24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开标时各投标人的法定代表人或授权委托人持身份证原件及授权委托书，到开标现场签到，缺席或逾期不到者视为放弃。各投标单位参加会议人数不得多于三人。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9143" w:type="dxa"/>
            <w:gridSpan w:val="5"/>
            <w:noWrap w:val="0"/>
            <w:vAlign w:val="center"/>
          </w:tcPr>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构成本招标文件的各个组成文件应互为解释，互为说明；</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1、如有不明确或不一致，构成合同文件组成内容，以合同文件约定内容为准，且以专用合同条款约定的合同文件优先顺序解释；</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2、除招标文件中有特别规定外，仅适用于招标投标阶段的规定，按招标公告（投标邀请书）、投标人须知、评标办法、投标文件格式的先后顺序解释；</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3、同一组成文件中就同一事项的规定或约定不一致的，以编排顺序在后者为准；</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4、同一组成文件不同版本之间有不一致的，以形成时间在后者为准。</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bookmarkStart w:id="9" w:name="_Toc283559965"/>
            <w:bookmarkStart w:id="10" w:name="_Toc225243456"/>
            <w:r>
              <w:rPr>
                <w:rFonts w:hint="eastAsia" w:ascii="宋体" w:hAnsi="宋体" w:eastAsia="宋体" w:cs="宋体"/>
                <w:color w:val="auto"/>
                <w:sz w:val="24"/>
                <w:szCs w:val="24"/>
                <w:highlight w:val="none"/>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9143" w:type="dxa"/>
            <w:gridSpan w:val="5"/>
            <w:noWrap w:val="0"/>
            <w:vAlign w:val="center"/>
          </w:tcPr>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outlineLvl w:val="0"/>
              <w:rPr>
                <w:rFonts w:hint="eastAsia" w:ascii="宋体" w:hAnsi="宋体" w:eastAsia="宋体" w:cs="宋体"/>
                <w:color w:val="auto"/>
                <w:sz w:val="24"/>
                <w:szCs w:val="24"/>
                <w:highlight w:val="none"/>
              </w:rPr>
            </w:pPr>
            <w:bookmarkStart w:id="11" w:name="_Toc28556"/>
            <w:r>
              <w:rPr>
                <w:rFonts w:hint="eastAsia" w:ascii="宋体" w:hAnsi="宋体" w:eastAsia="宋体" w:cs="宋体"/>
                <w:color w:val="auto"/>
                <w:sz w:val="24"/>
                <w:szCs w:val="24"/>
                <w:highlight w:val="none"/>
              </w:rPr>
              <w:t>1、逾期送达的或者未送达指定地点的投标文件；</w:t>
            </w:r>
            <w:bookmarkEnd w:id="11"/>
          </w:p>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outlineLvl w:val="0"/>
              <w:rPr>
                <w:rFonts w:hint="eastAsia" w:ascii="宋体" w:hAnsi="宋体" w:eastAsia="宋体" w:cs="宋体"/>
                <w:color w:val="auto"/>
                <w:sz w:val="24"/>
                <w:szCs w:val="24"/>
                <w:highlight w:val="none"/>
              </w:rPr>
            </w:pPr>
            <w:bookmarkStart w:id="12" w:name="_Toc2922"/>
            <w:r>
              <w:rPr>
                <w:rFonts w:hint="eastAsia" w:ascii="宋体" w:hAnsi="宋体" w:eastAsia="宋体" w:cs="宋体"/>
                <w:color w:val="auto"/>
                <w:sz w:val="24"/>
                <w:szCs w:val="24"/>
                <w:highlight w:val="none"/>
              </w:rPr>
              <w:t>2、投标文件未按招标文件要求密封的；</w:t>
            </w:r>
            <w:bookmarkEnd w:id="12"/>
          </w:p>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outlineLvl w:val="0"/>
              <w:rPr>
                <w:rFonts w:hint="eastAsia" w:ascii="宋体" w:hAnsi="宋体" w:eastAsia="宋体" w:cs="宋体"/>
                <w:color w:val="auto"/>
                <w:sz w:val="24"/>
                <w:szCs w:val="24"/>
                <w:highlight w:val="none"/>
              </w:rPr>
            </w:pPr>
            <w:bookmarkStart w:id="13" w:name="_Toc9790"/>
            <w:r>
              <w:rPr>
                <w:rFonts w:hint="eastAsia" w:ascii="宋体" w:hAnsi="宋体" w:eastAsia="宋体" w:cs="宋体"/>
                <w:color w:val="auto"/>
                <w:sz w:val="24"/>
                <w:szCs w:val="24"/>
                <w:highlight w:val="none"/>
              </w:rPr>
              <w:t>3、未按招标文件要求缴纳投标保证金的；</w:t>
            </w:r>
            <w:bookmarkEnd w:id="13"/>
          </w:p>
          <w:p>
            <w:pPr>
              <w:keepLines w:val="0"/>
              <w:pageBreakBefore w:val="0"/>
              <w:kinsoku/>
              <w:wordWrap/>
              <w:overflowPunct/>
              <w:topLinePunct w:val="0"/>
              <w:autoSpaceDE w:val="0"/>
              <w:autoSpaceDN w:val="0"/>
              <w:bidi w:val="0"/>
              <w:spacing w:line="360" w:lineRule="auto"/>
              <w:ind w:firstLine="480" w:firstLineChars="200"/>
              <w:jc w:val="left"/>
              <w:textAlignment w:val="auto"/>
              <w:outlineLvl w:val="0"/>
              <w:rPr>
                <w:rFonts w:hint="eastAsia" w:ascii="宋体" w:hAnsi="宋体" w:eastAsia="宋体" w:cs="宋体"/>
                <w:color w:val="auto"/>
                <w:sz w:val="24"/>
                <w:szCs w:val="24"/>
                <w:highlight w:val="none"/>
              </w:rPr>
            </w:pPr>
            <w:bookmarkStart w:id="14" w:name="_Toc5670"/>
            <w:r>
              <w:rPr>
                <w:rFonts w:hint="eastAsia" w:ascii="宋体" w:hAnsi="宋体" w:eastAsia="宋体" w:cs="宋体"/>
                <w:color w:val="auto"/>
                <w:sz w:val="24"/>
                <w:szCs w:val="24"/>
                <w:highlight w:val="none"/>
              </w:rPr>
              <w:t>4、开标时法定代表人或授权委托人（持有效的授权委托书）未携带本人身份证到开标现场并签到的；</w:t>
            </w:r>
            <w:bookmarkEnd w:id="14"/>
          </w:p>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5、未通过《全国公共资源交易平台（河南省▪许昌市）》系统下载招标文件的。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c>
          <w:tcPr>
            <w:tcW w:w="9143" w:type="dxa"/>
            <w:gridSpan w:val="5"/>
            <w:noWrap w:val="0"/>
            <w:vAlign w:val="center"/>
          </w:tcPr>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2、潜在投标人如对招标文件有异议，请在规定时间内在《全国公共资源交易平台（河南省·许昌市）》公共资源交易系统中提出，以其他方式递交的异议不予接受。</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3、投标人在投标截止时间前应随时关注《全国公共资源交易平台（河南省·许昌市）》公共资源交易系统发出的有关本项目的答疑、修改等相关内容。</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4、本项目试行全流程电子化交易，如因系统异常情况无法完成，将以人工方式进行。</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5、投标文件依据最终的招标文件进行编制。如果招标文件发生变更，投标人应以招标人最终发出的电子招标文件为准，编制投标文件，务请投标人随时关注项目变更信息。</w:t>
            </w:r>
          </w:p>
          <w:p>
            <w:pPr>
              <w:keepLines w:val="0"/>
              <w:pageBreakBefore w:val="0"/>
              <w:tabs>
                <w:tab w:val="left" w:pos="7095"/>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6、投标人电子投标文件成功提交后，应打印“投标文件提交回执单”，供开标现场备查。</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7、商务标投标文件制作注意事项：</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投标人登录《全国公共资源交易平台（河南省·许昌市）》公共资源交易系统下载“许昌投标文件制作系统SEARUN V1.1” 和操作手册（工程项目），按招标文件要求制作商务标投标文件。</w:t>
            </w:r>
          </w:p>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商务标投标文件制作技术咨询：0374-2961598。</w:t>
            </w:r>
          </w:p>
        </w:tc>
      </w:tr>
    </w:tbl>
    <w:p>
      <w:pPr>
        <w:autoSpaceDE w:val="0"/>
        <w:autoSpaceDN w:val="0"/>
        <w:spacing w:line="440" w:lineRule="exact"/>
        <w:ind w:firstLine="480" w:firstLineChars="200"/>
        <w:jc w:val="left"/>
        <w:rPr>
          <w:rFonts w:hint="eastAsia" w:hAnsi="宋体" w:cs="宋体"/>
          <w:b/>
          <w:bCs/>
          <w:color w:val="auto"/>
          <w:sz w:val="24"/>
          <w:highlight w:val="none"/>
        </w:rPr>
      </w:pPr>
      <w:bookmarkStart w:id="15" w:name="_Toc283559947"/>
      <w:bookmarkStart w:id="16" w:name="_Toc283559990"/>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p>
    <w:p>
      <w:pPr>
        <w:autoSpaceDE w:val="0"/>
        <w:autoSpaceDN w:val="0"/>
        <w:spacing w:line="440" w:lineRule="exact"/>
        <w:ind w:firstLine="480" w:firstLineChars="200"/>
        <w:jc w:val="left"/>
        <w:rPr>
          <w:rFonts w:hint="eastAsia" w:hAnsi="宋体" w:cs="宋体"/>
          <w:b/>
          <w:bCs/>
          <w:color w:val="auto"/>
          <w:sz w:val="24"/>
          <w:highlight w:val="none"/>
        </w:rPr>
      </w:pPr>
      <w:r>
        <w:rPr>
          <w:rFonts w:hint="eastAsia" w:hAnsi="宋体" w:cs="宋体"/>
          <w:b/>
          <w:bCs/>
          <w:color w:val="auto"/>
          <w:sz w:val="24"/>
          <w:highlight w:val="none"/>
        </w:rPr>
        <w:t>1. 总则</w:t>
      </w:r>
    </w:p>
    <w:p>
      <w:pPr>
        <w:autoSpaceDE w:val="0"/>
        <w:autoSpaceDN w:val="0"/>
        <w:spacing w:line="44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1.1 项目概况</w:t>
      </w:r>
      <w:r>
        <w:rPr>
          <w:rFonts w:hint="eastAsia" w:hAnsi="宋体" w:cs="宋体"/>
          <w:b/>
          <w:color w:val="auto"/>
          <w:sz w:val="24"/>
          <w:highlight w:val="none"/>
        </w:rPr>
        <w:tab/>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1.1.2 本招标项目招标人：见投标人须知前附表。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1.1.3 本招标项目招标代理机构：见投标人须知前附表。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1.1.4 本招标项目名称：见投标人须知前附表。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1.1.5 本标段建设地点：见投标人须知前附表。</w:t>
      </w:r>
    </w:p>
    <w:p>
      <w:pPr>
        <w:autoSpaceDE w:val="0"/>
        <w:autoSpaceDN w:val="0"/>
        <w:spacing w:line="44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1.2 资金来源和落实情况</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1.2.1 本招标项目的资金来源：见投标人须知前附表。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1.2.2 本招标项目的出资比例：见投标人须知前附表。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1.2.2本招标项目的资金落实情况：见投标人须知前附表。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1.3 招标范围、工期和质量要求</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1.3.1 本招标项目的招标范围：见投标人须知前附表。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1.3.2 本招标项目的工期要求：见投标人须知前附表。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1.3.3 本招标项目的质量要求：见投标人须知前附表。</w:t>
      </w:r>
    </w:p>
    <w:p>
      <w:pPr>
        <w:autoSpaceDE w:val="0"/>
        <w:autoSpaceDN w:val="0"/>
        <w:spacing w:line="44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1.4 投标人及项目经理资格要求</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1.4.1投标人、项目经理资格要求：见投标人须知前附表。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（3）联合体各方不得再以自己名义单独或参加其他联合体在同一标段中投标。</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投标人不得存在下列情形之一：</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（3）为本标段的监理人；</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（4）为本标段的代建人；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（5）为本标段提供招标代理服务的；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（9）被责令停业的；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（10）被暂停或取消投标资格的；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（11）财产被接管或冻结的；</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（12）在最近三年内有骗取中标或严重违约或重大工程质量问题的。</w:t>
      </w:r>
    </w:p>
    <w:p>
      <w:pPr>
        <w:autoSpaceDE w:val="0"/>
        <w:autoSpaceDN w:val="0"/>
        <w:spacing w:line="440" w:lineRule="exact"/>
        <w:ind w:firstLine="480" w:firstLineChars="200"/>
        <w:jc w:val="left"/>
        <w:rPr>
          <w:rFonts w:hint="eastAsia" w:hAnsi="宋体" w:cs="宋体"/>
          <w:b/>
          <w:color w:val="auto"/>
          <w:sz w:val="24"/>
          <w:highlight w:val="none"/>
        </w:rPr>
      </w:pPr>
      <w:bookmarkStart w:id="17" w:name="_Toc144974503"/>
      <w:bookmarkStart w:id="18" w:name="_Toc152042311"/>
      <w:bookmarkStart w:id="19" w:name="_Toc179632552"/>
      <w:bookmarkStart w:id="20" w:name="_Toc152045535"/>
      <w:r>
        <w:rPr>
          <w:rFonts w:hint="eastAsia" w:hAnsi="宋体" w:cs="宋体"/>
          <w:b/>
          <w:color w:val="auto"/>
          <w:sz w:val="24"/>
          <w:highlight w:val="none"/>
        </w:rPr>
        <w:t>1.5 费用承担</w:t>
      </w:r>
      <w:bookmarkEnd w:id="17"/>
      <w:bookmarkEnd w:id="18"/>
      <w:bookmarkEnd w:id="19"/>
      <w:bookmarkEnd w:id="20"/>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投标人准备和参加投标活动发生的费用自理，招标代理服务费计取办法参考原国家</w:t>
      </w:r>
      <w:r>
        <w:rPr>
          <w:rFonts w:hint="eastAsia" w:ascii="新宋体" w:eastAsia="新宋体"/>
          <w:color w:val="auto"/>
          <w:sz w:val="24"/>
          <w:highlight w:val="none"/>
        </w:rPr>
        <w:t>发改委【2011】534号文和发改价格[2015]299号文件规定，</w:t>
      </w:r>
      <w:r>
        <w:rPr>
          <w:rFonts w:hint="eastAsia" w:hAnsi="宋体" w:cs="宋体"/>
          <w:color w:val="auto"/>
          <w:sz w:val="24"/>
          <w:highlight w:val="none"/>
        </w:rPr>
        <w:t>由中标人支付。</w:t>
      </w:r>
    </w:p>
    <w:p>
      <w:pPr>
        <w:autoSpaceDE w:val="0"/>
        <w:autoSpaceDN w:val="0"/>
        <w:spacing w:line="440" w:lineRule="exact"/>
        <w:ind w:firstLine="480" w:firstLineChars="200"/>
        <w:jc w:val="left"/>
        <w:rPr>
          <w:rFonts w:hint="eastAsia" w:hAnsi="宋体" w:cs="宋体"/>
          <w:b/>
          <w:color w:val="auto"/>
          <w:sz w:val="24"/>
          <w:highlight w:val="none"/>
        </w:rPr>
      </w:pPr>
      <w:bookmarkStart w:id="21" w:name="_Toc144974504"/>
      <w:bookmarkStart w:id="22" w:name="_Toc152042312"/>
      <w:bookmarkStart w:id="23" w:name="_Toc179632553"/>
      <w:bookmarkStart w:id="24" w:name="_Toc152045536"/>
      <w:r>
        <w:rPr>
          <w:rFonts w:hint="eastAsia" w:hAnsi="宋体" w:cs="宋体"/>
          <w:b/>
          <w:color w:val="auto"/>
          <w:sz w:val="24"/>
          <w:highlight w:val="none"/>
        </w:rPr>
        <w:t>1.6 保密</w:t>
      </w:r>
      <w:bookmarkEnd w:id="21"/>
      <w:bookmarkEnd w:id="22"/>
      <w:bookmarkEnd w:id="23"/>
      <w:bookmarkEnd w:id="24"/>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ind w:firstLine="480" w:firstLineChars="200"/>
        <w:jc w:val="left"/>
        <w:rPr>
          <w:rFonts w:hint="eastAsia" w:hAnsi="宋体" w:cs="宋体"/>
          <w:b/>
          <w:color w:val="auto"/>
          <w:sz w:val="24"/>
          <w:highlight w:val="none"/>
        </w:rPr>
      </w:pPr>
      <w:bookmarkStart w:id="25" w:name="_Toc144974505"/>
      <w:bookmarkStart w:id="26" w:name="_Toc152042313"/>
      <w:bookmarkStart w:id="27" w:name="_Toc179632554"/>
      <w:bookmarkStart w:id="28" w:name="_Toc152045537"/>
      <w:r>
        <w:rPr>
          <w:rFonts w:hint="eastAsia" w:hAnsi="宋体" w:cs="宋体"/>
          <w:b/>
          <w:color w:val="auto"/>
          <w:sz w:val="24"/>
          <w:highlight w:val="none"/>
        </w:rPr>
        <w:t>1.7 语言</w:t>
      </w:r>
      <w:bookmarkEnd w:id="25"/>
      <w:r>
        <w:rPr>
          <w:rFonts w:hint="eastAsia" w:hAnsi="宋体" w:cs="宋体"/>
          <w:b/>
          <w:color w:val="auto"/>
          <w:sz w:val="24"/>
          <w:highlight w:val="none"/>
        </w:rPr>
        <w:t>文字</w:t>
      </w:r>
      <w:bookmarkEnd w:id="26"/>
      <w:bookmarkEnd w:id="27"/>
      <w:bookmarkEnd w:id="28"/>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除专用术语外，与招标投标有关的语言均使用中文。必要时专用术语应附有中文注释。</w:t>
      </w:r>
    </w:p>
    <w:p>
      <w:pPr>
        <w:autoSpaceDE w:val="0"/>
        <w:autoSpaceDN w:val="0"/>
        <w:spacing w:line="440" w:lineRule="exact"/>
        <w:ind w:firstLine="480" w:firstLineChars="200"/>
        <w:jc w:val="left"/>
        <w:rPr>
          <w:rFonts w:hint="eastAsia" w:hAnsi="宋体" w:cs="宋体"/>
          <w:b/>
          <w:color w:val="auto"/>
          <w:sz w:val="24"/>
          <w:highlight w:val="none"/>
        </w:rPr>
      </w:pPr>
      <w:bookmarkStart w:id="29" w:name="_Toc152045538"/>
      <w:bookmarkStart w:id="30" w:name="_Toc179632555"/>
      <w:bookmarkStart w:id="31" w:name="_Toc144974506"/>
      <w:bookmarkStart w:id="32" w:name="_Toc152042314"/>
      <w:r>
        <w:rPr>
          <w:rFonts w:hint="eastAsia" w:hAnsi="宋体" w:cs="宋体"/>
          <w:b/>
          <w:color w:val="auto"/>
          <w:sz w:val="24"/>
          <w:highlight w:val="none"/>
        </w:rPr>
        <w:t>1.8 计量单位</w:t>
      </w:r>
      <w:bookmarkEnd w:id="29"/>
      <w:bookmarkEnd w:id="30"/>
      <w:bookmarkEnd w:id="31"/>
      <w:bookmarkEnd w:id="32"/>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所有计量均采用中华人民共和国法定计量单位。</w:t>
      </w:r>
    </w:p>
    <w:p>
      <w:pPr>
        <w:autoSpaceDE w:val="0"/>
        <w:autoSpaceDN w:val="0"/>
        <w:spacing w:line="44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1.9 踏勘现场</w:t>
      </w:r>
      <w:bookmarkEnd w:id="15"/>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1.9.1 不组织。          </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1.9.2 投标人踏勘现场发生的费用自理。</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1.9.3 除招标人的原因外，投标人自行负责在踏勘现场中所发生的人员伤亡和财产损失。</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ind w:firstLine="480" w:firstLineChars="200"/>
        <w:jc w:val="left"/>
        <w:rPr>
          <w:rFonts w:hint="eastAsia" w:hAnsi="宋体" w:cs="宋体"/>
          <w:b/>
          <w:color w:val="auto"/>
          <w:sz w:val="24"/>
          <w:highlight w:val="none"/>
        </w:rPr>
      </w:pPr>
      <w:bookmarkStart w:id="33" w:name="_Toc283559948"/>
      <w:r>
        <w:rPr>
          <w:rFonts w:hint="eastAsia" w:hAnsi="宋体" w:cs="宋体"/>
          <w:b/>
          <w:color w:val="auto"/>
          <w:sz w:val="24"/>
          <w:highlight w:val="none"/>
        </w:rPr>
        <w:t>1.10 投标预备会</w:t>
      </w:r>
      <w:bookmarkEnd w:id="33"/>
    </w:p>
    <w:p>
      <w:pPr>
        <w:autoSpaceDE w:val="0"/>
        <w:autoSpaceDN w:val="0"/>
        <w:spacing w:line="450" w:lineRule="exact"/>
        <w:ind w:firstLine="480" w:firstLineChars="200"/>
        <w:jc w:val="left"/>
        <w:rPr>
          <w:rFonts w:hint="eastAsia" w:hAnsi="宋体" w:cs="宋体"/>
          <w:b/>
          <w:color w:val="auto"/>
          <w:sz w:val="24"/>
          <w:highlight w:val="none"/>
        </w:rPr>
      </w:pPr>
      <w:r>
        <w:rPr>
          <w:rFonts w:hint="eastAsia" w:hAnsi="宋体" w:cs="宋体"/>
          <w:color w:val="auto"/>
          <w:sz w:val="24"/>
          <w:highlight w:val="none"/>
        </w:rPr>
        <w:t>1.10.1 招标人不召开投标预备会。</w:t>
      </w:r>
    </w:p>
    <w:p>
      <w:pPr>
        <w:autoSpaceDE w:val="0"/>
        <w:autoSpaceDN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ind w:firstLine="480" w:firstLineChars="200"/>
        <w:jc w:val="left"/>
        <w:rPr>
          <w:rFonts w:hint="eastAsia" w:hAnsi="宋体" w:cs="宋体"/>
          <w:b/>
          <w:color w:val="auto"/>
          <w:sz w:val="24"/>
          <w:highlight w:val="none"/>
        </w:rPr>
      </w:pPr>
      <w:bookmarkStart w:id="34" w:name="_Toc283559949"/>
      <w:r>
        <w:rPr>
          <w:rFonts w:hint="eastAsia" w:hAnsi="宋体" w:cs="宋体"/>
          <w:b/>
          <w:color w:val="auto"/>
          <w:sz w:val="24"/>
          <w:highlight w:val="none"/>
        </w:rPr>
        <w:t>1.11 分包</w:t>
      </w:r>
      <w:bookmarkEnd w:id="34"/>
    </w:p>
    <w:p>
      <w:pPr>
        <w:autoSpaceDE w:val="0"/>
        <w:autoSpaceDN w:val="0"/>
        <w:spacing w:line="450" w:lineRule="exact"/>
        <w:ind w:firstLine="480" w:firstLineChars="200"/>
        <w:jc w:val="left"/>
        <w:rPr>
          <w:rFonts w:hint="eastAsia" w:hAnsi="宋体" w:cs="宋体"/>
          <w:b/>
          <w:color w:val="auto"/>
          <w:sz w:val="24"/>
          <w:highlight w:val="none"/>
        </w:rPr>
      </w:pPr>
      <w:r>
        <w:rPr>
          <w:rFonts w:hint="eastAsia" w:hAnsi="宋体" w:cs="宋体"/>
          <w:color w:val="auto"/>
          <w:sz w:val="24"/>
          <w:highlight w:val="none"/>
        </w:rPr>
        <w:t>不允许。</w:t>
      </w:r>
    </w:p>
    <w:p>
      <w:pPr>
        <w:autoSpaceDE w:val="0"/>
        <w:autoSpaceDN w:val="0"/>
        <w:adjustRightInd w:val="0"/>
        <w:spacing w:line="450" w:lineRule="exact"/>
        <w:ind w:firstLine="480" w:firstLineChars="200"/>
        <w:jc w:val="left"/>
        <w:rPr>
          <w:rFonts w:hint="eastAsia" w:hAnsi="宋体" w:cs="宋体"/>
          <w:b/>
          <w:color w:val="auto"/>
          <w:sz w:val="24"/>
          <w:highlight w:val="none"/>
        </w:rPr>
      </w:pPr>
      <w:bookmarkStart w:id="35" w:name="_Toc283559950"/>
      <w:r>
        <w:rPr>
          <w:rFonts w:hint="eastAsia" w:hAnsi="宋体" w:cs="宋体"/>
          <w:b/>
          <w:color w:val="auto"/>
          <w:sz w:val="24"/>
          <w:highlight w:val="none"/>
        </w:rPr>
        <w:t>1.12 偏离</w:t>
      </w:r>
      <w:bookmarkEnd w:id="35"/>
    </w:p>
    <w:p>
      <w:pPr>
        <w:autoSpaceDE w:val="0"/>
        <w:autoSpaceDN w:val="0"/>
        <w:adjustRightInd w:val="0"/>
        <w:spacing w:line="450" w:lineRule="exact"/>
        <w:ind w:firstLine="480" w:firstLineChars="200"/>
        <w:jc w:val="left"/>
        <w:rPr>
          <w:rFonts w:hint="eastAsia" w:hAnsi="宋体" w:cs="宋体"/>
          <w:b/>
          <w:color w:val="auto"/>
          <w:sz w:val="24"/>
          <w:highlight w:val="none"/>
        </w:rPr>
      </w:pPr>
      <w:r>
        <w:rPr>
          <w:rFonts w:hint="eastAsia" w:hAnsi="宋体" w:cs="宋体"/>
          <w:color w:val="auto"/>
          <w:sz w:val="24"/>
          <w:highlight w:val="none"/>
        </w:rPr>
        <w:t>投标人须知前附表允许投标文件偏离招标文件某些要求的，偏离应当符合招标文件规定的偏离范围和幅度。</w:t>
      </w:r>
    </w:p>
    <w:p>
      <w:pPr>
        <w:pStyle w:val="16"/>
        <w:spacing w:line="450" w:lineRule="exact"/>
        <w:ind w:firstLine="480" w:firstLineChars="200"/>
        <w:jc w:val="both"/>
        <w:rPr>
          <w:rFonts w:hint="eastAsia" w:hAnsi="宋体"/>
          <w:b/>
          <w:color w:val="auto"/>
          <w:highlight w:val="none"/>
        </w:rPr>
      </w:pPr>
      <w:bookmarkStart w:id="36" w:name="_Toc283559951"/>
      <w:r>
        <w:rPr>
          <w:rFonts w:hint="eastAsia" w:hAnsi="宋体"/>
          <w:b/>
          <w:color w:val="auto"/>
          <w:highlight w:val="none"/>
        </w:rPr>
        <w:t>2. 招标文件</w:t>
      </w:r>
      <w:bookmarkEnd w:id="36"/>
    </w:p>
    <w:p>
      <w:pPr>
        <w:autoSpaceDE w:val="0"/>
        <w:autoSpaceDN w:val="0"/>
        <w:spacing w:line="450" w:lineRule="exact"/>
        <w:ind w:firstLine="480" w:firstLineChars="200"/>
        <w:jc w:val="left"/>
        <w:rPr>
          <w:rFonts w:hint="eastAsia" w:hAnsi="宋体" w:cs="宋体"/>
          <w:b/>
          <w:color w:val="auto"/>
          <w:sz w:val="24"/>
          <w:highlight w:val="none"/>
        </w:rPr>
      </w:pPr>
      <w:bookmarkStart w:id="37" w:name="_Toc283559952"/>
      <w:r>
        <w:rPr>
          <w:rFonts w:hint="eastAsia" w:hAnsi="宋体" w:cs="宋体"/>
          <w:b/>
          <w:color w:val="auto"/>
          <w:sz w:val="24"/>
          <w:highlight w:val="none"/>
        </w:rPr>
        <w:t>2.1 招标文件的组成</w:t>
      </w:r>
      <w:bookmarkEnd w:id="37"/>
    </w:p>
    <w:p>
      <w:pPr>
        <w:autoSpaceDE w:val="0"/>
        <w:autoSpaceDN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本招标文件包括：</w:t>
      </w:r>
    </w:p>
    <w:p>
      <w:pPr>
        <w:spacing w:line="450" w:lineRule="exact"/>
        <w:ind w:firstLine="480" w:firstLineChars="200"/>
        <w:rPr>
          <w:rFonts w:hint="eastAsia" w:hAnsi="宋体" w:cs="宋体"/>
          <w:color w:val="auto"/>
          <w:sz w:val="24"/>
          <w:highlight w:val="none"/>
        </w:rPr>
      </w:pPr>
      <w:r>
        <w:rPr>
          <w:rFonts w:hint="eastAsia" w:hAnsi="宋体" w:cs="宋体"/>
          <w:color w:val="auto"/>
          <w:sz w:val="24"/>
          <w:highlight w:val="none"/>
        </w:rPr>
        <w:t>（1）招标公告；</w:t>
      </w:r>
    </w:p>
    <w:p>
      <w:pPr>
        <w:spacing w:line="450" w:lineRule="exact"/>
        <w:ind w:firstLine="480" w:firstLineChars="200"/>
        <w:rPr>
          <w:rFonts w:hint="eastAsia" w:hAnsi="宋体" w:cs="宋体"/>
          <w:color w:val="auto"/>
          <w:sz w:val="24"/>
          <w:highlight w:val="none"/>
        </w:rPr>
      </w:pPr>
      <w:r>
        <w:rPr>
          <w:rFonts w:hint="eastAsia" w:hAnsi="宋体" w:cs="宋体"/>
          <w:color w:val="auto"/>
          <w:sz w:val="24"/>
          <w:highlight w:val="none"/>
        </w:rPr>
        <w:t>（2）投标人须知；</w:t>
      </w:r>
    </w:p>
    <w:p>
      <w:pPr>
        <w:spacing w:line="450" w:lineRule="exact"/>
        <w:ind w:firstLine="480" w:firstLineChars="200"/>
        <w:rPr>
          <w:rFonts w:hint="eastAsia" w:hAnsi="宋体" w:cs="宋体"/>
          <w:color w:val="auto"/>
          <w:sz w:val="24"/>
          <w:highlight w:val="none"/>
        </w:rPr>
      </w:pPr>
      <w:r>
        <w:rPr>
          <w:rFonts w:hint="eastAsia" w:hAnsi="宋体" w:cs="宋体"/>
          <w:color w:val="auto"/>
          <w:sz w:val="24"/>
          <w:highlight w:val="none"/>
        </w:rPr>
        <w:t>（3）评标办法；</w:t>
      </w:r>
    </w:p>
    <w:p>
      <w:pPr>
        <w:spacing w:line="450" w:lineRule="exact"/>
        <w:ind w:firstLine="480" w:firstLineChars="200"/>
        <w:rPr>
          <w:rFonts w:hint="eastAsia" w:hAnsi="宋体" w:cs="宋体"/>
          <w:color w:val="auto"/>
          <w:sz w:val="24"/>
          <w:highlight w:val="none"/>
        </w:rPr>
      </w:pPr>
      <w:r>
        <w:rPr>
          <w:rFonts w:hint="eastAsia" w:hAnsi="宋体" w:cs="宋体"/>
          <w:color w:val="auto"/>
          <w:sz w:val="24"/>
          <w:highlight w:val="none"/>
        </w:rPr>
        <w:t>（4）合同条款及格式；</w:t>
      </w:r>
    </w:p>
    <w:p>
      <w:pPr>
        <w:spacing w:line="450" w:lineRule="exact"/>
        <w:ind w:firstLine="480" w:firstLineChars="200"/>
        <w:rPr>
          <w:rFonts w:hint="eastAsia" w:hAnsi="宋体" w:cs="宋体"/>
          <w:color w:val="auto"/>
          <w:sz w:val="24"/>
          <w:highlight w:val="none"/>
        </w:rPr>
      </w:pPr>
      <w:r>
        <w:rPr>
          <w:rFonts w:hint="eastAsia" w:hAnsi="宋体" w:cs="宋体"/>
          <w:color w:val="auto"/>
          <w:sz w:val="24"/>
          <w:highlight w:val="none"/>
        </w:rPr>
        <w:t xml:space="preserve">（5）工程量清单； </w:t>
      </w:r>
    </w:p>
    <w:p>
      <w:pPr>
        <w:spacing w:line="450" w:lineRule="exact"/>
        <w:ind w:firstLine="480" w:firstLineChars="200"/>
        <w:rPr>
          <w:rFonts w:hint="eastAsia" w:hAnsi="宋体" w:cs="宋体"/>
          <w:color w:val="auto"/>
          <w:sz w:val="24"/>
          <w:highlight w:val="none"/>
        </w:rPr>
      </w:pPr>
      <w:r>
        <w:rPr>
          <w:rFonts w:hint="eastAsia" w:hAnsi="宋体" w:cs="宋体"/>
          <w:color w:val="auto"/>
          <w:sz w:val="24"/>
          <w:highlight w:val="none"/>
        </w:rPr>
        <w:t xml:space="preserve">（6）图纸； </w:t>
      </w:r>
    </w:p>
    <w:p>
      <w:pPr>
        <w:spacing w:line="450" w:lineRule="exact"/>
        <w:ind w:firstLine="480" w:firstLineChars="200"/>
        <w:rPr>
          <w:rFonts w:hint="eastAsia" w:hAnsi="宋体" w:cs="宋体"/>
          <w:color w:val="auto"/>
          <w:sz w:val="24"/>
          <w:highlight w:val="none"/>
        </w:rPr>
      </w:pPr>
      <w:r>
        <w:rPr>
          <w:rFonts w:hint="eastAsia" w:hAnsi="宋体" w:cs="宋体"/>
          <w:color w:val="auto"/>
          <w:sz w:val="24"/>
          <w:highlight w:val="none"/>
        </w:rPr>
        <w:t>（7）技术标准和要求；</w:t>
      </w:r>
    </w:p>
    <w:p>
      <w:pPr>
        <w:spacing w:line="450" w:lineRule="exact"/>
        <w:ind w:firstLine="480" w:firstLineChars="200"/>
        <w:rPr>
          <w:rFonts w:hint="eastAsia" w:hAnsi="宋体" w:cs="宋体"/>
          <w:color w:val="auto"/>
          <w:sz w:val="24"/>
          <w:highlight w:val="none"/>
        </w:rPr>
      </w:pPr>
      <w:r>
        <w:rPr>
          <w:rFonts w:hint="eastAsia" w:hAnsi="宋体" w:cs="宋体"/>
          <w:color w:val="auto"/>
          <w:sz w:val="24"/>
          <w:highlight w:val="none"/>
        </w:rPr>
        <w:t>（8）投标文件格式；</w:t>
      </w:r>
    </w:p>
    <w:p>
      <w:pPr>
        <w:spacing w:line="450" w:lineRule="exact"/>
        <w:ind w:firstLine="480" w:firstLineChars="200"/>
        <w:rPr>
          <w:rFonts w:hint="eastAsia" w:hAnsi="宋体" w:cs="宋体"/>
          <w:color w:val="auto"/>
          <w:sz w:val="24"/>
          <w:highlight w:val="none"/>
        </w:rPr>
      </w:pPr>
      <w:r>
        <w:rPr>
          <w:rFonts w:hint="eastAsia" w:hAnsi="宋体" w:cs="宋体"/>
          <w:color w:val="auto"/>
          <w:sz w:val="24"/>
          <w:highlight w:val="none"/>
        </w:rPr>
        <w:t>（9）投标人须知前附表规定的其他材料；</w:t>
      </w:r>
    </w:p>
    <w:p>
      <w:pPr>
        <w:autoSpaceDE w:val="0"/>
        <w:autoSpaceDN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根据本章第2.2 款和第2.3 款对招标文件所作的澄清、修改，构成招标文件的组成部分。</w:t>
      </w:r>
    </w:p>
    <w:p>
      <w:pPr>
        <w:autoSpaceDE w:val="0"/>
        <w:autoSpaceDN w:val="0"/>
        <w:spacing w:line="450" w:lineRule="exact"/>
        <w:ind w:firstLine="480" w:firstLineChars="200"/>
        <w:jc w:val="left"/>
        <w:rPr>
          <w:rFonts w:hint="eastAsia" w:hAnsi="宋体" w:cs="宋体"/>
          <w:b/>
          <w:color w:val="auto"/>
          <w:sz w:val="24"/>
          <w:highlight w:val="none"/>
        </w:rPr>
      </w:pPr>
      <w:bookmarkStart w:id="38" w:name="_Toc283559953"/>
      <w:r>
        <w:rPr>
          <w:rFonts w:hint="eastAsia" w:hAnsi="宋体" w:cs="宋体"/>
          <w:b/>
          <w:color w:val="auto"/>
          <w:sz w:val="24"/>
          <w:highlight w:val="none"/>
        </w:rPr>
        <w:t>2.2 招标文件的澄清</w:t>
      </w:r>
      <w:bookmarkEnd w:id="38"/>
    </w:p>
    <w:p>
      <w:pPr>
        <w:autoSpaceDE w:val="0"/>
        <w:autoSpaceDN w:val="0"/>
        <w:adjustRightInd w:val="0"/>
        <w:spacing w:line="450" w:lineRule="exact"/>
        <w:ind w:firstLine="480" w:firstLineChars="200"/>
        <w:jc w:val="left"/>
        <w:rPr>
          <w:rFonts w:hint="eastAsia" w:hAnsi="宋体" w:cs="宋体"/>
          <w:color w:val="auto"/>
          <w:sz w:val="24"/>
          <w:highlight w:val="none"/>
        </w:rPr>
      </w:pPr>
      <w:bookmarkStart w:id="39" w:name="_Toc283559954"/>
      <w:r>
        <w:rPr>
          <w:rFonts w:hint="eastAsia" w:hAnsi="宋体" w:cs="宋体"/>
          <w:color w:val="auto"/>
          <w:sz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highlight w:val="none"/>
        </w:rPr>
        <w:t>如未提出异议，视为全面接受。</w:t>
      </w:r>
    </w:p>
    <w:p>
      <w:pPr>
        <w:autoSpaceDE w:val="0"/>
        <w:autoSpaceDN w:val="0"/>
        <w:adjustRightInd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2.2.3 所有澄清、答疑全部以《全国公共资源交易平台（河南省·许昌市）》公共资源交易系统发出的为准，不再接受书面形式的递交。</w:t>
      </w:r>
    </w:p>
    <w:p>
      <w:pPr>
        <w:autoSpaceDE w:val="0"/>
        <w:autoSpaceDN w:val="0"/>
        <w:spacing w:line="45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2.3 招标文件的修改</w:t>
      </w:r>
      <w:bookmarkEnd w:id="39"/>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2.3.2 当招标文件、补充通知、答疑纪要，内容相互矛盾时，以最后发出的通知或纪要为准。</w:t>
      </w:r>
    </w:p>
    <w:p>
      <w:pPr>
        <w:autoSpaceDE w:val="0"/>
        <w:autoSpaceDN w:val="0"/>
        <w:spacing w:line="420" w:lineRule="exact"/>
        <w:ind w:firstLine="480" w:firstLineChars="200"/>
        <w:jc w:val="left"/>
        <w:rPr>
          <w:rFonts w:hint="eastAsia" w:hAnsi="宋体" w:cs="宋体"/>
          <w:b/>
          <w:color w:val="auto"/>
          <w:sz w:val="24"/>
          <w:highlight w:val="none"/>
        </w:rPr>
      </w:pPr>
      <w:bookmarkStart w:id="40" w:name="_Toc152042322"/>
      <w:bookmarkStart w:id="41" w:name="_Toc144974514"/>
      <w:bookmarkStart w:id="42" w:name="_Toc152045546"/>
      <w:bookmarkStart w:id="43" w:name="_Toc179632564"/>
      <w:r>
        <w:rPr>
          <w:rFonts w:hint="eastAsia" w:hAnsi="宋体" w:cs="宋体"/>
          <w:b/>
          <w:color w:val="auto"/>
          <w:sz w:val="24"/>
          <w:highlight w:val="none"/>
        </w:rPr>
        <w:t>3. 投标文件</w:t>
      </w:r>
      <w:bookmarkEnd w:id="40"/>
      <w:bookmarkEnd w:id="41"/>
      <w:bookmarkEnd w:id="42"/>
      <w:bookmarkEnd w:id="43"/>
    </w:p>
    <w:p>
      <w:pPr>
        <w:autoSpaceDE w:val="0"/>
        <w:autoSpaceDN w:val="0"/>
        <w:spacing w:line="420" w:lineRule="exact"/>
        <w:ind w:firstLine="480" w:firstLineChars="200"/>
        <w:jc w:val="left"/>
        <w:rPr>
          <w:rFonts w:hint="eastAsia" w:hAnsi="宋体" w:cs="宋体"/>
          <w:b/>
          <w:color w:val="auto"/>
          <w:sz w:val="24"/>
          <w:highlight w:val="none"/>
        </w:rPr>
      </w:pPr>
      <w:bookmarkStart w:id="44" w:name="_Toc278443453"/>
      <w:r>
        <w:rPr>
          <w:rFonts w:hint="eastAsia" w:hAnsi="宋体" w:cs="宋体"/>
          <w:b/>
          <w:color w:val="auto"/>
          <w:sz w:val="24"/>
          <w:highlight w:val="none"/>
        </w:rPr>
        <w:t>3.1投标文件由商务标、综合（信用）标和技术标三部分组成。</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3.1.1  商务标组成：</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已标价工程量清单</w:t>
      </w:r>
    </w:p>
    <w:p>
      <w:pPr>
        <w:autoSpaceDE w:val="0"/>
        <w:autoSpaceDN w:val="0"/>
        <w:spacing w:line="420" w:lineRule="exact"/>
        <w:ind w:firstLine="480" w:firstLineChars="200"/>
        <w:jc w:val="left"/>
        <w:outlineLvl w:val="0"/>
        <w:rPr>
          <w:rFonts w:hint="eastAsia" w:hAnsi="宋体" w:cs="宋体"/>
          <w:color w:val="auto"/>
          <w:sz w:val="24"/>
          <w:highlight w:val="none"/>
        </w:rPr>
      </w:pPr>
      <w:bookmarkStart w:id="45" w:name="_Toc8758"/>
      <w:r>
        <w:rPr>
          <w:rFonts w:hint="eastAsia" w:hAnsi="宋体" w:cs="宋体"/>
          <w:color w:val="auto"/>
          <w:sz w:val="24"/>
          <w:highlight w:val="none"/>
        </w:rPr>
        <w:t>3.1.2综合（信用）标组成：</w:t>
      </w:r>
      <w:bookmarkEnd w:id="45"/>
    </w:p>
    <w:p>
      <w:pPr>
        <w:autoSpaceDE w:val="0"/>
        <w:autoSpaceDN w:val="0"/>
        <w:spacing w:line="420" w:lineRule="exact"/>
        <w:ind w:firstLine="480" w:firstLineChars="200"/>
        <w:jc w:val="left"/>
        <w:outlineLvl w:val="0"/>
        <w:rPr>
          <w:rFonts w:hint="eastAsia" w:hAnsi="宋体" w:cs="宋体"/>
          <w:color w:val="auto"/>
          <w:sz w:val="24"/>
          <w:highlight w:val="none"/>
        </w:rPr>
      </w:pPr>
      <w:bookmarkStart w:id="46" w:name="_Toc21470"/>
      <w:r>
        <w:rPr>
          <w:rFonts w:hint="eastAsia" w:hAnsi="宋体" w:cs="宋体"/>
          <w:color w:val="auto"/>
          <w:sz w:val="24"/>
          <w:highlight w:val="none"/>
        </w:rPr>
        <w:t>（1）投标函及投标函附录；</w:t>
      </w:r>
      <w:bookmarkEnd w:id="46"/>
    </w:p>
    <w:p>
      <w:pPr>
        <w:autoSpaceDE w:val="0"/>
        <w:autoSpaceDN w:val="0"/>
        <w:spacing w:line="420" w:lineRule="exact"/>
        <w:ind w:firstLine="480" w:firstLineChars="200"/>
        <w:jc w:val="left"/>
        <w:outlineLvl w:val="0"/>
        <w:rPr>
          <w:rFonts w:hint="eastAsia" w:hAnsi="宋体" w:cs="宋体"/>
          <w:color w:val="auto"/>
          <w:sz w:val="24"/>
          <w:highlight w:val="none"/>
        </w:rPr>
      </w:pPr>
      <w:bookmarkStart w:id="47" w:name="_Toc16850"/>
      <w:r>
        <w:rPr>
          <w:rFonts w:hint="eastAsia" w:hAnsi="宋体" w:cs="宋体"/>
          <w:color w:val="auto"/>
          <w:sz w:val="24"/>
          <w:highlight w:val="none"/>
        </w:rPr>
        <w:t>（2）法定代表人身份证明、授权委托书及项目负责人承诺书；</w:t>
      </w:r>
      <w:bookmarkEnd w:id="47"/>
    </w:p>
    <w:p>
      <w:pPr>
        <w:autoSpaceDE w:val="0"/>
        <w:autoSpaceDN w:val="0"/>
        <w:spacing w:line="420" w:lineRule="exact"/>
        <w:ind w:firstLine="480" w:firstLineChars="200"/>
        <w:jc w:val="left"/>
        <w:outlineLvl w:val="0"/>
        <w:rPr>
          <w:rFonts w:hint="eastAsia" w:hAnsi="宋体" w:cs="宋体"/>
          <w:color w:val="auto"/>
          <w:sz w:val="24"/>
          <w:highlight w:val="none"/>
        </w:rPr>
      </w:pPr>
      <w:bookmarkStart w:id="48" w:name="_Toc8670"/>
      <w:r>
        <w:rPr>
          <w:rFonts w:hint="eastAsia" w:hAnsi="宋体" w:cs="宋体"/>
          <w:color w:val="auto"/>
          <w:sz w:val="24"/>
          <w:highlight w:val="none"/>
        </w:rPr>
        <w:t>（3）投标保证金；</w:t>
      </w:r>
      <w:bookmarkEnd w:id="48"/>
    </w:p>
    <w:p>
      <w:pPr>
        <w:autoSpaceDE w:val="0"/>
        <w:autoSpaceDN w:val="0"/>
        <w:spacing w:line="440" w:lineRule="exact"/>
        <w:ind w:firstLine="480" w:firstLineChars="200"/>
        <w:jc w:val="left"/>
        <w:outlineLvl w:val="0"/>
        <w:rPr>
          <w:rFonts w:hint="eastAsia" w:hAnsi="宋体" w:cs="宋体"/>
          <w:color w:val="auto"/>
          <w:sz w:val="24"/>
          <w:highlight w:val="none"/>
        </w:rPr>
      </w:pPr>
      <w:bookmarkStart w:id="49" w:name="_Toc11248"/>
      <w:r>
        <w:rPr>
          <w:rFonts w:hint="eastAsia" w:hAnsi="宋体" w:cs="宋体"/>
          <w:color w:val="auto"/>
          <w:sz w:val="24"/>
          <w:highlight w:val="none"/>
        </w:rPr>
        <w:t>（4）项目管理机构配备情况；</w:t>
      </w:r>
      <w:bookmarkEnd w:id="49"/>
      <w:r>
        <w:rPr>
          <w:rFonts w:hint="eastAsia" w:hAnsi="宋体" w:cs="宋体"/>
          <w:color w:val="auto"/>
          <w:sz w:val="24"/>
          <w:highlight w:val="none"/>
        </w:rPr>
        <w:t xml:space="preserve"> </w:t>
      </w:r>
    </w:p>
    <w:p>
      <w:pPr>
        <w:autoSpaceDE w:val="0"/>
        <w:autoSpaceDN w:val="0"/>
        <w:spacing w:line="440" w:lineRule="exact"/>
        <w:ind w:firstLine="480" w:firstLineChars="200"/>
        <w:jc w:val="left"/>
        <w:outlineLvl w:val="0"/>
        <w:rPr>
          <w:rFonts w:hint="eastAsia" w:hAnsi="宋体" w:cs="宋体"/>
          <w:color w:val="auto"/>
          <w:sz w:val="24"/>
          <w:highlight w:val="none"/>
        </w:rPr>
      </w:pPr>
      <w:bookmarkStart w:id="50" w:name="_Toc22350"/>
      <w:r>
        <w:rPr>
          <w:rFonts w:hint="eastAsia" w:hAnsi="宋体" w:cs="宋体"/>
          <w:color w:val="auto"/>
          <w:sz w:val="24"/>
          <w:highlight w:val="none"/>
        </w:rPr>
        <w:t>（5）投标单位基本信息表；</w:t>
      </w:r>
      <w:bookmarkEnd w:id="50"/>
    </w:p>
    <w:p>
      <w:pPr>
        <w:autoSpaceDE w:val="0"/>
        <w:autoSpaceDN w:val="0"/>
        <w:spacing w:line="440" w:lineRule="exact"/>
        <w:ind w:firstLine="480" w:firstLineChars="200"/>
        <w:jc w:val="left"/>
        <w:outlineLvl w:val="0"/>
        <w:rPr>
          <w:rFonts w:hint="eastAsia" w:hAnsi="宋体" w:cs="宋体"/>
          <w:color w:val="auto"/>
          <w:sz w:val="24"/>
          <w:highlight w:val="none"/>
        </w:rPr>
      </w:pPr>
      <w:bookmarkStart w:id="51" w:name="_Toc24554"/>
      <w:r>
        <w:rPr>
          <w:rFonts w:hint="eastAsia" w:hAnsi="宋体" w:cs="宋体"/>
          <w:color w:val="auto"/>
          <w:sz w:val="24"/>
          <w:highlight w:val="none"/>
        </w:rPr>
        <w:t>（6）资格证明文件；</w:t>
      </w:r>
      <w:bookmarkEnd w:id="51"/>
    </w:p>
    <w:p>
      <w:pPr>
        <w:autoSpaceDE w:val="0"/>
        <w:autoSpaceDN w:val="0"/>
        <w:spacing w:line="440" w:lineRule="exact"/>
        <w:ind w:firstLine="480" w:firstLineChars="200"/>
        <w:jc w:val="left"/>
        <w:outlineLvl w:val="0"/>
        <w:rPr>
          <w:rFonts w:hint="eastAsia" w:hAnsi="宋体" w:cs="宋体"/>
          <w:color w:val="auto"/>
          <w:sz w:val="24"/>
          <w:highlight w:val="none"/>
        </w:rPr>
      </w:pPr>
      <w:bookmarkStart w:id="52" w:name="_Toc12192"/>
      <w:r>
        <w:rPr>
          <w:rFonts w:hint="eastAsia" w:hAnsi="宋体" w:cs="宋体"/>
          <w:color w:val="auto"/>
          <w:sz w:val="24"/>
          <w:highlight w:val="none"/>
        </w:rPr>
        <w:t>（7）</w:t>
      </w:r>
      <w:bookmarkEnd w:id="52"/>
      <w:r>
        <w:rPr>
          <w:rFonts w:hint="eastAsia" w:hAnsi="宋体" w:cs="宋体"/>
          <w:color w:val="auto"/>
          <w:sz w:val="24"/>
          <w:highlight w:val="none"/>
        </w:rPr>
        <w:t>近年完成的类似项目情况；</w:t>
      </w:r>
    </w:p>
    <w:p>
      <w:pPr>
        <w:autoSpaceDE w:val="0"/>
        <w:autoSpaceDN w:val="0"/>
        <w:spacing w:line="440" w:lineRule="exact"/>
        <w:ind w:firstLine="480" w:firstLineChars="200"/>
        <w:jc w:val="left"/>
        <w:outlineLvl w:val="0"/>
        <w:rPr>
          <w:rFonts w:hint="eastAsia" w:hAnsi="宋体" w:cs="宋体"/>
          <w:color w:val="auto"/>
          <w:sz w:val="24"/>
          <w:highlight w:val="none"/>
        </w:rPr>
      </w:pPr>
      <w:bookmarkStart w:id="53" w:name="_Toc9930"/>
      <w:r>
        <w:rPr>
          <w:rFonts w:hint="eastAsia" w:hAnsi="宋体" w:cs="宋体"/>
          <w:color w:val="auto"/>
          <w:sz w:val="24"/>
          <w:highlight w:val="none"/>
        </w:rPr>
        <w:t>（8）</w:t>
      </w:r>
      <w:bookmarkEnd w:id="53"/>
      <w:r>
        <w:rPr>
          <w:rFonts w:hint="eastAsia" w:hAnsi="宋体" w:cs="宋体"/>
          <w:color w:val="auto"/>
          <w:sz w:val="24"/>
          <w:highlight w:val="none"/>
        </w:rPr>
        <w:t>正在施工的和新承接的项目情况；</w:t>
      </w:r>
    </w:p>
    <w:p>
      <w:pPr>
        <w:autoSpaceDE w:val="0"/>
        <w:autoSpaceDN w:val="0"/>
        <w:spacing w:line="440" w:lineRule="exact"/>
        <w:ind w:firstLine="480" w:firstLineChars="200"/>
        <w:jc w:val="left"/>
        <w:outlineLvl w:val="0"/>
        <w:rPr>
          <w:rFonts w:hint="eastAsia" w:hAnsi="宋体" w:cs="宋体"/>
          <w:color w:val="auto"/>
          <w:sz w:val="24"/>
          <w:highlight w:val="none"/>
        </w:rPr>
      </w:pPr>
      <w:bookmarkStart w:id="54" w:name="_Toc26009"/>
      <w:r>
        <w:rPr>
          <w:rFonts w:hint="eastAsia" w:hAnsi="宋体" w:cs="宋体"/>
          <w:color w:val="auto"/>
          <w:sz w:val="24"/>
          <w:highlight w:val="none"/>
        </w:rPr>
        <w:t>（9）</w:t>
      </w:r>
      <w:bookmarkEnd w:id="54"/>
      <w:r>
        <w:rPr>
          <w:rFonts w:hint="eastAsia" w:hAnsi="宋体" w:cs="宋体"/>
          <w:color w:val="auto"/>
          <w:sz w:val="24"/>
          <w:highlight w:val="none"/>
        </w:rPr>
        <w:t>近年发生的诉讼及仲裁；</w:t>
      </w:r>
    </w:p>
    <w:p>
      <w:pPr>
        <w:autoSpaceDE w:val="0"/>
        <w:autoSpaceDN w:val="0"/>
        <w:spacing w:line="440" w:lineRule="exact"/>
        <w:ind w:firstLine="480" w:firstLineChars="200"/>
        <w:jc w:val="left"/>
        <w:outlineLvl w:val="0"/>
        <w:rPr>
          <w:rFonts w:hint="eastAsia" w:hAnsi="宋体" w:cs="宋体"/>
          <w:color w:val="auto"/>
          <w:sz w:val="24"/>
          <w:highlight w:val="none"/>
        </w:rPr>
      </w:pPr>
      <w:bookmarkStart w:id="55" w:name="_Toc30392"/>
      <w:r>
        <w:rPr>
          <w:rFonts w:hint="eastAsia" w:hAnsi="宋体" w:cs="宋体"/>
          <w:color w:val="auto"/>
          <w:sz w:val="24"/>
          <w:highlight w:val="none"/>
        </w:rPr>
        <w:t>（10）</w:t>
      </w:r>
      <w:bookmarkEnd w:id="55"/>
      <w:r>
        <w:rPr>
          <w:rFonts w:hint="eastAsia" w:hAnsi="宋体" w:cs="宋体"/>
          <w:color w:val="auto"/>
          <w:sz w:val="24"/>
          <w:highlight w:val="none"/>
        </w:rPr>
        <w:t>其它材料；</w:t>
      </w:r>
    </w:p>
    <w:p>
      <w:pPr>
        <w:autoSpaceDE w:val="0"/>
        <w:autoSpaceDN w:val="0"/>
        <w:spacing w:line="440" w:lineRule="exact"/>
        <w:ind w:firstLine="480" w:firstLineChars="200"/>
        <w:jc w:val="left"/>
        <w:outlineLvl w:val="0"/>
        <w:rPr>
          <w:rFonts w:hint="eastAsia" w:hAnsi="宋体" w:cs="宋体"/>
          <w:color w:val="auto"/>
          <w:sz w:val="24"/>
          <w:highlight w:val="none"/>
        </w:rPr>
      </w:pPr>
      <w:r>
        <w:rPr>
          <w:rFonts w:hint="eastAsia" w:hAnsi="宋体" w:cs="宋体"/>
          <w:color w:val="auto"/>
          <w:sz w:val="24"/>
          <w:highlight w:val="none"/>
        </w:rPr>
        <w:t>3.1.3  技术标组成：</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（1）内容完整性；</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（2）主要施工方案与技术措施；</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（3）质量管理体系与措施；</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（4）安全管理体系与措施；</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（5）文明施工、环境保护管理体系及施工现场扬尘治理措施；</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（6）工期保证措施；</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（7）拟投入资源配备计划；</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（8）施工进度表与网络计划图；</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（9）施工总平面图布置；</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（10）技术创新的应用实施措施；</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（11）采用新工艺、新技术、新设备、新材料、BIM等的程度；</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（12）施工现场实施信息化监控和数据处理；</w:t>
      </w:r>
    </w:p>
    <w:p>
      <w:pPr>
        <w:autoSpaceDE w:val="0"/>
        <w:autoSpaceDN w:val="0"/>
        <w:spacing w:line="420" w:lineRule="exact"/>
        <w:ind w:firstLine="480" w:firstLineChars="200"/>
        <w:jc w:val="left"/>
        <w:rPr>
          <w:rFonts w:hint="eastAsia" w:hAnsi="宋体" w:cs="宋体"/>
          <w:b w:val="0"/>
          <w:bCs w:val="0"/>
          <w:color w:val="auto"/>
          <w:sz w:val="24"/>
          <w:highlight w:val="none"/>
        </w:rPr>
      </w:pPr>
      <w:r>
        <w:rPr>
          <w:rFonts w:hint="eastAsia" w:hAnsi="宋体" w:cs="宋体"/>
          <w:b w:val="0"/>
          <w:bCs w:val="0"/>
          <w:color w:val="auto"/>
          <w:sz w:val="24"/>
          <w:highlight w:val="none"/>
        </w:rPr>
        <w:t>（13）风险管理措施；</w:t>
      </w:r>
    </w:p>
    <w:p>
      <w:pPr>
        <w:autoSpaceDE w:val="0"/>
        <w:autoSpaceDN w:val="0"/>
        <w:spacing w:line="420" w:lineRule="exact"/>
        <w:ind w:firstLine="480" w:firstLineChars="200"/>
        <w:jc w:val="left"/>
        <w:rPr>
          <w:rFonts w:hint="eastAsia" w:hAnsi="宋体" w:cs="宋体"/>
          <w:b/>
          <w:bCs/>
          <w:color w:val="auto"/>
          <w:sz w:val="24"/>
          <w:highlight w:val="none"/>
        </w:rPr>
      </w:pPr>
      <w:r>
        <w:rPr>
          <w:rFonts w:hint="eastAsia" w:hAnsi="宋体" w:cs="宋体"/>
          <w:b/>
          <w:bCs/>
          <w:color w:val="auto"/>
          <w:sz w:val="24"/>
          <w:highlight w:val="none"/>
        </w:rPr>
        <w:t>3.2 投标报价</w:t>
      </w:r>
    </w:p>
    <w:p>
      <w:pPr>
        <w:tabs>
          <w:tab w:val="left" w:pos="1260"/>
        </w:tabs>
        <w:autoSpaceDE w:val="0"/>
        <w:autoSpaceDN w:val="0"/>
        <w:adjustRightInd w:val="0"/>
        <w:spacing w:line="460" w:lineRule="exact"/>
        <w:ind w:firstLine="480" w:firstLineChars="200"/>
        <w:jc w:val="left"/>
        <w:rPr>
          <w:rFonts w:hint="eastAsia" w:hAnsi="宋体" w:cs="宋体"/>
          <w:color w:val="auto"/>
          <w:sz w:val="24"/>
          <w:highlight w:val="none"/>
        </w:rPr>
      </w:pPr>
      <w:bookmarkStart w:id="56" w:name="OLE_LINK21"/>
      <w:r>
        <w:rPr>
          <w:rFonts w:hint="eastAsia" w:hAnsi="宋体" w:cs="宋体"/>
          <w:color w:val="auto"/>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3.2.2 投标人在投标截止时间前修改投标函中的投标总报价，应同时修改第五章“工程量清单”中的相应报价。此修改须符合本章第4.3款的有关要求。</w:t>
      </w:r>
    </w:p>
    <w:bookmarkEnd w:id="56"/>
    <w:p>
      <w:pPr>
        <w:tabs>
          <w:tab w:val="left" w:pos="1260"/>
        </w:tabs>
        <w:autoSpaceDE w:val="0"/>
        <w:autoSpaceDN w:val="0"/>
        <w:adjustRightInd w:val="0"/>
        <w:spacing w:line="460" w:lineRule="exact"/>
        <w:ind w:firstLine="480"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投标人编制投标报价时，同一投标文件综合工日应前后保持一致。”</w:t>
      </w:r>
    </w:p>
    <w:p>
      <w:pPr>
        <w:tabs>
          <w:tab w:val="left" w:pos="3060"/>
        </w:tabs>
        <w:autoSpaceDE w:val="0"/>
        <w:autoSpaceDN w:val="0"/>
        <w:spacing w:line="440" w:lineRule="exact"/>
        <w:ind w:firstLine="480" w:firstLineChars="200"/>
        <w:jc w:val="left"/>
        <w:rPr>
          <w:rFonts w:hint="eastAsia" w:hAnsi="宋体" w:cs="宋体"/>
          <w:b/>
          <w:bCs/>
          <w:color w:val="auto"/>
          <w:sz w:val="24"/>
          <w:highlight w:val="none"/>
        </w:rPr>
      </w:pPr>
      <w:r>
        <w:rPr>
          <w:rFonts w:hint="eastAsia" w:hAnsi="宋体" w:cs="宋体"/>
          <w:b/>
          <w:bCs/>
          <w:color w:val="auto"/>
          <w:sz w:val="24"/>
          <w:highlight w:val="none"/>
        </w:rPr>
        <w:t>3.3 投标有效期</w:t>
      </w:r>
      <w:bookmarkEnd w:id="44"/>
      <w:r>
        <w:rPr>
          <w:rFonts w:hint="eastAsia" w:hAnsi="宋体" w:cs="宋体"/>
          <w:b/>
          <w:bCs/>
          <w:color w:val="auto"/>
          <w:sz w:val="24"/>
          <w:highlight w:val="none"/>
        </w:rPr>
        <w:tab/>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ind w:firstLine="480" w:firstLineChars="200"/>
        <w:jc w:val="left"/>
        <w:rPr>
          <w:rFonts w:hint="eastAsia" w:hAnsi="宋体" w:cs="宋体"/>
          <w:b/>
          <w:bCs/>
          <w:color w:val="auto"/>
          <w:sz w:val="24"/>
          <w:highlight w:val="none"/>
        </w:rPr>
      </w:pPr>
      <w:bookmarkStart w:id="57" w:name="_Toc282436964"/>
      <w:bookmarkStart w:id="58" w:name="_Toc283559960"/>
      <w:r>
        <w:rPr>
          <w:rFonts w:hint="eastAsia" w:hAnsi="宋体" w:cs="宋体"/>
          <w:b/>
          <w:bCs/>
          <w:color w:val="auto"/>
          <w:sz w:val="24"/>
          <w:highlight w:val="none"/>
        </w:rPr>
        <w:t xml:space="preserve">3.4 </w:t>
      </w:r>
      <w:bookmarkEnd w:id="57"/>
      <w:r>
        <w:rPr>
          <w:rFonts w:hint="eastAsia" w:hAnsi="宋体" w:cs="宋体"/>
          <w:b/>
          <w:bCs/>
          <w:color w:val="auto"/>
          <w:sz w:val="24"/>
          <w:highlight w:val="none"/>
        </w:rPr>
        <w:t>投标保证金</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3.4.1.2 基本户备案流程：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工程建设项目的投标人登录注册网址：</w:t>
      </w:r>
      <w:r>
        <w:rPr>
          <w:rFonts w:hint="eastAsia" w:hAnsi="宋体"/>
          <w:color w:val="auto"/>
          <w:sz w:val="24"/>
          <w:szCs w:val="24"/>
          <w:highlight w:val="none"/>
        </w:rPr>
        <w:t>http://ggzy.xuchang.gov.cn</w:t>
      </w:r>
      <w:r>
        <w:rPr>
          <w:rFonts w:hint="eastAsia" w:hAnsi="宋体" w:cs="宋体"/>
          <w:color w:val="auto"/>
          <w:sz w:val="24"/>
          <w:highlight w:val="none"/>
        </w:rPr>
        <w:t>，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3.4.2.2 投标保证金缴纳方式：</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投标人网上报名后</w:t>
      </w:r>
      <w:r>
        <w:rPr>
          <w:rFonts w:hint="eastAsia" w:hAnsi="宋体" w:cs="宋体"/>
          <w:color w:val="auto"/>
          <w:sz w:val="24"/>
          <w:highlight w:val="none"/>
        </w:rPr>
        <w:t>，</w:t>
      </w:r>
      <w:r>
        <w:rPr>
          <w:rFonts w:hint="eastAsia" w:hAnsi="宋体" w:cs="宋体"/>
          <w:color w:val="auto"/>
          <w:sz w:val="24"/>
          <w:highlight w:val="none"/>
          <w:lang w:val="zh-CN"/>
        </w:rPr>
        <w:t>登录</w:t>
      </w:r>
      <w:r>
        <w:rPr>
          <w:rFonts w:hint="eastAsia" w:hAnsi="宋体"/>
          <w:color w:val="auto"/>
          <w:sz w:val="24"/>
          <w:szCs w:val="24"/>
          <w:highlight w:val="none"/>
        </w:rPr>
        <w:t>http://ggzy.xuchang.gov.cn</w:t>
      </w:r>
      <w:r>
        <w:rPr>
          <w:rFonts w:hint="eastAsia" w:hAnsi="宋体" w:cs="宋体"/>
          <w:color w:val="auto"/>
          <w:sz w:val="24"/>
          <w:highlight w:val="none"/>
          <w:lang w:val="zh-CN"/>
        </w:rPr>
        <w:t>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费用缴纳说明</w:t>
      </w:r>
      <w:r>
        <w:rPr>
          <w:rFonts w:hint="eastAsia" w:hAnsi="宋体" w:cs="宋体"/>
          <w:color w:val="auto"/>
          <w:sz w:val="24"/>
          <w:highlight w:val="none"/>
        </w:rPr>
        <w:t>”→“</w:t>
      </w:r>
      <w:r>
        <w:rPr>
          <w:rFonts w:hint="eastAsia" w:hAnsi="宋体" w:cs="宋体"/>
          <w:color w:val="auto"/>
          <w:sz w:val="24"/>
          <w:highlight w:val="none"/>
          <w:lang w:val="zh-CN"/>
        </w:rPr>
        <w:t>保证金缴纳说明单</w:t>
      </w:r>
      <w:r>
        <w:rPr>
          <w:rFonts w:hint="eastAsia" w:hAnsi="宋体" w:cs="宋体"/>
          <w:color w:val="auto"/>
          <w:sz w:val="24"/>
          <w:highlight w:val="none"/>
        </w:rPr>
        <w:t>”，</w:t>
      </w:r>
      <w:r>
        <w:rPr>
          <w:rFonts w:hint="eastAsia" w:hAnsi="宋体" w:cs="宋体"/>
          <w:color w:val="auto"/>
          <w:sz w:val="24"/>
          <w:highlight w:val="none"/>
          <w:lang w:val="zh-CN"/>
        </w:rPr>
        <w:t>获取缴费说明单</w:t>
      </w:r>
      <w:r>
        <w:rPr>
          <w:rFonts w:hint="eastAsia" w:hAnsi="宋体" w:cs="宋体"/>
          <w:color w:val="auto"/>
          <w:sz w:val="24"/>
          <w:highlight w:val="none"/>
        </w:rPr>
        <w:t>，</w:t>
      </w:r>
      <w:r>
        <w:rPr>
          <w:rFonts w:hint="eastAsia" w:hAnsi="宋体" w:cs="宋体"/>
          <w:color w:val="auto"/>
          <w:sz w:val="24"/>
          <w:highlight w:val="none"/>
          <w:lang w:val="zh-CN"/>
        </w:rPr>
        <w:t>根据每个标段的缴纳说明单在缴纳截止时间前缴纳</w:t>
      </w:r>
      <w:r>
        <w:rPr>
          <w:rFonts w:hint="eastAsia" w:hAnsi="宋体" w:cs="宋体"/>
          <w:color w:val="auto"/>
          <w:sz w:val="24"/>
          <w:highlight w:val="none"/>
        </w:rPr>
        <w:t>；</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成功缴纳后重新登录前述系统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保证金绑定</w:t>
      </w:r>
      <w:r>
        <w:rPr>
          <w:rFonts w:hint="eastAsia" w:hAnsi="宋体" w:cs="宋体"/>
          <w:color w:val="auto"/>
          <w:sz w:val="24"/>
          <w:highlight w:val="none"/>
        </w:rPr>
        <w:t>”→“</w:t>
      </w:r>
      <w:r>
        <w:rPr>
          <w:rFonts w:hint="eastAsia" w:hAnsi="宋体" w:cs="宋体"/>
          <w:color w:val="auto"/>
          <w:sz w:val="24"/>
          <w:highlight w:val="none"/>
          <w:lang w:val="zh-CN"/>
        </w:rPr>
        <w:t>绑定</w:t>
      </w:r>
      <w:r>
        <w:rPr>
          <w:rFonts w:hint="eastAsia" w:hAnsi="宋体" w:cs="宋体"/>
          <w:color w:val="auto"/>
          <w:sz w:val="24"/>
          <w:highlight w:val="none"/>
        </w:rPr>
        <w:t>”</w:t>
      </w:r>
      <w:r>
        <w:rPr>
          <w:rFonts w:hint="eastAsia" w:hAnsi="宋体" w:cs="宋体"/>
          <w:color w:val="auto"/>
          <w:sz w:val="24"/>
          <w:highlight w:val="none"/>
          <w:lang w:val="zh-CN"/>
        </w:rPr>
        <w:t>进行投标保证金绑定。</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3.4.2.3 每个投标人每个项目每个标段只有唯一缴纳账号，</w:t>
      </w:r>
      <w:r>
        <w:rPr>
          <w:rFonts w:hint="eastAsia" w:hAnsi="宋体" w:cs="宋体"/>
          <w:color w:val="auto"/>
          <w:sz w:val="24"/>
          <w:highlight w:val="none"/>
        </w:rPr>
        <w:t>切勿重复缴纳或错误缴纳。</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3.4.2.4</w:t>
      </w:r>
      <w:r>
        <w:rPr>
          <w:rFonts w:hint="eastAsia" w:hAnsi="宋体" w:cs="宋体"/>
          <w:color w:val="auto"/>
          <w:sz w:val="24"/>
          <w:highlight w:val="none"/>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 xml:space="preserve">3.4.2.6 </w:t>
      </w:r>
      <w:r>
        <w:rPr>
          <w:rFonts w:hint="eastAsia" w:hAnsi="宋体" w:cs="宋体"/>
          <w:color w:val="auto"/>
          <w:sz w:val="24"/>
          <w:highlight w:val="none"/>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(1)投标保证金未从投标人的基本账户转出；</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(2)投标保证金未按照招标文件划分的标段转账。</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3.4.4 投标保证金的退还：</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（3）项目废标或招标人终止招标的，在此后5个工作日内退还投标保证金及银行同期活期存利息。</w:t>
      </w:r>
      <w:r>
        <w:rPr>
          <w:rFonts w:hint="eastAsia" w:hAnsi="宋体" w:cs="宋体"/>
          <w:color w:val="auto"/>
          <w:sz w:val="24"/>
          <w:highlight w:val="none"/>
        </w:rPr>
        <w:br w:type="textWrapping"/>
      </w:r>
      <w:r>
        <w:rPr>
          <w:rFonts w:hint="eastAsia" w:hAnsi="宋体" w:cs="宋体"/>
          <w:color w:val="auto"/>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投标人投标过程中因账户开户银行、银行账号发生变化，不能按照来款途径原路返还投标保证金的，投标人须提供原账户开户银行相关证明及新开账户开户许可证，</w:t>
      </w:r>
      <w:r>
        <w:rPr>
          <w:rFonts w:hint="eastAsia" w:ascii="宋体" w:hAnsi="宋体" w:eastAsia="宋体" w:cs="宋体"/>
          <w:color w:val="auto"/>
          <w:sz w:val="24"/>
          <w:szCs w:val="24"/>
          <w:highlight w:val="none"/>
        </w:rPr>
        <w:t>到襄城县公共资源交易中心1209室工程股</w:t>
      </w:r>
      <w:r>
        <w:rPr>
          <w:rFonts w:hint="eastAsia" w:ascii="新宋体" w:hAnsi="新宋体" w:eastAsia="新宋体" w:cs="仿宋_GB2312"/>
          <w:color w:val="auto"/>
          <w:sz w:val="24"/>
          <w:highlight w:val="none"/>
        </w:rPr>
        <w:t>办理退款手续。</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 （5）拒绝履行合同义务的；</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rPr>
        <w:t>（6）</w:t>
      </w:r>
      <w:r>
        <w:rPr>
          <w:rFonts w:hint="eastAsia" w:hAnsi="宋体" w:cs="宋体"/>
          <w:color w:val="auto"/>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（7）相关法律、法规规定不予退还的其它情形。 </w:t>
      </w:r>
    </w:p>
    <w:p>
      <w:pPr>
        <w:autoSpaceDE w:val="0"/>
        <w:autoSpaceDN w:val="0"/>
        <w:spacing w:line="42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3.5 资格审查资料</w:t>
      </w:r>
    </w:p>
    <w:p>
      <w:pPr>
        <w:tabs>
          <w:tab w:val="left" w:pos="1260"/>
        </w:tabs>
        <w:autoSpaceDE w:val="0"/>
        <w:autoSpaceDN w:val="0"/>
        <w:adjustRightInd w:val="0"/>
        <w:spacing w:line="46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3.5.1 “投标人基本情况表”应附投标人营业执照副本、资质证书副本和安全生产许可证等材料的原件扫描件或图片。</w:t>
      </w:r>
    </w:p>
    <w:p>
      <w:pPr>
        <w:tabs>
          <w:tab w:val="left" w:pos="1260"/>
        </w:tabs>
        <w:autoSpaceDE w:val="0"/>
        <w:autoSpaceDN w:val="0"/>
        <w:adjustRightInd w:val="0"/>
        <w:spacing w:line="46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3.5.3 “近年完成的类似项目情况表”应附提供施工合同的原件扫描件或图片，具体年份要求见投标人须知前附表。 </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3.5.4 “正在施工和新承接的项目情况表”应附中标通知书和合同协议书的原件扫描件或图片。 </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 xml:space="preserve">3.6 </w:t>
      </w:r>
      <w:bookmarkStart w:id="59" w:name="_Toc179632571"/>
      <w:bookmarkStart w:id="60" w:name="_Toc152042329"/>
      <w:bookmarkStart w:id="61" w:name="_Toc152045553"/>
      <w:bookmarkStart w:id="62" w:name="_Toc144974521"/>
      <w:r>
        <w:rPr>
          <w:rFonts w:hint="eastAsia" w:hAnsi="宋体" w:cs="宋体"/>
          <w:b/>
          <w:color w:val="auto"/>
          <w:sz w:val="24"/>
          <w:highlight w:val="none"/>
        </w:rPr>
        <w:t>备选投标方案</w:t>
      </w:r>
    </w:p>
    <w:bookmarkEnd w:id="59"/>
    <w:bookmarkEnd w:id="60"/>
    <w:bookmarkEnd w:id="61"/>
    <w:bookmarkEnd w:id="62"/>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3.7 投标文件的编制</w:t>
      </w:r>
      <w:bookmarkEnd w:id="58"/>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3.7.2 投标文件应当对招标文件有关工期、投标有效期、质量要求、招标范围作出响应，否则按无效标处理。</w:t>
      </w:r>
    </w:p>
    <w:p>
      <w:pPr>
        <w:tabs>
          <w:tab w:val="left" w:pos="7095"/>
        </w:tabs>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auto"/>
          <w:sz w:val="24"/>
          <w:szCs w:val="24"/>
          <w:highlight w:val="none"/>
        </w:rPr>
      </w:pPr>
      <w:r>
        <w:rPr>
          <w:rFonts w:hint="eastAsia" w:hAnsi="宋体" w:cs="宋体"/>
          <w:color w:val="auto"/>
          <w:sz w:val="24"/>
          <w:highlight w:val="none"/>
        </w:rPr>
        <w:t xml:space="preserve">3.7.4 </w:t>
      </w:r>
      <w:r>
        <w:rPr>
          <w:rFonts w:hint="eastAsia" w:hAnsi="宋体"/>
          <w:color w:val="auto"/>
          <w:sz w:val="24"/>
          <w:szCs w:val="24"/>
          <w:highlight w:val="none"/>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3.7.5 使用电子介质存储的备份文件</w:t>
      </w:r>
      <w:r>
        <w:rPr>
          <w:rFonts w:hint="eastAsia" w:hAnsi="宋体" w:cs="宋体"/>
          <w:color w:val="auto"/>
          <w:sz w:val="24"/>
          <w:highlight w:val="none"/>
          <w:lang w:val="en-US" w:eastAsia="zh-CN"/>
        </w:rPr>
        <w:t>3</w:t>
      </w:r>
      <w:r>
        <w:rPr>
          <w:rFonts w:hint="eastAsia" w:hAnsi="宋体" w:cs="宋体"/>
          <w:color w:val="auto"/>
          <w:sz w:val="24"/>
          <w:highlight w:val="none"/>
        </w:rPr>
        <w:t>份。</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3.7.6 同时生成与电子投标文件内容、水印码、</w:t>
      </w:r>
      <w:r>
        <w:rPr>
          <w:rFonts w:hint="eastAsia" w:hAnsi="宋体" w:cs="宋体"/>
          <w:b/>
          <w:color w:val="auto"/>
          <w:sz w:val="24"/>
          <w:highlight w:val="none"/>
        </w:rPr>
        <w:t>电子签章</w:t>
      </w:r>
      <w:r>
        <w:rPr>
          <w:rFonts w:hint="eastAsia" w:hAnsi="宋体" w:cs="宋体"/>
          <w:color w:val="auto"/>
          <w:sz w:val="24"/>
          <w:highlight w:val="none"/>
        </w:rPr>
        <w:t>一致的PDF文件。</w:t>
      </w:r>
      <w:bookmarkStart w:id="63" w:name="_Toc283559961"/>
    </w:p>
    <w:p>
      <w:pPr>
        <w:autoSpaceDE w:val="0"/>
        <w:autoSpaceDN w:val="0"/>
        <w:adjustRightInd w:val="0"/>
        <w:spacing w:line="46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3.7.9 商务标投标文件制作注意事项：</w:t>
      </w:r>
    </w:p>
    <w:p>
      <w:pPr>
        <w:autoSpaceDE w:val="0"/>
        <w:autoSpaceDN w:val="0"/>
        <w:adjustRightInd w:val="0"/>
        <w:spacing w:line="46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3.7.9.2 商务标投标文件制作技术咨询：0374-2961598。</w:t>
      </w:r>
    </w:p>
    <w:p>
      <w:pPr>
        <w:autoSpaceDE w:val="0"/>
        <w:autoSpaceDN w:val="0"/>
        <w:adjustRightInd w:val="0"/>
        <w:spacing w:line="44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4. 投标</w:t>
      </w:r>
      <w:bookmarkEnd w:id="63"/>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64" w:name="_Toc283559962"/>
      <w:r>
        <w:rPr>
          <w:rFonts w:hint="eastAsia" w:hAnsi="宋体" w:cs="宋体"/>
          <w:b/>
          <w:color w:val="auto"/>
          <w:sz w:val="24"/>
          <w:highlight w:val="none"/>
        </w:rPr>
        <w:t>4.1 投标文件的密封和标记</w:t>
      </w:r>
      <w:bookmarkEnd w:id="64"/>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4.1.1 使用电子介质存储的投标文件应分开单独密封，并加盖单位公章，法定代表人或委托代理人签名，在投标截止时间前递交。</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4.1.2 未按本章第4.1.1项要求密封和加写标记的投标文件，招标人不予受理。</w:t>
      </w:r>
    </w:p>
    <w:p>
      <w:pPr>
        <w:autoSpaceDE w:val="0"/>
        <w:autoSpaceDN w:val="0"/>
        <w:spacing w:line="44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4.2 投标文件的提交</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4.2.1 投标人应在投标人须知前附表中规定的投标截止时间前成功上传电子投标文件、现场提交电子介质存储的投标文件。</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4.2.2 投标人提交电子介质存储的投标文件地点：见投标人须知前附表。</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4.2.4 逾期送达的或者未送达指定地点的电子介质存储的投标文件，招标人不予受理。</w:t>
      </w:r>
    </w:p>
    <w:p>
      <w:pPr>
        <w:autoSpaceDE w:val="0"/>
        <w:autoSpaceDN w:val="0"/>
        <w:spacing w:line="440" w:lineRule="exact"/>
        <w:ind w:firstLine="480" w:firstLineChars="200"/>
        <w:jc w:val="left"/>
        <w:rPr>
          <w:rFonts w:hint="eastAsia" w:hAnsi="宋体" w:cs="宋体"/>
          <w:b/>
          <w:color w:val="auto"/>
          <w:sz w:val="24"/>
          <w:highlight w:val="none"/>
        </w:rPr>
      </w:pPr>
      <w:bookmarkStart w:id="65" w:name="_Toc283559964"/>
      <w:r>
        <w:rPr>
          <w:rFonts w:hint="eastAsia" w:hAnsi="宋体" w:cs="宋体"/>
          <w:b/>
          <w:color w:val="auto"/>
          <w:sz w:val="24"/>
          <w:highlight w:val="none"/>
        </w:rPr>
        <w:t>4.3 投标文件的修改与撤回</w:t>
      </w:r>
      <w:bookmarkEnd w:id="65"/>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ind w:firstLine="480" w:firstLineChars="200"/>
        <w:jc w:val="both"/>
        <w:rPr>
          <w:rFonts w:hint="eastAsia" w:hAnsi="宋体"/>
          <w:b/>
          <w:color w:val="auto"/>
          <w:highlight w:val="none"/>
        </w:rPr>
      </w:pPr>
      <w:bookmarkStart w:id="66" w:name="_Toc283559967"/>
      <w:r>
        <w:rPr>
          <w:rFonts w:hint="eastAsia" w:hAnsi="宋体"/>
          <w:b/>
          <w:color w:val="auto"/>
          <w:highlight w:val="none"/>
        </w:rPr>
        <w:t>5. 开标</w:t>
      </w:r>
      <w:bookmarkEnd w:id="66"/>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67" w:name="_Toc283559968"/>
      <w:r>
        <w:rPr>
          <w:rFonts w:hint="eastAsia" w:hAnsi="宋体" w:cs="宋体"/>
          <w:b/>
          <w:color w:val="auto"/>
          <w:sz w:val="24"/>
          <w:highlight w:val="none"/>
        </w:rPr>
        <w:t>5.1 开标时间和地点</w:t>
      </w:r>
      <w:bookmarkEnd w:id="67"/>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68" w:name="_Toc283559970"/>
      <w:r>
        <w:rPr>
          <w:rFonts w:hint="eastAsia" w:hAnsi="宋体" w:cs="宋体"/>
          <w:b/>
          <w:color w:val="auto"/>
          <w:sz w:val="24"/>
          <w:highlight w:val="none"/>
        </w:rPr>
        <w:t>5.2 开标、解密、唱标程序</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5.2.1主持人按下列程序进行开标：</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（1）宣布投标截止时间，并公布招标人、代理机构、监督部门名称；</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（2）宣布开标纪律；</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（3）公布在投标截止时间前递交投标文件的投标人名称和投标保证金缴纳情况；</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（4）电子投标文件解密；</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（5）宣布唱标顺序，按已定顺序唱标，唱标内容为：投标人名称、投标报价、质量目标、工期及其他内容，并记录；</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6</w:t>
      </w:r>
      <w:r>
        <w:rPr>
          <w:rFonts w:hint="eastAsia" w:hAnsi="宋体" w:cs="宋体"/>
          <w:color w:val="auto"/>
          <w:sz w:val="24"/>
          <w:highlight w:val="none"/>
        </w:rPr>
        <w:t>）现场抽取参与计算评标基准价的K值并宣布，同时公布招标控制价；</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7</w:t>
      </w:r>
      <w:r>
        <w:rPr>
          <w:rFonts w:hint="eastAsia" w:hAnsi="宋体" w:cs="宋体"/>
          <w:color w:val="auto"/>
          <w:sz w:val="24"/>
          <w:highlight w:val="none"/>
        </w:rPr>
        <w:t>）投标人代表、招标人代表、监标人、记录人等有关人员在开标记录上签字确认；</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8</w:t>
      </w:r>
      <w:r>
        <w:rPr>
          <w:rFonts w:hint="eastAsia" w:hAnsi="宋体" w:cs="宋体"/>
          <w:color w:val="auto"/>
          <w:sz w:val="24"/>
          <w:highlight w:val="none"/>
        </w:rPr>
        <w:t>）开标结束。</w:t>
      </w:r>
    </w:p>
    <w:p>
      <w:pPr>
        <w:ind w:firstLine="480" w:firstLineChars="200"/>
        <w:rPr>
          <w:rFonts w:hAnsi="宋体"/>
          <w:color w:val="auto"/>
          <w:sz w:val="24"/>
          <w:szCs w:val="24"/>
          <w:highlight w:val="none"/>
        </w:rPr>
      </w:pPr>
      <w:r>
        <w:rPr>
          <w:rFonts w:hint="eastAsia" w:hAnsi="宋体"/>
          <w:color w:val="auto"/>
          <w:sz w:val="24"/>
          <w:szCs w:val="24"/>
          <w:highlight w:val="none"/>
        </w:rPr>
        <w:t>5.</w:t>
      </w:r>
      <w:r>
        <w:rPr>
          <w:rFonts w:hAnsi="宋体"/>
          <w:color w:val="auto"/>
          <w:sz w:val="24"/>
          <w:szCs w:val="24"/>
          <w:highlight w:val="none"/>
        </w:rPr>
        <w:t>2</w:t>
      </w:r>
      <w:r>
        <w:rPr>
          <w:rFonts w:hint="eastAsia" w:hAnsi="宋体"/>
          <w:color w:val="auto"/>
          <w:sz w:val="24"/>
          <w:szCs w:val="24"/>
          <w:highlight w:val="none"/>
        </w:rPr>
        <w:t>.2 电子投标文件的解密</w:t>
      </w:r>
    </w:p>
    <w:p>
      <w:pPr>
        <w:spacing w:line="360" w:lineRule="auto"/>
        <w:ind w:firstLine="480" w:firstLineChars="200"/>
        <w:rPr>
          <w:rFonts w:hint="eastAsia" w:hAnsi="宋体" w:cs="宋体"/>
          <w:color w:val="auto"/>
          <w:sz w:val="24"/>
          <w:highlight w:val="none"/>
        </w:rPr>
      </w:pPr>
      <w:r>
        <w:rPr>
          <w:rFonts w:hint="eastAsia" w:hAnsi="宋体"/>
          <w:color w:val="auto"/>
          <w:sz w:val="24"/>
          <w:szCs w:val="24"/>
          <w:highlight w:val="none"/>
        </w:rPr>
        <w:t>5.2.2.1本项目为全流程电子化交易项目，电子投标文件采用双重加密。在投标截止时间到达后，</w:t>
      </w:r>
      <w:r>
        <w:rPr>
          <w:rFonts w:hint="eastAsia" w:hAnsi="宋体" w:cs="宋体"/>
          <w:color w:val="auto"/>
          <w:sz w:val="24"/>
          <w:highlight w:val="none"/>
        </w:rPr>
        <w:t>分标段进行解密。</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(1)投标人解密：投标人使用本单位CA数字证书远程或现场进行解密。</w:t>
      </w:r>
      <w:r>
        <w:rPr>
          <w:rFonts w:hint="eastAsia" w:hAnsi="宋体"/>
          <w:color w:val="auto"/>
          <w:sz w:val="24"/>
          <w:szCs w:val="24"/>
          <w:highlight w:val="none"/>
        </w:rPr>
        <w:t>需现场使用一体机进行解密的，请在代理机构引导下进行。</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(2)代理机构解密：代理机构</w:t>
      </w:r>
      <w:r>
        <w:rPr>
          <w:rFonts w:hAnsi="宋体" w:cs="宋体"/>
          <w:color w:val="auto"/>
          <w:sz w:val="24"/>
          <w:highlight w:val="none"/>
        </w:rPr>
        <w:t>按</w:t>
      </w:r>
      <w:r>
        <w:rPr>
          <w:rFonts w:hint="eastAsia" w:hAnsi="宋体" w:cs="宋体"/>
          <w:color w:val="auto"/>
          <w:sz w:val="24"/>
          <w:highlight w:val="none"/>
        </w:rPr>
        <w:t>电子</w:t>
      </w:r>
      <w:r>
        <w:rPr>
          <w:rFonts w:hAnsi="宋体" w:cs="宋体"/>
          <w:color w:val="auto"/>
          <w:sz w:val="24"/>
          <w:highlight w:val="none"/>
        </w:rPr>
        <w:t>投标</w:t>
      </w:r>
      <w:r>
        <w:rPr>
          <w:rFonts w:hint="eastAsia" w:hAnsi="宋体" w:cs="宋体"/>
          <w:color w:val="auto"/>
          <w:sz w:val="24"/>
          <w:highlight w:val="none"/>
        </w:rPr>
        <w:t>文件到达交易系统</w:t>
      </w:r>
      <w:r>
        <w:rPr>
          <w:rFonts w:hAnsi="宋体" w:cs="宋体"/>
          <w:color w:val="auto"/>
          <w:sz w:val="24"/>
          <w:highlight w:val="none"/>
        </w:rPr>
        <w:t>的先后顺序</w:t>
      </w:r>
      <w:r>
        <w:rPr>
          <w:rFonts w:hint="eastAsia" w:hAnsi="宋体" w:cs="宋体"/>
          <w:color w:val="auto"/>
          <w:sz w:val="24"/>
          <w:highlight w:val="none"/>
        </w:rPr>
        <w:t>，使用本单位CA数字证书进行再次解密。</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5.2.2.2电子投标文件解密异常情况处理</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）因电子交易系统异常无法解密电子投标文件的，以人工方式进行。</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440" w:lineRule="exact"/>
        <w:ind w:firstLine="480" w:firstLineChars="200"/>
        <w:jc w:val="both"/>
        <w:rPr>
          <w:rFonts w:hint="eastAsia" w:hAnsi="宋体"/>
          <w:b/>
          <w:color w:val="auto"/>
          <w:highlight w:val="none"/>
        </w:rPr>
      </w:pPr>
      <w:r>
        <w:rPr>
          <w:rFonts w:hint="eastAsia" w:hAnsi="宋体"/>
          <w:b/>
          <w:color w:val="auto"/>
          <w:highlight w:val="none"/>
        </w:rPr>
        <w:t>6. 评标</w:t>
      </w:r>
      <w:bookmarkEnd w:id="68"/>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69" w:name="_Toc283559971"/>
      <w:r>
        <w:rPr>
          <w:rFonts w:hint="eastAsia" w:hAnsi="宋体" w:cs="宋体"/>
          <w:b/>
          <w:color w:val="auto"/>
          <w:sz w:val="24"/>
          <w:highlight w:val="none"/>
        </w:rPr>
        <w:t>6.1 评标委员会</w:t>
      </w:r>
      <w:bookmarkEnd w:id="69"/>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6.1.2 评标委员会成员有下列情形之一的，应当回避：</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（1）招标人或投标人的主要负责人的近亲属；</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（2）项目主管部门或者行政监督部门的人员；</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（3）与投标人有经济利益关系，可能影响对投标公正评审的；</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（4）曾因在招标、评标以及其他与招标投标有关活动中从事违法行为而受过行政处罚或刑事处罚的。</w:t>
      </w:r>
    </w:p>
    <w:p>
      <w:pPr>
        <w:autoSpaceDE w:val="0"/>
        <w:autoSpaceDN w:val="0"/>
        <w:spacing w:line="440" w:lineRule="exact"/>
        <w:ind w:firstLine="480" w:firstLineChars="200"/>
        <w:jc w:val="left"/>
        <w:rPr>
          <w:rFonts w:hint="eastAsia" w:hAnsi="宋体" w:cs="宋体"/>
          <w:b/>
          <w:color w:val="auto"/>
          <w:sz w:val="24"/>
          <w:highlight w:val="none"/>
        </w:rPr>
      </w:pPr>
      <w:bookmarkStart w:id="70" w:name="_Toc283559972"/>
      <w:r>
        <w:rPr>
          <w:rFonts w:hint="eastAsia" w:hAnsi="宋体" w:cs="宋体"/>
          <w:b/>
          <w:color w:val="auto"/>
          <w:sz w:val="24"/>
          <w:highlight w:val="none"/>
        </w:rPr>
        <w:t>6.2 评标原则</w:t>
      </w:r>
      <w:bookmarkEnd w:id="70"/>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评标活动遵循公平、公正、科学和择优的原则。</w:t>
      </w:r>
    </w:p>
    <w:p>
      <w:pPr>
        <w:autoSpaceDE w:val="0"/>
        <w:autoSpaceDN w:val="0"/>
        <w:spacing w:line="440" w:lineRule="exact"/>
        <w:ind w:firstLine="480" w:firstLineChars="200"/>
        <w:jc w:val="left"/>
        <w:rPr>
          <w:rFonts w:hint="eastAsia" w:hAnsi="宋体" w:cs="宋体"/>
          <w:b/>
          <w:color w:val="auto"/>
          <w:sz w:val="24"/>
          <w:highlight w:val="none"/>
        </w:rPr>
      </w:pPr>
      <w:bookmarkStart w:id="71" w:name="_Toc283559973"/>
      <w:r>
        <w:rPr>
          <w:rFonts w:hint="eastAsia" w:hAnsi="宋体" w:cs="宋体"/>
          <w:b/>
          <w:color w:val="auto"/>
          <w:sz w:val="24"/>
          <w:highlight w:val="none"/>
        </w:rPr>
        <w:t>6.3 评标</w:t>
      </w:r>
      <w:bookmarkEnd w:id="71"/>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16"/>
        <w:spacing w:line="440" w:lineRule="exact"/>
        <w:ind w:firstLine="480" w:firstLineChars="200"/>
        <w:jc w:val="both"/>
        <w:rPr>
          <w:rFonts w:hint="eastAsia" w:hAnsi="宋体"/>
          <w:b/>
          <w:color w:val="auto"/>
          <w:highlight w:val="none"/>
        </w:rPr>
      </w:pPr>
      <w:bookmarkStart w:id="72" w:name="_Toc283559974"/>
      <w:r>
        <w:rPr>
          <w:rFonts w:hint="eastAsia" w:hAnsi="宋体"/>
          <w:b/>
          <w:color w:val="auto"/>
          <w:highlight w:val="none"/>
        </w:rPr>
        <w:t>7. 合同授予</w:t>
      </w:r>
      <w:bookmarkEnd w:id="72"/>
    </w:p>
    <w:p>
      <w:pPr>
        <w:autoSpaceDE w:val="0"/>
        <w:autoSpaceDN w:val="0"/>
        <w:spacing w:line="440" w:lineRule="exact"/>
        <w:ind w:firstLine="480" w:firstLineChars="200"/>
        <w:jc w:val="left"/>
        <w:rPr>
          <w:rFonts w:hint="eastAsia" w:hAnsi="宋体" w:cs="宋体"/>
          <w:b/>
          <w:color w:val="auto"/>
          <w:sz w:val="24"/>
          <w:highlight w:val="none"/>
        </w:rPr>
      </w:pPr>
      <w:bookmarkStart w:id="73" w:name="_Toc283559975"/>
      <w:r>
        <w:rPr>
          <w:rFonts w:hint="eastAsia" w:hAnsi="宋体" w:cs="宋体"/>
          <w:b/>
          <w:color w:val="auto"/>
          <w:sz w:val="24"/>
          <w:highlight w:val="none"/>
        </w:rPr>
        <w:t>7.1 定标方式</w:t>
      </w:r>
      <w:bookmarkEnd w:id="73"/>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ind w:firstLine="480" w:firstLineChars="200"/>
        <w:jc w:val="left"/>
        <w:rPr>
          <w:rFonts w:hint="eastAsia" w:hAnsi="宋体" w:cs="宋体"/>
          <w:b/>
          <w:color w:val="auto"/>
          <w:sz w:val="24"/>
          <w:highlight w:val="none"/>
        </w:rPr>
      </w:pPr>
      <w:bookmarkStart w:id="74" w:name="_Toc283559976"/>
      <w:r>
        <w:rPr>
          <w:rFonts w:hint="eastAsia" w:hAnsi="宋体" w:cs="宋体"/>
          <w:b/>
          <w:color w:val="auto"/>
          <w:sz w:val="24"/>
          <w:highlight w:val="none"/>
        </w:rPr>
        <w:t>7.2 中标通知</w:t>
      </w:r>
      <w:bookmarkEnd w:id="74"/>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在本章第3.3 款规定的投标有效期内，招标人以书面形式向中标人发出中标通知书，同时将中标结果通知未中标的投标人。</w:t>
      </w:r>
      <w:bookmarkStart w:id="75" w:name="_Toc152045569"/>
      <w:bookmarkStart w:id="76" w:name="_Toc179632587"/>
      <w:bookmarkStart w:id="77" w:name="_Toc152042345"/>
      <w:bookmarkStart w:id="78" w:name="_Toc144974537"/>
    </w:p>
    <w:p>
      <w:pPr>
        <w:autoSpaceDE w:val="0"/>
        <w:autoSpaceDN w:val="0"/>
        <w:spacing w:line="360" w:lineRule="auto"/>
        <w:ind w:firstLine="480" w:firstLineChars="200"/>
        <w:jc w:val="left"/>
        <w:rPr>
          <w:color w:val="auto"/>
          <w:sz w:val="24"/>
          <w:highlight w:val="none"/>
        </w:rPr>
      </w:pPr>
      <w:r>
        <w:rPr>
          <w:b/>
          <w:color w:val="auto"/>
          <w:sz w:val="24"/>
          <w:highlight w:val="none"/>
        </w:rPr>
        <w:t>7.3 履约担保</w:t>
      </w:r>
    </w:p>
    <w:p>
      <w:pPr>
        <w:autoSpaceDE w:val="0"/>
        <w:autoSpaceDN w:val="0"/>
        <w:spacing w:line="360" w:lineRule="auto"/>
        <w:ind w:firstLine="480" w:firstLineChars="200"/>
        <w:jc w:val="left"/>
        <w:rPr>
          <w:rFonts w:hint="eastAsia"/>
          <w:color w:val="auto"/>
          <w:sz w:val="24"/>
          <w:highlight w:val="none"/>
        </w:rPr>
      </w:pPr>
      <w:r>
        <w:rPr>
          <w:color w:val="auto"/>
          <w:sz w:val="24"/>
          <w:highlight w:val="none"/>
        </w:rPr>
        <w:t>7.3.1 在签订合同前，中标人应按投标人须知前附表规定的金额、担保形式和招标文件第四章“合同条款及格式”规定的履约担保格式向招标人提交履约担保。</w:t>
      </w:r>
    </w:p>
    <w:p>
      <w:pPr>
        <w:autoSpaceDE w:val="0"/>
        <w:autoSpaceDN w:val="0"/>
        <w:spacing w:line="360" w:lineRule="auto"/>
        <w:ind w:firstLine="480" w:firstLineChars="200"/>
        <w:jc w:val="left"/>
        <w:rPr>
          <w:color w:val="auto"/>
          <w:sz w:val="24"/>
          <w:highlight w:val="none"/>
        </w:rPr>
      </w:pPr>
      <w:r>
        <w:rPr>
          <w:color w:val="auto"/>
          <w:sz w:val="24"/>
          <w:highlight w:val="none"/>
        </w:rPr>
        <w:t>7.3.2 中标人不能按本章第7.3.1 项要求提交履约担保的，视为放弃中标，其投标保证金不予退还，给招标人造成的损失超过投标保证金数额的，中标人还应当对超过部分予以赔偿。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int="eastAsia" w:hAnsi="宋体" w:cs="宋体"/>
          <w:b/>
          <w:color w:val="auto"/>
          <w:sz w:val="24"/>
          <w:highlight w:val="none"/>
        </w:rPr>
      </w:pPr>
      <w:r>
        <w:rPr>
          <w:rFonts w:hint="eastAsia" w:hAnsi="宋体" w:cs="宋体"/>
          <w:b/>
          <w:color w:val="auto"/>
          <w:sz w:val="24"/>
          <w:highlight w:val="none"/>
        </w:rPr>
        <w:t>7.</w:t>
      </w:r>
      <w:bookmarkEnd w:id="75"/>
      <w:bookmarkEnd w:id="76"/>
      <w:bookmarkEnd w:id="77"/>
      <w:bookmarkEnd w:id="78"/>
      <w:bookmarkStart w:id="79" w:name="_Toc283559977"/>
      <w:r>
        <w:rPr>
          <w:rFonts w:hint="eastAsia" w:hAnsi="宋体" w:cs="宋体"/>
          <w:b/>
          <w:color w:val="auto"/>
          <w:sz w:val="24"/>
          <w:highlight w:val="none"/>
        </w:rPr>
        <w:t>4签订合同</w:t>
      </w:r>
      <w:bookmarkEnd w:id="79"/>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7.4.2 发出中标通知书后，招标人无正当理由拒签合同的，招标人向中标人退还投标保证金；给中标人造成损失的，还应当赔偿损失。</w:t>
      </w:r>
    </w:p>
    <w:p>
      <w:pPr>
        <w:autoSpaceDE w:val="0"/>
        <w:autoSpaceDN w:val="0"/>
        <w:spacing w:line="440" w:lineRule="exact"/>
        <w:ind w:firstLine="480" w:firstLineChars="200"/>
        <w:jc w:val="left"/>
        <w:rPr>
          <w:rFonts w:hint="eastAsia" w:hAnsi="宋体" w:cs="宋体"/>
          <w:b/>
          <w:color w:val="auto"/>
          <w:sz w:val="24"/>
          <w:highlight w:val="none"/>
        </w:rPr>
      </w:pPr>
      <w:bookmarkStart w:id="80" w:name="_Toc283559978"/>
      <w:r>
        <w:rPr>
          <w:rFonts w:hint="eastAsia" w:hAnsi="宋体" w:cs="宋体"/>
          <w:b/>
          <w:color w:val="auto"/>
          <w:sz w:val="24"/>
          <w:highlight w:val="none"/>
        </w:rPr>
        <w:t>8. 重新招标和不再招标</w:t>
      </w:r>
      <w:bookmarkEnd w:id="80"/>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81" w:name="_Toc283559979"/>
      <w:r>
        <w:rPr>
          <w:rFonts w:hint="eastAsia" w:hAnsi="宋体" w:cs="宋体"/>
          <w:b/>
          <w:color w:val="auto"/>
          <w:sz w:val="24"/>
          <w:highlight w:val="none"/>
        </w:rPr>
        <w:t>8.1 重新招标</w:t>
      </w:r>
      <w:bookmarkEnd w:id="81"/>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有下列情形之一的，招标人将重新招标：</w:t>
      </w:r>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（1）投标截止时间止，投标人少于3个的；</w:t>
      </w:r>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（2）经评标委员会评审后否决所有投标的。</w:t>
      </w:r>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82" w:name="_Toc283559980"/>
      <w:r>
        <w:rPr>
          <w:rFonts w:hint="eastAsia" w:hAnsi="宋体" w:cs="宋体"/>
          <w:b/>
          <w:color w:val="auto"/>
          <w:sz w:val="24"/>
          <w:highlight w:val="none"/>
        </w:rPr>
        <w:t>8.2 不再招标</w:t>
      </w:r>
      <w:bookmarkEnd w:id="82"/>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重新招标后投标人仍少于3个，属于必须审批或核准的工程建设项目，经原审批或核准部门批准后不再进行招标。</w:t>
      </w:r>
    </w:p>
    <w:p>
      <w:pPr>
        <w:pStyle w:val="16"/>
        <w:spacing w:line="440" w:lineRule="exact"/>
        <w:ind w:firstLine="480" w:firstLineChars="200"/>
        <w:jc w:val="both"/>
        <w:rPr>
          <w:rFonts w:hint="eastAsia" w:hAnsi="宋体"/>
          <w:b/>
          <w:color w:val="auto"/>
          <w:highlight w:val="none"/>
        </w:rPr>
      </w:pPr>
      <w:bookmarkStart w:id="83" w:name="_Toc283559981"/>
      <w:r>
        <w:rPr>
          <w:rFonts w:hint="eastAsia" w:hAnsi="宋体"/>
          <w:b/>
          <w:color w:val="auto"/>
          <w:highlight w:val="none"/>
        </w:rPr>
        <w:t>9. 纪律和监督</w:t>
      </w:r>
      <w:bookmarkEnd w:id="83"/>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84" w:name="_Toc283559982"/>
      <w:r>
        <w:rPr>
          <w:rFonts w:hint="eastAsia" w:hAnsi="宋体" w:cs="宋体"/>
          <w:b/>
          <w:color w:val="auto"/>
          <w:sz w:val="24"/>
          <w:highlight w:val="none"/>
        </w:rPr>
        <w:t>9.1 对招标人的纪律要求</w:t>
      </w:r>
      <w:bookmarkEnd w:id="84"/>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招标人不得泄漏招标投标活动中应当保密的信息和资料，不得与投标人串通损害国家利益、社会公共利益或者他人合法权益。</w:t>
      </w:r>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85" w:name="_Toc283559983"/>
      <w:r>
        <w:rPr>
          <w:rFonts w:hint="eastAsia" w:hAnsi="宋体" w:cs="宋体"/>
          <w:b/>
          <w:color w:val="auto"/>
          <w:sz w:val="24"/>
          <w:highlight w:val="none"/>
        </w:rPr>
        <w:t>9.2 对投标人的纪律要求</w:t>
      </w:r>
      <w:bookmarkEnd w:id="85"/>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86" w:name="_Toc283559984"/>
      <w:r>
        <w:rPr>
          <w:rFonts w:hint="eastAsia" w:hAnsi="宋体" w:cs="宋体"/>
          <w:b/>
          <w:color w:val="auto"/>
          <w:sz w:val="24"/>
          <w:highlight w:val="none"/>
        </w:rPr>
        <w:t>9.3 对评标委员会成员的纪律要求</w:t>
      </w:r>
      <w:bookmarkEnd w:id="86"/>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87" w:name="_Toc283559985"/>
      <w:r>
        <w:rPr>
          <w:rFonts w:hint="eastAsia" w:hAnsi="宋体" w:cs="宋体"/>
          <w:b/>
          <w:color w:val="auto"/>
          <w:sz w:val="24"/>
          <w:highlight w:val="none"/>
        </w:rPr>
        <w:t>9.4 对与评标活动有关的工作人员的纪律要求</w:t>
      </w:r>
      <w:bookmarkEnd w:id="87"/>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ind w:firstLine="480" w:firstLineChars="200"/>
        <w:jc w:val="left"/>
        <w:rPr>
          <w:rFonts w:hint="eastAsia" w:hAnsi="宋体" w:cs="宋体"/>
          <w:b/>
          <w:color w:val="auto"/>
          <w:sz w:val="24"/>
          <w:highlight w:val="none"/>
        </w:rPr>
      </w:pPr>
      <w:bookmarkStart w:id="88" w:name="_Toc283559986"/>
      <w:r>
        <w:rPr>
          <w:rFonts w:hint="eastAsia" w:hAnsi="宋体" w:cs="宋体"/>
          <w:b/>
          <w:color w:val="auto"/>
          <w:sz w:val="24"/>
          <w:highlight w:val="none"/>
        </w:rPr>
        <w:t>9.5 投诉</w:t>
      </w:r>
      <w:bookmarkEnd w:id="88"/>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投标人和其他利害关系人认为本次招标活动违反法律、法规和规章规定的，有权向有关行政监督部门投诉。</w:t>
      </w:r>
    </w:p>
    <w:p>
      <w:pPr>
        <w:pStyle w:val="16"/>
        <w:spacing w:line="440" w:lineRule="exact"/>
        <w:ind w:firstLine="480" w:firstLineChars="200"/>
        <w:jc w:val="both"/>
        <w:rPr>
          <w:rFonts w:hint="eastAsia" w:hAnsi="宋体"/>
          <w:b/>
          <w:color w:val="auto"/>
          <w:highlight w:val="none"/>
        </w:rPr>
      </w:pPr>
      <w:bookmarkStart w:id="89" w:name="_Toc283559987"/>
      <w:r>
        <w:rPr>
          <w:rFonts w:hint="eastAsia" w:hAnsi="宋体"/>
          <w:b/>
          <w:color w:val="auto"/>
          <w:highlight w:val="none"/>
        </w:rPr>
        <w:t>10. 需要补充的其他内容</w:t>
      </w:r>
      <w:bookmarkEnd w:id="89"/>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需要补充的其他内容：见投标人须知前附表。</w:t>
      </w:r>
    </w:p>
    <w:p>
      <w:pPr>
        <w:spacing w:before="312" w:beforeLines="100" w:after="312" w:afterLines="100" w:line="400" w:lineRule="exact"/>
        <w:ind w:firstLine="480" w:firstLineChars="200"/>
        <w:rPr>
          <w:rFonts w:hint="eastAsia" w:hAnsi="宋体" w:cs="宋体"/>
          <w:color w:val="auto"/>
          <w:sz w:val="24"/>
          <w:highlight w:val="none"/>
        </w:rPr>
      </w:pPr>
      <w:r>
        <w:rPr>
          <w:rFonts w:hint="eastAsia" w:ascii="新宋体" w:hAnsi="新宋体" w:eastAsia="新宋体"/>
          <w:b/>
          <w:color w:val="auto"/>
          <w:sz w:val="24"/>
          <w:highlight w:val="none"/>
        </w:rPr>
        <w:br w:type="page"/>
      </w:r>
      <w:r>
        <w:rPr>
          <w:rFonts w:hint="eastAsia" w:hAnsi="宋体" w:cs="宋体"/>
          <w:color w:val="auto"/>
          <w:sz w:val="24"/>
          <w:highlight w:val="none"/>
        </w:rPr>
        <w:t>附表一：</w:t>
      </w:r>
    </w:p>
    <w:p>
      <w:pPr>
        <w:spacing w:before="312" w:beforeLines="100" w:after="312" w:afterLines="100" w:line="400" w:lineRule="exact"/>
        <w:ind w:firstLine="560" w:firstLineChars="200"/>
        <w:jc w:val="center"/>
        <w:rPr>
          <w:rFonts w:hint="eastAsia" w:hAnsi="宋体" w:cs="宋体"/>
          <w:color w:val="auto"/>
          <w:sz w:val="28"/>
          <w:szCs w:val="28"/>
          <w:highlight w:val="none"/>
        </w:rPr>
      </w:pPr>
      <w:r>
        <w:rPr>
          <w:rFonts w:hint="eastAsia" w:hAnsi="宋体" w:cs="宋体"/>
          <w:color w:val="auto"/>
          <w:sz w:val="28"/>
          <w:szCs w:val="28"/>
          <w:highlight w:val="none"/>
        </w:rPr>
        <w:t>问题澄清通知</w:t>
      </w:r>
    </w:p>
    <w:p>
      <w:pPr>
        <w:spacing w:line="400" w:lineRule="exact"/>
        <w:ind w:firstLine="480" w:firstLineChars="200"/>
        <w:rPr>
          <w:rFonts w:hint="eastAsia" w:hAnsi="宋体" w:cs="宋体"/>
          <w:color w:val="auto"/>
          <w:sz w:val="24"/>
          <w:highlight w:val="none"/>
          <w:u w:val="single"/>
        </w:rPr>
      </w:pPr>
      <w:r>
        <w:rPr>
          <w:rFonts w:hint="eastAsia" w:hAnsi="宋体" w:cs="宋体"/>
          <w:color w:val="auto"/>
          <w:sz w:val="24"/>
          <w:highlight w:val="none"/>
        </w:rPr>
        <w:t>编号：</w:t>
      </w:r>
      <w:r>
        <w:rPr>
          <w:rFonts w:hint="eastAsia" w:hAnsi="宋体" w:cs="宋体"/>
          <w:color w:val="auto"/>
          <w:sz w:val="24"/>
          <w:highlight w:val="none"/>
          <w:u w:val="single"/>
        </w:rPr>
        <w:t xml:space="preserve">                  </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（投标人名称）：</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1.</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2.</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请将上述问题的澄清、说明或者补正于</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hint="eastAsia" w:hAnsi="宋体" w:cs="宋体"/>
          <w:color w:val="auto"/>
          <w:sz w:val="24"/>
          <w:highlight w:val="none"/>
          <w:u w:val="single"/>
        </w:rPr>
        <w:t xml:space="preserve">     </w:t>
      </w:r>
      <w:r>
        <w:rPr>
          <w:rFonts w:hint="eastAsia" w:hAnsi="宋体" w:cs="宋体"/>
          <w:color w:val="auto"/>
          <w:sz w:val="24"/>
          <w:highlight w:val="none"/>
        </w:rPr>
        <w:t>时前密封递交至</w:t>
      </w:r>
      <w:r>
        <w:rPr>
          <w:rFonts w:hint="eastAsia" w:hAnsi="宋体" w:cs="宋体"/>
          <w:color w:val="auto"/>
          <w:sz w:val="24"/>
          <w:highlight w:val="none"/>
          <w:u w:val="single"/>
        </w:rPr>
        <w:t xml:space="preserve">                         </w:t>
      </w:r>
      <w:r>
        <w:rPr>
          <w:rFonts w:hint="eastAsia" w:hAnsi="宋体" w:cs="宋体"/>
          <w:color w:val="auto"/>
          <w:sz w:val="24"/>
          <w:highlight w:val="none"/>
        </w:rPr>
        <w:t xml:space="preserve"> （详细地址）。</w:t>
      </w:r>
    </w:p>
    <w:p>
      <w:pPr>
        <w:spacing w:line="480" w:lineRule="exact"/>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附件：质疑问卷</w:t>
      </w:r>
    </w:p>
    <w:p>
      <w:pPr>
        <w:spacing w:line="480" w:lineRule="exact"/>
        <w:ind w:firstLine="4080" w:firstLineChars="1700"/>
        <w:rPr>
          <w:rFonts w:hint="eastAsia" w:hAnsi="宋体" w:cs="宋体"/>
          <w:color w:val="auto"/>
          <w:sz w:val="24"/>
          <w:highlight w:val="none"/>
          <w:u w:val="single"/>
        </w:rPr>
      </w:pPr>
    </w:p>
    <w:p>
      <w:pPr>
        <w:spacing w:line="480" w:lineRule="exact"/>
        <w:ind w:firstLine="4080" w:firstLineChars="1700"/>
        <w:rPr>
          <w:rFonts w:hint="eastAsia" w:hAnsi="宋体" w:cs="宋体"/>
          <w:color w:val="auto"/>
          <w:sz w:val="24"/>
          <w:highlight w:val="none"/>
          <w:u w:val="single"/>
        </w:rPr>
      </w:pPr>
    </w:p>
    <w:p>
      <w:pPr>
        <w:spacing w:line="480" w:lineRule="exact"/>
        <w:ind w:firstLine="4080" w:firstLineChars="1700"/>
        <w:rPr>
          <w:rFonts w:hint="eastAsia" w:hAnsi="宋体" w:cs="宋体"/>
          <w:color w:val="auto"/>
          <w:sz w:val="24"/>
          <w:highlight w:val="none"/>
          <w:u w:val="single"/>
        </w:rPr>
      </w:pPr>
    </w:p>
    <w:p>
      <w:pPr>
        <w:spacing w:line="480" w:lineRule="exact"/>
        <w:rPr>
          <w:rFonts w:hint="eastAsia" w:hAnsi="宋体" w:cs="宋体"/>
          <w:color w:val="auto"/>
          <w:sz w:val="24"/>
          <w:highlight w:val="none"/>
          <w:u w:val="single"/>
        </w:rPr>
      </w:pPr>
    </w:p>
    <w:p>
      <w:pPr>
        <w:spacing w:line="480" w:lineRule="exact"/>
        <w:ind w:firstLine="4080" w:firstLineChars="1700"/>
        <w:rPr>
          <w:rFonts w:hint="eastAsia" w:hAnsi="宋体" w:cs="宋体"/>
          <w:color w:val="auto"/>
          <w:sz w:val="24"/>
          <w:highlight w:val="none"/>
          <w:u w:val="single"/>
        </w:rPr>
      </w:pPr>
    </w:p>
    <w:p>
      <w:pPr>
        <w:spacing w:line="480" w:lineRule="exact"/>
        <w:ind w:firstLine="480" w:firstLineChars="200"/>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 xml:space="preserve"> （项目名称）</w:t>
      </w:r>
      <w:r>
        <w:rPr>
          <w:rFonts w:hint="eastAsia"/>
          <w:color w:val="auto"/>
          <w:sz w:val="24"/>
          <w:highlight w:val="none"/>
          <w:u w:val="single"/>
        </w:rPr>
        <w:t xml:space="preserve">     </w:t>
      </w:r>
      <w:r>
        <w:rPr>
          <w:rFonts w:hint="eastAsia" w:hAnsi="宋体" w:cs="宋体"/>
          <w:color w:val="auto"/>
          <w:sz w:val="24"/>
          <w:highlight w:val="none"/>
        </w:rPr>
        <w:t>招标评标委员会</w:t>
      </w:r>
    </w:p>
    <w:p>
      <w:pPr>
        <w:spacing w:line="480" w:lineRule="exact"/>
        <w:ind w:firstLine="480" w:firstLineChars="200"/>
        <w:rPr>
          <w:rFonts w:hint="eastAsia"/>
          <w:color w:val="auto"/>
          <w:sz w:val="24"/>
          <w:highlight w:val="none"/>
        </w:rPr>
      </w:pPr>
      <w:r>
        <w:rPr>
          <w:rFonts w:hint="eastAsia"/>
          <w:color w:val="auto"/>
          <w:sz w:val="24"/>
          <w:highlight w:val="none"/>
        </w:rPr>
        <w:t>（经评标委员会授权的招标人代表签字或招标人加盖单位章）</w:t>
      </w:r>
    </w:p>
    <w:p>
      <w:pPr>
        <w:spacing w:line="480" w:lineRule="exact"/>
        <w:ind w:firstLine="480" w:firstLineChars="200"/>
        <w:rPr>
          <w:rFonts w:hint="eastAsia" w:hAnsi="宋体" w:cs="宋体"/>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480" w:lineRule="exact"/>
        <w:rPr>
          <w:rFonts w:hint="eastAsia" w:hAnsi="宋体" w:cs="宋体"/>
          <w:color w:val="auto"/>
          <w:sz w:val="24"/>
          <w:highlight w:val="none"/>
        </w:rPr>
      </w:pPr>
    </w:p>
    <w:p>
      <w:pPr>
        <w:spacing w:line="400" w:lineRule="exact"/>
        <w:ind w:firstLine="480" w:firstLineChars="200"/>
        <w:rPr>
          <w:rFonts w:hint="eastAsia" w:hAnsi="宋体" w:cs="宋体"/>
          <w:color w:val="auto"/>
          <w:sz w:val="24"/>
          <w:highlight w:val="none"/>
        </w:rPr>
      </w:pPr>
    </w:p>
    <w:p>
      <w:pPr>
        <w:spacing w:line="400" w:lineRule="exact"/>
        <w:ind w:firstLine="480" w:firstLineChars="200"/>
        <w:rPr>
          <w:rFonts w:hint="eastAsia" w:hAnsi="宋体" w:cs="宋体"/>
          <w:color w:val="auto"/>
          <w:sz w:val="24"/>
          <w:highlight w:val="none"/>
        </w:rPr>
      </w:pPr>
    </w:p>
    <w:p>
      <w:pPr>
        <w:spacing w:line="400" w:lineRule="exact"/>
        <w:ind w:firstLine="480" w:firstLineChars="200"/>
        <w:rPr>
          <w:rFonts w:hint="eastAsia" w:hAnsi="宋体" w:cs="宋体"/>
          <w:color w:val="auto"/>
          <w:sz w:val="24"/>
          <w:highlight w:val="none"/>
        </w:rPr>
      </w:pP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附表二：问题的澄清</w:t>
      </w:r>
    </w:p>
    <w:p>
      <w:pPr>
        <w:spacing w:before="312" w:beforeLines="100" w:after="312" w:afterLines="100" w:line="480" w:lineRule="exact"/>
        <w:ind w:firstLine="560" w:firstLineChars="200"/>
        <w:jc w:val="center"/>
        <w:rPr>
          <w:rFonts w:hint="eastAsia" w:hAnsi="宋体" w:cs="宋体"/>
          <w:color w:val="auto"/>
          <w:sz w:val="28"/>
          <w:szCs w:val="28"/>
          <w:highlight w:val="none"/>
        </w:rPr>
      </w:pPr>
      <w:r>
        <w:rPr>
          <w:rFonts w:hint="eastAsia" w:hAnsi="宋体" w:cs="宋体"/>
          <w:color w:val="auto"/>
          <w:sz w:val="28"/>
          <w:szCs w:val="28"/>
          <w:highlight w:val="none"/>
        </w:rPr>
        <w:t>问题的澄清、说明或补正</w:t>
      </w:r>
    </w:p>
    <w:p>
      <w:pPr>
        <w:spacing w:line="400" w:lineRule="exact"/>
        <w:ind w:firstLine="480" w:firstLineChars="200"/>
        <w:rPr>
          <w:rFonts w:hint="eastAsia" w:hAnsi="宋体" w:cs="宋体"/>
          <w:color w:val="auto"/>
          <w:sz w:val="24"/>
          <w:highlight w:val="none"/>
          <w:u w:val="single"/>
        </w:rPr>
      </w:pPr>
      <w:r>
        <w:rPr>
          <w:rFonts w:hint="eastAsia" w:hAnsi="宋体" w:cs="宋体"/>
          <w:color w:val="auto"/>
          <w:sz w:val="24"/>
          <w:highlight w:val="none"/>
        </w:rPr>
        <w:t>编号：</w:t>
      </w:r>
      <w:r>
        <w:rPr>
          <w:rFonts w:hint="eastAsia" w:hAnsi="宋体" w:cs="宋体"/>
          <w:color w:val="auto"/>
          <w:sz w:val="24"/>
          <w:highlight w:val="none"/>
          <w:u w:val="single"/>
        </w:rPr>
        <w:t xml:space="preserve">                  </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（项目名称）招标评标委员会：</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问题澄清通知（编号：</w:t>
      </w:r>
      <w:r>
        <w:rPr>
          <w:rFonts w:hint="eastAsia" w:hAnsi="宋体" w:cs="宋体"/>
          <w:color w:val="auto"/>
          <w:sz w:val="24"/>
          <w:highlight w:val="none"/>
          <w:u w:val="single"/>
        </w:rPr>
        <w:t xml:space="preserve">      </w:t>
      </w:r>
      <w:r>
        <w:rPr>
          <w:rFonts w:hint="eastAsia" w:hAnsi="宋体" w:cs="宋体"/>
          <w:color w:val="auto"/>
          <w:sz w:val="24"/>
          <w:highlight w:val="none"/>
        </w:rPr>
        <w:t>）已收悉，现澄清、说明或者补正如下：</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1.</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2.</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wordWrap w:val="0"/>
        <w:spacing w:line="48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投标人：</w:t>
      </w:r>
      <w:r>
        <w:rPr>
          <w:rFonts w:hint="eastAsia" w:hAnsi="宋体" w:cs="宋体"/>
          <w:color w:val="auto"/>
          <w:sz w:val="24"/>
          <w:highlight w:val="none"/>
          <w:u w:val="single"/>
        </w:rPr>
        <w:t xml:space="preserve">                      </w:t>
      </w:r>
      <w:r>
        <w:rPr>
          <w:rFonts w:hint="eastAsia" w:hAnsi="宋体" w:cs="宋体"/>
          <w:color w:val="auto"/>
          <w:sz w:val="24"/>
          <w:highlight w:val="none"/>
        </w:rPr>
        <w:t xml:space="preserve">（盖单位章） </w:t>
      </w:r>
    </w:p>
    <w:p>
      <w:pPr>
        <w:wordWrap w:val="0"/>
        <w:spacing w:before="156" w:beforeLines="50" w:after="156" w:afterLines="50" w:line="480" w:lineRule="exact"/>
        <w:ind w:right="210" w:firstLine="480" w:firstLineChars="200"/>
        <w:jc w:val="right"/>
        <w:rPr>
          <w:rFonts w:hint="eastAsia" w:hAnsi="宋体" w:cs="宋体"/>
          <w:color w:val="auto"/>
          <w:sz w:val="24"/>
          <w:highlight w:val="none"/>
        </w:rPr>
      </w:pPr>
      <w:r>
        <w:rPr>
          <w:rFonts w:hint="eastAsia" w:hAnsi="宋体" w:cs="宋体"/>
          <w:color w:val="auto"/>
          <w:sz w:val="24"/>
          <w:highlight w:val="none"/>
        </w:rPr>
        <w:t>法定代表人或其委托代理人：</w:t>
      </w:r>
      <w:r>
        <w:rPr>
          <w:rFonts w:hint="eastAsia" w:hAnsi="宋体" w:cs="宋体"/>
          <w:color w:val="auto"/>
          <w:sz w:val="24"/>
          <w:highlight w:val="none"/>
          <w:u w:val="single"/>
        </w:rPr>
        <w:t xml:space="preserve">      </w:t>
      </w:r>
      <w:r>
        <w:rPr>
          <w:rFonts w:hint="eastAsia" w:hAnsi="宋体" w:cs="宋体"/>
          <w:color w:val="auto"/>
          <w:sz w:val="24"/>
          <w:highlight w:val="none"/>
        </w:rPr>
        <w:t xml:space="preserve">（签字） </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spacing w:line="480" w:lineRule="exact"/>
        <w:rPr>
          <w:rFonts w:hint="eastAsia" w:hAnsi="宋体" w:cs="宋体"/>
          <w:color w:val="auto"/>
          <w:sz w:val="24"/>
          <w:highlight w:val="none"/>
        </w:rPr>
      </w:pPr>
    </w:p>
    <w:p>
      <w:pPr>
        <w:spacing w:line="480" w:lineRule="exact"/>
        <w:rPr>
          <w:rFonts w:hint="eastAsia" w:hAnsi="宋体" w:cs="宋体"/>
          <w:color w:val="auto"/>
          <w:highlight w:val="none"/>
        </w:rPr>
      </w:pPr>
    </w:p>
    <w:p>
      <w:pPr>
        <w:snapToGrid w:val="0"/>
        <w:spacing w:line="360" w:lineRule="auto"/>
        <w:jc w:val="center"/>
        <w:rPr>
          <w:rFonts w:hint="eastAsia" w:hAnsi="宋体" w:cs="宋体"/>
          <w:b/>
          <w:bCs/>
          <w:color w:val="auto"/>
          <w:sz w:val="36"/>
          <w:szCs w:val="36"/>
          <w:highlight w:val="none"/>
          <w:lang w:bidi="ar"/>
        </w:rPr>
      </w:pPr>
    </w:p>
    <w:p>
      <w:pPr>
        <w:pStyle w:val="6"/>
        <w:rPr>
          <w:rFonts w:hint="eastAsia" w:ascii="新宋体" w:hAnsi="新宋体" w:eastAsia="新宋体"/>
          <w:color w:val="auto"/>
          <w:sz w:val="24"/>
          <w:highlight w:val="none"/>
        </w:rPr>
      </w:pPr>
      <w:r>
        <w:rPr>
          <w:rFonts w:hint="eastAsia"/>
          <w:b w:val="0"/>
          <w:color w:val="auto"/>
          <w:sz w:val="36"/>
          <w:szCs w:val="36"/>
          <w:highlight w:val="none"/>
        </w:rPr>
        <w:br w:type="page"/>
      </w:r>
      <w:bookmarkStart w:id="90" w:name="_Toc1109"/>
      <w:bookmarkStart w:id="91" w:name="_Toc20990"/>
      <w:r>
        <w:rPr>
          <w:rFonts w:hint="eastAsia"/>
          <w:color w:val="auto"/>
          <w:highlight w:val="none"/>
        </w:rPr>
        <w:t>第三章 评标办法（综合计分法）</w:t>
      </w:r>
      <w:bookmarkEnd w:id="90"/>
      <w:bookmarkEnd w:id="91"/>
    </w:p>
    <w:p>
      <w:pPr>
        <w:spacing w:line="360"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一、评标应遵循公正、公平、择优的原则严格按照招标文件进行。</w:t>
      </w:r>
    </w:p>
    <w:p>
      <w:pPr>
        <w:spacing w:line="360"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二、评标由招标人依法组建的评标委员会负责，从河南省综合评标专家库中随机抽取</w:t>
      </w:r>
      <w:r>
        <w:rPr>
          <w:rFonts w:hint="eastAsia" w:ascii="新宋体" w:hAnsi="新宋体" w:eastAsia="新宋体"/>
          <w:color w:val="auto"/>
          <w:sz w:val="24"/>
          <w:highlight w:val="none"/>
          <w:lang w:val="en-US" w:eastAsia="zh-CN"/>
        </w:rPr>
        <w:t>5人</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其中</w:t>
      </w:r>
      <w:r>
        <w:rPr>
          <w:rFonts w:hint="eastAsia" w:ascii="新宋体" w:hAnsi="新宋体" w:eastAsia="新宋体"/>
          <w:color w:val="auto"/>
          <w:sz w:val="24"/>
          <w:highlight w:val="none"/>
          <w:lang w:eastAsia="zh-CN"/>
        </w:rPr>
        <w:t>评标委员会的组成人员中工程</w:t>
      </w:r>
      <w:r>
        <w:rPr>
          <w:rFonts w:hint="eastAsia" w:ascii="新宋体" w:hAnsi="新宋体" w:eastAsia="新宋体"/>
          <w:color w:val="auto"/>
          <w:sz w:val="24"/>
          <w:highlight w:val="none"/>
        </w:rPr>
        <w:t>造价</w:t>
      </w:r>
      <w:r>
        <w:rPr>
          <w:rFonts w:hint="eastAsia" w:ascii="新宋体" w:hAnsi="新宋体" w:eastAsia="新宋体"/>
          <w:color w:val="auto"/>
          <w:sz w:val="24"/>
          <w:highlight w:val="none"/>
          <w:lang w:eastAsia="zh-CN"/>
        </w:rPr>
        <w:t>专家应不少于五分之二，</w:t>
      </w:r>
      <w:r>
        <w:rPr>
          <w:rFonts w:hint="eastAsia" w:ascii="新宋体" w:hAnsi="新宋体" w:eastAsia="新宋体"/>
          <w:color w:val="auto"/>
          <w:sz w:val="24"/>
          <w:highlight w:val="none"/>
        </w:rPr>
        <w:t>与投标人有利害关系的专家不得进入评标委员会。</w:t>
      </w:r>
    </w:p>
    <w:p>
      <w:pPr>
        <w:adjustRightInd w:val="0"/>
        <w:snapToGrid w:val="0"/>
        <w:spacing w:line="430" w:lineRule="exact"/>
        <w:ind w:firstLine="480" w:firstLineChars="200"/>
        <w:rPr>
          <w:rFonts w:hint="eastAsia" w:hAnsi="宋体" w:cs="宋体"/>
          <w:color w:val="auto"/>
          <w:sz w:val="24"/>
          <w:highlight w:val="none"/>
          <w:lang w:bidi="ar"/>
        </w:rPr>
      </w:pPr>
      <w:bookmarkStart w:id="92" w:name="_Toc295572535"/>
      <w:bookmarkStart w:id="93" w:name="_Toc273546398"/>
      <w:bookmarkStart w:id="94" w:name="_Toc272833453"/>
      <w:bookmarkStart w:id="95" w:name="_Toc270931534"/>
      <w:r>
        <w:rPr>
          <w:rFonts w:hint="eastAsia" w:hAnsi="宋体" w:cs="宋体"/>
          <w:color w:val="auto"/>
          <w:sz w:val="24"/>
          <w:highlight w:val="none"/>
          <w:lang w:bidi="ar"/>
        </w:rPr>
        <w:t>三、</w:t>
      </w:r>
      <w:r>
        <w:rPr>
          <w:rFonts w:hint="eastAsia" w:ascii="新宋体" w:hAnsi="新宋体" w:eastAsia="新宋体"/>
          <w:color w:val="auto"/>
          <w:sz w:val="24"/>
          <w:highlight w:val="none"/>
        </w:rPr>
        <w:t>评标采用综合计分法，是指评标委员会根据招标文件要求，应从技术标、商务标、综合（信用）标三部分进行综合评审</w:t>
      </w:r>
      <w:r>
        <w:rPr>
          <w:rFonts w:hint="eastAsia" w:hAnsi="宋体" w:cs="宋体"/>
          <w:color w:val="auto"/>
          <w:sz w:val="24"/>
          <w:highlight w:val="none"/>
          <w:lang w:bidi="ar"/>
        </w:rPr>
        <w:t>。</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rPr>
        <w:t>四、评标程序为：</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（一）清标；</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（二）初步评审；</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（三）详细评审；</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（四）问题的澄清、说明或补正；</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（五）推荐中标候选人；</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（六）</w:t>
      </w:r>
      <w:r>
        <w:rPr>
          <w:rFonts w:hint="eastAsia" w:hAnsi="宋体" w:cs="宋体"/>
          <w:color w:val="auto"/>
          <w:sz w:val="24"/>
          <w:highlight w:val="none"/>
        </w:rPr>
        <w:t>评标现场宣布中标候选人确定结果并在指定媒体上进行公示。</w:t>
      </w:r>
    </w:p>
    <w:p>
      <w:pPr>
        <w:adjustRightInd w:val="0"/>
        <w:snapToGrid w:val="0"/>
        <w:spacing w:line="430" w:lineRule="exact"/>
        <w:ind w:firstLine="480" w:firstLineChars="200"/>
        <w:rPr>
          <w:rFonts w:hint="eastAsia" w:ascii="新宋体" w:hAnsi="新宋体" w:eastAsia="新宋体"/>
          <w:b/>
          <w:color w:val="auto"/>
          <w:sz w:val="24"/>
          <w:highlight w:val="none"/>
        </w:rPr>
      </w:pPr>
      <w:r>
        <w:rPr>
          <w:rFonts w:hint="eastAsia" w:hAnsi="宋体" w:cs="宋体"/>
          <w:color w:val="auto"/>
          <w:sz w:val="24"/>
          <w:highlight w:val="none"/>
        </w:rPr>
        <w:t>五、清标</w:t>
      </w:r>
    </w:p>
    <w:p>
      <w:pPr>
        <w:autoSpaceDE w:val="0"/>
        <w:autoSpaceDN w:val="0"/>
        <w:adjustRightInd w:val="0"/>
        <w:snapToGrid w:val="0"/>
        <w:spacing w:line="348" w:lineRule="auto"/>
        <w:ind w:firstLine="480" w:firstLineChars="200"/>
        <w:jc w:val="left"/>
        <w:rPr>
          <w:rFonts w:hint="eastAsia" w:ascii="新宋体" w:hAnsi="新宋体" w:eastAsia="新宋体"/>
          <w:b/>
          <w:color w:val="auto"/>
          <w:sz w:val="24"/>
          <w:highlight w:val="none"/>
        </w:rPr>
      </w:pPr>
      <w:r>
        <w:rPr>
          <w:rFonts w:hint="eastAsia" w:ascii="新宋体" w:hAnsi="新宋体" w:eastAsia="新宋体"/>
          <w:b/>
          <w:color w:val="auto"/>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color w:val="auto"/>
          <w:sz w:val="24"/>
          <w:highlight w:val="none"/>
          <w:lang w:bidi="ar"/>
        </w:rPr>
      </w:pPr>
      <w:r>
        <w:rPr>
          <w:rFonts w:hint="eastAsia" w:ascii="新宋体" w:hAnsi="新宋体" w:eastAsia="新宋体"/>
          <w:bCs/>
          <w:color w:val="auto"/>
          <w:sz w:val="24"/>
          <w:highlight w:val="none"/>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投标文件存在下列情形之一的，按废标处理：</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1.未按招标文件规定编制各项报价的；</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3.规费和税金、安全文明施工措施费违背工程造价管理规定的；</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4.分部分项工程项目、措施项目报价中的项目编码、项目名称、项目特征、计量单位和工程量与招标文件的清单不一致的；</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5.未按照暂列金额或者暂估价编制投标报价的。</w:t>
      </w:r>
    </w:p>
    <w:p>
      <w:pPr>
        <w:snapToGrid w:val="0"/>
        <w:spacing w:line="348" w:lineRule="auto"/>
        <w:ind w:firstLine="480" w:firstLineChars="200"/>
        <w:rPr>
          <w:rFonts w:hint="default" w:hAnsi="宋体" w:cs="宋体"/>
          <w:color w:val="auto"/>
          <w:sz w:val="24"/>
          <w:highlight w:val="none"/>
          <w:lang w:val="en-US" w:eastAsia="zh-CN" w:bidi="ar"/>
        </w:rPr>
      </w:pPr>
      <w:r>
        <w:rPr>
          <w:rFonts w:hint="eastAsia" w:hAnsi="宋体" w:cs="宋体"/>
          <w:color w:val="auto"/>
          <w:sz w:val="24"/>
          <w:highlight w:val="none"/>
          <w:lang w:val="en-US" w:eastAsia="zh-CN" w:bidi="ar"/>
        </w:rPr>
        <w:t>6.住房和城乡建设部《标准施工招标文件》规定的其他否决投标条件。</w:t>
      </w:r>
    </w:p>
    <w:p>
      <w:pPr>
        <w:spacing w:line="440" w:lineRule="exact"/>
        <w:ind w:firstLine="480" w:firstLineChars="200"/>
        <w:rPr>
          <w:rFonts w:hint="eastAsia" w:hAnsi="宋体" w:cs="宋体"/>
          <w:b/>
          <w:color w:val="auto"/>
          <w:sz w:val="24"/>
          <w:highlight w:val="none"/>
        </w:rPr>
      </w:pPr>
      <w:r>
        <w:rPr>
          <w:rFonts w:hint="eastAsia" w:hAnsi="宋体" w:cs="宋体"/>
          <w:b/>
          <w:color w:val="auto"/>
          <w:sz w:val="24"/>
          <w:highlight w:val="none"/>
        </w:rPr>
        <w:t>清标内容：</w:t>
      </w:r>
    </w:p>
    <w:tbl>
      <w:tblPr>
        <w:tblStyle w:val="14"/>
        <w:tblW w:w="9802" w:type="dxa"/>
        <w:jc w:val="center"/>
        <w:tblLayout w:type="fixed"/>
        <w:tblCellMar>
          <w:top w:w="0" w:type="dxa"/>
          <w:left w:w="108" w:type="dxa"/>
          <w:bottom w:w="0" w:type="dxa"/>
          <w:right w:w="108" w:type="dxa"/>
        </w:tblCellMar>
      </w:tblPr>
      <w:tblGrid>
        <w:gridCol w:w="254"/>
        <w:gridCol w:w="548"/>
        <w:gridCol w:w="3429"/>
        <w:gridCol w:w="4442"/>
        <w:gridCol w:w="604"/>
        <w:gridCol w:w="525"/>
      </w:tblGrid>
      <w:tr>
        <w:tblPrEx>
          <w:tblCellMar>
            <w:top w:w="0" w:type="dxa"/>
            <w:left w:w="108" w:type="dxa"/>
            <w:bottom w:w="0" w:type="dxa"/>
            <w:right w:w="108" w:type="dxa"/>
          </w:tblCellMar>
        </w:tblPrEx>
        <w:trPr>
          <w:trHeight w:val="282" w:hRule="atLeast"/>
          <w:jc w:val="center"/>
        </w:trPr>
        <w:tc>
          <w:tcPr>
            <w:tcW w:w="80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kern w:val="0"/>
                <w:szCs w:val="21"/>
                <w:highlight w:val="none"/>
              </w:rPr>
            </w:pPr>
            <w:r>
              <w:rPr>
                <w:rFonts w:hint="eastAsia"/>
                <w:b/>
                <w:bCs/>
                <w:color w:val="auto"/>
                <w:kern w:val="0"/>
                <w:szCs w:val="21"/>
                <w:highlight w:val="none"/>
              </w:rPr>
              <w:t>序号</w:t>
            </w:r>
          </w:p>
        </w:tc>
        <w:tc>
          <w:tcPr>
            <w:tcW w:w="3429"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color w:val="auto"/>
                <w:kern w:val="0"/>
                <w:szCs w:val="21"/>
                <w:highlight w:val="none"/>
              </w:rPr>
            </w:pPr>
            <w:r>
              <w:rPr>
                <w:rFonts w:hint="eastAsia"/>
                <w:b/>
                <w:bCs/>
                <w:color w:val="auto"/>
                <w:kern w:val="0"/>
                <w:szCs w:val="21"/>
                <w:highlight w:val="none"/>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color w:val="auto"/>
                <w:kern w:val="0"/>
                <w:szCs w:val="21"/>
                <w:highlight w:val="none"/>
              </w:rPr>
            </w:pPr>
            <w:r>
              <w:rPr>
                <w:rFonts w:hint="eastAsia"/>
                <w:b/>
                <w:bCs/>
                <w:color w:val="auto"/>
                <w:kern w:val="0"/>
                <w:szCs w:val="21"/>
                <w:highlight w:val="none"/>
              </w:rPr>
              <w:t>清标内容</w:t>
            </w:r>
          </w:p>
        </w:tc>
        <w:tc>
          <w:tcPr>
            <w:tcW w:w="1129" w:type="dxa"/>
            <w:gridSpan w:val="2"/>
            <w:tcBorders>
              <w:top w:val="single" w:color="auto" w:sz="4" w:space="0"/>
              <w:left w:val="nil"/>
              <w:bottom w:val="single" w:color="auto" w:sz="4" w:space="0"/>
              <w:right w:val="single" w:color="auto" w:sz="4" w:space="0"/>
            </w:tcBorders>
            <w:vAlign w:val="center"/>
          </w:tcPr>
          <w:p>
            <w:pPr>
              <w:spacing w:line="300" w:lineRule="exact"/>
              <w:jc w:val="center"/>
              <w:rPr>
                <w:b/>
                <w:bCs/>
                <w:color w:val="auto"/>
                <w:kern w:val="0"/>
                <w:szCs w:val="21"/>
                <w:highlight w:val="none"/>
              </w:rPr>
            </w:pPr>
            <w:r>
              <w:rPr>
                <w:rFonts w:hint="eastAsia"/>
                <w:b/>
                <w:bCs/>
                <w:color w:val="auto"/>
                <w:kern w:val="0"/>
                <w:szCs w:val="21"/>
                <w:highlight w:val="none"/>
              </w:rPr>
              <w:t>清标结果</w:t>
            </w:r>
          </w:p>
        </w:tc>
      </w:tr>
      <w:tr>
        <w:tblPrEx>
          <w:tblCellMar>
            <w:top w:w="0" w:type="dxa"/>
            <w:left w:w="108" w:type="dxa"/>
            <w:bottom w:w="0" w:type="dxa"/>
            <w:right w:w="108" w:type="dxa"/>
          </w:tblCellMar>
        </w:tblPrEx>
        <w:trPr>
          <w:trHeight w:val="204" w:hRule="atLeast"/>
          <w:jc w:val="center"/>
        </w:trPr>
        <w:tc>
          <w:tcPr>
            <w:tcW w:w="80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b/>
                <w:bCs/>
                <w:color w:val="auto"/>
                <w:kern w:val="0"/>
                <w:szCs w:val="21"/>
                <w:highlight w:val="none"/>
              </w:rPr>
            </w:pPr>
          </w:p>
        </w:tc>
        <w:tc>
          <w:tcPr>
            <w:tcW w:w="3429"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color w:val="auto"/>
                <w:kern w:val="0"/>
                <w:szCs w:val="21"/>
                <w:highlight w:val="none"/>
              </w:rPr>
            </w:pPr>
          </w:p>
        </w:tc>
        <w:tc>
          <w:tcPr>
            <w:tcW w:w="4442"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color w:val="auto"/>
                <w:kern w:val="0"/>
                <w:szCs w:val="21"/>
                <w:highlight w:val="none"/>
              </w:rPr>
            </w:pP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b/>
                <w:bCs/>
                <w:color w:val="auto"/>
                <w:kern w:val="0"/>
                <w:szCs w:val="21"/>
                <w:highlight w:val="none"/>
              </w:rPr>
            </w:pPr>
            <w:r>
              <w:rPr>
                <w:rFonts w:hint="eastAsia"/>
                <w:b/>
                <w:bCs/>
                <w:color w:val="auto"/>
                <w:kern w:val="0"/>
                <w:szCs w:val="21"/>
                <w:highlight w:val="none"/>
              </w:rPr>
              <w:t>是</w:t>
            </w: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b/>
                <w:bCs/>
                <w:color w:val="auto"/>
                <w:kern w:val="0"/>
                <w:szCs w:val="21"/>
                <w:highlight w:val="none"/>
              </w:rPr>
            </w:pPr>
            <w:r>
              <w:rPr>
                <w:rFonts w:hint="eastAsia"/>
                <w:b/>
                <w:bCs/>
                <w:color w:val="auto"/>
                <w:kern w:val="0"/>
                <w:szCs w:val="21"/>
                <w:highlight w:val="none"/>
              </w:rPr>
              <w:t>否</w:t>
            </w:r>
          </w:p>
        </w:tc>
      </w:tr>
      <w:tr>
        <w:tblPrEx>
          <w:tblCellMar>
            <w:top w:w="0" w:type="dxa"/>
            <w:left w:w="108" w:type="dxa"/>
            <w:bottom w:w="0" w:type="dxa"/>
            <w:right w:w="108" w:type="dxa"/>
          </w:tblCellMar>
        </w:tblPrEx>
        <w:trPr>
          <w:trHeight w:val="539" w:hRule="atLeast"/>
          <w:jc w:val="center"/>
        </w:trPr>
        <w:tc>
          <w:tcPr>
            <w:tcW w:w="254"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1</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1.1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项目总报价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是否等于各单项工程造价之和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1.2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单项工程费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是否等于各单位工程造价之和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1.3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单位工程费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是否等于分部分项工程费</w:t>
            </w:r>
            <w:r>
              <w:rPr>
                <w:color w:val="auto"/>
                <w:kern w:val="0"/>
                <w:szCs w:val="21"/>
                <w:highlight w:val="none"/>
              </w:rPr>
              <w:t>+</w:t>
            </w:r>
            <w:r>
              <w:rPr>
                <w:rFonts w:hint="eastAsia"/>
                <w:color w:val="auto"/>
                <w:kern w:val="0"/>
                <w:szCs w:val="21"/>
                <w:highlight w:val="none"/>
              </w:rPr>
              <w:t>措施项目费</w:t>
            </w:r>
            <w:r>
              <w:rPr>
                <w:color w:val="auto"/>
                <w:kern w:val="0"/>
                <w:szCs w:val="21"/>
                <w:highlight w:val="none"/>
              </w:rPr>
              <w:t>+</w:t>
            </w:r>
            <w:r>
              <w:rPr>
                <w:rFonts w:hint="eastAsia"/>
                <w:color w:val="auto"/>
                <w:kern w:val="0"/>
                <w:szCs w:val="21"/>
                <w:highlight w:val="none"/>
              </w:rPr>
              <w:t>其它项目费</w:t>
            </w:r>
            <w:r>
              <w:rPr>
                <w:color w:val="auto"/>
                <w:kern w:val="0"/>
                <w:szCs w:val="21"/>
                <w:highlight w:val="none"/>
              </w:rPr>
              <w:t>+</w:t>
            </w:r>
            <w:r>
              <w:rPr>
                <w:rFonts w:hint="eastAsia"/>
                <w:color w:val="auto"/>
                <w:kern w:val="0"/>
                <w:szCs w:val="21"/>
                <w:highlight w:val="none"/>
              </w:rPr>
              <w:t>规费</w:t>
            </w:r>
            <w:r>
              <w:rPr>
                <w:color w:val="auto"/>
                <w:kern w:val="0"/>
                <w:szCs w:val="21"/>
                <w:highlight w:val="none"/>
              </w:rPr>
              <w:t>+</w:t>
            </w:r>
            <w:r>
              <w:rPr>
                <w:rFonts w:hint="eastAsia"/>
                <w:color w:val="auto"/>
                <w:kern w:val="0"/>
                <w:szCs w:val="21"/>
                <w:highlight w:val="none"/>
              </w:rPr>
              <w:t>税金之和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539" w:hRule="atLeast"/>
          <w:jc w:val="center"/>
        </w:trPr>
        <w:tc>
          <w:tcPr>
            <w:tcW w:w="254"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2</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2.1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240" w:lineRule="exact"/>
              <w:ind w:left="186" w:hanging="186" w:hangingChars="100"/>
              <w:rPr>
                <w:color w:val="auto"/>
                <w:spacing w:val="-12"/>
                <w:kern w:val="0"/>
                <w:szCs w:val="21"/>
                <w:highlight w:val="none"/>
              </w:rPr>
            </w:pPr>
            <w:r>
              <w:rPr>
                <w:rFonts w:hint="eastAsia"/>
                <w:color w:val="auto"/>
                <w:spacing w:val="-12"/>
                <w:kern w:val="0"/>
                <w:szCs w:val="21"/>
                <w:highlight w:val="none"/>
              </w:rPr>
              <w:t>是否等于各分部分项清单（含单价措施项目）费之和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2.2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2.3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2.4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2.5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2.6</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2.7</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spacing w:val="-4"/>
                <w:kern w:val="0"/>
                <w:szCs w:val="21"/>
                <w:highlight w:val="none"/>
              </w:rPr>
            </w:pPr>
            <w:r>
              <w:rPr>
                <w:rFonts w:hint="eastAsia"/>
                <w:color w:val="auto"/>
                <w:spacing w:val="-4"/>
                <w:kern w:val="0"/>
                <w:szCs w:val="21"/>
                <w:highlight w:val="none"/>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综合单价＝人工费</w:t>
            </w:r>
            <w:r>
              <w:rPr>
                <w:color w:val="auto"/>
                <w:kern w:val="0"/>
                <w:szCs w:val="21"/>
                <w:highlight w:val="none"/>
              </w:rPr>
              <w:t>+</w:t>
            </w:r>
            <w:r>
              <w:rPr>
                <w:rFonts w:hint="eastAsia"/>
                <w:color w:val="auto"/>
                <w:kern w:val="0"/>
                <w:szCs w:val="21"/>
                <w:highlight w:val="none"/>
              </w:rPr>
              <w:t>材料费</w:t>
            </w:r>
            <w:r>
              <w:rPr>
                <w:color w:val="auto"/>
                <w:kern w:val="0"/>
                <w:szCs w:val="21"/>
                <w:highlight w:val="none"/>
              </w:rPr>
              <w:t>+</w:t>
            </w:r>
            <w:r>
              <w:rPr>
                <w:rFonts w:hint="eastAsia"/>
                <w:color w:val="auto"/>
                <w:kern w:val="0"/>
                <w:szCs w:val="21"/>
                <w:highlight w:val="none"/>
              </w:rPr>
              <w:t>机械费</w:t>
            </w:r>
            <w:r>
              <w:rPr>
                <w:color w:val="auto"/>
                <w:kern w:val="0"/>
                <w:szCs w:val="21"/>
                <w:highlight w:val="none"/>
              </w:rPr>
              <w:t>+</w:t>
            </w:r>
            <w:r>
              <w:rPr>
                <w:rFonts w:hint="eastAsia"/>
                <w:color w:val="auto"/>
                <w:kern w:val="0"/>
                <w:szCs w:val="21"/>
                <w:highlight w:val="none"/>
              </w:rPr>
              <w:t>管理费</w:t>
            </w:r>
            <w:r>
              <w:rPr>
                <w:color w:val="auto"/>
                <w:kern w:val="0"/>
                <w:szCs w:val="21"/>
                <w:highlight w:val="none"/>
              </w:rPr>
              <w:t>+</w:t>
            </w:r>
            <w:r>
              <w:rPr>
                <w:rFonts w:hint="eastAsia"/>
                <w:color w:val="auto"/>
                <w:kern w:val="0"/>
                <w:szCs w:val="21"/>
                <w:highlight w:val="none"/>
              </w:rPr>
              <w:t>利润之和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2.8</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材料单价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spacing w:val="-12"/>
                <w:kern w:val="0"/>
                <w:szCs w:val="21"/>
                <w:highlight w:val="none"/>
              </w:rPr>
            </w:pPr>
            <w:r>
              <w:rPr>
                <w:rFonts w:hint="eastAsia"/>
                <w:color w:val="auto"/>
                <w:spacing w:val="-12"/>
                <w:kern w:val="0"/>
                <w:szCs w:val="21"/>
                <w:highlight w:val="none"/>
              </w:rPr>
              <w:t>材料表中的单价与组成清单单价中的综合单价必须一致</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539" w:hRule="atLeast"/>
          <w:jc w:val="center"/>
        </w:trPr>
        <w:tc>
          <w:tcPr>
            <w:tcW w:w="254"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根据河南省计价依据规定计算</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根据招标文件要求自主报价</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539" w:hRule="atLeast"/>
          <w:jc w:val="center"/>
        </w:trPr>
        <w:tc>
          <w:tcPr>
            <w:tcW w:w="254"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4</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4.1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其它项目费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各组成部分之和（暂列金额</w:t>
            </w:r>
            <w:r>
              <w:rPr>
                <w:color w:val="auto"/>
                <w:kern w:val="0"/>
                <w:szCs w:val="21"/>
                <w:highlight w:val="none"/>
              </w:rPr>
              <w:t>+</w:t>
            </w:r>
            <w:r>
              <w:rPr>
                <w:rFonts w:hint="eastAsia"/>
                <w:color w:val="auto"/>
                <w:kern w:val="0"/>
                <w:szCs w:val="21"/>
                <w:highlight w:val="none"/>
              </w:rPr>
              <w:t>专业暂估价</w:t>
            </w:r>
            <w:r>
              <w:rPr>
                <w:color w:val="auto"/>
                <w:kern w:val="0"/>
                <w:szCs w:val="21"/>
                <w:highlight w:val="none"/>
              </w:rPr>
              <w:t>+</w:t>
            </w:r>
            <w:r>
              <w:rPr>
                <w:rFonts w:hint="eastAsia"/>
                <w:color w:val="auto"/>
                <w:kern w:val="0"/>
                <w:szCs w:val="21"/>
                <w:highlight w:val="none"/>
              </w:rPr>
              <w:t>计日工费</w:t>
            </w:r>
            <w:r>
              <w:rPr>
                <w:color w:val="auto"/>
                <w:kern w:val="0"/>
                <w:szCs w:val="21"/>
                <w:highlight w:val="none"/>
              </w:rPr>
              <w:t>+</w:t>
            </w:r>
            <w:r>
              <w:rPr>
                <w:rFonts w:hint="eastAsia"/>
                <w:color w:val="auto"/>
                <w:kern w:val="0"/>
                <w:szCs w:val="21"/>
                <w:highlight w:val="none"/>
              </w:rPr>
              <w:t>总承包服务费）</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4.2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暂列金额</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应与招标人价格一致</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4.3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应与招标人价格一致</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4.4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计日工</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应与招标人数量一致</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auto"/>
                <w:kern w:val="0"/>
                <w:szCs w:val="21"/>
                <w:highlight w:val="none"/>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4.5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总承包服务费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是否按招标文件要求计算</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5</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规费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根据河南省计价依据规定计算</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54" w:hRule="exact"/>
          <w:jc w:val="center"/>
        </w:trPr>
        <w:tc>
          <w:tcPr>
            <w:tcW w:w="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6</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增值税</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根据河南省计价依据规定计算</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r>
        <w:tblPrEx>
          <w:tblCellMar>
            <w:top w:w="0" w:type="dxa"/>
            <w:left w:w="108" w:type="dxa"/>
            <w:bottom w:w="0" w:type="dxa"/>
            <w:right w:w="108" w:type="dxa"/>
          </w:tblCellMar>
        </w:tblPrEx>
        <w:trPr>
          <w:trHeight w:val="471" w:hRule="exact"/>
          <w:jc w:val="center"/>
        </w:trPr>
        <w:tc>
          <w:tcPr>
            <w:tcW w:w="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7</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7871" w:type="dxa"/>
            <w:gridSpan w:val="2"/>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rFonts w:hint="eastAsia"/>
                <w:color w:val="auto"/>
                <w:kern w:val="0"/>
                <w:szCs w:val="21"/>
                <w:highlight w:val="none"/>
              </w:rPr>
              <w:t>不违反法律、法规、规章、规范性文件规定的其它情况</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p>
        </w:tc>
      </w:tr>
    </w:tbl>
    <w:p>
      <w:pPr>
        <w:tabs>
          <w:tab w:val="left" w:pos="1260"/>
        </w:tabs>
        <w:autoSpaceDE w:val="0"/>
        <w:autoSpaceDN w:val="0"/>
        <w:adjustRightInd w:val="0"/>
        <w:spacing w:line="336" w:lineRule="auto"/>
        <w:ind w:firstLine="480"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36" w:lineRule="auto"/>
        <w:ind w:firstLine="480"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规费、税金、安全文明施工措施费计入投标总报价，并在投标函、投标函附录中单列，不参与商务标评审。</w:t>
      </w:r>
    </w:p>
    <w:p>
      <w:pPr>
        <w:tabs>
          <w:tab w:val="left" w:pos="1260"/>
        </w:tabs>
        <w:autoSpaceDE w:val="0"/>
        <w:autoSpaceDN w:val="0"/>
        <w:adjustRightInd w:val="0"/>
        <w:spacing w:line="336" w:lineRule="auto"/>
        <w:ind w:firstLine="480"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w:t>
      </w:r>
      <w:r>
        <w:rPr>
          <w:rFonts w:hint="eastAsia" w:hAnsi="宋体" w:cs="宋体"/>
          <w:b/>
          <w:color w:val="auto"/>
          <w:sz w:val="24"/>
          <w:szCs w:val="24"/>
          <w:highlight w:val="none"/>
          <w:lang w:val="en-US" w:eastAsia="zh-CN" w:bidi="ar"/>
        </w:rPr>
        <w:t>2</w:t>
      </w:r>
      <w:r>
        <w:rPr>
          <w:rFonts w:hint="eastAsia" w:hAnsi="宋体" w:cs="宋体"/>
          <w:b/>
          <w:color w:val="auto"/>
          <w:sz w:val="24"/>
          <w:szCs w:val="24"/>
          <w:highlight w:val="none"/>
          <w:lang w:bidi="ar"/>
        </w:rPr>
        <w:t>）投标人编制投标报价时，同一投标文件综合工日应前后保持一致。</w:t>
      </w:r>
    </w:p>
    <w:p>
      <w:pPr>
        <w:spacing w:line="336" w:lineRule="auto"/>
        <w:ind w:firstLine="480" w:firstLineChars="200"/>
        <w:rPr>
          <w:rFonts w:hint="eastAsia" w:hAnsi="宋体" w:cs="宋体"/>
          <w:b/>
          <w:color w:val="auto"/>
          <w:sz w:val="24"/>
          <w:highlight w:val="none"/>
        </w:rPr>
      </w:pPr>
      <w:r>
        <w:rPr>
          <w:rFonts w:hint="eastAsia" w:hAnsi="宋体" w:cs="宋体"/>
          <w:b/>
          <w:color w:val="auto"/>
          <w:sz w:val="24"/>
          <w:highlight w:val="none"/>
        </w:rPr>
        <w:t>六、初步评审</w:t>
      </w:r>
    </w:p>
    <w:p>
      <w:pPr>
        <w:spacing w:line="336"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评标委员会按招标文件要求对所有投标文件真实性、符合性、响应性和重大偏差逐一评审，经审查不符合招标文件要求的，不再进入详细评审阶段。初步评审主要包括以下内容：  </w:t>
      </w:r>
    </w:p>
    <w:p>
      <w:pPr>
        <w:spacing w:line="336"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（1）是否按招标文件要求签字盖章（无需逐页签字盖章）；</w:t>
      </w:r>
    </w:p>
    <w:p>
      <w:pPr>
        <w:spacing w:line="336"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（2）投标联合体是否提交共同投标协议（允许联合体投标的）；</w:t>
      </w:r>
    </w:p>
    <w:p>
      <w:pPr>
        <w:spacing w:line="336"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（3）投标人是否符合国家或者招标文件规定的资格条件，注册建造师注册单位与投标人是否一致；</w:t>
      </w:r>
    </w:p>
    <w:p>
      <w:pPr>
        <w:spacing w:line="336"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（4）同一投标人是否提交两个以上不同的投标文件或者投标报价，但招标文件要求提交备选投标的除外； </w:t>
      </w:r>
    </w:p>
    <w:p>
      <w:pPr>
        <w:spacing w:line="336"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（5）投标报价是否高于招标文件设定的最高投标限价；</w:t>
      </w:r>
    </w:p>
    <w:p>
      <w:pPr>
        <w:spacing w:line="336"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（6）投标范围、工期、工程质量、投标有效期是否符合招标文件规定；</w:t>
      </w:r>
    </w:p>
    <w:p>
      <w:pPr>
        <w:spacing w:line="336"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（7）投标人是否有串通投标、弄虚作假、行贿等违法行为。</w:t>
      </w:r>
    </w:p>
    <w:p>
      <w:pPr>
        <w:spacing w:line="336"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（8）“不同投标人电子投标文件制作硬件特征码（网卡MAC地址、CPU序号、硬盘序列号）</w:t>
      </w:r>
      <w:r>
        <w:rPr>
          <w:rFonts w:hint="eastAsia" w:ascii="新宋体" w:hAnsi="新宋体" w:eastAsia="新宋体"/>
          <w:color w:val="auto"/>
          <w:sz w:val="24"/>
          <w:highlight w:val="none"/>
          <w:lang w:val="en-US" w:eastAsia="zh-CN"/>
        </w:rPr>
        <w:t>均一致</w:t>
      </w:r>
      <w:r>
        <w:rPr>
          <w:rFonts w:hint="eastAsia" w:ascii="新宋体" w:hAnsi="新宋体" w:eastAsia="新宋体"/>
          <w:color w:val="auto"/>
          <w:sz w:val="24"/>
          <w:highlight w:val="none"/>
        </w:rPr>
        <w:t>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336" w:lineRule="auto"/>
        <w:ind w:firstLine="480" w:firstLineChars="200"/>
        <w:rPr>
          <w:rFonts w:hint="eastAsia" w:hAnsi="宋体" w:cs="宋体"/>
          <w:color w:val="auto"/>
          <w:sz w:val="24"/>
          <w:highlight w:val="none"/>
          <w:lang w:bidi="ar"/>
        </w:rPr>
      </w:pPr>
      <w:r>
        <w:rPr>
          <w:rFonts w:hint="eastAsia" w:ascii="新宋体" w:hAnsi="新宋体" w:eastAsia="新宋体"/>
          <w:color w:val="auto"/>
          <w:sz w:val="24"/>
          <w:highlight w:val="none"/>
        </w:rPr>
        <w:t>（9）投标人是否</w:t>
      </w:r>
      <w:r>
        <w:rPr>
          <w:rFonts w:hint="eastAsia" w:hAnsi="宋体" w:cs="宋体"/>
          <w:color w:val="auto"/>
          <w:sz w:val="24"/>
          <w:highlight w:val="none"/>
          <w:lang w:bidi="ar"/>
        </w:rPr>
        <w:t>符合招标文件规定的其他实质性内容。</w:t>
      </w:r>
    </w:p>
    <w:p>
      <w:pPr>
        <w:snapToGrid w:val="0"/>
        <w:spacing w:line="336"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初步评审经审查后应写出评审意见。</w:t>
      </w:r>
    </w:p>
    <w:p>
      <w:pPr>
        <w:snapToGrid w:val="0"/>
        <w:spacing w:line="336" w:lineRule="auto"/>
        <w:ind w:firstLine="480" w:firstLineChars="200"/>
        <w:rPr>
          <w:rFonts w:hint="eastAsia" w:hAnsi="宋体" w:cs="宋体"/>
          <w:b/>
          <w:color w:val="auto"/>
          <w:sz w:val="24"/>
          <w:highlight w:val="none"/>
          <w:lang w:eastAsia="zh-CN"/>
        </w:rPr>
      </w:pPr>
    </w:p>
    <w:p>
      <w:pPr>
        <w:snapToGrid w:val="0"/>
        <w:spacing w:line="336" w:lineRule="auto"/>
        <w:ind w:firstLine="480" w:firstLineChars="200"/>
        <w:rPr>
          <w:rFonts w:hint="eastAsia" w:hAnsi="宋体" w:eastAsia="宋体" w:cs="宋体"/>
          <w:b/>
          <w:color w:val="auto"/>
          <w:sz w:val="24"/>
          <w:highlight w:val="none"/>
          <w:lang w:eastAsia="zh-CN"/>
        </w:rPr>
      </w:pPr>
      <w:r>
        <w:rPr>
          <w:rFonts w:hint="eastAsia" w:hAnsi="宋体" w:cs="宋体"/>
          <w:b/>
          <w:color w:val="auto"/>
          <w:sz w:val="24"/>
          <w:highlight w:val="none"/>
          <w:lang w:eastAsia="zh-CN"/>
        </w:rPr>
        <w:t>七、详细评审</w:t>
      </w:r>
    </w:p>
    <w:bookmarkEnd w:id="92"/>
    <w:bookmarkEnd w:id="93"/>
    <w:bookmarkEnd w:id="94"/>
    <w:bookmarkEnd w:id="95"/>
    <w:tbl>
      <w:tblPr>
        <w:tblStyle w:val="1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986"/>
        <w:gridCol w:w="1168"/>
        <w:gridCol w:w="520"/>
        <w:gridCol w:w="553"/>
        <w:gridCol w:w="8"/>
        <w:gridCol w:w="4256"/>
        <w:gridCol w:w="46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2066" w:type="dxa"/>
            <w:gridSpan w:val="2"/>
            <w:noWrap w:val="0"/>
            <w:vAlign w:val="top"/>
          </w:tcPr>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1</w:t>
            </w:r>
          </w:p>
        </w:tc>
        <w:tc>
          <w:tcPr>
            <w:tcW w:w="2249" w:type="dxa"/>
            <w:gridSpan w:val="4"/>
            <w:noWrap w:val="0"/>
            <w:vAlign w:val="top"/>
          </w:tcPr>
          <w:p>
            <w:pPr>
              <w:spacing w:line="360" w:lineRule="auto"/>
              <w:ind w:firstLine="420" w:firstLineChars="200"/>
              <w:rPr>
                <w:rFonts w:ascii="宋体" w:hAnsi="宋体" w:cs="宋体"/>
                <w:color w:val="auto"/>
                <w:szCs w:val="21"/>
                <w:highlight w:val="none"/>
                <w:lang w:val="zh-CN" w:bidi="zh-CN"/>
              </w:rPr>
            </w:pPr>
          </w:p>
          <w:p>
            <w:pPr>
              <w:spacing w:line="360" w:lineRule="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分 值 构 成 总分 100 分</w:t>
            </w:r>
          </w:p>
        </w:tc>
        <w:tc>
          <w:tcPr>
            <w:tcW w:w="5744" w:type="dxa"/>
            <w:gridSpan w:val="3"/>
            <w:noWrap w:val="0"/>
            <w:vAlign w:val="top"/>
          </w:tcPr>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技术标：</w:t>
            </w:r>
            <w:r>
              <w:rPr>
                <w:rFonts w:hint="eastAsia" w:ascii="宋体" w:hAnsi="宋体" w:cs="宋体"/>
                <w:color w:val="auto"/>
                <w:szCs w:val="21"/>
                <w:highlight w:val="none"/>
                <w:lang w:val="en-US" w:bidi="zh-CN"/>
              </w:rPr>
              <w:t>25</w:t>
            </w:r>
            <w:r>
              <w:rPr>
                <w:rFonts w:hint="eastAsia" w:ascii="宋体" w:hAnsi="宋体" w:cs="宋体"/>
                <w:color w:val="auto"/>
                <w:szCs w:val="21"/>
                <w:highlight w:val="none"/>
                <w:lang w:val="zh-CN" w:bidi="zh-CN"/>
              </w:rPr>
              <w:t>分</w:t>
            </w:r>
          </w:p>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商务标： 50 分</w:t>
            </w:r>
          </w:p>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 xml:space="preserve">综合标： </w:t>
            </w:r>
            <w:r>
              <w:rPr>
                <w:rFonts w:hint="eastAsia" w:ascii="宋体" w:hAnsi="宋体" w:cs="宋体"/>
                <w:color w:val="auto"/>
                <w:szCs w:val="21"/>
                <w:highlight w:val="none"/>
                <w:lang w:val="en-US" w:bidi="zh-CN"/>
              </w:rPr>
              <w:t>25</w:t>
            </w:r>
            <w:r>
              <w:rPr>
                <w:rFonts w:hint="eastAsia" w:ascii="宋体" w:hAnsi="宋体" w:cs="宋体"/>
                <w:color w:val="auto"/>
                <w:szCs w:val="21"/>
                <w:highlight w:val="none"/>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2066" w:type="dxa"/>
            <w:gridSpan w:val="2"/>
            <w:noWrap w:val="0"/>
            <w:vAlign w:val="top"/>
          </w:tcPr>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w:t>
            </w:r>
          </w:p>
        </w:tc>
        <w:tc>
          <w:tcPr>
            <w:tcW w:w="2241" w:type="dxa"/>
            <w:gridSpan w:val="3"/>
            <w:noWrap w:val="0"/>
            <w:vAlign w:val="top"/>
          </w:tcPr>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评标基准价计算方法</w:t>
            </w:r>
          </w:p>
        </w:tc>
        <w:tc>
          <w:tcPr>
            <w:tcW w:w="5752" w:type="dxa"/>
            <w:gridSpan w:val="4"/>
            <w:noWrap w:val="0"/>
            <w:vAlign w:val="top"/>
          </w:tcPr>
          <w:p>
            <w:pPr>
              <w:spacing w:line="360" w:lineRule="auto"/>
              <w:ind w:firstLine="420" w:firstLineChars="200"/>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评标基准价计算：评标基准价＝最高投标限价×K+投标报价×（1－K）</w:t>
            </w:r>
          </w:p>
          <w:p>
            <w:pPr>
              <w:numPr>
                <w:ilvl w:val="0"/>
                <w:numId w:val="2"/>
              </w:num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K 为招标控制价权重系数 ，0.3≤K≤0.5，K值在取值区间内间隔为 0.1，在开标现场随机抽取。</w:t>
            </w:r>
          </w:p>
          <w:p>
            <w:pPr>
              <w:numPr>
                <w:ilvl w:val="0"/>
                <w:numId w:val="2"/>
              </w:num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当有效投标</w:t>
            </w:r>
            <w:r>
              <w:rPr>
                <w:rFonts w:hint="eastAsia" w:ascii="宋体" w:hAnsi="宋体" w:cs="宋体"/>
                <w:color w:val="auto"/>
                <w:szCs w:val="21"/>
                <w:highlight w:val="none"/>
                <w:lang w:val="zh-CN" w:eastAsia="zh-CN" w:bidi="zh-CN"/>
              </w:rPr>
              <w:t>大</w:t>
            </w:r>
            <w:r>
              <w:rPr>
                <w:rFonts w:hint="eastAsia" w:ascii="宋体" w:hAnsi="宋体" w:cs="宋体"/>
                <w:color w:val="auto"/>
                <w:szCs w:val="21"/>
                <w:highlight w:val="none"/>
                <w:lang w:val="zh-CN" w:bidi="zh-CN"/>
              </w:rPr>
              <w:t>于5家时（含5家）去掉一个最高和一个最低报价后的算术平均值。</w:t>
            </w:r>
          </w:p>
          <w:p>
            <w:pPr>
              <w:numPr>
                <w:ilvl w:val="0"/>
                <w:numId w:val="2"/>
              </w:num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当有效投标少于5家时（不含5家），则以所有有效投标总报价的算术平均值作为投标总报价。</w:t>
            </w:r>
          </w:p>
          <w:p>
            <w:pPr>
              <w:numPr>
                <w:ilvl w:val="0"/>
                <w:numId w:val="0"/>
              </w:numPr>
              <w:spacing w:line="360" w:lineRule="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备注：本项目仅抽取一次将作为每个标段的调整系数。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2066" w:type="dxa"/>
            <w:gridSpan w:val="2"/>
            <w:noWrap w:val="0"/>
            <w:vAlign w:val="top"/>
          </w:tcPr>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3</w:t>
            </w:r>
          </w:p>
        </w:tc>
        <w:tc>
          <w:tcPr>
            <w:tcW w:w="2241" w:type="dxa"/>
            <w:gridSpan w:val="3"/>
            <w:noWrap w:val="0"/>
            <w:vAlign w:val="top"/>
          </w:tcPr>
          <w:p>
            <w:pPr>
              <w:spacing w:line="360" w:lineRule="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偏差率计算公式</w:t>
            </w:r>
          </w:p>
        </w:tc>
        <w:tc>
          <w:tcPr>
            <w:tcW w:w="5752" w:type="dxa"/>
            <w:gridSpan w:val="4"/>
            <w:noWrap w:val="0"/>
            <w:vAlign w:val="top"/>
          </w:tcPr>
          <w:p>
            <w:pPr>
              <w:spacing w:line="360" w:lineRule="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066" w:type="dxa"/>
            <w:gridSpan w:val="2"/>
            <w:noWrap w:val="0"/>
            <w:vAlign w:val="top"/>
          </w:tcPr>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条款号</w:t>
            </w:r>
          </w:p>
        </w:tc>
        <w:tc>
          <w:tcPr>
            <w:tcW w:w="1168" w:type="dxa"/>
            <w:noWrap w:val="0"/>
            <w:vAlign w:val="center"/>
          </w:tcPr>
          <w:p>
            <w:pPr>
              <w:jc w:val="center"/>
              <w:rPr>
                <w:rFonts w:ascii="宋体" w:hAnsi="宋体" w:cs="宋体"/>
                <w:color w:val="auto"/>
                <w:szCs w:val="21"/>
                <w:highlight w:val="none"/>
                <w:lang w:val="zh-CN" w:bidi="zh-CN"/>
              </w:rPr>
            </w:pPr>
            <w:r>
              <w:rPr>
                <w:rFonts w:hint="eastAsia"/>
                <w:color w:val="auto"/>
                <w:szCs w:val="21"/>
                <w:highlight w:val="none"/>
              </w:rPr>
              <w:t>评审内容</w:t>
            </w:r>
          </w:p>
        </w:tc>
        <w:tc>
          <w:tcPr>
            <w:tcW w:w="1073" w:type="dxa"/>
            <w:gridSpan w:val="2"/>
            <w:noWrap w:val="0"/>
            <w:vAlign w:val="center"/>
          </w:tcPr>
          <w:p>
            <w:pPr>
              <w:jc w:val="center"/>
              <w:rPr>
                <w:rFonts w:ascii="宋体" w:hAnsi="宋体" w:cs="宋体"/>
                <w:color w:val="auto"/>
                <w:szCs w:val="21"/>
                <w:highlight w:val="none"/>
                <w:lang w:val="zh-CN" w:bidi="zh-CN"/>
              </w:rPr>
            </w:pPr>
            <w:r>
              <w:rPr>
                <w:rFonts w:hint="eastAsia"/>
                <w:color w:val="auto"/>
                <w:szCs w:val="21"/>
                <w:highlight w:val="none"/>
              </w:rPr>
              <w:t>分值</w:t>
            </w:r>
          </w:p>
        </w:tc>
        <w:tc>
          <w:tcPr>
            <w:tcW w:w="4733" w:type="dxa"/>
            <w:gridSpan w:val="3"/>
            <w:noWrap w:val="0"/>
            <w:vAlign w:val="center"/>
          </w:tcPr>
          <w:p>
            <w:pPr>
              <w:jc w:val="center"/>
              <w:rPr>
                <w:rFonts w:ascii="宋体" w:hAnsi="宋体" w:cs="宋体"/>
                <w:color w:val="auto"/>
                <w:szCs w:val="21"/>
                <w:highlight w:val="none"/>
                <w:lang w:val="zh-CN" w:bidi="zh-CN"/>
              </w:rPr>
            </w:pPr>
            <w:r>
              <w:rPr>
                <w:rFonts w:hint="eastAsia"/>
                <w:color w:val="auto"/>
                <w:szCs w:val="21"/>
                <w:highlight w:val="none"/>
              </w:rPr>
              <w:t>评审标准</w:t>
            </w:r>
          </w:p>
        </w:tc>
        <w:tc>
          <w:tcPr>
            <w:tcW w:w="1019" w:type="dxa"/>
            <w:noWrap w:val="0"/>
            <w:vAlign w:val="center"/>
          </w:tcPr>
          <w:p>
            <w:pPr>
              <w:jc w:val="center"/>
              <w:rPr>
                <w:rFonts w:ascii="宋体" w:hAnsi="宋体" w:cs="宋体"/>
                <w:color w:val="auto"/>
                <w:szCs w:val="21"/>
                <w:highlight w:val="none"/>
                <w:lang w:val="zh-CN" w:bidi="zh-CN"/>
              </w:rPr>
            </w:pPr>
            <w:r>
              <w:rPr>
                <w:rFonts w:hint="eastAsia"/>
                <w:color w:val="auto"/>
                <w:szCs w:val="21"/>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restart"/>
            <w:noWrap w:val="0"/>
            <w:vAlign w:val="center"/>
          </w:tcPr>
          <w:p>
            <w:pPr>
              <w:spacing w:line="360" w:lineRule="auto"/>
              <w:jc w:val="center"/>
              <w:rPr>
                <w:rFonts w:ascii="宋体" w:hAnsi="宋体" w:cs="宋体"/>
                <w:color w:val="auto"/>
                <w:szCs w:val="21"/>
                <w:highlight w:val="none"/>
                <w:lang w:bidi="zh-CN"/>
              </w:rPr>
            </w:pPr>
            <w:r>
              <w:rPr>
                <w:rFonts w:hint="eastAsia" w:ascii="宋体" w:hAnsi="宋体" w:cs="宋体"/>
                <w:color w:val="auto"/>
                <w:szCs w:val="21"/>
                <w:highlight w:val="none"/>
                <w:lang w:val="zh-CN" w:bidi="zh-CN"/>
              </w:rPr>
              <w:t>4（</w:t>
            </w:r>
            <w:r>
              <w:rPr>
                <w:rFonts w:hint="eastAsia" w:ascii="宋体" w:hAnsi="宋体" w:cs="宋体"/>
                <w:color w:val="auto"/>
                <w:szCs w:val="21"/>
                <w:highlight w:val="none"/>
                <w:lang w:bidi="zh-CN"/>
              </w:rPr>
              <w:t>1）</w:t>
            </w:r>
          </w:p>
        </w:tc>
        <w:tc>
          <w:tcPr>
            <w:tcW w:w="986" w:type="dxa"/>
            <w:vMerge w:val="restart"/>
            <w:noWrap w:val="0"/>
            <w:vAlign w:val="center"/>
          </w:tcPr>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技术标评分标准</w:t>
            </w:r>
          </w:p>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25</w:t>
            </w:r>
            <w:r>
              <w:rPr>
                <w:rFonts w:hint="eastAsia" w:ascii="宋体" w:hAnsi="宋体" w:cs="宋体"/>
                <w:color w:val="auto"/>
                <w:szCs w:val="21"/>
                <w:highlight w:val="none"/>
                <w:lang w:val="zh-CN" w:bidi="zh-CN"/>
              </w:rPr>
              <w:t>分）</w:t>
            </w:r>
          </w:p>
        </w:tc>
        <w:tc>
          <w:tcPr>
            <w:tcW w:w="1168" w:type="dxa"/>
            <w:vMerge w:val="restart"/>
            <w:noWrap w:val="0"/>
            <w:vAlign w:val="center"/>
          </w:tcPr>
          <w:p>
            <w:pPr>
              <w:jc w:val="center"/>
              <w:rPr>
                <w:rFonts w:ascii="宋体" w:hAnsi="宋体" w:cs="宋体"/>
                <w:color w:val="auto"/>
                <w:szCs w:val="21"/>
                <w:highlight w:val="none"/>
                <w:lang w:val="zh-CN" w:bidi="zh-CN"/>
              </w:rPr>
            </w:pPr>
            <w:r>
              <w:rPr>
                <w:rFonts w:hint="eastAsia"/>
                <w:color w:val="auto"/>
                <w:szCs w:val="21"/>
                <w:highlight w:val="none"/>
              </w:rPr>
              <w:t>内容完整性</w:t>
            </w:r>
          </w:p>
        </w:tc>
        <w:tc>
          <w:tcPr>
            <w:tcW w:w="1073" w:type="dxa"/>
            <w:gridSpan w:val="2"/>
            <w:vMerge w:val="restart"/>
            <w:noWrap w:val="0"/>
            <w:vAlign w:val="center"/>
          </w:tcPr>
          <w:p>
            <w:pPr>
              <w:jc w:val="center"/>
              <w:rPr>
                <w:rFonts w:ascii="宋体" w:hAnsi="宋体" w:cs="宋体"/>
                <w:color w:val="auto"/>
                <w:szCs w:val="21"/>
                <w:highlight w:val="none"/>
                <w:lang w:val="zh-CN" w:bidi="zh-CN"/>
              </w:rPr>
            </w:pPr>
            <w:r>
              <w:rPr>
                <w:color w:val="auto"/>
                <w:szCs w:val="21"/>
                <w:highlight w:val="none"/>
              </w:rPr>
              <w:t>0-0.5</w:t>
            </w:r>
            <w:r>
              <w:rPr>
                <w:rFonts w:hint="eastAsia"/>
                <w:color w:val="auto"/>
                <w:szCs w:val="21"/>
                <w:highlight w:val="none"/>
              </w:rPr>
              <w:t>分</w:t>
            </w:r>
          </w:p>
        </w:tc>
        <w:tc>
          <w:tcPr>
            <w:tcW w:w="4733" w:type="dxa"/>
            <w:gridSpan w:val="3"/>
            <w:noWrap w:val="0"/>
            <w:vAlign w:val="center"/>
          </w:tcPr>
          <w:p>
            <w:pPr>
              <w:jc w:val="center"/>
              <w:rPr>
                <w:rFonts w:ascii="宋体" w:hAnsi="宋体" w:cs="宋体"/>
                <w:color w:val="auto"/>
                <w:szCs w:val="21"/>
                <w:highlight w:val="none"/>
                <w:lang w:val="zh-CN" w:bidi="zh-CN"/>
              </w:rPr>
            </w:pPr>
            <w:r>
              <w:rPr>
                <w:rFonts w:hint="eastAsia"/>
                <w:color w:val="auto"/>
                <w:szCs w:val="21"/>
                <w:highlight w:val="none"/>
              </w:rPr>
              <w:t>技术标的主要内容具有完整性，符合招标文件的要求。</w:t>
            </w:r>
          </w:p>
        </w:tc>
        <w:tc>
          <w:tcPr>
            <w:tcW w:w="1019" w:type="dxa"/>
            <w:noWrap w:val="0"/>
            <w:vAlign w:val="center"/>
          </w:tcPr>
          <w:p>
            <w:pPr>
              <w:jc w:val="center"/>
              <w:rPr>
                <w:rFonts w:ascii="宋体" w:hAnsi="宋体" w:cs="宋体"/>
                <w:color w:val="auto"/>
                <w:szCs w:val="21"/>
                <w:highlight w:val="none"/>
                <w:lang w:val="zh-CN" w:bidi="zh-CN"/>
              </w:rPr>
            </w:pPr>
            <w:r>
              <w:rPr>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jc w:val="center"/>
              <w:rPr>
                <w:rFonts w:ascii="宋体" w:hAnsi="宋体" w:cs="宋体"/>
                <w:color w:val="auto"/>
                <w:szCs w:val="21"/>
                <w:highlight w:val="none"/>
                <w:lang w:val="zh-CN" w:bidi="zh-CN"/>
              </w:rPr>
            </w:pPr>
            <w:r>
              <w:rPr>
                <w:rFonts w:hint="eastAsia"/>
                <w:color w:val="auto"/>
                <w:szCs w:val="21"/>
                <w:highlight w:val="none"/>
              </w:rPr>
              <w:t>技术标不符合招标文件要求。</w:t>
            </w:r>
          </w:p>
        </w:tc>
        <w:tc>
          <w:tcPr>
            <w:tcW w:w="1019" w:type="dxa"/>
            <w:noWrap w:val="0"/>
            <w:vAlign w:val="center"/>
          </w:tcPr>
          <w:p>
            <w:pPr>
              <w:jc w:val="center"/>
              <w:rPr>
                <w:rFonts w:ascii="宋体" w:hAnsi="宋体" w:cs="宋体"/>
                <w:color w:val="auto"/>
                <w:szCs w:val="21"/>
                <w:highlight w:val="none"/>
                <w:lang w:val="zh-CN" w:bidi="zh-CN"/>
              </w:rPr>
            </w:pPr>
            <w:r>
              <w:rPr>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jc w:val="left"/>
              <w:rPr>
                <w:rFonts w:ascii="宋体" w:hAnsi="宋体" w:cs="宋体"/>
                <w:color w:val="auto"/>
                <w:szCs w:val="21"/>
                <w:highlight w:val="none"/>
                <w:lang w:val="zh-CN" w:bidi="zh-CN"/>
              </w:rPr>
            </w:pPr>
            <w:r>
              <w:rPr>
                <w:rFonts w:hint="eastAsia"/>
                <w:color w:val="auto"/>
                <w:szCs w:val="21"/>
                <w:highlight w:val="none"/>
              </w:rPr>
              <w:t>主要施工方案与技术措施</w:t>
            </w:r>
          </w:p>
        </w:tc>
        <w:tc>
          <w:tcPr>
            <w:tcW w:w="1073" w:type="dxa"/>
            <w:gridSpan w:val="2"/>
            <w:vMerge w:val="restart"/>
            <w:noWrap w:val="0"/>
            <w:vAlign w:val="center"/>
          </w:tcPr>
          <w:p>
            <w:pPr>
              <w:jc w:val="center"/>
              <w:rPr>
                <w:rFonts w:ascii="宋体" w:hAnsi="宋体" w:cs="宋体"/>
                <w:color w:val="auto"/>
                <w:szCs w:val="21"/>
                <w:highlight w:val="none"/>
                <w:lang w:val="zh-CN" w:bidi="zh-CN"/>
              </w:rPr>
            </w:pPr>
            <w:r>
              <w:rPr>
                <w:color w:val="auto"/>
                <w:szCs w:val="21"/>
                <w:highlight w:val="none"/>
              </w:rPr>
              <w:t xml:space="preserve"> 1-</w:t>
            </w:r>
            <w:r>
              <w:rPr>
                <w:rFonts w:hint="eastAsia"/>
                <w:color w:val="auto"/>
                <w:szCs w:val="21"/>
                <w:highlight w:val="none"/>
                <w:lang w:val="en-US" w:eastAsia="zh-CN"/>
              </w:rPr>
              <w:t>3</w:t>
            </w:r>
            <w:r>
              <w:rPr>
                <w:rFonts w:hint="eastAsia"/>
                <w:color w:val="auto"/>
                <w:szCs w:val="21"/>
                <w:highlight w:val="none"/>
              </w:rPr>
              <w:t>分</w:t>
            </w:r>
          </w:p>
        </w:tc>
        <w:tc>
          <w:tcPr>
            <w:tcW w:w="4733" w:type="dxa"/>
            <w:gridSpan w:val="3"/>
            <w:noWrap w:val="0"/>
            <w:vAlign w:val="center"/>
          </w:tcPr>
          <w:p>
            <w:pPr>
              <w:rPr>
                <w:rFonts w:ascii="宋体" w:hAnsi="宋体" w:cs="宋体"/>
                <w:color w:val="auto"/>
                <w:szCs w:val="21"/>
                <w:highlight w:val="none"/>
                <w:lang w:val="zh-CN" w:bidi="zh-CN"/>
              </w:rPr>
            </w:pPr>
            <w:r>
              <w:rPr>
                <w:rFonts w:hint="eastAsia"/>
                <w:color w:val="auto"/>
                <w:szCs w:val="21"/>
                <w:highlight w:val="none"/>
              </w:rPr>
              <w:t>施工方案（含工程特点、施工重点与难点及绿色施工）总体安排合理，运用先进、合理的施工工艺、施工机械；对施工难点有先进和合理的建议。</w:t>
            </w:r>
          </w:p>
        </w:tc>
        <w:tc>
          <w:tcPr>
            <w:tcW w:w="1019" w:type="dxa"/>
            <w:noWrap w:val="0"/>
            <w:vAlign w:val="center"/>
          </w:tcPr>
          <w:p>
            <w:pPr>
              <w:jc w:val="center"/>
              <w:rPr>
                <w:rFonts w:hint="eastAsia" w:ascii="宋体" w:hAnsi="宋体" w:eastAsia="宋体" w:cs="宋体"/>
                <w:color w:val="auto"/>
                <w:szCs w:val="21"/>
                <w:highlight w:val="none"/>
                <w:lang w:val="en-US" w:eastAsia="zh-CN" w:bidi="zh-CN"/>
              </w:rPr>
            </w:pPr>
            <w:r>
              <w:rPr>
                <w:color w:val="auto"/>
                <w:szCs w:val="21"/>
                <w:highlight w:val="none"/>
              </w:rPr>
              <w:t>2</w:t>
            </w:r>
            <w:r>
              <w:rPr>
                <w:rFonts w:hint="eastAsia"/>
                <w:color w:val="auto"/>
                <w:szCs w:val="21"/>
                <w:highlight w:val="none"/>
              </w:rPr>
              <w:t>＜得分</w:t>
            </w:r>
            <w:r>
              <w:rPr>
                <w:color w:val="auto"/>
                <w:szCs w:val="21"/>
                <w:highlight w:val="none"/>
              </w:rPr>
              <w:t>≤</w:t>
            </w:r>
            <w:r>
              <w:rPr>
                <w:rFonts w:hint="eastAsia"/>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rPr>
                <w:rFonts w:ascii="宋体" w:hAnsi="宋体" w:cs="宋体"/>
                <w:color w:val="auto"/>
                <w:szCs w:val="21"/>
                <w:highlight w:val="none"/>
                <w:lang w:val="zh-CN" w:bidi="zh-CN"/>
              </w:rPr>
            </w:pPr>
            <w:r>
              <w:rPr>
                <w:rFonts w:hint="eastAsia"/>
                <w:color w:val="auto"/>
                <w:szCs w:val="21"/>
                <w:highlight w:val="none"/>
              </w:rPr>
              <w:t>施工方案（含工程特点、施工重点与难点及绿色施工）总体安排合理，施工工艺、施工机械合理、可行；对施工难点有合理的建议。</w:t>
            </w:r>
          </w:p>
        </w:tc>
        <w:tc>
          <w:tcPr>
            <w:tcW w:w="1019" w:type="dxa"/>
            <w:noWrap w:val="0"/>
            <w:vAlign w:val="center"/>
          </w:tcPr>
          <w:p>
            <w:pPr>
              <w:jc w:val="center"/>
              <w:rPr>
                <w:rFonts w:ascii="宋体" w:hAnsi="宋体" w:cs="宋体"/>
                <w:color w:val="auto"/>
                <w:szCs w:val="21"/>
                <w:highlight w:val="none"/>
                <w:lang w:val="zh-CN" w:bidi="zh-CN"/>
              </w:rPr>
            </w:pPr>
            <w:r>
              <w:rPr>
                <w:color w:val="auto"/>
                <w:szCs w:val="21"/>
                <w:highlight w:val="none"/>
              </w:rPr>
              <w:t xml:space="preserve"> 1≤</w:t>
            </w:r>
            <w:r>
              <w:rPr>
                <w:rFonts w:hint="eastAsia"/>
                <w:color w:val="auto"/>
                <w:szCs w:val="21"/>
                <w:highlight w:val="none"/>
              </w:rPr>
              <w:t>得分</w:t>
            </w:r>
            <w:r>
              <w:rPr>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jc w:val="left"/>
              <w:rPr>
                <w:rFonts w:ascii="宋体" w:hAnsi="宋体" w:cs="宋体"/>
                <w:color w:val="auto"/>
                <w:szCs w:val="21"/>
                <w:highlight w:val="none"/>
                <w:lang w:val="zh-CN" w:bidi="zh-CN"/>
              </w:rPr>
            </w:pPr>
            <w:r>
              <w:rPr>
                <w:rFonts w:hint="eastAsia"/>
                <w:color w:val="auto"/>
                <w:szCs w:val="21"/>
                <w:highlight w:val="none"/>
              </w:rPr>
              <w:t>质量管理体系与措施</w:t>
            </w:r>
          </w:p>
        </w:tc>
        <w:tc>
          <w:tcPr>
            <w:tcW w:w="1073" w:type="dxa"/>
            <w:gridSpan w:val="2"/>
            <w:vMerge w:val="restart"/>
            <w:noWrap w:val="0"/>
            <w:vAlign w:val="center"/>
          </w:tcPr>
          <w:p>
            <w:pPr>
              <w:jc w:val="center"/>
              <w:rPr>
                <w:rFonts w:ascii="宋体" w:hAnsi="宋体" w:cs="宋体"/>
                <w:color w:val="auto"/>
                <w:szCs w:val="21"/>
                <w:highlight w:val="none"/>
                <w:lang w:val="zh-CN" w:bidi="zh-CN"/>
              </w:rPr>
            </w:pPr>
            <w:r>
              <w:rPr>
                <w:color w:val="auto"/>
                <w:szCs w:val="21"/>
                <w:highlight w:val="none"/>
              </w:rPr>
              <w:t>1-2</w:t>
            </w:r>
            <w:r>
              <w:rPr>
                <w:rFonts w:hint="eastAsia"/>
                <w:color w:val="auto"/>
                <w:szCs w:val="21"/>
                <w:highlight w:val="none"/>
              </w:rPr>
              <w:t>分</w:t>
            </w:r>
          </w:p>
        </w:tc>
        <w:tc>
          <w:tcPr>
            <w:tcW w:w="4733" w:type="dxa"/>
            <w:gridSpan w:val="3"/>
            <w:noWrap w:val="0"/>
            <w:vAlign w:val="center"/>
          </w:tcPr>
          <w:p>
            <w:pPr>
              <w:spacing w:line="360" w:lineRule="exact"/>
              <w:rPr>
                <w:rFonts w:ascii="宋体" w:hAnsi="宋体" w:cs="宋体"/>
                <w:color w:val="auto"/>
                <w:szCs w:val="21"/>
                <w:highlight w:val="none"/>
                <w:lang w:val="zh-CN" w:bidi="zh-CN"/>
              </w:rPr>
            </w:pPr>
            <w:r>
              <w:rPr>
                <w:rFonts w:hint="eastAsia"/>
                <w:color w:val="auto"/>
                <w:szCs w:val="21"/>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019" w:type="dxa"/>
            <w:noWrap w:val="0"/>
            <w:vAlign w:val="center"/>
          </w:tcPr>
          <w:p>
            <w:pPr>
              <w:jc w:val="center"/>
              <w:rPr>
                <w:rFonts w:ascii="宋体" w:hAnsi="宋体" w:cs="宋体"/>
                <w:color w:val="auto"/>
                <w:szCs w:val="21"/>
                <w:highlight w:val="none"/>
                <w:lang w:val="zh-CN" w:bidi="zh-CN"/>
              </w:rPr>
            </w:pPr>
            <w:r>
              <w:rPr>
                <w:color w:val="auto"/>
                <w:szCs w:val="21"/>
                <w:highlight w:val="none"/>
              </w:rPr>
              <w:t>1.5</w:t>
            </w:r>
            <w:r>
              <w:rPr>
                <w:rFonts w:hint="eastAsia"/>
                <w:color w:val="auto"/>
                <w:szCs w:val="21"/>
                <w:highlight w:val="none"/>
              </w:rPr>
              <w:t>＜得分</w:t>
            </w:r>
            <w:r>
              <w:rPr>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360" w:lineRule="exact"/>
              <w:rPr>
                <w:rFonts w:ascii="宋体" w:hAnsi="宋体" w:cs="宋体"/>
                <w:color w:val="auto"/>
                <w:szCs w:val="21"/>
                <w:highlight w:val="none"/>
                <w:lang w:val="zh-CN" w:bidi="zh-CN"/>
              </w:rPr>
            </w:pPr>
            <w:r>
              <w:rPr>
                <w:rFonts w:hint="eastAsia"/>
                <w:color w:val="auto"/>
                <w:szCs w:val="21"/>
                <w:highlight w:val="none"/>
              </w:rPr>
              <w:t>组织机构形式基本合理，指挥系统、质量监控系统、联络协调系统，具体措施可行。主体结构质量保证措施经济、安全、基本可行。主体结构、装饰装修符合工程建设强制性标准，不得偷工减料。</w:t>
            </w:r>
          </w:p>
        </w:tc>
        <w:tc>
          <w:tcPr>
            <w:tcW w:w="1019" w:type="dxa"/>
            <w:noWrap w:val="0"/>
            <w:vAlign w:val="center"/>
          </w:tcPr>
          <w:p>
            <w:pPr>
              <w:jc w:val="center"/>
              <w:rPr>
                <w:rFonts w:ascii="宋体" w:hAnsi="宋体" w:cs="宋体"/>
                <w:color w:val="auto"/>
                <w:szCs w:val="21"/>
                <w:highlight w:val="none"/>
                <w:lang w:val="zh-CN" w:bidi="zh-CN"/>
              </w:rPr>
            </w:pPr>
            <w:r>
              <w:rPr>
                <w:color w:val="auto"/>
                <w:szCs w:val="21"/>
                <w:highlight w:val="none"/>
              </w:rPr>
              <w:t>1≤</w:t>
            </w:r>
            <w:r>
              <w:rPr>
                <w:rFonts w:hint="eastAsia"/>
                <w:color w:val="auto"/>
                <w:szCs w:val="21"/>
                <w:highlight w:val="none"/>
              </w:rPr>
              <w:t>得分</w:t>
            </w:r>
            <w:r>
              <w:rPr>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jc w:val="left"/>
              <w:rPr>
                <w:rFonts w:ascii="宋体" w:hAnsi="宋体" w:cs="宋体"/>
                <w:color w:val="auto"/>
                <w:szCs w:val="21"/>
                <w:highlight w:val="none"/>
                <w:lang w:val="zh-CN" w:bidi="zh-CN"/>
              </w:rPr>
            </w:pPr>
            <w:r>
              <w:rPr>
                <w:rFonts w:hint="eastAsia"/>
                <w:color w:val="auto"/>
                <w:szCs w:val="21"/>
                <w:highlight w:val="none"/>
              </w:rPr>
              <w:t>安全管理体系与措施</w:t>
            </w:r>
          </w:p>
        </w:tc>
        <w:tc>
          <w:tcPr>
            <w:tcW w:w="1073" w:type="dxa"/>
            <w:gridSpan w:val="2"/>
            <w:vMerge w:val="restart"/>
            <w:noWrap w:val="0"/>
            <w:vAlign w:val="center"/>
          </w:tcPr>
          <w:p>
            <w:pPr>
              <w:jc w:val="center"/>
              <w:rPr>
                <w:rFonts w:ascii="宋体" w:hAnsi="宋体" w:cs="宋体"/>
                <w:color w:val="auto"/>
                <w:szCs w:val="21"/>
                <w:highlight w:val="none"/>
                <w:lang w:val="zh-CN" w:bidi="zh-CN"/>
              </w:rPr>
            </w:pPr>
            <w:r>
              <w:rPr>
                <w:color w:val="auto"/>
                <w:szCs w:val="21"/>
                <w:highlight w:val="none"/>
              </w:rPr>
              <w:t xml:space="preserve"> 1-</w:t>
            </w:r>
            <w:r>
              <w:rPr>
                <w:rFonts w:hint="eastAsia"/>
                <w:color w:val="auto"/>
                <w:szCs w:val="21"/>
                <w:highlight w:val="none"/>
                <w:lang w:val="en-US" w:eastAsia="zh-CN"/>
              </w:rPr>
              <w:t>2</w:t>
            </w:r>
            <w:r>
              <w:rPr>
                <w:rFonts w:hint="eastAsia"/>
                <w:color w:val="auto"/>
                <w:szCs w:val="21"/>
                <w:highlight w:val="none"/>
              </w:rPr>
              <w:t>分</w:t>
            </w:r>
          </w:p>
        </w:tc>
        <w:tc>
          <w:tcPr>
            <w:tcW w:w="4733" w:type="dxa"/>
            <w:gridSpan w:val="3"/>
            <w:noWrap w:val="0"/>
            <w:vAlign w:val="center"/>
          </w:tcPr>
          <w:p>
            <w:pPr>
              <w:spacing w:line="360" w:lineRule="exact"/>
              <w:rPr>
                <w:rFonts w:ascii="宋体" w:hAnsi="宋体" w:cs="宋体"/>
                <w:color w:val="auto"/>
                <w:szCs w:val="21"/>
                <w:highlight w:val="none"/>
                <w:lang w:val="zh-CN" w:bidi="zh-CN"/>
              </w:rPr>
            </w:pPr>
            <w:r>
              <w:rPr>
                <w:rFonts w:hint="eastAsia"/>
                <w:color w:val="auto"/>
                <w:szCs w:val="21"/>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019" w:type="dxa"/>
            <w:noWrap w:val="0"/>
            <w:vAlign w:val="center"/>
          </w:tcPr>
          <w:p>
            <w:pPr>
              <w:jc w:val="center"/>
              <w:rPr>
                <w:rFonts w:hint="eastAsia" w:ascii="宋体" w:hAnsi="宋体" w:eastAsia="宋体" w:cs="宋体"/>
                <w:color w:val="auto"/>
                <w:szCs w:val="21"/>
                <w:highlight w:val="none"/>
                <w:lang w:val="en-US" w:eastAsia="zh-CN" w:bidi="zh-CN"/>
              </w:rPr>
            </w:pPr>
            <w:r>
              <w:rPr>
                <w:color w:val="auto"/>
                <w:szCs w:val="21"/>
                <w:highlight w:val="none"/>
              </w:rPr>
              <w:t>1.5</w:t>
            </w:r>
            <w:r>
              <w:rPr>
                <w:rFonts w:hint="eastAsia"/>
                <w:color w:val="auto"/>
                <w:szCs w:val="21"/>
                <w:highlight w:val="none"/>
              </w:rPr>
              <w:t>＜得分</w:t>
            </w:r>
            <w:r>
              <w:rPr>
                <w:color w:val="auto"/>
                <w:szCs w:val="21"/>
                <w:highlight w:val="none"/>
              </w:rPr>
              <w:t>≤</w:t>
            </w:r>
            <w:r>
              <w:rPr>
                <w:rFonts w:hint="eastAsia"/>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340" w:lineRule="exact"/>
              <w:rPr>
                <w:rFonts w:ascii="宋体" w:hAnsi="宋体" w:cs="宋体"/>
                <w:color w:val="auto"/>
                <w:szCs w:val="21"/>
                <w:highlight w:val="none"/>
                <w:lang w:val="zh-CN" w:bidi="zh-CN"/>
              </w:rPr>
            </w:pPr>
            <w:r>
              <w:rPr>
                <w:rFonts w:hint="eastAsia"/>
                <w:color w:val="auto"/>
                <w:szCs w:val="21"/>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019" w:type="dxa"/>
            <w:noWrap w:val="0"/>
            <w:vAlign w:val="center"/>
          </w:tcPr>
          <w:p>
            <w:pPr>
              <w:jc w:val="center"/>
              <w:rPr>
                <w:rFonts w:ascii="宋体" w:hAnsi="宋体" w:cs="宋体"/>
                <w:color w:val="auto"/>
                <w:szCs w:val="21"/>
                <w:highlight w:val="none"/>
                <w:lang w:val="zh-CN" w:bidi="zh-CN"/>
              </w:rPr>
            </w:pPr>
            <w:r>
              <w:rPr>
                <w:color w:val="auto"/>
                <w:szCs w:val="21"/>
                <w:highlight w:val="none"/>
              </w:rPr>
              <w:t>1≤</w:t>
            </w:r>
            <w:r>
              <w:rPr>
                <w:rFonts w:hint="eastAsia"/>
                <w:color w:val="auto"/>
                <w:szCs w:val="21"/>
                <w:highlight w:val="none"/>
              </w:rPr>
              <w:t>得分</w:t>
            </w:r>
            <w:r>
              <w:rPr>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spacing w:line="400" w:lineRule="exact"/>
              <w:jc w:val="left"/>
              <w:rPr>
                <w:rFonts w:ascii="宋体" w:hAnsi="宋体" w:cs="宋体"/>
                <w:color w:val="auto"/>
                <w:szCs w:val="21"/>
                <w:highlight w:val="none"/>
                <w:lang w:val="zh-CN" w:bidi="zh-CN"/>
              </w:rPr>
            </w:pPr>
            <w:r>
              <w:rPr>
                <w:rFonts w:hint="eastAsia"/>
                <w:color w:val="auto"/>
                <w:szCs w:val="21"/>
                <w:highlight w:val="none"/>
              </w:rPr>
              <w:t>文明施工、环境保护管理体系及施工现场扬尘治理措施</w:t>
            </w:r>
            <w:r>
              <w:rPr>
                <w:color w:val="auto"/>
                <w:kern w:val="0"/>
                <w:szCs w:val="21"/>
                <w:highlight w:val="none"/>
              </w:rPr>
              <w:t xml:space="preserve">  </w:t>
            </w:r>
          </w:p>
        </w:tc>
        <w:tc>
          <w:tcPr>
            <w:tcW w:w="1073" w:type="dxa"/>
            <w:gridSpan w:val="2"/>
            <w:vMerge w:val="restart"/>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w:t>
            </w:r>
            <w:r>
              <w:rPr>
                <w:rFonts w:hint="eastAsia"/>
                <w:color w:val="auto"/>
                <w:szCs w:val="21"/>
                <w:highlight w:val="none"/>
                <w:lang w:val="en-US" w:eastAsia="zh-CN"/>
              </w:rPr>
              <w:t>3</w:t>
            </w:r>
            <w:r>
              <w:rPr>
                <w:rFonts w:hint="eastAsia"/>
                <w:color w:val="auto"/>
                <w:szCs w:val="21"/>
                <w:highlight w:val="none"/>
              </w:rPr>
              <w:t>分</w:t>
            </w: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Cs w:val="21"/>
                <w:highlight w:val="none"/>
              </w:rPr>
              <w:t>DBJ41/174</w:t>
            </w:r>
            <w:r>
              <w:rPr>
                <w:rFonts w:hint="eastAsia"/>
                <w:color w:val="auto"/>
                <w:szCs w:val="21"/>
                <w:highlight w:val="none"/>
              </w:rPr>
              <w:t>）的规定，防治方案科学、先进。</w:t>
            </w:r>
          </w:p>
        </w:tc>
        <w:tc>
          <w:tcPr>
            <w:tcW w:w="1019" w:type="dxa"/>
            <w:noWrap w:val="0"/>
            <w:vAlign w:val="center"/>
          </w:tcPr>
          <w:p>
            <w:pPr>
              <w:spacing w:line="400" w:lineRule="exact"/>
              <w:jc w:val="center"/>
              <w:rPr>
                <w:rFonts w:hint="eastAsia" w:ascii="宋体" w:hAnsi="宋体" w:eastAsia="宋体" w:cs="宋体"/>
                <w:color w:val="auto"/>
                <w:szCs w:val="21"/>
                <w:highlight w:val="none"/>
                <w:lang w:val="en-US" w:eastAsia="zh-CN" w:bidi="zh-CN"/>
              </w:rPr>
            </w:pPr>
            <w:r>
              <w:rPr>
                <w:color w:val="auto"/>
                <w:szCs w:val="21"/>
                <w:highlight w:val="none"/>
              </w:rPr>
              <w:t>2</w:t>
            </w:r>
            <w:r>
              <w:rPr>
                <w:rFonts w:hint="eastAsia"/>
                <w:color w:val="auto"/>
                <w:szCs w:val="21"/>
                <w:highlight w:val="none"/>
              </w:rPr>
              <w:t>＜得分</w:t>
            </w:r>
            <w:r>
              <w:rPr>
                <w:color w:val="auto"/>
                <w:szCs w:val="21"/>
                <w:highlight w:val="none"/>
              </w:rPr>
              <w:t>≤</w:t>
            </w:r>
            <w:r>
              <w:rPr>
                <w:rFonts w:hint="eastAsia"/>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Cs w:val="21"/>
                <w:highlight w:val="none"/>
              </w:rPr>
              <w:t>DBJ41/174</w:t>
            </w:r>
            <w:r>
              <w:rPr>
                <w:rFonts w:hint="eastAsia"/>
                <w:color w:val="auto"/>
                <w:szCs w:val="21"/>
                <w:highlight w:val="none"/>
              </w:rPr>
              <w:t>）的规定，有防治方案。</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w:t>
            </w:r>
            <w:r>
              <w:rPr>
                <w:rFonts w:hint="eastAsia"/>
                <w:color w:val="auto"/>
                <w:szCs w:val="21"/>
                <w:highlight w:val="none"/>
              </w:rPr>
              <w:t>得分</w:t>
            </w:r>
            <w:r>
              <w:rPr>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spacing w:line="400" w:lineRule="exact"/>
              <w:jc w:val="left"/>
              <w:rPr>
                <w:rFonts w:ascii="宋体" w:hAnsi="宋体" w:cs="宋体"/>
                <w:color w:val="auto"/>
                <w:szCs w:val="21"/>
                <w:highlight w:val="none"/>
                <w:lang w:val="zh-CN" w:bidi="zh-CN"/>
              </w:rPr>
            </w:pPr>
            <w:r>
              <w:rPr>
                <w:rFonts w:hint="eastAsia"/>
                <w:color w:val="auto"/>
                <w:szCs w:val="21"/>
                <w:highlight w:val="none"/>
              </w:rPr>
              <w:t>工期保证措施</w:t>
            </w:r>
          </w:p>
        </w:tc>
        <w:tc>
          <w:tcPr>
            <w:tcW w:w="1073" w:type="dxa"/>
            <w:gridSpan w:val="2"/>
            <w:vMerge w:val="restart"/>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1-2</w:t>
            </w:r>
            <w:r>
              <w:rPr>
                <w:rFonts w:hint="eastAsia"/>
                <w:color w:val="auto"/>
                <w:szCs w:val="21"/>
                <w:highlight w:val="none"/>
              </w:rPr>
              <w:t>分</w:t>
            </w: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工期承诺满足招标文件要求，工期保证措施合理且有针对性，有具体的违约责任承诺。</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1.5</w:t>
            </w:r>
            <w:r>
              <w:rPr>
                <w:rFonts w:hint="eastAsia"/>
                <w:color w:val="auto"/>
                <w:szCs w:val="21"/>
                <w:highlight w:val="none"/>
              </w:rPr>
              <w:t>＜得分</w:t>
            </w:r>
            <w:r>
              <w:rPr>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工期承诺满足招标文件要求，工期保证措施基本合理，有具体的违约责任承诺。</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w:t>
            </w:r>
            <w:r>
              <w:rPr>
                <w:rFonts w:hint="eastAsia"/>
                <w:color w:val="auto"/>
                <w:szCs w:val="21"/>
                <w:highlight w:val="none"/>
              </w:rPr>
              <w:t>得分</w:t>
            </w:r>
            <w:r>
              <w:rPr>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spacing w:line="400" w:lineRule="exact"/>
              <w:jc w:val="center"/>
              <w:rPr>
                <w:rFonts w:ascii="宋体" w:hAnsi="宋体" w:cs="宋体"/>
                <w:color w:val="auto"/>
                <w:szCs w:val="21"/>
                <w:highlight w:val="none"/>
                <w:lang w:val="zh-CN" w:bidi="zh-CN"/>
              </w:rPr>
            </w:pPr>
            <w:r>
              <w:rPr>
                <w:rFonts w:hint="eastAsia"/>
                <w:color w:val="auto"/>
                <w:szCs w:val="21"/>
                <w:highlight w:val="none"/>
              </w:rPr>
              <w:t>拟投入资源配备计划</w:t>
            </w:r>
          </w:p>
        </w:tc>
        <w:tc>
          <w:tcPr>
            <w:tcW w:w="1073" w:type="dxa"/>
            <w:gridSpan w:val="2"/>
            <w:vMerge w:val="restart"/>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0.5-2</w:t>
            </w:r>
            <w:r>
              <w:rPr>
                <w:rFonts w:hint="eastAsia"/>
                <w:color w:val="auto"/>
                <w:szCs w:val="21"/>
                <w:highlight w:val="none"/>
              </w:rPr>
              <w:t>分</w:t>
            </w:r>
          </w:p>
        </w:tc>
        <w:tc>
          <w:tcPr>
            <w:tcW w:w="4733" w:type="dxa"/>
            <w:gridSpan w:val="3"/>
            <w:noWrap w:val="0"/>
            <w:vAlign w:val="center"/>
          </w:tcPr>
          <w:p>
            <w:pPr>
              <w:spacing w:line="400" w:lineRule="exact"/>
              <w:rPr>
                <w:color w:val="auto"/>
                <w:szCs w:val="21"/>
                <w:highlight w:val="none"/>
              </w:rPr>
            </w:pPr>
            <w:r>
              <w:rPr>
                <w:color w:val="auto"/>
                <w:szCs w:val="21"/>
                <w:highlight w:val="none"/>
              </w:rPr>
              <w:t>1.</w:t>
            </w:r>
            <w:r>
              <w:rPr>
                <w:rFonts w:hint="eastAsia"/>
                <w:color w:val="auto"/>
                <w:szCs w:val="21"/>
                <w:highlight w:val="none"/>
              </w:rPr>
              <w:t>机械：投入计划与进度计划呼应，采用先进机械设备且配置合理、先进，满足安全技术规范和施工进度需要；</w:t>
            </w:r>
            <w:r>
              <w:rPr>
                <w:color w:val="auto"/>
                <w:szCs w:val="21"/>
                <w:highlight w:val="none"/>
              </w:rPr>
              <w:t>PC</w:t>
            </w:r>
            <w:r>
              <w:rPr>
                <w:rFonts w:hint="eastAsia"/>
                <w:color w:val="auto"/>
                <w:szCs w:val="21"/>
                <w:highlight w:val="none"/>
              </w:rPr>
              <w:t>构件运输、安装设备满足施工要求；</w:t>
            </w:r>
          </w:p>
          <w:p>
            <w:pPr>
              <w:spacing w:line="400" w:lineRule="exact"/>
              <w:rPr>
                <w:color w:val="auto"/>
                <w:szCs w:val="21"/>
                <w:highlight w:val="none"/>
              </w:rPr>
            </w:pPr>
            <w:r>
              <w:rPr>
                <w:color w:val="auto"/>
                <w:szCs w:val="21"/>
                <w:highlight w:val="none"/>
              </w:rPr>
              <w:t>2.</w:t>
            </w:r>
            <w:r>
              <w:rPr>
                <w:rFonts w:hint="eastAsia"/>
                <w:color w:val="auto"/>
                <w:szCs w:val="21"/>
                <w:highlight w:val="none"/>
              </w:rPr>
              <w:t>劳动力：投入计划与进度计划呼应，较好满足施工需要，调配投入计划合理、准确；</w:t>
            </w:r>
          </w:p>
          <w:p>
            <w:pPr>
              <w:spacing w:line="400" w:lineRule="exact"/>
              <w:rPr>
                <w:rFonts w:ascii="宋体" w:hAnsi="宋体" w:cs="宋体"/>
                <w:color w:val="auto"/>
                <w:szCs w:val="21"/>
                <w:highlight w:val="none"/>
                <w:lang w:val="zh-CN" w:bidi="zh-CN"/>
              </w:rPr>
            </w:pPr>
            <w:r>
              <w:rPr>
                <w:color w:val="auto"/>
                <w:szCs w:val="21"/>
                <w:highlight w:val="none"/>
              </w:rPr>
              <w:t>3.</w:t>
            </w:r>
            <w:r>
              <w:rPr>
                <w:rFonts w:hint="eastAsia"/>
                <w:color w:val="auto"/>
                <w:szCs w:val="21"/>
                <w:highlight w:val="none"/>
              </w:rPr>
              <w:t>主要物资计划：主要物资（含</w:t>
            </w:r>
            <w:r>
              <w:rPr>
                <w:color w:val="auto"/>
                <w:szCs w:val="21"/>
                <w:highlight w:val="none"/>
              </w:rPr>
              <w:t>PC</w:t>
            </w:r>
            <w:r>
              <w:rPr>
                <w:rFonts w:hint="eastAsia"/>
                <w:color w:val="auto"/>
                <w:szCs w:val="21"/>
                <w:highlight w:val="none"/>
              </w:rPr>
              <w:t>构件的供应需求）投入计划与进度计划呼应，较好满足施工需要，调配投入计划合理、准确。</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w:t>
            </w:r>
            <w:r>
              <w:rPr>
                <w:rFonts w:hint="eastAsia"/>
                <w:color w:val="auto"/>
                <w:szCs w:val="21"/>
                <w:highlight w:val="none"/>
              </w:rPr>
              <w:t>＜得分</w:t>
            </w:r>
            <w:r>
              <w:rPr>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400" w:lineRule="exact"/>
              <w:rPr>
                <w:color w:val="auto"/>
                <w:szCs w:val="21"/>
                <w:highlight w:val="none"/>
              </w:rPr>
            </w:pPr>
            <w:r>
              <w:rPr>
                <w:color w:val="auto"/>
                <w:szCs w:val="21"/>
                <w:highlight w:val="none"/>
              </w:rPr>
              <w:t>1.</w:t>
            </w:r>
            <w:r>
              <w:rPr>
                <w:rFonts w:hint="eastAsia"/>
                <w:color w:val="auto"/>
                <w:szCs w:val="21"/>
                <w:highlight w:val="none"/>
              </w:rPr>
              <w:t>机械：投入计划与进度计划呼应，机械设备配置基本合理，满足安全技术规范和施工进度需要；</w:t>
            </w:r>
          </w:p>
          <w:p>
            <w:pPr>
              <w:spacing w:line="400" w:lineRule="exact"/>
              <w:rPr>
                <w:color w:val="auto"/>
                <w:szCs w:val="21"/>
                <w:highlight w:val="none"/>
              </w:rPr>
            </w:pPr>
            <w:r>
              <w:rPr>
                <w:color w:val="auto"/>
                <w:szCs w:val="21"/>
                <w:highlight w:val="none"/>
              </w:rPr>
              <w:t>2.</w:t>
            </w:r>
            <w:r>
              <w:rPr>
                <w:rFonts w:hint="eastAsia"/>
                <w:color w:val="auto"/>
                <w:szCs w:val="21"/>
                <w:highlight w:val="none"/>
              </w:rPr>
              <w:t>劳动力：投入计划与进度计划呼应，基本满足施工需要，调配投入计划基本合理；</w:t>
            </w:r>
          </w:p>
          <w:p>
            <w:pPr>
              <w:spacing w:line="400" w:lineRule="exact"/>
              <w:rPr>
                <w:rFonts w:ascii="宋体" w:hAnsi="宋体" w:cs="宋体"/>
                <w:color w:val="auto"/>
                <w:szCs w:val="21"/>
                <w:highlight w:val="none"/>
                <w:lang w:val="zh-CN" w:bidi="zh-CN"/>
              </w:rPr>
            </w:pPr>
            <w:r>
              <w:rPr>
                <w:color w:val="auto"/>
                <w:spacing w:val="-4"/>
                <w:szCs w:val="21"/>
                <w:highlight w:val="none"/>
              </w:rPr>
              <w:t>3.</w:t>
            </w:r>
            <w:r>
              <w:rPr>
                <w:rFonts w:hint="eastAsia"/>
                <w:color w:val="auto"/>
                <w:spacing w:val="-4"/>
                <w:szCs w:val="21"/>
                <w:highlight w:val="none"/>
              </w:rPr>
              <w:t>主要物资计划：主要物资（含</w:t>
            </w:r>
            <w:r>
              <w:rPr>
                <w:color w:val="auto"/>
                <w:spacing w:val="-4"/>
                <w:szCs w:val="21"/>
                <w:highlight w:val="none"/>
              </w:rPr>
              <w:t>PC</w:t>
            </w:r>
            <w:r>
              <w:rPr>
                <w:rFonts w:hint="eastAsia"/>
                <w:color w:val="auto"/>
                <w:spacing w:val="-4"/>
                <w:szCs w:val="21"/>
                <w:highlight w:val="none"/>
              </w:rPr>
              <w:t>构件的供应需求）投入计划与进度计划呼应，基本满足施工需要，调配投入计划基本合理。</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0.5≤</w:t>
            </w:r>
            <w:r>
              <w:rPr>
                <w:rFonts w:hint="eastAsia"/>
                <w:color w:val="auto"/>
                <w:szCs w:val="21"/>
                <w:highlight w:val="none"/>
              </w:rPr>
              <w:t>得分</w:t>
            </w:r>
            <w:r>
              <w:rPr>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spacing w:line="400" w:lineRule="exact"/>
              <w:jc w:val="left"/>
              <w:rPr>
                <w:rFonts w:ascii="宋体" w:hAnsi="宋体" w:cs="宋体"/>
                <w:color w:val="auto"/>
                <w:szCs w:val="21"/>
                <w:highlight w:val="none"/>
                <w:lang w:val="zh-CN" w:bidi="zh-CN"/>
              </w:rPr>
            </w:pPr>
            <w:r>
              <w:rPr>
                <w:rFonts w:hint="eastAsia"/>
                <w:color w:val="auto"/>
                <w:szCs w:val="21"/>
                <w:highlight w:val="none"/>
              </w:rPr>
              <w:t>施工进度表与网络计划图</w:t>
            </w:r>
          </w:p>
        </w:tc>
        <w:tc>
          <w:tcPr>
            <w:tcW w:w="1073" w:type="dxa"/>
            <w:gridSpan w:val="2"/>
            <w:vMerge w:val="restart"/>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0.5-2</w:t>
            </w:r>
            <w:r>
              <w:rPr>
                <w:rFonts w:hint="eastAsia"/>
                <w:color w:val="auto"/>
                <w:szCs w:val="21"/>
                <w:highlight w:val="none"/>
              </w:rPr>
              <w:t>分</w:t>
            </w: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关键线路清晰、准确、完整、计划编制合理、可行、满足招标文件对工期的要求。</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w:t>
            </w:r>
            <w:r>
              <w:rPr>
                <w:rFonts w:hint="eastAsia"/>
                <w:color w:val="auto"/>
                <w:szCs w:val="21"/>
                <w:highlight w:val="none"/>
              </w:rPr>
              <w:t>＜得分</w:t>
            </w:r>
            <w:r>
              <w:rPr>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关键线路基本准确，计划编制基本可行。</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0.5≤</w:t>
            </w:r>
            <w:r>
              <w:rPr>
                <w:rFonts w:hint="eastAsia"/>
                <w:color w:val="auto"/>
                <w:szCs w:val="21"/>
                <w:highlight w:val="none"/>
              </w:rPr>
              <w:t>得分</w:t>
            </w:r>
            <w:r>
              <w:rPr>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spacing w:line="400" w:lineRule="exact"/>
              <w:jc w:val="left"/>
              <w:rPr>
                <w:rFonts w:ascii="宋体" w:hAnsi="宋体" w:cs="宋体"/>
                <w:color w:val="auto"/>
                <w:szCs w:val="21"/>
                <w:highlight w:val="none"/>
                <w:lang w:val="zh-CN" w:bidi="zh-CN"/>
              </w:rPr>
            </w:pPr>
            <w:r>
              <w:rPr>
                <w:rFonts w:hint="eastAsia"/>
                <w:color w:val="auto"/>
                <w:szCs w:val="21"/>
                <w:highlight w:val="none"/>
              </w:rPr>
              <w:t>施工总平面图布置</w:t>
            </w:r>
          </w:p>
        </w:tc>
        <w:tc>
          <w:tcPr>
            <w:tcW w:w="1073" w:type="dxa"/>
            <w:gridSpan w:val="2"/>
            <w:vMerge w:val="restart"/>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0.5-1</w:t>
            </w:r>
            <w:r>
              <w:rPr>
                <w:rFonts w:hint="eastAsia"/>
                <w:color w:val="auto"/>
                <w:szCs w:val="21"/>
                <w:highlight w:val="none"/>
              </w:rPr>
              <w:t>分</w:t>
            </w: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总体布置有针对性、合理、能较好满足施工需要，符合安全、文明施工要求；材料堆放有序。</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总体布置基本合理、基本满足施工需要。</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spacing w:line="400" w:lineRule="exact"/>
              <w:jc w:val="left"/>
              <w:rPr>
                <w:rFonts w:ascii="宋体" w:hAnsi="宋体" w:cs="宋体"/>
                <w:color w:val="auto"/>
                <w:szCs w:val="21"/>
                <w:highlight w:val="none"/>
                <w:lang w:val="zh-CN" w:bidi="zh-CN"/>
              </w:rPr>
            </w:pPr>
            <w:r>
              <w:rPr>
                <w:rFonts w:hint="eastAsia"/>
                <w:color w:val="auto"/>
                <w:szCs w:val="21"/>
                <w:highlight w:val="none"/>
              </w:rPr>
              <w:t>技术创新的应用实施措施</w:t>
            </w:r>
          </w:p>
        </w:tc>
        <w:tc>
          <w:tcPr>
            <w:tcW w:w="1073" w:type="dxa"/>
            <w:gridSpan w:val="2"/>
            <w:vMerge w:val="restart"/>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1-2</w:t>
            </w:r>
            <w:r>
              <w:rPr>
                <w:rFonts w:hint="eastAsia"/>
                <w:color w:val="auto"/>
                <w:szCs w:val="21"/>
                <w:highlight w:val="none"/>
              </w:rPr>
              <w:t>分</w:t>
            </w: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w:t>
            </w:r>
            <w:r>
              <w:rPr>
                <w:color w:val="auto"/>
                <w:szCs w:val="21"/>
                <w:highlight w:val="none"/>
              </w:rPr>
              <w:t>1</w:t>
            </w:r>
            <w:r>
              <w:rPr>
                <w:rFonts w:hint="eastAsia"/>
                <w:color w:val="auto"/>
                <w:szCs w:val="21"/>
                <w:highlight w:val="none"/>
              </w:rPr>
              <w:t>）节能减排、（</w:t>
            </w:r>
            <w:r>
              <w:rPr>
                <w:color w:val="auto"/>
                <w:szCs w:val="21"/>
                <w:highlight w:val="none"/>
              </w:rPr>
              <w:t>2</w:t>
            </w:r>
            <w:r>
              <w:rPr>
                <w:rFonts w:hint="eastAsia"/>
                <w:color w:val="auto"/>
                <w:szCs w:val="21"/>
                <w:highlight w:val="none"/>
              </w:rPr>
              <w:t>）绿色施工、（</w:t>
            </w:r>
            <w:r>
              <w:rPr>
                <w:color w:val="auto"/>
                <w:szCs w:val="21"/>
                <w:highlight w:val="none"/>
              </w:rPr>
              <w:t>3</w:t>
            </w:r>
            <w:r>
              <w:rPr>
                <w:rFonts w:hint="eastAsia"/>
                <w:color w:val="auto"/>
                <w:szCs w:val="21"/>
                <w:highlight w:val="none"/>
              </w:rPr>
              <w:t>）工艺创新、（</w:t>
            </w:r>
            <w:r>
              <w:rPr>
                <w:color w:val="auto"/>
                <w:szCs w:val="21"/>
                <w:highlight w:val="none"/>
              </w:rPr>
              <w:t>4</w:t>
            </w:r>
            <w:r>
              <w:rPr>
                <w:rFonts w:hint="eastAsia"/>
                <w:color w:val="auto"/>
                <w:szCs w:val="21"/>
                <w:highlight w:val="none"/>
              </w:rPr>
              <w:t>）装配式建筑等技术创新的应用实施措施符合工程情况，具有针对性、可行性、经济适用性。</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1.5</w:t>
            </w:r>
            <w:r>
              <w:rPr>
                <w:rFonts w:hint="eastAsia"/>
                <w:color w:val="auto"/>
                <w:szCs w:val="21"/>
                <w:highlight w:val="none"/>
              </w:rPr>
              <w:t>＜得分</w:t>
            </w:r>
            <w:r>
              <w:rPr>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pacing w:val="-8"/>
                <w:szCs w:val="21"/>
                <w:highlight w:val="none"/>
              </w:rPr>
              <w:t>（</w:t>
            </w:r>
            <w:r>
              <w:rPr>
                <w:color w:val="auto"/>
                <w:spacing w:val="-8"/>
                <w:szCs w:val="21"/>
                <w:highlight w:val="none"/>
              </w:rPr>
              <w:t>1</w:t>
            </w:r>
            <w:r>
              <w:rPr>
                <w:rFonts w:hint="eastAsia"/>
                <w:color w:val="auto"/>
                <w:spacing w:val="-8"/>
                <w:szCs w:val="21"/>
                <w:highlight w:val="none"/>
              </w:rPr>
              <w:t>）节能减排、（</w:t>
            </w:r>
            <w:r>
              <w:rPr>
                <w:color w:val="auto"/>
                <w:spacing w:val="-8"/>
                <w:szCs w:val="21"/>
                <w:highlight w:val="none"/>
              </w:rPr>
              <w:t>2</w:t>
            </w:r>
            <w:r>
              <w:rPr>
                <w:rFonts w:hint="eastAsia"/>
                <w:color w:val="auto"/>
                <w:spacing w:val="-8"/>
                <w:szCs w:val="21"/>
                <w:highlight w:val="none"/>
              </w:rPr>
              <w:t>）绿色施工、（</w:t>
            </w:r>
            <w:r>
              <w:rPr>
                <w:color w:val="auto"/>
                <w:spacing w:val="-8"/>
                <w:szCs w:val="21"/>
                <w:highlight w:val="none"/>
              </w:rPr>
              <w:t>3</w:t>
            </w:r>
            <w:r>
              <w:rPr>
                <w:rFonts w:hint="eastAsia"/>
                <w:color w:val="auto"/>
                <w:spacing w:val="-8"/>
                <w:szCs w:val="21"/>
                <w:highlight w:val="none"/>
              </w:rPr>
              <w:t>）工艺创新、（</w:t>
            </w:r>
            <w:r>
              <w:rPr>
                <w:color w:val="auto"/>
                <w:spacing w:val="-8"/>
                <w:szCs w:val="21"/>
                <w:highlight w:val="none"/>
              </w:rPr>
              <w:t>4</w:t>
            </w:r>
            <w:r>
              <w:rPr>
                <w:rFonts w:hint="eastAsia"/>
                <w:color w:val="auto"/>
                <w:spacing w:val="-8"/>
                <w:szCs w:val="21"/>
                <w:highlight w:val="none"/>
              </w:rPr>
              <w:t>）装配式建筑等技术创新的应用实施措施基本符合工程情况，具有针</w:t>
            </w:r>
            <w:r>
              <w:rPr>
                <w:rFonts w:hint="eastAsia"/>
                <w:color w:val="auto"/>
                <w:szCs w:val="21"/>
                <w:highlight w:val="none"/>
              </w:rPr>
              <w:t>对性。</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w:t>
            </w:r>
            <w:r>
              <w:rPr>
                <w:rFonts w:hint="eastAsia"/>
                <w:color w:val="auto"/>
                <w:szCs w:val="21"/>
                <w:highlight w:val="none"/>
              </w:rPr>
              <w:t>得分</w:t>
            </w:r>
            <w:r>
              <w:rPr>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spacing w:line="400" w:lineRule="exact"/>
              <w:jc w:val="center"/>
              <w:rPr>
                <w:rFonts w:ascii="宋体" w:hAnsi="宋体" w:cs="宋体"/>
                <w:color w:val="auto"/>
                <w:szCs w:val="21"/>
                <w:highlight w:val="none"/>
                <w:lang w:val="zh-CN" w:bidi="zh-CN"/>
              </w:rPr>
            </w:pPr>
            <w:r>
              <w:rPr>
                <w:rFonts w:hint="eastAsia"/>
                <w:color w:val="auto"/>
                <w:szCs w:val="21"/>
                <w:highlight w:val="none"/>
              </w:rPr>
              <w:t>采用新工艺、新技术、新设备、新材料、</w:t>
            </w:r>
            <w:r>
              <w:rPr>
                <w:color w:val="auto"/>
                <w:szCs w:val="21"/>
                <w:highlight w:val="none"/>
              </w:rPr>
              <w:t>BIM</w:t>
            </w:r>
            <w:r>
              <w:rPr>
                <w:rFonts w:hint="eastAsia"/>
                <w:color w:val="auto"/>
                <w:szCs w:val="21"/>
                <w:highlight w:val="none"/>
              </w:rPr>
              <w:t>等的程度</w:t>
            </w:r>
          </w:p>
        </w:tc>
        <w:tc>
          <w:tcPr>
            <w:tcW w:w="1073" w:type="dxa"/>
            <w:gridSpan w:val="2"/>
            <w:vMerge w:val="restart"/>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1-2</w:t>
            </w:r>
            <w:r>
              <w:rPr>
                <w:rFonts w:hint="eastAsia"/>
                <w:color w:val="auto"/>
                <w:szCs w:val="21"/>
                <w:highlight w:val="none"/>
              </w:rPr>
              <w:t>分</w:t>
            </w: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采用新工艺、新技术、新设备、新材料、</w:t>
            </w:r>
            <w:r>
              <w:rPr>
                <w:color w:val="auto"/>
                <w:szCs w:val="21"/>
                <w:highlight w:val="none"/>
              </w:rPr>
              <w:t>BIM</w:t>
            </w:r>
            <w:r>
              <w:rPr>
                <w:rFonts w:hint="eastAsia"/>
                <w:color w:val="auto"/>
                <w:szCs w:val="21"/>
                <w:highlight w:val="none"/>
              </w:rPr>
              <w:t>等的程度满足设计要求，符合施工需要和相应技术标准等规定，经济适用。</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1.5≤</w:t>
            </w:r>
            <w:r>
              <w:rPr>
                <w:rFonts w:hint="eastAsia"/>
                <w:color w:val="auto"/>
                <w:szCs w:val="21"/>
                <w:highlight w:val="none"/>
              </w:rPr>
              <w:t>得分</w:t>
            </w:r>
            <w:r>
              <w:rPr>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400" w:lineRule="exact"/>
              <w:rPr>
                <w:rFonts w:ascii="宋体" w:hAnsi="宋体" w:cs="宋体"/>
                <w:color w:val="auto"/>
                <w:szCs w:val="21"/>
                <w:highlight w:val="none"/>
                <w:lang w:val="zh-CN" w:bidi="zh-CN"/>
              </w:rPr>
            </w:pPr>
            <w:r>
              <w:rPr>
                <w:rFonts w:hint="eastAsia"/>
                <w:color w:val="auto"/>
                <w:szCs w:val="21"/>
                <w:highlight w:val="none"/>
              </w:rPr>
              <w:t>采用新工艺、新技术、新设备、新材料、</w:t>
            </w:r>
            <w:r>
              <w:rPr>
                <w:color w:val="auto"/>
                <w:szCs w:val="21"/>
                <w:highlight w:val="none"/>
              </w:rPr>
              <w:t>BIM</w:t>
            </w:r>
            <w:r>
              <w:rPr>
                <w:rFonts w:hint="eastAsia"/>
                <w:color w:val="auto"/>
                <w:szCs w:val="21"/>
                <w:highlight w:val="none"/>
              </w:rPr>
              <w:t>等的程度满足设计要求，</w:t>
            </w:r>
            <w:r>
              <w:rPr>
                <w:color w:val="auto"/>
                <w:szCs w:val="21"/>
                <w:highlight w:val="none"/>
              </w:rPr>
              <w:t xml:space="preserve"> </w:t>
            </w:r>
            <w:r>
              <w:rPr>
                <w:rFonts w:hint="eastAsia"/>
                <w:color w:val="auto"/>
                <w:szCs w:val="21"/>
                <w:highlight w:val="none"/>
              </w:rPr>
              <w:t>基本符合施工要求和相应技术标准等规定。</w:t>
            </w:r>
          </w:p>
        </w:tc>
        <w:tc>
          <w:tcPr>
            <w:tcW w:w="1019" w:type="dxa"/>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w:t>
            </w:r>
            <w:r>
              <w:rPr>
                <w:rFonts w:hint="eastAsia"/>
                <w:color w:val="auto"/>
                <w:szCs w:val="21"/>
                <w:highlight w:val="none"/>
              </w:rPr>
              <w:t>＜得分</w:t>
            </w:r>
            <w:r>
              <w:rPr>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spacing w:line="400" w:lineRule="exact"/>
              <w:jc w:val="center"/>
              <w:rPr>
                <w:rFonts w:ascii="宋体" w:hAnsi="宋体" w:cs="宋体"/>
                <w:color w:val="auto"/>
                <w:szCs w:val="21"/>
                <w:highlight w:val="none"/>
                <w:lang w:val="zh-CN" w:bidi="zh-CN"/>
              </w:rPr>
            </w:pPr>
            <w:r>
              <w:rPr>
                <w:rFonts w:hint="eastAsia"/>
                <w:color w:val="auto"/>
                <w:szCs w:val="21"/>
                <w:highlight w:val="none"/>
              </w:rPr>
              <w:t>施工现场实施信息化监控和数据处理</w:t>
            </w:r>
          </w:p>
        </w:tc>
        <w:tc>
          <w:tcPr>
            <w:tcW w:w="1073" w:type="dxa"/>
            <w:gridSpan w:val="2"/>
            <w:vMerge w:val="restart"/>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0.5-1.5</w:t>
            </w:r>
            <w:r>
              <w:rPr>
                <w:rFonts w:hint="eastAsia"/>
                <w:color w:val="auto"/>
                <w:szCs w:val="21"/>
                <w:highlight w:val="none"/>
              </w:rPr>
              <w:t>分</w:t>
            </w:r>
          </w:p>
        </w:tc>
        <w:tc>
          <w:tcPr>
            <w:tcW w:w="4733" w:type="dxa"/>
            <w:gridSpan w:val="3"/>
            <w:noWrap w:val="0"/>
            <w:vAlign w:val="center"/>
          </w:tcPr>
          <w:p>
            <w:pPr>
              <w:spacing w:line="400" w:lineRule="exact"/>
              <w:rPr>
                <w:color w:val="auto"/>
                <w:szCs w:val="21"/>
                <w:highlight w:val="none"/>
              </w:rPr>
            </w:pPr>
            <w:r>
              <w:rPr>
                <w:rFonts w:hint="eastAsia"/>
                <w:color w:val="auto"/>
                <w:szCs w:val="21"/>
                <w:highlight w:val="none"/>
              </w:rPr>
              <w:t>施工现场实施信息化监控和数据处理系统布置合理，满足需要。</w:t>
            </w:r>
          </w:p>
        </w:tc>
        <w:tc>
          <w:tcPr>
            <w:tcW w:w="1019" w:type="dxa"/>
            <w:noWrap w:val="0"/>
            <w:vAlign w:val="center"/>
          </w:tcPr>
          <w:p>
            <w:pPr>
              <w:spacing w:line="400" w:lineRule="exact"/>
              <w:jc w:val="center"/>
              <w:rPr>
                <w:color w:val="auto"/>
                <w:szCs w:val="21"/>
                <w:highlight w:val="none"/>
              </w:rPr>
            </w:pPr>
            <w:r>
              <w:rPr>
                <w:color w:val="auto"/>
                <w:szCs w:val="21"/>
                <w:highlight w:val="none"/>
              </w:rPr>
              <w:t>1≤</w:t>
            </w:r>
            <w:r>
              <w:rPr>
                <w:rFonts w:hint="eastAsia"/>
                <w:color w:val="auto"/>
                <w:szCs w:val="21"/>
                <w:highlight w:val="none"/>
              </w:rPr>
              <w:t>得分</w:t>
            </w:r>
            <w:r>
              <w:rPr>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400" w:lineRule="exact"/>
              <w:rPr>
                <w:color w:val="auto"/>
                <w:szCs w:val="21"/>
                <w:highlight w:val="none"/>
              </w:rPr>
            </w:pPr>
            <w:r>
              <w:rPr>
                <w:rFonts w:hint="eastAsia"/>
                <w:color w:val="auto"/>
                <w:szCs w:val="21"/>
                <w:highlight w:val="none"/>
              </w:rPr>
              <w:t>施工现场实施信息化监控和数据处理系统布置基本符合需要。</w:t>
            </w:r>
          </w:p>
        </w:tc>
        <w:tc>
          <w:tcPr>
            <w:tcW w:w="1019" w:type="dxa"/>
            <w:noWrap w:val="0"/>
            <w:vAlign w:val="center"/>
          </w:tcPr>
          <w:p>
            <w:pPr>
              <w:spacing w:line="400" w:lineRule="exact"/>
              <w:jc w:val="center"/>
              <w:rPr>
                <w:color w:val="auto"/>
                <w:szCs w:val="21"/>
                <w:highlight w:val="none"/>
              </w:rPr>
            </w:pPr>
            <w:r>
              <w:rPr>
                <w:color w:val="auto"/>
                <w:szCs w:val="21"/>
                <w:highlight w:val="none"/>
              </w:rPr>
              <w:t>0.5</w:t>
            </w:r>
            <w:r>
              <w:rPr>
                <w:rFonts w:hint="eastAsia"/>
                <w:color w:val="auto"/>
                <w:szCs w:val="21"/>
                <w:highlight w:val="none"/>
              </w:rPr>
              <w:t>＜得分</w:t>
            </w:r>
            <w:r>
              <w:rPr>
                <w:color w:val="auto"/>
                <w:szCs w:val="21"/>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restart"/>
            <w:noWrap w:val="0"/>
            <w:vAlign w:val="center"/>
          </w:tcPr>
          <w:p>
            <w:pPr>
              <w:spacing w:line="400" w:lineRule="exact"/>
              <w:jc w:val="center"/>
              <w:rPr>
                <w:rFonts w:ascii="宋体" w:hAnsi="宋体" w:cs="宋体"/>
                <w:color w:val="auto"/>
                <w:szCs w:val="21"/>
                <w:highlight w:val="none"/>
                <w:lang w:val="zh-CN" w:bidi="zh-CN"/>
              </w:rPr>
            </w:pPr>
            <w:r>
              <w:rPr>
                <w:rFonts w:hint="eastAsia"/>
                <w:color w:val="auto"/>
                <w:szCs w:val="21"/>
                <w:highlight w:val="none"/>
              </w:rPr>
              <w:t>风险管理措施</w:t>
            </w:r>
          </w:p>
        </w:tc>
        <w:tc>
          <w:tcPr>
            <w:tcW w:w="1073" w:type="dxa"/>
            <w:gridSpan w:val="2"/>
            <w:vMerge w:val="restart"/>
            <w:noWrap w:val="0"/>
            <w:vAlign w:val="center"/>
          </w:tcPr>
          <w:p>
            <w:pPr>
              <w:spacing w:line="400" w:lineRule="exact"/>
              <w:jc w:val="center"/>
              <w:rPr>
                <w:rFonts w:ascii="宋体" w:hAnsi="宋体" w:cs="宋体"/>
                <w:color w:val="auto"/>
                <w:szCs w:val="21"/>
                <w:highlight w:val="none"/>
                <w:lang w:val="zh-CN" w:bidi="zh-CN"/>
              </w:rPr>
            </w:pPr>
            <w:r>
              <w:rPr>
                <w:color w:val="auto"/>
                <w:szCs w:val="21"/>
                <w:highlight w:val="none"/>
              </w:rPr>
              <w:t>1-2</w:t>
            </w:r>
            <w:r>
              <w:rPr>
                <w:rFonts w:hint="eastAsia"/>
                <w:color w:val="auto"/>
                <w:szCs w:val="21"/>
                <w:highlight w:val="none"/>
              </w:rPr>
              <w:t>分</w:t>
            </w:r>
          </w:p>
        </w:tc>
        <w:tc>
          <w:tcPr>
            <w:tcW w:w="4733" w:type="dxa"/>
            <w:gridSpan w:val="3"/>
            <w:noWrap w:val="0"/>
            <w:vAlign w:val="center"/>
          </w:tcPr>
          <w:p>
            <w:pPr>
              <w:spacing w:line="400" w:lineRule="exact"/>
              <w:rPr>
                <w:color w:val="auto"/>
                <w:szCs w:val="21"/>
                <w:highlight w:val="none"/>
              </w:rPr>
            </w:pPr>
            <w:r>
              <w:rPr>
                <w:rFonts w:hint="eastAsia"/>
                <w:color w:val="auto"/>
                <w:szCs w:val="21"/>
                <w:highlight w:val="none"/>
              </w:rPr>
              <w:t>风险防控管理措施齐全，风险预控符合规范要求，风险控制要点定位准确，各阶段风险控制及应急措施得力。</w:t>
            </w:r>
          </w:p>
        </w:tc>
        <w:tc>
          <w:tcPr>
            <w:tcW w:w="1019" w:type="dxa"/>
            <w:noWrap w:val="0"/>
            <w:vAlign w:val="center"/>
          </w:tcPr>
          <w:p>
            <w:pPr>
              <w:spacing w:line="400" w:lineRule="exact"/>
              <w:jc w:val="center"/>
              <w:rPr>
                <w:color w:val="auto"/>
                <w:szCs w:val="21"/>
                <w:highlight w:val="none"/>
              </w:rPr>
            </w:pPr>
            <w:r>
              <w:rPr>
                <w:color w:val="auto"/>
                <w:szCs w:val="21"/>
                <w:highlight w:val="none"/>
              </w:rPr>
              <w:t>1.5</w:t>
            </w:r>
            <w:r>
              <w:rPr>
                <w:rFonts w:hint="eastAsia"/>
                <w:color w:val="auto"/>
                <w:szCs w:val="21"/>
                <w:highlight w:val="none"/>
              </w:rPr>
              <w:t>＜得分</w:t>
            </w:r>
            <w:r>
              <w:rPr>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168"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073" w:type="dxa"/>
            <w:gridSpan w:val="2"/>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4733" w:type="dxa"/>
            <w:gridSpan w:val="3"/>
            <w:noWrap w:val="0"/>
            <w:vAlign w:val="center"/>
          </w:tcPr>
          <w:p>
            <w:pPr>
              <w:spacing w:line="400" w:lineRule="exact"/>
              <w:rPr>
                <w:color w:val="auto"/>
                <w:szCs w:val="21"/>
                <w:highlight w:val="none"/>
              </w:rPr>
            </w:pPr>
            <w:r>
              <w:rPr>
                <w:rFonts w:hint="eastAsia"/>
                <w:color w:val="auto"/>
                <w:szCs w:val="21"/>
                <w:highlight w:val="none"/>
              </w:rPr>
              <w:t>风险防控管理措施基本齐全，风险预控符合规范要求，风险控制要点定位基本准确，有各阶段风险控制及应急措施。</w:t>
            </w:r>
          </w:p>
        </w:tc>
        <w:tc>
          <w:tcPr>
            <w:tcW w:w="1019" w:type="dxa"/>
            <w:noWrap w:val="0"/>
            <w:vAlign w:val="center"/>
          </w:tcPr>
          <w:p>
            <w:pPr>
              <w:spacing w:line="400" w:lineRule="exact"/>
              <w:jc w:val="center"/>
              <w:rPr>
                <w:color w:val="auto"/>
                <w:szCs w:val="21"/>
                <w:highlight w:val="none"/>
              </w:rPr>
            </w:pPr>
            <w:r>
              <w:rPr>
                <w:color w:val="auto"/>
                <w:szCs w:val="21"/>
                <w:highlight w:val="none"/>
              </w:rPr>
              <w:t>1≤</w:t>
            </w:r>
            <w:r>
              <w:rPr>
                <w:rFonts w:hint="eastAsia"/>
                <w:color w:val="auto"/>
                <w:szCs w:val="21"/>
                <w:highlight w:val="none"/>
              </w:rPr>
              <w:t>得分</w:t>
            </w:r>
            <w:r>
              <w:rPr>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7993" w:type="dxa"/>
            <w:gridSpan w:val="7"/>
            <w:noWrap w:val="0"/>
            <w:vAlign w:val="top"/>
          </w:tcPr>
          <w:p>
            <w:pPr>
              <w:spacing w:line="400" w:lineRule="exact"/>
              <w:jc w:val="left"/>
              <w:rPr>
                <w:color w:val="auto"/>
                <w:szCs w:val="21"/>
                <w:highlight w:val="none"/>
              </w:rPr>
            </w:pPr>
            <w:r>
              <w:rPr>
                <w:rFonts w:hint="eastAsia"/>
                <w:color w:val="auto"/>
                <w:szCs w:val="21"/>
                <w:highlight w:val="none"/>
              </w:rPr>
              <w:t>说明：既简明扼要，又抓住主要特征，能切实指导现场施工。各评委可结合本工程实际，根据其科学、合理、可行性程度（要有针对性、不能简单地照抄照搬规范），每项可在给定分值间给分，缺项时计为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9" w:hRule="atLeast"/>
          <w:jc w:val="center"/>
        </w:trPr>
        <w:tc>
          <w:tcPr>
            <w:tcW w:w="1080" w:type="dxa"/>
            <w:vMerge w:val="restart"/>
            <w:noWrap w:val="0"/>
            <w:vAlign w:val="top"/>
          </w:tcPr>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4(</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p>
        </w:tc>
        <w:tc>
          <w:tcPr>
            <w:tcW w:w="986" w:type="dxa"/>
            <w:vMerge w:val="restart"/>
            <w:noWrap w:val="0"/>
            <w:vAlign w:val="top"/>
          </w:tcPr>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商务标评分标准</w:t>
            </w:r>
          </w:p>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50</w:t>
            </w:r>
            <w:r>
              <w:rPr>
                <w:rFonts w:hint="eastAsia" w:ascii="宋体" w:hAnsi="宋体" w:cs="宋体"/>
                <w:color w:val="auto"/>
                <w:szCs w:val="21"/>
                <w:highlight w:val="none"/>
                <w:lang w:val="zh-CN" w:bidi="zh-CN"/>
              </w:rPr>
              <w:t xml:space="preserve"> 分）</w:t>
            </w:r>
          </w:p>
        </w:tc>
        <w:tc>
          <w:tcPr>
            <w:tcW w:w="2241" w:type="dxa"/>
            <w:gridSpan w:val="3"/>
            <w:noWrap w:val="0"/>
            <w:vAlign w:val="top"/>
          </w:tcPr>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投标报价</w:t>
            </w:r>
          </w:p>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（30分）</w:t>
            </w:r>
          </w:p>
        </w:tc>
        <w:tc>
          <w:tcPr>
            <w:tcW w:w="5752" w:type="dxa"/>
            <w:gridSpan w:val="4"/>
            <w:noWrap w:val="0"/>
            <w:vAlign w:val="top"/>
          </w:tcPr>
          <w:p>
            <w:pPr>
              <w:spacing w:line="360" w:lineRule="auto"/>
              <w:ind w:firstLine="420" w:firstLineChars="200"/>
              <w:rPr>
                <w:rFonts w:hint="eastAsia" w:ascii="宋体" w:hAnsi="宋体" w:cs="宋体"/>
                <w:color w:val="auto"/>
                <w:szCs w:val="21"/>
                <w:highlight w:val="none"/>
                <w:lang w:val="zh-CN" w:bidi="zh-CN"/>
              </w:rPr>
            </w:pPr>
            <w:r>
              <w:rPr>
                <w:rFonts w:hint="default"/>
                <w:color w:val="auto"/>
                <w:szCs w:val="21"/>
                <w:highlight w:val="none"/>
                <w:lang w:val="zh-CN" w:eastAsia="zh-CN"/>
              </w:rPr>
              <w:t>①</w:t>
            </w:r>
            <w:r>
              <w:rPr>
                <w:rFonts w:hint="eastAsia" w:ascii="宋体" w:hAnsi="宋体" w:cs="宋体"/>
                <w:color w:val="auto"/>
                <w:szCs w:val="21"/>
                <w:highlight w:val="none"/>
                <w:lang w:val="zh-CN" w:eastAsia="zh-CN" w:bidi="zh-CN"/>
              </w:rPr>
              <w:t>评标</w:t>
            </w:r>
            <w:r>
              <w:rPr>
                <w:rFonts w:hint="eastAsia" w:ascii="宋体" w:hAnsi="宋体" w:cs="宋体"/>
                <w:color w:val="auto"/>
                <w:szCs w:val="21"/>
                <w:highlight w:val="none"/>
                <w:lang w:val="zh-CN" w:bidi="zh-CN"/>
              </w:rPr>
              <w:t>报价与评标基准价相等得基本分20分。</w:t>
            </w:r>
          </w:p>
          <w:p>
            <w:pPr>
              <w:spacing w:line="360" w:lineRule="auto"/>
              <w:ind w:firstLine="420" w:firstLineChars="200"/>
              <w:rPr>
                <w:rFonts w:hint="eastAsia" w:ascii="宋体" w:hAnsi="宋体" w:cs="宋体"/>
                <w:color w:val="auto"/>
                <w:szCs w:val="21"/>
                <w:highlight w:val="none"/>
                <w:lang w:val="zh-CN" w:bidi="zh-CN"/>
              </w:rPr>
            </w:pPr>
            <w:r>
              <w:rPr>
                <w:rFonts w:hint="default" w:ascii="宋体" w:hAnsi="宋体" w:cs="宋体"/>
                <w:color w:val="auto"/>
                <w:szCs w:val="21"/>
                <w:highlight w:val="none"/>
                <w:lang w:val="zh-CN" w:bidi="zh-CN"/>
              </w:rPr>
              <w:t>②</w:t>
            </w:r>
            <w:r>
              <w:rPr>
                <w:rFonts w:hint="eastAsia" w:ascii="宋体" w:hAnsi="宋体" w:cs="宋体"/>
                <w:color w:val="auto"/>
                <w:szCs w:val="21"/>
                <w:highlight w:val="none"/>
                <w:lang w:val="zh-CN" w:bidi="zh-CN"/>
              </w:rPr>
              <w:t>当</w:t>
            </w:r>
            <w:r>
              <w:rPr>
                <w:rFonts w:hint="eastAsia" w:ascii="宋体" w:hAnsi="宋体" w:cs="宋体"/>
                <w:color w:val="auto"/>
                <w:szCs w:val="21"/>
                <w:highlight w:val="none"/>
                <w:lang w:val="zh-CN" w:eastAsia="zh-CN" w:bidi="zh-CN"/>
              </w:rPr>
              <w:t>评标</w:t>
            </w:r>
            <w:r>
              <w:rPr>
                <w:rFonts w:hint="eastAsia" w:ascii="宋体" w:hAnsi="宋体" w:cs="宋体"/>
                <w:color w:val="auto"/>
                <w:szCs w:val="21"/>
                <w:highlight w:val="none"/>
                <w:lang w:val="zh-CN" w:bidi="zh-CN"/>
              </w:rPr>
              <w:t>报价高于评标基准价时，每高1%在基本分20分的基础上扣2分，扣完为止。</w:t>
            </w:r>
          </w:p>
          <w:p>
            <w:pPr>
              <w:spacing w:line="360" w:lineRule="auto"/>
              <w:ind w:firstLine="420" w:firstLineChars="200"/>
              <w:rPr>
                <w:rFonts w:hint="eastAsia" w:ascii="宋体" w:hAnsi="宋体" w:cs="宋体"/>
                <w:color w:val="auto"/>
                <w:szCs w:val="21"/>
                <w:highlight w:val="none"/>
                <w:lang w:val="zh-CN" w:bidi="zh-CN"/>
              </w:rPr>
            </w:pPr>
            <w:r>
              <w:rPr>
                <w:rFonts w:hint="default" w:ascii="宋体" w:hAnsi="宋体" w:cs="宋体"/>
                <w:color w:val="auto"/>
                <w:szCs w:val="21"/>
                <w:highlight w:val="none"/>
                <w:lang w:val="zh-CN" w:bidi="zh-CN"/>
              </w:rPr>
              <w:t>③</w:t>
            </w:r>
            <w:r>
              <w:rPr>
                <w:rFonts w:hint="eastAsia" w:ascii="宋体" w:hAnsi="宋体" w:cs="宋体"/>
                <w:color w:val="auto"/>
                <w:szCs w:val="21"/>
                <w:highlight w:val="none"/>
                <w:lang w:val="zh-CN" w:bidi="zh-CN"/>
              </w:rPr>
              <w:t>当</w:t>
            </w:r>
            <w:r>
              <w:rPr>
                <w:rFonts w:hint="eastAsia" w:ascii="宋体" w:hAnsi="宋体" w:cs="宋体"/>
                <w:color w:val="auto"/>
                <w:szCs w:val="21"/>
                <w:highlight w:val="none"/>
                <w:lang w:val="zh-CN" w:eastAsia="zh-CN" w:bidi="zh-CN"/>
              </w:rPr>
              <w:t>评标</w:t>
            </w:r>
            <w:r>
              <w:rPr>
                <w:rFonts w:hint="eastAsia" w:ascii="宋体" w:hAnsi="宋体" w:cs="宋体"/>
                <w:color w:val="auto"/>
                <w:szCs w:val="21"/>
                <w:highlight w:val="none"/>
                <w:lang w:val="zh-CN" w:bidi="zh-CN"/>
              </w:rPr>
              <w:t>报价低于评标基准价时，每低1%在基本分20分的基础上加2分，最多加10分。</w:t>
            </w:r>
          </w:p>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④当</w:t>
            </w:r>
            <w:r>
              <w:rPr>
                <w:rFonts w:hint="eastAsia" w:ascii="宋体" w:hAnsi="宋体" w:cs="宋体"/>
                <w:color w:val="auto"/>
                <w:szCs w:val="21"/>
                <w:highlight w:val="none"/>
                <w:lang w:val="zh-CN" w:eastAsia="zh-CN" w:bidi="zh-CN"/>
              </w:rPr>
              <w:t>评标</w:t>
            </w:r>
            <w:r>
              <w:rPr>
                <w:rFonts w:hint="eastAsia" w:ascii="宋体" w:hAnsi="宋体" w:cs="宋体"/>
                <w:color w:val="auto"/>
                <w:szCs w:val="21"/>
                <w:highlight w:val="none"/>
                <w:lang w:val="zh-CN" w:bidi="zh-CN"/>
              </w:rPr>
              <w:t xml:space="preserve">报价低于评标基准价5%以上（不含5%）时，每再低1%在满分30分的基础上扣3分，扣完为止。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2241" w:type="dxa"/>
            <w:gridSpan w:val="3"/>
            <w:noWrap w:val="0"/>
            <w:vAlign w:val="top"/>
          </w:tcPr>
          <w:p>
            <w:pPr>
              <w:spacing w:line="360" w:lineRule="auto"/>
              <w:ind w:firstLine="420" w:firstLineChars="200"/>
              <w:rPr>
                <w:rFonts w:ascii="宋体" w:hAnsi="宋体" w:cs="宋体"/>
                <w:color w:val="auto"/>
                <w:szCs w:val="21"/>
                <w:highlight w:val="none"/>
                <w:lang w:val="zh-CN" w:bidi="zh-CN"/>
              </w:rPr>
            </w:pPr>
          </w:p>
          <w:p>
            <w:pPr>
              <w:spacing w:line="360" w:lineRule="auto"/>
              <w:ind w:firstLine="420" w:firstLineChars="200"/>
              <w:rPr>
                <w:rFonts w:ascii="宋体" w:hAnsi="宋体" w:cs="宋体"/>
                <w:color w:val="auto"/>
                <w:szCs w:val="21"/>
                <w:highlight w:val="none"/>
                <w:lang w:val="zh-CN" w:bidi="zh-CN"/>
              </w:rPr>
            </w:pPr>
          </w:p>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分部分项工程量清单项目综合单价（10分）</w:t>
            </w:r>
          </w:p>
        </w:tc>
        <w:tc>
          <w:tcPr>
            <w:tcW w:w="5752" w:type="dxa"/>
            <w:gridSpan w:val="4"/>
            <w:noWrap w:val="0"/>
            <w:vAlign w:val="top"/>
          </w:tcPr>
          <w:p>
            <w:pPr>
              <w:spacing w:line="360" w:lineRule="auto"/>
              <w:ind w:firstLine="420" w:firstLineChars="200"/>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从最高投标限价中分部分项工程项目权重最大的前10-30项清单项目中抽取15项，在剩余的分部分项工程项目清单项目中抽取5项。</w:t>
            </w:r>
          </w:p>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 xml:space="preserve">清单项目综合单价基准值以各有效投标报价的（当有效投标人个数≥5名及以上时，去掉1个最高、1个最低值）清单项目综合单价的算术平均值作为综合单价基准值。在综合单价基准值95%–103%范围内（不含95%和103%）每项得0.5分，在评标基准值90%–95%范围内（含90%和95%）每项得0.25分，满分共计10分。超出该范围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2241" w:type="dxa"/>
            <w:gridSpan w:val="3"/>
            <w:noWrap w:val="0"/>
            <w:vAlign w:val="center"/>
          </w:tcPr>
          <w:p>
            <w:pPr>
              <w:pStyle w:val="16"/>
              <w:spacing w:line="276" w:lineRule="auto"/>
              <w:jc w:val="center"/>
              <w:rPr>
                <w:rFonts w:hAnsi="宋体"/>
                <w:color w:val="auto"/>
                <w:sz w:val="21"/>
                <w:szCs w:val="21"/>
                <w:highlight w:val="none"/>
                <w:lang w:val="zh-CN" w:bidi="zh-CN"/>
              </w:rPr>
            </w:pPr>
            <w:r>
              <w:rPr>
                <w:rFonts w:hint="eastAsia" w:hAnsi="宋体"/>
                <w:color w:val="auto"/>
                <w:sz w:val="21"/>
                <w:szCs w:val="21"/>
                <w:highlight w:val="none"/>
                <w:lang w:val="zh-CN" w:bidi="zh-CN"/>
              </w:rPr>
              <w:t>主要材料项目单价</w:t>
            </w:r>
          </w:p>
          <w:p>
            <w:pPr>
              <w:pStyle w:val="16"/>
              <w:spacing w:line="276" w:lineRule="auto"/>
              <w:jc w:val="center"/>
              <w:rPr>
                <w:rFonts w:hAnsi="宋体"/>
                <w:color w:val="auto"/>
                <w:sz w:val="21"/>
                <w:szCs w:val="21"/>
                <w:highlight w:val="none"/>
                <w:lang w:val="zh-CN" w:bidi="zh-CN"/>
              </w:rPr>
            </w:pPr>
            <w:r>
              <w:rPr>
                <w:rFonts w:hint="eastAsia" w:hAnsi="宋体"/>
                <w:color w:val="auto"/>
                <w:sz w:val="21"/>
                <w:szCs w:val="21"/>
                <w:highlight w:val="none"/>
                <w:lang w:val="zh-CN" w:bidi="zh-CN"/>
              </w:rPr>
              <w:t>（5分）</w:t>
            </w:r>
          </w:p>
        </w:tc>
        <w:tc>
          <w:tcPr>
            <w:tcW w:w="5752" w:type="dxa"/>
            <w:gridSpan w:val="4"/>
            <w:noWrap w:val="0"/>
            <w:vAlign w:val="center"/>
          </w:tcPr>
          <w:p>
            <w:pPr>
              <w:spacing w:line="360" w:lineRule="auto"/>
              <w:ind w:firstLine="420" w:firstLineChars="200"/>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从最高投标限价中材料总价权重最大的前10-20项材料中抽取6项，在剩余材料中抽取4项。</w:t>
            </w:r>
          </w:p>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主要材料单价基准值以各有效投标报价（当有效投标人个数≥5名及以上时，去掉1个最高、1个最低值）材料单价的算术平均值作为材料单价基准值。在材料单价基准值95%–103%范围内（不含95%和103%）每项得0.5分，在材料单价基准值90%–95%范围内（含90%和95%）每项得0.25分。超出该范围的不得分。材料单价与综合单价组成中价格不一致时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2241" w:type="dxa"/>
            <w:gridSpan w:val="3"/>
            <w:noWrap w:val="0"/>
            <w:vAlign w:val="center"/>
          </w:tcPr>
          <w:p>
            <w:pPr>
              <w:spacing w:line="360" w:lineRule="auto"/>
              <w:jc w:val="center"/>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措施项目费报价</w:t>
            </w:r>
          </w:p>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（不含安全文明施工费）</w:t>
            </w:r>
          </w:p>
          <w:p>
            <w:pPr>
              <w:spacing w:line="360" w:lineRule="auto"/>
              <w:jc w:val="center"/>
              <w:rPr>
                <w:rFonts w:hAnsi="宋体"/>
                <w:color w:val="auto"/>
                <w:szCs w:val="21"/>
                <w:highlight w:val="none"/>
                <w:lang w:val="zh-CN" w:bidi="zh-CN"/>
              </w:rPr>
            </w:pPr>
            <w:r>
              <w:rPr>
                <w:rFonts w:hint="eastAsia" w:ascii="宋体" w:hAnsi="宋体" w:cs="宋体"/>
                <w:color w:val="auto"/>
                <w:szCs w:val="21"/>
                <w:highlight w:val="none"/>
                <w:lang w:val="zh-CN" w:bidi="zh-CN"/>
              </w:rPr>
              <w:t>（5 分）</w:t>
            </w:r>
          </w:p>
        </w:tc>
        <w:tc>
          <w:tcPr>
            <w:tcW w:w="5752" w:type="dxa"/>
            <w:gridSpan w:val="4"/>
            <w:noWrap w:val="0"/>
            <w:vAlign w:val="top"/>
          </w:tcPr>
          <w:p>
            <w:pPr>
              <w:spacing w:line="36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措施项目基准值是在最高投标限价中措施项目费用的80%-110%范围之间有效投标人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0059" w:type="dxa"/>
            <w:gridSpan w:val="9"/>
            <w:noWrap w:val="0"/>
            <w:vAlign w:val="top"/>
          </w:tcPr>
          <w:p>
            <w:pPr>
              <w:ind w:firstLine="420" w:firstLineChars="200"/>
              <w:rPr>
                <w:color w:val="auto"/>
                <w:highlight w:val="none"/>
                <w:lang w:val="zh-CN"/>
              </w:rPr>
            </w:pPr>
            <w:r>
              <w:rPr>
                <w:rFonts w:hint="eastAsia"/>
                <w:color w:val="auto"/>
                <w:highlight w:val="none"/>
                <w:lang w:val="zh-CN"/>
              </w:rPr>
              <w:t>针对上述分部分项工程项目清单单价、主要材料单价款项中部分分部分项工程项目数量较少、施工工艺简单、主材种类较少而不能满足最低抽项要求的，应将所有分部分项工程项目或主要材料项目纳入评审范围，该项分值未被纳入评审项目分配完时未分配项目按满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0" w:type="dxa"/>
            <w:vMerge w:val="restart"/>
            <w:noWrap w:val="0"/>
            <w:vAlign w:val="center"/>
          </w:tcPr>
          <w:p>
            <w:pPr>
              <w:spacing w:line="360" w:lineRule="auto"/>
              <w:jc w:val="center"/>
              <w:rPr>
                <w:rFonts w:ascii="宋体" w:hAnsi="宋体" w:cs="宋体"/>
                <w:color w:val="auto"/>
                <w:szCs w:val="21"/>
                <w:highlight w:val="none"/>
                <w:lang w:bidi="zh-CN"/>
              </w:rPr>
            </w:pPr>
            <w:r>
              <w:rPr>
                <w:rFonts w:hint="eastAsia" w:ascii="宋体" w:hAnsi="宋体" w:cs="宋体"/>
                <w:color w:val="auto"/>
                <w:szCs w:val="21"/>
                <w:highlight w:val="none"/>
                <w:lang w:val="zh-CN" w:bidi="zh-CN"/>
              </w:rPr>
              <w:t>4（</w:t>
            </w:r>
            <w:r>
              <w:rPr>
                <w:rFonts w:hint="eastAsia" w:ascii="宋体" w:hAnsi="宋体" w:cs="宋体"/>
                <w:color w:val="auto"/>
                <w:szCs w:val="21"/>
                <w:highlight w:val="none"/>
                <w:lang w:bidi="zh-CN"/>
              </w:rPr>
              <w:t>3）</w:t>
            </w:r>
          </w:p>
        </w:tc>
        <w:tc>
          <w:tcPr>
            <w:tcW w:w="986" w:type="dxa"/>
            <w:vMerge w:val="restart"/>
            <w:noWrap w:val="0"/>
            <w:vAlign w:val="center"/>
          </w:tcPr>
          <w:p>
            <w:pPr>
              <w:pStyle w:val="16"/>
              <w:spacing w:line="276" w:lineRule="auto"/>
              <w:jc w:val="center"/>
              <w:rPr>
                <w:rFonts w:hint="eastAsia" w:hAnsi="宋体"/>
                <w:color w:val="auto"/>
                <w:sz w:val="21"/>
                <w:szCs w:val="21"/>
                <w:highlight w:val="none"/>
                <w:lang w:val="zh-CN" w:bidi="zh-CN"/>
              </w:rPr>
            </w:pPr>
            <w:r>
              <w:rPr>
                <w:rFonts w:hint="eastAsia" w:hAnsi="宋体"/>
                <w:color w:val="auto"/>
                <w:sz w:val="21"/>
                <w:szCs w:val="21"/>
                <w:highlight w:val="none"/>
                <w:lang w:val="zh-CN" w:bidi="zh-CN"/>
              </w:rPr>
              <w:t>综合标评分标准</w:t>
            </w:r>
          </w:p>
          <w:p>
            <w:pPr>
              <w:pStyle w:val="16"/>
              <w:spacing w:line="276" w:lineRule="auto"/>
              <w:jc w:val="center"/>
              <w:rPr>
                <w:rFonts w:hint="eastAsia" w:hAnsi="宋体"/>
                <w:color w:val="auto"/>
                <w:sz w:val="21"/>
                <w:szCs w:val="21"/>
                <w:highlight w:val="none"/>
                <w:lang w:val="zh-CN" w:bidi="zh-CN"/>
              </w:rPr>
            </w:pPr>
            <w:r>
              <w:rPr>
                <w:rFonts w:hint="eastAsia" w:hAnsi="宋体"/>
                <w:color w:val="auto"/>
                <w:sz w:val="21"/>
                <w:szCs w:val="21"/>
                <w:highlight w:val="none"/>
                <w:lang w:val="zh-CN" w:bidi="zh-CN"/>
              </w:rPr>
              <w:t>（2</w:t>
            </w:r>
            <w:r>
              <w:rPr>
                <w:rFonts w:hint="eastAsia" w:hAnsi="宋体"/>
                <w:color w:val="auto"/>
                <w:sz w:val="21"/>
                <w:szCs w:val="21"/>
                <w:highlight w:val="none"/>
                <w:lang w:val="en-US" w:bidi="zh-CN"/>
              </w:rPr>
              <w:t>5</w:t>
            </w:r>
            <w:r>
              <w:rPr>
                <w:rFonts w:hint="eastAsia" w:hAnsi="宋体"/>
                <w:color w:val="auto"/>
                <w:sz w:val="21"/>
                <w:szCs w:val="21"/>
                <w:highlight w:val="none"/>
                <w:lang w:val="zh-CN" w:bidi="zh-CN"/>
              </w:rPr>
              <w:t xml:space="preserve"> 分）</w:t>
            </w:r>
          </w:p>
        </w:tc>
        <w:tc>
          <w:tcPr>
            <w:tcW w:w="1688" w:type="dxa"/>
            <w:gridSpan w:val="2"/>
            <w:noWrap w:val="0"/>
            <w:vAlign w:val="center"/>
          </w:tcPr>
          <w:p>
            <w:pPr>
              <w:pStyle w:val="16"/>
              <w:spacing w:line="276" w:lineRule="auto"/>
              <w:jc w:val="center"/>
              <w:rPr>
                <w:rFonts w:hint="eastAsia" w:hAnsi="宋体"/>
                <w:color w:val="auto"/>
                <w:sz w:val="21"/>
                <w:szCs w:val="21"/>
                <w:highlight w:val="none"/>
                <w:lang w:val="zh-CN" w:bidi="zh-CN"/>
              </w:rPr>
            </w:pPr>
            <w:r>
              <w:rPr>
                <w:rFonts w:hint="eastAsia" w:hAnsi="宋体"/>
                <w:color w:val="auto"/>
                <w:sz w:val="21"/>
                <w:szCs w:val="21"/>
                <w:highlight w:val="none"/>
                <w:lang w:val="zh-CN" w:bidi="zh-CN"/>
              </w:rPr>
              <w:t>评审内容</w:t>
            </w:r>
          </w:p>
        </w:tc>
        <w:tc>
          <w:tcPr>
            <w:tcW w:w="4817" w:type="dxa"/>
            <w:gridSpan w:val="3"/>
            <w:noWrap w:val="0"/>
            <w:vAlign w:val="center"/>
          </w:tcPr>
          <w:p>
            <w:pPr>
              <w:pStyle w:val="16"/>
              <w:spacing w:line="276" w:lineRule="auto"/>
              <w:jc w:val="center"/>
              <w:rPr>
                <w:rFonts w:hAnsi="宋体"/>
                <w:color w:val="auto"/>
                <w:sz w:val="21"/>
                <w:szCs w:val="21"/>
                <w:highlight w:val="none"/>
                <w:lang w:val="zh-CN" w:bidi="zh-CN"/>
              </w:rPr>
            </w:pPr>
            <w:r>
              <w:rPr>
                <w:rFonts w:hint="eastAsia" w:hAnsi="宋体"/>
                <w:color w:val="auto"/>
                <w:sz w:val="21"/>
                <w:szCs w:val="21"/>
                <w:highlight w:val="none"/>
                <w:lang w:val="zh-CN" w:bidi="zh-CN"/>
              </w:rPr>
              <w:t>评审标准</w:t>
            </w:r>
          </w:p>
        </w:tc>
        <w:tc>
          <w:tcPr>
            <w:tcW w:w="1488" w:type="dxa"/>
            <w:gridSpan w:val="2"/>
            <w:noWrap w:val="0"/>
            <w:vAlign w:val="center"/>
          </w:tcPr>
          <w:p>
            <w:pPr>
              <w:pStyle w:val="16"/>
              <w:spacing w:line="276" w:lineRule="auto"/>
              <w:jc w:val="center"/>
              <w:rPr>
                <w:rFonts w:hAnsi="宋体"/>
                <w:color w:val="auto"/>
                <w:sz w:val="21"/>
                <w:szCs w:val="21"/>
                <w:highlight w:val="none"/>
                <w:lang w:val="zh-CN" w:bidi="zh-CN"/>
              </w:rPr>
            </w:pPr>
            <w:r>
              <w:rPr>
                <w:rFonts w:hint="eastAsia" w:hAnsi="宋体"/>
                <w:color w:val="auto"/>
                <w:sz w:val="21"/>
                <w:szCs w:val="21"/>
                <w:highlight w:val="none"/>
                <w:lang w:val="zh-CN" w:bidi="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080" w:type="dxa"/>
            <w:vMerge w:val="continue"/>
            <w:noWrap w:val="0"/>
            <w:vAlign w:val="center"/>
          </w:tcPr>
          <w:p>
            <w:pPr>
              <w:spacing w:line="360" w:lineRule="auto"/>
              <w:jc w:val="center"/>
              <w:rPr>
                <w:rFonts w:ascii="宋体" w:hAnsi="宋体" w:cs="宋体"/>
                <w:color w:val="auto"/>
                <w:szCs w:val="21"/>
                <w:highlight w:val="none"/>
                <w:lang w:bidi="zh-CN"/>
              </w:rPr>
            </w:pPr>
          </w:p>
        </w:tc>
        <w:tc>
          <w:tcPr>
            <w:tcW w:w="986" w:type="dxa"/>
            <w:vMerge w:val="continue"/>
            <w:noWrap w:val="0"/>
            <w:vAlign w:val="center"/>
          </w:tcPr>
          <w:p>
            <w:pPr>
              <w:pStyle w:val="16"/>
              <w:spacing w:line="276" w:lineRule="auto"/>
              <w:jc w:val="center"/>
              <w:rPr>
                <w:rFonts w:hint="eastAsia" w:hAnsi="宋体"/>
                <w:color w:val="auto"/>
                <w:sz w:val="21"/>
                <w:szCs w:val="21"/>
                <w:highlight w:val="none"/>
                <w:lang w:val="zh-CN" w:bidi="zh-CN"/>
              </w:rPr>
            </w:pPr>
          </w:p>
        </w:tc>
        <w:tc>
          <w:tcPr>
            <w:tcW w:w="1688" w:type="dxa"/>
            <w:gridSpan w:val="2"/>
            <w:noWrap w:val="0"/>
            <w:vAlign w:val="center"/>
          </w:tcPr>
          <w:p>
            <w:pPr>
              <w:pStyle w:val="16"/>
              <w:spacing w:line="276" w:lineRule="auto"/>
              <w:jc w:val="center"/>
              <w:rPr>
                <w:rFonts w:hint="eastAsia" w:hAnsi="宋体"/>
                <w:color w:val="auto"/>
                <w:sz w:val="21"/>
                <w:szCs w:val="21"/>
                <w:highlight w:val="none"/>
                <w:lang w:val="zh-CN" w:bidi="zh-CN"/>
              </w:rPr>
            </w:pPr>
            <w:r>
              <w:rPr>
                <w:rFonts w:hint="eastAsia" w:hAnsi="宋体"/>
                <w:color w:val="auto"/>
                <w:sz w:val="21"/>
                <w:szCs w:val="21"/>
                <w:highlight w:val="none"/>
                <w:lang w:val="zh-CN" w:bidi="zh-CN"/>
              </w:rPr>
              <w:t>企业业绩</w:t>
            </w:r>
          </w:p>
        </w:tc>
        <w:tc>
          <w:tcPr>
            <w:tcW w:w="4817" w:type="dxa"/>
            <w:gridSpan w:val="3"/>
            <w:noWrap w:val="0"/>
            <w:vAlign w:val="top"/>
          </w:tcPr>
          <w:p>
            <w:pPr>
              <w:pStyle w:val="16"/>
              <w:spacing w:line="276" w:lineRule="auto"/>
              <w:jc w:val="left"/>
              <w:rPr>
                <w:rFonts w:hint="eastAsia" w:hAnsi="宋体"/>
                <w:color w:val="auto"/>
                <w:sz w:val="21"/>
                <w:szCs w:val="21"/>
                <w:highlight w:val="none"/>
                <w:lang w:val="zh-CN" w:bidi="zh-CN"/>
              </w:rPr>
            </w:pPr>
            <w:r>
              <w:rPr>
                <w:rFonts w:hint="eastAsia" w:hAnsi="宋体"/>
                <w:color w:val="auto"/>
                <w:sz w:val="21"/>
                <w:szCs w:val="21"/>
                <w:highlight w:val="none"/>
                <w:lang w:val="zh-CN" w:bidi="zh-CN"/>
              </w:rPr>
              <w:t>自2016年</w:t>
            </w:r>
            <w:r>
              <w:rPr>
                <w:rFonts w:hint="eastAsia" w:hAnsi="宋体"/>
                <w:color w:val="auto"/>
                <w:sz w:val="21"/>
                <w:szCs w:val="21"/>
                <w:highlight w:val="none"/>
                <w:lang w:bidi="zh-CN"/>
              </w:rPr>
              <w:t>1</w:t>
            </w:r>
            <w:r>
              <w:rPr>
                <w:rFonts w:hint="eastAsia" w:hAnsi="宋体"/>
                <w:color w:val="auto"/>
                <w:sz w:val="21"/>
                <w:szCs w:val="21"/>
                <w:highlight w:val="none"/>
                <w:lang w:val="en-US" w:bidi="zh-CN"/>
              </w:rPr>
              <w:t>2</w:t>
            </w:r>
            <w:r>
              <w:rPr>
                <w:rFonts w:hint="eastAsia" w:hAnsi="宋体"/>
                <w:color w:val="auto"/>
                <w:sz w:val="21"/>
                <w:szCs w:val="21"/>
                <w:highlight w:val="none"/>
                <w:lang w:val="zh-CN" w:bidi="zh-CN"/>
              </w:rPr>
              <w:t>月1日以来（以合同签订时间为准）企业具有不低于本项目投资额的类似业绩者每项得4分，本项最高得4分。（以施工合同为准）</w:t>
            </w:r>
          </w:p>
        </w:tc>
        <w:tc>
          <w:tcPr>
            <w:tcW w:w="1488" w:type="dxa"/>
            <w:gridSpan w:val="2"/>
            <w:noWrap w:val="0"/>
            <w:vAlign w:val="center"/>
          </w:tcPr>
          <w:p>
            <w:pPr>
              <w:pStyle w:val="16"/>
              <w:spacing w:line="276" w:lineRule="auto"/>
              <w:jc w:val="center"/>
              <w:rPr>
                <w:rFonts w:hint="default" w:hAnsi="宋体"/>
                <w:color w:val="auto"/>
                <w:sz w:val="21"/>
                <w:szCs w:val="21"/>
                <w:highlight w:val="none"/>
                <w:lang w:val="en-US" w:bidi="zh-CN"/>
              </w:rPr>
            </w:pPr>
            <w:r>
              <w:rPr>
                <w:rFonts w:hint="eastAsia" w:hAnsi="宋体"/>
                <w:color w:val="auto"/>
                <w:sz w:val="21"/>
                <w:szCs w:val="21"/>
                <w:highlight w:val="none"/>
                <w:lang w:val="zh-CN" w:bidi="zh-CN"/>
              </w:rPr>
              <w:t>0≤得分≤</w:t>
            </w:r>
            <w:r>
              <w:rPr>
                <w:rFonts w:hint="eastAsia" w:hAnsi="宋体"/>
                <w:color w:val="auto"/>
                <w:sz w:val="21"/>
                <w:szCs w:val="21"/>
                <w:highlight w:val="none"/>
                <w:lang w:val="en-US"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080" w:type="dxa"/>
            <w:vMerge w:val="continue"/>
            <w:noWrap w:val="0"/>
            <w:vAlign w:val="center"/>
          </w:tcPr>
          <w:p>
            <w:pPr>
              <w:spacing w:line="360" w:lineRule="auto"/>
              <w:jc w:val="center"/>
              <w:rPr>
                <w:rFonts w:ascii="宋体" w:hAnsi="宋体" w:cs="宋体"/>
                <w:color w:val="auto"/>
                <w:szCs w:val="21"/>
                <w:highlight w:val="none"/>
                <w:lang w:bidi="zh-CN"/>
              </w:rPr>
            </w:pPr>
          </w:p>
        </w:tc>
        <w:tc>
          <w:tcPr>
            <w:tcW w:w="986" w:type="dxa"/>
            <w:vMerge w:val="continue"/>
            <w:noWrap w:val="0"/>
            <w:vAlign w:val="center"/>
          </w:tcPr>
          <w:p>
            <w:pPr>
              <w:spacing w:line="360" w:lineRule="auto"/>
              <w:jc w:val="center"/>
              <w:rPr>
                <w:rFonts w:ascii="宋体" w:hAnsi="宋体" w:cs="宋体"/>
                <w:color w:val="auto"/>
                <w:szCs w:val="21"/>
                <w:highlight w:val="none"/>
                <w:lang w:val="zh-CN" w:bidi="zh-CN"/>
              </w:rPr>
            </w:pPr>
          </w:p>
        </w:tc>
        <w:tc>
          <w:tcPr>
            <w:tcW w:w="1688" w:type="dxa"/>
            <w:gridSpan w:val="2"/>
            <w:noWrap w:val="0"/>
            <w:vAlign w:val="center"/>
          </w:tcPr>
          <w:p>
            <w:pPr>
              <w:pStyle w:val="16"/>
              <w:spacing w:line="276" w:lineRule="auto"/>
              <w:jc w:val="center"/>
              <w:rPr>
                <w:rFonts w:hint="eastAsia" w:hAnsi="宋体"/>
                <w:color w:val="auto"/>
                <w:sz w:val="21"/>
                <w:szCs w:val="21"/>
                <w:highlight w:val="none"/>
                <w:lang w:val="zh-CN" w:bidi="zh-CN"/>
              </w:rPr>
            </w:pPr>
            <w:r>
              <w:rPr>
                <w:rFonts w:hint="eastAsia" w:hAnsi="宋体"/>
                <w:color w:val="auto"/>
                <w:sz w:val="21"/>
                <w:szCs w:val="21"/>
                <w:highlight w:val="none"/>
                <w:lang w:val="zh-CN" w:bidi="zh-CN"/>
              </w:rPr>
              <w:t>项目经理业绩</w:t>
            </w:r>
          </w:p>
        </w:tc>
        <w:tc>
          <w:tcPr>
            <w:tcW w:w="4817" w:type="dxa"/>
            <w:gridSpan w:val="3"/>
            <w:noWrap w:val="0"/>
            <w:vAlign w:val="center"/>
          </w:tcPr>
          <w:p>
            <w:pPr>
              <w:pStyle w:val="16"/>
              <w:spacing w:line="276" w:lineRule="auto"/>
              <w:jc w:val="left"/>
              <w:rPr>
                <w:rFonts w:hint="eastAsia" w:hAnsi="宋体"/>
                <w:color w:val="auto"/>
                <w:sz w:val="21"/>
                <w:szCs w:val="21"/>
                <w:highlight w:val="none"/>
                <w:lang w:val="zh-CN" w:bidi="zh-CN"/>
              </w:rPr>
            </w:pPr>
            <w:r>
              <w:rPr>
                <w:rFonts w:hint="eastAsia" w:hAnsi="宋体"/>
                <w:color w:val="auto"/>
                <w:sz w:val="21"/>
                <w:szCs w:val="21"/>
                <w:highlight w:val="none"/>
                <w:lang w:val="zh-CN" w:bidi="zh-CN"/>
              </w:rPr>
              <w:t>自2016年</w:t>
            </w:r>
            <w:r>
              <w:rPr>
                <w:rFonts w:hint="eastAsia" w:hAnsi="宋体"/>
                <w:color w:val="auto"/>
                <w:sz w:val="21"/>
                <w:szCs w:val="21"/>
                <w:highlight w:val="none"/>
                <w:lang w:bidi="zh-CN"/>
              </w:rPr>
              <w:t>1</w:t>
            </w:r>
            <w:r>
              <w:rPr>
                <w:rFonts w:hint="eastAsia" w:hAnsi="宋体"/>
                <w:color w:val="auto"/>
                <w:sz w:val="21"/>
                <w:szCs w:val="21"/>
                <w:highlight w:val="none"/>
                <w:lang w:val="en-US" w:bidi="zh-CN"/>
              </w:rPr>
              <w:t>2</w:t>
            </w:r>
            <w:r>
              <w:rPr>
                <w:rFonts w:hint="eastAsia" w:hAnsi="宋体"/>
                <w:color w:val="auto"/>
                <w:sz w:val="21"/>
                <w:szCs w:val="21"/>
                <w:highlight w:val="none"/>
                <w:lang w:val="zh-CN" w:bidi="zh-CN"/>
              </w:rPr>
              <w:t>月1日以来（以合同签订时间为准）企业具有不低于本项目投资额的类似业绩者每项得6分，本项最高得6分。（以施工合同为准）</w:t>
            </w:r>
          </w:p>
        </w:tc>
        <w:tc>
          <w:tcPr>
            <w:tcW w:w="1488" w:type="dxa"/>
            <w:gridSpan w:val="2"/>
            <w:noWrap w:val="0"/>
            <w:vAlign w:val="center"/>
          </w:tcPr>
          <w:p>
            <w:pPr>
              <w:pStyle w:val="16"/>
              <w:spacing w:line="276" w:lineRule="auto"/>
              <w:jc w:val="center"/>
              <w:rPr>
                <w:rFonts w:hint="default" w:hAnsi="宋体"/>
                <w:color w:val="auto"/>
                <w:sz w:val="21"/>
                <w:szCs w:val="21"/>
                <w:highlight w:val="none"/>
                <w:lang w:val="en-US" w:bidi="zh-CN"/>
              </w:rPr>
            </w:pPr>
            <w:r>
              <w:rPr>
                <w:rFonts w:hint="eastAsia" w:hAnsi="宋体"/>
                <w:color w:val="auto"/>
                <w:sz w:val="21"/>
                <w:szCs w:val="21"/>
                <w:highlight w:val="none"/>
                <w:lang w:val="en-US" w:bidi="zh-CN"/>
              </w:rPr>
              <w:t>0</w:t>
            </w:r>
            <w:r>
              <w:rPr>
                <w:rFonts w:hint="eastAsia" w:hAnsi="宋体"/>
                <w:color w:val="auto"/>
                <w:sz w:val="21"/>
                <w:szCs w:val="21"/>
                <w:highlight w:val="none"/>
                <w:lang w:val="zh-CN" w:bidi="zh-CN"/>
              </w:rPr>
              <w:t>≤得分≤</w:t>
            </w:r>
            <w:r>
              <w:rPr>
                <w:rFonts w:hint="eastAsia" w:hAnsi="宋体"/>
                <w:color w:val="auto"/>
                <w:sz w:val="21"/>
                <w:szCs w:val="21"/>
                <w:highlight w:val="none"/>
                <w:lang w:val="en-US"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688" w:type="dxa"/>
            <w:gridSpan w:val="2"/>
            <w:vMerge w:val="restart"/>
            <w:noWrap w:val="0"/>
            <w:vAlign w:val="center"/>
          </w:tcPr>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优惠承诺</w:t>
            </w:r>
          </w:p>
        </w:tc>
        <w:tc>
          <w:tcPr>
            <w:tcW w:w="4817" w:type="dxa"/>
            <w:gridSpan w:val="3"/>
            <w:noWrap w:val="0"/>
            <w:vAlign w:val="center"/>
          </w:tcPr>
          <w:p>
            <w:pPr>
              <w:spacing w:line="360" w:lineRule="auto"/>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优惠承诺应是书面的符合工程实际情况，确保依法依规，优惠合理，详实可行。</w:t>
            </w:r>
          </w:p>
        </w:tc>
        <w:tc>
          <w:tcPr>
            <w:tcW w:w="1488" w:type="dxa"/>
            <w:gridSpan w:val="2"/>
            <w:noWrap w:val="0"/>
            <w:vAlign w:val="center"/>
          </w:tcPr>
          <w:p>
            <w:pPr>
              <w:spacing w:line="360" w:lineRule="auto"/>
              <w:jc w:val="center"/>
              <w:rPr>
                <w:rFonts w:hint="default" w:ascii="宋体" w:hAnsi="宋体" w:cs="宋体"/>
                <w:color w:val="auto"/>
                <w:szCs w:val="21"/>
                <w:highlight w:val="none"/>
                <w:lang w:val="en-US" w:bidi="zh-CN"/>
              </w:rPr>
            </w:pPr>
            <w:r>
              <w:rPr>
                <w:rFonts w:hint="eastAsia" w:ascii="宋体" w:hAnsi="宋体" w:cs="宋体"/>
                <w:color w:val="auto"/>
                <w:szCs w:val="21"/>
                <w:highlight w:val="none"/>
                <w:lang w:val="en-US" w:bidi="zh-CN"/>
              </w:rPr>
              <w:t>3</w:t>
            </w:r>
            <w:r>
              <w:rPr>
                <w:rFonts w:hint="eastAsia" w:ascii="宋体" w:hAnsi="宋体" w:cs="宋体"/>
                <w:color w:val="auto"/>
                <w:szCs w:val="21"/>
                <w:highlight w:val="none"/>
                <w:lang w:val="zh-CN" w:bidi="zh-CN"/>
              </w:rPr>
              <w:t>＜得分≤</w:t>
            </w:r>
            <w:r>
              <w:rPr>
                <w:rFonts w:hint="eastAsia" w:ascii="宋体" w:hAnsi="宋体" w:cs="宋体"/>
                <w:color w:val="auto"/>
                <w:szCs w:val="21"/>
                <w:highlight w:val="none"/>
                <w:lang w:val="en-US"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688" w:type="dxa"/>
            <w:gridSpan w:val="2"/>
            <w:vMerge w:val="continue"/>
            <w:noWrap w:val="0"/>
            <w:vAlign w:val="center"/>
          </w:tcPr>
          <w:p>
            <w:pPr>
              <w:spacing w:line="360" w:lineRule="auto"/>
              <w:jc w:val="center"/>
              <w:rPr>
                <w:rFonts w:ascii="宋体" w:hAnsi="宋体" w:cs="宋体"/>
                <w:color w:val="auto"/>
                <w:szCs w:val="21"/>
                <w:highlight w:val="none"/>
                <w:lang w:val="zh-CN" w:bidi="zh-CN"/>
              </w:rPr>
            </w:pPr>
          </w:p>
        </w:tc>
        <w:tc>
          <w:tcPr>
            <w:tcW w:w="4817" w:type="dxa"/>
            <w:gridSpan w:val="3"/>
            <w:noWrap w:val="0"/>
            <w:vAlign w:val="center"/>
          </w:tcPr>
          <w:p>
            <w:pPr>
              <w:spacing w:line="360" w:lineRule="auto"/>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优惠承诺符合工程实际情况，确保依法依规，优惠基本合理，基本详实可行。</w:t>
            </w:r>
          </w:p>
        </w:tc>
        <w:tc>
          <w:tcPr>
            <w:tcW w:w="1488" w:type="dxa"/>
            <w:gridSpan w:val="2"/>
            <w:noWrap w:val="0"/>
            <w:vAlign w:val="center"/>
          </w:tcPr>
          <w:p>
            <w:pPr>
              <w:spacing w:line="360" w:lineRule="auto"/>
              <w:jc w:val="center"/>
              <w:rPr>
                <w:rFonts w:hint="default" w:ascii="宋体" w:hAnsi="宋体" w:cs="宋体"/>
                <w:color w:val="auto"/>
                <w:szCs w:val="21"/>
                <w:highlight w:val="none"/>
                <w:lang w:val="en-US" w:bidi="zh-CN"/>
              </w:rPr>
            </w:pP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≤得分≤</w:t>
            </w:r>
            <w:r>
              <w:rPr>
                <w:rFonts w:hint="eastAsia" w:ascii="宋体" w:hAnsi="宋体" w:cs="宋体"/>
                <w:color w:val="auto"/>
                <w:szCs w:val="21"/>
                <w:highlight w:val="none"/>
                <w:lang w:val="en-US"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688" w:type="dxa"/>
            <w:gridSpan w:val="2"/>
            <w:vMerge w:val="restart"/>
            <w:noWrap w:val="0"/>
            <w:vAlign w:val="center"/>
          </w:tcPr>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履职尽责承诺</w:t>
            </w:r>
          </w:p>
        </w:tc>
        <w:tc>
          <w:tcPr>
            <w:tcW w:w="4817" w:type="dxa"/>
            <w:gridSpan w:val="3"/>
            <w:noWrap w:val="0"/>
            <w:vAlign w:val="center"/>
          </w:tcPr>
          <w:p>
            <w:pPr>
              <w:spacing w:line="360" w:lineRule="auto"/>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具有全面、详实、可行、合法有效的书面保证技术措施落实到位的承诺和落实不到位的处理承诺，其中包括各关键岗位人员（项目经理、技术负责人、施工员、质量（检）员、专职安全员、材料员、资料员）的在岗、更换等履职尽责承诺，提供承包商履约保证。</w:t>
            </w:r>
          </w:p>
        </w:tc>
        <w:tc>
          <w:tcPr>
            <w:tcW w:w="1488" w:type="dxa"/>
            <w:gridSpan w:val="2"/>
            <w:noWrap w:val="0"/>
            <w:vAlign w:val="center"/>
          </w:tcPr>
          <w:p>
            <w:pPr>
              <w:spacing w:line="360" w:lineRule="auto"/>
              <w:jc w:val="center"/>
              <w:rPr>
                <w:rFonts w:hint="default" w:ascii="宋体" w:hAnsi="宋体" w:cs="宋体"/>
                <w:color w:val="auto"/>
                <w:szCs w:val="21"/>
                <w:highlight w:val="none"/>
                <w:lang w:val="en-US" w:bidi="zh-CN"/>
              </w:rPr>
            </w:pP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＜得分≤</w:t>
            </w:r>
            <w:r>
              <w:rPr>
                <w:rFonts w:hint="eastAsia" w:ascii="宋体" w:hAnsi="宋体" w:cs="宋体"/>
                <w:color w:val="auto"/>
                <w:szCs w:val="21"/>
                <w:highlight w:val="none"/>
                <w:lang w:val="en-US"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7"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highlight w:val="none"/>
                <w:lang w:val="zh-CN" w:bidi="zh-CN"/>
              </w:rPr>
            </w:pPr>
          </w:p>
        </w:tc>
        <w:tc>
          <w:tcPr>
            <w:tcW w:w="1688" w:type="dxa"/>
            <w:gridSpan w:val="2"/>
            <w:vMerge w:val="continue"/>
            <w:noWrap w:val="0"/>
            <w:vAlign w:val="center"/>
          </w:tcPr>
          <w:p>
            <w:pPr>
              <w:spacing w:line="360" w:lineRule="auto"/>
              <w:jc w:val="left"/>
              <w:rPr>
                <w:rFonts w:ascii="宋体" w:hAnsi="宋体" w:cs="宋体"/>
                <w:color w:val="auto"/>
                <w:szCs w:val="21"/>
                <w:highlight w:val="none"/>
                <w:lang w:val="zh-CN" w:bidi="zh-CN"/>
              </w:rPr>
            </w:pPr>
          </w:p>
        </w:tc>
        <w:tc>
          <w:tcPr>
            <w:tcW w:w="4817" w:type="dxa"/>
            <w:gridSpan w:val="3"/>
            <w:noWrap w:val="0"/>
            <w:vAlign w:val="center"/>
          </w:tcPr>
          <w:p>
            <w:pPr>
              <w:spacing w:line="360" w:lineRule="auto"/>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具有可行、合法有效的书面保证技术措施落实到位的承诺和落实不到位的处理承诺，其中包括各关键岗位人员（项目经理、技术负责人、施工员、质量（检）员、专职安全员、材料员、资料员）的在岗、更换等履职尽责承诺，提承包商履约保证。</w:t>
            </w:r>
          </w:p>
        </w:tc>
        <w:tc>
          <w:tcPr>
            <w:tcW w:w="1488" w:type="dxa"/>
            <w:gridSpan w:val="2"/>
            <w:noWrap w:val="0"/>
            <w:vAlign w:val="center"/>
          </w:tcPr>
          <w:p>
            <w:pPr>
              <w:spacing w:line="360"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≤得分≤</w:t>
            </w:r>
            <w:r>
              <w:rPr>
                <w:rFonts w:hint="eastAsia" w:ascii="宋体" w:hAnsi="宋体" w:cs="宋体"/>
                <w:color w:val="auto"/>
                <w:szCs w:val="21"/>
                <w:highlight w:val="none"/>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jc w:val="left"/>
              <w:rPr>
                <w:rFonts w:hint="eastAsia" w:ascii="宋体" w:hAnsi="宋体" w:cs="宋体"/>
                <w:color w:val="auto"/>
                <w:szCs w:val="21"/>
                <w:highlight w:val="none"/>
                <w:lang w:val="zh-CN" w:bidi="zh-CN"/>
              </w:rPr>
            </w:pPr>
          </w:p>
        </w:tc>
        <w:tc>
          <w:tcPr>
            <w:tcW w:w="986" w:type="dxa"/>
            <w:vMerge w:val="continue"/>
            <w:noWrap w:val="0"/>
            <w:vAlign w:val="top"/>
          </w:tcPr>
          <w:p>
            <w:pPr>
              <w:spacing w:line="360" w:lineRule="auto"/>
              <w:jc w:val="left"/>
              <w:rPr>
                <w:rFonts w:hint="eastAsia" w:ascii="宋体" w:hAnsi="宋体" w:cs="宋体"/>
                <w:color w:val="auto"/>
                <w:szCs w:val="21"/>
                <w:highlight w:val="none"/>
                <w:lang w:val="zh-CN" w:bidi="zh-CN"/>
              </w:rPr>
            </w:pPr>
          </w:p>
        </w:tc>
        <w:tc>
          <w:tcPr>
            <w:tcW w:w="1688" w:type="dxa"/>
            <w:gridSpan w:val="2"/>
            <w:noWrap w:val="0"/>
            <w:vAlign w:val="center"/>
          </w:tcPr>
          <w:p>
            <w:pPr>
              <w:spacing w:line="360" w:lineRule="auto"/>
              <w:jc w:val="center"/>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企业信用（含纳税诚信）</w:t>
            </w:r>
          </w:p>
        </w:tc>
        <w:tc>
          <w:tcPr>
            <w:tcW w:w="4817" w:type="dxa"/>
            <w:gridSpan w:val="3"/>
            <w:noWrap w:val="0"/>
            <w:vAlign w:val="center"/>
          </w:tcPr>
          <w:p>
            <w:pPr>
              <w:spacing w:line="360" w:lineRule="auto"/>
              <w:jc w:val="left"/>
              <w:rPr>
                <w:rFonts w:ascii="宋体" w:hAnsi="宋体" w:cs="宋体"/>
                <w:color w:val="auto"/>
                <w:highlight w:val="none"/>
                <w:lang w:val="zh-CN"/>
              </w:rPr>
            </w:pPr>
            <w:r>
              <w:rPr>
                <w:rFonts w:hint="eastAsia" w:ascii="宋体" w:hAnsi="宋体" w:cs="宋体"/>
                <w:color w:val="auto"/>
                <w:highlight w:val="none"/>
              </w:rPr>
              <w:t>企业</w:t>
            </w:r>
            <w:r>
              <w:rPr>
                <w:rFonts w:hint="eastAsia" w:ascii="宋体" w:hAnsi="宋体" w:cs="宋体"/>
                <w:color w:val="auto"/>
                <w:highlight w:val="none"/>
                <w:lang w:val="zh-CN"/>
              </w:rPr>
              <w:t>2016年</w:t>
            </w: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lang w:val="zh-CN"/>
              </w:rPr>
              <w:t>月1</w:t>
            </w:r>
            <w:r>
              <w:rPr>
                <w:rFonts w:hint="eastAsia" w:ascii="宋体" w:hAnsi="宋体" w:cs="宋体"/>
                <w:color w:val="auto"/>
                <w:highlight w:val="none"/>
              </w:rPr>
              <w:t>日以来</w:t>
            </w:r>
            <w:r>
              <w:rPr>
                <w:rFonts w:hint="eastAsia" w:ascii="宋体" w:hAnsi="宋体" w:cs="宋体"/>
                <w:color w:val="auto"/>
                <w:highlight w:val="none"/>
                <w:lang w:val="zh-CN"/>
              </w:rPr>
              <w:t>获得</w:t>
            </w:r>
            <w:r>
              <w:rPr>
                <w:rFonts w:hint="eastAsia" w:ascii="宋体" w:hAnsi="宋体" w:cs="宋体"/>
                <w:color w:val="auto"/>
                <w:highlight w:val="none"/>
              </w:rPr>
              <w:t>市级及以上人民政府或住房和城乡建设主管部门的表彰的</w:t>
            </w:r>
            <w:r>
              <w:rPr>
                <w:rFonts w:hint="eastAsia" w:ascii="宋体" w:hAnsi="宋体" w:cs="宋体"/>
                <w:color w:val="auto"/>
                <w:highlight w:val="none"/>
                <w:lang w:val="zh-CN"/>
              </w:rPr>
              <w:t>得</w:t>
            </w:r>
            <w:r>
              <w:rPr>
                <w:rFonts w:hint="eastAsia" w:ascii="宋体" w:hAnsi="宋体" w:cs="宋体"/>
                <w:color w:val="auto"/>
                <w:highlight w:val="none"/>
              </w:rPr>
              <w:t>4</w:t>
            </w:r>
            <w:r>
              <w:rPr>
                <w:rFonts w:hint="eastAsia" w:ascii="宋体" w:hAnsi="宋体" w:cs="宋体"/>
                <w:color w:val="auto"/>
                <w:highlight w:val="none"/>
                <w:lang w:val="zh-CN"/>
              </w:rPr>
              <w:t>分。</w:t>
            </w:r>
          </w:p>
          <w:p>
            <w:pPr>
              <w:pStyle w:val="2"/>
              <w:ind w:left="0" w:leftChars="0" w:firstLine="0" w:firstLineChars="0"/>
              <w:rPr>
                <w:rFonts w:hint="eastAsia" w:ascii="宋体" w:hAnsi="宋体" w:eastAsia="宋体" w:cs="宋体"/>
                <w:color w:val="auto"/>
                <w:highlight w:val="none"/>
                <w:lang w:val="zh-CN"/>
              </w:rPr>
            </w:pPr>
            <w:r>
              <w:rPr>
                <w:rFonts w:hint="eastAsia" w:ascii="宋体" w:hAnsi="宋体" w:eastAsia="宋体" w:cs="宋体"/>
                <w:color w:val="auto"/>
                <w:kern w:val="2"/>
                <w:sz w:val="21"/>
                <w:szCs w:val="22"/>
                <w:highlight w:val="none"/>
                <w:lang w:val="en-US" w:eastAsia="zh-CN" w:bidi="ar-SA"/>
              </w:rPr>
              <w:t>注：</w:t>
            </w:r>
            <w:r>
              <w:rPr>
                <w:rFonts w:hint="eastAsia" w:ascii="宋体" w:hAnsi="宋体" w:eastAsia="宋体" w:cs="宋体"/>
                <w:color w:val="auto"/>
                <w:kern w:val="2"/>
                <w:sz w:val="21"/>
                <w:szCs w:val="22"/>
                <w:highlight w:val="none"/>
                <w:lang w:val="zh-CN" w:eastAsia="zh-CN" w:bidi="ar-SA"/>
              </w:rPr>
              <w:t>提供相关</w:t>
            </w:r>
            <w:r>
              <w:rPr>
                <w:rFonts w:hint="eastAsia" w:ascii="宋体" w:hAnsi="宋体" w:eastAsia="宋体" w:cs="宋体"/>
                <w:color w:val="auto"/>
                <w:kern w:val="2"/>
                <w:sz w:val="21"/>
                <w:szCs w:val="22"/>
                <w:highlight w:val="none"/>
                <w:lang w:val="en-US" w:eastAsia="zh-CN" w:bidi="ar-SA"/>
              </w:rPr>
              <w:t>证明材料</w:t>
            </w:r>
            <w:r>
              <w:rPr>
                <w:rFonts w:hint="eastAsia" w:ascii="宋体" w:hAnsi="宋体" w:eastAsia="宋体" w:cs="宋体"/>
                <w:color w:val="auto"/>
                <w:kern w:val="2"/>
                <w:sz w:val="21"/>
                <w:szCs w:val="22"/>
                <w:highlight w:val="none"/>
                <w:lang w:val="zh-CN" w:eastAsia="zh-CN" w:bidi="ar-SA"/>
              </w:rPr>
              <w:t>的原件扫描件</w:t>
            </w:r>
            <w:r>
              <w:rPr>
                <w:rFonts w:hint="eastAsia" w:ascii="宋体" w:hAnsi="宋体" w:eastAsia="宋体" w:cs="宋体"/>
                <w:color w:val="auto"/>
                <w:kern w:val="2"/>
                <w:sz w:val="21"/>
                <w:szCs w:val="22"/>
                <w:highlight w:val="none"/>
                <w:lang w:val="en-US" w:eastAsia="zh-CN" w:bidi="ar-SA"/>
              </w:rPr>
              <w:t>或图片</w:t>
            </w:r>
            <w:r>
              <w:rPr>
                <w:rFonts w:hint="eastAsia" w:ascii="宋体" w:hAnsi="宋体" w:eastAsia="宋体" w:cs="宋体"/>
                <w:color w:val="auto"/>
                <w:kern w:val="2"/>
                <w:sz w:val="21"/>
                <w:szCs w:val="22"/>
                <w:highlight w:val="none"/>
                <w:lang w:val="zh-CN" w:eastAsia="zh-CN" w:bidi="ar-SA"/>
              </w:rPr>
              <w:t>，时间以颁发时间为准。</w:t>
            </w:r>
          </w:p>
        </w:tc>
        <w:tc>
          <w:tcPr>
            <w:tcW w:w="1488" w:type="dxa"/>
            <w:gridSpan w:val="2"/>
            <w:noWrap w:val="0"/>
            <w:vAlign w:val="center"/>
          </w:tcPr>
          <w:p>
            <w:pPr>
              <w:spacing w:line="360" w:lineRule="auto"/>
              <w:jc w:val="left"/>
              <w:rPr>
                <w:rFonts w:hint="eastAsia" w:ascii="宋体" w:hAnsi="宋体" w:cs="宋体"/>
                <w:color w:val="auto"/>
                <w:szCs w:val="21"/>
                <w:highlight w:val="none"/>
                <w:lang w:val="en-US" w:eastAsia="zh-CN" w:bidi="zh-CN"/>
              </w:rPr>
            </w:pPr>
            <w:r>
              <w:rPr>
                <w:rFonts w:hint="eastAsia" w:ascii="宋体" w:hAnsi="宋体" w:cs="宋体"/>
                <w:color w:val="auto"/>
                <w:szCs w:val="21"/>
                <w:highlight w:val="none"/>
                <w:lang w:val="en-US" w:eastAsia="zh-CN" w:bidi="zh-CN"/>
              </w:rPr>
              <w:t>0</w:t>
            </w:r>
            <w:r>
              <w:rPr>
                <w:rFonts w:hint="eastAsia" w:ascii="宋体" w:hAnsi="宋体" w:cs="宋体"/>
                <w:color w:val="auto"/>
                <w:szCs w:val="21"/>
                <w:highlight w:val="none"/>
                <w:lang w:val="zh-CN" w:bidi="zh-CN"/>
              </w:rPr>
              <w:t>≤得分≤</w:t>
            </w:r>
            <w:r>
              <w:rPr>
                <w:rFonts w:hint="eastAsia" w:ascii="宋体" w:hAnsi="宋体" w:cs="宋体"/>
                <w:color w:val="auto"/>
                <w:szCs w:val="21"/>
                <w:highlight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jc w:val="left"/>
              <w:rPr>
                <w:rFonts w:hint="eastAsia" w:ascii="宋体" w:hAnsi="宋体" w:cs="宋体"/>
                <w:color w:val="auto"/>
                <w:szCs w:val="21"/>
                <w:highlight w:val="none"/>
                <w:lang w:val="zh-CN" w:bidi="zh-CN"/>
              </w:rPr>
            </w:pPr>
          </w:p>
        </w:tc>
        <w:tc>
          <w:tcPr>
            <w:tcW w:w="986" w:type="dxa"/>
            <w:vMerge w:val="continue"/>
            <w:noWrap w:val="0"/>
            <w:vAlign w:val="top"/>
          </w:tcPr>
          <w:p>
            <w:pPr>
              <w:spacing w:line="360" w:lineRule="auto"/>
              <w:jc w:val="left"/>
              <w:rPr>
                <w:rFonts w:hint="eastAsia" w:ascii="宋体" w:hAnsi="宋体" w:cs="宋体"/>
                <w:color w:val="auto"/>
                <w:szCs w:val="21"/>
                <w:highlight w:val="none"/>
                <w:lang w:val="zh-CN" w:bidi="zh-CN"/>
              </w:rPr>
            </w:pPr>
          </w:p>
        </w:tc>
        <w:tc>
          <w:tcPr>
            <w:tcW w:w="1688" w:type="dxa"/>
            <w:gridSpan w:val="2"/>
            <w:noWrap w:val="0"/>
            <w:vAlign w:val="center"/>
          </w:tcPr>
          <w:p>
            <w:pPr>
              <w:spacing w:line="360" w:lineRule="auto"/>
              <w:jc w:val="center"/>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项目经理信用</w:t>
            </w:r>
          </w:p>
        </w:tc>
        <w:tc>
          <w:tcPr>
            <w:tcW w:w="4817" w:type="dxa"/>
            <w:gridSpan w:val="3"/>
            <w:noWrap w:val="0"/>
            <w:vAlign w:val="center"/>
          </w:tcPr>
          <w:p>
            <w:pPr>
              <w:spacing w:line="360" w:lineRule="auto"/>
              <w:jc w:val="left"/>
              <w:rPr>
                <w:rFonts w:ascii="宋体" w:hAnsi="宋体" w:cs="宋体"/>
                <w:color w:val="auto"/>
                <w:highlight w:val="none"/>
                <w:lang w:val="zh-CN"/>
              </w:rPr>
            </w:pPr>
            <w:r>
              <w:rPr>
                <w:rFonts w:hint="eastAsia" w:ascii="宋体" w:hAnsi="宋体" w:cs="宋体"/>
                <w:color w:val="auto"/>
                <w:highlight w:val="none"/>
                <w:lang w:val="zh-CN"/>
              </w:rPr>
              <w:t>2016年</w:t>
            </w: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lang w:val="zh-CN"/>
              </w:rPr>
              <w:t>月1日</w:t>
            </w:r>
            <w:r>
              <w:rPr>
                <w:rFonts w:hint="eastAsia" w:ascii="宋体" w:hAnsi="宋体" w:cs="宋体"/>
                <w:color w:val="auto"/>
                <w:highlight w:val="none"/>
              </w:rPr>
              <w:t>以来</w:t>
            </w:r>
            <w:r>
              <w:rPr>
                <w:rFonts w:hint="eastAsia" w:ascii="宋体" w:hAnsi="宋体" w:cs="宋体"/>
                <w:color w:val="auto"/>
                <w:highlight w:val="none"/>
                <w:lang w:val="zh-CN"/>
              </w:rPr>
              <w:t>获得</w:t>
            </w:r>
            <w:r>
              <w:rPr>
                <w:rFonts w:hint="eastAsia" w:ascii="宋体" w:hAnsi="宋体" w:cs="宋体"/>
                <w:color w:val="auto"/>
                <w:highlight w:val="none"/>
              </w:rPr>
              <w:t>实用新型专利的</w:t>
            </w:r>
            <w:r>
              <w:rPr>
                <w:rFonts w:hint="eastAsia" w:ascii="宋体" w:hAnsi="宋体" w:cs="宋体"/>
                <w:color w:val="auto"/>
                <w:highlight w:val="none"/>
                <w:lang w:val="zh-CN"/>
              </w:rPr>
              <w:t>得2分。协会颁发信用不予认定。</w:t>
            </w:r>
          </w:p>
          <w:p>
            <w:pPr>
              <w:pStyle w:val="2"/>
              <w:ind w:left="0" w:leftChars="0" w:firstLine="0" w:firstLineChars="0"/>
              <w:rPr>
                <w:rFonts w:hint="eastAsia" w:ascii="宋体" w:hAnsi="宋体" w:eastAsia="宋体" w:cs="宋体"/>
                <w:color w:val="auto"/>
                <w:highlight w:val="none"/>
                <w:lang w:val="zh-CN"/>
              </w:rPr>
            </w:pPr>
            <w:r>
              <w:rPr>
                <w:rFonts w:hint="eastAsia" w:ascii="宋体" w:hAnsi="宋体" w:eastAsia="宋体" w:cs="宋体"/>
                <w:color w:val="auto"/>
                <w:kern w:val="2"/>
                <w:sz w:val="21"/>
                <w:szCs w:val="22"/>
                <w:highlight w:val="none"/>
                <w:lang w:val="zh-CN" w:eastAsia="zh-CN" w:bidi="ar-SA"/>
              </w:rPr>
              <w:t>注：提供相关证件的原件扫描件或图片，时间以颁发时间为准。</w:t>
            </w:r>
          </w:p>
        </w:tc>
        <w:tc>
          <w:tcPr>
            <w:tcW w:w="1488" w:type="dxa"/>
            <w:gridSpan w:val="2"/>
            <w:noWrap w:val="0"/>
            <w:vAlign w:val="center"/>
          </w:tcPr>
          <w:p>
            <w:pPr>
              <w:spacing w:line="360" w:lineRule="auto"/>
              <w:jc w:val="left"/>
              <w:rPr>
                <w:rFonts w:hint="default" w:ascii="宋体" w:hAnsi="宋体" w:cs="宋体"/>
                <w:color w:val="auto"/>
                <w:szCs w:val="21"/>
                <w:highlight w:val="none"/>
                <w:lang w:val="en-US" w:bidi="zh-CN"/>
              </w:rPr>
            </w:pPr>
            <w:r>
              <w:rPr>
                <w:rFonts w:hint="eastAsia" w:ascii="宋体" w:hAnsi="宋体" w:cs="宋体"/>
                <w:color w:val="auto"/>
                <w:szCs w:val="21"/>
                <w:highlight w:val="none"/>
                <w:lang w:val="zh-CN" w:bidi="zh-CN"/>
              </w:rPr>
              <w:t>0≤得分≤</w:t>
            </w:r>
            <w:r>
              <w:rPr>
                <w:rFonts w:hint="eastAsia" w:ascii="宋体" w:hAnsi="宋体" w:cs="宋体"/>
                <w:color w:val="auto"/>
                <w:szCs w:val="21"/>
                <w:highlight w:val="none"/>
                <w:lang w:val="en-US"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jc w:val="left"/>
              <w:rPr>
                <w:rFonts w:hint="eastAsia" w:ascii="宋体" w:hAnsi="宋体" w:cs="宋体"/>
                <w:color w:val="auto"/>
                <w:szCs w:val="21"/>
                <w:highlight w:val="none"/>
                <w:lang w:val="zh-CN" w:bidi="zh-CN"/>
              </w:rPr>
            </w:pPr>
          </w:p>
        </w:tc>
        <w:tc>
          <w:tcPr>
            <w:tcW w:w="986" w:type="dxa"/>
            <w:vMerge w:val="continue"/>
            <w:noWrap w:val="0"/>
            <w:vAlign w:val="top"/>
          </w:tcPr>
          <w:p>
            <w:pPr>
              <w:spacing w:line="360" w:lineRule="auto"/>
              <w:jc w:val="left"/>
              <w:rPr>
                <w:rFonts w:hint="eastAsia" w:ascii="宋体" w:hAnsi="宋体" w:cs="宋体"/>
                <w:color w:val="auto"/>
                <w:szCs w:val="21"/>
                <w:highlight w:val="none"/>
                <w:lang w:val="zh-CN" w:bidi="zh-CN"/>
              </w:rPr>
            </w:pPr>
          </w:p>
        </w:tc>
        <w:tc>
          <w:tcPr>
            <w:tcW w:w="1688" w:type="dxa"/>
            <w:gridSpan w:val="2"/>
            <w:noWrap w:val="0"/>
            <w:vAlign w:val="center"/>
          </w:tcPr>
          <w:p>
            <w:pPr>
              <w:spacing w:line="360" w:lineRule="auto"/>
              <w:jc w:val="center"/>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招标人意见</w:t>
            </w:r>
          </w:p>
        </w:tc>
        <w:tc>
          <w:tcPr>
            <w:tcW w:w="4817" w:type="dxa"/>
            <w:gridSpan w:val="3"/>
            <w:noWrap w:val="0"/>
            <w:vAlign w:val="center"/>
          </w:tcPr>
          <w:p>
            <w:pPr>
              <w:spacing w:line="360" w:lineRule="auto"/>
              <w:jc w:val="both"/>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由招标人酌情打分。</w:t>
            </w:r>
          </w:p>
        </w:tc>
        <w:tc>
          <w:tcPr>
            <w:tcW w:w="1488" w:type="dxa"/>
            <w:gridSpan w:val="2"/>
            <w:noWrap w:val="0"/>
            <w:vAlign w:val="center"/>
          </w:tcPr>
          <w:p>
            <w:pPr>
              <w:spacing w:line="360" w:lineRule="auto"/>
              <w:jc w:val="left"/>
              <w:rPr>
                <w:rFonts w:hint="eastAsia" w:ascii="宋体" w:hAnsi="宋体" w:cs="宋体"/>
                <w:color w:val="auto"/>
                <w:szCs w:val="21"/>
                <w:highlight w:val="none"/>
                <w:lang w:val="en-US" w:bidi="zh-CN"/>
              </w:rPr>
            </w:pPr>
            <w:r>
              <w:rPr>
                <w:rFonts w:hint="eastAsia" w:ascii="宋体" w:hAnsi="宋体" w:cs="宋体"/>
                <w:color w:val="auto"/>
                <w:szCs w:val="21"/>
                <w:highlight w:val="none"/>
                <w:lang w:val="zh-CN" w:bidi="zh-CN"/>
              </w:rPr>
              <w:t>0≤得分≤</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分</w:t>
            </w:r>
          </w:p>
        </w:tc>
      </w:tr>
    </w:tbl>
    <w:p>
      <w:pPr>
        <w:adjustRightInd w:val="0"/>
        <w:snapToGrid w:val="0"/>
        <w:spacing w:line="400" w:lineRule="exact"/>
        <w:ind w:firstLine="480" w:firstLineChars="200"/>
        <w:rPr>
          <w:rFonts w:hint="eastAsia" w:hAnsi="宋体" w:cs="宋体"/>
          <w:color w:val="auto"/>
          <w:sz w:val="24"/>
          <w:szCs w:val="24"/>
          <w:highlight w:val="none"/>
        </w:rPr>
      </w:pPr>
      <w:r>
        <w:rPr>
          <w:rFonts w:hint="eastAsia" w:hAnsi="宋体" w:cs="宋体"/>
          <w:b/>
          <w:bCs/>
          <w:color w:val="auto"/>
          <w:sz w:val="24"/>
          <w:szCs w:val="24"/>
          <w:highlight w:val="none"/>
        </w:rPr>
        <w:t>（</w:t>
      </w:r>
      <w:r>
        <w:rPr>
          <w:rFonts w:hint="eastAsia" w:hAnsi="宋体" w:cs="宋体"/>
          <w:b/>
          <w:bCs/>
          <w:color w:val="auto"/>
          <w:sz w:val="24"/>
          <w:szCs w:val="24"/>
          <w:highlight w:val="none"/>
          <w:lang w:eastAsia="zh-CN"/>
        </w:rPr>
        <w:t>一</w:t>
      </w:r>
      <w:r>
        <w:rPr>
          <w:rFonts w:hint="eastAsia" w:hAnsi="宋体" w:cs="宋体"/>
          <w:b/>
          <w:bCs/>
          <w:color w:val="auto"/>
          <w:sz w:val="24"/>
          <w:szCs w:val="24"/>
          <w:highlight w:val="none"/>
        </w:rPr>
        <w:t>）投标人综合得分</w:t>
      </w:r>
    </w:p>
    <w:p>
      <w:pPr>
        <w:adjustRightInd w:val="0"/>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投标人综合得分＝技术标得分＋商务标得分＋综合（信用）标得分</w:t>
      </w:r>
    </w:p>
    <w:p>
      <w:pPr>
        <w:adjustRightInd w:val="0"/>
        <w:snapToGrid w:val="0"/>
        <w:spacing w:line="400" w:lineRule="exact"/>
        <w:ind w:firstLine="480" w:firstLineChars="200"/>
        <w:rPr>
          <w:rFonts w:hint="eastAsia" w:hAnsi="宋体" w:cs="宋体"/>
          <w:color w:val="auto"/>
          <w:sz w:val="24"/>
          <w:szCs w:val="24"/>
          <w:highlight w:val="none"/>
        </w:rPr>
      </w:pPr>
      <w:r>
        <w:rPr>
          <w:rFonts w:hint="eastAsia" w:hAnsi="宋体" w:cs="宋体"/>
          <w:b/>
          <w:bCs/>
          <w:color w:val="auto"/>
          <w:sz w:val="24"/>
          <w:szCs w:val="24"/>
          <w:highlight w:val="none"/>
        </w:rPr>
        <w:t>（</w:t>
      </w:r>
      <w:r>
        <w:rPr>
          <w:rFonts w:hint="eastAsia" w:hAnsi="宋体" w:cs="宋体"/>
          <w:b/>
          <w:bCs/>
          <w:color w:val="auto"/>
          <w:sz w:val="24"/>
          <w:szCs w:val="24"/>
          <w:highlight w:val="none"/>
          <w:lang w:eastAsia="zh-CN"/>
        </w:rPr>
        <w:t>二</w:t>
      </w:r>
      <w:r>
        <w:rPr>
          <w:rFonts w:hint="eastAsia" w:hAnsi="宋体" w:cs="宋体"/>
          <w:b/>
          <w:bCs/>
          <w:color w:val="auto"/>
          <w:sz w:val="24"/>
          <w:szCs w:val="24"/>
          <w:highlight w:val="none"/>
        </w:rPr>
        <w:t>）投标人的最终得分及中标候选人排序</w:t>
      </w:r>
      <w:r>
        <w:rPr>
          <w:rFonts w:hint="eastAsia" w:hAnsi="宋体" w:cs="宋体"/>
          <w:color w:val="auto"/>
          <w:sz w:val="24"/>
          <w:szCs w:val="24"/>
          <w:highlight w:val="none"/>
        </w:rPr>
        <w:t xml:space="preserve"> </w:t>
      </w:r>
    </w:p>
    <w:p>
      <w:pPr>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评标委员会按照投标人的</w:t>
      </w:r>
      <w:r>
        <w:rPr>
          <w:rFonts w:hint="eastAsia" w:hAnsi="宋体" w:cs="宋体"/>
          <w:color w:val="auto"/>
          <w:sz w:val="24"/>
          <w:szCs w:val="24"/>
          <w:highlight w:val="none"/>
          <w:lang w:val="en-US" w:eastAsia="zh-CN"/>
        </w:rPr>
        <w:t>最终</w:t>
      </w:r>
      <w:r>
        <w:rPr>
          <w:rFonts w:hint="eastAsia" w:hAnsi="宋体" w:cs="宋体"/>
          <w:color w:val="auto"/>
          <w:sz w:val="24"/>
          <w:szCs w:val="24"/>
          <w:highlight w:val="none"/>
        </w:rPr>
        <w:t xml:space="preserve">得分，由高到低排序，向招标人推荐1-3名中标候选人。当得分相等时，依次以商务标、综合（信用）标、技术标得分高低进行排序；若三项得分均相等时，可以通过公开随机抽取方式确定中标候选人的排序。计算分值均四舍五入保留两位小数。 </w:t>
      </w:r>
    </w:p>
    <w:p>
      <w:pPr>
        <w:adjustRightInd w:val="0"/>
        <w:snapToGrid w:val="0"/>
        <w:spacing w:line="400" w:lineRule="exact"/>
        <w:ind w:firstLine="480" w:firstLineChars="200"/>
        <w:rPr>
          <w:rFonts w:hint="eastAsia" w:hAnsi="宋体" w:cs="宋体"/>
          <w:b/>
          <w:bCs/>
          <w:color w:val="auto"/>
          <w:sz w:val="24"/>
          <w:szCs w:val="24"/>
          <w:highlight w:val="none"/>
          <w:lang w:bidi="ar"/>
        </w:rPr>
      </w:pPr>
      <w:r>
        <w:rPr>
          <w:rFonts w:hint="eastAsia" w:hAnsi="宋体" w:cs="宋体"/>
          <w:b/>
          <w:color w:val="auto"/>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color w:val="auto"/>
          <w:sz w:val="24"/>
          <w:highlight w:val="none"/>
        </w:rPr>
      </w:pPr>
      <w:r>
        <w:rPr>
          <w:rFonts w:hint="eastAsia" w:hAnsi="宋体" w:cs="宋体"/>
          <w:b/>
          <w:color w:val="auto"/>
          <w:sz w:val="24"/>
          <w:highlight w:val="none"/>
        </w:rPr>
        <w:t>八、定标</w:t>
      </w:r>
    </w:p>
    <w:p>
      <w:pPr>
        <w:adjustRightInd w:val="0"/>
        <w:snapToGrid w:val="0"/>
        <w:spacing w:line="440" w:lineRule="exact"/>
        <w:ind w:firstLine="480" w:firstLineChars="200"/>
        <w:rPr>
          <w:rFonts w:hint="eastAsia" w:hAnsi="宋体" w:cs="宋体"/>
          <w:color w:val="auto"/>
          <w:sz w:val="24"/>
          <w:highlight w:val="none"/>
        </w:rPr>
      </w:pPr>
      <w:r>
        <w:rPr>
          <w:rFonts w:hint="eastAsia" w:ascii="新宋体" w:hAnsi="新宋体" w:eastAsia="新宋体"/>
          <w:color w:val="auto"/>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highlight w:val="none"/>
        </w:rPr>
        <w:t>。</w:t>
      </w:r>
    </w:p>
    <w:p>
      <w:pPr>
        <w:pStyle w:val="17"/>
        <w:keepNext w:val="0"/>
        <w:keepLines w:val="0"/>
        <w:adjustRightInd w:val="0"/>
        <w:snapToGrid w:val="0"/>
        <w:spacing w:line="440" w:lineRule="exact"/>
        <w:ind w:firstLine="480" w:firstLineChars="200"/>
        <w:outlineLvl w:val="9"/>
        <w:rPr>
          <w:rFonts w:hint="eastAsia" w:hAnsi="宋体" w:eastAsia="宋体"/>
          <w:b/>
          <w:color w:val="auto"/>
          <w:szCs w:val="24"/>
          <w:highlight w:val="none"/>
        </w:rPr>
      </w:pPr>
      <w:r>
        <w:rPr>
          <w:rFonts w:hint="eastAsia" w:hAnsi="宋体" w:eastAsia="宋体"/>
          <w:b/>
          <w:color w:val="auto"/>
          <w:highlight w:val="none"/>
        </w:rPr>
        <w:t>九、</w:t>
      </w:r>
      <w:r>
        <w:rPr>
          <w:rFonts w:hint="eastAsia" w:hAnsi="宋体" w:eastAsia="宋体"/>
          <w:b/>
          <w:color w:val="auto"/>
          <w:szCs w:val="24"/>
          <w:highlight w:val="none"/>
        </w:rPr>
        <w:t>评标报告</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0" w:firstLineChars="200"/>
        <w:outlineLvl w:val="9"/>
        <w:rPr>
          <w:rFonts w:hint="eastAsia" w:hAnsi="宋体" w:eastAsia="宋体"/>
          <w:b/>
          <w:color w:val="auto"/>
          <w:szCs w:val="24"/>
          <w:highlight w:val="none"/>
        </w:rPr>
      </w:pPr>
      <w:r>
        <w:rPr>
          <w:rFonts w:hint="eastAsia" w:hAnsi="宋体" w:eastAsia="宋体"/>
          <w:b/>
          <w:color w:val="auto"/>
          <w:highlight w:val="none"/>
        </w:rPr>
        <w:t>十、</w:t>
      </w:r>
      <w:r>
        <w:rPr>
          <w:rFonts w:hint="eastAsia" w:hAnsi="宋体" w:eastAsia="宋体"/>
          <w:b/>
          <w:color w:val="auto"/>
          <w:szCs w:val="24"/>
          <w:highlight w:val="none"/>
        </w:rPr>
        <w:t>公示</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中标人确定后，招标人应当在</w:t>
      </w:r>
      <w:r>
        <w:rPr>
          <w:rFonts w:hint="eastAsia" w:hAnsi="宋体" w:cs="宋体"/>
          <w:color w:val="auto"/>
          <w:sz w:val="24"/>
          <w:szCs w:val="24"/>
          <w:highlight w:val="none"/>
        </w:rPr>
        <w:t>《全国公共资源交易平台（河南省·许昌市）》</w:t>
      </w:r>
      <w:r>
        <w:rPr>
          <w:rFonts w:hint="eastAsia" w:hAnsi="宋体" w:cs="宋体"/>
          <w:color w:val="auto"/>
          <w:sz w:val="24"/>
          <w:highlight w:val="none"/>
        </w:rPr>
        <w:t>、</w:t>
      </w:r>
      <w:r>
        <w:rPr>
          <w:rFonts w:hint="eastAsia" w:hAnsi="宋体" w:cs="宋体"/>
          <w:color w:val="auto"/>
          <w:sz w:val="24"/>
          <w:szCs w:val="24"/>
          <w:highlight w:val="none"/>
        </w:rPr>
        <w:t>《河南省电子招标投标公共服务平台》</w:t>
      </w:r>
      <w:r>
        <w:rPr>
          <w:rFonts w:hint="eastAsia" w:hAnsi="宋体" w:cs="宋体"/>
          <w:color w:val="auto"/>
          <w:sz w:val="24"/>
          <w:highlight w:val="none"/>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int="eastAsia" w:hAnsi="宋体" w:cs="宋体"/>
          <w:b/>
          <w:color w:val="auto"/>
          <w:sz w:val="24"/>
          <w:highlight w:val="none"/>
        </w:rPr>
      </w:pPr>
      <w:r>
        <w:rPr>
          <w:rFonts w:hint="eastAsia" w:hAnsi="宋体" w:cs="宋体"/>
          <w:b/>
          <w:color w:val="auto"/>
          <w:sz w:val="24"/>
          <w:highlight w:val="none"/>
        </w:rPr>
        <w:t>十一、特殊情况的处置程序</w:t>
      </w:r>
    </w:p>
    <w:p>
      <w:pPr>
        <w:adjustRightInd w:val="0"/>
        <w:snapToGrid w:val="0"/>
        <w:spacing w:line="440" w:lineRule="exact"/>
        <w:ind w:firstLine="480" w:firstLineChars="200"/>
        <w:rPr>
          <w:rFonts w:hint="eastAsia" w:hAnsi="宋体" w:cs="宋体"/>
          <w:b/>
          <w:color w:val="auto"/>
          <w:sz w:val="24"/>
          <w:highlight w:val="none"/>
        </w:rPr>
      </w:pPr>
      <w:r>
        <w:rPr>
          <w:rFonts w:hint="eastAsia" w:hAnsi="宋体" w:cs="宋体"/>
          <w:b/>
          <w:color w:val="auto"/>
          <w:sz w:val="24"/>
          <w:highlight w:val="none"/>
        </w:rPr>
        <w:t>11.1关于澄清、说明或补正</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int="eastAsia" w:hAnsi="宋体" w:cs="宋体"/>
          <w:b/>
          <w:color w:val="auto"/>
          <w:sz w:val="24"/>
          <w:highlight w:val="none"/>
        </w:rPr>
      </w:pPr>
      <w:r>
        <w:rPr>
          <w:rFonts w:hint="eastAsia" w:hAnsi="宋体" w:cs="宋体"/>
          <w:b/>
          <w:color w:val="auto"/>
          <w:sz w:val="24"/>
          <w:highlight w:val="none"/>
        </w:rPr>
        <w:t>11.2关于评标活动暂停</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int="eastAsia" w:hAnsi="宋体" w:cs="宋体"/>
          <w:b/>
          <w:color w:val="auto"/>
          <w:sz w:val="24"/>
          <w:highlight w:val="none"/>
        </w:rPr>
      </w:pPr>
      <w:r>
        <w:rPr>
          <w:rFonts w:hint="eastAsia" w:hAnsi="宋体" w:cs="宋体"/>
          <w:b/>
          <w:color w:val="auto"/>
          <w:sz w:val="24"/>
          <w:highlight w:val="none"/>
        </w:rPr>
        <w:t>11.3关于评标中途更换评标委员会成员</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11.3.1除非发生下列情况之一，评标委员会成员不得在评标中途更换：</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（1）因不可抗拒的客观原因，不能到场或需在评标中途退出评标活动。</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（2）根据法律法规规定，某个或某几个评标委员会成员需要回避。</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int="eastAsia" w:hAnsi="宋体" w:cs="宋体"/>
          <w:b/>
          <w:color w:val="auto"/>
          <w:sz w:val="24"/>
          <w:highlight w:val="none"/>
        </w:rPr>
      </w:pPr>
      <w:r>
        <w:rPr>
          <w:rFonts w:hint="eastAsia" w:hAnsi="宋体" w:cs="宋体"/>
          <w:b/>
          <w:color w:val="auto"/>
          <w:sz w:val="24"/>
          <w:highlight w:val="none"/>
        </w:rPr>
        <w:t>11.4记名投票</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color w:val="auto"/>
          <w:sz w:val="24"/>
          <w:highlight w:val="none"/>
        </w:rPr>
      </w:pPr>
      <w:r>
        <w:rPr>
          <w:rFonts w:hint="eastAsia" w:hAnsi="宋体" w:cs="宋体"/>
          <w:b/>
          <w:color w:val="auto"/>
          <w:sz w:val="24"/>
          <w:highlight w:val="none"/>
        </w:rPr>
        <w:t>11.5评标委员会对评标结果有异议的</w:t>
      </w:r>
    </w:p>
    <w:p>
      <w:pPr>
        <w:adjustRightInd w:val="0"/>
        <w:snapToGrid w:val="0"/>
        <w:spacing w:line="440" w:lineRule="exact"/>
        <w:ind w:firstLine="468" w:firstLineChars="200"/>
        <w:rPr>
          <w:rFonts w:hint="eastAsia" w:hAnsi="宋体" w:cs="宋体"/>
          <w:color w:val="auto"/>
          <w:spacing w:val="-3"/>
          <w:sz w:val="24"/>
          <w:highlight w:val="none"/>
        </w:rPr>
      </w:pPr>
      <w:r>
        <w:rPr>
          <w:rFonts w:hint="eastAsia" w:hAnsi="宋体" w:cs="宋体"/>
          <w:color w:val="auto"/>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6"/>
        <w:rPr>
          <w:rFonts w:cs="黑体"/>
          <w:b w:val="0"/>
          <w:color w:val="auto"/>
          <w:sz w:val="36"/>
          <w:szCs w:val="36"/>
          <w:highlight w:val="none"/>
        </w:rPr>
      </w:pPr>
      <w:r>
        <w:rPr>
          <w:rFonts w:hint="eastAsia"/>
          <w:color w:val="auto"/>
          <w:spacing w:val="-3"/>
          <w:sz w:val="24"/>
          <w:highlight w:val="none"/>
        </w:rPr>
        <w:br w:type="page"/>
      </w:r>
      <w:bookmarkStart w:id="96" w:name="_Toc11681"/>
      <w:bookmarkStart w:id="97" w:name="_Toc9153"/>
      <w:r>
        <w:rPr>
          <w:rFonts w:hint="eastAsia"/>
          <w:color w:val="auto"/>
          <w:highlight w:val="none"/>
        </w:rPr>
        <w:t>第四章 合同条款及格式</w:t>
      </w:r>
      <w:bookmarkEnd w:id="16"/>
      <w:bookmarkEnd w:id="96"/>
      <w:bookmarkEnd w:id="97"/>
    </w:p>
    <w:p>
      <w:pPr>
        <w:ind w:firstLine="880" w:firstLineChars="200"/>
        <w:jc w:val="center"/>
        <w:rPr>
          <w:rFonts w:ascii="黑体" w:hAnsi="黑体" w:eastAsia="黑体"/>
          <w:color w:val="auto"/>
          <w:sz w:val="44"/>
          <w:highlight w:val="none"/>
        </w:rPr>
      </w:pPr>
      <w:bookmarkStart w:id="98" w:name="_Toc278443518"/>
      <w:r>
        <w:rPr>
          <w:rFonts w:ascii="黑体" w:hAnsi="黑体" w:eastAsia="黑体"/>
          <w:color w:val="auto"/>
          <w:sz w:val="44"/>
          <w:highlight w:val="none"/>
        </w:rPr>
        <w:t>（GF—2017—0201）</w:t>
      </w:r>
    </w:p>
    <w:p>
      <w:pPr>
        <w:tabs>
          <w:tab w:val="left" w:pos="5000"/>
        </w:tabs>
        <w:spacing w:line="360" w:lineRule="auto"/>
        <w:ind w:firstLine="640" w:firstLineChars="200"/>
        <w:rPr>
          <w:rFonts w:hAnsi="宋体" w:cs="宋体"/>
          <w:b/>
          <w:color w:val="auto"/>
          <w:sz w:val="32"/>
          <w:szCs w:val="32"/>
          <w:highlight w:val="none"/>
        </w:rPr>
      </w:pPr>
      <w:bookmarkStart w:id="99" w:name="_Toc278443514"/>
      <w:r>
        <w:rPr>
          <w:rFonts w:hint="eastAsia" w:hAnsi="宋体" w:cs="宋体"/>
          <w:b/>
          <w:color w:val="auto"/>
          <w:sz w:val="32"/>
          <w:szCs w:val="32"/>
          <w:highlight w:val="none"/>
        </w:rPr>
        <w:t>采用由中华人民共和国住房和城乡建设部与国家工商行政管理局联合制定的《建设工程施工合同》(GF2017-0201)签订合</w:t>
      </w:r>
      <w:bookmarkEnd w:id="99"/>
      <w:r>
        <w:rPr>
          <w:rFonts w:hint="eastAsia" w:hAnsi="宋体" w:cs="宋体"/>
          <w:b/>
          <w:color w:val="auto"/>
          <w:sz w:val="32"/>
          <w:szCs w:val="32"/>
          <w:highlight w:val="none"/>
        </w:rPr>
        <w:t>同。</w:t>
      </w:r>
    </w:p>
    <w:p>
      <w:pPr>
        <w:spacing w:line="480" w:lineRule="auto"/>
        <w:jc w:val="center"/>
        <w:rPr>
          <w:rFonts w:ascii="黑体" w:hAnsi="黑体" w:eastAsia="黑体"/>
          <w:b/>
          <w:color w:val="auto"/>
          <w:sz w:val="28"/>
          <w:highlight w:val="none"/>
        </w:rPr>
      </w:pPr>
    </w:p>
    <w:p>
      <w:pPr>
        <w:spacing w:line="480" w:lineRule="auto"/>
        <w:jc w:val="center"/>
        <w:rPr>
          <w:rFonts w:ascii="黑体" w:hAnsi="黑体" w:eastAsia="黑体"/>
          <w:b/>
          <w:color w:val="auto"/>
          <w:sz w:val="28"/>
          <w:highlight w:val="none"/>
        </w:rPr>
      </w:pPr>
    </w:p>
    <w:p>
      <w:pPr>
        <w:spacing w:line="480" w:lineRule="auto"/>
        <w:jc w:val="center"/>
        <w:rPr>
          <w:rFonts w:ascii="黑体" w:hAnsi="黑体" w:eastAsia="黑体"/>
          <w:b/>
          <w:color w:val="auto"/>
          <w:sz w:val="28"/>
          <w:highlight w:val="none"/>
        </w:rPr>
      </w:pPr>
    </w:p>
    <w:p>
      <w:pPr>
        <w:spacing w:line="480" w:lineRule="auto"/>
        <w:jc w:val="center"/>
        <w:rPr>
          <w:rFonts w:ascii="黑体" w:hAnsi="黑体" w:eastAsia="黑体"/>
          <w:b/>
          <w:color w:val="auto"/>
          <w:sz w:val="28"/>
          <w:highlight w:val="none"/>
        </w:rPr>
      </w:pPr>
    </w:p>
    <w:p>
      <w:pPr>
        <w:spacing w:line="480" w:lineRule="auto"/>
        <w:jc w:val="center"/>
        <w:rPr>
          <w:rFonts w:ascii="黑体" w:hAnsi="黑体" w:eastAsia="黑体"/>
          <w:b/>
          <w:color w:val="auto"/>
          <w:sz w:val="28"/>
          <w:highlight w:val="none"/>
        </w:rPr>
      </w:pPr>
    </w:p>
    <w:p>
      <w:pPr>
        <w:spacing w:line="480" w:lineRule="auto"/>
        <w:jc w:val="center"/>
        <w:rPr>
          <w:rFonts w:ascii="黑体" w:hAnsi="黑体" w:eastAsia="黑体"/>
          <w:b/>
          <w:color w:val="auto"/>
          <w:sz w:val="28"/>
          <w:highlight w:val="none"/>
        </w:rPr>
      </w:pPr>
    </w:p>
    <w:p>
      <w:pPr>
        <w:spacing w:line="480" w:lineRule="auto"/>
        <w:jc w:val="center"/>
        <w:rPr>
          <w:rFonts w:ascii="黑体" w:hAnsi="黑体" w:eastAsia="黑体"/>
          <w:b/>
          <w:color w:val="auto"/>
          <w:sz w:val="28"/>
          <w:highlight w:val="none"/>
        </w:rPr>
      </w:pPr>
    </w:p>
    <w:p>
      <w:pPr>
        <w:spacing w:line="480" w:lineRule="auto"/>
        <w:jc w:val="center"/>
        <w:rPr>
          <w:rFonts w:ascii="黑体" w:hAnsi="黑体" w:eastAsia="黑体"/>
          <w:b/>
          <w:color w:val="auto"/>
          <w:sz w:val="28"/>
          <w:highlight w:val="none"/>
        </w:rPr>
      </w:pPr>
    </w:p>
    <w:p>
      <w:pPr>
        <w:spacing w:line="480" w:lineRule="auto"/>
        <w:jc w:val="center"/>
        <w:rPr>
          <w:rFonts w:ascii="黑体" w:hAnsi="黑体" w:eastAsia="黑体"/>
          <w:b/>
          <w:color w:val="auto"/>
          <w:sz w:val="28"/>
          <w:highlight w:val="none"/>
        </w:rPr>
      </w:pPr>
    </w:p>
    <w:p>
      <w:pPr>
        <w:spacing w:line="480" w:lineRule="auto"/>
        <w:jc w:val="center"/>
        <w:rPr>
          <w:rFonts w:ascii="黑体" w:hAnsi="黑体" w:eastAsia="黑体"/>
          <w:b/>
          <w:color w:val="auto"/>
          <w:sz w:val="28"/>
          <w:highlight w:val="none"/>
        </w:rPr>
      </w:pPr>
    </w:p>
    <w:p>
      <w:pPr>
        <w:rPr>
          <w:rFonts w:hAnsi="宋体" w:cs="黑体"/>
          <w:b/>
          <w:color w:val="auto"/>
          <w:sz w:val="36"/>
          <w:szCs w:val="36"/>
          <w:highlight w:val="none"/>
        </w:rPr>
      </w:pPr>
    </w:p>
    <w:p>
      <w:pPr>
        <w:rPr>
          <w:rFonts w:hAnsi="宋体" w:cs="黑体"/>
          <w:b/>
          <w:color w:val="auto"/>
          <w:sz w:val="36"/>
          <w:szCs w:val="36"/>
          <w:highlight w:val="none"/>
        </w:rPr>
      </w:pPr>
    </w:p>
    <w:p>
      <w:pPr>
        <w:rPr>
          <w:rFonts w:hAnsi="宋体" w:cs="黑体"/>
          <w:b/>
          <w:color w:val="auto"/>
          <w:sz w:val="36"/>
          <w:szCs w:val="36"/>
          <w:highlight w:val="none"/>
        </w:rPr>
      </w:pPr>
    </w:p>
    <w:p>
      <w:pPr>
        <w:rPr>
          <w:rFonts w:hAnsi="宋体" w:cs="黑体"/>
          <w:b/>
          <w:color w:val="auto"/>
          <w:sz w:val="36"/>
          <w:szCs w:val="36"/>
          <w:highlight w:val="none"/>
        </w:rPr>
      </w:pPr>
    </w:p>
    <w:p>
      <w:pPr>
        <w:rPr>
          <w:rFonts w:hAnsi="宋体" w:cs="黑体"/>
          <w:b/>
          <w:color w:val="auto"/>
          <w:sz w:val="36"/>
          <w:szCs w:val="36"/>
          <w:highlight w:val="none"/>
        </w:rPr>
      </w:pPr>
    </w:p>
    <w:p>
      <w:pPr>
        <w:rPr>
          <w:rFonts w:hAnsi="宋体" w:cs="黑体"/>
          <w:b/>
          <w:color w:val="auto"/>
          <w:sz w:val="36"/>
          <w:szCs w:val="36"/>
          <w:highlight w:val="none"/>
        </w:rPr>
      </w:pPr>
    </w:p>
    <w:p>
      <w:pPr>
        <w:pStyle w:val="6"/>
        <w:rPr>
          <w:rFonts w:cs="黑体"/>
          <w:b w:val="0"/>
          <w:color w:val="auto"/>
          <w:sz w:val="36"/>
          <w:szCs w:val="36"/>
          <w:highlight w:val="none"/>
        </w:rPr>
      </w:pPr>
      <w:r>
        <w:rPr>
          <w:rFonts w:cs="黑体"/>
          <w:b w:val="0"/>
          <w:color w:val="auto"/>
          <w:sz w:val="36"/>
          <w:szCs w:val="36"/>
          <w:highlight w:val="none"/>
        </w:rPr>
        <w:br w:type="page"/>
      </w:r>
      <w:bookmarkStart w:id="100" w:name="_Toc15573"/>
      <w:r>
        <w:rPr>
          <w:rFonts w:hint="eastAsia"/>
          <w:color w:val="auto"/>
          <w:highlight w:val="none"/>
        </w:rPr>
        <w:t>第五章 工程量清单</w:t>
      </w:r>
      <w:bookmarkEnd w:id="100"/>
    </w:p>
    <w:p>
      <w:pPr>
        <w:spacing w:line="360" w:lineRule="auto"/>
        <w:ind w:firstLine="480" w:firstLineChars="200"/>
        <w:rPr>
          <w:rFonts w:ascii="新宋体" w:hAnsi="新宋体" w:eastAsia="新宋体"/>
          <w:b/>
          <w:color w:val="auto"/>
          <w:sz w:val="24"/>
          <w:highlight w:val="none"/>
        </w:rPr>
      </w:pPr>
      <w:r>
        <w:rPr>
          <w:rFonts w:hint="eastAsia" w:ascii="新宋体" w:hAnsi="新宋体" w:eastAsia="新宋体"/>
          <w:b/>
          <w:color w:val="auto"/>
          <w:sz w:val="24"/>
          <w:highlight w:val="none"/>
        </w:rPr>
        <w:t>1、工程量清单说明</w:t>
      </w:r>
    </w:p>
    <w:p>
      <w:pPr>
        <w:spacing w:line="360" w:lineRule="auto"/>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1.2 本工程量清单应与招标文件中的投标人须知、通用合同条款、专用合同条款、技术标准和要求及图纸等章节内容一起阅读和理解。</w:t>
      </w:r>
    </w:p>
    <w:p>
      <w:pPr>
        <w:spacing w:line="360" w:lineRule="auto"/>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ascii="新宋体" w:hAnsi="新宋体" w:eastAsia="新宋体"/>
          <w:color w:val="auto"/>
          <w:sz w:val="24"/>
          <w:highlight w:val="none"/>
          <w:u w:val="single"/>
        </w:rPr>
      </w:pPr>
      <w:r>
        <w:rPr>
          <w:rFonts w:hint="eastAsia" w:ascii="新宋体" w:hAnsi="新宋体" w:eastAsia="新宋体"/>
          <w:color w:val="auto"/>
          <w:sz w:val="24"/>
          <w:highlight w:val="none"/>
        </w:rPr>
        <w:t>1.4补充子目的子目特征、计量单位、工程量计算规则及工作内容说明如下：</w:t>
      </w:r>
      <w:r>
        <w:rPr>
          <w:rFonts w:hint="eastAsia" w:ascii="新宋体" w:hAnsi="新宋体" w:eastAsia="新宋体"/>
          <w:color w:val="auto"/>
          <w:sz w:val="24"/>
          <w:highlight w:val="none"/>
          <w:u w:val="single"/>
        </w:rPr>
        <w:t>本工程使用《建设工程工程量清单计价规范》（GB50500-2013）、</w:t>
      </w:r>
      <w:r>
        <w:rPr>
          <w:rFonts w:hint="eastAsia" w:ascii="新宋体" w:hAnsi="新宋体" w:eastAsia="新宋体"/>
          <w:color w:val="auto"/>
          <w:sz w:val="24"/>
          <w:highlight w:val="none"/>
          <w:u w:val="single"/>
          <w:lang w:val="en-US" w:eastAsia="zh-CN"/>
        </w:rPr>
        <w:t>《河南省建筑与装饰工程预算定额》（HA01-31-2016）、《河南省市政工程预算定额》(HAA1-31-2016)、《河南省通用安装工程预算定额》(HA02-31-2016)、《河南省建设工程工程量清单综合单价定额（2008）》“E.园林绿化工程”以及相关造价文件</w:t>
      </w:r>
      <w:r>
        <w:rPr>
          <w:rFonts w:hint="eastAsia" w:ascii="新宋体" w:hAnsi="新宋体" w:eastAsia="新宋体"/>
          <w:color w:val="auto"/>
          <w:sz w:val="24"/>
          <w:highlight w:val="none"/>
          <w:u w:val="single"/>
        </w:rPr>
        <w:t>及其配套的计价方法、调整文件及综合解释等；</w:t>
      </w:r>
    </w:p>
    <w:p>
      <w:pPr>
        <w:spacing w:line="360" w:lineRule="auto"/>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1.5 本条第1.1款中约定的计量和计价规则适用于合同履约过程中工程量计量与价款支付、工程变更、索赔和工程结算。</w:t>
      </w:r>
    </w:p>
    <w:p>
      <w:pPr>
        <w:spacing w:line="360" w:lineRule="auto"/>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1.6 本条与下述第2条和第3条的说明内容是构成合同文件的已标价工程量清单的组成部分。</w:t>
      </w:r>
    </w:p>
    <w:p>
      <w:pPr>
        <w:spacing w:line="360" w:lineRule="auto"/>
        <w:ind w:firstLine="480" w:firstLineChars="200"/>
        <w:rPr>
          <w:rFonts w:ascii="新宋体" w:hAnsi="新宋体" w:eastAsia="新宋体"/>
          <w:b/>
          <w:bCs w:val="0"/>
          <w:color w:val="auto"/>
          <w:sz w:val="24"/>
          <w:highlight w:val="none"/>
        </w:rPr>
      </w:pPr>
      <w:r>
        <w:rPr>
          <w:rFonts w:hint="eastAsia" w:ascii="新宋体" w:hAnsi="新宋体" w:eastAsia="新宋体"/>
          <w:b/>
          <w:bCs w:val="0"/>
          <w:color w:val="auto"/>
          <w:sz w:val="24"/>
          <w:highlight w:val="none"/>
        </w:rPr>
        <w:t>2、投标报价说明</w:t>
      </w:r>
    </w:p>
    <w:p>
      <w:pPr>
        <w:autoSpaceDE w:val="0"/>
        <w:autoSpaceDN w:val="0"/>
        <w:spacing w:line="360" w:lineRule="auto"/>
        <w:ind w:firstLine="480" w:firstLineChars="200"/>
        <w:jc w:val="left"/>
        <w:outlineLvl w:val="0"/>
        <w:rPr>
          <w:rFonts w:hint="eastAsia" w:hAnsi="宋体"/>
          <w:b w:val="0"/>
          <w:bCs/>
          <w:color w:val="auto"/>
          <w:sz w:val="24"/>
          <w:szCs w:val="24"/>
          <w:highlight w:val="none"/>
        </w:rPr>
      </w:pPr>
      <w:r>
        <w:rPr>
          <w:rFonts w:hint="eastAsia" w:hAnsi="宋体"/>
          <w:b w:val="0"/>
          <w:bCs/>
          <w:color w:val="auto"/>
          <w:sz w:val="24"/>
          <w:szCs w:val="24"/>
          <w:highlight w:val="none"/>
        </w:rPr>
        <w:t>2.1 投标报价应根据招标文件中的有关计价要求，并按照下列依据自主报价。</w:t>
      </w:r>
    </w:p>
    <w:p>
      <w:pPr>
        <w:autoSpaceDE w:val="0"/>
        <w:autoSpaceDN w:val="0"/>
        <w:spacing w:line="360" w:lineRule="auto"/>
        <w:ind w:firstLine="480" w:firstLineChars="200"/>
        <w:jc w:val="left"/>
        <w:outlineLvl w:val="0"/>
        <w:rPr>
          <w:rFonts w:hint="eastAsia" w:hAnsi="宋体"/>
          <w:b w:val="0"/>
          <w:bCs/>
          <w:color w:val="auto"/>
          <w:sz w:val="24"/>
          <w:szCs w:val="24"/>
          <w:highlight w:val="none"/>
        </w:rPr>
      </w:pPr>
      <w:r>
        <w:rPr>
          <w:rFonts w:hint="eastAsia" w:hAnsi="宋体"/>
          <w:color w:val="auto"/>
          <w:sz w:val="24"/>
          <w:szCs w:val="24"/>
          <w:highlight w:val="none"/>
          <w:lang w:val="en-US" w:eastAsia="zh-CN"/>
        </w:rPr>
        <w:t>1</w:t>
      </w:r>
      <w:r>
        <w:rPr>
          <w:rFonts w:hint="eastAsia" w:hAnsi="宋体"/>
          <w:color w:val="auto"/>
          <w:sz w:val="24"/>
          <w:szCs w:val="24"/>
          <w:highlight w:val="none"/>
        </w:rPr>
        <w:t>标段：</w:t>
      </w:r>
    </w:p>
    <w:p>
      <w:pPr>
        <w:numPr>
          <w:ilvl w:val="0"/>
          <w:numId w:val="3"/>
        </w:numPr>
        <w:spacing w:line="360" w:lineRule="auto"/>
        <w:ind w:left="1" w:firstLine="480" w:firstLineChars="20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建设工程工程量清单计价规范》（GB50500-2013）、《河南省房屋建筑与装饰工程预算定额（2016）》、《河南省市政工程预算定额（2016）》、《河南省通用安装工程预算定额（2016）》以及相关造价文件等进行编制；</w:t>
      </w:r>
    </w:p>
    <w:p>
      <w:pPr>
        <w:numPr>
          <w:ilvl w:val="0"/>
          <w:numId w:val="3"/>
        </w:numPr>
        <w:spacing w:line="360" w:lineRule="auto"/>
        <w:ind w:left="1" w:leftChars="0" w:firstLine="480" w:firstLineChars="20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税率按9%足额计取；</w:t>
      </w:r>
    </w:p>
    <w:p>
      <w:pPr>
        <w:numPr>
          <w:ilvl w:val="0"/>
          <w:numId w:val="3"/>
        </w:numPr>
        <w:autoSpaceDE w:val="0"/>
        <w:autoSpaceDN w:val="0"/>
        <w:spacing w:line="360" w:lineRule="auto"/>
        <w:ind w:left="1" w:leftChars="0" w:firstLine="480" w:firstLine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人工单价、人工费指数、机械类指数、管理类指数调整执行豫建标定【2019】40号文；按指数调整部分：人工费指数、机械类指数、管理类指数按豫建标定[2019]26号文第5期价格指数计入；</w:t>
      </w:r>
    </w:p>
    <w:p>
      <w:pPr>
        <w:numPr>
          <w:ilvl w:val="0"/>
          <w:numId w:val="3"/>
        </w:numPr>
        <w:autoSpaceDE w:val="0"/>
        <w:autoSpaceDN w:val="0"/>
        <w:spacing w:line="360" w:lineRule="auto"/>
        <w:ind w:left="1" w:leftChars="0" w:firstLine="480" w:firstLine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主要材料价格参考《许昌工程造价信息》2019第4期及市场询价。</w:t>
      </w:r>
    </w:p>
    <w:p>
      <w:pPr>
        <w:autoSpaceDE w:val="0"/>
        <w:autoSpaceDN w:val="0"/>
        <w:spacing w:line="360" w:lineRule="auto"/>
        <w:ind w:firstLine="480" w:firstLineChars="200"/>
        <w:jc w:val="left"/>
        <w:outlineLvl w:val="0"/>
        <w:rPr>
          <w:rFonts w:hint="eastAsia" w:hAnsi="宋体"/>
          <w:b w:val="0"/>
          <w:bCs/>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标段：</w:t>
      </w:r>
    </w:p>
    <w:p>
      <w:pPr>
        <w:spacing w:line="360" w:lineRule="auto"/>
        <w:ind w:left="1" w:firstLine="480" w:firstLineChars="20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（1）《建设工程工程量清单计价规范》（GB50500-2013）、《河南省园林工程工程量清单综合单价（2008）》以及相关造价文件等进行编制；</w:t>
      </w:r>
    </w:p>
    <w:p>
      <w:pPr>
        <w:spacing w:line="360" w:lineRule="auto"/>
        <w:ind w:left="1" w:firstLine="480" w:firstLineChars="20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（2）税率按9%足额计取；</w:t>
      </w:r>
    </w:p>
    <w:p>
      <w:pPr>
        <w:spacing w:line="360" w:lineRule="auto"/>
        <w:ind w:left="1" w:firstLine="480" w:firstLineChars="20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（3）人工单价、人工费指数、机械类指数、管理类指数调整执行豫建标定【2019】40号文；按指数调整部分：人工费指数、机械类指数、管理类指数按豫建标定[2019]26文第5期价格指数计入；</w:t>
      </w:r>
    </w:p>
    <w:p>
      <w:pPr>
        <w:spacing w:line="360" w:lineRule="auto"/>
        <w:ind w:left="1" w:firstLine="480" w:firstLineChars="20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（4）主要材料价格参考《许昌工程造价信息》2019第4期及市场询价。</w:t>
      </w:r>
    </w:p>
    <w:p>
      <w:pPr>
        <w:numPr>
          <w:ilvl w:val="0"/>
          <w:numId w:val="0"/>
        </w:numPr>
        <w:autoSpaceDE w:val="0"/>
        <w:autoSpaceDN w:val="0"/>
        <w:spacing w:line="360" w:lineRule="auto"/>
        <w:ind w:leftChars="200"/>
        <w:jc w:val="left"/>
        <w:outlineLvl w:val="0"/>
        <w:rPr>
          <w:rFonts w:hint="eastAsia"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标段：</w:t>
      </w:r>
    </w:p>
    <w:p>
      <w:pPr>
        <w:numPr>
          <w:ilvl w:val="0"/>
          <w:numId w:val="0"/>
        </w:numPr>
        <w:autoSpaceDE w:val="0"/>
        <w:autoSpaceDN w:val="0"/>
        <w:spacing w:line="360" w:lineRule="auto"/>
        <w:ind w:leftChars="200"/>
        <w:jc w:val="left"/>
        <w:outlineLvl w:val="0"/>
        <w:rPr>
          <w:rFonts w:hint="default" w:hAnsi="宋体" w:eastAsia="宋体"/>
          <w:b w:val="0"/>
          <w:bCs/>
          <w:color w:val="auto"/>
          <w:sz w:val="24"/>
          <w:szCs w:val="24"/>
          <w:highlight w:val="none"/>
          <w:lang w:val="en-US" w:eastAsia="zh-CN"/>
        </w:rPr>
      </w:pPr>
      <w:r>
        <w:rPr>
          <w:rFonts w:hint="eastAsia" w:hAnsi="宋体"/>
          <w:color w:val="auto"/>
          <w:sz w:val="24"/>
          <w:szCs w:val="24"/>
          <w:highlight w:val="none"/>
          <w:lang w:val="en-US" w:eastAsia="zh-CN"/>
        </w:rPr>
        <w:t>（1）河南工程量清单</w:t>
      </w:r>
      <w:r>
        <w:rPr>
          <w:rFonts w:hint="eastAsia" w:hAnsi="宋体"/>
          <w:b w:val="0"/>
          <w:bCs/>
          <w:color w:val="auto"/>
          <w:sz w:val="24"/>
          <w:szCs w:val="24"/>
          <w:highlight w:val="none"/>
          <w:lang w:val="en-US" w:eastAsia="zh-CN"/>
        </w:rPr>
        <w:t>《建设工程工程量清单计价规范》（GB50500-2013）、《河南省房屋建筑与装饰工程预算定额（2016）》、《河南省市政工程预算定额（2016）》（A建筑工程）及相关造价文件等进行编制；</w:t>
      </w:r>
    </w:p>
    <w:p>
      <w:pPr>
        <w:numPr>
          <w:ilvl w:val="0"/>
          <w:numId w:val="0"/>
        </w:numPr>
        <w:autoSpaceDE w:val="0"/>
        <w:autoSpaceDN w:val="0"/>
        <w:spacing w:line="360" w:lineRule="auto"/>
        <w:ind w:left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（2）税率按9%足额计取；</w:t>
      </w:r>
    </w:p>
    <w:p>
      <w:pPr>
        <w:numPr>
          <w:ilvl w:val="0"/>
          <w:numId w:val="0"/>
        </w:numPr>
        <w:autoSpaceDE w:val="0"/>
        <w:autoSpaceDN w:val="0"/>
        <w:spacing w:line="360" w:lineRule="auto"/>
        <w:ind w:left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（3）人工单价、人工费指数、机械类指数、管理类指数调整执行豫建标定【2019】26号文文计入；</w:t>
      </w:r>
    </w:p>
    <w:p>
      <w:pPr>
        <w:numPr>
          <w:ilvl w:val="0"/>
          <w:numId w:val="0"/>
        </w:numPr>
        <w:autoSpaceDE w:val="0"/>
        <w:autoSpaceDN w:val="0"/>
        <w:spacing w:line="360" w:lineRule="auto"/>
        <w:ind w:left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（4）主要材料价格参考《许昌信息价》2019第5期，及结合市场询价。</w:t>
      </w:r>
    </w:p>
    <w:p>
      <w:pPr>
        <w:numPr>
          <w:ilvl w:val="0"/>
          <w:numId w:val="0"/>
        </w:numPr>
        <w:autoSpaceDE w:val="0"/>
        <w:autoSpaceDN w:val="0"/>
        <w:spacing w:line="360" w:lineRule="auto"/>
        <w:ind w:left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(5)施工扬尘污染防治专项增加费执行豫交文[2017]140号；</w:t>
      </w:r>
    </w:p>
    <w:p>
      <w:pPr>
        <w:numPr>
          <w:ilvl w:val="0"/>
          <w:numId w:val="0"/>
        </w:numPr>
        <w:autoSpaceDE w:val="0"/>
        <w:autoSpaceDN w:val="0"/>
        <w:spacing w:line="360" w:lineRule="auto"/>
        <w:ind w:leftChars="200"/>
        <w:jc w:val="left"/>
        <w:outlineLvl w:val="0"/>
        <w:rPr>
          <w:rFonts w:hint="eastAsia" w:hAnsi="宋体"/>
          <w:color w:val="auto"/>
          <w:sz w:val="24"/>
          <w:szCs w:val="24"/>
          <w:highlight w:val="none"/>
        </w:rPr>
      </w:pPr>
      <w:r>
        <w:rPr>
          <w:rFonts w:hint="eastAsia" w:hAnsi="宋体"/>
          <w:color w:val="auto"/>
          <w:sz w:val="24"/>
          <w:szCs w:val="24"/>
          <w:highlight w:val="none"/>
          <w:lang w:val="en-US" w:eastAsia="zh-CN"/>
        </w:rPr>
        <w:t>4</w:t>
      </w:r>
      <w:r>
        <w:rPr>
          <w:rFonts w:hint="eastAsia" w:hAnsi="宋体"/>
          <w:color w:val="auto"/>
          <w:sz w:val="24"/>
          <w:szCs w:val="24"/>
          <w:highlight w:val="none"/>
        </w:rPr>
        <w:t>标段：</w:t>
      </w:r>
    </w:p>
    <w:p>
      <w:pPr>
        <w:numPr>
          <w:ilvl w:val="0"/>
          <w:numId w:val="0"/>
        </w:numPr>
        <w:autoSpaceDE w:val="0"/>
        <w:autoSpaceDN w:val="0"/>
        <w:spacing w:line="360" w:lineRule="auto"/>
        <w:ind w:leftChars="200"/>
        <w:jc w:val="left"/>
        <w:outlineLvl w:val="0"/>
        <w:rPr>
          <w:rFonts w:hint="default" w:hAnsi="宋体" w:eastAsia="宋体"/>
          <w:b w:val="0"/>
          <w:bCs/>
          <w:color w:val="auto"/>
          <w:sz w:val="24"/>
          <w:szCs w:val="24"/>
          <w:highlight w:val="none"/>
          <w:lang w:val="en-US" w:eastAsia="zh-CN"/>
        </w:rPr>
      </w:pPr>
      <w:r>
        <w:rPr>
          <w:rFonts w:hint="eastAsia" w:hAnsi="宋体"/>
          <w:color w:val="auto"/>
          <w:sz w:val="24"/>
          <w:szCs w:val="24"/>
          <w:highlight w:val="none"/>
          <w:lang w:val="en-US" w:eastAsia="zh-CN"/>
        </w:rPr>
        <w:t>（1）河南工程量清单</w:t>
      </w:r>
      <w:r>
        <w:rPr>
          <w:rFonts w:hint="eastAsia" w:hAnsi="宋体"/>
          <w:b w:val="0"/>
          <w:bCs/>
          <w:color w:val="auto"/>
          <w:sz w:val="24"/>
          <w:szCs w:val="24"/>
          <w:highlight w:val="none"/>
          <w:lang w:val="en-US" w:eastAsia="zh-CN"/>
        </w:rPr>
        <w:t>《建设工程工程量清单计价规范》（GB50500-2013）、《河南省房屋建筑与装饰工程预算定额（2016）》、《河南省安装工程预算定额（2016）》（A建筑工程）及相关造价文件等进行编制；</w:t>
      </w:r>
    </w:p>
    <w:p>
      <w:pPr>
        <w:numPr>
          <w:ilvl w:val="0"/>
          <w:numId w:val="0"/>
        </w:numPr>
        <w:autoSpaceDE w:val="0"/>
        <w:autoSpaceDN w:val="0"/>
        <w:spacing w:line="360" w:lineRule="auto"/>
        <w:ind w:left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（2）税率按9%足额计取；</w:t>
      </w:r>
    </w:p>
    <w:p>
      <w:pPr>
        <w:numPr>
          <w:ilvl w:val="0"/>
          <w:numId w:val="0"/>
        </w:numPr>
        <w:autoSpaceDE w:val="0"/>
        <w:autoSpaceDN w:val="0"/>
        <w:spacing w:line="360" w:lineRule="auto"/>
        <w:ind w:left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（3）人工单价、人工费指数、机械类指数、管理类指数调整执行豫建标定【2019】26号文计入；</w:t>
      </w:r>
    </w:p>
    <w:p>
      <w:pPr>
        <w:numPr>
          <w:ilvl w:val="0"/>
          <w:numId w:val="0"/>
        </w:numPr>
        <w:autoSpaceDE w:val="0"/>
        <w:autoSpaceDN w:val="0"/>
        <w:spacing w:line="360" w:lineRule="auto"/>
        <w:ind w:left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（4）主要材料价格参考《许昌信息价》2019第5期，及结合市场询价。</w:t>
      </w:r>
    </w:p>
    <w:p>
      <w:pPr>
        <w:numPr>
          <w:ilvl w:val="0"/>
          <w:numId w:val="0"/>
        </w:numPr>
        <w:autoSpaceDE w:val="0"/>
        <w:autoSpaceDN w:val="0"/>
        <w:spacing w:line="360" w:lineRule="auto"/>
        <w:ind w:leftChars="200" w:firstLine="240" w:firstLineChars="1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(5)施工扬尘污染防治专项增加费执行豫交文[2017]140号；</w:t>
      </w:r>
    </w:p>
    <w:p>
      <w:pPr>
        <w:numPr>
          <w:ilvl w:val="0"/>
          <w:numId w:val="0"/>
        </w:numPr>
        <w:autoSpaceDE w:val="0"/>
        <w:autoSpaceDN w:val="0"/>
        <w:spacing w:line="360" w:lineRule="auto"/>
        <w:ind w:leftChars="200"/>
        <w:jc w:val="left"/>
        <w:outlineLvl w:val="0"/>
        <w:rPr>
          <w:rFonts w:hint="eastAsia" w:hAnsi="宋体"/>
          <w:color w:val="auto"/>
          <w:sz w:val="24"/>
          <w:szCs w:val="24"/>
          <w:highlight w:val="none"/>
        </w:rPr>
      </w:pPr>
      <w:r>
        <w:rPr>
          <w:rFonts w:hint="eastAsia" w:hAnsi="宋体"/>
          <w:color w:val="auto"/>
          <w:sz w:val="24"/>
          <w:szCs w:val="24"/>
          <w:highlight w:val="none"/>
          <w:lang w:val="en-US" w:eastAsia="zh-CN"/>
        </w:rPr>
        <w:t>5</w:t>
      </w:r>
      <w:r>
        <w:rPr>
          <w:rFonts w:hint="eastAsia" w:hAnsi="宋体"/>
          <w:color w:val="auto"/>
          <w:sz w:val="24"/>
          <w:szCs w:val="24"/>
          <w:highlight w:val="none"/>
        </w:rPr>
        <w:t>标段：</w:t>
      </w:r>
    </w:p>
    <w:p>
      <w:pPr>
        <w:numPr>
          <w:ilvl w:val="0"/>
          <w:numId w:val="0"/>
        </w:numPr>
        <w:autoSpaceDE w:val="0"/>
        <w:autoSpaceDN w:val="0"/>
        <w:spacing w:line="360" w:lineRule="auto"/>
        <w:ind w:leftChars="200"/>
        <w:jc w:val="left"/>
        <w:outlineLvl w:val="0"/>
        <w:rPr>
          <w:rFonts w:hint="default" w:hAnsi="宋体" w:eastAsia="宋体"/>
          <w:b w:val="0"/>
          <w:bCs/>
          <w:color w:val="auto"/>
          <w:sz w:val="24"/>
          <w:szCs w:val="24"/>
          <w:highlight w:val="none"/>
          <w:lang w:val="en-US" w:eastAsia="zh-CN"/>
        </w:rPr>
      </w:pPr>
      <w:r>
        <w:rPr>
          <w:rFonts w:hint="eastAsia" w:hAnsi="宋体"/>
          <w:color w:val="auto"/>
          <w:sz w:val="24"/>
          <w:szCs w:val="24"/>
          <w:highlight w:val="none"/>
          <w:lang w:val="en-US" w:eastAsia="zh-CN"/>
        </w:rPr>
        <w:t>（1）（2013）版</w:t>
      </w:r>
      <w:r>
        <w:rPr>
          <w:rFonts w:hint="eastAsia" w:hAnsi="宋体"/>
          <w:b w:val="0"/>
          <w:bCs/>
          <w:color w:val="auto"/>
          <w:sz w:val="24"/>
          <w:szCs w:val="24"/>
          <w:highlight w:val="none"/>
          <w:lang w:val="en-US" w:eastAsia="zh-CN"/>
        </w:rPr>
        <w:t>《建设工程工程量清单计价规范》、《河南省房屋建筑与装饰工程预算定额》（HA01-31-2016）、《河南省通用安装工程预算定额》（HA02-31-2016）、《河南省市政工程预算定额》（HAA1-31-2016）等相关计价文件及其配套的省市有关文件；</w:t>
      </w:r>
    </w:p>
    <w:p>
      <w:pPr>
        <w:numPr>
          <w:ilvl w:val="0"/>
          <w:numId w:val="0"/>
        </w:numPr>
        <w:autoSpaceDE w:val="0"/>
        <w:autoSpaceDN w:val="0"/>
        <w:spacing w:line="360" w:lineRule="auto"/>
        <w:ind w:leftChars="200"/>
        <w:jc w:val="left"/>
        <w:outlineLvl w:val="0"/>
        <w:rPr>
          <w:rFonts w:hint="default"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（2）人工价格调整：按照豫建标定【2019】26号文件执行；</w:t>
      </w:r>
    </w:p>
    <w:p>
      <w:pPr>
        <w:numPr>
          <w:ilvl w:val="0"/>
          <w:numId w:val="0"/>
        </w:numPr>
        <w:autoSpaceDE w:val="0"/>
        <w:autoSpaceDN w:val="0"/>
        <w:spacing w:line="360" w:lineRule="auto"/>
        <w:ind w:left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（3）材料价格调整：材料价格参考《许昌工程造价信息》2019年第五期信息价调整，部分材料价格结合市场价；</w:t>
      </w:r>
    </w:p>
    <w:p>
      <w:pPr>
        <w:numPr>
          <w:ilvl w:val="0"/>
          <w:numId w:val="0"/>
        </w:numPr>
        <w:autoSpaceDE w:val="0"/>
        <w:autoSpaceDN w:val="0"/>
        <w:spacing w:line="360" w:lineRule="auto"/>
        <w:ind w:leftChars="200"/>
        <w:jc w:val="left"/>
        <w:outlineLvl w:val="0"/>
        <w:rPr>
          <w:rFonts w:hint="default"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（4）安全文明施工措施费及规费按照16定额规则要求全额计取；其他措施费中夜间施工增加费、二次搬运费、冬雨季施工增加费，依据豫建设标【2017】99号文件全部计取；</w:t>
      </w:r>
    </w:p>
    <w:p>
      <w:pPr>
        <w:numPr>
          <w:ilvl w:val="0"/>
          <w:numId w:val="0"/>
        </w:numPr>
        <w:autoSpaceDE w:val="0"/>
        <w:autoSpaceDN w:val="0"/>
        <w:spacing w:line="360" w:lineRule="auto"/>
        <w:ind w:leftChars="200"/>
        <w:jc w:val="left"/>
        <w:outlineLvl w:val="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（5）税金计取：建办标函【2019】193号文件，税率调整为9%；</w:t>
      </w:r>
    </w:p>
    <w:p>
      <w:pPr>
        <w:spacing w:line="360" w:lineRule="auto"/>
        <w:ind w:left="1" w:firstLine="480" w:firstLineChars="200"/>
        <w:rPr>
          <w:rFonts w:hint="eastAsia" w:hAnsi="宋体"/>
          <w:b w:val="0"/>
          <w:bCs/>
          <w:color w:val="auto"/>
          <w:sz w:val="24"/>
          <w:szCs w:val="24"/>
          <w:highlight w:val="none"/>
          <w:lang w:val="en-US" w:eastAsia="zh-CN"/>
        </w:rPr>
      </w:pPr>
      <w:bookmarkStart w:id="101" w:name="_Toc13370"/>
    </w:p>
    <w:p>
      <w:pPr>
        <w:spacing w:line="360" w:lineRule="auto"/>
        <w:ind w:left="1" w:firstLine="480" w:firstLineChars="200"/>
        <w:rPr>
          <w:rFonts w:hint="eastAsia" w:hAnsi="宋体"/>
          <w:b w:val="0"/>
          <w:bCs/>
          <w:color w:val="auto"/>
          <w:sz w:val="24"/>
          <w:szCs w:val="24"/>
          <w:highlight w:val="none"/>
        </w:rPr>
      </w:pPr>
      <w:r>
        <w:rPr>
          <w:rFonts w:hint="eastAsia" w:hAnsi="宋体"/>
          <w:b w:val="0"/>
          <w:bCs/>
          <w:color w:val="auto"/>
          <w:sz w:val="24"/>
          <w:szCs w:val="24"/>
          <w:highlight w:val="none"/>
          <w:lang w:val="en-US" w:eastAsia="zh-CN"/>
        </w:rPr>
        <w:t xml:space="preserve">2.2 </w:t>
      </w:r>
      <w:r>
        <w:rPr>
          <w:rFonts w:hint="eastAsia" w:hAnsi="宋体"/>
          <w:b w:val="0"/>
          <w:bCs/>
          <w:color w:val="auto"/>
          <w:sz w:val="24"/>
          <w:szCs w:val="24"/>
          <w:highlight w:val="none"/>
        </w:rPr>
        <w:t>工程量清单中的每一子目须填入单价或价格，且只允许有一个报价。</w:t>
      </w:r>
      <w:bookmarkEnd w:id="101"/>
    </w:p>
    <w:p>
      <w:pPr>
        <w:spacing w:line="360" w:lineRule="auto"/>
        <w:ind w:left="1" w:firstLine="480" w:firstLineChars="200"/>
        <w:rPr>
          <w:rFonts w:hint="eastAsia" w:hAnsi="宋体"/>
          <w:b w:val="0"/>
          <w:bCs/>
          <w:color w:val="auto"/>
          <w:sz w:val="24"/>
          <w:szCs w:val="24"/>
          <w:highlight w:val="none"/>
        </w:rPr>
      </w:pPr>
      <w:r>
        <w:rPr>
          <w:rFonts w:hint="eastAsia" w:hAnsi="宋体"/>
          <w:b w:val="0"/>
          <w:bCs/>
          <w:color w:val="auto"/>
          <w:sz w:val="24"/>
          <w:szCs w:val="24"/>
          <w:highlight w:val="none"/>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2.6 分部分项工程项目按下列要求报价：</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2.6.1 分部分项工程量清单计价应依据计价规范中关于综合单价的组成内容确定报价。</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hint="eastAsia" w:hAnsi="宋体"/>
          <w:color w:val="auto"/>
          <w:sz w:val="24"/>
          <w:szCs w:val="24"/>
          <w:highlight w:val="none"/>
        </w:rPr>
      </w:pPr>
      <w:r>
        <w:rPr>
          <w:rFonts w:hint="eastAsia" w:hAnsi="宋体"/>
          <w:color w:val="auto"/>
          <w:sz w:val="24"/>
          <w:szCs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2.7 措施项目按下列要求报价：</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2.7.4 对于“措施项目清单与计价表”中所填写的报价金额，应按照“措施项目清单报价分析表”对措施项目报价的组成进行详细的列项和分析。</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2.8 其他项目清单费应按下列规定报价：</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2.8.3 计日工按“计日工表”中列出的子目和估算数量，自主确定综合单价并计算计日工金额。计日工综合单价均不包括规费和税金，其中：</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(2) 材料价格包括材料运到现场的价格以及现场搬运、仓储、二次搬运、损耗、保险、企业管理费和利润；</w:t>
      </w:r>
    </w:p>
    <w:p>
      <w:pPr>
        <w:spacing w:line="360" w:lineRule="auto"/>
        <w:ind w:left="1" w:firstLine="480" w:firstLineChars="200"/>
        <w:rPr>
          <w:rFonts w:hAnsi="宋体"/>
          <w:color w:val="auto"/>
          <w:sz w:val="24"/>
          <w:szCs w:val="24"/>
          <w:highlight w:val="none"/>
        </w:rPr>
      </w:pPr>
      <w:r>
        <w:rPr>
          <w:rFonts w:hint="eastAsia" w:hAnsi="宋体"/>
          <w:color w:val="auto"/>
          <w:sz w:val="24"/>
          <w:szCs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2.8.4总承包服务费根据招标文件中列出的内容和要求，按“总承包服务费计价表”所列格式自主报价。</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2.10 除招标文件有强制性规定外，投标报价由投标人自主确定，但不得低于其成本。</w:t>
      </w:r>
    </w:p>
    <w:p>
      <w:pPr>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2.12 管理费应由投标人在保证不低于其成本的基础上做竞争性考虑；利润由投标人根据自身情况和综合实力做竞争性考虑。</w:t>
      </w:r>
    </w:p>
    <w:p>
      <w:pPr>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2.13 投标报价中应考虑招标文件中要求投标人承担的风险范围以及相关的费用。</w:t>
      </w:r>
    </w:p>
    <w:p>
      <w:pPr>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0" w:firstLineChars="200"/>
        <w:rPr>
          <w:rFonts w:hAnsi="宋体" w:cs="宋体"/>
          <w:b/>
          <w:color w:val="auto"/>
          <w:sz w:val="24"/>
          <w:szCs w:val="24"/>
          <w:highlight w:val="none"/>
        </w:rPr>
      </w:pPr>
      <w:r>
        <w:rPr>
          <w:rFonts w:hint="eastAsia" w:hAnsi="宋体" w:cs="宋体"/>
          <w:b/>
          <w:color w:val="auto"/>
          <w:sz w:val="24"/>
          <w:szCs w:val="24"/>
          <w:highlight w:val="none"/>
        </w:rPr>
        <w:t>2.15 有关投标报价的其他说明：</w:t>
      </w:r>
    </w:p>
    <w:p>
      <w:pPr>
        <w:tabs>
          <w:tab w:val="left" w:pos="1260"/>
        </w:tabs>
        <w:autoSpaceDE w:val="0"/>
        <w:autoSpaceDN w:val="0"/>
        <w:adjustRightInd w:val="0"/>
        <w:spacing w:line="360" w:lineRule="auto"/>
        <w:ind w:firstLine="480" w:firstLineChars="200"/>
        <w:jc w:val="left"/>
        <w:rPr>
          <w:rFonts w:hAnsi="宋体" w:cs="宋体"/>
          <w:b/>
          <w:bCs/>
          <w:color w:val="auto"/>
          <w:sz w:val="24"/>
          <w:szCs w:val="24"/>
          <w:highlight w:val="none"/>
        </w:rPr>
      </w:pPr>
      <w:r>
        <w:rPr>
          <w:rFonts w:hint="eastAsia" w:hAnsi="宋体" w:cs="宋体"/>
          <w:b/>
          <w:color w:val="auto"/>
          <w:sz w:val="24"/>
          <w:szCs w:val="24"/>
          <w:highlight w:val="none"/>
        </w:rPr>
        <w:t>2.15.1</w:t>
      </w:r>
      <w:r>
        <w:rPr>
          <w:rFonts w:hint="eastAsia" w:hAnsi="宋体" w:cs="宋体"/>
          <w:b/>
          <w:bCs/>
          <w:color w:val="auto"/>
          <w:sz w:val="24"/>
          <w:szCs w:val="24"/>
          <w:highlight w:val="none"/>
        </w:rPr>
        <w:t>（1）根据《关于调整河南省建设工程安全文明施工措施费计取办法的通知》（豫建设标[2014]57号）规定，“安全文明施工措施费”是不可竞争费，即费率不可竞争，发包人编制招标控制价、承包人编制投标报价时，应按省级主管部门规定的计价标准计取。</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48" w:lineRule="auto"/>
        <w:ind w:firstLine="480" w:firstLineChars="200"/>
        <w:jc w:val="left"/>
        <w:textAlignment w:val="auto"/>
        <w:rPr>
          <w:rFonts w:hAnsi="宋体" w:cs="宋体"/>
          <w:b/>
          <w:bCs/>
          <w:color w:val="auto"/>
          <w:sz w:val="24"/>
          <w:szCs w:val="24"/>
          <w:highlight w:val="none"/>
        </w:rPr>
      </w:pPr>
      <w:r>
        <w:rPr>
          <w:rFonts w:hint="eastAsia" w:hAnsi="宋体" w:cs="宋体"/>
          <w:b/>
          <w:bCs/>
          <w:color w:val="auto"/>
          <w:sz w:val="24"/>
          <w:szCs w:val="24"/>
          <w:highlight w:val="none"/>
        </w:rPr>
        <w:t xml:space="preserve">  （</w:t>
      </w:r>
      <w:r>
        <w:rPr>
          <w:rFonts w:hint="eastAsia" w:hAnsi="宋体" w:cs="宋体"/>
          <w:b/>
          <w:bCs/>
          <w:color w:val="auto"/>
          <w:sz w:val="24"/>
          <w:szCs w:val="24"/>
          <w:highlight w:val="none"/>
          <w:lang w:val="en-US" w:eastAsia="zh-CN"/>
        </w:rPr>
        <w:t>2</w:t>
      </w:r>
      <w:r>
        <w:rPr>
          <w:rFonts w:hint="eastAsia" w:hAnsi="宋体" w:cs="宋体"/>
          <w:b/>
          <w:bCs/>
          <w:color w:val="auto"/>
          <w:sz w:val="24"/>
          <w:szCs w:val="24"/>
          <w:highlight w:val="none"/>
        </w:rPr>
        <w:t>）投标人编制投标报价时，同一投标文件综合工日应前后保持一致。</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48" w:lineRule="auto"/>
        <w:ind w:firstLine="720" w:firstLineChars="300"/>
        <w:jc w:val="left"/>
        <w:textAlignment w:val="auto"/>
        <w:rPr>
          <w:rFonts w:hint="eastAsia" w:hAnsi="宋体" w:cs="宋体"/>
          <w:b/>
          <w:color w:val="auto"/>
          <w:sz w:val="24"/>
          <w:szCs w:val="24"/>
          <w:highlight w:val="none"/>
        </w:rPr>
      </w:pPr>
      <w:r>
        <w:rPr>
          <w:rFonts w:hint="eastAsia" w:hAnsi="宋体" w:cs="宋体"/>
          <w:b/>
          <w:color w:val="auto"/>
          <w:sz w:val="24"/>
          <w:szCs w:val="24"/>
          <w:highlight w:val="none"/>
        </w:rPr>
        <w:t>（</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-2</w:t>
      </w:r>
      <w:r>
        <w:rPr>
          <w:rFonts w:hint="eastAsia" w:hAnsi="宋体" w:cs="宋体"/>
          <w:b/>
          <w:color w:val="auto"/>
          <w:sz w:val="24"/>
          <w:szCs w:val="24"/>
          <w:highlight w:val="none"/>
        </w:rPr>
        <w:t>标段：人工单价、人工费指数、机械类指数、管理类指数调整执行豫建标【2016】年40号文；指数调整部分：人工费指数、机械类指数管理类指数调整执行豫建标【2019】年26号文计入。税率按9%足额计取；</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48" w:lineRule="auto"/>
        <w:ind w:firstLine="720" w:firstLineChars="300"/>
        <w:jc w:val="left"/>
        <w:textAlignment w:val="auto"/>
        <w:rPr>
          <w:rFonts w:hint="eastAsia" w:hAnsi="宋体" w:cs="宋体"/>
          <w:b/>
          <w:color w:val="auto"/>
          <w:sz w:val="24"/>
          <w:szCs w:val="24"/>
          <w:highlight w:val="none"/>
        </w:rPr>
      </w:pPr>
      <w:r>
        <w:rPr>
          <w:rFonts w:hint="eastAsia" w:hAnsi="宋体" w:cs="宋体"/>
          <w:b/>
          <w:color w:val="auto"/>
          <w:sz w:val="24"/>
          <w:szCs w:val="24"/>
          <w:highlight w:val="none"/>
        </w:rPr>
        <w:t xml:space="preserve"> </w:t>
      </w:r>
      <w:r>
        <w:rPr>
          <w:rFonts w:hint="eastAsia" w:hAnsi="宋体" w:cs="宋体"/>
          <w:b/>
          <w:color w:val="auto"/>
          <w:sz w:val="24"/>
          <w:szCs w:val="24"/>
          <w:highlight w:val="none"/>
          <w:lang w:val="en-US" w:eastAsia="zh-CN"/>
        </w:rPr>
        <w:t>3-4</w:t>
      </w:r>
      <w:r>
        <w:rPr>
          <w:rFonts w:hint="eastAsia" w:hAnsi="宋体" w:cs="宋体"/>
          <w:b/>
          <w:color w:val="auto"/>
          <w:sz w:val="24"/>
          <w:szCs w:val="24"/>
          <w:highlight w:val="none"/>
        </w:rPr>
        <w:t>标段：</w:t>
      </w:r>
      <w:r>
        <w:rPr>
          <w:rFonts w:hint="eastAsia" w:hAnsi="宋体" w:cs="宋体"/>
          <w:b/>
          <w:color w:val="auto"/>
          <w:sz w:val="24"/>
          <w:szCs w:val="24"/>
          <w:highlight w:val="none"/>
          <w:lang w:val="en-US" w:eastAsia="zh-CN"/>
        </w:rPr>
        <w:t>人工单价、人工费指数、机械类指数、管理类指数调整执行豫建标定【2019】26号文文计入；</w:t>
      </w:r>
      <w:r>
        <w:rPr>
          <w:rFonts w:hint="eastAsia" w:hAnsi="宋体" w:cs="宋体"/>
          <w:b/>
          <w:color w:val="auto"/>
          <w:sz w:val="24"/>
          <w:szCs w:val="24"/>
          <w:highlight w:val="none"/>
        </w:rPr>
        <w:t>税率按9%足额计取；</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48" w:lineRule="auto"/>
        <w:ind w:firstLine="720" w:firstLineChars="300"/>
        <w:jc w:val="left"/>
        <w:textAlignment w:val="auto"/>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标段人工价格调整：按照豫建标定【2019】26号文件执行；税率</w:t>
      </w:r>
      <w:r>
        <w:rPr>
          <w:rFonts w:hint="eastAsia" w:hAnsi="宋体" w:cs="宋体"/>
          <w:b/>
          <w:color w:val="auto"/>
          <w:sz w:val="24"/>
          <w:szCs w:val="24"/>
          <w:highlight w:val="none"/>
          <w:lang w:val="en-US" w:eastAsia="zh-CN"/>
        </w:rPr>
        <w:t>为</w:t>
      </w:r>
      <w:r>
        <w:rPr>
          <w:rFonts w:hint="eastAsia" w:hAnsi="宋体" w:cs="宋体"/>
          <w:b/>
          <w:color w:val="auto"/>
          <w:sz w:val="24"/>
          <w:szCs w:val="24"/>
          <w:highlight w:val="none"/>
        </w:rPr>
        <w:t>9%；</w:t>
      </w:r>
    </w:p>
    <w:p>
      <w:pPr>
        <w:keepNext w:val="0"/>
        <w:keepLines w:val="0"/>
        <w:pageBreakBefore w:val="0"/>
        <w:widowControl w:val="0"/>
        <w:kinsoku/>
        <w:wordWrap/>
        <w:overflowPunct/>
        <w:topLinePunct w:val="0"/>
        <w:bidi w:val="0"/>
        <w:snapToGrid/>
        <w:spacing w:line="348" w:lineRule="auto"/>
        <w:ind w:firstLine="480" w:firstLineChars="200"/>
        <w:textAlignment w:val="auto"/>
        <w:rPr>
          <w:rFonts w:hAnsi="宋体" w:cs="宋体"/>
          <w:bCs/>
          <w:color w:val="auto"/>
          <w:sz w:val="24"/>
          <w:highlight w:val="none"/>
        </w:rPr>
      </w:pPr>
      <w:r>
        <w:rPr>
          <w:rFonts w:hint="eastAsia" w:hAnsi="宋体" w:cs="宋体"/>
          <w:bCs/>
          <w:color w:val="auto"/>
          <w:sz w:val="24"/>
          <w:highlight w:val="none"/>
        </w:rPr>
        <w:t>3、其他说明</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3.1词语和定义</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3.1.1 工程量清单</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是表现本工程分部分项工程项目、措施项目、其他项目、规费项目和税金的名称和相应数量等的明细清单。</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3.1.2 总价子目</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3.1.3 单价子目</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工程量清单中以单价计价，根据有合同约束力的图纸和工程量计算规则进行计量，以实际完成数量乘以相应单价进行结算的子目。</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3.1.4 子目编码</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分部分项工程项目清单中所列的子目名称的数字标识和代码，子目编码与项目编码同义。</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3.1.5 子目特征</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构成分部分项工程项目清单子目、措施项目的实质内容、决定其自身价值的本质特征，子目特征与项目特征同义。</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3.1.6 规费</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承包人根据省级政府或省级有关权力部门规定必须缴纳的，应计入建筑安装工程造价的费用。</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3.1.7 税金</w:t>
      </w:r>
    </w:p>
    <w:p>
      <w:pPr>
        <w:keepNext w:val="0"/>
        <w:keepLines w:val="0"/>
        <w:pageBreakBefore w:val="0"/>
        <w:widowControl w:val="0"/>
        <w:kinsoku/>
        <w:wordWrap/>
        <w:overflowPunct/>
        <w:topLinePunct w:val="0"/>
        <w:bidi w:val="0"/>
        <w:snapToGrid/>
        <w:spacing w:line="348" w:lineRule="auto"/>
        <w:ind w:left="1" w:firstLine="480" w:firstLineChars="200"/>
        <w:textAlignment w:val="auto"/>
        <w:rPr>
          <w:rFonts w:hAnsi="宋体" w:cs="宋体"/>
          <w:color w:val="auto"/>
          <w:sz w:val="24"/>
          <w:highlight w:val="none"/>
        </w:rPr>
      </w:pPr>
      <w:r>
        <w:rPr>
          <w:rFonts w:hint="eastAsia" w:hAnsi="宋体" w:cs="宋体"/>
          <w:color w:val="auto"/>
          <w:sz w:val="24"/>
          <w:highlight w:val="none"/>
        </w:rPr>
        <w:t>国家税法规定的应计入建筑安装工程造价内的增值税、城市维护建设税及教育费附加等。</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3.1.8 总承包服务费</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3.1.9 同义词语</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本章中使用的词语“招标人”和“投标人”分别与合同条款中定义的“发包人”和“承包人”同义；就工程量清单而言，“子目”与“项目”同义。</w:t>
      </w:r>
    </w:p>
    <w:p>
      <w:pPr>
        <w:spacing w:line="360" w:lineRule="auto"/>
        <w:ind w:left="1" w:firstLine="480" w:firstLineChars="200"/>
        <w:rPr>
          <w:rFonts w:hAnsi="宋体" w:cs="宋体"/>
          <w:b/>
          <w:color w:val="auto"/>
          <w:sz w:val="24"/>
          <w:highlight w:val="none"/>
        </w:rPr>
      </w:pPr>
      <w:r>
        <w:rPr>
          <w:rFonts w:hint="eastAsia" w:hAnsi="宋体" w:cs="宋体"/>
          <w:color w:val="auto"/>
          <w:sz w:val="24"/>
          <w:highlight w:val="none"/>
        </w:rPr>
        <w:t>3.2工程量差异调整</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3.3暂列金额和暂估价</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hAnsi="宋体" w:cs="宋体"/>
          <w:color w:val="auto"/>
          <w:sz w:val="24"/>
          <w:highlight w:val="none"/>
        </w:rPr>
      </w:pPr>
      <w:r>
        <w:rPr>
          <w:rFonts w:hint="eastAsia" w:hAnsi="宋体" w:cs="宋体"/>
          <w:color w:val="auto"/>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hAnsi="宋体" w:cs="宋体"/>
          <w:color w:val="auto"/>
          <w:sz w:val="24"/>
          <w:highlight w:val="none"/>
          <w:u w:val="single"/>
        </w:rPr>
      </w:pPr>
      <w:r>
        <w:rPr>
          <w:rFonts w:hint="eastAsia" w:hAnsi="宋体" w:cs="宋体"/>
          <w:color w:val="auto"/>
          <w:sz w:val="24"/>
          <w:highlight w:val="none"/>
        </w:rPr>
        <w:t>3.4其他补充说明</w:t>
      </w:r>
      <w:r>
        <w:rPr>
          <w:rFonts w:hint="eastAsia" w:hAnsi="宋体" w:cs="宋体"/>
          <w:color w:val="auto"/>
          <w:sz w:val="24"/>
          <w:highlight w:val="none"/>
          <w:u w:val="single"/>
        </w:rPr>
        <w:t xml:space="preserve">     /  ；</w:t>
      </w:r>
    </w:p>
    <w:p>
      <w:pPr>
        <w:spacing w:line="360" w:lineRule="auto"/>
        <w:ind w:firstLine="480" w:firstLineChars="200"/>
        <w:rPr>
          <w:rFonts w:hAnsi="宋体" w:cs="宋体"/>
          <w:b/>
          <w:color w:val="auto"/>
          <w:sz w:val="24"/>
          <w:highlight w:val="none"/>
        </w:rPr>
      </w:pPr>
      <w:r>
        <w:rPr>
          <w:rFonts w:hint="eastAsia" w:hAnsi="宋体" w:cs="宋体"/>
          <w:b/>
          <w:color w:val="auto"/>
          <w:sz w:val="24"/>
          <w:highlight w:val="none"/>
        </w:rPr>
        <w:t>4．工程量清单</w:t>
      </w:r>
    </w:p>
    <w:p>
      <w:pPr>
        <w:spacing w:line="360" w:lineRule="auto"/>
        <w:ind w:firstLine="480" w:firstLineChars="200"/>
        <w:rPr>
          <w:rFonts w:ascii="新宋体" w:hAnsi="新宋体" w:eastAsia="新宋体"/>
          <w:color w:val="auto"/>
          <w:sz w:val="24"/>
          <w:highlight w:val="none"/>
          <w:u w:val="single"/>
        </w:rPr>
      </w:pPr>
      <w:r>
        <w:rPr>
          <w:rFonts w:hint="eastAsia" w:hAnsi="宋体" w:cs="宋体"/>
          <w:color w:val="auto"/>
          <w:sz w:val="24"/>
          <w:highlight w:val="none"/>
          <w:u w:val="single"/>
        </w:rPr>
        <w:t>工程量清单在【全国公共资源交易平台（河南省·许昌市）】上自行下载。</w:t>
      </w:r>
    </w:p>
    <w:p>
      <w:pPr>
        <w:autoSpaceDE w:val="0"/>
        <w:autoSpaceDN w:val="0"/>
        <w:adjustRightInd w:val="0"/>
        <w:ind w:firstLine="480" w:firstLineChars="200"/>
        <w:outlineLvl w:val="0"/>
        <w:rPr>
          <w:rFonts w:ascii="新宋体" w:hAnsi="新宋体" w:eastAsia="新宋体"/>
          <w:color w:val="auto"/>
          <w:sz w:val="24"/>
          <w:highlight w:val="none"/>
          <w:u w:val="single"/>
        </w:rPr>
      </w:pPr>
      <w:r>
        <w:rPr>
          <w:rFonts w:ascii="新宋体" w:hAnsi="新宋体" w:eastAsia="新宋体"/>
          <w:color w:val="auto"/>
          <w:sz w:val="24"/>
          <w:highlight w:val="none"/>
          <w:u w:val="single"/>
        </w:rPr>
        <w:br w:type="page"/>
      </w:r>
    </w:p>
    <w:p>
      <w:pPr>
        <w:pStyle w:val="6"/>
        <w:rPr>
          <w:color w:val="auto"/>
          <w:highlight w:val="none"/>
        </w:rPr>
      </w:pPr>
      <w:bookmarkStart w:id="102" w:name="_Toc8808"/>
      <w:bookmarkStart w:id="103" w:name="_Toc9650"/>
      <w:r>
        <w:rPr>
          <w:rFonts w:hint="eastAsia"/>
          <w:color w:val="auto"/>
          <w:highlight w:val="none"/>
        </w:rPr>
        <w:t>第六章</w:t>
      </w:r>
      <w:r>
        <w:rPr>
          <w:color w:val="auto"/>
          <w:highlight w:val="none"/>
        </w:rPr>
        <w:t xml:space="preserve"> </w:t>
      </w:r>
      <w:r>
        <w:rPr>
          <w:rFonts w:hint="eastAsia"/>
          <w:color w:val="auto"/>
          <w:highlight w:val="none"/>
        </w:rPr>
        <w:t>图</w:t>
      </w:r>
      <w:r>
        <w:rPr>
          <w:color w:val="auto"/>
          <w:highlight w:val="none"/>
        </w:rPr>
        <w:t xml:space="preserve"> </w:t>
      </w:r>
      <w:r>
        <w:rPr>
          <w:rFonts w:hint="eastAsia"/>
          <w:color w:val="auto"/>
          <w:highlight w:val="none"/>
        </w:rPr>
        <w:t>纸</w:t>
      </w:r>
      <w:bookmarkEnd w:id="98"/>
      <w:bookmarkEnd w:id="102"/>
      <w:bookmarkEnd w:id="103"/>
    </w:p>
    <w:p>
      <w:pPr>
        <w:autoSpaceDE w:val="0"/>
        <w:autoSpaceDN w:val="0"/>
        <w:adjustRightInd w:val="0"/>
        <w:jc w:val="center"/>
        <w:rPr>
          <w:rFonts w:hAnsi="宋体" w:cs="黑体"/>
          <w:b/>
          <w:color w:val="auto"/>
          <w:sz w:val="24"/>
          <w:highlight w:val="none"/>
        </w:rPr>
      </w:pPr>
    </w:p>
    <w:p>
      <w:pPr>
        <w:autoSpaceDE w:val="0"/>
        <w:autoSpaceDN w:val="0"/>
        <w:adjustRightInd w:val="0"/>
        <w:ind w:firstLine="560" w:firstLineChars="200"/>
        <w:jc w:val="left"/>
        <w:outlineLvl w:val="0"/>
        <w:rPr>
          <w:rFonts w:hint="default" w:hAnsi="宋体" w:cs="黑体"/>
          <w:color w:val="auto"/>
          <w:sz w:val="28"/>
          <w:szCs w:val="28"/>
          <w:highlight w:val="none"/>
          <w:lang w:val="en-US" w:eastAsia="zh-CN"/>
        </w:rPr>
      </w:pPr>
      <w:bookmarkStart w:id="104" w:name="_Toc3738"/>
      <w:bookmarkStart w:id="105" w:name="_Toc278443522"/>
      <w:r>
        <w:rPr>
          <w:rFonts w:hint="eastAsia" w:hAnsi="宋体" w:cs="黑体"/>
          <w:color w:val="auto"/>
          <w:sz w:val="28"/>
          <w:szCs w:val="28"/>
          <w:highlight w:val="none"/>
          <w:lang w:val="en-US" w:eastAsia="zh-CN"/>
        </w:rPr>
        <w:t>第1、2标段无图纸；第3-5标段图纸按照招标文件中第二章投标人须知前附表第2.1项所给的网址自行下载。</w:t>
      </w: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pStyle w:val="11"/>
        <w:ind w:firstLine="680"/>
        <w:rPr>
          <w:rFonts w:hint="eastAsia"/>
          <w:color w:val="auto"/>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pStyle w:val="6"/>
        <w:rPr>
          <w:color w:val="auto"/>
          <w:highlight w:val="none"/>
        </w:rPr>
      </w:pPr>
      <w:bookmarkStart w:id="106" w:name="_Toc2791"/>
      <w:r>
        <w:rPr>
          <w:rFonts w:hint="eastAsia"/>
          <w:color w:val="auto"/>
          <w:highlight w:val="none"/>
        </w:rPr>
        <w:t>第七章</w:t>
      </w:r>
      <w:r>
        <w:rPr>
          <w:color w:val="auto"/>
          <w:highlight w:val="none"/>
        </w:rPr>
        <w:t xml:space="preserve"> </w:t>
      </w:r>
      <w:r>
        <w:rPr>
          <w:rFonts w:hint="eastAsia"/>
          <w:color w:val="auto"/>
          <w:highlight w:val="none"/>
        </w:rPr>
        <w:t>技术标准和要求</w:t>
      </w:r>
      <w:bookmarkEnd w:id="104"/>
      <w:bookmarkEnd w:id="105"/>
      <w:bookmarkEnd w:id="106"/>
    </w:p>
    <w:p>
      <w:pPr>
        <w:spacing w:line="500" w:lineRule="exact"/>
        <w:ind w:firstLine="480" w:firstLineChars="200"/>
        <w:jc w:val="left"/>
        <w:rPr>
          <w:rFonts w:ascii="新宋体" w:hAnsi="新宋体" w:eastAsia="新宋体"/>
          <w:color w:val="auto"/>
          <w:sz w:val="24"/>
          <w:highlight w:val="none"/>
        </w:rPr>
      </w:pPr>
    </w:p>
    <w:p>
      <w:pPr>
        <w:spacing w:line="500" w:lineRule="exact"/>
        <w:jc w:val="left"/>
        <w:rPr>
          <w:rFonts w:hint="eastAsia" w:hAnsi="宋体" w:cs="宋体"/>
          <w:b/>
          <w:bCs/>
          <w:color w:val="auto"/>
          <w:sz w:val="24"/>
          <w:highlight w:val="none"/>
        </w:rPr>
      </w:pPr>
    </w:p>
    <w:p>
      <w:pPr>
        <w:spacing w:line="50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1、本工程技术标准和要求以本工程施工图纸和适用的国家、行业以及地方规范、标准和规程为准。</w:t>
      </w:r>
    </w:p>
    <w:p>
      <w:pPr>
        <w:spacing w:line="50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黑体"/>
          <w:color w:val="auto"/>
          <w:sz w:val="32"/>
          <w:szCs w:val="32"/>
          <w:highlight w:val="none"/>
        </w:rPr>
      </w:pPr>
    </w:p>
    <w:p>
      <w:pPr>
        <w:rPr>
          <w:color w:val="auto"/>
          <w:highlight w:val="none"/>
        </w:rPr>
      </w:pPr>
      <w:bookmarkStart w:id="107" w:name="_Toc9534"/>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bookmarkEnd w:id="107"/>
    <w:p>
      <w:pPr>
        <w:pStyle w:val="6"/>
        <w:rPr>
          <w:color w:val="auto"/>
          <w:highlight w:val="none"/>
        </w:rPr>
      </w:pPr>
      <w:bookmarkStart w:id="108" w:name="_Toc18525"/>
      <w:r>
        <w:rPr>
          <w:rFonts w:hint="eastAsia"/>
          <w:color w:val="auto"/>
          <w:highlight w:val="none"/>
        </w:rPr>
        <w:t>第八章 投标文件格式</w:t>
      </w:r>
      <w:bookmarkEnd w:id="108"/>
    </w:p>
    <w:p>
      <w:pPr>
        <w:autoSpaceDE w:val="0"/>
        <w:autoSpaceDN w:val="0"/>
        <w:adjustRightInd w:val="0"/>
        <w:rPr>
          <w:rFonts w:hint="eastAsia" w:hAnsi="宋体" w:cs="宋体"/>
          <w:b/>
          <w:color w:val="auto"/>
          <w:spacing w:val="60"/>
          <w:sz w:val="48"/>
          <w:szCs w:val="48"/>
          <w:highlight w:val="none"/>
          <w:u w:val="single"/>
        </w:rPr>
      </w:pPr>
    </w:p>
    <w:p>
      <w:pPr>
        <w:autoSpaceDE w:val="0"/>
        <w:autoSpaceDN w:val="0"/>
        <w:adjustRightInd w:val="0"/>
        <w:rPr>
          <w:rFonts w:hint="eastAsia" w:hAnsi="宋体" w:cs="宋体"/>
          <w:b/>
          <w:color w:val="auto"/>
          <w:spacing w:val="60"/>
          <w:sz w:val="48"/>
          <w:szCs w:val="48"/>
          <w:highlight w:val="none"/>
          <w:u w:val="single"/>
        </w:rPr>
      </w:pPr>
    </w:p>
    <w:p>
      <w:pPr>
        <w:autoSpaceDE w:val="0"/>
        <w:autoSpaceDN w:val="0"/>
        <w:adjustRightInd w:val="0"/>
        <w:ind w:firstLine="600" w:firstLineChars="100"/>
        <w:rPr>
          <w:rFonts w:hAnsi="宋体" w:cs="宋体"/>
          <w:b/>
          <w:color w:val="auto"/>
          <w:sz w:val="36"/>
          <w:szCs w:val="36"/>
          <w:highlight w:val="none"/>
        </w:rPr>
      </w:pPr>
      <w:r>
        <w:rPr>
          <w:rFonts w:hint="eastAsia" w:hAnsi="宋体" w:cs="宋体"/>
          <w:b/>
          <w:color w:val="auto"/>
          <w:spacing w:val="60"/>
          <w:sz w:val="48"/>
          <w:szCs w:val="48"/>
          <w:highlight w:val="none"/>
          <w:u w:val="single"/>
        </w:rPr>
        <w:t xml:space="preserve">        （工程名称及标段）</w:t>
      </w: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firstLine="1440" w:firstLineChars="200"/>
        <w:jc w:val="center"/>
        <w:rPr>
          <w:rFonts w:hAnsi="宋体" w:cs="宋体"/>
          <w:b/>
          <w:color w:val="auto"/>
          <w:sz w:val="72"/>
          <w:szCs w:val="72"/>
          <w:highlight w:val="none"/>
        </w:rPr>
      </w:pPr>
      <w:r>
        <w:rPr>
          <w:rFonts w:hint="eastAsia" w:hAnsi="宋体" w:cs="宋体"/>
          <w:b/>
          <w:color w:val="auto"/>
          <w:sz w:val="72"/>
          <w:szCs w:val="72"/>
          <w:highlight w:val="none"/>
        </w:rPr>
        <w:t>投 标 文 件</w:t>
      </w: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firstLine="640" w:firstLineChars="200"/>
        <w:jc w:val="center"/>
        <w:rPr>
          <w:rFonts w:hAnsi="宋体" w:cs="宋体"/>
          <w:b/>
          <w:color w:val="auto"/>
          <w:sz w:val="32"/>
          <w:szCs w:val="32"/>
          <w:highlight w:val="none"/>
        </w:rPr>
      </w:pPr>
      <w:r>
        <w:rPr>
          <w:rFonts w:hint="eastAsia" w:hAnsi="宋体" w:cs="宋体"/>
          <w:b/>
          <w:color w:val="auto"/>
          <w:sz w:val="32"/>
          <w:szCs w:val="32"/>
          <w:highlight w:val="none"/>
        </w:rPr>
        <w:t>（商务标）</w:t>
      </w:r>
    </w:p>
    <w:p>
      <w:pPr>
        <w:tabs>
          <w:tab w:val="center" w:pos="4739"/>
        </w:tabs>
        <w:ind w:left="180" w:firstLine="640" w:firstLineChars="200"/>
        <w:rPr>
          <w:rFonts w:hAnsi="宋体" w:cs="宋体"/>
          <w:b/>
          <w:color w:val="auto"/>
          <w:sz w:val="32"/>
          <w:szCs w:val="32"/>
          <w:highlight w:val="none"/>
        </w:rPr>
      </w:pPr>
      <w:r>
        <w:rPr>
          <w:rFonts w:hint="eastAsia" w:hAnsi="宋体" w:cs="宋体"/>
          <w:b/>
          <w:color w:val="auto"/>
          <w:sz w:val="32"/>
          <w:szCs w:val="32"/>
          <w:highlight w:val="none"/>
        </w:rPr>
        <w:t xml:space="preserve">               项目编号：</w:t>
      </w: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firstLine="640" w:firstLineChars="200"/>
        <w:jc w:val="center"/>
        <w:rPr>
          <w:rFonts w:hAnsi="宋体" w:cs="宋体"/>
          <w:b/>
          <w:color w:val="auto"/>
          <w:sz w:val="32"/>
          <w:highlight w:val="none"/>
        </w:rPr>
      </w:pPr>
      <w:r>
        <w:rPr>
          <w:rFonts w:hint="eastAsia" w:hAnsi="宋体" w:cs="宋体"/>
          <w:b/>
          <w:color w:val="auto"/>
          <w:sz w:val="32"/>
          <w:highlight w:val="none"/>
        </w:rPr>
        <w:t>投标人:(盖单位章)</w:t>
      </w:r>
    </w:p>
    <w:p>
      <w:pPr>
        <w:tabs>
          <w:tab w:val="center" w:pos="4739"/>
        </w:tabs>
        <w:ind w:left="180"/>
        <w:jc w:val="center"/>
        <w:rPr>
          <w:rFonts w:hAnsi="宋体" w:cs="宋体"/>
          <w:b/>
          <w:color w:val="auto"/>
          <w:sz w:val="32"/>
          <w:highlight w:val="none"/>
        </w:rPr>
      </w:pPr>
    </w:p>
    <w:p>
      <w:pPr>
        <w:tabs>
          <w:tab w:val="center" w:pos="4739"/>
        </w:tabs>
        <w:ind w:left="180" w:firstLine="640" w:firstLineChars="200"/>
        <w:jc w:val="center"/>
        <w:rPr>
          <w:rFonts w:hAnsi="宋体" w:cs="宋体"/>
          <w:b/>
          <w:color w:val="auto"/>
          <w:sz w:val="32"/>
          <w:highlight w:val="none"/>
        </w:rPr>
      </w:pPr>
      <w:r>
        <w:rPr>
          <w:rFonts w:hint="eastAsia" w:hAnsi="宋体" w:cs="宋体"/>
          <w:b/>
          <w:color w:val="auto"/>
          <w:sz w:val="32"/>
          <w:highlight w:val="none"/>
        </w:rPr>
        <w:t>法定代表人或其委托代理人:(签字)</w:t>
      </w:r>
    </w:p>
    <w:p>
      <w:pPr>
        <w:tabs>
          <w:tab w:val="center" w:pos="4739"/>
        </w:tabs>
        <w:ind w:left="180"/>
        <w:jc w:val="center"/>
        <w:rPr>
          <w:rFonts w:hAnsi="宋体" w:cs="宋体"/>
          <w:b/>
          <w:color w:val="auto"/>
          <w:sz w:val="32"/>
          <w:highlight w:val="none"/>
        </w:rPr>
      </w:pPr>
    </w:p>
    <w:p>
      <w:pPr>
        <w:tabs>
          <w:tab w:val="center" w:pos="4739"/>
        </w:tabs>
        <w:ind w:left="180" w:firstLine="640" w:firstLineChars="200"/>
        <w:jc w:val="center"/>
        <w:rPr>
          <w:rFonts w:hAnsi="宋体" w:cs="宋体"/>
          <w:b/>
          <w:color w:val="auto"/>
          <w:sz w:val="36"/>
          <w:szCs w:val="36"/>
          <w:highlight w:val="none"/>
        </w:rPr>
      </w:pPr>
      <w:r>
        <w:rPr>
          <w:rFonts w:hint="eastAsia" w:hAnsi="宋体" w:cs="宋体"/>
          <w:b/>
          <w:color w:val="auto"/>
          <w:sz w:val="32"/>
          <w:highlight w:val="none"/>
        </w:rPr>
        <w:t>年   月    日</w:t>
      </w:r>
    </w:p>
    <w:p>
      <w:pPr>
        <w:autoSpaceDE w:val="0"/>
        <w:autoSpaceDN w:val="0"/>
        <w:adjustRightInd w:val="0"/>
        <w:spacing w:line="420" w:lineRule="exact"/>
        <w:ind w:firstLine="720" w:firstLineChars="200"/>
        <w:jc w:val="center"/>
        <w:rPr>
          <w:rFonts w:hint="eastAsia" w:hAnsi="宋体" w:cs="宋体"/>
          <w:b/>
          <w:color w:val="auto"/>
          <w:sz w:val="36"/>
          <w:szCs w:val="36"/>
          <w:highlight w:val="none"/>
        </w:rPr>
        <w:sectPr>
          <w:headerReference r:id="rId10" w:type="first"/>
          <w:footerReference r:id="rId12" w:type="first"/>
          <w:footerReference r:id="rId11" w:type="default"/>
          <w:pgSz w:w="11906" w:h="16838"/>
          <w:pgMar w:top="1361" w:right="1134" w:bottom="1197" w:left="1134" w:header="851" w:footer="992" w:gutter="0"/>
          <w:cols w:space="720" w:num="1"/>
          <w:docGrid w:type="linesAndChars" w:linePitch="312" w:charSpace="0"/>
        </w:sectPr>
      </w:pPr>
      <w:r>
        <w:rPr>
          <w:rFonts w:hint="eastAsia" w:hAnsi="宋体" w:cs="宋体"/>
          <w:b/>
          <w:color w:val="auto"/>
          <w:sz w:val="36"/>
          <w:szCs w:val="36"/>
          <w:highlight w:val="none"/>
        </w:rPr>
        <w:t xml:space="preserve"> </w:t>
      </w:r>
    </w:p>
    <w:p>
      <w:pPr>
        <w:autoSpaceDE w:val="0"/>
        <w:autoSpaceDN w:val="0"/>
        <w:adjustRightInd w:val="0"/>
        <w:spacing w:line="420" w:lineRule="exact"/>
        <w:ind w:firstLine="720" w:firstLineChars="200"/>
        <w:jc w:val="center"/>
        <w:rPr>
          <w:rFonts w:hAnsi="宋体" w:cs="宋体"/>
          <w:b/>
          <w:color w:val="auto"/>
          <w:sz w:val="36"/>
          <w:szCs w:val="36"/>
          <w:highlight w:val="none"/>
        </w:rPr>
      </w:pPr>
      <w:r>
        <w:rPr>
          <w:rFonts w:hint="eastAsia" w:hAnsi="宋体" w:cs="宋体"/>
          <w:b/>
          <w:color w:val="auto"/>
          <w:sz w:val="36"/>
          <w:szCs w:val="36"/>
          <w:highlight w:val="none"/>
        </w:rPr>
        <w:t>已标价工程量清单</w:t>
      </w:r>
    </w:p>
    <w:p>
      <w:pPr>
        <w:autoSpaceDE w:val="0"/>
        <w:autoSpaceDN w:val="0"/>
        <w:adjustRightInd w:val="0"/>
        <w:spacing w:line="360" w:lineRule="auto"/>
        <w:ind w:right="215" w:firstLine="480" w:firstLineChars="200"/>
        <w:jc w:val="center"/>
        <w:rPr>
          <w:rFonts w:hAnsi="宋体" w:cs="宋体"/>
          <w:b/>
          <w:color w:val="auto"/>
          <w:sz w:val="32"/>
          <w:highlight w:val="none"/>
        </w:rPr>
      </w:pPr>
      <w:r>
        <w:rPr>
          <w:rFonts w:hint="eastAsia" w:hAnsi="宋体" w:cs="宋体"/>
          <w:color w:val="auto"/>
          <w:sz w:val="24"/>
          <w:highlight w:val="none"/>
        </w:rPr>
        <w:t xml:space="preserve">  （按所发放的工程量清单编制）</w:t>
      </w:r>
    </w:p>
    <w:p>
      <w:pPr>
        <w:tabs>
          <w:tab w:val="center" w:pos="4739"/>
        </w:tabs>
        <w:spacing w:before="312" w:beforeLines="100" w:after="312" w:afterLines="100"/>
        <w:jc w:val="right"/>
        <w:rPr>
          <w:rFonts w:hAnsi="宋体" w:cs="宋体"/>
          <w:color w:val="auto"/>
          <w:sz w:val="32"/>
          <w:szCs w:val="32"/>
          <w:highlight w:val="none"/>
        </w:rPr>
        <w:sectPr>
          <w:pgSz w:w="11906" w:h="16838"/>
          <w:pgMar w:top="1304" w:right="1134" w:bottom="1304" w:left="1134" w:header="851" w:footer="992" w:gutter="0"/>
          <w:cols w:space="720" w:num="1"/>
          <w:docGrid w:type="linesAndChars" w:linePitch="312" w:charSpace="0"/>
        </w:sectPr>
      </w:pPr>
    </w:p>
    <w:p>
      <w:pPr>
        <w:autoSpaceDE w:val="0"/>
        <w:autoSpaceDN w:val="0"/>
        <w:adjustRightInd w:val="0"/>
        <w:rPr>
          <w:rFonts w:hint="eastAsia" w:hAnsi="宋体" w:cs="宋体"/>
          <w:b/>
          <w:color w:val="auto"/>
          <w:spacing w:val="60"/>
          <w:sz w:val="48"/>
          <w:szCs w:val="48"/>
          <w:highlight w:val="none"/>
          <w:u w:val="single"/>
        </w:rPr>
      </w:pPr>
    </w:p>
    <w:p>
      <w:pPr>
        <w:autoSpaceDE w:val="0"/>
        <w:autoSpaceDN w:val="0"/>
        <w:adjustRightInd w:val="0"/>
        <w:rPr>
          <w:rFonts w:hint="eastAsia" w:hAnsi="宋体" w:cs="宋体"/>
          <w:b/>
          <w:color w:val="auto"/>
          <w:spacing w:val="60"/>
          <w:sz w:val="48"/>
          <w:szCs w:val="48"/>
          <w:highlight w:val="none"/>
          <w:u w:val="single"/>
        </w:rPr>
      </w:pPr>
    </w:p>
    <w:p>
      <w:pPr>
        <w:autoSpaceDE w:val="0"/>
        <w:autoSpaceDN w:val="0"/>
        <w:adjustRightInd w:val="0"/>
        <w:ind w:firstLine="600" w:firstLineChars="100"/>
        <w:rPr>
          <w:rFonts w:hAnsi="宋体" w:cs="宋体"/>
          <w:b/>
          <w:color w:val="auto"/>
          <w:spacing w:val="60"/>
          <w:sz w:val="48"/>
          <w:szCs w:val="48"/>
          <w:highlight w:val="none"/>
          <w:u w:val="single"/>
        </w:rPr>
      </w:pPr>
      <w:r>
        <w:rPr>
          <w:rFonts w:hint="eastAsia" w:hAnsi="宋体" w:cs="宋体"/>
          <w:b/>
          <w:color w:val="auto"/>
          <w:spacing w:val="60"/>
          <w:sz w:val="48"/>
          <w:szCs w:val="48"/>
          <w:highlight w:val="none"/>
          <w:u w:val="single"/>
        </w:rPr>
        <w:t xml:space="preserve">       （工程名称及标段）</w:t>
      </w:r>
    </w:p>
    <w:p>
      <w:pPr>
        <w:tabs>
          <w:tab w:val="center" w:pos="4739"/>
        </w:tabs>
        <w:ind w:left="180"/>
        <w:jc w:val="center"/>
        <w:rPr>
          <w:rFonts w:hAnsi="宋体" w:cs="宋体"/>
          <w:b/>
          <w:color w:val="auto"/>
          <w:sz w:val="36"/>
          <w:szCs w:val="36"/>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firstLine="1440" w:firstLineChars="200"/>
        <w:jc w:val="center"/>
        <w:rPr>
          <w:rFonts w:hAnsi="宋体" w:cs="宋体"/>
          <w:b/>
          <w:color w:val="auto"/>
          <w:sz w:val="72"/>
          <w:szCs w:val="72"/>
          <w:highlight w:val="none"/>
        </w:rPr>
      </w:pPr>
      <w:r>
        <w:rPr>
          <w:rFonts w:hint="eastAsia" w:hAnsi="宋体" w:cs="宋体"/>
          <w:b/>
          <w:color w:val="auto"/>
          <w:sz w:val="72"/>
          <w:szCs w:val="72"/>
          <w:highlight w:val="none"/>
        </w:rPr>
        <w:t>投 标 文 件</w:t>
      </w: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firstLine="640" w:firstLineChars="200"/>
        <w:jc w:val="center"/>
        <w:rPr>
          <w:rFonts w:hAnsi="宋体" w:cs="宋体"/>
          <w:b/>
          <w:color w:val="auto"/>
          <w:sz w:val="32"/>
          <w:szCs w:val="32"/>
          <w:highlight w:val="none"/>
        </w:rPr>
      </w:pPr>
      <w:r>
        <w:rPr>
          <w:rFonts w:hint="eastAsia" w:hAnsi="宋体" w:cs="宋体"/>
          <w:b/>
          <w:color w:val="auto"/>
          <w:sz w:val="32"/>
          <w:szCs w:val="32"/>
          <w:highlight w:val="none"/>
        </w:rPr>
        <w:t>综合（信用）标</w:t>
      </w:r>
    </w:p>
    <w:p>
      <w:pPr>
        <w:tabs>
          <w:tab w:val="center" w:pos="4739"/>
        </w:tabs>
        <w:ind w:left="180" w:firstLine="640" w:firstLineChars="200"/>
        <w:rPr>
          <w:rFonts w:hAnsi="宋体" w:cs="宋体"/>
          <w:b/>
          <w:color w:val="auto"/>
          <w:sz w:val="32"/>
          <w:szCs w:val="32"/>
          <w:highlight w:val="none"/>
        </w:rPr>
      </w:pPr>
      <w:r>
        <w:rPr>
          <w:rFonts w:hint="eastAsia" w:hAnsi="宋体" w:cs="宋体"/>
          <w:b/>
          <w:color w:val="auto"/>
          <w:sz w:val="32"/>
          <w:szCs w:val="32"/>
          <w:highlight w:val="none"/>
        </w:rPr>
        <w:t xml:space="preserve">               项目编号：</w:t>
      </w: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firstLine="640" w:firstLineChars="200"/>
        <w:jc w:val="center"/>
        <w:rPr>
          <w:rFonts w:hAnsi="宋体" w:cs="宋体"/>
          <w:b/>
          <w:color w:val="auto"/>
          <w:sz w:val="32"/>
          <w:highlight w:val="none"/>
        </w:rPr>
      </w:pPr>
      <w:r>
        <w:rPr>
          <w:rFonts w:hint="eastAsia" w:hAnsi="宋体" w:cs="宋体"/>
          <w:b/>
          <w:color w:val="auto"/>
          <w:sz w:val="32"/>
          <w:highlight w:val="none"/>
        </w:rPr>
        <w:t>投标人:(盖单位章)</w:t>
      </w:r>
    </w:p>
    <w:p>
      <w:pPr>
        <w:tabs>
          <w:tab w:val="center" w:pos="4739"/>
        </w:tabs>
        <w:ind w:left="180"/>
        <w:jc w:val="center"/>
        <w:rPr>
          <w:rFonts w:hAnsi="宋体" w:cs="宋体"/>
          <w:b/>
          <w:color w:val="auto"/>
          <w:sz w:val="32"/>
          <w:highlight w:val="none"/>
        </w:rPr>
      </w:pPr>
    </w:p>
    <w:p>
      <w:pPr>
        <w:tabs>
          <w:tab w:val="center" w:pos="4739"/>
        </w:tabs>
        <w:ind w:left="180" w:firstLine="640" w:firstLineChars="200"/>
        <w:jc w:val="center"/>
        <w:rPr>
          <w:rFonts w:hAnsi="宋体" w:cs="宋体"/>
          <w:b/>
          <w:color w:val="auto"/>
          <w:sz w:val="32"/>
          <w:highlight w:val="none"/>
        </w:rPr>
      </w:pPr>
      <w:r>
        <w:rPr>
          <w:rFonts w:hint="eastAsia" w:hAnsi="宋体" w:cs="宋体"/>
          <w:b/>
          <w:color w:val="auto"/>
          <w:sz w:val="32"/>
          <w:highlight w:val="none"/>
        </w:rPr>
        <w:t>法定代表人或其委托代理人:(签字)</w:t>
      </w:r>
    </w:p>
    <w:p>
      <w:pPr>
        <w:tabs>
          <w:tab w:val="center" w:pos="4739"/>
        </w:tabs>
        <w:ind w:left="180"/>
        <w:jc w:val="center"/>
        <w:rPr>
          <w:rFonts w:hAnsi="宋体" w:cs="宋体"/>
          <w:b/>
          <w:color w:val="auto"/>
          <w:sz w:val="32"/>
          <w:highlight w:val="none"/>
        </w:rPr>
      </w:pPr>
    </w:p>
    <w:p>
      <w:pPr>
        <w:tabs>
          <w:tab w:val="center" w:pos="4739"/>
        </w:tabs>
        <w:ind w:left="180" w:firstLine="640" w:firstLineChars="200"/>
        <w:jc w:val="center"/>
        <w:rPr>
          <w:rFonts w:hAnsi="宋体" w:cs="宋体"/>
          <w:b/>
          <w:color w:val="auto"/>
          <w:sz w:val="36"/>
          <w:szCs w:val="36"/>
          <w:highlight w:val="none"/>
        </w:rPr>
      </w:pPr>
      <w:r>
        <w:rPr>
          <w:rFonts w:hint="eastAsia" w:hAnsi="宋体" w:cs="宋体"/>
          <w:b/>
          <w:color w:val="auto"/>
          <w:sz w:val="32"/>
          <w:highlight w:val="none"/>
        </w:rPr>
        <w:t>年   月   日</w:t>
      </w:r>
    </w:p>
    <w:p>
      <w:pPr>
        <w:autoSpaceDE w:val="0"/>
        <w:autoSpaceDN w:val="0"/>
        <w:adjustRightInd w:val="0"/>
        <w:spacing w:line="420" w:lineRule="exact"/>
        <w:rPr>
          <w:rFonts w:hAnsi="宋体" w:cs="宋体"/>
          <w:b/>
          <w:color w:val="auto"/>
          <w:sz w:val="36"/>
          <w:szCs w:val="36"/>
          <w:highlight w:val="none"/>
        </w:rPr>
      </w:pPr>
    </w:p>
    <w:p>
      <w:pPr>
        <w:autoSpaceDE w:val="0"/>
        <w:autoSpaceDN w:val="0"/>
        <w:adjustRightInd w:val="0"/>
        <w:spacing w:line="420" w:lineRule="exact"/>
        <w:rPr>
          <w:rFonts w:hAnsi="宋体" w:cs="宋体"/>
          <w:b/>
          <w:color w:val="auto"/>
          <w:sz w:val="36"/>
          <w:szCs w:val="36"/>
          <w:highlight w:val="none"/>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420" w:lineRule="exact"/>
        <w:rPr>
          <w:rFonts w:hAnsi="宋体" w:cs="宋体"/>
          <w:b/>
          <w:color w:val="auto"/>
          <w:sz w:val="36"/>
          <w:szCs w:val="36"/>
          <w:highlight w:val="none"/>
        </w:rPr>
      </w:pPr>
    </w:p>
    <w:p>
      <w:pPr>
        <w:autoSpaceDE w:val="0"/>
        <w:autoSpaceDN w:val="0"/>
        <w:adjustRightInd w:val="0"/>
        <w:spacing w:line="420" w:lineRule="exact"/>
        <w:ind w:firstLine="720" w:firstLineChars="200"/>
        <w:jc w:val="center"/>
        <w:rPr>
          <w:rFonts w:hAnsi="宋体" w:cs="宋体"/>
          <w:color w:val="auto"/>
          <w:sz w:val="36"/>
          <w:szCs w:val="36"/>
          <w:highlight w:val="none"/>
        </w:rPr>
      </w:pPr>
      <w:r>
        <w:rPr>
          <w:rFonts w:hint="eastAsia" w:hAnsi="宋体" w:cs="宋体"/>
          <w:b/>
          <w:color w:val="auto"/>
          <w:sz w:val="36"/>
          <w:szCs w:val="36"/>
          <w:highlight w:val="none"/>
        </w:rPr>
        <w:t>目    录</w:t>
      </w:r>
    </w:p>
    <w:p>
      <w:pPr>
        <w:autoSpaceDE w:val="0"/>
        <w:autoSpaceDN w:val="0"/>
        <w:adjustRightInd w:val="0"/>
        <w:spacing w:line="420" w:lineRule="exact"/>
        <w:jc w:val="center"/>
        <w:rPr>
          <w:rFonts w:hAnsi="宋体" w:cs="宋体"/>
          <w:color w:val="auto"/>
          <w:sz w:val="28"/>
          <w:szCs w:val="28"/>
          <w:highlight w:val="none"/>
        </w:rPr>
      </w:pPr>
    </w:p>
    <w:p>
      <w:pPr>
        <w:autoSpaceDE w:val="0"/>
        <w:autoSpaceDN w:val="0"/>
        <w:adjustRightInd w:val="0"/>
        <w:spacing w:line="420" w:lineRule="exact"/>
        <w:jc w:val="center"/>
        <w:rPr>
          <w:rFonts w:hAnsi="宋体" w:cs="宋体"/>
          <w:color w:val="auto"/>
          <w:sz w:val="28"/>
          <w:szCs w:val="28"/>
          <w:highlight w:val="none"/>
        </w:rPr>
      </w:pP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一、投标函及投标函附录；</w:t>
      </w: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二、法定代表人身份证明、授权委托书及项目负责人承诺书；</w:t>
      </w: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三、投标保证金；</w:t>
      </w: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四、项目管理机构配备情况；</w:t>
      </w: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五、投标单位基本信息表；</w:t>
      </w: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六、资格证明文件；</w:t>
      </w: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七、近年完成的类似项目情况；</w:t>
      </w: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八、正在施工的和新承接的项目情况；</w:t>
      </w: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九、近年发生的诉讼及仲裁</w:t>
      </w:r>
    </w:p>
    <w:p>
      <w:pPr>
        <w:autoSpaceDE w:val="0"/>
        <w:autoSpaceDN w:val="0"/>
        <w:adjustRightInd w:val="0"/>
        <w:spacing w:line="480" w:lineRule="auto"/>
        <w:ind w:left="718" w:leftChars="342" w:firstLine="480" w:firstLineChars="200"/>
        <w:jc w:val="left"/>
        <w:rPr>
          <w:rFonts w:hAnsi="宋体" w:cs="宋体"/>
          <w:b/>
          <w:color w:val="auto"/>
          <w:sz w:val="24"/>
          <w:highlight w:val="none"/>
        </w:rPr>
      </w:pPr>
      <w:r>
        <w:rPr>
          <w:rFonts w:hint="eastAsia" w:hAnsi="宋体" w:cs="宋体"/>
          <w:b/>
          <w:color w:val="auto"/>
          <w:sz w:val="24"/>
          <w:highlight w:val="none"/>
        </w:rPr>
        <w:t>十、其它材料；</w:t>
      </w:r>
    </w:p>
    <w:p>
      <w:pPr>
        <w:autoSpaceDE w:val="0"/>
        <w:autoSpaceDN w:val="0"/>
        <w:adjustRightInd w:val="0"/>
        <w:spacing w:line="480" w:lineRule="auto"/>
        <w:ind w:left="718" w:leftChars="342"/>
        <w:jc w:val="left"/>
        <w:rPr>
          <w:rFonts w:hAnsi="宋体" w:cs="宋体"/>
          <w:b/>
          <w:color w:val="auto"/>
          <w:sz w:val="24"/>
          <w:highlight w:val="none"/>
        </w:rPr>
      </w:pPr>
    </w:p>
    <w:p>
      <w:pPr>
        <w:spacing w:line="600" w:lineRule="exact"/>
        <w:ind w:left="850" w:leftChars="405" w:firstLine="480" w:firstLineChars="200"/>
        <w:rPr>
          <w:rFonts w:hAnsi="宋体" w:cs="宋体"/>
          <w:b/>
          <w:color w:val="auto"/>
          <w:sz w:val="24"/>
          <w:highlight w:val="none"/>
        </w:rPr>
      </w:pPr>
      <w:r>
        <w:rPr>
          <w:rFonts w:hint="eastAsia" w:hAnsi="宋体" w:cs="宋体"/>
          <w:b/>
          <w:color w:val="auto"/>
          <w:sz w:val="24"/>
          <w:highlight w:val="none"/>
        </w:rPr>
        <w:t>投标文件编制过程中应按本章提供的格式填报。</w:t>
      </w:r>
    </w:p>
    <w:p>
      <w:pPr>
        <w:spacing w:line="600" w:lineRule="exact"/>
        <w:ind w:left="850" w:leftChars="405" w:firstLine="480" w:firstLineChars="200"/>
        <w:rPr>
          <w:rFonts w:hAnsi="宋体" w:cs="宋体"/>
          <w:b/>
          <w:color w:val="auto"/>
          <w:sz w:val="24"/>
          <w:highlight w:val="none"/>
        </w:rPr>
      </w:pPr>
      <w:r>
        <w:rPr>
          <w:rFonts w:hint="eastAsia" w:hAnsi="宋体" w:cs="宋体"/>
          <w:b/>
          <w:color w:val="auto"/>
          <w:sz w:val="24"/>
          <w:highlight w:val="none"/>
        </w:rPr>
        <w:t>如有本章未提供的格式，投标人可自行编制。</w:t>
      </w:r>
    </w:p>
    <w:p>
      <w:pPr>
        <w:tabs>
          <w:tab w:val="center" w:pos="4739"/>
        </w:tabs>
        <w:ind w:left="180" w:firstLine="640" w:firstLineChars="200"/>
        <w:jc w:val="center"/>
        <w:rPr>
          <w:rFonts w:hAnsi="宋体" w:cs="宋体"/>
          <w:b/>
          <w:color w:val="auto"/>
          <w:sz w:val="32"/>
          <w:highlight w:val="none"/>
        </w:rPr>
      </w:pPr>
      <w:r>
        <w:rPr>
          <w:rFonts w:hint="eastAsia" w:hAnsi="宋体" w:cs="宋体"/>
          <w:b/>
          <w:color w:val="auto"/>
          <w:sz w:val="32"/>
          <w:highlight w:val="none"/>
        </w:rPr>
        <w:br w:type="page"/>
      </w:r>
      <w:r>
        <w:rPr>
          <w:rFonts w:hint="eastAsia" w:hAnsi="宋体" w:cs="宋体"/>
          <w:b/>
          <w:color w:val="auto"/>
          <w:sz w:val="32"/>
          <w:highlight w:val="none"/>
        </w:rPr>
        <w:t>一、投标函及投标函附录</w:t>
      </w:r>
    </w:p>
    <w:p>
      <w:pPr>
        <w:spacing w:before="312" w:beforeLines="100" w:after="156" w:afterLines="50" w:line="510" w:lineRule="exact"/>
        <w:ind w:firstLine="560" w:firstLineChars="200"/>
        <w:jc w:val="center"/>
        <w:rPr>
          <w:rFonts w:hAnsi="宋体" w:cs="宋体"/>
          <w:color w:val="auto"/>
          <w:sz w:val="28"/>
          <w:szCs w:val="28"/>
          <w:highlight w:val="none"/>
        </w:rPr>
      </w:pPr>
      <w:bookmarkStart w:id="109" w:name="_Toc271787730"/>
      <w:r>
        <w:rPr>
          <w:rFonts w:hint="eastAsia" w:hAnsi="宋体" w:cs="宋体"/>
          <w:color w:val="auto"/>
          <w:sz w:val="28"/>
          <w:szCs w:val="28"/>
          <w:highlight w:val="none"/>
        </w:rPr>
        <w:t>（一）投标函</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致：（招标人名称）</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在考察现场并充分研究</w:t>
      </w:r>
      <w:r>
        <w:rPr>
          <w:rFonts w:hint="eastAsia" w:hAnsi="宋体" w:cs="宋体"/>
          <w:color w:val="auto"/>
          <w:sz w:val="24"/>
          <w:highlight w:val="none"/>
          <w:u w:val="single"/>
        </w:rPr>
        <w:t xml:space="preserve">               </w:t>
      </w:r>
      <w:r>
        <w:rPr>
          <w:rFonts w:hint="eastAsia" w:hAnsi="宋体" w:cs="宋体"/>
          <w:color w:val="auto"/>
          <w:sz w:val="24"/>
          <w:highlight w:val="none"/>
        </w:rPr>
        <w:t>（项目名称及标段）（以下简称“本工程”）施工招标文件的全部内容后，我方兹以：</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人民币（大写）：</w:t>
      </w:r>
      <w:r>
        <w:rPr>
          <w:rFonts w:hint="eastAsia" w:hAnsi="宋体" w:cs="宋体"/>
          <w:color w:val="auto"/>
          <w:sz w:val="24"/>
          <w:highlight w:val="none"/>
          <w:u w:val="single"/>
        </w:rPr>
        <w:t xml:space="preserve">             </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在我方的上述投标总报价中，包括：</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规费RMB￥：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税金RMB￥：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安全文明措施费RMB￥：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如果我方中标，我方保证按照合同约定的开工日期开始本工程的施工，</w:t>
      </w:r>
      <w:r>
        <w:rPr>
          <w:rFonts w:hint="eastAsia" w:hAnsi="宋体" w:cs="宋体"/>
          <w:color w:val="auto"/>
          <w:sz w:val="24"/>
          <w:highlight w:val="none"/>
          <w:u w:val="single"/>
        </w:rPr>
        <w:t xml:space="preserve">     </w:t>
      </w:r>
      <w:r>
        <w:rPr>
          <w:rFonts w:hint="eastAsia" w:hAnsi="宋体" w:cs="宋体"/>
          <w:color w:val="auto"/>
          <w:sz w:val="24"/>
          <w:highlight w:val="none"/>
        </w:rPr>
        <w:t>天（日历日）内竣工，并确保工程质量达到</w:t>
      </w:r>
      <w:r>
        <w:rPr>
          <w:rFonts w:hint="eastAsia" w:hAnsi="宋体" w:cs="宋体"/>
          <w:color w:val="auto"/>
          <w:sz w:val="24"/>
          <w:highlight w:val="none"/>
          <w:u w:val="single"/>
        </w:rPr>
        <w:t xml:space="preserve">       </w:t>
      </w:r>
      <w:r>
        <w:rPr>
          <w:rFonts w:hint="eastAsia" w:hAnsi="宋体" w:cs="宋体"/>
          <w:color w:val="auto"/>
          <w:sz w:val="24"/>
          <w:highlight w:val="none"/>
        </w:rPr>
        <w:t>。我方同意本投标函在招标文件规定的提交投标文件截止时间后，在招标文件规定的投标有效期期满前对我方具有约束力，且随时准备接受你方发出的中标通知书。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随本投标函递交的投标函附录是本投标函的组成部分，对我方构成约束力。</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随同本投标函递交投标保证金一份，金额为人民币（大写）：</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在签署协议书之前，你方的中标通知书连同本投标函，包括投标函附录，对双方具有约束力。</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投标人（盖章）：</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法定代表人或委托代理人（签字）：</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日期：年月日</w:t>
      </w:r>
    </w:p>
    <w:p>
      <w:pPr>
        <w:autoSpaceDE w:val="0"/>
        <w:autoSpaceDN w:val="0"/>
        <w:adjustRightInd w:val="0"/>
        <w:jc w:val="center"/>
        <w:outlineLvl w:val="0"/>
        <w:rPr>
          <w:rFonts w:hAnsi="宋体" w:cs="宋体"/>
          <w:color w:val="auto"/>
          <w:sz w:val="28"/>
          <w:szCs w:val="28"/>
          <w:highlight w:val="none"/>
        </w:rPr>
        <w:sectPr>
          <w:pgSz w:w="11906" w:h="16838"/>
          <w:pgMar w:top="1304" w:right="1134" w:bottom="1304" w:left="1134" w:header="851" w:footer="992" w:gutter="0"/>
          <w:cols w:space="720" w:num="1"/>
          <w:docGrid w:type="linesAndChars" w:linePitch="312" w:charSpace="0"/>
        </w:sectPr>
      </w:pPr>
      <w:bookmarkStart w:id="110" w:name="_Toc250616672"/>
    </w:p>
    <w:p>
      <w:pPr>
        <w:autoSpaceDE w:val="0"/>
        <w:autoSpaceDN w:val="0"/>
        <w:adjustRightInd w:val="0"/>
        <w:ind w:firstLine="560" w:firstLineChars="200"/>
        <w:jc w:val="center"/>
        <w:outlineLvl w:val="0"/>
        <w:rPr>
          <w:rFonts w:hAnsi="宋体" w:cs="宋体"/>
          <w:color w:val="auto"/>
          <w:sz w:val="28"/>
          <w:szCs w:val="28"/>
          <w:highlight w:val="none"/>
        </w:rPr>
      </w:pPr>
      <w:bookmarkStart w:id="111" w:name="_Toc15081"/>
      <w:r>
        <w:rPr>
          <w:rFonts w:hint="eastAsia" w:hAnsi="宋体" w:cs="宋体"/>
          <w:color w:val="auto"/>
          <w:sz w:val="28"/>
          <w:szCs w:val="28"/>
          <w:highlight w:val="none"/>
        </w:rPr>
        <w:t>（二）投标函附录</w:t>
      </w:r>
      <w:bookmarkEnd w:id="110"/>
      <w:bookmarkEnd w:id="111"/>
    </w:p>
    <w:p>
      <w:pPr>
        <w:rPr>
          <w:rFonts w:hAnsi="宋体" w:cs="宋体"/>
          <w:color w:val="auto"/>
          <w:highlight w:val="none"/>
        </w:rPr>
      </w:pPr>
    </w:p>
    <w:tbl>
      <w:tblPr>
        <w:tblStyle w:val="14"/>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noWrap w:val="0"/>
            <w:vAlign w:val="center"/>
          </w:tcPr>
          <w:p>
            <w:pPr>
              <w:jc w:val="center"/>
              <w:rPr>
                <w:rFonts w:hint="eastAsia" w:hAnsi="宋体" w:eastAsia="宋体" w:cs="宋体"/>
                <w:color w:val="auto"/>
                <w:sz w:val="24"/>
                <w:highlight w:val="none"/>
                <w:lang w:eastAsia="zh-CN"/>
              </w:rPr>
            </w:pPr>
            <w:r>
              <w:rPr>
                <w:rFonts w:hint="eastAsia" w:hAnsi="宋体" w:cs="宋体"/>
                <w:color w:val="auto"/>
                <w:sz w:val="24"/>
                <w:highlight w:val="none"/>
              </w:rPr>
              <w:t>工程名称</w:t>
            </w:r>
          </w:p>
        </w:tc>
        <w:tc>
          <w:tcPr>
            <w:tcW w:w="6014" w:type="dxa"/>
            <w:gridSpan w:val="5"/>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noWrap w:val="0"/>
            <w:vAlign w:val="center"/>
          </w:tcPr>
          <w:p>
            <w:pPr>
              <w:jc w:val="center"/>
              <w:rPr>
                <w:rFonts w:hAnsi="宋体" w:cs="宋体"/>
                <w:color w:val="auto"/>
                <w:sz w:val="24"/>
                <w:highlight w:val="none"/>
              </w:rPr>
            </w:pPr>
            <w:r>
              <w:rPr>
                <w:rFonts w:hint="eastAsia" w:hAnsi="宋体" w:cs="宋体"/>
                <w:color w:val="auto"/>
                <w:sz w:val="24"/>
                <w:highlight w:val="none"/>
              </w:rPr>
              <w:t>投标人</w:t>
            </w:r>
          </w:p>
        </w:tc>
        <w:tc>
          <w:tcPr>
            <w:tcW w:w="6014" w:type="dxa"/>
            <w:gridSpan w:val="5"/>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项目经理</w:t>
            </w:r>
          </w:p>
        </w:tc>
        <w:tc>
          <w:tcPr>
            <w:tcW w:w="1510" w:type="dxa"/>
            <w:noWrap w:val="0"/>
            <w:vAlign w:val="center"/>
          </w:tcPr>
          <w:p>
            <w:pPr>
              <w:jc w:val="center"/>
              <w:rPr>
                <w:rFonts w:hAnsi="宋体" w:cs="宋体"/>
                <w:color w:val="auto"/>
                <w:sz w:val="24"/>
                <w:highlight w:val="none"/>
              </w:rPr>
            </w:pPr>
          </w:p>
        </w:tc>
        <w:tc>
          <w:tcPr>
            <w:tcW w:w="565" w:type="dxa"/>
            <w:noWrap w:val="0"/>
            <w:vAlign w:val="center"/>
          </w:tcPr>
          <w:p>
            <w:pPr>
              <w:jc w:val="center"/>
              <w:rPr>
                <w:rFonts w:hAnsi="宋体" w:cs="宋体"/>
                <w:color w:val="auto"/>
                <w:sz w:val="24"/>
                <w:highlight w:val="none"/>
              </w:rPr>
            </w:pPr>
            <w:r>
              <w:rPr>
                <w:rFonts w:hint="eastAsia" w:hAnsi="宋体" w:cs="宋体"/>
                <w:color w:val="auto"/>
                <w:sz w:val="24"/>
                <w:highlight w:val="none"/>
              </w:rPr>
              <w:t>级别</w:t>
            </w:r>
          </w:p>
        </w:tc>
        <w:tc>
          <w:tcPr>
            <w:tcW w:w="1245" w:type="dxa"/>
            <w:noWrap w:val="0"/>
            <w:vAlign w:val="center"/>
          </w:tcPr>
          <w:p>
            <w:pPr>
              <w:jc w:val="center"/>
              <w:rPr>
                <w:rFonts w:hAnsi="宋体" w:cs="宋体"/>
                <w:color w:val="auto"/>
                <w:sz w:val="24"/>
                <w:highlight w:val="none"/>
              </w:rPr>
            </w:pPr>
          </w:p>
        </w:tc>
        <w:tc>
          <w:tcPr>
            <w:tcW w:w="790" w:type="dxa"/>
            <w:noWrap w:val="0"/>
            <w:vAlign w:val="center"/>
          </w:tcPr>
          <w:p>
            <w:pPr>
              <w:jc w:val="center"/>
              <w:rPr>
                <w:rFonts w:hAnsi="宋体" w:cs="宋体"/>
                <w:color w:val="auto"/>
                <w:sz w:val="24"/>
                <w:highlight w:val="none"/>
              </w:rPr>
            </w:pPr>
            <w:r>
              <w:rPr>
                <w:rFonts w:hint="eastAsia" w:hAnsi="宋体" w:cs="宋体"/>
                <w:color w:val="auto"/>
                <w:sz w:val="24"/>
                <w:highlight w:val="none"/>
              </w:rPr>
              <w:t>证书编号</w:t>
            </w:r>
          </w:p>
        </w:tc>
        <w:tc>
          <w:tcPr>
            <w:tcW w:w="1904" w:type="dxa"/>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Ansi="宋体" w:cs="宋体"/>
                <w:color w:val="auto"/>
                <w:sz w:val="24"/>
                <w:highlight w:val="none"/>
              </w:rPr>
            </w:pPr>
            <w:r>
              <w:rPr>
                <w:rFonts w:hint="eastAsia" w:hAnsi="宋体" w:cs="宋体"/>
                <w:color w:val="auto"/>
                <w:sz w:val="24"/>
                <w:highlight w:val="none"/>
              </w:rPr>
              <w:t>技术负责人</w:t>
            </w:r>
          </w:p>
        </w:tc>
        <w:tc>
          <w:tcPr>
            <w:tcW w:w="1510" w:type="dxa"/>
            <w:noWrap w:val="0"/>
            <w:vAlign w:val="center"/>
          </w:tcPr>
          <w:p>
            <w:pPr>
              <w:jc w:val="center"/>
              <w:rPr>
                <w:rFonts w:hAnsi="宋体" w:cs="宋体"/>
                <w:color w:val="auto"/>
                <w:sz w:val="24"/>
                <w:highlight w:val="none"/>
              </w:rPr>
            </w:pPr>
          </w:p>
        </w:tc>
        <w:tc>
          <w:tcPr>
            <w:tcW w:w="565" w:type="dxa"/>
            <w:noWrap w:val="0"/>
            <w:vAlign w:val="center"/>
          </w:tcPr>
          <w:p>
            <w:pPr>
              <w:jc w:val="center"/>
              <w:rPr>
                <w:rFonts w:hAnsi="宋体" w:cs="宋体"/>
                <w:color w:val="auto"/>
                <w:sz w:val="24"/>
                <w:highlight w:val="none"/>
              </w:rPr>
            </w:pPr>
            <w:r>
              <w:rPr>
                <w:rFonts w:hint="eastAsia" w:hAnsi="宋体" w:cs="宋体"/>
                <w:color w:val="auto"/>
                <w:sz w:val="24"/>
                <w:highlight w:val="none"/>
              </w:rPr>
              <w:t>级别</w:t>
            </w:r>
          </w:p>
        </w:tc>
        <w:tc>
          <w:tcPr>
            <w:tcW w:w="1245" w:type="dxa"/>
            <w:noWrap w:val="0"/>
            <w:vAlign w:val="center"/>
          </w:tcPr>
          <w:p>
            <w:pPr>
              <w:jc w:val="center"/>
              <w:rPr>
                <w:rFonts w:hAnsi="宋体" w:cs="宋体"/>
                <w:color w:val="auto"/>
                <w:sz w:val="24"/>
                <w:highlight w:val="none"/>
              </w:rPr>
            </w:pPr>
          </w:p>
        </w:tc>
        <w:tc>
          <w:tcPr>
            <w:tcW w:w="790" w:type="dxa"/>
            <w:noWrap w:val="0"/>
            <w:vAlign w:val="center"/>
          </w:tcPr>
          <w:p>
            <w:pPr>
              <w:jc w:val="center"/>
              <w:rPr>
                <w:rFonts w:hAnsi="宋体" w:cs="宋体"/>
                <w:color w:val="auto"/>
                <w:sz w:val="24"/>
                <w:highlight w:val="none"/>
              </w:rPr>
            </w:pPr>
            <w:r>
              <w:rPr>
                <w:rFonts w:hint="eastAsia" w:hAnsi="宋体" w:cs="宋体"/>
                <w:color w:val="auto"/>
                <w:sz w:val="24"/>
                <w:highlight w:val="none"/>
              </w:rPr>
              <w:t>证书编号</w:t>
            </w:r>
          </w:p>
        </w:tc>
        <w:tc>
          <w:tcPr>
            <w:tcW w:w="1904" w:type="dxa"/>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noWrap w:val="0"/>
            <w:vAlign w:val="center"/>
          </w:tcPr>
          <w:p>
            <w:pPr>
              <w:jc w:val="center"/>
              <w:rPr>
                <w:rFonts w:hAnsi="宋体" w:cs="宋体"/>
                <w:color w:val="auto"/>
                <w:sz w:val="24"/>
                <w:highlight w:val="none"/>
              </w:rPr>
            </w:pPr>
            <w:r>
              <w:rPr>
                <w:rFonts w:hint="eastAsia" w:hAnsi="宋体" w:cs="宋体"/>
                <w:color w:val="auto"/>
                <w:sz w:val="24"/>
                <w:highlight w:val="none"/>
              </w:rPr>
              <w:t>投标总报价</w:t>
            </w:r>
          </w:p>
        </w:tc>
        <w:tc>
          <w:tcPr>
            <w:tcW w:w="3320" w:type="dxa"/>
            <w:gridSpan w:val="3"/>
            <w:noWrap w:val="0"/>
            <w:vAlign w:val="center"/>
          </w:tcPr>
          <w:p>
            <w:pPr>
              <w:rPr>
                <w:rFonts w:hAnsi="宋体" w:cs="宋体"/>
                <w:color w:val="auto"/>
                <w:sz w:val="24"/>
                <w:highlight w:val="none"/>
              </w:rPr>
            </w:pPr>
            <w:r>
              <w:rPr>
                <w:rFonts w:hint="eastAsia" w:hAnsi="宋体" w:cs="宋体"/>
                <w:color w:val="auto"/>
                <w:sz w:val="24"/>
                <w:highlight w:val="none"/>
              </w:rPr>
              <w:t>（大写）</w:t>
            </w:r>
          </w:p>
        </w:tc>
        <w:tc>
          <w:tcPr>
            <w:tcW w:w="2694" w:type="dxa"/>
            <w:gridSpan w:val="2"/>
            <w:noWrap w:val="0"/>
            <w:vAlign w:val="center"/>
          </w:tcPr>
          <w:p>
            <w:pPr>
              <w:rPr>
                <w:rFonts w:hAnsi="宋体" w:cs="宋体"/>
                <w:color w:val="auto"/>
                <w:sz w:val="24"/>
                <w:highlight w:val="none"/>
              </w:rPr>
            </w:pPr>
            <w:r>
              <w:rPr>
                <w:rFonts w:hint="eastAsia" w:hAnsi="宋体"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noWrap w:val="0"/>
            <w:vAlign w:val="center"/>
          </w:tcPr>
          <w:p>
            <w:pPr>
              <w:jc w:val="center"/>
              <w:rPr>
                <w:rFonts w:hAnsi="宋体" w:cs="宋体"/>
                <w:color w:val="auto"/>
                <w:sz w:val="24"/>
                <w:highlight w:val="none"/>
              </w:rPr>
            </w:pPr>
          </w:p>
        </w:tc>
        <w:tc>
          <w:tcPr>
            <w:tcW w:w="6014" w:type="dxa"/>
            <w:gridSpan w:val="5"/>
            <w:noWrap w:val="0"/>
            <w:vAlign w:val="center"/>
          </w:tcPr>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其中：</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规费RMB￥：元</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税金RMB￥：元</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noWrap w:val="0"/>
            <w:vAlign w:val="center"/>
          </w:tcPr>
          <w:p>
            <w:pPr>
              <w:jc w:val="center"/>
              <w:rPr>
                <w:rFonts w:hAnsi="宋体" w:cs="宋体"/>
                <w:color w:val="auto"/>
                <w:sz w:val="24"/>
                <w:highlight w:val="none"/>
              </w:rPr>
            </w:pPr>
            <w:r>
              <w:rPr>
                <w:rFonts w:hint="eastAsia" w:hAnsi="宋体" w:cs="宋体"/>
                <w:color w:val="auto"/>
                <w:sz w:val="24"/>
                <w:highlight w:val="none"/>
              </w:rPr>
              <w:t>投标质量等级</w:t>
            </w:r>
          </w:p>
        </w:tc>
        <w:tc>
          <w:tcPr>
            <w:tcW w:w="6014" w:type="dxa"/>
            <w:gridSpan w:val="5"/>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noWrap w:val="0"/>
            <w:vAlign w:val="center"/>
          </w:tcPr>
          <w:p>
            <w:pPr>
              <w:jc w:val="center"/>
              <w:rPr>
                <w:rFonts w:hAnsi="宋体" w:cs="宋体"/>
                <w:color w:val="auto"/>
                <w:sz w:val="24"/>
                <w:highlight w:val="none"/>
              </w:rPr>
            </w:pPr>
            <w:r>
              <w:rPr>
                <w:rFonts w:hint="eastAsia" w:hAnsi="宋体" w:cs="宋体"/>
                <w:color w:val="auto"/>
                <w:sz w:val="24"/>
                <w:highlight w:val="none"/>
              </w:rPr>
              <w:t>投标工期</w:t>
            </w:r>
          </w:p>
        </w:tc>
        <w:tc>
          <w:tcPr>
            <w:tcW w:w="6014" w:type="dxa"/>
            <w:gridSpan w:val="5"/>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noWrap w:val="0"/>
            <w:vAlign w:val="center"/>
          </w:tcPr>
          <w:p>
            <w:pPr>
              <w:jc w:val="center"/>
              <w:rPr>
                <w:rFonts w:hAnsi="宋体" w:cs="宋体"/>
                <w:color w:val="auto"/>
                <w:sz w:val="24"/>
                <w:highlight w:val="none"/>
              </w:rPr>
            </w:pPr>
            <w:r>
              <w:rPr>
                <w:rFonts w:hint="eastAsia" w:hAnsi="宋体" w:cs="宋体"/>
                <w:color w:val="auto"/>
                <w:sz w:val="24"/>
                <w:highlight w:val="none"/>
              </w:rPr>
              <w:t>投标有效期</w:t>
            </w:r>
          </w:p>
        </w:tc>
        <w:tc>
          <w:tcPr>
            <w:tcW w:w="6014" w:type="dxa"/>
            <w:gridSpan w:val="5"/>
            <w:noWrap w:val="0"/>
            <w:vAlign w:val="center"/>
          </w:tcPr>
          <w:p>
            <w:pPr>
              <w:jc w:val="center"/>
              <w:rPr>
                <w:rFonts w:hAnsi="宋体" w:cs="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noWrap w:val="0"/>
            <w:vAlign w:val="top"/>
          </w:tcPr>
          <w:p>
            <w:pPr>
              <w:ind w:firstLine="480" w:firstLineChars="200"/>
              <w:rPr>
                <w:rFonts w:hAnsi="宋体" w:cs="宋体"/>
                <w:color w:val="auto"/>
                <w:sz w:val="24"/>
                <w:highlight w:val="none"/>
              </w:rPr>
            </w:pPr>
            <w:r>
              <w:rPr>
                <w:rFonts w:hint="eastAsia" w:hAnsi="宋体" w:cs="宋体"/>
                <w:color w:val="auto"/>
                <w:sz w:val="24"/>
                <w:highlight w:val="none"/>
              </w:rPr>
              <w:t xml:space="preserve"> 优惠与服务承诺：</w:t>
            </w:r>
          </w:p>
          <w:p>
            <w:pPr>
              <w:rPr>
                <w:rFonts w:hAnsi="宋体" w:cs="宋体"/>
                <w:color w:val="auto"/>
                <w:sz w:val="24"/>
                <w:highlight w:val="none"/>
              </w:rPr>
            </w:pPr>
          </w:p>
          <w:p>
            <w:pPr>
              <w:rPr>
                <w:rFonts w:hAnsi="宋体" w:cs="宋体"/>
                <w:color w:val="auto"/>
                <w:sz w:val="24"/>
                <w:highlight w:val="none"/>
              </w:rPr>
            </w:pPr>
          </w:p>
          <w:p>
            <w:pPr>
              <w:rPr>
                <w:rFonts w:hAnsi="宋体" w:cs="宋体"/>
                <w:color w:val="auto"/>
                <w:sz w:val="24"/>
                <w:highlight w:val="none"/>
              </w:rPr>
            </w:pPr>
          </w:p>
          <w:p>
            <w:pPr>
              <w:rPr>
                <w:rFonts w:hAnsi="宋体" w:cs="宋体"/>
                <w:color w:val="auto"/>
                <w:sz w:val="24"/>
                <w:highlight w:val="none"/>
              </w:rPr>
            </w:pPr>
          </w:p>
          <w:p>
            <w:pPr>
              <w:rPr>
                <w:rFonts w:hAnsi="宋体" w:cs="宋体"/>
                <w:color w:val="auto"/>
                <w:sz w:val="24"/>
                <w:highlight w:val="none"/>
              </w:rPr>
            </w:pPr>
          </w:p>
        </w:tc>
      </w:tr>
    </w:tbl>
    <w:p>
      <w:pPr>
        <w:ind w:right="475"/>
        <w:jc w:val="right"/>
        <w:rPr>
          <w:rFonts w:hAnsi="宋体" w:cs="宋体"/>
          <w:color w:val="auto"/>
          <w:highlight w:val="none"/>
        </w:rPr>
      </w:pPr>
    </w:p>
    <w:p>
      <w:pPr>
        <w:ind w:right="475"/>
        <w:jc w:val="right"/>
        <w:rPr>
          <w:rFonts w:hAnsi="宋体" w:cs="宋体"/>
          <w:color w:val="auto"/>
          <w:sz w:val="24"/>
          <w:highlight w:val="none"/>
        </w:rPr>
      </w:pPr>
    </w:p>
    <w:p>
      <w:pPr>
        <w:spacing w:line="360" w:lineRule="auto"/>
        <w:ind w:right="475" w:firstLine="480" w:firstLineChars="200"/>
        <w:jc w:val="right"/>
        <w:rPr>
          <w:rFonts w:hAnsi="宋体" w:cs="宋体"/>
          <w:color w:val="auto"/>
          <w:sz w:val="24"/>
          <w:highlight w:val="none"/>
        </w:rPr>
      </w:pPr>
      <w:r>
        <w:rPr>
          <w:rFonts w:hint="eastAsia" w:hAnsi="宋体" w:cs="宋体"/>
          <w:color w:val="auto"/>
          <w:sz w:val="24"/>
          <w:highlight w:val="none"/>
        </w:rPr>
        <w:t>投标单位（盖章）：</w:t>
      </w:r>
    </w:p>
    <w:p>
      <w:pPr>
        <w:spacing w:line="360" w:lineRule="auto"/>
        <w:ind w:right="315" w:firstLine="480" w:firstLineChars="200"/>
        <w:jc w:val="right"/>
        <w:rPr>
          <w:rFonts w:hAnsi="宋体" w:cs="宋体"/>
          <w:color w:val="auto"/>
          <w:sz w:val="24"/>
          <w:highlight w:val="none"/>
        </w:rPr>
      </w:pPr>
      <w:r>
        <w:rPr>
          <w:rFonts w:hint="eastAsia" w:hAnsi="宋体" w:cs="宋体"/>
          <w:color w:val="auto"/>
          <w:sz w:val="24"/>
          <w:highlight w:val="none"/>
        </w:rPr>
        <w:t>法定代表人或委托代理人（签字）：</w:t>
      </w:r>
    </w:p>
    <w:p>
      <w:pPr>
        <w:wordWrap w:val="0"/>
        <w:spacing w:line="360" w:lineRule="auto"/>
        <w:ind w:right="1110" w:firstLine="480" w:firstLineChars="200"/>
        <w:jc w:val="right"/>
        <w:rPr>
          <w:rFonts w:hAnsi="宋体" w:cs="宋体"/>
          <w:color w:val="auto"/>
          <w:sz w:val="28"/>
          <w:szCs w:val="28"/>
          <w:highlight w:val="none"/>
        </w:rPr>
      </w:pPr>
      <w:r>
        <w:rPr>
          <w:rFonts w:hint="eastAsia" w:hAnsi="宋体" w:cs="宋体"/>
          <w:color w:val="auto"/>
          <w:sz w:val="24"/>
          <w:highlight w:val="none"/>
        </w:rPr>
        <w:t>年   月    日</w:t>
      </w:r>
    </w:p>
    <w:p>
      <w:pPr>
        <w:autoSpaceDE w:val="0"/>
        <w:autoSpaceDN w:val="0"/>
        <w:adjustRightInd w:val="0"/>
        <w:spacing w:before="312" w:beforeLines="100" w:after="312" w:afterLines="100" w:line="420" w:lineRule="exact"/>
        <w:ind w:firstLine="560" w:firstLineChars="200"/>
        <w:jc w:val="center"/>
        <w:outlineLvl w:val="0"/>
        <w:rPr>
          <w:rFonts w:hAnsi="宋体" w:cs="宋体"/>
          <w:b/>
          <w:color w:val="auto"/>
          <w:sz w:val="28"/>
          <w:szCs w:val="28"/>
          <w:highlight w:val="none"/>
        </w:rPr>
      </w:pPr>
      <w:r>
        <w:rPr>
          <w:rFonts w:hint="eastAsia" w:hAnsi="宋体" w:cs="宋体"/>
          <w:color w:val="auto"/>
          <w:sz w:val="28"/>
          <w:szCs w:val="28"/>
          <w:highlight w:val="none"/>
        </w:rPr>
        <w:br w:type="page"/>
      </w:r>
      <w:bookmarkStart w:id="112" w:name="_Toc19442"/>
      <w:r>
        <w:rPr>
          <w:rFonts w:hint="eastAsia" w:hAnsi="宋体" w:cs="宋体"/>
          <w:color w:val="auto"/>
          <w:sz w:val="28"/>
          <w:szCs w:val="28"/>
          <w:highlight w:val="none"/>
        </w:rPr>
        <w:t>二、</w:t>
      </w:r>
      <w:bookmarkEnd w:id="109"/>
      <w:r>
        <w:rPr>
          <w:rFonts w:hint="eastAsia" w:hAnsi="宋体" w:cs="宋体"/>
          <w:b/>
          <w:color w:val="auto"/>
          <w:sz w:val="28"/>
          <w:szCs w:val="28"/>
          <w:highlight w:val="none"/>
        </w:rPr>
        <w:t>法定代表人身份证明、授权委托书及项目负责人承诺书</w:t>
      </w:r>
      <w:bookmarkEnd w:id="112"/>
    </w:p>
    <w:p>
      <w:pPr>
        <w:autoSpaceDE w:val="0"/>
        <w:autoSpaceDN w:val="0"/>
        <w:adjustRightInd w:val="0"/>
        <w:spacing w:line="420" w:lineRule="exact"/>
        <w:ind w:firstLine="560" w:firstLineChars="200"/>
        <w:jc w:val="center"/>
        <w:outlineLvl w:val="0"/>
        <w:rPr>
          <w:rFonts w:hAnsi="宋体" w:cs="宋体"/>
          <w:b/>
          <w:bCs/>
          <w:color w:val="auto"/>
          <w:sz w:val="28"/>
          <w:szCs w:val="28"/>
          <w:highlight w:val="none"/>
        </w:rPr>
      </w:pPr>
      <w:bookmarkStart w:id="113" w:name="_Toc25215"/>
      <w:bookmarkStart w:id="114" w:name="_Toc271787731"/>
      <w:r>
        <w:rPr>
          <w:rFonts w:hint="eastAsia" w:hAnsi="宋体" w:cs="宋体"/>
          <w:b/>
          <w:bCs/>
          <w:color w:val="auto"/>
          <w:sz w:val="28"/>
          <w:szCs w:val="28"/>
          <w:highlight w:val="none"/>
        </w:rPr>
        <w:t>（一）法定代表人身份证明</w:t>
      </w:r>
      <w:bookmarkEnd w:id="113"/>
      <w:bookmarkEnd w:id="114"/>
    </w:p>
    <w:p>
      <w:pPr>
        <w:autoSpaceDE w:val="0"/>
        <w:autoSpaceDN w:val="0"/>
        <w:adjustRightInd w:val="0"/>
        <w:spacing w:line="420" w:lineRule="exact"/>
        <w:jc w:val="center"/>
        <w:rPr>
          <w:rFonts w:hAnsi="宋体" w:cs="宋体"/>
          <w:color w:val="auto"/>
          <w:sz w:val="28"/>
          <w:szCs w:val="28"/>
          <w:highlight w:val="none"/>
        </w:rPr>
      </w:pPr>
    </w:p>
    <w:p>
      <w:pPr>
        <w:autoSpaceDE w:val="0"/>
        <w:autoSpaceDN w:val="0"/>
        <w:adjustRightInd w:val="0"/>
        <w:spacing w:line="420" w:lineRule="exact"/>
        <w:ind w:firstLine="480" w:firstLineChars="200"/>
        <w:jc w:val="left"/>
        <w:rPr>
          <w:rFonts w:hAnsi="宋体" w:cs="宋体"/>
          <w:color w:val="auto"/>
          <w:sz w:val="24"/>
          <w:szCs w:val="24"/>
          <w:highlight w:val="none"/>
          <w:u w:val="single"/>
        </w:rPr>
      </w:pPr>
      <w:r>
        <w:rPr>
          <w:rFonts w:hint="eastAsia" w:hAnsi="宋体" w:cs="宋体"/>
          <w:color w:val="auto"/>
          <w:sz w:val="24"/>
          <w:szCs w:val="24"/>
          <w:highlight w:val="none"/>
        </w:rPr>
        <w:t>投标人名称：</w:t>
      </w:r>
    </w:p>
    <w:p>
      <w:pPr>
        <w:autoSpaceDE w:val="0"/>
        <w:autoSpaceDN w:val="0"/>
        <w:adjustRightInd w:val="0"/>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单位性质：</w:t>
      </w:r>
    </w:p>
    <w:p>
      <w:pPr>
        <w:autoSpaceDE w:val="0"/>
        <w:autoSpaceDN w:val="0"/>
        <w:adjustRightInd w:val="0"/>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地址：</w:t>
      </w:r>
    </w:p>
    <w:p>
      <w:pPr>
        <w:autoSpaceDE w:val="0"/>
        <w:autoSpaceDN w:val="0"/>
        <w:adjustRightInd w:val="0"/>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成立时间：年月日</w:t>
      </w:r>
    </w:p>
    <w:p>
      <w:pPr>
        <w:autoSpaceDE w:val="0"/>
        <w:autoSpaceDN w:val="0"/>
        <w:adjustRightInd w:val="0"/>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经营期限：</w:t>
      </w:r>
    </w:p>
    <w:p>
      <w:pPr>
        <w:autoSpaceDE w:val="0"/>
        <w:autoSpaceDN w:val="0"/>
        <w:adjustRightInd w:val="0"/>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姓名：性别：年龄：职务：</w:t>
      </w:r>
    </w:p>
    <w:p>
      <w:pPr>
        <w:autoSpaceDE w:val="0"/>
        <w:autoSpaceDN w:val="0"/>
        <w:adjustRightInd w:val="0"/>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系（投标人名称）的法定代表人。</w:t>
      </w:r>
    </w:p>
    <w:p>
      <w:pPr>
        <w:autoSpaceDE w:val="0"/>
        <w:autoSpaceDN w:val="0"/>
        <w:adjustRightInd w:val="0"/>
        <w:spacing w:line="42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特此证明。</w:t>
      </w:r>
    </w:p>
    <w:p>
      <w:pPr>
        <w:autoSpaceDE w:val="0"/>
        <w:autoSpaceDN w:val="0"/>
        <w:adjustRightInd w:val="0"/>
        <w:spacing w:line="420" w:lineRule="exact"/>
        <w:ind w:firstLine="480" w:firstLineChars="200"/>
        <w:jc w:val="left"/>
        <w:rPr>
          <w:rFonts w:hint="eastAsia" w:hAnsi="宋体" w:cs="宋体"/>
          <w:color w:val="auto"/>
          <w:sz w:val="24"/>
          <w:szCs w:val="24"/>
          <w:highlight w:val="none"/>
        </w:rPr>
      </w:pPr>
      <w:r>
        <w:rPr>
          <w:rFonts w:hint="eastAsia" w:ascii="宋体" w:hAnsi="宋体" w:cs="仿宋_GB2312"/>
          <w:color w:val="auto"/>
          <w:kern w:val="0"/>
          <w:sz w:val="24"/>
          <w:szCs w:val="24"/>
          <w:highlight w:val="none"/>
        </w:rPr>
        <w:t>附：法定代表人身份证复印件</w:t>
      </w:r>
    </w:p>
    <w:p>
      <w:pPr>
        <w:rPr>
          <w:color w:val="auto"/>
          <w:highlight w:val="none"/>
        </w:rPr>
      </w:pPr>
    </w:p>
    <w:p>
      <w:pPr>
        <w:autoSpaceDE w:val="0"/>
        <w:autoSpaceDN w:val="0"/>
        <w:adjustRightInd w:val="0"/>
        <w:spacing w:line="420" w:lineRule="exact"/>
        <w:ind w:firstLine="480" w:firstLineChars="200"/>
        <w:rPr>
          <w:rFonts w:hAnsi="宋体" w:cs="宋体"/>
          <w:color w:val="auto"/>
          <w:sz w:val="24"/>
          <w:highlight w:val="none"/>
        </w:rPr>
      </w:pPr>
      <w:r>
        <w:rPr>
          <w:rFonts w:hint="eastAsia" w:hAnsi="宋体" w:cs="宋体"/>
          <w:color w:val="auto"/>
          <w:sz w:val="24"/>
          <w:highlight w:val="none"/>
        </w:rPr>
        <w:t>投标人：（盖单位章）</w:t>
      </w:r>
    </w:p>
    <w:p>
      <w:pPr>
        <w:autoSpaceDE w:val="0"/>
        <w:autoSpaceDN w:val="0"/>
        <w:adjustRightInd w:val="0"/>
        <w:spacing w:line="420" w:lineRule="exact"/>
        <w:ind w:firstLine="480" w:firstLineChars="200"/>
        <w:jc w:val="right"/>
        <w:rPr>
          <w:rFonts w:hAnsi="宋体" w:cs="宋体"/>
          <w:color w:val="auto"/>
          <w:sz w:val="24"/>
          <w:highlight w:val="none"/>
        </w:rPr>
      </w:pPr>
      <w:r>
        <w:rPr>
          <w:rFonts w:hint="eastAsia" w:hAnsi="宋体" w:cs="宋体"/>
          <w:color w:val="auto"/>
          <w:sz w:val="24"/>
          <w:highlight w:val="none"/>
        </w:rPr>
        <w:t>年月日</w:t>
      </w:r>
    </w:p>
    <w:p>
      <w:pPr>
        <w:autoSpaceDE w:val="0"/>
        <w:autoSpaceDN w:val="0"/>
        <w:adjustRightInd w:val="0"/>
        <w:spacing w:line="420" w:lineRule="exact"/>
        <w:ind w:firstLine="420" w:firstLineChars="200"/>
        <w:jc w:val="right"/>
        <w:rPr>
          <w:rFonts w:hAnsi="宋体" w:cs="宋体"/>
          <w:color w:val="auto"/>
          <w:szCs w:val="21"/>
          <w:highlight w:val="none"/>
        </w:rPr>
      </w:pPr>
    </w:p>
    <w:p>
      <w:pPr>
        <w:autoSpaceDE w:val="0"/>
        <w:autoSpaceDN w:val="0"/>
        <w:adjustRightInd w:val="0"/>
        <w:spacing w:line="420" w:lineRule="exact"/>
        <w:ind w:firstLine="560" w:firstLineChars="200"/>
        <w:jc w:val="center"/>
        <w:outlineLvl w:val="0"/>
        <w:rPr>
          <w:rFonts w:hAnsi="宋体" w:cs="宋体"/>
          <w:b/>
          <w:bCs/>
          <w:color w:val="auto"/>
          <w:sz w:val="28"/>
          <w:szCs w:val="28"/>
          <w:highlight w:val="none"/>
        </w:rPr>
      </w:pPr>
      <w:bookmarkStart w:id="115" w:name="_Toc30413"/>
      <w:bookmarkStart w:id="116" w:name="_Toc271787732"/>
      <w:r>
        <w:rPr>
          <w:rFonts w:hint="eastAsia" w:hAnsi="宋体" w:cs="宋体"/>
          <w:b/>
          <w:bCs/>
          <w:color w:val="auto"/>
          <w:sz w:val="28"/>
          <w:szCs w:val="28"/>
          <w:highlight w:val="none"/>
        </w:rPr>
        <w:t>（二）授权委托书</w:t>
      </w:r>
      <w:bookmarkEnd w:id="115"/>
      <w:bookmarkEnd w:id="116"/>
    </w:p>
    <w:p>
      <w:pPr>
        <w:autoSpaceDE w:val="0"/>
        <w:autoSpaceDN w:val="0"/>
        <w:adjustRightInd w:val="0"/>
        <w:spacing w:line="420" w:lineRule="exact"/>
        <w:jc w:val="center"/>
        <w:rPr>
          <w:rFonts w:hAnsi="宋体" w:cs="宋体"/>
          <w:color w:val="auto"/>
          <w:sz w:val="28"/>
          <w:szCs w:val="28"/>
          <w:highlight w:val="none"/>
        </w:rPr>
      </w:pPr>
    </w:p>
    <w:p>
      <w:pPr>
        <w:autoSpaceDE w:val="0"/>
        <w:autoSpaceDN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 xml:space="preserve">本人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（姓名、签字）系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（投标人名称）的法定代表人，现委托</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（姓名、签字）为我方代理人。代理人根据授权，以我方名义签署、澄清、说明、补正、递交、撤回、修改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（项目名称及标段）施工投标文件、签订合同和处理有关事宜，其法律后果由我方承担。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委托期限：</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pPr>
        <w:autoSpaceDE w:val="0"/>
        <w:autoSpaceDN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代理人无转委托权。</w:t>
      </w:r>
    </w:p>
    <w:p>
      <w:pPr>
        <w:autoSpaceDE w:val="0"/>
        <w:autoSpaceDN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附：法定代表人身份证复印件及委托代理人身份证复印件</w:t>
      </w:r>
    </w:p>
    <w:p>
      <w:pPr>
        <w:autoSpaceDE w:val="0"/>
        <w:autoSpaceDN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投标人：（盖单位章）</w:t>
      </w:r>
    </w:p>
    <w:p>
      <w:pPr>
        <w:autoSpaceDE w:val="0"/>
        <w:autoSpaceDN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法定代表人： （签字）</w:t>
      </w:r>
    </w:p>
    <w:p>
      <w:pPr>
        <w:autoSpaceDE w:val="0"/>
        <w:autoSpaceDN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身份证号码：</w:t>
      </w:r>
    </w:p>
    <w:p>
      <w:pPr>
        <w:autoSpaceDE w:val="0"/>
        <w:autoSpaceDN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委托代理人： （签字）</w:t>
      </w:r>
    </w:p>
    <w:p>
      <w:pPr>
        <w:autoSpaceDE w:val="0"/>
        <w:autoSpaceDN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身份证号码：</w:t>
      </w:r>
    </w:p>
    <w:p>
      <w:pPr>
        <w:autoSpaceDE w:val="0"/>
        <w:autoSpaceDN w:val="0"/>
        <w:adjustRightInd w:val="0"/>
        <w:spacing w:line="440" w:lineRule="exact"/>
        <w:ind w:firstLine="480" w:firstLineChars="200"/>
        <w:jc w:val="left"/>
        <w:rPr>
          <w:rFonts w:hAnsi="宋体" w:cs="宋体"/>
          <w:b/>
          <w:color w:val="auto"/>
          <w:sz w:val="32"/>
          <w:highlight w:val="none"/>
        </w:rPr>
      </w:pPr>
      <w:r>
        <w:rPr>
          <w:rFonts w:hint="eastAsia" w:hAnsi="宋体" w:cs="宋体"/>
          <w:color w:val="auto"/>
          <w:sz w:val="24"/>
          <w:highlight w:val="none"/>
        </w:rPr>
        <w:t>年月 日</w:t>
      </w:r>
    </w:p>
    <w:p>
      <w:pPr>
        <w:spacing w:line="360" w:lineRule="auto"/>
        <w:jc w:val="center"/>
        <w:rPr>
          <w:rFonts w:hAnsi="宋体" w:cs="宋体"/>
          <w:b/>
          <w:color w:val="auto"/>
          <w:sz w:val="36"/>
          <w:szCs w:val="36"/>
          <w:highlight w:val="none"/>
        </w:rPr>
      </w:pPr>
    </w:p>
    <w:p>
      <w:pPr>
        <w:autoSpaceDE w:val="0"/>
        <w:autoSpaceDN w:val="0"/>
        <w:adjustRightInd w:val="0"/>
        <w:spacing w:line="420" w:lineRule="exact"/>
        <w:ind w:firstLine="560" w:firstLineChars="200"/>
        <w:jc w:val="center"/>
        <w:outlineLvl w:val="0"/>
        <w:rPr>
          <w:rFonts w:hint="eastAsia" w:hAnsi="宋体" w:cs="宋体"/>
          <w:b/>
          <w:bCs/>
          <w:color w:val="auto"/>
          <w:sz w:val="28"/>
          <w:szCs w:val="28"/>
          <w:highlight w:val="none"/>
        </w:rPr>
      </w:pPr>
      <w:r>
        <w:rPr>
          <w:rFonts w:hint="eastAsia" w:hAnsi="宋体" w:cs="宋体"/>
          <w:b/>
          <w:bCs/>
          <w:color w:val="auto"/>
          <w:sz w:val="28"/>
          <w:szCs w:val="28"/>
          <w:highlight w:val="none"/>
        </w:rPr>
        <w:t>（三）承诺书</w:t>
      </w:r>
    </w:p>
    <w:p>
      <w:pPr>
        <w:spacing w:after="312" w:afterLines="100" w:line="440" w:lineRule="exact"/>
        <w:ind w:firstLine="480" w:firstLineChars="200"/>
        <w:rPr>
          <w:rFonts w:hAnsi="宋体" w:cs="宋体"/>
          <w:color w:val="auto"/>
          <w:sz w:val="24"/>
          <w:highlight w:val="none"/>
        </w:rPr>
      </w:pPr>
      <w:r>
        <w:rPr>
          <w:rFonts w:hint="eastAsia" w:hAnsi="宋体" w:cs="宋体"/>
          <w:color w:val="auto"/>
          <w:sz w:val="24"/>
          <w:highlight w:val="none"/>
        </w:rPr>
        <w:t>（招标人名称）：</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我方在此声明，我方拟派往</w:t>
      </w:r>
      <w:r>
        <w:rPr>
          <w:rFonts w:hint="eastAsia" w:hAnsi="宋体" w:cs="宋体"/>
          <w:color w:val="auto"/>
          <w:sz w:val="24"/>
          <w:highlight w:val="none"/>
          <w:u w:val="single"/>
        </w:rPr>
        <w:t xml:space="preserve">               </w:t>
      </w:r>
      <w:r>
        <w:rPr>
          <w:rFonts w:hint="eastAsia" w:hAnsi="宋体" w:cs="宋体"/>
          <w:color w:val="auto"/>
          <w:sz w:val="24"/>
          <w:highlight w:val="none"/>
        </w:rPr>
        <w:t>（项目名称及标段）（以下简称“本工程”）的项目经理</w:t>
      </w:r>
      <w:r>
        <w:rPr>
          <w:rFonts w:hint="eastAsia" w:hAnsi="宋体" w:cs="宋体"/>
          <w:color w:val="auto"/>
          <w:sz w:val="24"/>
          <w:highlight w:val="none"/>
          <w:u w:val="single"/>
        </w:rPr>
        <w:t xml:space="preserve">           </w:t>
      </w:r>
      <w:r>
        <w:rPr>
          <w:rFonts w:hint="eastAsia" w:hAnsi="宋体" w:cs="宋体"/>
          <w:color w:val="auto"/>
          <w:sz w:val="24"/>
          <w:highlight w:val="none"/>
        </w:rPr>
        <w:t>（项目经理签字）现阶段没有担任任何在施建设工程项目的项目经理。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我方保证上述信息的真实和准确，并愿意承担因我方就此弄虚作假所引起的一切法律后果。</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特此承诺</w:t>
      </w:r>
    </w:p>
    <w:p>
      <w:pPr>
        <w:spacing w:line="440" w:lineRule="exact"/>
        <w:ind w:firstLine="480" w:firstLineChars="200"/>
        <w:jc w:val="center"/>
        <w:rPr>
          <w:rFonts w:hAnsi="宋体" w:cs="宋体"/>
          <w:color w:val="auto"/>
          <w:sz w:val="24"/>
          <w:highlight w:val="none"/>
        </w:rPr>
      </w:pPr>
      <w:r>
        <w:rPr>
          <w:rFonts w:hint="eastAsia" w:hAnsi="宋体" w:cs="宋体"/>
          <w:color w:val="auto"/>
          <w:sz w:val="24"/>
          <w:highlight w:val="none"/>
        </w:rPr>
        <w:t xml:space="preserve">                                                  投标人：（盖单位章）</w:t>
      </w:r>
    </w:p>
    <w:p>
      <w:pPr>
        <w:spacing w:line="440" w:lineRule="exact"/>
        <w:ind w:right="315" w:firstLine="480" w:firstLineChars="200"/>
        <w:jc w:val="right"/>
        <w:rPr>
          <w:color w:val="auto"/>
          <w:highlight w:val="none"/>
        </w:rPr>
      </w:pPr>
      <w:r>
        <w:rPr>
          <w:rFonts w:hint="eastAsia" w:hAnsi="宋体" w:cs="宋体"/>
          <w:color w:val="auto"/>
          <w:sz w:val="24"/>
          <w:highlight w:val="none"/>
        </w:rPr>
        <w:t>法定代表人：（签字）</w:t>
      </w:r>
    </w:p>
    <w:p>
      <w:pPr>
        <w:spacing w:line="440" w:lineRule="exact"/>
        <w:ind w:firstLine="480" w:firstLineChars="200"/>
        <w:jc w:val="center"/>
        <w:rPr>
          <w:rFonts w:hint="eastAsia" w:hAnsi="宋体" w:cs="宋体"/>
          <w:color w:val="auto"/>
          <w:sz w:val="24"/>
          <w:highlight w:val="none"/>
        </w:rPr>
      </w:pPr>
      <w:r>
        <w:rPr>
          <w:rFonts w:hint="eastAsia" w:hAnsi="宋体" w:cs="宋体"/>
          <w:color w:val="auto"/>
          <w:sz w:val="24"/>
          <w:highlight w:val="none"/>
        </w:rPr>
        <w:t xml:space="preserve">                                                    年     月    日</w:t>
      </w:r>
    </w:p>
    <w:p>
      <w:pPr>
        <w:pStyle w:val="2"/>
        <w:ind w:firstLine="240"/>
        <w:rPr>
          <w:rFonts w:hint="eastAsia"/>
          <w:color w:val="auto"/>
          <w:highlight w:val="none"/>
        </w:rPr>
      </w:pPr>
      <w:r>
        <w:rPr>
          <w:rFonts w:hint="eastAsia" w:hAnsi="宋体"/>
          <w:bCs/>
          <w:color w:val="auto"/>
          <w:sz w:val="24"/>
          <w:szCs w:val="24"/>
          <w:highlight w:val="none"/>
        </w:rPr>
        <w:t>注：承诺书必须由法定代表人及项目经理签名并加盖单位公章；</w:t>
      </w:r>
    </w:p>
    <w:p>
      <w:pPr>
        <w:pStyle w:val="12"/>
        <w:ind w:left="2250" w:hanging="1200"/>
        <w:rPr>
          <w:color w:val="auto"/>
          <w:highlight w:val="none"/>
        </w:rPr>
        <w:sectPr>
          <w:pgSz w:w="11906" w:h="16838"/>
          <w:pgMar w:top="1304" w:right="1134" w:bottom="1304" w:left="1134" w:header="851" w:footer="992" w:gutter="0"/>
          <w:cols w:space="720" w:num="1"/>
          <w:docGrid w:type="linesAndChars" w:linePitch="312" w:charSpace="0"/>
        </w:sectPr>
      </w:pPr>
    </w:p>
    <w:p>
      <w:pPr>
        <w:spacing w:line="360" w:lineRule="auto"/>
        <w:ind w:firstLine="720" w:firstLineChars="200"/>
        <w:jc w:val="center"/>
        <w:rPr>
          <w:rFonts w:hAnsi="宋体" w:cs="宋体"/>
          <w:b/>
          <w:color w:val="auto"/>
          <w:sz w:val="36"/>
          <w:szCs w:val="36"/>
          <w:highlight w:val="none"/>
        </w:rPr>
      </w:pPr>
      <w:r>
        <w:rPr>
          <w:rFonts w:hint="eastAsia" w:hAnsi="宋体" w:cs="宋体"/>
          <w:color w:val="auto"/>
          <w:sz w:val="36"/>
          <w:szCs w:val="36"/>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7"/>
                    <a:stretch>
                      <a:fillRect/>
                    </a:stretch>
                  </pic:blipFill>
                  <pic:spPr>
                    <a:xfrm>
                      <a:off x="0" y="0"/>
                      <a:ext cx="952500" cy="927100"/>
                    </a:xfrm>
                    <a:prstGeom prst="rect">
                      <a:avLst/>
                    </a:prstGeom>
                    <a:noFill/>
                    <a:ln>
                      <a:noFill/>
                    </a:ln>
                  </pic:spPr>
                </pic:pic>
              </a:graphicData>
            </a:graphic>
          </wp:anchor>
        </w:drawing>
      </w:r>
      <w:r>
        <w:rPr>
          <w:rFonts w:hint="eastAsia" w:hAnsi="宋体" w:cs="宋体"/>
          <w:b/>
          <w:color w:val="auto"/>
          <w:sz w:val="36"/>
          <w:szCs w:val="36"/>
          <w:highlight w:val="none"/>
        </w:rPr>
        <w:t>三、投标保证金</w:t>
      </w:r>
    </w:p>
    <w:p>
      <w:pPr>
        <w:rPr>
          <w:color w:val="auto"/>
          <w:szCs w:val="21"/>
          <w:highlight w:val="none"/>
        </w:rPr>
      </w:pPr>
    </w:p>
    <w:p>
      <w:pPr>
        <w:autoSpaceDE w:val="0"/>
        <w:autoSpaceDN w:val="0"/>
        <w:adjustRightInd w:val="0"/>
        <w:spacing w:line="420" w:lineRule="exact"/>
        <w:ind w:firstLine="480" w:firstLineChars="200"/>
        <w:jc w:val="center"/>
        <w:rPr>
          <w:rFonts w:hAnsi="宋体" w:cs="宋体"/>
          <w:color w:val="auto"/>
          <w:sz w:val="24"/>
          <w:szCs w:val="24"/>
          <w:highlight w:val="none"/>
        </w:rPr>
      </w:pPr>
      <w:r>
        <w:rPr>
          <w:rFonts w:hint="eastAsia" w:hAnsi="宋体" w:cs="宋体"/>
          <w:color w:val="auto"/>
          <w:sz w:val="24"/>
          <w:szCs w:val="24"/>
          <w:highlight w:val="none"/>
        </w:rPr>
        <w:t>附“</w:t>
      </w:r>
      <w:r>
        <w:rPr>
          <w:rFonts w:hint="eastAsia" w:hAnsi="宋体" w:cs="宋体"/>
          <w:color w:val="auto"/>
          <w:sz w:val="24"/>
          <w:szCs w:val="21"/>
          <w:highlight w:val="none"/>
          <w:lang w:val="zh-CN"/>
        </w:rPr>
        <w:t>襄城县公共资源交易中心保证金缴纳回执单</w:t>
      </w:r>
      <w:r>
        <w:rPr>
          <w:rFonts w:hint="eastAsia" w:hAnsi="宋体" w:cs="宋体"/>
          <w:color w:val="auto"/>
          <w:sz w:val="24"/>
          <w:szCs w:val="24"/>
          <w:highlight w:val="none"/>
        </w:rPr>
        <w:t>”原件扫描件或图片；</w:t>
      </w:r>
    </w:p>
    <w:p>
      <w:pPr>
        <w:autoSpaceDE w:val="0"/>
        <w:autoSpaceDN w:val="0"/>
        <w:adjustRightInd w:val="0"/>
        <w:spacing w:line="420" w:lineRule="exact"/>
        <w:ind w:firstLine="420" w:firstLineChars="200"/>
        <w:jc w:val="center"/>
        <w:rPr>
          <w:rFonts w:hAnsi="宋体" w:cs="宋体"/>
          <w:b/>
          <w:color w:val="auto"/>
          <w:sz w:val="32"/>
          <w:highlight w:val="none"/>
        </w:rPr>
      </w:pPr>
      <w:r>
        <w:rPr>
          <w:rFonts w:hint="eastAsia" w:hAnsi="宋体" w:cs="宋体"/>
          <w:color w:val="auto"/>
          <w:szCs w:val="21"/>
          <w:highlight w:val="none"/>
        </w:rPr>
        <w:br w:type="page"/>
      </w:r>
      <w:r>
        <w:rPr>
          <w:rFonts w:hint="eastAsia" w:hAnsi="宋体" w:cs="宋体"/>
          <w:b/>
          <w:color w:val="auto"/>
          <w:sz w:val="32"/>
          <w:highlight w:val="none"/>
        </w:rPr>
        <w:t>四、项目管理机构配备情况</w:t>
      </w:r>
    </w:p>
    <w:p>
      <w:pPr>
        <w:autoSpaceDE w:val="0"/>
        <w:autoSpaceDN w:val="0"/>
        <w:adjustRightInd w:val="0"/>
        <w:spacing w:line="360" w:lineRule="auto"/>
        <w:ind w:right="215" w:firstLine="560" w:firstLineChars="200"/>
        <w:jc w:val="center"/>
        <w:rPr>
          <w:rFonts w:hAnsi="宋体" w:cs="宋体"/>
          <w:b/>
          <w:color w:val="auto"/>
          <w:sz w:val="28"/>
          <w:highlight w:val="none"/>
        </w:rPr>
      </w:pPr>
      <w:r>
        <w:rPr>
          <w:rFonts w:hint="eastAsia" w:hAnsi="宋体" w:cs="宋体"/>
          <w:b/>
          <w:color w:val="auto"/>
          <w:sz w:val="28"/>
          <w:highlight w:val="none"/>
        </w:rPr>
        <w:t>（一）项目管理机构组成表</w:t>
      </w:r>
    </w:p>
    <w:p>
      <w:pPr>
        <w:autoSpaceDE w:val="0"/>
        <w:autoSpaceDN w:val="0"/>
        <w:adjustRightInd w:val="0"/>
        <w:spacing w:line="360" w:lineRule="auto"/>
        <w:ind w:right="215" w:firstLine="420"/>
        <w:jc w:val="center"/>
        <w:rPr>
          <w:rFonts w:hAnsi="宋体" w:cs="宋体"/>
          <w:b/>
          <w:color w:val="auto"/>
          <w:sz w:val="24"/>
          <w:highlight w:val="none"/>
        </w:rPr>
      </w:pPr>
    </w:p>
    <w:tbl>
      <w:tblPr>
        <w:tblStyle w:val="14"/>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noWrap w:val="0"/>
            <w:vAlign w:val="center"/>
          </w:tcPr>
          <w:p>
            <w:pPr>
              <w:autoSpaceDE w:val="0"/>
              <w:autoSpaceDN w:val="0"/>
              <w:adjustRightInd w:val="0"/>
              <w:spacing w:line="360" w:lineRule="auto"/>
              <w:ind w:right="215"/>
              <w:rPr>
                <w:rFonts w:hAnsi="宋体" w:cs="宋体"/>
                <w:color w:val="auto"/>
                <w:sz w:val="24"/>
                <w:highlight w:val="none"/>
              </w:rPr>
            </w:pPr>
            <w:r>
              <w:rPr>
                <w:rFonts w:hint="eastAsia" w:hAnsi="宋体" w:cs="宋体"/>
                <w:color w:val="auto"/>
                <w:sz w:val="24"/>
                <w:highlight w:val="none"/>
              </w:rPr>
              <w:t>职务</w:t>
            </w:r>
          </w:p>
        </w:tc>
        <w:tc>
          <w:tcPr>
            <w:tcW w:w="914" w:type="dxa"/>
            <w:vMerge w:val="restart"/>
            <w:noWrap w:val="0"/>
            <w:vAlign w:val="center"/>
          </w:tcPr>
          <w:p>
            <w:pPr>
              <w:autoSpaceDE w:val="0"/>
              <w:autoSpaceDN w:val="0"/>
              <w:adjustRightInd w:val="0"/>
              <w:spacing w:line="360" w:lineRule="auto"/>
              <w:ind w:right="215"/>
              <w:rPr>
                <w:rFonts w:hAnsi="宋体" w:cs="宋体"/>
                <w:color w:val="auto"/>
                <w:sz w:val="24"/>
                <w:highlight w:val="none"/>
              </w:rPr>
            </w:pPr>
            <w:r>
              <w:rPr>
                <w:rFonts w:hint="eastAsia" w:hAnsi="宋体" w:cs="宋体"/>
                <w:color w:val="auto"/>
                <w:sz w:val="24"/>
                <w:highlight w:val="none"/>
              </w:rPr>
              <w:t>姓名</w:t>
            </w:r>
          </w:p>
        </w:tc>
        <w:tc>
          <w:tcPr>
            <w:tcW w:w="914" w:type="dxa"/>
            <w:vMerge w:val="restart"/>
            <w:noWrap w:val="0"/>
            <w:vAlign w:val="center"/>
          </w:tcPr>
          <w:p>
            <w:pPr>
              <w:autoSpaceDE w:val="0"/>
              <w:autoSpaceDN w:val="0"/>
              <w:adjustRightInd w:val="0"/>
              <w:spacing w:line="360" w:lineRule="auto"/>
              <w:ind w:right="215"/>
              <w:rPr>
                <w:rFonts w:hAnsi="宋体" w:cs="宋体"/>
                <w:color w:val="auto"/>
                <w:sz w:val="24"/>
                <w:highlight w:val="none"/>
              </w:rPr>
            </w:pPr>
            <w:r>
              <w:rPr>
                <w:rFonts w:hint="eastAsia" w:hAnsi="宋体" w:cs="宋体"/>
                <w:color w:val="auto"/>
                <w:sz w:val="24"/>
                <w:highlight w:val="none"/>
              </w:rPr>
              <w:t>职称</w:t>
            </w:r>
          </w:p>
        </w:tc>
        <w:tc>
          <w:tcPr>
            <w:tcW w:w="5710" w:type="dxa"/>
            <w:gridSpan w:val="5"/>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执业或职业资格证明</w:t>
            </w:r>
          </w:p>
        </w:tc>
        <w:tc>
          <w:tcPr>
            <w:tcW w:w="1036"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914" w:type="dxa"/>
            <w:vMerge w:val="continue"/>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914" w:type="dxa"/>
            <w:vMerge w:val="continue"/>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405"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证书名称</w:t>
            </w:r>
          </w:p>
        </w:tc>
        <w:tc>
          <w:tcPr>
            <w:tcW w:w="945"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级别</w:t>
            </w:r>
          </w:p>
        </w:tc>
        <w:tc>
          <w:tcPr>
            <w:tcW w:w="945"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证号</w:t>
            </w:r>
          </w:p>
        </w:tc>
        <w:tc>
          <w:tcPr>
            <w:tcW w:w="945"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专业</w:t>
            </w:r>
          </w:p>
        </w:tc>
        <w:tc>
          <w:tcPr>
            <w:tcW w:w="1470"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养老保险</w:t>
            </w:r>
          </w:p>
        </w:tc>
        <w:tc>
          <w:tcPr>
            <w:tcW w:w="1036"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40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470"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036" w:type="dxa"/>
            <w:noWrap w:val="0"/>
            <w:vAlign w:val="top"/>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40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470"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036" w:type="dxa"/>
            <w:noWrap w:val="0"/>
            <w:vAlign w:val="top"/>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40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470"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036" w:type="dxa"/>
            <w:noWrap w:val="0"/>
            <w:vAlign w:val="top"/>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w:t>
            </w:r>
          </w:p>
        </w:tc>
        <w:tc>
          <w:tcPr>
            <w:tcW w:w="914"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40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470" w:type="dxa"/>
            <w:noWrap w:val="0"/>
            <w:vAlign w:val="top"/>
          </w:tcPr>
          <w:p>
            <w:pPr>
              <w:autoSpaceDE w:val="0"/>
              <w:autoSpaceDN w:val="0"/>
              <w:adjustRightInd w:val="0"/>
              <w:spacing w:line="360" w:lineRule="auto"/>
              <w:ind w:right="215"/>
              <w:jc w:val="center"/>
              <w:rPr>
                <w:rFonts w:hAnsi="宋体" w:cs="宋体"/>
                <w:color w:val="auto"/>
                <w:sz w:val="24"/>
                <w:highlight w:val="none"/>
              </w:rPr>
            </w:pPr>
          </w:p>
        </w:tc>
        <w:tc>
          <w:tcPr>
            <w:tcW w:w="1036" w:type="dxa"/>
            <w:noWrap w:val="0"/>
            <w:vAlign w:val="top"/>
          </w:tcPr>
          <w:p>
            <w:pPr>
              <w:autoSpaceDE w:val="0"/>
              <w:autoSpaceDN w:val="0"/>
              <w:adjustRightInd w:val="0"/>
              <w:spacing w:line="360" w:lineRule="auto"/>
              <w:ind w:right="215"/>
              <w:jc w:val="center"/>
              <w:rPr>
                <w:rFonts w:hAnsi="宋体" w:cs="宋体"/>
                <w:color w:val="auto"/>
                <w:sz w:val="24"/>
                <w:highlight w:val="none"/>
              </w:rPr>
            </w:pPr>
          </w:p>
        </w:tc>
      </w:tr>
    </w:tbl>
    <w:p>
      <w:pPr>
        <w:autoSpaceDE w:val="0"/>
        <w:autoSpaceDN w:val="0"/>
        <w:adjustRightInd w:val="0"/>
        <w:spacing w:line="360" w:lineRule="auto"/>
        <w:ind w:right="215"/>
        <w:rPr>
          <w:rFonts w:hAnsi="宋体" w:cs="宋体"/>
          <w:color w:val="auto"/>
          <w:highlight w:val="none"/>
        </w:rPr>
      </w:pPr>
    </w:p>
    <w:p>
      <w:pPr>
        <w:spacing w:before="156" w:beforeLines="50" w:after="312" w:afterLines="100" w:line="420" w:lineRule="exact"/>
        <w:ind w:firstLine="560" w:firstLineChars="200"/>
        <w:rPr>
          <w:rFonts w:hAnsi="宋体" w:cs="宋体"/>
          <w:b/>
          <w:color w:val="auto"/>
          <w:sz w:val="28"/>
          <w:szCs w:val="28"/>
          <w:highlight w:val="none"/>
        </w:rPr>
      </w:pPr>
      <w:r>
        <w:rPr>
          <w:rFonts w:hint="eastAsia" w:hAnsi="宋体" w:cs="宋体"/>
          <w:b/>
          <w:color w:val="auto"/>
          <w:sz w:val="28"/>
          <w:szCs w:val="28"/>
          <w:highlight w:val="none"/>
        </w:rPr>
        <w:t>（二）主要人员简历表</w:t>
      </w:r>
    </w:p>
    <w:p>
      <w:pPr>
        <w:spacing w:line="420" w:lineRule="exact"/>
        <w:ind w:firstLine="480" w:firstLineChars="200"/>
        <w:rPr>
          <w:rFonts w:hAnsi="宋体" w:cs="宋体"/>
          <w:color w:val="auto"/>
          <w:sz w:val="24"/>
          <w:highlight w:val="none"/>
        </w:rPr>
      </w:pPr>
      <w:r>
        <w:rPr>
          <w:rFonts w:hint="eastAsia" w:hAnsi="宋体" w:cs="宋体"/>
          <w:color w:val="auto"/>
          <w:sz w:val="24"/>
          <w:highlight w:val="none"/>
        </w:rPr>
        <w:t>附1：项目经理简历表</w:t>
      </w:r>
    </w:p>
    <w:p>
      <w:pPr>
        <w:spacing w:line="420" w:lineRule="exact"/>
        <w:rPr>
          <w:rFonts w:hAnsi="宋体" w:cs="宋体"/>
          <w:color w:val="auto"/>
          <w:sz w:val="24"/>
          <w:highlight w:val="none"/>
        </w:rPr>
      </w:pPr>
    </w:p>
    <w:tbl>
      <w:tblPr>
        <w:tblStyle w:val="1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color w:val="auto"/>
                <w:sz w:val="24"/>
                <w:highlight w:val="none"/>
              </w:rPr>
            </w:pPr>
            <w:r>
              <w:rPr>
                <w:rFonts w:hint="eastAsia" w:hAnsi="宋体" w:cs="宋体"/>
                <w:color w:val="auto"/>
                <w:sz w:val="24"/>
                <w:highlight w:val="none"/>
              </w:rPr>
              <w:t>姓  名</w:t>
            </w:r>
          </w:p>
        </w:tc>
        <w:tc>
          <w:tcPr>
            <w:tcW w:w="1101" w:type="dxa"/>
            <w:noWrap w:val="0"/>
            <w:vAlign w:val="center"/>
          </w:tcPr>
          <w:p>
            <w:pPr>
              <w:jc w:val="center"/>
              <w:rPr>
                <w:rFonts w:hAnsi="宋体" w:cs="宋体"/>
                <w:color w:val="auto"/>
                <w:sz w:val="24"/>
                <w:highlight w:val="none"/>
              </w:rPr>
            </w:pPr>
          </w:p>
        </w:tc>
        <w:tc>
          <w:tcPr>
            <w:tcW w:w="1204" w:type="dxa"/>
            <w:noWrap w:val="0"/>
            <w:vAlign w:val="center"/>
          </w:tcPr>
          <w:p>
            <w:pPr>
              <w:jc w:val="center"/>
              <w:rPr>
                <w:rFonts w:hAnsi="宋体" w:cs="宋体"/>
                <w:color w:val="auto"/>
                <w:sz w:val="24"/>
                <w:highlight w:val="none"/>
              </w:rPr>
            </w:pPr>
            <w:r>
              <w:rPr>
                <w:rFonts w:hint="eastAsia" w:hAnsi="宋体" w:cs="宋体"/>
                <w:color w:val="auto"/>
                <w:sz w:val="24"/>
                <w:highlight w:val="none"/>
              </w:rPr>
              <w:t>年  龄</w:t>
            </w:r>
          </w:p>
        </w:tc>
        <w:tc>
          <w:tcPr>
            <w:tcW w:w="1355" w:type="dxa"/>
            <w:noWrap w:val="0"/>
            <w:vAlign w:val="center"/>
          </w:tcPr>
          <w:p>
            <w:pPr>
              <w:jc w:val="center"/>
              <w:rPr>
                <w:rFonts w:hAnsi="宋体" w:cs="宋体"/>
                <w:color w:val="auto"/>
                <w:sz w:val="24"/>
                <w:highlight w:val="none"/>
              </w:rPr>
            </w:pPr>
          </w:p>
        </w:tc>
        <w:tc>
          <w:tcPr>
            <w:tcW w:w="1959" w:type="dxa"/>
            <w:noWrap w:val="0"/>
            <w:vAlign w:val="center"/>
          </w:tcPr>
          <w:p>
            <w:pPr>
              <w:jc w:val="center"/>
              <w:rPr>
                <w:rFonts w:hAnsi="宋体" w:cs="宋体"/>
                <w:color w:val="auto"/>
                <w:sz w:val="24"/>
                <w:highlight w:val="none"/>
              </w:rPr>
            </w:pPr>
            <w:r>
              <w:rPr>
                <w:rFonts w:hint="eastAsia" w:hAnsi="宋体" w:cs="宋体"/>
                <w:color w:val="auto"/>
                <w:sz w:val="24"/>
                <w:highlight w:val="none"/>
              </w:rPr>
              <w:t>学历</w:t>
            </w:r>
          </w:p>
        </w:tc>
        <w:tc>
          <w:tcPr>
            <w:tcW w:w="2259" w:type="dxa"/>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color w:val="auto"/>
                <w:sz w:val="24"/>
                <w:highlight w:val="none"/>
              </w:rPr>
            </w:pPr>
            <w:r>
              <w:rPr>
                <w:rFonts w:hint="eastAsia" w:hAnsi="宋体" w:cs="宋体"/>
                <w:color w:val="auto"/>
                <w:sz w:val="24"/>
                <w:highlight w:val="none"/>
              </w:rPr>
              <w:t>职  称</w:t>
            </w:r>
          </w:p>
        </w:tc>
        <w:tc>
          <w:tcPr>
            <w:tcW w:w="1101" w:type="dxa"/>
            <w:noWrap w:val="0"/>
            <w:vAlign w:val="center"/>
          </w:tcPr>
          <w:p>
            <w:pPr>
              <w:jc w:val="center"/>
              <w:rPr>
                <w:rFonts w:hAnsi="宋体" w:cs="宋体"/>
                <w:color w:val="auto"/>
                <w:sz w:val="24"/>
                <w:highlight w:val="none"/>
              </w:rPr>
            </w:pPr>
          </w:p>
        </w:tc>
        <w:tc>
          <w:tcPr>
            <w:tcW w:w="1204" w:type="dxa"/>
            <w:noWrap w:val="0"/>
            <w:vAlign w:val="center"/>
          </w:tcPr>
          <w:p>
            <w:pPr>
              <w:jc w:val="center"/>
              <w:rPr>
                <w:rFonts w:hAnsi="宋体" w:cs="宋体"/>
                <w:color w:val="auto"/>
                <w:sz w:val="24"/>
                <w:highlight w:val="none"/>
              </w:rPr>
            </w:pPr>
            <w:r>
              <w:rPr>
                <w:rFonts w:hint="eastAsia" w:hAnsi="宋体" w:cs="宋体"/>
                <w:color w:val="auto"/>
                <w:sz w:val="24"/>
                <w:highlight w:val="none"/>
              </w:rPr>
              <w:t>职  务</w:t>
            </w:r>
          </w:p>
        </w:tc>
        <w:tc>
          <w:tcPr>
            <w:tcW w:w="1355" w:type="dxa"/>
            <w:noWrap w:val="0"/>
            <w:vAlign w:val="center"/>
          </w:tcPr>
          <w:p>
            <w:pPr>
              <w:jc w:val="center"/>
              <w:rPr>
                <w:rFonts w:hAnsi="宋体" w:cs="宋体"/>
                <w:color w:val="auto"/>
                <w:sz w:val="24"/>
                <w:highlight w:val="none"/>
              </w:rPr>
            </w:pPr>
          </w:p>
        </w:tc>
        <w:tc>
          <w:tcPr>
            <w:tcW w:w="1959" w:type="dxa"/>
            <w:noWrap w:val="0"/>
            <w:vAlign w:val="center"/>
          </w:tcPr>
          <w:p>
            <w:pPr>
              <w:jc w:val="center"/>
              <w:rPr>
                <w:rFonts w:hAnsi="宋体" w:cs="宋体"/>
                <w:color w:val="auto"/>
                <w:sz w:val="24"/>
                <w:highlight w:val="none"/>
              </w:rPr>
            </w:pPr>
            <w:r>
              <w:rPr>
                <w:rFonts w:hint="eastAsia" w:hAnsi="宋体" w:cs="宋体"/>
                <w:color w:val="auto"/>
                <w:sz w:val="24"/>
                <w:highlight w:val="none"/>
              </w:rPr>
              <w:t>拟在本工程任职</w:t>
            </w:r>
          </w:p>
        </w:tc>
        <w:tc>
          <w:tcPr>
            <w:tcW w:w="2259"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s="宋体"/>
                <w:color w:val="auto"/>
                <w:sz w:val="24"/>
                <w:highlight w:val="none"/>
              </w:rPr>
            </w:pPr>
            <w:r>
              <w:rPr>
                <w:rFonts w:hint="eastAsia" w:hAnsi="宋体" w:cs="宋体"/>
                <w:color w:val="auto"/>
                <w:sz w:val="24"/>
                <w:highlight w:val="none"/>
              </w:rPr>
              <w:t>注册建造师执业资格等级</w:t>
            </w:r>
          </w:p>
        </w:tc>
        <w:tc>
          <w:tcPr>
            <w:tcW w:w="1355" w:type="dxa"/>
            <w:noWrap w:val="0"/>
            <w:vAlign w:val="center"/>
          </w:tcPr>
          <w:p>
            <w:pPr>
              <w:jc w:val="center"/>
              <w:rPr>
                <w:rFonts w:hAnsi="宋体" w:cs="宋体"/>
                <w:color w:val="auto"/>
                <w:sz w:val="24"/>
                <w:highlight w:val="none"/>
              </w:rPr>
            </w:pPr>
            <w:r>
              <w:rPr>
                <w:rFonts w:hint="eastAsia" w:hAnsi="宋体" w:cs="宋体"/>
                <w:color w:val="auto"/>
                <w:sz w:val="24"/>
                <w:highlight w:val="none"/>
              </w:rPr>
              <w:t xml:space="preserve">      级</w:t>
            </w:r>
          </w:p>
        </w:tc>
        <w:tc>
          <w:tcPr>
            <w:tcW w:w="1959" w:type="dxa"/>
            <w:noWrap w:val="0"/>
            <w:vAlign w:val="center"/>
          </w:tcPr>
          <w:p>
            <w:pPr>
              <w:jc w:val="center"/>
              <w:rPr>
                <w:rFonts w:hAnsi="宋体" w:cs="宋体"/>
                <w:color w:val="auto"/>
                <w:sz w:val="24"/>
                <w:highlight w:val="none"/>
              </w:rPr>
            </w:pPr>
            <w:r>
              <w:rPr>
                <w:rFonts w:hint="eastAsia" w:hAnsi="宋体" w:cs="宋体"/>
                <w:color w:val="auto"/>
                <w:sz w:val="24"/>
                <w:highlight w:val="none"/>
              </w:rPr>
              <w:t>建造师专业</w:t>
            </w:r>
          </w:p>
        </w:tc>
        <w:tc>
          <w:tcPr>
            <w:tcW w:w="2259" w:type="dxa"/>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s="宋体"/>
                <w:color w:val="auto"/>
                <w:sz w:val="24"/>
                <w:highlight w:val="none"/>
              </w:rPr>
            </w:pPr>
            <w:r>
              <w:rPr>
                <w:rFonts w:hint="eastAsia" w:hAnsi="宋体" w:cs="宋体"/>
                <w:color w:val="auto"/>
                <w:sz w:val="24"/>
                <w:highlight w:val="none"/>
              </w:rPr>
              <w:t>安全生产考核合格证书</w:t>
            </w:r>
          </w:p>
        </w:tc>
        <w:tc>
          <w:tcPr>
            <w:tcW w:w="5573" w:type="dxa"/>
            <w:gridSpan w:val="3"/>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color w:val="auto"/>
                <w:sz w:val="24"/>
                <w:highlight w:val="none"/>
              </w:rPr>
            </w:pPr>
            <w:r>
              <w:rPr>
                <w:rFonts w:hint="eastAsia" w:hAnsi="宋体" w:cs="宋体"/>
                <w:color w:val="auto"/>
                <w:sz w:val="24"/>
                <w:highlight w:val="none"/>
              </w:rPr>
              <w:t>毕业学校</w:t>
            </w:r>
          </w:p>
        </w:tc>
        <w:tc>
          <w:tcPr>
            <w:tcW w:w="7878" w:type="dxa"/>
            <w:gridSpan w:val="5"/>
            <w:noWrap w:val="0"/>
            <w:vAlign w:val="center"/>
          </w:tcPr>
          <w:p>
            <w:pPr>
              <w:ind w:firstLine="960" w:firstLineChars="400"/>
              <w:rPr>
                <w:rFonts w:hAnsi="宋体" w:cs="宋体"/>
                <w:color w:val="auto"/>
                <w:sz w:val="24"/>
                <w:highlight w:val="none"/>
              </w:rPr>
            </w:pPr>
            <w:r>
              <w:rPr>
                <w:rFonts w:hint="eastAsia" w:hAnsi="宋体" w:cs="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noWrap w:val="0"/>
            <w:vAlign w:val="center"/>
          </w:tcPr>
          <w:p>
            <w:pPr>
              <w:jc w:val="center"/>
              <w:rPr>
                <w:rFonts w:hAnsi="宋体" w:cs="宋体"/>
                <w:color w:val="auto"/>
                <w:sz w:val="24"/>
                <w:highlight w:val="none"/>
              </w:rPr>
            </w:pPr>
            <w:r>
              <w:rPr>
                <w:rFonts w:hint="eastAsia" w:hAnsi="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color w:val="auto"/>
                <w:sz w:val="24"/>
                <w:highlight w:val="none"/>
              </w:rPr>
            </w:pPr>
            <w:r>
              <w:rPr>
                <w:rFonts w:hint="eastAsia" w:hAnsi="宋体" w:cs="宋体"/>
                <w:color w:val="auto"/>
                <w:sz w:val="24"/>
                <w:highlight w:val="none"/>
              </w:rPr>
              <w:t>时  间</w:t>
            </w:r>
          </w:p>
        </w:tc>
        <w:tc>
          <w:tcPr>
            <w:tcW w:w="3660" w:type="dxa"/>
            <w:gridSpan w:val="3"/>
            <w:noWrap w:val="0"/>
            <w:vAlign w:val="center"/>
          </w:tcPr>
          <w:p>
            <w:pPr>
              <w:jc w:val="center"/>
              <w:rPr>
                <w:rFonts w:hAnsi="宋体" w:cs="宋体"/>
                <w:color w:val="auto"/>
                <w:sz w:val="24"/>
                <w:highlight w:val="none"/>
              </w:rPr>
            </w:pPr>
            <w:r>
              <w:rPr>
                <w:rFonts w:hint="eastAsia" w:hAnsi="宋体" w:cs="宋体"/>
                <w:color w:val="auto"/>
                <w:sz w:val="24"/>
                <w:highlight w:val="none"/>
              </w:rPr>
              <w:t>参加过的类似项目名称</w:t>
            </w:r>
          </w:p>
        </w:tc>
        <w:tc>
          <w:tcPr>
            <w:tcW w:w="1959" w:type="dxa"/>
            <w:noWrap w:val="0"/>
            <w:vAlign w:val="center"/>
          </w:tcPr>
          <w:p>
            <w:pPr>
              <w:jc w:val="center"/>
              <w:rPr>
                <w:rFonts w:hAnsi="宋体" w:cs="宋体"/>
                <w:color w:val="auto"/>
                <w:sz w:val="24"/>
                <w:highlight w:val="none"/>
              </w:rPr>
            </w:pPr>
            <w:r>
              <w:rPr>
                <w:rFonts w:hint="eastAsia" w:hAnsi="宋体" w:cs="宋体"/>
                <w:color w:val="auto"/>
                <w:sz w:val="24"/>
                <w:highlight w:val="none"/>
              </w:rPr>
              <w:t>工程概况说明</w:t>
            </w:r>
          </w:p>
        </w:tc>
        <w:tc>
          <w:tcPr>
            <w:tcW w:w="2259" w:type="dxa"/>
            <w:noWrap w:val="0"/>
            <w:vAlign w:val="center"/>
          </w:tcPr>
          <w:p>
            <w:pPr>
              <w:jc w:val="center"/>
              <w:rPr>
                <w:rFonts w:hAnsi="宋体" w:cs="宋体"/>
                <w:color w:val="auto"/>
                <w:sz w:val="24"/>
                <w:highlight w:val="none"/>
              </w:rPr>
            </w:pPr>
            <w:r>
              <w:rPr>
                <w:rFonts w:hint="eastAsia" w:hAnsi="宋体" w:cs="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color w:val="auto"/>
                <w:sz w:val="24"/>
                <w:highlight w:val="none"/>
              </w:rPr>
            </w:pPr>
          </w:p>
        </w:tc>
        <w:tc>
          <w:tcPr>
            <w:tcW w:w="3660" w:type="dxa"/>
            <w:gridSpan w:val="3"/>
            <w:noWrap w:val="0"/>
            <w:vAlign w:val="center"/>
          </w:tcPr>
          <w:p>
            <w:pPr>
              <w:jc w:val="center"/>
              <w:rPr>
                <w:rFonts w:hAnsi="宋体" w:cs="宋体"/>
                <w:color w:val="auto"/>
                <w:sz w:val="24"/>
                <w:highlight w:val="none"/>
              </w:rPr>
            </w:pPr>
          </w:p>
        </w:tc>
        <w:tc>
          <w:tcPr>
            <w:tcW w:w="1959" w:type="dxa"/>
            <w:noWrap w:val="0"/>
            <w:vAlign w:val="center"/>
          </w:tcPr>
          <w:p>
            <w:pPr>
              <w:jc w:val="center"/>
              <w:rPr>
                <w:rFonts w:hAnsi="宋体" w:cs="宋体"/>
                <w:color w:val="auto"/>
                <w:sz w:val="24"/>
                <w:highlight w:val="none"/>
              </w:rPr>
            </w:pPr>
          </w:p>
        </w:tc>
        <w:tc>
          <w:tcPr>
            <w:tcW w:w="2259" w:type="dxa"/>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color w:val="auto"/>
                <w:sz w:val="24"/>
                <w:highlight w:val="none"/>
              </w:rPr>
            </w:pPr>
          </w:p>
        </w:tc>
        <w:tc>
          <w:tcPr>
            <w:tcW w:w="3660" w:type="dxa"/>
            <w:gridSpan w:val="3"/>
            <w:noWrap w:val="0"/>
            <w:vAlign w:val="center"/>
          </w:tcPr>
          <w:p>
            <w:pPr>
              <w:jc w:val="center"/>
              <w:rPr>
                <w:rFonts w:hAnsi="宋体" w:cs="宋体"/>
                <w:color w:val="auto"/>
                <w:sz w:val="24"/>
                <w:highlight w:val="none"/>
              </w:rPr>
            </w:pPr>
          </w:p>
        </w:tc>
        <w:tc>
          <w:tcPr>
            <w:tcW w:w="1959" w:type="dxa"/>
            <w:noWrap w:val="0"/>
            <w:vAlign w:val="center"/>
          </w:tcPr>
          <w:p>
            <w:pPr>
              <w:jc w:val="center"/>
              <w:rPr>
                <w:rFonts w:hAnsi="宋体" w:cs="宋体"/>
                <w:color w:val="auto"/>
                <w:sz w:val="24"/>
                <w:highlight w:val="none"/>
              </w:rPr>
            </w:pPr>
          </w:p>
        </w:tc>
        <w:tc>
          <w:tcPr>
            <w:tcW w:w="2259" w:type="dxa"/>
            <w:noWrap w:val="0"/>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noWrap w:val="0"/>
            <w:vAlign w:val="center"/>
          </w:tcPr>
          <w:p>
            <w:pPr>
              <w:jc w:val="center"/>
              <w:rPr>
                <w:rFonts w:hAnsi="宋体" w:cs="宋体"/>
                <w:color w:val="auto"/>
                <w:sz w:val="24"/>
                <w:highlight w:val="none"/>
              </w:rPr>
            </w:pPr>
          </w:p>
        </w:tc>
        <w:tc>
          <w:tcPr>
            <w:tcW w:w="3660" w:type="dxa"/>
            <w:gridSpan w:val="3"/>
            <w:noWrap w:val="0"/>
            <w:vAlign w:val="center"/>
          </w:tcPr>
          <w:p>
            <w:pPr>
              <w:jc w:val="center"/>
              <w:rPr>
                <w:rFonts w:hAnsi="宋体" w:cs="宋体"/>
                <w:color w:val="auto"/>
                <w:sz w:val="24"/>
                <w:highlight w:val="none"/>
              </w:rPr>
            </w:pPr>
          </w:p>
        </w:tc>
        <w:tc>
          <w:tcPr>
            <w:tcW w:w="1959" w:type="dxa"/>
            <w:noWrap w:val="0"/>
            <w:vAlign w:val="center"/>
          </w:tcPr>
          <w:p>
            <w:pPr>
              <w:jc w:val="center"/>
              <w:rPr>
                <w:rFonts w:hAnsi="宋体" w:cs="宋体"/>
                <w:color w:val="auto"/>
                <w:sz w:val="24"/>
                <w:highlight w:val="none"/>
              </w:rPr>
            </w:pPr>
          </w:p>
        </w:tc>
        <w:tc>
          <w:tcPr>
            <w:tcW w:w="2259" w:type="dxa"/>
            <w:noWrap w:val="0"/>
            <w:vAlign w:val="center"/>
          </w:tcPr>
          <w:p>
            <w:pPr>
              <w:jc w:val="center"/>
              <w:rPr>
                <w:rFonts w:hAnsi="宋体" w:cs="宋体"/>
                <w:color w:val="auto"/>
                <w:sz w:val="24"/>
                <w:highlight w:val="none"/>
              </w:rPr>
            </w:pPr>
          </w:p>
        </w:tc>
      </w:tr>
    </w:tbl>
    <w:p>
      <w:pPr>
        <w:spacing w:line="420" w:lineRule="exact"/>
        <w:ind w:firstLine="420" w:firstLineChars="200"/>
        <w:rPr>
          <w:rFonts w:hAnsi="宋体" w:cs="宋体"/>
          <w:color w:val="auto"/>
          <w:sz w:val="24"/>
          <w:highlight w:val="none"/>
        </w:rPr>
      </w:pPr>
      <w:r>
        <w:rPr>
          <w:rFonts w:hint="eastAsia" w:hAnsi="宋体" w:cs="宋体"/>
          <w:color w:val="auto"/>
          <w:szCs w:val="21"/>
          <w:highlight w:val="none"/>
        </w:rPr>
        <w:t>注：上传的的电子投标文件中所涉及的证件类须是原件的扫描件或图片。</w:t>
      </w:r>
      <w:r>
        <w:rPr>
          <w:rFonts w:hint="eastAsia" w:hAnsi="宋体" w:cs="宋体"/>
          <w:color w:val="auto"/>
          <w:szCs w:val="21"/>
          <w:highlight w:val="none"/>
        </w:rPr>
        <w:br w:type="page"/>
      </w:r>
      <w:r>
        <w:rPr>
          <w:rFonts w:hint="eastAsia" w:hAnsi="宋体" w:cs="宋体"/>
          <w:color w:val="auto"/>
          <w:sz w:val="24"/>
          <w:highlight w:val="none"/>
        </w:rPr>
        <w:t>附2：主要项目管理人员简历表</w:t>
      </w:r>
    </w:p>
    <w:tbl>
      <w:tblPr>
        <w:tblStyle w:val="14"/>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姓    名</w:t>
            </w:r>
          </w:p>
        </w:tc>
        <w:tc>
          <w:tcPr>
            <w:tcW w:w="4458" w:type="dxa"/>
            <w:tcBorders>
              <w:left w:val="nil"/>
            </w:tcBorders>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性    别</w:t>
            </w:r>
          </w:p>
        </w:tc>
        <w:tc>
          <w:tcPr>
            <w:tcW w:w="4458" w:type="dxa"/>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学历和专业</w:t>
            </w:r>
          </w:p>
        </w:tc>
        <w:tc>
          <w:tcPr>
            <w:tcW w:w="4458" w:type="dxa"/>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拥有的执业资格</w:t>
            </w:r>
          </w:p>
        </w:tc>
        <w:tc>
          <w:tcPr>
            <w:tcW w:w="4458" w:type="dxa"/>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执业资格证书编号</w:t>
            </w:r>
          </w:p>
        </w:tc>
        <w:tc>
          <w:tcPr>
            <w:tcW w:w="4458" w:type="dxa"/>
            <w:noWrap w:val="0"/>
            <w:vAlign w:val="center"/>
          </w:tcPr>
          <w:p>
            <w:pPr>
              <w:spacing w:line="640" w:lineRule="exact"/>
              <w:rPr>
                <w:rFonts w:hAnsi="宋体" w:cs="宋体"/>
                <w:color w:val="auto"/>
                <w:sz w:val="24"/>
                <w:highlight w:val="none"/>
              </w:rPr>
            </w:pPr>
            <w:r>
              <w:rPr>
                <w:rFonts w:hint="eastAsia" w:hAnsi="宋体" w:cs="宋体"/>
                <w:color w:val="auto"/>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noWrap w:val="0"/>
            <w:vAlign w:val="center"/>
          </w:tcPr>
          <w:p>
            <w:pPr>
              <w:rPr>
                <w:rFonts w:hAnsi="宋体" w:cs="宋体"/>
                <w:color w:val="auto"/>
                <w:sz w:val="24"/>
                <w:highlight w:val="none"/>
              </w:rPr>
            </w:pPr>
            <w:r>
              <w:rPr>
                <w:rFonts w:hint="eastAsia" w:hAnsi="宋体" w:cs="宋体"/>
                <w:color w:val="auto"/>
                <w:sz w:val="24"/>
                <w:highlight w:val="none"/>
              </w:rPr>
              <w:t>主要</w:t>
            </w:r>
          </w:p>
          <w:p>
            <w:pPr>
              <w:rPr>
                <w:rFonts w:hAnsi="宋体" w:cs="宋体"/>
                <w:color w:val="auto"/>
                <w:sz w:val="24"/>
                <w:highlight w:val="none"/>
              </w:rPr>
            </w:pPr>
            <w:r>
              <w:rPr>
                <w:rFonts w:hint="eastAsia" w:hAnsi="宋体" w:cs="宋体"/>
                <w:color w:val="auto"/>
                <w:sz w:val="24"/>
                <w:highlight w:val="none"/>
              </w:rPr>
              <w:t>工作</w:t>
            </w:r>
          </w:p>
          <w:p>
            <w:pPr>
              <w:rPr>
                <w:rFonts w:hAnsi="宋体" w:cs="宋体"/>
                <w:color w:val="auto"/>
                <w:sz w:val="24"/>
                <w:highlight w:val="none"/>
              </w:rPr>
            </w:pPr>
            <w:r>
              <w:rPr>
                <w:rFonts w:hint="eastAsia" w:hAnsi="宋体" w:cs="宋体"/>
                <w:color w:val="auto"/>
                <w:sz w:val="24"/>
                <w:highlight w:val="none"/>
              </w:rPr>
              <w:t>业绩</w:t>
            </w:r>
          </w:p>
          <w:p>
            <w:pPr>
              <w:rPr>
                <w:rFonts w:hAnsi="宋体" w:cs="宋体"/>
                <w:color w:val="auto"/>
                <w:sz w:val="24"/>
                <w:highlight w:val="none"/>
              </w:rPr>
            </w:pPr>
            <w:r>
              <w:rPr>
                <w:rFonts w:hint="eastAsia" w:hAnsi="宋体" w:cs="宋体"/>
                <w:color w:val="auto"/>
                <w:sz w:val="24"/>
                <w:highlight w:val="none"/>
              </w:rPr>
              <w:t>及担</w:t>
            </w:r>
          </w:p>
          <w:p>
            <w:pPr>
              <w:rPr>
                <w:rFonts w:hAnsi="宋体" w:cs="宋体"/>
                <w:color w:val="auto"/>
                <w:sz w:val="24"/>
                <w:highlight w:val="none"/>
              </w:rPr>
            </w:pPr>
            <w:r>
              <w:rPr>
                <w:rFonts w:hint="eastAsia" w:hAnsi="宋体" w:cs="宋体"/>
                <w:color w:val="auto"/>
                <w:sz w:val="24"/>
                <w:highlight w:val="none"/>
              </w:rPr>
              <w:t>任的</w:t>
            </w:r>
          </w:p>
          <w:p>
            <w:pPr>
              <w:rPr>
                <w:rFonts w:hAnsi="宋体" w:cs="宋体"/>
                <w:color w:val="auto"/>
                <w:sz w:val="24"/>
                <w:highlight w:val="none"/>
              </w:rPr>
            </w:pPr>
            <w:r>
              <w:rPr>
                <w:rFonts w:hint="eastAsia" w:hAnsi="宋体" w:cs="宋体"/>
                <w:color w:val="auto"/>
                <w:sz w:val="24"/>
                <w:highlight w:val="none"/>
              </w:rPr>
              <w:t>主要</w:t>
            </w:r>
          </w:p>
          <w:p>
            <w:pPr>
              <w:rPr>
                <w:rFonts w:hAnsi="宋体" w:cs="宋体"/>
                <w:color w:val="auto"/>
                <w:sz w:val="24"/>
                <w:highlight w:val="none"/>
              </w:rPr>
            </w:pPr>
            <w:r>
              <w:rPr>
                <w:rFonts w:hint="eastAsia" w:hAnsi="宋体" w:cs="宋体"/>
                <w:color w:val="auto"/>
                <w:sz w:val="24"/>
                <w:highlight w:val="none"/>
              </w:rPr>
              <w:t>工作</w:t>
            </w:r>
          </w:p>
        </w:tc>
        <w:tc>
          <w:tcPr>
            <w:tcW w:w="7586" w:type="dxa"/>
            <w:gridSpan w:val="2"/>
            <w:noWrap w:val="0"/>
            <w:vAlign w:val="top"/>
          </w:tcPr>
          <w:p>
            <w:pPr>
              <w:rPr>
                <w:rFonts w:hAnsi="宋体" w:cs="宋体"/>
                <w:color w:val="auto"/>
                <w:sz w:val="24"/>
                <w:highlight w:val="none"/>
              </w:rPr>
            </w:pPr>
          </w:p>
        </w:tc>
      </w:tr>
    </w:tbl>
    <w:p>
      <w:pPr>
        <w:rPr>
          <w:rFonts w:hAnsi="宋体" w:cs="宋体"/>
          <w:color w:val="auto"/>
          <w:szCs w:val="21"/>
          <w:highlight w:val="none"/>
        </w:rPr>
      </w:pPr>
    </w:p>
    <w:p>
      <w:pPr>
        <w:autoSpaceDE w:val="0"/>
        <w:autoSpaceDN w:val="0"/>
        <w:adjustRightInd w:val="0"/>
        <w:spacing w:line="360" w:lineRule="auto"/>
        <w:ind w:right="215" w:firstLine="640" w:firstLineChars="200"/>
        <w:jc w:val="center"/>
        <w:rPr>
          <w:rFonts w:hAnsi="宋体" w:cs="宋体"/>
          <w:color w:val="auto"/>
          <w:sz w:val="24"/>
          <w:highlight w:val="none"/>
        </w:rPr>
      </w:pPr>
      <w:r>
        <w:rPr>
          <w:rFonts w:hint="eastAsia" w:hAnsi="宋体" w:cs="宋体"/>
          <w:b/>
          <w:color w:val="auto"/>
          <w:sz w:val="32"/>
          <w:highlight w:val="none"/>
        </w:rPr>
        <w:br w:type="page"/>
      </w:r>
      <w:r>
        <w:rPr>
          <w:rFonts w:hint="eastAsia" w:hAnsi="宋体" w:cs="宋体"/>
          <w:b/>
          <w:color w:val="auto"/>
          <w:sz w:val="32"/>
          <w:highlight w:val="none"/>
        </w:rPr>
        <w:t>五、</w:t>
      </w:r>
      <w:r>
        <w:rPr>
          <w:rFonts w:hint="eastAsia" w:hAnsi="宋体" w:cs="宋体"/>
          <w:b/>
          <w:color w:val="auto"/>
          <w:sz w:val="32"/>
          <w:szCs w:val="32"/>
          <w:highlight w:val="none"/>
        </w:rPr>
        <w:t>投标单位基本信息表</w:t>
      </w:r>
    </w:p>
    <w:p>
      <w:pPr>
        <w:autoSpaceDE w:val="0"/>
        <w:autoSpaceDN w:val="0"/>
        <w:adjustRightInd w:val="0"/>
        <w:spacing w:line="360" w:lineRule="auto"/>
        <w:ind w:right="215" w:firstLine="420"/>
        <w:jc w:val="center"/>
        <w:rPr>
          <w:rFonts w:hAnsi="宋体" w:cs="宋体"/>
          <w:b/>
          <w:color w:val="auto"/>
          <w:sz w:val="28"/>
          <w:highlight w:val="none"/>
        </w:rPr>
      </w:pPr>
    </w:p>
    <w:tbl>
      <w:tblPr>
        <w:tblStyle w:val="14"/>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投标人名称</w:t>
            </w:r>
          </w:p>
        </w:tc>
        <w:tc>
          <w:tcPr>
            <w:tcW w:w="7435" w:type="dxa"/>
            <w:gridSpan w:val="9"/>
            <w:noWrap w:val="0"/>
            <w:vAlign w:val="center"/>
          </w:tcPr>
          <w:p>
            <w:pPr>
              <w:autoSpaceDE w:val="0"/>
              <w:autoSpaceDN w:val="0"/>
              <w:adjustRightInd w:val="0"/>
              <w:spacing w:line="360" w:lineRule="auto"/>
              <w:ind w:left="41" w:right="215" w:hanging="40" w:hangingChars="17"/>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注册地址</w:t>
            </w:r>
          </w:p>
        </w:tc>
        <w:tc>
          <w:tcPr>
            <w:tcW w:w="4134" w:type="dxa"/>
            <w:gridSpan w:val="5"/>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575"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邮政编码</w:t>
            </w:r>
          </w:p>
        </w:tc>
        <w:tc>
          <w:tcPr>
            <w:tcW w:w="1726"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联系方式</w:t>
            </w:r>
          </w:p>
        </w:tc>
        <w:tc>
          <w:tcPr>
            <w:tcW w:w="1205"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联系人</w:t>
            </w:r>
          </w:p>
        </w:tc>
        <w:tc>
          <w:tcPr>
            <w:tcW w:w="2929" w:type="dxa"/>
            <w:gridSpan w:val="4"/>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575"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电话</w:t>
            </w:r>
          </w:p>
        </w:tc>
        <w:tc>
          <w:tcPr>
            <w:tcW w:w="1726"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205"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传真</w:t>
            </w:r>
          </w:p>
        </w:tc>
        <w:tc>
          <w:tcPr>
            <w:tcW w:w="2929" w:type="dxa"/>
            <w:gridSpan w:val="4"/>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575"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网址</w:t>
            </w:r>
          </w:p>
        </w:tc>
        <w:tc>
          <w:tcPr>
            <w:tcW w:w="1726"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组织结构</w:t>
            </w:r>
          </w:p>
        </w:tc>
        <w:tc>
          <w:tcPr>
            <w:tcW w:w="7435" w:type="dxa"/>
            <w:gridSpan w:val="9"/>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法定代表人</w:t>
            </w:r>
          </w:p>
        </w:tc>
        <w:tc>
          <w:tcPr>
            <w:tcW w:w="1205"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姓名</w:t>
            </w:r>
          </w:p>
        </w:tc>
        <w:tc>
          <w:tcPr>
            <w:tcW w:w="1205"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689"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技术职称</w:t>
            </w:r>
          </w:p>
        </w:tc>
        <w:tc>
          <w:tcPr>
            <w:tcW w:w="1069"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061"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电话</w:t>
            </w:r>
          </w:p>
        </w:tc>
        <w:tc>
          <w:tcPr>
            <w:tcW w:w="1206"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技术负责人</w:t>
            </w:r>
          </w:p>
        </w:tc>
        <w:tc>
          <w:tcPr>
            <w:tcW w:w="1205"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姓名</w:t>
            </w:r>
          </w:p>
        </w:tc>
        <w:tc>
          <w:tcPr>
            <w:tcW w:w="1205"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689"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技术职称</w:t>
            </w:r>
          </w:p>
        </w:tc>
        <w:tc>
          <w:tcPr>
            <w:tcW w:w="1069"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061"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电话</w:t>
            </w:r>
          </w:p>
        </w:tc>
        <w:tc>
          <w:tcPr>
            <w:tcW w:w="1206"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成立时间</w:t>
            </w:r>
          </w:p>
        </w:tc>
        <w:tc>
          <w:tcPr>
            <w:tcW w:w="2410"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5025" w:type="dxa"/>
            <w:gridSpan w:val="7"/>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pacing w:val="-20"/>
                <w:sz w:val="24"/>
                <w:highlight w:val="none"/>
              </w:rPr>
            </w:pPr>
            <w:r>
              <w:rPr>
                <w:rFonts w:hint="eastAsia" w:hAnsi="宋体" w:cs="宋体"/>
                <w:color w:val="auto"/>
                <w:spacing w:val="-20"/>
                <w:sz w:val="24"/>
                <w:highlight w:val="none"/>
              </w:rPr>
              <w:t>企业资质等级</w:t>
            </w:r>
          </w:p>
        </w:tc>
        <w:tc>
          <w:tcPr>
            <w:tcW w:w="2410"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205" w:type="dxa"/>
            <w:vMerge w:val="restart"/>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其中</w:t>
            </w:r>
          </w:p>
        </w:tc>
        <w:tc>
          <w:tcPr>
            <w:tcW w:w="2614" w:type="dxa"/>
            <w:gridSpan w:val="5"/>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项目经理</w:t>
            </w:r>
          </w:p>
        </w:tc>
        <w:tc>
          <w:tcPr>
            <w:tcW w:w="1206"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营业执照号</w:t>
            </w:r>
          </w:p>
        </w:tc>
        <w:tc>
          <w:tcPr>
            <w:tcW w:w="2410"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205" w:type="dxa"/>
            <w:vMerge w:val="continue"/>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2614" w:type="dxa"/>
            <w:gridSpan w:val="5"/>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高级职称人员</w:t>
            </w:r>
          </w:p>
        </w:tc>
        <w:tc>
          <w:tcPr>
            <w:tcW w:w="1206"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注册资金</w:t>
            </w:r>
          </w:p>
        </w:tc>
        <w:tc>
          <w:tcPr>
            <w:tcW w:w="2410"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205" w:type="dxa"/>
            <w:vMerge w:val="continue"/>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2614" w:type="dxa"/>
            <w:gridSpan w:val="5"/>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中级职称人员</w:t>
            </w:r>
          </w:p>
        </w:tc>
        <w:tc>
          <w:tcPr>
            <w:tcW w:w="1206"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开户银行</w:t>
            </w:r>
          </w:p>
        </w:tc>
        <w:tc>
          <w:tcPr>
            <w:tcW w:w="2410"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205" w:type="dxa"/>
            <w:vMerge w:val="continue"/>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2614" w:type="dxa"/>
            <w:gridSpan w:val="5"/>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初级职称人员</w:t>
            </w:r>
          </w:p>
        </w:tc>
        <w:tc>
          <w:tcPr>
            <w:tcW w:w="1206"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账号</w:t>
            </w:r>
          </w:p>
        </w:tc>
        <w:tc>
          <w:tcPr>
            <w:tcW w:w="2410" w:type="dxa"/>
            <w:gridSpan w:val="2"/>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1205" w:type="dxa"/>
            <w:vMerge w:val="continue"/>
            <w:noWrap w:val="0"/>
            <w:vAlign w:val="center"/>
          </w:tcPr>
          <w:p>
            <w:pPr>
              <w:autoSpaceDE w:val="0"/>
              <w:autoSpaceDN w:val="0"/>
              <w:adjustRightInd w:val="0"/>
              <w:spacing w:line="360" w:lineRule="auto"/>
              <w:ind w:right="215"/>
              <w:jc w:val="center"/>
              <w:rPr>
                <w:rFonts w:hAnsi="宋体" w:cs="宋体"/>
                <w:color w:val="auto"/>
                <w:sz w:val="24"/>
                <w:highlight w:val="none"/>
              </w:rPr>
            </w:pPr>
          </w:p>
        </w:tc>
        <w:tc>
          <w:tcPr>
            <w:tcW w:w="2614" w:type="dxa"/>
            <w:gridSpan w:val="5"/>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技工</w:t>
            </w:r>
          </w:p>
        </w:tc>
        <w:tc>
          <w:tcPr>
            <w:tcW w:w="1206"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经营范围</w:t>
            </w:r>
          </w:p>
        </w:tc>
        <w:tc>
          <w:tcPr>
            <w:tcW w:w="7435" w:type="dxa"/>
            <w:gridSpan w:val="9"/>
            <w:noWrap w:val="0"/>
            <w:vAlign w:val="center"/>
          </w:tcPr>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备注</w:t>
            </w:r>
          </w:p>
        </w:tc>
        <w:tc>
          <w:tcPr>
            <w:tcW w:w="7435" w:type="dxa"/>
            <w:gridSpan w:val="9"/>
            <w:noWrap w:val="0"/>
            <w:vAlign w:val="center"/>
          </w:tcPr>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tc>
      </w:tr>
    </w:tbl>
    <w:p>
      <w:pPr>
        <w:autoSpaceDE w:val="0"/>
        <w:autoSpaceDN w:val="0"/>
        <w:adjustRightInd w:val="0"/>
        <w:spacing w:line="360" w:lineRule="auto"/>
        <w:ind w:right="215" w:firstLine="480" w:firstLineChars="200"/>
        <w:rPr>
          <w:rFonts w:hAnsi="宋体" w:cs="宋体"/>
          <w:color w:val="auto"/>
          <w:sz w:val="24"/>
          <w:highlight w:val="none"/>
        </w:rPr>
      </w:pPr>
      <w:r>
        <w:rPr>
          <w:rFonts w:hint="eastAsia" w:hAnsi="宋体" w:cs="宋体"/>
          <w:color w:val="auto"/>
          <w:sz w:val="24"/>
          <w:highlight w:val="none"/>
        </w:rPr>
        <w:t>备注：本表后应附企业法人营业执照、企业资质证书副本、安全生产许可证等材料的原件扫描件或图片。</w:t>
      </w:r>
    </w:p>
    <w:p>
      <w:pPr>
        <w:autoSpaceDE w:val="0"/>
        <w:autoSpaceDN w:val="0"/>
        <w:adjustRightInd w:val="0"/>
        <w:spacing w:line="360" w:lineRule="auto"/>
        <w:ind w:right="215" w:firstLine="480" w:firstLineChars="200"/>
        <w:jc w:val="center"/>
        <w:rPr>
          <w:rFonts w:hAnsi="宋体" w:cs="宋体"/>
          <w:b/>
          <w:color w:val="auto"/>
          <w:sz w:val="28"/>
          <w:highlight w:val="none"/>
        </w:rPr>
      </w:pPr>
      <w:r>
        <w:rPr>
          <w:rFonts w:hint="eastAsia" w:hAnsi="宋体" w:cs="宋体"/>
          <w:color w:val="auto"/>
          <w:sz w:val="24"/>
          <w:highlight w:val="none"/>
        </w:rPr>
        <w:br w:type="page"/>
      </w:r>
      <w:r>
        <w:rPr>
          <w:rFonts w:hint="eastAsia" w:hAnsi="宋体" w:cs="宋体"/>
          <w:b/>
          <w:color w:val="auto"/>
          <w:sz w:val="32"/>
          <w:highlight w:val="none"/>
        </w:rPr>
        <w:t>六、</w:t>
      </w:r>
      <w:r>
        <w:rPr>
          <w:rFonts w:hint="eastAsia" w:hAnsi="宋体" w:cs="宋体"/>
          <w:b/>
          <w:color w:val="auto"/>
          <w:sz w:val="32"/>
          <w:szCs w:val="32"/>
          <w:highlight w:val="none"/>
        </w:rPr>
        <w:t>资格证明文件</w:t>
      </w:r>
    </w:p>
    <w:p>
      <w:pPr>
        <w:autoSpaceDE w:val="0"/>
        <w:autoSpaceDN w:val="0"/>
        <w:adjustRightInd w:val="0"/>
        <w:spacing w:line="360" w:lineRule="auto"/>
        <w:ind w:right="215" w:firstLine="480" w:firstLineChars="200"/>
        <w:jc w:val="center"/>
        <w:rPr>
          <w:rFonts w:hAnsi="宋体" w:cs="宋体"/>
          <w:color w:val="auto"/>
          <w:sz w:val="24"/>
          <w:highlight w:val="none"/>
        </w:rPr>
      </w:pPr>
      <w:r>
        <w:rPr>
          <w:rFonts w:hint="eastAsia" w:hAnsi="宋体" w:cs="宋体"/>
          <w:color w:val="auto"/>
          <w:sz w:val="24"/>
          <w:highlight w:val="none"/>
        </w:rPr>
        <w:t>（附原件扫描件或图片）</w:t>
      </w:r>
    </w:p>
    <w:p>
      <w:pPr>
        <w:autoSpaceDE w:val="0"/>
        <w:autoSpaceDN w:val="0"/>
        <w:adjustRightInd w:val="0"/>
        <w:spacing w:line="360" w:lineRule="auto"/>
        <w:ind w:right="215" w:firstLine="420"/>
        <w:jc w:val="center"/>
        <w:rPr>
          <w:rFonts w:hAnsi="宋体" w:cs="宋体"/>
          <w:color w:val="auto"/>
          <w:sz w:val="24"/>
          <w:highlight w:val="none"/>
        </w:rPr>
      </w:pPr>
    </w:p>
    <w:p>
      <w:pPr>
        <w:autoSpaceDE w:val="0"/>
        <w:autoSpaceDN w:val="0"/>
        <w:adjustRightInd w:val="0"/>
        <w:spacing w:line="360" w:lineRule="auto"/>
        <w:ind w:right="215" w:firstLine="420"/>
        <w:jc w:val="center"/>
        <w:rPr>
          <w:rFonts w:hAnsi="宋体" w:cs="宋体"/>
          <w:b/>
          <w:color w:val="auto"/>
          <w:sz w:val="32"/>
          <w:szCs w:val="32"/>
          <w:highlight w:val="none"/>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360" w:lineRule="auto"/>
        <w:ind w:right="215" w:firstLine="640" w:firstLineChars="200"/>
        <w:jc w:val="center"/>
        <w:rPr>
          <w:rFonts w:hAnsi="宋体" w:cs="宋体"/>
          <w:b/>
          <w:color w:val="auto"/>
          <w:sz w:val="32"/>
          <w:szCs w:val="32"/>
          <w:highlight w:val="none"/>
        </w:rPr>
      </w:pPr>
      <w:r>
        <w:rPr>
          <w:rFonts w:hint="eastAsia" w:hAnsi="宋体" w:cs="宋体"/>
          <w:b/>
          <w:color w:val="auto"/>
          <w:sz w:val="32"/>
          <w:szCs w:val="32"/>
          <w:highlight w:val="none"/>
        </w:rPr>
        <w:t>七、近年完成的类似项目情况表</w:t>
      </w:r>
    </w:p>
    <w:tbl>
      <w:tblPr>
        <w:tblStyle w:val="1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项目名称</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项目所在地</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发包人名称</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发包人地址</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发包人电话</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合同价格</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开工日期</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竣工日期</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承担的工作</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工程质量</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项目经理</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技术负责人</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color w:val="auto"/>
                <w:spacing w:val="-20"/>
                <w:sz w:val="24"/>
                <w:highlight w:val="none"/>
              </w:rPr>
            </w:pPr>
            <w:r>
              <w:rPr>
                <w:rFonts w:hint="eastAsia" w:hAnsi="宋体" w:cs="宋体"/>
                <w:color w:val="auto"/>
                <w:spacing w:val="-20"/>
                <w:sz w:val="24"/>
                <w:highlight w:val="none"/>
              </w:rPr>
              <w:t>总监理工程师及电话</w:t>
            </w:r>
          </w:p>
        </w:tc>
        <w:tc>
          <w:tcPr>
            <w:tcW w:w="6721" w:type="dxa"/>
            <w:noWrap w:val="0"/>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项目描述</w:t>
            </w:r>
          </w:p>
        </w:tc>
        <w:tc>
          <w:tcPr>
            <w:tcW w:w="6721"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备注</w:t>
            </w:r>
          </w:p>
        </w:tc>
        <w:tc>
          <w:tcPr>
            <w:tcW w:w="6721" w:type="dxa"/>
            <w:noWrap w:val="0"/>
            <w:vAlign w:val="center"/>
          </w:tcPr>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rPr>
                <w:rFonts w:hAnsi="宋体" w:cs="宋体"/>
                <w:color w:val="auto"/>
                <w:sz w:val="24"/>
                <w:highlight w:val="none"/>
              </w:rPr>
            </w:pPr>
          </w:p>
        </w:tc>
      </w:tr>
    </w:tbl>
    <w:p>
      <w:pPr>
        <w:rPr>
          <w:rFonts w:hAnsi="宋体" w:cs="宋体"/>
          <w:color w:val="auto"/>
          <w:sz w:val="24"/>
          <w:szCs w:val="24"/>
          <w:highlight w:val="none"/>
        </w:rPr>
      </w:pPr>
    </w:p>
    <w:p>
      <w:pPr>
        <w:ind w:firstLine="480" w:firstLineChars="200"/>
        <w:jc w:val="center"/>
        <w:rPr>
          <w:rFonts w:hAnsi="宋体" w:cs="宋体"/>
          <w:b/>
          <w:color w:val="auto"/>
          <w:sz w:val="32"/>
          <w:szCs w:val="32"/>
          <w:highlight w:val="none"/>
        </w:rPr>
      </w:pPr>
      <w:r>
        <w:rPr>
          <w:rFonts w:hint="eastAsia" w:hAnsi="宋体" w:cs="宋体"/>
          <w:color w:val="auto"/>
          <w:sz w:val="24"/>
          <w:szCs w:val="24"/>
          <w:highlight w:val="none"/>
        </w:rPr>
        <w:br w:type="page"/>
      </w:r>
      <w:r>
        <w:rPr>
          <w:rFonts w:hint="eastAsia" w:hAnsi="宋体" w:cs="宋体"/>
          <w:b/>
          <w:color w:val="auto"/>
          <w:sz w:val="32"/>
          <w:szCs w:val="32"/>
          <w:highlight w:val="none"/>
        </w:rPr>
        <w:t>八、正在施工的和新承接的项目情况</w:t>
      </w:r>
    </w:p>
    <w:p>
      <w:pPr>
        <w:autoSpaceDE w:val="0"/>
        <w:autoSpaceDN w:val="0"/>
        <w:adjustRightInd w:val="0"/>
        <w:spacing w:line="360" w:lineRule="auto"/>
        <w:ind w:right="215" w:firstLine="420"/>
        <w:jc w:val="center"/>
        <w:rPr>
          <w:rFonts w:hAnsi="宋体" w:cs="宋体"/>
          <w:b/>
          <w:color w:val="auto"/>
          <w:sz w:val="32"/>
          <w:szCs w:val="32"/>
          <w:highlight w:val="none"/>
        </w:rPr>
      </w:pPr>
    </w:p>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项目名称</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项目所在地</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发包人名称</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发包人地址</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发包人电话</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签约合同价</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开工日期</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计划竣工日期</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承担的工作</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工程质量</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项目经理</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技术负责人</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pacing w:val="-20"/>
                <w:sz w:val="24"/>
                <w:highlight w:val="none"/>
              </w:rPr>
            </w:pPr>
            <w:r>
              <w:rPr>
                <w:rFonts w:hint="eastAsia" w:hAnsi="宋体" w:cs="宋体"/>
                <w:color w:val="auto"/>
                <w:spacing w:val="-20"/>
                <w:sz w:val="24"/>
                <w:highlight w:val="none"/>
              </w:rPr>
              <w:t>总监理工程师及电话</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项目描述</w:t>
            </w:r>
          </w:p>
        </w:tc>
        <w:tc>
          <w:tcPr>
            <w:tcW w:w="6727" w:type="dxa"/>
            <w:noWrap w:val="0"/>
            <w:vAlign w:val="center"/>
          </w:tcPr>
          <w:p>
            <w:pPr>
              <w:autoSpaceDE w:val="0"/>
              <w:autoSpaceDN w:val="0"/>
              <w:adjustRightInd w:val="0"/>
              <w:spacing w:line="360" w:lineRule="auto"/>
              <w:ind w:right="215"/>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noWrap w:val="0"/>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备注</w:t>
            </w:r>
          </w:p>
        </w:tc>
        <w:tc>
          <w:tcPr>
            <w:tcW w:w="6727" w:type="dxa"/>
            <w:noWrap w:val="0"/>
            <w:vAlign w:val="center"/>
          </w:tcPr>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rPr>
                <w:rFonts w:hAnsi="宋体" w:cs="宋体"/>
                <w:color w:val="auto"/>
                <w:sz w:val="24"/>
                <w:highlight w:val="none"/>
              </w:rPr>
            </w:pPr>
          </w:p>
        </w:tc>
      </w:tr>
    </w:tbl>
    <w:p>
      <w:pPr>
        <w:autoSpaceDE w:val="0"/>
        <w:autoSpaceDN w:val="0"/>
        <w:adjustRightInd w:val="0"/>
        <w:spacing w:line="360" w:lineRule="auto"/>
        <w:ind w:right="215"/>
        <w:jc w:val="center"/>
        <w:rPr>
          <w:rFonts w:hAnsi="宋体" w:cs="宋体"/>
          <w:b/>
          <w:color w:val="auto"/>
          <w:sz w:val="32"/>
          <w:szCs w:val="32"/>
          <w:highlight w:val="none"/>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360" w:lineRule="auto"/>
        <w:ind w:right="215"/>
        <w:jc w:val="center"/>
        <w:rPr>
          <w:rFonts w:hAnsi="宋体" w:cs="宋体"/>
          <w:b/>
          <w:color w:val="auto"/>
          <w:sz w:val="32"/>
          <w:szCs w:val="32"/>
          <w:highlight w:val="none"/>
        </w:rPr>
      </w:pPr>
    </w:p>
    <w:p>
      <w:pPr>
        <w:numPr>
          <w:ilvl w:val="0"/>
          <w:numId w:val="4"/>
        </w:numPr>
        <w:autoSpaceDE w:val="0"/>
        <w:autoSpaceDN w:val="0"/>
        <w:adjustRightInd w:val="0"/>
        <w:spacing w:line="360" w:lineRule="auto"/>
        <w:ind w:right="215" w:firstLine="640" w:firstLineChars="200"/>
        <w:jc w:val="center"/>
        <w:rPr>
          <w:rFonts w:hAnsi="宋体" w:cs="宋体"/>
          <w:b/>
          <w:color w:val="auto"/>
          <w:sz w:val="32"/>
          <w:szCs w:val="32"/>
          <w:highlight w:val="none"/>
        </w:rPr>
      </w:pPr>
      <w:r>
        <w:rPr>
          <w:rFonts w:hint="eastAsia" w:hAnsi="宋体" w:cs="宋体"/>
          <w:b/>
          <w:color w:val="auto"/>
          <w:sz w:val="32"/>
          <w:szCs w:val="32"/>
          <w:highlight w:val="none"/>
        </w:rPr>
        <w:t>近年发生的诉讼及仲裁</w:t>
      </w:r>
    </w:p>
    <w:p>
      <w:pPr>
        <w:autoSpaceDE w:val="0"/>
        <w:autoSpaceDN w:val="0"/>
        <w:adjustRightInd w:val="0"/>
        <w:spacing w:line="360" w:lineRule="auto"/>
        <w:ind w:right="215"/>
        <w:rPr>
          <w:rFonts w:hAnsi="宋体" w:cs="宋体"/>
          <w:b/>
          <w:color w:val="auto"/>
          <w:sz w:val="32"/>
          <w:szCs w:val="32"/>
          <w:highlight w:val="none"/>
        </w:rPr>
      </w:pPr>
    </w:p>
    <w:p>
      <w:pPr>
        <w:autoSpaceDE w:val="0"/>
        <w:autoSpaceDN w:val="0"/>
        <w:adjustRightInd w:val="0"/>
        <w:spacing w:line="360" w:lineRule="auto"/>
        <w:ind w:right="215" w:firstLine="2560" w:firstLineChars="800"/>
        <w:rPr>
          <w:rFonts w:hAnsi="宋体" w:cs="宋体"/>
          <w:b/>
          <w:color w:val="auto"/>
          <w:sz w:val="32"/>
          <w:szCs w:val="32"/>
          <w:highlight w:val="none"/>
        </w:rPr>
      </w:pPr>
    </w:p>
    <w:p>
      <w:pPr>
        <w:autoSpaceDE w:val="0"/>
        <w:autoSpaceDN w:val="0"/>
        <w:adjustRightInd w:val="0"/>
        <w:spacing w:line="360" w:lineRule="auto"/>
        <w:ind w:right="215" w:firstLine="2560" w:firstLineChars="800"/>
        <w:rPr>
          <w:rFonts w:hAnsi="宋体" w:cs="宋体"/>
          <w:b/>
          <w:color w:val="auto"/>
          <w:sz w:val="32"/>
          <w:szCs w:val="32"/>
          <w:highlight w:val="none"/>
        </w:rPr>
        <w:sectPr>
          <w:pgSz w:w="11906" w:h="16838"/>
          <w:pgMar w:top="1304" w:right="1134" w:bottom="1304" w:left="1134" w:header="851" w:footer="992" w:gutter="0"/>
          <w:cols w:space="720" w:num="1"/>
          <w:docGrid w:type="linesAndChars" w:linePitch="312" w:charSpace="0"/>
        </w:sectPr>
      </w:pPr>
    </w:p>
    <w:p>
      <w:pPr>
        <w:numPr>
          <w:ilvl w:val="0"/>
          <w:numId w:val="4"/>
        </w:numPr>
        <w:autoSpaceDE w:val="0"/>
        <w:autoSpaceDN w:val="0"/>
        <w:adjustRightInd w:val="0"/>
        <w:spacing w:line="360" w:lineRule="auto"/>
        <w:ind w:right="215" w:firstLine="640" w:firstLineChars="200"/>
        <w:jc w:val="center"/>
        <w:rPr>
          <w:rFonts w:hint="eastAsia" w:hAnsi="宋体" w:cs="宋体"/>
          <w:b/>
          <w:color w:val="auto"/>
          <w:sz w:val="32"/>
          <w:szCs w:val="32"/>
          <w:highlight w:val="none"/>
        </w:rPr>
      </w:pPr>
      <w:r>
        <w:rPr>
          <w:rFonts w:hint="eastAsia" w:hAnsi="宋体" w:cs="宋体"/>
          <w:b/>
          <w:color w:val="auto"/>
          <w:sz w:val="32"/>
          <w:szCs w:val="32"/>
          <w:highlight w:val="none"/>
        </w:rPr>
        <w:t>其它材料</w:t>
      </w:r>
    </w:p>
    <w:p>
      <w:pPr>
        <w:pStyle w:val="2"/>
        <w:ind w:left="420" w:leftChars="200" w:firstLine="0" w:firstLineChars="0"/>
        <w:rPr>
          <w:color w:val="auto"/>
          <w:highlight w:val="none"/>
        </w:rPr>
      </w:pPr>
    </w:p>
    <w:p>
      <w:pPr>
        <w:tabs>
          <w:tab w:val="center" w:pos="4739"/>
        </w:tabs>
        <w:ind w:firstLine="1680" w:firstLineChars="600"/>
        <w:rPr>
          <w:rFonts w:hAnsi="宋体" w:cs="宋体"/>
          <w:b/>
          <w:bCs/>
          <w:color w:val="auto"/>
          <w:sz w:val="28"/>
          <w:szCs w:val="28"/>
          <w:highlight w:val="none"/>
        </w:rPr>
      </w:pPr>
      <w:r>
        <w:rPr>
          <w:rFonts w:hint="eastAsia" w:hAnsi="宋体" w:cs="宋体"/>
          <w:b/>
          <w:bCs/>
          <w:color w:val="auto"/>
          <w:sz w:val="28"/>
          <w:szCs w:val="28"/>
          <w:highlight w:val="none"/>
        </w:rPr>
        <w:t>投标人认为须附的其他材料，格式可自行编制。</w:t>
      </w:r>
    </w:p>
    <w:p>
      <w:pPr>
        <w:tabs>
          <w:tab w:val="center" w:pos="4739"/>
        </w:tabs>
        <w:ind w:left="180"/>
        <w:jc w:val="right"/>
        <w:rPr>
          <w:rFonts w:hAnsi="宋体" w:cs="宋体"/>
          <w:color w:val="auto"/>
          <w:sz w:val="24"/>
          <w:highlight w:val="none"/>
        </w:rPr>
        <w:sectPr>
          <w:pgSz w:w="11906" w:h="16838"/>
          <w:pgMar w:top="1304" w:right="1134" w:bottom="1304" w:left="1134" w:header="851" w:footer="992" w:gutter="0"/>
          <w:cols w:space="720" w:num="1"/>
          <w:docGrid w:type="linesAndChars" w:linePitch="312" w:charSpace="0"/>
        </w:sectPr>
      </w:pPr>
    </w:p>
    <w:p>
      <w:pPr>
        <w:tabs>
          <w:tab w:val="center" w:pos="4739"/>
        </w:tabs>
        <w:ind w:left="180" w:firstLine="640" w:firstLineChars="200"/>
        <w:jc w:val="center"/>
        <w:rPr>
          <w:rFonts w:hint="eastAsia" w:hAnsi="宋体" w:cs="宋体"/>
          <w:b/>
          <w:color w:val="auto"/>
          <w:sz w:val="32"/>
          <w:highlight w:val="none"/>
        </w:rPr>
      </w:pPr>
    </w:p>
    <w:p>
      <w:pPr>
        <w:tabs>
          <w:tab w:val="center" w:pos="4739"/>
        </w:tabs>
        <w:ind w:left="180" w:firstLine="640" w:firstLineChars="200"/>
        <w:jc w:val="center"/>
        <w:rPr>
          <w:rFonts w:hAnsi="宋体" w:cs="宋体"/>
          <w:b/>
          <w:color w:val="auto"/>
          <w:sz w:val="32"/>
          <w:highlight w:val="none"/>
        </w:rPr>
      </w:pPr>
      <w:r>
        <w:rPr>
          <w:rFonts w:hint="eastAsia" w:hAnsi="宋体" w:cs="宋体"/>
          <w:b/>
          <w:color w:val="auto"/>
          <w:sz w:val="32"/>
          <w:highlight w:val="none"/>
        </w:rPr>
        <w:t>　</w:t>
      </w:r>
    </w:p>
    <w:p>
      <w:pPr>
        <w:autoSpaceDE w:val="0"/>
        <w:autoSpaceDN w:val="0"/>
        <w:adjustRightInd w:val="0"/>
        <w:rPr>
          <w:rFonts w:hAnsi="宋体" w:cs="宋体"/>
          <w:b/>
          <w:color w:val="auto"/>
          <w:spacing w:val="60"/>
          <w:sz w:val="48"/>
          <w:szCs w:val="48"/>
          <w:highlight w:val="none"/>
          <w:u w:val="single"/>
        </w:rPr>
      </w:pPr>
      <w:r>
        <w:rPr>
          <w:rFonts w:hint="eastAsia" w:hAnsi="宋体" w:cs="宋体"/>
          <w:b/>
          <w:color w:val="auto"/>
          <w:sz w:val="36"/>
          <w:szCs w:val="36"/>
          <w:highlight w:val="none"/>
        </w:rPr>
        <w:t>　</w:t>
      </w:r>
      <w:r>
        <w:rPr>
          <w:rFonts w:hint="eastAsia" w:hAnsi="宋体" w:cs="宋体"/>
          <w:b/>
          <w:color w:val="auto"/>
          <w:sz w:val="36"/>
          <w:szCs w:val="36"/>
          <w:highlight w:val="none"/>
          <w:lang w:val="en-US" w:eastAsia="zh-CN"/>
        </w:rPr>
        <w:t xml:space="preserve">    </w:t>
      </w:r>
      <w:r>
        <w:rPr>
          <w:rFonts w:hint="eastAsia" w:hAnsi="宋体" w:cs="宋体"/>
          <w:b/>
          <w:color w:val="auto"/>
          <w:spacing w:val="60"/>
          <w:sz w:val="48"/>
          <w:szCs w:val="48"/>
          <w:highlight w:val="none"/>
          <w:u w:val="single"/>
        </w:rPr>
        <w:t xml:space="preserve">      （工程名称及标段）</w:t>
      </w:r>
    </w:p>
    <w:p>
      <w:pPr>
        <w:autoSpaceDE w:val="0"/>
        <w:autoSpaceDN w:val="0"/>
        <w:adjustRightInd w:val="0"/>
        <w:ind w:firstLine="1280" w:firstLineChars="200"/>
        <w:jc w:val="center"/>
        <w:rPr>
          <w:rFonts w:hAnsi="宋体" w:cs="宋体"/>
          <w:b/>
          <w:color w:val="auto"/>
          <w:spacing w:val="60"/>
          <w:sz w:val="52"/>
          <w:szCs w:val="52"/>
          <w:highlight w:val="none"/>
          <w:u w:val="single"/>
        </w:rPr>
      </w:pPr>
    </w:p>
    <w:p>
      <w:pPr>
        <w:autoSpaceDE w:val="0"/>
        <w:autoSpaceDN w:val="0"/>
        <w:adjustRightInd w:val="0"/>
        <w:rPr>
          <w:rFonts w:hAnsi="宋体" w:cs="宋体"/>
          <w:color w:val="auto"/>
          <w:sz w:val="36"/>
          <w:szCs w:val="36"/>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firstLine="1440" w:firstLineChars="200"/>
        <w:jc w:val="center"/>
        <w:rPr>
          <w:rFonts w:hAnsi="宋体" w:cs="宋体"/>
          <w:b/>
          <w:color w:val="auto"/>
          <w:sz w:val="72"/>
          <w:szCs w:val="72"/>
          <w:highlight w:val="none"/>
        </w:rPr>
      </w:pPr>
      <w:r>
        <w:rPr>
          <w:rFonts w:hint="eastAsia" w:hAnsi="宋体" w:cs="宋体"/>
          <w:b/>
          <w:color w:val="auto"/>
          <w:sz w:val="72"/>
          <w:szCs w:val="72"/>
          <w:highlight w:val="none"/>
        </w:rPr>
        <w:t>投 标 文 件</w:t>
      </w:r>
    </w:p>
    <w:p>
      <w:pPr>
        <w:tabs>
          <w:tab w:val="center" w:pos="4739"/>
        </w:tabs>
        <w:ind w:left="180"/>
        <w:rPr>
          <w:rFonts w:hAnsi="宋体" w:cs="宋体"/>
          <w:color w:val="auto"/>
          <w:sz w:val="24"/>
          <w:highlight w:val="none"/>
        </w:rPr>
      </w:pPr>
    </w:p>
    <w:p>
      <w:pPr>
        <w:tabs>
          <w:tab w:val="center" w:pos="4739"/>
        </w:tabs>
        <w:ind w:left="180" w:firstLine="640" w:firstLineChars="200"/>
        <w:jc w:val="center"/>
        <w:rPr>
          <w:rFonts w:hAnsi="宋体" w:cs="宋体"/>
          <w:b/>
          <w:color w:val="auto"/>
          <w:sz w:val="32"/>
          <w:szCs w:val="32"/>
          <w:highlight w:val="none"/>
        </w:rPr>
      </w:pPr>
      <w:r>
        <w:rPr>
          <w:rFonts w:hint="eastAsia" w:hAnsi="宋体" w:cs="宋体"/>
          <w:b/>
          <w:color w:val="auto"/>
          <w:sz w:val="32"/>
          <w:szCs w:val="32"/>
          <w:highlight w:val="none"/>
        </w:rPr>
        <w:t>（技术标）</w:t>
      </w:r>
    </w:p>
    <w:p>
      <w:pPr>
        <w:tabs>
          <w:tab w:val="center" w:pos="4739"/>
        </w:tabs>
        <w:ind w:left="180" w:firstLine="640" w:firstLineChars="200"/>
        <w:rPr>
          <w:rFonts w:hAnsi="宋体" w:cs="宋体"/>
          <w:b/>
          <w:color w:val="auto"/>
          <w:sz w:val="32"/>
          <w:szCs w:val="32"/>
          <w:highlight w:val="none"/>
        </w:rPr>
      </w:pPr>
      <w:r>
        <w:rPr>
          <w:rFonts w:hint="eastAsia" w:hAnsi="宋体" w:cs="宋体"/>
          <w:b/>
          <w:color w:val="auto"/>
          <w:sz w:val="32"/>
          <w:szCs w:val="32"/>
          <w:highlight w:val="none"/>
        </w:rPr>
        <w:t xml:space="preserve">               项目编号：</w:t>
      </w: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firstLine="2880" w:firstLineChars="900"/>
        <w:rPr>
          <w:rFonts w:hAnsi="宋体" w:cs="宋体"/>
          <w:b/>
          <w:color w:val="auto"/>
          <w:sz w:val="32"/>
          <w:highlight w:val="none"/>
        </w:rPr>
      </w:pPr>
      <w:r>
        <w:rPr>
          <w:rFonts w:hint="eastAsia" w:hAnsi="宋体" w:cs="宋体"/>
          <w:b/>
          <w:color w:val="auto"/>
          <w:sz w:val="32"/>
          <w:highlight w:val="none"/>
        </w:rPr>
        <w:t>投标人：(盖单位章)</w:t>
      </w:r>
    </w:p>
    <w:p>
      <w:pPr>
        <w:tabs>
          <w:tab w:val="center" w:pos="4739"/>
        </w:tabs>
        <w:ind w:left="180"/>
        <w:jc w:val="center"/>
        <w:rPr>
          <w:rFonts w:hAnsi="宋体" w:cs="宋体"/>
          <w:b/>
          <w:color w:val="auto"/>
          <w:sz w:val="32"/>
          <w:highlight w:val="none"/>
        </w:rPr>
      </w:pPr>
    </w:p>
    <w:p>
      <w:pPr>
        <w:tabs>
          <w:tab w:val="center" w:pos="4739"/>
        </w:tabs>
        <w:ind w:left="180" w:firstLine="2560" w:firstLineChars="800"/>
        <w:rPr>
          <w:rFonts w:hAnsi="宋体" w:cs="宋体"/>
          <w:b/>
          <w:color w:val="auto"/>
          <w:sz w:val="32"/>
          <w:highlight w:val="none"/>
        </w:rPr>
      </w:pPr>
      <w:r>
        <w:rPr>
          <w:rFonts w:hint="eastAsia" w:hAnsi="宋体" w:cs="宋体"/>
          <w:b/>
          <w:color w:val="auto"/>
          <w:sz w:val="32"/>
          <w:highlight w:val="none"/>
        </w:rPr>
        <w:t>法定代表人或其委托代理人：(签字)</w:t>
      </w:r>
    </w:p>
    <w:p>
      <w:pPr>
        <w:tabs>
          <w:tab w:val="center" w:pos="4739"/>
        </w:tabs>
        <w:ind w:left="180"/>
        <w:jc w:val="center"/>
        <w:rPr>
          <w:rFonts w:hAnsi="宋体" w:cs="宋体"/>
          <w:b/>
          <w:color w:val="auto"/>
          <w:sz w:val="32"/>
          <w:highlight w:val="none"/>
        </w:rPr>
      </w:pPr>
    </w:p>
    <w:p>
      <w:pPr>
        <w:tabs>
          <w:tab w:val="center" w:pos="4739"/>
        </w:tabs>
        <w:ind w:left="180" w:firstLine="640" w:firstLineChars="200"/>
        <w:jc w:val="center"/>
        <w:rPr>
          <w:rFonts w:hAnsi="宋体" w:cs="宋体"/>
          <w:b/>
          <w:color w:val="auto"/>
          <w:sz w:val="32"/>
          <w:highlight w:val="none"/>
        </w:rPr>
      </w:pPr>
      <w:r>
        <w:rPr>
          <w:rFonts w:hint="eastAsia" w:hAnsi="宋体" w:cs="宋体"/>
          <w:b/>
          <w:color w:val="auto"/>
          <w:sz w:val="32"/>
          <w:highlight w:val="none"/>
        </w:rPr>
        <w:t>年   月   日</w:t>
      </w:r>
    </w:p>
    <w:p>
      <w:pPr>
        <w:autoSpaceDE w:val="0"/>
        <w:autoSpaceDN w:val="0"/>
        <w:spacing w:line="540" w:lineRule="exact"/>
        <w:ind w:firstLine="720" w:firstLineChars="200"/>
        <w:jc w:val="center"/>
        <w:rPr>
          <w:rFonts w:hAnsi="宋体" w:cs="宋体"/>
          <w:b/>
          <w:color w:val="auto"/>
          <w:sz w:val="36"/>
          <w:szCs w:val="36"/>
          <w:highlight w:val="none"/>
        </w:rPr>
      </w:pPr>
      <w:r>
        <w:rPr>
          <w:rFonts w:hint="eastAsia" w:hAnsi="宋体" w:cs="宋体"/>
          <w:b/>
          <w:color w:val="auto"/>
          <w:sz w:val="36"/>
          <w:szCs w:val="36"/>
          <w:highlight w:val="none"/>
        </w:rPr>
        <w:br w:type="page"/>
      </w:r>
    </w:p>
    <w:p>
      <w:pPr>
        <w:autoSpaceDE w:val="0"/>
        <w:autoSpaceDN w:val="0"/>
        <w:spacing w:line="540" w:lineRule="exact"/>
        <w:ind w:firstLine="880" w:firstLineChars="200"/>
        <w:jc w:val="center"/>
        <w:rPr>
          <w:rFonts w:hAnsi="宋体" w:cs="宋体"/>
          <w:b/>
          <w:color w:val="auto"/>
          <w:sz w:val="44"/>
          <w:szCs w:val="44"/>
          <w:highlight w:val="none"/>
        </w:rPr>
      </w:pPr>
      <w:r>
        <w:rPr>
          <w:rFonts w:hint="eastAsia" w:hAnsi="宋体" w:cs="宋体"/>
          <w:b/>
          <w:color w:val="auto"/>
          <w:sz w:val="44"/>
          <w:szCs w:val="44"/>
          <w:highlight w:val="none"/>
        </w:rPr>
        <w:t>目  录</w:t>
      </w:r>
    </w:p>
    <w:p>
      <w:pPr>
        <w:autoSpaceDE w:val="0"/>
        <w:autoSpaceDN w:val="0"/>
        <w:spacing w:line="540" w:lineRule="exact"/>
        <w:jc w:val="center"/>
        <w:rPr>
          <w:rFonts w:hAnsi="宋体" w:cs="宋体"/>
          <w:b/>
          <w:color w:val="auto"/>
          <w:sz w:val="36"/>
          <w:szCs w:val="36"/>
          <w:highlight w:val="none"/>
        </w:rPr>
      </w:pPr>
    </w:p>
    <w:p>
      <w:pPr>
        <w:autoSpaceDE w:val="0"/>
        <w:autoSpaceDN w:val="0"/>
        <w:spacing w:line="440" w:lineRule="exact"/>
        <w:ind w:firstLine="480" w:firstLineChars="200"/>
        <w:jc w:val="left"/>
        <w:outlineLvl w:val="0"/>
        <w:rPr>
          <w:rFonts w:hAnsi="宋体" w:cs="宋体"/>
          <w:color w:val="auto"/>
          <w:sz w:val="24"/>
          <w:szCs w:val="24"/>
          <w:highlight w:val="none"/>
        </w:rPr>
      </w:pPr>
      <w:r>
        <w:rPr>
          <w:rFonts w:hint="eastAsia" w:hAnsi="宋体" w:cs="宋体"/>
          <w:color w:val="auto"/>
          <w:sz w:val="24"/>
          <w:szCs w:val="24"/>
          <w:highlight w:val="none"/>
        </w:rPr>
        <w:t>（1）内容完整性；</w:t>
      </w:r>
    </w:p>
    <w:p>
      <w:pPr>
        <w:autoSpaceDE w:val="0"/>
        <w:autoSpaceDN w:val="0"/>
        <w:spacing w:line="440" w:lineRule="exact"/>
        <w:ind w:firstLine="480" w:firstLineChars="200"/>
        <w:jc w:val="left"/>
        <w:outlineLvl w:val="0"/>
        <w:rPr>
          <w:rFonts w:hAnsi="宋体" w:cs="宋体"/>
          <w:color w:val="auto"/>
          <w:sz w:val="24"/>
          <w:szCs w:val="24"/>
          <w:highlight w:val="none"/>
        </w:rPr>
      </w:pPr>
      <w:r>
        <w:rPr>
          <w:rFonts w:hint="eastAsia" w:hAnsi="宋体" w:cs="宋体"/>
          <w:color w:val="auto"/>
          <w:sz w:val="24"/>
          <w:szCs w:val="24"/>
          <w:highlight w:val="none"/>
        </w:rPr>
        <w:t>（2）主要施工方案与技术措施；</w:t>
      </w:r>
    </w:p>
    <w:p>
      <w:pPr>
        <w:autoSpaceDE w:val="0"/>
        <w:autoSpaceDN w:val="0"/>
        <w:spacing w:line="440" w:lineRule="exact"/>
        <w:ind w:firstLine="480" w:firstLineChars="200"/>
        <w:jc w:val="left"/>
        <w:outlineLvl w:val="0"/>
        <w:rPr>
          <w:rFonts w:hAnsi="宋体" w:cs="宋体"/>
          <w:color w:val="auto"/>
          <w:sz w:val="24"/>
          <w:szCs w:val="24"/>
          <w:highlight w:val="none"/>
        </w:rPr>
      </w:pPr>
      <w:r>
        <w:rPr>
          <w:rFonts w:hint="eastAsia" w:hAnsi="宋体" w:cs="宋体"/>
          <w:color w:val="auto"/>
          <w:sz w:val="24"/>
          <w:szCs w:val="24"/>
          <w:highlight w:val="none"/>
        </w:rPr>
        <w:t>（3）质量管理体系与措施；</w:t>
      </w:r>
    </w:p>
    <w:p>
      <w:pPr>
        <w:autoSpaceDE w:val="0"/>
        <w:autoSpaceDN w:val="0"/>
        <w:spacing w:line="440" w:lineRule="exact"/>
        <w:ind w:firstLine="480" w:firstLineChars="200"/>
        <w:jc w:val="left"/>
        <w:outlineLvl w:val="0"/>
        <w:rPr>
          <w:rFonts w:hAnsi="宋体" w:cs="宋体"/>
          <w:color w:val="auto"/>
          <w:sz w:val="24"/>
          <w:szCs w:val="24"/>
          <w:highlight w:val="none"/>
        </w:rPr>
      </w:pPr>
      <w:r>
        <w:rPr>
          <w:rFonts w:hint="eastAsia" w:hAnsi="宋体" w:cs="宋体"/>
          <w:color w:val="auto"/>
          <w:sz w:val="24"/>
          <w:szCs w:val="24"/>
          <w:highlight w:val="none"/>
        </w:rPr>
        <w:t>（4）安全管理体系与措施；</w:t>
      </w:r>
    </w:p>
    <w:p>
      <w:pPr>
        <w:autoSpaceDE w:val="0"/>
        <w:autoSpaceDN w:val="0"/>
        <w:spacing w:line="440" w:lineRule="exact"/>
        <w:ind w:firstLine="480" w:firstLineChars="200"/>
        <w:jc w:val="left"/>
        <w:outlineLvl w:val="0"/>
        <w:rPr>
          <w:rFonts w:hAnsi="宋体" w:cs="宋体"/>
          <w:color w:val="auto"/>
          <w:sz w:val="24"/>
          <w:szCs w:val="24"/>
          <w:highlight w:val="none"/>
        </w:rPr>
      </w:pPr>
      <w:r>
        <w:rPr>
          <w:rFonts w:hint="eastAsia" w:hAnsi="宋体" w:cs="宋体"/>
          <w:color w:val="auto"/>
          <w:sz w:val="24"/>
          <w:szCs w:val="24"/>
          <w:highlight w:val="none"/>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（6）</w:t>
      </w:r>
      <w:r>
        <w:rPr>
          <w:rFonts w:hint="eastAsia" w:hAnsi="宋体" w:cs="宋体"/>
          <w:color w:val="auto"/>
          <w:sz w:val="24"/>
          <w:szCs w:val="24"/>
          <w:highlight w:val="none"/>
          <w:lang w:eastAsia="zh-CN"/>
        </w:rPr>
        <w:t>工期</w:t>
      </w:r>
      <w:r>
        <w:rPr>
          <w:rFonts w:hint="eastAsia" w:hAnsi="宋体" w:cs="宋体"/>
          <w:color w:val="auto"/>
          <w:sz w:val="24"/>
          <w:szCs w:val="24"/>
          <w:highlight w:val="none"/>
        </w:rPr>
        <w:t>保证措施；</w:t>
      </w:r>
    </w:p>
    <w:p>
      <w:pPr>
        <w:tabs>
          <w:tab w:val="left" w:pos="1260"/>
        </w:tabs>
        <w:autoSpaceDE w:val="0"/>
        <w:autoSpaceDN w:val="0"/>
        <w:adjustRightIn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（7）拟投入资源配备计划；</w:t>
      </w:r>
    </w:p>
    <w:p>
      <w:pPr>
        <w:tabs>
          <w:tab w:val="left" w:pos="1260"/>
        </w:tabs>
        <w:autoSpaceDE w:val="0"/>
        <w:autoSpaceDN w:val="0"/>
        <w:adjustRightIn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（8）施工进度表与网络计划图；</w:t>
      </w:r>
    </w:p>
    <w:p>
      <w:pPr>
        <w:tabs>
          <w:tab w:val="left" w:pos="1260"/>
        </w:tabs>
        <w:autoSpaceDE w:val="0"/>
        <w:autoSpaceDN w:val="0"/>
        <w:adjustRightIn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（9）施工总平面图布置；</w:t>
      </w:r>
    </w:p>
    <w:p>
      <w:pPr>
        <w:tabs>
          <w:tab w:val="left" w:pos="1260"/>
        </w:tabs>
        <w:autoSpaceDE w:val="0"/>
        <w:autoSpaceDN w:val="0"/>
        <w:adjustRightInd w:val="0"/>
        <w:spacing w:line="460" w:lineRule="exact"/>
        <w:ind w:firstLine="240" w:firstLineChars="100"/>
        <w:jc w:val="left"/>
        <w:rPr>
          <w:rFonts w:hAnsi="宋体" w:cs="宋体"/>
          <w:color w:val="auto"/>
          <w:sz w:val="24"/>
          <w:szCs w:val="24"/>
          <w:highlight w:val="none"/>
        </w:rPr>
      </w:pPr>
      <w:r>
        <w:rPr>
          <w:rFonts w:hint="eastAsia" w:hAnsi="宋体" w:cs="宋体"/>
          <w:color w:val="auto"/>
          <w:sz w:val="24"/>
          <w:szCs w:val="24"/>
          <w:highlight w:val="none"/>
        </w:rPr>
        <w:t xml:space="preserve">  （10）技术创新的应用实施措施；</w:t>
      </w:r>
    </w:p>
    <w:p>
      <w:pPr>
        <w:tabs>
          <w:tab w:val="left" w:pos="1260"/>
        </w:tabs>
        <w:autoSpaceDE w:val="0"/>
        <w:autoSpaceDN w:val="0"/>
        <w:adjustRightIn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（11）采用新工艺、新技术、新设备、新材料、BIM等的程度；</w:t>
      </w:r>
    </w:p>
    <w:p>
      <w:pPr>
        <w:tabs>
          <w:tab w:val="left" w:pos="1260"/>
        </w:tabs>
        <w:autoSpaceDE w:val="0"/>
        <w:autoSpaceDN w:val="0"/>
        <w:adjustRightIn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（12）施工现场实施信息化监控和数据处理；</w:t>
      </w:r>
    </w:p>
    <w:p>
      <w:pPr>
        <w:pStyle w:val="2"/>
        <w:ind w:firstLine="480" w:firstLineChars="200"/>
        <w:rPr>
          <w:color w:val="auto"/>
          <w:sz w:val="24"/>
          <w:szCs w:val="24"/>
          <w:highlight w:val="none"/>
        </w:rPr>
      </w:pPr>
      <w:r>
        <w:rPr>
          <w:rFonts w:hint="eastAsia" w:hAnsi="宋体" w:cs="宋体"/>
          <w:color w:val="auto"/>
          <w:sz w:val="24"/>
          <w:szCs w:val="24"/>
          <w:highlight w:val="none"/>
        </w:rPr>
        <w:t>（13）风险管理措施；</w:t>
      </w:r>
    </w:p>
    <w:p>
      <w:pPr>
        <w:autoSpaceDE w:val="0"/>
        <w:autoSpaceDN w:val="0"/>
        <w:adjustRightInd w:val="0"/>
        <w:spacing w:before="312" w:beforeLines="100" w:after="312" w:afterLines="100"/>
        <w:jc w:val="center"/>
        <w:outlineLvl w:val="0"/>
        <w:rPr>
          <w:rFonts w:hAnsi="宋体" w:cs="黑体"/>
          <w:b/>
          <w:color w:val="auto"/>
          <w:sz w:val="44"/>
          <w:szCs w:val="44"/>
          <w:highlight w:val="none"/>
        </w:rPr>
      </w:pPr>
    </w:p>
    <w:p>
      <w:pPr>
        <w:autoSpaceDE w:val="0"/>
        <w:autoSpaceDN w:val="0"/>
        <w:adjustRightInd w:val="0"/>
        <w:spacing w:before="312" w:beforeLines="100" w:after="312" w:afterLines="100"/>
        <w:ind w:firstLine="1260" w:firstLineChars="600"/>
        <w:outlineLvl w:val="0"/>
        <w:rPr>
          <w:color w:val="auto"/>
          <w:highlight w:val="none"/>
        </w:rPr>
      </w:pPr>
    </w:p>
    <w:p>
      <w:pPr>
        <w:rPr>
          <w:color w:val="auto"/>
          <w:highlight w:val="none"/>
        </w:rPr>
      </w:pPr>
    </w:p>
    <w:sectPr>
      <w:footerReference r:id="rId14" w:type="first"/>
      <w:footerReference r:id="rId13"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rPr>
        <w:rFonts w:hint="eastAsia"/>
        <w:sz w:val="21"/>
        <w:szCs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rPr>
        <w:rFonts w:hint="eastAsia"/>
        <w:sz w:val="21"/>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64</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61312" behindDoc="0" locked="0" layoutInCell="1" allowOverlap="1">
              <wp:simplePos x="0" y="0"/>
              <wp:positionH relativeFrom="margin">
                <wp:posOffset>3002915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6.45pt;margin-top:0pt;height:144pt;width:144pt;mso-position-horizontal-relative:margin;mso-wrap-style:none;z-index:251661312;mso-width-relative:page;mso-height-relative:page;" filled="f" stroked="f" coordsize="21600,21600" o:gfxdata="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5x6NtQAAAAI&#10;AQAADwAAAAAAAAABACAAAAAiAAAAZHJzL2Rvd25yZXYueG1sUEsBAhQAFAAAAAgAh07iQNExV1Su&#10;AQAASwMAAA4AAAAAAAAAAQAgAAAAIwEAAGRycy9lMm9Eb2MueG1sUEsFBgAAAAAGAAYAWQEAAEMF&#10;A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324"/>
        <w:tab w:val="clear" w:pos="4153"/>
      </w:tabs>
      <w:jc w:val="left"/>
      <w:rPr>
        <w:rFonts w:hint="eastAsia" w:ascii="宋体" w:hAnsi="宋体" w:eastAsia="宋体" w:cs="宋体"/>
      </w:rPr>
    </w:pPr>
    <w:r>
      <w:rPr>
        <w:rFonts w:hint="eastAsia" w:hAnsi="宋体" w:cs="宋体"/>
        <w:sz w:val="21"/>
        <w:szCs w:val="21"/>
        <w:lang w:eastAsia="zh-CN"/>
      </w:rPr>
      <w:t xml:space="preserve">襄城县山头店镇国省干道提升工程和南园区环境综合整治工程等项目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施工</w:t>
    </w:r>
    <w:r>
      <w:rPr>
        <w:rFonts w:hint="eastAsia" w:ascii="宋体" w:hAnsi="宋体" w:eastAsia="宋体" w:cs="宋体"/>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324"/>
        <w:tab w:val="clear" w:pos="4153"/>
      </w:tabs>
      <w:jc w:val="left"/>
      <w:rPr>
        <w:rFonts w:hint="eastAsia" w:ascii="宋体" w:hAnsi="宋体" w:eastAsia="宋体" w:cs="宋体"/>
      </w:rPr>
    </w:pPr>
    <w:r>
      <w:rPr>
        <w:rFonts w:hint="eastAsia" w:hAnsi="宋体" w:cs="宋体"/>
        <w:sz w:val="21"/>
        <w:szCs w:val="21"/>
        <w:lang w:val="en-US" w:eastAsia="zh-CN"/>
      </w:rPr>
      <w:t xml:space="preserve">襄城县山头店镇国省干道提升工程和南园区环境综合整治工程等项目                  </w:t>
    </w:r>
    <w:r>
      <w:rPr>
        <w:rFonts w:hint="eastAsia" w:ascii="宋体" w:hAnsi="宋体" w:eastAsia="宋体" w:cs="宋体"/>
        <w:sz w:val="21"/>
        <w:szCs w:val="21"/>
        <w:lang w:val="en-US" w:eastAsia="zh-CN"/>
      </w:rPr>
      <w:t>施工</w:t>
    </w:r>
    <w:r>
      <w:rPr>
        <w:rFonts w:hint="eastAsia" w:ascii="宋体" w:hAnsi="宋体" w:eastAsia="宋体" w:cs="宋体"/>
        <w:sz w:val="21"/>
        <w:szCs w:val="21"/>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324"/>
        <w:tab w:val="clear" w:pos="4153"/>
      </w:tabs>
      <w:jc w:val="both"/>
    </w:pPr>
    <w:r>
      <w:rPr>
        <w:rFonts w:hint="eastAsia" w:ascii="华文新魏" w:eastAsia="华文新魏"/>
        <w:sz w:val="21"/>
        <w:szCs w:val="21"/>
        <w:lang w:val="en-US" w:eastAsia="zh-CN"/>
      </w:rPr>
      <w:t xml:space="preserve">襄城县扶持村级集体经济（雷洞村特色农家院）项目                   </w:t>
    </w:r>
    <w:r>
      <w:rPr>
        <w:rFonts w:hint="eastAsia" w:ascii="华文新魏" w:eastAsia="华文新魏"/>
        <w:sz w:val="21"/>
        <w:szCs w:val="21"/>
      </w:rPr>
      <w:t xml:space="preserve">   </w:t>
    </w:r>
    <w:r>
      <w:rPr>
        <w:rFonts w:hint="eastAsia" w:ascii="华文新魏" w:eastAsia="华文新魏"/>
        <w:sz w:val="21"/>
        <w:szCs w:val="21"/>
        <w:lang w:eastAsia="zh-CN"/>
      </w:rPr>
      <w:t xml:space="preserve">     </w:t>
    </w:r>
    <w:r>
      <w:rPr>
        <w:rFonts w:hint="eastAsia" w:ascii="华文新魏" w:eastAsia="华文新魏"/>
        <w:sz w:val="21"/>
        <w:szCs w:val="21"/>
        <w:lang w:val="en-US" w:eastAsia="zh-CN"/>
      </w:rPr>
      <w:t xml:space="preserve">              </w:t>
    </w:r>
    <w:r>
      <w:rPr>
        <w:rFonts w:hint="eastAsia" w:ascii="华文新魏" w:eastAsia="华文新魏"/>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64FF0"/>
    <w:multiLevelType w:val="singleLevel"/>
    <w:tmpl w:val="9B664FF0"/>
    <w:lvl w:ilvl="0" w:tentative="0">
      <w:start w:val="1"/>
      <w:numFmt w:val="decimal"/>
      <w:suff w:val="nothing"/>
      <w:lvlText w:val="（%1）"/>
      <w:lvlJc w:val="left"/>
    </w:lvl>
  </w:abstractNum>
  <w:abstractNum w:abstractNumId="1">
    <w:nsid w:val="A79871A1"/>
    <w:multiLevelType w:val="singleLevel"/>
    <w:tmpl w:val="A79871A1"/>
    <w:lvl w:ilvl="0" w:tentative="0">
      <w:start w:val="1"/>
      <w:numFmt w:val="decimalEnclosedCircleChinese"/>
      <w:suff w:val="space"/>
      <w:lvlText w:val="%1"/>
      <w:lvlJc w:val="left"/>
      <w:rPr>
        <w:rFonts w:hint="eastAsia"/>
      </w:rPr>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D1231"/>
    <w:rsid w:val="00293CEA"/>
    <w:rsid w:val="0636675D"/>
    <w:rsid w:val="068177D9"/>
    <w:rsid w:val="10C13254"/>
    <w:rsid w:val="10CA669C"/>
    <w:rsid w:val="11A33F68"/>
    <w:rsid w:val="13461194"/>
    <w:rsid w:val="15B94B15"/>
    <w:rsid w:val="16730911"/>
    <w:rsid w:val="1E984DB6"/>
    <w:rsid w:val="22E908B7"/>
    <w:rsid w:val="23FC6FCB"/>
    <w:rsid w:val="26A07F43"/>
    <w:rsid w:val="2BD14EB8"/>
    <w:rsid w:val="2E5F0C7F"/>
    <w:rsid w:val="31E05337"/>
    <w:rsid w:val="336F2A77"/>
    <w:rsid w:val="33CE255D"/>
    <w:rsid w:val="35296D20"/>
    <w:rsid w:val="388438B2"/>
    <w:rsid w:val="41437359"/>
    <w:rsid w:val="41874306"/>
    <w:rsid w:val="4225471E"/>
    <w:rsid w:val="427B2EAC"/>
    <w:rsid w:val="46CB2870"/>
    <w:rsid w:val="499435FF"/>
    <w:rsid w:val="4C4E6835"/>
    <w:rsid w:val="510453EB"/>
    <w:rsid w:val="519507D5"/>
    <w:rsid w:val="51C66EAD"/>
    <w:rsid w:val="52097D9B"/>
    <w:rsid w:val="52ED681C"/>
    <w:rsid w:val="52FD2D13"/>
    <w:rsid w:val="53A8307F"/>
    <w:rsid w:val="54212BBA"/>
    <w:rsid w:val="599C11C5"/>
    <w:rsid w:val="5C3A04F5"/>
    <w:rsid w:val="5E1D1231"/>
    <w:rsid w:val="5F235A2D"/>
    <w:rsid w:val="5F582BCA"/>
    <w:rsid w:val="60245410"/>
    <w:rsid w:val="63FD1767"/>
    <w:rsid w:val="64D00889"/>
    <w:rsid w:val="65F76240"/>
    <w:rsid w:val="67D41D7A"/>
    <w:rsid w:val="6A1E70BE"/>
    <w:rsid w:val="6CB95463"/>
    <w:rsid w:val="72812FEA"/>
    <w:rsid w:val="74CE7429"/>
    <w:rsid w:val="7A26241F"/>
    <w:rsid w:val="7AB6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qFormat/>
    <w:uiPriority w:val="0"/>
    <w:pPr>
      <w:keepNext/>
      <w:keepLines/>
      <w:adjustRightInd w:val="0"/>
      <w:snapToGrid w:val="0"/>
      <w:spacing w:line="360" w:lineRule="auto"/>
      <w:jc w:val="center"/>
      <w:outlineLvl w:val="0"/>
    </w:pPr>
    <w:rPr>
      <w:rFonts w:ascii="宋体" w:hAnsi="宋体" w:eastAsia="宋体"/>
      <w:b/>
      <w:bCs/>
      <w:kern w:val="44"/>
      <w:sz w:val="44"/>
      <w:szCs w:val="44"/>
    </w:rPr>
  </w:style>
  <w:style w:type="paragraph" w:styleId="7">
    <w:name w:val="heading 3"/>
    <w:basedOn w:val="1"/>
    <w:next w:val="1"/>
    <w:qFormat/>
    <w:uiPriority w:val="0"/>
    <w:pPr>
      <w:keepNext/>
      <w:keepLines/>
      <w:spacing w:before="260" w:after="260" w:line="416" w:lineRule="auto"/>
      <w:outlineLvl w:val="2"/>
    </w:pPr>
    <w:rPr>
      <w:rFonts w:ascii="宋体" w:hAnsi="Times New Roman"/>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style>
  <w:style w:type="paragraph" w:styleId="3">
    <w:name w:val="Body Text"/>
    <w:basedOn w:val="1"/>
    <w:unhideWhenUsed/>
    <w:qFormat/>
    <w:uiPriority w:val="0"/>
    <w:pPr>
      <w:spacing w:after="120"/>
    </w:pPr>
    <w:rPr>
      <w:rFonts w:ascii="宋体" w:hAnsi="Times New Roman"/>
      <w:kern w:val="0"/>
      <w:sz w:val="34"/>
      <w:szCs w:val="20"/>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rPr>
      <w:rFonts w:ascii="宋体" w:hAnsi="Times New Roman"/>
      <w:kern w:val="0"/>
      <w:sz w:val="3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宋体"/>
      <w:kern w:val="0"/>
      <w:sz w:val="18"/>
      <w:szCs w:val="18"/>
    </w:rPr>
  </w:style>
  <w:style w:type="paragraph" w:styleId="10">
    <w:name w:val="toc 1"/>
    <w:basedOn w:val="1"/>
    <w:next w:val="1"/>
    <w:unhideWhenUsed/>
    <w:qFormat/>
    <w:uiPriority w:val="0"/>
  </w:style>
  <w:style w:type="paragraph" w:styleId="11">
    <w:name w:val="Body Text Indent 3"/>
    <w:basedOn w:val="1"/>
    <w:qFormat/>
    <w:uiPriority w:val="0"/>
    <w:pPr>
      <w:ind w:firstLine="420" w:firstLineChars="200"/>
    </w:pPr>
    <w:rPr>
      <w:rFonts w:ascii="宋体" w:hAnsi="宋体"/>
      <w:kern w:val="0"/>
      <w:sz w:val="34"/>
      <w:szCs w:val="20"/>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adjustRightInd w:val="0"/>
      <w:snapToGrid w:val="0"/>
      <w:ind w:left="2850" w:leftChars="500" w:hanging="1800" w:hangingChars="500"/>
    </w:pPr>
    <w:rPr>
      <w:rFonts w:ascii="Arial" w:hAnsi="Arial"/>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2019-09-10T09:05:00Z</dcterms:created>
  <dc:creator>欧邦工程管理有限公司:蔡书贞</dc:creator>
  <cp:lastModifiedBy>欧邦工程管理有限公司:蔡书贞</cp:lastModifiedBy>
  <cp:lastPrinted>2019-12-12T06:52:00Z</cp:lastPrinted>
  <dcterms:modified xsi:type="dcterms:W3CDTF">2019-12-13T08:03:18Z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